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95BC9" w14:textId="77777777" w:rsidR="002B040C" w:rsidRPr="0008265C" w:rsidRDefault="002B040C" w:rsidP="002B040C">
      <w:pPr>
        <w:jc w:val="both"/>
        <w:rPr>
          <w:sz w:val="21"/>
          <w:szCs w:val="21"/>
        </w:rPr>
      </w:pPr>
      <w:r w:rsidRPr="0008265C">
        <w:rPr>
          <w:rFonts w:ascii="ITC Avant Garde" w:hAnsi="ITC Avant Garde"/>
          <w:b/>
          <w:color w:val="000000" w:themeColor="text1"/>
          <w:sz w:val="21"/>
          <w:szCs w:val="21"/>
        </w:rPr>
        <w:t>ACUERDO MEDIANTE EL CUAL EL PLENO DEL INSTITUTO FEDERAL DE TELECOMUNICACIONES DETERMINA SOMETER A CONSULTA PÚBLICA</w:t>
      </w:r>
      <w:r w:rsidR="00F06A6B" w:rsidRPr="0008265C">
        <w:rPr>
          <w:rFonts w:ascii="ITC Avant Garde" w:hAnsi="ITC Avant Garde"/>
          <w:b/>
          <w:color w:val="000000" w:themeColor="text1"/>
          <w:sz w:val="21"/>
          <w:szCs w:val="21"/>
        </w:rPr>
        <w:t xml:space="preserve"> EL MODELO DE COSTOS PARA EL SERVICIO </w:t>
      </w:r>
      <w:r w:rsidR="00092A58" w:rsidRPr="0008265C">
        <w:rPr>
          <w:rFonts w:ascii="ITC Avant Garde" w:hAnsi="ITC Avant Garde"/>
          <w:b/>
          <w:color w:val="000000" w:themeColor="text1"/>
          <w:sz w:val="21"/>
          <w:szCs w:val="21"/>
        </w:rPr>
        <w:t xml:space="preserve">MAYORISTA </w:t>
      </w:r>
      <w:r w:rsidR="00272FFE" w:rsidRPr="0008265C">
        <w:rPr>
          <w:rFonts w:ascii="ITC Avant Garde" w:hAnsi="ITC Avant Garde"/>
          <w:b/>
          <w:color w:val="000000" w:themeColor="text1"/>
          <w:sz w:val="21"/>
          <w:szCs w:val="21"/>
        </w:rPr>
        <w:t>PARA LA</w:t>
      </w:r>
      <w:r w:rsidR="00F06A6B" w:rsidRPr="0008265C">
        <w:rPr>
          <w:rFonts w:ascii="ITC Avant Garde" w:hAnsi="ITC Avant Garde"/>
          <w:b/>
          <w:color w:val="000000" w:themeColor="text1"/>
          <w:sz w:val="21"/>
          <w:szCs w:val="21"/>
        </w:rPr>
        <w:t xml:space="preserve"> </w:t>
      </w:r>
      <w:r w:rsidR="000B7962" w:rsidRPr="0008265C">
        <w:rPr>
          <w:rFonts w:ascii="ITC Avant Garde" w:hAnsi="ITC Avant Garde"/>
          <w:b/>
          <w:color w:val="000000" w:themeColor="text1"/>
          <w:sz w:val="21"/>
          <w:szCs w:val="21"/>
        </w:rPr>
        <w:t xml:space="preserve">COMERCIALIZACIÓN O REVENTA DE SERVICIOS Y EL MODELO DE COSTOS PARA EL SERVICIO </w:t>
      </w:r>
      <w:r w:rsidR="00092A58" w:rsidRPr="0008265C">
        <w:rPr>
          <w:rFonts w:ascii="ITC Avant Garde" w:hAnsi="ITC Avant Garde"/>
          <w:b/>
          <w:color w:val="000000" w:themeColor="text1"/>
          <w:sz w:val="21"/>
          <w:szCs w:val="21"/>
        </w:rPr>
        <w:t xml:space="preserve">MAYORISTA </w:t>
      </w:r>
      <w:r w:rsidR="000B7962" w:rsidRPr="0008265C">
        <w:rPr>
          <w:rFonts w:ascii="ITC Avant Garde" w:hAnsi="ITC Avant Garde"/>
          <w:b/>
          <w:color w:val="000000" w:themeColor="text1"/>
          <w:sz w:val="21"/>
          <w:szCs w:val="21"/>
        </w:rPr>
        <w:t>DE USUARIO VISITANTE</w:t>
      </w:r>
      <w:r w:rsidRPr="0008265C">
        <w:rPr>
          <w:rFonts w:ascii="ITC Avant Garde" w:hAnsi="ITC Avant Garde"/>
          <w:b/>
          <w:color w:val="000000" w:themeColor="text1"/>
          <w:sz w:val="21"/>
          <w:szCs w:val="21"/>
        </w:rPr>
        <w:t xml:space="preserve"> QUE SERÁ</w:t>
      </w:r>
      <w:r w:rsidR="000B7962" w:rsidRPr="0008265C">
        <w:rPr>
          <w:rFonts w:ascii="ITC Avant Garde" w:hAnsi="ITC Avant Garde"/>
          <w:b/>
          <w:color w:val="000000" w:themeColor="text1"/>
          <w:sz w:val="21"/>
          <w:szCs w:val="21"/>
        </w:rPr>
        <w:t>N</w:t>
      </w:r>
      <w:r w:rsidRPr="0008265C">
        <w:rPr>
          <w:rFonts w:ascii="ITC Avant Garde" w:hAnsi="ITC Avant Garde"/>
          <w:b/>
          <w:color w:val="000000" w:themeColor="text1"/>
          <w:sz w:val="21"/>
          <w:szCs w:val="21"/>
        </w:rPr>
        <w:t xml:space="preserve"> PRESTADO</w:t>
      </w:r>
      <w:r w:rsidR="000B7962" w:rsidRPr="0008265C">
        <w:rPr>
          <w:rFonts w:ascii="ITC Avant Garde" w:hAnsi="ITC Avant Garde"/>
          <w:b/>
          <w:color w:val="000000" w:themeColor="text1"/>
          <w:sz w:val="21"/>
          <w:szCs w:val="21"/>
        </w:rPr>
        <w:t>S</w:t>
      </w:r>
      <w:r w:rsidRPr="0008265C">
        <w:rPr>
          <w:rFonts w:ascii="ITC Avant Garde" w:hAnsi="ITC Avant Garde"/>
          <w:b/>
          <w:color w:val="000000" w:themeColor="text1"/>
          <w:sz w:val="21"/>
          <w:szCs w:val="21"/>
        </w:rPr>
        <w:t xml:space="preserve"> POR EL AGENTE ECONÓMICO PREPONDERANTE EN EL SECTOR DE LAS TELECOMUNICACIONES.</w:t>
      </w:r>
    </w:p>
    <w:p w14:paraId="05D95BCB" w14:textId="77777777" w:rsidR="007C4BEB" w:rsidRPr="0008265C" w:rsidRDefault="007C4BEB" w:rsidP="007C4BEB">
      <w:pPr>
        <w:widowControl w:val="0"/>
        <w:spacing w:after="0"/>
        <w:jc w:val="center"/>
        <w:rPr>
          <w:rFonts w:ascii="ITC Avant Garde" w:eastAsia="Times New Roman" w:hAnsi="ITC Avant Garde"/>
          <w:b/>
          <w:sz w:val="21"/>
          <w:szCs w:val="21"/>
        </w:rPr>
      </w:pPr>
      <w:r w:rsidRPr="0008265C">
        <w:rPr>
          <w:rFonts w:ascii="ITC Avant Garde" w:eastAsia="Times New Roman" w:hAnsi="ITC Avant Garde"/>
          <w:b/>
          <w:sz w:val="21"/>
          <w:szCs w:val="21"/>
        </w:rPr>
        <w:t xml:space="preserve">A N T E C E D E N T E </w:t>
      </w:r>
      <w:r w:rsidR="00242F1C" w:rsidRPr="0008265C">
        <w:rPr>
          <w:rFonts w:ascii="ITC Avant Garde" w:eastAsia="Times New Roman" w:hAnsi="ITC Avant Garde"/>
          <w:b/>
          <w:sz w:val="21"/>
          <w:szCs w:val="21"/>
        </w:rPr>
        <w:t>S</w:t>
      </w:r>
    </w:p>
    <w:p w14:paraId="05D95BCD" w14:textId="77777777" w:rsidR="007E7CAD" w:rsidRPr="0008265C" w:rsidRDefault="007E7CAD" w:rsidP="00272FFE">
      <w:pPr>
        <w:widowControl w:val="0"/>
        <w:tabs>
          <w:tab w:val="left" w:pos="426"/>
        </w:tabs>
        <w:spacing w:after="0"/>
        <w:jc w:val="center"/>
        <w:rPr>
          <w:rFonts w:ascii="ITC Avant Garde" w:eastAsia="Times New Roman" w:hAnsi="ITC Avant Garde"/>
          <w:sz w:val="18"/>
          <w:szCs w:val="21"/>
        </w:rPr>
      </w:pPr>
    </w:p>
    <w:p w14:paraId="05D95BCE" w14:textId="77777777" w:rsidR="00C8708B" w:rsidRPr="0008265C" w:rsidRDefault="00C8708B" w:rsidP="00272FFE">
      <w:pPr>
        <w:pStyle w:val="IFTnormal"/>
        <w:numPr>
          <w:ilvl w:val="0"/>
          <w:numId w:val="8"/>
        </w:numPr>
        <w:tabs>
          <w:tab w:val="left" w:pos="426"/>
        </w:tabs>
        <w:spacing w:after="0"/>
        <w:ind w:left="426" w:right="49" w:hanging="284"/>
        <w:rPr>
          <w:sz w:val="21"/>
          <w:szCs w:val="21"/>
        </w:rPr>
      </w:pPr>
      <w:r w:rsidRPr="0008265C">
        <w:rPr>
          <w:b/>
          <w:sz w:val="21"/>
          <w:szCs w:val="21"/>
        </w:rPr>
        <w:t xml:space="preserve">Decreto de Reforma Constitucional. </w:t>
      </w:r>
      <w:r w:rsidRPr="0008265C">
        <w:rPr>
          <w:sz w:val="21"/>
          <w:szCs w:val="21"/>
        </w:rPr>
        <w:t>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(en lo sucesivo, el “Decreto”), mediante el cual se creó al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5D95BCF" w14:textId="77777777" w:rsidR="00C8708B" w:rsidRPr="0008265C" w:rsidRDefault="00C8708B" w:rsidP="00272FFE">
      <w:pPr>
        <w:pStyle w:val="IFTnormal"/>
        <w:tabs>
          <w:tab w:val="left" w:pos="426"/>
        </w:tabs>
        <w:spacing w:after="0"/>
        <w:ind w:left="426" w:right="49" w:hanging="426"/>
        <w:rPr>
          <w:sz w:val="20"/>
          <w:szCs w:val="21"/>
        </w:rPr>
      </w:pPr>
    </w:p>
    <w:p w14:paraId="05D95BD0" w14:textId="77777777" w:rsidR="00C8708B" w:rsidRPr="0008265C" w:rsidRDefault="00272FFE" w:rsidP="00272FFE">
      <w:pPr>
        <w:pStyle w:val="IFTnormal"/>
        <w:tabs>
          <w:tab w:val="left" w:pos="426"/>
        </w:tabs>
        <w:spacing w:after="0"/>
        <w:ind w:left="426" w:right="49" w:hanging="426"/>
        <w:rPr>
          <w:sz w:val="21"/>
          <w:szCs w:val="21"/>
        </w:rPr>
      </w:pPr>
      <w:r w:rsidRPr="0008265C">
        <w:rPr>
          <w:sz w:val="21"/>
          <w:szCs w:val="21"/>
        </w:rPr>
        <w:tab/>
      </w:r>
      <w:r w:rsidR="00C8708B" w:rsidRPr="0008265C">
        <w:rPr>
          <w:sz w:val="21"/>
          <w:szCs w:val="21"/>
        </w:rPr>
        <w:t>El artículo Transitorio Octavo,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05D95BD1" w14:textId="77777777" w:rsidR="00C8708B" w:rsidRPr="0008265C" w:rsidRDefault="00C8708B" w:rsidP="00272FFE">
      <w:pPr>
        <w:pStyle w:val="IFTnormal"/>
        <w:tabs>
          <w:tab w:val="left" w:pos="426"/>
        </w:tabs>
        <w:spacing w:after="0"/>
        <w:ind w:left="720" w:right="49"/>
        <w:rPr>
          <w:b/>
          <w:sz w:val="20"/>
          <w:szCs w:val="21"/>
        </w:rPr>
      </w:pPr>
    </w:p>
    <w:p w14:paraId="05D95BD2" w14:textId="77777777" w:rsidR="007C4BEB" w:rsidRPr="0008265C" w:rsidRDefault="002A3EEE" w:rsidP="008A36BF">
      <w:pPr>
        <w:pStyle w:val="IFTnormal"/>
        <w:numPr>
          <w:ilvl w:val="0"/>
          <w:numId w:val="8"/>
        </w:numPr>
        <w:tabs>
          <w:tab w:val="left" w:pos="426"/>
        </w:tabs>
        <w:spacing w:after="0"/>
        <w:ind w:left="426" w:right="49" w:hanging="284"/>
        <w:rPr>
          <w:rFonts w:eastAsia="Times New Roman"/>
          <w:sz w:val="21"/>
          <w:szCs w:val="21"/>
        </w:rPr>
      </w:pPr>
      <w:r w:rsidRPr="0008265C">
        <w:rPr>
          <w:b/>
          <w:color w:val="auto"/>
          <w:sz w:val="21"/>
          <w:szCs w:val="21"/>
        </w:rPr>
        <w:t xml:space="preserve">Determinación del Agente Económico Preponderante. </w:t>
      </w:r>
      <w:r w:rsidR="007C4BEB" w:rsidRPr="0008265C">
        <w:rPr>
          <w:rFonts w:eastAsia="Times New Roman"/>
          <w:sz w:val="21"/>
          <w:szCs w:val="21"/>
        </w:rPr>
        <w:t xml:space="preserve">El 6 de marzo de 2014, el Pleno del Instituto en su V Sesión Extraordinaria, aprobó mediante </w:t>
      </w:r>
      <w:r w:rsidR="007E4B1E" w:rsidRPr="0008265C">
        <w:rPr>
          <w:rFonts w:eastAsia="Times New Roman"/>
          <w:sz w:val="21"/>
          <w:szCs w:val="21"/>
        </w:rPr>
        <w:t>Acuerdo P/IFT/EXT/060314/76 la “</w:t>
      </w:r>
      <w:r w:rsidR="007C4BEB" w:rsidRPr="0008265C">
        <w:rPr>
          <w:rFonts w:eastAsia="Times New Roman"/>
          <w:i/>
          <w:sz w:val="21"/>
          <w:szCs w:val="21"/>
        </w:rPr>
        <w:t>RESOLUCIÓN MEDIANTE LA CUAL EL PLENO DEL INSTITUTO FEDERAL DE TELECOMUNICACIONES DETERMINA AL GRUPO DE INTERÉS ECONÓMICO DEL QUE FORMAN PARTE AMÉRICA MÓVIL, S.A.B. DE C. V., TELÉFONOS DE MEXICO, S.A.B. DE C. 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sidR="007E4B1E" w:rsidRPr="0008265C">
        <w:rPr>
          <w:rFonts w:eastAsia="Times New Roman"/>
          <w:sz w:val="21"/>
          <w:szCs w:val="21"/>
        </w:rPr>
        <w:t>.”</w:t>
      </w:r>
      <w:r w:rsidR="007C4BEB" w:rsidRPr="0008265C">
        <w:rPr>
          <w:rFonts w:eastAsia="Times New Roman"/>
          <w:sz w:val="21"/>
          <w:szCs w:val="21"/>
        </w:rPr>
        <w:t xml:space="preserve"> (</w:t>
      </w:r>
      <w:r w:rsidR="00FA7E07" w:rsidRPr="0008265C">
        <w:rPr>
          <w:rFonts w:eastAsia="Times New Roman"/>
          <w:sz w:val="21"/>
          <w:szCs w:val="21"/>
        </w:rPr>
        <w:t>en lo sucesivo, la “</w:t>
      </w:r>
      <w:r w:rsidR="007C4BEB" w:rsidRPr="0008265C">
        <w:rPr>
          <w:rFonts w:eastAsia="Times New Roman"/>
          <w:sz w:val="21"/>
          <w:szCs w:val="21"/>
        </w:rPr>
        <w:t>Resolución AEP</w:t>
      </w:r>
      <w:r w:rsidR="00FA7E07" w:rsidRPr="0008265C">
        <w:rPr>
          <w:rFonts w:eastAsia="Times New Roman"/>
          <w:sz w:val="21"/>
          <w:szCs w:val="21"/>
        </w:rPr>
        <w:t>”</w:t>
      </w:r>
      <w:r w:rsidR="007C4BEB" w:rsidRPr="0008265C">
        <w:rPr>
          <w:rFonts w:eastAsia="Times New Roman"/>
          <w:sz w:val="21"/>
          <w:szCs w:val="21"/>
        </w:rPr>
        <w:t>).</w:t>
      </w:r>
    </w:p>
    <w:p w14:paraId="05D95BD3" w14:textId="77777777" w:rsidR="007C4BEB" w:rsidRPr="0008265C" w:rsidRDefault="007C4BEB" w:rsidP="008A36BF">
      <w:pPr>
        <w:tabs>
          <w:tab w:val="left" w:pos="426"/>
        </w:tabs>
        <w:spacing w:after="0"/>
        <w:ind w:left="426" w:hanging="284"/>
        <w:contextualSpacing/>
        <w:rPr>
          <w:rFonts w:ascii="ITC Avant Garde" w:eastAsia="Times New Roman" w:hAnsi="ITC Avant Garde"/>
          <w:sz w:val="20"/>
          <w:szCs w:val="21"/>
        </w:rPr>
      </w:pPr>
    </w:p>
    <w:p w14:paraId="05D95BD4" w14:textId="77777777" w:rsidR="000B7962" w:rsidRPr="0008265C" w:rsidRDefault="008A36BF" w:rsidP="008A36BF">
      <w:pPr>
        <w:pStyle w:val="IFTnormal"/>
        <w:tabs>
          <w:tab w:val="left" w:pos="426"/>
        </w:tabs>
        <w:spacing w:after="0"/>
        <w:ind w:left="426" w:right="49" w:hanging="284"/>
        <w:rPr>
          <w:rFonts w:eastAsia="Times New Roman"/>
          <w:color w:val="auto"/>
          <w:sz w:val="21"/>
          <w:szCs w:val="21"/>
        </w:rPr>
      </w:pPr>
      <w:r w:rsidRPr="0008265C">
        <w:rPr>
          <w:rFonts w:eastAsia="Times New Roman"/>
          <w:color w:val="auto"/>
          <w:sz w:val="21"/>
          <w:szCs w:val="21"/>
        </w:rPr>
        <w:tab/>
      </w:r>
      <w:r w:rsidR="000B7962" w:rsidRPr="0008265C">
        <w:rPr>
          <w:rFonts w:eastAsia="Times New Roman"/>
          <w:color w:val="auto"/>
          <w:sz w:val="21"/>
          <w:szCs w:val="21"/>
        </w:rPr>
        <w:t xml:space="preserve">En la Resolución AEP el Pleno del Instituto emitió el </w:t>
      </w:r>
      <w:r w:rsidR="000B7962" w:rsidRPr="0008265C">
        <w:rPr>
          <w:bCs/>
          <w:color w:val="auto"/>
          <w:sz w:val="21"/>
          <w:szCs w:val="21"/>
        </w:rPr>
        <w:t xml:space="preserve">Anexo 1 denominado </w:t>
      </w:r>
      <w:r w:rsidR="000B7962" w:rsidRPr="0008265C">
        <w:rPr>
          <w:bCs/>
          <w:i/>
          <w:color w:val="auto"/>
          <w:sz w:val="21"/>
          <w:szCs w:val="21"/>
        </w:rPr>
        <w:t xml:space="preserve">“MEDIDAS RELACIONADAS CON INFORMACIÓN, OFERTA Y CALIDAD DE SERVICIOS, ACUERDOS EN EXCLUSIVA, LIMITACIONES AL USO DE EQUIPOS TERMINALES ENTRE REDES, REGULACIÓN </w:t>
      </w:r>
      <w:r w:rsidR="000B7962" w:rsidRPr="0008265C">
        <w:rPr>
          <w:bCs/>
          <w:i/>
          <w:color w:val="auto"/>
          <w:sz w:val="21"/>
          <w:szCs w:val="21"/>
        </w:rPr>
        <w:lastRenderedPageBreak/>
        <w:t xml:space="preserve">ASIMÉTRICA EN TARIFAS E INFRAESTRUCTURA DE RED, INCLUYENDO LA DESAGREGACIÓN DE SUS ELEMENTOS ESENCIALES Y, EN SU CASO, LA SEPARACIÓN CONTABLE, FUNCIONAL O ESTRUCTURAL AL AGENTE ECONÓMICO PREPONDERANTE, EN LOS SERVICIOS DE TELECOMUNICACIONES MÓVILES” </w:t>
      </w:r>
      <w:r w:rsidR="000B7962" w:rsidRPr="0008265C">
        <w:rPr>
          <w:bCs/>
          <w:color w:val="auto"/>
          <w:sz w:val="21"/>
          <w:szCs w:val="21"/>
        </w:rPr>
        <w:t>(en lo sucesivo, el “Anexo 1”)</w:t>
      </w:r>
      <w:r w:rsidR="000B7962" w:rsidRPr="0008265C">
        <w:rPr>
          <w:bCs/>
          <w:i/>
          <w:color w:val="auto"/>
          <w:sz w:val="21"/>
          <w:szCs w:val="21"/>
        </w:rPr>
        <w:t>.</w:t>
      </w:r>
    </w:p>
    <w:p w14:paraId="05D95BD5" w14:textId="77777777" w:rsidR="007C4BEB" w:rsidRPr="0008265C" w:rsidRDefault="007C4BEB" w:rsidP="00272FFE">
      <w:pPr>
        <w:widowControl w:val="0"/>
        <w:tabs>
          <w:tab w:val="left" w:pos="426"/>
        </w:tabs>
        <w:spacing w:after="0"/>
        <w:contextualSpacing/>
        <w:jc w:val="both"/>
        <w:rPr>
          <w:rFonts w:ascii="ITC Avant Garde" w:eastAsia="Times New Roman" w:hAnsi="ITC Avant Garde"/>
          <w:sz w:val="20"/>
          <w:szCs w:val="21"/>
        </w:rPr>
      </w:pPr>
    </w:p>
    <w:p w14:paraId="05D95BD6" w14:textId="77777777" w:rsidR="007C4BEB" w:rsidRPr="0008265C" w:rsidRDefault="002A3EEE" w:rsidP="008A36BF">
      <w:pPr>
        <w:pStyle w:val="IFTnormal"/>
        <w:numPr>
          <w:ilvl w:val="0"/>
          <w:numId w:val="8"/>
        </w:numPr>
        <w:tabs>
          <w:tab w:val="left" w:pos="426"/>
        </w:tabs>
        <w:spacing w:after="0"/>
        <w:ind w:left="426" w:right="49" w:hanging="142"/>
        <w:rPr>
          <w:rFonts w:eastAsia="Times New Roman"/>
          <w:sz w:val="21"/>
          <w:szCs w:val="21"/>
        </w:rPr>
      </w:pPr>
      <w:r w:rsidRPr="0008265C">
        <w:rPr>
          <w:b/>
          <w:color w:val="auto"/>
          <w:sz w:val="21"/>
          <w:szCs w:val="21"/>
        </w:rPr>
        <w:t xml:space="preserve">Ley Federal de Telecomunicaciones y Radiodifusión. </w:t>
      </w:r>
      <w:r w:rsidR="007C4BEB" w:rsidRPr="0008265C">
        <w:rPr>
          <w:rFonts w:eastAsia="Times New Roman"/>
          <w:sz w:val="21"/>
          <w:szCs w:val="21"/>
        </w:rPr>
        <w:t>El 14 de julio de 2014, se publicó en el DOF el “</w:t>
      </w:r>
      <w:r w:rsidR="007C4BEB" w:rsidRPr="0008265C">
        <w:rPr>
          <w:rFonts w:eastAsia="Times New Roman"/>
          <w:i/>
          <w:sz w:val="21"/>
          <w:szCs w:val="21"/>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007C4BEB" w:rsidRPr="0008265C">
        <w:rPr>
          <w:rFonts w:eastAsia="Times New Roman"/>
          <w:sz w:val="21"/>
          <w:szCs w:val="21"/>
        </w:rPr>
        <w:t>(</w:t>
      </w:r>
      <w:r w:rsidR="00FA7E07" w:rsidRPr="0008265C">
        <w:rPr>
          <w:rFonts w:eastAsia="Times New Roman"/>
          <w:sz w:val="21"/>
          <w:szCs w:val="21"/>
        </w:rPr>
        <w:t>en lo sucesivo, el “</w:t>
      </w:r>
      <w:r w:rsidR="007C4BEB" w:rsidRPr="0008265C">
        <w:rPr>
          <w:rFonts w:eastAsia="Times New Roman"/>
          <w:sz w:val="21"/>
          <w:szCs w:val="21"/>
        </w:rPr>
        <w:t>Decreto de Ley</w:t>
      </w:r>
      <w:r w:rsidR="00FA7E07" w:rsidRPr="0008265C">
        <w:rPr>
          <w:rFonts w:eastAsia="Times New Roman"/>
          <w:sz w:val="21"/>
          <w:szCs w:val="21"/>
        </w:rPr>
        <w:t>”</w:t>
      </w:r>
      <w:r w:rsidR="007C4BEB" w:rsidRPr="0008265C">
        <w:rPr>
          <w:rFonts w:eastAsia="Times New Roman"/>
          <w:sz w:val="21"/>
          <w:szCs w:val="21"/>
        </w:rPr>
        <w:t>), entrando en vigor la Ley Federal de Telecomunicaciones y Radiodifusión (</w:t>
      </w:r>
      <w:r w:rsidR="00FA7E07" w:rsidRPr="0008265C">
        <w:rPr>
          <w:rFonts w:eastAsia="Times New Roman"/>
          <w:sz w:val="21"/>
          <w:szCs w:val="21"/>
        </w:rPr>
        <w:t>en lo sucesivo, la “LFTR”</w:t>
      </w:r>
      <w:r w:rsidR="007C4BEB" w:rsidRPr="0008265C">
        <w:rPr>
          <w:rFonts w:eastAsia="Times New Roman"/>
          <w:sz w:val="21"/>
          <w:szCs w:val="21"/>
        </w:rPr>
        <w:t>) el 13 de agosto del 2014.</w:t>
      </w:r>
    </w:p>
    <w:p w14:paraId="05D95BD7" w14:textId="77777777" w:rsidR="007C4BEB" w:rsidRPr="0008265C" w:rsidRDefault="007C4BEB" w:rsidP="00272FFE">
      <w:pPr>
        <w:widowControl w:val="0"/>
        <w:tabs>
          <w:tab w:val="left" w:pos="426"/>
        </w:tabs>
        <w:spacing w:after="0"/>
        <w:ind w:left="1080"/>
        <w:contextualSpacing/>
        <w:jc w:val="both"/>
        <w:rPr>
          <w:rFonts w:ascii="ITC Avant Garde" w:eastAsia="Times New Roman" w:hAnsi="ITC Avant Garde"/>
          <w:sz w:val="20"/>
          <w:szCs w:val="21"/>
        </w:rPr>
      </w:pPr>
    </w:p>
    <w:p w14:paraId="05D95BD8" w14:textId="77777777" w:rsidR="007C4BEB" w:rsidRPr="0008265C" w:rsidRDefault="002A3EEE" w:rsidP="008A36BF">
      <w:pPr>
        <w:pStyle w:val="IFTnormal"/>
        <w:numPr>
          <w:ilvl w:val="0"/>
          <w:numId w:val="8"/>
        </w:numPr>
        <w:tabs>
          <w:tab w:val="left" w:pos="426"/>
        </w:tabs>
        <w:spacing w:after="0"/>
        <w:ind w:left="426" w:right="49" w:hanging="142"/>
        <w:rPr>
          <w:rFonts w:eastAsia="Times New Roman"/>
          <w:sz w:val="21"/>
          <w:szCs w:val="21"/>
        </w:rPr>
      </w:pPr>
      <w:r w:rsidRPr="0008265C">
        <w:rPr>
          <w:rFonts w:eastAsia="Times New Roman"/>
          <w:b/>
          <w:sz w:val="21"/>
          <w:szCs w:val="21"/>
        </w:rPr>
        <w:t xml:space="preserve">Estatuto Orgánico. </w:t>
      </w:r>
      <w:r w:rsidR="007C4BEB" w:rsidRPr="0008265C">
        <w:rPr>
          <w:rFonts w:eastAsia="Times New Roman"/>
          <w:sz w:val="21"/>
          <w:szCs w:val="21"/>
        </w:rPr>
        <w:t xml:space="preserve">El 4 de septiembre de 2014, se publicó en el DOF el “Estatuto Orgánico del Instituto Federal de Telecomunicaciones", </w:t>
      </w:r>
      <w:r w:rsidR="003E0D9F" w:rsidRPr="0008265C">
        <w:rPr>
          <w:sz w:val="21"/>
          <w:szCs w:val="21"/>
        </w:rPr>
        <w:t xml:space="preserve">mismo que entró en vigor el 26 de septiembre de 2014, </w:t>
      </w:r>
      <w:r w:rsidR="003E0D9F" w:rsidRPr="0008265C">
        <w:rPr>
          <w:sz w:val="21"/>
          <w:szCs w:val="21"/>
          <w:lang w:val="es-ES"/>
        </w:rPr>
        <w:t>cuya última modificación fue publicada en el DOF 20 de julio de 2017</w:t>
      </w:r>
      <w:r w:rsidR="00FA7E07" w:rsidRPr="0008265C">
        <w:rPr>
          <w:rFonts w:eastAsia="Times New Roman"/>
          <w:sz w:val="21"/>
          <w:szCs w:val="21"/>
        </w:rPr>
        <w:t xml:space="preserve"> </w:t>
      </w:r>
      <w:r w:rsidR="007C4BEB" w:rsidRPr="0008265C">
        <w:rPr>
          <w:rFonts w:eastAsia="Times New Roman"/>
          <w:sz w:val="21"/>
          <w:szCs w:val="21"/>
        </w:rPr>
        <w:t>(</w:t>
      </w:r>
      <w:r w:rsidR="00FA7E07" w:rsidRPr="0008265C">
        <w:rPr>
          <w:rFonts w:eastAsia="Times New Roman"/>
          <w:sz w:val="21"/>
          <w:szCs w:val="21"/>
        </w:rPr>
        <w:t>en lo sucesivo, el “</w:t>
      </w:r>
      <w:r w:rsidR="007C4BEB" w:rsidRPr="0008265C">
        <w:rPr>
          <w:rFonts w:eastAsia="Times New Roman"/>
          <w:sz w:val="21"/>
          <w:szCs w:val="21"/>
        </w:rPr>
        <w:t>Estatuto</w:t>
      </w:r>
      <w:r w:rsidR="00FC5EBD" w:rsidRPr="0008265C">
        <w:rPr>
          <w:rFonts w:eastAsia="Times New Roman"/>
          <w:sz w:val="21"/>
          <w:szCs w:val="21"/>
        </w:rPr>
        <w:t xml:space="preserve"> Orgánico</w:t>
      </w:r>
      <w:r w:rsidR="00FA7E07" w:rsidRPr="0008265C">
        <w:rPr>
          <w:rFonts w:eastAsia="Times New Roman"/>
          <w:sz w:val="21"/>
          <w:szCs w:val="21"/>
        </w:rPr>
        <w:t>”</w:t>
      </w:r>
      <w:r w:rsidR="007C4BEB" w:rsidRPr="0008265C">
        <w:rPr>
          <w:rFonts w:eastAsia="Times New Roman"/>
          <w:sz w:val="21"/>
          <w:szCs w:val="21"/>
        </w:rPr>
        <w:t>).</w:t>
      </w:r>
    </w:p>
    <w:p w14:paraId="05D95BD9" w14:textId="77777777" w:rsidR="000459BE" w:rsidRPr="0008265C" w:rsidRDefault="000459BE" w:rsidP="00272FFE">
      <w:pPr>
        <w:widowControl w:val="0"/>
        <w:tabs>
          <w:tab w:val="left" w:pos="426"/>
        </w:tabs>
        <w:spacing w:after="0"/>
        <w:ind w:left="1080"/>
        <w:contextualSpacing/>
        <w:jc w:val="both"/>
        <w:rPr>
          <w:rFonts w:ascii="ITC Avant Garde" w:eastAsia="Times New Roman" w:hAnsi="ITC Avant Garde"/>
          <w:sz w:val="20"/>
          <w:szCs w:val="21"/>
        </w:rPr>
      </w:pPr>
    </w:p>
    <w:p w14:paraId="05D95BDA" w14:textId="77777777" w:rsidR="000459BE" w:rsidRPr="0008265C" w:rsidRDefault="000459BE" w:rsidP="008A36BF">
      <w:pPr>
        <w:pStyle w:val="IFTnormal"/>
        <w:numPr>
          <w:ilvl w:val="0"/>
          <w:numId w:val="8"/>
        </w:numPr>
        <w:tabs>
          <w:tab w:val="left" w:pos="426"/>
        </w:tabs>
        <w:spacing w:after="0"/>
        <w:ind w:left="426" w:right="49" w:hanging="142"/>
        <w:rPr>
          <w:color w:val="auto"/>
          <w:sz w:val="21"/>
          <w:szCs w:val="21"/>
        </w:rPr>
      </w:pPr>
      <w:r w:rsidRPr="0008265C">
        <w:rPr>
          <w:b/>
          <w:color w:val="auto"/>
          <w:sz w:val="21"/>
          <w:szCs w:val="21"/>
        </w:rPr>
        <w:t>Resolución Bienal.</w:t>
      </w:r>
      <w:r w:rsidRPr="0008265C">
        <w:rPr>
          <w:color w:val="auto"/>
          <w:sz w:val="21"/>
          <w:szCs w:val="21"/>
        </w:rPr>
        <w:t xml:space="preserve"> El 27 de febrero de 2017, el Pleno del Instituto en su IV Sesión Extraordinaria, aprobó mediante Acuerdo P/IFT/EXT/270217/119 la “</w:t>
      </w:r>
      <w:r w:rsidRPr="0008265C">
        <w:rPr>
          <w:rFonts w:eastAsia="Times New Roman"/>
          <w:i/>
          <w:color w:val="auto"/>
          <w:sz w:val="21"/>
          <w:szCs w:val="21"/>
        </w:rPr>
        <w:t>Resolución mediante la cual el Pleno del Instituto Federal de Telecomunicaciones suprime, modifica y adiciona las medidas impuestas al Agente Económico Preponderante en el sector de telecomunicaciones mediante resolución de fecha 6 de marzo de 2014</w:t>
      </w:r>
      <w:r w:rsidRPr="0008265C">
        <w:rPr>
          <w:rFonts w:eastAsia="Times New Roman"/>
          <w:color w:val="auto"/>
          <w:sz w:val="21"/>
          <w:szCs w:val="21"/>
        </w:rPr>
        <w:t>” (en lo sucesivo, la “Resolución Bienal”)</w:t>
      </w:r>
      <w:r w:rsidRPr="0008265C">
        <w:rPr>
          <w:color w:val="auto"/>
          <w:sz w:val="21"/>
          <w:szCs w:val="21"/>
        </w:rPr>
        <w:t>.</w:t>
      </w:r>
    </w:p>
    <w:p w14:paraId="05D95BDB" w14:textId="77777777" w:rsidR="000459BE" w:rsidRPr="0008265C" w:rsidRDefault="000459BE" w:rsidP="00272FFE">
      <w:pPr>
        <w:pStyle w:val="IFTnormal"/>
        <w:tabs>
          <w:tab w:val="left" w:pos="426"/>
        </w:tabs>
        <w:spacing w:after="0"/>
        <w:ind w:right="49"/>
        <w:rPr>
          <w:color w:val="auto"/>
          <w:sz w:val="20"/>
          <w:szCs w:val="21"/>
        </w:rPr>
      </w:pPr>
    </w:p>
    <w:p w14:paraId="05D95BDC" w14:textId="77777777" w:rsidR="00FA7E07" w:rsidRPr="0008265C" w:rsidRDefault="007F411F" w:rsidP="008A36BF">
      <w:pPr>
        <w:tabs>
          <w:tab w:val="left" w:pos="426"/>
        </w:tabs>
        <w:spacing w:after="0"/>
        <w:ind w:left="426"/>
        <w:jc w:val="both"/>
        <w:rPr>
          <w:rFonts w:ascii="ITC Avant Garde" w:eastAsia="Times New Roman" w:hAnsi="ITC Avant Garde"/>
          <w:sz w:val="21"/>
          <w:szCs w:val="21"/>
        </w:rPr>
      </w:pPr>
      <w:r w:rsidRPr="0008265C">
        <w:rPr>
          <w:rFonts w:ascii="ITC Avant Garde" w:eastAsia="Times New Roman" w:hAnsi="ITC Avant Garde"/>
          <w:sz w:val="21"/>
          <w:szCs w:val="21"/>
        </w:rPr>
        <w:t>E</w:t>
      </w:r>
      <w:r w:rsidR="00FA7E07" w:rsidRPr="0008265C">
        <w:rPr>
          <w:rFonts w:ascii="ITC Avant Garde" w:eastAsia="Times New Roman" w:hAnsi="ITC Avant Garde"/>
          <w:sz w:val="21"/>
          <w:szCs w:val="21"/>
        </w:rPr>
        <w:t xml:space="preserve">n la Resolución Bienal el Pleno del Instituto emitió el </w:t>
      </w:r>
      <w:r w:rsidR="000B7962" w:rsidRPr="0008265C">
        <w:rPr>
          <w:rFonts w:ascii="ITC Avant Garde" w:eastAsia="Times New Roman" w:hAnsi="ITC Avant Garde"/>
          <w:sz w:val="21"/>
          <w:szCs w:val="21"/>
        </w:rPr>
        <w:t>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 AEP (en lo sucesivo, las “Medidas Móviles”).</w:t>
      </w:r>
    </w:p>
    <w:p w14:paraId="05D95BDE" w14:textId="77777777" w:rsidR="007C4BEB" w:rsidRPr="0008265C" w:rsidRDefault="007C4BEB" w:rsidP="007C4BEB">
      <w:pPr>
        <w:spacing w:after="0"/>
        <w:jc w:val="center"/>
        <w:rPr>
          <w:rFonts w:ascii="ITC Avant Garde" w:hAnsi="ITC Avant Garde" w:cs="Arial"/>
          <w:b/>
          <w:bCs/>
          <w:sz w:val="21"/>
          <w:szCs w:val="21"/>
        </w:rPr>
      </w:pPr>
      <w:r w:rsidRPr="0008265C">
        <w:rPr>
          <w:rFonts w:ascii="ITC Avant Garde" w:hAnsi="ITC Avant Garde" w:cs="Arial"/>
          <w:b/>
          <w:bCs/>
          <w:sz w:val="21"/>
          <w:szCs w:val="21"/>
        </w:rPr>
        <w:t>CONSIDERANDO</w:t>
      </w:r>
    </w:p>
    <w:p w14:paraId="05D95BDF" w14:textId="77777777" w:rsidR="007E7CAD" w:rsidRPr="0008265C" w:rsidRDefault="007E7CAD" w:rsidP="007C4BEB">
      <w:pPr>
        <w:spacing w:after="0"/>
        <w:jc w:val="both"/>
        <w:rPr>
          <w:rFonts w:ascii="ITC Avant Garde" w:hAnsi="ITC Avant Garde" w:cs="Arial"/>
          <w:b/>
          <w:bCs/>
          <w:sz w:val="20"/>
          <w:szCs w:val="21"/>
        </w:rPr>
      </w:pPr>
    </w:p>
    <w:p w14:paraId="05D95BE0" w14:textId="77777777" w:rsidR="007C4BEB" w:rsidRPr="0008265C" w:rsidRDefault="007C4BEB" w:rsidP="007C4BEB">
      <w:pPr>
        <w:spacing w:after="0"/>
        <w:jc w:val="both"/>
        <w:rPr>
          <w:rFonts w:ascii="ITC Avant Garde" w:hAnsi="ITC Avant Garde" w:cs="Arial"/>
          <w:bCs/>
          <w:sz w:val="21"/>
          <w:szCs w:val="21"/>
        </w:rPr>
      </w:pPr>
      <w:r w:rsidRPr="0008265C">
        <w:rPr>
          <w:rFonts w:ascii="ITC Avant Garde" w:hAnsi="ITC Avant Garde" w:cs="Arial"/>
          <w:b/>
          <w:bCs/>
          <w:sz w:val="21"/>
          <w:szCs w:val="21"/>
        </w:rPr>
        <w:t>PRIMERO.- Competencia del Instituto.</w:t>
      </w:r>
      <w:r w:rsidRPr="0008265C">
        <w:rPr>
          <w:rFonts w:ascii="ITC Avant Garde" w:hAnsi="ITC Avant Garde" w:cs="Arial"/>
          <w:bCs/>
          <w:sz w:val="21"/>
          <w:szCs w:val="21"/>
        </w:rPr>
        <w:t xml:space="preserve"> De conformidad con el artículo 28, párrafos décimo quinto y décimo sexto de la Co</w:t>
      </w:r>
      <w:r w:rsidR="00A86010" w:rsidRPr="0008265C">
        <w:rPr>
          <w:rFonts w:ascii="ITC Avant Garde" w:hAnsi="ITC Avant Garde" w:cs="Arial"/>
          <w:bCs/>
          <w:sz w:val="21"/>
          <w:szCs w:val="21"/>
        </w:rPr>
        <w:t xml:space="preserve">nstitución, el Instituto tiene </w:t>
      </w:r>
      <w:r w:rsidRPr="0008265C">
        <w:rPr>
          <w:rFonts w:ascii="ITC Avant Garde" w:hAnsi="ITC Avant Garde" w:cs="Arial"/>
          <w:bCs/>
          <w:sz w:val="21"/>
          <w:szCs w:val="21"/>
        </w:rPr>
        <w:t>a su cargo la regulación, promoción y supervisión del uso, aprovechamiento y explotación del espectro radioeléctrico, las redes y la prestación de los servicios de radiodifusión y telecomunic</w:t>
      </w:r>
      <w:r w:rsidR="00EF790E" w:rsidRPr="0008265C">
        <w:rPr>
          <w:rFonts w:ascii="ITC Avant Garde" w:hAnsi="ITC Avant Garde" w:cs="Arial"/>
          <w:bCs/>
          <w:sz w:val="21"/>
          <w:szCs w:val="21"/>
        </w:rPr>
        <w:t>aciones, así como del acceso a i</w:t>
      </w:r>
      <w:r w:rsidRPr="0008265C">
        <w:rPr>
          <w:rFonts w:ascii="ITC Avant Garde" w:hAnsi="ITC Avant Garde" w:cs="Arial"/>
          <w:bCs/>
          <w:sz w:val="21"/>
          <w:szCs w:val="21"/>
        </w:rPr>
        <w:t xml:space="preserve">nfraestructura activa, pasiva y otros insumos esenciales. Asimismo, es autoridad en materia de </w:t>
      </w:r>
      <w:r w:rsidRPr="0008265C">
        <w:rPr>
          <w:rFonts w:ascii="ITC Avant Garde" w:hAnsi="ITC Avant Garde" w:cs="Arial"/>
          <w:bCs/>
          <w:sz w:val="21"/>
          <w:szCs w:val="21"/>
        </w:rPr>
        <w:lastRenderedPageBreak/>
        <w:t>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05D95BE1" w14:textId="77777777" w:rsidR="007C4BEB" w:rsidRPr="0008265C" w:rsidRDefault="007C4BEB" w:rsidP="007C4BEB">
      <w:pPr>
        <w:widowControl w:val="0"/>
        <w:spacing w:after="0"/>
        <w:jc w:val="both"/>
        <w:rPr>
          <w:rFonts w:ascii="ITC Avant Garde" w:eastAsia="Times New Roman" w:hAnsi="ITC Avant Garde"/>
          <w:sz w:val="21"/>
          <w:szCs w:val="21"/>
        </w:rPr>
      </w:pPr>
    </w:p>
    <w:p w14:paraId="05D95BE2" w14:textId="77777777" w:rsidR="007C4BEB" w:rsidRPr="0008265C" w:rsidRDefault="007C4BEB" w:rsidP="007C4BEB">
      <w:pPr>
        <w:widowControl w:val="0"/>
        <w:spacing w:after="0"/>
        <w:jc w:val="both"/>
        <w:rPr>
          <w:rFonts w:ascii="ITC Avant Garde" w:eastAsia="Times New Roman" w:hAnsi="ITC Avant Garde"/>
          <w:sz w:val="21"/>
          <w:szCs w:val="21"/>
        </w:rPr>
      </w:pPr>
      <w:r w:rsidRPr="0008265C">
        <w:rPr>
          <w:rFonts w:ascii="ITC Avant Garde" w:eastAsia="Times New Roman" w:hAnsi="ITC Avant Garde"/>
          <w:sz w:val="21"/>
          <w:szCs w:val="21"/>
        </w:rPr>
        <w:t xml:space="preserve">De igual forma, la fracción IV del párrafo Vigésimo del artículo 28 de la Constitución, señala que el Instituto podrá emitir disposiciones administrativas de carácter general exclusivamente para el cumplimiento de su función regulatoria en el sector de su competencia. En ese sentido, el Pleno del Instituto, conforme a lo establecido por los artículos 15 fracción I de la Ley y 6º de su Estatuto Orgánico, tiene la atribución de expedir disposiciones administrativas de carácter general, planes técnicos fundamentales, lineamientos, </w:t>
      </w:r>
      <w:r w:rsidR="00CC3D6C" w:rsidRPr="0008265C">
        <w:rPr>
          <w:rFonts w:ascii="ITC Avant Garde" w:eastAsia="Times New Roman" w:hAnsi="ITC Avant Garde"/>
          <w:sz w:val="21"/>
          <w:szCs w:val="21"/>
        </w:rPr>
        <w:t>M</w:t>
      </w:r>
      <w:r w:rsidRPr="0008265C">
        <w:rPr>
          <w:rFonts w:ascii="ITC Avant Garde" w:eastAsia="Times New Roman" w:hAnsi="ITC Avant Garde"/>
          <w:sz w:val="21"/>
          <w:szCs w:val="21"/>
        </w:rPr>
        <w:t xml:space="preserve">odelos de </w:t>
      </w:r>
      <w:r w:rsidR="00CC3D6C" w:rsidRPr="0008265C">
        <w:rPr>
          <w:rFonts w:ascii="ITC Avant Garde" w:eastAsia="Times New Roman" w:hAnsi="ITC Avant Garde"/>
          <w:sz w:val="21"/>
          <w:szCs w:val="21"/>
        </w:rPr>
        <w:t>C</w:t>
      </w:r>
      <w:r w:rsidRPr="0008265C">
        <w:rPr>
          <w:rFonts w:ascii="ITC Avant Garde" w:eastAsia="Times New Roman" w:hAnsi="ITC Avant Garde"/>
          <w:sz w:val="21"/>
          <w:szCs w:val="21"/>
        </w:rPr>
        <w:t>ostos, procedimientos de evaluación de la conformidad, procedimientos de homologación y certificación y ordenamientos técnicos en materia de telecomunic</w:t>
      </w:r>
      <w:r w:rsidR="00EF790E" w:rsidRPr="0008265C">
        <w:rPr>
          <w:rFonts w:ascii="ITC Avant Garde" w:eastAsia="Times New Roman" w:hAnsi="ITC Avant Garde"/>
          <w:sz w:val="21"/>
          <w:szCs w:val="21"/>
        </w:rPr>
        <w:t>aciones y radiodifusión, así</w:t>
      </w:r>
      <w:r w:rsidRPr="0008265C">
        <w:rPr>
          <w:rFonts w:ascii="ITC Avant Garde" w:eastAsia="Times New Roman" w:hAnsi="ITC Avant Garde"/>
          <w:sz w:val="21"/>
          <w:szCs w:val="21"/>
        </w:rPr>
        <w:t xml:space="preserve"> como demás disposiciones para el cumplimiento de lo dispuesto en la Ley.</w:t>
      </w:r>
    </w:p>
    <w:p w14:paraId="05D95BE3" w14:textId="77777777" w:rsidR="007E7CAD" w:rsidRPr="0008265C" w:rsidRDefault="007E7CAD" w:rsidP="007C4BEB">
      <w:pPr>
        <w:widowControl w:val="0"/>
        <w:spacing w:after="0"/>
        <w:jc w:val="both"/>
        <w:rPr>
          <w:rFonts w:ascii="ITC Avant Garde" w:eastAsia="Times New Roman" w:hAnsi="ITC Avant Garde"/>
          <w:sz w:val="21"/>
          <w:szCs w:val="21"/>
        </w:rPr>
      </w:pPr>
    </w:p>
    <w:p w14:paraId="05D95BE4" w14:textId="77777777" w:rsidR="007C4BEB" w:rsidRPr="0008265C" w:rsidRDefault="007C4BEB" w:rsidP="007C4BEB">
      <w:pPr>
        <w:spacing w:after="0"/>
        <w:jc w:val="both"/>
        <w:rPr>
          <w:rFonts w:ascii="ITC Avant Garde" w:hAnsi="ITC Avant Garde" w:cs="Arial"/>
          <w:bCs/>
          <w:sz w:val="21"/>
          <w:szCs w:val="21"/>
        </w:rPr>
      </w:pPr>
      <w:r w:rsidRPr="0008265C">
        <w:rPr>
          <w:rFonts w:ascii="ITC Avant Garde" w:hAnsi="ITC Avant Garde" w:cs="Arial"/>
          <w:bCs/>
          <w:sz w:val="21"/>
          <w:szCs w:val="21"/>
        </w:rPr>
        <w:t>Por otra parte, en cumplimiento a lo establecido en el artículo Octavo transitorio, fracción III del Decreto y mediante la Resolución AEP, el Instituto determinó la existencia de Agentes Económicos Preponderantes (en lo sucesivo, “AEP”) en los sectores de radiodifusión y de telecomunicaciones, e impuso las medidas necesarias para evitar que se afecte la competencia y la libre concurrencia y, con ello, a los usuarios finales. Dichas medid</w:t>
      </w:r>
      <w:r w:rsidR="00357EB1" w:rsidRPr="0008265C">
        <w:rPr>
          <w:rFonts w:ascii="ITC Avant Garde" w:hAnsi="ITC Avant Garde" w:cs="Arial"/>
          <w:bCs/>
          <w:sz w:val="21"/>
          <w:szCs w:val="21"/>
        </w:rPr>
        <w:t>as incluyen las</w:t>
      </w:r>
      <w:r w:rsidRPr="0008265C">
        <w:rPr>
          <w:rFonts w:ascii="ITC Avant Garde" w:hAnsi="ITC Avant Garde" w:cs="Arial"/>
          <w:bCs/>
          <w:sz w:val="21"/>
          <w:szCs w:val="21"/>
        </w:rPr>
        <w:t xml:space="preserve"> Medidas Fijas, mismas que están relacionadas con información, oferta y calidad de servicios, acuerdos en exclusiva, limitaciones al uso de equipos terminales entre redes, regulación asimétrica en tar</w:t>
      </w:r>
      <w:r w:rsidR="00357EB1" w:rsidRPr="0008265C">
        <w:rPr>
          <w:rFonts w:ascii="ITC Avant Garde" w:hAnsi="ITC Avant Garde" w:cs="Arial"/>
          <w:bCs/>
          <w:sz w:val="21"/>
          <w:szCs w:val="21"/>
        </w:rPr>
        <w:t xml:space="preserve">ifas e infraestructuras de red </w:t>
      </w:r>
      <w:r w:rsidRPr="0008265C">
        <w:rPr>
          <w:rFonts w:ascii="ITC Avant Garde" w:hAnsi="ITC Avant Garde" w:cs="Arial"/>
          <w:bCs/>
          <w:sz w:val="21"/>
          <w:szCs w:val="21"/>
        </w:rPr>
        <w:t>y, en su caso, la separación contable, funcional o estructural de dichos agentes.</w:t>
      </w:r>
    </w:p>
    <w:p w14:paraId="05D95BE5" w14:textId="77777777" w:rsidR="000277EE" w:rsidRPr="0008265C" w:rsidRDefault="000277EE" w:rsidP="007C4BEB">
      <w:pPr>
        <w:spacing w:after="0"/>
        <w:jc w:val="both"/>
        <w:rPr>
          <w:rFonts w:ascii="ITC Avant Garde" w:hAnsi="ITC Avant Garde" w:cs="Arial"/>
          <w:bCs/>
          <w:sz w:val="20"/>
          <w:szCs w:val="21"/>
        </w:rPr>
      </w:pPr>
    </w:p>
    <w:p w14:paraId="05D95BE6" w14:textId="77777777" w:rsidR="007C4BEB" w:rsidRPr="0008265C" w:rsidRDefault="007C4BEB" w:rsidP="007C4BEB">
      <w:pPr>
        <w:spacing w:after="0"/>
        <w:jc w:val="both"/>
        <w:rPr>
          <w:rFonts w:ascii="ITC Avant Garde" w:hAnsi="ITC Avant Garde" w:cs="Arial"/>
          <w:bCs/>
          <w:sz w:val="21"/>
          <w:szCs w:val="21"/>
        </w:rPr>
      </w:pPr>
      <w:r w:rsidRPr="0008265C">
        <w:rPr>
          <w:rFonts w:ascii="ITC Avant Garde" w:hAnsi="ITC Avant Garde" w:cs="Arial"/>
          <w:bCs/>
          <w:sz w:val="21"/>
          <w:szCs w:val="21"/>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05D95BE7" w14:textId="77777777" w:rsidR="00AE47FD" w:rsidRPr="0008265C" w:rsidRDefault="00AE47FD" w:rsidP="007C4BEB">
      <w:pPr>
        <w:spacing w:after="0"/>
        <w:jc w:val="both"/>
        <w:rPr>
          <w:rFonts w:ascii="ITC Avant Garde" w:hAnsi="ITC Avant Garde" w:cs="Arial"/>
          <w:bCs/>
          <w:sz w:val="20"/>
          <w:szCs w:val="21"/>
        </w:rPr>
      </w:pPr>
    </w:p>
    <w:p w14:paraId="05D95BE8" w14:textId="77777777" w:rsidR="004D2F6D" w:rsidRPr="0008265C" w:rsidRDefault="00AB7EEE" w:rsidP="00C471D2">
      <w:pPr>
        <w:spacing w:after="0"/>
        <w:jc w:val="both"/>
        <w:rPr>
          <w:rFonts w:ascii="ITC Avant Garde" w:hAnsi="ITC Avant Garde" w:cs="Arial"/>
          <w:bCs/>
          <w:sz w:val="21"/>
          <w:szCs w:val="21"/>
        </w:rPr>
      </w:pPr>
      <w:r w:rsidRPr="0008265C">
        <w:rPr>
          <w:rFonts w:ascii="ITC Avant Garde" w:hAnsi="ITC Avant Garde" w:cs="Arial"/>
          <w:b/>
          <w:bCs/>
          <w:sz w:val="21"/>
          <w:szCs w:val="21"/>
        </w:rPr>
        <w:t>SEGUNDO</w:t>
      </w:r>
      <w:r w:rsidRPr="0008265C">
        <w:rPr>
          <w:rFonts w:ascii="ITC Avant Garde" w:hAnsi="ITC Avant Garde" w:cs="Arial"/>
          <w:bCs/>
          <w:sz w:val="21"/>
          <w:szCs w:val="21"/>
        </w:rPr>
        <w:t xml:space="preserve">.- </w:t>
      </w:r>
      <w:r w:rsidR="00EC46C4" w:rsidRPr="0008265C">
        <w:rPr>
          <w:rFonts w:ascii="ITC Avant Garde" w:hAnsi="ITC Avant Garde" w:cs="Arial"/>
          <w:b/>
          <w:bCs/>
          <w:sz w:val="21"/>
          <w:szCs w:val="21"/>
        </w:rPr>
        <w:t>Determinación de las tarifas</w:t>
      </w:r>
      <w:r w:rsidR="00EC46C4" w:rsidRPr="0008265C">
        <w:rPr>
          <w:rFonts w:ascii="ITC Avant Garde" w:hAnsi="ITC Avant Garde" w:cs="Arial"/>
          <w:bCs/>
          <w:sz w:val="21"/>
          <w:szCs w:val="21"/>
        </w:rPr>
        <w:t xml:space="preserve"> </w:t>
      </w:r>
      <w:r w:rsidR="00B263FA" w:rsidRPr="0008265C">
        <w:rPr>
          <w:rFonts w:ascii="ITC Avant Garde" w:hAnsi="ITC Avant Garde" w:cs="Arial"/>
          <w:b/>
          <w:bCs/>
          <w:sz w:val="21"/>
          <w:szCs w:val="21"/>
        </w:rPr>
        <w:t>con base en un Modelo de Costos</w:t>
      </w:r>
      <w:r w:rsidR="003A2A92" w:rsidRPr="0008265C">
        <w:rPr>
          <w:rFonts w:ascii="ITC Avant Garde" w:hAnsi="ITC Avant Garde" w:cs="Arial"/>
          <w:b/>
          <w:bCs/>
          <w:sz w:val="21"/>
          <w:szCs w:val="21"/>
        </w:rPr>
        <w:t>.</w:t>
      </w:r>
      <w:r w:rsidR="00B263FA" w:rsidRPr="0008265C">
        <w:rPr>
          <w:rFonts w:ascii="ITC Avant Garde" w:hAnsi="ITC Avant Garde" w:cs="Arial"/>
          <w:b/>
          <w:bCs/>
          <w:sz w:val="21"/>
          <w:szCs w:val="21"/>
        </w:rPr>
        <w:t xml:space="preserve"> </w:t>
      </w:r>
      <w:r w:rsidR="00357EB1" w:rsidRPr="0008265C">
        <w:rPr>
          <w:rFonts w:ascii="ITC Avant Garde" w:hAnsi="ITC Avant Garde" w:cs="Arial"/>
          <w:bCs/>
          <w:sz w:val="21"/>
          <w:szCs w:val="21"/>
        </w:rPr>
        <w:t>En la Resolución de AEP,</w:t>
      </w:r>
      <w:r w:rsidR="00656509" w:rsidRPr="0008265C">
        <w:rPr>
          <w:rFonts w:ascii="ITC Avant Garde" w:hAnsi="ITC Avant Garde" w:cs="Arial"/>
          <w:bCs/>
          <w:sz w:val="21"/>
          <w:szCs w:val="21"/>
        </w:rPr>
        <w:t xml:space="preserve"> </w:t>
      </w:r>
      <w:r w:rsidR="00357EB1" w:rsidRPr="0008265C">
        <w:rPr>
          <w:rFonts w:ascii="ITC Avant Garde" w:hAnsi="ITC Avant Garde" w:cs="Arial"/>
          <w:bCs/>
          <w:sz w:val="21"/>
          <w:szCs w:val="21"/>
        </w:rPr>
        <w:t xml:space="preserve">en las Medidas </w:t>
      </w:r>
      <w:r w:rsidR="000B7962" w:rsidRPr="0008265C">
        <w:rPr>
          <w:rFonts w:ascii="ITC Avant Garde" w:hAnsi="ITC Avant Garde" w:cs="Arial"/>
          <w:bCs/>
          <w:sz w:val="21"/>
          <w:szCs w:val="21"/>
        </w:rPr>
        <w:t>Móviles</w:t>
      </w:r>
      <w:r w:rsidR="006831D0" w:rsidRPr="0008265C">
        <w:rPr>
          <w:rFonts w:ascii="ITC Avant Garde" w:hAnsi="ITC Avant Garde" w:cs="Arial"/>
          <w:bCs/>
          <w:sz w:val="21"/>
          <w:szCs w:val="21"/>
        </w:rPr>
        <w:t xml:space="preserve"> se </w:t>
      </w:r>
      <w:r w:rsidR="004D2F6D" w:rsidRPr="0008265C">
        <w:rPr>
          <w:rFonts w:ascii="ITC Avant Garde" w:hAnsi="ITC Avant Garde" w:cs="Arial"/>
          <w:bCs/>
          <w:sz w:val="21"/>
          <w:szCs w:val="21"/>
        </w:rPr>
        <w:t>determin</w:t>
      </w:r>
      <w:r w:rsidR="008D44BB" w:rsidRPr="0008265C">
        <w:rPr>
          <w:rFonts w:ascii="ITC Avant Garde" w:hAnsi="ITC Avant Garde" w:cs="Arial"/>
          <w:bCs/>
          <w:sz w:val="21"/>
          <w:szCs w:val="21"/>
        </w:rPr>
        <w:t>ó la prestación de</w:t>
      </w:r>
      <w:r w:rsidR="004D2F6D" w:rsidRPr="0008265C">
        <w:rPr>
          <w:rFonts w:ascii="ITC Avant Garde" w:hAnsi="ITC Avant Garde" w:cs="Arial"/>
          <w:bCs/>
          <w:sz w:val="21"/>
          <w:szCs w:val="21"/>
        </w:rPr>
        <w:t xml:space="preserve"> distintos servicios de telecomunicaciones </w:t>
      </w:r>
      <w:r w:rsidR="001236DF" w:rsidRPr="0008265C">
        <w:rPr>
          <w:rFonts w:ascii="ITC Avant Garde" w:hAnsi="ITC Avant Garde" w:cs="Arial"/>
          <w:bCs/>
          <w:sz w:val="21"/>
          <w:szCs w:val="21"/>
        </w:rPr>
        <w:t xml:space="preserve">por parte del AEP </w:t>
      </w:r>
      <w:r w:rsidR="008D44BB" w:rsidRPr="0008265C">
        <w:rPr>
          <w:rFonts w:ascii="ITC Avant Garde" w:hAnsi="ITC Avant Garde" w:cs="Arial"/>
          <w:bCs/>
          <w:sz w:val="21"/>
          <w:szCs w:val="21"/>
        </w:rPr>
        <w:t>entre ellos,</w:t>
      </w:r>
      <w:r w:rsidR="00656509" w:rsidRPr="0008265C">
        <w:rPr>
          <w:rFonts w:ascii="ITC Avant Garde" w:hAnsi="ITC Avant Garde" w:cs="Arial"/>
          <w:bCs/>
          <w:sz w:val="21"/>
          <w:szCs w:val="21"/>
        </w:rPr>
        <w:t xml:space="preserve"> el</w:t>
      </w:r>
      <w:r w:rsidR="00DA6AAE" w:rsidRPr="0008265C">
        <w:rPr>
          <w:rFonts w:ascii="ITC Avant Garde" w:hAnsi="ITC Avant Garde" w:cs="Arial"/>
          <w:bCs/>
          <w:sz w:val="21"/>
          <w:szCs w:val="21"/>
        </w:rPr>
        <w:t xml:space="preserve"> servicio </w:t>
      </w:r>
      <w:r w:rsidR="000B7962" w:rsidRPr="0008265C">
        <w:rPr>
          <w:rFonts w:ascii="ITC Avant Garde" w:hAnsi="ITC Avant Garde" w:cs="Arial"/>
          <w:bCs/>
          <w:sz w:val="21"/>
          <w:szCs w:val="21"/>
        </w:rPr>
        <w:t>mayorista para la comercialización o reventa de servicios y el servicio mayorista de usuario visitante.</w:t>
      </w:r>
    </w:p>
    <w:p w14:paraId="05D95BE9" w14:textId="77777777" w:rsidR="004D2F6D" w:rsidRPr="0008265C" w:rsidRDefault="004D2F6D" w:rsidP="005D6344">
      <w:pPr>
        <w:spacing w:after="0"/>
        <w:jc w:val="both"/>
        <w:rPr>
          <w:rFonts w:ascii="ITC Avant Garde" w:hAnsi="ITC Avant Garde" w:cs="Arial"/>
          <w:bCs/>
          <w:sz w:val="21"/>
          <w:szCs w:val="21"/>
        </w:rPr>
      </w:pPr>
    </w:p>
    <w:p w14:paraId="05D95BEA" w14:textId="77777777" w:rsidR="0097236A" w:rsidRPr="0008265C" w:rsidRDefault="0097236A" w:rsidP="0097236A">
      <w:pPr>
        <w:spacing w:after="0"/>
        <w:jc w:val="both"/>
        <w:rPr>
          <w:rFonts w:ascii="ITC Avant Garde" w:hAnsi="ITC Avant Garde"/>
          <w:color w:val="000000"/>
          <w:sz w:val="21"/>
          <w:szCs w:val="21"/>
        </w:rPr>
      </w:pPr>
      <w:r w:rsidRPr="0008265C">
        <w:rPr>
          <w:rFonts w:ascii="ITC Avant Garde" w:hAnsi="ITC Avant Garde"/>
          <w:color w:val="000000"/>
          <w:sz w:val="21"/>
          <w:szCs w:val="21"/>
        </w:rPr>
        <w:t xml:space="preserve">Ahora bien, la supervisión del órgano regulador tiene el propósito de que </w:t>
      </w:r>
      <w:r w:rsidR="001236DF" w:rsidRPr="0008265C">
        <w:rPr>
          <w:rFonts w:ascii="ITC Avant Garde" w:hAnsi="ITC Avant Garde"/>
          <w:color w:val="000000"/>
          <w:sz w:val="21"/>
          <w:szCs w:val="21"/>
        </w:rPr>
        <w:t xml:space="preserve">los </w:t>
      </w:r>
      <w:r w:rsidRPr="0008265C">
        <w:rPr>
          <w:rFonts w:ascii="ITC Avant Garde" w:hAnsi="ITC Avant Garde"/>
          <w:color w:val="000000"/>
          <w:sz w:val="21"/>
          <w:szCs w:val="21"/>
        </w:rPr>
        <w:t>servicios mayoristas</w:t>
      </w:r>
      <w:r w:rsidR="00E37D33" w:rsidRPr="0008265C">
        <w:rPr>
          <w:rFonts w:ascii="ITC Avant Garde" w:hAnsi="ITC Avant Garde"/>
          <w:color w:val="000000"/>
          <w:sz w:val="21"/>
          <w:szCs w:val="21"/>
        </w:rPr>
        <w:t xml:space="preserve"> se presten de manera eficiente, promoviendo la competencia y el desarrollo de la industria</w:t>
      </w:r>
      <w:r w:rsidRPr="0008265C">
        <w:rPr>
          <w:rFonts w:ascii="ITC Avant Garde" w:hAnsi="ITC Avant Garde"/>
          <w:bCs/>
          <w:color w:val="000000"/>
          <w:sz w:val="21"/>
          <w:szCs w:val="21"/>
        </w:rPr>
        <w:t xml:space="preserve">. </w:t>
      </w:r>
    </w:p>
    <w:p w14:paraId="05D95BEB" w14:textId="77777777" w:rsidR="002774BB" w:rsidRPr="0008265C" w:rsidRDefault="002774BB" w:rsidP="002774BB">
      <w:pPr>
        <w:spacing w:after="0"/>
        <w:jc w:val="both"/>
        <w:rPr>
          <w:rFonts w:ascii="ITC Avant Garde" w:hAnsi="ITC Avant Garde" w:cs="Arial"/>
          <w:bCs/>
          <w:sz w:val="21"/>
          <w:szCs w:val="21"/>
        </w:rPr>
      </w:pPr>
    </w:p>
    <w:p w14:paraId="05D95BEC" w14:textId="77777777" w:rsidR="00E762D1" w:rsidRPr="0008265C" w:rsidRDefault="00E762D1" w:rsidP="00E762D1">
      <w:pPr>
        <w:spacing w:after="0"/>
        <w:jc w:val="both"/>
        <w:rPr>
          <w:rFonts w:ascii="ITC Avant Garde" w:hAnsi="ITC Avant Garde" w:cs="Arial"/>
          <w:bCs/>
          <w:sz w:val="21"/>
          <w:szCs w:val="21"/>
        </w:rPr>
      </w:pPr>
      <w:r w:rsidRPr="0008265C">
        <w:rPr>
          <w:rFonts w:ascii="ITC Avant Garde" w:hAnsi="ITC Avant Garde" w:cs="Arial"/>
          <w:bCs/>
          <w:sz w:val="21"/>
          <w:szCs w:val="21"/>
        </w:rPr>
        <w:lastRenderedPageBreak/>
        <w:t>En ese sentido, con la finalidad de alcanzar los objetivos que establece la Ley</w:t>
      </w:r>
      <w:r w:rsidR="00242F1C" w:rsidRPr="0008265C">
        <w:rPr>
          <w:rFonts w:ascii="ITC Avant Garde" w:hAnsi="ITC Avant Garde" w:cs="Arial"/>
          <w:bCs/>
          <w:sz w:val="21"/>
          <w:szCs w:val="21"/>
        </w:rPr>
        <w:t>,</w:t>
      </w:r>
      <w:r w:rsidRPr="0008265C">
        <w:rPr>
          <w:rFonts w:ascii="ITC Avant Garde" w:hAnsi="ITC Avant Garde" w:cs="Arial"/>
          <w:bCs/>
          <w:sz w:val="21"/>
          <w:szCs w:val="21"/>
        </w:rPr>
        <w:t xml:space="preserve"> el Instituto cuenta con la atribución de establecer Modelos de Costos para determinar las tarifas aplicables para cada caso concreto</w:t>
      </w:r>
      <w:r w:rsidR="00AE7A56" w:rsidRPr="0008265C">
        <w:rPr>
          <w:rFonts w:ascii="ITC Avant Garde" w:hAnsi="ITC Avant Garde" w:cs="Arial"/>
          <w:bCs/>
          <w:sz w:val="21"/>
          <w:szCs w:val="21"/>
        </w:rPr>
        <w:t>;</w:t>
      </w:r>
      <w:r w:rsidR="00F06A6B" w:rsidRPr="0008265C">
        <w:rPr>
          <w:rFonts w:ascii="ITC Avant Garde" w:hAnsi="ITC Avant Garde" w:cs="Arial"/>
          <w:bCs/>
          <w:sz w:val="21"/>
          <w:szCs w:val="21"/>
        </w:rPr>
        <w:t xml:space="preserve"> </w:t>
      </w:r>
      <w:r w:rsidR="00AE7A56" w:rsidRPr="0008265C">
        <w:rPr>
          <w:rFonts w:ascii="ITC Avant Garde" w:hAnsi="ITC Avant Garde" w:cs="Arial"/>
          <w:bCs/>
          <w:sz w:val="21"/>
          <w:szCs w:val="21"/>
        </w:rPr>
        <w:t xml:space="preserve">tratándose del servicio mayorista </w:t>
      </w:r>
      <w:r w:rsidR="000B7962" w:rsidRPr="0008265C">
        <w:rPr>
          <w:rFonts w:ascii="ITC Avant Garde" w:hAnsi="ITC Avant Garde" w:cs="Arial"/>
          <w:bCs/>
          <w:sz w:val="21"/>
          <w:szCs w:val="21"/>
        </w:rPr>
        <w:t xml:space="preserve">para la comercialización o reventa de servicios y </w:t>
      </w:r>
      <w:r w:rsidR="008B2920" w:rsidRPr="0008265C">
        <w:rPr>
          <w:rFonts w:ascii="ITC Avant Garde" w:hAnsi="ITC Avant Garde" w:cs="Arial"/>
          <w:bCs/>
          <w:sz w:val="21"/>
          <w:szCs w:val="21"/>
        </w:rPr>
        <w:t xml:space="preserve">del servicio mayorista de </w:t>
      </w:r>
      <w:r w:rsidR="000B7962" w:rsidRPr="0008265C">
        <w:rPr>
          <w:rFonts w:ascii="ITC Avant Garde" w:hAnsi="ITC Avant Garde" w:cs="Arial"/>
          <w:bCs/>
          <w:sz w:val="21"/>
          <w:szCs w:val="21"/>
        </w:rPr>
        <w:t>usuario visitante</w:t>
      </w:r>
      <w:r w:rsidR="008B2920" w:rsidRPr="0008265C">
        <w:rPr>
          <w:rFonts w:ascii="ITC Avant Garde" w:hAnsi="ITC Avant Garde" w:cs="Arial"/>
          <w:bCs/>
          <w:sz w:val="21"/>
          <w:szCs w:val="21"/>
        </w:rPr>
        <w:t>,</w:t>
      </w:r>
      <w:r w:rsidR="00AE7A56" w:rsidRPr="0008265C">
        <w:rPr>
          <w:rFonts w:ascii="ITC Avant Garde" w:hAnsi="ITC Avant Garde" w:cs="Arial"/>
          <w:bCs/>
          <w:sz w:val="21"/>
          <w:szCs w:val="21"/>
        </w:rPr>
        <w:t xml:space="preserve"> se aplicarán para efectos de la autorización de la</w:t>
      </w:r>
      <w:r w:rsidR="000B7962" w:rsidRPr="0008265C">
        <w:rPr>
          <w:rFonts w:ascii="ITC Avant Garde" w:hAnsi="ITC Avant Garde" w:cs="Arial"/>
          <w:bCs/>
          <w:sz w:val="21"/>
          <w:szCs w:val="21"/>
        </w:rPr>
        <w:t>s</w:t>
      </w:r>
      <w:r w:rsidR="00AE7A56" w:rsidRPr="0008265C">
        <w:rPr>
          <w:rFonts w:ascii="ITC Avant Garde" w:hAnsi="ITC Avant Garde" w:cs="Arial"/>
          <w:bCs/>
          <w:sz w:val="21"/>
          <w:szCs w:val="21"/>
        </w:rPr>
        <w:t xml:space="preserve"> Oferta</w:t>
      </w:r>
      <w:r w:rsidR="000B7962" w:rsidRPr="0008265C">
        <w:rPr>
          <w:rFonts w:ascii="ITC Avant Garde" w:hAnsi="ITC Avant Garde" w:cs="Arial"/>
          <w:bCs/>
          <w:sz w:val="21"/>
          <w:szCs w:val="21"/>
        </w:rPr>
        <w:t>s</w:t>
      </w:r>
      <w:r w:rsidR="00AE7A56" w:rsidRPr="0008265C">
        <w:rPr>
          <w:rFonts w:ascii="ITC Avant Garde" w:hAnsi="ITC Avant Garde" w:cs="Arial"/>
          <w:bCs/>
          <w:sz w:val="21"/>
          <w:szCs w:val="21"/>
        </w:rPr>
        <w:t xml:space="preserve"> de Referencia respectiva</w:t>
      </w:r>
      <w:r w:rsidR="000B7962" w:rsidRPr="0008265C">
        <w:rPr>
          <w:rFonts w:ascii="ITC Avant Garde" w:hAnsi="ITC Avant Garde" w:cs="Arial"/>
          <w:bCs/>
          <w:sz w:val="21"/>
          <w:szCs w:val="21"/>
        </w:rPr>
        <w:t>s</w:t>
      </w:r>
      <w:r w:rsidRPr="0008265C">
        <w:rPr>
          <w:rFonts w:ascii="ITC Avant Garde" w:hAnsi="ITC Avant Garde" w:cs="Arial"/>
          <w:bCs/>
          <w:sz w:val="21"/>
          <w:szCs w:val="21"/>
        </w:rPr>
        <w:t>. Razón por la cual, los Modelos de Costos constituyen una herramienta que permitirá a la autoridad ejercer de mejor manera la atribución de resolver lo que corresponda en los casos concretos.</w:t>
      </w:r>
    </w:p>
    <w:p w14:paraId="05D95BED" w14:textId="77777777" w:rsidR="00EF1AFF" w:rsidRPr="0008265C" w:rsidRDefault="00EF1AFF" w:rsidP="00E762D1">
      <w:pPr>
        <w:spacing w:after="0"/>
        <w:jc w:val="both"/>
        <w:rPr>
          <w:rFonts w:ascii="ITC Avant Garde" w:hAnsi="ITC Avant Garde" w:cs="Arial"/>
          <w:bCs/>
          <w:sz w:val="21"/>
          <w:szCs w:val="21"/>
        </w:rPr>
      </w:pPr>
    </w:p>
    <w:p w14:paraId="05D95BEE" w14:textId="706D2D10" w:rsidR="00301729" w:rsidRPr="0008265C" w:rsidRDefault="00E762D1" w:rsidP="00F06A6B">
      <w:pPr>
        <w:spacing w:after="0"/>
        <w:jc w:val="both"/>
        <w:rPr>
          <w:rFonts w:ascii="ITC Avant Garde" w:hAnsi="ITC Avant Garde" w:cs="Arial"/>
          <w:bCs/>
          <w:sz w:val="21"/>
          <w:szCs w:val="21"/>
        </w:rPr>
      </w:pPr>
      <w:r w:rsidRPr="0008265C">
        <w:rPr>
          <w:rFonts w:ascii="ITC Avant Garde" w:hAnsi="ITC Avant Garde" w:cs="Arial"/>
          <w:bCs/>
          <w:sz w:val="21"/>
          <w:szCs w:val="21"/>
        </w:rPr>
        <w:t>Ahora bien</w:t>
      </w:r>
      <w:r w:rsidR="003B7C45" w:rsidRPr="0008265C">
        <w:rPr>
          <w:rFonts w:ascii="ITC Avant Garde" w:hAnsi="ITC Avant Garde" w:cs="Arial"/>
          <w:bCs/>
          <w:sz w:val="21"/>
          <w:szCs w:val="21"/>
        </w:rPr>
        <w:t xml:space="preserve">, la Medida </w:t>
      </w:r>
      <w:r w:rsidR="004F008C" w:rsidRPr="0008265C">
        <w:rPr>
          <w:rFonts w:ascii="ITC Avant Garde" w:hAnsi="ITC Avant Garde" w:cs="Arial"/>
          <w:bCs/>
          <w:sz w:val="21"/>
          <w:szCs w:val="21"/>
        </w:rPr>
        <w:t xml:space="preserve">Sexagésima </w:t>
      </w:r>
      <w:r w:rsidR="008C0141" w:rsidRPr="0008265C">
        <w:rPr>
          <w:rFonts w:ascii="ITC Avant Garde" w:hAnsi="ITC Avant Garde" w:cs="Arial"/>
          <w:bCs/>
          <w:sz w:val="21"/>
          <w:szCs w:val="21"/>
        </w:rPr>
        <w:t xml:space="preserve">de las Medidas </w:t>
      </w:r>
      <w:r w:rsidR="004F008C" w:rsidRPr="0008265C">
        <w:rPr>
          <w:rFonts w:ascii="ITC Avant Garde" w:hAnsi="ITC Avant Garde" w:cs="Arial"/>
          <w:bCs/>
          <w:sz w:val="21"/>
          <w:szCs w:val="21"/>
        </w:rPr>
        <w:t>Móviles</w:t>
      </w:r>
      <w:r w:rsidR="008C0141" w:rsidRPr="0008265C">
        <w:rPr>
          <w:rFonts w:ascii="ITC Avant Garde" w:hAnsi="ITC Avant Garde" w:cs="Arial"/>
          <w:bCs/>
          <w:sz w:val="21"/>
          <w:szCs w:val="21"/>
        </w:rPr>
        <w:t xml:space="preserve"> </w:t>
      </w:r>
      <w:r w:rsidR="003B7C45" w:rsidRPr="0008265C">
        <w:rPr>
          <w:rFonts w:ascii="ITC Avant Garde" w:hAnsi="ITC Avant Garde" w:cs="Arial"/>
          <w:bCs/>
          <w:sz w:val="21"/>
          <w:szCs w:val="21"/>
        </w:rPr>
        <w:t>establece que la tarifa aplicable al</w:t>
      </w:r>
      <w:r w:rsidR="004F008C" w:rsidRPr="0008265C">
        <w:rPr>
          <w:rFonts w:ascii="ITC Avant Garde" w:hAnsi="ITC Avant Garde" w:cs="Arial"/>
          <w:bCs/>
          <w:sz w:val="21"/>
          <w:szCs w:val="21"/>
        </w:rPr>
        <w:t xml:space="preserve"> </w:t>
      </w:r>
      <w:r w:rsidR="003B7C45" w:rsidRPr="0008265C">
        <w:rPr>
          <w:rFonts w:ascii="ITC Avant Garde" w:hAnsi="ITC Avant Garde" w:cs="Arial"/>
          <w:bCs/>
          <w:sz w:val="21"/>
          <w:szCs w:val="21"/>
        </w:rPr>
        <w:t xml:space="preserve">Servicio Mayorista </w:t>
      </w:r>
      <w:r w:rsidR="001A5167" w:rsidRPr="0008265C">
        <w:rPr>
          <w:rFonts w:ascii="ITC Avant Garde" w:hAnsi="ITC Avant Garde" w:cs="Arial"/>
          <w:bCs/>
          <w:sz w:val="21"/>
          <w:szCs w:val="21"/>
        </w:rPr>
        <w:t xml:space="preserve">de Usuario Visitante </w:t>
      </w:r>
      <w:r w:rsidR="003B7C45" w:rsidRPr="0008265C">
        <w:rPr>
          <w:rFonts w:ascii="ITC Avant Garde" w:hAnsi="ITC Avant Garde" w:cs="Arial"/>
          <w:bCs/>
          <w:sz w:val="21"/>
          <w:szCs w:val="21"/>
        </w:rPr>
        <w:t xml:space="preserve">se determinará a partir de un modelo de costos basado en una metodología de costos incrementales promedio de largo plazo, que al efecto emita el Instituto; </w:t>
      </w:r>
      <w:r w:rsidR="001A5167" w:rsidRPr="0008265C">
        <w:rPr>
          <w:rFonts w:ascii="ITC Avant Garde" w:hAnsi="ITC Avant Garde" w:cs="Arial"/>
          <w:bCs/>
          <w:sz w:val="21"/>
          <w:szCs w:val="21"/>
        </w:rPr>
        <w:t xml:space="preserve">a su vez, la Medida Sexagésima Primera de las Medidas Móviles establece que la tarifa aplicable al Servicio Mayorista para la comercialización o reventa </w:t>
      </w:r>
      <w:r w:rsidR="008B2920" w:rsidRPr="0008265C">
        <w:rPr>
          <w:rFonts w:ascii="ITC Avant Garde" w:hAnsi="ITC Avant Garde" w:cs="Arial"/>
          <w:bCs/>
          <w:sz w:val="21"/>
          <w:szCs w:val="21"/>
        </w:rPr>
        <w:t>de servicios</w:t>
      </w:r>
      <w:r w:rsidR="001A5167" w:rsidRPr="0008265C">
        <w:rPr>
          <w:rFonts w:ascii="ITC Avant Garde" w:hAnsi="ITC Avant Garde" w:cs="Arial"/>
          <w:bCs/>
          <w:sz w:val="21"/>
          <w:szCs w:val="21"/>
        </w:rPr>
        <w:t xml:space="preserve"> se determinará a partir de un metodología de costos evitados</w:t>
      </w:r>
      <w:r w:rsidR="008D2387" w:rsidRPr="0008265C">
        <w:rPr>
          <w:rFonts w:ascii="ITC Avant Garde" w:hAnsi="ITC Avant Garde" w:cs="Arial"/>
          <w:bCs/>
          <w:sz w:val="21"/>
          <w:szCs w:val="21"/>
        </w:rPr>
        <w:t xml:space="preserve"> (</w:t>
      </w:r>
      <w:proofErr w:type="spellStart"/>
      <w:r w:rsidR="008D2387" w:rsidRPr="0008265C">
        <w:rPr>
          <w:rFonts w:ascii="ITC Avant Garde" w:hAnsi="ITC Avant Garde" w:cs="Arial"/>
          <w:bCs/>
          <w:i/>
          <w:sz w:val="21"/>
          <w:szCs w:val="21"/>
        </w:rPr>
        <w:t>retail</w:t>
      </w:r>
      <w:proofErr w:type="spellEnd"/>
      <w:r w:rsidR="008D2387" w:rsidRPr="0008265C">
        <w:rPr>
          <w:rFonts w:ascii="ITC Avant Garde" w:hAnsi="ITC Avant Garde" w:cs="Arial"/>
          <w:bCs/>
          <w:i/>
          <w:sz w:val="21"/>
          <w:szCs w:val="21"/>
        </w:rPr>
        <w:t xml:space="preserve"> </w:t>
      </w:r>
      <w:proofErr w:type="spellStart"/>
      <w:r w:rsidR="008D2387" w:rsidRPr="0008265C">
        <w:rPr>
          <w:rFonts w:ascii="ITC Avant Garde" w:hAnsi="ITC Avant Garde" w:cs="Arial"/>
          <w:bCs/>
          <w:i/>
          <w:sz w:val="21"/>
          <w:szCs w:val="21"/>
        </w:rPr>
        <w:t>minus</w:t>
      </w:r>
      <w:proofErr w:type="spellEnd"/>
      <w:r w:rsidR="008D2387" w:rsidRPr="0008265C">
        <w:rPr>
          <w:rFonts w:ascii="ITC Avant Garde" w:hAnsi="ITC Avant Garde" w:cs="Arial"/>
          <w:bCs/>
          <w:sz w:val="21"/>
          <w:szCs w:val="21"/>
        </w:rPr>
        <w:t xml:space="preserve"> en inglés)</w:t>
      </w:r>
      <w:r w:rsidR="003B7C45" w:rsidRPr="0008265C">
        <w:rPr>
          <w:rFonts w:ascii="ITC Avant Garde" w:hAnsi="ITC Avant Garde" w:cs="Arial"/>
          <w:bCs/>
          <w:sz w:val="21"/>
          <w:szCs w:val="21"/>
        </w:rPr>
        <w:t>.</w:t>
      </w:r>
    </w:p>
    <w:p w14:paraId="352AA804" w14:textId="77777777" w:rsidR="00B07CEC" w:rsidRPr="0008265C" w:rsidRDefault="00B07CEC" w:rsidP="00F06A6B">
      <w:pPr>
        <w:spacing w:after="0"/>
        <w:jc w:val="both"/>
        <w:rPr>
          <w:rFonts w:ascii="ITC Avant Garde" w:hAnsi="ITC Avant Garde" w:cs="Arial"/>
          <w:bCs/>
          <w:sz w:val="21"/>
          <w:szCs w:val="21"/>
        </w:rPr>
      </w:pPr>
    </w:p>
    <w:p w14:paraId="05D95BEF" w14:textId="77777777" w:rsidR="006A3202" w:rsidRPr="0008265C" w:rsidRDefault="006A3202" w:rsidP="006A3202">
      <w:pPr>
        <w:spacing w:after="0"/>
        <w:jc w:val="both"/>
        <w:rPr>
          <w:rFonts w:ascii="ITC Avant Garde" w:hAnsi="ITC Avant Garde" w:cs="Arial"/>
          <w:bCs/>
          <w:sz w:val="21"/>
          <w:szCs w:val="21"/>
        </w:rPr>
      </w:pPr>
      <w:r w:rsidRPr="0008265C">
        <w:rPr>
          <w:rFonts w:ascii="ITC Avant Garde" w:hAnsi="ITC Avant Garde" w:cs="Arial"/>
          <w:bCs/>
          <w:sz w:val="21"/>
          <w:szCs w:val="21"/>
        </w:rPr>
        <w:t>Es por ello que el Instituto elabor</w:t>
      </w:r>
      <w:r w:rsidR="000D7E15" w:rsidRPr="0008265C">
        <w:rPr>
          <w:rFonts w:ascii="ITC Avant Garde" w:hAnsi="ITC Avant Garde" w:cs="Arial"/>
          <w:bCs/>
          <w:sz w:val="21"/>
          <w:szCs w:val="21"/>
        </w:rPr>
        <w:t>ó</w:t>
      </w:r>
      <w:r w:rsidRPr="0008265C">
        <w:rPr>
          <w:rFonts w:ascii="ITC Avant Garde" w:hAnsi="ITC Avant Garde" w:cs="Arial"/>
          <w:bCs/>
          <w:sz w:val="21"/>
          <w:szCs w:val="21"/>
        </w:rPr>
        <w:t xml:space="preserve"> </w:t>
      </w:r>
      <w:r w:rsidR="00D4500E"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Pr="0008265C">
        <w:rPr>
          <w:rFonts w:ascii="ITC Avant Garde" w:hAnsi="ITC Avant Garde" w:cs="Arial"/>
          <w:bCs/>
          <w:sz w:val="21"/>
          <w:szCs w:val="21"/>
        </w:rPr>
        <w:t xml:space="preserve"> </w:t>
      </w:r>
      <w:r w:rsidR="00CC3D6C" w:rsidRPr="0008265C">
        <w:rPr>
          <w:rFonts w:ascii="ITC Avant Garde" w:hAnsi="ITC Avant Garde" w:cs="Arial"/>
          <w:bCs/>
          <w:sz w:val="21"/>
          <w:szCs w:val="21"/>
        </w:rPr>
        <w:t>M</w:t>
      </w:r>
      <w:r w:rsidRPr="0008265C">
        <w:rPr>
          <w:rFonts w:ascii="ITC Avant Garde" w:hAnsi="ITC Avant Garde" w:cs="Arial"/>
          <w:bCs/>
          <w:sz w:val="21"/>
          <w:szCs w:val="21"/>
        </w:rPr>
        <w:t>odelo</w:t>
      </w:r>
      <w:r w:rsidR="003F4FE4" w:rsidRPr="0008265C">
        <w:rPr>
          <w:rFonts w:ascii="ITC Avant Garde" w:hAnsi="ITC Avant Garde" w:cs="Arial"/>
          <w:bCs/>
          <w:sz w:val="21"/>
          <w:szCs w:val="21"/>
        </w:rPr>
        <w:t>s</w:t>
      </w:r>
      <w:r w:rsidRPr="0008265C">
        <w:rPr>
          <w:rFonts w:ascii="ITC Avant Garde" w:hAnsi="ITC Avant Garde" w:cs="Arial"/>
          <w:bCs/>
          <w:sz w:val="21"/>
          <w:szCs w:val="21"/>
        </w:rPr>
        <w:t xml:space="preserve"> de </w:t>
      </w:r>
      <w:r w:rsidR="00CC3D6C" w:rsidRPr="0008265C">
        <w:rPr>
          <w:rFonts w:ascii="ITC Avant Garde" w:hAnsi="ITC Avant Garde" w:cs="Arial"/>
          <w:bCs/>
          <w:sz w:val="21"/>
          <w:szCs w:val="21"/>
        </w:rPr>
        <w:t>C</w:t>
      </w:r>
      <w:r w:rsidRPr="0008265C">
        <w:rPr>
          <w:rFonts w:ascii="ITC Avant Garde" w:hAnsi="ITC Avant Garde" w:cs="Arial"/>
          <w:bCs/>
          <w:sz w:val="21"/>
          <w:szCs w:val="21"/>
        </w:rPr>
        <w:t xml:space="preserve">ostos </w:t>
      </w:r>
      <w:r w:rsidR="00D4500E" w:rsidRPr="0008265C">
        <w:rPr>
          <w:rFonts w:ascii="ITC Avant Garde" w:hAnsi="ITC Avant Garde" w:cs="Arial"/>
          <w:bCs/>
          <w:sz w:val="21"/>
          <w:szCs w:val="21"/>
        </w:rPr>
        <w:t>del</w:t>
      </w:r>
      <w:r w:rsidR="003F4FE4" w:rsidRPr="0008265C">
        <w:rPr>
          <w:rFonts w:ascii="ITC Avant Garde" w:hAnsi="ITC Avant Garde" w:cs="Arial"/>
          <w:bCs/>
          <w:sz w:val="21"/>
          <w:szCs w:val="21"/>
        </w:rPr>
        <w:t xml:space="preserve"> Servicio Mayoristas para la comercialización o reventa de servicios y </w:t>
      </w:r>
      <w:r w:rsidR="008B2920" w:rsidRPr="0008265C">
        <w:rPr>
          <w:rFonts w:ascii="ITC Avant Garde" w:hAnsi="ITC Avant Garde" w:cs="Arial"/>
          <w:bCs/>
          <w:sz w:val="21"/>
          <w:szCs w:val="21"/>
        </w:rPr>
        <w:t xml:space="preserve">del Servicio Mayorista </w:t>
      </w:r>
      <w:r w:rsidR="003F4FE4" w:rsidRPr="0008265C">
        <w:rPr>
          <w:rFonts w:ascii="ITC Avant Garde" w:hAnsi="ITC Avant Garde" w:cs="Arial"/>
          <w:bCs/>
          <w:sz w:val="21"/>
          <w:szCs w:val="21"/>
        </w:rPr>
        <w:t>de Usuario Visitante</w:t>
      </w:r>
      <w:r w:rsidR="00D4500E" w:rsidRPr="0008265C">
        <w:rPr>
          <w:rFonts w:ascii="ITC Avant Garde" w:hAnsi="ITC Avant Garde" w:cs="Arial"/>
          <w:bCs/>
          <w:sz w:val="21"/>
          <w:szCs w:val="21"/>
        </w:rPr>
        <w:t xml:space="preserve"> </w:t>
      </w:r>
      <w:r w:rsidRPr="0008265C">
        <w:rPr>
          <w:rFonts w:ascii="ITC Avant Garde" w:hAnsi="ITC Avant Garde" w:cs="Arial"/>
          <w:bCs/>
          <w:sz w:val="21"/>
          <w:szCs w:val="21"/>
        </w:rPr>
        <w:t xml:space="preserve">con el fin de contar con una herramienta formal </w:t>
      </w:r>
      <w:r w:rsidR="001A2CFD" w:rsidRPr="0008265C">
        <w:rPr>
          <w:rFonts w:ascii="ITC Avant Garde" w:hAnsi="ITC Avant Garde" w:cs="Arial"/>
          <w:bCs/>
          <w:sz w:val="21"/>
          <w:szCs w:val="21"/>
        </w:rPr>
        <w:t xml:space="preserve">que lo pueda auxiliar en </w:t>
      </w:r>
      <w:r w:rsidRPr="0008265C">
        <w:rPr>
          <w:rFonts w:ascii="ITC Avant Garde" w:hAnsi="ITC Avant Garde" w:cs="Arial"/>
          <w:bCs/>
          <w:sz w:val="21"/>
          <w:szCs w:val="21"/>
        </w:rPr>
        <w:t>la determinación de tarifas</w:t>
      </w:r>
      <w:r w:rsidR="00D4500E" w:rsidRPr="0008265C">
        <w:rPr>
          <w:rFonts w:ascii="ITC Avant Garde" w:hAnsi="ITC Avant Garde" w:cs="Arial"/>
          <w:bCs/>
          <w:sz w:val="21"/>
          <w:szCs w:val="21"/>
        </w:rPr>
        <w:t>.</w:t>
      </w:r>
    </w:p>
    <w:p w14:paraId="05D95BF0" w14:textId="77777777" w:rsidR="007E7CAD" w:rsidRPr="0008265C" w:rsidRDefault="007E7CAD" w:rsidP="006A3202">
      <w:pPr>
        <w:spacing w:after="0"/>
        <w:jc w:val="both"/>
        <w:rPr>
          <w:rFonts w:ascii="ITC Avant Garde" w:hAnsi="ITC Avant Garde" w:cs="Arial"/>
          <w:bCs/>
          <w:sz w:val="21"/>
          <w:szCs w:val="21"/>
        </w:rPr>
      </w:pPr>
    </w:p>
    <w:p w14:paraId="05D95BF1" w14:textId="77777777" w:rsidR="006A3202" w:rsidRPr="0008265C" w:rsidRDefault="001A2CFD" w:rsidP="00E762D1">
      <w:pPr>
        <w:spacing w:after="0"/>
        <w:jc w:val="both"/>
        <w:rPr>
          <w:rFonts w:ascii="ITC Avant Garde" w:hAnsi="ITC Avant Garde" w:cs="Arial"/>
          <w:bCs/>
          <w:sz w:val="21"/>
          <w:szCs w:val="21"/>
        </w:rPr>
      </w:pPr>
      <w:r w:rsidRPr="0008265C">
        <w:rPr>
          <w:rFonts w:ascii="ITC Avant Garde" w:hAnsi="ITC Avant Garde" w:cs="Arial"/>
          <w:bCs/>
          <w:sz w:val="21"/>
          <w:szCs w:val="21"/>
        </w:rPr>
        <w:t>En este orden de ideas</w:t>
      </w:r>
      <w:r w:rsidR="00E762D1" w:rsidRPr="0008265C">
        <w:rPr>
          <w:rFonts w:ascii="ITC Avant Garde" w:hAnsi="ITC Avant Garde" w:cs="Arial"/>
          <w:bCs/>
          <w:sz w:val="21"/>
          <w:szCs w:val="21"/>
        </w:rPr>
        <w:t xml:space="preserve">, este Instituto considera de la mayor relevancia someter a un proceso de consulta pública </w:t>
      </w:r>
      <w:r w:rsidR="00D4500E"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00D4500E" w:rsidRPr="0008265C">
        <w:rPr>
          <w:rFonts w:ascii="ITC Avant Garde" w:hAnsi="ITC Avant Garde" w:cs="Arial"/>
          <w:bCs/>
          <w:sz w:val="21"/>
          <w:szCs w:val="21"/>
        </w:rPr>
        <w:t xml:space="preserve"> </w:t>
      </w:r>
      <w:r w:rsidR="00E762D1" w:rsidRPr="0008265C">
        <w:rPr>
          <w:rFonts w:ascii="ITC Avant Garde" w:hAnsi="ITC Avant Garde" w:cs="Arial"/>
          <w:bCs/>
          <w:sz w:val="21"/>
          <w:szCs w:val="21"/>
        </w:rPr>
        <w:t>Modelo</w:t>
      </w:r>
      <w:r w:rsidR="003F4FE4" w:rsidRPr="0008265C">
        <w:rPr>
          <w:rFonts w:ascii="ITC Avant Garde" w:hAnsi="ITC Avant Garde" w:cs="Arial"/>
          <w:bCs/>
          <w:sz w:val="21"/>
          <w:szCs w:val="21"/>
        </w:rPr>
        <w:t>s</w:t>
      </w:r>
      <w:r w:rsidR="00E762D1" w:rsidRPr="0008265C">
        <w:rPr>
          <w:rFonts w:ascii="ITC Avant Garde" w:hAnsi="ITC Avant Garde" w:cs="Arial"/>
          <w:bCs/>
          <w:sz w:val="21"/>
          <w:szCs w:val="21"/>
        </w:rPr>
        <w:t xml:space="preserve"> de Costos </w:t>
      </w:r>
      <w:r w:rsidR="00D4500E" w:rsidRPr="0008265C">
        <w:rPr>
          <w:rFonts w:ascii="ITC Avant Garde" w:hAnsi="ITC Avant Garde" w:cs="Arial"/>
          <w:bCs/>
          <w:sz w:val="21"/>
          <w:szCs w:val="21"/>
        </w:rPr>
        <w:t>de</w:t>
      </w:r>
      <w:r w:rsidR="003F4FE4" w:rsidRPr="0008265C">
        <w:rPr>
          <w:rFonts w:ascii="ITC Avant Garde" w:hAnsi="ITC Avant Garde" w:cs="Arial"/>
          <w:bCs/>
          <w:sz w:val="21"/>
          <w:szCs w:val="21"/>
        </w:rPr>
        <w:t xml:space="preserve"> </w:t>
      </w:r>
      <w:r w:rsidR="00D4500E"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00D4500E" w:rsidRPr="0008265C">
        <w:rPr>
          <w:rFonts w:ascii="ITC Avant Garde" w:hAnsi="ITC Avant Garde" w:cs="Arial"/>
          <w:bCs/>
          <w:sz w:val="21"/>
          <w:szCs w:val="21"/>
        </w:rPr>
        <w:t xml:space="preserve"> </w:t>
      </w:r>
      <w:r w:rsidR="003F4FE4" w:rsidRPr="0008265C">
        <w:rPr>
          <w:rFonts w:ascii="ITC Avant Garde" w:hAnsi="ITC Avant Garde" w:cs="Arial"/>
          <w:bCs/>
          <w:sz w:val="21"/>
          <w:szCs w:val="21"/>
        </w:rPr>
        <w:t>Servicios Mayoristas para la comercialización o reventa de servicios y de Usuario Visitante</w:t>
      </w:r>
      <w:r w:rsidR="00E762D1" w:rsidRPr="0008265C">
        <w:rPr>
          <w:rFonts w:ascii="ITC Avant Garde" w:hAnsi="ITC Avant Garde" w:cs="Arial"/>
          <w:bCs/>
          <w:sz w:val="21"/>
          <w:szCs w:val="21"/>
        </w:rPr>
        <w:t>, con la finalidad de fortalecer la transparencia de las resoluciones que, en cada caso concreto emita para la determinación de las tarifas por la prestación de</w:t>
      </w:r>
      <w:r w:rsidR="003F4FE4" w:rsidRPr="0008265C">
        <w:rPr>
          <w:rFonts w:ascii="ITC Avant Garde" w:hAnsi="ITC Avant Garde" w:cs="Arial"/>
          <w:bCs/>
          <w:sz w:val="21"/>
          <w:szCs w:val="21"/>
        </w:rPr>
        <w:t xml:space="preserve"> </w:t>
      </w:r>
      <w:r w:rsidR="008C0141"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008C0141" w:rsidRPr="0008265C">
        <w:rPr>
          <w:rFonts w:ascii="ITC Avant Garde" w:hAnsi="ITC Avant Garde" w:cs="Arial"/>
          <w:bCs/>
          <w:sz w:val="21"/>
          <w:szCs w:val="21"/>
        </w:rPr>
        <w:t xml:space="preserve"> </w:t>
      </w:r>
      <w:r w:rsidR="00E762D1" w:rsidRPr="0008265C">
        <w:rPr>
          <w:rFonts w:ascii="ITC Avant Garde" w:hAnsi="ITC Avant Garde" w:cs="Arial"/>
          <w:bCs/>
          <w:sz w:val="21"/>
          <w:szCs w:val="21"/>
        </w:rPr>
        <w:t>servicio</w:t>
      </w:r>
      <w:r w:rsidR="003F4FE4" w:rsidRPr="0008265C">
        <w:rPr>
          <w:rFonts w:ascii="ITC Avant Garde" w:hAnsi="ITC Avant Garde" w:cs="Arial"/>
          <w:bCs/>
          <w:sz w:val="21"/>
          <w:szCs w:val="21"/>
        </w:rPr>
        <w:t>s</w:t>
      </w:r>
      <w:r w:rsidR="00E762D1" w:rsidRPr="0008265C">
        <w:rPr>
          <w:rFonts w:ascii="ITC Avant Garde" w:hAnsi="ITC Avant Garde" w:cs="Arial"/>
          <w:bCs/>
          <w:sz w:val="21"/>
          <w:szCs w:val="21"/>
        </w:rPr>
        <w:t xml:space="preserve"> antes referido</w:t>
      </w:r>
      <w:r w:rsidR="003F4FE4" w:rsidRPr="0008265C">
        <w:rPr>
          <w:rFonts w:ascii="ITC Avant Garde" w:hAnsi="ITC Avant Garde" w:cs="Arial"/>
          <w:bCs/>
          <w:sz w:val="21"/>
          <w:szCs w:val="21"/>
        </w:rPr>
        <w:t>s</w:t>
      </w:r>
      <w:r w:rsidR="00E762D1" w:rsidRPr="0008265C">
        <w:rPr>
          <w:rFonts w:ascii="ITC Avant Garde" w:hAnsi="ITC Avant Garde" w:cs="Arial"/>
          <w:bCs/>
          <w:sz w:val="21"/>
          <w:szCs w:val="21"/>
        </w:rPr>
        <w:t>. Dicha consulta pública tiene por objeto recabar comentarios de la industria</w:t>
      </w:r>
      <w:r w:rsidR="003F4FE4" w:rsidRPr="0008265C">
        <w:rPr>
          <w:rFonts w:ascii="ITC Avant Garde" w:hAnsi="ITC Avant Garde" w:cs="Arial"/>
          <w:bCs/>
          <w:sz w:val="21"/>
          <w:szCs w:val="21"/>
        </w:rPr>
        <w:t>,</w:t>
      </w:r>
      <w:r w:rsidR="00E762D1" w:rsidRPr="0008265C">
        <w:rPr>
          <w:rFonts w:ascii="ITC Avant Garde" w:hAnsi="ITC Avant Garde" w:cs="Arial"/>
          <w:bCs/>
          <w:sz w:val="21"/>
          <w:szCs w:val="21"/>
        </w:rPr>
        <w:t xml:space="preserve"> los </w:t>
      </w:r>
      <w:r w:rsidR="00E93D63" w:rsidRPr="0008265C">
        <w:rPr>
          <w:rFonts w:ascii="ITC Avant Garde" w:hAnsi="ITC Avant Garde" w:cs="Arial"/>
          <w:bCs/>
          <w:sz w:val="21"/>
          <w:szCs w:val="21"/>
        </w:rPr>
        <w:t>c</w:t>
      </w:r>
      <w:r w:rsidR="00E762D1" w:rsidRPr="0008265C">
        <w:rPr>
          <w:rFonts w:ascii="ITC Avant Garde" w:hAnsi="ITC Avant Garde" w:cs="Arial"/>
          <w:bCs/>
          <w:sz w:val="21"/>
          <w:szCs w:val="21"/>
        </w:rPr>
        <w:t xml:space="preserve">oncesionarios, permisionarios y autorizados </w:t>
      </w:r>
      <w:r w:rsidR="00E93D63" w:rsidRPr="0008265C">
        <w:rPr>
          <w:rFonts w:ascii="ITC Avant Garde" w:hAnsi="ITC Avant Garde" w:cs="Arial"/>
          <w:bCs/>
          <w:sz w:val="21"/>
          <w:szCs w:val="21"/>
        </w:rPr>
        <w:t>y</w:t>
      </w:r>
      <w:r w:rsidR="003F4FE4" w:rsidRPr="0008265C">
        <w:rPr>
          <w:rFonts w:ascii="ITC Avant Garde" w:hAnsi="ITC Avant Garde" w:cs="Arial"/>
          <w:bCs/>
          <w:sz w:val="21"/>
          <w:szCs w:val="21"/>
        </w:rPr>
        <w:t>,</w:t>
      </w:r>
      <w:r w:rsidR="00E93D63" w:rsidRPr="0008265C">
        <w:rPr>
          <w:rFonts w:ascii="ITC Avant Garde" w:hAnsi="ITC Avant Garde" w:cs="Arial"/>
          <w:bCs/>
          <w:sz w:val="21"/>
          <w:szCs w:val="21"/>
        </w:rPr>
        <w:t xml:space="preserve"> </w:t>
      </w:r>
      <w:r w:rsidR="00E762D1" w:rsidRPr="0008265C">
        <w:rPr>
          <w:rFonts w:ascii="ITC Avant Garde" w:hAnsi="ITC Avant Garde" w:cs="Arial"/>
          <w:bCs/>
          <w:sz w:val="21"/>
          <w:szCs w:val="21"/>
        </w:rPr>
        <w:t xml:space="preserve">en su caso, de especialistas en la materia y del público en general, para ser analizados y, de resultar procedente, fortalecer </w:t>
      </w:r>
      <w:r w:rsidR="00D4500E"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00E762D1" w:rsidRPr="0008265C">
        <w:rPr>
          <w:rFonts w:ascii="ITC Avant Garde" w:hAnsi="ITC Avant Garde" w:cs="Arial"/>
          <w:bCs/>
          <w:sz w:val="21"/>
          <w:szCs w:val="21"/>
        </w:rPr>
        <w:t xml:space="preserve"> </w:t>
      </w:r>
      <w:r w:rsidR="006A3202" w:rsidRPr="0008265C">
        <w:rPr>
          <w:rFonts w:ascii="ITC Avant Garde" w:hAnsi="ITC Avant Garde" w:cs="Arial"/>
          <w:bCs/>
          <w:sz w:val="21"/>
          <w:szCs w:val="21"/>
        </w:rPr>
        <w:t>M</w:t>
      </w:r>
      <w:r w:rsidR="00E762D1" w:rsidRPr="0008265C">
        <w:rPr>
          <w:rFonts w:ascii="ITC Avant Garde" w:hAnsi="ITC Avant Garde" w:cs="Arial"/>
          <w:bCs/>
          <w:sz w:val="21"/>
          <w:szCs w:val="21"/>
        </w:rPr>
        <w:t>odelo</w:t>
      </w:r>
      <w:r w:rsidR="003F4FE4" w:rsidRPr="0008265C">
        <w:rPr>
          <w:rFonts w:ascii="ITC Avant Garde" w:hAnsi="ITC Avant Garde" w:cs="Arial"/>
          <w:bCs/>
          <w:sz w:val="21"/>
          <w:szCs w:val="21"/>
        </w:rPr>
        <w:t>s</w:t>
      </w:r>
      <w:r w:rsidR="00E762D1" w:rsidRPr="0008265C">
        <w:rPr>
          <w:rFonts w:ascii="ITC Avant Garde" w:hAnsi="ITC Avant Garde" w:cs="Arial"/>
          <w:bCs/>
          <w:sz w:val="21"/>
          <w:szCs w:val="21"/>
        </w:rPr>
        <w:t>.</w:t>
      </w:r>
    </w:p>
    <w:p w14:paraId="05D95BF2" w14:textId="77777777" w:rsidR="006A3202" w:rsidRPr="0008265C" w:rsidRDefault="006A3202" w:rsidP="00E762D1">
      <w:pPr>
        <w:spacing w:after="0"/>
        <w:jc w:val="both"/>
        <w:rPr>
          <w:rFonts w:ascii="ITC Avant Garde" w:hAnsi="ITC Avant Garde" w:cs="Arial"/>
          <w:bCs/>
          <w:sz w:val="21"/>
          <w:szCs w:val="21"/>
        </w:rPr>
      </w:pPr>
    </w:p>
    <w:p w14:paraId="05D95BF3" w14:textId="77777777" w:rsidR="00E762D1" w:rsidRPr="0008265C" w:rsidRDefault="00E762D1" w:rsidP="00E762D1">
      <w:pPr>
        <w:spacing w:after="0"/>
        <w:jc w:val="both"/>
        <w:rPr>
          <w:rFonts w:ascii="ITC Avant Garde" w:hAnsi="ITC Avant Garde" w:cs="Arial"/>
          <w:bCs/>
          <w:sz w:val="21"/>
          <w:szCs w:val="21"/>
        </w:rPr>
      </w:pPr>
      <w:r w:rsidRPr="0008265C">
        <w:rPr>
          <w:rFonts w:ascii="ITC Avant Garde" w:hAnsi="ITC Avant Garde" w:cs="Arial"/>
          <w:bCs/>
          <w:sz w:val="21"/>
          <w:szCs w:val="21"/>
        </w:rPr>
        <w:t>Es decir, no obstante que l</w:t>
      </w:r>
      <w:r w:rsidR="003F4FE4" w:rsidRPr="0008265C">
        <w:rPr>
          <w:rFonts w:ascii="ITC Avant Garde" w:hAnsi="ITC Avant Garde" w:cs="Arial"/>
          <w:bCs/>
          <w:sz w:val="21"/>
          <w:szCs w:val="21"/>
        </w:rPr>
        <w:t>os</w:t>
      </w:r>
      <w:r w:rsidRPr="0008265C">
        <w:rPr>
          <w:rFonts w:ascii="ITC Avant Garde" w:hAnsi="ITC Avant Garde" w:cs="Arial"/>
          <w:bCs/>
          <w:sz w:val="21"/>
          <w:szCs w:val="21"/>
        </w:rPr>
        <w:t xml:space="preserve"> Modelo</w:t>
      </w:r>
      <w:r w:rsidR="003F4FE4" w:rsidRPr="0008265C">
        <w:rPr>
          <w:rFonts w:ascii="ITC Avant Garde" w:hAnsi="ITC Avant Garde" w:cs="Arial"/>
          <w:bCs/>
          <w:sz w:val="21"/>
          <w:szCs w:val="21"/>
        </w:rPr>
        <w:t>s</w:t>
      </w:r>
      <w:r w:rsidRPr="0008265C">
        <w:rPr>
          <w:rFonts w:ascii="ITC Avant Garde" w:hAnsi="ITC Avant Garde" w:cs="Arial"/>
          <w:bCs/>
          <w:sz w:val="21"/>
          <w:szCs w:val="21"/>
        </w:rPr>
        <w:t xml:space="preserve"> de Costos </w:t>
      </w:r>
      <w:r w:rsidR="003D7E84" w:rsidRPr="0008265C">
        <w:rPr>
          <w:rFonts w:ascii="ITC Avant Garde" w:hAnsi="ITC Avant Garde" w:cs="Arial"/>
          <w:bCs/>
          <w:sz w:val="21"/>
          <w:szCs w:val="21"/>
        </w:rPr>
        <w:t>sea</w:t>
      </w:r>
      <w:r w:rsidR="003F4FE4" w:rsidRPr="0008265C">
        <w:rPr>
          <w:rFonts w:ascii="ITC Avant Garde" w:hAnsi="ITC Avant Garde" w:cs="Arial"/>
          <w:bCs/>
          <w:sz w:val="21"/>
          <w:szCs w:val="21"/>
        </w:rPr>
        <w:t>n</w:t>
      </w:r>
      <w:r w:rsidRPr="0008265C">
        <w:rPr>
          <w:rFonts w:ascii="ITC Avant Garde" w:hAnsi="ITC Avant Garde" w:cs="Arial"/>
          <w:bCs/>
          <w:sz w:val="21"/>
          <w:szCs w:val="21"/>
        </w:rPr>
        <w:t>, como tal, una herramienta de trabajo que tiene la autoridad y por lo tanto, no incide</w:t>
      </w:r>
      <w:r w:rsidR="003F4FE4" w:rsidRPr="0008265C">
        <w:rPr>
          <w:rFonts w:ascii="ITC Avant Garde" w:hAnsi="ITC Avant Garde" w:cs="Arial"/>
          <w:bCs/>
          <w:sz w:val="21"/>
          <w:szCs w:val="21"/>
        </w:rPr>
        <w:t>n</w:t>
      </w:r>
      <w:r w:rsidRPr="0008265C">
        <w:rPr>
          <w:rFonts w:ascii="ITC Avant Garde" w:hAnsi="ITC Avant Garde" w:cs="Arial"/>
          <w:bCs/>
          <w:sz w:val="21"/>
          <w:szCs w:val="21"/>
        </w:rPr>
        <w:t xml:space="preserve"> directamente en un procedimiento en lo individual, se estima de la mayor relevancia que, previ</w:t>
      </w:r>
      <w:r w:rsidR="007C738D" w:rsidRPr="0008265C">
        <w:rPr>
          <w:rFonts w:ascii="ITC Avant Garde" w:hAnsi="ITC Avant Garde" w:cs="Arial"/>
          <w:bCs/>
          <w:sz w:val="21"/>
          <w:szCs w:val="21"/>
        </w:rPr>
        <w:t>amente</w:t>
      </w:r>
      <w:r w:rsidRPr="0008265C">
        <w:rPr>
          <w:rFonts w:ascii="ITC Avant Garde" w:hAnsi="ITC Avant Garde" w:cs="Arial"/>
          <w:bCs/>
          <w:sz w:val="21"/>
          <w:szCs w:val="21"/>
        </w:rPr>
        <w:t xml:space="preserve"> a su emisión </w:t>
      </w:r>
      <w:r w:rsidR="003D7E84" w:rsidRPr="0008265C">
        <w:rPr>
          <w:rFonts w:ascii="ITC Avant Garde" w:hAnsi="ITC Avant Garde" w:cs="Arial"/>
          <w:bCs/>
          <w:sz w:val="21"/>
          <w:szCs w:val="21"/>
        </w:rPr>
        <w:t xml:space="preserve">y </w:t>
      </w:r>
      <w:r w:rsidRPr="0008265C">
        <w:rPr>
          <w:rFonts w:ascii="ITC Avant Garde" w:hAnsi="ITC Avant Garde" w:cs="Arial"/>
          <w:bCs/>
          <w:sz w:val="21"/>
          <w:szCs w:val="21"/>
        </w:rPr>
        <w:t xml:space="preserve">aplicación a un determinado caso en concreto, la autoridad tenga conocimiento de las inquietudes de los regulados a efecto de que, de forma simplemente informativa, se pueda allegar de comentarios o sugerencias que permitan fortalecer esta herramienta de trabajo para lograr las finalidades de la </w:t>
      </w:r>
      <w:r w:rsidR="00217576" w:rsidRPr="0008265C">
        <w:rPr>
          <w:rFonts w:ascii="ITC Avant Garde" w:hAnsi="ITC Avant Garde" w:cs="Arial"/>
          <w:bCs/>
          <w:sz w:val="21"/>
          <w:szCs w:val="21"/>
        </w:rPr>
        <w:t>LFTR</w:t>
      </w:r>
      <w:r w:rsidRPr="0008265C">
        <w:rPr>
          <w:rFonts w:ascii="ITC Avant Garde" w:hAnsi="ITC Avant Garde" w:cs="Arial"/>
          <w:bCs/>
          <w:sz w:val="21"/>
          <w:szCs w:val="21"/>
        </w:rPr>
        <w:t>.</w:t>
      </w:r>
    </w:p>
    <w:p w14:paraId="05D95BF4" w14:textId="77777777" w:rsidR="007C69A8" w:rsidRPr="0008265C" w:rsidRDefault="007C69A8" w:rsidP="007C69A8">
      <w:pPr>
        <w:spacing w:after="0"/>
        <w:jc w:val="both"/>
        <w:rPr>
          <w:rFonts w:ascii="ITC Avant Garde" w:hAnsi="ITC Avant Garde" w:cs="Arial"/>
          <w:bCs/>
          <w:sz w:val="21"/>
          <w:szCs w:val="21"/>
        </w:rPr>
      </w:pPr>
    </w:p>
    <w:p w14:paraId="05D95BF5" w14:textId="77777777" w:rsidR="007C69A8" w:rsidRPr="0008265C" w:rsidRDefault="007C69A8" w:rsidP="007C69A8">
      <w:pPr>
        <w:spacing w:after="0"/>
        <w:jc w:val="both"/>
        <w:rPr>
          <w:rFonts w:ascii="ITC Avant Garde" w:hAnsi="ITC Avant Garde" w:cs="Arial"/>
          <w:bCs/>
          <w:sz w:val="21"/>
          <w:szCs w:val="21"/>
        </w:rPr>
      </w:pPr>
      <w:r w:rsidRPr="0008265C">
        <w:rPr>
          <w:rFonts w:ascii="ITC Avant Garde" w:hAnsi="ITC Avant Garde" w:cs="Arial"/>
          <w:b/>
          <w:bCs/>
          <w:sz w:val="21"/>
          <w:szCs w:val="21"/>
        </w:rPr>
        <w:t>TERCERO</w:t>
      </w:r>
      <w:r w:rsidRPr="0008265C">
        <w:rPr>
          <w:rFonts w:ascii="ITC Avant Garde" w:hAnsi="ITC Avant Garde" w:cs="Arial"/>
          <w:bCs/>
          <w:sz w:val="21"/>
          <w:szCs w:val="21"/>
        </w:rPr>
        <w:t xml:space="preserve">.- </w:t>
      </w:r>
      <w:r w:rsidRPr="0008265C">
        <w:rPr>
          <w:rFonts w:ascii="ITC Avant Garde" w:hAnsi="ITC Avant Garde" w:cs="Arial"/>
          <w:b/>
          <w:bCs/>
          <w:sz w:val="21"/>
          <w:szCs w:val="21"/>
        </w:rPr>
        <w:t>Consulta Pública de los Modelos de Costos</w:t>
      </w:r>
      <w:r w:rsidRPr="0008265C">
        <w:rPr>
          <w:rFonts w:ascii="ITC Avant Garde" w:eastAsia="Times New Roman" w:hAnsi="ITC Avant Garde"/>
          <w:b/>
          <w:sz w:val="21"/>
          <w:szCs w:val="21"/>
        </w:rPr>
        <w:t>.-</w:t>
      </w:r>
      <w:r w:rsidRPr="0008265C">
        <w:rPr>
          <w:rFonts w:ascii="ITC Avant Garde" w:eastAsia="Times New Roman" w:hAnsi="ITC Avant Garde"/>
          <w:sz w:val="21"/>
          <w:szCs w:val="21"/>
        </w:rPr>
        <w:t xml:space="preserve"> La </w:t>
      </w:r>
      <w:r w:rsidRPr="0008265C">
        <w:rPr>
          <w:rFonts w:ascii="ITC Avant Garde" w:hAnsi="ITC Avant Garde" w:cs="Arial"/>
          <w:bCs/>
          <w:sz w:val="21"/>
          <w:szCs w:val="21"/>
        </w:rPr>
        <w:t xml:space="preserve">consulta pública tiene por objeto cumplir con los principios de transparencia y participación ciudadana por parte del Instituto, con la finalidad de recabar comentarios de la industria, de especialistas en la materia y del público en general, </w:t>
      </w:r>
      <w:r w:rsidR="00683248" w:rsidRPr="0008265C">
        <w:rPr>
          <w:rFonts w:ascii="ITC Avant Garde" w:hAnsi="ITC Avant Garde" w:cs="Arial"/>
          <w:bCs/>
          <w:sz w:val="21"/>
          <w:szCs w:val="21"/>
        </w:rPr>
        <w:t>mismos que</w:t>
      </w:r>
      <w:r w:rsidRPr="0008265C">
        <w:rPr>
          <w:rFonts w:ascii="ITC Avant Garde" w:hAnsi="ITC Avant Garde" w:cs="Arial"/>
          <w:bCs/>
          <w:sz w:val="21"/>
          <w:szCs w:val="21"/>
        </w:rPr>
        <w:t xml:space="preserve"> serán analizados por este Instituto, y de resultar procedente, con ellos fortalecer </w:t>
      </w:r>
      <w:r w:rsidR="00217576" w:rsidRPr="0008265C">
        <w:rPr>
          <w:rFonts w:ascii="ITC Avant Garde" w:hAnsi="ITC Avant Garde" w:cs="Arial"/>
          <w:bCs/>
          <w:sz w:val="21"/>
          <w:szCs w:val="21"/>
        </w:rPr>
        <w:t>l</w:t>
      </w:r>
      <w:r w:rsidR="003F4FE4" w:rsidRPr="0008265C">
        <w:rPr>
          <w:rFonts w:ascii="ITC Avant Garde" w:hAnsi="ITC Avant Garde" w:cs="Arial"/>
          <w:bCs/>
          <w:sz w:val="21"/>
          <w:szCs w:val="21"/>
        </w:rPr>
        <w:t>os</w:t>
      </w:r>
      <w:r w:rsidRPr="0008265C">
        <w:rPr>
          <w:rFonts w:ascii="ITC Avant Garde" w:hAnsi="ITC Avant Garde" w:cs="Arial"/>
          <w:bCs/>
          <w:sz w:val="21"/>
          <w:szCs w:val="21"/>
        </w:rPr>
        <w:t xml:space="preserve"> Modelo</w:t>
      </w:r>
      <w:r w:rsidR="003F4FE4" w:rsidRPr="0008265C">
        <w:rPr>
          <w:rFonts w:ascii="ITC Avant Garde" w:hAnsi="ITC Avant Garde" w:cs="Arial"/>
          <w:bCs/>
          <w:sz w:val="21"/>
          <w:szCs w:val="21"/>
        </w:rPr>
        <w:t>s</w:t>
      </w:r>
      <w:r w:rsidRPr="0008265C">
        <w:rPr>
          <w:rFonts w:ascii="ITC Avant Garde" w:hAnsi="ITC Avant Garde" w:cs="Arial"/>
          <w:bCs/>
          <w:sz w:val="21"/>
          <w:szCs w:val="21"/>
        </w:rPr>
        <w:t xml:space="preserve"> de Costos. </w:t>
      </w:r>
    </w:p>
    <w:p w14:paraId="05D95BF6" w14:textId="77777777" w:rsidR="007C69A8" w:rsidRPr="0008265C" w:rsidRDefault="007C69A8" w:rsidP="007C69A8">
      <w:pPr>
        <w:spacing w:after="0"/>
        <w:jc w:val="both"/>
        <w:rPr>
          <w:rFonts w:ascii="ITC Avant Garde" w:hAnsi="ITC Avant Garde" w:cs="Arial"/>
          <w:bCs/>
          <w:sz w:val="21"/>
          <w:szCs w:val="21"/>
        </w:rPr>
      </w:pPr>
    </w:p>
    <w:p w14:paraId="05D95BF7" w14:textId="77777777" w:rsidR="007C69A8" w:rsidRPr="0008265C" w:rsidRDefault="007C69A8" w:rsidP="007C69A8">
      <w:pPr>
        <w:spacing w:after="0"/>
        <w:jc w:val="both"/>
        <w:rPr>
          <w:rFonts w:ascii="ITC Avant Garde" w:hAnsi="ITC Avant Garde" w:cs="Arial"/>
          <w:bCs/>
          <w:sz w:val="21"/>
          <w:szCs w:val="21"/>
        </w:rPr>
      </w:pPr>
      <w:r w:rsidRPr="0008265C">
        <w:rPr>
          <w:rFonts w:ascii="ITC Avant Garde" w:hAnsi="ITC Avant Garde" w:cs="Arial"/>
          <w:bCs/>
          <w:sz w:val="21"/>
          <w:szCs w:val="21"/>
        </w:rPr>
        <w:lastRenderedPageBreak/>
        <w:t xml:space="preserve">Las consultas públicas sobre los </w:t>
      </w:r>
      <w:r w:rsidR="00CC3D6C" w:rsidRPr="0008265C">
        <w:rPr>
          <w:rFonts w:ascii="ITC Avant Garde" w:hAnsi="ITC Avant Garde" w:cs="Arial"/>
          <w:bCs/>
          <w:sz w:val="21"/>
          <w:szCs w:val="21"/>
        </w:rPr>
        <w:t>M</w:t>
      </w:r>
      <w:r w:rsidRPr="0008265C">
        <w:rPr>
          <w:rFonts w:ascii="ITC Avant Garde" w:hAnsi="ITC Avant Garde" w:cs="Arial"/>
          <w:bCs/>
          <w:sz w:val="21"/>
          <w:szCs w:val="21"/>
        </w:rPr>
        <w:t xml:space="preserve">odelos de </w:t>
      </w:r>
      <w:r w:rsidR="00CC3D6C" w:rsidRPr="0008265C">
        <w:rPr>
          <w:rFonts w:ascii="ITC Avant Garde" w:hAnsi="ITC Avant Garde" w:cs="Arial"/>
          <w:bCs/>
          <w:sz w:val="21"/>
          <w:szCs w:val="21"/>
        </w:rPr>
        <w:t>C</w:t>
      </w:r>
      <w:r w:rsidRPr="0008265C">
        <w:rPr>
          <w:rFonts w:ascii="ITC Avant Garde" w:hAnsi="ITC Avant Garde" w:cs="Arial"/>
          <w:bCs/>
          <w:sz w:val="21"/>
          <w:szCs w:val="21"/>
        </w:rPr>
        <w:t>ostos relativos a las ofertas de referencia, son instrumentos que han implementado las autoridades regulatorias de diversos países, con la finalidad de brindar transparencia, recibir retroalimentación de la industria y de los agentes económicos interesados, así como perfeccionar su diseño y operación.</w:t>
      </w:r>
    </w:p>
    <w:p w14:paraId="05D95BF8" w14:textId="77777777" w:rsidR="003F4FE4" w:rsidRPr="0008265C" w:rsidRDefault="003F4FE4" w:rsidP="007C69A8">
      <w:pPr>
        <w:spacing w:after="0"/>
        <w:jc w:val="both"/>
        <w:rPr>
          <w:rFonts w:ascii="ITC Avant Garde" w:hAnsi="ITC Avant Garde" w:cs="Arial"/>
          <w:bCs/>
          <w:sz w:val="21"/>
          <w:szCs w:val="21"/>
        </w:rPr>
      </w:pPr>
    </w:p>
    <w:p w14:paraId="05D95BF9" w14:textId="77777777" w:rsidR="007C69A8" w:rsidRPr="0008265C" w:rsidRDefault="007C69A8" w:rsidP="007C69A8">
      <w:pPr>
        <w:spacing w:after="0"/>
        <w:jc w:val="both"/>
        <w:rPr>
          <w:rFonts w:ascii="ITC Avant Garde" w:hAnsi="ITC Avant Garde" w:cs="Arial"/>
          <w:bCs/>
          <w:sz w:val="21"/>
          <w:szCs w:val="21"/>
        </w:rPr>
      </w:pPr>
      <w:r w:rsidRPr="0008265C">
        <w:rPr>
          <w:rFonts w:ascii="ITC Avant Garde" w:hAnsi="ITC Avant Garde" w:cs="Arial"/>
          <w:bCs/>
          <w:sz w:val="21"/>
          <w:szCs w:val="21"/>
        </w:rPr>
        <w:t>Una consulta pública implica la publicación de los principios, supuestos, variables y parámetros que forman</w:t>
      </w:r>
      <w:r w:rsidR="00336404" w:rsidRPr="0008265C">
        <w:rPr>
          <w:rFonts w:ascii="ITC Avant Garde" w:hAnsi="ITC Avant Garde" w:cs="Arial"/>
          <w:bCs/>
          <w:sz w:val="21"/>
          <w:szCs w:val="21"/>
        </w:rPr>
        <w:t xml:space="preserve"> parte de los </w:t>
      </w:r>
      <w:r w:rsidR="00CE24C3" w:rsidRPr="0008265C">
        <w:rPr>
          <w:rFonts w:ascii="ITC Avant Garde" w:hAnsi="ITC Avant Garde" w:cs="Arial"/>
          <w:bCs/>
          <w:sz w:val="21"/>
          <w:szCs w:val="21"/>
        </w:rPr>
        <w:t>M</w:t>
      </w:r>
      <w:r w:rsidR="00336404" w:rsidRPr="0008265C">
        <w:rPr>
          <w:rFonts w:ascii="ITC Avant Garde" w:hAnsi="ITC Avant Garde" w:cs="Arial"/>
          <w:bCs/>
          <w:sz w:val="21"/>
          <w:szCs w:val="21"/>
        </w:rPr>
        <w:t xml:space="preserve">odelos de </w:t>
      </w:r>
      <w:r w:rsidR="00CE24C3" w:rsidRPr="0008265C">
        <w:rPr>
          <w:rFonts w:ascii="ITC Avant Garde" w:hAnsi="ITC Avant Garde" w:cs="Arial"/>
          <w:bCs/>
          <w:sz w:val="21"/>
          <w:szCs w:val="21"/>
        </w:rPr>
        <w:t>C</w:t>
      </w:r>
      <w:r w:rsidR="00336404" w:rsidRPr="0008265C">
        <w:rPr>
          <w:rFonts w:ascii="ITC Avant Garde" w:hAnsi="ITC Avant Garde" w:cs="Arial"/>
          <w:bCs/>
          <w:sz w:val="21"/>
          <w:szCs w:val="21"/>
        </w:rPr>
        <w:t>ostos</w:t>
      </w:r>
      <w:r w:rsidR="006A3202" w:rsidRPr="0008265C">
        <w:rPr>
          <w:rFonts w:ascii="ITC Avant Garde" w:hAnsi="ITC Avant Garde" w:cs="Arial"/>
          <w:bCs/>
          <w:sz w:val="21"/>
          <w:szCs w:val="21"/>
        </w:rPr>
        <w:t>.</w:t>
      </w:r>
      <w:r w:rsidR="00683248" w:rsidRPr="0008265C">
        <w:rPr>
          <w:rFonts w:ascii="ITC Avant Garde" w:hAnsi="ITC Avant Garde" w:cs="Arial"/>
          <w:bCs/>
          <w:sz w:val="21"/>
          <w:szCs w:val="21"/>
        </w:rPr>
        <w:t xml:space="preserve"> Los cambios</w:t>
      </w:r>
      <w:r w:rsidRPr="0008265C">
        <w:rPr>
          <w:rFonts w:ascii="ITC Avant Garde" w:hAnsi="ITC Avant Garde" w:cs="Arial"/>
          <w:bCs/>
          <w:sz w:val="21"/>
          <w:szCs w:val="21"/>
        </w:rPr>
        <w:t xml:space="preserve"> en cada uno de estos elementos tienen, a su vez, un impacto en el resultado, por lo que es indispensable recibir observaciones, comentarios e inquietudes que los concesionarios o inter</w:t>
      </w:r>
      <w:r w:rsidR="00683248" w:rsidRPr="0008265C">
        <w:rPr>
          <w:rFonts w:ascii="ITC Avant Garde" w:hAnsi="ITC Avant Garde" w:cs="Arial"/>
          <w:bCs/>
          <w:sz w:val="21"/>
          <w:szCs w:val="21"/>
        </w:rPr>
        <w:t xml:space="preserve">esados tengan de manera previa </w:t>
      </w:r>
      <w:r w:rsidRPr="0008265C">
        <w:rPr>
          <w:rFonts w:ascii="ITC Avant Garde" w:hAnsi="ITC Avant Garde" w:cs="Arial"/>
          <w:bCs/>
          <w:sz w:val="21"/>
          <w:szCs w:val="21"/>
        </w:rPr>
        <w:t xml:space="preserve">a su aprobación y aplicación por parte de la autoridad regulatoria. </w:t>
      </w:r>
    </w:p>
    <w:p w14:paraId="7DB53569" w14:textId="77777777" w:rsidR="00255272" w:rsidRPr="0008265C" w:rsidRDefault="00255272" w:rsidP="007C69A8">
      <w:pPr>
        <w:spacing w:after="0"/>
        <w:jc w:val="both"/>
        <w:rPr>
          <w:rFonts w:ascii="ITC Avant Garde" w:hAnsi="ITC Avant Garde" w:cs="Arial"/>
          <w:bCs/>
          <w:sz w:val="21"/>
          <w:szCs w:val="21"/>
        </w:rPr>
      </w:pPr>
    </w:p>
    <w:p w14:paraId="05D95BFA" w14:textId="77777777" w:rsidR="00104A8D" w:rsidRPr="0008265C" w:rsidRDefault="007C69A8" w:rsidP="00104A8D">
      <w:pPr>
        <w:spacing w:after="0"/>
        <w:jc w:val="both"/>
        <w:rPr>
          <w:rFonts w:ascii="ITC Avant Garde" w:hAnsi="ITC Avant Garde" w:cs="Arial"/>
          <w:bCs/>
          <w:sz w:val="21"/>
          <w:szCs w:val="21"/>
        </w:rPr>
      </w:pPr>
      <w:r w:rsidRPr="0008265C">
        <w:rPr>
          <w:rFonts w:ascii="ITC Avant Garde" w:hAnsi="ITC Avant Garde" w:cs="Arial"/>
          <w:bCs/>
          <w:sz w:val="21"/>
          <w:szCs w:val="21"/>
        </w:rPr>
        <w:t xml:space="preserve">Las autoridades regulatorias pudieran no disponer de información perfecta y completa respecto </w:t>
      </w:r>
      <w:r w:rsidR="003F4FE4" w:rsidRPr="0008265C">
        <w:rPr>
          <w:rFonts w:ascii="ITC Avant Garde" w:hAnsi="ITC Avant Garde" w:cs="Arial"/>
          <w:bCs/>
          <w:sz w:val="21"/>
          <w:szCs w:val="21"/>
        </w:rPr>
        <w:t>de</w:t>
      </w:r>
      <w:r w:rsidRPr="0008265C">
        <w:rPr>
          <w:rFonts w:ascii="ITC Avant Garde" w:hAnsi="ITC Avant Garde" w:cs="Arial"/>
          <w:bCs/>
          <w:sz w:val="21"/>
          <w:szCs w:val="21"/>
        </w:rPr>
        <w:t xml:space="preserve"> los </w:t>
      </w:r>
      <w:r w:rsidR="00CC3D6C" w:rsidRPr="0008265C">
        <w:rPr>
          <w:rFonts w:ascii="ITC Avant Garde" w:hAnsi="ITC Avant Garde" w:cs="Arial"/>
          <w:bCs/>
          <w:sz w:val="21"/>
          <w:szCs w:val="21"/>
        </w:rPr>
        <w:t>M</w:t>
      </w:r>
      <w:r w:rsidRPr="0008265C">
        <w:rPr>
          <w:rFonts w:ascii="ITC Avant Garde" w:hAnsi="ITC Avant Garde" w:cs="Arial"/>
          <w:bCs/>
          <w:sz w:val="21"/>
          <w:szCs w:val="21"/>
        </w:rPr>
        <w:t xml:space="preserve">odelos de </w:t>
      </w:r>
      <w:r w:rsidR="00CC3D6C" w:rsidRPr="0008265C">
        <w:rPr>
          <w:rFonts w:ascii="ITC Avant Garde" w:hAnsi="ITC Avant Garde" w:cs="Arial"/>
          <w:bCs/>
          <w:sz w:val="21"/>
          <w:szCs w:val="21"/>
        </w:rPr>
        <w:t>C</w:t>
      </w:r>
      <w:r w:rsidRPr="0008265C">
        <w:rPr>
          <w:rFonts w:ascii="ITC Avant Garde" w:hAnsi="ITC Avant Garde" w:cs="Arial"/>
          <w:bCs/>
          <w:sz w:val="21"/>
          <w:szCs w:val="21"/>
        </w:rPr>
        <w:t>ostos, por lo que la consulta pública se convierte en una herramienta necesaria que permite reducir significativamente el margen de error, y asegura que los supuestos reflejen la realidad del sector o del mercado de una manera más acertada.</w:t>
      </w:r>
    </w:p>
    <w:p w14:paraId="05D95BFB" w14:textId="77777777" w:rsidR="00DA0DBE" w:rsidRPr="0008265C" w:rsidRDefault="00DA0DBE" w:rsidP="00DA0DBE">
      <w:pPr>
        <w:spacing w:after="0"/>
        <w:jc w:val="both"/>
        <w:rPr>
          <w:rFonts w:ascii="ITC Avant Garde" w:eastAsia="Times New Roman" w:hAnsi="ITC Avant Garde"/>
          <w:sz w:val="21"/>
          <w:szCs w:val="21"/>
        </w:rPr>
      </w:pPr>
    </w:p>
    <w:p w14:paraId="05D95BFC" w14:textId="77777777" w:rsidR="00591EB7" w:rsidRPr="0008265C" w:rsidRDefault="00591EB7" w:rsidP="00591EB7">
      <w:pPr>
        <w:spacing w:after="0"/>
        <w:jc w:val="both"/>
        <w:rPr>
          <w:rFonts w:ascii="ITC Avant Garde" w:eastAsia="Times New Roman" w:hAnsi="ITC Avant Garde"/>
          <w:sz w:val="21"/>
          <w:szCs w:val="21"/>
        </w:rPr>
      </w:pPr>
      <w:r w:rsidRPr="0008265C">
        <w:rPr>
          <w:rFonts w:ascii="ITC Avant Garde" w:eastAsia="Times New Roman" w:hAnsi="ITC Avant Garde"/>
          <w:sz w:val="21"/>
          <w:szCs w:val="21"/>
        </w:rPr>
        <w:t>En este sentido, la presente Consulta Pública tiene como objeto de análisis todas las cuestiones relacionadas con:</w:t>
      </w:r>
    </w:p>
    <w:p w14:paraId="05D95BFD" w14:textId="77777777" w:rsidR="00591EB7" w:rsidRPr="0008265C" w:rsidRDefault="00591EB7" w:rsidP="00591EB7">
      <w:pPr>
        <w:spacing w:after="0"/>
        <w:jc w:val="both"/>
        <w:rPr>
          <w:rFonts w:ascii="ITC Avant Garde" w:eastAsia="Times New Roman" w:hAnsi="ITC Avant Garde"/>
          <w:sz w:val="16"/>
          <w:szCs w:val="21"/>
        </w:rPr>
      </w:pPr>
    </w:p>
    <w:p w14:paraId="05D95BFE" w14:textId="77777777" w:rsidR="00591EB7" w:rsidRPr="0008265C" w:rsidRDefault="00591EB7" w:rsidP="00591EB7">
      <w:pPr>
        <w:numPr>
          <w:ilvl w:val="0"/>
          <w:numId w:val="5"/>
        </w:numPr>
        <w:spacing w:after="0"/>
        <w:jc w:val="both"/>
        <w:rPr>
          <w:rFonts w:ascii="ITC Avant Garde" w:eastAsia="Times New Roman" w:hAnsi="ITC Avant Garde"/>
          <w:sz w:val="21"/>
          <w:szCs w:val="21"/>
        </w:rPr>
      </w:pPr>
      <w:r w:rsidRPr="0008265C">
        <w:rPr>
          <w:rFonts w:ascii="ITC Avant Garde" w:eastAsia="Times New Roman" w:hAnsi="ITC Avant Garde"/>
          <w:sz w:val="21"/>
          <w:szCs w:val="21"/>
        </w:rPr>
        <w:t xml:space="preserve">La estructura, arquitectura y algoritmos utilizados en </w:t>
      </w:r>
      <w:r w:rsidR="00217576" w:rsidRPr="0008265C">
        <w:rPr>
          <w:rFonts w:ascii="ITC Avant Garde" w:eastAsia="Times New Roman" w:hAnsi="ITC Avant Garde"/>
          <w:sz w:val="21"/>
          <w:szCs w:val="21"/>
        </w:rPr>
        <w:t>l</w:t>
      </w:r>
      <w:r w:rsidR="003F4FE4" w:rsidRPr="0008265C">
        <w:rPr>
          <w:rFonts w:ascii="ITC Avant Garde" w:eastAsia="Times New Roman" w:hAnsi="ITC Avant Garde"/>
          <w:sz w:val="21"/>
          <w:szCs w:val="21"/>
        </w:rPr>
        <w:t>os</w:t>
      </w:r>
      <w:r w:rsidRPr="0008265C">
        <w:rPr>
          <w:rFonts w:ascii="ITC Avant Garde" w:eastAsia="Times New Roman" w:hAnsi="ITC Avant Garde"/>
          <w:sz w:val="21"/>
          <w:szCs w:val="21"/>
        </w:rPr>
        <w:t xml:space="preserve"> Modelo</w:t>
      </w:r>
      <w:r w:rsidR="003F4FE4" w:rsidRPr="0008265C">
        <w:rPr>
          <w:rFonts w:ascii="ITC Avant Garde" w:eastAsia="Times New Roman" w:hAnsi="ITC Avant Garde"/>
          <w:sz w:val="21"/>
          <w:szCs w:val="21"/>
        </w:rPr>
        <w:t>s</w:t>
      </w:r>
      <w:r w:rsidRPr="0008265C">
        <w:rPr>
          <w:rFonts w:ascii="ITC Avant Garde" w:eastAsia="Times New Roman" w:hAnsi="ITC Avant Garde"/>
          <w:sz w:val="21"/>
          <w:szCs w:val="21"/>
        </w:rPr>
        <w:t xml:space="preserve"> de Costos</w:t>
      </w:r>
      <w:r w:rsidR="00217576" w:rsidRPr="0008265C">
        <w:rPr>
          <w:rFonts w:ascii="ITC Avant Garde" w:eastAsia="Times New Roman" w:hAnsi="ITC Avant Garde"/>
          <w:sz w:val="21"/>
          <w:szCs w:val="21"/>
        </w:rPr>
        <w:t xml:space="preserve"> del servicio </w:t>
      </w:r>
      <w:r w:rsidR="003F4FE4" w:rsidRPr="0008265C">
        <w:rPr>
          <w:rFonts w:ascii="ITC Avant Garde" w:eastAsia="Times New Roman" w:hAnsi="ITC Avant Garde"/>
          <w:sz w:val="21"/>
          <w:szCs w:val="21"/>
        </w:rPr>
        <w:t xml:space="preserve">mayorista para la comercialización o reventa de servicios y </w:t>
      </w:r>
      <w:r w:rsidR="00217576" w:rsidRPr="0008265C">
        <w:rPr>
          <w:rFonts w:ascii="ITC Avant Garde" w:eastAsia="Times New Roman" w:hAnsi="ITC Avant Garde"/>
          <w:sz w:val="21"/>
          <w:szCs w:val="21"/>
        </w:rPr>
        <w:t>de</w:t>
      </w:r>
      <w:r w:rsidR="007E311D" w:rsidRPr="0008265C">
        <w:rPr>
          <w:rFonts w:ascii="ITC Avant Garde" w:eastAsia="Times New Roman" w:hAnsi="ITC Avant Garde"/>
          <w:sz w:val="21"/>
          <w:szCs w:val="21"/>
        </w:rPr>
        <w:t>l servicio mayorista de</w:t>
      </w:r>
      <w:r w:rsidR="00217576" w:rsidRPr="0008265C">
        <w:rPr>
          <w:rFonts w:ascii="ITC Avant Garde" w:eastAsia="Times New Roman" w:hAnsi="ITC Avant Garde"/>
          <w:sz w:val="21"/>
          <w:szCs w:val="21"/>
        </w:rPr>
        <w:t xml:space="preserve"> </w:t>
      </w:r>
      <w:r w:rsidR="003F4FE4" w:rsidRPr="0008265C">
        <w:rPr>
          <w:rFonts w:ascii="ITC Avant Garde" w:eastAsia="Times New Roman" w:hAnsi="ITC Avant Garde"/>
          <w:sz w:val="21"/>
          <w:szCs w:val="21"/>
        </w:rPr>
        <w:t>Usuario Visitante.</w:t>
      </w:r>
    </w:p>
    <w:p w14:paraId="05D95BFF" w14:textId="77777777" w:rsidR="00591EB7" w:rsidRPr="0008265C" w:rsidRDefault="00591EB7" w:rsidP="005A4AA6">
      <w:pPr>
        <w:numPr>
          <w:ilvl w:val="0"/>
          <w:numId w:val="5"/>
        </w:numPr>
        <w:spacing w:after="0"/>
        <w:jc w:val="both"/>
        <w:rPr>
          <w:rFonts w:ascii="ITC Avant Garde" w:eastAsia="Times New Roman" w:hAnsi="ITC Avant Garde"/>
          <w:sz w:val="21"/>
          <w:szCs w:val="21"/>
        </w:rPr>
      </w:pPr>
      <w:r w:rsidRPr="0008265C">
        <w:rPr>
          <w:rFonts w:ascii="ITC Avant Garde" w:eastAsia="Times New Roman" w:hAnsi="ITC Avant Garde"/>
          <w:sz w:val="21"/>
          <w:szCs w:val="21"/>
        </w:rPr>
        <w:t>Los parámetros de entrada de</w:t>
      </w:r>
      <w:r w:rsidR="003F4FE4" w:rsidRPr="0008265C">
        <w:rPr>
          <w:rFonts w:ascii="ITC Avant Garde" w:eastAsia="Times New Roman" w:hAnsi="ITC Avant Garde"/>
          <w:sz w:val="21"/>
          <w:szCs w:val="21"/>
        </w:rPr>
        <w:t xml:space="preserve"> </w:t>
      </w:r>
      <w:r w:rsidRPr="0008265C">
        <w:rPr>
          <w:rFonts w:ascii="ITC Avant Garde" w:eastAsia="Times New Roman" w:hAnsi="ITC Avant Garde"/>
          <w:sz w:val="21"/>
          <w:szCs w:val="21"/>
        </w:rPr>
        <w:t>l</w:t>
      </w:r>
      <w:r w:rsidR="003F4FE4" w:rsidRPr="0008265C">
        <w:rPr>
          <w:rFonts w:ascii="ITC Avant Garde" w:eastAsia="Times New Roman" w:hAnsi="ITC Avant Garde"/>
          <w:sz w:val="21"/>
          <w:szCs w:val="21"/>
        </w:rPr>
        <w:t>os</w:t>
      </w:r>
      <w:r w:rsidR="00217576" w:rsidRPr="0008265C">
        <w:rPr>
          <w:rFonts w:ascii="ITC Avant Garde" w:eastAsia="Times New Roman" w:hAnsi="ITC Avant Garde"/>
          <w:sz w:val="21"/>
          <w:szCs w:val="21"/>
        </w:rPr>
        <w:t xml:space="preserve"> </w:t>
      </w:r>
      <w:r w:rsidR="007E311D" w:rsidRPr="0008265C">
        <w:rPr>
          <w:rFonts w:ascii="ITC Avant Garde" w:eastAsia="Times New Roman" w:hAnsi="ITC Avant Garde"/>
          <w:sz w:val="21"/>
          <w:szCs w:val="21"/>
        </w:rPr>
        <w:t>Modelos de Costos del servicio mayorista para la comercialización o reventa de servicios y del servicio mayorista de Usuario Visitante.</w:t>
      </w:r>
    </w:p>
    <w:p w14:paraId="05D95C00" w14:textId="77777777" w:rsidR="007E311D" w:rsidRPr="0008265C" w:rsidRDefault="007E311D" w:rsidP="007E311D">
      <w:pPr>
        <w:spacing w:after="0"/>
        <w:ind w:left="720"/>
        <w:jc w:val="both"/>
        <w:rPr>
          <w:rFonts w:ascii="ITC Avant Garde" w:eastAsia="Times New Roman" w:hAnsi="ITC Avant Garde"/>
          <w:sz w:val="18"/>
          <w:szCs w:val="21"/>
        </w:rPr>
      </w:pPr>
    </w:p>
    <w:p w14:paraId="05D95C01" w14:textId="77777777" w:rsidR="00591EB7" w:rsidRPr="0008265C" w:rsidRDefault="00591EB7" w:rsidP="00591EB7">
      <w:pPr>
        <w:spacing w:after="0"/>
        <w:jc w:val="both"/>
        <w:rPr>
          <w:rFonts w:ascii="ITC Avant Garde" w:eastAsia="Times New Roman" w:hAnsi="ITC Avant Garde"/>
          <w:sz w:val="21"/>
          <w:szCs w:val="21"/>
        </w:rPr>
      </w:pPr>
      <w:r w:rsidRPr="0008265C">
        <w:rPr>
          <w:rFonts w:ascii="ITC Avant Garde" w:eastAsia="Times New Roman" w:hAnsi="ITC Avant Garde"/>
          <w:sz w:val="21"/>
          <w:szCs w:val="21"/>
        </w:rPr>
        <w:t xml:space="preserve">Todo lo anterior con el objetivo último de robustecer </w:t>
      </w:r>
      <w:r w:rsidR="008C0141" w:rsidRPr="0008265C">
        <w:rPr>
          <w:rFonts w:ascii="ITC Avant Garde" w:eastAsia="Times New Roman" w:hAnsi="ITC Avant Garde"/>
          <w:sz w:val="21"/>
          <w:szCs w:val="21"/>
        </w:rPr>
        <w:t>l</w:t>
      </w:r>
      <w:r w:rsidR="003F4FE4" w:rsidRPr="0008265C">
        <w:rPr>
          <w:rFonts w:ascii="ITC Avant Garde" w:eastAsia="Times New Roman" w:hAnsi="ITC Avant Garde"/>
          <w:sz w:val="21"/>
          <w:szCs w:val="21"/>
        </w:rPr>
        <w:t>os</w:t>
      </w:r>
      <w:r w:rsidR="008C0141" w:rsidRPr="0008265C">
        <w:rPr>
          <w:rFonts w:ascii="ITC Avant Garde" w:eastAsia="Times New Roman" w:hAnsi="ITC Avant Garde"/>
          <w:sz w:val="21"/>
          <w:szCs w:val="21"/>
        </w:rPr>
        <w:t xml:space="preserve"> </w:t>
      </w:r>
      <w:r w:rsidRPr="0008265C">
        <w:rPr>
          <w:rFonts w:ascii="ITC Avant Garde" w:eastAsia="Times New Roman" w:hAnsi="ITC Avant Garde"/>
          <w:sz w:val="21"/>
          <w:szCs w:val="21"/>
        </w:rPr>
        <w:t>Modelo</w:t>
      </w:r>
      <w:r w:rsidR="003F4FE4" w:rsidRPr="0008265C">
        <w:rPr>
          <w:rFonts w:ascii="ITC Avant Garde" w:eastAsia="Times New Roman" w:hAnsi="ITC Avant Garde"/>
          <w:sz w:val="21"/>
          <w:szCs w:val="21"/>
        </w:rPr>
        <w:t>s</w:t>
      </w:r>
      <w:r w:rsidRPr="0008265C">
        <w:rPr>
          <w:rFonts w:ascii="ITC Avant Garde" w:eastAsia="Times New Roman" w:hAnsi="ITC Avant Garde"/>
          <w:sz w:val="21"/>
          <w:szCs w:val="21"/>
        </w:rPr>
        <w:t xml:space="preserve"> de Costos y tener un diálogo abierto entre el Instituto y los regulados.</w:t>
      </w:r>
    </w:p>
    <w:p w14:paraId="05D95C02" w14:textId="77777777" w:rsidR="00591EB7" w:rsidRPr="0008265C" w:rsidRDefault="00591EB7" w:rsidP="00591EB7">
      <w:pPr>
        <w:spacing w:after="0"/>
        <w:jc w:val="both"/>
        <w:rPr>
          <w:rFonts w:ascii="ITC Avant Garde" w:eastAsia="Times New Roman" w:hAnsi="ITC Avant Garde"/>
          <w:sz w:val="21"/>
          <w:szCs w:val="21"/>
        </w:rPr>
      </w:pPr>
    </w:p>
    <w:p w14:paraId="05D95C03" w14:textId="77777777" w:rsidR="007C69A8" w:rsidRPr="0008265C" w:rsidRDefault="003F4FE4" w:rsidP="007E311D">
      <w:pPr>
        <w:spacing w:after="0"/>
        <w:jc w:val="both"/>
        <w:rPr>
          <w:rFonts w:ascii="ITC Avant Garde" w:eastAsia="Times New Roman" w:hAnsi="ITC Avant Garde"/>
          <w:sz w:val="21"/>
          <w:szCs w:val="21"/>
        </w:rPr>
      </w:pPr>
      <w:r w:rsidRPr="0008265C">
        <w:rPr>
          <w:rFonts w:ascii="ITC Avant Garde" w:eastAsia="Times New Roman" w:hAnsi="ITC Avant Garde"/>
          <w:sz w:val="21"/>
          <w:szCs w:val="21"/>
        </w:rPr>
        <w:t>Los</w:t>
      </w:r>
      <w:r w:rsidR="00217576" w:rsidRPr="0008265C">
        <w:rPr>
          <w:rFonts w:ascii="ITC Avant Garde" w:eastAsia="Times New Roman" w:hAnsi="ITC Avant Garde"/>
          <w:sz w:val="21"/>
          <w:szCs w:val="21"/>
        </w:rPr>
        <w:t xml:space="preserve"> Modelo</w:t>
      </w:r>
      <w:r w:rsidRPr="0008265C">
        <w:rPr>
          <w:rFonts w:ascii="ITC Avant Garde" w:eastAsia="Times New Roman" w:hAnsi="ITC Avant Garde"/>
          <w:sz w:val="21"/>
          <w:szCs w:val="21"/>
        </w:rPr>
        <w:t>s</w:t>
      </w:r>
      <w:r w:rsidR="00217576" w:rsidRPr="0008265C">
        <w:rPr>
          <w:rFonts w:ascii="ITC Avant Garde" w:eastAsia="Times New Roman" w:hAnsi="ITC Avant Garde"/>
          <w:sz w:val="21"/>
          <w:szCs w:val="21"/>
        </w:rPr>
        <w:t xml:space="preserve"> de Costos </w:t>
      </w:r>
      <w:r w:rsidRPr="0008265C">
        <w:rPr>
          <w:rFonts w:ascii="ITC Avant Garde" w:eastAsia="Times New Roman" w:hAnsi="ITC Avant Garde"/>
          <w:sz w:val="21"/>
          <w:szCs w:val="21"/>
        </w:rPr>
        <w:t xml:space="preserve">del servicio mayoristas para la comercialización o reventa de servicios y </w:t>
      </w:r>
      <w:r w:rsidR="007E311D" w:rsidRPr="0008265C">
        <w:rPr>
          <w:rFonts w:ascii="ITC Avant Garde" w:eastAsia="Times New Roman" w:hAnsi="ITC Avant Garde"/>
          <w:sz w:val="21"/>
          <w:szCs w:val="21"/>
        </w:rPr>
        <w:t xml:space="preserve">del servicio mayorista </w:t>
      </w:r>
      <w:r w:rsidRPr="0008265C">
        <w:rPr>
          <w:rFonts w:ascii="ITC Avant Garde" w:eastAsia="Times New Roman" w:hAnsi="ITC Avant Garde"/>
          <w:sz w:val="21"/>
          <w:szCs w:val="21"/>
        </w:rPr>
        <w:t xml:space="preserve">de </w:t>
      </w:r>
      <w:r w:rsidR="007E311D" w:rsidRPr="0008265C">
        <w:rPr>
          <w:rFonts w:ascii="ITC Avant Garde" w:eastAsia="Times New Roman" w:hAnsi="ITC Avant Garde"/>
          <w:sz w:val="21"/>
          <w:szCs w:val="21"/>
        </w:rPr>
        <w:t>Usuario Visitante</w:t>
      </w:r>
      <w:r w:rsidR="00217576" w:rsidRPr="0008265C" w:rsidDel="00217576">
        <w:rPr>
          <w:rFonts w:ascii="ITC Avant Garde" w:eastAsia="Times New Roman" w:hAnsi="ITC Avant Garde"/>
          <w:sz w:val="21"/>
          <w:szCs w:val="21"/>
        </w:rPr>
        <w:t xml:space="preserve"> </w:t>
      </w:r>
      <w:r w:rsidR="007C69A8" w:rsidRPr="0008265C">
        <w:rPr>
          <w:rFonts w:ascii="ITC Avant Garde" w:eastAsia="Times New Roman" w:hAnsi="ITC Avant Garde"/>
          <w:sz w:val="21"/>
          <w:szCs w:val="21"/>
        </w:rPr>
        <w:t>estará</w:t>
      </w:r>
      <w:r w:rsidR="007E311D" w:rsidRPr="0008265C">
        <w:rPr>
          <w:rFonts w:ascii="ITC Avant Garde" w:eastAsia="Times New Roman" w:hAnsi="ITC Avant Garde"/>
          <w:sz w:val="21"/>
          <w:szCs w:val="21"/>
        </w:rPr>
        <w:t>n</w:t>
      </w:r>
      <w:r w:rsidR="007C69A8" w:rsidRPr="0008265C">
        <w:rPr>
          <w:rFonts w:ascii="ITC Avant Garde" w:eastAsia="Times New Roman" w:hAnsi="ITC Avant Garde"/>
          <w:sz w:val="21"/>
          <w:szCs w:val="21"/>
        </w:rPr>
        <w:t xml:space="preserve"> disponible</w:t>
      </w:r>
      <w:r w:rsidR="007E311D" w:rsidRPr="0008265C">
        <w:rPr>
          <w:rFonts w:ascii="ITC Avant Garde" w:eastAsia="Times New Roman" w:hAnsi="ITC Avant Garde"/>
          <w:sz w:val="21"/>
          <w:szCs w:val="21"/>
        </w:rPr>
        <w:t>s</w:t>
      </w:r>
      <w:r w:rsidR="007C69A8" w:rsidRPr="0008265C">
        <w:rPr>
          <w:rFonts w:ascii="ITC Avant Garde" w:eastAsia="Times New Roman" w:hAnsi="ITC Avant Garde"/>
          <w:sz w:val="21"/>
          <w:szCs w:val="21"/>
        </w:rPr>
        <w:t xml:space="preserve"> al público en general en formato de hoja de cálculo, para facilitar la comprensión de los principios de diseño desarrollados a lo largo del documento y aportar una transparencia total a los principales actores del mercado en cuanto a su construcción. Asimismo, ofrece a los participantes la posibilidad de incorporar sus comentarios, tanto a los principios de diseño utilizados, como a los parámetros específicos empleados en su construcción, sustentando debidamente sus argumentos.</w:t>
      </w:r>
    </w:p>
    <w:p w14:paraId="05D95C04" w14:textId="77777777" w:rsidR="007C69A8" w:rsidRPr="0008265C" w:rsidRDefault="007C69A8" w:rsidP="007C69A8">
      <w:pPr>
        <w:spacing w:after="0"/>
        <w:jc w:val="both"/>
        <w:rPr>
          <w:rFonts w:ascii="ITC Avant Garde" w:eastAsia="Times New Roman" w:hAnsi="ITC Avant Garde"/>
          <w:sz w:val="21"/>
          <w:szCs w:val="21"/>
        </w:rPr>
      </w:pPr>
    </w:p>
    <w:p w14:paraId="05D95C07" w14:textId="7D71DD08" w:rsidR="007C69A8" w:rsidRPr="0008265C" w:rsidRDefault="007E311D" w:rsidP="007C69A8">
      <w:pPr>
        <w:spacing w:after="0"/>
        <w:jc w:val="both"/>
        <w:rPr>
          <w:rFonts w:ascii="ITC Avant Garde" w:eastAsia="Times New Roman" w:hAnsi="ITC Avant Garde"/>
          <w:sz w:val="21"/>
          <w:szCs w:val="21"/>
        </w:rPr>
      </w:pPr>
      <w:r w:rsidRPr="0008265C">
        <w:rPr>
          <w:rFonts w:ascii="ITC Avant Garde" w:eastAsia="Times New Roman" w:hAnsi="ITC Avant Garde"/>
          <w:sz w:val="21"/>
          <w:szCs w:val="21"/>
        </w:rPr>
        <w:t>Los</w:t>
      </w:r>
      <w:r w:rsidR="00217576" w:rsidRPr="0008265C">
        <w:rPr>
          <w:rFonts w:ascii="ITC Avant Garde" w:eastAsia="Times New Roman" w:hAnsi="ITC Avant Garde"/>
          <w:sz w:val="21"/>
          <w:szCs w:val="21"/>
        </w:rPr>
        <w:t xml:space="preserve"> Modelo</w:t>
      </w:r>
      <w:r w:rsidRPr="0008265C">
        <w:rPr>
          <w:rFonts w:ascii="ITC Avant Garde" w:eastAsia="Times New Roman" w:hAnsi="ITC Avant Garde"/>
          <w:sz w:val="21"/>
          <w:szCs w:val="21"/>
        </w:rPr>
        <w:t>s</w:t>
      </w:r>
      <w:r w:rsidR="00217576" w:rsidRPr="0008265C">
        <w:rPr>
          <w:rFonts w:ascii="ITC Avant Garde" w:eastAsia="Times New Roman" w:hAnsi="ITC Avant Garde"/>
          <w:sz w:val="21"/>
          <w:szCs w:val="21"/>
        </w:rPr>
        <w:t xml:space="preserve"> de Costos del servicio </w:t>
      </w:r>
      <w:r w:rsidRPr="0008265C">
        <w:rPr>
          <w:rFonts w:ascii="ITC Avant Garde" w:eastAsia="Times New Roman" w:hAnsi="ITC Avant Garde"/>
          <w:sz w:val="21"/>
          <w:szCs w:val="21"/>
        </w:rPr>
        <w:t xml:space="preserve">mayorista para la comercialización o reventa </w:t>
      </w:r>
      <w:r w:rsidR="008B2920" w:rsidRPr="0008265C">
        <w:rPr>
          <w:rFonts w:ascii="ITC Avant Garde" w:eastAsia="Times New Roman" w:hAnsi="ITC Avant Garde"/>
          <w:sz w:val="21"/>
          <w:szCs w:val="21"/>
        </w:rPr>
        <w:t>de servicios</w:t>
      </w:r>
      <w:r w:rsidRPr="0008265C">
        <w:rPr>
          <w:rFonts w:ascii="ITC Avant Garde" w:eastAsia="Times New Roman" w:hAnsi="ITC Avant Garde"/>
          <w:sz w:val="21"/>
          <w:szCs w:val="21"/>
        </w:rPr>
        <w:t xml:space="preserve"> y del servicio mayorista de Usuario Visitante</w:t>
      </w:r>
      <w:r w:rsidR="00217576" w:rsidRPr="0008265C" w:rsidDel="00217576">
        <w:rPr>
          <w:rFonts w:ascii="ITC Avant Garde" w:eastAsia="Times New Roman" w:hAnsi="ITC Avant Garde"/>
          <w:sz w:val="21"/>
          <w:szCs w:val="21"/>
        </w:rPr>
        <w:t xml:space="preserve"> </w:t>
      </w:r>
      <w:r w:rsidR="007C69A8" w:rsidRPr="0008265C">
        <w:rPr>
          <w:rFonts w:ascii="ITC Avant Garde" w:eastAsia="Times New Roman" w:hAnsi="ITC Avant Garde"/>
          <w:sz w:val="21"/>
          <w:szCs w:val="21"/>
        </w:rPr>
        <w:t>muestra</w:t>
      </w:r>
      <w:r w:rsidRPr="0008265C">
        <w:rPr>
          <w:rFonts w:ascii="ITC Avant Garde" w:eastAsia="Times New Roman" w:hAnsi="ITC Avant Garde"/>
          <w:sz w:val="21"/>
          <w:szCs w:val="21"/>
        </w:rPr>
        <w:t>n</w:t>
      </w:r>
      <w:r w:rsidR="007C69A8" w:rsidRPr="0008265C">
        <w:rPr>
          <w:rFonts w:ascii="ITC Avant Garde" w:eastAsia="Times New Roman" w:hAnsi="ITC Avant Garde"/>
          <w:sz w:val="21"/>
          <w:szCs w:val="21"/>
        </w:rPr>
        <w:t xml:space="preserve"> resultados de las tarifas por la prestación de</w:t>
      </w:r>
      <w:r w:rsidRPr="0008265C">
        <w:rPr>
          <w:rFonts w:ascii="ITC Avant Garde" w:eastAsia="Times New Roman" w:hAnsi="ITC Avant Garde"/>
          <w:sz w:val="21"/>
          <w:szCs w:val="21"/>
        </w:rPr>
        <w:t xml:space="preserve"> dichos servicios</w:t>
      </w:r>
      <w:r w:rsidR="007C69A8" w:rsidRPr="0008265C">
        <w:rPr>
          <w:rFonts w:ascii="ITC Avant Garde" w:eastAsia="Times New Roman" w:hAnsi="ITC Avant Garde"/>
          <w:sz w:val="21"/>
          <w:szCs w:val="21"/>
        </w:rPr>
        <w:t>, a partir de la estructura de los parámetros predeterminados por el Instituto, con el fin de que sirvan como referencia a los interesados</w:t>
      </w:r>
      <w:r w:rsidR="001A2CFD" w:rsidRPr="0008265C">
        <w:rPr>
          <w:rFonts w:ascii="ITC Avant Garde" w:eastAsia="Times New Roman" w:hAnsi="ITC Avant Garde"/>
          <w:sz w:val="21"/>
          <w:szCs w:val="21"/>
        </w:rPr>
        <w:t xml:space="preserve">, </w:t>
      </w:r>
      <w:r w:rsidR="004727D7" w:rsidRPr="0008265C">
        <w:rPr>
          <w:rFonts w:ascii="ITC Avant Garde" w:eastAsia="Times New Roman" w:hAnsi="ITC Avant Garde"/>
          <w:sz w:val="21"/>
          <w:szCs w:val="21"/>
        </w:rPr>
        <w:t>sin entenderse con ello que se trata de tarifas definitivas</w:t>
      </w:r>
      <w:r w:rsidR="007C69A8" w:rsidRPr="0008265C">
        <w:rPr>
          <w:rFonts w:ascii="ITC Avant Garde" w:eastAsia="Times New Roman" w:hAnsi="ITC Avant Garde"/>
          <w:sz w:val="21"/>
          <w:szCs w:val="21"/>
        </w:rPr>
        <w:t xml:space="preserve">. Como se mencionó con anterioridad, el objetivo de la Consulta Pública </w:t>
      </w:r>
      <w:r w:rsidR="007C69A8" w:rsidRPr="0008265C">
        <w:rPr>
          <w:rFonts w:ascii="ITC Avant Garde" w:eastAsia="Times New Roman" w:hAnsi="ITC Avant Garde"/>
          <w:sz w:val="21"/>
          <w:szCs w:val="21"/>
        </w:rPr>
        <w:lastRenderedPageBreak/>
        <w:t>es el análisis de</w:t>
      </w:r>
      <w:r w:rsidRPr="0008265C">
        <w:rPr>
          <w:rFonts w:ascii="ITC Avant Garde" w:eastAsia="Times New Roman" w:hAnsi="ITC Avant Garde"/>
          <w:sz w:val="21"/>
          <w:szCs w:val="21"/>
        </w:rPr>
        <w:t xml:space="preserve"> </w:t>
      </w:r>
      <w:r w:rsidR="007C69A8" w:rsidRPr="0008265C">
        <w:rPr>
          <w:rFonts w:ascii="ITC Avant Garde" w:eastAsia="Times New Roman" w:hAnsi="ITC Avant Garde"/>
          <w:sz w:val="21"/>
          <w:szCs w:val="21"/>
        </w:rPr>
        <w:t>l</w:t>
      </w:r>
      <w:r w:rsidRPr="0008265C">
        <w:rPr>
          <w:rFonts w:ascii="ITC Avant Garde" w:eastAsia="Times New Roman" w:hAnsi="ITC Avant Garde"/>
          <w:sz w:val="21"/>
          <w:szCs w:val="21"/>
        </w:rPr>
        <w:t>os</w:t>
      </w:r>
      <w:r w:rsidR="00217576" w:rsidRPr="0008265C">
        <w:rPr>
          <w:rFonts w:ascii="ITC Avant Garde" w:eastAsia="Times New Roman" w:hAnsi="ITC Avant Garde"/>
          <w:sz w:val="21"/>
          <w:szCs w:val="21"/>
        </w:rPr>
        <w:t xml:space="preserve"> </w:t>
      </w:r>
      <w:r w:rsidR="007C69A8" w:rsidRPr="0008265C">
        <w:rPr>
          <w:rFonts w:ascii="ITC Avant Garde" w:eastAsia="Times New Roman" w:hAnsi="ITC Avant Garde"/>
          <w:sz w:val="21"/>
          <w:szCs w:val="21"/>
        </w:rPr>
        <w:t>Modelo</w:t>
      </w:r>
      <w:r w:rsidRPr="0008265C">
        <w:rPr>
          <w:rFonts w:ascii="ITC Avant Garde" w:eastAsia="Times New Roman" w:hAnsi="ITC Avant Garde"/>
          <w:sz w:val="21"/>
          <w:szCs w:val="21"/>
        </w:rPr>
        <w:t>s</w:t>
      </w:r>
      <w:r w:rsidR="007C69A8" w:rsidRPr="0008265C">
        <w:rPr>
          <w:rFonts w:ascii="ITC Avant Garde" w:eastAsia="Times New Roman" w:hAnsi="ITC Avant Garde"/>
          <w:sz w:val="21"/>
          <w:szCs w:val="21"/>
        </w:rPr>
        <w:t xml:space="preserve"> de Costos, por lo que los resultados podrían modificarse </w:t>
      </w:r>
      <w:r w:rsidR="00BB7090" w:rsidRPr="0008265C">
        <w:rPr>
          <w:rFonts w:ascii="ITC Avant Garde" w:eastAsia="Times New Roman" w:hAnsi="ITC Avant Garde"/>
          <w:sz w:val="21"/>
          <w:szCs w:val="21"/>
        </w:rPr>
        <w:t>en atención a</w:t>
      </w:r>
      <w:r w:rsidR="007C69A8" w:rsidRPr="0008265C">
        <w:rPr>
          <w:rFonts w:ascii="ITC Avant Garde" w:eastAsia="Times New Roman" w:hAnsi="ITC Avant Garde"/>
          <w:sz w:val="21"/>
          <w:szCs w:val="21"/>
        </w:rPr>
        <w:t xml:space="preserve"> circunstancias particulares a cada caso y</w:t>
      </w:r>
      <w:r w:rsidR="002C7CA1" w:rsidRPr="0008265C">
        <w:rPr>
          <w:rFonts w:ascii="ITC Avant Garde" w:eastAsia="Times New Roman" w:hAnsi="ITC Avant Garde"/>
          <w:sz w:val="21"/>
          <w:szCs w:val="21"/>
        </w:rPr>
        <w:t xml:space="preserve"> </w:t>
      </w:r>
      <w:r w:rsidR="007C69A8" w:rsidRPr="0008265C">
        <w:rPr>
          <w:rFonts w:ascii="ITC Avant Garde" w:eastAsia="Times New Roman" w:hAnsi="ITC Avant Garde"/>
          <w:sz w:val="21"/>
          <w:szCs w:val="21"/>
        </w:rPr>
        <w:t>si el Instituto considera procedente realizar algún ajuste a partir de comentarios vertidos a través de la consulta pública.</w:t>
      </w:r>
    </w:p>
    <w:p w14:paraId="05D95C08" w14:textId="77777777" w:rsidR="007E311D" w:rsidRPr="0008265C" w:rsidRDefault="007E311D" w:rsidP="007C69A8">
      <w:pPr>
        <w:spacing w:after="0"/>
        <w:jc w:val="both"/>
        <w:rPr>
          <w:rFonts w:ascii="ITC Avant Garde" w:eastAsia="Times New Roman" w:hAnsi="ITC Avant Garde"/>
          <w:bCs/>
          <w:sz w:val="21"/>
          <w:szCs w:val="21"/>
        </w:rPr>
      </w:pPr>
    </w:p>
    <w:p w14:paraId="05D95C09" w14:textId="14397CA3" w:rsidR="007C69A8" w:rsidRPr="0008265C" w:rsidRDefault="007C69A8" w:rsidP="007C69A8">
      <w:pPr>
        <w:spacing w:after="0"/>
        <w:jc w:val="both"/>
        <w:rPr>
          <w:rFonts w:ascii="ITC Avant Garde" w:eastAsia="Times New Roman" w:hAnsi="ITC Avant Garde"/>
          <w:bCs/>
          <w:sz w:val="21"/>
          <w:szCs w:val="21"/>
        </w:rPr>
      </w:pPr>
      <w:r w:rsidRPr="0008265C">
        <w:rPr>
          <w:rFonts w:ascii="ITC Avant Garde" w:eastAsia="Times New Roman" w:hAnsi="ITC Avant Garde"/>
          <w:bCs/>
          <w:sz w:val="21"/>
          <w:szCs w:val="21"/>
        </w:rPr>
        <w:t xml:space="preserve">Como parte de este procedimiento, se insiste en la necesidad de que el Instituto tenga conocimiento de las opiniones de los integrantes de la industria </w:t>
      </w:r>
      <w:r w:rsidR="00BB7090" w:rsidRPr="0008265C">
        <w:rPr>
          <w:rFonts w:ascii="ITC Avant Garde" w:eastAsia="Times New Roman" w:hAnsi="ITC Avant Garde"/>
          <w:bCs/>
          <w:sz w:val="21"/>
          <w:szCs w:val="21"/>
        </w:rPr>
        <w:t>considerando</w:t>
      </w:r>
      <w:r w:rsidRPr="0008265C">
        <w:rPr>
          <w:rFonts w:ascii="ITC Avant Garde" w:eastAsia="Times New Roman" w:hAnsi="ITC Avant Garde"/>
          <w:bCs/>
          <w:sz w:val="21"/>
          <w:szCs w:val="21"/>
        </w:rPr>
        <w:t xml:space="preserve"> que son ellos quienes intervienen en la operación de las redes públicas de telecomunicaciones, prestación y comercialización de los servicios; ello 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p>
    <w:p w14:paraId="05D95C0A" w14:textId="77777777" w:rsidR="007C69A8" w:rsidRPr="0008265C" w:rsidRDefault="007C69A8" w:rsidP="007C69A8">
      <w:pPr>
        <w:spacing w:after="0"/>
        <w:jc w:val="both"/>
        <w:rPr>
          <w:rFonts w:ascii="ITC Avant Garde" w:eastAsia="Times New Roman" w:hAnsi="ITC Avant Garde"/>
          <w:bCs/>
          <w:sz w:val="21"/>
          <w:szCs w:val="21"/>
        </w:rPr>
      </w:pPr>
    </w:p>
    <w:p w14:paraId="05D95C0B" w14:textId="77777777" w:rsidR="007C69A8" w:rsidRPr="0008265C" w:rsidRDefault="007C69A8" w:rsidP="007C69A8">
      <w:pPr>
        <w:spacing w:after="0"/>
        <w:jc w:val="both"/>
        <w:rPr>
          <w:rFonts w:ascii="ITC Avant Garde" w:eastAsia="Times New Roman" w:hAnsi="ITC Avant Garde"/>
          <w:bCs/>
          <w:sz w:val="21"/>
          <w:szCs w:val="21"/>
        </w:rPr>
      </w:pPr>
      <w:r w:rsidRPr="0008265C">
        <w:rPr>
          <w:rFonts w:ascii="ITC Avant Garde" w:eastAsia="Times New Roman" w:hAnsi="ITC Avant Garde"/>
          <w:sz w:val="21"/>
          <w:szCs w:val="21"/>
        </w:rPr>
        <w:t xml:space="preserve">Es conveniente señalar que </w:t>
      </w:r>
      <w:r w:rsidR="002C3A72" w:rsidRPr="0008265C">
        <w:rPr>
          <w:rFonts w:ascii="ITC Avant Garde" w:eastAsia="Times New Roman" w:hAnsi="ITC Avant Garde"/>
          <w:bCs/>
          <w:sz w:val="21"/>
          <w:szCs w:val="21"/>
        </w:rPr>
        <w:t>el artículo 51 de la Ley</w:t>
      </w:r>
      <w:r w:rsidRPr="0008265C">
        <w:rPr>
          <w:rFonts w:ascii="ITC Avant Garde" w:eastAsia="Times New Roman" w:hAnsi="ITC Avant Garde"/>
          <w:bCs/>
          <w:sz w:val="21"/>
          <w:szCs w:val="21"/>
        </w:rPr>
        <w:t xml:space="preserve"> establece la posibilidad de que el Instituto lleve a cabo consultas públicas en cualquier caso en el que el Pleno determine. Dichas consultas se realizarán bajo los principios de transparencia y participación ciudadana en los términos que determine el Pleno.</w:t>
      </w:r>
    </w:p>
    <w:p w14:paraId="05D95C0C" w14:textId="77777777" w:rsidR="007C69A8" w:rsidRPr="0008265C" w:rsidRDefault="007C69A8" w:rsidP="00591EB7">
      <w:pPr>
        <w:spacing w:after="0"/>
        <w:jc w:val="both"/>
        <w:rPr>
          <w:rFonts w:ascii="ITC Avant Garde" w:eastAsia="Times New Roman" w:hAnsi="ITC Avant Garde"/>
          <w:sz w:val="21"/>
          <w:szCs w:val="21"/>
        </w:rPr>
      </w:pPr>
    </w:p>
    <w:p w14:paraId="05D95C0D" w14:textId="1A0EDB28" w:rsidR="00903A7B" w:rsidRPr="0008265C" w:rsidRDefault="00903A7B" w:rsidP="00903A7B">
      <w:pPr>
        <w:spacing w:after="0"/>
        <w:jc w:val="both"/>
        <w:rPr>
          <w:rFonts w:ascii="ITC Avant Garde" w:hAnsi="ITC Avant Garde" w:cs="Arial"/>
          <w:bCs/>
          <w:sz w:val="21"/>
          <w:szCs w:val="21"/>
        </w:rPr>
      </w:pPr>
      <w:r w:rsidRPr="0008265C">
        <w:rPr>
          <w:rFonts w:ascii="ITC Avant Garde" w:hAnsi="ITC Avant Garde" w:cs="Arial"/>
          <w:bCs/>
          <w:sz w:val="21"/>
          <w:szCs w:val="21"/>
        </w:rPr>
        <w:t>Conforme a lo expuesto, se considera que l</w:t>
      </w:r>
      <w:r w:rsidR="007E311D" w:rsidRPr="0008265C">
        <w:rPr>
          <w:rFonts w:ascii="ITC Avant Garde" w:hAnsi="ITC Avant Garde" w:cs="Arial"/>
          <w:bCs/>
          <w:sz w:val="21"/>
          <w:szCs w:val="21"/>
        </w:rPr>
        <w:t>os</w:t>
      </w:r>
      <w:r w:rsidRPr="0008265C">
        <w:rPr>
          <w:rFonts w:ascii="ITC Avant Garde" w:hAnsi="ITC Avant Garde" w:cs="Arial"/>
          <w:bCs/>
          <w:sz w:val="21"/>
          <w:szCs w:val="21"/>
        </w:rPr>
        <w:t xml:space="preserve"> Modelo</w:t>
      </w:r>
      <w:r w:rsidR="007E311D" w:rsidRPr="0008265C">
        <w:rPr>
          <w:rFonts w:ascii="ITC Avant Garde" w:hAnsi="ITC Avant Garde" w:cs="Arial"/>
          <w:bCs/>
          <w:sz w:val="21"/>
          <w:szCs w:val="21"/>
        </w:rPr>
        <w:t>s</w:t>
      </w:r>
      <w:r w:rsidRPr="0008265C">
        <w:rPr>
          <w:rFonts w:ascii="ITC Avant Garde" w:hAnsi="ITC Avant Garde" w:cs="Arial"/>
          <w:bCs/>
          <w:sz w:val="21"/>
          <w:szCs w:val="21"/>
        </w:rPr>
        <w:t xml:space="preserve"> de Costos </w:t>
      </w:r>
      <w:r w:rsidR="00217576" w:rsidRPr="0008265C">
        <w:rPr>
          <w:rFonts w:ascii="ITC Avant Garde" w:eastAsia="Times New Roman" w:hAnsi="ITC Avant Garde"/>
          <w:sz w:val="21"/>
          <w:szCs w:val="21"/>
        </w:rPr>
        <w:t xml:space="preserve">del servicio </w:t>
      </w:r>
      <w:r w:rsidR="007E311D" w:rsidRPr="0008265C">
        <w:rPr>
          <w:rFonts w:ascii="ITC Avant Garde" w:eastAsia="Times New Roman" w:hAnsi="ITC Avant Garde"/>
          <w:sz w:val="21"/>
          <w:szCs w:val="21"/>
        </w:rPr>
        <w:t>mayorista para la comercialización o reventa de servicios y del servicio mayorista de usuario visitante</w:t>
      </w:r>
      <w:r w:rsidRPr="0008265C">
        <w:rPr>
          <w:rFonts w:ascii="ITC Avant Garde" w:hAnsi="ITC Avant Garde" w:cs="Arial"/>
          <w:bCs/>
          <w:sz w:val="21"/>
          <w:szCs w:val="21"/>
        </w:rPr>
        <w:t>, debe</w:t>
      </w:r>
      <w:r w:rsidR="007E311D" w:rsidRPr="0008265C">
        <w:rPr>
          <w:rFonts w:ascii="ITC Avant Garde" w:hAnsi="ITC Avant Garde" w:cs="Arial"/>
          <w:bCs/>
          <w:sz w:val="21"/>
          <w:szCs w:val="21"/>
        </w:rPr>
        <w:t>n</w:t>
      </w:r>
      <w:r w:rsidRPr="0008265C">
        <w:rPr>
          <w:rFonts w:ascii="ITC Avant Garde" w:hAnsi="ITC Avant Garde" w:cs="Arial"/>
          <w:bCs/>
          <w:sz w:val="21"/>
          <w:szCs w:val="21"/>
        </w:rPr>
        <w:t xml:space="preserve"> estar sujeto</w:t>
      </w:r>
      <w:r w:rsidR="007E311D" w:rsidRPr="0008265C">
        <w:rPr>
          <w:rFonts w:ascii="ITC Avant Garde" w:hAnsi="ITC Avant Garde" w:cs="Arial"/>
          <w:bCs/>
          <w:sz w:val="21"/>
          <w:szCs w:val="21"/>
        </w:rPr>
        <w:t>s</w:t>
      </w:r>
      <w:r w:rsidRPr="0008265C">
        <w:rPr>
          <w:rFonts w:ascii="ITC Avant Garde" w:hAnsi="ITC Avant Garde" w:cs="Arial"/>
          <w:bCs/>
          <w:sz w:val="21"/>
          <w:szCs w:val="21"/>
        </w:rPr>
        <w:t xml:space="preserve"> a un proceso de consulta pública por un periodo de </w:t>
      </w:r>
      <w:r w:rsidR="00255272" w:rsidRPr="0008265C">
        <w:rPr>
          <w:rFonts w:ascii="ITC Avant Garde" w:hAnsi="ITC Avant Garde" w:cs="Arial"/>
          <w:bCs/>
          <w:sz w:val="21"/>
          <w:szCs w:val="21"/>
        </w:rPr>
        <w:t>20</w:t>
      </w:r>
      <w:r w:rsidR="00591EB7" w:rsidRPr="0008265C">
        <w:rPr>
          <w:rFonts w:ascii="ITC Avant Garde" w:hAnsi="ITC Avant Garde" w:cs="Arial"/>
          <w:bCs/>
          <w:sz w:val="21"/>
          <w:szCs w:val="21"/>
        </w:rPr>
        <w:t xml:space="preserve"> (</w:t>
      </w:r>
      <w:r w:rsidR="00255272" w:rsidRPr="0008265C">
        <w:rPr>
          <w:rFonts w:ascii="ITC Avant Garde" w:hAnsi="ITC Avant Garde" w:cs="Arial"/>
          <w:bCs/>
          <w:sz w:val="21"/>
          <w:szCs w:val="21"/>
        </w:rPr>
        <w:t>veinte</w:t>
      </w:r>
      <w:r w:rsidR="00591EB7" w:rsidRPr="0008265C">
        <w:rPr>
          <w:rFonts w:ascii="ITC Avant Garde" w:hAnsi="ITC Avant Garde" w:cs="Arial"/>
          <w:bCs/>
          <w:sz w:val="21"/>
          <w:szCs w:val="21"/>
        </w:rPr>
        <w:t>)</w:t>
      </w:r>
      <w:r w:rsidRPr="0008265C">
        <w:rPr>
          <w:rFonts w:ascii="ITC Avant Garde" w:hAnsi="ITC Avant Garde" w:cs="Arial"/>
          <w:bCs/>
          <w:sz w:val="21"/>
          <w:szCs w:val="21"/>
        </w:rPr>
        <w:t xml:space="preserve"> días </w:t>
      </w:r>
      <w:r w:rsidR="00255272" w:rsidRPr="0008265C">
        <w:rPr>
          <w:rFonts w:ascii="ITC Avant Garde" w:hAnsi="ITC Avant Garde" w:cs="Arial"/>
          <w:bCs/>
          <w:sz w:val="21"/>
          <w:szCs w:val="21"/>
        </w:rPr>
        <w:t>hábiles</w:t>
      </w:r>
      <w:r w:rsidR="000D2589" w:rsidRPr="0008265C">
        <w:rPr>
          <w:rFonts w:ascii="ITC Avant Garde" w:hAnsi="ITC Avant Garde" w:cs="Arial"/>
          <w:bCs/>
          <w:sz w:val="21"/>
          <w:szCs w:val="21"/>
        </w:rPr>
        <w:t xml:space="preserve"> </w:t>
      </w:r>
      <w:r w:rsidRPr="0008265C">
        <w:rPr>
          <w:rFonts w:ascii="ITC Avant Garde" w:hAnsi="ITC Avant Garde" w:cs="Arial"/>
          <w:bCs/>
          <w:sz w:val="21"/>
          <w:szCs w:val="21"/>
        </w:rPr>
        <w:t xml:space="preserve">con el fin de recibir los comentarios y opiniones de la industria, académicos, analistas y sociedad en general </w:t>
      </w:r>
      <w:r w:rsidR="00E745D3" w:rsidRPr="0008265C">
        <w:rPr>
          <w:rFonts w:ascii="ITC Avant Garde" w:hAnsi="ITC Avant Garde" w:cs="Arial"/>
          <w:bCs/>
          <w:sz w:val="21"/>
          <w:szCs w:val="21"/>
        </w:rPr>
        <w:t>a efecto de dar cabal cumplimiento a lo establecido en el dispositivo legal señalado.</w:t>
      </w:r>
    </w:p>
    <w:p w14:paraId="05D95C0E" w14:textId="77777777" w:rsidR="00614187" w:rsidRPr="0008265C" w:rsidRDefault="00614187" w:rsidP="008C150C">
      <w:pPr>
        <w:pStyle w:val="Default"/>
        <w:spacing w:line="276" w:lineRule="auto"/>
        <w:jc w:val="both"/>
        <w:rPr>
          <w:sz w:val="21"/>
          <w:szCs w:val="21"/>
        </w:rPr>
      </w:pPr>
    </w:p>
    <w:p w14:paraId="05D95C0F" w14:textId="77777777" w:rsidR="00F55800" w:rsidRPr="0008265C" w:rsidRDefault="00D17822" w:rsidP="008C150C">
      <w:pPr>
        <w:spacing w:after="0"/>
        <w:jc w:val="both"/>
        <w:rPr>
          <w:rFonts w:ascii="ITC Avant Garde" w:hAnsi="ITC Avant Garde" w:cs="Arial"/>
          <w:bCs/>
          <w:sz w:val="21"/>
          <w:szCs w:val="21"/>
        </w:rPr>
      </w:pPr>
      <w:r w:rsidRPr="0008265C">
        <w:rPr>
          <w:rFonts w:ascii="ITC Avant Garde" w:hAnsi="ITC Avant Garde" w:cs="Arial"/>
          <w:bCs/>
          <w:sz w:val="21"/>
          <w:szCs w:val="21"/>
        </w:rPr>
        <w:t xml:space="preserve">Por </w:t>
      </w:r>
      <w:r w:rsidR="005B5F22" w:rsidRPr="0008265C">
        <w:rPr>
          <w:rFonts w:ascii="ITC Avant Garde" w:hAnsi="ITC Avant Garde" w:cs="Arial"/>
          <w:bCs/>
          <w:sz w:val="21"/>
          <w:szCs w:val="21"/>
        </w:rPr>
        <w:t>lo anterior</w:t>
      </w:r>
      <w:r w:rsidRPr="0008265C">
        <w:rPr>
          <w:rFonts w:ascii="ITC Avant Garde" w:hAnsi="ITC Avant Garde" w:cs="Arial"/>
          <w:bCs/>
          <w:sz w:val="21"/>
          <w:szCs w:val="21"/>
        </w:rPr>
        <w:t xml:space="preserve">, con fundamento en lo dispuesto </w:t>
      </w:r>
      <w:r w:rsidR="005B5F22" w:rsidRPr="0008265C">
        <w:rPr>
          <w:rFonts w:ascii="ITC Avant Garde" w:hAnsi="ITC Avant Garde" w:cs="Arial"/>
          <w:bCs/>
          <w:sz w:val="21"/>
          <w:szCs w:val="21"/>
        </w:rPr>
        <w:t xml:space="preserve">en </w:t>
      </w:r>
      <w:r w:rsidRPr="0008265C">
        <w:rPr>
          <w:rFonts w:ascii="ITC Avant Garde" w:hAnsi="ITC Avant Garde" w:cs="Arial"/>
          <w:bCs/>
          <w:sz w:val="21"/>
          <w:szCs w:val="21"/>
        </w:rPr>
        <w:t xml:space="preserve">los </w:t>
      </w:r>
      <w:r w:rsidR="005B5F22" w:rsidRPr="0008265C">
        <w:rPr>
          <w:rFonts w:ascii="ITC Avant Garde" w:hAnsi="ITC Avant Garde" w:cs="Arial"/>
          <w:bCs/>
          <w:sz w:val="21"/>
          <w:szCs w:val="21"/>
        </w:rPr>
        <w:t xml:space="preserve">artículos 28, </w:t>
      </w:r>
      <w:r w:rsidRPr="0008265C">
        <w:rPr>
          <w:rFonts w:ascii="ITC Avant Garde" w:hAnsi="ITC Avant Garde" w:cs="Arial"/>
          <w:bCs/>
          <w:sz w:val="21"/>
          <w:szCs w:val="21"/>
        </w:rPr>
        <w:t>párrafos décimo quinto</w:t>
      </w:r>
      <w:r w:rsidR="005B5F22" w:rsidRPr="0008265C">
        <w:rPr>
          <w:rFonts w:ascii="ITC Avant Garde" w:hAnsi="ITC Avant Garde" w:cs="Arial"/>
          <w:bCs/>
          <w:sz w:val="21"/>
          <w:szCs w:val="21"/>
        </w:rPr>
        <w:t xml:space="preserve"> y</w:t>
      </w:r>
      <w:r w:rsidRPr="0008265C">
        <w:rPr>
          <w:rFonts w:ascii="ITC Avant Garde" w:hAnsi="ITC Avant Garde" w:cs="Arial"/>
          <w:bCs/>
          <w:sz w:val="21"/>
          <w:szCs w:val="21"/>
        </w:rPr>
        <w:t xml:space="preserve"> décimo sexto de la Constitución Política de los Estados Unidos Mexicanos; 1, 2, 7</w:t>
      </w:r>
      <w:r w:rsidR="00091B9C" w:rsidRPr="0008265C">
        <w:rPr>
          <w:rFonts w:ascii="ITC Avant Garde" w:hAnsi="ITC Avant Garde" w:cs="Arial"/>
          <w:bCs/>
          <w:sz w:val="21"/>
          <w:szCs w:val="21"/>
        </w:rPr>
        <w:t>, 15 fracciones XL y LXIII</w:t>
      </w:r>
      <w:r w:rsidRPr="0008265C">
        <w:rPr>
          <w:rFonts w:ascii="ITC Avant Garde" w:hAnsi="ITC Avant Garde" w:cs="Arial"/>
          <w:bCs/>
          <w:sz w:val="21"/>
          <w:szCs w:val="21"/>
        </w:rPr>
        <w:t xml:space="preserve"> </w:t>
      </w:r>
      <w:r w:rsidR="005B5F22" w:rsidRPr="0008265C">
        <w:rPr>
          <w:rFonts w:ascii="ITC Avant Garde" w:hAnsi="ITC Avant Garde" w:cs="Arial"/>
          <w:bCs/>
          <w:sz w:val="21"/>
          <w:szCs w:val="21"/>
        </w:rPr>
        <w:t xml:space="preserve">y </w:t>
      </w:r>
      <w:r w:rsidRPr="0008265C">
        <w:rPr>
          <w:rFonts w:ascii="ITC Avant Garde" w:hAnsi="ITC Avant Garde" w:cs="Arial"/>
          <w:bCs/>
          <w:sz w:val="21"/>
          <w:szCs w:val="21"/>
        </w:rPr>
        <w:t>51 de la Ley Federal de Telecomunicaciones y Radiodifusión</w:t>
      </w:r>
      <w:r w:rsidR="005B5F22" w:rsidRPr="0008265C">
        <w:rPr>
          <w:rFonts w:ascii="ITC Avant Garde" w:hAnsi="ITC Avant Garde" w:cs="Arial"/>
          <w:bCs/>
          <w:sz w:val="21"/>
          <w:szCs w:val="21"/>
        </w:rPr>
        <w:t>,</w:t>
      </w:r>
      <w:r w:rsidRPr="0008265C">
        <w:rPr>
          <w:rFonts w:ascii="ITC Avant Garde" w:hAnsi="ITC Avant Garde" w:cs="Arial"/>
          <w:bCs/>
          <w:sz w:val="21"/>
          <w:szCs w:val="21"/>
        </w:rPr>
        <w:t xml:space="preserve"> y 1 </w:t>
      </w:r>
      <w:r w:rsidR="005B5F22" w:rsidRPr="0008265C">
        <w:rPr>
          <w:rFonts w:ascii="ITC Avant Garde" w:hAnsi="ITC Avant Garde" w:cs="Arial"/>
          <w:bCs/>
          <w:sz w:val="21"/>
          <w:szCs w:val="21"/>
        </w:rPr>
        <w:t>y</w:t>
      </w:r>
      <w:r w:rsidRPr="0008265C">
        <w:rPr>
          <w:rFonts w:ascii="ITC Avant Garde" w:hAnsi="ITC Avant Garde" w:cs="Arial"/>
          <w:bCs/>
          <w:sz w:val="21"/>
          <w:szCs w:val="21"/>
        </w:rPr>
        <w:t xml:space="preserve"> 4</w:t>
      </w:r>
      <w:r w:rsidR="005B5F22" w:rsidRPr="0008265C">
        <w:rPr>
          <w:rFonts w:ascii="ITC Avant Garde" w:hAnsi="ITC Avant Garde" w:cs="Arial"/>
          <w:bCs/>
          <w:sz w:val="21"/>
          <w:szCs w:val="21"/>
        </w:rPr>
        <w:t>,</w:t>
      </w:r>
      <w:r w:rsidRPr="0008265C">
        <w:rPr>
          <w:rFonts w:ascii="ITC Avant Garde" w:hAnsi="ITC Avant Garde" w:cs="Arial"/>
          <w:bCs/>
          <w:sz w:val="21"/>
          <w:szCs w:val="21"/>
        </w:rPr>
        <w:t xml:space="preserve"> fracción 1</w:t>
      </w:r>
      <w:r w:rsidR="002563E4" w:rsidRPr="0008265C">
        <w:rPr>
          <w:rFonts w:ascii="ITC Avant Garde" w:hAnsi="ITC Avant Garde" w:cs="Arial"/>
          <w:bCs/>
          <w:sz w:val="21"/>
          <w:szCs w:val="21"/>
        </w:rPr>
        <w:t xml:space="preserve"> y 6 fracción XXXVII</w:t>
      </w:r>
      <w:r w:rsidRPr="0008265C">
        <w:rPr>
          <w:rFonts w:ascii="ITC Avant Garde" w:hAnsi="ITC Avant Garde" w:cs="Arial"/>
          <w:bCs/>
          <w:sz w:val="21"/>
          <w:szCs w:val="21"/>
        </w:rPr>
        <w:t xml:space="preserve"> del Estatuto Orgánico del Instituto Federal de Telecomunicaciones, </w:t>
      </w:r>
      <w:r w:rsidR="005B5F22" w:rsidRPr="0008265C">
        <w:rPr>
          <w:rFonts w:ascii="ITC Avant Garde" w:hAnsi="ITC Avant Garde" w:cs="Arial"/>
          <w:bCs/>
          <w:sz w:val="21"/>
          <w:szCs w:val="21"/>
        </w:rPr>
        <w:t xml:space="preserve">se </w:t>
      </w:r>
      <w:r w:rsidRPr="0008265C">
        <w:rPr>
          <w:rFonts w:ascii="ITC Avant Garde" w:hAnsi="ITC Avant Garde" w:cs="Arial"/>
          <w:bCs/>
          <w:sz w:val="21"/>
          <w:szCs w:val="21"/>
        </w:rPr>
        <w:t xml:space="preserve">expide </w:t>
      </w:r>
      <w:r w:rsidR="005B5F22" w:rsidRPr="0008265C">
        <w:rPr>
          <w:rFonts w:ascii="ITC Avant Garde" w:hAnsi="ITC Avant Garde" w:cs="Arial"/>
          <w:bCs/>
          <w:sz w:val="21"/>
          <w:szCs w:val="21"/>
        </w:rPr>
        <w:t xml:space="preserve">el </w:t>
      </w:r>
      <w:r w:rsidRPr="0008265C">
        <w:rPr>
          <w:rFonts w:ascii="ITC Avant Garde" w:hAnsi="ITC Avant Garde" w:cs="Arial"/>
          <w:bCs/>
          <w:sz w:val="21"/>
          <w:szCs w:val="21"/>
        </w:rPr>
        <w:t>siguiente:</w:t>
      </w:r>
    </w:p>
    <w:p w14:paraId="05D95C10" w14:textId="77777777" w:rsidR="0029594B" w:rsidRPr="0008265C" w:rsidRDefault="0029594B" w:rsidP="008C150C">
      <w:pPr>
        <w:spacing w:after="0"/>
        <w:jc w:val="both"/>
        <w:rPr>
          <w:rFonts w:ascii="ITC Avant Garde" w:hAnsi="ITC Avant Garde" w:cs="Arial"/>
          <w:bCs/>
          <w:sz w:val="21"/>
          <w:szCs w:val="21"/>
        </w:rPr>
      </w:pPr>
    </w:p>
    <w:p w14:paraId="05D95C12" w14:textId="77777777" w:rsidR="00BB4ADA" w:rsidRPr="0008265C" w:rsidRDefault="00D17822" w:rsidP="008C150C">
      <w:pPr>
        <w:spacing w:after="0"/>
        <w:jc w:val="center"/>
        <w:rPr>
          <w:rFonts w:ascii="ITC Avant Garde" w:hAnsi="ITC Avant Garde" w:cs="Arial"/>
          <w:b/>
          <w:bCs/>
          <w:sz w:val="21"/>
          <w:szCs w:val="21"/>
        </w:rPr>
      </w:pPr>
      <w:r w:rsidRPr="0008265C">
        <w:rPr>
          <w:rFonts w:ascii="ITC Avant Garde" w:hAnsi="ITC Avant Garde" w:cs="Arial"/>
          <w:b/>
          <w:bCs/>
          <w:sz w:val="21"/>
          <w:szCs w:val="21"/>
        </w:rPr>
        <w:t>ACUERDO</w:t>
      </w:r>
    </w:p>
    <w:p w14:paraId="05D95C13" w14:textId="77777777" w:rsidR="007E7CAD" w:rsidRPr="0008265C" w:rsidRDefault="007E7CAD" w:rsidP="008C150C">
      <w:pPr>
        <w:spacing w:after="0"/>
        <w:jc w:val="both"/>
        <w:rPr>
          <w:rFonts w:ascii="ITC Avant Garde" w:hAnsi="ITC Avant Garde" w:cs="Arial"/>
          <w:bCs/>
          <w:sz w:val="21"/>
          <w:szCs w:val="21"/>
        </w:rPr>
      </w:pPr>
    </w:p>
    <w:p w14:paraId="05D95C14" w14:textId="77777777" w:rsidR="00060DAB" w:rsidRPr="0008265C" w:rsidRDefault="00060DAB" w:rsidP="00060DAB">
      <w:pPr>
        <w:widowControl w:val="0"/>
        <w:spacing w:after="0"/>
        <w:jc w:val="both"/>
        <w:rPr>
          <w:rFonts w:ascii="ITC Avant Garde" w:hAnsi="ITC Avant Garde" w:cs="Arial"/>
          <w:bCs/>
          <w:sz w:val="21"/>
          <w:szCs w:val="21"/>
        </w:rPr>
      </w:pPr>
      <w:r w:rsidRPr="0008265C">
        <w:rPr>
          <w:rFonts w:ascii="ITC Avant Garde" w:hAnsi="ITC Avant Garde" w:cs="Arial"/>
          <w:b/>
          <w:bCs/>
          <w:sz w:val="21"/>
          <w:szCs w:val="21"/>
        </w:rPr>
        <w:t>PRIMERO</w:t>
      </w:r>
      <w:r w:rsidRPr="0008265C">
        <w:rPr>
          <w:rFonts w:ascii="ITC Avant Garde" w:hAnsi="ITC Avant Garde" w:cs="Arial"/>
          <w:bCs/>
          <w:sz w:val="21"/>
          <w:szCs w:val="21"/>
        </w:rPr>
        <w:t xml:space="preserve">.- Se determina someter a consulta pública </w:t>
      </w:r>
      <w:r w:rsidR="00217576" w:rsidRPr="0008265C">
        <w:rPr>
          <w:rFonts w:ascii="ITC Avant Garde" w:hAnsi="ITC Avant Garde" w:cs="Arial"/>
          <w:bCs/>
          <w:sz w:val="21"/>
          <w:szCs w:val="21"/>
        </w:rPr>
        <w:t>el</w:t>
      </w:r>
      <w:r w:rsidRPr="0008265C">
        <w:rPr>
          <w:rFonts w:ascii="ITC Avant Garde" w:eastAsia="Times New Roman" w:hAnsi="ITC Avant Garde"/>
          <w:b/>
          <w:sz w:val="21"/>
          <w:szCs w:val="21"/>
        </w:rPr>
        <w:t xml:space="preserve"> MODELO DE COSTOS PARA </w:t>
      </w:r>
      <w:r w:rsidR="00217576" w:rsidRPr="0008265C">
        <w:rPr>
          <w:rFonts w:ascii="ITC Avant Garde" w:eastAsia="Times New Roman" w:hAnsi="ITC Avant Garde"/>
          <w:b/>
          <w:sz w:val="21"/>
          <w:szCs w:val="21"/>
        </w:rPr>
        <w:t xml:space="preserve">EL SERVICIO </w:t>
      </w:r>
      <w:r w:rsidR="007E311D" w:rsidRPr="0008265C">
        <w:rPr>
          <w:rFonts w:ascii="ITC Avant Garde" w:eastAsia="Times New Roman" w:hAnsi="ITC Avant Garde"/>
          <w:b/>
          <w:sz w:val="21"/>
          <w:szCs w:val="21"/>
        </w:rPr>
        <w:t>MAYORISTA DE COMERCIALIZACIÓN O REVENTA DE SE</w:t>
      </w:r>
      <w:r w:rsidR="00272FFE" w:rsidRPr="0008265C">
        <w:rPr>
          <w:rFonts w:ascii="ITC Avant Garde" w:eastAsia="Times New Roman" w:hAnsi="ITC Avant Garde"/>
          <w:b/>
          <w:sz w:val="21"/>
          <w:szCs w:val="21"/>
        </w:rPr>
        <w:t>R</w:t>
      </w:r>
      <w:r w:rsidR="007E311D" w:rsidRPr="0008265C">
        <w:rPr>
          <w:rFonts w:ascii="ITC Avant Garde" w:eastAsia="Times New Roman" w:hAnsi="ITC Avant Garde"/>
          <w:b/>
          <w:sz w:val="21"/>
          <w:szCs w:val="21"/>
        </w:rPr>
        <w:t>VICIOS Y EL MODELO DE COSTOS PARA EL SERVICIO MAYORISTA DE USUARIO VISITANTE</w:t>
      </w:r>
      <w:r w:rsidRPr="0008265C">
        <w:rPr>
          <w:rFonts w:ascii="ITC Avant Garde" w:eastAsia="Times New Roman" w:hAnsi="ITC Avant Garde"/>
          <w:b/>
          <w:sz w:val="21"/>
          <w:szCs w:val="21"/>
        </w:rPr>
        <w:t xml:space="preserve"> QUE SERÁ</w:t>
      </w:r>
      <w:r w:rsidR="007E311D" w:rsidRPr="0008265C">
        <w:rPr>
          <w:rFonts w:ascii="ITC Avant Garde" w:eastAsia="Times New Roman" w:hAnsi="ITC Avant Garde"/>
          <w:b/>
          <w:sz w:val="21"/>
          <w:szCs w:val="21"/>
        </w:rPr>
        <w:t>N</w:t>
      </w:r>
      <w:r w:rsidRPr="0008265C">
        <w:rPr>
          <w:rFonts w:ascii="ITC Avant Garde" w:eastAsia="Times New Roman" w:hAnsi="ITC Avant Garde"/>
          <w:b/>
          <w:sz w:val="21"/>
          <w:szCs w:val="21"/>
        </w:rPr>
        <w:t xml:space="preserve"> PRESTADOS POR EL AGENTE ECONÓMICO PREPONDERANTE EN EL SECTOR DE LAS TELECOMUNICACIONES, </w:t>
      </w:r>
      <w:r w:rsidRPr="0008265C">
        <w:rPr>
          <w:rFonts w:ascii="ITC Avant Garde" w:hAnsi="ITC Avant Garde" w:cs="Arial"/>
          <w:bCs/>
          <w:sz w:val="21"/>
          <w:szCs w:val="21"/>
        </w:rPr>
        <w:t xml:space="preserve">por un plazo de </w:t>
      </w:r>
      <w:r w:rsidR="00272FFE" w:rsidRPr="0008265C">
        <w:rPr>
          <w:rFonts w:ascii="ITC Avant Garde" w:hAnsi="ITC Avant Garde" w:cs="Arial"/>
          <w:bCs/>
          <w:sz w:val="21"/>
          <w:szCs w:val="21"/>
        </w:rPr>
        <w:t>2</w:t>
      </w:r>
      <w:r w:rsidRPr="0008265C">
        <w:rPr>
          <w:rFonts w:ascii="ITC Avant Garde" w:hAnsi="ITC Avant Garde" w:cs="Arial"/>
          <w:bCs/>
          <w:sz w:val="21"/>
          <w:szCs w:val="21"/>
        </w:rPr>
        <w:t>0 (</w:t>
      </w:r>
      <w:r w:rsidR="00272FFE" w:rsidRPr="0008265C">
        <w:rPr>
          <w:rFonts w:ascii="ITC Avant Garde" w:hAnsi="ITC Avant Garde" w:cs="Arial"/>
          <w:bCs/>
          <w:sz w:val="21"/>
          <w:szCs w:val="21"/>
        </w:rPr>
        <w:t>veinte</w:t>
      </w:r>
      <w:r w:rsidRPr="0008265C">
        <w:rPr>
          <w:rFonts w:ascii="ITC Avant Garde" w:hAnsi="ITC Avant Garde" w:cs="Arial"/>
          <w:bCs/>
          <w:sz w:val="21"/>
          <w:szCs w:val="21"/>
        </w:rPr>
        <w:t xml:space="preserve">) días </w:t>
      </w:r>
      <w:r w:rsidR="00272FFE" w:rsidRPr="0008265C">
        <w:rPr>
          <w:rFonts w:ascii="ITC Avant Garde" w:hAnsi="ITC Avant Garde" w:cs="Arial"/>
          <w:bCs/>
          <w:sz w:val="21"/>
          <w:szCs w:val="21"/>
        </w:rPr>
        <w:t>hábiles</w:t>
      </w:r>
      <w:r w:rsidR="00C323B2" w:rsidRPr="0008265C">
        <w:rPr>
          <w:rFonts w:ascii="ITC Avant Garde" w:hAnsi="ITC Avant Garde" w:cs="Arial"/>
          <w:bCs/>
          <w:sz w:val="21"/>
          <w:szCs w:val="21"/>
        </w:rPr>
        <w:t xml:space="preserve"> </w:t>
      </w:r>
      <w:r w:rsidRPr="0008265C">
        <w:rPr>
          <w:rFonts w:ascii="ITC Avant Garde" w:hAnsi="ITC Avant Garde" w:cs="Arial"/>
          <w:bCs/>
          <w:sz w:val="21"/>
          <w:szCs w:val="21"/>
        </w:rPr>
        <w:t xml:space="preserve">contados a partir del día hábil siguiente al de su publicación en el portal de Internet del Instituto Federal de Telecomunicaciones. </w:t>
      </w:r>
    </w:p>
    <w:p w14:paraId="05D95C15" w14:textId="77777777" w:rsidR="00647524" w:rsidRDefault="00647524" w:rsidP="00060DAB">
      <w:pPr>
        <w:widowControl w:val="0"/>
        <w:spacing w:after="0"/>
        <w:jc w:val="both"/>
        <w:rPr>
          <w:rFonts w:ascii="ITC Avant Garde" w:hAnsi="ITC Avant Garde" w:cs="Arial"/>
          <w:bCs/>
          <w:sz w:val="21"/>
          <w:szCs w:val="21"/>
        </w:rPr>
      </w:pPr>
    </w:p>
    <w:p w14:paraId="3D9D79CA" w14:textId="77777777" w:rsidR="0008265C" w:rsidRDefault="0008265C" w:rsidP="00060DAB">
      <w:pPr>
        <w:widowControl w:val="0"/>
        <w:spacing w:after="0"/>
        <w:jc w:val="both"/>
        <w:rPr>
          <w:rFonts w:ascii="ITC Avant Garde" w:hAnsi="ITC Avant Garde" w:cs="Arial"/>
          <w:bCs/>
          <w:sz w:val="21"/>
          <w:szCs w:val="21"/>
        </w:rPr>
      </w:pPr>
    </w:p>
    <w:p w14:paraId="5D560948" w14:textId="77777777" w:rsidR="0008265C" w:rsidRPr="0008265C" w:rsidRDefault="0008265C" w:rsidP="00060DAB">
      <w:pPr>
        <w:widowControl w:val="0"/>
        <w:spacing w:after="0"/>
        <w:jc w:val="both"/>
        <w:rPr>
          <w:rFonts w:ascii="ITC Avant Garde" w:hAnsi="ITC Avant Garde" w:cs="Arial"/>
          <w:bCs/>
          <w:sz w:val="21"/>
          <w:szCs w:val="21"/>
        </w:rPr>
      </w:pPr>
    </w:p>
    <w:p w14:paraId="05D95C16" w14:textId="77777777" w:rsidR="00864BEB" w:rsidRPr="0008265C" w:rsidRDefault="0042271F" w:rsidP="008C150C">
      <w:pPr>
        <w:spacing w:after="0"/>
        <w:jc w:val="both"/>
        <w:rPr>
          <w:rFonts w:ascii="ITC Avant Garde" w:hAnsi="ITC Avant Garde" w:cs="Arial"/>
          <w:bCs/>
          <w:sz w:val="21"/>
          <w:szCs w:val="21"/>
        </w:rPr>
      </w:pPr>
      <w:r w:rsidRPr="0008265C">
        <w:rPr>
          <w:rFonts w:ascii="ITC Avant Garde" w:hAnsi="ITC Avant Garde" w:cs="Arial"/>
          <w:b/>
          <w:bCs/>
          <w:sz w:val="21"/>
          <w:szCs w:val="21"/>
        </w:rPr>
        <w:lastRenderedPageBreak/>
        <w:t>SEGUNDO</w:t>
      </w:r>
      <w:r w:rsidR="008A5B12" w:rsidRPr="0008265C">
        <w:rPr>
          <w:rFonts w:ascii="ITC Avant Garde" w:hAnsi="ITC Avant Garde" w:cs="Arial"/>
          <w:bCs/>
          <w:sz w:val="21"/>
          <w:szCs w:val="21"/>
        </w:rPr>
        <w:t>.-</w:t>
      </w:r>
      <w:r w:rsidR="008A5B12" w:rsidRPr="0008265C">
        <w:rPr>
          <w:rFonts w:ascii="ITC Avant Garde" w:hAnsi="ITC Avant Garde" w:cs="Tahoma"/>
          <w:bCs/>
          <w:sz w:val="21"/>
          <w:szCs w:val="21"/>
          <w:lang w:eastAsia="es-MX"/>
        </w:rPr>
        <w:t xml:space="preserve"> Se instruye a la Unidad de Política Regulatoria a través de la Dirección General de Regulación de Interconexión y Reventa de Servicios de Telecomunicaciones, a recibir y dar la atención que corresponda a las opiniones que sean vertidas en virtud de la consulta pública correspondiente</w:t>
      </w:r>
      <w:r w:rsidR="005B5F22" w:rsidRPr="0008265C">
        <w:rPr>
          <w:rFonts w:ascii="ITC Avant Garde" w:hAnsi="ITC Avant Garde" w:cs="Arial"/>
          <w:bCs/>
          <w:sz w:val="21"/>
          <w:szCs w:val="21"/>
        </w:rPr>
        <w:t>.</w:t>
      </w:r>
    </w:p>
    <w:p w14:paraId="38A6056C" w14:textId="77777777" w:rsidR="00B26E66" w:rsidRPr="0008265C" w:rsidRDefault="00B26E66" w:rsidP="008C150C">
      <w:pPr>
        <w:spacing w:after="0"/>
        <w:jc w:val="both"/>
        <w:rPr>
          <w:rFonts w:ascii="ITC Avant Garde" w:hAnsi="ITC Avant Garde" w:cs="Arial"/>
          <w:bCs/>
          <w:sz w:val="21"/>
          <w:szCs w:val="21"/>
        </w:rPr>
      </w:pPr>
    </w:p>
    <w:p w14:paraId="05D95C18" w14:textId="77777777" w:rsidR="008A5B12" w:rsidRPr="0008265C" w:rsidRDefault="0042271F" w:rsidP="008A5B12">
      <w:pPr>
        <w:autoSpaceDE w:val="0"/>
        <w:autoSpaceDN w:val="0"/>
        <w:adjustRightInd w:val="0"/>
        <w:ind w:right="-285"/>
        <w:jc w:val="both"/>
        <w:rPr>
          <w:rFonts w:ascii="ITC Avant Garde" w:hAnsi="ITC Avant Garde" w:cs="Tahoma"/>
          <w:bCs/>
          <w:sz w:val="21"/>
          <w:szCs w:val="21"/>
          <w:lang w:eastAsia="es-MX"/>
        </w:rPr>
      </w:pPr>
      <w:r w:rsidRPr="0008265C">
        <w:rPr>
          <w:rFonts w:ascii="ITC Avant Garde" w:hAnsi="ITC Avant Garde" w:cs="Arial"/>
          <w:b/>
          <w:bCs/>
          <w:sz w:val="21"/>
          <w:szCs w:val="21"/>
        </w:rPr>
        <w:t>TERCERO</w:t>
      </w:r>
      <w:r w:rsidRPr="0008265C">
        <w:rPr>
          <w:rFonts w:ascii="ITC Avant Garde" w:hAnsi="ITC Avant Garde" w:cs="Arial"/>
          <w:bCs/>
          <w:sz w:val="21"/>
          <w:szCs w:val="21"/>
        </w:rPr>
        <w:t>.- Publíquese</w:t>
      </w:r>
      <w:r w:rsidR="003252F8" w:rsidRPr="0008265C">
        <w:rPr>
          <w:rFonts w:ascii="ITC Avant Garde" w:hAnsi="ITC Avant Garde" w:cs="Arial"/>
          <w:bCs/>
          <w:sz w:val="21"/>
          <w:szCs w:val="21"/>
        </w:rPr>
        <w:t xml:space="preserve"> </w:t>
      </w:r>
      <w:r w:rsidR="008A5B12" w:rsidRPr="0008265C">
        <w:rPr>
          <w:rFonts w:ascii="ITC Avant Garde" w:hAnsi="ITC Avant Garde" w:cs="Tahoma"/>
          <w:bCs/>
          <w:sz w:val="21"/>
          <w:szCs w:val="21"/>
          <w:lang w:eastAsia="es-MX"/>
        </w:rPr>
        <w:t>en la página de Internet del Instituto Federal de Telecomunicaciones.</w:t>
      </w:r>
    </w:p>
    <w:p w14:paraId="05D95C19" w14:textId="77777777" w:rsidR="008B2920" w:rsidRPr="0008265C" w:rsidRDefault="008B2920" w:rsidP="008C150C">
      <w:pPr>
        <w:spacing w:after="0"/>
        <w:jc w:val="both"/>
        <w:rPr>
          <w:rFonts w:ascii="ITC Avant Garde" w:hAnsi="ITC Avant Garde" w:cs="Arial"/>
          <w:bCs/>
          <w:sz w:val="21"/>
          <w:szCs w:val="21"/>
        </w:rPr>
      </w:pPr>
    </w:p>
    <w:p w14:paraId="05D95C1A" w14:textId="77777777" w:rsidR="00FF51F9" w:rsidRPr="0008265C" w:rsidRDefault="00FF51F9" w:rsidP="007E7CAD">
      <w:pPr>
        <w:spacing w:after="0" w:line="240" w:lineRule="auto"/>
        <w:jc w:val="both"/>
        <w:rPr>
          <w:rFonts w:ascii="ITC Avant Garde" w:hAnsi="ITC Avant Garde" w:cs="Arial"/>
          <w:bCs/>
          <w:sz w:val="21"/>
          <w:szCs w:val="21"/>
        </w:rPr>
      </w:pPr>
    </w:p>
    <w:p w14:paraId="05D95C1B" w14:textId="77777777" w:rsidR="000277EE" w:rsidRPr="0008265C" w:rsidRDefault="000277EE" w:rsidP="007E7CAD">
      <w:pPr>
        <w:spacing w:after="0" w:line="240" w:lineRule="auto"/>
        <w:jc w:val="both"/>
        <w:rPr>
          <w:rFonts w:ascii="ITC Avant Garde" w:hAnsi="ITC Avant Garde" w:cs="Arial"/>
          <w:bCs/>
          <w:sz w:val="21"/>
          <w:szCs w:val="21"/>
        </w:rPr>
      </w:pPr>
    </w:p>
    <w:p w14:paraId="05D95C1C" w14:textId="77777777" w:rsidR="008A36BF" w:rsidRDefault="008A36BF" w:rsidP="007E7CAD">
      <w:pPr>
        <w:spacing w:after="0" w:line="240" w:lineRule="auto"/>
        <w:jc w:val="both"/>
        <w:rPr>
          <w:rFonts w:ascii="ITC Avant Garde" w:hAnsi="ITC Avant Garde" w:cs="Arial"/>
          <w:bCs/>
          <w:sz w:val="21"/>
          <w:szCs w:val="21"/>
        </w:rPr>
      </w:pPr>
    </w:p>
    <w:p w14:paraId="4FC036DB" w14:textId="77777777" w:rsidR="00E45451" w:rsidRDefault="00E45451" w:rsidP="007E7CAD">
      <w:pPr>
        <w:spacing w:after="0" w:line="240" w:lineRule="auto"/>
        <w:jc w:val="both"/>
        <w:rPr>
          <w:rFonts w:ascii="ITC Avant Garde" w:hAnsi="ITC Avant Garde" w:cs="Arial"/>
          <w:bCs/>
          <w:sz w:val="21"/>
          <w:szCs w:val="21"/>
        </w:rPr>
      </w:pPr>
    </w:p>
    <w:p w14:paraId="1C05517E" w14:textId="77777777" w:rsidR="00E45451" w:rsidRPr="0008265C" w:rsidRDefault="00E45451" w:rsidP="007E7CAD">
      <w:pPr>
        <w:spacing w:after="0" w:line="240" w:lineRule="auto"/>
        <w:jc w:val="both"/>
        <w:rPr>
          <w:rFonts w:ascii="ITC Avant Garde" w:hAnsi="ITC Avant Garde" w:cs="Arial"/>
          <w:bCs/>
          <w:sz w:val="21"/>
          <w:szCs w:val="21"/>
        </w:rPr>
      </w:pPr>
    </w:p>
    <w:p w14:paraId="05D95C1D" w14:textId="77777777" w:rsidR="008A36BF" w:rsidRPr="0008265C" w:rsidRDefault="008A36BF" w:rsidP="007E7CAD">
      <w:pPr>
        <w:spacing w:after="0" w:line="240" w:lineRule="auto"/>
        <w:jc w:val="both"/>
        <w:rPr>
          <w:rFonts w:ascii="ITC Avant Garde" w:hAnsi="ITC Avant Garde" w:cs="Arial"/>
          <w:bCs/>
          <w:sz w:val="21"/>
          <w:szCs w:val="21"/>
        </w:rPr>
      </w:pPr>
    </w:p>
    <w:p w14:paraId="05D95C1E" w14:textId="77777777" w:rsidR="008A36BF" w:rsidRPr="0008265C" w:rsidRDefault="008A36BF" w:rsidP="007E7CAD">
      <w:pPr>
        <w:spacing w:after="0" w:line="240" w:lineRule="auto"/>
        <w:jc w:val="both"/>
        <w:rPr>
          <w:rFonts w:ascii="ITC Avant Garde" w:hAnsi="ITC Avant Garde" w:cs="Arial"/>
          <w:bCs/>
          <w:sz w:val="21"/>
          <w:szCs w:val="21"/>
        </w:rPr>
      </w:pPr>
    </w:p>
    <w:p w14:paraId="05D95C1F" w14:textId="77777777" w:rsidR="0042271F" w:rsidRPr="0008265C" w:rsidRDefault="0042271F" w:rsidP="007E7CAD">
      <w:pPr>
        <w:spacing w:after="0" w:line="240" w:lineRule="auto"/>
        <w:jc w:val="both"/>
        <w:rPr>
          <w:rFonts w:ascii="ITC Avant Garde" w:hAnsi="ITC Avant Garde" w:cs="Arial"/>
          <w:bCs/>
          <w:sz w:val="21"/>
          <w:szCs w:val="21"/>
        </w:rPr>
      </w:pPr>
    </w:p>
    <w:tbl>
      <w:tblPr>
        <w:tblW w:w="8497" w:type="dxa"/>
        <w:jc w:val="center"/>
        <w:tblCellMar>
          <w:left w:w="70" w:type="dxa"/>
          <w:right w:w="70" w:type="dxa"/>
        </w:tblCellMar>
        <w:tblLook w:val="04A0" w:firstRow="1" w:lastRow="0" w:firstColumn="1" w:lastColumn="0" w:noHBand="0" w:noVBand="1"/>
      </w:tblPr>
      <w:tblGrid>
        <w:gridCol w:w="1437"/>
        <w:gridCol w:w="2244"/>
        <w:gridCol w:w="992"/>
        <w:gridCol w:w="2591"/>
        <w:gridCol w:w="1233"/>
      </w:tblGrid>
      <w:tr w:rsidR="00E45451" w14:paraId="2FD15E00" w14:textId="77777777" w:rsidTr="00E45451">
        <w:trPr>
          <w:gridAfter w:val="1"/>
          <w:wAfter w:w="1233" w:type="dxa"/>
          <w:trHeight w:val="246"/>
          <w:jc w:val="center"/>
        </w:trPr>
        <w:tc>
          <w:tcPr>
            <w:tcW w:w="1437" w:type="dxa"/>
            <w:vAlign w:val="center"/>
          </w:tcPr>
          <w:p w14:paraId="4266F68D" w14:textId="77777777" w:rsidR="00E45451" w:rsidRDefault="00E45451">
            <w:pPr>
              <w:spacing w:after="0" w:line="240" w:lineRule="auto"/>
              <w:ind w:right="49"/>
              <w:contextualSpacing/>
              <w:jc w:val="both"/>
              <w:rPr>
                <w:rFonts w:ascii="ITC Avant Garde" w:eastAsia="Times New Roman" w:hAnsi="ITC Avant Garde"/>
                <w:b/>
                <w:bCs/>
                <w:lang w:eastAsia="es-MX"/>
              </w:rPr>
            </w:pPr>
          </w:p>
        </w:tc>
        <w:tc>
          <w:tcPr>
            <w:tcW w:w="5827" w:type="dxa"/>
            <w:gridSpan w:val="3"/>
            <w:vAlign w:val="center"/>
            <w:hideMark/>
          </w:tcPr>
          <w:p w14:paraId="030D49B5"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Gabriel Oswaldo Contreras Saldívar</w:t>
            </w:r>
          </w:p>
        </w:tc>
      </w:tr>
      <w:tr w:rsidR="00E45451" w14:paraId="158952C9" w14:textId="77777777" w:rsidTr="00E45451">
        <w:trPr>
          <w:trHeight w:val="246"/>
          <w:jc w:val="center"/>
        </w:trPr>
        <w:tc>
          <w:tcPr>
            <w:tcW w:w="8497" w:type="dxa"/>
            <w:gridSpan w:val="5"/>
            <w:vAlign w:val="center"/>
            <w:hideMark/>
          </w:tcPr>
          <w:p w14:paraId="0E0FF727"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Comisionado Presidente</w:t>
            </w:r>
          </w:p>
        </w:tc>
      </w:tr>
      <w:tr w:rsidR="00E45451" w14:paraId="41BBA82F" w14:textId="77777777" w:rsidTr="00E45451">
        <w:trPr>
          <w:trHeight w:val="236"/>
          <w:jc w:val="center"/>
        </w:trPr>
        <w:tc>
          <w:tcPr>
            <w:tcW w:w="3681" w:type="dxa"/>
            <w:gridSpan w:val="2"/>
            <w:vAlign w:val="center"/>
          </w:tcPr>
          <w:p w14:paraId="5039A4A9" w14:textId="77777777" w:rsidR="00E45451" w:rsidRDefault="00E45451">
            <w:pPr>
              <w:spacing w:after="0" w:line="240" w:lineRule="auto"/>
              <w:ind w:right="49"/>
              <w:contextualSpacing/>
              <w:jc w:val="both"/>
              <w:rPr>
                <w:rFonts w:ascii="ITC Avant Garde" w:eastAsia="Times New Roman" w:hAnsi="ITC Avant Garde"/>
                <w:b/>
                <w:bCs/>
                <w:lang w:eastAsia="es-MX"/>
              </w:rPr>
            </w:pPr>
          </w:p>
        </w:tc>
        <w:tc>
          <w:tcPr>
            <w:tcW w:w="992" w:type="dxa"/>
            <w:vAlign w:val="center"/>
          </w:tcPr>
          <w:p w14:paraId="4E6ED7B6" w14:textId="77777777" w:rsidR="00E45451" w:rsidRDefault="00E45451">
            <w:pPr>
              <w:spacing w:after="0" w:line="240" w:lineRule="auto"/>
              <w:ind w:right="49"/>
              <w:contextualSpacing/>
              <w:jc w:val="both"/>
              <w:rPr>
                <w:rFonts w:ascii="ITC Avant Garde" w:eastAsia="Times New Roman" w:hAnsi="ITC Avant Garde"/>
                <w:b/>
                <w:bCs/>
                <w:lang w:eastAsia="es-MX"/>
              </w:rPr>
            </w:pPr>
          </w:p>
        </w:tc>
        <w:tc>
          <w:tcPr>
            <w:tcW w:w="3824" w:type="dxa"/>
            <w:gridSpan w:val="2"/>
            <w:vAlign w:val="center"/>
          </w:tcPr>
          <w:p w14:paraId="0D5645AD" w14:textId="77777777" w:rsidR="00E45451" w:rsidRDefault="00E45451">
            <w:pPr>
              <w:spacing w:after="0" w:line="240" w:lineRule="auto"/>
              <w:ind w:right="49"/>
              <w:contextualSpacing/>
              <w:jc w:val="both"/>
              <w:rPr>
                <w:rFonts w:ascii="ITC Avant Garde" w:eastAsia="Times New Roman" w:hAnsi="ITC Avant Garde"/>
                <w:b/>
                <w:bCs/>
                <w:lang w:eastAsia="es-MX"/>
              </w:rPr>
            </w:pPr>
          </w:p>
        </w:tc>
      </w:tr>
      <w:tr w:rsidR="00E45451" w14:paraId="4221D571" w14:textId="77777777" w:rsidTr="00E45451">
        <w:trPr>
          <w:trHeight w:val="60"/>
          <w:jc w:val="center"/>
        </w:trPr>
        <w:tc>
          <w:tcPr>
            <w:tcW w:w="3681" w:type="dxa"/>
            <w:gridSpan w:val="2"/>
            <w:vAlign w:val="center"/>
          </w:tcPr>
          <w:p w14:paraId="572FDE9A" w14:textId="77777777" w:rsidR="00E45451" w:rsidRDefault="00E45451">
            <w:pPr>
              <w:spacing w:after="0" w:line="240" w:lineRule="auto"/>
              <w:ind w:right="49"/>
              <w:contextualSpacing/>
              <w:jc w:val="both"/>
              <w:rPr>
                <w:rFonts w:ascii="ITC Avant Garde" w:eastAsia="Times New Roman" w:hAnsi="ITC Avant Garde"/>
                <w:b/>
                <w:bCs/>
                <w:lang w:eastAsia="es-MX"/>
              </w:rPr>
            </w:pPr>
          </w:p>
        </w:tc>
        <w:tc>
          <w:tcPr>
            <w:tcW w:w="992" w:type="dxa"/>
            <w:vAlign w:val="center"/>
          </w:tcPr>
          <w:p w14:paraId="627B9761" w14:textId="77777777" w:rsidR="00E45451" w:rsidRDefault="00E45451">
            <w:pPr>
              <w:spacing w:after="0" w:line="240" w:lineRule="auto"/>
              <w:ind w:right="49"/>
              <w:contextualSpacing/>
              <w:jc w:val="both"/>
              <w:rPr>
                <w:rFonts w:ascii="ITC Avant Garde" w:eastAsia="Times New Roman" w:hAnsi="ITC Avant Garde"/>
                <w:b/>
                <w:bCs/>
                <w:lang w:eastAsia="es-MX"/>
              </w:rPr>
            </w:pPr>
          </w:p>
        </w:tc>
        <w:tc>
          <w:tcPr>
            <w:tcW w:w="3824" w:type="dxa"/>
            <w:gridSpan w:val="2"/>
            <w:vAlign w:val="center"/>
          </w:tcPr>
          <w:p w14:paraId="3A6B517C" w14:textId="77777777" w:rsidR="00E45451" w:rsidRDefault="00E45451">
            <w:pPr>
              <w:spacing w:after="0" w:line="240" w:lineRule="auto"/>
              <w:ind w:right="49"/>
              <w:contextualSpacing/>
              <w:jc w:val="both"/>
              <w:rPr>
                <w:rFonts w:ascii="ITC Avant Garde" w:eastAsia="Times New Roman" w:hAnsi="ITC Avant Garde"/>
                <w:b/>
                <w:bCs/>
                <w:lang w:eastAsia="es-MX"/>
              </w:rPr>
            </w:pPr>
          </w:p>
        </w:tc>
      </w:tr>
      <w:tr w:rsidR="00E45451" w14:paraId="3948CE4A" w14:textId="77777777" w:rsidTr="00E45451">
        <w:trPr>
          <w:trHeight w:val="236"/>
          <w:jc w:val="center"/>
        </w:trPr>
        <w:tc>
          <w:tcPr>
            <w:tcW w:w="3681" w:type="dxa"/>
            <w:gridSpan w:val="2"/>
            <w:vAlign w:val="center"/>
          </w:tcPr>
          <w:p w14:paraId="27063043"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992" w:type="dxa"/>
            <w:vAlign w:val="center"/>
          </w:tcPr>
          <w:p w14:paraId="33763682"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tcPr>
          <w:p w14:paraId="5915ED98" w14:textId="77777777" w:rsidR="00E45451" w:rsidRDefault="00E45451">
            <w:pPr>
              <w:spacing w:after="0" w:line="240" w:lineRule="auto"/>
              <w:ind w:right="49"/>
              <w:contextualSpacing/>
              <w:jc w:val="center"/>
              <w:rPr>
                <w:rFonts w:ascii="ITC Avant Garde" w:eastAsia="Times New Roman" w:hAnsi="ITC Avant Garde"/>
                <w:b/>
                <w:bCs/>
                <w:lang w:eastAsia="es-MX"/>
              </w:rPr>
            </w:pPr>
          </w:p>
        </w:tc>
      </w:tr>
      <w:tr w:rsidR="00E45451" w14:paraId="569363B9" w14:textId="77777777" w:rsidTr="00E45451">
        <w:trPr>
          <w:trHeight w:val="246"/>
          <w:jc w:val="center"/>
        </w:trPr>
        <w:tc>
          <w:tcPr>
            <w:tcW w:w="3681" w:type="dxa"/>
            <w:gridSpan w:val="2"/>
            <w:vAlign w:val="center"/>
          </w:tcPr>
          <w:p w14:paraId="391EC034"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992" w:type="dxa"/>
            <w:vAlign w:val="center"/>
          </w:tcPr>
          <w:p w14:paraId="6BC06421"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tcPr>
          <w:p w14:paraId="4ECE2CA4" w14:textId="77777777" w:rsidR="00E45451" w:rsidRDefault="00E45451">
            <w:pPr>
              <w:spacing w:after="0" w:line="240" w:lineRule="auto"/>
              <w:ind w:right="49"/>
              <w:contextualSpacing/>
              <w:jc w:val="center"/>
              <w:rPr>
                <w:rFonts w:ascii="ITC Avant Garde" w:eastAsia="Times New Roman" w:hAnsi="ITC Avant Garde"/>
                <w:b/>
                <w:bCs/>
                <w:lang w:eastAsia="es-MX"/>
              </w:rPr>
            </w:pPr>
          </w:p>
        </w:tc>
      </w:tr>
      <w:tr w:rsidR="00E45451" w14:paraId="113A5BE2" w14:textId="77777777" w:rsidTr="00E45451">
        <w:trPr>
          <w:trHeight w:val="50"/>
          <w:jc w:val="center"/>
        </w:trPr>
        <w:tc>
          <w:tcPr>
            <w:tcW w:w="3681" w:type="dxa"/>
            <w:gridSpan w:val="2"/>
            <w:vAlign w:val="center"/>
          </w:tcPr>
          <w:p w14:paraId="6F65895E"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992" w:type="dxa"/>
            <w:vAlign w:val="center"/>
          </w:tcPr>
          <w:p w14:paraId="2553E132"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tcPr>
          <w:p w14:paraId="1DF3135B" w14:textId="77777777" w:rsidR="00E45451" w:rsidRDefault="00E45451">
            <w:pPr>
              <w:spacing w:after="0" w:line="240" w:lineRule="auto"/>
              <w:ind w:right="49"/>
              <w:contextualSpacing/>
              <w:jc w:val="center"/>
              <w:rPr>
                <w:rFonts w:ascii="ITC Avant Garde" w:eastAsia="Times New Roman" w:hAnsi="ITC Avant Garde"/>
                <w:b/>
                <w:bCs/>
                <w:lang w:eastAsia="es-MX"/>
              </w:rPr>
            </w:pPr>
          </w:p>
        </w:tc>
      </w:tr>
      <w:tr w:rsidR="00E45451" w14:paraId="69B762FD" w14:textId="77777777" w:rsidTr="00E45451">
        <w:trPr>
          <w:trHeight w:val="246"/>
          <w:jc w:val="center"/>
        </w:trPr>
        <w:tc>
          <w:tcPr>
            <w:tcW w:w="3681" w:type="dxa"/>
            <w:gridSpan w:val="2"/>
            <w:vAlign w:val="center"/>
            <w:hideMark/>
          </w:tcPr>
          <w:p w14:paraId="06E3AE11"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Adriana Sofía Labardini Inzunza</w:t>
            </w:r>
          </w:p>
        </w:tc>
        <w:tc>
          <w:tcPr>
            <w:tcW w:w="992" w:type="dxa"/>
            <w:vAlign w:val="center"/>
          </w:tcPr>
          <w:p w14:paraId="67998828"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hideMark/>
          </w:tcPr>
          <w:p w14:paraId="08095966"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María Elena Estavillo Flores</w:t>
            </w:r>
          </w:p>
        </w:tc>
      </w:tr>
      <w:tr w:rsidR="00E45451" w14:paraId="6E2F9BB4" w14:textId="77777777" w:rsidTr="00E45451">
        <w:trPr>
          <w:trHeight w:val="50"/>
          <w:jc w:val="center"/>
        </w:trPr>
        <w:tc>
          <w:tcPr>
            <w:tcW w:w="3681" w:type="dxa"/>
            <w:gridSpan w:val="2"/>
            <w:vAlign w:val="center"/>
            <w:hideMark/>
          </w:tcPr>
          <w:p w14:paraId="3B5D61F2"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Comisionada</w:t>
            </w:r>
          </w:p>
        </w:tc>
        <w:tc>
          <w:tcPr>
            <w:tcW w:w="992" w:type="dxa"/>
            <w:vAlign w:val="center"/>
          </w:tcPr>
          <w:p w14:paraId="0883592F"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hideMark/>
          </w:tcPr>
          <w:p w14:paraId="32011281"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Comisionada</w:t>
            </w:r>
          </w:p>
        </w:tc>
      </w:tr>
      <w:tr w:rsidR="00E45451" w14:paraId="023B5BBF" w14:textId="77777777" w:rsidTr="00E45451">
        <w:trPr>
          <w:trHeight w:val="50"/>
          <w:jc w:val="center"/>
        </w:trPr>
        <w:tc>
          <w:tcPr>
            <w:tcW w:w="3681" w:type="dxa"/>
            <w:gridSpan w:val="2"/>
            <w:vAlign w:val="center"/>
          </w:tcPr>
          <w:p w14:paraId="3375351D"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992" w:type="dxa"/>
            <w:vAlign w:val="center"/>
          </w:tcPr>
          <w:p w14:paraId="32836297"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tcPr>
          <w:p w14:paraId="756A1883" w14:textId="77777777" w:rsidR="00E45451" w:rsidRDefault="00E45451">
            <w:pPr>
              <w:spacing w:after="0" w:line="240" w:lineRule="auto"/>
              <w:ind w:right="49"/>
              <w:contextualSpacing/>
              <w:jc w:val="center"/>
              <w:rPr>
                <w:rFonts w:ascii="ITC Avant Garde" w:eastAsia="Times New Roman" w:hAnsi="ITC Avant Garde"/>
                <w:b/>
                <w:bCs/>
                <w:lang w:eastAsia="es-MX"/>
              </w:rPr>
            </w:pPr>
          </w:p>
        </w:tc>
      </w:tr>
      <w:tr w:rsidR="00E45451" w14:paraId="2DDDF286" w14:textId="77777777" w:rsidTr="00E45451">
        <w:trPr>
          <w:trHeight w:val="50"/>
          <w:jc w:val="center"/>
        </w:trPr>
        <w:tc>
          <w:tcPr>
            <w:tcW w:w="3681" w:type="dxa"/>
            <w:gridSpan w:val="2"/>
            <w:vAlign w:val="center"/>
          </w:tcPr>
          <w:p w14:paraId="3A3B4F22"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992" w:type="dxa"/>
            <w:vAlign w:val="center"/>
          </w:tcPr>
          <w:p w14:paraId="10578D4B"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tcPr>
          <w:p w14:paraId="09D43ABC" w14:textId="77777777" w:rsidR="00E45451" w:rsidRDefault="00E45451">
            <w:pPr>
              <w:spacing w:after="0" w:line="240" w:lineRule="auto"/>
              <w:ind w:right="49"/>
              <w:contextualSpacing/>
              <w:jc w:val="center"/>
              <w:rPr>
                <w:rFonts w:ascii="ITC Avant Garde" w:eastAsia="Times New Roman" w:hAnsi="ITC Avant Garde"/>
                <w:b/>
                <w:bCs/>
                <w:lang w:eastAsia="es-MX"/>
              </w:rPr>
            </w:pPr>
          </w:p>
        </w:tc>
      </w:tr>
      <w:tr w:rsidR="00E45451" w14:paraId="4CD5C509" w14:textId="77777777" w:rsidTr="00E45451">
        <w:trPr>
          <w:trHeight w:val="50"/>
          <w:jc w:val="center"/>
        </w:trPr>
        <w:tc>
          <w:tcPr>
            <w:tcW w:w="3681" w:type="dxa"/>
            <w:gridSpan w:val="2"/>
            <w:vAlign w:val="center"/>
          </w:tcPr>
          <w:p w14:paraId="36ADC94F"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992" w:type="dxa"/>
            <w:vAlign w:val="center"/>
          </w:tcPr>
          <w:p w14:paraId="4410B23E"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tcPr>
          <w:p w14:paraId="4F92C67F" w14:textId="77777777" w:rsidR="00E45451" w:rsidRDefault="00E45451">
            <w:pPr>
              <w:spacing w:after="0" w:line="240" w:lineRule="auto"/>
              <w:ind w:right="49"/>
              <w:contextualSpacing/>
              <w:jc w:val="center"/>
              <w:rPr>
                <w:rFonts w:ascii="ITC Avant Garde" w:eastAsia="Times New Roman" w:hAnsi="ITC Avant Garde"/>
                <w:b/>
                <w:bCs/>
                <w:lang w:eastAsia="es-MX"/>
              </w:rPr>
            </w:pPr>
          </w:p>
        </w:tc>
      </w:tr>
      <w:tr w:rsidR="00E45451" w14:paraId="0615DBEE" w14:textId="77777777" w:rsidTr="00E45451">
        <w:trPr>
          <w:trHeight w:val="50"/>
          <w:jc w:val="center"/>
        </w:trPr>
        <w:tc>
          <w:tcPr>
            <w:tcW w:w="3681" w:type="dxa"/>
            <w:gridSpan w:val="2"/>
            <w:vAlign w:val="center"/>
            <w:hideMark/>
          </w:tcPr>
          <w:p w14:paraId="3FF4CE60"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Mario Germán Fromow Rangel</w:t>
            </w:r>
          </w:p>
        </w:tc>
        <w:tc>
          <w:tcPr>
            <w:tcW w:w="992" w:type="dxa"/>
            <w:vAlign w:val="center"/>
          </w:tcPr>
          <w:p w14:paraId="2D9E0621"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hideMark/>
          </w:tcPr>
          <w:p w14:paraId="225DDDE2"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Adolfo Cuevas Teja</w:t>
            </w:r>
          </w:p>
        </w:tc>
      </w:tr>
      <w:tr w:rsidR="00E45451" w14:paraId="56EC7251" w14:textId="77777777" w:rsidTr="00E45451">
        <w:trPr>
          <w:trHeight w:val="236"/>
          <w:jc w:val="center"/>
        </w:trPr>
        <w:tc>
          <w:tcPr>
            <w:tcW w:w="3681" w:type="dxa"/>
            <w:gridSpan w:val="2"/>
            <w:vAlign w:val="center"/>
            <w:hideMark/>
          </w:tcPr>
          <w:p w14:paraId="0FA2EF1D"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Comisionado</w:t>
            </w:r>
          </w:p>
        </w:tc>
        <w:tc>
          <w:tcPr>
            <w:tcW w:w="992" w:type="dxa"/>
            <w:vAlign w:val="center"/>
          </w:tcPr>
          <w:p w14:paraId="78BBE11B"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hideMark/>
          </w:tcPr>
          <w:p w14:paraId="5AB7C424"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Comisionado</w:t>
            </w:r>
          </w:p>
        </w:tc>
      </w:tr>
      <w:tr w:rsidR="00E45451" w14:paraId="5F73F29A" w14:textId="77777777" w:rsidTr="00E45451">
        <w:trPr>
          <w:trHeight w:val="246"/>
          <w:jc w:val="center"/>
        </w:trPr>
        <w:tc>
          <w:tcPr>
            <w:tcW w:w="3681" w:type="dxa"/>
            <w:gridSpan w:val="2"/>
            <w:vAlign w:val="center"/>
          </w:tcPr>
          <w:p w14:paraId="47EA7414"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992" w:type="dxa"/>
            <w:vAlign w:val="center"/>
          </w:tcPr>
          <w:p w14:paraId="0873F744"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tcPr>
          <w:p w14:paraId="63E19091" w14:textId="77777777" w:rsidR="00E45451" w:rsidRDefault="00E45451">
            <w:pPr>
              <w:spacing w:after="0" w:line="240" w:lineRule="auto"/>
              <w:ind w:right="49"/>
              <w:contextualSpacing/>
              <w:jc w:val="center"/>
              <w:rPr>
                <w:rFonts w:ascii="ITC Avant Garde" w:eastAsia="Times New Roman" w:hAnsi="ITC Avant Garde"/>
                <w:b/>
                <w:bCs/>
                <w:lang w:eastAsia="es-MX"/>
              </w:rPr>
            </w:pPr>
          </w:p>
        </w:tc>
      </w:tr>
      <w:tr w:rsidR="00E45451" w14:paraId="3F8403B5" w14:textId="77777777" w:rsidTr="00E45451">
        <w:trPr>
          <w:trHeight w:val="246"/>
          <w:jc w:val="center"/>
        </w:trPr>
        <w:tc>
          <w:tcPr>
            <w:tcW w:w="3681" w:type="dxa"/>
            <w:gridSpan w:val="2"/>
            <w:vAlign w:val="center"/>
          </w:tcPr>
          <w:p w14:paraId="7E2ED54F"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992" w:type="dxa"/>
            <w:vAlign w:val="center"/>
          </w:tcPr>
          <w:p w14:paraId="65BA2FF5"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tcPr>
          <w:p w14:paraId="32CEB860" w14:textId="77777777" w:rsidR="00E45451" w:rsidRDefault="00E45451">
            <w:pPr>
              <w:spacing w:after="0" w:line="240" w:lineRule="auto"/>
              <w:ind w:right="49"/>
              <w:contextualSpacing/>
              <w:jc w:val="center"/>
              <w:rPr>
                <w:rFonts w:ascii="ITC Avant Garde" w:eastAsia="Times New Roman" w:hAnsi="ITC Avant Garde"/>
                <w:b/>
                <w:bCs/>
                <w:lang w:eastAsia="es-MX"/>
              </w:rPr>
            </w:pPr>
          </w:p>
        </w:tc>
      </w:tr>
      <w:tr w:rsidR="00E45451" w14:paraId="0291129C" w14:textId="77777777" w:rsidTr="00E45451">
        <w:trPr>
          <w:trHeight w:val="226"/>
          <w:jc w:val="center"/>
        </w:trPr>
        <w:tc>
          <w:tcPr>
            <w:tcW w:w="3681" w:type="dxa"/>
            <w:gridSpan w:val="2"/>
            <w:vAlign w:val="center"/>
          </w:tcPr>
          <w:p w14:paraId="468EFF82"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992" w:type="dxa"/>
            <w:vAlign w:val="center"/>
          </w:tcPr>
          <w:p w14:paraId="76ED0660"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tcPr>
          <w:p w14:paraId="7E1A7D25" w14:textId="77777777" w:rsidR="00E45451" w:rsidRDefault="00E45451">
            <w:pPr>
              <w:spacing w:after="0" w:line="240" w:lineRule="auto"/>
              <w:ind w:right="49"/>
              <w:contextualSpacing/>
              <w:jc w:val="center"/>
              <w:rPr>
                <w:rFonts w:ascii="ITC Avant Garde" w:eastAsia="Times New Roman" w:hAnsi="ITC Avant Garde"/>
                <w:b/>
                <w:bCs/>
                <w:lang w:eastAsia="es-MX"/>
              </w:rPr>
            </w:pPr>
          </w:p>
          <w:p w14:paraId="593FE069" w14:textId="77777777" w:rsidR="00E45451" w:rsidRDefault="00E45451">
            <w:pPr>
              <w:spacing w:after="0" w:line="240" w:lineRule="auto"/>
              <w:ind w:right="49"/>
              <w:contextualSpacing/>
              <w:jc w:val="center"/>
              <w:rPr>
                <w:rFonts w:ascii="ITC Avant Garde" w:eastAsia="Times New Roman" w:hAnsi="ITC Avant Garde"/>
                <w:b/>
                <w:bCs/>
                <w:sz w:val="28"/>
                <w:lang w:eastAsia="es-MX"/>
              </w:rPr>
            </w:pPr>
          </w:p>
        </w:tc>
      </w:tr>
      <w:tr w:rsidR="00E45451" w14:paraId="50995CAF" w14:textId="77777777" w:rsidTr="00E45451">
        <w:trPr>
          <w:trHeight w:val="50"/>
          <w:jc w:val="center"/>
        </w:trPr>
        <w:tc>
          <w:tcPr>
            <w:tcW w:w="3681" w:type="dxa"/>
            <w:gridSpan w:val="2"/>
            <w:vAlign w:val="center"/>
            <w:hideMark/>
          </w:tcPr>
          <w:p w14:paraId="1283A4D2"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Javier Juárez Mojica</w:t>
            </w:r>
          </w:p>
        </w:tc>
        <w:tc>
          <w:tcPr>
            <w:tcW w:w="992" w:type="dxa"/>
            <w:vAlign w:val="center"/>
          </w:tcPr>
          <w:p w14:paraId="5F56BDF8"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hideMark/>
          </w:tcPr>
          <w:p w14:paraId="1DC2ADFC"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Arturo Robles Rovalo</w:t>
            </w:r>
          </w:p>
        </w:tc>
      </w:tr>
      <w:tr w:rsidR="00E45451" w14:paraId="109F3B09" w14:textId="77777777" w:rsidTr="00E45451">
        <w:trPr>
          <w:trHeight w:val="236"/>
          <w:jc w:val="center"/>
        </w:trPr>
        <w:tc>
          <w:tcPr>
            <w:tcW w:w="3681" w:type="dxa"/>
            <w:gridSpan w:val="2"/>
            <w:vAlign w:val="center"/>
            <w:hideMark/>
          </w:tcPr>
          <w:p w14:paraId="268591FF"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Comisionado</w:t>
            </w:r>
          </w:p>
        </w:tc>
        <w:tc>
          <w:tcPr>
            <w:tcW w:w="992" w:type="dxa"/>
            <w:vAlign w:val="center"/>
          </w:tcPr>
          <w:p w14:paraId="6D3EB71B"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hideMark/>
          </w:tcPr>
          <w:p w14:paraId="1A036DFD" w14:textId="77777777" w:rsidR="00E45451" w:rsidRDefault="00E45451">
            <w:pPr>
              <w:spacing w:after="0" w:line="240" w:lineRule="auto"/>
              <w:ind w:right="49"/>
              <w:contextualSpacing/>
              <w:jc w:val="center"/>
              <w:rPr>
                <w:rFonts w:ascii="ITC Avant Garde" w:eastAsia="Times New Roman" w:hAnsi="ITC Avant Garde"/>
                <w:b/>
                <w:bCs/>
                <w:lang w:eastAsia="es-MX"/>
              </w:rPr>
            </w:pPr>
            <w:r>
              <w:rPr>
                <w:rFonts w:ascii="ITC Avant Garde" w:eastAsia="Times New Roman" w:hAnsi="ITC Avant Garde"/>
                <w:b/>
                <w:bCs/>
                <w:lang w:eastAsia="es-MX"/>
              </w:rPr>
              <w:t>Comisionado</w:t>
            </w:r>
          </w:p>
        </w:tc>
      </w:tr>
      <w:tr w:rsidR="00E45451" w14:paraId="2205B367" w14:textId="77777777" w:rsidTr="00E45451">
        <w:trPr>
          <w:trHeight w:val="246"/>
          <w:jc w:val="center"/>
        </w:trPr>
        <w:tc>
          <w:tcPr>
            <w:tcW w:w="3681" w:type="dxa"/>
            <w:gridSpan w:val="2"/>
            <w:vAlign w:val="center"/>
          </w:tcPr>
          <w:p w14:paraId="47A87D9E"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992" w:type="dxa"/>
            <w:vAlign w:val="center"/>
          </w:tcPr>
          <w:p w14:paraId="25E7FCD4" w14:textId="77777777" w:rsidR="00E45451" w:rsidRDefault="00E45451">
            <w:pPr>
              <w:spacing w:after="0" w:line="240" w:lineRule="auto"/>
              <w:ind w:right="49"/>
              <w:contextualSpacing/>
              <w:jc w:val="center"/>
              <w:rPr>
                <w:rFonts w:ascii="ITC Avant Garde" w:eastAsia="Times New Roman" w:hAnsi="ITC Avant Garde"/>
                <w:b/>
                <w:bCs/>
                <w:lang w:eastAsia="es-MX"/>
              </w:rPr>
            </w:pPr>
          </w:p>
        </w:tc>
        <w:tc>
          <w:tcPr>
            <w:tcW w:w="3824" w:type="dxa"/>
            <w:gridSpan w:val="2"/>
            <w:vAlign w:val="center"/>
          </w:tcPr>
          <w:p w14:paraId="4FDB101B" w14:textId="77777777" w:rsidR="00E45451" w:rsidRDefault="00E45451">
            <w:pPr>
              <w:spacing w:after="0" w:line="240" w:lineRule="auto"/>
              <w:ind w:right="49"/>
              <w:contextualSpacing/>
              <w:jc w:val="center"/>
              <w:rPr>
                <w:rFonts w:ascii="ITC Avant Garde" w:eastAsia="Times New Roman" w:hAnsi="ITC Avant Garde"/>
                <w:b/>
                <w:bCs/>
                <w:lang w:eastAsia="es-MX"/>
              </w:rPr>
            </w:pPr>
          </w:p>
        </w:tc>
      </w:tr>
    </w:tbl>
    <w:p w14:paraId="05D95C4D" w14:textId="77777777" w:rsidR="007E7CAD" w:rsidRDefault="007E7CAD" w:rsidP="007E7CAD">
      <w:pPr>
        <w:spacing w:after="0" w:line="240" w:lineRule="auto"/>
        <w:jc w:val="both"/>
        <w:rPr>
          <w:rFonts w:ascii="ITC Avant Garde" w:hAnsi="ITC Avant Garde"/>
          <w:sz w:val="21"/>
          <w:szCs w:val="21"/>
          <w:lang w:val="es-ES"/>
        </w:rPr>
      </w:pPr>
    </w:p>
    <w:p w14:paraId="73E4EE4F" w14:textId="77777777" w:rsidR="00C3019E" w:rsidRDefault="00C3019E" w:rsidP="007E7CAD">
      <w:pPr>
        <w:spacing w:after="0" w:line="240" w:lineRule="auto"/>
        <w:jc w:val="both"/>
        <w:rPr>
          <w:rFonts w:ascii="ITC Avant Garde" w:hAnsi="ITC Avant Garde"/>
          <w:sz w:val="21"/>
          <w:szCs w:val="21"/>
          <w:lang w:val="es-ES"/>
        </w:rPr>
      </w:pPr>
    </w:p>
    <w:p w14:paraId="309742B6" w14:textId="77777777" w:rsidR="00C3019E" w:rsidRDefault="00C3019E" w:rsidP="007E7CAD">
      <w:pPr>
        <w:spacing w:after="0" w:line="240" w:lineRule="auto"/>
        <w:jc w:val="both"/>
        <w:rPr>
          <w:rFonts w:ascii="ITC Avant Garde" w:hAnsi="ITC Avant Garde"/>
          <w:sz w:val="21"/>
          <w:szCs w:val="21"/>
          <w:lang w:val="es-ES"/>
        </w:rPr>
      </w:pPr>
    </w:p>
    <w:p w14:paraId="6A19FB68" w14:textId="01CEAE96" w:rsidR="00C3019E" w:rsidRPr="00C3019E" w:rsidRDefault="00C3019E" w:rsidP="00C3019E">
      <w:pPr>
        <w:pStyle w:val="Prrafodelista"/>
        <w:spacing w:after="0" w:line="240" w:lineRule="auto"/>
        <w:ind w:left="0"/>
        <w:jc w:val="both"/>
        <w:rPr>
          <w:rFonts w:ascii="ITC Avant Garde" w:hAnsi="ITC Avant Garde"/>
          <w:bCs/>
          <w:sz w:val="14"/>
          <w:lang w:eastAsia="es-ES"/>
        </w:rPr>
      </w:pPr>
      <w:r w:rsidRPr="00C3019E">
        <w:rPr>
          <w:rFonts w:ascii="ITC Avant Garde" w:hAnsi="ITC Avant Garde"/>
          <w:sz w:val="14"/>
          <w:lang w:val="es-ES_tradnl"/>
        </w:rPr>
        <w:t xml:space="preserve">El presente Acuerdo fue aprobado por el Pleno del Instituto Federal de Telecomunicaciones en su LIV Sesión Ordinaria celebrada el 19 de diciembre de 2017, </w:t>
      </w:r>
      <w:r w:rsidRPr="00C3019E">
        <w:rPr>
          <w:rFonts w:ascii="ITC Avant Garde" w:hAnsi="ITC Avant Garde"/>
          <w:bCs/>
          <w:sz w:val="14"/>
          <w:lang w:val="es-ES_tradnl"/>
        </w:rPr>
        <w:t xml:space="preserve">por unanimidad </w:t>
      </w:r>
      <w:r w:rsidRPr="00C3019E">
        <w:rPr>
          <w:rFonts w:ascii="ITC Avant Garde" w:hAnsi="ITC Avant Garde"/>
          <w:sz w:val="14"/>
          <w:lang w:val="es-ES_tradnl"/>
        </w:rPr>
        <w:t>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P/IFT/191217/922.</w:t>
      </w:r>
    </w:p>
    <w:p w14:paraId="35E71D41" w14:textId="77777777" w:rsidR="00C3019E" w:rsidRPr="0008265C" w:rsidRDefault="00C3019E" w:rsidP="007E7CAD">
      <w:pPr>
        <w:spacing w:after="0" w:line="240" w:lineRule="auto"/>
        <w:jc w:val="both"/>
        <w:rPr>
          <w:rFonts w:ascii="ITC Avant Garde" w:hAnsi="ITC Avant Garde"/>
          <w:sz w:val="21"/>
          <w:szCs w:val="21"/>
          <w:lang w:val="es-ES"/>
        </w:rPr>
      </w:pPr>
      <w:bookmarkStart w:id="0" w:name="_GoBack"/>
      <w:bookmarkEnd w:id="0"/>
    </w:p>
    <w:sectPr w:rsidR="00C3019E" w:rsidRPr="0008265C" w:rsidSect="0008265C">
      <w:headerReference w:type="even" r:id="rId11"/>
      <w:footerReference w:type="default" r:id="rId12"/>
      <w:headerReference w:type="first" r:id="rId13"/>
      <w:pgSz w:w="12240" w:h="15840" w:code="1"/>
      <w:pgMar w:top="1928" w:right="1361" w:bottom="130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EEE8E" w14:textId="77777777" w:rsidR="004B7588" w:rsidRDefault="004B7588" w:rsidP="009B28E6">
      <w:pPr>
        <w:spacing w:after="0" w:line="240" w:lineRule="auto"/>
      </w:pPr>
      <w:r>
        <w:separator/>
      </w:r>
    </w:p>
  </w:endnote>
  <w:endnote w:type="continuationSeparator" w:id="0">
    <w:p w14:paraId="6E63D485" w14:textId="77777777" w:rsidR="004B7588" w:rsidRDefault="004B7588"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ITC Avant Garde">
    <w:altName w:val="Century Gothic"/>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336641"/>
      <w:docPartObj>
        <w:docPartGallery w:val="Page Numbers (Bottom of Page)"/>
        <w:docPartUnique/>
      </w:docPartObj>
    </w:sdtPr>
    <w:sdtEndPr/>
    <w:sdtContent>
      <w:p w14:paraId="05D95C53" w14:textId="77777777" w:rsidR="000277EE" w:rsidRDefault="000277EE">
        <w:pPr>
          <w:pStyle w:val="Piedepgina"/>
          <w:jc w:val="right"/>
        </w:pPr>
        <w:r>
          <w:fldChar w:fldCharType="begin"/>
        </w:r>
        <w:r>
          <w:instrText>PAGE   \* MERGEFORMAT</w:instrText>
        </w:r>
        <w:r>
          <w:fldChar w:fldCharType="separate"/>
        </w:r>
        <w:r w:rsidR="00C3019E" w:rsidRPr="00C3019E">
          <w:rPr>
            <w:noProof/>
            <w:lang w:val="es-ES"/>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977E7" w14:textId="77777777" w:rsidR="004B7588" w:rsidRDefault="004B7588" w:rsidP="009B28E6">
      <w:pPr>
        <w:spacing w:after="0" w:line="240" w:lineRule="auto"/>
      </w:pPr>
      <w:r>
        <w:separator/>
      </w:r>
    </w:p>
  </w:footnote>
  <w:footnote w:type="continuationSeparator" w:id="0">
    <w:p w14:paraId="1DF3C817" w14:textId="77777777" w:rsidR="004B7588" w:rsidRDefault="004B7588"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95C52" w14:textId="77777777" w:rsidR="007A1607" w:rsidRDefault="00C3019E">
    <w:pPr>
      <w:pStyle w:val="Encabezado"/>
    </w:pPr>
    <w:r>
      <w:rPr>
        <w:noProof/>
        <w:lang w:eastAsia="es-MX"/>
      </w:rPr>
      <w:pict w14:anchorId="05D95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95C54" w14:textId="77777777" w:rsidR="007A1607" w:rsidRDefault="00C3019E">
    <w:pPr>
      <w:pStyle w:val="Encabezado"/>
    </w:pPr>
    <w:r>
      <w:rPr>
        <w:noProof/>
        <w:lang w:eastAsia="es-MX"/>
      </w:rPr>
      <w:pict w14:anchorId="05D95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6E096C"/>
    <w:multiLevelType w:val="multilevel"/>
    <w:tmpl w:val="FD0EA8C8"/>
    <w:lvl w:ilvl="0">
      <w:start w:val="1"/>
      <w:numFmt w:val="upperRoman"/>
      <w:lvlText w:val="%1."/>
      <w:lvlJc w:val="right"/>
      <w:pPr>
        <w:ind w:left="720" w:hanging="360"/>
      </w:pPr>
      <w:rPr>
        <w:b/>
        <w:i w:val="0"/>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5"/>
  </w:num>
  <w:num w:numId="6">
    <w:abstractNumId w:val="6"/>
  </w:num>
  <w:num w:numId="7">
    <w:abstractNumId w:val="3"/>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0AB3"/>
    <w:rsid w:val="000277EE"/>
    <w:rsid w:val="00027A90"/>
    <w:rsid w:val="000304C3"/>
    <w:rsid w:val="000304FF"/>
    <w:rsid w:val="00030A73"/>
    <w:rsid w:val="000310FF"/>
    <w:rsid w:val="00031882"/>
    <w:rsid w:val="00032A87"/>
    <w:rsid w:val="00032E90"/>
    <w:rsid w:val="0003559D"/>
    <w:rsid w:val="00036970"/>
    <w:rsid w:val="00040406"/>
    <w:rsid w:val="000404B0"/>
    <w:rsid w:val="00040A27"/>
    <w:rsid w:val="00042593"/>
    <w:rsid w:val="00044E8D"/>
    <w:rsid w:val="0004573A"/>
    <w:rsid w:val="000459BE"/>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65C1"/>
    <w:rsid w:val="00066945"/>
    <w:rsid w:val="00066D0C"/>
    <w:rsid w:val="00071716"/>
    <w:rsid w:val="000749EE"/>
    <w:rsid w:val="000758D2"/>
    <w:rsid w:val="00075FCD"/>
    <w:rsid w:val="00077880"/>
    <w:rsid w:val="000810A2"/>
    <w:rsid w:val="0008186D"/>
    <w:rsid w:val="0008265C"/>
    <w:rsid w:val="000826C8"/>
    <w:rsid w:val="00083B34"/>
    <w:rsid w:val="000845D2"/>
    <w:rsid w:val="00084B34"/>
    <w:rsid w:val="00087728"/>
    <w:rsid w:val="0009114F"/>
    <w:rsid w:val="00091B9C"/>
    <w:rsid w:val="00092A58"/>
    <w:rsid w:val="00092AC3"/>
    <w:rsid w:val="00092B31"/>
    <w:rsid w:val="00092F62"/>
    <w:rsid w:val="00093E5C"/>
    <w:rsid w:val="00094E74"/>
    <w:rsid w:val="00095C61"/>
    <w:rsid w:val="00097A31"/>
    <w:rsid w:val="00097A55"/>
    <w:rsid w:val="000A1F12"/>
    <w:rsid w:val="000A220A"/>
    <w:rsid w:val="000A4626"/>
    <w:rsid w:val="000A480D"/>
    <w:rsid w:val="000A54BA"/>
    <w:rsid w:val="000A5AEC"/>
    <w:rsid w:val="000B0072"/>
    <w:rsid w:val="000B0130"/>
    <w:rsid w:val="000B3A09"/>
    <w:rsid w:val="000B4430"/>
    <w:rsid w:val="000B55E8"/>
    <w:rsid w:val="000B7962"/>
    <w:rsid w:val="000B7ADF"/>
    <w:rsid w:val="000C1D7A"/>
    <w:rsid w:val="000C2BA6"/>
    <w:rsid w:val="000C3E1F"/>
    <w:rsid w:val="000C42C9"/>
    <w:rsid w:val="000C43CA"/>
    <w:rsid w:val="000C5720"/>
    <w:rsid w:val="000C58E0"/>
    <w:rsid w:val="000C77C5"/>
    <w:rsid w:val="000D0A36"/>
    <w:rsid w:val="000D2394"/>
    <w:rsid w:val="000D2589"/>
    <w:rsid w:val="000D326F"/>
    <w:rsid w:val="000D3FC7"/>
    <w:rsid w:val="000D5AFC"/>
    <w:rsid w:val="000D7E15"/>
    <w:rsid w:val="000E0BAA"/>
    <w:rsid w:val="000E0DF7"/>
    <w:rsid w:val="000E2375"/>
    <w:rsid w:val="000E3B3C"/>
    <w:rsid w:val="000E4D9D"/>
    <w:rsid w:val="000E4EB3"/>
    <w:rsid w:val="000E574A"/>
    <w:rsid w:val="000E58B8"/>
    <w:rsid w:val="000E59C3"/>
    <w:rsid w:val="000E6FE0"/>
    <w:rsid w:val="000E7645"/>
    <w:rsid w:val="000E7EF3"/>
    <w:rsid w:val="000F1460"/>
    <w:rsid w:val="000F19E9"/>
    <w:rsid w:val="000F27A4"/>
    <w:rsid w:val="000F36C9"/>
    <w:rsid w:val="000F4085"/>
    <w:rsid w:val="000F4570"/>
    <w:rsid w:val="000F7E5E"/>
    <w:rsid w:val="00100714"/>
    <w:rsid w:val="0010184A"/>
    <w:rsid w:val="00101DC6"/>
    <w:rsid w:val="0010272C"/>
    <w:rsid w:val="00104A8D"/>
    <w:rsid w:val="0010685C"/>
    <w:rsid w:val="001068F5"/>
    <w:rsid w:val="0011128D"/>
    <w:rsid w:val="0011148C"/>
    <w:rsid w:val="0011201D"/>
    <w:rsid w:val="00116AE9"/>
    <w:rsid w:val="0012111B"/>
    <w:rsid w:val="001236DF"/>
    <w:rsid w:val="00123B6A"/>
    <w:rsid w:val="00124A18"/>
    <w:rsid w:val="001257ED"/>
    <w:rsid w:val="001259B9"/>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2CEF"/>
    <w:rsid w:val="00195B5A"/>
    <w:rsid w:val="00196DA3"/>
    <w:rsid w:val="001A0BB7"/>
    <w:rsid w:val="001A1138"/>
    <w:rsid w:val="001A26BB"/>
    <w:rsid w:val="001A2CFD"/>
    <w:rsid w:val="001A5167"/>
    <w:rsid w:val="001B137F"/>
    <w:rsid w:val="001B3139"/>
    <w:rsid w:val="001B6D9D"/>
    <w:rsid w:val="001B75DB"/>
    <w:rsid w:val="001B7F37"/>
    <w:rsid w:val="001C1FA0"/>
    <w:rsid w:val="001C20C6"/>
    <w:rsid w:val="001C21E2"/>
    <w:rsid w:val="001C2D14"/>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835"/>
    <w:rsid w:val="001F5C5E"/>
    <w:rsid w:val="001F6AF9"/>
    <w:rsid w:val="001F78E4"/>
    <w:rsid w:val="00201A31"/>
    <w:rsid w:val="002026B1"/>
    <w:rsid w:val="0020346B"/>
    <w:rsid w:val="00203518"/>
    <w:rsid w:val="00205136"/>
    <w:rsid w:val="00205BED"/>
    <w:rsid w:val="00206B25"/>
    <w:rsid w:val="00206E5F"/>
    <w:rsid w:val="00207639"/>
    <w:rsid w:val="00211DD8"/>
    <w:rsid w:val="00212DB1"/>
    <w:rsid w:val="00217576"/>
    <w:rsid w:val="00217B21"/>
    <w:rsid w:val="00217D2F"/>
    <w:rsid w:val="00220641"/>
    <w:rsid w:val="0022128B"/>
    <w:rsid w:val="002246B1"/>
    <w:rsid w:val="00225E4F"/>
    <w:rsid w:val="00226034"/>
    <w:rsid w:val="0023173E"/>
    <w:rsid w:val="00231E10"/>
    <w:rsid w:val="002345B6"/>
    <w:rsid w:val="002356B2"/>
    <w:rsid w:val="002356EC"/>
    <w:rsid w:val="002421D3"/>
    <w:rsid w:val="00242D42"/>
    <w:rsid w:val="00242F1C"/>
    <w:rsid w:val="00243E90"/>
    <w:rsid w:val="00244144"/>
    <w:rsid w:val="00244327"/>
    <w:rsid w:val="002447AE"/>
    <w:rsid w:val="002449A3"/>
    <w:rsid w:val="00244CDC"/>
    <w:rsid w:val="00245FEA"/>
    <w:rsid w:val="0024638B"/>
    <w:rsid w:val="00247157"/>
    <w:rsid w:val="00250AAE"/>
    <w:rsid w:val="00251567"/>
    <w:rsid w:val="00255272"/>
    <w:rsid w:val="002563E4"/>
    <w:rsid w:val="00256B36"/>
    <w:rsid w:val="002606D2"/>
    <w:rsid w:val="00260CC2"/>
    <w:rsid w:val="00261B02"/>
    <w:rsid w:val="00261B5B"/>
    <w:rsid w:val="00264DA7"/>
    <w:rsid w:val="00265632"/>
    <w:rsid w:val="00266AF9"/>
    <w:rsid w:val="0027105F"/>
    <w:rsid w:val="00272FFE"/>
    <w:rsid w:val="00273294"/>
    <w:rsid w:val="00273A55"/>
    <w:rsid w:val="00274186"/>
    <w:rsid w:val="002750A8"/>
    <w:rsid w:val="002774BB"/>
    <w:rsid w:val="002809A3"/>
    <w:rsid w:val="00281276"/>
    <w:rsid w:val="00281330"/>
    <w:rsid w:val="002823AB"/>
    <w:rsid w:val="00282939"/>
    <w:rsid w:val="00283E0C"/>
    <w:rsid w:val="00284F1A"/>
    <w:rsid w:val="00286CCA"/>
    <w:rsid w:val="00286F3B"/>
    <w:rsid w:val="0029190A"/>
    <w:rsid w:val="00293469"/>
    <w:rsid w:val="002938E3"/>
    <w:rsid w:val="0029594B"/>
    <w:rsid w:val="00296FBD"/>
    <w:rsid w:val="002A0623"/>
    <w:rsid w:val="002A1F29"/>
    <w:rsid w:val="002A25C7"/>
    <w:rsid w:val="002A2D06"/>
    <w:rsid w:val="002A2E1E"/>
    <w:rsid w:val="002A3A61"/>
    <w:rsid w:val="002A3EEE"/>
    <w:rsid w:val="002A4E7D"/>
    <w:rsid w:val="002A5136"/>
    <w:rsid w:val="002A5971"/>
    <w:rsid w:val="002A784E"/>
    <w:rsid w:val="002A78C8"/>
    <w:rsid w:val="002B040C"/>
    <w:rsid w:val="002B1426"/>
    <w:rsid w:val="002B1E9C"/>
    <w:rsid w:val="002B22E8"/>
    <w:rsid w:val="002B2DC5"/>
    <w:rsid w:val="002B58C3"/>
    <w:rsid w:val="002B6C30"/>
    <w:rsid w:val="002B780D"/>
    <w:rsid w:val="002B7B6E"/>
    <w:rsid w:val="002C120A"/>
    <w:rsid w:val="002C1B3E"/>
    <w:rsid w:val="002C3A72"/>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D72EE"/>
    <w:rsid w:val="002E1321"/>
    <w:rsid w:val="002E2EE8"/>
    <w:rsid w:val="002E3282"/>
    <w:rsid w:val="002E4670"/>
    <w:rsid w:val="002E5689"/>
    <w:rsid w:val="002E628B"/>
    <w:rsid w:val="002E67BD"/>
    <w:rsid w:val="002E6F67"/>
    <w:rsid w:val="002F2081"/>
    <w:rsid w:val="002F3B5D"/>
    <w:rsid w:val="002F3C82"/>
    <w:rsid w:val="00301729"/>
    <w:rsid w:val="003031EC"/>
    <w:rsid w:val="00303B9E"/>
    <w:rsid w:val="00304EB7"/>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7F4A"/>
    <w:rsid w:val="003308D3"/>
    <w:rsid w:val="00332BD3"/>
    <w:rsid w:val="00333FB5"/>
    <w:rsid w:val="00335355"/>
    <w:rsid w:val="00336404"/>
    <w:rsid w:val="00341904"/>
    <w:rsid w:val="003431F9"/>
    <w:rsid w:val="0034486A"/>
    <w:rsid w:val="00347591"/>
    <w:rsid w:val="00350AE9"/>
    <w:rsid w:val="00352AA9"/>
    <w:rsid w:val="0035449A"/>
    <w:rsid w:val="00356466"/>
    <w:rsid w:val="003568BE"/>
    <w:rsid w:val="00357EB1"/>
    <w:rsid w:val="00360E15"/>
    <w:rsid w:val="003648FB"/>
    <w:rsid w:val="00364994"/>
    <w:rsid w:val="0036536F"/>
    <w:rsid w:val="00367547"/>
    <w:rsid w:val="003675CF"/>
    <w:rsid w:val="00372C01"/>
    <w:rsid w:val="00372FC7"/>
    <w:rsid w:val="00373244"/>
    <w:rsid w:val="003748D4"/>
    <w:rsid w:val="00374AFE"/>
    <w:rsid w:val="0037522B"/>
    <w:rsid w:val="003763CE"/>
    <w:rsid w:val="0037659A"/>
    <w:rsid w:val="00376D84"/>
    <w:rsid w:val="00377CD9"/>
    <w:rsid w:val="00381A64"/>
    <w:rsid w:val="003822BE"/>
    <w:rsid w:val="00382A04"/>
    <w:rsid w:val="0038397B"/>
    <w:rsid w:val="00383BC1"/>
    <w:rsid w:val="0038430A"/>
    <w:rsid w:val="003872BE"/>
    <w:rsid w:val="0039150D"/>
    <w:rsid w:val="00391BFA"/>
    <w:rsid w:val="003942BF"/>
    <w:rsid w:val="00394364"/>
    <w:rsid w:val="00394B08"/>
    <w:rsid w:val="003952DB"/>
    <w:rsid w:val="003958A3"/>
    <w:rsid w:val="003958E2"/>
    <w:rsid w:val="00397DBF"/>
    <w:rsid w:val="003A00B7"/>
    <w:rsid w:val="003A05B3"/>
    <w:rsid w:val="003A0801"/>
    <w:rsid w:val="003A0E77"/>
    <w:rsid w:val="003A0E7E"/>
    <w:rsid w:val="003A1514"/>
    <w:rsid w:val="003A15D2"/>
    <w:rsid w:val="003A1D24"/>
    <w:rsid w:val="003A2218"/>
    <w:rsid w:val="003A2A92"/>
    <w:rsid w:val="003A2BE0"/>
    <w:rsid w:val="003A2D9C"/>
    <w:rsid w:val="003A762C"/>
    <w:rsid w:val="003A7DB0"/>
    <w:rsid w:val="003B0A77"/>
    <w:rsid w:val="003B0EF6"/>
    <w:rsid w:val="003B0FDA"/>
    <w:rsid w:val="003B1514"/>
    <w:rsid w:val="003B251B"/>
    <w:rsid w:val="003B2B95"/>
    <w:rsid w:val="003B3480"/>
    <w:rsid w:val="003B6E1C"/>
    <w:rsid w:val="003B726D"/>
    <w:rsid w:val="003B7777"/>
    <w:rsid w:val="003B7C45"/>
    <w:rsid w:val="003B7D20"/>
    <w:rsid w:val="003C02A6"/>
    <w:rsid w:val="003C12A4"/>
    <w:rsid w:val="003C2DB3"/>
    <w:rsid w:val="003C3D80"/>
    <w:rsid w:val="003C7B69"/>
    <w:rsid w:val="003D0022"/>
    <w:rsid w:val="003D2E8A"/>
    <w:rsid w:val="003D4278"/>
    <w:rsid w:val="003D4BFB"/>
    <w:rsid w:val="003D605B"/>
    <w:rsid w:val="003D7D13"/>
    <w:rsid w:val="003D7E84"/>
    <w:rsid w:val="003E0879"/>
    <w:rsid w:val="003E0D9F"/>
    <w:rsid w:val="003E2359"/>
    <w:rsid w:val="003E27AB"/>
    <w:rsid w:val="003E2A7B"/>
    <w:rsid w:val="003E2CB6"/>
    <w:rsid w:val="003E355D"/>
    <w:rsid w:val="003E4868"/>
    <w:rsid w:val="003E555B"/>
    <w:rsid w:val="003E576C"/>
    <w:rsid w:val="003E6033"/>
    <w:rsid w:val="003E62C5"/>
    <w:rsid w:val="003E6CC1"/>
    <w:rsid w:val="003F04AA"/>
    <w:rsid w:val="003F0959"/>
    <w:rsid w:val="003F1B6C"/>
    <w:rsid w:val="003F2098"/>
    <w:rsid w:val="003F25B1"/>
    <w:rsid w:val="003F38DC"/>
    <w:rsid w:val="003F4FE4"/>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1BEE"/>
    <w:rsid w:val="00464292"/>
    <w:rsid w:val="00470A5F"/>
    <w:rsid w:val="00471E8C"/>
    <w:rsid w:val="004727D7"/>
    <w:rsid w:val="00474B08"/>
    <w:rsid w:val="004756EF"/>
    <w:rsid w:val="00476C05"/>
    <w:rsid w:val="00477837"/>
    <w:rsid w:val="00481737"/>
    <w:rsid w:val="00482810"/>
    <w:rsid w:val="004828EF"/>
    <w:rsid w:val="00487294"/>
    <w:rsid w:val="00487473"/>
    <w:rsid w:val="0049053E"/>
    <w:rsid w:val="00491CE2"/>
    <w:rsid w:val="00491F4B"/>
    <w:rsid w:val="00493256"/>
    <w:rsid w:val="00494863"/>
    <w:rsid w:val="004A0B95"/>
    <w:rsid w:val="004A3087"/>
    <w:rsid w:val="004A3A20"/>
    <w:rsid w:val="004A3C18"/>
    <w:rsid w:val="004A7254"/>
    <w:rsid w:val="004A7D1C"/>
    <w:rsid w:val="004B1927"/>
    <w:rsid w:val="004B3892"/>
    <w:rsid w:val="004B3EEC"/>
    <w:rsid w:val="004B62C3"/>
    <w:rsid w:val="004B6411"/>
    <w:rsid w:val="004B7588"/>
    <w:rsid w:val="004B765F"/>
    <w:rsid w:val="004C00A2"/>
    <w:rsid w:val="004C1409"/>
    <w:rsid w:val="004C3207"/>
    <w:rsid w:val="004D00A0"/>
    <w:rsid w:val="004D2287"/>
    <w:rsid w:val="004D269F"/>
    <w:rsid w:val="004D2B4D"/>
    <w:rsid w:val="004D2F6D"/>
    <w:rsid w:val="004D3DC7"/>
    <w:rsid w:val="004D4E98"/>
    <w:rsid w:val="004D58DA"/>
    <w:rsid w:val="004D60D0"/>
    <w:rsid w:val="004D7E80"/>
    <w:rsid w:val="004E1978"/>
    <w:rsid w:val="004E2E70"/>
    <w:rsid w:val="004E3AC4"/>
    <w:rsid w:val="004E3B71"/>
    <w:rsid w:val="004E3D14"/>
    <w:rsid w:val="004E3F4F"/>
    <w:rsid w:val="004E42D8"/>
    <w:rsid w:val="004E542E"/>
    <w:rsid w:val="004E7F3E"/>
    <w:rsid w:val="004F0072"/>
    <w:rsid w:val="004F008C"/>
    <w:rsid w:val="004F0640"/>
    <w:rsid w:val="004F3418"/>
    <w:rsid w:val="004F3CA3"/>
    <w:rsid w:val="004F631B"/>
    <w:rsid w:val="004F77A4"/>
    <w:rsid w:val="004F78CA"/>
    <w:rsid w:val="00501741"/>
    <w:rsid w:val="00501A3F"/>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6282"/>
    <w:rsid w:val="005165AF"/>
    <w:rsid w:val="00516C75"/>
    <w:rsid w:val="005173FB"/>
    <w:rsid w:val="00520364"/>
    <w:rsid w:val="005203FA"/>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E3C"/>
    <w:rsid w:val="0055205F"/>
    <w:rsid w:val="0055241F"/>
    <w:rsid w:val="00553652"/>
    <w:rsid w:val="0055446D"/>
    <w:rsid w:val="005553D2"/>
    <w:rsid w:val="005559CC"/>
    <w:rsid w:val="00556F18"/>
    <w:rsid w:val="00560D05"/>
    <w:rsid w:val="0056192B"/>
    <w:rsid w:val="0056212B"/>
    <w:rsid w:val="005622CF"/>
    <w:rsid w:val="00563F70"/>
    <w:rsid w:val="00571BAA"/>
    <w:rsid w:val="005735A7"/>
    <w:rsid w:val="00575F17"/>
    <w:rsid w:val="00575F83"/>
    <w:rsid w:val="0058038F"/>
    <w:rsid w:val="00585871"/>
    <w:rsid w:val="00585E83"/>
    <w:rsid w:val="00586432"/>
    <w:rsid w:val="00590C76"/>
    <w:rsid w:val="00591EB7"/>
    <w:rsid w:val="00593D0B"/>
    <w:rsid w:val="005A168D"/>
    <w:rsid w:val="005A284C"/>
    <w:rsid w:val="005A3CEC"/>
    <w:rsid w:val="005A3FDC"/>
    <w:rsid w:val="005A4D65"/>
    <w:rsid w:val="005A4F01"/>
    <w:rsid w:val="005B07E3"/>
    <w:rsid w:val="005B227B"/>
    <w:rsid w:val="005B2432"/>
    <w:rsid w:val="005B289F"/>
    <w:rsid w:val="005B5DAD"/>
    <w:rsid w:val="005B5F22"/>
    <w:rsid w:val="005B695D"/>
    <w:rsid w:val="005B7309"/>
    <w:rsid w:val="005B7587"/>
    <w:rsid w:val="005C1ABF"/>
    <w:rsid w:val="005C76B2"/>
    <w:rsid w:val="005D09B9"/>
    <w:rsid w:val="005D1B1D"/>
    <w:rsid w:val="005D3918"/>
    <w:rsid w:val="005D4C67"/>
    <w:rsid w:val="005D5CC2"/>
    <w:rsid w:val="005D62EB"/>
    <w:rsid w:val="005D6344"/>
    <w:rsid w:val="005D6687"/>
    <w:rsid w:val="005D70F4"/>
    <w:rsid w:val="005D74A3"/>
    <w:rsid w:val="005E18D2"/>
    <w:rsid w:val="005E2CCB"/>
    <w:rsid w:val="005E2E1E"/>
    <w:rsid w:val="005E3820"/>
    <w:rsid w:val="005E5174"/>
    <w:rsid w:val="005E55A3"/>
    <w:rsid w:val="005E7ABE"/>
    <w:rsid w:val="005E7C23"/>
    <w:rsid w:val="005E7CAA"/>
    <w:rsid w:val="005F0A6A"/>
    <w:rsid w:val="005F23DA"/>
    <w:rsid w:val="005F2A1E"/>
    <w:rsid w:val="005F3D20"/>
    <w:rsid w:val="005F4912"/>
    <w:rsid w:val="005F6320"/>
    <w:rsid w:val="00602438"/>
    <w:rsid w:val="00603078"/>
    <w:rsid w:val="00603651"/>
    <w:rsid w:val="006043B2"/>
    <w:rsid w:val="00604489"/>
    <w:rsid w:val="006060CD"/>
    <w:rsid w:val="006122FF"/>
    <w:rsid w:val="00612A6A"/>
    <w:rsid w:val="0061334D"/>
    <w:rsid w:val="00613AE7"/>
    <w:rsid w:val="00614187"/>
    <w:rsid w:val="006147B4"/>
    <w:rsid w:val="00615791"/>
    <w:rsid w:val="00620694"/>
    <w:rsid w:val="0062078B"/>
    <w:rsid w:val="00623063"/>
    <w:rsid w:val="0062595C"/>
    <w:rsid w:val="00625A03"/>
    <w:rsid w:val="0062621C"/>
    <w:rsid w:val="00626B4C"/>
    <w:rsid w:val="0062772E"/>
    <w:rsid w:val="006304D7"/>
    <w:rsid w:val="00631C0C"/>
    <w:rsid w:val="006321AA"/>
    <w:rsid w:val="00632544"/>
    <w:rsid w:val="00632C43"/>
    <w:rsid w:val="00633C0A"/>
    <w:rsid w:val="00634FDF"/>
    <w:rsid w:val="00635FA8"/>
    <w:rsid w:val="00636E5F"/>
    <w:rsid w:val="006374AB"/>
    <w:rsid w:val="0063757F"/>
    <w:rsid w:val="0064010B"/>
    <w:rsid w:val="00640510"/>
    <w:rsid w:val="00642F46"/>
    <w:rsid w:val="00645BED"/>
    <w:rsid w:val="0064639F"/>
    <w:rsid w:val="00646F45"/>
    <w:rsid w:val="00647524"/>
    <w:rsid w:val="00650C06"/>
    <w:rsid w:val="006523AE"/>
    <w:rsid w:val="00654670"/>
    <w:rsid w:val="00655AA0"/>
    <w:rsid w:val="0065617E"/>
    <w:rsid w:val="00656509"/>
    <w:rsid w:val="00656DBB"/>
    <w:rsid w:val="00660149"/>
    <w:rsid w:val="00661220"/>
    <w:rsid w:val="0066190D"/>
    <w:rsid w:val="00661D3A"/>
    <w:rsid w:val="0066354E"/>
    <w:rsid w:val="00664523"/>
    <w:rsid w:val="00664670"/>
    <w:rsid w:val="00665780"/>
    <w:rsid w:val="00670993"/>
    <w:rsid w:val="00671F9E"/>
    <w:rsid w:val="0067267B"/>
    <w:rsid w:val="00675ACB"/>
    <w:rsid w:val="006760A4"/>
    <w:rsid w:val="00676375"/>
    <w:rsid w:val="006804BE"/>
    <w:rsid w:val="0068177B"/>
    <w:rsid w:val="006831D0"/>
    <w:rsid w:val="00683248"/>
    <w:rsid w:val="0068396A"/>
    <w:rsid w:val="00684AFA"/>
    <w:rsid w:val="00685899"/>
    <w:rsid w:val="006873FC"/>
    <w:rsid w:val="00687753"/>
    <w:rsid w:val="0069187E"/>
    <w:rsid w:val="00692781"/>
    <w:rsid w:val="0069418C"/>
    <w:rsid w:val="00694E04"/>
    <w:rsid w:val="006958A0"/>
    <w:rsid w:val="006964BF"/>
    <w:rsid w:val="006967AB"/>
    <w:rsid w:val="006A18F0"/>
    <w:rsid w:val="006A1B6C"/>
    <w:rsid w:val="006A3202"/>
    <w:rsid w:val="006A5098"/>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F2FDF"/>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690"/>
    <w:rsid w:val="00710BF0"/>
    <w:rsid w:val="00711431"/>
    <w:rsid w:val="0071174C"/>
    <w:rsid w:val="007119EC"/>
    <w:rsid w:val="007120D3"/>
    <w:rsid w:val="00712650"/>
    <w:rsid w:val="007129C1"/>
    <w:rsid w:val="00712C09"/>
    <w:rsid w:val="007130B1"/>
    <w:rsid w:val="0071480E"/>
    <w:rsid w:val="007175F1"/>
    <w:rsid w:val="007208BB"/>
    <w:rsid w:val="00721EC3"/>
    <w:rsid w:val="0072366D"/>
    <w:rsid w:val="0072394C"/>
    <w:rsid w:val="007244CA"/>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2D9"/>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7681"/>
    <w:rsid w:val="007978B2"/>
    <w:rsid w:val="00797CB6"/>
    <w:rsid w:val="00797D10"/>
    <w:rsid w:val="007A1426"/>
    <w:rsid w:val="007A1607"/>
    <w:rsid w:val="007A2F20"/>
    <w:rsid w:val="007A3434"/>
    <w:rsid w:val="007A3DD3"/>
    <w:rsid w:val="007A493F"/>
    <w:rsid w:val="007A5556"/>
    <w:rsid w:val="007A795A"/>
    <w:rsid w:val="007B1121"/>
    <w:rsid w:val="007B1D0F"/>
    <w:rsid w:val="007B3F8C"/>
    <w:rsid w:val="007B4F22"/>
    <w:rsid w:val="007C02C2"/>
    <w:rsid w:val="007C1BA4"/>
    <w:rsid w:val="007C3242"/>
    <w:rsid w:val="007C364E"/>
    <w:rsid w:val="007C4BEB"/>
    <w:rsid w:val="007C631B"/>
    <w:rsid w:val="007C69A8"/>
    <w:rsid w:val="007C6DAC"/>
    <w:rsid w:val="007C6F3D"/>
    <w:rsid w:val="007C738D"/>
    <w:rsid w:val="007D05E1"/>
    <w:rsid w:val="007D12F9"/>
    <w:rsid w:val="007D1451"/>
    <w:rsid w:val="007D1627"/>
    <w:rsid w:val="007D7B96"/>
    <w:rsid w:val="007E174F"/>
    <w:rsid w:val="007E2405"/>
    <w:rsid w:val="007E2621"/>
    <w:rsid w:val="007E2718"/>
    <w:rsid w:val="007E311D"/>
    <w:rsid w:val="007E362E"/>
    <w:rsid w:val="007E41D8"/>
    <w:rsid w:val="007E4B1E"/>
    <w:rsid w:val="007E57AD"/>
    <w:rsid w:val="007E7CAD"/>
    <w:rsid w:val="007F0471"/>
    <w:rsid w:val="007F32DC"/>
    <w:rsid w:val="007F411F"/>
    <w:rsid w:val="007F4E61"/>
    <w:rsid w:val="007F5851"/>
    <w:rsid w:val="007F6B1D"/>
    <w:rsid w:val="0080174E"/>
    <w:rsid w:val="008018C6"/>
    <w:rsid w:val="00801E84"/>
    <w:rsid w:val="00802F2E"/>
    <w:rsid w:val="00807B53"/>
    <w:rsid w:val="008106CD"/>
    <w:rsid w:val="0081111A"/>
    <w:rsid w:val="00811656"/>
    <w:rsid w:val="00811E1B"/>
    <w:rsid w:val="008172D0"/>
    <w:rsid w:val="008201E9"/>
    <w:rsid w:val="0082239B"/>
    <w:rsid w:val="00822A35"/>
    <w:rsid w:val="00823AEF"/>
    <w:rsid w:val="00824C11"/>
    <w:rsid w:val="008302FF"/>
    <w:rsid w:val="0083074C"/>
    <w:rsid w:val="00830DC9"/>
    <w:rsid w:val="00831A25"/>
    <w:rsid w:val="00832725"/>
    <w:rsid w:val="008338B6"/>
    <w:rsid w:val="008366F9"/>
    <w:rsid w:val="00836AFC"/>
    <w:rsid w:val="00837E93"/>
    <w:rsid w:val="00840702"/>
    <w:rsid w:val="008469CB"/>
    <w:rsid w:val="00847C89"/>
    <w:rsid w:val="008539E9"/>
    <w:rsid w:val="00853D33"/>
    <w:rsid w:val="00853F40"/>
    <w:rsid w:val="00854BDB"/>
    <w:rsid w:val="00855613"/>
    <w:rsid w:val="008577EC"/>
    <w:rsid w:val="00860E82"/>
    <w:rsid w:val="00860FA9"/>
    <w:rsid w:val="00864BEB"/>
    <w:rsid w:val="00865667"/>
    <w:rsid w:val="0086718A"/>
    <w:rsid w:val="008751B6"/>
    <w:rsid w:val="008757C8"/>
    <w:rsid w:val="00875E6F"/>
    <w:rsid w:val="0087709B"/>
    <w:rsid w:val="00883582"/>
    <w:rsid w:val="008836E7"/>
    <w:rsid w:val="00883C6A"/>
    <w:rsid w:val="00885A50"/>
    <w:rsid w:val="00886496"/>
    <w:rsid w:val="00886F18"/>
    <w:rsid w:val="00891745"/>
    <w:rsid w:val="00892758"/>
    <w:rsid w:val="00896216"/>
    <w:rsid w:val="00897322"/>
    <w:rsid w:val="00897581"/>
    <w:rsid w:val="008A328E"/>
    <w:rsid w:val="008A36BF"/>
    <w:rsid w:val="008A51C8"/>
    <w:rsid w:val="008A52E3"/>
    <w:rsid w:val="008A5B12"/>
    <w:rsid w:val="008A6EC8"/>
    <w:rsid w:val="008A7F86"/>
    <w:rsid w:val="008B06B4"/>
    <w:rsid w:val="008B2920"/>
    <w:rsid w:val="008B3E3A"/>
    <w:rsid w:val="008B4C5C"/>
    <w:rsid w:val="008B5715"/>
    <w:rsid w:val="008B5B4F"/>
    <w:rsid w:val="008B61D9"/>
    <w:rsid w:val="008C0141"/>
    <w:rsid w:val="008C150C"/>
    <w:rsid w:val="008C2C44"/>
    <w:rsid w:val="008C342C"/>
    <w:rsid w:val="008C4D0E"/>
    <w:rsid w:val="008C5CAC"/>
    <w:rsid w:val="008D148F"/>
    <w:rsid w:val="008D2387"/>
    <w:rsid w:val="008D2F42"/>
    <w:rsid w:val="008D3AE5"/>
    <w:rsid w:val="008D3DCF"/>
    <w:rsid w:val="008D44BB"/>
    <w:rsid w:val="008D4D08"/>
    <w:rsid w:val="008D555D"/>
    <w:rsid w:val="008D74F9"/>
    <w:rsid w:val="008E058A"/>
    <w:rsid w:val="008E162A"/>
    <w:rsid w:val="008E1D68"/>
    <w:rsid w:val="008E21DC"/>
    <w:rsid w:val="008E24F9"/>
    <w:rsid w:val="008E32E5"/>
    <w:rsid w:val="008E40AE"/>
    <w:rsid w:val="008E417D"/>
    <w:rsid w:val="008E54A5"/>
    <w:rsid w:val="008E69E6"/>
    <w:rsid w:val="008E75DD"/>
    <w:rsid w:val="008E7868"/>
    <w:rsid w:val="008E78A3"/>
    <w:rsid w:val="008E7DBF"/>
    <w:rsid w:val="008F1069"/>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0235"/>
    <w:rsid w:val="0092276D"/>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5303A"/>
    <w:rsid w:val="009534AA"/>
    <w:rsid w:val="00953ADE"/>
    <w:rsid w:val="009547E1"/>
    <w:rsid w:val="009551C9"/>
    <w:rsid w:val="00957DB5"/>
    <w:rsid w:val="00960655"/>
    <w:rsid w:val="0096499E"/>
    <w:rsid w:val="00964C2D"/>
    <w:rsid w:val="00965116"/>
    <w:rsid w:val="0096517A"/>
    <w:rsid w:val="00965984"/>
    <w:rsid w:val="00966206"/>
    <w:rsid w:val="009703FC"/>
    <w:rsid w:val="00970601"/>
    <w:rsid w:val="00970C48"/>
    <w:rsid w:val="00971035"/>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DE1"/>
    <w:rsid w:val="0099201D"/>
    <w:rsid w:val="00992B16"/>
    <w:rsid w:val="00992CA2"/>
    <w:rsid w:val="0099300B"/>
    <w:rsid w:val="00994137"/>
    <w:rsid w:val="0099455D"/>
    <w:rsid w:val="00997384"/>
    <w:rsid w:val="009A06D6"/>
    <w:rsid w:val="009A2F48"/>
    <w:rsid w:val="009A4118"/>
    <w:rsid w:val="009A6A42"/>
    <w:rsid w:val="009A72ED"/>
    <w:rsid w:val="009B03E5"/>
    <w:rsid w:val="009B0BED"/>
    <w:rsid w:val="009B1AD9"/>
    <w:rsid w:val="009B28E6"/>
    <w:rsid w:val="009B2990"/>
    <w:rsid w:val="009B2E1D"/>
    <w:rsid w:val="009B7BEE"/>
    <w:rsid w:val="009C1F4D"/>
    <w:rsid w:val="009C2A63"/>
    <w:rsid w:val="009C3CCF"/>
    <w:rsid w:val="009C5F92"/>
    <w:rsid w:val="009C6776"/>
    <w:rsid w:val="009C7850"/>
    <w:rsid w:val="009D068F"/>
    <w:rsid w:val="009D4FFC"/>
    <w:rsid w:val="009D50C3"/>
    <w:rsid w:val="009D5A7A"/>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EF9"/>
    <w:rsid w:val="00A2223B"/>
    <w:rsid w:val="00A24A8C"/>
    <w:rsid w:val="00A25082"/>
    <w:rsid w:val="00A270BB"/>
    <w:rsid w:val="00A2728E"/>
    <w:rsid w:val="00A27308"/>
    <w:rsid w:val="00A3058C"/>
    <w:rsid w:val="00A31FA1"/>
    <w:rsid w:val="00A326B7"/>
    <w:rsid w:val="00A32ABB"/>
    <w:rsid w:val="00A33F3A"/>
    <w:rsid w:val="00A33FAB"/>
    <w:rsid w:val="00A34017"/>
    <w:rsid w:val="00A3414E"/>
    <w:rsid w:val="00A345FF"/>
    <w:rsid w:val="00A356C2"/>
    <w:rsid w:val="00A41216"/>
    <w:rsid w:val="00A43851"/>
    <w:rsid w:val="00A439DD"/>
    <w:rsid w:val="00A455E7"/>
    <w:rsid w:val="00A46938"/>
    <w:rsid w:val="00A5264F"/>
    <w:rsid w:val="00A5286D"/>
    <w:rsid w:val="00A5347D"/>
    <w:rsid w:val="00A53CDD"/>
    <w:rsid w:val="00A54628"/>
    <w:rsid w:val="00A57828"/>
    <w:rsid w:val="00A613FF"/>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010"/>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DA2"/>
    <w:rsid w:val="00AD1276"/>
    <w:rsid w:val="00AD171C"/>
    <w:rsid w:val="00AD40D0"/>
    <w:rsid w:val="00AD4546"/>
    <w:rsid w:val="00AD65A3"/>
    <w:rsid w:val="00AD6B35"/>
    <w:rsid w:val="00AD7FC9"/>
    <w:rsid w:val="00AE16CF"/>
    <w:rsid w:val="00AE1BDA"/>
    <w:rsid w:val="00AE1EA7"/>
    <w:rsid w:val="00AE272A"/>
    <w:rsid w:val="00AE47FD"/>
    <w:rsid w:val="00AE4BB9"/>
    <w:rsid w:val="00AE58FF"/>
    <w:rsid w:val="00AE7279"/>
    <w:rsid w:val="00AE7419"/>
    <w:rsid w:val="00AE7A56"/>
    <w:rsid w:val="00AF07D9"/>
    <w:rsid w:val="00AF4FB5"/>
    <w:rsid w:val="00AF5A51"/>
    <w:rsid w:val="00AF5BBA"/>
    <w:rsid w:val="00AF5C2B"/>
    <w:rsid w:val="00AF71A0"/>
    <w:rsid w:val="00B012A1"/>
    <w:rsid w:val="00B02595"/>
    <w:rsid w:val="00B031BC"/>
    <w:rsid w:val="00B041C4"/>
    <w:rsid w:val="00B04910"/>
    <w:rsid w:val="00B04F36"/>
    <w:rsid w:val="00B07CEC"/>
    <w:rsid w:val="00B10481"/>
    <w:rsid w:val="00B12EA8"/>
    <w:rsid w:val="00B13F3D"/>
    <w:rsid w:val="00B14BF7"/>
    <w:rsid w:val="00B16F50"/>
    <w:rsid w:val="00B17A71"/>
    <w:rsid w:val="00B2074D"/>
    <w:rsid w:val="00B20E20"/>
    <w:rsid w:val="00B21594"/>
    <w:rsid w:val="00B22072"/>
    <w:rsid w:val="00B260F0"/>
    <w:rsid w:val="00B263FA"/>
    <w:rsid w:val="00B26E66"/>
    <w:rsid w:val="00B27354"/>
    <w:rsid w:val="00B27914"/>
    <w:rsid w:val="00B27988"/>
    <w:rsid w:val="00B32598"/>
    <w:rsid w:val="00B32638"/>
    <w:rsid w:val="00B32931"/>
    <w:rsid w:val="00B349E1"/>
    <w:rsid w:val="00B3590C"/>
    <w:rsid w:val="00B4140E"/>
    <w:rsid w:val="00B41906"/>
    <w:rsid w:val="00B43340"/>
    <w:rsid w:val="00B43519"/>
    <w:rsid w:val="00B4392B"/>
    <w:rsid w:val="00B43C7E"/>
    <w:rsid w:val="00B44E06"/>
    <w:rsid w:val="00B4506E"/>
    <w:rsid w:val="00B474E0"/>
    <w:rsid w:val="00B478F9"/>
    <w:rsid w:val="00B5083F"/>
    <w:rsid w:val="00B526A0"/>
    <w:rsid w:val="00B5271E"/>
    <w:rsid w:val="00B538B8"/>
    <w:rsid w:val="00B53BE1"/>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97C"/>
    <w:rsid w:val="00B74D43"/>
    <w:rsid w:val="00B75283"/>
    <w:rsid w:val="00B760A2"/>
    <w:rsid w:val="00B76EA1"/>
    <w:rsid w:val="00B81E30"/>
    <w:rsid w:val="00B821BC"/>
    <w:rsid w:val="00B82861"/>
    <w:rsid w:val="00B83559"/>
    <w:rsid w:val="00B85282"/>
    <w:rsid w:val="00B85BE1"/>
    <w:rsid w:val="00B86477"/>
    <w:rsid w:val="00B86B8B"/>
    <w:rsid w:val="00B90361"/>
    <w:rsid w:val="00B90845"/>
    <w:rsid w:val="00B9184A"/>
    <w:rsid w:val="00B92A6A"/>
    <w:rsid w:val="00B93842"/>
    <w:rsid w:val="00B96C6C"/>
    <w:rsid w:val="00BA0ECD"/>
    <w:rsid w:val="00BA4B7A"/>
    <w:rsid w:val="00BA5234"/>
    <w:rsid w:val="00BA78BD"/>
    <w:rsid w:val="00BB178A"/>
    <w:rsid w:val="00BB187E"/>
    <w:rsid w:val="00BB27C4"/>
    <w:rsid w:val="00BB2CB7"/>
    <w:rsid w:val="00BB4ADA"/>
    <w:rsid w:val="00BB5C7E"/>
    <w:rsid w:val="00BB5CD9"/>
    <w:rsid w:val="00BB6A64"/>
    <w:rsid w:val="00BB7090"/>
    <w:rsid w:val="00BB7D0B"/>
    <w:rsid w:val="00BC2DC8"/>
    <w:rsid w:val="00BC5446"/>
    <w:rsid w:val="00BC726C"/>
    <w:rsid w:val="00BC7520"/>
    <w:rsid w:val="00BD07EE"/>
    <w:rsid w:val="00BD3F4E"/>
    <w:rsid w:val="00BD44B0"/>
    <w:rsid w:val="00BD5097"/>
    <w:rsid w:val="00BD51DC"/>
    <w:rsid w:val="00BD54B1"/>
    <w:rsid w:val="00BD7F32"/>
    <w:rsid w:val="00BE4F7B"/>
    <w:rsid w:val="00BE5701"/>
    <w:rsid w:val="00BE5C44"/>
    <w:rsid w:val="00BE6C19"/>
    <w:rsid w:val="00BF0EC2"/>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213D"/>
    <w:rsid w:val="00C24DE2"/>
    <w:rsid w:val="00C3019E"/>
    <w:rsid w:val="00C31845"/>
    <w:rsid w:val="00C31B75"/>
    <w:rsid w:val="00C32396"/>
    <w:rsid w:val="00C323B2"/>
    <w:rsid w:val="00C3270C"/>
    <w:rsid w:val="00C33373"/>
    <w:rsid w:val="00C33D3B"/>
    <w:rsid w:val="00C34E6B"/>
    <w:rsid w:val="00C3607A"/>
    <w:rsid w:val="00C3787B"/>
    <w:rsid w:val="00C379E9"/>
    <w:rsid w:val="00C40799"/>
    <w:rsid w:val="00C410B3"/>
    <w:rsid w:val="00C44604"/>
    <w:rsid w:val="00C4496F"/>
    <w:rsid w:val="00C459B5"/>
    <w:rsid w:val="00C45DA9"/>
    <w:rsid w:val="00C471D2"/>
    <w:rsid w:val="00C50596"/>
    <w:rsid w:val="00C51A1C"/>
    <w:rsid w:val="00C52108"/>
    <w:rsid w:val="00C56CCB"/>
    <w:rsid w:val="00C60B94"/>
    <w:rsid w:val="00C60FF1"/>
    <w:rsid w:val="00C62939"/>
    <w:rsid w:val="00C6384C"/>
    <w:rsid w:val="00C63CBE"/>
    <w:rsid w:val="00C6499D"/>
    <w:rsid w:val="00C70756"/>
    <w:rsid w:val="00C768B8"/>
    <w:rsid w:val="00C77948"/>
    <w:rsid w:val="00C81254"/>
    <w:rsid w:val="00C82A66"/>
    <w:rsid w:val="00C8343B"/>
    <w:rsid w:val="00C839C0"/>
    <w:rsid w:val="00C83F90"/>
    <w:rsid w:val="00C84620"/>
    <w:rsid w:val="00C85B23"/>
    <w:rsid w:val="00C86B77"/>
    <w:rsid w:val="00C8708B"/>
    <w:rsid w:val="00C905B8"/>
    <w:rsid w:val="00C90CFE"/>
    <w:rsid w:val="00C91677"/>
    <w:rsid w:val="00C92572"/>
    <w:rsid w:val="00C92673"/>
    <w:rsid w:val="00C92C33"/>
    <w:rsid w:val="00C955F9"/>
    <w:rsid w:val="00C96110"/>
    <w:rsid w:val="00CA15C8"/>
    <w:rsid w:val="00CA231B"/>
    <w:rsid w:val="00CA2A5A"/>
    <w:rsid w:val="00CA35DB"/>
    <w:rsid w:val="00CA3E08"/>
    <w:rsid w:val="00CA4146"/>
    <w:rsid w:val="00CA4FB7"/>
    <w:rsid w:val="00CA6184"/>
    <w:rsid w:val="00CA7DE2"/>
    <w:rsid w:val="00CB0FC8"/>
    <w:rsid w:val="00CB11B1"/>
    <w:rsid w:val="00CB30C3"/>
    <w:rsid w:val="00CB3689"/>
    <w:rsid w:val="00CB46D8"/>
    <w:rsid w:val="00CB57A4"/>
    <w:rsid w:val="00CB5D74"/>
    <w:rsid w:val="00CB6095"/>
    <w:rsid w:val="00CB61F4"/>
    <w:rsid w:val="00CB669B"/>
    <w:rsid w:val="00CC08A8"/>
    <w:rsid w:val="00CC18B8"/>
    <w:rsid w:val="00CC278D"/>
    <w:rsid w:val="00CC3D6C"/>
    <w:rsid w:val="00CC53D5"/>
    <w:rsid w:val="00CC5B8C"/>
    <w:rsid w:val="00CC6314"/>
    <w:rsid w:val="00CC6C46"/>
    <w:rsid w:val="00CC718B"/>
    <w:rsid w:val="00CD0204"/>
    <w:rsid w:val="00CD1C98"/>
    <w:rsid w:val="00CD3FE7"/>
    <w:rsid w:val="00CD4D2B"/>
    <w:rsid w:val="00CD5C65"/>
    <w:rsid w:val="00CD6B0E"/>
    <w:rsid w:val="00CD760F"/>
    <w:rsid w:val="00CE05E3"/>
    <w:rsid w:val="00CE1208"/>
    <w:rsid w:val="00CE24C3"/>
    <w:rsid w:val="00CE41B7"/>
    <w:rsid w:val="00CE5FEE"/>
    <w:rsid w:val="00CE6146"/>
    <w:rsid w:val="00CE7282"/>
    <w:rsid w:val="00CE735C"/>
    <w:rsid w:val="00CF1E02"/>
    <w:rsid w:val="00CF1E16"/>
    <w:rsid w:val="00CF2355"/>
    <w:rsid w:val="00CF2443"/>
    <w:rsid w:val="00CF4ED6"/>
    <w:rsid w:val="00CF6D8B"/>
    <w:rsid w:val="00CF7CD7"/>
    <w:rsid w:val="00CF7F4D"/>
    <w:rsid w:val="00D00851"/>
    <w:rsid w:val="00D01477"/>
    <w:rsid w:val="00D03187"/>
    <w:rsid w:val="00D05EE6"/>
    <w:rsid w:val="00D0770D"/>
    <w:rsid w:val="00D07EC4"/>
    <w:rsid w:val="00D10130"/>
    <w:rsid w:val="00D10239"/>
    <w:rsid w:val="00D1093B"/>
    <w:rsid w:val="00D11B91"/>
    <w:rsid w:val="00D11C94"/>
    <w:rsid w:val="00D13DB0"/>
    <w:rsid w:val="00D140BD"/>
    <w:rsid w:val="00D17822"/>
    <w:rsid w:val="00D1789E"/>
    <w:rsid w:val="00D200B1"/>
    <w:rsid w:val="00D2028D"/>
    <w:rsid w:val="00D226B3"/>
    <w:rsid w:val="00D250C5"/>
    <w:rsid w:val="00D3014D"/>
    <w:rsid w:val="00D325EE"/>
    <w:rsid w:val="00D344B9"/>
    <w:rsid w:val="00D3551D"/>
    <w:rsid w:val="00D3574C"/>
    <w:rsid w:val="00D35D96"/>
    <w:rsid w:val="00D361BA"/>
    <w:rsid w:val="00D362DA"/>
    <w:rsid w:val="00D372E6"/>
    <w:rsid w:val="00D37C4A"/>
    <w:rsid w:val="00D41779"/>
    <w:rsid w:val="00D418B0"/>
    <w:rsid w:val="00D41FB6"/>
    <w:rsid w:val="00D42435"/>
    <w:rsid w:val="00D4500E"/>
    <w:rsid w:val="00D455EF"/>
    <w:rsid w:val="00D45CD9"/>
    <w:rsid w:val="00D46420"/>
    <w:rsid w:val="00D474D2"/>
    <w:rsid w:val="00D475D5"/>
    <w:rsid w:val="00D50869"/>
    <w:rsid w:val="00D50EFC"/>
    <w:rsid w:val="00D5303F"/>
    <w:rsid w:val="00D53CD7"/>
    <w:rsid w:val="00D55E2A"/>
    <w:rsid w:val="00D56557"/>
    <w:rsid w:val="00D57636"/>
    <w:rsid w:val="00D616A1"/>
    <w:rsid w:val="00D61C8C"/>
    <w:rsid w:val="00D61E96"/>
    <w:rsid w:val="00D62098"/>
    <w:rsid w:val="00D626FB"/>
    <w:rsid w:val="00D62E05"/>
    <w:rsid w:val="00D634B9"/>
    <w:rsid w:val="00D63DA6"/>
    <w:rsid w:val="00D6467B"/>
    <w:rsid w:val="00D6525E"/>
    <w:rsid w:val="00D65893"/>
    <w:rsid w:val="00D658F2"/>
    <w:rsid w:val="00D6681A"/>
    <w:rsid w:val="00D67174"/>
    <w:rsid w:val="00D67742"/>
    <w:rsid w:val="00D70CDD"/>
    <w:rsid w:val="00D71770"/>
    <w:rsid w:val="00D73642"/>
    <w:rsid w:val="00D73A59"/>
    <w:rsid w:val="00D73F32"/>
    <w:rsid w:val="00D74712"/>
    <w:rsid w:val="00D74740"/>
    <w:rsid w:val="00D757A9"/>
    <w:rsid w:val="00D75E04"/>
    <w:rsid w:val="00D76536"/>
    <w:rsid w:val="00D76F83"/>
    <w:rsid w:val="00D8374A"/>
    <w:rsid w:val="00D83750"/>
    <w:rsid w:val="00D8390F"/>
    <w:rsid w:val="00D8442A"/>
    <w:rsid w:val="00D8544A"/>
    <w:rsid w:val="00D860F4"/>
    <w:rsid w:val="00D87E4B"/>
    <w:rsid w:val="00D91219"/>
    <w:rsid w:val="00D93402"/>
    <w:rsid w:val="00D94387"/>
    <w:rsid w:val="00D952C6"/>
    <w:rsid w:val="00D9653C"/>
    <w:rsid w:val="00D96FA3"/>
    <w:rsid w:val="00D970C6"/>
    <w:rsid w:val="00D97822"/>
    <w:rsid w:val="00D97A9A"/>
    <w:rsid w:val="00DA0A33"/>
    <w:rsid w:val="00DA0DBE"/>
    <w:rsid w:val="00DA1297"/>
    <w:rsid w:val="00DA1A14"/>
    <w:rsid w:val="00DA2FEB"/>
    <w:rsid w:val="00DA6AAE"/>
    <w:rsid w:val="00DA7E40"/>
    <w:rsid w:val="00DA7FF7"/>
    <w:rsid w:val="00DB0AB5"/>
    <w:rsid w:val="00DB0DEC"/>
    <w:rsid w:val="00DB1229"/>
    <w:rsid w:val="00DB4E99"/>
    <w:rsid w:val="00DB7104"/>
    <w:rsid w:val="00DB7B53"/>
    <w:rsid w:val="00DB7E1A"/>
    <w:rsid w:val="00DC1638"/>
    <w:rsid w:val="00DC32AA"/>
    <w:rsid w:val="00DC3BFE"/>
    <w:rsid w:val="00DC3ED4"/>
    <w:rsid w:val="00DC6B3C"/>
    <w:rsid w:val="00DC7A37"/>
    <w:rsid w:val="00DD0A98"/>
    <w:rsid w:val="00DD461F"/>
    <w:rsid w:val="00DD4C85"/>
    <w:rsid w:val="00DD55E6"/>
    <w:rsid w:val="00DD5B64"/>
    <w:rsid w:val="00DD662A"/>
    <w:rsid w:val="00DD6967"/>
    <w:rsid w:val="00DE0A9F"/>
    <w:rsid w:val="00DE4DD4"/>
    <w:rsid w:val="00DE69E6"/>
    <w:rsid w:val="00DE789E"/>
    <w:rsid w:val="00DE7D2B"/>
    <w:rsid w:val="00DF00C1"/>
    <w:rsid w:val="00DF06B4"/>
    <w:rsid w:val="00DF0ABD"/>
    <w:rsid w:val="00DF157F"/>
    <w:rsid w:val="00DF5750"/>
    <w:rsid w:val="00DF6CCC"/>
    <w:rsid w:val="00DF7B00"/>
    <w:rsid w:val="00E01605"/>
    <w:rsid w:val="00E03F08"/>
    <w:rsid w:val="00E0454B"/>
    <w:rsid w:val="00E0486B"/>
    <w:rsid w:val="00E0617D"/>
    <w:rsid w:val="00E06E06"/>
    <w:rsid w:val="00E1056C"/>
    <w:rsid w:val="00E10CD9"/>
    <w:rsid w:val="00E11BF2"/>
    <w:rsid w:val="00E125B9"/>
    <w:rsid w:val="00E16021"/>
    <w:rsid w:val="00E17339"/>
    <w:rsid w:val="00E20797"/>
    <w:rsid w:val="00E20980"/>
    <w:rsid w:val="00E20BE8"/>
    <w:rsid w:val="00E20F00"/>
    <w:rsid w:val="00E22042"/>
    <w:rsid w:val="00E24DB0"/>
    <w:rsid w:val="00E24F58"/>
    <w:rsid w:val="00E30EBF"/>
    <w:rsid w:val="00E30EDD"/>
    <w:rsid w:val="00E31102"/>
    <w:rsid w:val="00E314E5"/>
    <w:rsid w:val="00E31A8E"/>
    <w:rsid w:val="00E31D47"/>
    <w:rsid w:val="00E34CB0"/>
    <w:rsid w:val="00E34CF0"/>
    <w:rsid w:val="00E36AB7"/>
    <w:rsid w:val="00E37781"/>
    <w:rsid w:val="00E37CA6"/>
    <w:rsid w:val="00E37D33"/>
    <w:rsid w:val="00E42D0C"/>
    <w:rsid w:val="00E42D31"/>
    <w:rsid w:val="00E43AD8"/>
    <w:rsid w:val="00E4403D"/>
    <w:rsid w:val="00E45451"/>
    <w:rsid w:val="00E46BB6"/>
    <w:rsid w:val="00E51511"/>
    <w:rsid w:val="00E5157D"/>
    <w:rsid w:val="00E523F2"/>
    <w:rsid w:val="00E54817"/>
    <w:rsid w:val="00E548AF"/>
    <w:rsid w:val="00E54C2C"/>
    <w:rsid w:val="00E55A84"/>
    <w:rsid w:val="00E600D0"/>
    <w:rsid w:val="00E60BA7"/>
    <w:rsid w:val="00E623EE"/>
    <w:rsid w:val="00E65008"/>
    <w:rsid w:val="00E65D71"/>
    <w:rsid w:val="00E67FD3"/>
    <w:rsid w:val="00E745D3"/>
    <w:rsid w:val="00E762D1"/>
    <w:rsid w:val="00E772A1"/>
    <w:rsid w:val="00E776AF"/>
    <w:rsid w:val="00E77B5F"/>
    <w:rsid w:val="00E80586"/>
    <w:rsid w:val="00E80644"/>
    <w:rsid w:val="00E835D7"/>
    <w:rsid w:val="00E85D4C"/>
    <w:rsid w:val="00E85EF0"/>
    <w:rsid w:val="00E86374"/>
    <w:rsid w:val="00E868DA"/>
    <w:rsid w:val="00E91972"/>
    <w:rsid w:val="00E925A6"/>
    <w:rsid w:val="00E9300B"/>
    <w:rsid w:val="00E93D63"/>
    <w:rsid w:val="00E94A9F"/>
    <w:rsid w:val="00E94C8E"/>
    <w:rsid w:val="00E95891"/>
    <w:rsid w:val="00E95EC0"/>
    <w:rsid w:val="00EA0832"/>
    <w:rsid w:val="00EA1EFD"/>
    <w:rsid w:val="00EA30FF"/>
    <w:rsid w:val="00EA3622"/>
    <w:rsid w:val="00EA4445"/>
    <w:rsid w:val="00EA5573"/>
    <w:rsid w:val="00EA5B11"/>
    <w:rsid w:val="00EA5E34"/>
    <w:rsid w:val="00EA655A"/>
    <w:rsid w:val="00EA6D1B"/>
    <w:rsid w:val="00EA73E5"/>
    <w:rsid w:val="00EA7D9C"/>
    <w:rsid w:val="00EB1FA6"/>
    <w:rsid w:val="00EB22B4"/>
    <w:rsid w:val="00EB4C03"/>
    <w:rsid w:val="00EB5429"/>
    <w:rsid w:val="00EB5591"/>
    <w:rsid w:val="00EB66A1"/>
    <w:rsid w:val="00EB6FD0"/>
    <w:rsid w:val="00EB75ED"/>
    <w:rsid w:val="00EB7B0A"/>
    <w:rsid w:val="00EC40CA"/>
    <w:rsid w:val="00EC46C4"/>
    <w:rsid w:val="00EC4A87"/>
    <w:rsid w:val="00EC4B01"/>
    <w:rsid w:val="00EC5E67"/>
    <w:rsid w:val="00EC6307"/>
    <w:rsid w:val="00EC6FEC"/>
    <w:rsid w:val="00EC7AE5"/>
    <w:rsid w:val="00ED20A9"/>
    <w:rsid w:val="00ED223B"/>
    <w:rsid w:val="00ED2405"/>
    <w:rsid w:val="00ED2432"/>
    <w:rsid w:val="00ED3010"/>
    <w:rsid w:val="00ED621A"/>
    <w:rsid w:val="00ED73F1"/>
    <w:rsid w:val="00EE16F4"/>
    <w:rsid w:val="00EE1867"/>
    <w:rsid w:val="00EE346A"/>
    <w:rsid w:val="00EE3F65"/>
    <w:rsid w:val="00EE3FB0"/>
    <w:rsid w:val="00EE68DB"/>
    <w:rsid w:val="00EF1626"/>
    <w:rsid w:val="00EF1AFF"/>
    <w:rsid w:val="00EF3024"/>
    <w:rsid w:val="00EF3A01"/>
    <w:rsid w:val="00EF472F"/>
    <w:rsid w:val="00EF6212"/>
    <w:rsid w:val="00EF6F46"/>
    <w:rsid w:val="00EF790E"/>
    <w:rsid w:val="00F01482"/>
    <w:rsid w:val="00F0360B"/>
    <w:rsid w:val="00F04679"/>
    <w:rsid w:val="00F06A6A"/>
    <w:rsid w:val="00F06A6B"/>
    <w:rsid w:val="00F104DB"/>
    <w:rsid w:val="00F10E17"/>
    <w:rsid w:val="00F11CBD"/>
    <w:rsid w:val="00F12259"/>
    <w:rsid w:val="00F1282F"/>
    <w:rsid w:val="00F1286D"/>
    <w:rsid w:val="00F1292B"/>
    <w:rsid w:val="00F12CCE"/>
    <w:rsid w:val="00F12CEC"/>
    <w:rsid w:val="00F12E54"/>
    <w:rsid w:val="00F1703F"/>
    <w:rsid w:val="00F171AD"/>
    <w:rsid w:val="00F17497"/>
    <w:rsid w:val="00F17DCF"/>
    <w:rsid w:val="00F17F88"/>
    <w:rsid w:val="00F22745"/>
    <w:rsid w:val="00F22891"/>
    <w:rsid w:val="00F2319A"/>
    <w:rsid w:val="00F25096"/>
    <w:rsid w:val="00F25EA5"/>
    <w:rsid w:val="00F25F2A"/>
    <w:rsid w:val="00F27993"/>
    <w:rsid w:val="00F31DC3"/>
    <w:rsid w:val="00F340DA"/>
    <w:rsid w:val="00F350B7"/>
    <w:rsid w:val="00F35875"/>
    <w:rsid w:val="00F37260"/>
    <w:rsid w:val="00F401D9"/>
    <w:rsid w:val="00F40616"/>
    <w:rsid w:val="00F41873"/>
    <w:rsid w:val="00F43496"/>
    <w:rsid w:val="00F436AB"/>
    <w:rsid w:val="00F453BD"/>
    <w:rsid w:val="00F47965"/>
    <w:rsid w:val="00F47C27"/>
    <w:rsid w:val="00F511E7"/>
    <w:rsid w:val="00F526C4"/>
    <w:rsid w:val="00F52A7E"/>
    <w:rsid w:val="00F54219"/>
    <w:rsid w:val="00F55800"/>
    <w:rsid w:val="00F55B89"/>
    <w:rsid w:val="00F56574"/>
    <w:rsid w:val="00F63963"/>
    <w:rsid w:val="00F63AD3"/>
    <w:rsid w:val="00F63E57"/>
    <w:rsid w:val="00F64E9E"/>
    <w:rsid w:val="00F65296"/>
    <w:rsid w:val="00F70921"/>
    <w:rsid w:val="00F70C6C"/>
    <w:rsid w:val="00F70F8D"/>
    <w:rsid w:val="00F73A4C"/>
    <w:rsid w:val="00F741CC"/>
    <w:rsid w:val="00F75AD0"/>
    <w:rsid w:val="00F76550"/>
    <w:rsid w:val="00F7774E"/>
    <w:rsid w:val="00F77E15"/>
    <w:rsid w:val="00F816EF"/>
    <w:rsid w:val="00F83686"/>
    <w:rsid w:val="00F83A04"/>
    <w:rsid w:val="00F841F0"/>
    <w:rsid w:val="00F86CBE"/>
    <w:rsid w:val="00F90E00"/>
    <w:rsid w:val="00F91213"/>
    <w:rsid w:val="00F9135C"/>
    <w:rsid w:val="00F919F7"/>
    <w:rsid w:val="00F91FFB"/>
    <w:rsid w:val="00F92584"/>
    <w:rsid w:val="00F93DD4"/>
    <w:rsid w:val="00F942D1"/>
    <w:rsid w:val="00F95410"/>
    <w:rsid w:val="00F95760"/>
    <w:rsid w:val="00F97943"/>
    <w:rsid w:val="00FA06E2"/>
    <w:rsid w:val="00FA1429"/>
    <w:rsid w:val="00FA18A6"/>
    <w:rsid w:val="00FA1C03"/>
    <w:rsid w:val="00FA2EB1"/>
    <w:rsid w:val="00FA35C7"/>
    <w:rsid w:val="00FA4A35"/>
    <w:rsid w:val="00FA7E07"/>
    <w:rsid w:val="00FB08C9"/>
    <w:rsid w:val="00FB0FD9"/>
    <w:rsid w:val="00FB1508"/>
    <w:rsid w:val="00FB1953"/>
    <w:rsid w:val="00FB5E63"/>
    <w:rsid w:val="00FB605E"/>
    <w:rsid w:val="00FB6990"/>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B81"/>
    <w:rsid w:val="00FE4EDA"/>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D95BC9"/>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IFTnormal">
    <w:name w:val="IFT normal"/>
    <w:basedOn w:val="Normal"/>
    <w:link w:val="IFTnormalCar"/>
    <w:qFormat/>
    <w:rsid w:val="000459BE"/>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rsid w:val="000459BE"/>
    <w:rPr>
      <w:rFonts w:ascii="ITC Avant Garde" w:hAnsi="ITC Avant Garde" w:cs="Arial"/>
      <w:color w:val="000000"/>
      <w:sz w:val="22"/>
      <w:szCs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8334">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884873122">
      <w:bodyDiv w:val="1"/>
      <w:marLeft w:val="0"/>
      <w:marRight w:val="0"/>
      <w:marTop w:val="0"/>
      <w:marBottom w:val="0"/>
      <w:divBdr>
        <w:top w:val="none" w:sz="0" w:space="0" w:color="auto"/>
        <w:left w:val="none" w:sz="0" w:space="0" w:color="auto"/>
        <w:bottom w:val="none" w:sz="0" w:space="0" w:color="auto"/>
        <w:right w:val="none" w:sz="0" w:space="0" w:color="auto"/>
      </w:divBdr>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21027077">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D5BEF-162E-45D2-8380-B2D95B0FAE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1EB106-0345-401C-922C-888332D9F1DF}">
  <ds:schemaRefs>
    <ds:schemaRef ds:uri="http://schemas.microsoft.com/sharepoint/v3/contenttype/forms"/>
  </ds:schemaRefs>
</ds:datastoreItem>
</file>

<file path=customXml/itemProps3.xml><?xml version="1.0" encoding="utf-8"?>
<ds:datastoreItem xmlns:ds="http://schemas.openxmlformats.org/officeDocument/2006/customXml" ds:itemID="{46515B74-B253-4818-B6DF-F644B8167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32A2A97-3EEF-4916-A4B8-92985CFEB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2911</Words>
  <Characters>16011</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18885</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6</cp:revision>
  <cp:lastPrinted>2015-07-02T01:52:00Z</cp:lastPrinted>
  <dcterms:created xsi:type="dcterms:W3CDTF">2017-12-12T19:59:00Z</dcterms:created>
  <dcterms:modified xsi:type="dcterms:W3CDTF">2018-01-10T18:47:00Z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