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E37FB" w14:textId="336C2C02" w:rsidR="00F01C1B" w:rsidRPr="00D06C18" w:rsidRDefault="00F01C1B" w:rsidP="00D06C18">
      <w:pPr>
        <w:spacing w:after="0"/>
        <w:jc w:val="both"/>
        <w:rPr>
          <w:rFonts w:cstheme="minorHAnsi"/>
          <w:b/>
          <w:sz w:val="20"/>
          <w:szCs w:val="20"/>
        </w:rPr>
      </w:pPr>
      <w:bookmarkStart w:id="0" w:name="_GoBack"/>
      <w:bookmarkEnd w:id="0"/>
      <w:r w:rsidRPr="00D06C18">
        <w:rPr>
          <w:rFonts w:cstheme="minorHAnsi"/>
          <w:b/>
          <w:sz w:val="20"/>
          <w:szCs w:val="20"/>
        </w:rPr>
        <w:t>RESPUESTAS GENERALES QUE PROPORCIONA EL INSTITUTO FEDERAL DE TELECOMUNICACIONES A LAS MANIFESTACIONES, OPINIONES, COMENTARIOS Y PROPUESTAS PRESENTADAS DURANTE LA CONSULTA PÚBLICA DEL:</w:t>
      </w:r>
      <w:r w:rsidR="00051EC6" w:rsidRPr="00D06C18">
        <w:rPr>
          <w:rFonts w:cstheme="minorHAnsi"/>
          <w:b/>
          <w:sz w:val="20"/>
          <w:szCs w:val="20"/>
        </w:rPr>
        <w:t xml:space="preserve"> “</w:t>
      </w:r>
      <w:r w:rsidRPr="00D06C18">
        <w:rPr>
          <w:rFonts w:cstheme="minorHAnsi"/>
          <w:b/>
          <w:sz w:val="20"/>
          <w:szCs w:val="20"/>
        </w:rPr>
        <w:t xml:space="preserve">ACUERDO MEDIANTE EL CUAL EL PLENO DEL INSTITUTO FEDERAL DE TELECOMUNICACIONES DETERMINA SOMETER A CONSULTA PÚBLICA </w:t>
      </w:r>
      <w:r w:rsidR="00051EC6" w:rsidRPr="00D06C18">
        <w:rPr>
          <w:rFonts w:cstheme="minorHAnsi"/>
          <w:b/>
          <w:sz w:val="20"/>
          <w:szCs w:val="20"/>
        </w:rPr>
        <w:t>EL ANTEPROYECTO DE ACUERDO POR EL QUE SE MODIFICAN LAS REGLAS DE CARÁCTER GENERAL QUE ESTABLECEN LOS PLAZOS Y REQUISITOS PARA EL OTORGAMIENTO</w:t>
      </w:r>
      <w:r w:rsidR="001D66EC" w:rsidRPr="00D06C18">
        <w:rPr>
          <w:rFonts w:cstheme="minorHAnsi"/>
          <w:b/>
          <w:sz w:val="20"/>
          <w:szCs w:val="20"/>
        </w:rPr>
        <w:t xml:space="preserve"> DE AUTORIZACIONE</w:t>
      </w:r>
      <w:r w:rsidR="00051EC6" w:rsidRPr="00D06C18">
        <w:rPr>
          <w:rFonts w:cstheme="minorHAnsi"/>
          <w:b/>
          <w:sz w:val="20"/>
          <w:szCs w:val="20"/>
        </w:rPr>
        <w:t>S EN MATERIA DE TELECOMUNICACIONES ESTABLECIDAS EN LA LEY FEDERAL DE TELECOMUNICACIONES Y RADIODIFUSIÓN”</w:t>
      </w:r>
      <w:r w:rsidR="00C750DB">
        <w:rPr>
          <w:rFonts w:cstheme="minorHAnsi"/>
          <w:b/>
          <w:sz w:val="20"/>
          <w:szCs w:val="20"/>
        </w:rPr>
        <w:t>, (las Reglas de carácter general).</w:t>
      </w:r>
    </w:p>
    <w:p w14:paraId="5FC692B1" w14:textId="77777777" w:rsidR="00F01C1B" w:rsidRPr="00D06C18" w:rsidRDefault="00F01C1B" w:rsidP="00D06C18">
      <w:pPr>
        <w:spacing w:after="0"/>
        <w:jc w:val="both"/>
        <w:rPr>
          <w:rFonts w:cstheme="minorHAnsi"/>
          <w:sz w:val="20"/>
          <w:szCs w:val="20"/>
        </w:rPr>
      </w:pPr>
    </w:p>
    <w:p w14:paraId="5FF6698A" w14:textId="67B0C182" w:rsidR="00F01C1B" w:rsidRPr="00D06C18" w:rsidRDefault="00D15DAB" w:rsidP="00D06C18">
      <w:pPr>
        <w:spacing w:after="0"/>
        <w:jc w:val="both"/>
        <w:rPr>
          <w:rFonts w:cstheme="minorHAnsi"/>
          <w:sz w:val="20"/>
          <w:szCs w:val="20"/>
        </w:rPr>
      </w:pPr>
      <w:r>
        <w:rPr>
          <w:rFonts w:cstheme="minorHAnsi"/>
          <w:sz w:val="20"/>
          <w:szCs w:val="20"/>
        </w:rPr>
        <w:t xml:space="preserve">Se recibieron durante la </w:t>
      </w:r>
      <w:r w:rsidRPr="00D15DAB">
        <w:rPr>
          <w:rFonts w:cstheme="minorHAnsi"/>
          <w:sz w:val="20"/>
          <w:szCs w:val="20"/>
        </w:rPr>
        <w:t>Consulta pública realizada del 18 de diciembre del 2017 al 30 de enero del 2018,</w:t>
      </w:r>
      <w:r>
        <w:rPr>
          <w:rFonts w:cstheme="minorHAnsi"/>
          <w:sz w:val="20"/>
          <w:szCs w:val="20"/>
        </w:rPr>
        <w:t xml:space="preserve"> lo</w:t>
      </w:r>
      <w:r w:rsidRPr="00D15DAB">
        <w:rPr>
          <w:rFonts w:cstheme="minorHAnsi"/>
          <w:sz w:val="20"/>
          <w:szCs w:val="20"/>
        </w:rPr>
        <w:t xml:space="preserve">s </w:t>
      </w:r>
      <w:r>
        <w:rPr>
          <w:rFonts w:cstheme="minorHAnsi"/>
          <w:sz w:val="20"/>
          <w:szCs w:val="20"/>
        </w:rPr>
        <w:t xml:space="preserve">comentarios </w:t>
      </w:r>
      <w:r w:rsidRPr="00D15DAB">
        <w:rPr>
          <w:rFonts w:cstheme="minorHAnsi"/>
          <w:sz w:val="20"/>
          <w:szCs w:val="20"/>
        </w:rPr>
        <w:t>de 14 personas morales, (10 de las cuales promovieron por el mismo grupo de interés económico), y 5 personas físicas, (3 de ellas, en el mismo escrito).</w:t>
      </w:r>
      <w:r>
        <w:rPr>
          <w:rFonts w:cstheme="minorHAnsi"/>
          <w:sz w:val="20"/>
          <w:szCs w:val="20"/>
        </w:rPr>
        <w:t xml:space="preserve"> Dichos c</w:t>
      </w:r>
      <w:r w:rsidR="00F01C1B" w:rsidRPr="00D06C18">
        <w:rPr>
          <w:rFonts w:cstheme="minorHAnsi"/>
          <w:sz w:val="20"/>
          <w:szCs w:val="20"/>
        </w:rPr>
        <w:t>omentarios, opiniones y propuestas</w:t>
      </w:r>
      <w:r w:rsidR="00D06C18">
        <w:rPr>
          <w:rFonts w:cstheme="minorHAnsi"/>
          <w:sz w:val="20"/>
          <w:szCs w:val="20"/>
        </w:rPr>
        <w:t xml:space="preserve"> </w:t>
      </w:r>
      <w:r>
        <w:rPr>
          <w:rFonts w:cstheme="minorHAnsi"/>
          <w:sz w:val="20"/>
          <w:szCs w:val="20"/>
        </w:rPr>
        <w:t xml:space="preserve">se publicaron en </w:t>
      </w:r>
      <w:r w:rsidR="00F01C1B" w:rsidRPr="00D06C18">
        <w:rPr>
          <w:rFonts w:cstheme="minorHAnsi"/>
          <w:sz w:val="20"/>
          <w:szCs w:val="20"/>
        </w:rPr>
        <w:t>el portal de Internet del Instituto</w:t>
      </w:r>
      <w:r>
        <w:rPr>
          <w:rFonts w:cstheme="minorHAnsi"/>
          <w:sz w:val="20"/>
          <w:szCs w:val="20"/>
        </w:rPr>
        <w:t xml:space="preserve"> </w:t>
      </w:r>
      <w:r w:rsidR="00595660">
        <w:rPr>
          <w:rFonts w:cstheme="minorHAnsi"/>
          <w:sz w:val="20"/>
          <w:szCs w:val="20"/>
        </w:rPr>
        <w:t xml:space="preserve">durante el transcurso de la </w:t>
      </w:r>
      <w:r>
        <w:rPr>
          <w:rFonts w:cstheme="minorHAnsi"/>
          <w:sz w:val="20"/>
          <w:szCs w:val="20"/>
        </w:rPr>
        <w:t>Consulta Pública</w:t>
      </w:r>
      <w:r w:rsidR="00051EC6" w:rsidRPr="00D06C18">
        <w:rPr>
          <w:rFonts w:cstheme="minorHAnsi"/>
          <w:sz w:val="20"/>
          <w:szCs w:val="20"/>
        </w:rPr>
        <w:t>.</w:t>
      </w:r>
    </w:p>
    <w:p w14:paraId="0D532804" w14:textId="77777777" w:rsidR="00EB0D0B" w:rsidRPr="00D06C18" w:rsidRDefault="00EB0D0B" w:rsidP="00D06C18">
      <w:pPr>
        <w:spacing w:after="0"/>
        <w:jc w:val="center"/>
        <w:rPr>
          <w:rFonts w:cstheme="minorHAnsi"/>
          <w:sz w:val="20"/>
          <w:szCs w:val="20"/>
        </w:rPr>
      </w:pPr>
    </w:p>
    <w:p w14:paraId="4A32ECAE" w14:textId="77777777" w:rsidR="002E2D28" w:rsidRPr="00D15DAB" w:rsidRDefault="00EB0D0B" w:rsidP="00D06C18">
      <w:pPr>
        <w:spacing w:after="0"/>
        <w:jc w:val="center"/>
        <w:rPr>
          <w:rFonts w:cstheme="minorHAnsi"/>
          <w:b/>
          <w:sz w:val="20"/>
          <w:szCs w:val="20"/>
        </w:rPr>
      </w:pPr>
      <w:r w:rsidRPr="00D15DAB">
        <w:rPr>
          <w:rFonts w:cstheme="minorHAnsi"/>
          <w:b/>
          <w:sz w:val="20"/>
          <w:szCs w:val="20"/>
        </w:rPr>
        <w:t>Participantes en la Consulta Pública:</w:t>
      </w:r>
    </w:p>
    <w:p w14:paraId="1EAEB724" w14:textId="5DFA0889" w:rsidR="00F01C1B" w:rsidRPr="00D15DAB" w:rsidRDefault="00F01C1B" w:rsidP="00D06C18">
      <w:pPr>
        <w:spacing w:after="0"/>
        <w:rPr>
          <w:rFonts w:cstheme="minorHAnsi"/>
          <w:b/>
          <w:sz w:val="20"/>
          <w:szCs w:val="20"/>
        </w:rPr>
      </w:pPr>
      <w:r w:rsidRPr="00D15DAB">
        <w:rPr>
          <w:rFonts w:cstheme="minorHAnsi"/>
          <w:b/>
          <w:sz w:val="20"/>
          <w:szCs w:val="20"/>
        </w:rPr>
        <w:t>Personas morales:</w:t>
      </w:r>
    </w:p>
    <w:p w14:paraId="312E3532" w14:textId="20826A31" w:rsidR="00F01C1B" w:rsidRPr="00D06C18" w:rsidRDefault="00D06C18" w:rsidP="00295E88">
      <w:pPr>
        <w:spacing w:after="0"/>
        <w:ind w:left="993"/>
        <w:jc w:val="both"/>
        <w:rPr>
          <w:rFonts w:cstheme="minorHAnsi"/>
          <w:sz w:val="20"/>
          <w:szCs w:val="20"/>
        </w:rPr>
      </w:pPr>
      <w:r w:rsidRPr="00D06C18">
        <w:rPr>
          <w:rFonts w:cstheme="minorHAnsi"/>
          <w:b/>
          <w:sz w:val="20"/>
          <w:szCs w:val="20"/>
        </w:rPr>
        <w:t>GRUPO TELEVISA</w:t>
      </w:r>
      <w:r w:rsidRPr="00D06C18">
        <w:rPr>
          <w:rFonts w:cstheme="minorHAnsi"/>
          <w:sz w:val="20"/>
          <w:szCs w:val="20"/>
        </w:rPr>
        <w:t xml:space="preserve">: 1. </w:t>
      </w:r>
      <w:r w:rsidR="002E2D28" w:rsidRPr="00D06C18">
        <w:rPr>
          <w:rFonts w:cstheme="minorHAnsi"/>
          <w:sz w:val="20"/>
          <w:szCs w:val="20"/>
        </w:rPr>
        <w:t>BESTPHONE, S.A. DE C.V.;</w:t>
      </w:r>
      <w:r w:rsidRPr="00D06C18">
        <w:rPr>
          <w:rFonts w:cstheme="minorHAnsi"/>
          <w:sz w:val="20"/>
          <w:szCs w:val="20"/>
        </w:rPr>
        <w:t xml:space="preserve"> 2. </w:t>
      </w:r>
      <w:r w:rsidR="002E2D28" w:rsidRPr="00D06C18">
        <w:rPr>
          <w:rFonts w:cstheme="minorHAnsi"/>
          <w:sz w:val="20"/>
          <w:szCs w:val="20"/>
        </w:rPr>
        <w:t>OPERBES, S.A. DE C.V.;</w:t>
      </w:r>
      <w:r w:rsidRPr="00D06C18">
        <w:rPr>
          <w:rFonts w:cstheme="minorHAnsi"/>
          <w:sz w:val="20"/>
          <w:szCs w:val="20"/>
        </w:rPr>
        <w:t xml:space="preserve"> 3. </w:t>
      </w:r>
      <w:r w:rsidR="002E2D28" w:rsidRPr="00D06C18">
        <w:rPr>
          <w:rFonts w:cstheme="minorHAnsi"/>
          <w:sz w:val="20"/>
          <w:szCs w:val="20"/>
        </w:rPr>
        <w:t>CABLE Y COMUNICACIÓN DE CAMPECHE, S.A. DE C.V.;</w:t>
      </w:r>
      <w:r w:rsidRPr="00D06C18">
        <w:rPr>
          <w:rFonts w:cstheme="minorHAnsi"/>
          <w:sz w:val="20"/>
          <w:szCs w:val="20"/>
        </w:rPr>
        <w:t xml:space="preserve"> 4. </w:t>
      </w:r>
      <w:r w:rsidR="002E2D28" w:rsidRPr="00D06C18">
        <w:rPr>
          <w:rFonts w:cstheme="minorHAnsi"/>
          <w:sz w:val="20"/>
          <w:szCs w:val="20"/>
        </w:rPr>
        <w:t>CABLEMÁS TELECOMUNICACIONES, S.A. DE</w:t>
      </w:r>
      <w:r w:rsidR="001D66EC" w:rsidRPr="00D06C18">
        <w:rPr>
          <w:rFonts w:cstheme="minorHAnsi"/>
          <w:sz w:val="20"/>
          <w:szCs w:val="20"/>
        </w:rPr>
        <w:t xml:space="preserve"> </w:t>
      </w:r>
      <w:r w:rsidR="002E2D28" w:rsidRPr="00D06C18">
        <w:rPr>
          <w:rFonts w:cstheme="minorHAnsi"/>
          <w:sz w:val="20"/>
          <w:szCs w:val="20"/>
        </w:rPr>
        <w:t>C.V.;</w:t>
      </w:r>
      <w:r w:rsidRPr="00D06C18">
        <w:rPr>
          <w:rFonts w:cstheme="minorHAnsi"/>
          <w:sz w:val="20"/>
          <w:szCs w:val="20"/>
        </w:rPr>
        <w:t xml:space="preserve"> 5. </w:t>
      </w:r>
      <w:r w:rsidR="002E2D28" w:rsidRPr="00D06C18">
        <w:rPr>
          <w:rFonts w:cstheme="minorHAnsi"/>
          <w:sz w:val="20"/>
          <w:szCs w:val="20"/>
        </w:rPr>
        <w:t>CABLEVISIÓN RED, S.A. DE C.V.;</w:t>
      </w:r>
      <w:r w:rsidRPr="00D06C18">
        <w:rPr>
          <w:rFonts w:cstheme="minorHAnsi"/>
          <w:sz w:val="20"/>
          <w:szCs w:val="20"/>
        </w:rPr>
        <w:t xml:space="preserve"> 6. </w:t>
      </w:r>
      <w:r w:rsidR="002E2D28" w:rsidRPr="00D06C18">
        <w:rPr>
          <w:rFonts w:cstheme="minorHAnsi"/>
          <w:sz w:val="20"/>
          <w:szCs w:val="20"/>
        </w:rPr>
        <w:t>MÉXICO RED DE TELECOMUNICACIONES, S. DE R. L. DE C.V.;</w:t>
      </w:r>
      <w:r w:rsidRPr="00D06C18">
        <w:rPr>
          <w:rFonts w:cstheme="minorHAnsi"/>
          <w:sz w:val="20"/>
          <w:szCs w:val="20"/>
        </w:rPr>
        <w:t xml:space="preserve"> 7. </w:t>
      </w:r>
      <w:r w:rsidR="002E2D28" w:rsidRPr="00D06C18">
        <w:rPr>
          <w:rFonts w:cstheme="minorHAnsi"/>
          <w:sz w:val="20"/>
          <w:szCs w:val="20"/>
        </w:rPr>
        <w:t>TELE AZTECA, S.A. DE C.V.;</w:t>
      </w:r>
      <w:r w:rsidRPr="00D06C18">
        <w:rPr>
          <w:rFonts w:cstheme="minorHAnsi"/>
          <w:sz w:val="20"/>
          <w:szCs w:val="20"/>
        </w:rPr>
        <w:t xml:space="preserve"> 8. </w:t>
      </w:r>
      <w:r w:rsidR="002E2D28" w:rsidRPr="00D06C18">
        <w:rPr>
          <w:rFonts w:cstheme="minorHAnsi"/>
          <w:sz w:val="20"/>
          <w:szCs w:val="20"/>
        </w:rPr>
        <w:t>TELEVISIÓN INTERNACIONAL, S.A. DE C.V.;</w:t>
      </w:r>
      <w:r w:rsidRPr="00D06C18">
        <w:rPr>
          <w:rFonts w:cstheme="minorHAnsi"/>
          <w:sz w:val="20"/>
          <w:szCs w:val="20"/>
        </w:rPr>
        <w:t xml:space="preserve"> 9. </w:t>
      </w:r>
      <w:r w:rsidR="002E2D28" w:rsidRPr="00D06C18">
        <w:rPr>
          <w:rFonts w:cstheme="minorHAnsi"/>
          <w:sz w:val="20"/>
          <w:szCs w:val="20"/>
        </w:rPr>
        <w:t>TV CABLE DE ORIENTE, S.A. DE C.V.,</w:t>
      </w:r>
      <w:r w:rsidRPr="00D06C18">
        <w:rPr>
          <w:rFonts w:cstheme="minorHAnsi"/>
          <w:sz w:val="20"/>
          <w:szCs w:val="20"/>
        </w:rPr>
        <w:t xml:space="preserve"> Y 10. </w:t>
      </w:r>
      <w:r w:rsidR="002E2D28" w:rsidRPr="00D06C18">
        <w:rPr>
          <w:rFonts w:cstheme="minorHAnsi"/>
          <w:sz w:val="20"/>
          <w:szCs w:val="20"/>
        </w:rPr>
        <w:t>CABLEVISIÓN, S.A. DE C.V.</w:t>
      </w:r>
    </w:p>
    <w:p w14:paraId="54BB8AC4" w14:textId="6133A082" w:rsidR="002E2D28" w:rsidRPr="00D06C18" w:rsidRDefault="002E2D28" w:rsidP="00295E88">
      <w:pPr>
        <w:pStyle w:val="Prrafodelista"/>
        <w:numPr>
          <w:ilvl w:val="0"/>
          <w:numId w:val="4"/>
        </w:numPr>
        <w:spacing w:after="0"/>
        <w:ind w:firstLine="273"/>
        <w:rPr>
          <w:rFonts w:cstheme="minorHAnsi"/>
          <w:sz w:val="20"/>
          <w:szCs w:val="20"/>
        </w:rPr>
      </w:pPr>
      <w:r w:rsidRPr="00D06C18">
        <w:rPr>
          <w:rFonts w:cstheme="minorHAnsi"/>
          <w:sz w:val="20"/>
          <w:szCs w:val="20"/>
        </w:rPr>
        <w:t>HISPASAT MÉXICO, S.A. DE C.V.;</w:t>
      </w:r>
    </w:p>
    <w:p w14:paraId="39C7659C" w14:textId="49257238" w:rsidR="002E2D28" w:rsidRPr="00D06C18" w:rsidRDefault="002E2D28" w:rsidP="00295E88">
      <w:pPr>
        <w:pStyle w:val="Prrafodelista"/>
        <w:numPr>
          <w:ilvl w:val="0"/>
          <w:numId w:val="4"/>
        </w:numPr>
        <w:spacing w:after="0"/>
        <w:ind w:firstLine="273"/>
        <w:rPr>
          <w:rFonts w:cstheme="minorHAnsi"/>
          <w:sz w:val="20"/>
          <w:szCs w:val="20"/>
        </w:rPr>
      </w:pPr>
      <w:r w:rsidRPr="00D06C18">
        <w:rPr>
          <w:rFonts w:cstheme="minorHAnsi"/>
          <w:sz w:val="20"/>
          <w:szCs w:val="20"/>
        </w:rPr>
        <w:t>SATÉLITES MEXICANOS, S.A. DE C.V.;</w:t>
      </w:r>
    </w:p>
    <w:p w14:paraId="3191D46F" w14:textId="77777777" w:rsidR="002E2D28" w:rsidRPr="00D06C18" w:rsidRDefault="009C2765" w:rsidP="00295E88">
      <w:pPr>
        <w:pStyle w:val="Prrafodelista"/>
        <w:numPr>
          <w:ilvl w:val="0"/>
          <w:numId w:val="4"/>
        </w:numPr>
        <w:spacing w:after="0"/>
        <w:ind w:firstLine="273"/>
        <w:rPr>
          <w:rFonts w:cstheme="minorHAnsi"/>
          <w:sz w:val="20"/>
          <w:szCs w:val="20"/>
        </w:rPr>
      </w:pPr>
      <w:r w:rsidRPr="00D06C18">
        <w:rPr>
          <w:rFonts w:cstheme="minorHAnsi"/>
          <w:sz w:val="20"/>
          <w:szCs w:val="20"/>
        </w:rPr>
        <w:t>SISTEMAS SATELITALES DE MÉXICO, S. DE R.L. DE C.V;</w:t>
      </w:r>
    </w:p>
    <w:p w14:paraId="428F7A18" w14:textId="77777777" w:rsidR="009C2765" w:rsidRPr="00D06C18" w:rsidRDefault="009C2765" w:rsidP="00295E88">
      <w:pPr>
        <w:pStyle w:val="Prrafodelista"/>
        <w:numPr>
          <w:ilvl w:val="0"/>
          <w:numId w:val="4"/>
        </w:numPr>
        <w:spacing w:after="0"/>
        <w:ind w:firstLine="273"/>
        <w:rPr>
          <w:rFonts w:cstheme="minorHAnsi"/>
          <w:sz w:val="20"/>
          <w:szCs w:val="20"/>
        </w:rPr>
      </w:pPr>
      <w:r w:rsidRPr="00D06C18">
        <w:rPr>
          <w:rFonts w:cstheme="minorHAnsi"/>
          <w:sz w:val="20"/>
          <w:szCs w:val="20"/>
        </w:rPr>
        <w:t>CÁMARA NACIONAL DE LA INDUSTRIA ELECTRÓNICA, DE TELECOMUNICACIONES Y TECNOLOGÍAS DE LA INFORMACIÓN</w:t>
      </w:r>
    </w:p>
    <w:p w14:paraId="154BC768" w14:textId="77777777" w:rsidR="00F01C1B" w:rsidRPr="00D15DAB" w:rsidRDefault="00F01C1B" w:rsidP="00D06C18">
      <w:pPr>
        <w:spacing w:after="0"/>
        <w:rPr>
          <w:rFonts w:cstheme="minorHAnsi"/>
          <w:b/>
          <w:sz w:val="20"/>
          <w:szCs w:val="20"/>
        </w:rPr>
      </w:pPr>
      <w:r w:rsidRPr="00D15DAB">
        <w:rPr>
          <w:rFonts w:cstheme="minorHAnsi"/>
          <w:b/>
          <w:sz w:val="20"/>
          <w:szCs w:val="20"/>
        </w:rPr>
        <w:t>Personas físicas:</w:t>
      </w:r>
    </w:p>
    <w:p w14:paraId="172DAEB6" w14:textId="77777777" w:rsidR="00F01C1B" w:rsidRPr="00D06C18" w:rsidRDefault="008D5FF6" w:rsidP="00D06C18">
      <w:pPr>
        <w:pStyle w:val="Prrafodelista"/>
        <w:spacing w:after="0"/>
        <w:ind w:left="1120"/>
        <w:rPr>
          <w:rFonts w:cstheme="minorHAnsi"/>
          <w:sz w:val="20"/>
          <w:szCs w:val="20"/>
        </w:rPr>
      </w:pPr>
      <w:r w:rsidRPr="00D06C18">
        <w:rPr>
          <w:rFonts w:cstheme="minorHAnsi"/>
          <w:sz w:val="20"/>
          <w:szCs w:val="20"/>
        </w:rPr>
        <w:t>1.</w:t>
      </w:r>
      <w:r w:rsidRPr="00D06C18">
        <w:rPr>
          <w:rFonts w:cstheme="minorHAnsi"/>
          <w:sz w:val="20"/>
          <w:szCs w:val="20"/>
        </w:rPr>
        <w:tab/>
      </w:r>
      <w:r w:rsidR="009C2765" w:rsidRPr="00D06C18">
        <w:rPr>
          <w:rFonts w:cstheme="minorHAnsi"/>
          <w:sz w:val="20"/>
          <w:szCs w:val="20"/>
        </w:rPr>
        <w:t>ING</w:t>
      </w:r>
      <w:r w:rsidRPr="00D06C18">
        <w:rPr>
          <w:rFonts w:cstheme="minorHAnsi"/>
          <w:sz w:val="20"/>
          <w:szCs w:val="20"/>
        </w:rPr>
        <w:t>.</w:t>
      </w:r>
      <w:r w:rsidR="009C2765" w:rsidRPr="00D06C18">
        <w:rPr>
          <w:rFonts w:cstheme="minorHAnsi"/>
          <w:sz w:val="20"/>
          <w:szCs w:val="20"/>
        </w:rPr>
        <w:t xml:space="preserve"> LUIS MANUEL BROWN HERNÁNDEZ</w:t>
      </w:r>
      <w:r w:rsidR="00F01C1B" w:rsidRPr="00D06C18">
        <w:rPr>
          <w:rFonts w:cstheme="minorHAnsi"/>
          <w:sz w:val="20"/>
          <w:szCs w:val="20"/>
        </w:rPr>
        <w:t>;</w:t>
      </w:r>
    </w:p>
    <w:p w14:paraId="4E942BFF" w14:textId="77777777" w:rsidR="009C2765" w:rsidRPr="00D06C18" w:rsidRDefault="00F01C1B" w:rsidP="00D06C18">
      <w:pPr>
        <w:pStyle w:val="Prrafodelista"/>
        <w:spacing w:after="0"/>
        <w:ind w:left="1120"/>
        <w:rPr>
          <w:rFonts w:cstheme="minorHAnsi"/>
          <w:sz w:val="20"/>
          <w:szCs w:val="20"/>
        </w:rPr>
      </w:pPr>
      <w:r w:rsidRPr="00D06C18">
        <w:rPr>
          <w:rFonts w:cstheme="minorHAnsi"/>
          <w:sz w:val="20"/>
          <w:szCs w:val="20"/>
        </w:rPr>
        <w:t>2.</w:t>
      </w:r>
      <w:r w:rsidRPr="00D06C18">
        <w:rPr>
          <w:rFonts w:cstheme="minorHAnsi"/>
          <w:sz w:val="20"/>
          <w:szCs w:val="20"/>
        </w:rPr>
        <w:tab/>
      </w:r>
      <w:r w:rsidR="009C2765" w:rsidRPr="00D06C18">
        <w:rPr>
          <w:rFonts w:cstheme="minorHAnsi"/>
          <w:sz w:val="20"/>
          <w:szCs w:val="20"/>
        </w:rPr>
        <w:t>LIC. JOSE ANTONIO GARCIA HERRERA;</w:t>
      </w:r>
    </w:p>
    <w:p w14:paraId="2568B21A" w14:textId="77777777" w:rsidR="009C2765" w:rsidRPr="00A809E9" w:rsidRDefault="009C2765" w:rsidP="00D06C18">
      <w:pPr>
        <w:pStyle w:val="Prrafodelista"/>
        <w:spacing w:after="0"/>
        <w:ind w:left="1120"/>
        <w:rPr>
          <w:rFonts w:cstheme="minorHAnsi"/>
          <w:sz w:val="20"/>
          <w:szCs w:val="20"/>
          <w:lang w:val="en-US"/>
        </w:rPr>
      </w:pPr>
      <w:r w:rsidRPr="00A809E9">
        <w:rPr>
          <w:rFonts w:cstheme="minorHAnsi"/>
          <w:sz w:val="20"/>
          <w:szCs w:val="20"/>
          <w:lang w:val="en-US"/>
        </w:rPr>
        <w:t>3</w:t>
      </w:r>
      <w:r w:rsidRPr="00A809E9">
        <w:rPr>
          <w:rFonts w:cstheme="minorHAnsi"/>
          <w:sz w:val="20"/>
          <w:szCs w:val="20"/>
          <w:lang w:val="en-US"/>
        </w:rPr>
        <w:tab/>
        <w:t>LIC. CYNTHIA VALDEZ GOMEZ;</w:t>
      </w:r>
    </w:p>
    <w:p w14:paraId="3C854877" w14:textId="77777777" w:rsidR="00F01C1B" w:rsidRPr="00D06C18" w:rsidRDefault="009C2765" w:rsidP="00D06C18">
      <w:pPr>
        <w:pStyle w:val="Prrafodelista"/>
        <w:spacing w:after="0"/>
        <w:ind w:left="1120"/>
        <w:rPr>
          <w:rFonts w:cstheme="minorHAnsi"/>
          <w:sz w:val="20"/>
          <w:szCs w:val="20"/>
        </w:rPr>
      </w:pPr>
      <w:r w:rsidRPr="00A809E9">
        <w:rPr>
          <w:rFonts w:cstheme="minorHAnsi"/>
          <w:sz w:val="20"/>
          <w:szCs w:val="20"/>
          <w:lang w:val="en-US"/>
        </w:rPr>
        <w:t>4</w:t>
      </w:r>
      <w:r w:rsidRPr="00A809E9">
        <w:rPr>
          <w:rFonts w:cstheme="minorHAnsi"/>
          <w:sz w:val="20"/>
          <w:szCs w:val="20"/>
          <w:lang w:val="en-US"/>
        </w:rPr>
        <w:tab/>
        <w:t xml:space="preserve">LIC. </w:t>
      </w:r>
      <w:r w:rsidRPr="00D06C18">
        <w:rPr>
          <w:rFonts w:cstheme="minorHAnsi"/>
          <w:sz w:val="20"/>
          <w:szCs w:val="20"/>
        </w:rPr>
        <w:t>JOSÉ OROPEZA GARCÍA;</w:t>
      </w:r>
    </w:p>
    <w:p w14:paraId="6039DFD6" w14:textId="77777777" w:rsidR="009C2765" w:rsidRPr="00D06C18" w:rsidRDefault="009C2765" w:rsidP="00D06C18">
      <w:pPr>
        <w:pStyle w:val="Prrafodelista"/>
        <w:spacing w:after="0"/>
        <w:ind w:left="1120"/>
        <w:rPr>
          <w:rFonts w:cstheme="minorHAnsi"/>
          <w:sz w:val="20"/>
          <w:szCs w:val="20"/>
        </w:rPr>
      </w:pPr>
      <w:r w:rsidRPr="00D06C18">
        <w:rPr>
          <w:rFonts w:cstheme="minorHAnsi"/>
          <w:sz w:val="20"/>
          <w:szCs w:val="20"/>
        </w:rPr>
        <w:t>5</w:t>
      </w:r>
      <w:r w:rsidRPr="00D06C18">
        <w:rPr>
          <w:rFonts w:cstheme="minorHAnsi"/>
          <w:sz w:val="20"/>
          <w:szCs w:val="20"/>
        </w:rPr>
        <w:tab/>
        <w:t>ING. CARLOS GIRÓN GARCÍA.</w:t>
      </w:r>
    </w:p>
    <w:p w14:paraId="274CF015" w14:textId="77777777" w:rsidR="00F01C1B" w:rsidRPr="00063819" w:rsidRDefault="00F01C1B" w:rsidP="00D06C18">
      <w:pPr>
        <w:spacing w:after="0"/>
        <w:rPr>
          <w:rFonts w:cstheme="minorHAnsi"/>
        </w:rPr>
      </w:pPr>
    </w:p>
    <w:p w14:paraId="4DA31937" w14:textId="120419F3" w:rsidR="00F01C1B" w:rsidRPr="00063819" w:rsidRDefault="008D5FF6" w:rsidP="00D06C18">
      <w:pPr>
        <w:spacing w:after="0"/>
        <w:jc w:val="both"/>
        <w:rPr>
          <w:rFonts w:cstheme="minorHAnsi"/>
        </w:rPr>
      </w:pPr>
      <w:r w:rsidRPr="00063819">
        <w:rPr>
          <w:rFonts w:cstheme="minorHAnsi"/>
        </w:rPr>
        <w:t>Es importante destacar</w:t>
      </w:r>
      <w:r w:rsidR="00D15DAB">
        <w:rPr>
          <w:rFonts w:cstheme="minorHAnsi"/>
        </w:rPr>
        <w:t xml:space="preserve"> que el Instituto</w:t>
      </w:r>
      <w:r w:rsidRPr="00063819">
        <w:rPr>
          <w:rFonts w:cstheme="minorHAnsi"/>
        </w:rPr>
        <w:t xml:space="preserve"> </w:t>
      </w:r>
      <w:r w:rsidR="00D15DAB">
        <w:rPr>
          <w:rFonts w:cstheme="minorHAnsi"/>
        </w:rPr>
        <w:t xml:space="preserve">consideró diversos comentarios de los participantes y realizó un </w:t>
      </w:r>
      <w:r w:rsidRPr="00063819">
        <w:rPr>
          <w:rFonts w:cstheme="minorHAnsi"/>
        </w:rPr>
        <w:t>planteamiento disruptivo respecto a la comercialización de los servicios de telecomunicaciones en cumplimiento de los objetivos institucionales</w:t>
      </w:r>
      <w:r w:rsidR="00FB6536" w:rsidRPr="00063819">
        <w:rPr>
          <w:rFonts w:cstheme="minorHAnsi"/>
        </w:rPr>
        <w:t>,</w:t>
      </w:r>
      <w:r w:rsidRPr="00063819">
        <w:rPr>
          <w:rFonts w:cstheme="minorHAnsi"/>
        </w:rPr>
        <w:t xml:space="preserve"> </w:t>
      </w:r>
      <w:r w:rsidR="00D15DAB">
        <w:rPr>
          <w:rFonts w:cstheme="minorHAnsi"/>
        </w:rPr>
        <w:t>para buscar una importante</w:t>
      </w:r>
      <w:r w:rsidR="002273F5" w:rsidRPr="00063819">
        <w:rPr>
          <w:rFonts w:cstheme="minorHAnsi"/>
        </w:rPr>
        <w:t xml:space="preserve"> simplificación administrativa </w:t>
      </w:r>
      <w:r w:rsidR="00C750DB">
        <w:rPr>
          <w:rFonts w:cstheme="minorHAnsi"/>
        </w:rPr>
        <w:t xml:space="preserve">para el trámite de </w:t>
      </w:r>
      <w:r w:rsidR="00943A6D">
        <w:rPr>
          <w:rFonts w:cstheme="minorHAnsi"/>
        </w:rPr>
        <w:t xml:space="preserve">las </w:t>
      </w:r>
      <w:r w:rsidR="00C750DB">
        <w:rPr>
          <w:rFonts w:cstheme="minorHAnsi"/>
        </w:rPr>
        <w:t>S</w:t>
      </w:r>
      <w:r w:rsidR="00FB6536" w:rsidRPr="00063819">
        <w:rPr>
          <w:rFonts w:cstheme="minorHAnsi"/>
        </w:rPr>
        <w:t xml:space="preserve">olicitudes </w:t>
      </w:r>
      <w:r w:rsidR="00C750DB">
        <w:rPr>
          <w:rFonts w:cstheme="minorHAnsi"/>
        </w:rPr>
        <w:t>para establecer y operar o explotar una comercializadora de servicios de telecomunicaciones sin tener el carácter de concesionario,</w:t>
      </w:r>
      <w:r w:rsidR="002273F5" w:rsidRPr="00063819">
        <w:rPr>
          <w:rFonts w:cstheme="minorHAnsi"/>
        </w:rPr>
        <w:t xml:space="preserve"> </w:t>
      </w:r>
      <w:r w:rsidRPr="00063819">
        <w:rPr>
          <w:rFonts w:cstheme="minorHAnsi"/>
        </w:rPr>
        <w:t xml:space="preserve">y paralelamente, </w:t>
      </w:r>
      <w:r w:rsidR="00C750DB">
        <w:rPr>
          <w:rFonts w:cstheme="minorHAnsi"/>
        </w:rPr>
        <w:t>propone</w:t>
      </w:r>
      <w:r w:rsidR="00FB6536" w:rsidRPr="00063819">
        <w:rPr>
          <w:rFonts w:cstheme="minorHAnsi"/>
        </w:rPr>
        <w:t xml:space="preserve"> </w:t>
      </w:r>
      <w:r w:rsidR="00D53C1A" w:rsidRPr="00063819">
        <w:rPr>
          <w:rFonts w:cstheme="minorHAnsi"/>
        </w:rPr>
        <w:t>mejora</w:t>
      </w:r>
      <w:r w:rsidR="00FB6536" w:rsidRPr="00063819">
        <w:rPr>
          <w:rFonts w:cstheme="minorHAnsi"/>
        </w:rPr>
        <w:t>s a</w:t>
      </w:r>
      <w:r w:rsidR="00D53C1A" w:rsidRPr="00063819">
        <w:rPr>
          <w:rFonts w:cstheme="minorHAnsi"/>
        </w:rPr>
        <w:t xml:space="preserve"> la</w:t>
      </w:r>
      <w:r w:rsidR="002273F5" w:rsidRPr="00063819">
        <w:rPr>
          <w:rFonts w:cstheme="minorHAnsi"/>
        </w:rPr>
        <w:t xml:space="preserve">s disposiciones de carácter general </w:t>
      </w:r>
      <w:r w:rsidR="00D53C1A" w:rsidRPr="00063819">
        <w:rPr>
          <w:rFonts w:cstheme="minorHAnsi"/>
        </w:rPr>
        <w:t>aplicable</w:t>
      </w:r>
      <w:r w:rsidR="002273F5" w:rsidRPr="00063819">
        <w:rPr>
          <w:rFonts w:cstheme="minorHAnsi"/>
        </w:rPr>
        <w:t>s</w:t>
      </w:r>
      <w:r w:rsidR="00D53C1A" w:rsidRPr="00063819">
        <w:rPr>
          <w:rFonts w:cstheme="minorHAnsi"/>
        </w:rPr>
        <w:t xml:space="preserve"> a las Autorizaciones </w:t>
      </w:r>
      <w:r w:rsidR="00FB6536" w:rsidRPr="00063819">
        <w:rPr>
          <w:rFonts w:cstheme="minorHAnsi"/>
        </w:rPr>
        <w:t xml:space="preserve">a las que se refiere </w:t>
      </w:r>
      <w:r w:rsidR="00D53C1A" w:rsidRPr="00063819">
        <w:rPr>
          <w:rFonts w:cstheme="minorHAnsi"/>
        </w:rPr>
        <w:t>el artículo 170</w:t>
      </w:r>
      <w:r w:rsidR="002273F5" w:rsidRPr="00063819">
        <w:rPr>
          <w:rFonts w:cstheme="minorHAnsi"/>
        </w:rPr>
        <w:t>,</w:t>
      </w:r>
      <w:r w:rsidR="00D53C1A" w:rsidRPr="00063819">
        <w:rPr>
          <w:rFonts w:cstheme="minorHAnsi"/>
        </w:rPr>
        <w:t xml:space="preserve"> de la Ley Federal de Telecomunicaciones y Radiodifusión (en lo sucesivo “la Ley”), por lo que las </w:t>
      </w:r>
      <w:r w:rsidR="00FB6536" w:rsidRPr="00063819">
        <w:rPr>
          <w:rFonts w:cstheme="minorHAnsi"/>
        </w:rPr>
        <w:t>reformas</w:t>
      </w:r>
      <w:r w:rsidR="00D53C1A" w:rsidRPr="00063819">
        <w:rPr>
          <w:rFonts w:cstheme="minorHAnsi"/>
        </w:rPr>
        <w:t xml:space="preserve"> </w:t>
      </w:r>
      <w:r w:rsidR="00C750DB">
        <w:rPr>
          <w:rFonts w:cstheme="minorHAnsi"/>
        </w:rPr>
        <w:t xml:space="preserve">o modificaciones </w:t>
      </w:r>
      <w:r w:rsidR="00D53C1A" w:rsidRPr="00063819">
        <w:rPr>
          <w:rFonts w:cstheme="minorHAnsi"/>
        </w:rPr>
        <w:t xml:space="preserve">a las Reglas de carácter general, la </w:t>
      </w:r>
      <w:r w:rsidR="00943A6D">
        <w:rPr>
          <w:rFonts w:cstheme="minorHAnsi"/>
        </w:rPr>
        <w:t>adición o modificación a</w:t>
      </w:r>
      <w:r w:rsidR="00D53C1A" w:rsidRPr="00063819">
        <w:rPr>
          <w:rFonts w:cstheme="minorHAnsi"/>
        </w:rPr>
        <w:t xml:space="preserve"> </w:t>
      </w:r>
      <w:r w:rsidRPr="00063819">
        <w:rPr>
          <w:rFonts w:cstheme="minorHAnsi"/>
        </w:rPr>
        <w:t>definiciones</w:t>
      </w:r>
      <w:r w:rsidR="00943A6D">
        <w:rPr>
          <w:rFonts w:cstheme="minorHAnsi"/>
        </w:rPr>
        <w:t xml:space="preserve"> aplicables a casos específicos</w:t>
      </w:r>
      <w:r w:rsidR="00D53C1A" w:rsidRPr="00063819">
        <w:rPr>
          <w:rFonts w:cstheme="minorHAnsi"/>
        </w:rPr>
        <w:t xml:space="preserve">, así </w:t>
      </w:r>
      <w:r w:rsidR="002273F5" w:rsidRPr="00063819">
        <w:rPr>
          <w:rFonts w:cstheme="minorHAnsi"/>
        </w:rPr>
        <w:t xml:space="preserve">como </w:t>
      </w:r>
      <w:r w:rsidR="00FB6536" w:rsidRPr="00063819">
        <w:rPr>
          <w:rFonts w:cstheme="minorHAnsi"/>
        </w:rPr>
        <w:t>la armonización del marco regulatorio anterior con el actual</w:t>
      </w:r>
      <w:r w:rsidR="00943A6D">
        <w:rPr>
          <w:rFonts w:cstheme="minorHAnsi"/>
        </w:rPr>
        <w:t>,</w:t>
      </w:r>
      <w:r w:rsidR="00FB6536" w:rsidRPr="00063819">
        <w:rPr>
          <w:rFonts w:cstheme="minorHAnsi"/>
        </w:rPr>
        <w:t xml:space="preserve"> para fomentar la competencia en el sector satelital, </w:t>
      </w:r>
      <w:r w:rsidR="002273F5" w:rsidRPr="00063819">
        <w:rPr>
          <w:rFonts w:cstheme="minorHAnsi"/>
        </w:rPr>
        <w:t xml:space="preserve">los ajustes a </w:t>
      </w:r>
      <w:r w:rsidR="00D53C1A" w:rsidRPr="00063819">
        <w:rPr>
          <w:rFonts w:cstheme="minorHAnsi"/>
        </w:rPr>
        <w:t xml:space="preserve">los Formatos </w:t>
      </w:r>
      <w:r w:rsidR="002273F5" w:rsidRPr="00063819">
        <w:rPr>
          <w:rFonts w:cstheme="minorHAnsi"/>
        </w:rPr>
        <w:t>aplicables</w:t>
      </w:r>
      <w:r w:rsidR="00FB6536" w:rsidRPr="00063819">
        <w:rPr>
          <w:rFonts w:cstheme="minorHAnsi"/>
        </w:rPr>
        <w:t xml:space="preserve"> y el proceso de notificación de los requerimientos o prevenciones y la respuesta a los mismo</w:t>
      </w:r>
      <w:r w:rsidR="00091DF6" w:rsidRPr="00063819">
        <w:rPr>
          <w:rFonts w:cstheme="minorHAnsi"/>
        </w:rPr>
        <w:t>s</w:t>
      </w:r>
      <w:r w:rsidR="002273F5" w:rsidRPr="00063819">
        <w:rPr>
          <w:rFonts w:cstheme="minorHAnsi"/>
        </w:rPr>
        <w:t xml:space="preserve">, hacen que el </w:t>
      </w:r>
      <w:r w:rsidR="00F01C1B" w:rsidRPr="00063819">
        <w:rPr>
          <w:rFonts w:cstheme="minorHAnsi"/>
        </w:rPr>
        <w:t>anteproyecto original</w:t>
      </w:r>
      <w:r w:rsidR="002273F5" w:rsidRPr="00063819">
        <w:rPr>
          <w:rFonts w:cstheme="minorHAnsi"/>
        </w:rPr>
        <w:t xml:space="preserve"> tenga un </w:t>
      </w:r>
      <w:r w:rsidR="00F01C1B" w:rsidRPr="00063819">
        <w:rPr>
          <w:rFonts w:cstheme="minorHAnsi"/>
        </w:rPr>
        <w:t>re</w:t>
      </w:r>
      <w:r w:rsidR="002273F5" w:rsidRPr="00063819">
        <w:rPr>
          <w:rFonts w:cstheme="minorHAnsi"/>
        </w:rPr>
        <w:t xml:space="preserve">planteamiento </w:t>
      </w:r>
      <w:r w:rsidR="00F01C1B" w:rsidRPr="00063819">
        <w:rPr>
          <w:rFonts w:cstheme="minorHAnsi"/>
        </w:rPr>
        <w:t>en general</w:t>
      </w:r>
      <w:r w:rsidR="00DF2985" w:rsidRPr="00063819">
        <w:rPr>
          <w:rFonts w:cstheme="minorHAnsi"/>
        </w:rPr>
        <w:t xml:space="preserve">, lo que </w:t>
      </w:r>
      <w:r w:rsidR="00F01C1B" w:rsidRPr="00063819">
        <w:rPr>
          <w:rFonts w:cstheme="minorHAnsi"/>
        </w:rPr>
        <w:t>se verá reflejado en el proyecto final.</w:t>
      </w:r>
    </w:p>
    <w:p w14:paraId="050B26AE" w14:textId="6A6E976C" w:rsidR="00F01C1B" w:rsidRPr="00D15DAB" w:rsidRDefault="00F01C1B" w:rsidP="00D06C18">
      <w:pPr>
        <w:spacing w:after="0"/>
        <w:rPr>
          <w:rFonts w:cstheme="minorHAnsi"/>
        </w:rPr>
      </w:pPr>
    </w:p>
    <w:p w14:paraId="2FB3FF59" w14:textId="6C4A1DC2" w:rsidR="00D15DAB" w:rsidRPr="00D15DAB" w:rsidRDefault="00D15DAB" w:rsidP="00D06C18">
      <w:pPr>
        <w:spacing w:after="0"/>
        <w:rPr>
          <w:rFonts w:cstheme="minorHAnsi"/>
        </w:rPr>
      </w:pPr>
      <w:r w:rsidRPr="00D15DAB">
        <w:rPr>
          <w:rFonts w:cstheme="minorHAnsi"/>
        </w:rPr>
        <w:lastRenderedPageBreak/>
        <w:t>Dentro de los temas relevantes identificados en blo</w:t>
      </w:r>
      <w:r>
        <w:rPr>
          <w:rFonts w:cstheme="minorHAnsi"/>
        </w:rPr>
        <w:t>q</w:t>
      </w:r>
      <w:r w:rsidRPr="00D15DAB">
        <w:rPr>
          <w:rFonts w:cstheme="minorHAnsi"/>
        </w:rPr>
        <w:t>ues se encuentra</w:t>
      </w:r>
      <w:r>
        <w:rPr>
          <w:rFonts w:cstheme="minorHAnsi"/>
        </w:rPr>
        <w:t>n</w:t>
      </w:r>
      <w:r w:rsidR="0098075A">
        <w:rPr>
          <w:rFonts w:cstheme="minorHAnsi"/>
        </w:rPr>
        <w:t xml:space="preserve"> comentarios </w:t>
      </w:r>
      <w:r w:rsidR="00295E88">
        <w:rPr>
          <w:rFonts w:cstheme="minorHAnsi"/>
        </w:rPr>
        <w:t>relacionados con</w:t>
      </w:r>
      <w:r w:rsidRPr="00D15DAB">
        <w:rPr>
          <w:rFonts w:cstheme="minorHAnsi"/>
        </w:rPr>
        <w:t>:</w:t>
      </w:r>
    </w:p>
    <w:p w14:paraId="143BAC9A" w14:textId="50594A04" w:rsidR="00D15DAB" w:rsidRPr="00D15DAB" w:rsidRDefault="00D15DAB" w:rsidP="00D06C18">
      <w:pPr>
        <w:spacing w:after="0"/>
        <w:rPr>
          <w:rFonts w:cstheme="minorHAnsi"/>
        </w:rPr>
      </w:pPr>
    </w:p>
    <w:p w14:paraId="17D79092" w14:textId="3E6EB7CB" w:rsidR="00F01C1B" w:rsidRPr="00FA76B0" w:rsidRDefault="00F01C1B" w:rsidP="00D6268D">
      <w:pPr>
        <w:spacing w:after="0"/>
        <w:jc w:val="center"/>
        <w:rPr>
          <w:rFonts w:cstheme="minorHAnsi"/>
          <w:b/>
        </w:rPr>
      </w:pPr>
      <w:r w:rsidRPr="00066536">
        <w:rPr>
          <w:rFonts w:cstheme="minorHAnsi"/>
          <w:b/>
        </w:rPr>
        <w:t>•</w:t>
      </w:r>
      <w:r w:rsidRPr="00066536">
        <w:rPr>
          <w:rFonts w:cstheme="minorHAnsi"/>
          <w:b/>
        </w:rPr>
        <w:tab/>
      </w:r>
      <w:r w:rsidR="003B6E23">
        <w:rPr>
          <w:rFonts w:cstheme="minorHAnsi"/>
          <w:b/>
        </w:rPr>
        <w:t>TEMA</w:t>
      </w:r>
      <w:r w:rsidR="003B6E23" w:rsidRPr="00FA76B0">
        <w:rPr>
          <w:rFonts w:cstheme="minorHAnsi"/>
          <w:b/>
        </w:rPr>
        <w:t xml:space="preserve">: </w:t>
      </w:r>
      <w:r w:rsidRPr="00FA76B0">
        <w:rPr>
          <w:rFonts w:cstheme="minorHAnsi"/>
          <w:b/>
        </w:rPr>
        <w:t>Capít</w:t>
      </w:r>
      <w:r w:rsidR="00FB6536" w:rsidRPr="00FA76B0">
        <w:rPr>
          <w:rFonts w:cstheme="minorHAnsi"/>
          <w:b/>
        </w:rPr>
        <w:t xml:space="preserve">ulo </w:t>
      </w:r>
      <w:r w:rsidR="009C2765" w:rsidRPr="00FA76B0">
        <w:rPr>
          <w:rFonts w:cstheme="minorHAnsi"/>
          <w:b/>
        </w:rPr>
        <w:t>2</w:t>
      </w:r>
      <w:r w:rsidR="00FB6536" w:rsidRPr="00FA76B0">
        <w:rPr>
          <w:rFonts w:cstheme="minorHAnsi"/>
          <w:b/>
        </w:rPr>
        <w:t xml:space="preserve"> </w:t>
      </w:r>
      <w:r w:rsidR="009C2765" w:rsidRPr="00FA76B0">
        <w:rPr>
          <w:rFonts w:cstheme="minorHAnsi"/>
          <w:b/>
        </w:rPr>
        <w:t>–</w:t>
      </w:r>
      <w:r w:rsidR="00FB6536" w:rsidRPr="00FA76B0">
        <w:rPr>
          <w:rFonts w:cstheme="minorHAnsi"/>
          <w:b/>
        </w:rPr>
        <w:t xml:space="preserve"> D</w:t>
      </w:r>
      <w:r w:rsidR="009C2765" w:rsidRPr="00FA76B0">
        <w:rPr>
          <w:rFonts w:cstheme="minorHAnsi"/>
          <w:b/>
        </w:rPr>
        <w:t>e los requisitos generales</w:t>
      </w:r>
    </w:p>
    <w:p w14:paraId="43D1DCB9" w14:textId="4F34E68E" w:rsidR="00F0308E" w:rsidRDefault="00F0308E" w:rsidP="00D6268D">
      <w:pPr>
        <w:spacing w:after="0"/>
        <w:jc w:val="center"/>
        <w:rPr>
          <w:rFonts w:cstheme="minorHAnsi"/>
        </w:rPr>
      </w:pPr>
      <w:r w:rsidRPr="00FA76B0">
        <w:rPr>
          <w:rFonts w:cstheme="minorHAnsi"/>
          <w:b/>
        </w:rPr>
        <w:t>Regla 4, inciso</w:t>
      </w:r>
      <w:r w:rsidR="00836CD0" w:rsidRPr="00FA76B0">
        <w:rPr>
          <w:rFonts w:cstheme="minorHAnsi"/>
          <w:b/>
        </w:rPr>
        <w:t>s</w:t>
      </w:r>
      <w:r w:rsidRPr="00FA76B0">
        <w:rPr>
          <w:rFonts w:cstheme="minorHAnsi"/>
          <w:b/>
        </w:rPr>
        <w:t xml:space="preserve"> a)</w:t>
      </w:r>
      <w:r w:rsidR="00066536" w:rsidRPr="00FA76B0">
        <w:rPr>
          <w:rFonts w:cstheme="minorHAnsi"/>
          <w:b/>
        </w:rPr>
        <w:t xml:space="preserve">, b) </w:t>
      </w:r>
      <w:r w:rsidR="00836CD0" w:rsidRPr="00FA76B0">
        <w:rPr>
          <w:rFonts w:cstheme="minorHAnsi"/>
          <w:b/>
        </w:rPr>
        <w:t xml:space="preserve">numeral 3, </w:t>
      </w:r>
      <w:r w:rsidR="00066536" w:rsidRPr="00FA76B0">
        <w:rPr>
          <w:rFonts w:cstheme="minorHAnsi"/>
          <w:b/>
        </w:rPr>
        <w:t>y c)</w:t>
      </w:r>
      <w:r w:rsidRPr="00FA76B0">
        <w:rPr>
          <w:rFonts w:cstheme="minorHAnsi"/>
          <w:b/>
        </w:rPr>
        <w:t>, numeral 3</w:t>
      </w:r>
    </w:p>
    <w:p w14:paraId="3B7DB917" w14:textId="77777777" w:rsidR="00D6268D" w:rsidRPr="00063819" w:rsidRDefault="00D6268D" w:rsidP="00D6268D">
      <w:pPr>
        <w:spacing w:after="0"/>
        <w:rPr>
          <w:rFonts w:cstheme="minorHAnsi"/>
        </w:rPr>
      </w:pPr>
    </w:p>
    <w:p w14:paraId="175427FA" w14:textId="65C2F0E8" w:rsidR="00F53DF8" w:rsidRPr="00063819" w:rsidRDefault="00295E88" w:rsidP="00295E88">
      <w:pPr>
        <w:spacing w:after="0"/>
        <w:jc w:val="both"/>
        <w:rPr>
          <w:rFonts w:cstheme="minorHAnsi"/>
        </w:rPr>
      </w:pPr>
      <w:r w:rsidRPr="00295E88">
        <w:rPr>
          <w:rFonts w:cstheme="minorHAnsi"/>
          <w:b/>
        </w:rPr>
        <w:t>N</w:t>
      </w:r>
      <w:r w:rsidR="00F53DF8" w:rsidRPr="00295E88">
        <w:rPr>
          <w:rFonts w:cstheme="minorHAnsi"/>
          <w:b/>
        </w:rPr>
        <w:t>ombre o marca comercial</w:t>
      </w:r>
      <w:r>
        <w:rPr>
          <w:rFonts w:cstheme="minorHAnsi"/>
        </w:rPr>
        <w:t>. S</w:t>
      </w:r>
      <w:r w:rsidR="0098075A">
        <w:rPr>
          <w:rFonts w:cstheme="minorHAnsi"/>
        </w:rPr>
        <w:t xml:space="preserve">e </w:t>
      </w:r>
      <w:r w:rsidR="00765865">
        <w:rPr>
          <w:rFonts w:cstheme="minorHAnsi"/>
        </w:rPr>
        <w:t xml:space="preserve">recibieron comentarios cuestionando </w:t>
      </w:r>
      <w:r w:rsidR="00A00CE8">
        <w:rPr>
          <w:rFonts w:cstheme="minorHAnsi"/>
        </w:rPr>
        <w:t>la incorporación d</w:t>
      </w:r>
      <w:r w:rsidR="00765865">
        <w:rPr>
          <w:rFonts w:cstheme="minorHAnsi"/>
        </w:rPr>
        <w:t xml:space="preserve">el rubro sobre este tema, por lo que se </w:t>
      </w:r>
      <w:r w:rsidR="0098075A">
        <w:rPr>
          <w:rFonts w:cstheme="minorHAnsi"/>
        </w:rPr>
        <w:t>precisó</w:t>
      </w:r>
      <w:r w:rsidR="00765865">
        <w:rPr>
          <w:rFonts w:cstheme="minorHAnsi"/>
        </w:rPr>
        <w:t>,</w:t>
      </w:r>
      <w:r w:rsidR="0098075A">
        <w:rPr>
          <w:rFonts w:cstheme="minorHAnsi"/>
        </w:rPr>
        <w:t xml:space="preserve"> que e</w:t>
      </w:r>
      <w:r w:rsidR="00F53DF8" w:rsidRPr="00063819">
        <w:rPr>
          <w:rFonts w:cstheme="minorHAnsi"/>
        </w:rPr>
        <w:t>l solicitar esta información</w:t>
      </w:r>
      <w:r w:rsidRPr="00295E88">
        <w:t xml:space="preserve"> </w:t>
      </w:r>
      <w:r w:rsidRPr="00295E88">
        <w:rPr>
          <w:rFonts w:cstheme="minorHAnsi"/>
        </w:rPr>
        <w:t>no le depara ningún perjuicio al particular</w:t>
      </w:r>
      <w:r>
        <w:rPr>
          <w:rFonts w:cstheme="minorHAnsi"/>
        </w:rPr>
        <w:t>,</w:t>
      </w:r>
      <w:r w:rsidRPr="00295E88">
        <w:rPr>
          <w:rFonts w:cstheme="minorHAnsi"/>
        </w:rPr>
        <w:t xml:space="preserve"> al no ser un requisito a considerar en la evaluación para el otorgamiento de una Autorización</w:t>
      </w:r>
      <w:r>
        <w:rPr>
          <w:rFonts w:cstheme="minorHAnsi"/>
        </w:rPr>
        <w:t xml:space="preserve"> </w:t>
      </w:r>
      <w:r w:rsidR="00943A6D">
        <w:rPr>
          <w:rFonts w:cstheme="minorHAnsi"/>
        </w:rPr>
        <w:t xml:space="preserve">y que se proporciona únicamente en caso de ser aplicable, destacando que </w:t>
      </w:r>
      <w:r w:rsidR="00765865">
        <w:rPr>
          <w:rFonts w:cstheme="minorHAnsi"/>
        </w:rPr>
        <w:t xml:space="preserve">contar con </w:t>
      </w:r>
      <w:r w:rsidR="00943A6D">
        <w:rPr>
          <w:rFonts w:cstheme="minorHAnsi"/>
        </w:rPr>
        <w:t>esta información,</w:t>
      </w:r>
      <w:r w:rsidR="00765865">
        <w:rPr>
          <w:rFonts w:cstheme="minorHAnsi"/>
        </w:rPr>
        <w:t xml:space="preserve"> </w:t>
      </w:r>
      <w:r>
        <w:rPr>
          <w:rFonts w:cstheme="minorHAnsi"/>
        </w:rPr>
        <w:t>permite al Instituto identificar a las empresas de mejor forma</w:t>
      </w:r>
      <w:r w:rsidR="00765865">
        <w:rPr>
          <w:rFonts w:cstheme="minorHAnsi"/>
        </w:rPr>
        <w:t xml:space="preserve"> cuando </w:t>
      </w:r>
      <w:r w:rsidR="001B36BC">
        <w:rPr>
          <w:rFonts w:cstheme="minorHAnsi"/>
        </w:rPr>
        <w:t xml:space="preserve">inician operaciones y </w:t>
      </w:r>
      <w:r w:rsidR="00765865">
        <w:rPr>
          <w:rFonts w:cstheme="minorHAnsi"/>
        </w:rPr>
        <w:t xml:space="preserve">únicamente se publicitan con </w:t>
      </w:r>
      <w:r w:rsidR="00943A6D">
        <w:rPr>
          <w:rFonts w:cstheme="minorHAnsi"/>
        </w:rPr>
        <w:t xml:space="preserve">el nombre o </w:t>
      </w:r>
      <w:r w:rsidR="00765865">
        <w:rPr>
          <w:rFonts w:cstheme="minorHAnsi"/>
        </w:rPr>
        <w:t>marca comercial</w:t>
      </w:r>
      <w:r w:rsidR="00943A6D">
        <w:rPr>
          <w:rFonts w:cstheme="minorHAnsi"/>
        </w:rPr>
        <w:t>, sin hacer referencia al nombre o razón social</w:t>
      </w:r>
      <w:r w:rsidR="00294C49">
        <w:rPr>
          <w:rFonts w:cstheme="minorHAnsi"/>
        </w:rPr>
        <w:t xml:space="preserve"> del autorizado</w:t>
      </w:r>
      <w:r>
        <w:rPr>
          <w:rFonts w:cstheme="minorHAnsi"/>
        </w:rPr>
        <w:t>.</w:t>
      </w:r>
    </w:p>
    <w:p w14:paraId="37AB8AE2" w14:textId="329E1522" w:rsidR="003B6E23" w:rsidRDefault="003B6E23" w:rsidP="00CB580D">
      <w:pPr>
        <w:spacing w:after="0"/>
        <w:jc w:val="both"/>
        <w:rPr>
          <w:rFonts w:cstheme="minorHAnsi"/>
        </w:rPr>
      </w:pPr>
    </w:p>
    <w:p w14:paraId="59D33522" w14:textId="770D3AAE" w:rsidR="005371D4" w:rsidRPr="00066536" w:rsidRDefault="00836CD0" w:rsidP="005371D4">
      <w:pPr>
        <w:spacing w:after="0"/>
        <w:jc w:val="both"/>
        <w:rPr>
          <w:rFonts w:cstheme="minorHAnsi"/>
        </w:rPr>
      </w:pPr>
      <w:r w:rsidRPr="00BE1BB9">
        <w:rPr>
          <w:rFonts w:cstheme="minorHAnsi"/>
          <w:b/>
        </w:rPr>
        <w:t>Notificación electrónica.</w:t>
      </w:r>
      <w:r>
        <w:rPr>
          <w:rFonts w:cstheme="minorHAnsi"/>
        </w:rPr>
        <w:t xml:space="preserve"> </w:t>
      </w:r>
      <w:r w:rsidR="005371D4">
        <w:rPr>
          <w:rFonts w:cstheme="minorHAnsi"/>
        </w:rPr>
        <w:t>En atención a los diversos comentarios</w:t>
      </w:r>
      <w:r w:rsidR="00BE1BB9">
        <w:rPr>
          <w:rFonts w:cstheme="minorHAnsi"/>
        </w:rPr>
        <w:t xml:space="preserve"> y sugerencias, </w:t>
      </w:r>
      <w:r w:rsidR="005371D4">
        <w:rPr>
          <w:rFonts w:cstheme="minorHAnsi"/>
        </w:rPr>
        <w:t>sobre</w:t>
      </w:r>
      <w:r w:rsidR="00BE1BB9">
        <w:rPr>
          <w:rFonts w:cstheme="minorHAnsi"/>
        </w:rPr>
        <w:t xml:space="preserve"> </w:t>
      </w:r>
      <w:r w:rsidR="00BE1BB9" w:rsidRPr="00BE1BB9">
        <w:rPr>
          <w:rFonts w:cstheme="minorHAnsi"/>
        </w:rPr>
        <w:t>la aceptación expresa del particular</w:t>
      </w:r>
      <w:r w:rsidR="00BE1BB9">
        <w:rPr>
          <w:rFonts w:cstheme="minorHAnsi"/>
        </w:rPr>
        <w:t xml:space="preserve"> de las mismas, el</w:t>
      </w:r>
      <w:r w:rsidR="005371D4">
        <w:rPr>
          <w:rFonts w:cstheme="minorHAnsi"/>
        </w:rPr>
        <w:t xml:space="preserve"> </w:t>
      </w:r>
      <w:r w:rsidR="000267F5" w:rsidRPr="00066536">
        <w:rPr>
          <w:rFonts w:cstheme="minorHAnsi"/>
        </w:rPr>
        <w:t xml:space="preserve">implementar algún mecanismo que permita dejar constancia de la recepción de </w:t>
      </w:r>
      <w:r w:rsidR="00BE1BB9">
        <w:rPr>
          <w:rFonts w:cstheme="minorHAnsi"/>
        </w:rPr>
        <w:t xml:space="preserve">las </w:t>
      </w:r>
      <w:r w:rsidR="000267F5" w:rsidRPr="00066536">
        <w:rPr>
          <w:rFonts w:cstheme="minorHAnsi"/>
        </w:rPr>
        <w:t>notificaciones</w:t>
      </w:r>
      <w:r w:rsidR="005371D4">
        <w:rPr>
          <w:rFonts w:cstheme="minorHAnsi"/>
        </w:rPr>
        <w:t>, el uso de un correo electrónico oficial permanente</w:t>
      </w:r>
      <w:r w:rsidR="00BE1BB9">
        <w:rPr>
          <w:rFonts w:cstheme="minorHAnsi"/>
        </w:rPr>
        <w:t xml:space="preserve">, </w:t>
      </w:r>
      <w:r w:rsidR="005371D4">
        <w:rPr>
          <w:rFonts w:cstheme="minorHAnsi"/>
        </w:rPr>
        <w:t>y de lo previsto en el a</w:t>
      </w:r>
      <w:r w:rsidR="00652F60" w:rsidRPr="00066536">
        <w:rPr>
          <w:rFonts w:cstheme="minorHAnsi"/>
        </w:rPr>
        <w:t>rtículo 35</w:t>
      </w:r>
      <w:r w:rsidR="00BE1BB9">
        <w:rPr>
          <w:rFonts w:cstheme="minorHAnsi"/>
        </w:rPr>
        <w:t xml:space="preserve"> fracción</w:t>
      </w:r>
      <w:r w:rsidR="00652F60" w:rsidRPr="00066536">
        <w:rPr>
          <w:rFonts w:cstheme="minorHAnsi"/>
        </w:rPr>
        <w:t xml:space="preserve"> II</w:t>
      </w:r>
      <w:r w:rsidR="00BE1BB9">
        <w:rPr>
          <w:rFonts w:cstheme="minorHAnsi"/>
        </w:rPr>
        <w:t>,</w:t>
      </w:r>
      <w:r w:rsidR="00652F60" w:rsidRPr="00066536">
        <w:rPr>
          <w:rFonts w:cstheme="minorHAnsi"/>
        </w:rPr>
        <w:t xml:space="preserve"> de la Ley Federal </w:t>
      </w:r>
      <w:r w:rsidR="00385D14">
        <w:rPr>
          <w:rFonts w:cstheme="minorHAnsi"/>
        </w:rPr>
        <w:t>de Procedimiento Administrativo</w:t>
      </w:r>
      <w:r w:rsidR="00700EE4">
        <w:rPr>
          <w:rFonts w:cstheme="minorHAnsi"/>
        </w:rPr>
        <w:t xml:space="preserve">, o </w:t>
      </w:r>
      <w:r w:rsidR="00FD2525">
        <w:rPr>
          <w:rFonts w:cstheme="minorHAnsi"/>
        </w:rPr>
        <w:t xml:space="preserve">incluso el </w:t>
      </w:r>
      <w:r w:rsidR="00700EE4">
        <w:rPr>
          <w:rFonts w:cstheme="minorHAnsi"/>
        </w:rPr>
        <w:t xml:space="preserve">eliminar esta modificación </w:t>
      </w:r>
      <w:r w:rsidR="00FD2525">
        <w:rPr>
          <w:rFonts w:cstheme="minorHAnsi"/>
        </w:rPr>
        <w:t xml:space="preserve">relativa a las notificaciones electrónicas </w:t>
      </w:r>
      <w:r w:rsidR="00700EE4">
        <w:rPr>
          <w:rFonts w:cstheme="minorHAnsi"/>
        </w:rPr>
        <w:t>de las Reglas de carácter general</w:t>
      </w:r>
      <w:r w:rsidR="00F60DA8">
        <w:rPr>
          <w:rFonts w:cstheme="minorHAnsi"/>
        </w:rPr>
        <w:t xml:space="preserve"> se comenta lo siguiente:</w:t>
      </w:r>
    </w:p>
    <w:p w14:paraId="4E39963D" w14:textId="77777777" w:rsidR="00B82447" w:rsidRPr="00066536" w:rsidRDefault="00B82447" w:rsidP="00B82447">
      <w:pPr>
        <w:spacing w:after="0"/>
        <w:jc w:val="both"/>
        <w:rPr>
          <w:rFonts w:cstheme="minorHAnsi"/>
        </w:rPr>
      </w:pPr>
    </w:p>
    <w:p w14:paraId="4A7123A9" w14:textId="54CA224D" w:rsidR="003659C0" w:rsidRDefault="00FD2525" w:rsidP="00B82447">
      <w:pPr>
        <w:spacing w:after="0"/>
        <w:jc w:val="both"/>
        <w:rPr>
          <w:rFonts w:cstheme="minorHAnsi"/>
        </w:rPr>
      </w:pPr>
      <w:r>
        <w:rPr>
          <w:rFonts w:cstheme="minorHAnsi"/>
        </w:rPr>
        <w:t>El Instituto c</w:t>
      </w:r>
      <w:r w:rsidR="00B82447" w:rsidRPr="00063819">
        <w:rPr>
          <w:rFonts w:cstheme="minorHAnsi"/>
        </w:rPr>
        <w:t xml:space="preserve">onsiderando la simplificación administrativa y la mejora regulatoria propuesta, </w:t>
      </w:r>
      <w:r>
        <w:rPr>
          <w:rFonts w:cstheme="minorHAnsi"/>
        </w:rPr>
        <w:t xml:space="preserve">realiza diversos ajustes al proyecto </w:t>
      </w:r>
      <w:r w:rsidR="00DC29D7">
        <w:rPr>
          <w:rFonts w:cstheme="minorHAnsi"/>
        </w:rPr>
        <w:t xml:space="preserve">sobre este tema, </w:t>
      </w:r>
      <w:r w:rsidR="00F60DA8">
        <w:rPr>
          <w:rFonts w:cstheme="minorHAnsi"/>
        </w:rPr>
        <w:t xml:space="preserve">aclarando que </w:t>
      </w:r>
      <w:r w:rsidR="00DC29D7">
        <w:rPr>
          <w:rFonts w:cstheme="minorHAnsi"/>
        </w:rPr>
        <w:t xml:space="preserve">no se trata de trámites electrónicos, por lo cual, los </w:t>
      </w:r>
      <w:r w:rsidR="00B82447" w:rsidRPr="00063819">
        <w:rPr>
          <w:rFonts w:cstheme="minorHAnsi"/>
        </w:rPr>
        <w:t xml:space="preserve">solicitantes deberán manifestar de forma voluntaria la aceptación de las notificaciones electrónicas, mismas que en todo caso, serán únicamente para formular requerimientos </w:t>
      </w:r>
      <w:r w:rsidR="00294C49">
        <w:rPr>
          <w:rFonts w:cstheme="minorHAnsi"/>
        </w:rPr>
        <w:t>y/</w:t>
      </w:r>
      <w:r w:rsidR="00B82447" w:rsidRPr="00063819">
        <w:rPr>
          <w:rFonts w:cstheme="minorHAnsi"/>
        </w:rPr>
        <w:t xml:space="preserve">o prevenciones relacionadas con </w:t>
      </w:r>
      <w:r w:rsidR="00DC29D7">
        <w:rPr>
          <w:rFonts w:cstheme="minorHAnsi"/>
        </w:rPr>
        <w:t xml:space="preserve">las solicitudes de las Autorizaciones previstas en el artículo 170 de la Ley. En todo caso, tratándose de información que por su propia naturaleza no debe ser expedida por fedatario público para hacer constar fehacientemente un hecho o circunstancia para acreditar un requisito, podrá el particular al responder o desahogar el requerimiento y/o prevención, proporcionar a la autoridad por la misma vía la </w:t>
      </w:r>
      <w:r w:rsidR="00B82447" w:rsidRPr="00063819">
        <w:rPr>
          <w:rFonts w:cstheme="minorHAnsi"/>
        </w:rPr>
        <w:t xml:space="preserve">información </w:t>
      </w:r>
      <w:r w:rsidR="00DC29D7">
        <w:rPr>
          <w:rFonts w:cstheme="minorHAnsi"/>
        </w:rPr>
        <w:t xml:space="preserve">de </w:t>
      </w:r>
      <w:r w:rsidR="00B82447" w:rsidRPr="00063819">
        <w:rPr>
          <w:rFonts w:cstheme="minorHAnsi"/>
        </w:rPr>
        <w:t xml:space="preserve">que </w:t>
      </w:r>
      <w:r w:rsidR="00DC29D7">
        <w:rPr>
          <w:rFonts w:cstheme="minorHAnsi"/>
        </w:rPr>
        <w:t>se trate, remitiéndola</w:t>
      </w:r>
      <w:r w:rsidR="006B5E98">
        <w:rPr>
          <w:rFonts w:cstheme="minorHAnsi"/>
        </w:rPr>
        <w:t xml:space="preserve"> </w:t>
      </w:r>
      <w:r w:rsidR="00F041EF">
        <w:rPr>
          <w:rFonts w:cstheme="minorHAnsi"/>
        </w:rPr>
        <w:t>a</w:t>
      </w:r>
      <w:r w:rsidR="00B82447" w:rsidRPr="00063819">
        <w:rPr>
          <w:rFonts w:cstheme="minorHAnsi"/>
        </w:rPr>
        <w:t xml:space="preserve"> </w:t>
      </w:r>
      <w:r w:rsidR="00DC29D7">
        <w:rPr>
          <w:rFonts w:cstheme="minorHAnsi"/>
        </w:rPr>
        <w:t>la</w:t>
      </w:r>
      <w:r w:rsidR="00B82447" w:rsidRPr="00063819">
        <w:rPr>
          <w:rFonts w:cstheme="minorHAnsi"/>
        </w:rPr>
        <w:t xml:space="preserve"> cuenta </w:t>
      </w:r>
      <w:r w:rsidR="00DC29D7">
        <w:rPr>
          <w:rFonts w:cstheme="minorHAnsi"/>
        </w:rPr>
        <w:t xml:space="preserve">de correo </w:t>
      </w:r>
      <w:r w:rsidR="00B82447" w:rsidRPr="00063819">
        <w:rPr>
          <w:rFonts w:cstheme="minorHAnsi"/>
        </w:rPr>
        <w:t xml:space="preserve">específica </w:t>
      </w:r>
      <w:r w:rsidR="00F041EF">
        <w:rPr>
          <w:rFonts w:cstheme="minorHAnsi"/>
        </w:rPr>
        <w:t xml:space="preserve">del Instituto creada de forma exclusiva </w:t>
      </w:r>
      <w:r w:rsidR="00B82447" w:rsidRPr="00063819">
        <w:rPr>
          <w:rFonts w:cstheme="minorHAnsi"/>
        </w:rPr>
        <w:t xml:space="preserve">para </w:t>
      </w:r>
      <w:r w:rsidR="00F041EF">
        <w:rPr>
          <w:rFonts w:cstheme="minorHAnsi"/>
        </w:rPr>
        <w:t>estos efectos</w:t>
      </w:r>
      <w:r w:rsidR="00B82447" w:rsidRPr="00063819">
        <w:rPr>
          <w:rFonts w:cstheme="minorHAnsi"/>
        </w:rPr>
        <w:t>.</w:t>
      </w:r>
    </w:p>
    <w:p w14:paraId="378777E7" w14:textId="77777777" w:rsidR="003659C0" w:rsidRDefault="003659C0" w:rsidP="00B82447">
      <w:pPr>
        <w:spacing w:after="0"/>
        <w:jc w:val="both"/>
        <w:rPr>
          <w:rFonts w:cstheme="minorHAnsi"/>
        </w:rPr>
      </w:pPr>
    </w:p>
    <w:p w14:paraId="00F4242F" w14:textId="2A24FD5E" w:rsidR="00DC29D7" w:rsidRDefault="00FD2525" w:rsidP="00B82447">
      <w:pPr>
        <w:spacing w:after="0"/>
        <w:jc w:val="both"/>
        <w:rPr>
          <w:rFonts w:cstheme="minorHAnsi"/>
        </w:rPr>
      </w:pPr>
      <w:r>
        <w:rPr>
          <w:rFonts w:cstheme="minorHAnsi"/>
        </w:rPr>
        <w:t xml:space="preserve">Asimismo, </w:t>
      </w:r>
      <w:r w:rsidR="00F60DA8">
        <w:rPr>
          <w:rFonts w:cstheme="minorHAnsi"/>
        </w:rPr>
        <w:t xml:space="preserve">se aclara que </w:t>
      </w:r>
      <w:r w:rsidR="003659C0">
        <w:rPr>
          <w:rFonts w:cstheme="minorHAnsi"/>
        </w:rPr>
        <w:t xml:space="preserve">dicha cuenta de correo </w:t>
      </w:r>
      <w:r w:rsidR="00B82447" w:rsidRPr="00063819">
        <w:rPr>
          <w:rFonts w:cstheme="minorHAnsi"/>
        </w:rPr>
        <w:t>electrónico institucional</w:t>
      </w:r>
      <w:r w:rsidR="00DC29D7">
        <w:rPr>
          <w:rFonts w:cstheme="minorHAnsi"/>
        </w:rPr>
        <w:t>,</w:t>
      </w:r>
      <w:r w:rsidR="00B82447" w:rsidRPr="00063819">
        <w:rPr>
          <w:rFonts w:cstheme="minorHAnsi"/>
        </w:rPr>
        <w:t xml:space="preserve"> </w:t>
      </w:r>
      <w:r w:rsidR="00DC29D7">
        <w:rPr>
          <w:rFonts w:cstheme="minorHAnsi"/>
        </w:rPr>
        <w:t>se ha</w:t>
      </w:r>
      <w:r w:rsidR="003659C0">
        <w:rPr>
          <w:rFonts w:cstheme="minorHAnsi"/>
        </w:rPr>
        <w:t>rá</w:t>
      </w:r>
      <w:r w:rsidR="00DC29D7">
        <w:rPr>
          <w:rFonts w:cstheme="minorHAnsi"/>
        </w:rPr>
        <w:t xml:space="preserve"> del conocimiento del particular en el Formato de Solicitud de Autorización que corresponda, </w:t>
      </w:r>
      <w:r w:rsidR="003659C0">
        <w:rPr>
          <w:rFonts w:cstheme="minorHAnsi"/>
        </w:rPr>
        <w:t xml:space="preserve">señalando que </w:t>
      </w:r>
      <w:r w:rsidR="00DC29D7">
        <w:rPr>
          <w:rFonts w:cstheme="minorHAnsi"/>
        </w:rPr>
        <w:t>a</w:t>
      </w:r>
      <w:r w:rsidR="003659C0">
        <w:rPr>
          <w:rFonts w:cstheme="minorHAnsi"/>
        </w:rPr>
        <w:t xml:space="preserve"> dicho correo </w:t>
      </w:r>
      <w:r w:rsidR="00DC29D7">
        <w:rPr>
          <w:rFonts w:cstheme="minorHAnsi"/>
        </w:rPr>
        <w:t>únicamente podrán tener acceso los servidores públicos autorizados</w:t>
      </w:r>
      <w:r w:rsidR="003659C0">
        <w:rPr>
          <w:rFonts w:cstheme="minorHAnsi"/>
        </w:rPr>
        <w:t>, tanto para enviar requerimientos y/o prevenciones, como para recibir las respuestas o desahogos a los mismos</w:t>
      </w:r>
      <w:r w:rsidR="00DC29D7">
        <w:rPr>
          <w:rFonts w:cstheme="minorHAnsi"/>
        </w:rPr>
        <w:t>.</w:t>
      </w:r>
    </w:p>
    <w:p w14:paraId="3A7E42FE" w14:textId="77777777" w:rsidR="00DC29D7" w:rsidRDefault="00DC29D7" w:rsidP="00B82447">
      <w:pPr>
        <w:spacing w:after="0"/>
        <w:jc w:val="both"/>
        <w:rPr>
          <w:rFonts w:cstheme="minorHAnsi"/>
        </w:rPr>
      </w:pPr>
    </w:p>
    <w:p w14:paraId="632B757C" w14:textId="73F6ED9C" w:rsidR="00B82447" w:rsidRPr="00066536" w:rsidRDefault="00DC29D7" w:rsidP="00B82447">
      <w:pPr>
        <w:spacing w:after="0"/>
        <w:jc w:val="both"/>
        <w:rPr>
          <w:rFonts w:cstheme="minorHAnsi"/>
        </w:rPr>
      </w:pPr>
      <w:r>
        <w:rPr>
          <w:rFonts w:cstheme="minorHAnsi"/>
        </w:rPr>
        <w:t xml:space="preserve">El correo institucional, </w:t>
      </w:r>
      <w:r w:rsidR="00B82447" w:rsidRPr="00063819">
        <w:rPr>
          <w:rFonts w:cstheme="minorHAnsi"/>
        </w:rPr>
        <w:t xml:space="preserve">cuenta con mecanismos para </w:t>
      </w:r>
      <w:r>
        <w:rPr>
          <w:rFonts w:cstheme="minorHAnsi"/>
        </w:rPr>
        <w:t>que el particular envié el acuse de recepción respectivo al</w:t>
      </w:r>
      <w:r w:rsidR="00B82447" w:rsidRPr="00063819">
        <w:rPr>
          <w:rFonts w:cstheme="minorHAnsi"/>
        </w:rPr>
        <w:t xml:space="preserve"> digitar el mensaje </w:t>
      </w:r>
      <w:r w:rsidR="003659C0">
        <w:rPr>
          <w:rFonts w:cstheme="minorHAnsi"/>
        </w:rPr>
        <w:t xml:space="preserve">para </w:t>
      </w:r>
      <w:r w:rsidR="00B82447" w:rsidRPr="00063819">
        <w:rPr>
          <w:rFonts w:cstheme="minorHAnsi"/>
        </w:rPr>
        <w:t xml:space="preserve">emitir la confirmación </w:t>
      </w:r>
      <w:r>
        <w:rPr>
          <w:rFonts w:cstheme="minorHAnsi"/>
        </w:rPr>
        <w:t>de la recepción</w:t>
      </w:r>
      <w:r w:rsidR="00B82447" w:rsidRPr="00063819">
        <w:rPr>
          <w:rFonts w:cstheme="minorHAnsi"/>
        </w:rPr>
        <w:t xml:space="preserve">. </w:t>
      </w:r>
      <w:r w:rsidR="006B5E98">
        <w:rPr>
          <w:rFonts w:cstheme="minorHAnsi"/>
        </w:rPr>
        <w:t xml:space="preserve">Por otra parte, </w:t>
      </w:r>
      <w:r w:rsidR="003659C0">
        <w:rPr>
          <w:rFonts w:cstheme="minorHAnsi"/>
        </w:rPr>
        <w:t xml:space="preserve">no debe olvidarse que </w:t>
      </w:r>
      <w:r w:rsidR="00B82447" w:rsidRPr="00063819">
        <w:rPr>
          <w:rFonts w:cstheme="minorHAnsi"/>
        </w:rPr>
        <w:t xml:space="preserve">es el propio interesado el que </w:t>
      </w:r>
      <w:r w:rsidR="006B5E98">
        <w:rPr>
          <w:rFonts w:cstheme="minorHAnsi"/>
        </w:rPr>
        <w:t>señala</w:t>
      </w:r>
      <w:r w:rsidR="00B82447" w:rsidRPr="00063819">
        <w:rPr>
          <w:rFonts w:cstheme="minorHAnsi"/>
        </w:rPr>
        <w:t xml:space="preserve"> la cuenta de correo electrónico en la cual recibirá las notificaciones electrónicas </w:t>
      </w:r>
      <w:r w:rsidR="00FD2525">
        <w:rPr>
          <w:rFonts w:cstheme="minorHAnsi"/>
        </w:rPr>
        <w:t xml:space="preserve">por parte </w:t>
      </w:r>
      <w:r w:rsidR="00B82447" w:rsidRPr="00063819">
        <w:rPr>
          <w:rFonts w:cstheme="minorHAnsi"/>
        </w:rPr>
        <w:t>del Instituto</w:t>
      </w:r>
      <w:r w:rsidR="003659C0">
        <w:rPr>
          <w:rFonts w:cstheme="minorHAnsi"/>
        </w:rPr>
        <w:t>,</w:t>
      </w:r>
      <w:r>
        <w:rPr>
          <w:rFonts w:cstheme="minorHAnsi"/>
        </w:rPr>
        <w:t xml:space="preserve"> ya que previamente ha aceptado de forma voluntaria este tipo de notificaciones</w:t>
      </w:r>
      <w:r w:rsidR="00B82447" w:rsidRPr="00063819">
        <w:rPr>
          <w:rFonts w:cstheme="minorHAnsi"/>
        </w:rPr>
        <w:t>.</w:t>
      </w:r>
    </w:p>
    <w:p w14:paraId="5D3FC235" w14:textId="4A0825E8" w:rsidR="00B82447" w:rsidRDefault="00B82447" w:rsidP="00B82447">
      <w:pPr>
        <w:spacing w:after="0"/>
        <w:jc w:val="both"/>
        <w:rPr>
          <w:rFonts w:cstheme="minorHAnsi"/>
        </w:rPr>
      </w:pPr>
    </w:p>
    <w:p w14:paraId="35A30335" w14:textId="77777777" w:rsidR="00C366E9" w:rsidRDefault="00C366E9" w:rsidP="00B82447">
      <w:pPr>
        <w:spacing w:after="0"/>
        <w:jc w:val="both"/>
        <w:rPr>
          <w:rFonts w:cstheme="minorHAnsi"/>
        </w:rPr>
      </w:pPr>
    </w:p>
    <w:p w14:paraId="6206E420" w14:textId="57D8D318" w:rsidR="00983568" w:rsidRPr="00FA76B0" w:rsidRDefault="00983568" w:rsidP="00983568">
      <w:pPr>
        <w:pStyle w:val="Prrafodelista"/>
        <w:numPr>
          <w:ilvl w:val="0"/>
          <w:numId w:val="3"/>
        </w:numPr>
        <w:spacing w:after="0"/>
        <w:rPr>
          <w:rFonts w:cstheme="minorHAnsi"/>
          <w:b/>
        </w:rPr>
      </w:pPr>
      <w:r w:rsidRPr="00FA76B0">
        <w:rPr>
          <w:rFonts w:cstheme="minorHAnsi"/>
          <w:b/>
        </w:rPr>
        <w:t>TEMA: Capítulo 3 – De las comercializadoras de servicios de telecomunicaciones</w:t>
      </w:r>
    </w:p>
    <w:p w14:paraId="11BE3C3A" w14:textId="222BFFB8" w:rsidR="008266A9" w:rsidRDefault="008266A9" w:rsidP="00983568">
      <w:pPr>
        <w:spacing w:after="0"/>
        <w:ind w:left="360"/>
        <w:jc w:val="center"/>
        <w:rPr>
          <w:rFonts w:cstheme="minorHAnsi"/>
        </w:rPr>
      </w:pPr>
      <w:r w:rsidRPr="00FA76B0">
        <w:rPr>
          <w:rFonts w:cstheme="minorHAnsi"/>
          <w:b/>
        </w:rPr>
        <w:t>Regla 7</w:t>
      </w:r>
    </w:p>
    <w:p w14:paraId="0CFDF7B6" w14:textId="77777777" w:rsidR="00FA76B0" w:rsidRPr="00983568" w:rsidRDefault="00FA76B0" w:rsidP="00FA76B0">
      <w:pPr>
        <w:spacing w:after="0"/>
        <w:rPr>
          <w:rFonts w:cstheme="minorHAnsi"/>
        </w:rPr>
      </w:pPr>
    </w:p>
    <w:p w14:paraId="310068A8" w14:textId="2301CAA8" w:rsidR="008266A9" w:rsidRDefault="00C366E9" w:rsidP="008266A9">
      <w:pPr>
        <w:spacing w:after="0"/>
        <w:jc w:val="both"/>
        <w:rPr>
          <w:rFonts w:cstheme="minorHAnsi"/>
        </w:rPr>
      </w:pPr>
      <w:r w:rsidRPr="00C366E9">
        <w:rPr>
          <w:rFonts w:cstheme="minorHAnsi"/>
          <w:b/>
        </w:rPr>
        <w:t>Registro de servicios distintos a los originales.</w:t>
      </w:r>
      <w:r>
        <w:rPr>
          <w:rFonts w:cstheme="minorHAnsi"/>
        </w:rPr>
        <w:t xml:space="preserve"> Se recomendó que el registro de servicios adquiridos distintos a los contenidos en la Autorización no esté ligado al </w:t>
      </w:r>
      <w:r w:rsidR="008266A9" w:rsidRPr="00066536">
        <w:rPr>
          <w:rFonts w:cstheme="minorHAnsi"/>
        </w:rPr>
        <w:t xml:space="preserve">registro </w:t>
      </w:r>
      <w:r w:rsidR="00D80304">
        <w:rPr>
          <w:rFonts w:cstheme="minorHAnsi"/>
        </w:rPr>
        <w:t xml:space="preserve">previo </w:t>
      </w:r>
      <w:r w:rsidR="008266A9" w:rsidRPr="00066536">
        <w:rPr>
          <w:rFonts w:cstheme="minorHAnsi"/>
        </w:rPr>
        <w:t>de la</w:t>
      </w:r>
      <w:r>
        <w:rPr>
          <w:rFonts w:cstheme="minorHAnsi"/>
        </w:rPr>
        <w:t>s</w:t>
      </w:r>
      <w:r w:rsidR="008266A9" w:rsidRPr="00066536">
        <w:rPr>
          <w:rFonts w:cstheme="minorHAnsi"/>
        </w:rPr>
        <w:t xml:space="preserve"> tarifa</w:t>
      </w:r>
      <w:r>
        <w:rPr>
          <w:rFonts w:cstheme="minorHAnsi"/>
        </w:rPr>
        <w:t xml:space="preserve">s, debido a que </w:t>
      </w:r>
      <w:r w:rsidR="00D80304">
        <w:rPr>
          <w:rFonts w:cstheme="minorHAnsi"/>
        </w:rPr>
        <w:t xml:space="preserve">algunos </w:t>
      </w:r>
      <w:r w:rsidR="008266A9" w:rsidRPr="00066536">
        <w:rPr>
          <w:rFonts w:cstheme="minorHAnsi"/>
        </w:rPr>
        <w:t>Autorizado</w:t>
      </w:r>
      <w:r w:rsidR="00D80304">
        <w:rPr>
          <w:rFonts w:cstheme="minorHAnsi"/>
        </w:rPr>
        <w:t xml:space="preserve">s pueden tener ofertas que no son para el público en general </w:t>
      </w:r>
      <w:r w:rsidR="008266A9" w:rsidRPr="00066536">
        <w:rPr>
          <w:rFonts w:cstheme="minorHAnsi"/>
        </w:rPr>
        <w:t>por tratarse de un acuerdo entre operadores mayoristas.</w:t>
      </w:r>
      <w:r w:rsidR="00D80304">
        <w:rPr>
          <w:rFonts w:cstheme="minorHAnsi"/>
        </w:rPr>
        <w:t xml:space="preserve"> En atención de lo cual, se </w:t>
      </w:r>
      <w:r w:rsidR="00F60DA8">
        <w:rPr>
          <w:rFonts w:cstheme="minorHAnsi"/>
        </w:rPr>
        <w:t xml:space="preserve">responde </w:t>
      </w:r>
      <w:r w:rsidR="00D80304">
        <w:rPr>
          <w:rFonts w:cstheme="minorHAnsi"/>
        </w:rPr>
        <w:t xml:space="preserve">que </w:t>
      </w:r>
      <w:r w:rsidR="00F60DA8">
        <w:rPr>
          <w:rFonts w:cstheme="minorHAnsi"/>
        </w:rPr>
        <w:t xml:space="preserve">la Regla en comento aplica para las comercializadoras y que </w:t>
      </w:r>
      <w:r w:rsidR="00D80304">
        <w:rPr>
          <w:rFonts w:cstheme="minorHAnsi"/>
        </w:rPr>
        <w:t xml:space="preserve">el </w:t>
      </w:r>
      <w:r w:rsidR="008266A9" w:rsidRPr="00066536">
        <w:rPr>
          <w:rFonts w:cstheme="minorHAnsi"/>
        </w:rPr>
        <w:t>artículo 177 de la Ley Federal de Telecomunicaciones y Radiodifusión establece los actos sujetos a registro, por lo que la Regla es concordante con la Ley</w:t>
      </w:r>
      <w:r w:rsidR="00F537DA">
        <w:rPr>
          <w:rFonts w:cstheme="minorHAnsi"/>
        </w:rPr>
        <w:t xml:space="preserve"> respecto a las tarifas a usuarios finales.</w:t>
      </w:r>
    </w:p>
    <w:p w14:paraId="5D7CAC4E" w14:textId="12EB091A" w:rsidR="005A764D" w:rsidRDefault="005A764D" w:rsidP="008266A9">
      <w:pPr>
        <w:spacing w:after="0"/>
        <w:jc w:val="both"/>
        <w:rPr>
          <w:rFonts w:cstheme="minorHAnsi"/>
        </w:rPr>
      </w:pPr>
    </w:p>
    <w:p w14:paraId="5DC8E470" w14:textId="77777777" w:rsidR="005A764D" w:rsidRPr="00066536" w:rsidRDefault="005A764D" w:rsidP="008266A9">
      <w:pPr>
        <w:spacing w:after="0"/>
        <w:jc w:val="both"/>
        <w:rPr>
          <w:rFonts w:cstheme="minorHAnsi"/>
        </w:rPr>
      </w:pPr>
    </w:p>
    <w:p w14:paraId="5643944A" w14:textId="4A0D7698" w:rsidR="005A764D" w:rsidRPr="00FA76B0" w:rsidRDefault="005A764D" w:rsidP="005A764D">
      <w:pPr>
        <w:pStyle w:val="Prrafodelista"/>
        <w:numPr>
          <w:ilvl w:val="0"/>
          <w:numId w:val="3"/>
        </w:numPr>
        <w:spacing w:after="0"/>
        <w:jc w:val="both"/>
        <w:rPr>
          <w:rFonts w:cstheme="minorHAnsi"/>
          <w:b/>
        </w:rPr>
      </w:pPr>
      <w:r w:rsidRPr="00FA76B0">
        <w:rPr>
          <w:rFonts w:cstheme="minorHAnsi"/>
          <w:b/>
        </w:rPr>
        <w:t>TEMA: Capítulo 4 – De las estaciones terrenas para transmitir señales satelitales</w:t>
      </w:r>
    </w:p>
    <w:p w14:paraId="608C3735" w14:textId="37C4BE06" w:rsidR="0045432B" w:rsidRPr="00FA76B0" w:rsidRDefault="0045432B" w:rsidP="0045432B">
      <w:pPr>
        <w:spacing w:after="0"/>
        <w:jc w:val="center"/>
        <w:rPr>
          <w:rFonts w:cstheme="minorHAnsi"/>
          <w:b/>
        </w:rPr>
      </w:pPr>
      <w:r w:rsidRPr="00FA76B0">
        <w:rPr>
          <w:rFonts w:cstheme="minorHAnsi"/>
          <w:b/>
        </w:rPr>
        <w:t>Regla 10</w:t>
      </w:r>
    </w:p>
    <w:p w14:paraId="7E2EDAFF" w14:textId="461F2EB4" w:rsidR="0045432B" w:rsidRDefault="0045432B" w:rsidP="0045432B">
      <w:pPr>
        <w:spacing w:after="0"/>
        <w:jc w:val="both"/>
        <w:rPr>
          <w:rFonts w:cstheme="minorHAnsi"/>
        </w:rPr>
      </w:pPr>
    </w:p>
    <w:p w14:paraId="1D638DD4" w14:textId="2CA2626A" w:rsidR="0045432B" w:rsidRPr="00066536" w:rsidRDefault="00EE270D" w:rsidP="0045432B">
      <w:pPr>
        <w:spacing w:after="0"/>
        <w:jc w:val="both"/>
        <w:rPr>
          <w:rFonts w:cstheme="minorHAnsi"/>
        </w:rPr>
      </w:pPr>
      <w:r w:rsidRPr="00EE270D">
        <w:rPr>
          <w:rFonts w:cstheme="minorHAnsi"/>
          <w:b/>
        </w:rPr>
        <w:t>Acotación del grado de modificación de las características técnicas de Estaciones Terrenas Transmisoras.</w:t>
      </w:r>
      <w:r w:rsidRPr="00EE270D">
        <w:rPr>
          <w:rFonts w:cstheme="minorHAnsi"/>
        </w:rPr>
        <w:t xml:space="preserve"> Se recomendó</w:t>
      </w:r>
      <w:r w:rsidR="0045432B" w:rsidRPr="00066536">
        <w:rPr>
          <w:rFonts w:cstheme="minorHAnsi"/>
        </w:rPr>
        <w:t xml:space="preserve"> acotar en qué grado </w:t>
      </w:r>
      <w:r w:rsidR="00CE5224">
        <w:rPr>
          <w:rFonts w:cstheme="minorHAnsi"/>
        </w:rPr>
        <w:t xml:space="preserve">pueden cambiarían </w:t>
      </w:r>
      <w:r w:rsidR="0045432B" w:rsidRPr="00066536">
        <w:rPr>
          <w:rFonts w:cstheme="minorHAnsi"/>
        </w:rPr>
        <w:t xml:space="preserve">las características técnicas citadas en </w:t>
      </w:r>
      <w:r>
        <w:rPr>
          <w:rFonts w:cstheme="minorHAnsi"/>
        </w:rPr>
        <w:t>esta Regla</w:t>
      </w:r>
      <w:r w:rsidR="0045432B" w:rsidRPr="00066536">
        <w:rPr>
          <w:rFonts w:cstheme="minorHAnsi"/>
        </w:rPr>
        <w:t>.</w:t>
      </w:r>
      <w:r w:rsidR="00CE5224">
        <w:rPr>
          <w:rFonts w:cstheme="minorHAnsi"/>
        </w:rPr>
        <w:t xml:space="preserve"> Respecto de lo cual, el Instituto aclaró que las</w:t>
      </w:r>
      <w:r w:rsidR="0045432B" w:rsidRPr="00066536">
        <w:rPr>
          <w:rFonts w:cstheme="minorHAnsi"/>
        </w:rPr>
        <w:t xml:space="preserve"> Autorizaciones de estaciones terrenas cuentan con un Anexo técnico</w:t>
      </w:r>
      <w:r w:rsidR="00CE5224">
        <w:rPr>
          <w:rFonts w:cstheme="minorHAnsi"/>
        </w:rPr>
        <w:t xml:space="preserve"> y que </w:t>
      </w:r>
      <w:r w:rsidR="0045432B" w:rsidRPr="00066536">
        <w:rPr>
          <w:rFonts w:cstheme="minorHAnsi"/>
        </w:rPr>
        <w:t>cualquier variación a dicho Anexo, implicaría una modificación. Por lo que no es necesario "acotar el grado de modificación".</w:t>
      </w:r>
    </w:p>
    <w:p w14:paraId="29F1C13D" w14:textId="77777777" w:rsidR="00EA2485" w:rsidRPr="00066536" w:rsidRDefault="00EA2485" w:rsidP="0045432B">
      <w:pPr>
        <w:spacing w:after="0"/>
        <w:jc w:val="both"/>
        <w:rPr>
          <w:rFonts w:cstheme="minorHAnsi"/>
        </w:rPr>
      </w:pPr>
    </w:p>
    <w:p w14:paraId="7E91907B" w14:textId="3E24E0C6" w:rsidR="004D5CEC" w:rsidRPr="00FA76B0" w:rsidRDefault="004D5CEC" w:rsidP="00FA76B0">
      <w:pPr>
        <w:pStyle w:val="Prrafodelista"/>
        <w:numPr>
          <w:ilvl w:val="0"/>
          <w:numId w:val="3"/>
        </w:numPr>
        <w:spacing w:after="0"/>
        <w:rPr>
          <w:rFonts w:cstheme="minorHAnsi"/>
          <w:b/>
        </w:rPr>
      </w:pPr>
      <w:r w:rsidRPr="00FA76B0">
        <w:rPr>
          <w:rFonts w:cstheme="minorHAnsi"/>
          <w:b/>
        </w:rPr>
        <w:t>TEMA: Capítulo 5 – De los derechos de emisión y recepción de señales y bandas de frecuencias asociadas a sistemas satelitales extranjeros en territorio nacional</w:t>
      </w:r>
    </w:p>
    <w:p w14:paraId="5D5AB68B" w14:textId="5CD36BF6" w:rsidR="006E0F52" w:rsidRPr="00FA76B0" w:rsidRDefault="006E0F52" w:rsidP="00FA76B0">
      <w:pPr>
        <w:spacing w:after="0"/>
        <w:jc w:val="center"/>
        <w:rPr>
          <w:rFonts w:cstheme="minorHAnsi"/>
          <w:b/>
        </w:rPr>
      </w:pPr>
      <w:r w:rsidRPr="00FA76B0">
        <w:rPr>
          <w:rFonts w:cstheme="minorHAnsi"/>
          <w:b/>
        </w:rPr>
        <w:t>Regla 11</w:t>
      </w:r>
      <w:r w:rsidR="00CE5224" w:rsidRPr="00FA76B0">
        <w:rPr>
          <w:rFonts w:cstheme="minorHAnsi"/>
          <w:b/>
        </w:rPr>
        <w:t>, 1</w:t>
      </w:r>
      <w:r w:rsidR="00F35813" w:rsidRPr="00FA76B0">
        <w:rPr>
          <w:rFonts w:cstheme="minorHAnsi"/>
          <w:b/>
        </w:rPr>
        <w:t>o,</w:t>
      </w:r>
      <w:r w:rsidR="00CE5224" w:rsidRPr="00FA76B0">
        <w:rPr>
          <w:rFonts w:cstheme="minorHAnsi"/>
          <w:b/>
        </w:rPr>
        <w:t xml:space="preserve"> 2</w:t>
      </w:r>
      <w:r w:rsidR="002B15E4" w:rsidRPr="00FA76B0">
        <w:rPr>
          <w:rFonts w:cstheme="minorHAnsi"/>
          <w:b/>
        </w:rPr>
        <w:t>º,</w:t>
      </w:r>
      <w:r w:rsidR="00F35813" w:rsidRPr="00FA76B0">
        <w:rPr>
          <w:rFonts w:cstheme="minorHAnsi"/>
          <w:b/>
        </w:rPr>
        <w:t xml:space="preserve"> 3er</w:t>
      </w:r>
      <w:r w:rsidR="002B15E4" w:rsidRPr="00FA76B0">
        <w:rPr>
          <w:rFonts w:cstheme="minorHAnsi"/>
          <w:b/>
        </w:rPr>
        <w:t xml:space="preserve"> y 4o</w:t>
      </w:r>
      <w:r w:rsidR="00F35813" w:rsidRPr="00FA76B0">
        <w:rPr>
          <w:rFonts w:cstheme="minorHAnsi"/>
          <w:b/>
        </w:rPr>
        <w:t xml:space="preserve">, </w:t>
      </w:r>
      <w:r w:rsidR="00CE5224" w:rsidRPr="00FA76B0">
        <w:rPr>
          <w:rFonts w:cstheme="minorHAnsi"/>
          <w:b/>
        </w:rPr>
        <w:t>párrafos</w:t>
      </w:r>
    </w:p>
    <w:p w14:paraId="7C19D28D" w14:textId="77777777" w:rsidR="006E0F52" w:rsidRPr="0098075A" w:rsidRDefault="006E0F52" w:rsidP="006E0F52">
      <w:pPr>
        <w:spacing w:after="0"/>
        <w:jc w:val="both"/>
        <w:rPr>
          <w:rFonts w:cstheme="minorHAnsi"/>
        </w:rPr>
      </w:pPr>
    </w:p>
    <w:p w14:paraId="66E016A6" w14:textId="1C0555DC" w:rsidR="0045432B" w:rsidRDefault="00CE5224" w:rsidP="00F35813">
      <w:pPr>
        <w:spacing w:after="0"/>
        <w:jc w:val="both"/>
        <w:rPr>
          <w:rFonts w:cstheme="minorHAnsi"/>
        </w:rPr>
      </w:pPr>
      <w:r w:rsidRPr="00CE5224">
        <w:rPr>
          <w:rFonts w:cstheme="minorHAnsi"/>
          <w:b/>
        </w:rPr>
        <w:t>Acuerdos de coordinación</w:t>
      </w:r>
      <w:r>
        <w:rPr>
          <w:rFonts w:cstheme="minorHAnsi"/>
          <w:b/>
        </w:rPr>
        <w:t>.</w:t>
      </w:r>
      <w:r w:rsidRPr="00CE5224">
        <w:rPr>
          <w:rFonts w:cstheme="minorHAnsi"/>
        </w:rPr>
        <w:t xml:space="preserve"> Se sugirió </w:t>
      </w:r>
      <w:r w:rsidR="00FA76B0">
        <w:rPr>
          <w:rFonts w:cstheme="minorHAnsi"/>
        </w:rPr>
        <w:t xml:space="preserve">en la consulta pública </w:t>
      </w:r>
      <w:r w:rsidRPr="00CE5224">
        <w:rPr>
          <w:rFonts w:cstheme="minorHAnsi"/>
        </w:rPr>
        <w:t xml:space="preserve">que se regulara sobre los </w:t>
      </w:r>
      <w:r w:rsidR="006E0F52" w:rsidRPr="00CE5224">
        <w:rPr>
          <w:rFonts w:cstheme="minorHAnsi"/>
        </w:rPr>
        <w:t>acuerdos de coordinación celebrados entre los operadores</w:t>
      </w:r>
      <w:r>
        <w:rPr>
          <w:rFonts w:cstheme="minorHAnsi"/>
        </w:rPr>
        <w:t xml:space="preserve">, se eliminara la referencia al </w:t>
      </w:r>
      <w:r w:rsidRPr="00CE5224">
        <w:rPr>
          <w:rFonts w:cstheme="minorHAnsi"/>
        </w:rPr>
        <w:t>procedimiento que llevan a cabo los solicitantes con la Secretaría de Comunicaciones y Transportes (SCT)</w:t>
      </w:r>
      <w:r w:rsidR="00F35813">
        <w:rPr>
          <w:rFonts w:cstheme="minorHAnsi"/>
        </w:rPr>
        <w:t xml:space="preserve"> y se estableciera un plazo de 30 días para resolver por dicha Secretaría</w:t>
      </w:r>
      <w:r>
        <w:rPr>
          <w:rFonts w:cstheme="minorHAnsi"/>
        </w:rPr>
        <w:t xml:space="preserve">. Al respecto, se realizaron los ajustes de redacción, considerando que el </w:t>
      </w:r>
      <w:r w:rsidRPr="00CE5224">
        <w:rPr>
          <w:rFonts w:cstheme="minorHAnsi"/>
        </w:rPr>
        <w:t xml:space="preserve">requisito </w:t>
      </w:r>
      <w:r>
        <w:rPr>
          <w:rFonts w:cstheme="minorHAnsi"/>
        </w:rPr>
        <w:t>únicamente consiste en la</w:t>
      </w:r>
      <w:r w:rsidRPr="00CE5224">
        <w:rPr>
          <w:rFonts w:cstheme="minorHAnsi"/>
        </w:rPr>
        <w:t xml:space="preserve"> opinión favorable </w:t>
      </w:r>
      <w:r w:rsidR="00F35813">
        <w:rPr>
          <w:rFonts w:cstheme="minorHAnsi"/>
        </w:rPr>
        <w:t>de la SCT</w:t>
      </w:r>
      <w:r w:rsidR="00F35813" w:rsidRPr="00FA76B0">
        <w:rPr>
          <w:rFonts w:cstheme="minorHAnsi"/>
        </w:rPr>
        <w:t xml:space="preserve">, </w:t>
      </w:r>
      <w:r w:rsidR="00FA76B0">
        <w:rPr>
          <w:rFonts w:cstheme="minorHAnsi"/>
        </w:rPr>
        <w:t xml:space="preserve">y </w:t>
      </w:r>
      <w:r w:rsidR="00755234" w:rsidRPr="00FA76B0">
        <w:rPr>
          <w:rFonts w:cstheme="minorHAnsi"/>
        </w:rPr>
        <w:t xml:space="preserve">se </w:t>
      </w:r>
      <w:r w:rsidR="00FA76B0">
        <w:rPr>
          <w:rFonts w:cstheme="minorHAnsi"/>
        </w:rPr>
        <w:t>indicó</w:t>
      </w:r>
      <w:r w:rsidR="00F35813">
        <w:rPr>
          <w:rFonts w:cstheme="minorHAnsi"/>
        </w:rPr>
        <w:t xml:space="preserve"> que el Instituto no tiene facultades para imponer plazos de respuesta a dicha Secretaría.</w:t>
      </w:r>
    </w:p>
    <w:p w14:paraId="5784C252" w14:textId="3DBF9FEF" w:rsidR="00F35813" w:rsidRDefault="00F35813" w:rsidP="00F35813">
      <w:pPr>
        <w:spacing w:after="0"/>
        <w:jc w:val="both"/>
        <w:rPr>
          <w:rFonts w:cstheme="minorHAnsi"/>
        </w:rPr>
      </w:pPr>
    </w:p>
    <w:p w14:paraId="18A26446" w14:textId="2CAF5980" w:rsidR="00A27534" w:rsidRPr="00A27534" w:rsidRDefault="00A27534" w:rsidP="00A27534">
      <w:pPr>
        <w:spacing w:after="0"/>
        <w:jc w:val="both"/>
        <w:rPr>
          <w:rFonts w:cstheme="minorHAnsi"/>
        </w:rPr>
      </w:pPr>
      <w:r>
        <w:rPr>
          <w:rFonts w:cstheme="minorHAnsi"/>
        </w:rPr>
        <w:t xml:space="preserve">Por otra parte, se planteó que la Regla 11, no contenga el requisito relativo a que </w:t>
      </w:r>
      <w:r w:rsidRPr="00A27534">
        <w:rPr>
          <w:rFonts w:cstheme="minorHAnsi"/>
        </w:rPr>
        <w:t xml:space="preserve">el expediente mediante el cual se ampare la operación del sistema satelital extranjero señalado en el </w:t>
      </w:r>
      <w:r>
        <w:rPr>
          <w:rFonts w:cstheme="minorHAnsi"/>
        </w:rPr>
        <w:t xml:space="preserve">respectivo </w:t>
      </w:r>
      <w:r w:rsidRPr="00A27534">
        <w:rPr>
          <w:rFonts w:cstheme="minorHAnsi"/>
        </w:rPr>
        <w:t>Formato</w:t>
      </w:r>
      <w:r>
        <w:rPr>
          <w:rFonts w:cstheme="minorHAnsi"/>
        </w:rPr>
        <w:t>,</w:t>
      </w:r>
      <w:r w:rsidRPr="00A27534">
        <w:rPr>
          <w:rFonts w:cstheme="minorHAnsi"/>
        </w:rPr>
        <w:t xml:space="preserve"> se encuentre al menos en etapa de coordinación</w:t>
      </w:r>
      <w:r>
        <w:rPr>
          <w:rFonts w:cstheme="minorHAnsi"/>
        </w:rPr>
        <w:t xml:space="preserve">, tomando en cuenta </w:t>
      </w:r>
      <w:r w:rsidRPr="00A27534">
        <w:rPr>
          <w:rFonts w:cstheme="minorHAnsi"/>
        </w:rPr>
        <w:t xml:space="preserve">casos en que resulte aplicable el concepto de arco de coordinación como criterio técnico para determinar la necesidad de la coordinación respecto a otro sistema satelital y siempre que no existan posiciones orbitales mexicanas dentro del arco asociado a la posición correspondiente, </w:t>
      </w:r>
      <w:r>
        <w:rPr>
          <w:rFonts w:cstheme="minorHAnsi"/>
        </w:rPr>
        <w:t xml:space="preserve">en los que se argumentó </w:t>
      </w:r>
      <w:r w:rsidRPr="00A27534">
        <w:rPr>
          <w:rFonts w:cstheme="minorHAnsi"/>
        </w:rPr>
        <w:t>no sería necesario encontrarse en etapa de coordinación, siendo suficiente la presentación de la solicitud ante la UIT</w:t>
      </w:r>
      <w:r>
        <w:rPr>
          <w:rFonts w:cstheme="minorHAnsi"/>
        </w:rPr>
        <w:t xml:space="preserve">, cuya </w:t>
      </w:r>
      <w:r w:rsidRPr="00A27534">
        <w:rPr>
          <w:rFonts w:cstheme="minorHAnsi"/>
        </w:rPr>
        <w:t>respuesta y publicación en la BR IFIC correspondiente, se ha incrementado recientemente, lo que retrasaría innecesariamente los procedimientos de solicitud de autorizaciones para la operación de sistemas satelitales extranjeros ante el I</w:t>
      </w:r>
      <w:r>
        <w:rPr>
          <w:rFonts w:cstheme="minorHAnsi"/>
        </w:rPr>
        <w:t xml:space="preserve">nstituto, y que </w:t>
      </w:r>
      <w:r>
        <w:rPr>
          <w:rFonts w:cstheme="minorHAnsi"/>
        </w:rPr>
        <w:lastRenderedPageBreak/>
        <w:t xml:space="preserve">únicamente aplique para </w:t>
      </w:r>
      <w:r w:rsidRPr="00A27534">
        <w:rPr>
          <w:rFonts w:cstheme="minorHAnsi"/>
        </w:rPr>
        <w:t>casos en que exista una potencial afectación a las redes satelitales o terrestres nacionales.</w:t>
      </w:r>
    </w:p>
    <w:p w14:paraId="27E16932" w14:textId="77777777" w:rsidR="00A27534" w:rsidRDefault="00A27534" w:rsidP="00A27534">
      <w:pPr>
        <w:spacing w:after="0"/>
        <w:jc w:val="both"/>
        <w:rPr>
          <w:rFonts w:cstheme="minorHAnsi"/>
        </w:rPr>
      </w:pPr>
    </w:p>
    <w:p w14:paraId="28ED9BD6" w14:textId="329C89AA" w:rsidR="00A27534" w:rsidRPr="00A27534" w:rsidRDefault="00A27534" w:rsidP="00A27534">
      <w:pPr>
        <w:spacing w:after="0"/>
        <w:jc w:val="both"/>
        <w:rPr>
          <w:rFonts w:cstheme="minorHAnsi"/>
        </w:rPr>
      </w:pPr>
      <w:r w:rsidRPr="00A27534">
        <w:rPr>
          <w:rFonts w:cstheme="minorHAnsi"/>
        </w:rPr>
        <w:t>De igual forma, se co</w:t>
      </w:r>
      <w:r>
        <w:rPr>
          <w:rFonts w:cstheme="minorHAnsi"/>
        </w:rPr>
        <w:t>mentó</w:t>
      </w:r>
      <w:r w:rsidRPr="00A27534">
        <w:rPr>
          <w:rFonts w:cstheme="minorHAnsi"/>
        </w:rPr>
        <w:t xml:space="preserve"> </w:t>
      </w:r>
      <w:r w:rsidR="00FA76B0">
        <w:rPr>
          <w:rFonts w:cstheme="minorHAnsi"/>
        </w:rPr>
        <w:t xml:space="preserve">en la consulta pública </w:t>
      </w:r>
      <w:r w:rsidRPr="00A27534">
        <w:rPr>
          <w:rFonts w:cstheme="minorHAnsi"/>
        </w:rPr>
        <w:t>que el requisito consistente</w:t>
      </w:r>
      <w:r w:rsidR="00FA76B0">
        <w:rPr>
          <w:rFonts w:cstheme="minorHAnsi"/>
        </w:rPr>
        <w:t xml:space="preserve"> en</w:t>
      </w:r>
      <w:r w:rsidRPr="00A27534">
        <w:rPr>
          <w:rFonts w:cstheme="minorHAnsi"/>
        </w:rPr>
        <w:t xml:space="preserve"> “contemplar en su área de servicio la totalidad o parte del territorio nacional” resulta innecesario, pudiendo referirse únicamente al área de cobertura del sistema satelital de referencia, toda vez</w:t>
      </w:r>
      <w:r w:rsidR="006C7035">
        <w:rPr>
          <w:rFonts w:cstheme="minorHAnsi"/>
        </w:rPr>
        <w:t>,</w:t>
      </w:r>
      <w:r w:rsidRPr="00A27534">
        <w:rPr>
          <w:rFonts w:cstheme="minorHAnsi"/>
        </w:rPr>
        <w:t xml:space="preserve"> que esto se ajusta a la práctica internacional que se lleva a cabo en la UIT </w:t>
      </w:r>
      <w:r>
        <w:rPr>
          <w:rFonts w:cstheme="minorHAnsi"/>
        </w:rPr>
        <w:t>en e</w:t>
      </w:r>
      <w:r w:rsidRPr="00A27534">
        <w:rPr>
          <w:rFonts w:cstheme="minorHAnsi"/>
        </w:rPr>
        <w:t>l registro de posiciones orbitales.</w:t>
      </w:r>
    </w:p>
    <w:p w14:paraId="75FF3751" w14:textId="77777777" w:rsidR="006C7035" w:rsidRPr="00A27534" w:rsidRDefault="006C7035" w:rsidP="00A27534">
      <w:pPr>
        <w:spacing w:after="0"/>
        <w:jc w:val="both"/>
        <w:rPr>
          <w:rFonts w:cstheme="minorHAnsi"/>
        </w:rPr>
      </w:pPr>
    </w:p>
    <w:p w14:paraId="48322D27" w14:textId="6F346817" w:rsidR="00A27534" w:rsidRDefault="0010294A" w:rsidP="00A27534">
      <w:pPr>
        <w:spacing w:after="0"/>
        <w:jc w:val="both"/>
        <w:rPr>
          <w:rFonts w:cstheme="minorHAnsi"/>
        </w:rPr>
      </w:pPr>
      <w:r>
        <w:rPr>
          <w:rFonts w:cstheme="minorHAnsi"/>
        </w:rPr>
        <w:t>Al respecto, el Instituto señaló que l</w:t>
      </w:r>
      <w:r w:rsidR="00A27534" w:rsidRPr="00A27534">
        <w:rPr>
          <w:rFonts w:cstheme="minorHAnsi"/>
        </w:rPr>
        <w:t xml:space="preserve">os procedimientos de publicación anticipada, coordinación y notificación de redes satelitales ante UIT ya están establecidos en el RR, Apéndices 9, 11, 30, 30 A y 30B. </w:t>
      </w:r>
      <w:r w:rsidR="00755234" w:rsidRPr="00FA76B0">
        <w:rPr>
          <w:rFonts w:cstheme="minorHAnsi"/>
        </w:rPr>
        <w:t>y</w:t>
      </w:r>
      <w:r w:rsidRPr="00FA76B0">
        <w:rPr>
          <w:rFonts w:cstheme="minorHAnsi"/>
        </w:rPr>
        <w:t xml:space="preserve"> que un</w:t>
      </w:r>
      <w:r w:rsidR="00A27534" w:rsidRPr="00FA76B0">
        <w:rPr>
          <w:rFonts w:cstheme="minorHAnsi"/>
        </w:rPr>
        <w:t xml:space="preserve"> satélite en operación</w:t>
      </w:r>
      <w:r w:rsidRPr="00FA76B0">
        <w:rPr>
          <w:rFonts w:cstheme="minorHAnsi"/>
        </w:rPr>
        <w:t>,</w:t>
      </w:r>
      <w:r w:rsidR="00A27534" w:rsidRPr="00FA76B0">
        <w:rPr>
          <w:rFonts w:cstheme="minorHAnsi"/>
        </w:rPr>
        <w:t xml:space="preserve"> por lo meno</w:t>
      </w:r>
      <w:r w:rsidR="00755234" w:rsidRPr="00FA76B0">
        <w:rPr>
          <w:rFonts w:cstheme="minorHAnsi"/>
        </w:rPr>
        <w:t xml:space="preserve">s debe de estar ya coordinado o en su caso </w:t>
      </w:r>
      <w:r w:rsidR="00A27534" w:rsidRPr="00FA76B0">
        <w:rPr>
          <w:rFonts w:cstheme="minorHAnsi"/>
        </w:rPr>
        <w:t>su expediente en la etapa de notificación</w:t>
      </w:r>
      <w:r w:rsidR="00A27534" w:rsidRPr="00A27534">
        <w:rPr>
          <w:rFonts w:cstheme="minorHAnsi"/>
        </w:rPr>
        <w:t xml:space="preserve">, por lo que solicitar el expediente en etapa de coordinación demuestra que es un satélite pronto a operar o en operación. En cuanto al comentario que refiere contemplar en su área de servicio el territorio nacional o parte de este, es importante </w:t>
      </w:r>
      <w:r>
        <w:rPr>
          <w:rFonts w:cstheme="minorHAnsi"/>
        </w:rPr>
        <w:t>mantenerlo, puesto que de no ser así</w:t>
      </w:r>
      <w:r w:rsidR="00A27534" w:rsidRPr="00A27534">
        <w:rPr>
          <w:rFonts w:cstheme="minorHAnsi"/>
        </w:rPr>
        <w:t xml:space="preserve"> los estudios de no interferencia de UIT no contemplarían la operación en donde no se</w:t>
      </w:r>
      <w:r>
        <w:rPr>
          <w:rFonts w:cstheme="minorHAnsi"/>
        </w:rPr>
        <w:t xml:space="preserve"> precise </w:t>
      </w:r>
      <w:r w:rsidR="002B15E4">
        <w:rPr>
          <w:rFonts w:cstheme="minorHAnsi"/>
        </w:rPr>
        <w:t>el área de servicio,</w:t>
      </w:r>
      <w:r w:rsidR="00A27534" w:rsidRPr="00A27534">
        <w:rPr>
          <w:rFonts w:cstheme="minorHAnsi"/>
        </w:rPr>
        <w:t xml:space="preserve"> por otro lado</w:t>
      </w:r>
      <w:r w:rsidR="002B15E4">
        <w:rPr>
          <w:rFonts w:cstheme="minorHAnsi"/>
        </w:rPr>
        <w:t>,</w:t>
      </w:r>
      <w:r w:rsidR="00A27534" w:rsidRPr="00A27534">
        <w:rPr>
          <w:rFonts w:cstheme="minorHAnsi"/>
        </w:rPr>
        <w:t xml:space="preserve"> se entendería que el satélite solo fue diseñado para operar en el área de servicio reportada ante UIT.</w:t>
      </w:r>
      <w:r w:rsidR="002B15E4">
        <w:rPr>
          <w:rFonts w:cstheme="minorHAnsi"/>
        </w:rPr>
        <w:t xml:space="preserve"> Asimismo, mediante las modificaciones del </w:t>
      </w:r>
      <w:r w:rsidR="00A27534" w:rsidRPr="00A27534">
        <w:rPr>
          <w:rFonts w:cstheme="minorHAnsi"/>
        </w:rPr>
        <w:t xml:space="preserve">tercer párrafo de la Regla 11, </w:t>
      </w:r>
      <w:r w:rsidR="002B15E4">
        <w:rPr>
          <w:rFonts w:cstheme="minorHAnsi"/>
        </w:rPr>
        <w:t xml:space="preserve">el Instituto estima que con mayor </w:t>
      </w:r>
      <w:r w:rsidR="00A27534" w:rsidRPr="00A27534">
        <w:rPr>
          <w:rFonts w:cstheme="minorHAnsi"/>
        </w:rPr>
        <w:t>informa</w:t>
      </w:r>
      <w:r w:rsidR="002B15E4">
        <w:rPr>
          <w:rFonts w:cstheme="minorHAnsi"/>
        </w:rPr>
        <w:t>ción al</w:t>
      </w:r>
      <w:r w:rsidR="00A27534" w:rsidRPr="00A27534">
        <w:rPr>
          <w:rFonts w:cstheme="minorHAnsi"/>
        </w:rPr>
        <w:t xml:space="preserve"> solicitante </w:t>
      </w:r>
      <w:r w:rsidR="002B15E4">
        <w:rPr>
          <w:rFonts w:cstheme="minorHAnsi"/>
        </w:rPr>
        <w:t>se realizará una</w:t>
      </w:r>
      <w:r w:rsidR="00A27534" w:rsidRPr="00A27534">
        <w:rPr>
          <w:rFonts w:cstheme="minorHAnsi"/>
        </w:rPr>
        <w:t xml:space="preserve"> adecuada integración de su solicitud y facilitar </w:t>
      </w:r>
      <w:r w:rsidR="002B15E4">
        <w:rPr>
          <w:rFonts w:cstheme="minorHAnsi"/>
        </w:rPr>
        <w:t xml:space="preserve">con esto </w:t>
      </w:r>
      <w:r w:rsidR="00A27534" w:rsidRPr="00A27534">
        <w:rPr>
          <w:rFonts w:cstheme="minorHAnsi"/>
        </w:rPr>
        <w:t>la aprobación de coordinación de la SCT.</w:t>
      </w:r>
    </w:p>
    <w:p w14:paraId="63641201" w14:textId="1113AC5F" w:rsidR="00A27534" w:rsidRDefault="00A27534" w:rsidP="00F35813">
      <w:pPr>
        <w:spacing w:after="0"/>
        <w:jc w:val="both"/>
        <w:rPr>
          <w:rFonts w:cstheme="minorHAnsi"/>
        </w:rPr>
      </w:pPr>
    </w:p>
    <w:p w14:paraId="0D00F9B4" w14:textId="6955D672" w:rsidR="0045432B" w:rsidRDefault="00F35813" w:rsidP="0045432B">
      <w:pPr>
        <w:spacing w:after="0"/>
        <w:jc w:val="both"/>
        <w:rPr>
          <w:rFonts w:cstheme="minorHAnsi"/>
        </w:rPr>
      </w:pPr>
      <w:r w:rsidRPr="00F35813">
        <w:rPr>
          <w:rFonts w:cstheme="minorHAnsi"/>
          <w:b/>
        </w:rPr>
        <w:t>Satélites extranjeros.</w:t>
      </w:r>
      <w:r>
        <w:rPr>
          <w:rFonts w:cstheme="minorHAnsi"/>
          <w:b/>
        </w:rPr>
        <w:t xml:space="preserve"> </w:t>
      </w:r>
      <w:r>
        <w:rPr>
          <w:rFonts w:cstheme="minorHAnsi"/>
        </w:rPr>
        <w:t xml:space="preserve">Por cuanto a la inclusión del supuesto sobre los </w:t>
      </w:r>
      <w:r w:rsidR="0045432B" w:rsidRPr="00066536">
        <w:rPr>
          <w:rFonts w:cstheme="minorHAnsi"/>
        </w:rPr>
        <w:t>Autorizados para explotar los derechos de emisión y recepción de señales de bandas de frecuencias asociadas a sistemas satelitales extranjeros que cubran y puedan prestar servicios en el territorio nacional, que pretendan prestar servicios públicos de interés general de telecomunicaciones y/o radiodifusión a usuarios finales lo podrán realizar mediante la obtención de una Concesión Única o una Autorización para establecer, operar y explotar una Comercializadora de servicios de telecomunicaciones.</w:t>
      </w:r>
    </w:p>
    <w:p w14:paraId="690450DA" w14:textId="77777777" w:rsidR="00F35813" w:rsidRPr="00066536" w:rsidRDefault="00F35813" w:rsidP="0045432B">
      <w:pPr>
        <w:spacing w:after="0"/>
        <w:jc w:val="both"/>
        <w:rPr>
          <w:rFonts w:cstheme="minorHAnsi"/>
        </w:rPr>
      </w:pPr>
    </w:p>
    <w:p w14:paraId="797831BF" w14:textId="5657AA1B" w:rsidR="0045432B" w:rsidRPr="00066536" w:rsidRDefault="00F35813" w:rsidP="0045432B">
      <w:pPr>
        <w:spacing w:after="0"/>
        <w:jc w:val="both"/>
        <w:rPr>
          <w:rFonts w:cstheme="minorHAnsi"/>
        </w:rPr>
      </w:pPr>
      <w:r>
        <w:rPr>
          <w:rFonts w:cstheme="minorHAnsi"/>
        </w:rPr>
        <w:t xml:space="preserve">Los comentarios </w:t>
      </w:r>
      <w:r w:rsidR="009B5550">
        <w:rPr>
          <w:rFonts w:cstheme="minorHAnsi"/>
        </w:rPr>
        <w:t xml:space="preserve">de la consulta pública </w:t>
      </w:r>
      <w:r>
        <w:rPr>
          <w:rFonts w:cstheme="minorHAnsi"/>
        </w:rPr>
        <w:t xml:space="preserve">en general, son coincidentes al considerar que con la modificación de las Reglas de carácter general, se armoniza el marco regulatorio en concordancia con </w:t>
      </w:r>
      <w:r w:rsidR="0045432B" w:rsidRPr="00066536">
        <w:rPr>
          <w:rFonts w:cstheme="minorHAnsi"/>
        </w:rPr>
        <w:t>la Ley Federal de Telecomunicaciones y Radiodifusión</w:t>
      </w:r>
      <w:r>
        <w:rPr>
          <w:rFonts w:cstheme="minorHAnsi"/>
        </w:rPr>
        <w:t xml:space="preserve">, eliminando </w:t>
      </w:r>
      <w:r w:rsidR="0045432B" w:rsidRPr="00066536">
        <w:rPr>
          <w:rFonts w:cstheme="minorHAnsi"/>
        </w:rPr>
        <w:t xml:space="preserve">el trato discriminatorio </w:t>
      </w:r>
      <w:r>
        <w:rPr>
          <w:rFonts w:cstheme="minorHAnsi"/>
        </w:rPr>
        <w:t xml:space="preserve">entre los </w:t>
      </w:r>
      <w:r w:rsidR="0045432B" w:rsidRPr="00066536">
        <w:rPr>
          <w:rFonts w:cstheme="minorHAnsi"/>
        </w:rPr>
        <w:t>regulados</w:t>
      </w:r>
      <w:r w:rsidR="00F537DA">
        <w:rPr>
          <w:rFonts w:cstheme="minorHAnsi"/>
        </w:rPr>
        <w:t xml:space="preserve"> del sector satelital</w:t>
      </w:r>
      <w:r w:rsidR="00A27534">
        <w:rPr>
          <w:rFonts w:cstheme="minorHAnsi"/>
        </w:rPr>
        <w:t>,</w:t>
      </w:r>
      <w:r w:rsidR="0045432B" w:rsidRPr="00066536">
        <w:rPr>
          <w:rFonts w:cstheme="minorHAnsi"/>
        </w:rPr>
        <w:t xml:space="preserve"> al </w:t>
      </w:r>
      <w:r>
        <w:rPr>
          <w:rFonts w:cstheme="minorHAnsi"/>
        </w:rPr>
        <w:t xml:space="preserve">aplicar </w:t>
      </w:r>
      <w:r w:rsidR="0045432B" w:rsidRPr="00066536">
        <w:rPr>
          <w:rFonts w:cstheme="minorHAnsi"/>
        </w:rPr>
        <w:t xml:space="preserve">un mismo marco </w:t>
      </w:r>
      <w:r w:rsidR="00A27534">
        <w:rPr>
          <w:rFonts w:cstheme="minorHAnsi"/>
        </w:rPr>
        <w:t>jurídico,</w:t>
      </w:r>
      <w:r w:rsidR="0045432B" w:rsidRPr="00066536">
        <w:rPr>
          <w:rFonts w:cstheme="minorHAnsi"/>
        </w:rPr>
        <w:t xml:space="preserve"> considerando la existencia de disposiciones administrativas emitidas con anterioridad a la reforma en materia de telecomunicaciones del 2013, que imponen limitantes a operadores satelitales</w:t>
      </w:r>
      <w:r w:rsidR="00302307">
        <w:rPr>
          <w:rFonts w:cstheme="minorHAnsi"/>
        </w:rPr>
        <w:t>,</w:t>
      </w:r>
      <w:r w:rsidR="0045432B" w:rsidRPr="00066536">
        <w:rPr>
          <w:rFonts w:cstheme="minorHAnsi"/>
        </w:rPr>
        <w:t xml:space="preserve"> al uso eficiente de la infraestructu</w:t>
      </w:r>
      <w:r>
        <w:rPr>
          <w:rFonts w:cstheme="minorHAnsi"/>
        </w:rPr>
        <w:t>ra y al recurso orbita/espectro, afectando con ello la competencia en el sector.</w:t>
      </w:r>
    </w:p>
    <w:p w14:paraId="758774F2" w14:textId="3A8F01E6" w:rsidR="008266A9" w:rsidRDefault="008266A9" w:rsidP="000267F5">
      <w:pPr>
        <w:spacing w:after="0"/>
        <w:jc w:val="both"/>
        <w:rPr>
          <w:rFonts w:cstheme="minorHAnsi"/>
        </w:rPr>
      </w:pPr>
    </w:p>
    <w:p w14:paraId="76B61AF0" w14:textId="0A772D8D" w:rsidR="0045432B" w:rsidRPr="00066536" w:rsidRDefault="002B15E4" w:rsidP="0045432B">
      <w:pPr>
        <w:spacing w:after="0"/>
        <w:jc w:val="both"/>
        <w:rPr>
          <w:rFonts w:cstheme="minorHAnsi"/>
        </w:rPr>
      </w:pPr>
      <w:r>
        <w:rPr>
          <w:rFonts w:cstheme="minorHAnsi"/>
        </w:rPr>
        <w:t>Asimismo, se recomendó</w:t>
      </w:r>
      <w:r w:rsidR="00901A85">
        <w:rPr>
          <w:rFonts w:cstheme="minorHAnsi"/>
        </w:rPr>
        <w:t xml:space="preserve"> </w:t>
      </w:r>
      <w:r w:rsidR="009B5550">
        <w:rPr>
          <w:rFonts w:cstheme="minorHAnsi"/>
        </w:rPr>
        <w:t xml:space="preserve">en la consulta pública </w:t>
      </w:r>
      <w:r w:rsidR="00901A85">
        <w:rPr>
          <w:rFonts w:cstheme="minorHAnsi"/>
        </w:rPr>
        <w:t xml:space="preserve">por parte de alguno de los interesados </w:t>
      </w:r>
      <w:r>
        <w:rPr>
          <w:rFonts w:cstheme="minorHAnsi"/>
        </w:rPr>
        <w:t xml:space="preserve">que la redacción del 4º párrafo de la Regla 11, considere a los </w:t>
      </w:r>
      <w:r w:rsidR="00512A76" w:rsidRPr="00066536">
        <w:rPr>
          <w:rFonts w:cstheme="minorHAnsi"/>
        </w:rPr>
        <w:t xml:space="preserve">autorizados </w:t>
      </w:r>
      <w:r>
        <w:rPr>
          <w:rFonts w:cstheme="minorHAnsi"/>
        </w:rPr>
        <w:t xml:space="preserve">de éste tipo, </w:t>
      </w:r>
      <w:r w:rsidR="00512A76" w:rsidRPr="00066536">
        <w:rPr>
          <w:rFonts w:cstheme="minorHAnsi"/>
        </w:rPr>
        <w:t xml:space="preserve">que pretendan prestar servicios de telecomunicaciones no a usuarios finales, sino a otros concesionarios o autorizados, </w:t>
      </w:r>
      <w:r>
        <w:rPr>
          <w:rFonts w:cstheme="minorHAnsi"/>
        </w:rPr>
        <w:t>a fin de no limitar el</w:t>
      </w:r>
      <w:r w:rsidR="00512A76" w:rsidRPr="00066536">
        <w:rPr>
          <w:rFonts w:cstheme="minorHAnsi"/>
        </w:rPr>
        <w:t xml:space="preserve"> derecho a obtener una concesión única o una autorización de comercializadora para prestar servicios a otros usuarios distintos a los usuarios finales (concesionario y autorizados)</w:t>
      </w:r>
      <w:r>
        <w:rPr>
          <w:rFonts w:cstheme="minorHAnsi"/>
        </w:rPr>
        <w:t>.</w:t>
      </w:r>
      <w:r w:rsidR="00901A85">
        <w:rPr>
          <w:rFonts w:cstheme="minorHAnsi"/>
        </w:rPr>
        <w:t xml:space="preserve"> Sobre el particular, el Instituto señaló que este tema se encuentra previsto en los </w:t>
      </w:r>
      <w:r w:rsidR="00512A76" w:rsidRPr="00066536">
        <w:rPr>
          <w:rFonts w:cstheme="minorHAnsi"/>
        </w:rPr>
        <w:t>T</w:t>
      </w:r>
      <w:r w:rsidR="00CF70AB" w:rsidRPr="00066536">
        <w:rPr>
          <w:rFonts w:cstheme="minorHAnsi"/>
        </w:rPr>
        <w:t>í</w:t>
      </w:r>
      <w:r w:rsidR="00512A76" w:rsidRPr="00066536">
        <w:rPr>
          <w:rFonts w:cstheme="minorHAnsi"/>
        </w:rPr>
        <w:t>tulo</w:t>
      </w:r>
      <w:r w:rsidR="00901A85">
        <w:rPr>
          <w:rFonts w:cstheme="minorHAnsi"/>
        </w:rPr>
        <w:t>s</w:t>
      </w:r>
      <w:r w:rsidR="00512A76" w:rsidRPr="00066536">
        <w:rPr>
          <w:rFonts w:cstheme="minorHAnsi"/>
        </w:rPr>
        <w:t xml:space="preserve"> de Autorización </w:t>
      </w:r>
      <w:r w:rsidR="00901A85">
        <w:rPr>
          <w:rFonts w:cstheme="minorHAnsi"/>
        </w:rPr>
        <w:t>respectivos, pero que se modificaría el texto en ese sentido</w:t>
      </w:r>
      <w:r w:rsidR="007A681D">
        <w:rPr>
          <w:rFonts w:cstheme="minorHAnsi"/>
        </w:rPr>
        <w:t xml:space="preserve">, haciendo referencia también al término </w:t>
      </w:r>
      <w:r w:rsidR="0045432B" w:rsidRPr="00066536">
        <w:rPr>
          <w:rFonts w:cstheme="minorHAnsi"/>
        </w:rPr>
        <w:t>“servicio público de telecomunicaciones y radiodifusión”</w:t>
      </w:r>
      <w:r w:rsidR="009B5550">
        <w:rPr>
          <w:rFonts w:cstheme="minorHAnsi"/>
        </w:rPr>
        <w:t xml:space="preserve"> y qu</w:t>
      </w:r>
      <w:r w:rsidR="00F537DA">
        <w:rPr>
          <w:rFonts w:cstheme="minorHAnsi"/>
        </w:rPr>
        <w:t>é</w:t>
      </w:r>
      <w:r w:rsidR="009B5550">
        <w:rPr>
          <w:rFonts w:cstheme="minorHAnsi"/>
        </w:rPr>
        <w:t xml:space="preserve"> </w:t>
      </w:r>
      <w:r w:rsidR="00F537DA">
        <w:rPr>
          <w:rFonts w:cstheme="minorHAnsi"/>
        </w:rPr>
        <w:t xml:space="preserve">tratándose de </w:t>
      </w:r>
      <w:r w:rsidR="009B5550">
        <w:rPr>
          <w:rFonts w:cstheme="minorHAnsi"/>
        </w:rPr>
        <w:t>comercializadoras</w:t>
      </w:r>
      <w:r w:rsidR="00F537DA">
        <w:rPr>
          <w:rFonts w:cstheme="minorHAnsi"/>
        </w:rPr>
        <w:t xml:space="preserve">, éstas </w:t>
      </w:r>
      <w:r w:rsidR="009B5550">
        <w:rPr>
          <w:rFonts w:cstheme="minorHAnsi"/>
        </w:rPr>
        <w:t>deben atender lo previsto en el artículo 3, fracción XI</w:t>
      </w:r>
      <w:r w:rsidR="00F537DA">
        <w:rPr>
          <w:rFonts w:cstheme="minorHAnsi"/>
        </w:rPr>
        <w:t>,</w:t>
      </w:r>
      <w:r w:rsidR="009B5550">
        <w:rPr>
          <w:rFonts w:cstheme="minorHAnsi"/>
        </w:rPr>
        <w:t xml:space="preserve"> </w:t>
      </w:r>
      <w:r w:rsidR="009B5550">
        <w:rPr>
          <w:rFonts w:cstheme="minorHAnsi"/>
        </w:rPr>
        <w:lastRenderedPageBreak/>
        <w:t>de la Ley</w:t>
      </w:r>
      <w:r w:rsidR="002F75C9">
        <w:rPr>
          <w:rFonts w:cstheme="minorHAnsi"/>
        </w:rPr>
        <w:t xml:space="preserve"> Federal de Telecomunicaciones y Radiodifusión</w:t>
      </w:r>
      <w:r w:rsidR="009B5550">
        <w:rPr>
          <w:rFonts w:cstheme="minorHAnsi"/>
        </w:rPr>
        <w:t xml:space="preserve">, por lo que hace a </w:t>
      </w:r>
      <w:r w:rsidR="002F75C9">
        <w:rPr>
          <w:rFonts w:cstheme="minorHAnsi"/>
        </w:rPr>
        <w:t>los</w:t>
      </w:r>
      <w:r w:rsidR="009B5550">
        <w:rPr>
          <w:rFonts w:cstheme="minorHAnsi"/>
        </w:rPr>
        <w:t xml:space="preserve"> servicios a usuarios finales</w:t>
      </w:r>
      <w:r w:rsidR="007A681D">
        <w:rPr>
          <w:rFonts w:cstheme="minorHAnsi"/>
        </w:rPr>
        <w:t>.</w:t>
      </w:r>
    </w:p>
    <w:p w14:paraId="259438F4" w14:textId="77777777" w:rsidR="00063819" w:rsidRPr="00066536" w:rsidRDefault="00063819" w:rsidP="000603C3">
      <w:pPr>
        <w:spacing w:after="0"/>
        <w:jc w:val="both"/>
        <w:rPr>
          <w:rFonts w:cstheme="minorHAnsi"/>
        </w:rPr>
      </w:pPr>
    </w:p>
    <w:p w14:paraId="6591A2D2" w14:textId="77777777" w:rsidR="006E0F52" w:rsidRPr="00A445B1" w:rsidRDefault="006E0F52" w:rsidP="006E0F52">
      <w:pPr>
        <w:spacing w:after="0"/>
        <w:jc w:val="center"/>
        <w:rPr>
          <w:rFonts w:cstheme="minorHAnsi"/>
          <w:b/>
        </w:rPr>
      </w:pPr>
      <w:r w:rsidRPr="00A445B1">
        <w:rPr>
          <w:rFonts w:cstheme="minorHAnsi"/>
          <w:b/>
        </w:rPr>
        <w:t>Regla 12</w:t>
      </w:r>
    </w:p>
    <w:p w14:paraId="7F247557" w14:textId="77777777" w:rsidR="00361ED3" w:rsidRPr="00A445B1" w:rsidRDefault="00361ED3" w:rsidP="006E0F52">
      <w:pPr>
        <w:spacing w:after="0"/>
        <w:jc w:val="both"/>
        <w:rPr>
          <w:rFonts w:cstheme="minorHAnsi"/>
        </w:rPr>
      </w:pPr>
    </w:p>
    <w:p w14:paraId="6DE12693" w14:textId="7B9430E3" w:rsidR="006E0F52" w:rsidRPr="00066536" w:rsidRDefault="00251A88" w:rsidP="006E0F52">
      <w:pPr>
        <w:spacing w:after="0"/>
        <w:jc w:val="both"/>
        <w:rPr>
          <w:rFonts w:cstheme="minorHAnsi"/>
        </w:rPr>
      </w:pPr>
      <w:r w:rsidRPr="00945F28">
        <w:rPr>
          <w:rFonts w:cstheme="minorHAnsi"/>
          <w:b/>
        </w:rPr>
        <w:t>Modificaciones.</w:t>
      </w:r>
      <w:r>
        <w:rPr>
          <w:rFonts w:cstheme="minorHAnsi"/>
        </w:rPr>
        <w:t xml:space="preserve"> </w:t>
      </w:r>
      <w:r w:rsidR="00945F28">
        <w:rPr>
          <w:rFonts w:cstheme="minorHAnsi"/>
        </w:rPr>
        <w:t>En la r</w:t>
      </w:r>
      <w:r>
        <w:rPr>
          <w:rFonts w:cstheme="minorHAnsi"/>
        </w:rPr>
        <w:t>eubicación, adiciones, o reemplazos de satélites con características distintas a las autorizadas</w:t>
      </w:r>
      <w:r w:rsidR="00945F28">
        <w:rPr>
          <w:rFonts w:cstheme="minorHAnsi"/>
        </w:rPr>
        <w:t xml:space="preserve">, se </w:t>
      </w:r>
      <w:r w:rsidR="00E0044A">
        <w:rPr>
          <w:rFonts w:cstheme="minorHAnsi"/>
        </w:rPr>
        <w:t xml:space="preserve">solicitó en la Consulta Pública que el Instituto defina </w:t>
      </w:r>
      <w:r w:rsidR="00302307">
        <w:rPr>
          <w:rFonts w:cstheme="minorHAnsi"/>
        </w:rPr>
        <w:t xml:space="preserve">de forma más concreta </w:t>
      </w:r>
      <w:r w:rsidR="006E0F52" w:rsidRPr="00066536">
        <w:rPr>
          <w:rFonts w:cstheme="minorHAnsi"/>
        </w:rPr>
        <w:t xml:space="preserve">qué tipo de cambios o modificaciones en las características técnicas </w:t>
      </w:r>
      <w:r w:rsidR="00302307">
        <w:rPr>
          <w:rFonts w:cstheme="minorHAnsi"/>
        </w:rPr>
        <w:t xml:space="preserve">puede </w:t>
      </w:r>
      <w:r w:rsidR="006E0F52" w:rsidRPr="00066536">
        <w:rPr>
          <w:rFonts w:cstheme="minorHAnsi"/>
        </w:rPr>
        <w:t xml:space="preserve">implicar que el solicitante presentara esta solicitud. </w:t>
      </w:r>
      <w:r w:rsidR="00E0044A">
        <w:rPr>
          <w:rFonts w:cstheme="minorHAnsi"/>
        </w:rPr>
        <w:t>Respecto de lo cual</w:t>
      </w:r>
      <w:r w:rsidR="00945F28">
        <w:rPr>
          <w:rFonts w:cstheme="minorHAnsi"/>
        </w:rPr>
        <w:t>,</w:t>
      </w:r>
      <w:r w:rsidR="00E0044A">
        <w:rPr>
          <w:rFonts w:cstheme="minorHAnsi"/>
        </w:rPr>
        <w:t xml:space="preserve"> se precisó que </w:t>
      </w:r>
      <w:r w:rsidR="006E0F52" w:rsidRPr="00066536">
        <w:rPr>
          <w:rFonts w:cstheme="minorHAnsi"/>
        </w:rPr>
        <w:t xml:space="preserve">todo cambio en el Anexo técnico de las Autorizaciones </w:t>
      </w:r>
      <w:r w:rsidR="00E0044A">
        <w:rPr>
          <w:rFonts w:cstheme="minorHAnsi"/>
        </w:rPr>
        <w:t>implicaría una</w:t>
      </w:r>
      <w:r w:rsidR="006E0F52" w:rsidRPr="00066536">
        <w:rPr>
          <w:rFonts w:cstheme="minorHAnsi"/>
        </w:rPr>
        <w:t xml:space="preserve"> modificación.</w:t>
      </w:r>
    </w:p>
    <w:p w14:paraId="7191D6E0" w14:textId="5E200569" w:rsidR="0045432B" w:rsidRDefault="0045432B" w:rsidP="000603C3">
      <w:pPr>
        <w:spacing w:after="0"/>
        <w:jc w:val="both"/>
        <w:rPr>
          <w:rFonts w:cstheme="minorHAnsi"/>
        </w:rPr>
      </w:pPr>
    </w:p>
    <w:p w14:paraId="0D7C72AD" w14:textId="3D078B99" w:rsidR="00A445B1" w:rsidRDefault="00A445B1" w:rsidP="000603C3">
      <w:pPr>
        <w:spacing w:after="0"/>
        <w:jc w:val="both"/>
        <w:rPr>
          <w:rFonts w:cstheme="minorHAnsi"/>
        </w:rPr>
      </w:pPr>
    </w:p>
    <w:p w14:paraId="76A98A70" w14:textId="2148F958" w:rsidR="00A445B1" w:rsidRDefault="00A445B1" w:rsidP="00A665D6">
      <w:pPr>
        <w:spacing w:after="0"/>
        <w:jc w:val="center"/>
        <w:rPr>
          <w:rFonts w:cstheme="minorHAnsi"/>
          <w:b/>
        </w:rPr>
      </w:pPr>
      <w:r w:rsidRPr="00A445B1">
        <w:rPr>
          <w:rFonts w:cstheme="minorHAnsi"/>
        </w:rPr>
        <w:t>•</w:t>
      </w:r>
      <w:r w:rsidRPr="00A445B1">
        <w:rPr>
          <w:rFonts w:cstheme="minorHAnsi"/>
        </w:rPr>
        <w:tab/>
      </w:r>
      <w:r w:rsidRPr="00A445B1">
        <w:rPr>
          <w:rFonts w:cstheme="minorHAnsi"/>
          <w:b/>
        </w:rPr>
        <w:t>TEMA: Capítulo 8 – Disposic</w:t>
      </w:r>
      <w:r w:rsidR="00A665D6">
        <w:rPr>
          <w:rFonts w:cstheme="minorHAnsi"/>
          <w:b/>
        </w:rPr>
        <w:t>iones comunes aplicables a los A</w:t>
      </w:r>
      <w:r w:rsidRPr="00A445B1">
        <w:rPr>
          <w:rFonts w:cstheme="minorHAnsi"/>
          <w:b/>
        </w:rPr>
        <w:t>utorizados</w:t>
      </w:r>
    </w:p>
    <w:p w14:paraId="1FB6EB85" w14:textId="591E390F" w:rsidR="00A665D6" w:rsidRDefault="00A665D6" w:rsidP="00A665D6">
      <w:pPr>
        <w:spacing w:after="0"/>
        <w:jc w:val="center"/>
        <w:rPr>
          <w:rFonts w:cstheme="minorHAnsi"/>
          <w:b/>
        </w:rPr>
      </w:pPr>
      <w:r>
        <w:rPr>
          <w:rFonts w:cstheme="minorHAnsi"/>
          <w:b/>
        </w:rPr>
        <w:t>SECCIÓN I.</w:t>
      </w:r>
    </w:p>
    <w:p w14:paraId="777FE9C9" w14:textId="49861FFB" w:rsidR="00A665D6" w:rsidRPr="00A445B1" w:rsidRDefault="00A665D6" w:rsidP="00A665D6">
      <w:pPr>
        <w:spacing w:after="0"/>
        <w:jc w:val="center"/>
        <w:rPr>
          <w:rFonts w:cstheme="minorHAnsi"/>
        </w:rPr>
      </w:pPr>
      <w:r>
        <w:rPr>
          <w:rFonts w:cstheme="minorHAnsi"/>
          <w:b/>
        </w:rPr>
        <w:t>Del plazo para otorgar las autorizaciones</w:t>
      </w:r>
    </w:p>
    <w:p w14:paraId="645ABACA" w14:textId="0F440430" w:rsidR="006E0F52" w:rsidRPr="00A445B1" w:rsidRDefault="00F77D07" w:rsidP="00A665D6">
      <w:pPr>
        <w:spacing w:after="0"/>
        <w:jc w:val="center"/>
        <w:rPr>
          <w:rFonts w:cstheme="minorHAnsi"/>
          <w:b/>
        </w:rPr>
      </w:pPr>
      <w:r>
        <w:rPr>
          <w:rFonts w:cstheme="minorHAnsi"/>
          <w:b/>
        </w:rPr>
        <w:t>R</w:t>
      </w:r>
      <w:r w:rsidR="006E0F52" w:rsidRPr="00A445B1">
        <w:rPr>
          <w:rFonts w:cstheme="minorHAnsi"/>
          <w:b/>
        </w:rPr>
        <w:t>egla 22, 5</w:t>
      </w:r>
      <w:r w:rsidR="00700EE4" w:rsidRPr="00A445B1">
        <w:rPr>
          <w:rFonts w:cstheme="minorHAnsi"/>
          <w:b/>
        </w:rPr>
        <w:t>°</w:t>
      </w:r>
      <w:r w:rsidR="006E0F52" w:rsidRPr="00A445B1">
        <w:rPr>
          <w:rFonts w:cstheme="minorHAnsi"/>
          <w:b/>
        </w:rPr>
        <w:t xml:space="preserve"> </w:t>
      </w:r>
      <w:r w:rsidR="00700EE4" w:rsidRPr="00A445B1">
        <w:rPr>
          <w:rFonts w:cstheme="minorHAnsi"/>
          <w:b/>
        </w:rPr>
        <w:t>y 6°</w:t>
      </w:r>
      <w:r w:rsidR="006E0F52" w:rsidRPr="00A445B1">
        <w:rPr>
          <w:rFonts w:cstheme="minorHAnsi"/>
          <w:b/>
        </w:rPr>
        <w:t>párrafo</w:t>
      </w:r>
      <w:r w:rsidR="00700EE4" w:rsidRPr="00A445B1">
        <w:rPr>
          <w:rFonts w:cstheme="minorHAnsi"/>
          <w:b/>
        </w:rPr>
        <w:t>s</w:t>
      </w:r>
    </w:p>
    <w:p w14:paraId="07BCB2F4" w14:textId="77777777" w:rsidR="0045432B" w:rsidRPr="00066536" w:rsidRDefault="0045432B" w:rsidP="000603C3">
      <w:pPr>
        <w:spacing w:after="0"/>
        <w:jc w:val="both"/>
        <w:rPr>
          <w:rFonts w:cstheme="minorHAnsi"/>
        </w:rPr>
      </w:pPr>
    </w:p>
    <w:p w14:paraId="05FD667F" w14:textId="5ED26014" w:rsidR="00700EE4" w:rsidRPr="00700EE4" w:rsidRDefault="00700EE4" w:rsidP="00700EE4">
      <w:pPr>
        <w:spacing w:after="0"/>
        <w:jc w:val="both"/>
        <w:rPr>
          <w:rFonts w:cstheme="minorHAnsi"/>
        </w:rPr>
      </w:pPr>
      <w:r w:rsidRPr="00700EE4">
        <w:rPr>
          <w:rFonts w:cstheme="minorHAnsi"/>
          <w:b/>
        </w:rPr>
        <w:t>Notificaciones</w:t>
      </w:r>
      <w:r>
        <w:rPr>
          <w:rFonts w:cstheme="minorHAnsi"/>
          <w:b/>
        </w:rPr>
        <w:t xml:space="preserve"> electrónicas</w:t>
      </w:r>
      <w:r w:rsidRPr="00700EE4">
        <w:rPr>
          <w:rFonts w:cstheme="minorHAnsi"/>
          <w:b/>
        </w:rPr>
        <w:t>.</w:t>
      </w:r>
      <w:r>
        <w:rPr>
          <w:rFonts w:cstheme="minorHAnsi"/>
          <w:b/>
        </w:rPr>
        <w:t xml:space="preserve"> </w:t>
      </w:r>
      <w:r w:rsidRPr="00700EE4">
        <w:rPr>
          <w:rFonts w:cstheme="minorHAnsi"/>
        </w:rPr>
        <w:t>En atención a los diversos comentarios y sugerencias</w:t>
      </w:r>
      <w:r w:rsidR="00A445B1">
        <w:rPr>
          <w:rFonts w:cstheme="minorHAnsi"/>
        </w:rPr>
        <w:t xml:space="preserve"> realizados en la consulta pública</w:t>
      </w:r>
      <w:r w:rsidRPr="00700EE4">
        <w:rPr>
          <w:rFonts w:cstheme="minorHAnsi"/>
        </w:rPr>
        <w:t xml:space="preserve">, sobre la aceptación expresa </w:t>
      </w:r>
      <w:r w:rsidR="00F537DA">
        <w:rPr>
          <w:rFonts w:cstheme="minorHAnsi"/>
        </w:rPr>
        <w:t xml:space="preserve">por parte </w:t>
      </w:r>
      <w:r w:rsidRPr="00700EE4">
        <w:rPr>
          <w:rFonts w:cstheme="minorHAnsi"/>
        </w:rPr>
        <w:t>del particular de las mismas, el implementar algún mecanismo que permita dejar constancia de la recepción de las notificaciones, el uso de un correo electrónico oficial permanente, y de lo previsto en el artículo 35 fracción II, de la Ley Federal de Procedimiento Administrativo</w:t>
      </w:r>
      <w:r>
        <w:rPr>
          <w:rFonts w:cstheme="minorHAnsi"/>
        </w:rPr>
        <w:t xml:space="preserve"> o de lo contario</w:t>
      </w:r>
      <w:r w:rsidR="00F537DA">
        <w:rPr>
          <w:rFonts w:cstheme="minorHAnsi"/>
        </w:rPr>
        <w:t>,</w:t>
      </w:r>
      <w:r>
        <w:rPr>
          <w:rFonts w:cstheme="minorHAnsi"/>
        </w:rPr>
        <w:t xml:space="preserve"> suprimir esta modificación de las Reglas de carácter general, así como, en su caso, </w:t>
      </w:r>
      <w:r w:rsidR="00F537DA">
        <w:rPr>
          <w:rFonts w:cstheme="minorHAnsi"/>
        </w:rPr>
        <w:t xml:space="preserve">considerar </w:t>
      </w:r>
      <w:r>
        <w:rPr>
          <w:rFonts w:cstheme="minorHAnsi"/>
        </w:rPr>
        <w:t xml:space="preserve">la </w:t>
      </w:r>
      <w:r w:rsidRPr="00700EE4">
        <w:rPr>
          <w:rFonts w:cstheme="minorHAnsi"/>
        </w:rPr>
        <w:t xml:space="preserve">posibilidad para los solicitantes de atender y presentar vía electrónica, las contestaciones y desahogos a los requerimientos </w:t>
      </w:r>
      <w:r w:rsidR="00F537DA">
        <w:rPr>
          <w:rFonts w:cstheme="minorHAnsi"/>
        </w:rPr>
        <w:t>y/</w:t>
      </w:r>
      <w:r w:rsidRPr="00700EE4">
        <w:rPr>
          <w:rFonts w:cstheme="minorHAnsi"/>
        </w:rPr>
        <w:t>o prevenciones formulados por el I</w:t>
      </w:r>
      <w:r>
        <w:rPr>
          <w:rFonts w:cstheme="minorHAnsi"/>
        </w:rPr>
        <w:t xml:space="preserve">nstituto, a fin de hacer </w:t>
      </w:r>
      <w:r w:rsidRPr="00700EE4">
        <w:rPr>
          <w:rFonts w:cstheme="minorHAnsi"/>
        </w:rPr>
        <w:t xml:space="preserve">más ágil y eficiente la atención </w:t>
      </w:r>
      <w:r>
        <w:rPr>
          <w:rFonts w:cstheme="minorHAnsi"/>
        </w:rPr>
        <w:t>de los trámites.</w:t>
      </w:r>
    </w:p>
    <w:p w14:paraId="6551CA0F" w14:textId="23624E82" w:rsidR="00700EE4" w:rsidRDefault="00700EE4" w:rsidP="00700EE4">
      <w:pPr>
        <w:spacing w:after="0"/>
        <w:jc w:val="both"/>
        <w:rPr>
          <w:rFonts w:cstheme="minorHAnsi"/>
        </w:rPr>
      </w:pPr>
    </w:p>
    <w:p w14:paraId="75A161EF" w14:textId="77777777" w:rsidR="00A209D5" w:rsidRPr="00A209D5" w:rsidRDefault="00A209D5" w:rsidP="00A209D5">
      <w:pPr>
        <w:spacing w:after="0"/>
        <w:jc w:val="both"/>
        <w:rPr>
          <w:rFonts w:cstheme="minorHAnsi"/>
        </w:rPr>
      </w:pPr>
      <w:r w:rsidRPr="00A209D5">
        <w:rPr>
          <w:rFonts w:cstheme="minorHAnsi"/>
        </w:rPr>
        <w:t>El Instituto considerando la simplificación administrativa y la mejora regulatoria propuesta, realiza diversos ajustes al proyecto sobre este tema, considerando que no se trata de trámites electrónicos, por lo cual, los solicitantes deberán manifestar de forma voluntaria la aceptación de las notificaciones electrónicas, mismas que en todo caso, serán únicamente para formular requerimientos y/o prevenciones relacionadas con las solicitudes de las Autorizaciones previstas en el artículo 170 de la Ley. En todo caso, tratándose de información que por su propia naturaleza no debe ser expedida por fedatario público para hacer constar fehacientemente un hecho o circunstancia para acreditar un requisito, podrá el particular al responder o desahogar el requerimiento y/o prevención, proporcionar a la autoridad por la misma vía la información de que se trate, remitiéndola a la cuenta de correo específica del Instituto creada de forma exclusiva para estos efectos.</w:t>
      </w:r>
    </w:p>
    <w:p w14:paraId="4B36F287" w14:textId="77777777" w:rsidR="00A209D5" w:rsidRPr="00A209D5" w:rsidRDefault="00A209D5" w:rsidP="00A209D5">
      <w:pPr>
        <w:spacing w:after="0"/>
        <w:jc w:val="both"/>
        <w:rPr>
          <w:rFonts w:cstheme="minorHAnsi"/>
        </w:rPr>
      </w:pPr>
    </w:p>
    <w:p w14:paraId="160303AE" w14:textId="77777777" w:rsidR="00A209D5" w:rsidRPr="00A209D5" w:rsidRDefault="00A209D5" w:rsidP="00A209D5">
      <w:pPr>
        <w:spacing w:after="0"/>
        <w:jc w:val="both"/>
        <w:rPr>
          <w:rFonts w:cstheme="minorHAnsi"/>
        </w:rPr>
      </w:pPr>
      <w:r w:rsidRPr="00A209D5">
        <w:rPr>
          <w:rFonts w:cstheme="minorHAnsi"/>
        </w:rPr>
        <w:t>Asimismo, dicha cuenta de correo electrónico institucional, se hará del conocimiento del particular en el Formato de Solicitud de Autorización que corresponda, señalando que a dicho correo únicamente podrán tener acceso los servidores públicos autorizados, tanto para enviar requerimientos y/o prevenciones, como para recibir las respuestas o desahogos a los mismos.</w:t>
      </w:r>
    </w:p>
    <w:p w14:paraId="0CB0ED80" w14:textId="77777777" w:rsidR="00A209D5" w:rsidRPr="00A209D5" w:rsidRDefault="00A209D5" w:rsidP="00A209D5">
      <w:pPr>
        <w:spacing w:after="0"/>
        <w:jc w:val="both"/>
        <w:rPr>
          <w:rFonts w:cstheme="minorHAnsi"/>
        </w:rPr>
      </w:pPr>
    </w:p>
    <w:p w14:paraId="0D6A9617" w14:textId="7A93FF51" w:rsidR="00A209D5" w:rsidRDefault="00A209D5" w:rsidP="00A209D5">
      <w:pPr>
        <w:spacing w:after="0"/>
        <w:jc w:val="both"/>
        <w:rPr>
          <w:rFonts w:cstheme="minorHAnsi"/>
        </w:rPr>
      </w:pPr>
      <w:r w:rsidRPr="00A209D5">
        <w:rPr>
          <w:rFonts w:cstheme="minorHAnsi"/>
        </w:rPr>
        <w:lastRenderedPageBreak/>
        <w:t>El correo institucional, cuenta con mecanismos para que el particular envié el acuse de recepción respectivo al digitar el mensaje para emitir la confirmación de la recepción. Por otra parte, no debe olvidarse que es el propio interesado el que señala la cuenta de correo electrónico en la cual recibirá las notificaciones electrónicas por parte del Instituto, ya que previamente ha aceptado de forma voluntaria este tipo de notificaciones.</w:t>
      </w:r>
    </w:p>
    <w:p w14:paraId="41F23F42" w14:textId="77777777" w:rsidR="00A209D5" w:rsidRPr="00700EE4" w:rsidRDefault="00A209D5" w:rsidP="00700EE4">
      <w:pPr>
        <w:spacing w:after="0"/>
        <w:jc w:val="both"/>
        <w:rPr>
          <w:rFonts w:cstheme="minorHAnsi"/>
        </w:rPr>
      </w:pPr>
    </w:p>
    <w:p w14:paraId="5D190AF4" w14:textId="77777777" w:rsidR="00A445B1" w:rsidRDefault="00A445B1" w:rsidP="006E0F52">
      <w:pPr>
        <w:spacing w:after="0"/>
        <w:jc w:val="both"/>
        <w:rPr>
          <w:rFonts w:cstheme="minorHAnsi"/>
        </w:rPr>
      </w:pPr>
    </w:p>
    <w:p w14:paraId="10D4D652" w14:textId="3B64D92D" w:rsidR="00D87D2C" w:rsidRPr="00A445B1" w:rsidRDefault="00D87D2C" w:rsidP="00D87D2C">
      <w:pPr>
        <w:spacing w:after="0"/>
        <w:jc w:val="center"/>
        <w:rPr>
          <w:rFonts w:cstheme="minorHAnsi"/>
          <w:b/>
        </w:rPr>
      </w:pPr>
      <w:r w:rsidRPr="00A445B1">
        <w:rPr>
          <w:rFonts w:cstheme="minorHAnsi"/>
          <w:b/>
        </w:rPr>
        <w:t>Regla 23</w:t>
      </w:r>
      <w:r w:rsidR="00361ED3" w:rsidRPr="00A445B1">
        <w:rPr>
          <w:rFonts w:cstheme="minorHAnsi"/>
          <w:b/>
        </w:rPr>
        <w:t xml:space="preserve">, 1er párrafo </w:t>
      </w:r>
    </w:p>
    <w:p w14:paraId="26EC56EF" w14:textId="77777777" w:rsidR="005849FE" w:rsidRPr="00066536" w:rsidRDefault="005849FE" w:rsidP="00E27522">
      <w:pPr>
        <w:spacing w:after="0"/>
        <w:rPr>
          <w:rFonts w:cstheme="minorHAnsi"/>
        </w:rPr>
      </w:pPr>
    </w:p>
    <w:p w14:paraId="3FE3714A" w14:textId="20ED6FED" w:rsidR="00D87D2C" w:rsidRPr="00066536" w:rsidRDefault="005849FE" w:rsidP="00D87D2C">
      <w:pPr>
        <w:spacing w:after="0"/>
        <w:jc w:val="both"/>
        <w:rPr>
          <w:rFonts w:cstheme="minorHAnsi"/>
        </w:rPr>
      </w:pPr>
      <w:r>
        <w:rPr>
          <w:rFonts w:cstheme="minorHAnsi"/>
          <w:b/>
        </w:rPr>
        <w:t>Inscripción de Autorizaciones sujeto a registro de t</w:t>
      </w:r>
      <w:r w:rsidR="00361ED3" w:rsidRPr="005849FE">
        <w:rPr>
          <w:rFonts w:cstheme="minorHAnsi"/>
          <w:b/>
        </w:rPr>
        <w:t>arifas.</w:t>
      </w:r>
      <w:r w:rsidR="00361ED3">
        <w:rPr>
          <w:rFonts w:cstheme="minorHAnsi"/>
        </w:rPr>
        <w:t xml:space="preserve"> Dentro de los comentarios </w:t>
      </w:r>
      <w:r w:rsidR="00A445B1">
        <w:rPr>
          <w:rFonts w:cstheme="minorHAnsi"/>
        </w:rPr>
        <w:t xml:space="preserve">de la consulta pública </w:t>
      </w:r>
      <w:r w:rsidR="00361ED3">
        <w:rPr>
          <w:rFonts w:cstheme="minorHAnsi"/>
        </w:rPr>
        <w:t xml:space="preserve">se señala la recomendación de </w:t>
      </w:r>
      <w:r w:rsidR="00D87D2C" w:rsidRPr="00066536">
        <w:rPr>
          <w:rFonts w:cstheme="minorHAnsi"/>
        </w:rPr>
        <w:t xml:space="preserve">eliminar la adición propuesta al primer párrafo de la Regla 23, </w:t>
      </w:r>
      <w:r w:rsidR="00361ED3">
        <w:rPr>
          <w:rFonts w:cstheme="minorHAnsi"/>
        </w:rPr>
        <w:t xml:space="preserve">al considerar que </w:t>
      </w:r>
      <w:r w:rsidR="00D87D2C" w:rsidRPr="00066536">
        <w:rPr>
          <w:rFonts w:cstheme="minorHAnsi"/>
        </w:rPr>
        <w:t xml:space="preserve">no existe razón para sujetar la inscripción de las autorizaciones al registro de las tarifas, principalmente porque los servicios </w:t>
      </w:r>
      <w:r w:rsidR="00361ED3">
        <w:rPr>
          <w:rFonts w:cstheme="minorHAnsi"/>
        </w:rPr>
        <w:t xml:space="preserve">de ciertas autorizaciones distintas a las de una Comercializadora, </w:t>
      </w:r>
      <w:r w:rsidR="00D87D2C" w:rsidRPr="00066536">
        <w:rPr>
          <w:rFonts w:cstheme="minorHAnsi"/>
        </w:rPr>
        <w:t>se brindan a usuarios comerciales y gubernamentales y no a consumidores</w:t>
      </w:r>
      <w:r w:rsidR="00361ED3">
        <w:rPr>
          <w:rFonts w:cstheme="minorHAnsi"/>
        </w:rPr>
        <w:t xml:space="preserve"> o usuarios finales, por lo cual, l</w:t>
      </w:r>
      <w:r w:rsidR="00D87D2C" w:rsidRPr="00066536">
        <w:rPr>
          <w:rFonts w:cstheme="minorHAnsi"/>
        </w:rPr>
        <w:t>os precios son impulsados por la competencia en el mercado.</w:t>
      </w:r>
    </w:p>
    <w:p w14:paraId="44127E11" w14:textId="77777777" w:rsidR="00063819" w:rsidRPr="0098075A" w:rsidRDefault="00063819" w:rsidP="00D87D2C">
      <w:pPr>
        <w:spacing w:after="0"/>
        <w:jc w:val="both"/>
        <w:rPr>
          <w:rFonts w:cstheme="minorHAnsi"/>
        </w:rPr>
      </w:pPr>
    </w:p>
    <w:p w14:paraId="01BA360E" w14:textId="3A7C7B04" w:rsidR="00ED43F8" w:rsidRDefault="005849FE" w:rsidP="00D87D2C">
      <w:pPr>
        <w:spacing w:after="0"/>
        <w:jc w:val="both"/>
        <w:rPr>
          <w:rFonts w:cstheme="minorHAnsi"/>
        </w:rPr>
      </w:pPr>
      <w:r w:rsidRPr="00ED43F8">
        <w:rPr>
          <w:rFonts w:cstheme="minorHAnsi"/>
        </w:rPr>
        <w:t xml:space="preserve">Al respecto, se señala que el </w:t>
      </w:r>
      <w:r w:rsidR="00D87D2C" w:rsidRPr="00ED43F8">
        <w:rPr>
          <w:rFonts w:cstheme="minorHAnsi"/>
        </w:rPr>
        <w:t xml:space="preserve">artículo 177 de la Ley Federal de Telecomunicaciones y Radiodifusión establece los actos sujetos a registro, por lo que la </w:t>
      </w:r>
      <w:r w:rsidR="00A209D5" w:rsidRPr="00ED43F8">
        <w:rPr>
          <w:rFonts w:cstheme="minorHAnsi"/>
        </w:rPr>
        <w:t xml:space="preserve">Regla es concordante con la Ley, </w:t>
      </w:r>
      <w:r w:rsidR="00ED43F8">
        <w:rPr>
          <w:rFonts w:cstheme="minorHAnsi"/>
        </w:rPr>
        <w:t xml:space="preserve">respecto </w:t>
      </w:r>
      <w:r w:rsidR="00A209D5" w:rsidRPr="00ED43F8">
        <w:rPr>
          <w:rFonts w:cstheme="minorHAnsi"/>
        </w:rPr>
        <w:t>a</w:t>
      </w:r>
      <w:r w:rsidR="00ED43F8">
        <w:rPr>
          <w:rFonts w:cstheme="minorHAnsi"/>
        </w:rPr>
        <w:t>l registro de Autorizaciones y las modificaciones a las mismas, sin relacionarla con el registro de las tarifas a usuarios fina</w:t>
      </w:r>
      <w:r w:rsidR="007821DF">
        <w:rPr>
          <w:rFonts w:cstheme="minorHAnsi"/>
        </w:rPr>
        <w:t xml:space="preserve">les, por lo que su redacción señalará claramente tal situación y la obligación de registrar </w:t>
      </w:r>
      <w:r w:rsidR="00064C88">
        <w:rPr>
          <w:rFonts w:cstheme="minorHAnsi"/>
        </w:rPr>
        <w:t xml:space="preserve">cualquier </w:t>
      </w:r>
      <w:r w:rsidR="007821DF">
        <w:rPr>
          <w:rFonts w:cstheme="minorHAnsi"/>
        </w:rPr>
        <w:t>servicio de telecomunicaciones que se pretendan prestar.</w:t>
      </w:r>
    </w:p>
    <w:p w14:paraId="42DC90F8" w14:textId="77777777" w:rsidR="00ED43F8" w:rsidRDefault="00ED43F8" w:rsidP="00D87D2C">
      <w:pPr>
        <w:spacing w:after="0"/>
        <w:jc w:val="both"/>
        <w:rPr>
          <w:rFonts w:cstheme="minorHAnsi"/>
        </w:rPr>
      </w:pPr>
    </w:p>
    <w:p w14:paraId="59C0FB43" w14:textId="3985C32A" w:rsidR="002F75C9" w:rsidRDefault="002F75C9" w:rsidP="00D87D2C">
      <w:pPr>
        <w:spacing w:after="0"/>
        <w:jc w:val="both"/>
        <w:rPr>
          <w:rFonts w:cstheme="minorHAnsi"/>
        </w:rPr>
      </w:pPr>
    </w:p>
    <w:p w14:paraId="4A842DC6" w14:textId="7668DA0F" w:rsidR="00A665D6" w:rsidRPr="00A665D6" w:rsidRDefault="00A665D6" w:rsidP="00A665D6">
      <w:pPr>
        <w:spacing w:after="0"/>
        <w:jc w:val="center"/>
        <w:rPr>
          <w:rFonts w:cstheme="minorHAnsi"/>
          <w:b/>
        </w:rPr>
      </w:pPr>
      <w:r w:rsidRPr="00A665D6">
        <w:rPr>
          <w:rFonts w:cstheme="minorHAnsi"/>
          <w:b/>
        </w:rPr>
        <w:t>SECCIÓN I</w:t>
      </w:r>
      <w:r>
        <w:rPr>
          <w:rFonts w:cstheme="minorHAnsi"/>
          <w:b/>
        </w:rPr>
        <w:t>I</w:t>
      </w:r>
      <w:r w:rsidRPr="00A665D6">
        <w:rPr>
          <w:rFonts w:cstheme="minorHAnsi"/>
          <w:b/>
        </w:rPr>
        <w:t>.</w:t>
      </w:r>
    </w:p>
    <w:p w14:paraId="5B9CFA13" w14:textId="7259CB2A" w:rsidR="00A665D6" w:rsidRDefault="00A665D6" w:rsidP="00A665D6">
      <w:pPr>
        <w:spacing w:after="0"/>
        <w:jc w:val="center"/>
        <w:rPr>
          <w:rFonts w:cstheme="minorHAnsi"/>
        </w:rPr>
      </w:pPr>
      <w:r w:rsidRPr="00A665D6">
        <w:rPr>
          <w:rFonts w:cstheme="minorHAnsi"/>
          <w:b/>
        </w:rPr>
        <w:t>De</w:t>
      </w:r>
      <w:r>
        <w:rPr>
          <w:rFonts w:cstheme="minorHAnsi"/>
          <w:b/>
        </w:rPr>
        <w:t xml:space="preserve"> </w:t>
      </w:r>
      <w:r w:rsidRPr="00A665D6">
        <w:rPr>
          <w:rFonts w:cstheme="minorHAnsi"/>
          <w:b/>
        </w:rPr>
        <w:t>l</w:t>
      </w:r>
      <w:r>
        <w:rPr>
          <w:rFonts w:cstheme="minorHAnsi"/>
          <w:b/>
        </w:rPr>
        <w:t>as</w:t>
      </w:r>
      <w:r w:rsidRPr="00A665D6">
        <w:rPr>
          <w:rFonts w:cstheme="minorHAnsi"/>
          <w:b/>
        </w:rPr>
        <w:t xml:space="preserve"> </w:t>
      </w:r>
      <w:r>
        <w:rPr>
          <w:rFonts w:cstheme="minorHAnsi"/>
          <w:b/>
        </w:rPr>
        <w:t>modificaciones de</w:t>
      </w:r>
      <w:r w:rsidRPr="00A665D6">
        <w:rPr>
          <w:rFonts w:cstheme="minorHAnsi"/>
          <w:b/>
        </w:rPr>
        <w:t xml:space="preserve"> las </w:t>
      </w:r>
      <w:r>
        <w:rPr>
          <w:rFonts w:cstheme="minorHAnsi"/>
          <w:b/>
        </w:rPr>
        <w:t>A</w:t>
      </w:r>
      <w:r w:rsidRPr="00A665D6">
        <w:rPr>
          <w:rFonts w:cstheme="minorHAnsi"/>
          <w:b/>
        </w:rPr>
        <w:t>utorizaciones</w:t>
      </w:r>
    </w:p>
    <w:p w14:paraId="583D601B" w14:textId="77777777" w:rsidR="00D87D2C" w:rsidRPr="002F75C9" w:rsidRDefault="00D87D2C" w:rsidP="002F75C9">
      <w:pPr>
        <w:spacing w:after="0"/>
        <w:jc w:val="center"/>
        <w:rPr>
          <w:rFonts w:cstheme="minorHAnsi"/>
          <w:b/>
        </w:rPr>
      </w:pPr>
      <w:r w:rsidRPr="002F75C9">
        <w:rPr>
          <w:rFonts w:cstheme="minorHAnsi"/>
          <w:b/>
        </w:rPr>
        <w:t>Regla 24</w:t>
      </w:r>
    </w:p>
    <w:p w14:paraId="459CE38B" w14:textId="77777777" w:rsidR="00D87D2C" w:rsidRPr="00066536" w:rsidRDefault="00D87D2C" w:rsidP="00D87D2C">
      <w:pPr>
        <w:spacing w:after="0"/>
        <w:jc w:val="both"/>
        <w:rPr>
          <w:rFonts w:cstheme="minorHAnsi"/>
        </w:rPr>
      </w:pPr>
    </w:p>
    <w:p w14:paraId="75472173" w14:textId="6A214201" w:rsidR="00D87D2C" w:rsidRPr="00066536" w:rsidRDefault="005849FE" w:rsidP="00D87D2C">
      <w:pPr>
        <w:spacing w:after="0"/>
        <w:jc w:val="both"/>
        <w:rPr>
          <w:rFonts w:cstheme="minorHAnsi"/>
        </w:rPr>
      </w:pPr>
      <w:r w:rsidRPr="005849FE">
        <w:rPr>
          <w:rFonts w:cstheme="minorHAnsi"/>
          <w:b/>
        </w:rPr>
        <w:t>Modificaciones.</w:t>
      </w:r>
      <w:r>
        <w:rPr>
          <w:rFonts w:cstheme="minorHAnsi"/>
        </w:rPr>
        <w:t xml:space="preserve"> </w:t>
      </w:r>
      <w:r w:rsidR="00D87D2C" w:rsidRPr="00066536">
        <w:rPr>
          <w:rFonts w:cstheme="minorHAnsi"/>
        </w:rPr>
        <w:t>Se prop</w:t>
      </w:r>
      <w:r>
        <w:rPr>
          <w:rFonts w:cstheme="minorHAnsi"/>
        </w:rPr>
        <w:t xml:space="preserve">uso en algún comentario </w:t>
      </w:r>
      <w:r w:rsidR="002F75C9">
        <w:rPr>
          <w:rFonts w:cstheme="minorHAnsi"/>
        </w:rPr>
        <w:t xml:space="preserve">de la consulta pública </w:t>
      </w:r>
      <w:r w:rsidR="00D87D2C" w:rsidRPr="00066536">
        <w:rPr>
          <w:rFonts w:cstheme="minorHAnsi"/>
        </w:rPr>
        <w:t xml:space="preserve">establecer la </w:t>
      </w:r>
      <w:r>
        <w:rPr>
          <w:rFonts w:cstheme="minorHAnsi"/>
        </w:rPr>
        <w:t>“</w:t>
      </w:r>
      <w:r w:rsidR="00D87D2C" w:rsidRPr="00066536">
        <w:rPr>
          <w:rFonts w:cstheme="minorHAnsi"/>
        </w:rPr>
        <w:t>afirmativa ficta</w:t>
      </w:r>
      <w:r>
        <w:rPr>
          <w:rFonts w:cstheme="minorHAnsi"/>
        </w:rPr>
        <w:t>”</w:t>
      </w:r>
      <w:r w:rsidR="00D87D2C" w:rsidRPr="00066536">
        <w:rPr>
          <w:rFonts w:cstheme="minorHAnsi"/>
        </w:rPr>
        <w:t xml:space="preserve"> para </w:t>
      </w:r>
      <w:r>
        <w:rPr>
          <w:rFonts w:cstheme="minorHAnsi"/>
        </w:rPr>
        <w:t>las solicitudes de modificaciones.</w:t>
      </w:r>
    </w:p>
    <w:p w14:paraId="2F957C7D" w14:textId="77777777" w:rsidR="00063819" w:rsidRPr="0098075A" w:rsidRDefault="00063819" w:rsidP="00D87D2C">
      <w:pPr>
        <w:spacing w:after="0"/>
        <w:jc w:val="both"/>
        <w:rPr>
          <w:rFonts w:cstheme="minorHAnsi"/>
        </w:rPr>
      </w:pPr>
    </w:p>
    <w:p w14:paraId="254EC18C" w14:textId="3B1B578D" w:rsidR="00D87D2C" w:rsidRPr="00066536" w:rsidRDefault="002F75C9" w:rsidP="00D87D2C">
      <w:pPr>
        <w:spacing w:after="0"/>
        <w:jc w:val="both"/>
        <w:rPr>
          <w:rFonts w:cstheme="minorHAnsi"/>
        </w:rPr>
      </w:pPr>
      <w:r>
        <w:rPr>
          <w:rFonts w:cstheme="minorHAnsi"/>
        </w:rPr>
        <w:t xml:space="preserve">Sobre el particular </w:t>
      </w:r>
      <w:r w:rsidR="005849FE">
        <w:rPr>
          <w:rFonts w:cstheme="minorHAnsi"/>
        </w:rPr>
        <w:t>se señala que l</w:t>
      </w:r>
      <w:r w:rsidR="00D87D2C" w:rsidRPr="00066536">
        <w:rPr>
          <w:rFonts w:cstheme="minorHAnsi"/>
        </w:rPr>
        <w:t xml:space="preserve">a figura de la </w:t>
      </w:r>
      <w:r w:rsidR="005849FE">
        <w:rPr>
          <w:rFonts w:cstheme="minorHAnsi"/>
        </w:rPr>
        <w:t>“</w:t>
      </w:r>
      <w:r w:rsidR="00D87D2C" w:rsidRPr="00066536">
        <w:rPr>
          <w:rFonts w:cstheme="minorHAnsi"/>
        </w:rPr>
        <w:t>afirmativa ficta</w:t>
      </w:r>
      <w:r w:rsidR="005849FE">
        <w:rPr>
          <w:rFonts w:cstheme="minorHAnsi"/>
        </w:rPr>
        <w:t>”</w:t>
      </w:r>
      <w:r>
        <w:rPr>
          <w:rFonts w:cstheme="minorHAnsi"/>
        </w:rPr>
        <w:t>,</w:t>
      </w:r>
      <w:r w:rsidR="00D87D2C" w:rsidRPr="00066536">
        <w:rPr>
          <w:rFonts w:cstheme="minorHAnsi"/>
        </w:rPr>
        <w:t xml:space="preserve"> debe estar prevista en la Ley Federal de Telecomunicaciones y Radiodifusión</w:t>
      </w:r>
      <w:r w:rsidR="005849FE">
        <w:rPr>
          <w:rFonts w:cstheme="minorHAnsi"/>
        </w:rPr>
        <w:t xml:space="preserve">, precisando que, </w:t>
      </w:r>
      <w:r w:rsidR="00D87D2C" w:rsidRPr="00066536">
        <w:rPr>
          <w:rFonts w:cstheme="minorHAnsi"/>
        </w:rPr>
        <w:t xml:space="preserve">para el caso </w:t>
      </w:r>
      <w:r w:rsidR="005849FE">
        <w:rPr>
          <w:rFonts w:cstheme="minorHAnsi"/>
        </w:rPr>
        <w:t xml:space="preserve">de modificaciones </w:t>
      </w:r>
      <w:r w:rsidR="00D87D2C" w:rsidRPr="00066536">
        <w:rPr>
          <w:rFonts w:cstheme="minorHAnsi"/>
        </w:rPr>
        <w:t>la Ley no la prevé.</w:t>
      </w:r>
    </w:p>
    <w:p w14:paraId="56670597" w14:textId="235553EE" w:rsidR="0009685D" w:rsidRDefault="0009685D" w:rsidP="000603C3">
      <w:pPr>
        <w:spacing w:after="0"/>
        <w:jc w:val="both"/>
        <w:rPr>
          <w:rFonts w:cstheme="minorHAnsi"/>
        </w:rPr>
      </w:pPr>
    </w:p>
    <w:p w14:paraId="1B8198A5" w14:textId="77777777" w:rsidR="003C0709" w:rsidRPr="00066536" w:rsidRDefault="003C0709" w:rsidP="000603C3">
      <w:pPr>
        <w:spacing w:after="0"/>
        <w:jc w:val="both"/>
        <w:rPr>
          <w:rFonts w:cstheme="minorHAnsi"/>
        </w:rPr>
      </w:pPr>
    </w:p>
    <w:p w14:paraId="5AB5291A" w14:textId="77777777" w:rsidR="00D87D2C" w:rsidRPr="003C0709" w:rsidRDefault="00D87D2C" w:rsidP="00D87D2C">
      <w:pPr>
        <w:spacing w:after="0"/>
        <w:jc w:val="center"/>
        <w:rPr>
          <w:rFonts w:cstheme="minorHAnsi"/>
          <w:b/>
        </w:rPr>
      </w:pPr>
      <w:r w:rsidRPr="003C0709">
        <w:rPr>
          <w:rFonts w:cstheme="minorHAnsi"/>
          <w:b/>
        </w:rPr>
        <w:t>Transitorio primero</w:t>
      </w:r>
    </w:p>
    <w:p w14:paraId="0F82C075" w14:textId="77777777" w:rsidR="00612494" w:rsidRPr="0098075A" w:rsidRDefault="00612494" w:rsidP="00D87D2C">
      <w:pPr>
        <w:spacing w:after="0"/>
        <w:jc w:val="both"/>
        <w:rPr>
          <w:rFonts w:cstheme="minorHAnsi"/>
        </w:rPr>
      </w:pPr>
    </w:p>
    <w:p w14:paraId="14018B1F" w14:textId="3FEF994E" w:rsidR="00ED6744" w:rsidRPr="0098075A" w:rsidRDefault="00612494" w:rsidP="00ED6744">
      <w:pPr>
        <w:spacing w:after="0"/>
        <w:jc w:val="both"/>
        <w:rPr>
          <w:rFonts w:cstheme="minorHAnsi"/>
        </w:rPr>
      </w:pPr>
      <w:r w:rsidRPr="00612494">
        <w:rPr>
          <w:rFonts w:cstheme="minorHAnsi"/>
        </w:rPr>
        <w:t xml:space="preserve">Se </w:t>
      </w:r>
      <w:r w:rsidR="00EF5773">
        <w:rPr>
          <w:rFonts w:cstheme="minorHAnsi"/>
        </w:rPr>
        <w:t xml:space="preserve">recibieron comentarios </w:t>
      </w:r>
      <w:r w:rsidR="003C0709">
        <w:rPr>
          <w:rFonts w:cstheme="minorHAnsi"/>
        </w:rPr>
        <w:t xml:space="preserve">en la consulta pública </w:t>
      </w:r>
      <w:r w:rsidR="00EF5773">
        <w:rPr>
          <w:rFonts w:cstheme="minorHAnsi"/>
        </w:rPr>
        <w:t xml:space="preserve">en sentido contrario respecto a la entrada en vigor de las modificaciones a las Reglas de carácter general, algunos proponiendo </w:t>
      </w:r>
      <w:r w:rsidRPr="00612494">
        <w:rPr>
          <w:rFonts w:cstheme="minorHAnsi"/>
        </w:rPr>
        <w:t>ampl</w:t>
      </w:r>
      <w:r w:rsidR="00EF5773">
        <w:rPr>
          <w:rFonts w:cstheme="minorHAnsi"/>
        </w:rPr>
        <w:t xml:space="preserve">iar </w:t>
      </w:r>
      <w:r w:rsidRPr="00612494">
        <w:rPr>
          <w:rFonts w:cstheme="minorHAnsi"/>
        </w:rPr>
        <w:t xml:space="preserve">el plazo de “vacatio legis” </w:t>
      </w:r>
      <w:r w:rsidR="00EF5773">
        <w:rPr>
          <w:rFonts w:cstheme="minorHAnsi"/>
        </w:rPr>
        <w:t xml:space="preserve">hasta </w:t>
      </w:r>
      <w:r w:rsidRPr="00612494">
        <w:rPr>
          <w:rFonts w:cstheme="minorHAnsi"/>
        </w:rPr>
        <w:t>30 días hábiles</w:t>
      </w:r>
      <w:r w:rsidR="00ED6744">
        <w:rPr>
          <w:rFonts w:cstheme="minorHAnsi"/>
        </w:rPr>
        <w:t xml:space="preserve"> y otros, señalando que consideran pertinente </w:t>
      </w:r>
      <w:r w:rsidR="00ED6744" w:rsidRPr="003C0709">
        <w:rPr>
          <w:rFonts w:cstheme="minorHAnsi"/>
        </w:rPr>
        <w:t xml:space="preserve">que </w:t>
      </w:r>
      <w:r w:rsidR="00A809E9" w:rsidRPr="003C0709">
        <w:rPr>
          <w:rFonts w:cstheme="minorHAnsi"/>
        </w:rPr>
        <w:t xml:space="preserve">la </w:t>
      </w:r>
      <w:r w:rsidR="00ED6744" w:rsidRPr="003C0709">
        <w:rPr>
          <w:rFonts w:cstheme="minorHAnsi"/>
        </w:rPr>
        <w:t>entr</w:t>
      </w:r>
      <w:r w:rsidR="00A809E9" w:rsidRPr="003C0709">
        <w:rPr>
          <w:rFonts w:cstheme="minorHAnsi"/>
        </w:rPr>
        <w:t>ada</w:t>
      </w:r>
      <w:r w:rsidR="00ED6744" w:rsidRPr="00ED6744">
        <w:rPr>
          <w:rFonts w:cstheme="minorHAnsi"/>
        </w:rPr>
        <w:t xml:space="preserve"> en vigor </w:t>
      </w:r>
      <w:r w:rsidR="00ED6744">
        <w:rPr>
          <w:rFonts w:cstheme="minorHAnsi"/>
        </w:rPr>
        <w:t xml:space="preserve">de las mismas sea </w:t>
      </w:r>
      <w:r w:rsidR="00ED6744" w:rsidRPr="00ED6744">
        <w:rPr>
          <w:rFonts w:cstheme="minorHAnsi"/>
        </w:rPr>
        <w:t>al día siguiente de su publicación en el Diario Oficial de la Federación</w:t>
      </w:r>
      <w:r w:rsidR="00ED6744">
        <w:rPr>
          <w:rFonts w:cstheme="minorHAnsi"/>
        </w:rPr>
        <w:t xml:space="preserve"> (DOF)</w:t>
      </w:r>
      <w:r w:rsidR="00ED6744" w:rsidRPr="00ED6744">
        <w:rPr>
          <w:rFonts w:cstheme="minorHAnsi"/>
        </w:rPr>
        <w:t>.</w:t>
      </w:r>
    </w:p>
    <w:p w14:paraId="11D9B9A5" w14:textId="456EA99C" w:rsidR="00612494" w:rsidRPr="0098075A" w:rsidRDefault="00612494" w:rsidP="00612494">
      <w:pPr>
        <w:spacing w:after="0"/>
        <w:jc w:val="both"/>
        <w:rPr>
          <w:rFonts w:cstheme="minorHAnsi"/>
        </w:rPr>
      </w:pPr>
    </w:p>
    <w:p w14:paraId="73C09D42" w14:textId="0C36097B" w:rsidR="00612494" w:rsidRDefault="00ED6744" w:rsidP="00612494">
      <w:pPr>
        <w:spacing w:after="0"/>
        <w:jc w:val="both"/>
        <w:rPr>
          <w:rFonts w:cstheme="minorHAnsi"/>
        </w:rPr>
      </w:pPr>
      <w:r>
        <w:rPr>
          <w:rFonts w:cstheme="minorHAnsi"/>
        </w:rPr>
        <w:t>Sobre este tema el Instituto estima que, al</w:t>
      </w:r>
      <w:r w:rsidR="00612494" w:rsidRPr="00612494">
        <w:rPr>
          <w:rFonts w:cstheme="minorHAnsi"/>
        </w:rPr>
        <w:t xml:space="preserve"> tratarse de </w:t>
      </w:r>
      <w:r>
        <w:rPr>
          <w:rFonts w:cstheme="minorHAnsi"/>
        </w:rPr>
        <w:t>l</w:t>
      </w:r>
      <w:r w:rsidR="00612494" w:rsidRPr="00612494">
        <w:rPr>
          <w:rFonts w:cstheme="minorHAnsi"/>
        </w:rPr>
        <w:t xml:space="preserve">a modificación de una Disposición de carácter general ya conocida, </w:t>
      </w:r>
      <w:r>
        <w:rPr>
          <w:rFonts w:cstheme="minorHAnsi"/>
        </w:rPr>
        <w:t xml:space="preserve">que genera una simplificación administrativa y mejora regulatoria, la entrada </w:t>
      </w:r>
      <w:r>
        <w:rPr>
          <w:rFonts w:cstheme="minorHAnsi"/>
        </w:rPr>
        <w:lastRenderedPageBreak/>
        <w:t xml:space="preserve">en vigor al día siguiente de su publicación en el </w:t>
      </w:r>
      <w:r w:rsidR="003C0709">
        <w:rPr>
          <w:rFonts w:cstheme="minorHAnsi"/>
        </w:rPr>
        <w:t>DOF</w:t>
      </w:r>
      <w:r>
        <w:rPr>
          <w:rFonts w:cstheme="minorHAnsi"/>
        </w:rPr>
        <w:t>, no afecta la seguridad jurídica de los particulares</w:t>
      </w:r>
      <w:r w:rsidR="00612494" w:rsidRPr="00612494">
        <w:rPr>
          <w:rFonts w:cstheme="minorHAnsi"/>
        </w:rPr>
        <w:t>.</w:t>
      </w:r>
    </w:p>
    <w:p w14:paraId="0F21E954" w14:textId="101670E7" w:rsidR="00612494" w:rsidRDefault="00612494" w:rsidP="000603C3">
      <w:pPr>
        <w:spacing w:after="0"/>
        <w:jc w:val="both"/>
        <w:rPr>
          <w:rFonts w:cstheme="minorHAnsi"/>
        </w:rPr>
      </w:pPr>
    </w:p>
    <w:p w14:paraId="47F610C1" w14:textId="77777777" w:rsidR="003C0709" w:rsidRDefault="003C0709" w:rsidP="000603C3">
      <w:pPr>
        <w:spacing w:after="0"/>
        <w:jc w:val="both"/>
        <w:rPr>
          <w:rFonts w:cstheme="minorHAnsi"/>
        </w:rPr>
      </w:pPr>
    </w:p>
    <w:p w14:paraId="53D49F48" w14:textId="77777777" w:rsidR="00FD2379" w:rsidRPr="003C0709" w:rsidRDefault="00FD2379" w:rsidP="00FD2379">
      <w:pPr>
        <w:spacing w:after="0"/>
        <w:jc w:val="center"/>
        <w:rPr>
          <w:rFonts w:cstheme="minorHAnsi"/>
          <w:b/>
        </w:rPr>
      </w:pPr>
      <w:r w:rsidRPr="003C0709">
        <w:rPr>
          <w:rFonts w:cstheme="minorHAnsi"/>
          <w:b/>
        </w:rPr>
        <w:t>Transitorio segundo</w:t>
      </w:r>
    </w:p>
    <w:p w14:paraId="1EEF7BE7" w14:textId="77777777" w:rsidR="00CD701C" w:rsidRPr="00066536" w:rsidRDefault="00CD701C" w:rsidP="000603C3">
      <w:pPr>
        <w:spacing w:after="0"/>
        <w:jc w:val="both"/>
        <w:rPr>
          <w:rFonts w:cstheme="minorHAnsi"/>
        </w:rPr>
      </w:pPr>
    </w:p>
    <w:p w14:paraId="78667DF9" w14:textId="0E7ACB36" w:rsidR="007352A3" w:rsidRPr="00066536" w:rsidRDefault="00ED6744" w:rsidP="000603C3">
      <w:pPr>
        <w:spacing w:after="0"/>
        <w:jc w:val="both"/>
        <w:rPr>
          <w:rFonts w:cstheme="minorHAnsi"/>
        </w:rPr>
      </w:pPr>
      <w:r>
        <w:rPr>
          <w:rFonts w:cstheme="minorHAnsi"/>
        </w:rPr>
        <w:t xml:space="preserve">Se recibieron comentarios apoyando que mediante las modificaciones propuestas y particularmente en este artículo transitorio, se </w:t>
      </w:r>
      <w:r w:rsidR="00512A76" w:rsidRPr="00066536">
        <w:rPr>
          <w:rFonts w:cstheme="minorHAnsi"/>
        </w:rPr>
        <w:t>de</w:t>
      </w:r>
      <w:r>
        <w:rPr>
          <w:rFonts w:cstheme="minorHAnsi"/>
        </w:rPr>
        <w:t xml:space="preserve">je sin efectos </w:t>
      </w:r>
      <w:r w:rsidR="00512A76" w:rsidRPr="00066536">
        <w:rPr>
          <w:rFonts w:cstheme="minorHAnsi"/>
        </w:rPr>
        <w:t>el segundo párrafo del artículo 28</w:t>
      </w:r>
      <w:r w:rsidR="003C0709">
        <w:rPr>
          <w:rFonts w:cstheme="minorHAnsi"/>
        </w:rPr>
        <w:t>,</w:t>
      </w:r>
      <w:r w:rsidR="00512A76" w:rsidRPr="00066536">
        <w:rPr>
          <w:rFonts w:cstheme="minorHAnsi"/>
        </w:rPr>
        <w:t xml:space="preserve"> y</w:t>
      </w:r>
      <w:r w:rsidR="007352A3" w:rsidRPr="00066536">
        <w:rPr>
          <w:rFonts w:cstheme="minorHAnsi"/>
        </w:rPr>
        <w:t xml:space="preserve"> </w:t>
      </w:r>
      <w:r w:rsidR="00512A76" w:rsidRPr="00066536">
        <w:rPr>
          <w:rFonts w:cstheme="minorHAnsi"/>
        </w:rPr>
        <w:t>segundo párrafo del artículo 35</w:t>
      </w:r>
      <w:r w:rsidR="003C0709">
        <w:rPr>
          <w:rFonts w:cstheme="minorHAnsi"/>
        </w:rPr>
        <w:t>,</w:t>
      </w:r>
      <w:r w:rsidR="00512A76" w:rsidRPr="00066536">
        <w:rPr>
          <w:rFonts w:cstheme="minorHAnsi"/>
        </w:rPr>
        <w:t xml:space="preserve"> del Reglamento de Comunicación Vía Satélite publicado en el D</w:t>
      </w:r>
      <w:r w:rsidR="003C0709">
        <w:rPr>
          <w:rFonts w:cstheme="minorHAnsi"/>
        </w:rPr>
        <w:t>OF</w:t>
      </w:r>
      <w:r w:rsidR="007352A3" w:rsidRPr="00066536">
        <w:rPr>
          <w:rFonts w:cstheme="minorHAnsi"/>
        </w:rPr>
        <w:t xml:space="preserve"> el 1 de agosto de 1997</w:t>
      </w:r>
      <w:r>
        <w:rPr>
          <w:rFonts w:cstheme="minorHAnsi"/>
        </w:rPr>
        <w:t xml:space="preserve">, al considerar que </w:t>
      </w:r>
      <w:r w:rsidR="003C0709">
        <w:rPr>
          <w:rFonts w:cstheme="minorHAnsi"/>
        </w:rPr>
        <w:t xml:space="preserve">dicho </w:t>
      </w:r>
      <w:r w:rsidR="00512A76" w:rsidRPr="00066536">
        <w:rPr>
          <w:rFonts w:cstheme="minorHAnsi"/>
        </w:rPr>
        <w:t>Reglamento se contrapone a la Ley Federal de Telecomunicaciones y Radiodifusión, que promueve la competencia y disminuye las barreras de entrada.</w:t>
      </w:r>
      <w:r>
        <w:rPr>
          <w:rFonts w:cstheme="minorHAnsi"/>
        </w:rPr>
        <w:t xml:space="preserve"> Respecto de lo cual el Instituto </w:t>
      </w:r>
      <w:r w:rsidR="003C0709">
        <w:rPr>
          <w:rFonts w:cstheme="minorHAnsi"/>
        </w:rPr>
        <w:t>coincide con tales comentarios</w:t>
      </w:r>
      <w:r>
        <w:rPr>
          <w:rFonts w:cstheme="minorHAnsi"/>
        </w:rPr>
        <w:t>.</w:t>
      </w:r>
    </w:p>
    <w:p w14:paraId="74F69723" w14:textId="04C492BD" w:rsidR="007352A3" w:rsidRDefault="007352A3" w:rsidP="00ED6744">
      <w:pPr>
        <w:spacing w:after="0"/>
        <w:rPr>
          <w:rFonts w:cstheme="minorHAnsi"/>
        </w:rPr>
      </w:pPr>
    </w:p>
    <w:p w14:paraId="043E08A6" w14:textId="77777777" w:rsidR="003C0709" w:rsidRPr="00066536" w:rsidRDefault="003C0709" w:rsidP="00ED6744">
      <w:pPr>
        <w:spacing w:after="0"/>
        <w:rPr>
          <w:rFonts w:cstheme="minorHAnsi"/>
        </w:rPr>
      </w:pPr>
    </w:p>
    <w:p w14:paraId="331112BA" w14:textId="77777777" w:rsidR="00066536" w:rsidRPr="003C0709" w:rsidRDefault="00066536" w:rsidP="00066536">
      <w:pPr>
        <w:spacing w:after="0"/>
        <w:jc w:val="center"/>
        <w:rPr>
          <w:rFonts w:cstheme="minorHAnsi"/>
          <w:b/>
        </w:rPr>
      </w:pPr>
      <w:r w:rsidRPr="003C0709">
        <w:rPr>
          <w:rFonts w:cstheme="minorHAnsi"/>
          <w:b/>
        </w:rPr>
        <w:t>Transitorio Tercero</w:t>
      </w:r>
    </w:p>
    <w:p w14:paraId="0B56011C" w14:textId="77777777" w:rsidR="00612494" w:rsidRPr="0098075A" w:rsidRDefault="00612494" w:rsidP="00FD2379">
      <w:pPr>
        <w:spacing w:after="0"/>
        <w:jc w:val="both"/>
        <w:rPr>
          <w:rFonts w:cstheme="minorHAnsi"/>
        </w:rPr>
      </w:pPr>
    </w:p>
    <w:p w14:paraId="582A70C5" w14:textId="503455E6" w:rsidR="00D029D0" w:rsidRPr="00066536" w:rsidRDefault="00101A9E" w:rsidP="000603C3">
      <w:pPr>
        <w:spacing w:after="0"/>
        <w:jc w:val="both"/>
        <w:rPr>
          <w:rFonts w:cstheme="minorHAnsi"/>
        </w:rPr>
      </w:pPr>
      <w:r>
        <w:rPr>
          <w:rFonts w:cstheme="minorHAnsi"/>
        </w:rPr>
        <w:t xml:space="preserve">Los comentarios sobre este artículo transitorio, para precisar que la tramitación de las </w:t>
      </w:r>
      <w:r w:rsidR="00512A76" w:rsidRPr="00066536">
        <w:rPr>
          <w:rFonts w:cstheme="minorHAnsi"/>
        </w:rPr>
        <w:t xml:space="preserve">solicitudes </w:t>
      </w:r>
      <w:r>
        <w:rPr>
          <w:rFonts w:cstheme="minorHAnsi"/>
        </w:rPr>
        <w:t xml:space="preserve">de </w:t>
      </w:r>
      <w:r w:rsidR="00512A76" w:rsidRPr="00066536">
        <w:rPr>
          <w:rFonts w:cstheme="minorHAnsi"/>
        </w:rPr>
        <w:t>Autorizaci</w:t>
      </w:r>
      <w:r>
        <w:rPr>
          <w:rFonts w:cstheme="minorHAnsi"/>
        </w:rPr>
        <w:t xml:space="preserve">ones </w:t>
      </w:r>
      <w:r w:rsidR="00512A76" w:rsidRPr="00066536">
        <w:rPr>
          <w:rFonts w:cstheme="minorHAnsi"/>
        </w:rPr>
        <w:t>por las actividades a las que se refiere el artículo 170 de la Ley Federal de Telecomunicaciones y Radiodifusión, presentadas ante el Instituto con anterioridad a la entrada en vigor de las modificaciones a las Reglas</w:t>
      </w:r>
      <w:r>
        <w:rPr>
          <w:rFonts w:cstheme="minorHAnsi"/>
        </w:rPr>
        <w:t xml:space="preserve"> de carácter general</w:t>
      </w:r>
      <w:r w:rsidR="00512A76" w:rsidRPr="00066536">
        <w:rPr>
          <w:rFonts w:cstheme="minorHAnsi"/>
        </w:rPr>
        <w:t xml:space="preserve">, continuarán su trámite </w:t>
      </w:r>
      <w:r w:rsidR="00512A76" w:rsidRPr="0098075A">
        <w:rPr>
          <w:rFonts w:cstheme="minorHAnsi"/>
        </w:rPr>
        <w:t>conforme</w:t>
      </w:r>
      <w:r w:rsidR="00512A76" w:rsidRPr="00066536">
        <w:rPr>
          <w:rFonts w:cstheme="minorHAnsi"/>
        </w:rPr>
        <w:t xml:space="preserve"> a la normatividad aplicable al momento de su presentación</w:t>
      </w:r>
      <w:r>
        <w:rPr>
          <w:rFonts w:cstheme="minorHAnsi"/>
        </w:rPr>
        <w:t>, es adecuada, por lo que el Instituto acepta los comentarios.</w:t>
      </w:r>
    </w:p>
    <w:p w14:paraId="65FD67BD" w14:textId="17D288AC" w:rsidR="0088318E" w:rsidRDefault="0088318E" w:rsidP="000603C3">
      <w:pPr>
        <w:spacing w:after="0"/>
        <w:jc w:val="both"/>
        <w:rPr>
          <w:rFonts w:cstheme="minorHAnsi"/>
        </w:rPr>
      </w:pPr>
    </w:p>
    <w:p w14:paraId="02D1EEDA" w14:textId="77777777" w:rsidR="003C0709" w:rsidRPr="00066536" w:rsidRDefault="003C0709" w:rsidP="000603C3">
      <w:pPr>
        <w:spacing w:after="0"/>
        <w:jc w:val="both"/>
        <w:rPr>
          <w:rFonts w:cstheme="minorHAnsi"/>
        </w:rPr>
      </w:pPr>
    </w:p>
    <w:p w14:paraId="1A8EF94B" w14:textId="4AC4D5CB" w:rsidR="00D87D2C" w:rsidRDefault="00FD2379" w:rsidP="00FD2379">
      <w:pPr>
        <w:spacing w:after="0"/>
        <w:jc w:val="center"/>
        <w:rPr>
          <w:rFonts w:cstheme="minorHAnsi"/>
          <w:b/>
        </w:rPr>
      </w:pPr>
      <w:r w:rsidRPr="003C0709">
        <w:rPr>
          <w:rFonts w:cstheme="minorHAnsi"/>
          <w:b/>
        </w:rPr>
        <w:t>Formatos</w:t>
      </w:r>
    </w:p>
    <w:p w14:paraId="7C4ABA37" w14:textId="77777777" w:rsidR="003C0709" w:rsidRPr="003C0709" w:rsidRDefault="003C0709" w:rsidP="00FD2379">
      <w:pPr>
        <w:spacing w:after="0"/>
        <w:jc w:val="center"/>
        <w:rPr>
          <w:rFonts w:cstheme="minorHAnsi"/>
          <w:b/>
        </w:rPr>
      </w:pPr>
    </w:p>
    <w:p w14:paraId="73456FBB" w14:textId="0FD033B4" w:rsidR="00D87D2C" w:rsidRPr="003C0709" w:rsidRDefault="00D87D2C" w:rsidP="003C0709">
      <w:pPr>
        <w:spacing w:after="0"/>
        <w:jc w:val="center"/>
        <w:rPr>
          <w:rFonts w:cstheme="minorHAnsi"/>
          <w:b/>
        </w:rPr>
      </w:pPr>
      <w:r w:rsidRPr="003C0709">
        <w:rPr>
          <w:rFonts w:cstheme="minorHAnsi"/>
          <w:b/>
        </w:rPr>
        <w:t>Formato IFT-Autorización-B y</w:t>
      </w:r>
      <w:r w:rsidR="00E27522" w:rsidRPr="003C0709">
        <w:rPr>
          <w:rFonts w:cstheme="minorHAnsi"/>
          <w:b/>
        </w:rPr>
        <w:t xml:space="preserve"> </w:t>
      </w:r>
      <w:r w:rsidRPr="003C0709">
        <w:rPr>
          <w:rFonts w:cstheme="minorHAnsi"/>
          <w:b/>
        </w:rPr>
        <w:t>C</w:t>
      </w:r>
      <w:r w:rsidR="00E27522" w:rsidRPr="003C0709">
        <w:rPr>
          <w:rFonts w:cstheme="minorHAnsi"/>
          <w:b/>
        </w:rPr>
        <w:t>:</w:t>
      </w:r>
    </w:p>
    <w:p w14:paraId="23FB74FC" w14:textId="7017F108" w:rsidR="00D87D2C" w:rsidRDefault="00E27522" w:rsidP="003C0709">
      <w:pPr>
        <w:spacing w:after="0"/>
        <w:jc w:val="center"/>
        <w:rPr>
          <w:rFonts w:cstheme="minorHAnsi"/>
          <w:b/>
        </w:rPr>
      </w:pPr>
      <w:r>
        <w:rPr>
          <w:rFonts w:cstheme="minorHAnsi"/>
          <w:b/>
        </w:rPr>
        <w:t xml:space="preserve">Estaciones terrenas y </w:t>
      </w:r>
      <w:r w:rsidRPr="00E27522">
        <w:rPr>
          <w:rFonts w:cstheme="minorHAnsi"/>
          <w:b/>
        </w:rPr>
        <w:t>sat</w:t>
      </w:r>
      <w:r>
        <w:rPr>
          <w:rFonts w:cstheme="minorHAnsi"/>
          <w:b/>
        </w:rPr>
        <w:t>é</w:t>
      </w:r>
      <w:r w:rsidRPr="00E27522">
        <w:rPr>
          <w:rFonts w:cstheme="minorHAnsi"/>
          <w:b/>
        </w:rPr>
        <w:t>lites extranjeros</w:t>
      </w:r>
      <w:r>
        <w:rPr>
          <w:rFonts w:cstheme="minorHAnsi"/>
          <w:b/>
        </w:rPr>
        <w:t>.</w:t>
      </w:r>
    </w:p>
    <w:p w14:paraId="6186B7CA" w14:textId="77777777" w:rsidR="00E27522" w:rsidRPr="00E27522" w:rsidRDefault="00E27522" w:rsidP="00D87D2C">
      <w:pPr>
        <w:spacing w:after="0"/>
        <w:jc w:val="both"/>
        <w:rPr>
          <w:rFonts w:cstheme="minorHAnsi"/>
          <w:b/>
        </w:rPr>
      </w:pPr>
    </w:p>
    <w:p w14:paraId="6B7822D7" w14:textId="20DAEE60" w:rsidR="00D87D2C" w:rsidRDefault="00E27522" w:rsidP="00D87D2C">
      <w:pPr>
        <w:spacing w:after="0"/>
        <w:jc w:val="both"/>
        <w:rPr>
          <w:rFonts w:cstheme="minorHAnsi"/>
        </w:rPr>
      </w:pPr>
      <w:r>
        <w:rPr>
          <w:rFonts w:cstheme="minorHAnsi"/>
        </w:rPr>
        <w:t>Se recibieron comentarios proponiendo ajustes a estos formatos respecto a</w:t>
      </w:r>
      <w:r w:rsidR="00D87D2C" w:rsidRPr="00066536">
        <w:rPr>
          <w:rFonts w:cstheme="minorHAnsi"/>
        </w:rPr>
        <w:t>:</w:t>
      </w:r>
    </w:p>
    <w:p w14:paraId="09F79DF6" w14:textId="77777777" w:rsidR="003C0709" w:rsidRPr="00066536" w:rsidRDefault="003C0709" w:rsidP="00D87D2C">
      <w:pPr>
        <w:spacing w:after="0"/>
        <w:jc w:val="both"/>
        <w:rPr>
          <w:rFonts w:cstheme="minorHAnsi"/>
        </w:rPr>
      </w:pPr>
    </w:p>
    <w:p w14:paraId="7ADD8531" w14:textId="3C41CBAA" w:rsidR="00D87D2C" w:rsidRDefault="00D87D2C" w:rsidP="00D87D2C">
      <w:pPr>
        <w:spacing w:after="0"/>
        <w:jc w:val="both"/>
        <w:rPr>
          <w:rFonts w:cstheme="minorHAnsi"/>
        </w:rPr>
      </w:pPr>
      <w:r w:rsidRPr="003C0709">
        <w:rPr>
          <w:rFonts w:cstheme="minorHAnsi"/>
          <w:b/>
        </w:rPr>
        <w:t>1.-</w:t>
      </w:r>
      <w:r w:rsidRPr="00066536">
        <w:rPr>
          <w:rFonts w:cstheme="minorHAnsi"/>
        </w:rPr>
        <w:t xml:space="preserve"> Simplificación de la información del FORMATO DE SOLICITUD DE AUTORIZACIÓN PARA INSTALAR, OPERAR O EXPLOTAR ESTACIONES TERRENAS PARA TRANSMITIR SEÑALES SATELITALES (FORMATO IFT-AUTORIZACION-B) sometido a Consulta, suprimiendo la información que se solicita en los campos correspondientes a Antena(s), Transmisor(es) y Señal, debido a que dicha información se proporciona en el campo: Documentación que acredite las características técnicas.</w:t>
      </w:r>
    </w:p>
    <w:p w14:paraId="432F10E0" w14:textId="7FA72C3A" w:rsidR="004762EA" w:rsidRDefault="004762EA" w:rsidP="00D87D2C">
      <w:pPr>
        <w:spacing w:after="0"/>
        <w:jc w:val="both"/>
        <w:rPr>
          <w:rFonts w:cstheme="minorHAnsi"/>
        </w:rPr>
      </w:pPr>
    </w:p>
    <w:p w14:paraId="0D5F0F96" w14:textId="59D6CF48" w:rsidR="004762EA" w:rsidRDefault="004762EA" w:rsidP="00D87D2C">
      <w:pPr>
        <w:spacing w:after="0"/>
        <w:jc w:val="both"/>
        <w:rPr>
          <w:rFonts w:cstheme="minorHAnsi"/>
        </w:rPr>
      </w:pPr>
      <w:r w:rsidRPr="003C0709">
        <w:rPr>
          <w:rFonts w:cstheme="minorHAnsi"/>
        </w:rPr>
        <w:t>Al respecto, el Instituto señala que el Formato se creó para facilitar la integración de las solicitudes y permitir un análisis técnico expedito ya que contiene los datos técnicos de operación, mientras que la "Documentación que acredita las características técnicas" refiere datos de fábrica los cuales ayudan a la comprobación del análisis técnico.</w:t>
      </w:r>
      <w:r w:rsidR="008E66C1" w:rsidRPr="003C0709">
        <w:rPr>
          <w:rFonts w:cstheme="minorHAnsi"/>
        </w:rPr>
        <w:t xml:space="preserve"> Por lo que no </w:t>
      </w:r>
      <w:r w:rsidR="00755234" w:rsidRPr="003C0709">
        <w:rPr>
          <w:rFonts w:cstheme="minorHAnsi"/>
        </w:rPr>
        <w:t>es necesario modificar</w:t>
      </w:r>
      <w:r w:rsidR="008E66C1" w:rsidRPr="003C0709">
        <w:rPr>
          <w:rFonts w:cstheme="minorHAnsi"/>
        </w:rPr>
        <w:t xml:space="preserve"> el Formato B.</w:t>
      </w:r>
    </w:p>
    <w:p w14:paraId="0F2EF254" w14:textId="77777777" w:rsidR="004762EA" w:rsidRDefault="004762EA" w:rsidP="00D87D2C">
      <w:pPr>
        <w:spacing w:after="0"/>
        <w:jc w:val="both"/>
        <w:rPr>
          <w:rFonts w:cstheme="minorHAnsi"/>
        </w:rPr>
      </w:pPr>
    </w:p>
    <w:p w14:paraId="1F4BB48B" w14:textId="6BA4C686" w:rsidR="00D87D2C" w:rsidRPr="00066536" w:rsidRDefault="00D87D2C" w:rsidP="00D87D2C">
      <w:pPr>
        <w:spacing w:after="0"/>
        <w:jc w:val="both"/>
        <w:rPr>
          <w:rFonts w:cstheme="minorHAnsi"/>
        </w:rPr>
      </w:pPr>
      <w:r w:rsidRPr="003C0709">
        <w:rPr>
          <w:rFonts w:cstheme="minorHAnsi"/>
          <w:b/>
        </w:rPr>
        <w:t>2.-</w:t>
      </w:r>
      <w:r w:rsidRPr="00066536">
        <w:rPr>
          <w:rFonts w:cstheme="minorHAnsi"/>
        </w:rPr>
        <w:t xml:space="preserve"> Simplificación de la información del FORMATO DE SOLICITUD DE AUTORIZACIÓN PARA EXPLOTAR DERECHOS DE EMISIÓN Y RECEPCIÓN DE SEÑALES Y BANDAS DE FRECUENCIAS ASOCIADOS A </w:t>
      </w:r>
      <w:r w:rsidRPr="00066536">
        <w:rPr>
          <w:rFonts w:cstheme="minorHAnsi"/>
        </w:rPr>
        <w:lastRenderedPageBreak/>
        <w:t>SISTEMAS SATELITALES EXTRANJEROS (FORMATO IFT-AUTORIZACIÓN-C) sometido a consulta, suprimiendo en Características generales del satélite, la necesidad de proporcionar el Número total de transpondedores (configuración de carga) por ser información irrelevante para la autorización.</w:t>
      </w:r>
    </w:p>
    <w:p w14:paraId="74D224FE" w14:textId="7E2F68F0" w:rsidR="00E27522" w:rsidRDefault="00E27522" w:rsidP="00D87D2C">
      <w:pPr>
        <w:spacing w:after="0"/>
        <w:jc w:val="both"/>
        <w:rPr>
          <w:rFonts w:cstheme="minorHAnsi"/>
        </w:rPr>
      </w:pPr>
    </w:p>
    <w:p w14:paraId="2AE44ABA" w14:textId="05AE2F50" w:rsidR="00E27522" w:rsidRPr="00E27522" w:rsidRDefault="00E27522" w:rsidP="00E27522">
      <w:pPr>
        <w:spacing w:after="0"/>
        <w:jc w:val="both"/>
        <w:rPr>
          <w:rFonts w:cstheme="minorHAnsi"/>
        </w:rPr>
      </w:pPr>
      <w:r w:rsidRPr="00E27522">
        <w:rPr>
          <w:rFonts w:cstheme="minorHAnsi"/>
        </w:rPr>
        <w:t xml:space="preserve">Adicionalmente, </w:t>
      </w:r>
      <w:r w:rsidR="006F57FD">
        <w:rPr>
          <w:rFonts w:cstheme="minorHAnsi"/>
        </w:rPr>
        <w:t xml:space="preserve">respecto al </w:t>
      </w:r>
      <w:r w:rsidRPr="00E27522">
        <w:rPr>
          <w:rFonts w:cstheme="minorHAnsi"/>
        </w:rPr>
        <w:t>FORMATO IFT</w:t>
      </w:r>
      <w:r w:rsidR="006F57FD">
        <w:rPr>
          <w:rFonts w:cstheme="minorHAnsi"/>
        </w:rPr>
        <w:t xml:space="preserve"> </w:t>
      </w:r>
      <w:r w:rsidRPr="00E27522">
        <w:rPr>
          <w:rFonts w:cstheme="minorHAnsi"/>
        </w:rPr>
        <w:t>AUTORIZACION-C Modificado, en el que se propone incluir la información del proceso de Coordinación y Notificación, así como el Registro del Sistema Satelital ante la UIT, con esto se asegura que el Sistema Satelital ya tiene el reconocimiento internacional de su Posición u Órbita Satelital con sus bandas de frecuencias asociadas y está en disponibilidad de iniciar la prestación comercial de los servicios. Se propone cambiar el rubro de “Vida útil” por “Fecha de inicio comercial de prestación de servicios”. En el rubro de documentación, se incluye la presentación de la Copia del registro de conclusión del proceso de coordinación y presentación de la información de notificación y registro de los satélites ante UIT.</w:t>
      </w:r>
    </w:p>
    <w:p w14:paraId="558ECF93" w14:textId="77777777" w:rsidR="008E66C1" w:rsidRDefault="008E66C1" w:rsidP="00D87D2C">
      <w:pPr>
        <w:spacing w:after="0"/>
        <w:jc w:val="both"/>
        <w:rPr>
          <w:rFonts w:cstheme="minorHAnsi"/>
        </w:rPr>
      </w:pPr>
    </w:p>
    <w:p w14:paraId="56C68E8B" w14:textId="1F9965D9" w:rsidR="00D87D2C" w:rsidRPr="00066536" w:rsidRDefault="008E66C1" w:rsidP="00D87D2C">
      <w:pPr>
        <w:spacing w:after="0"/>
        <w:jc w:val="both"/>
        <w:rPr>
          <w:rFonts w:cstheme="minorHAnsi"/>
        </w:rPr>
      </w:pPr>
      <w:r w:rsidRPr="003C0709">
        <w:rPr>
          <w:rFonts w:cstheme="minorHAnsi"/>
        </w:rPr>
        <w:t>Derivado de las propuestas,</w:t>
      </w:r>
      <w:r w:rsidR="006F57FD" w:rsidRPr="003C0709">
        <w:rPr>
          <w:rFonts w:cstheme="minorHAnsi"/>
        </w:rPr>
        <w:t xml:space="preserve"> el Instituto </w:t>
      </w:r>
      <w:r w:rsidR="00093A5F" w:rsidRPr="003C0709">
        <w:rPr>
          <w:rFonts w:cstheme="minorHAnsi"/>
        </w:rPr>
        <w:t xml:space="preserve">toma en cuenta el comentario referente a incluir el Registro del Sistema Satelital y realiza los ajustes necesarios. Por otro lado, el propio Instituto </w:t>
      </w:r>
      <w:r w:rsidR="006F57FD" w:rsidRPr="003C0709">
        <w:rPr>
          <w:rFonts w:cstheme="minorHAnsi"/>
        </w:rPr>
        <w:t>señala que</w:t>
      </w:r>
      <w:r w:rsidRPr="003C0709">
        <w:rPr>
          <w:rFonts w:cstheme="minorHAnsi"/>
        </w:rPr>
        <w:t xml:space="preserve"> los datos solicitados en el Formato </w:t>
      </w:r>
      <w:r w:rsidR="00795BFD" w:rsidRPr="003C0709">
        <w:rPr>
          <w:rFonts w:cstheme="minorHAnsi"/>
        </w:rPr>
        <w:t xml:space="preserve">son los mínimos indispensables para conformar </w:t>
      </w:r>
      <w:r w:rsidR="00C305BE" w:rsidRPr="003C0709">
        <w:rPr>
          <w:rFonts w:cstheme="minorHAnsi"/>
        </w:rPr>
        <w:t>e</w:t>
      </w:r>
      <w:r w:rsidR="00795BFD" w:rsidRPr="003C0709">
        <w:rPr>
          <w:rFonts w:cstheme="minorHAnsi"/>
        </w:rPr>
        <w:t xml:space="preserve">l anexo técnico de los </w:t>
      </w:r>
      <w:r w:rsidRPr="003C0709">
        <w:rPr>
          <w:rFonts w:cstheme="minorHAnsi"/>
        </w:rPr>
        <w:t>Títulos de Autorización</w:t>
      </w:r>
      <w:r w:rsidR="00C305BE" w:rsidRPr="003C0709">
        <w:rPr>
          <w:rFonts w:cstheme="minorHAnsi"/>
        </w:rPr>
        <w:t>;</w:t>
      </w:r>
      <w:r w:rsidR="00795BFD" w:rsidRPr="003C0709">
        <w:rPr>
          <w:rFonts w:cstheme="minorHAnsi"/>
        </w:rPr>
        <w:t xml:space="preserve"> </w:t>
      </w:r>
      <w:r w:rsidR="00093A5F" w:rsidRPr="003C0709">
        <w:rPr>
          <w:rFonts w:cstheme="minorHAnsi"/>
        </w:rPr>
        <w:t>adicionalmente</w:t>
      </w:r>
      <w:r w:rsidR="00C305BE" w:rsidRPr="003C0709">
        <w:rPr>
          <w:rFonts w:cstheme="minorHAnsi"/>
        </w:rPr>
        <w:t xml:space="preserve"> datos como fechas de lanzamiento o vida útil del satélite </w:t>
      </w:r>
      <w:r w:rsidR="00093A5F" w:rsidRPr="003C0709">
        <w:rPr>
          <w:rFonts w:cstheme="minorHAnsi"/>
        </w:rPr>
        <w:t xml:space="preserve">permiten conocer el estado y viabilidad del uso del satélite en el territorio nacional, </w:t>
      </w:r>
      <w:r w:rsidR="00755234" w:rsidRPr="003C0709">
        <w:rPr>
          <w:rFonts w:cstheme="minorHAnsi"/>
        </w:rPr>
        <w:t xml:space="preserve">por lo que no es necesario modificar </w:t>
      </w:r>
      <w:r w:rsidR="00093A5F" w:rsidRPr="003C0709">
        <w:rPr>
          <w:rFonts w:cstheme="minorHAnsi"/>
        </w:rPr>
        <w:t xml:space="preserve">los demás rubros del </w:t>
      </w:r>
      <w:r w:rsidR="00755234" w:rsidRPr="003C0709">
        <w:rPr>
          <w:rFonts w:cstheme="minorHAnsi"/>
        </w:rPr>
        <w:t xml:space="preserve">Formato </w:t>
      </w:r>
      <w:r w:rsidR="00D87D2C" w:rsidRPr="003C0709">
        <w:rPr>
          <w:rFonts w:cstheme="minorHAnsi"/>
        </w:rPr>
        <w:t>C.</w:t>
      </w:r>
    </w:p>
    <w:sectPr w:rsidR="00D87D2C" w:rsidRPr="000665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FCE026"/>
    <w:lvl w:ilvl="0">
      <w:start w:val="1"/>
      <w:numFmt w:val="bullet"/>
      <w:pStyle w:val="Listaconvietas"/>
      <w:lvlText w:val=""/>
      <w:lvlJc w:val="left"/>
      <w:pPr>
        <w:tabs>
          <w:tab w:val="num" w:pos="426"/>
        </w:tabs>
        <w:ind w:left="426" w:hanging="360"/>
      </w:pPr>
      <w:rPr>
        <w:rFonts w:ascii="Symbol" w:hAnsi="Symbol" w:hint="default"/>
      </w:rPr>
    </w:lvl>
  </w:abstractNum>
  <w:abstractNum w:abstractNumId="1" w15:restartNumberingAfterBreak="0">
    <w:nsid w:val="0C165CEC"/>
    <w:multiLevelType w:val="hybridMultilevel"/>
    <w:tmpl w:val="37983B8E"/>
    <w:lvl w:ilvl="0" w:tplc="1A36D800">
      <w:start w:val="1"/>
      <w:numFmt w:val="decimal"/>
      <w:lvlText w:val="%1."/>
      <w:lvlJc w:val="left"/>
      <w:pPr>
        <w:ind w:left="1120" w:hanging="7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A110F2"/>
    <w:multiLevelType w:val="hybridMultilevel"/>
    <w:tmpl w:val="C2A60D20"/>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DAC6199"/>
    <w:multiLevelType w:val="hybridMultilevel"/>
    <w:tmpl w:val="4F9ED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76"/>
    <w:rsid w:val="000267F5"/>
    <w:rsid w:val="00031916"/>
    <w:rsid w:val="00051EC6"/>
    <w:rsid w:val="000603C3"/>
    <w:rsid w:val="00063819"/>
    <w:rsid w:val="00064C88"/>
    <w:rsid w:val="00066536"/>
    <w:rsid w:val="00074C77"/>
    <w:rsid w:val="00091DF6"/>
    <w:rsid w:val="00093A5F"/>
    <w:rsid w:val="0009685D"/>
    <w:rsid w:val="00101A9E"/>
    <w:rsid w:val="0010294A"/>
    <w:rsid w:val="00117368"/>
    <w:rsid w:val="00166447"/>
    <w:rsid w:val="00185C46"/>
    <w:rsid w:val="0019782D"/>
    <w:rsid w:val="001B36BC"/>
    <w:rsid w:val="001C10C9"/>
    <w:rsid w:val="001D66EC"/>
    <w:rsid w:val="002273F5"/>
    <w:rsid w:val="002513C0"/>
    <w:rsid w:val="00251A88"/>
    <w:rsid w:val="00272FD3"/>
    <w:rsid w:val="0027729E"/>
    <w:rsid w:val="00294C49"/>
    <w:rsid w:val="00295E88"/>
    <w:rsid w:val="002B15E4"/>
    <w:rsid w:val="002B35ED"/>
    <w:rsid w:val="002B6469"/>
    <w:rsid w:val="002D164A"/>
    <w:rsid w:val="002E247E"/>
    <w:rsid w:val="002E2D28"/>
    <w:rsid w:val="002F75C9"/>
    <w:rsid w:val="00302307"/>
    <w:rsid w:val="00361ED3"/>
    <w:rsid w:val="003647DD"/>
    <w:rsid w:val="003659C0"/>
    <w:rsid w:val="003744B2"/>
    <w:rsid w:val="00377210"/>
    <w:rsid w:val="00385D14"/>
    <w:rsid w:val="003B6E23"/>
    <w:rsid w:val="003C0709"/>
    <w:rsid w:val="0045432B"/>
    <w:rsid w:val="00461A93"/>
    <w:rsid w:val="004762EA"/>
    <w:rsid w:val="00484F4F"/>
    <w:rsid w:val="004C3A76"/>
    <w:rsid w:val="004D5CEC"/>
    <w:rsid w:val="004F326B"/>
    <w:rsid w:val="00503A59"/>
    <w:rsid w:val="00512A76"/>
    <w:rsid w:val="005371D4"/>
    <w:rsid w:val="00560E73"/>
    <w:rsid w:val="00576552"/>
    <w:rsid w:val="0058199B"/>
    <w:rsid w:val="005849FE"/>
    <w:rsid w:val="00595660"/>
    <w:rsid w:val="005A1BB6"/>
    <w:rsid w:val="005A764D"/>
    <w:rsid w:val="00612494"/>
    <w:rsid w:val="00652F60"/>
    <w:rsid w:val="00663918"/>
    <w:rsid w:val="006A54DB"/>
    <w:rsid w:val="006A5751"/>
    <w:rsid w:val="006B5E98"/>
    <w:rsid w:val="006C7035"/>
    <w:rsid w:val="006E0F52"/>
    <w:rsid w:val="006F57FD"/>
    <w:rsid w:val="00700EE4"/>
    <w:rsid w:val="0070179A"/>
    <w:rsid w:val="0070745E"/>
    <w:rsid w:val="00711D25"/>
    <w:rsid w:val="007352A3"/>
    <w:rsid w:val="00755234"/>
    <w:rsid w:val="00765865"/>
    <w:rsid w:val="007821DF"/>
    <w:rsid w:val="00795BFD"/>
    <w:rsid w:val="007A681D"/>
    <w:rsid w:val="007C7691"/>
    <w:rsid w:val="00810B21"/>
    <w:rsid w:val="00820D02"/>
    <w:rsid w:val="008266A9"/>
    <w:rsid w:val="00836CD0"/>
    <w:rsid w:val="00866ABA"/>
    <w:rsid w:val="0088318E"/>
    <w:rsid w:val="008D5FF6"/>
    <w:rsid w:val="008E66C1"/>
    <w:rsid w:val="008F1DF9"/>
    <w:rsid w:val="008F4C73"/>
    <w:rsid w:val="00901A85"/>
    <w:rsid w:val="009138E0"/>
    <w:rsid w:val="00943A6D"/>
    <w:rsid w:val="00945F28"/>
    <w:rsid w:val="0098075A"/>
    <w:rsid w:val="00983568"/>
    <w:rsid w:val="00984CBA"/>
    <w:rsid w:val="009B5550"/>
    <w:rsid w:val="009B76BB"/>
    <w:rsid w:val="009C2765"/>
    <w:rsid w:val="009E580D"/>
    <w:rsid w:val="009E5D93"/>
    <w:rsid w:val="00A00CE8"/>
    <w:rsid w:val="00A209D5"/>
    <w:rsid w:val="00A27534"/>
    <w:rsid w:val="00A445B1"/>
    <w:rsid w:val="00A665D6"/>
    <w:rsid w:val="00A7451B"/>
    <w:rsid w:val="00A809E9"/>
    <w:rsid w:val="00AB0291"/>
    <w:rsid w:val="00AE247E"/>
    <w:rsid w:val="00AF730D"/>
    <w:rsid w:val="00B504D0"/>
    <w:rsid w:val="00B55C1A"/>
    <w:rsid w:val="00B72662"/>
    <w:rsid w:val="00B82447"/>
    <w:rsid w:val="00BE1BB9"/>
    <w:rsid w:val="00BE4969"/>
    <w:rsid w:val="00C156B2"/>
    <w:rsid w:val="00C16481"/>
    <w:rsid w:val="00C267D1"/>
    <w:rsid w:val="00C305BE"/>
    <w:rsid w:val="00C32BB0"/>
    <w:rsid w:val="00C36388"/>
    <w:rsid w:val="00C366E9"/>
    <w:rsid w:val="00C443D1"/>
    <w:rsid w:val="00C750DB"/>
    <w:rsid w:val="00CB580D"/>
    <w:rsid w:val="00CB74E7"/>
    <w:rsid w:val="00CC6DB5"/>
    <w:rsid w:val="00CC7F77"/>
    <w:rsid w:val="00CD701C"/>
    <w:rsid w:val="00CE5224"/>
    <w:rsid w:val="00CF70AB"/>
    <w:rsid w:val="00D029D0"/>
    <w:rsid w:val="00D06C18"/>
    <w:rsid w:val="00D12922"/>
    <w:rsid w:val="00D15DAB"/>
    <w:rsid w:val="00D27F39"/>
    <w:rsid w:val="00D53C1A"/>
    <w:rsid w:val="00D6268D"/>
    <w:rsid w:val="00D80304"/>
    <w:rsid w:val="00D87D2C"/>
    <w:rsid w:val="00D911A6"/>
    <w:rsid w:val="00DA556E"/>
    <w:rsid w:val="00DC0C13"/>
    <w:rsid w:val="00DC29D7"/>
    <w:rsid w:val="00DF2985"/>
    <w:rsid w:val="00E0044A"/>
    <w:rsid w:val="00E27522"/>
    <w:rsid w:val="00E545F7"/>
    <w:rsid w:val="00EA2485"/>
    <w:rsid w:val="00EB0D0B"/>
    <w:rsid w:val="00EC16C4"/>
    <w:rsid w:val="00ED43F8"/>
    <w:rsid w:val="00ED6744"/>
    <w:rsid w:val="00EE270D"/>
    <w:rsid w:val="00EF5773"/>
    <w:rsid w:val="00F01C1B"/>
    <w:rsid w:val="00F0308E"/>
    <w:rsid w:val="00F041EF"/>
    <w:rsid w:val="00F334F9"/>
    <w:rsid w:val="00F35813"/>
    <w:rsid w:val="00F5176E"/>
    <w:rsid w:val="00F537DA"/>
    <w:rsid w:val="00F53DF8"/>
    <w:rsid w:val="00F60B91"/>
    <w:rsid w:val="00F60DA8"/>
    <w:rsid w:val="00F77D07"/>
    <w:rsid w:val="00F8777C"/>
    <w:rsid w:val="00FA76B0"/>
    <w:rsid w:val="00FB3C4C"/>
    <w:rsid w:val="00FB4BDA"/>
    <w:rsid w:val="00FB6536"/>
    <w:rsid w:val="00FD2379"/>
    <w:rsid w:val="00FD2525"/>
    <w:rsid w:val="00FF03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C96DB"/>
  <w15:chartTrackingRefBased/>
  <w15:docId w15:val="{F55E12FB-B48B-4A3F-A44D-35B665D5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11D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1"/>
    <w:qFormat/>
    <w:rsid w:val="008F1DF9"/>
    <w:pPr>
      <w:widowControl w:val="0"/>
      <w:autoSpaceDE w:val="0"/>
      <w:autoSpaceDN w:val="0"/>
      <w:spacing w:after="0" w:line="240" w:lineRule="auto"/>
      <w:ind w:left="1333"/>
      <w:outlineLvl w:val="1"/>
    </w:pPr>
    <w:rPr>
      <w:rFonts w:ascii="Times New Roman" w:eastAsia="Times New Roman" w:hAnsi="Times New Roman" w:cs="Times New Roman"/>
      <w:b/>
      <w:bCs/>
      <w:sz w:val="25"/>
      <w:szCs w:val="25"/>
      <w:lang w:val="en-US"/>
    </w:rPr>
  </w:style>
  <w:style w:type="paragraph" w:styleId="Ttulo3">
    <w:name w:val="heading 3"/>
    <w:basedOn w:val="Normal"/>
    <w:next w:val="Normal"/>
    <w:link w:val="Ttulo3Car"/>
    <w:uiPriority w:val="9"/>
    <w:unhideWhenUsed/>
    <w:qFormat/>
    <w:rsid w:val="00711D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10C9"/>
    <w:pPr>
      <w:ind w:left="720"/>
      <w:contextualSpacing/>
    </w:pPr>
  </w:style>
  <w:style w:type="character" w:customStyle="1" w:styleId="Ttulo2Car">
    <w:name w:val="Título 2 Car"/>
    <w:basedOn w:val="Fuentedeprrafopredeter"/>
    <w:link w:val="Ttulo2"/>
    <w:uiPriority w:val="1"/>
    <w:rsid w:val="008F1DF9"/>
    <w:rPr>
      <w:rFonts w:ascii="Times New Roman" w:eastAsia="Times New Roman" w:hAnsi="Times New Roman" w:cs="Times New Roman"/>
      <w:b/>
      <w:bCs/>
      <w:sz w:val="25"/>
      <w:szCs w:val="25"/>
      <w:lang w:val="en-US"/>
    </w:rPr>
  </w:style>
  <w:style w:type="paragraph" w:customStyle="1" w:styleId="TableParagraph">
    <w:name w:val="Table Paragraph"/>
    <w:basedOn w:val="Normal"/>
    <w:uiPriority w:val="1"/>
    <w:qFormat/>
    <w:rsid w:val="008F1DF9"/>
    <w:pPr>
      <w:widowControl w:val="0"/>
      <w:autoSpaceDE w:val="0"/>
      <w:autoSpaceDN w:val="0"/>
      <w:spacing w:after="0" w:line="240" w:lineRule="auto"/>
    </w:pPr>
    <w:rPr>
      <w:rFonts w:ascii="Arial" w:eastAsia="Arial" w:hAnsi="Arial" w:cs="Arial"/>
      <w:lang w:val="en-US"/>
    </w:rPr>
  </w:style>
  <w:style w:type="table" w:customStyle="1" w:styleId="TableNormal">
    <w:name w:val="Table Normal"/>
    <w:uiPriority w:val="2"/>
    <w:semiHidden/>
    <w:unhideWhenUsed/>
    <w:qFormat/>
    <w:rsid w:val="008F1D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1D25"/>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711D25"/>
    <w:rPr>
      <w:rFonts w:asciiTheme="majorHAnsi" w:eastAsiaTheme="majorEastAsia" w:hAnsiTheme="majorHAnsi" w:cstheme="majorBidi"/>
      <w:color w:val="1F4D78" w:themeColor="accent1" w:themeShade="7F"/>
      <w:sz w:val="24"/>
      <w:szCs w:val="24"/>
    </w:rPr>
  </w:style>
  <w:style w:type="paragraph" w:styleId="Saludo">
    <w:name w:val="Salutation"/>
    <w:basedOn w:val="Normal"/>
    <w:next w:val="Normal"/>
    <w:link w:val="SaludoCar"/>
    <w:uiPriority w:val="99"/>
    <w:unhideWhenUsed/>
    <w:rsid w:val="00711D25"/>
  </w:style>
  <w:style w:type="character" w:customStyle="1" w:styleId="SaludoCar">
    <w:name w:val="Saludo Car"/>
    <w:basedOn w:val="Fuentedeprrafopredeter"/>
    <w:link w:val="Saludo"/>
    <w:uiPriority w:val="99"/>
    <w:rsid w:val="00711D25"/>
  </w:style>
  <w:style w:type="paragraph" w:styleId="Listaconvietas">
    <w:name w:val="List Bullet"/>
    <w:basedOn w:val="Normal"/>
    <w:uiPriority w:val="99"/>
    <w:unhideWhenUsed/>
    <w:rsid w:val="00711D25"/>
    <w:pPr>
      <w:numPr>
        <w:numId w:val="2"/>
      </w:numPr>
      <w:contextualSpacing/>
    </w:pPr>
  </w:style>
  <w:style w:type="paragraph" w:styleId="Textoindependiente">
    <w:name w:val="Body Text"/>
    <w:basedOn w:val="Normal"/>
    <w:link w:val="TextoindependienteCar"/>
    <w:uiPriority w:val="99"/>
    <w:unhideWhenUsed/>
    <w:rsid w:val="00711D25"/>
    <w:pPr>
      <w:spacing w:after="120"/>
    </w:pPr>
  </w:style>
  <w:style w:type="character" w:customStyle="1" w:styleId="TextoindependienteCar">
    <w:name w:val="Texto independiente Car"/>
    <w:basedOn w:val="Fuentedeprrafopredeter"/>
    <w:link w:val="Textoindependiente"/>
    <w:uiPriority w:val="99"/>
    <w:rsid w:val="00711D25"/>
  </w:style>
  <w:style w:type="character" w:styleId="Refdecomentario">
    <w:name w:val="annotation reference"/>
    <w:basedOn w:val="Fuentedeprrafopredeter"/>
    <w:uiPriority w:val="99"/>
    <w:semiHidden/>
    <w:unhideWhenUsed/>
    <w:rsid w:val="00FB3C4C"/>
    <w:rPr>
      <w:sz w:val="16"/>
      <w:szCs w:val="16"/>
    </w:rPr>
  </w:style>
  <w:style w:type="paragraph" w:styleId="Textocomentario">
    <w:name w:val="annotation text"/>
    <w:basedOn w:val="Normal"/>
    <w:link w:val="TextocomentarioCar"/>
    <w:uiPriority w:val="99"/>
    <w:semiHidden/>
    <w:unhideWhenUsed/>
    <w:rsid w:val="00FB3C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B3C4C"/>
    <w:rPr>
      <w:sz w:val="20"/>
      <w:szCs w:val="20"/>
    </w:rPr>
  </w:style>
  <w:style w:type="paragraph" w:styleId="Asuntodelcomentario">
    <w:name w:val="annotation subject"/>
    <w:basedOn w:val="Textocomentario"/>
    <w:next w:val="Textocomentario"/>
    <w:link w:val="AsuntodelcomentarioCar"/>
    <w:uiPriority w:val="99"/>
    <w:semiHidden/>
    <w:unhideWhenUsed/>
    <w:rsid w:val="00FB3C4C"/>
    <w:rPr>
      <w:b/>
      <w:bCs/>
    </w:rPr>
  </w:style>
  <w:style w:type="character" w:customStyle="1" w:styleId="AsuntodelcomentarioCar">
    <w:name w:val="Asunto del comentario Car"/>
    <w:basedOn w:val="TextocomentarioCar"/>
    <w:link w:val="Asuntodelcomentario"/>
    <w:uiPriority w:val="99"/>
    <w:semiHidden/>
    <w:rsid w:val="00FB3C4C"/>
    <w:rPr>
      <w:b/>
      <w:bCs/>
      <w:sz w:val="20"/>
      <w:szCs w:val="20"/>
    </w:rPr>
  </w:style>
  <w:style w:type="paragraph" w:styleId="Textodeglobo">
    <w:name w:val="Balloon Text"/>
    <w:basedOn w:val="Normal"/>
    <w:link w:val="TextodegloboCar"/>
    <w:uiPriority w:val="99"/>
    <w:semiHidden/>
    <w:unhideWhenUsed/>
    <w:rsid w:val="00FB3C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3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67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70505-0196-457D-9DF1-7A69D05B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3452</Words>
  <Characters>18991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Evaristo Rojas Moreno</dc:creator>
  <cp:keywords/>
  <dc:description/>
  <cp:lastModifiedBy>Gerardo Lopez Moctezuma</cp:lastModifiedBy>
  <cp:revision>2</cp:revision>
  <dcterms:created xsi:type="dcterms:W3CDTF">2018-05-23T04:42:00Z</dcterms:created>
  <dcterms:modified xsi:type="dcterms:W3CDTF">2018-05-23T04:42:00Z</dcterms:modified>
</cp:coreProperties>
</file>