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9D" w:rsidRDefault="0038199D" w:rsidP="007A6974">
      <w:pPr>
        <w:spacing w:after="0"/>
        <w:jc w:val="center"/>
        <w:rPr>
          <w:rFonts w:ascii="Century Gothic" w:hAnsi="Century Gothic"/>
          <w:b/>
        </w:rPr>
      </w:pPr>
      <w:r w:rsidRPr="007A6974">
        <w:rPr>
          <w:rFonts w:ascii="Century Gothic" w:hAnsi="Century Gothic"/>
          <w:b/>
        </w:rPr>
        <w:t>FORMATO PARA PARTICIPAR EN LA CONSULTA PÚBLICA</w:t>
      </w:r>
    </w:p>
    <w:p w:rsidR="006601AF" w:rsidRPr="007A6974" w:rsidRDefault="006601AF" w:rsidP="00C900FF">
      <w:pPr>
        <w:spacing w:after="0"/>
        <w:rPr>
          <w:rFonts w:ascii="Century Gothic" w:hAnsi="Century Gothic"/>
          <w:b/>
        </w:rPr>
      </w:pPr>
    </w:p>
    <w:p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rsidR="004970C4" w:rsidRPr="007A6974" w:rsidRDefault="004970C4" w:rsidP="007A6974">
      <w:pPr>
        <w:spacing w:after="0"/>
        <w:rPr>
          <w:rFonts w:ascii="Century Gothic" w:hAnsi="Century Gothic"/>
          <w:b/>
          <w:sz w:val="16"/>
        </w:rPr>
      </w:pPr>
    </w:p>
    <w:p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665726" w:rsidRPr="0029008A">
          <w:rPr>
            <w:rStyle w:val="Hipervnculo"/>
            <w:rFonts w:ascii="Century Gothic" w:hAnsi="Century Gothic"/>
            <w:b/>
            <w:sz w:val="14"/>
            <w:szCs w:val="14"/>
          </w:rPr>
          <w:t>modificacionreglasdeautorizaciones@ift.org.mx</w:t>
        </w:r>
      </w:hyperlink>
      <w:r w:rsidRPr="007A6974">
        <w:rPr>
          <w:rFonts w:ascii="Century Gothic" w:hAnsi="Century Gothic"/>
          <w:sz w:val="14"/>
          <w:szCs w:val="14"/>
        </w:rPr>
        <w:t xml:space="preserve">, en donde habrá que considerarse que la capacidad límite para la remisión de archivos es de </w:t>
      </w:r>
      <w:r w:rsidR="00665726">
        <w:rPr>
          <w:rFonts w:ascii="Century Gothic" w:hAnsi="Century Gothic"/>
          <w:sz w:val="14"/>
          <w:szCs w:val="14"/>
        </w:rPr>
        <w:t>25 Mb</w:t>
      </w:r>
      <w:r w:rsidRPr="007A6974">
        <w:rPr>
          <w:rFonts w:ascii="Century Gothic" w:hAnsi="Century Gothic"/>
          <w:sz w:val="14"/>
          <w:szCs w:val="14"/>
        </w:rPr>
        <w:t>.</w:t>
      </w:r>
    </w:p>
    <w:p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w:t>
      </w:r>
      <w:r w:rsidR="008C679D">
        <w:rPr>
          <w:rFonts w:ascii="Century Gothic" w:hAnsi="Century Gothic"/>
          <w:sz w:val="14"/>
          <w:szCs w:val="14"/>
        </w:rPr>
        <w:t>I</w:t>
      </w:r>
      <w:r>
        <w:rPr>
          <w:rFonts w:ascii="Century Gothic" w:hAnsi="Century Gothic"/>
          <w:sz w:val="14"/>
          <w:szCs w:val="14"/>
        </w:rPr>
        <w:t xml:space="preserve"> del presente formato</w:t>
      </w:r>
      <w:r w:rsidR="0038199D" w:rsidRPr="007A6974">
        <w:rPr>
          <w:rFonts w:ascii="Century Gothic" w:hAnsi="Century Gothic"/>
          <w:sz w:val="14"/>
          <w:szCs w:val="14"/>
        </w:rPr>
        <w:t>.</w:t>
      </w:r>
    </w:p>
    <w:p w:rsidR="0038199D" w:rsidRPr="005A0B9C" w:rsidRDefault="0038199D" w:rsidP="005A0B9C">
      <w:pPr>
        <w:pStyle w:val="Prrafodelista"/>
        <w:numPr>
          <w:ilvl w:val="0"/>
          <w:numId w:val="1"/>
        </w:numPr>
        <w:ind w:left="426" w:right="49" w:hanging="426"/>
        <w:rPr>
          <w:rFonts w:ascii="Century Gothic" w:hAnsi="Century Gothic"/>
          <w:sz w:val="14"/>
          <w:szCs w:val="14"/>
        </w:rPr>
      </w:pPr>
      <w:r w:rsidRPr="007A6974">
        <w:rPr>
          <w:rFonts w:ascii="Century Gothic" w:hAnsi="Century Gothic"/>
          <w:sz w:val="14"/>
          <w:szCs w:val="14"/>
        </w:rPr>
        <w:t xml:space="preserve">De contar con observaciones generales o alguna aportación adicional proporciónelos en el </w:t>
      </w:r>
      <w:r w:rsidR="00665726" w:rsidRPr="00665726">
        <w:rPr>
          <w:rFonts w:ascii="Century Gothic" w:hAnsi="Century Gothic"/>
          <w:sz w:val="14"/>
          <w:szCs w:val="14"/>
        </w:rPr>
        <w:t>recuadro de la Sección III.</w:t>
      </w:r>
    </w:p>
    <w:p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El período de consulta pública será </w:t>
      </w:r>
      <w:r w:rsidRPr="00997297">
        <w:rPr>
          <w:rFonts w:ascii="Century Gothic" w:hAnsi="Century Gothic"/>
          <w:sz w:val="14"/>
          <w:szCs w:val="14"/>
        </w:rPr>
        <w:t>del</w:t>
      </w:r>
      <w:r w:rsidR="000D2838" w:rsidRPr="00997297">
        <w:rPr>
          <w:rFonts w:ascii="Century Gothic" w:hAnsi="Century Gothic"/>
          <w:sz w:val="14"/>
          <w:szCs w:val="14"/>
        </w:rPr>
        <w:t xml:space="preserve"> </w:t>
      </w:r>
      <w:r w:rsidR="00997297" w:rsidRPr="00997297">
        <w:rPr>
          <w:rFonts w:ascii="Century Gothic" w:hAnsi="Century Gothic"/>
          <w:b/>
          <w:sz w:val="14"/>
          <w:szCs w:val="14"/>
        </w:rPr>
        <w:t>1</w:t>
      </w:r>
      <w:r w:rsidR="00B314C5" w:rsidRPr="00997297">
        <w:rPr>
          <w:rFonts w:ascii="Century Gothic" w:hAnsi="Century Gothic"/>
          <w:b/>
          <w:sz w:val="14"/>
          <w:szCs w:val="14"/>
        </w:rPr>
        <w:t>8</w:t>
      </w:r>
      <w:r w:rsidR="008C679D" w:rsidRPr="00997297">
        <w:rPr>
          <w:rFonts w:ascii="Century Gothic" w:hAnsi="Century Gothic"/>
          <w:b/>
          <w:sz w:val="14"/>
          <w:szCs w:val="14"/>
        </w:rPr>
        <w:t xml:space="preserve"> de </w:t>
      </w:r>
      <w:r w:rsidR="00B314C5" w:rsidRPr="00997297">
        <w:rPr>
          <w:rFonts w:ascii="Century Gothic" w:hAnsi="Century Gothic"/>
          <w:b/>
          <w:sz w:val="14"/>
          <w:szCs w:val="14"/>
        </w:rPr>
        <w:t>dicie</w:t>
      </w:r>
      <w:r w:rsidR="00945FA7" w:rsidRPr="00997297">
        <w:rPr>
          <w:rFonts w:ascii="Century Gothic" w:hAnsi="Century Gothic"/>
          <w:b/>
          <w:sz w:val="14"/>
          <w:szCs w:val="14"/>
        </w:rPr>
        <w:t>mbre de 2017</w:t>
      </w:r>
      <w:r w:rsidR="00D53D4D" w:rsidRPr="00997297">
        <w:rPr>
          <w:rFonts w:ascii="Century Gothic" w:hAnsi="Century Gothic"/>
          <w:b/>
          <w:sz w:val="14"/>
          <w:szCs w:val="14"/>
        </w:rPr>
        <w:t xml:space="preserve"> </w:t>
      </w:r>
      <w:r w:rsidR="000D2838" w:rsidRPr="00997297">
        <w:rPr>
          <w:rFonts w:ascii="Century Gothic" w:hAnsi="Century Gothic"/>
          <w:b/>
          <w:sz w:val="14"/>
          <w:szCs w:val="14"/>
        </w:rPr>
        <w:t xml:space="preserve">al </w:t>
      </w:r>
      <w:r w:rsidR="00B314C5" w:rsidRPr="00997297">
        <w:rPr>
          <w:rFonts w:ascii="Century Gothic" w:hAnsi="Century Gothic"/>
          <w:b/>
          <w:sz w:val="14"/>
          <w:szCs w:val="14"/>
        </w:rPr>
        <w:t>3</w:t>
      </w:r>
      <w:r w:rsidR="00997297" w:rsidRPr="00997297">
        <w:rPr>
          <w:rFonts w:ascii="Century Gothic" w:hAnsi="Century Gothic"/>
          <w:b/>
          <w:sz w:val="14"/>
          <w:szCs w:val="14"/>
        </w:rPr>
        <w:t>0</w:t>
      </w:r>
      <w:r w:rsidR="000D2838" w:rsidRPr="00997297">
        <w:rPr>
          <w:rFonts w:ascii="Century Gothic" w:hAnsi="Century Gothic"/>
          <w:b/>
          <w:sz w:val="14"/>
          <w:szCs w:val="14"/>
        </w:rPr>
        <w:t xml:space="preserve"> de </w:t>
      </w:r>
      <w:r w:rsidR="00945FA7" w:rsidRPr="00997297">
        <w:rPr>
          <w:rFonts w:ascii="Century Gothic" w:hAnsi="Century Gothic"/>
          <w:b/>
          <w:sz w:val="14"/>
          <w:szCs w:val="14"/>
        </w:rPr>
        <w:t>enero</w:t>
      </w:r>
      <w:r w:rsidR="000D2838" w:rsidRPr="00997297">
        <w:rPr>
          <w:rFonts w:ascii="Century Gothic" w:hAnsi="Century Gothic"/>
          <w:b/>
          <w:sz w:val="14"/>
          <w:szCs w:val="14"/>
        </w:rPr>
        <w:t xml:space="preserve"> de 20</w:t>
      </w:r>
      <w:r w:rsidR="008843FB" w:rsidRPr="00997297">
        <w:rPr>
          <w:rFonts w:ascii="Century Gothic" w:hAnsi="Century Gothic"/>
          <w:b/>
          <w:sz w:val="14"/>
          <w:szCs w:val="14"/>
        </w:rPr>
        <w:t>1</w:t>
      </w:r>
      <w:r w:rsidR="00945FA7" w:rsidRPr="00997297">
        <w:rPr>
          <w:rFonts w:ascii="Century Gothic" w:hAnsi="Century Gothic"/>
          <w:b/>
          <w:sz w:val="14"/>
          <w:szCs w:val="14"/>
        </w:rPr>
        <w:t>8</w:t>
      </w:r>
      <w:r w:rsidR="00665726">
        <w:rPr>
          <w:rFonts w:ascii="Century Gothic" w:hAnsi="Century Gothic"/>
          <w:b/>
          <w:sz w:val="14"/>
          <w:szCs w:val="14"/>
        </w:rPr>
        <w:t xml:space="preserve"> </w:t>
      </w:r>
      <w:r w:rsidR="00665726" w:rsidRPr="005A0B9C">
        <w:rPr>
          <w:rFonts w:ascii="Century Gothic" w:hAnsi="Century Gothic"/>
          <w:sz w:val="14"/>
          <w:szCs w:val="14"/>
        </w:rPr>
        <w:t>(i.e. 20 días hábiles)</w:t>
      </w:r>
      <w:r w:rsidRPr="00997297">
        <w:rPr>
          <w:rFonts w:ascii="Century Gothic" w:hAnsi="Century Gothic"/>
          <w:sz w:val="14"/>
          <w:szCs w:val="14"/>
        </w:rPr>
        <w:t>. Una vez</w:t>
      </w:r>
      <w:r w:rsidRPr="007A6974">
        <w:rPr>
          <w:rFonts w:ascii="Century Gothic" w:hAnsi="Century Gothic"/>
          <w:sz w:val="14"/>
          <w:szCs w:val="14"/>
        </w:rPr>
        <w:t xml:space="preserve"> concluido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2"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rsidR="006601AF" w:rsidRPr="0077336B" w:rsidRDefault="000D2838" w:rsidP="004B03A7">
      <w:pPr>
        <w:pStyle w:val="Prrafodelista"/>
        <w:numPr>
          <w:ilvl w:val="0"/>
          <w:numId w:val="1"/>
        </w:numPr>
        <w:spacing w:after="0"/>
        <w:ind w:left="426" w:right="49" w:hanging="426"/>
        <w:jc w:val="both"/>
        <w:rPr>
          <w:rFonts w:ascii="Century Gothic" w:hAnsi="Century Gothic"/>
          <w:sz w:val="14"/>
          <w:szCs w:val="14"/>
        </w:rPr>
      </w:pPr>
      <w:r w:rsidRPr="0077336B">
        <w:rPr>
          <w:rFonts w:ascii="Century Gothic" w:hAnsi="Century Gothic"/>
          <w:sz w:val="14"/>
          <w:szCs w:val="14"/>
        </w:rPr>
        <w:t xml:space="preserve">Para cualquier duda, comentario o inquietud sobre el presente proceso consultivo, el Instituto pone a </w:t>
      </w:r>
      <w:r w:rsidR="008F2B1A" w:rsidRPr="0077336B">
        <w:rPr>
          <w:rFonts w:ascii="Century Gothic" w:hAnsi="Century Gothic"/>
          <w:sz w:val="14"/>
          <w:szCs w:val="14"/>
        </w:rPr>
        <w:t xml:space="preserve">su </w:t>
      </w:r>
      <w:r w:rsidR="00A75A67" w:rsidRPr="0077336B">
        <w:rPr>
          <w:rFonts w:ascii="Century Gothic" w:hAnsi="Century Gothic"/>
          <w:sz w:val="14"/>
          <w:szCs w:val="14"/>
        </w:rPr>
        <w:t>disposición</w:t>
      </w:r>
      <w:r w:rsidR="00F212B2" w:rsidRPr="0077336B">
        <w:rPr>
          <w:rFonts w:ascii="Century Gothic" w:hAnsi="Century Gothic"/>
          <w:sz w:val="14"/>
          <w:szCs w:val="14"/>
        </w:rPr>
        <w:t xml:space="preserve"> </w:t>
      </w:r>
      <w:r w:rsidR="009179D0" w:rsidRPr="0077336B">
        <w:rPr>
          <w:rFonts w:ascii="Century Gothic" w:hAnsi="Century Gothic"/>
          <w:sz w:val="14"/>
          <w:szCs w:val="14"/>
        </w:rPr>
        <w:t>los</w:t>
      </w:r>
      <w:r w:rsidRPr="0077336B">
        <w:rPr>
          <w:rFonts w:ascii="Century Gothic" w:hAnsi="Century Gothic"/>
          <w:sz w:val="14"/>
          <w:szCs w:val="14"/>
        </w:rPr>
        <w:t xml:space="preserve"> siguiente</w:t>
      </w:r>
      <w:r w:rsidR="009179D0" w:rsidRPr="0077336B">
        <w:rPr>
          <w:rFonts w:ascii="Century Gothic" w:hAnsi="Century Gothic"/>
          <w:sz w:val="14"/>
          <w:szCs w:val="14"/>
        </w:rPr>
        <w:t>s</w:t>
      </w:r>
      <w:r w:rsidRPr="0077336B">
        <w:rPr>
          <w:rFonts w:ascii="Century Gothic" w:hAnsi="Century Gothic"/>
          <w:sz w:val="14"/>
          <w:szCs w:val="14"/>
        </w:rPr>
        <w:t xml:space="preserve"> punto</w:t>
      </w:r>
      <w:r w:rsidR="009179D0" w:rsidRPr="0077336B">
        <w:rPr>
          <w:rFonts w:ascii="Century Gothic" w:hAnsi="Century Gothic"/>
          <w:sz w:val="14"/>
          <w:szCs w:val="14"/>
        </w:rPr>
        <w:t>s</w:t>
      </w:r>
      <w:r w:rsidRPr="0077336B">
        <w:rPr>
          <w:rFonts w:ascii="Century Gothic" w:hAnsi="Century Gothic"/>
          <w:sz w:val="14"/>
          <w:szCs w:val="14"/>
        </w:rPr>
        <w:t xml:space="preserve"> de contacto: </w:t>
      </w:r>
      <w:r w:rsidR="005A0B9C">
        <w:rPr>
          <w:rFonts w:ascii="Century Gothic" w:hAnsi="Century Gothic"/>
          <w:sz w:val="14"/>
          <w:szCs w:val="14"/>
        </w:rPr>
        <w:t>i) Lic. Marí</w:t>
      </w:r>
      <w:r w:rsidR="002317F8" w:rsidRPr="0077336B">
        <w:rPr>
          <w:rFonts w:ascii="Century Gothic" w:hAnsi="Century Gothic"/>
          <w:sz w:val="14"/>
          <w:szCs w:val="14"/>
        </w:rPr>
        <w:t>a Antonia López de la Torre,</w:t>
      </w:r>
      <w:r w:rsidR="000E41F3" w:rsidRPr="0077336B">
        <w:rPr>
          <w:rFonts w:ascii="Century Gothic" w:hAnsi="Century Gothic"/>
          <w:sz w:val="14"/>
          <w:szCs w:val="14"/>
        </w:rPr>
        <w:t xml:space="preserve"> </w:t>
      </w:r>
      <w:r w:rsidR="002317F8" w:rsidRPr="0077336B">
        <w:rPr>
          <w:rFonts w:ascii="Century Gothic" w:hAnsi="Century Gothic"/>
          <w:sz w:val="14"/>
          <w:szCs w:val="14"/>
        </w:rPr>
        <w:t xml:space="preserve">Subdirectora de </w:t>
      </w:r>
      <w:r w:rsidR="009179D0" w:rsidRPr="0077336B">
        <w:rPr>
          <w:rFonts w:ascii="Century Gothic" w:hAnsi="Century Gothic"/>
          <w:sz w:val="14"/>
          <w:szCs w:val="14"/>
        </w:rPr>
        <w:t xml:space="preserve">Análisis de </w:t>
      </w:r>
      <w:r w:rsidR="002317F8" w:rsidRPr="0077336B">
        <w:rPr>
          <w:rFonts w:ascii="Century Gothic" w:hAnsi="Century Gothic"/>
          <w:sz w:val="14"/>
          <w:szCs w:val="14"/>
        </w:rPr>
        <w:t>Autorizaciones</w:t>
      </w:r>
      <w:r w:rsidR="009179D0" w:rsidRPr="0077336B">
        <w:rPr>
          <w:rFonts w:ascii="Century Gothic" w:hAnsi="Century Gothic"/>
          <w:sz w:val="14"/>
          <w:szCs w:val="14"/>
        </w:rPr>
        <w:t xml:space="preserve"> de Comercializadoras</w:t>
      </w:r>
      <w:r w:rsidR="000E41F3" w:rsidRPr="0077336B">
        <w:rPr>
          <w:rFonts w:ascii="Century Gothic" w:hAnsi="Century Gothic"/>
          <w:sz w:val="14"/>
          <w:szCs w:val="14"/>
        </w:rPr>
        <w:t>,</w:t>
      </w:r>
      <w:r w:rsidR="005A0B9C">
        <w:rPr>
          <w:rFonts w:ascii="Century Gothic" w:hAnsi="Century Gothic"/>
          <w:sz w:val="14"/>
          <w:szCs w:val="14"/>
        </w:rPr>
        <w:t xml:space="preserve"> </w:t>
      </w:r>
      <w:r w:rsidR="005A0B9C" w:rsidRPr="0077336B">
        <w:rPr>
          <w:rFonts w:ascii="Century Gothic" w:hAnsi="Century Gothic"/>
          <w:sz w:val="14"/>
          <w:szCs w:val="14"/>
        </w:rPr>
        <w:t>número telefónico (55) 5015</w:t>
      </w:r>
      <w:r w:rsidR="005A0B9C">
        <w:rPr>
          <w:rFonts w:ascii="Century Gothic" w:hAnsi="Century Gothic"/>
          <w:sz w:val="14"/>
          <w:szCs w:val="14"/>
        </w:rPr>
        <w:t xml:space="preserve"> </w:t>
      </w:r>
      <w:r w:rsidR="005A0B9C" w:rsidRPr="0077336B">
        <w:rPr>
          <w:rFonts w:ascii="Century Gothic" w:hAnsi="Century Gothic"/>
          <w:sz w:val="14"/>
          <w:szCs w:val="14"/>
        </w:rPr>
        <w:t>4000, extensión 4748</w:t>
      </w:r>
      <w:r w:rsidR="005A0B9C">
        <w:rPr>
          <w:rFonts w:ascii="Century Gothic" w:hAnsi="Century Gothic"/>
          <w:sz w:val="14"/>
          <w:szCs w:val="14"/>
        </w:rPr>
        <w:t>,</w:t>
      </w:r>
      <w:r w:rsidR="005A0B9C" w:rsidRPr="0077336B">
        <w:rPr>
          <w:rFonts w:ascii="Century Gothic" w:hAnsi="Century Gothic"/>
          <w:sz w:val="14"/>
          <w:szCs w:val="14"/>
        </w:rPr>
        <w:t xml:space="preserve"> </w:t>
      </w:r>
      <w:r w:rsidR="005A0B9C">
        <w:rPr>
          <w:rFonts w:ascii="Century Gothic" w:hAnsi="Century Gothic"/>
          <w:sz w:val="14"/>
          <w:szCs w:val="14"/>
        </w:rPr>
        <w:t>correo electrónico</w:t>
      </w:r>
      <w:r w:rsidR="000E41F3" w:rsidRPr="0077336B">
        <w:rPr>
          <w:rFonts w:ascii="Century Gothic" w:hAnsi="Century Gothic"/>
          <w:sz w:val="14"/>
          <w:szCs w:val="14"/>
        </w:rPr>
        <w:t xml:space="preserve"> </w:t>
      </w:r>
      <w:hyperlink r:id="rId13" w:history="1">
        <w:r w:rsidR="002317F8" w:rsidRPr="0077336B">
          <w:rPr>
            <w:rStyle w:val="Hipervnculo"/>
            <w:rFonts w:ascii="Century Gothic" w:hAnsi="Century Gothic"/>
            <w:sz w:val="14"/>
            <w:szCs w:val="14"/>
          </w:rPr>
          <w:t>antonia.lopez@ift.org.mx</w:t>
        </w:r>
      </w:hyperlink>
      <w:r w:rsidR="005A0B9C">
        <w:rPr>
          <w:rFonts w:ascii="Century Gothic" w:hAnsi="Century Gothic"/>
          <w:sz w:val="14"/>
          <w:szCs w:val="14"/>
        </w:rPr>
        <w:t>, y a la ii) Ing.</w:t>
      </w:r>
      <w:r w:rsidR="009179D0" w:rsidRPr="0077336B">
        <w:rPr>
          <w:rFonts w:ascii="Century Gothic" w:hAnsi="Century Gothic"/>
          <w:sz w:val="14"/>
          <w:szCs w:val="14"/>
        </w:rPr>
        <w:t xml:space="preserve"> Margarita Sánchez Meléndez, Subdirectora de An</w:t>
      </w:r>
      <w:r w:rsidR="0077336B">
        <w:rPr>
          <w:rFonts w:ascii="Century Gothic" w:hAnsi="Century Gothic"/>
          <w:sz w:val="14"/>
          <w:szCs w:val="14"/>
        </w:rPr>
        <w:t>álisis d</w:t>
      </w:r>
      <w:r w:rsidR="009179D0" w:rsidRPr="0077336B">
        <w:rPr>
          <w:rFonts w:ascii="Century Gothic" w:hAnsi="Century Gothic"/>
          <w:sz w:val="14"/>
          <w:szCs w:val="14"/>
        </w:rPr>
        <w:t>e Autorizaciones,</w:t>
      </w:r>
      <w:r w:rsidR="005A0B9C">
        <w:rPr>
          <w:rFonts w:ascii="Century Gothic" w:hAnsi="Century Gothic"/>
          <w:sz w:val="14"/>
          <w:szCs w:val="14"/>
        </w:rPr>
        <w:t xml:space="preserve"> </w:t>
      </w:r>
      <w:r w:rsidR="005A0B9C" w:rsidRPr="0077336B">
        <w:rPr>
          <w:rFonts w:ascii="Century Gothic" w:hAnsi="Century Gothic"/>
          <w:sz w:val="14"/>
          <w:szCs w:val="14"/>
        </w:rPr>
        <w:t xml:space="preserve">número telefónico (55) </w:t>
      </w:r>
      <w:bookmarkStart w:id="0" w:name="_GoBack"/>
      <w:bookmarkEnd w:id="0"/>
      <w:r w:rsidR="005A0B9C" w:rsidRPr="0077336B">
        <w:rPr>
          <w:rFonts w:ascii="Century Gothic" w:hAnsi="Century Gothic"/>
          <w:sz w:val="14"/>
          <w:szCs w:val="14"/>
        </w:rPr>
        <w:t>5015</w:t>
      </w:r>
      <w:r w:rsidR="005A0B9C">
        <w:rPr>
          <w:rFonts w:ascii="Century Gothic" w:hAnsi="Century Gothic"/>
          <w:sz w:val="14"/>
          <w:szCs w:val="14"/>
        </w:rPr>
        <w:t xml:space="preserve"> </w:t>
      </w:r>
      <w:r w:rsidR="005A0B9C" w:rsidRPr="0077336B">
        <w:rPr>
          <w:rFonts w:ascii="Century Gothic" w:hAnsi="Century Gothic"/>
          <w:sz w:val="14"/>
          <w:szCs w:val="14"/>
        </w:rPr>
        <w:t xml:space="preserve">4000, extensión </w:t>
      </w:r>
      <w:r w:rsidR="005A0B9C">
        <w:rPr>
          <w:rFonts w:ascii="Century Gothic" w:hAnsi="Century Gothic"/>
          <w:sz w:val="14"/>
          <w:szCs w:val="14"/>
        </w:rPr>
        <w:t>4445</w:t>
      </w:r>
      <w:r w:rsidR="005A0B9C">
        <w:rPr>
          <w:rFonts w:ascii="Century Gothic" w:hAnsi="Century Gothic"/>
          <w:sz w:val="14"/>
          <w:szCs w:val="14"/>
        </w:rPr>
        <w:t>,</w:t>
      </w:r>
      <w:r w:rsidR="005A0B9C" w:rsidRPr="0077336B">
        <w:rPr>
          <w:rFonts w:ascii="Century Gothic" w:hAnsi="Century Gothic"/>
          <w:sz w:val="14"/>
          <w:szCs w:val="14"/>
        </w:rPr>
        <w:t xml:space="preserve"> </w:t>
      </w:r>
      <w:r w:rsidR="005A0B9C">
        <w:rPr>
          <w:rFonts w:ascii="Century Gothic" w:hAnsi="Century Gothic"/>
          <w:sz w:val="14"/>
          <w:szCs w:val="14"/>
        </w:rPr>
        <w:t>correo electrónico</w:t>
      </w:r>
      <w:r w:rsidR="005A0B9C" w:rsidRPr="0077336B">
        <w:rPr>
          <w:rFonts w:ascii="Century Gothic" w:hAnsi="Century Gothic"/>
          <w:sz w:val="14"/>
          <w:szCs w:val="14"/>
        </w:rPr>
        <w:t xml:space="preserve"> </w:t>
      </w:r>
      <w:hyperlink r:id="rId14" w:history="1">
        <w:r w:rsidR="009179D0" w:rsidRPr="0077336B">
          <w:rPr>
            <w:rStyle w:val="Hipervnculo"/>
            <w:rFonts w:ascii="Century Gothic" w:hAnsi="Century Gothic"/>
            <w:sz w:val="14"/>
            <w:szCs w:val="14"/>
          </w:rPr>
          <w:t>margarita.sanchez@ift.org.mx</w:t>
        </w:r>
      </w:hyperlink>
      <w:r w:rsidR="009179D0" w:rsidRPr="0077336B">
        <w:rPr>
          <w:rFonts w:ascii="Century Gothic" w:hAnsi="Century Gothic"/>
          <w:sz w:val="14"/>
          <w:szCs w:val="14"/>
        </w:rPr>
        <w:t>.</w:t>
      </w:r>
    </w:p>
    <w:p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rsidTr="006B0B12">
        <w:trPr>
          <w:trHeight w:val="600"/>
          <w:jc w:val="center"/>
        </w:trPr>
        <w:tc>
          <w:tcPr>
            <w:tcW w:w="8647" w:type="dxa"/>
            <w:gridSpan w:val="2"/>
            <w:shd w:val="clear" w:color="auto" w:fill="D9D9D9" w:themeFill="background1" w:themeFillShade="D9"/>
            <w:vAlign w:val="center"/>
            <w:hideMark/>
          </w:tcPr>
          <w:p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rsidTr="006B0B12">
        <w:trPr>
          <w:trHeight w:val="509"/>
          <w:jc w:val="center"/>
        </w:trPr>
        <w:tc>
          <w:tcPr>
            <w:tcW w:w="4584" w:type="dxa"/>
            <w:shd w:val="clear" w:color="auto" w:fill="C5E0B3" w:themeFill="accent6" w:themeFillTint="66"/>
            <w:vAlign w:val="center"/>
            <w:hideMark/>
          </w:tcPr>
          <w:p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rsidTr="006B0B12">
        <w:trPr>
          <w:trHeight w:val="403"/>
          <w:jc w:val="center"/>
        </w:trPr>
        <w:tc>
          <w:tcPr>
            <w:tcW w:w="4584" w:type="dxa"/>
            <w:shd w:val="clear" w:color="auto" w:fill="E2EFD9" w:themeFill="accent6" w:themeFillTint="33"/>
            <w:vAlign w:val="center"/>
            <w:hideMark/>
          </w:tcPr>
          <w:p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rsidTr="006B0B12">
        <w:trPr>
          <w:trHeight w:val="523"/>
          <w:jc w:val="center"/>
        </w:trPr>
        <w:tc>
          <w:tcPr>
            <w:tcW w:w="4584" w:type="dxa"/>
            <w:shd w:val="clear" w:color="auto" w:fill="C5E0B3" w:themeFill="accent6" w:themeFillTint="66"/>
            <w:vAlign w:val="center"/>
            <w:hideMark/>
          </w:tcPr>
          <w:p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rsidTr="006B0B12">
        <w:trPr>
          <w:trHeight w:val="300"/>
          <w:jc w:val="center"/>
        </w:trPr>
        <w:tc>
          <w:tcPr>
            <w:tcW w:w="8647" w:type="dxa"/>
            <w:gridSpan w:val="2"/>
            <w:shd w:val="clear" w:color="auto" w:fill="D9D9D9" w:themeFill="background1" w:themeFillShade="D9"/>
            <w:noWrap/>
            <w:vAlign w:val="center"/>
            <w:hideMark/>
          </w:tcPr>
          <w:p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rsidTr="006B0B12">
        <w:trPr>
          <w:trHeight w:val="1889"/>
          <w:jc w:val="center"/>
        </w:trPr>
        <w:tc>
          <w:tcPr>
            <w:tcW w:w="8647" w:type="dxa"/>
            <w:gridSpan w:val="2"/>
            <w:shd w:val="clear" w:color="auto" w:fill="auto"/>
            <w:vAlign w:val="center"/>
            <w:hideMark/>
          </w:tcPr>
          <w:p w:rsidR="009179D0" w:rsidRDefault="009179D0" w:rsidP="000E55B0">
            <w:pPr>
              <w:spacing w:after="0" w:line="240" w:lineRule="auto"/>
              <w:jc w:val="both"/>
              <w:rPr>
                <w:rFonts w:ascii="Century Gothic" w:eastAsia="Times New Roman" w:hAnsi="Century Gothic" w:cs="Times New Roman"/>
                <w:color w:val="000000"/>
                <w:sz w:val="14"/>
                <w:szCs w:val="16"/>
                <w:lang w:eastAsia="es-MX"/>
              </w:rPr>
            </w:pPr>
          </w:p>
          <w:p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rsidR="00AF25D9" w:rsidRDefault="000E55B0" w:rsidP="00AF25D9">
            <w:pPr>
              <w:pStyle w:val="Prrafodelista"/>
              <w:numPr>
                <w:ilvl w:val="0"/>
                <w:numId w:val="12"/>
              </w:numPr>
              <w:spacing w:after="0" w:line="240" w:lineRule="auto"/>
              <w:ind w:left="492" w:right="229"/>
              <w:jc w:val="both"/>
              <w:rPr>
                <w:rFonts w:ascii="Century Gothic" w:eastAsia="Times New Roman" w:hAnsi="Century Gothic" w:cs="Times New Roman"/>
                <w:color w:val="000000"/>
                <w:sz w:val="14"/>
                <w:szCs w:val="16"/>
                <w:lang w:eastAsia="es-MX"/>
              </w:rPr>
            </w:pPr>
            <w:r w:rsidRPr="00AF25D9">
              <w:rPr>
                <w:rFonts w:ascii="Century Gothic" w:eastAsia="Times New Roman" w:hAnsi="Century Gothic" w:cs="Times New Roman"/>
                <w:b/>
                <w:color w:val="000000"/>
                <w:sz w:val="14"/>
                <w:szCs w:val="16"/>
                <w:lang w:eastAsia="es-MX"/>
              </w:rPr>
              <w:t>Denominación del responsable:</w:t>
            </w:r>
            <w:r w:rsidRPr="00AF25D9">
              <w:rPr>
                <w:rFonts w:ascii="Century Gothic" w:eastAsia="Times New Roman" w:hAnsi="Century Gothic" w:cs="Times New Roman"/>
                <w:color w:val="000000"/>
                <w:sz w:val="14"/>
                <w:szCs w:val="16"/>
                <w:lang w:eastAsia="es-MX"/>
              </w:rPr>
              <w:t xml:space="preserve"> Instituto Federal de Telecomunicaciones.</w:t>
            </w:r>
          </w:p>
          <w:p w:rsidR="00AF25D9" w:rsidRDefault="000E55B0" w:rsidP="00AF25D9">
            <w:pPr>
              <w:pStyle w:val="Prrafodelista"/>
              <w:numPr>
                <w:ilvl w:val="0"/>
                <w:numId w:val="12"/>
              </w:numPr>
              <w:spacing w:after="0" w:line="240" w:lineRule="auto"/>
              <w:ind w:left="492" w:right="229"/>
              <w:jc w:val="both"/>
              <w:rPr>
                <w:rFonts w:ascii="Century Gothic" w:eastAsia="Times New Roman" w:hAnsi="Century Gothic" w:cs="Times New Roman"/>
                <w:color w:val="000000"/>
                <w:sz w:val="14"/>
                <w:szCs w:val="16"/>
                <w:lang w:eastAsia="es-MX"/>
              </w:rPr>
            </w:pPr>
            <w:r w:rsidRPr="00AF25D9">
              <w:rPr>
                <w:rFonts w:ascii="Century Gothic" w:eastAsia="Times New Roman" w:hAnsi="Century Gothic" w:cs="Times New Roman"/>
                <w:b/>
                <w:color w:val="000000"/>
                <w:sz w:val="14"/>
                <w:szCs w:val="16"/>
                <w:lang w:eastAsia="es-MX"/>
              </w:rPr>
              <w:t>Domicilio del responsable:</w:t>
            </w:r>
            <w:r w:rsidRPr="00AF25D9">
              <w:rPr>
                <w:rFonts w:ascii="Century Gothic" w:eastAsia="Times New Roman" w:hAnsi="Century Gothic" w:cs="Times New Roman"/>
                <w:color w:val="000000"/>
                <w:sz w:val="14"/>
                <w:szCs w:val="16"/>
                <w:lang w:eastAsia="es-MX"/>
              </w:rPr>
              <w:t xml:space="preserve"> Insurgentes Sur #1143, Col. Nochebuena, Delegación Benito Juárez, C.P. 0</w:t>
            </w:r>
            <w:r w:rsidR="00AF25D9" w:rsidRPr="00AF25D9">
              <w:rPr>
                <w:rFonts w:ascii="Century Gothic" w:eastAsia="Times New Roman" w:hAnsi="Century Gothic" w:cs="Times New Roman"/>
                <w:color w:val="000000"/>
                <w:sz w:val="14"/>
                <w:szCs w:val="16"/>
                <w:lang w:eastAsia="es-MX"/>
              </w:rPr>
              <w:t>3720, Ciudad de México, México.</w:t>
            </w:r>
          </w:p>
          <w:p w:rsidR="00AF25D9" w:rsidRPr="00367C5B" w:rsidRDefault="000E55B0" w:rsidP="00AF25D9">
            <w:pPr>
              <w:pStyle w:val="Prrafodelista"/>
              <w:numPr>
                <w:ilvl w:val="0"/>
                <w:numId w:val="12"/>
              </w:numPr>
              <w:spacing w:after="0" w:line="240" w:lineRule="auto"/>
              <w:ind w:left="492" w:right="229"/>
              <w:jc w:val="both"/>
              <w:rPr>
                <w:rFonts w:ascii="Century Gothic" w:eastAsia="Times New Roman" w:hAnsi="Century Gothic" w:cs="Times New Roman"/>
                <w:color w:val="000000"/>
                <w:sz w:val="14"/>
                <w:szCs w:val="16"/>
                <w:lang w:eastAsia="es-MX"/>
              </w:rPr>
            </w:pPr>
            <w:r w:rsidRPr="00AF25D9">
              <w:rPr>
                <w:rFonts w:ascii="Century Gothic" w:eastAsia="Times New Roman" w:hAnsi="Century Gothic" w:cs="Times New Roman"/>
                <w:b/>
                <w:color w:val="000000"/>
                <w:sz w:val="14"/>
                <w:szCs w:val="16"/>
                <w:lang w:eastAsia="es-MX"/>
              </w:rPr>
              <w:t>Datos personales que serán sometidos a tratamiento y su finalidad:</w:t>
            </w:r>
            <w:r w:rsidRPr="00AF25D9">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sidRPr="00AF25D9">
              <w:rPr>
                <w:rFonts w:ascii="Century Gothic" w:eastAsia="Times New Roman" w:hAnsi="Century Gothic" w:cs="Times New Roman"/>
                <w:color w:val="000000"/>
                <w:sz w:val="14"/>
                <w:szCs w:val="16"/>
                <w:lang w:eastAsia="es-MX"/>
              </w:rPr>
              <w:t>,</w:t>
            </w:r>
            <w:r w:rsidRPr="00AF25D9">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el artículo 21, segundo párrafo de la LGPDPPSO. Ello, toda vez que </w:t>
            </w:r>
            <w:r w:rsidRPr="00367C5B">
              <w:rPr>
                <w:rFonts w:ascii="Century Gothic" w:eastAsia="Times New Roman" w:hAnsi="Century Gothic" w:cs="Times New Roman"/>
                <w:color w:val="000000"/>
                <w:sz w:val="14"/>
                <w:szCs w:val="16"/>
                <w:lang w:eastAsia="es-MX"/>
              </w:rPr>
              <w:t xml:space="preserve">la naturaleza de las consultas públicas consiste en promover la participación ciudadana y transparentar el proceso de elaboración de nuevas regulaciones, así como de cualquier otro asunto que estime el Pleno del Instituto </w:t>
            </w:r>
            <w:r w:rsidR="00735DEE" w:rsidRPr="00367C5B">
              <w:rPr>
                <w:rFonts w:ascii="Century Gothic" w:eastAsia="Times New Roman" w:hAnsi="Century Gothic" w:cs="Times New Roman"/>
                <w:color w:val="000000"/>
                <w:sz w:val="14"/>
                <w:szCs w:val="16"/>
                <w:lang w:eastAsia="es-MX"/>
              </w:rPr>
              <w:t xml:space="preserve">Federal de Telecomunicaciones </w:t>
            </w:r>
            <w:r w:rsidRPr="00367C5B">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rsidR="00AF25D9" w:rsidRPr="00367C5B" w:rsidRDefault="000E55B0" w:rsidP="00367C5B">
            <w:pPr>
              <w:pStyle w:val="Prrafodelista"/>
              <w:numPr>
                <w:ilvl w:val="0"/>
                <w:numId w:val="12"/>
              </w:numPr>
              <w:spacing w:after="0" w:line="240" w:lineRule="auto"/>
              <w:ind w:left="492" w:right="229"/>
              <w:jc w:val="both"/>
              <w:rPr>
                <w:rFonts w:ascii="Century Gothic" w:eastAsia="Times New Roman" w:hAnsi="Century Gothic" w:cs="Times New Roman"/>
                <w:color w:val="000000"/>
                <w:sz w:val="14"/>
                <w:szCs w:val="16"/>
                <w:lang w:eastAsia="es-MX"/>
              </w:rPr>
            </w:pPr>
            <w:r w:rsidRPr="00AF25D9">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367C5B">
              <w:rPr>
                <w:rFonts w:ascii="Century Gothic" w:eastAsia="Times New Roman" w:hAnsi="Century Gothic" w:cs="Times New Roman"/>
                <w:b/>
                <w:color w:val="000000"/>
                <w:sz w:val="14"/>
                <w:szCs w:val="16"/>
                <w:lang w:eastAsia="es-MX"/>
              </w:rPr>
              <w:t xml:space="preserve"> </w:t>
            </w:r>
            <w:r w:rsidRPr="00367C5B">
              <w:rPr>
                <w:rFonts w:ascii="Century Gothic" w:eastAsia="Times New Roman" w:hAnsi="Century Gothic" w:cs="Times New Roman"/>
                <w:color w:val="000000"/>
                <w:sz w:val="14"/>
                <w:szCs w:val="16"/>
                <w:lang w:eastAsia="es-MX"/>
              </w:rPr>
              <w:t xml:space="preserve">Ninguno de los datos personales recabados con motivo de los procesos de consulta pública es objeto de transferencia en términos de lo dispuesto por el Artículo 3, </w:t>
            </w:r>
            <w:r w:rsidR="00735DEE" w:rsidRPr="00367C5B">
              <w:rPr>
                <w:rFonts w:ascii="Century Gothic" w:eastAsia="Times New Roman" w:hAnsi="Century Gothic" w:cs="Times New Roman"/>
                <w:color w:val="000000"/>
                <w:sz w:val="14"/>
                <w:szCs w:val="16"/>
                <w:lang w:eastAsia="es-MX"/>
              </w:rPr>
              <w:t>fracción XXXII de la LGPDPPSO.</w:t>
            </w:r>
          </w:p>
          <w:p w:rsidR="00AF25D9" w:rsidRPr="00367C5B" w:rsidRDefault="000E55B0" w:rsidP="00367C5B">
            <w:pPr>
              <w:pStyle w:val="Prrafodelista"/>
              <w:numPr>
                <w:ilvl w:val="0"/>
                <w:numId w:val="12"/>
              </w:numPr>
              <w:spacing w:after="0" w:line="240" w:lineRule="auto"/>
              <w:ind w:left="492" w:right="229"/>
              <w:jc w:val="both"/>
              <w:rPr>
                <w:rFonts w:ascii="Century Gothic" w:eastAsia="Times New Roman" w:hAnsi="Century Gothic" w:cs="Times New Roman"/>
                <w:color w:val="000000"/>
                <w:sz w:val="14"/>
                <w:szCs w:val="16"/>
                <w:lang w:eastAsia="es-MX"/>
              </w:rPr>
            </w:pPr>
            <w:r w:rsidRPr="00AF25D9">
              <w:rPr>
                <w:rFonts w:ascii="Century Gothic" w:eastAsia="Times New Roman" w:hAnsi="Century Gothic" w:cs="Times New Roman"/>
                <w:b/>
                <w:color w:val="000000"/>
                <w:sz w:val="14"/>
                <w:szCs w:val="16"/>
                <w:lang w:eastAsia="es-MX"/>
              </w:rPr>
              <w:t>Fundamento legal que faculta al responsable para llevar a cabo el tratamiento:</w:t>
            </w:r>
            <w:r w:rsidRPr="00367C5B">
              <w:rPr>
                <w:rFonts w:ascii="Century Gothic" w:eastAsia="Times New Roman" w:hAnsi="Century Gothic" w:cs="Times New Roman"/>
                <w:b/>
                <w:color w:val="000000"/>
                <w:sz w:val="14"/>
                <w:szCs w:val="16"/>
                <w:lang w:eastAsia="es-MX"/>
              </w:rPr>
              <w:t xml:space="preserve"> </w:t>
            </w:r>
            <w:r w:rsidRPr="00367C5B">
              <w:rPr>
                <w:rFonts w:ascii="Century Gothic" w:eastAsia="Times New Roman" w:hAnsi="Century Gothic" w:cs="Times New Roman"/>
                <w:color w:val="000000"/>
                <w:sz w:val="14"/>
                <w:szCs w:val="16"/>
                <w:lang w:eastAsia="es-MX"/>
              </w:rPr>
              <w:t>Artículo 51 de la Ley Federal de Telecomunicaciones y Radiodifusión.</w:t>
            </w:r>
          </w:p>
          <w:p w:rsidR="000E55B0" w:rsidRPr="00367C5B" w:rsidRDefault="000E55B0" w:rsidP="00367C5B">
            <w:pPr>
              <w:pStyle w:val="Prrafodelista"/>
              <w:numPr>
                <w:ilvl w:val="0"/>
                <w:numId w:val="12"/>
              </w:numPr>
              <w:spacing w:after="0" w:line="240" w:lineRule="auto"/>
              <w:ind w:left="492" w:right="229"/>
              <w:jc w:val="both"/>
              <w:rPr>
                <w:rFonts w:ascii="Century Gothic" w:eastAsia="Times New Roman" w:hAnsi="Century Gothic" w:cs="Times New Roman"/>
                <w:color w:val="000000"/>
                <w:sz w:val="14"/>
                <w:szCs w:val="16"/>
                <w:lang w:eastAsia="es-MX"/>
              </w:rPr>
            </w:pPr>
            <w:r w:rsidRPr="00367C5B">
              <w:rPr>
                <w:rFonts w:ascii="Century Gothic" w:eastAsia="Times New Roman" w:hAnsi="Century Gothic" w:cs="Times New Roman"/>
                <w:b/>
                <w:color w:val="000000"/>
                <w:sz w:val="14"/>
                <w:szCs w:val="16"/>
                <w:lang w:eastAsia="es-MX"/>
              </w:rPr>
              <w:lastRenderedPageBreak/>
              <w:t xml:space="preserve">Mecanismos y medios disponibles para que el titular, en su caso, pueda manifestar su negativa para el tratamiento de sus datos personales para finalidades y transferencias de datos personales que requieren el consentimiento del titular: </w:t>
            </w:r>
            <w:r w:rsidRPr="00367C5B">
              <w:rPr>
                <w:rFonts w:ascii="Century Gothic" w:eastAsia="Times New Roman" w:hAnsi="Century Gothic" w:cs="Times New Roman"/>
                <w:color w:val="000000"/>
                <w:sz w:val="14"/>
                <w:szCs w:val="16"/>
                <w:lang w:eastAsia="es-MX"/>
              </w:rPr>
              <w:t xml:space="preserve">Se ponen a disposición los siguientes puntos de contacto: </w:t>
            </w:r>
            <w:r w:rsidR="00AF25D9" w:rsidRPr="00367C5B">
              <w:rPr>
                <w:rFonts w:ascii="Century Gothic" w:eastAsia="Times New Roman" w:hAnsi="Century Gothic" w:cs="Times New Roman"/>
                <w:color w:val="000000"/>
                <w:sz w:val="14"/>
                <w:szCs w:val="16"/>
                <w:lang w:eastAsia="es-MX"/>
              </w:rPr>
              <w:t xml:space="preserve">Lic. </w:t>
            </w:r>
            <w:r w:rsidR="00B07D91" w:rsidRPr="00367C5B">
              <w:rPr>
                <w:rFonts w:ascii="Century Gothic" w:eastAsia="Times New Roman" w:hAnsi="Century Gothic" w:cs="Times New Roman"/>
                <w:color w:val="000000"/>
                <w:sz w:val="14"/>
                <w:szCs w:val="16"/>
                <w:lang w:eastAsia="es-MX"/>
              </w:rPr>
              <w:t xml:space="preserve">Maria Antonia López de la Torre, Subdirectora de </w:t>
            </w:r>
            <w:r w:rsidR="00306C27">
              <w:rPr>
                <w:rFonts w:ascii="Century Gothic" w:eastAsia="Times New Roman" w:hAnsi="Century Gothic" w:cs="Times New Roman"/>
                <w:color w:val="000000"/>
                <w:sz w:val="14"/>
                <w:szCs w:val="16"/>
                <w:lang w:eastAsia="es-MX"/>
              </w:rPr>
              <w:t xml:space="preserve">Análisis de </w:t>
            </w:r>
            <w:r w:rsidR="00B07D91" w:rsidRPr="00367C5B">
              <w:rPr>
                <w:rFonts w:ascii="Century Gothic" w:eastAsia="Times New Roman" w:hAnsi="Century Gothic" w:cs="Times New Roman"/>
                <w:color w:val="000000"/>
                <w:sz w:val="14"/>
                <w:szCs w:val="16"/>
                <w:lang w:eastAsia="es-MX"/>
              </w:rPr>
              <w:t>Autorizaciones</w:t>
            </w:r>
            <w:r w:rsidR="00306C27">
              <w:rPr>
                <w:rFonts w:ascii="Century Gothic" w:eastAsia="Times New Roman" w:hAnsi="Century Gothic" w:cs="Times New Roman"/>
                <w:color w:val="000000"/>
                <w:sz w:val="14"/>
                <w:szCs w:val="16"/>
                <w:lang w:eastAsia="es-MX"/>
              </w:rPr>
              <w:t xml:space="preserve"> de Comercializadoras</w:t>
            </w:r>
            <w:r w:rsidR="00AF25D9" w:rsidRPr="00367C5B">
              <w:rPr>
                <w:rFonts w:ascii="Century Gothic" w:eastAsia="Times New Roman" w:hAnsi="Century Gothic" w:cs="Times New Roman"/>
                <w:color w:val="000000"/>
                <w:sz w:val="14"/>
                <w:szCs w:val="16"/>
                <w:lang w:eastAsia="es-MX"/>
              </w:rPr>
              <w:t>,</w:t>
            </w:r>
            <w:r w:rsidRPr="00367C5B">
              <w:rPr>
                <w:rFonts w:ascii="Century Gothic" w:eastAsia="Times New Roman" w:hAnsi="Century Gothic" w:cs="Times New Roman"/>
                <w:color w:val="000000"/>
                <w:sz w:val="14"/>
                <w:szCs w:val="16"/>
                <w:lang w:eastAsia="es-MX"/>
              </w:rPr>
              <w:t xml:space="preserve"> correo electrónico: </w:t>
            </w:r>
            <w:hyperlink r:id="rId15" w:history="1">
              <w:r w:rsidR="00E40BDC" w:rsidRPr="00803C23">
                <w:rPr>
                  <w:rStyle w:val="Hipervnculo"/>
                  <w:rFonts w:ascii="Century Gothic" w:eastAsia="Times New Roman" w:hAnsi="Century Gothic" w:cs="Times New Roman"/>
                  <w:sz w:val="14"/>
                  <w:szCs w:val="16"/>
                  <w:lang w:eastAsia="es-MX"/>
                </w:rPr>
                <w:t>antonia.lopez@ift.org.mx</w:t>
              </w:r>
            </w:hyperlink>
            <w:r w:rsidR="00224DD6">
              <w:rPr>
                <w:rFonts w:ascii="Century Gothic" w:eastAsia="Times New Roman" w:hAnsi="Century Gothic" w:cs="Times New Roman"/>
                <w:color w:val="000000"/>
                <w:sz w:val="14"/>
                <w:szCs w:val="16"/>
                <w:lang w:eastAsia="es-MX"/>
              </w:rPr>
              <w:t>,</w:t>
            </w:r>
            <w:r w:rsidRPr="00367C5B">
              <w:rPr>
                <w:rFonts w:ascii="Century Gothic" w:eastAsia="Times New Roman" w:hAnsi="Century Gothic" w:cs="Times New Roman"/>
                <w:color w:val="000000"/>
                <w:sz w:val="14"/>
                <w:szCs w:val="16"/>
                <w:lang w:eastAsia="es-MX"/>
              </w:rPr>
              <w:t xml:space="preserve"> número telefónico (55) 5015</w:t>
            </w:r>
            <w:r w:rsidR="00E40BDC">
              <w:rPr>
                <w:rFonts w:ascii="Century Gothic" w:eastAsia="Times New Roman" w:hAnsi="Century Gothic" w:cs="Times New Roman"/>
                <w:color w:val="000000"/>
                <w:sz w:val="14"/>
                <w:szCs w:val="16"/>
                <w:lang w:eastAsia="es-MX"/>
              </w:rPr>
              <w:t xml:space="preserve"> </w:t>
            </w:r>
            <w:r w:rsidRPr="00367C5B">
              <w:rPr>
                <w:rFonts w:ascii="Century Gothic" w:eastAsia="Times New Roman" w:hAnsi="Century Gothic" w:cs="Times New Roman"/>
                <w:color w:val="000000"/>
                <w:sz w:val="14"/>
                <w:szCs w:val="16"/>
                <w:lang w:eastAsia="es-MX"/>
              </w:rPr>
              <w:t>4000</w:t>
            </w:r>
            <w:r w:rsidR="00224DD6">
              <w:rPr>
                <w:rFonts w:ascii="Century Gothic" w:eastAsia="Times New Roman" w:hAnsi="Century Gothic" w:cs="Times New Roman"/>
                <w:color w:val="000000"/>
                <w:sz w:val="14"/>
                <w:szCs w:val="16"/>
                <w:lang w:eastAsia="es-MX"/>
              </w:rPr>
              <w:t>,</w:t>
            </w:r>
            <w:r w:rsidRPr="00367C5B">
              <w:rPr>
                <w:rFonts w:ascii="Century Gothic" w:eastAsia="Times New Roman" w:hAnsi="Century Gothic" w:cs="Times New Roman"/>
                <w:color w:val="000000"/>
                <w:sz w:val="14"/>
                <w:szCs w:val="16"/>
                <w:lang w:eastAsia="es-MX"/>
              </w:rPr>
              <w:t xml:space="preserve"> extensión </w:t>
            </w:r>
            <w:r w:rsidR="00B07D91" w:rsidRPr="00367C5B">
              <w:rPr>
                <w:rFonts w:ascii="Century Gothic" w:eastAsia="Times New Roman" w:hAnsi="Century Gothic" w:cs="Times New Roman"/>
                <w:color w:val="000000"/>
                <w:sz w:val="14"/>
                <w:szCs w:val="16"/>
                <w:lang w:eastAsia="es-MX"/>
              </w:rPr>
              <w:t>47</w:t>
            </w:r>
            <w:r w:rsidR="00AF25D9" w:rsidRPr="00367C5B">
              <w:rPr>
                <w:rFonts w:ascii="Century Gothic" w:eastAsia="Times New Roman" w:hAnsi="Century Gothic" w:cs="Times New Roman"/>
                <w:color w:val="000000"/>
                <w:sz w:val="14"/>
                <w:szCs w:val="16"/>
                <w:lang w:eastAsia="es-MX"/>
              </w:rPr>
              <w:t>4</w:t>
            </w:r>
            <w:r w:rsidR="00B07D91" w:rsidRPr="00367C5B">
              <w:rPr>
                <w:rFonts w:ascii="Century Gothic" w:eastAsia="Times New Roman" w:hAnsi="Century Gothic" w:cs="Times New Roman"/>
                <w:color w:val="000000"/>
                <w:sz w:val="14"/>
                <w:szCs w:val="16"/>
                <w:lang w:eastAsia="es-MX"/>
              </w:rPr>
              <w:t>8</w:t>
            </w:r>
            <w:r w:rsidRPr="00367C5B">
              <w:rPr>
                <w:rFonts w:ascii="Century Gothic" w:eastAsia="Times New Roman" w:hAnsi="Century Gothic" w:cs="Times New Roman"/>
                <w:color w:val="000000"/>
                <w:sz w:val="14"/>
                <w:szCs w:val="16"/>
                <w:lang w:eastAsia="es-MX"/>
              </w:rPr>
              <w:t xml:space="preserve"> y</w:t>
            </w:r>
            <w:r w:rsidR="00AF25D9" w:rsidRPr="00367C5B">
              <w:rPr>
                <w:rFonts w:ascii="Century Gothic" w:eastAsia="Times New Roman" w:hAnsi="Century Gothic" w:cs="Times New Roman"/>
                <w:color w:val="000000"/>
                <w:sz w:val="14"/>
                <w:szCs w:val="16"/>
                <w:lang w:eastAsia="es-MX"/>
              </w:rPr>
              <w:t xml:space="preserve"> Lic. Saira Giovanni Soto González, Jefe de Departamento de </w:t>
            </w:r>
            <w:r w:rsidR="00306C27">
              <w:rPr>
                <w:rFonts w:ascii="Century Gothic" w:eastAsia="Times New Roman" w:hAnsi="Century Gothic" w:cs="Times New Roman"/>
                <w:color w:val="000000"/>
                <w:sz w:val="14"/>
                <w:szCs w:val="16"/>
                <w:lang w:eastAsia="es-MX"/>
              </w:rPr>
              <w:t>Análisis de Autorizaciones de Comercializadoras</w:t>
            </w:r>
            <w:r w:rsidR="00AF25D9" w:rsidRPr="00367C5B">
              <w:rPr>
                <w:rFonts w:ascii="Century Gothic" w:eastAsia="Times New Roman" w:hAnsi="Century Gothic" w:cs="Times New Roman"/>
                <w:color w:val="000000"/>
                <w:sz w:val="14"/>
                <w:szCs w:val="16"/>
                <w:lang w:eastAsia="es-MX"/>
              </w:rPr>
              <w:t xml:space="preserve">, correo electrónico: </w:t>
            </w:r>
            <w:hyperlink r:id="rId16" w:history="1">
              <w:r w:rsidR="00E40BDC" w:rsidRPr="00803C23">
                <w:rPr>
                  <w:rStyle w:val="Hipervnculo"/>
                  <w:rFonts w:ascii="Century Gothic" w:eastAsia="Times New Roman" w:hAnsi="Century Gothic" w:cs="Times New Roman"/>
                  <w:sz w:val="14"/>
                  <w:szCs w:val="16"/>
                  <w:lang w:eastAsia="es-MX"/>
                </w:rPr>
                <w:t>saira.soto@ift.org.mx</w:t>
              </w:r>
            </w:hyperlink>
            <w:r w:rsidR="00EE4B77">
              <w:rPr>
                <w:rFonts w:ascii="Century Gothic" w:eastAsia="Times New Roman" w:hAnsi="Century Gothic" w:cs="Times New Roman"/>
                <w:color w:val="000000"/>
                <w:sz w:val="14"/>
                <w:szCs w:val="16"/>
                <w:lang w:eastAsia="es-MX"/>
              </w:rPr>
              <w:t>,</w:t>
            </w:r>
            <w:r w:rsidR="00AF25D9" w:rsidRPr="00367C5B">
              <w:rPr>
                <w:rFonts w:ascii="Century Gothic" w:eastAsia="Times New Roman" w:hAnsi="Century Gothic" w:cs="Times New Roman"/>
                <w:color w:val="000000"/>
                <w:sz w:val="14"/>
                <w:szCs w:val="16"/>
                <w:lang w:eastAsia="es-MX"/>
              </w:rPr>
              <w:t xml:space="preserve"> número telefónico (55) 5015</w:t>
            </w:r>
            <w:r w:rsidR="00E40BDC">
              <w:rPr>
                <w:rFonts w:ascii="Century Gothic" w:eastAsia="Times New Roman" w:hAnsi="Century Gothic" w:cs="Times New Roman"/>
                <w:color w:val="000000"/>
                <w:sz w:val="14"/>
                <w:szCs w:val="16"/>
                <w:lang w:eastAsia="es-MX"/>
              </w:rPr>
              <w:t xml:space="preserve"> </w:t>
            </w:r>
            <w:r w:rsidR="00AF25D9" w:rsidRPr="00367C5B">
              <w:rPr>
                <w:rFonts w:ascii="Century Gothic" w:eastAsia="Times New Roman" w:hAnsi="Century Gothic" w:cs="Times New Roman"/>
                <w:color w:val="000000"/>
                <w:sz w:val="14"/>
                <w:szCs w:val="16"/>
                <w:lang w:eastAsia="es-MX"/>
              </w:rPr>
              <w:t>4000</w:t>
            </w:r>
            <w:r w:rsidR="00EE4B77">
              <w:rPr>
                <w:rFonts w:ascii="Century Gothic" w:eastAsia="Times New Roman" w:hAnsi="Century Gothic" w:cs="Times New Roman"/>
                <w:color w:val="000000"/>
                <w:sz w:val="14"/>
                <w:szCs w:val="16"/>
                <w:lang w:eastAsia="es-MX"/>
              </w:rPr>
              <w:t>,</w:t>
            </w:r>
            <w:r w:rsidR="00AF25D9" w:rsidRPr="00367C5B">
              <w:rPr>
                <w:rFonts w:ascii="Century Gothic" w:eastAsia="Times New Roman" w:hAnsi="Century Gothic" w:cs="Times New Roman"/>
                <w:color w:val="000000"/>
                <w:sz w:val="14"/>
                <w:szCs w:val="16"/>
                <w:lang w:eastAsia="es-MX"/>
              </w:rPr>
              <w:t xml:space="preserve"> extensión 2043</w:t>
            </w:r>
            <w:r w:rsidR="00306C27">
              <w:rPr>
                <w:rFonts w:ascii="Century Gothic" w:eastAsia="Times New Roman" w:hAnsi="Century Gothic" w:cs="Times New Roman"/>
                <w:color w:val="000000"/>
                <w:sz w:val="14"/>
                <w:szCs w:val="16"/>
                <w:lang w:eastAsia="es-MX"/>
              </w:rPr>
              <w:t>,</w:t>
            </w:r>
            <w:r w:rsidR="00AF25D9" w:rsidRPr="00367C5B">
              <w:rPr>
                <w:rFonts w:ascii="Century Gothic" w:eastAsia="Times New Roman" w:hAnsi="Century Gothic" w:cs="Times New Roman"/>
                <w:color w:val="000000"/>
                <w:sz w:val="14"/>
                <w:szCs w:val="16"/>
                <w:lang w:eastAsia="es-MX"/>
              </w:rPr>
              <w:t xml:space="preserve"> </w:t>
            </w:r>
            <w:r w:rsidRPr="00367C5B">
              <w:rPr>
                <w:rFonts w:ascii="Century Gothic" w:eastAsia="Times New Roman" w:hAnsi="Century Gothic" w:cs="Times New Roman"/>
                <w:color w:val="000000"/>
                <w:sz w:val="14"/>
                <w:szCs w:val="16"/>
                <w:lang w:eastAsia="es-MX"/>
              </w:rPr>
              <w:t>con quienes el titular de los datos personales podrá comunicarse a efecto de manifestar, de ser el caso, su negativa para el tratamiento de sus datos personales para finalidades q</w:t>
            </w:r>
            <w:r w:rsidR="00735DEE" w:rsidRPr="00367C5B">
              <w:rPr>
                <w:rFonts w:ascii="Century Gothic" w:eastAsia="Times New Roman" w:hAnsi="Century Gothic" w:cs="Times New Roman"/>
                <w:color w:val="000000"/>
                <w:sz w:val="14"/>
                <w:szCs w:val="16"/>
                <w:lang w:eastAsia="es-MX"/>
              </w:rPr>
              <w:t>ue requieran su consentimiento.</w:t>
            </w:r>
          </w:p>
          <w:p w:rsidR="000E55B0" w:rsidRPr="00367C5B" w:rsidRDefault="000E55B0" w:rsidP="00367C5B">
            <w:pPr>
              <w:pStyle w:val="Prrafodelista"/>
              <w:numPr>
                <w:ilvl w:val="0"/>
                <w:numId w:val="12"/>
              </w:numPr>
              <w:spacing w:after="0" w:line="240" w:lineRule="auto"/>
              <w:ind w:left="492" w:right="229"/>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367C5B">
              <w:rPr>
                <w:rFonts w:ascii="Century Gothic" w:eastAsia="Times New Roman" w:hAnsi="Century Gothic" w:cs="Times New Roman"/>
                <w:b/>
                <w:color w:val="000000"/>
                <w:sz w:val="14"/>
                <w:szCs w:val="16"/>
                <w:lang w:eastAsia="es-MX"/>
              </w:rPr>
              <w:t xml:space="preserve"> </w:t>
            </w:r>
            <w:r w:rsidRPr="00367C5B">
              <w:rPr>
                <w:rFonts w:ascii="Century Gothic" w:eastAsia="Times New Roman" w:hAnsi="Century Gothic" w:cs="Times New Roman"/>
                <w:color w:val="000000"/>
                <w:sz w:val="14"/>
                <w:szCs w:val="16"/>
                <w:lang w:eastAsia="es-MX"/>
              </w:rPr>
              <w:t>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w:t>
            </w:r>
            <w:r w:rsidR="009873B3">
              <w:rPr>
                <w:rFonts w:ascii="Century Gothic" w:eastAsia="Times New Roman" w:hAnsi="Century Gothic" w:cs="Times New Roman"/>
                <w:color w:val="000000"/>
                <w:sz w:val="14"/>
                <w:szCs w:val="16"/>
                <w:lang w:eastAsia="es-MX"/>
              </w:rPr>
              <w:t>tículos 48 a 56 de la LGPDPPSO.</w:t>
            </w:r>
          </w:p>
          <w:p w:rsidR="000E55B0" w:rsidRPr="00367C5B" w:rsidRDefault="000E55B0" w:rsidP="009873B3">
            <w:pPr>
              <w:pStyle w:val="Prrafodelista"/>
              <w:numPr>
                <w:ilvl w:val="0"/>
                <w:numId w:val="12"/>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367C5B">
              <w:rPr>
                <w:rFonts w:ascii="Century Gothic" w:eastAsia="Times New Roman" w:hAnsi="Century Gothic" w:cs="Times New Roman"/>
                <w:b/>
                <w:color w:val="000000"/>
                <w:sz w:val="14"/>
                <w:szCs w:val="16"/>
                <w:lang w:eastAsia="es-MX"/>
              </w:rPr>
              <w:t xml:space="preserve"> </w:t>
            </w:r>
            <w:r w:rsidRPr="00367C5B">
              <w:rPr>
                <w:rFonts w:ascii="Century Gothic" w:eastAsia="Times New Roman" w:hAnsi="Century Gothic" w:cs="Times New Roman"/>
                <w:color w:val="000000"/>
                <w:sz w:val="14"/>
                <w:szCs w:val="16"/>
                <w:lang w:eastAsia="es-MX"/>
              </w:rPr>
              <w:t>Insurgentes Sur #1143, Col. Nochebuena, Delegación Benito Juárez, C.P. 03720, Ciudad de México, México.</w:t>
            </w:r>
          </w:p>
          <w:p w:rsidR="00DF154A" w:rsidRPr="00367C5B" w:rsidRDefault="000E55B0" w:rsidP="00367C5B">
            <w:pPr>
              <w:pStyle w:val="Prrafodelista"/>
              <w:numPr>
                <w:ilvl w:val="0"/>
                <w:numId w:val="12"/>
              </w:numPr>
              <w:spacing w:after="0" w:line="240" w:lineRule="auto"/>
              <w:ind w:left="492" w:right="229"/>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367C5B">
              <w:rPr>
                <w:rFonts w:ascii="Century Gothic" w:eastAsia="Times New Roman" w:hAnsi="Century Gothic" w:cs="Times New Roman"/>
                <w:color w:val="000000"/>
                <w:sz w:val="14"/>
                <w:szCs w:val="16"/>
                <w:lang w:eastAsia="es-MX"/>
              </w:rPr>
              <w:t xml:space="preserve">: Todo cambio al </w:t>
            </w:r>
            <w:r w:rsidR="006B0B12" w:rsidRPr="00367C5B">
              <w:rPr>
                <w:rFonts w:ascii="Century Gothic" w:eastAsia="Times New Roman" w:hAnsi="Century Gothic" w:cs="Times New Roman"/>
                <w:color w:val="000000"/>
                <w:sz w:val="14"/>
                <w:szCs w:val="16"/>
                <w:lang w:eastAsia="es-MX"/>
              </w:rPr>
              <w:t>A</w:t>
            </w:r>
            <w:r w:rsidRPr="00367C5B">
              <w:rPr>
                <w:rFonts w:ascii="Century Gothic" w:eastAsia="Times New Roman" w:hAnsi="Century Gothic" w:cs="Times New Roman"/>
                <w:color w:val="000000"/>
                <w:sz w:val="14"/>
                <w:szCs w:val="16"/>
                <w:lang w:eastAsia="es-MX"/>
              </w:rPr>
              <w:t xml:space="preserve">viso de </w:t>
            </w:r>
            <w:r w:rsidR="006B0B12" w:rsidRPr="00367C5B">
              <w:rPr>
                <w:rFonts w:ascii="Century Gothic" w:eastAsia="Times New Roman" w:hAnsi="Century Gothic" w:cs="Times New Roman"/>
                <w:color w:val="000000"/>
                <w:sz w:val="14"/>
                <w:szCs w:val="16"/>
                <w:lang w:eastAsia="es-MX"/>
              </w:rPr>
              <w:t>P</w:t>
            </w:r>
            <w:r w:rsidRPr="00367C5B">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1754"/>
        <w:gridCol w:w="6893"/>
      </w:tblGrid>
      <w:tr w:rsidR="000E55B0" w:rsidRPr="004970C4" w:rsidTr="006B0B12">
        <w:trPr>
          <w:trHeight w:val="581"/>
        </w:trPr>
        <w:tc>
          <w:tcPr>
            <w:tcW w:w="8647" w:type="dxa"/>
            <w:gridSpan w:val="2"/>
            <w:shd w:val="clear" w:color="auto" w:fill="D9D9D9" w:themeFill="background1" w:themeFillShade="D9"/>
            <w:vAlign w:val="center"/>
            <w:hideMark/>
          </w:tcPr>
          <w:p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lastRenderedPageBreak/>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consulta pública</w:t>
            </w:r>
          </w:p>
        </w:tc>
      </w:tr>
      <w:tr w:rsidR="000E55B0" w:rsidRPr="004970C4" w:rsidTr="006B0B12">
        <w:trPr>
          <w:trHeight w:val="678"/>
        </w:trPr>
        <w:tc>
          <w:tcPr>
            <w:tcW w:w="1754" w:type="dxa"/>
            <w:shd w:val="clear" w:color="auto" w:fill="C5E0B3" w:themeFill="accent6" w:themeFillTint="66"/>
            <w:vAlign w:val="center"/>
            <w:hideMark/>
          </w:tcPr>
          <w:p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o apartado</w:t>
            </w:r>
          </w:p>
        </w:tc>
        <w:tc>
          <w:tcPr>
            <w:tcW w:w="6893" w:type="dxa"/>
            <w:shd w:val="clear" w:color="auto" w:fill="C5E0B3" w:themeFill="accent6" w:themeFillTint="66"/>
            <w:vAlign w:val="center"/>
            <w:hideMark/>
          </w:tcPr>
          <w:p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sidR="006B0B12">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8647" w:type="dxa"/>
            <w:gridSpan w:val="2"/>
            <w:shd w:val="clear" w:color="auto" w:fill="C5E0B3" w:themeFill="accent6" w:themeFillTint="66"/>
            <w:vAlign w:val="center"/>
          </w:tcPr>
          <w:p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rsidTr="006B0B12">
        <w:trPr>
          <w:trHeight w:val="600"/>
          <w:jc w:val="center"/>
        </w:trPr>
        <w:tc>
          <w:tcPr>
            <w:tcW w:w="8642" w:type="dxa"/>
            <w:shd w:val="clear" w:color="auto" w:fill="D9D9D9" w:themeFill="background1" w:themeFillShade="D9"/>
            <w:hideMark/>
          </w:tcPr>
          <w:p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rsidTr="006B0B12">
        <w:trPr>
          <w:trHeight w:val="720"/>
          <w:jc w:val="center"/>
        </w:trPr>
        <w:tc>
          <w:tcPr>
            <w:tcW w:w="8642" w:type="dxa"/>
            <w:shd w:val="clear" w:color="000000" w:fill="FFFFFF"/>
            <w:noWrap/>
            <w:hideMark/>
          </w:tcPr>
          <w:p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rsidTr="00DC3C6C">
        <w:trPr>
          <w:trHeight w:val="300"/>
          <w:jc w:val="center"/>
        </w:trPr>
        <w:tc>
          <w:tcPr>
            <w:tcW w:w="8642" w:type="dxa"/>
            <w:shd w:val="clear" w:color="auto" w:fill="C5E0B3" w:themeFill="accent6" w:themeFillTint="66"/>
            <w:noWrap/>
            <w:vAlign w:val="center"/>
          </w:tcPr>
          <w:p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rsidR="00DF154A" w:rsidRPr="00C41536" w:rsidRDefault="00DF154A" w:rsidP="00170916">
      <w:pPr>
        <w:spacing w:after="0"/>
        <w:jc w:val="both"/>
        <w:rPr>
          <w:rFonts w:ascii="Century Gothic" w:hAnsi="Century Gothic"/>
          <w:sz w:val="16"/>
        </w:rPr>
      </w:pPr>
    </w:p>
    <w:sectPr w:rsidR="00DF154A" w:rsidRPr="00C41536" w:rsidSect="007E04FB">
      <w:headerReference w:type="default" r:id="rId17"/>
      <w:footerReference w:type="default" r:id="rId1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04" w:rsidRDefault="002E7E04" w:rsidP="0038199D">
      <w:pPr>
        <w:spacing w:after="0" w:line="240" w:lineRule="auto"/>
      </w:pPr>
      <w:r>
        <w:separator/>
      </w:r>
    </w:p>
  </w:endnote>
  <w:endnote w:type="continuationSeparator" w:id="0">
    <w:p w:rsidR="002E7E04" w:rsidRDefault="002E7E04"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5A0B9C" w:rsidRPr="005A0B9C">
      <w:rPr>
        <w:rFonts w:ascii="ITC Avant Garde" w:hAnsi="ITC Avant Garde"/>
        <w:noProof/>
        <w:color w:val="323E4F" w:themeColor="text2" w:themeShade="BF"/>
        <w:sz w:val="14"/>
        <w:szCs w:val="24"/>
        <w:lang w:val="es-ES"/>
      </w:rPr>
      <w:t>1</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5A0B9C" w:rsidRPr="005A0B9C">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04" w:rsidRDefault="002E7E04" w:rsidP="0038199D">
      <w:pPr>
        <w:spacing w:after="0" w:line="240" w:lineRule="auto"/>
      </w:pPr>
      <w:r>
        <w:separator/>
      </w:r>
    </w:p>
  </w:footnote>
  <w:footnote w:type="continuationSeparator" w:id="0">
    <w:p w:rsidR="002E7E04" w:rsidRDefault="002E7E04"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495E4418" wp14:editId="406729EE">
          <wp:simplePos x="0" y="0"/>
          <wp:positionH relativeFrom="margin">
            <wp:align>left</wp:align>
          </wp:positionH>
          <wp:positionV relativeFrom="paragraph">
            <wp:posOffset>10933</wp:posOffset>
          </wp:positionV>
          <wp:extent cx="1036800" cy="712800"/>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p>
  <w:p w:rsidR="0038199D" w:rsidRPr="005A0B9C" w:rsidRDefault="00E40BDC" w:rsidP="004D5EAB">
    <w:pPr>
      <w:pStyle w:val="Encabezado"/>
      <w:ind w:left="3119"/>
      <w:jc w:val="both"/>
      <w:rPr>
        <w:rFonts w:ascii="Century Gothic" w:hAnsi="Century Gothic"/>
        <w:sz w:val="20"/>
      </w:rPr>
    </w:pPr>
    <w:r w:rsidRPr="005A0B9C">
      <w:rPr>
        <w:rFonts w:ascii="Century Gothic" w:hAnsi="Century Gothic"/>
        <w:noProof/>
        <w:sz w:val="20"/>
        <w:lang w:eastAsia="es-MX"/>
      </w:rPr>
      <mc:AlternateContent>
        <mc:Choice Requires="wps">
          <w:drawing>
            <wp:anchor distT="0" distB="0" distL="114300" distR="114300" simplePos="0" relativeHeight="251659264" behindDoc="0" locked="0" layoutInCell="1" allowOverlap="1" wp14:anchorId="60B42E0C" wp14:editId="7B577C90">
              <wp:simplePos x="0" y="0"/>
              <wp:positionH relativeFrom="margin">
                <wp:align>left</wp:align>
              </wp:positionH>
              <wp:positionV relativeFrom="paragraph">
                <wp:posOffset>667173</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5B43CEA" id="Conector recto 2" o:spid="_x0000_s1026" alt="Título: Línea para separar los textos"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52.55pt" to="442.6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" strokecolor="#70ad47 [3209]" strokeweight=".5pt">
              <v:stroke joinstyle="miter"/>
              <w10:wrap anchorx="margin"/>
            </v:line>
          </w:pict>
        </mc:Fallback>
      </mc:AlternateContent>
    </w:r>
    <w:r w:rsidR="00005DB7" w:rsidRPr="005A0B9C">
      <w:rPr>
        <w:rFonts w:ascii="Century Gothic" w:hAnsi="Century Gothic"/>
        <w:b/>
        <w:sz w:val="18"/>
      </w:rPr>
      <w:t xml:space="preserve">Consulta Pública sobre </w:t>
    </w:r>
    <w:r w:rsidRPr="005A0B9C">
      <w:rPr>
        <w:rFonts w:ascii="Century Gothic" w:hAnsi="Century Gothic"/>
        <w:b/>
        <w:sz w:val="18"/>
      </w:rPr>
      <w:t>la modificación de las Reglas de carácter general que establecen los plazos y requisitos para el otorgamiento de autorizaciones en materia de telecomunicaciones.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AE793E"/>
    <w:multiLevelType w:val="hybridMultilevel"/>
    <w:tmpl w:val="62769F40"/>
    <w:lvl w:ilvl="0" w:tplc="0964A3B8">
      <w:start w:val="1"/>
      <w:numFmt w:val="upperRoman"/>
      <w:lvlText w:val="%1."/>
      <w:lvlJc w:val="right"/>
      <w:pPr>
        <w:ind w:left="929" w:hanging="360"/>
      </w:pPr>
      <w:rPr>
        <w:b w:val="0"/>
      </w:rPr>
    </w:lvl>
    <w:lvl w:ilvl="1" w:tplc="080A0019" w:tentative="1">
      <w:start w:val="1"/>
      <w:numFmt w:val="lowerLetter"/>
      <w:lvlText w:val="%2."/>
      <w:lvlJc w:val="left"/>
      <w:pPr>
        <w:ind w:left="1649" w:hanging="360"/>
      </w:pPr>
    </w:lvl>
    <w:lvl w:ilvl="2" w:tplc="080A001B" w:tentative="1">
      <w:start w:val="1"/>
      <w:numFmt w:val="lowerRoman"/>
      <w:lvlText w:val="%3."/>
      <w:lvlJc w:val="right"/>
      <w:pPr>
        <w:ind w:left="2369" w:hanging="180"/>
      </w:pPr>
    </w:lvl>
    <w:lvl w:ilvl="3" w:tplc="080A000F" w:tentative="1">
      <w:start w:val="1"/>
      <w:numFmt w:val="decimal"/>
      <w:lvlText w:val="%4."/>
      <w:lvlJc w:val="left"/>
      <w:pPr>
        <w:ind w:left="3089" w:hanging="360"/>
      </w:pPr>
    </w:lvl>
    <w:lvl w:ilvl="4" w:tplc="080A0019" w:tentative="1">
      <w:start w:val="1"/>
      <w:numFmt w:val="lowerLetter"/>
      <w:lvlText w:val="%5."/>
      <w:lvlJc w:val="left"/>
      <w:pPr>
        <w:ind w:left="3809" w:hanging="360"/>
      </w:pPr>
    </w:lvl>
    <w:lvl w:ilvl="5" w:tplc="080A001B" w:tentative="1">
      <w:start w:val="1"/>
      <w:numFmt w:val="lowerRoman"/>
      <w:lvlText w:val="%6."/>
      <w:lvlJc w:val="right"/>
      <w:pPr>
        <w:ind w:left="4529" w:hanging="180"/>
      </w:pPr>
    </w:lvl>
    <w:lvl w:ilvl="6" w:tplc="080A000F" w:tentative="1">
      <w:start w:val="1"/>
      <w:numFmt w:val="decimal"/>
      <w:lvlText w:val="%7."/>
      <w:lvlJc w:val="left"/>
      <w:pPr>
        <w:ind w:left="5249" w:hanging="360"/>
      </w:pPr>
    </w:lvl>
    <w:lvl w:ilvl="7" w:tplc="080A0019" w:tentative="1">
      <w:start w:val="1"/>
      <w:numFmt w:val="lowerLetter"/>
      <w:lvlText w:val="%8."/>
      <w:lvlJc w:val="left"/>
      <w:pPr>
        <w:ind w:left="5969" w:hanging="360"/>
      </w:pPr>
    </w:lvl>
    <w:lvl w:ilvl="8" w:tplc="080A001B" w:tentative="1">
      <w:start w:val="1"/>
      <w:numFmt w:val="lowerRoman"/>
      <w:lvlText w:val="%9."/>
      <w:lvlJc w:val="right"/>
      <w:pPr>
        <w:ind w:left="6689" w:hanging="180"/>
      </w:p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8D4123"/>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8"/>
  </w:num>
  <w:num w:numId="8">
    <w:abstractNumId w:val="9"/>
  </w:num>
  <w:num w:numId="9">
    <w:abstractNumId w:val="3"/>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931D8"/>
    <w:rsid w:val="000A5CFB"/>
    <w:rsid w:val="000A6255"/>
    <w:rsid w:val="000D2838"/>
    <w:rsid w:val="000E41F3"/>
    <w:rsid w:val="000E55B0"/>
    <w:rsid w:val="000F151D"/>
    <w:rsid w:val="00100C9C"/>
    <w:rsid w:val="001124B6"/>
    <w:rsid w:val="001331D8"/>
    <w:rsid w:val="00170916"/>
    <w:rsid w:val="00172EBC"/>
    <w:rsid w:val="00174196"/>
    <w:rsid w:val="001E0388"/>
    <w:rsid w:val="00224DD6"/>
    <w:rsid w:val="002317F8"/>
    <w:rsid w:val="002771ED"/>
    <w:rsid w:val="002819F4"/>
    <w:rsid w:val="002E7E04"/>
    <w:rsid w:val="00306C27"/>
    <w:rsid w:val="00307092"/>
    <w:rsid w:val="00323F3A"/>
    <w:rsid w:val="003613DA"/>
    <w:rsid w:val="00367C5B"/>
    <w:rsid w:val="0038199D"/>
    <w:rsid w:val="003C164F"/>
    <w:rsid w:val="0041087B"/>
    <w:rsid w:val="004141B1"/>
    <w:rsid w:val="004317BC"/>
    <w:rsid w:val="00464AE1"/>
    <w:rsid w:val="004970C4"/>
    <w:rsid w:val="004C4695"/>
    <w:rsid w:val="004D5EAB"/>
    <w:rsid w:val="004D64DD"/>
    <w:rsid w:val="004D7960"/>
    <w:rsid w:val="004E2A3A"/>
    <w:rsid w:val="004F4C27"/>
    <w:rsid w:val="00511FAE"/>
    <w:rsid w:val="0052296A"/>
    <w:rsid w:val="005A0B9C"/>
    <w:rsid w:val="005B3E9A"/>
    <w:rsid w:val="005C06DB"/>
    <w:rsid w:val="005F0265"/>
    <w:rsid w:val="00603B41"/>
    <w:rsid w:val="00605BD9"/>
    <w:rsid w:val="00623761"/>
    <w:rsid w:val="00650994"/>
    <w:rsid w:val="006601AF"/>
    <w:rsid w:val="00665726"/>
    <w:rsid w:val="006B0B12"/>
    <w:rsid w:val="00735DEE"/>
    <w:rsid w:val="00762996"/>
    <w:rsid w:val="0077336B"/>
    <w:rsid w:val="0077357C"/>
    <w:rsid w:val="007978CB"/>
    <w:rsid w:val="007A6974"/>
    <w:rsid w:val="007D4A23"/>
    <w:rsid w:val="007E04FB"/>
    <w:rsid w:val="00800852"/>
    <w:rsid w:val="00804BB7"/>
    <w:rsid w:val="008200BE"/>
    <w:rsid w:val="008552D9"/>
    <w:rsid w:val="008658B5"/>
    <w:rsid w:val="008711D6"/>
    <w:rsid w:val="008816BD"/>
    <w:rsid w:val="008843FB"/>
    <w:rsid w:val="008A3603"/>
    <w:rsid w:val="008C679D"/>
    <w:rsid w:val="008D106B"/>
    <w:rsid w:val="008F2B1A"/>
    <w:rsid w:val="00915CEA"/>
    <w:rsid w:val="009179D0"/>
    <w:rsid w:val="009426CC"/>
    <w:rsid w:val="00945FA7"/>
    <w:rsid w:val="009873B3"/>
    <w:rsid w:val="00997297"/>
    <w:rsid w:val="009C6C17"/>
    <w:rsid w:val="009D3DDA"/>
    <w:rsid w:val="009E197F"/>
    <w:rsid w:val="00A454F4"/>
    <w:rsid w:val="00A60361"/>
    <w:rsid w:val="00A75A67"/>
    <w:rsid w:val="00A92B29"/>
    <w:rsid w:val="00AA70C3"/>
    <w:rsid w:val="00AD46F2"/>
    <w:rsid w:val="00AE778E"/>
    <w:rsid w:val="00AF25D9"/>
    <w:rsid w:val="00B07D91"/>
    <w:rsid w:val="00B10621"/>
    <w:rsid w:val="00B314C5"/>
    <w:rsid w:val="00B97BF9"/>
    <w:rsid w:val="00BB25F2"/>
    <w:rsid w:val="00C267B3"/>
    <w:rsid w:val="00C41536"/>
    <w:rsid w:val="00C42DD1"/>
    <w:rsid w:val="00C56839"/>
    <w:rsid w:val="00C56B77"/>
    <w:rsid w:val="00C660A0"/>
    <w:rsid w:val="00C900FF"/>
    <w:rsid w:val="00CA32F5"/>
    <w:rsid w:val="00CC382A"/>
    <w:rsid w:val="00CC59DC"/>
    <w:rsid w:val="00D13CA5"/>
    <w:rsid w:val="00D472B6"/>
    <w:rsid w:val="00D53D4D"/>
    <w:rsid w:val="00DC3C6C"/>
    <w:rsid w:val="00DF154A"/>
    <w:rsid w:val="00DF5CB5"/>
    <w:rsid w:val="00E40BDC"/>
    <w:rsid w:val="00E64007"/>
    <w:rsid w:val="00E944B2"/>
    <w:rsid w:val="00EB1D99"/>
    <w:rsid w:val="00ED71A1"/>
    <w:rsid w:val="00EE4B77"/>
    <w:rsid w:val="00F212B2"/>
    <w:rsid w:val="00F247F8"/>
    <w:rsid w:val="00FA1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572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585648808">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onia.lopez@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ira.soto@ift.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ificacionreglasdeautorizaciones@ift.org.mx" TargetMode="External"/><Relationship Id="rId5" Type="http://schemas.openxmlformats.org/officeDocument/2006/relationships/numbering" Target="numbering.xml"/><Relationship Id="rId15" Type="http://schemas.openxmlformats.org/officeDocument/2006/relationships/hyperlink" Target="mailto:antonia.lopez@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arita.sanch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194A46"/>
    <w:rsid w:val="001A5A92"/>
    <w:rsid w:val="001A6A6F"/>
    <w:rsid w:val="001B0E8D"/>
    <w:rsid w:val="001F7716"/>
    <w:rsid w:val="00227027"/>
    <w:rsid w:val="002737E5"/>
    <w:rsid w:val="003161B8"/>
    <w:rsid w:val="004736FE"/>
    <w:rsid w:val="004B71F8"/>
    <w:rsid w:val="004C6EB0"/>
    <w:rsid w:val="00557BD6"/>
    <w:rsid w:val="006B1E41"/>
    <w:rsid w:val="006C0B23"/>
    <w:rsid w:val="006D0C19"/>
    <w:rsid w:val="00746953"/>
    <w:rsid w:val="00814594"/>
    <w:rsid w:val="0082629F"/>
    <w:rsid w:val="00873614"/>
    <w:rsid w:val="00A50FB8"/>
    <w:rsid w:val="00AF26F1"/>
    <w:rsid w:val="00B06DD1"/>
    <w:rsid w:val="00BE114A"/>
    <w:rsid w:val="00C1194C"/>
    <w:rsid w:val="00C228B2"/>
    <w:rsid w:val="00C55514"/>
    <w:rsid w:val="00C8448C"/>
    <w:rsid w:val="00CC6588"/>
    <w:rsid w:val="00D161F7"/>
    <w:rsid w:val="00DA67F8"/>
    <w:rsid w:val="00E02C79"/>
    <w:rsid w:val="00E431D9"/>
    <w:rsid w:val="00E7295B"/>
    <w:rsid w:val="00F137B9"/>
    <w:rsid w:val="00F5407A"/>
    <w:rsid w:val="00F602D4"/>
    <w:rsid w:val="00F67F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0D877711-66C2-4BC1-B7BE-332FFC37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6371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2</cp:revision>
  <dcterms:created xsi:type="dcterms:W3CDTF">2017-12-18T02:58:00Z</dcterms:created>
  <dcterms:modified xsi:type="dcterms:W3CDTF">2017-12-18T02:58:00Z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