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BB" w:rsidRPr="001E2F09" w:rsidRDefault="00206ABB" w:rsidP="001E2F09">
      <w:pPr>
        <w:pStyle w:val="Prrafodelista"/>
        <w:spacing w:after="0" w:line="240" w:lineRule="auto"/>
        <w:ind w:left="1080"/>
        <w:jc w:val="center"/>
        <w:rPr>
          <w:rFonts w:ascii="ITC Avant Garde" w:hAnsi="ITC Avant Garde"/>
          <w:b/>
          <w:sz w:val="20"/>
          <w:szCs w:val="20"/>
        </w:rPr>
      </w:pPr>
      <w:bookmarkStart w:id="0" w:name="_GoBack"/>
      <w:bookmarkEnd w:id="0"/>
      <w:r w:rsidRPr="001E2F09">
        <w:rPr>
          <w:rFonts w:ascii="ITC Avant Garde" w:hAnsi="ITC Avant Garde"/>
          <w:b/>
          <w:sz w:val="20"/>
          <w:szCs w:val="20"/>
        </w:rPr>
        <w:t>INFORME DE CONSIDERACIONES</w:t>
      </w:r>
    </w:p>
    <w:p w:rsidR="00206ABB" w:rsidRPr="001E2F09" w:rsidRDefault="00206ABB" w:rsidP="001E2F09">
      <w:pPr>
        <w:pStyle w:val="Prrafodelista"/>
        <w:spacing w:after="0" w:line="240" w:lineRule="auto"/>
        <w:ind w:left="1080"/>
        <w:jc w:val="both"/>
        <w:rPr>
          <w:rFonts w:ascii="ITC Avant Garde" w:hAnsi="ITC Avant Garde"/>
          <w:b/>
          <w:sz w:val="20"/>
          <w:szCs w:val="20"/>
        </w:rPr>
      </w:pPr>
    </w:p>
    <w:p w:rsidR="00242C9B" w:rsidRPr="001E2F09" w:rsidRDefault="00242C9B" w:rsidP="001E2F09">
      <w:pPr>
        <w:pStyle w:val="Prrafodelista"/>
        <w:numPr>
          <w:ilvl w:val="0"/>
          <w:numId w:val="8"/>
        </w:numPr>
        <w:spacing w:after="0" w:line="240" w:lineRule="auto"/>
        <w:jc w:val="both"/>
        <w:rPr>
          <w:rFonts w:ascii="ITC Avant Garde" w:hAnsi="ITC Avant Garde"/>
          <w:sz w:val="20"/>
          <w:szCs w:val="20"/>
        </w:rPr>
      </w:pPr>
      <w:r w:rsidRPr="001E2F09">
        <w:rPr>
          <w:rFonts w:ascii="ITC Avant Garde" w:hAnsi="ITC Avant Garde"/>
          <w:b/>
          <w:sz w:val="20"/>
          <w:szCs w:val="20"/>
        </w:rPr>
        <w:t xml:space="preserve">Fecha </w:t>
      </w:r>
      <w:r w:rsidR="00206ABB" w:rsidRPr="001E2F09">
        <w:rPr>
          <w:rFonts w:ascii="ITC Avant Garde" w:hAnsi="ITC Avant Garde"/>
          <w:b/>
          <w:sz w:val="20"/>
          <w:szCs w:val="20"/>
        </w:rPr>
        <w:t>de elaboración:</w:t>
      </w:r>
      <w:r w:rsidR="00206ABB" w:rsidRPr="001E2F09">
        <w:rPr>
          <w:rFonts w:ascii="ITC Avant Garde" w:hAnsi="ITC Avant Garde"/>
          <w:sz w:val="20"/>
          <w:szCs w:val="20"/>
        </w:rPr>
        <w:t xml:space="preserve"> </w:t>
      </w:r>
      <w:r w:rsidR="009B3C5E">
        <w:rPr>
          <w:rFonts w:ascii="ITC Avant Garde" w:hAnsi="ITC Avant Garde"/>
          <w:sz w:val="20"/>
          <w:szCs w:val="20"/>
        </w:rPr>
        <w:t>8</w:t>
      </w:r>
      <w:r w:rsidRPr="001E2F09">
        <w:rPr>
          <w:rFonts w:ascii="ITC Avant Garde" w:hAnsi="ITC Avant Garde"/>
          <w:sz w:val="20"/>
          <w:szCs w:val="20"/>
        </w:rPr>
        <w:t xml:space="preserve"> de febrero de 2017.</w:t>
      </w:r>
    </w:p>
    <w:p w:rsidR="00206ABB" w:rsidRPr="001E2F09" w:rsidRDefault="00206ABB" w:rsidP="001E2F09">
      <w:pPr>
        <w:pStyle w:val="Prrafodelista"/>
        <w:spacing w:after="0" w:line="240" w:lineRule="auto"/>
        <w:ind w:left="1080"/>
        <w:jc w:val="both"/>
        <w:rPr>
          <w:rFonts w:ascii="ITC Avant Garde" w:hAnsi="ITC Avant Garde"/>
          <w:sz w:val="20"/>
          <w:szCs w:val="20"/>
        </w:rPr>
      </w:pPr>
    </w:p>
    <w:p w:rsidR="00206ABB" w:rsidRPr="001E2F09" w:rsidRDefault="00242C9B" w:rsidP="001E2F09">
      <w:pPr>
        <w:pStyle w:val="Prrafodelista"/>
        <w:numPr>
          <w:ilvl w:val="0"/>
          <w:numId w:val="8"/>
        </w:numPr>
        <w:spacing w:after="0" w:line="240" w:lineRule="auto"/>
        <w:jc w:val="both"/>
        <w:rPr>
          <w:rFonts w:ascii="ITC Avant Garde" w:hAnsi="ITC Avant Garde"/>
          <w:sz w:val="20"/>
          <w:szCs w:val="20"/>
        </w:rPr>
      </w:pPr>
      <w:r w:rsidRPr="001E2F09">
        <w:rPr>
          <w:rFonts w:ascii="ITC Avant Garde" w:hAnsi="ITC Avant Garde"/>
          <w:b/>
          <w:sz w:val="20"/>
          <w:szCs w:val="20"/>
        </w:rPr>
        <w:t xml:space="preserve">Denominación de la consulta pública: </w:t>
      </w:r>
      <w:r w:rsidRPr="001E2F09">
        <w:rPr>
          <w:rFonts w:ascii="ITC Avant Garde" w:hAnsi="ITC Avant Garde"/>
          <w:sz w:val="20"/>
          <w:szCs w:val="20"/>
        </w:rPr>
        <w:t>Anteproyecto del Acuerdo por el que se modifican los Lineamientos de Colaboración en Materia de Seguridad y Justicia</w:t>
      </w:r>
      <w:r w:rsidR="007B3522" w:rsidRPr="001E2F09">
        <w:rPr>
          <w:rFonts w:ascii="ITC Avant Garde" w:hAnsi="ITC Avant Garde"/>
          <w:sz w:val="20"/>
          <w:szCs w:val="20"/>
        </w:rPr>
        <w:t>.</w:t>
      </w:r>
    </w:p>
    <w:p w:rsidR="009816D8" w:rsidRPr="001E2F09" w:rsidRDefault="009816D8" w:rsidP="001E2F09">
      <w:pPr>
        <w:pStyle w:val="Prrafodelista"/>
        <w:spacing w:line="240" w:lineRule="auto"/>
        <w:jc w:val="both"/>
        <w:rPr>
          <w:rFonts w:ascii="ITC Avant Garde" w:hAnsi="ITC Avant Garde"/>
          <w:sz w:val="20"/>
          <w:szCs w:val="20"/>
        </w:rPr>
      </w:pPr>
    </w:p>
    <w:p w:rsidR="00735364" w:rsidRPr="00735364" w:rsidRDefault="00242C9B" w:rsidP="00652718">
      <w:pPr>
        <w:pStyle w:val="Prrafodelista"/>
        <w:numPr>
          <w:ilvl w:val="0"/>
          <w:numId w:val="8"/>
        </w:numPr>
        <w:spacing w:after="0" w:line="240" w:lineRule="auto"/>
        <w:jc w:val="both"/>
        <w:rPr>
          <w:rFonts w:ascii="ITC Avant Garde" w:hAnsi="ITC Avant Garde"/>
          <w:b/>
          <w:sz w:val="20"/>
          <w:szCs w:val="20"/>
        </w:rPr>
      </w:pPr>
      <w:r w:rsidRPr="00735364">
        <w:rPr>
          <w:rFonts w:ascii="ITC Avant Garde" w:hAnsi="ITC Avant Garde"/>
          <w:b/>
          <w:sz w:val="20"/>
          <w:szCs w:val="20"/>
        </w:rPr>
        <w:t>Des</w:t>
      </w:r>
      <w:r w:rsidR="00206ABB" w:rsidRPr="00735364">
        <w:rPr>
          <w:rFonts w:ascii="ITC Avant Garde" w:hAnsi="ITC Avant Garde"/>
          <w:b/>
          <w:sz w:val="20"/>
          <w:szCs w:val="20"/>
        </w:rPr>
        <w:t>cripción de la consulta pública:</w:t>
      </w:r>
      <w:r w:rsidR="009816D8" w:rsidRPr="00735364">
        <w:rPr>
          <w:rFonts w:ascii="ITC Avant Garde" w:hAnsi="ITC Avant Garde"/>
          <w:b/>
          <w:sz w:val="20"/>
          <w:szCs w:val="20"/>
        </w:rPr>
        <w:t xml:space="preserve"> </w:t>
      </w:r>
      <w:r w:rsidR="00582E94" w:rsidRPr="00735364">
        <w:rPr>
          <w:rFonts w:ascii="ITC Avant Garde" w:hAnsi="ITC Avant Garde"/>
          <w:sz w:val="20"/>
          <w:szCs w:val="20"/>
        </w:rPr>
        <w:t>El Instituto Federal de Telecomunicaciones sometió a consulta pública el “ANTEPROYECTO DEL ACUERDO POR EL QUE SE MODIFICAN LOS LINEAMIENTOS DE COLABORACIÓN EN MA</w:t>
      </w:r>
      <w:r w:rsidR="0098143D">
        <w:rPr>
          <w:rFonts w:ascii="ITC Avant Garde" w:hAnsi="ITC Avant Garde"/>
          <w:sz w:val="20"/>
          <w:szCs w:val="20"/>
        </w:rPr>
        <w:t xml:space="preserve">TERIA DE SEGURIDAD Y JUSTICIA” </w:t>
      </w:r>
      <w:r w:rsidR="00582E94" w:rsidRPr="00735364">
        <w:rPr>
          <w:rFonts w:ascii="ITC Avant Garde" w:hAnsi="ITC Avant Garde"/>
          <w:sz w:val="20"/>
          <w:szCs w:val="20"/>
        </w:rPr>
        <w:t>(“Anteproyecto”) del 15 de diciembre de 2017 al 29 de enero de 2018</w:t>
      </w:r>
      <w:r w:rsidR="00735364" w:rsidRPr="00735364">
        <w:rPr>
          <w:rFonts w:ascii="ITC Avant Garde" w:hAnsi="ITC Avant Garde"/>
          <w:sz w:val="20"/>
          <w:szCs w:val="20"/>
        </w:rPr>
        <w:t>. D</w:t>
      </w:r>
      <w:r w:rsidR="00582E94" w:rsidRPr="00735364">
        <w:rPr>
          <w:rFonts w:ascii="ITC Avant Garde" w:hAnsi="ITC Avant Garde"/>
          <w:sz w:val="20"/>
          <w:szCs w:val="20"/>
        </w:rPr>
        <w:t>urante dicho periodo, s</w:t>
      </w:r>
      <w:r w:rsidR="00735364">
        <w:rPr>
          <w:rFonts w:ascii="ITC Avant Garde" w:hAnsi="ITC Avant Garde"/>
          <w:sz w:val="20"/>
          <w:szCs w:val="20"/>
        </w:rPr>
        <w:t>e recibieron 2 participaciones.</w:t>
      </w:r>
    </w:p>
    <w:p w:rsidR="00735364" w:rsidRPr="00735364" w:rsidRDefault="00735364" w:rsidP="00735364">
      <w:pPr>
        <w:pStyle w:val="Prrafodelista"/>
        <w:rPr>
          <w:rFonts w:ascii="ITC Avant Garde" w:hAnsi="ITC Avant Garde"/>
          <w:b/>
          <w:sz w:val="20"/>
          <w:szCs w:val="20"/>
        </w:rPr>
      </w:pPr>
    </w:p>
    <w:p w:rsidR="00D42B68" w:rsidRPr="00735364" w:rsidRDefault="00242C9B" w:rsidP="00735364">
      <w:pPr>
        <w:pStyle w:val="Prrafodelista"/>
        <w:numPr>
          <w:ilvl w:val="0"/>
          <w:numId w:val="8"/>
        </w:numPr>
        <w:spacing w:after="0" w:line="240" w:lineRule="auto"/>
        <w:jc w:val="both"/>
        <w:rPr>
          <w:rFonts w:ascii="ITC Avant Garde" w:hAnsi="ITC Avant Garde"/>
          <w:sz w:val="20"/>
          <w:szCs w:val="20"/>
        </w:rPr>
      </w:pPr>
      <w:r w:rsidRPr="00735364">
        <w:rPr>
          <w:rFonts w:ascii="ITC Avant Garde" w:hAnsi="ITC Avant Garde"/>
          <w:b/>
          <w:sz w:val="20"/>
          <w:szCs w:val="20"/>
        </w:rPr>
        <w:t>O</w:t>
      </w:r>
      <w:r w:rsidR="00206ABB" w:rsidRPr="00735364">
        <w:rPr>
          <w:rFonts w:ascii="ITC Avant Garde" w:hAnsi="ITC Avant Garde"/>
          <w:b/>
          <w:sz w:val="20"/>
          <w:szCs w:val="20"/>
        </w:rPr>
        <w:t>bjetivos de la consulta pública:</w:t>
      </w:r>
      <w:r w:rsidR="009816D8" w:rsidRPr="00735364">
        <w:rPr>
          <w:rFonts w:ascii="ITC Avant Garde" w:hAnsi="ITC Avant Garde"/>
          <w:b/>
          <w:sz w:val="20"/>
          <w:szCs w:val="20"/>
        </w:rPr>
        <w:t xml:space="preserve"> </w:t>
      </w:r>
      <w:r w:rsidR="00735364">
        <w:rPr>
          <w:rFonts w:ascii="ITC Avant Garde" w:hAnsi="ITC Avant Garde"/>
          <w:sz w:val="20"/>
          <w:szCs w:val="20"/>
          <w:lang w:val="es-ES"/>
        </w:rPr>
        <w:t>O</w:t>
      </w:r>
      <w:r w:rsidR="00735364" w:rsidRPr="00735364">
        <w:rPr>
          <w:rFonts w:ascii="ITC Avant Garde" w:hAnsi="ITC Avant Garde"/>
          <w:sz w:val="20"/>
          <w:szCs w:val="20"/>
          <w:lang w:val="es-ES"/>
        </w:rPr>
        <w:t xml:space="preserve">btener información, comentarios, opiniones, aportaciones u otros elementos de análisis por parte de cualquier persona, sobre </w:t>
      </w:r>
      <w:r w:rsidR="00735364">
        <w:rPr>
          <w:rFonts w:ascii="ITC Avant Garde" w:hAnsi="ITC Avant Garde"/>
          <w:sz w:val="20"/>
          <w:szCs w:val="20"/>
          <w:lang w:val="es-ES"/>
        </w:rPr>
        <w:t xml:space="preserve">el </w:t>
      </w:r>
      <w:r w:rsidR="00735364" w:rsidRPr="00735364">
        <w:rPr>
          <w:rFonts w:ascii="ITC Avant Garde" w:hAnsi="ITC Avant Garde"/>
          <w:sz w:val="20"/>
          <w:szCs w:val="20"/>
          <w:lang w:val="es-ES"/>
        </w:rPr>
        <w:t>Anteproyecto</w:t>
      </w:r>
      <w:r w:rsidR="00735364">
        <w:rPr>
          <w:rFonts w:ascii="ITC Avant Garde" w:hAnsi="ITC Avant Garde"/>
          <w:sz w:val="20"/>
          <w:szCs w:val="20"/>
          <w:lang w:val="es-ES"/>
        </w:rPr>
        <w:t>.</w:t>
      </w:r>
      <w:r w:rsidR="00735364" w:rsidRPr="00735364">
        <w:rPr>
          <w:rFonts w:ascii="ITC Avant Garde" w:hAnsi="ITC Avant Garde"/>
          <w:b/>
          <w:sz w:val="20"/>
          <w:szCs w:val="20"/>
          <w:lang w:val="es-ES"/>
        </w:rPr>
        <w:t xml:space="preserve"> </w:t>
      </w:r>
    </w:p>
    <w:p w:rsidR="002C68C5" w:rsidRPr="001E2F09" w:rsidRDefault="002C68C5" w:rsidP="001E2F09">
      <w:pPr>
        <w:pStyle w:val="Prrafodelista"/>
        <w:spacing w:after="0" w:line="240" w:lineRule="auto"/>
        <w:jc w:val="both"/>
        <w:rPr>
          <w:rFonts w:ascii="ITC Avant Garde" w:hAnsi="ITC Avant Garde"/>
          <w:sz w:val="20"/>
          <w:szCs w:val="20"/>
        </w:rPr>
      </w:pPr>
    </w:p>
    <w:p w:rsidR="00242C9B" w:rsidRPr="001E2F09" w:rsidRDefault="00242C9B" w:rsidP="001E2F09">
      <w:pPr>
        <w:pStyle w:val="Prrafodelista"/>
        <w:numPr>
          <w:ilvl w:val="0"/>
          <w:numId w:val="8"/>
        </w:numPr>
        <w:spacing w:after="0" w:line="240" w:lineRule="auto"/>
        <w:jc w:val="both"/>
        <w:rPr>
          <w:rFonts w:ascii="ITC Avant Garde" w:hAnsi="ITC Avant Garde"/>
          <w:sz w:val="20"/>
          <w:szCs w:val="20"/>
        </w:rPr>
      </w:pPr>
      <w:r w:rsidRPr="001E2F09">
        <w:rPr>
          <w:rFonts w:ascii="ITC Avant Garde" w:hAnsi="ITC Avant Garde"/>
          <w:b/>
          <w:sz w:val="20"/>
          <w:szCs w:val="20"/>
        </w:rPr>
        <w:t>Unidades y/o Coordinaciones Generales responsables de la consulta pública:</w:t>
      </w:r>
      <w:r w:rsidRPr="001E2F09">
        <w:rPr>
          <w:rFonts w:ascii="ITC Avant Garde" w:hAnsi="ITC Avant Garde"/>
          <w:sz w:val="20"/>
          <w:szCs w:val="20"/>
        </w:rPr>
        <w:t xml:space="preserve"> </w:t>
      </w:r>
      <w:r w:rsidR="00206ABB" w:rsidRPr="001E2F09">
        <w:rPr>
          <w:rFonts w:ascii="ITC Avant Garde" w:hAnsi="ITC Avant Garde"/>
          <w:sz w:val="20"/>
          <w:szCs w:val="20"/>
        </w:rPr>
        <w:t>Unidad de Asuntos Jurídicos</w:t>
      </w:r>
      <w:r w:rsidR="00735364">
        <w:rPr>
          <w:rFonts w:ascii="ITC Avant Garde" w:hAnsi="ITC Avant Garde"/>
          <w:sz w:val="20"/>
          <w:szCs w:val="20"/>
        </w:rPr>
        <w:t>.</w:t>
      </w:r>
    </w:p>
    <w:p w:rsidR="00206ABB" w:rsidRPr="001E2F09" w:rsidRDefault="00206ABB" w:rsidP="001E2F09">
      <w:pPr>
        <w:spacing w:after="0" w:line="240" w:lineRule="auto"/>
        <w:jc w:val="both"/>
        <w:rPr>
          <w:rFonts w:ascii="ITC Avant Garde" w:hAnsi="ITC Avant Garde"/>
          <w:sz w:val="20"/>
          <w:szCs w:val="20"/>
        </w:rPr>
      </w:pPr>
    </w:p>
    <w:p w:rsidR="00206ABB" w:rsidRPr="001E2F09" w:rsidRDefault="00242C9B" w:rsidP="001E2F09">
      <w:pPr>
        <w:pStyle w:val="Prrafodelista"/>
        <w:numPr>
          <w:ilvl w:val="0"/>
          <w:numId w:val="8"/>
        </w:numPr>
        <w:spacing w:after="0" w:line="240" w:lineRule="auto"/>
        <w:jc w:val="both"/>
        <w:rPr>
          <w:rFonts w:ascii="ITC Avant Garde" w:hAnsi="ITC Avant Garde"/>
          <w:sz w:val="20"/>
          <w:szCs w:val="20"/>
        </w:rPr>
      </w:pPr>
      <w:r w:rsidRPr="001E2F09">
        <w:rPr>
          <w:rFonts w:ascii="ITC Avant Garde" w:hAnsi="ITC Avant Garde"/>
          <w:b/>
          <w:sz w:val="20"/>
          <w:szCs w:val="20"/>
        </w:rPr>
        <w:t>Descripción de los partici</w:t>
      </w:r>
      <w:r w:rsidR="00206ABB" w:rsidRPr="001E2F09">
        <w:rPr>
          <w:rFonts w:ascii="ITC Avant Garde" w:hAnsi="ITC Avant Garde"/>
          <w:b/>
          <w:sz w:val="20"/>
          <w:szCs w:val="20"/>
        </w:rPr>
        <w:t>pantes en la consulta pública:</w:t>
      </w:r>
      <w:r w:rsidR="009816D8" w:rsidRPr="001E2F09">
        <w:rPr>
          <w:rFonts w:ascii="ITC Avant Garde" w:hAnsi="ITC Avant Garde"/>
          <w:b/>
          <w:sz w:val="20"/>
          <w:szCs w:val="20"/>
        </w:rPr>
        <w:t xml:space="preserve"> </w:t>
      </w:r>
      <w:r w:rsidR="00735364">
        <w:rPr>
          <w:rFonts w:ascii="ITC Avant Garde" w:hAnsi="ITC Avant Garde"/>
          <w:sz w:val="20"/>
          <w:szCs w:val="20"/>
        </w:rPr>
        <w:t xml:space="preserve">Hubo dos participaciones, una de </w:t>
      </w:r>
      <w:r w:rsidR="00206ABB" w:rsidRPr="001E2F09">
        <w:rPr>
          <w:rFonts w:ascii="ITC Avant Garde" w:hAnsi="ITC Avant Garde"/>
          <w:sz w:val="20"/>
          <w:szCs w:val="20"/>
        </w:rPr>
        <w:t xml:space="preserve">Altán Redes, S.A.P.I. de C.V. (“Altán”) y </w:t>
      </w:r>
      <w:r w:rsidR="00735364">
        <w:rPr>
          <w:rFonts w:ascii="ITC Avant Garde" w:hAnsi="ITC Avant Garde"/>
          <w:sz w:val="20"/>
          <w:szCs w:val="20"/>
        </w:rPr>
        <w:t xml:space="preserve">otra conjunta de </w:t>
      </w:r>
      <w:r w:rsidR="00206ABB" w:rsidRPr="001E2F09">
        <w:rPr>
          <w:rFonts w:ascii="ITC Avant Garde" w:hAnsi="ITC Avant Garde"/>
          <w:sz w:val="20"/>
          <w:szCs w:val="20"/>
        </w:rPr>
        <w:t>AT&amp;T Comunicaciones Digitales, S. de R. L. de C.V.; Grupo AT&amp;T Cellular, S. de R. L. de C.V.; AT&amp;T Comunicaciones Digitales, S. de R. L. de C.V.; AT&amp;T Norte, S. de R. L. de C.V.; AT&amp;T Comercialización Móvil, S. de R. L. de C.V.; AT&amp;T Desarrollo en Comunicaciones de México, Digitales, S. de R. L. de C.V. (“AT&amp;T”).</w:t>
      </w:r>
    </w:p>
    <w:p w:rsidR="00206ABB" w:rsidRPr="001E2F09" w:rsidRDefault="00206ABB" w:rsidP="001E2F09">
      <w:pPr>
        <w:pStyle w:val="Prrafodelista"/>
        <w:spacing w:after="0" w:line="240" w:lineRule="auto"/>
        <w:ind w:left="1080"/>
        <w:jc w:val="both"/>
        <w:rPr>
          <w:rFonts w:ascii="ITC Avant Garde" w:hAnsi="ITC Avant Garde"/>
          <w:sz w:val="20"/>
          <w:szCs w:val="20"/>
        </w:rPr>
      </w:pPr>
    </w:p>
    <w:p w:rsidR="00242C9B" w:rsidRPr="001E2F09" w:rsidRDefault="00242C9B" w:rsidP="001E2F09">
      <w:pPr>
        <w:pStyle w:val="Prrafodelista"/>
        <w:numPr>
          <w:ilvl w:val="0"/>
          <w:numId w:val="8"/>
        </w:numPr>
        <w:spacing w:after="0" w:line="240" w:lineRule="auto"/>
        <w:jc w:val="both"/>
        <w:rPr>
          <w:rFonts w:ascii="ITC Avant Garde" w:hAnsi="ITC Avant Garde"/>
          <w:b/>
          <w:sz w:val="20"/>
          <w:szCs w:val="20"/>
        </w:rPr>
      </w:pPr>
      <w:r w:rsidRPr="001E2F09">
        <w:rPr>
          <w:rFonts w:ascii="ITC Avant Garde" w:hAnsi="ITC Avant Garde"/>
          <w:b/>
          <w:sz w:val="20"/>
          <w:szCs w:val="20"/>
        </w:rPr>
        <w:t>Las respuestas o posicionamientos que corre</w:t>
      </w:r>
      <w:r w:rsidR="00206ABB" w:rsidRPr="001E2F09">
        <w:rPr>
          <w:rFonts w:ascii="ITC Avant Garde" w:hAnsi="ITC Avant Garde"/>
          <w:b/>
          <w:sz w:val="20"/>
          <w:szCs w:val="20"/>
        </w:rPr>
        <w:t>spondan por parte del Instituto:</w:t>
      </w:r>
    </w:p>
    <w:p w:rsidR="001E2F09" w:rsidRPr="001E2F09" w:rsidRDefault="001E2F09" w:rsidP="001E2F09">
      <w:pPr>
        <w:pStyle w:val="Prrafodelista"/>
        <w:spacing w:after="0" w:line="240" w:lineRule="auto"/>
        <w:ind w:left="1068"/>
        <w:jc w:val="both"/>
        <w:rPr>
          <w:rFonts w:ascii="ITC Avant Garde" w:hAnsi="ITC Avant Garde"/>
          <w:sz w:val="20"/>
          <w:szCs w:val="20"/>
        </w:rPr>
      </w:pPr>
    </w:p>
    <w:p w:rsidR="00206ABB" w:rsidRPr="001E2F09" w:rsidRDefault="00206ABB" w:rsidP="001E2F09">
      <w:pPr>
        <w:pStyle w:val="Prrafodelista"/>
        <w:numPr>
          <w:ilvl w:val="0"/>
          <w:numId w:val="9"/>
        </w:numPr>
        <w:spacing w:after="0" w:line="240" w:lineRule="auto"/>
        <w:ind w:left="1068"/>
        <w:jc w:val="both"/>
        <w:rPr>
          <w:rFonts w:ascii="ITC Avant Garde" w:hAnsi="ITC Avant Garde"/>
          <w:sz w:val="20"/>
          <w:szCs w:val="20"/>
        </w:rPr>
      </w:pPr>
      <w:r w:rsidRPr="001E2F09">
        <w:rPr>
          <w:rFonts w:ascii="ITC Avant Garde" w:hAnsi="ITC Avant Garde"/>
          <w:b/>
          <w:sz w:val="20"/>
          <w:szCs w:val="20"/>
          <w:u w:val="single"/>
        </w:rPr>
        <w:t xml:space="preserve">Comentarios de Altán </w:t>
      </w:r>
    </w:p>
    <w:p w:rsidR="00BC24F7" w:rsidRPr="001E2F09" w:rsidRDefault="00BC24F7" w:rsidP="001E2F09">
      <w:pPr>
        <w:spacing w:after="0" w:line="240" w:lineRule="auto"/>
        <w:ind w:left="708"/>
        <w:jc w:val="both"/>
        <w:rPr>
          <w:rFonts w:ascii="ITC Avant Garde" w:hAnsi="ITC Avant Garde"/>
          <w:sz w:val="20"/>
          <w:szCs w:val="20"/>
        </w:rPr>
      </w:pPr>
    </w:p>
    <w:p w:rsidR="00BC24F7" w:rsidRPr="001E2F09" w:rsidRDefault="00735364" w:rsidP="001E2F09">
      <w:pPr>
        <w:spacing w:after="0" w:line="240" w:lineRule="auto"/>
        <w:ind w:left="708"/>
        <w:jc w:val="both"/>
        <w:rPr>
          <w:rFonts w:ascii="ITC Avant Garde" w:hAnsi="ITC Avant Garde"/>
          <w:sz w:val="20"/>
          <w:szCs w:val="20"/>
        </w:rPr>
      </w:pPr>
      <w:r>
        <w:rPr>
          <w:rFonts w:ascii="ITC Avant Garde" w:hAnsi="ITC Avant Garde"/>
          <w:sz w:val="20"/>
          <w:szCs w:val="20"/>
        </w:rPr>
        <w:t>Propuso</w:t>
      </w:r>
      <w:r w:rsidR="00206ABB" w:rsidRPr="001E2F09">
        <w:rPr>
          <w:rFonts w:ascii="ITC Avant Garde" w:hAnsi="ITC Avant Garde"/>
          <w:sz w:val="20"/>
          <w:szCs w:val="20"/>
        </w:rPr>
        <w:t xml:space="preserve"> agregar un párrafo al lineamiento Primero </w:t>
      </w:r>
      <w:r>
        <w:rPr>
          <w:rFonts w:ascii="ITC Avant Garde" w:hAnsi="ITC Avant Garde"/>
          <w:sz w:val="20"/>
          <w:szCs w:val="20"/>
        </w:rPr>
        <w:t xml:space="preserve">de los </w:t>
      </w:r>
      <w:r w:rsidRPr="001E2F09">
        <w:rPr>
          <w:rFonts w:ascii="ITC Avant Garde" w:hAnsi="ITC Avant Garde"/>
          <w:sz w:val="20"/>
          <w:szCs w:val="20"/>
        </w:rPr>
        <w:t>Lineamientos de Colaboración en Materia de Seguridad y Justicia</w:t>
      </w:r>
      <w:r w:rsidR="00847870">
        <w:rPr>
          <w:rFonts w:ascii="ITC Avant Garde" w:hAnsi="ITC Avant Garde"/>
          <w:sz w:val="20"/>
          <w:szCs w:val="20"/>
        </w:rPr>
        <w:t xml:space="preserve"> (“Lineamientos”)</w:t>
      </w:r>
      <w:r w:rsidR="00206ABB" w:rsidRPr="001E2F09">
        <w:rPr>
          <w:rFonts w:ascii="ITC Avant Garde" w:hAnsi="ITC Avant Garde"/>
          <w:sz w:val="20"/>
          <w:szCs w:val="20"/>
        </w:rPr>
        <w:t xml:space="preserve"> con la finalidad de precisar que un Concesionario con carácter de Red Compartida Mayorista, como lo es Altán, tiene la obligación de coadyuvar con sus clientes que no cuenten con la infraestructura y los medios necesario</w:t>
      </w:r>
      <w:r w:rsidR="00C009C4">
        <w:rPr>
          <w:rFonts w:ascii="ITC Avant Garde" w:hAnsi="ITC Avant Garde"/>
          <w:sz w:val="20"/>
          <w:szCs w:val="20"/>
        </w:rPr>
        <w:t>s</w:t>
      </w:r>
      <w:r w:rsidR="00206ABB" w:rsidRPr="001E2F09">
        <w:rPr>
          <w:rFonts w:ascii="ITC Avant Garde" w:hAnsi="ITC Avant Garde"/>
          <w:sz w:val="20"/>
          <w:szCs w:val="20"/>
        </w:rPr>
        <w:t xml:space="preserve"> para dar cumplimiento a los Lineamientos y que tengan carácter de Autorizados.</w:t>
      </w:r>
      <w:r w:rsidR="00BC24F7" w:rsidRPr="001E2F09">
        <w:rPr>
          <w:rFonts w:ascii="ITC Avant Garde" w:hAnsi="ITC Avant Garde"/>
          <w:sz w:val="20"/>
          <w:szCs w:val="20"/>
        </w:rPr>
        <w:t xml:space="preserve"> </w:t>
      </w:r>
    </w:p>
    <w:p w:rsidR="00BC24F7" w:rsidRPr="001E2F09" w:rsidRDefault="00BC24F7" w:rsidP="001E2F09">
      <w:pPr>
        <w:spacing w:after="0" w:line="240" w:lineRule="auto"/>
        <w:ind w:left="708"/>
        <w:jc w:val="both"/>
        <w:rPr>
          <w:rFonts w:ascii="ITC Avant Garde" w:hAnsi="ITC Avant Garde"/>
          <w:sz w:val="20"/>
          <w:szCs w:val="20"/>
        </w:rPr>
      </w:pPr>
    </w:p>
    <w:p w:rsidR="007B33F6" w:rsidRDefault="00206ABB" w:rsidP="001E2F09">
      <w:pPr>
        <w:spacing w:after="0" w:line="240" w:lineRule="auto"/>
        <w:ind w:left="708"/>
        <w:jc w:val="both"/>
        <w:rPr>
          <w:rFonts w:ascii="ITC Avant Garde" w:hAnsi="ITC Avant Garde"/>
          <w:sz w:val="20"/>
          <w:szCs w:val="20"/>
        </w:rPr>
      </w:pPr>
      <w:r w:rsidRPr="001E2F09">
        <w:rPr>
          <w:rFonts w:ascii="ITC Avant Garde" w:hAnsi="ITC Avant Garde"/>
          <w:sz w:val="20"/>
          <w:szCs w:val="20"/>
        </w:rPr>
        <w:t xml:space="preserve">La propuesta de adición </w:t>
      </w:r>
      <w:r w:rsidR="007B33F6">
        <w:rPr>
          <w:rFonts w:ascii="ITC Avant Garde" w:hAnsi="ITC Avant Garde"/>
          <w:sz w:val="20"/>
          <w:szCs w:val="20"/>
        </w:rPr>
        <w:t xml:space="preserve">de Altán </w:t>
      </w:r>
      <w:r w:rsidR="00B900F8" w:rsidRPr="00B900F8">
        <w:rPr>
          <w:rFonts w:ascii="ITC Avant Garde" w:hAnsi="ITC Avant Garde"/>
          <w:sz w:val="20"/>
          <w:szCs w:val="20"/>
        </w:rPr>
        <w:t xml:space="preserve">está íntimamente relacionada con una solicitud de confirmación de criterio, presentada por esa misma persona moral ante el Instituto, sobre el alcance de la aplicación de los Lineamientos de Colaboración en </w:t>
      </w:r>
      <w:r w:rsidR="00B900F8">
        <w:rPr>
          <w:rFonts w:ascii="ITC Avant Garde" w:hAnsi="ITC Avant Garde"/>
          <w:sz w:val="20"/>
          <w:szCs w:val="20"/>
        </w:rPr>
        <w:t>Materia de Seguridad y Justicia</w:t>
      </w:r>
      <w:r w:rsidR="00B900F8" w:rsidRPr="00B900F8">
        <w:rPr>
          <w:rFonts w:ascii="ITC Avant Garde" w:hAnsi="ITC Avant Garde"/>
          <w:sz w:val="20"/>
          <w:szCs w:val="20"/>
        </w:rPr>
        <w:t xml:space="preserve"> a un concesionario que tenga el carácter de red compartida mayorista. Dicha solicitud de confirmación se encuentra pendiente de resolución, por lo que, para el presente caso, no se estima procedente atender el comentario vertido por Altán durante el proceso consultivo realizado por este órgano constitucional autónomo</w:t>
      </w:r>
      <w:r w:rsidR="007B33F6">
        <w:rPr>
          <w:rFonts w:ascii="ITC Avant Garde" w:hAnsi="ITC Avant Garde"/>
          <w:sz w:val="20"/>
          <w:szCs w:val="20"/>
        </w:rPr>
        <w:t xml:space="preserve">. </w:t>
      </w:r>
    </w:p>
    <w:p w:rsidR="00BC24F7" w:rsidRPr="001E2F09" w:rsidRDefault="00BC24F7" w:rsidP="001E2F09">
      <w:pPr>
        <w:spacing w:after="0" w:line="240" w:lineRule="auto"/>
        <w:ind w:left="708"/>
        <w:jc w:val="both"/>
        <w:rPr>
          <w:rFonts w:ascii="ITC Avant Garde" w:hAnsi="ITC Avant Garde"/>
          <w:sz w:val="20"/>
          <w:szCs w:val="20"/>
        </w:rPr>
      </w:pPr>
    </w:p>
    <w:p w:rsidR="00206ABB" w:rsidRPr="001E2F09" w:rsidRDefault="00206ABB" w:rsidP="00847870">
      <w:pPr>
        <w:pStyle w:val="Prrafodelista"/>
        <w:numPr>
          <w:ilvl w:val="0"/>
          <w:numId w:val="9"/>
        </w:numPr>
        <w:spacing w:after="0" w:line="240" w:lineRule="auto"/>
        <w:ind w:left="993"/>
        <w:jc w:val="both"/>
        <w:rPr>
          <w:rFonts w:ascii="ITC Avant Garde" w:hAnsi="ITC Avant Garde"/>
          <w:b/>
          <w:sz w:val="20"/>
          <w:szCs w:val="20"/>
          <w:u w:val="single"/>
        </w:rPr>
      </w:pPr>
      <w:r w:rsidRPr="001E2F09">
        <w:rPr>
          <w:rFonts w:ascii="ITC Avant Garde" w:hAnsi="ITC Avant Garde"/>
          <w:b/>
          <w:sz w:val="20"/>
          <w:szCs w:val="20"/>
          <w:u w:val="single"/>
        </w:rPr>
        <w:t>Comentarios de AT&amp;T.</w:t>
      </w:r>
    </w:p>
    <w:p w:rsidR="00206ABB" w:rsidRPr="001E2F09" w:rsidRDefault="00206ABB" w:rsidP="001E2F09">
      <w:pPr>
        <w:spacing w:after="0" w:line="240" w:lineRule="auto"/>
        <w:ind w:left="708"/>
        <w:jc w:val="both"/>
        <w:rPr>
          <w:rFonts w:ascii="ITC Avant Garde" w:hAnsi="ITC Avant Garde"/>
          <w:sz w:val="20"/>
          <w:szCs w:val="20"/>
        </w:rPr>
      </w:pPr>
    </w:p>
    <w:p w:rsidR="00206ABB" w:rsidRPr="001E2F09" w:rsidRDefault="00206ABB" w:rsidP="001E2F09">
      <w:pPr>
        <w:spacing w:after="0" w:line="240" w:lineRule="auto"/>
        <w:ind w:left="708"/>
        <w:jc w:val="both"/>
        <w:rPr>
          <w:rFonts w:ascii="ITC Avant Garde" w:hAnsi="ITC Avant Garde"/>
          <w:sz w:val="20"/>
          <w:szCs w:val="20"/>
        </w:rPr>
      </w:pPr>
      <w:r w:rsidRPr="001E2F09">
        <w:rPr>
          <w:rFonts w:ascii="ITC Avant Garde" w:hAnsi="ITC Avant Garde"/>
          <w:sz w:val="20"/>
          <w:szCs w:val="20"/>
        </w:rPr>
        <w:t>AT&amp;T manifestó que el Instituto debería contar con las siguientes funciones:</w:t>
      </w:r>
    </w:p>
    <w:p w:rsidR="00206ABB" w:rsidRPr="001E2F09" w:rsidRDefault="00206ABB" w:rsidP="001E2F09">
      <w:pPr>
        <w:spacing w:after="0" w:line="240" w:lineRule="auto"/>
        <w:ind w:left="708"/>
        <w:jc w:val="both"/>
        <w:rPr>
          <w:rFonts w:ascii="ITC Avant Garde" w:hAnsi="ITC Avant Garde"/>
          <w:sz w:val="20"/>
          <w:szCs w:val="20"/>
        </w:rPr>
      </w:pPr>
    </w:p>
    <w:p w:rsidR="00206ABB" w:rsidRPr="001E2F09" w:rsidRDefault="00206ABB" w:rsidP="001E2F09">
      <w:pPr>
        <w:pStyle w:val="Prrafodelista"/>
        <w:numPr>
          <w:ilvl w:val="0"/>
          <w:numId w:val="10"/>
        </w:numPr>
        <w:spacing w:after="0" w:line="240" w:lineRule="auto"/>
        <w:jc w:val="both"/>
        <w:rPr>
          <w:rFonts w:ascii="ITC Avant Garde" w:hAnsi="ITC Avant Garde"/>
          <w:sz w:val="20"/>
          <w:szCs w:val="20"/>
        </w:rPr>
      </w:pPr>
      <w:r w:rsidRPr="001E2F09">
        <w:rPr>
          <w:rFonts w:ascii="ITC Avant Garde" w:hAnsi="ITC Avant Garde"/>
          <w:sz w:val="20"/>
          <w:szCs w:val="20"/>
        </w:rPr>
        <w:lastRenderedPageBreak/>
        <w:t>Solicitar semestralmente a los titulares de las Autoridades Facultadas y hacer público un reporte que contenga la información del número total de requerimientos de información de localización geográfica en tiempo real y de registro de datos de comunicaciones, desglosado por Autoridad Facultada</w:t>
      </w:r>
      <w:r w:rsidR="00BC24F7" w:rsidRPr="001E2F09">
        <w:rPr>
          <w:rFonts w:ascii="ITC Avant Garde" w:hAnsi="ITC Avant Garde"/>
          <w:sz w:val="20"/>
          <w:szCs w:val="20"/>
        </w:rPr>
        <w:t>.</w:t>
      </w:r>
    </w:p>
    <w:p w:rsidR="00206ABB" w:rsidRPr="001E2F09" w:rsidRDefault="00206ABB" w:rsidP="001E2F09">
      <w:pPr>
        <w:pStyle w:val="Prrafodelista"/>
        <w:numPr>
          <w:ilvl w:val="0"/>
          <w:numId w:val="10"/>
        </w:numPr>
        <w:spacing w:after="0" w:line="240" w:lineRule="auto"/>
        <w:jc w:val="both"/>
        <w:rPr>
          <w:rFonts w:ascii="ITC Avant Garde" w:hAnsi="ITC Avant Garde"/>
          <w:sz w:val="20"/>
          <w:szCs w:val="20"/>
        </w:rPr>
      </w:pPr>
      <w:r w:rsidRPr="001E2F09">
        <w:rPr>
          <w:rFonts w:ascii="ITC Avant Garde" w:hAnsi="ITC Avant Garde"/>
          <w:sz w:val="20"/>
          <w:szCs w:val="20"/>
        </w:rPr>
        <w:t>Incluir en dicho reporte, el uso que la Autoridad Facultada hizo de la información, relacionándola con los casos o fines para los cuales la solicitó.</w:t>
      </w:r>
    </w:p>
    <w:p w:rsidR="00BC24F7" w:rsidRPr="001E2F09" w:rsidRDefault="00206ABB" w:rsidP="001E2F09">
      <w:pPr>
        <w:pStyle w:val="Prrafodelista"/>
        <w:numPr>
          <w:ilvl w:val="0"/>
          <w:numId w:val="10"/>
        </w:numPr>
        <w:spacing w:after="0" w:line="240" w:lineRule="auto"/>
        <w:jc w:val="both"/>
        <w:rPr>
          <w:rFonts w:ascii="ITC Avant Garde" w:hAnsi="ITC Avant Garde"/>
          <w:sz w:val="20"/>
          <w:szCs w:val="20"/>
        </w:rPr>
      </w:pPr>
      <w:r w:rsidRPr="001E2F09">
        <w:rPr>
          <w:rFonts w:ascii="ITC Avant Garde" w:hAnsi="ITC Avant Garde"/>
          <w:sz w:val="20"/>
          <w:szCs w:val="20"/>
        </w:rPr>
        <w:t>Solicitar a los titula</w:t>
      </w:r>
      <w:r w:rsidR="00684B7E">
        <w:rPr>
          <w:rFonts w:ascii="ITC Avant Garde" w:hAnsi="ITC Avant Garde"/>
          <w:sz w:val="20"/>
          <w:szCs w:val="20"/>
        </w:rPr>
        <w:t>res de las Autoridades Facultada</w:t>
      </w:r>
      <w:r w:rsidRPr="001E2F09">
        <w:rPr>
          <w:rFonts w:ascii="ITC Avant Garde" w:hAnsi="ITC Avant Garde"/>
          <w:sz w:val="20"/>
          <w:szCs w:val="20"/>
        </w:rPr>
        <w:t>s los protocolos utilizados para la cancelación o supresión segura de la información recibida, una vez cumplido el fin para el cual fue solicitada.</w:t>
      </w:r>
    </w:p>
    <w:p w:rsidR="00BC24F7" w:rsidRPr="001E2F09" w:rsidRDefault="00BC24F7" w:rsidP="001E2F09">
      <w:pPr>
        <w:spacing w:after="0" w:line="240" w:lineRule="auto"/>
        <w:ind w:left="708"/>
        <w:jc w:val="both"/>
        <w:rPr>
          <w:rFonts w:ascii="ITC Avant Garde" w:hAnsi="ITC Avant Garde"/>
          <w:sz w:val="20"/>
          <w:szCs w:val="20"/>
        </w:rPr>
      </w:pPr>
    </w:p>
    <w:p w:rsidR="00206ABB" w:rsidRPr="001E2F09" w:rsidRDefault="00206ABB" w:rsidP="001E2F09">
      <w:pPr>
        <w:spacing w:after="0" w:line="240" w:lineRule="auto"/>
        <w:ind w:left="708"/>
        <w:jc w:val="both"/>
        <w:rPr>
          <w:rFonts w:ascii="ITC Avant Garde" w:hAnsi="ITC Avant Garde"/>
          <w:sz w:val="20"/>
          <w:szCs w:val="20"/>
        </w:rPr>
      </w:pPr>
      <w:r w:rsidRPr="001E2F09">
        <w:rPr>
          <w:rFonts w:ascii="ITC Avant Garde" w:hAnsi="ITC Avant Garde"/>
          <w:sz w:val="20"/>
          <w:szCs w:val="20"/>
        </w:rPr>
        <w:t>Como puede apreciarse del contenido del Anteproyect</w:t>
      </w:r>
      <w:r w:rsidR="00847870">
        <w:rPr>
          <w:rFonts w:ascii="ITC Avant Garde" w:hAnsi="ITC Avant Garde"/>
          <w:sz w:val="20"/>
          <w:szCs w:val="20"/>
        </w:rPr>
        <w:t>o, e</w:t>
      </w:r>
      <w:r w:rsidRPr="001E2F09">
        <w:rPr>
          <w:rFonts w:ascii="ITC Avant Garde" w:hAnsi="ITC Avant Garde"/>
          <w:sz w:val="20"/>
          <w:szCs w:val="20"/>
        </w:rPr>
        <w:t xml:space="preserve">ste tiene por objeto precisamente eliminar de los Lineamientos las funciones que AT&amp;T menciona. Su comentario se considera superado </w:t>
      </w:r>
      <w:r w:rsidR="003B2F77">
        <w:rPr>
          <w:rFonts w:ascii="ITC Avant Garde" w:hAnsi="ITC Avant Garde"/>
          <w:sz w:val="20"/>
          <w:szCs w:val="20"/>
        </w:rPr>
        <w:t>bajo</w:t>
      </w:r>
      <w:r w:rsidRPr="001E2F09">
        <w:rPr>
          <w:rFonts w:ascii="ITC Avant Garde" w:hAnsi="ITC Avant Garde"/>
          <w:sz w:val="20"/>
          <w:szCs w:val="20"/>
        </w:rPr>
        <w:t xml:space="preserve"> las siguie</w:t>
      </w:r>
      <w:r w:rsidR="00735364">
        <w:rPr>
          <w:rFonts w:ascii="ITC Avant Garde" w:hAnsi="ITC Avant Garde"/>
          <w:sz w:val="20"/>
          <w:szCs w:val="20"/>
        </w:rPr>
        <w:t>ntes consideraciones:</w:t>
      </w:r>
    </w:p>
    <w:p w:rsidR="00BC24F7" w:rsidRPr="001E2F09" w:rsidRDefault="00BC24F7" w:rsidP="001E2F09">
      <w:pPr>
        <w:spacing w:after="0" w:line="240" w:lineRule="auto"/>
        <w:ind w:left="708"/>
        <w:jc w:val="both"/>
        <w:rPr>
          <w:rFonts w:ascii="ITC Avant Garde" w:hAnsi="ITC Avant Garde"/>
          <w:sz w:val="20"/>
          <w:szCs w:val="20"/>
        </w:rPr>
      </w:pPr>
    </w:p>
    <w:p w:rsidR="00206ABB" w:rsidRPr="001E2F09" w:rsidRDefault="00206ABB" w:rsidP="001E2F09">
      <w:pPr>
        <w:spacing w:line="240" w:lineRule="auto"/>
        <w:ind w:left="708"/>
        <w:jc w:val="both"/>
        <w:rPr>
          <w:rFonts w:ascii="ITC Avant Garde" w:hAnsi="ITC Avant Garde"/>
          <w:sz w:val="20"/>
          <w:szCs w:val="20"/>
        </w:rPr>
      </w:pPr>
      <w:r w:rsidRPr="001E2F09">
        <w:rPr>
          <w:rFonts w:ascii="ITC Avant Garde" w:hAnsi="ITC Avant Garde"/>
          <w:sz w:val="20"/>
          <w:szCs w:val="20"/>
        </w:rPr>
        <w:t>La Ley General de Transparencia y Acceso a la Información Pública y la Ley Federal de Transparencia y Acceso a la Información Pública prevén en sus artículos 70, fracción XLVII, y 69, fracción V, inciso a), respectivamente, la obligación que tienen los sujetos obligados en materia de seguridad pública y procuración de justicia de poner a disposición del público y mantener actualizada, en los respectivos medios electrónicos,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el objeto, el alcance temporal y los fundamentos legales del requerimiento, así como, en su caso, la mención de que cuenta con la autorización judicial correspondiente. La verificación de la observancia de las mencionadas leyes en materia de transparencia corresp</w:t>
      </w:r>
      <w:r w:rsidR="00463CE0">
        <w:rPr>
          <w:rFonts w:ascii="ITC Avant Garde" w:hAnsi="ITC Avant Garde"/>
          <w:sz w:val="20"/>
          <w:szCs w:val="20"/>
        </w:rPr>
        <w:t>onde al INAI, así como a los o</w:t>
      </w:r>
      <w:r w:rsidR="00463CE0" w:rsidRPr="009074E8">
        <w:rPr>
          <w:rFonts w:ascii="ITC Avant Garde" w:hAnsi="ITC Avant Garde"/>
          <w:sz w:val="20"/>
          <w:szCs w:val="20"/>
        </w:rPr>
        <w:t>rganismos garantes</w:t>
      </w:r>
      <w:r w:rsidR="00463CE0">
        <w:rPr>
          <w:rFonts w:ascii="ITC Avant Garde" w:hAnsi="ITC Avant Garde"/>
          <w:sz w:val="20"/>
          <w:szCs w:val="20"/>
        </w:rPr>
        <w:t xml:space="preserve"> de las entidades f</w:t>
      </w:r>
      <w:r w:rsidR="00463CE0" w:rsidRPr="009074E8">
        <w:rPr>
          <w:rFonts w:ascii="ITC Avant Garde" w:hAnsi="ITC Avant Garde"/>
          <w:sz w:val="20"/>
          <w:szCs w:val="20"/>
        </w:rPr>
        <w:t>ederativas</w:t>
      </w:r>
      <w:r w:rsidR="00463CE0">
        <w:rPr>
          <w:rFonts w:ascii="ITC Avant Garde" w:hAnsi="ITC Avant Garde"/>
          <w:sz w:val="20"/>
          <w:szCs w:val="20"/>
        </w:rPr>
        <w:t xml:space="preserve"> en la materia.</w:t>
      </w:r>
    </w:p>
    <w:p w:rsidR="0071405A" w:rsidRDefault="00206ABB" w:rsidP="001E2F09">
      <w:pPr>
        <w:spacing w:line="240" w:lineRule="auto"/>
        <w:ind w:left="708"/>
        <w:jc w:val="both"/>
        <w:rPr>
          <w:rFonts w:ascii="ITC Avant Garde" w:hAnsi="ITC Avant Garde"/>
          <w:sz w:val="20"/>
          <w:szCs w:val="20"/>
        </w:rPr>
      </w:pPr>
      <w:r w:rsidRPr="001E2F09">
        <w:rPr>
          <w:rFonts w:ascii="ITC Avant Garde" w:hAnsi="ITC Avant Garde"/>
          <w:sz w:val="20"/>
          <w:szCs w:val="20"/>
        </w:rPr>
        <w:t>Por su parte, la Ley General de Protección de Datos Personales en Posesión de Sujetos Obligados, prevé un capítulo específico sobre la obtención y tratamiento de datos personales en posesión de las instancias de seguridad, procuración y administración de justicia, en el cual se dispone la obligación de establecer medidas de seguridad de nivel alto para garantizar su integridad, disponibilidad, confidencialidad y protección (artículo 80 y siguientes). Lo anterior, aunado a las obligaciones que tienen las referidas instancias de establecer y documentar los procedimientos para la conservación y, en su caso, bloqueo y supresión de los datos personales (artículos 23 y 24), así como de establecer y mantener las medidas de carácter administrativo, físico y técnico para la protección de los datos personales, que permitan protegerlos contra daño, pérdida, alteración, destrucción o su uso, acceso o tratamiento no autorizado (artículo 31). La verificación de la observancia de las mencionadas normas, también corresponde al INAI</w:t>
      </w:r>
      <w:r w:rsidR="00463CE0">
        <w:rPr>
          <w:rFonts w:ascii="ITC Avant Garde" w:hAnsi="ITC Avant Garde"/>
          <w:sz w:val="20"/>
          <w:szCs w:val="20"/>
        </w:rPr>
        <w:t>, así como a los o</w:t>
      </w:r>
      <w:r w:rsidR="00463CE0" w:rsidRPr="009074E8">
        <w:rPr>
          <w:rFonts w:ascii="ITC Avant Garde" w:hAnsi="ITC Avant Garde"/>
          <w:sz w:val="20"/>
          <w:szCs w:val="20"/>
        </w:rPr>
        <w:t>rganismos garantes</w:t>
      </w:r>
      <w:r w:rsidR="00463CE0">
        <w:rPr>
          <w:rFonts w:ascii="ITC Avant Garde" w:hAnsi="ITC Avant Garde"/>
          <w:sz w:val="20"/>
          <w:szCs w:val="20"/>
        </w:rPr>
        <w:t xml:space="preserve"> de las entidades f</w:t>
      </w:r>
      <w:r w:rsidR="00463CE0" w:rsidRPr="009074E8">
        <w:rPr>
          <w:rFonts w:ascii="ITC Avant Garde" w:hAnsi="ITC Avant Garde"/>
          <w:sz w:val="20"/>
          <w:szCs w:val="20"/>
        </w:rPr>
        <w:t>ederativas</w:t>
      </w:r>
      <w:r w:rsidR="00463CE0">
        <w:rPr>
          <w:rFonts w:ascii="ITC Avant Garde" w:hAnsi="ITC Avant Garde"/>
          <w:sz w:val="20"/>
          <w:szCs w:val="20"/>
        </w:rPr>
        <w:t xml:space="preserve"> en la materia</w:t>
      </w:r>
      <w:r w:rsidRPr="001E2F09">
        <w:rPr>
          <w:rFonts w:ascii="ITC Avant Garde" w:hAnsi="ITC Avant Garde"/>
          <w:sz w:val="20"/>
          <w:szCs w:val="20"/>
        </w:rPr>
        <w:t xml:space="preserve">. </w:t>
      </w:r>
    </w:p>
    <w:p w:rsidR="00243EF4" w:rsidRDefault="00C3701E" w:rsidP="00243EF4">
      <w:pPr>
        <w:spacing w:line="240" w:lineRule="auto"/>
        <w:ind w:left="708"/>
        <w:jc w:val="both"/>
        <w:rPr>
          <w:rFonts w:ascii="ITC Avant Garde" w:hAnsi="ITC Avant Garde"/>
          <w:sz w:val="20"/>
          <w:szCs w:val="20"/>
          <w:lang w:val="es-ES"/>
        </w:rPr>
      </w:pPr>
      <w:r>
        <w:rPr>
          <w:rFonts w:ascii="ITC Avant Garde" w:hAnsi="ITC Avant Garde"/>
          <w:sz w:val="20"/>
          <w:szCs w:val="20"/>
        </w:rPr>
        <w:t xml:space="preserve">No se omite </w:t>
      </w:r>
      <w:r w:rsidR="00243EF4">
        <w:rPr>
          <w:rFonts w:ascii="ITC Avant Garde" w:hAnsi="ITC Avant Garde"/>
          <w:sz w:val="20"/>
          <w:szCs w:val="20"/>
        </w:rPr>
        <w:t xml:space="preserve">dar cuenta de </w:t>
      </w:r>
      <w:r>
        <w:rPr>
          <w:rFonts w:ascii="ITC Avant Garde" w:hAnsi="ITC Avant Garde"/>
          <w:sz w:val="20"/>
          <w:szCs w:val="20"/>
        </w:rPr>
        <w:t xml:space="preserve">que en la parte considerativa de los Lineamientos </w:t>
      </w:r>
      <w:r w:rsidR="00243EF4">
        <w:rPr>
          <w:rFonts w:ascii="ITC Avant Garde" w:hAnsi="ITC Avant Garde"/>
          <w:sz w:val="20"/>
          <w:szCs w:val="20"/>
        </w:rPr>
        <w:t xml:space="preserve">se narró la consulta al entonces </w:t>
      </w:r>
      <w:r w:rsidR="00243EF4" w:rsidRPr="00243EF4">
        <w:rPr>
          <w:rFonts w:ascii="ITC Avant Garde" w:hAnsi="ITC Avant Garde"/>
          <w:sz w:val="20"/>
          <w:szCs w:val="20"/>
          <w:lang w:val="es-ES"/>
        </w:rPr>
        <w:t>Instituto Federal de Acceso a la Información y Protección de Datos</w:t>
      </w:r>
      <w:r w:rsidR="00243EF4">
        <w:rPr>
          <w:rFonts w:ascii="ITC Avant Garde" w:hAnsi="ITC Avant Garde"/>
          <w:sz w:val="20"/>
          <w:szCs w:val="20"/>
          <w:lang w:val="es-ES"/>
        </w:rPr>
        <w:t xml:space="preserve"> y se invocó el marco jurídico que brinda protección al individuo frente </w:t>
      </w:r>
      <w:r w:rsidR="00243EF4" w:rsidRPr="00243EF4">
        <w:rPr>
          <w:rFonts w:ascii="ITC Avant Garde" w:hAnsi="ITC Avant Garde"/>
          <w:sz w:val="20"/>
          <w:szCs w:val="20"/>
          <w:lang w:val="es-ES"/>
        </w:rPr>
        <w:t>a injerencias ilegales en su vida privada</w:t>
      </w:r>
      <w:r w:rsidR="00243EF4">
        <w:rPr>
          <w:rFonts w:ascii="ITC Avant Garde" w:hAnsi="ITC Avant Garde"/>
          <w:sz w:val="20"/>
          <w:szCs w:val="20"/>
          <w:lang w:val="es-ES"/>
        </w:rPr>
        <w:t xml:space="preserve">. Sin embargo, dicho marco jurídico evolucionó, pues mientras los lineamientos fueron publicados en el Diario Oficial de la Federación el </w:t>
      </w:r>
      <w:r w:rsidR="00243EF4" w:rsidRPr="00C3701E">
        <w:rPr>
          <w:rFonts w:ascii="ITC Avant Garde" w:hAnsi="ITC Avant Garde"/>
          <w:sz w:val="20"/>
          <w:szCs w:val="20"/>
          <w:lang w:val="es-ES"/>
        </w:rPr>
        <w:t>2 de diciembre de 2015</w:t>
      </w:r>
      <w:r w:rsidR="00243EF4">
        <w:rPr>
          <w:rFonts w:ascii="ITC Avant Garde" w:hAnsi="ITC Avant Garde"/>
          <w:sz w:val="20"/>
          <w:szCs w:val="20"/>
          <w:lang w:val="es-ES"/>
        </w:rPr>
        <w:t xml:space="preserve">, la Ley Federal </w:t>
      </w:r>
      <w:r w:rsidR="00243EF4" w:rsidRPr="00C3701E">
        <w:rPr>
          <w:rFonts w:ascii="ITC Avant Garde" w:hAnsi="ITC Avant Garde"/>
          <w:sz w:val="20"/>
          <w:szCs w:val="20"/>
          <w:lang w:val="es-ES"/>
        </w:rPr>
        <w:t>de Transparencia y Acceso a la Información Pública</w:t>
      </w:r>
      <w:r w:rsidR="00243EF4">
        <w:rPr>
          <w:rFonts w:ascii="ITC Avant Garde" w:hAnsi="ITC Avant Garde"/>
          <w:sz w:val="20"/>
          <w:szCs w:val="20"/>
          <w:lang w:val="es-ES"/>
        </w:rPr>
        <w:t xml:space="preserve"> fue publicada</w:t>
      </w:r>
      <w:r w:rsidR="007D6E34">
        <w:rPr>
          <w:rFonts w:ascii="ITC Avant Garde" w:hAnsi="ITC Avant Garde"/>
          <w:sz w:val="20"/>
          <w:szCs w:val="20"/>
          <w:lang w:val="es-ES"/>
        </w:rPr>
        <w:t xml:space="preserve"> en el mismo medio</w:t>
      </w:r>
      <w:r w:rsidR="00243EF4">
        <w:rPr>
          <w:rFonts w:ascii="ITC Avant Garde" w:hAnsi="ITC Avant Garde"/>
          <w:sz w:val="20"/>
          <w:szCs w:val="20"/>
          <w:lang w:val="es-ES"/>
        </w:rPr>
        <w:t xml:space="preserve"> </w:t>
      </w:r>
      <w:r w:rsidR="007D6E34">
        <w:rPr>
          <w:rFonts w:ascii="ITC Avant Garde" w:hAnsi="ITC Avant Garde"/>
          <w:sz w:val="20"/>
          <w:szCs w:val="20"/>
          <w:lang w:val="es-ES"/>
        </w:rPr>
        <w:t xml:space="preserve">el </w:t>
      </w:r>
      <w:r w:rsidR="00243EF4" w:rsidRPr="00C3701E">
        <w:rPr>
          <w:rFonts w:ascii="ITC Avant Garde" w:hAnsi="ITC Avant Garde"/>
          <w:sz w:val="20"/>
          <w:szCs w:val="20"/>
          <w:lang w:val="es-ES"/>
        </w:rPr>
        <w:t>9 de mayo de 2016</w:t>
      </w:r>
      <w:r w:rsidR="00243EF4">
        <w:rPr>
          <w:rFonts w:ascii="ITC Avant Garde" w:hAnsi="ITC Avant Garde"/>
          <w:sz w:val="20"/>
          <w:szCs w:val="20"/>
          <w:lang w:val="es-ES"/>
        </w:rPr>
        <w:t xml:space="preserve"> y la </w:t>
      </w:r>
      <w:r w:rsidR="00243EF4" w:rsidRPr="00C3701E">
        <w:rPr>
          <w:rFonts w:ascii="ITC Avant Garde" w:hAnsi="ITC Avant Garde"/>
          <w:sz w:val="20"/>
          <w:szCs w:val="20"/>
          <w:lang w:val="es-ES"/>
        </w:rPr>
        <w:t>Ley General de Protección de Datos Personales en Posesión de Sujetos Obligados</w:t>
      </w:r>
      <w:r w:rsidR="00243EF4">
        <w:rPr>
          <w:rFonts w:ascii="ITC Avant Garde" w:hAnsi="ITC Avant Garde"/>
          <w:sz w:val="20"/>
          <w:szCs w:val="20"/>
          <w:lang w:val="es-ES"/>
        </w:rPr>
        <w:t xml:space="preserve">, el </w:t>
      </w:r>
      <w:r w:rsidR="00243EF4" w:rsidRPr="00C3701E">
        <w:rPr>
          <w:rFonts w:ascii="ITC Avant Garde" w:hAnsi="ITC Avant Garde"/>
          <w:sz w:val="20"/>
          <w:szCs w:val="20"/>
          <w:lang w:val="es-ES"/>
        </w:rPr>
        <w:t>26 de enero de 2017</w:t>
      </w:r>
      <w:r w:rsidR="00243EF4">
        <w:rPr>
          <w:rFonts w:ascii="ITC Avant Garde" w:hAnsi="ITC Avant Garde"/>
          <w:sz w:val="20"/>
          <w:szCs w:val="20"/>
          <w:lang w:val="es-ES"/>
        </w:rPr>
        <w:t xml:space="preserve">. </w:t>
      </w:r>
    </w:p>
    <w:p w:rsidR="00243EF4" w:rsidRPr="00243EF4" w:rsidRDefault="00243EF4" w:rsidP="00243EF4">
      <w:pPr>
        <w:spacing w:line="240" w:lineRule="auto"/>
        <w:ind w:left="708"/>
        <w:jc w:val="both"/>
        <w:rPr>
          <w:rFonts w:ascii="ITC Avant Garde" w:hAnsi="ITC Avant Garde"/>
          <w:sz w:val="20"/>
          <w:szCs w:val="20"/>
          <w:lang w:val="es-ES"/>
        </w:rPr>
      </w:pPr>
      <w:r>
        <w:rPr>
          <w:rFonts w:ascii="ITC Avant Garde" w:hAnsi="ITC Avant Garde"/>
          <w:sz w:val="20"/>
          <w:szCs w:val="20"/>
          <w:lang w:val="es-ES"/>
        </w:rPr>
        <w:lastRenderedPageBreak/>
        <w:t>En conclusión, dado que el objetivo de</w:t>
      </w:r>
      <w:r w:rsidR="00C009C4">
        <w:rPr>
          <w:rFonts w:ascii="ITC Avant Garde" w:hAnsi="ITC Avant Garde"/>
          <w:sz w:val="20"/>
          <w:szCs w:val="20"/>
          <w:lang w:val="es-ES"/>
        </w:rPr>
        <w:t>l Anteproyecto es armonizar los</w:t>
      </w:r>
      <w:r>
        <w:rPr>
          <w:rFonts w:ascii="ITC Avant Garde" w:hAnsi="ITC Avant Garde"/>
          <w:sz w:val="20"/>
          <w:szCs w:val="20"/>
        </w:rPr>
        <w:t xml:space="preserve"> Lineamientos con el marco jurídico vigente, se desestima el comentario de AT&amp;T. </w:t>
      </w:r>
    </w:p>
    <w:sectPr w:rsidR="00243EF4" w:rsidRPr="00243EF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951" w:rsidRDefault="00750951" w:rsidP="001C448E">
      <w:pPr>
        <w:spacing w:after="0" w:line="240" w:lineRule="auto"/>
      </w:pPr>
      <w:r>
        <w:separator/>
      </w:r>
    </w:p>
  </w:endnote>
  <w:endnote w:type="continuationSeparator" w:id="0">
    <w:p w:rsidR="00750951" w:rsidRDefault="00750951" w:rsidP="001C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552000629"/>
      <w:docPartObj>
        <w:docPartGallery w:val="Page Numbers (Bottom of Page)"/>
        <w:docPartUnique/>
      </w:docPartObj>
    </w:sdtPr>
    <w:sdtEndPr/>
    <w:sdtContent>
      <w:p w:rsidR="009816D8" w:rsidRPr="009816D8" w:rsidRDefault="009816D8">
        <w:pPr>
          <w:pStyle w:val="Piedepgina"/>
          <w:jc w:val="right"/>
          <w:rPr>
            <w:rFonts w:ascii="Arial" w:hAnsi="Arial" w:cs="Arial"/>
            <w:sz w:val="18"/>
            <w:szCs w:val="18"/>
          </w:rPr>
        </w:pPr>
        <w:r w:rsidRPr="009816D8">
          <w:rPr>
            <w:rFonts w:ascii="Arial" w:hAnsi="Arial" w:cs="Arial"/>
            <w:sz w:val="18"/>
            <w:szCs w:val="18"/>
          </w:rPr>
          <w:fldChar w:fldCharType="begin"/>
        </w:r>
        <w:r w:rsidRPr="009816D8">
          <w:rPr>
            <w:rFonts w:ascii="Arial" w:hAnsi="Arial" w:cs="Arial"/>
            <w:sz w:val="18"/>
            <w:szCs w:val="18"/>
          </w:rPr>
          <w:instrText>PAGE   \* MERGEFORMAT</w:instrText>
        </w:r>
        <w:r w:rsidRPr="009816D8">
          <w:rPr>
            <w:rFonts w:ascii="Arial" w:hAnsi="Arial" w:cs="Arial"/>
            <w:sz w:val="18"/>
            <w:szCs w:val="18"/>
          </w:rPr>
          <w:fldChar w:fldCharType="separate"/>
        </w:r>
        <w:r w:rsidR="00C01BBB" w:rsidRPr="00C01BBB">
          <w:rPr>
            <w:rFonts w:ascii="Arial" w:hAnsi="Arial" w:cs="Arial"/>
            <w:noProof/>
            <w:sz w:val="18"/>
            <w:szCs w:val="18"/>
            <w:lang w:val="es-ES"/>
          </w:rPr>
          <w:t>3</w:t>
        </w:r>
        <w:r w:rsidRPr="009816D8">
          <w:rPr>
            <w:rFonts w:ascii="Arial" w:hAnsi="Arial" w:cs="Arial"/>
            <w:sz w:val="18"/>
            <w:szCs w:val="18"/>
          </w:rPr>
          <w:fldChar w:fldCharType="end"/>
        </w:r>
      </w:p>
    </w:sdtContent>
  </w:sdt>
  <w:p w:rsidR="009816D8" w:rsidRDefault="00981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951" w:rsidRDefault="00750951" w:rsidP="001C448E">
      <w:pPr>
        <w:spacing w:after="0" w:line="240" w:lineRule="auto"/>
      </w:pPr>
      <w:r>
        <w:separator/>
      </w:r>
    </w:p>
  </w:footnote>
  <w:footnote w:type="continuationSeparator" w:id="0">
    <w:p w:rsidR="00750951" w:rsidRDefault="00750951" w:rsidP="001C4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30AF"/>
    <w:multiLevelType w:val="hybridMultilevel"/>
    <w:tmpl w:val="8D6AC408"/>
    <w:lvl w:ilvl="0" w:tplc="E18A1C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B1797"/>
    <w:multiLevelType w:val="hybridMultilevel"/>
    <w:tmpl w:val="7EB465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000A23"/>
    <w:multiLevelType w:val="hybridMultilevel"/>
    <w:tmpl w:val="D0084B5E"/>
    <w:lvl w:ilvl="0" w:tplc="C554BB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FA2770"/>
    <w:multiLevelType w:val="hybridMultilevel"/>
    <w:tmpl w:val="60DEA98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223B6BA4"/>
    <w:multiLevelType w:val="hybridMultilevel"/>
    <w:tmpl w:val="488A3B24"/>
    <w:lvl w:ilvl="0" w:tplc="5D8C1F6E">
      <w:start w:val="1"/>
      <w:numFmt w:val="low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3BE46A94"/>
    <w:multiLevelType w:val="hybridMultilevel"/>
    <w:tmpl w:val="111EFA5A"/>
    <w:lvl w:ilvl="0" w:tplc="86C6BC86">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013D1D"/>
    <w:multiLevelType w:val="hybridMultilevel"/>
    <w:tmpl w:val="8202069C"/>
    <w:lvl w:ilvl="0" w:tplc="9D5C584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991CAA"/>
    <w:multiLevelType w:val="hybridMultilevel"/>
    <w:tmpl w:val="C2385584"/>
    <w:lvl w:ilvl="0" w:tplc="08D411C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BCD069A"/>
    <w:multiLevelType w:val="hybridMultilevel"/>
    <w:tmpl w:val="BB9245D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90933B7"/>
    <w:multiLevelType w:val="hybridMultilevel"/>
    <w:tmpl w:val="EE56F454"/>
    <w:lvl w:ilvl="0" w:tplc="DEA88CE0">
      <w:start w:val="1"/>
      <w:numFmt w:val="decimal"/>
      <w:lvlText w:val="%1."/>
      <w:lvlJc w:val="left"/>
      <w:pPr>
        <w:ind w:left="1008" w:hanging="360"/>
      </w:pPr>
      <w:rPr>
        <w:b/>
      </w:r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0" w15:restartNumberingAfterBreak="0">
    <w:nsid w:val="7E362585"/>
    <w:multiLevelType w:val="hybridMultilevel"/>
    <w:tmpl w:val="7EB465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6"/>
  </w:num>
  <w:num w:numId="5">
    <w:abstractNumId w:val="5"/>
  </w:num>
  <w:num w:numId="6">
    <w:abstractNumId w:val="8"/>
  </w:num>
  <w:num w:numId="7">
    <w:abstractNumId w:val="4"/>
  </w:num>
  <w:num w:numId="8">
    <w:abstractNumId w:val="7"/>
  </w:num>
  <w:num w:numId="9">
    <w:abstractNumId w:val="0"/>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0C"/>
    <w:rsid w:val="00000267"/>
    <w:rsid w:val="00011DC1"/>
    <w:rsid w:val="00025E81"/>
    <w:rsid w:val="000759B8"/>
    <w:rsid w:val="000D6A54"/>
    <w:rsid w:val="0010100F"/>
    <w:rsid w:val="00135FA7"/>
    <w:rsid w:val="00147AF6"/>
    <w:rsid w:val="001964E7"/>
    <w:rsid w:val="001B12E0"/>
    <w:rsid w:val="001C448E"/>
    <w:rsid w:val="001E247C"/>
    <w:rsid w:val="001E2F09"/>
    <w:rsid w:val="00204A0C"/>
    <w:rsid w:val="00206ABB"/>
    <w:rsid w:val="002157C3"/>
    <w:rsid w:val="002368B1"/>
    <w:rsid w:val="002411BB"/>
    <w:rsid w:val="00242C9B"/>
    <w:rsid w:val="00243EF4"/>
    <w:rsid w:val="002563B5"/>
    <w:rsid w:val="0026510F"/>
    <w:rsid w:val="00282A90"/>
    <w:rsid w:val="002B3A88"/>
    <w:rsid w:val="002C1EAB"/>
    <w:rsid w:val="002C68C5"/>
    <w:rsid w:val="002D2C49"/>
    <w:rsid w:val="002E07C3"/>
    <w:rsid w:val="002E72A9"/>
    <w:rsid w:val="0030682F"/>
    <w:rsid w:val="00321435"/>
    <w:rsid w:val="003767FB"/>
    <w:rsid w:val="0039530E"/>
    <w:rsid w:val="003B2F77"/>
    <w:rsid w:val="003E7188"/>
    <w:rsid w:val="003F5E63"/>
    <w:rsid w:val="004109E7"/>
    <w:rsid w:val="00411F74"/>
    <w:rsid w:val="00414AAC"/>
    <w:rsid w:val="00423B1A"/>
    <w:rsid w:val="00426463"/>
    <w:rsid w:val="004349D6"/>
    <w:rsid w:val="00462F87"/>
    <w:rsid w:val="00463CE0"/>
    <w:rsid w:val="004716DC"/>
    <w:rsid w:val="004A61D2"/>
    <w:rsid w:val="004A7101"/>
    <w:rsid w:val="004B48E8"/>
    <w:rsid w:val="005266D5"/>
    <w:rsid w:val="00535634"/>
    <w:rsid w:val="00582E94"/>
    <w:rsid w:val="005E6FA9"/>
    <w:rsid w:val="00631FA9"/>
    <w:rsid w:val="00633D02"/>
    <w:rsid w:val="006356B2"/>
    <w:rsid w:val="00636A44"/>
    <w:rsid w:val="00645E1B"/>
    <w:rsid w:val="00666E03"/>
    <w:rsid w:val="00684B7E"/>
    <w:rsid w:val="006C3515"/>
    <w:rsid w:val="006D6069"/>
    <w:rsid w:val="006D7B24"/>
    <w:rsid w:val="006E00CC"/>
    <w:rsid w:val="006E1110"/>
    <w:rsid w:val="006E6F3C"/>
    <w:rsid w:val="0071405A"/>
    <w:rsid w:val="007210EB"/>
    <w:rsid w:val="00721D91"/>
    <w:rsid w:val="00733553"/>
    <w:rsid w:val="00735364"/>
    <w:rsid w:val="0074773B"/>
    <w:rsid w:val="00747E16"/>
    <w:rsid w:val="00750951"/>
    <w:rsid w:val="00751074"/>
    <w:rsid w:val="0078202C"/>
    <w:rsid w:val="00794141"/>
    <w:rsid w:val="007A4C11"/>
    <w:rsid w:val="007B33F6"/>
    <w:rsid w:val="007B3522"/>
    <w:rsid w:val="007D6E34"/>
    <w:rsid w:val="00825DFD"/>
    <w:rsid w:val="00847870"/>
    <w:rsid w:val="00854EB9"/>
    <w:rsid w:val="00890420"/>
    <w:rsid w:val="008A27B8"/>
    <w:rsid w:val="008A4FAF"/>
    <w:rsid w:val="008C0444"/>
    <w:rsid w:val="008C593C"/>
    <w:rsid w:val="00931F47"/>
    <w:rsid w:val="0098143D"/>
    <w:rsid w:val="009816D8"/>
    <w:rsid w:val="009B3C5E"/>
    <w:rsid w:val="009B4C20"/>
    <w:rsid w:val="009B77F9"/>
    <w:rsid w:val="009C2A28"/>
    <w:rsid w:val="009D6283"/>
    <w:rsid w:val="009D6C9B"/>
    <w:rsid w:val="00A3501E"/>
    <w:rsid w:val="00A40F5F"/>
    <w:rsid w:val="00A624BA"/>
    <w:rsid w:val="00A82D59"/>
    <w:rsid w:val="00AA7437"/>
    <w:rsid w:val="00AB4184"/>
    <w:rsid w:val="00AC74DF"/>
    <w:rsid w:val="00AD6887"/>
    <w:rsid w:val="00AD6BE2"/>
    <w:rsid w:val="00AD6EF6"/>
    <w:rsid w:val="00B01238"/>
    <w:rsid w:val="00B3014B"/>
    <w:rsid w:val="00B37AE9"/>
    <w:rsid w:val="00B900F8"/>
    <w:rsid w:val="00B97852"/>
    <w:rsid w:val="00BB3342"/>
    <w:rsid w:val="00BC24F7"/>
    <w:rsid w:val="00BD50E1"/>
    <w:rsid w:val="00BE249C"/>
    <w:rsid w:val="00BE5175"/>
    <w:rsid w:val="00BF2A1C"/>
    <w:rsid w:val="00BF4DF3"/>
    <w:rsid w:val="00C009C4"/>
    <w:rsid w:val="00C01BBB"/>
    <w:rsid w:val="00C10A0E"/>
    <w:rsid w:val="00C15DB4"/>
    <w:rsid w:val="00C1699E"/>
    <w:rsid w:val="00C3588D"/>
    <w:rsid w:val="00C3701E"/>
    <w:rsid w:val="00C515F1"/>
    <w:rsid w:val="00C668DC"/>
    <w:rsid w:val="00C707D6"/>
    <w:rsid w:val="00C8632C"/>
    <w:rsid w:val="00CC65E5"/>
    <w:rsid w:val="00CF38AE"/>
    <w:rsid w:val="00D42B68"/>
    <w:rsid w:val="00D435D3"/>
    <w:rsid w:val="00D46024"/>
    <w:rsid w:val="00D5122A"/>
    <w:rsid w:val="00D62D29"/>
    <w:rsid w:val="00D63CD0"/>
    <w:rsid w:val="00D660B1"/>
    <w:rsid w:val="00D66242"/>
    <w:rsid w:val="00D94282"/>
    <w:rsid w:val="00DA7C24"/>
    <w:rsid w:val="00DD1E40"/>
    <w:rsid w:val="00DF6249"/>
    <w:rsid w:val="00E01B7D"/>
    <w:rsid w:val="00E1589C"/>
    <w:rsid w:val="00E172C1"/>
    <w:rsid w:val="00E17420"/>
    <w:rsid w:val="00EF3B89"/>
    <w:rsid w:val="00EF5EFD"/>
    <w:rsid w:val="00F002AF"/>
    <w:rsid w:val="00F3288C"/>
    <w:rsid w:val="00F44F3B"/>
    <w:rsid w:val="00F64D62"/>
    <w:rsid w:val="00F678B9"/>
    <w:rsid w:val="00F82E33"/>
    <w:rsid w:val="00FA4108"/>
    <w:rsid w:val="00FB65A9"/>
    <w:rsid w:val="00FC0A4D"/>
    <w:rsid w:val="00FD7BB2"/>
    <w:rsid w:val="00FF7A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DF1EC-5030-481E-97F4-17CB5422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4DF"/>
    <w:pPr>
      <w:ind w:left="720"/>
      <w:contextualSpacing/>
    </w:pPr>
  </w:style>
  <w:style w:type="character" w:styleId="Refdecomentario">
    <w:name w:val="annotation reference"/>
    <w:basedOn w:val="Fuentedeprrafopredeter"/>
    <w:uiPriority w:val="99"/>
    <w:semiHidden/>
    <w:unhideWhenUsed/>
    <w:rsid w:val="003F5E63"/>
    <w:rPr>
      <w:sz w:val="16"/>
      <w:szCs w:val="16"/>
    </w:rPr>
  </w:style>
  <w:style w:type="paragraph" w:styleId="Textocomentario">
    <w:name w:val="annotation text"/>
    <w:basedOn w:val="Normal"/>
    <w:link w:val="TextocomentarioCar"/>
    <w:uiPriority w:val="99"/>
    <w:semiHidden/>
    <w:unhideWhenUsed/>
    <w:rsid w:val="003F5E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5E63"/>
    <w:rPr>
      <w:sz w:val="20"/>
      <w:szCs w:val="20"/>
    </w:rPr>
  </w:style>
  <w:style w:type="paragraph" w:styleId="Asuntodelcomentario">
    <w:name w:val="annotation subject"/>
    <w:basedOn w:val="Textocomentario"/>
    <w:next w:val="Textocomentario"/>
    <w:link w:val="AsuntodelcomentarioCar"/>
    <w:uiPriority w:val="99"/>
    <w:semiHidden/>
    <w:unhideWhenUsed/>
    <w:rsid w:val="003F5E63"/>
    <w:rPr>
      <w:b/>
      <w:bCs/>
    </w:rPr>
  </w:style>
  <w:style w:type="character" w:customStyle="1" w:styleId="AsuntodelcomentarioCar">
    <w:name w:val="Asunto del comentario Car"/>
    <w:basedOn w:val="TextocomentarioCar"/>
    <w:link w:val="Asuntodelcomentario"/>
    <w:uiPriority w:val="99"/>
    <w:semiHidden/>
    <w:rsid w:val="003F5E63"/>
    <w:rPr>
      <w:b/>
      <w:bCs/>
      <w:sz w:val="20"/>
      <w:szCs w:val="20"/>
    </w:rPr>
  </w:style>
  <w:style w:type="paragraph" w:styleId="Textodeglobo">
    <w:name w:val="Balloon Text"/>
    <w:basedOn w:val="Normal"/>
    <w:link w:val="TextodegloboCar"/>
    <w:uiPriority w:val="99"/>
    <w:semiHidden/>
    <w:unhideWhenUsed/>
    <w:rsid w:val="003F5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E63"/>
    <w:rPr>
      <w:rFonts w:ascii="Segoe UI" w:hAnsi="Segoe UI" w:cs="Segoe UI"/>
      <w:sz w:val="18"/>
      <w:szCs w:val="18"/>
    </w:rPr>
  </w:style>
  <w:style w:type="paragraph" w:customStyle="1" w:styleId="ANOTACION">
    <w:name w:val="ANOTACION"/>
    <w:basedOn w:val="Normal"/>
    <w:link w:val="ANOTACIONCar"/>
    <w:rsid w:val="006D7B2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6D7B24"/>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uiPriority w:val="99"/>
    <w:semiHidden/>
    <w:unhideWhenUsed/>
    <w:rsid w:val="001C448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1C448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C448E"/>
    <w:rPr>
      <w:vertAlign w:val="superscript"/>
    </w:rPr>
  </w:style>
  <w:style w:type="paragraph" w:customStyle="1" w:styleId="texto">
    <w:name w:val="texto"/>
    <w:basedOn w:val="Normal"/>
    <w:rsid w:val="00242C9B"/>
    <w:pPr>
      <w:snapToGrid w:val="0"/>
      <w:spacing w:after="101" w:line="216" w:lineRule="exact"/>
      <w:ind w:firstLine="288"/>
      <w:jc w:val="both"/>
    </w:pPr>
    <w:rPr>
      <w:rFonts w:ascii="Arial" w:eastAsia="Times New Roman" w:hAnsi="Arial" w:cs="Arial"/>
      <w:sz w:val="18"/>
      <w:szCs w:val="18"/>
      <w:lang w:eastAsia="zh-CN"/>
    </w:rPr>
  </w:style>
  <w:style w:type="paragraph" w:styleId="NormalWeb">
    <w:name w:val="Normal (Web)"/>
    <w:basedOn w:val="Normal"/>
    <w:uiPriority w:val="99"/>
    <w:semiHidden/>
    <w:unhideWhenUsed/>
    <w:rsid w:val="00D42B6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816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6D8"/>
  </w:style>
  <w:style w:type="paragraph" w:styleId="Piedepgina">
    <w:name w:val="footer"/>
    <w:basedOn w:val="Normal"/>
    <w:link w:val="PiedepginaCar"/>
    <w:uiPriority w:val="99"/>
    <w:unhideWhenUsed/>
    <w:rsid w:val="009816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5107">
      <w:bodyDiv w:val="1"/>
      <w:marLeft w:val="0"/>
      <w:marRight w:val="0"/>
      <w:marTop w:val="0"/>
      <w:marBottom w:val="0"/>
      <w:divBdr>
        <w:top w:val="none" w:sz="0" w:space="0" w:color="auto"/>
        <w:left w:val="none" w:sz="0" w:space="0" w:color="auto"/>
        <w:bottom w:val="none" w:sz="0" w:space="0" w:color="auto"/>
        <w:right w:val="none" w:sz="0" w:space="0" w:color="auto"/>
      </w:divBdr>
    </w:div>
    <w:div w:id="841318256">
      <w:bodyDiv w:val="1"/>
      <w:marLeft w:val="0"/>
      <w:marRight w:val="0"/>
      <w:marTop w:val="0"/>
      <w:marBottom w:val="0"/>
      <w:divBdr>
        <w:top w:val="none" w:sz="0" w:space="0" w:color="auto"/>
        <w:left w:val="none" w:sz="0" w:space="0" w:color="auto"/>
        <w:bottom w:val="none" w:sz="0" w:space="0" w:color="auto"/>
        <w:right w:val="none" w:sz="0" w:space="0" w:color="auto"/>
      </w:divBdr>
    </w:div>
    <w:div w:id="854920661">
      <w:bodyDiv w:val="1"/>
      <w:marLeft w:val="0"/>
      <w:marRight w:val="0"/>
      <w:marTop w:val="0"/>
      <w:marBottom w:val="0"/>
      <w:divBdr>
        <w:top w:val="none" w:sz="0" w:space="0" w:color="auto"/>
        <w:left w:val="none" w:sz="0" w:space="0" w:color="auto"/>
        <w:bottom w:val="none" w:sz="0" w:space="0" w:color="auto"/>
        <w:right w:val="none" w:sz="0" w:space="0" w:color="auto"/>
      </w:divBdr>
    </w:div>
    <w:div w:id="1436557794">
      <w:bodyDiv w:val="1"/>
      <w:marLeft w:val="0"/>
      <w:marRight w:val="0"/>
      <w:marTop w:val="0"/>
      <w:marBottom w:val="0"/>
      <w:divBdr>
        <w:top w:val="none" w:sz="0" w:space="0" w:color="auto"/>
        <w:left w:val="none" w:sz="0" w:space="0" w:color="auto"/>
        <w:bottom w:val="none" w:sz="0" w:space="0" w:color="auto"/>
        <w:right w:val="none" w:sz="0" w:space="0" w:color="auto"/>
      </w:divBdr>
    </w:div>
    <w:div w:id="15369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2B26-6FBC-458E-B119-50E6EE1A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5504</Characters>
  <Application>Microsoft Office Word</Application>
  <DocSecurity>0</DocSecurity>
  <Lines>103</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Vera Gonzalez</dc:creator>
  <cp:keywords/>
  <dc:description/>
  <cp:lastModifiedBy>Alexis Pina Vega</cp:lastModifiedBy>
  <cp:revision>2</cp:revision>
  <dcterms:created xsi:type="dcterms:W3CDTF">2018-03-08T01:08:00Z</dcterms:created>
  <dcterms:modified xsi:type="dcterms:W3CDTF">2018-03-08T01:08:00Z</dcterms:modified>
</cp:coreProperties>
</file>