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DE98" w14:textId="6844E48C" w:rsidR="002339E1" w:rsidRPr="00614C98" w:rsidRDefault="002339E1" w:rsidP="002339E1">
      <w:pPr>
        <w:shd w:val="clear" w:color="auto" w:fill="FFFFFF"/>
        <w:spacing w:after="0" w:line="240" w:lineRule="auto"/>
        <w:jc w:val="center"/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>ACUERDO MEDIANTE EL CUAL EL PLENO DEL INSTITUT</w:t>
      </w:r>
      <w:r w:rsidR="001B40B5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 xml:space="preserve">O FEDERAL DE TELECOMUNICACIONES </w:t>
      </w:r>
      <w:r w:rsidRPr="00614C98"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  <w:t>MODIFICA LOS LINEAMIENTOS DE COLABORACIÓN EN MATERIA DE SEGURIDAD Y JUSTICIA</w:t>
      </w:r>
    </w:p>
    <w:p w14:paraId="543F64A7" w14:textId="77777777" w:rsidR="002339E1" w:rsidRPr="00614C98" w:rsidRDefault="002339E1" w:rsidP="002339E1">
      <w:pPr>
        <w:pStyle w:val="ANOTACION"/>
        <w:spacing w:before="0" w:after="0" w:line="240" w:lineRule="auto"/>
        <w:jc w:val="both"/>
        <w:rPr>
          <w:rFonts w:ascii="ITC Avant Garde" w:hAnsi="ITC Avant Garde" w:cs="Arial"/>
          <w:sz w:val="20"/>
        </w:rPr>
      </w:pPr>
    </w:p>
    <w:p w14:paraId="2357845C" w14:textId="77777777" w:rsidR="0037404F" w:rsidRDefault="0037404F" w:rsidP="002339E1">
      <w:pPr>
        <w:pStyle w:val="ANOTACION"/>
        <w:spacing w:before="0" w:after="0" w:line="240" w:lineRule="auto"/>
        <w:rPr>
          <w:rFonts w:ascii="ITC Avant Garde" w:hAnsi="ITC Avant Garde" w:cs="Arial"/>
          <w:bCs/>
          <w:sz w:val="20"/>
          <w:lang w:eastAsia="es-MX"/>
        </w:rPr>
      </w:pPr>
    </w:p>
    <w:p w14:paraId="1F054931" w14:textId="614B5DBA" w:rsidR="002339E1" w:rsidRPr="00614C98" w:rsidRDefault="002339E1" w:rsidP="002339E1">
      <w:pPr>
        <w:pStyle w:val="ANOTACION"/>
        <w:spacing w:before="0" w:after="0" w:line="240" w:lineRule="auto"/>
        <w:rPr>
          <w:rFonts w:ascii="ITC Avant Garde" w:hAnsi="ITC Avant Garde" w:cs="Arial"/>
          <w:bCs/>
          <w:sz w:val="20"/>
          <w:lang w:eastAsia="es-MX"/>
        </w:rPr>
      </w:pPr>
      <w:r w:rsidRPr="00614C98">
        <w:rPr>
          <w:rFonts w:ascii="ITC Avant Garde" w:hAnsi="ITC Avant Garde" w:cs="Arial"/>
          <w:bCs/>
          <w:sz w:val="20"/>
          <w:lang w:eastAsia="es-MX"/>
        </w:rPr>
        <w:t>A N T E C E D E N T E S</w:t>
      </w:r>
    </w:p>
    <w:p w14:paraId="28D58D35" w14:textId="77777777" w:rsidR="002339E1" w:rsidRPr="00614C98" w:rsidRDefault="002339E1" w:rsidP="002339E1">
      <w:pPr>
        <w:pStyle w:val="Texto"/>
        <w:spacing w:after="0" w:line="240" w:lineRule="auto"/>
        <w:rPr>
          <w:rFonts w:ascii="ITC Avant Garde" w:hAnsi="ITC Avant Garde"/>
          <w:b/>
          <w:sz w:val="20"/>
        </w:rPr>
      </w:pPr>
    </w:p>
    <w:p w14:paraId="2396EAC5" w14:textId="25B35600" w:rsidR="002339E1" w:rsidRPr="00614C98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 w:rsidRPr="00614C98">
        <w:rPr>
          <w:rFonts w:ascii="ITC Avant Garde" w:hAnsi="ITC Avant Garde"/>
          <w:b/>
          <w:sz w:val="20"/>
        </w:rPr>
        <w:t xml:space="preserve">PRIMERO. </w:t>
      </w:r>
      <w:r w:rsidRPr="00614C98">
        <w:rPr>
          <w:rFonts w:ascii="ITC Avant Garde" w:hAnsi="ITC Avant Garde"/>
          <w:sz w:val="20"/>
        </w:rPr>
        <w:t xml:space="preserve">El 11 de junio de 2013 se creó el Instituto Federal de Telecomunicaciones (“Instituto”) como un órgano autónomo con personalidad jurídica y patrimonio propio, para regular, promover y supervisar el uso, aprovechamiento y explotación de los servicios de radiodifusión y telecomunicaciones, además de ser la autoridad en materia de competencia económica en los sectores de los servicios antes aludidos, conforme a lo dispuesto en el </w:t>
      </w:r>
      <w:r w:rsidRPr="00614C98">
        <w:rPr>
          <w:rFonts w:ascii="ITC Avant Garde" w:hAnsi="ITC Avant Garde"/>
          <w:i/>
          <w:sz w:val="20"/>
        </w:rPr>
        <w:t>“</w:t>
      </w:r>
      <w:r w:rsidRPr="004E2E2D">
        <w:rPr>
          <w:rFonts w:ascii="ITC Avant Garde" w:hAnsi="ITC Avant Garde"/>
          <w:sz w:val="20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614C98">
        <w:rPr>
          <w:rFonts w:ascii="ITC Avant Garde" w:hAnsi="ITC Avant Garde"/>
          <w:i/>
          <w:sz w:val="20"/>
        </w:rPr>
        <w:t>”</w:t>
      </w:r>
      <w:r w:rsidRPr="00614C98">
        <w:rPr>
          <w:rFonts w:ascii="ITC Avant Garde" w:hAnsi="ITC Avant Garde"/>
          <w:sz w:val="20"/>
        </w:rPr>
        <w:t>.</w:t>
      </w:r>
    </w:p>
    <w:p w14:paraId="6FB94A1A" w14:textId="77777777" w:rsidR="002339E1" w:rsidRPr="00614C98" w:rsidRDefault="002339E1" w:rsidP="002339E1">
      <w:pPr>
        <w:pStyle w:val="Texto"/>
        <w:spacing w:after="0" w:line="240" w:lineRule="auto"/>
        <w:rPr>
          <w:rFonts w:ascii="ITC Avant Garde" w:hAnsi="ITC Avant Garde"/>
          <w:sz w:val="20"/>
        </w:rPr>
      </w:pPr>
    </w:p>
    <w:p w14:paraId="325CACAD" w14:textId="57765199" w:rsidR="002339E1" w:rsidRPr="00614C98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 w:rsidRPr="00614C98">
        <w:rPr>
          <w:rFonts w:ascii="ITC Avant Garde" w:hAnsi="ITC Avant Garde"/>
          <w:b/>
          <w:sz w:val="20"/>
        </w:rPr>
        <w:t xml:space="preserve">SEGUNDO. </w:t>
      </w:r>
      <w:r w:rsidRPr="00614C98">
        <w:rPr>
          <w:rFonts w:ascii="ITC Avant Garde" w:hAnsi="ITC Avant Garde"/>
          <w:sz w:val="20"/>
        </w:rPr>
        <w:t>El 14 de julio de 2014 se publicó en el Diario Oficial de la</w:t>
      </w:r>
      <w:r w:rsidR="00AD3660">
        <w:rPr>
          <w:rFonts w:ascii="ITC Avant Garde" w:hAnsi="ITC Avant Garde"/>
          <w:sz w:val="20"/>
        </w:rPr>
        <w:t xml:space="preserve"> Federación (</w:t>
      </w:r>
      <w:r w:rsidRPr="00614C98">
        <w:rPr>
          <w:rFonts w:ascii="ITC Avant Garde" w:hAnsi="ITC Avant Garde"/>
          <w:sz w:val="20"/>
        </w:rPr>
        <w:t xml:space="preserve">“DOF”) el </w:t>
      </w:r>
      <w:r w:rsidRPr="004E2E2D">
        <w:rPr>
          <w:rFonts w:ascii="ITC Avant Garde" w:hAnsi="ITC Avant Garde"/>
          <w:sz w:val="20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radiodifusión”</w:t>
      </w:r>
      <w:r w:rsidR="005C0FFA">
        <w:rPr>
          <w:rFonts w:ascii="ITC Avant Garde" w:hAnsi="ITC Avant Garde"/>
          <w:sz w:val="20"/>
        </w:rPr>
        <w:t>,</w:t>
      </w:r>
      <w:r w:rsidR="001B40B5">
        <w:rPr>
          <w:rFonts w:ascii="ITC Avant Garde" w:hAnsi="ITC Avant Garde"/>
          <w:sz w:val="20"/>
        </w:rPr>
        <w:t xml:space="preserve"> </w:t>
      </w:r>
      <w:r w:rsidR="005C0FFA">
        <w:rPr>
          <w:rFonts w:ascii="ITC Avant Garde" w:hAnsi="ITC Avant Garde"/>
          <w:sz w:val="20"/>
        </w:rPr>
        <w:t>mismo que entró</w:t>
      </w:r>
      <w:r w:rsidRPr="00614C98">
        <w:rPr>
          <w:rFonts w:ascii="ITC Avant Garde" w:hAnsi="ITC Avant Garde"/>
          <w:sz w:val="20"/>
        </w:rPr>
        <w:t xml:space="preserve"> en vigor el 13 de agosto de 2014.</w:t>
      </w:r>
    </w:p>
    <w:p w14:paraId="28592B9C" w14:textId="77777777" w:rsidR="002339E1" w:rsidRPr="00614C98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b/>
          <w:sz w:val="20"/>
        </w:rPr>
      </w:pPr>
    </w:p>
    <w:p w14:paraId="7FEAD370" w14:textId="170E16E9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  <w:r w:rsidRPr="00614C98">
        <w:rPr>
          <w:rFonts w:ascii="ITC Avant Garde" w:hAnsi="ITC Avant Garde"/>
          <w:b/>
          <w:sz w:val="20"/>
          <w:szCs w:val="20"/>
          <w:lang w:val="es-ES"/>
        </w:rPr>
        <w:t>TERCERO</w:t>
      </w:r>
      <w:r w:rsidRPr="00614C98">
        <w:rPr>
          <w:rFonts w:ascii="ITC Avant Garde" w:hAnsi="ITC Avant Garde"/>
          <w:sz w:val="20"/>
          <w:szCs w:val="20"/>
          <w:lang w:val="es-ES"/>
        </w:rPr>
        <w:t>. El 4 de septiembre de 2014 se publicó en el DOF el Estatuto Orgánico del Instituto Federal de Telecomunicaciones</w:t>
      </w:r>
      <w:r w:rsidR="005C0FFA">
        <w:rPr>
          <w:rFonts w:ascii="ITC Avant Garde" w:hAnsi="ITC Avant Garde"/>
          <w:sz w:val="20"/>
          <w:szCs w:val="20"/>
          <w:lang w:val="es-ES"/>
        </w:rPr>
        <w:t>.</w:t>
      </w:r>
    </w:p>
    <w:p w14:paraId="6EBE72BC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</w:p>
    <w:p w14:paraId="1B448AAA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  <w:r w:rsidRPr="00614C98">
        <w:rPr>
          <w:rFonts w:ascii="ITC Avant Garde" w:hAnsi="ITC Avant Garde"/>
          <w:b/>
          <w:sz w:val="20"/>
          <w:szCs w:val="20"/>
        </w:rPr>
        <w:t xml:space="preserve">CUARTO. </w:t>
      </w:r>
      <w:r w:rsidRPr="00614C98">
        <w:rPr>
          <w:rFonts w:ascii="ITC Avant Garde" w:hAnsi="ITC Avant Garde"/>
          <w:sz w:val="20"/>
          <w:szCs w:val="20"/>
          <w:lang w:val="es-ES"/>
        </w:rPr>
        <w:t>El 4 de mayo de 2015 se publicó en el DOF la Ley General de Transparencia y Acceso a la Información Pública.</w:t>
      </w:r>
    </w:p>
    <w:p w14:paraId="2F8852AE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</w:p>
    <w:p w14:paraId="1BD8BC86" w14:textId="10A2DCE0" w:rsidR="002339E1" w:rsidRPr="00614C98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 w:rsidRPr="00614C98">
        <w:rPr>
          <w:rFonts w:ascii="ITC Avant Garde" w:eastAsiaTheme="minorHAnsi" w:hAnsi="ITC Avant Garde" w:cstheme="minorBidi"/>
          <w:b/>
          <w:sz w:val="20"/>
          <w:lang w:eastAsia="en-US"/>
        </w:rPr>
        <w:t>QUINTO</w:t>
      </w:r>
      <w:r w:rsidRPr="00614C98">
        <w:rPr>
          <w:rFonts w:ascii="ITC Avant Garde" w:hAnsi="ITC Avant Garde"/>
          <w:b/>
          <w:sz w:val="20"/>
        </w:rPr>
        <w:t xml:space="preserve">. </w:t>
      </w:r>
      <w:r w:rsidRPr="00614C98">
        <w:rPr>
          <w:rFonts w:ascii="ITC Avant Garde" w:hAnsi="ITC Avant Garde"/>
          <w:sz w:val="20"/>
        </w:rPr>
        <w:t xml:space="preserve">El 2 de diciembre de 2015 se publicó en el DOF el </w:t>
      </w:r>
      <w:r w:rsidRPr="004E2E2D">
        <w:rPr>
          <w:rFonts w:ascii="ITC Avant Garde" w:hAnsi="ITC Avant Garde"/>
          <w:sz w:val="20"/>
        </w:rPr>
        <w:t>"ACUERDO mediante el cual el Pleno del Instituto Federal de Telecomunicaciones expide los Lineamientos de Colaboración en Materia de Seguridad y Justicia y modifica el plan técnico fundamental de numeración, publicado el 21 de junio de 1996</w:t>
      </w:r>
      <w:r w:rsidR="004E2E2D" w:rsidRPr="004E2E2D">
        <w:rPr>
          <w:rFonts w:ascii="ITC Avant Garde" w:hAnsi="ITC Avant Garde"/>
          <w:sz w:val="20"/>
        </w:rPr>
        <w:t>"</w:t>
      </w:r>
      <w:r w:rsidRPr="00614C98">
        <w:rPr>
          <w:rFonts w:ascii="ITC Avant Garde" w:hAnsi="ITC Avant Garde"/>
          <w:sz w:val="20"/>
        </w:rPr>
        <w:t>,</w:t>
      </w:r>
      <w:r w:rsidR="004E2E2D">
        <w:rPr>
          <w:rFonts w:ascii="ITC Avant Garde" w:hAnsi="ITC Avant Garde"/>
          <w:sz w:val="20"/>
        </w:rPr>
        <w:t xml:space="preserve"> mismo que</w:t>
      </w:r>
      <w:r w:rsidRPr="00614C98">
        <w:rPr>
          <w:rFonts w:ascii="ITC Avant Garde" w:hAnsi="ITC Avant Garde"/>
          <w:sz w:val="20"/>
        </w:rPr>
        <w:t xml:space="preserve"> entró en vigor el 1 de enero de 2016.</w:t>
      </w:r>
    </w:p>
    <w:p w14:paraId="64C515F4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</w:p>
    <w:p w14:paraId="77E81119" w14:textId="436767B0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  <w:r w:rsidRPr="00614C98">
        <w:rPr>
          <w:rFonts w:ascii="ITC Avant Garde" w:hAnsi="ITC Avant Garde"/>
          <w:b/>
          <w:sz w:val="20"/>
          <w:szCs w:val="20"/>
          <w:lang w:val="es-ES"/>
        </w:rPr>
        <w:t xml:space="preserve">SEXTO. </w:t>
      </w:r>
      <w:r w:rsidRPr="00614C98">
        <w:rPr>
          <w:rFonts w:ascii="ITC Avant Garde" w:hAnsi="ITC Avant Garde"/>
          <w:sz w:val="20"/>
          <w:szCs w:val="20"/>
          <w:lang w:val="es-ES"/>
        </w:rPr>
        <w:t>El 9 de mayo de 2016 se publicó en el DOF la</w:t>
      </w:r>
      <w:r w:rsidR="005C0FFA">
        <w:rPr>
          <w:rFonts w:ascii="ITC Avant Garde" w:hAnsi="ITC Avant Garde"/>
          <w:sz w:val="20"/>
          <w:szCs w:val="20"/>
          <w:lang w:val="es-ES"/>
        </w:rPr>
        <w:t xml:space="preserve"> </w:t>
      </w:r>
      <w:r w:rsidRPr="00614C98">
        <w:rPr>
          <w:rFonts w:ascii="ITC Avant Garde" w:hAnsi="ITC Avant Garde"/>
          <w:sz w:val="20"/>
          <w:szCs w:val="20"/>
          <w:lang w:val="es-ES"/>
        </w:rPr>
        <w:t>Ley Federal de Transparencia y Acceso a la Información Pública.</w:t>
      </w:r>
    </w:p>
    <w:p w14:paraId="1CE4D5A9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</w:p>
    <w:p w14:paraId="11E56553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  <w:r w:rsidRPr="00614C98">
        <w:rPr>
          <w:rFonts w:ascii="ITC Avant Garde" w:hAnsi="ITC Avant Garde"/>
          <w:b/>
          <w:sz w:val="20"/>
          <w:szCs w:val="20"/>
          <w:lang w:val="es-ES"/>
        </w:rPr>
        <w:t xml:space="preserve">SÉPTIMO. </w:t>
      </w:r>
      <w:r w:rsidRPr="00614C98">
        <w:rPr>
          <w:rFonts w:ascii="ITC Avant Garde" w:hAnsi="ITC Avant Garde"/>
          <w:sz w:val="20"/>
          <w:szCs w:val="20"/>
          <w:lang w:val="es-ES"/>
        </w:rPr>
        <w:t>El 26 de enero de 2017 se publicó en el DOF la Ley General de Protección de Datos Personales en Posesión de Sujetos Obligados.</w:t>
      </w:r>
    </w:p>
    <w:p w14:paraId="286CEC15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 w:cs="Arial"/>
          <w:b/>
          <w:sz w:val="20"/>
          <w:szCs w:val="20"/>
          <w:lang w:val="es-ES"/>
        </w:rPr>
      </w:pPr>
    </w:p>
    <w:p w14:paraId="75A9ADAE" w14:textId="2D3D7E35" w:rsidR="002339E1" w:rsidRDefault="002339E1" w:rsidP="002339E1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  <w:lang w:val="es-ES"/>
        </w:rPr>
      </w:pPr>
      <w:r w:rsidRPr="00614C98">
        <w:rPr>
          <w:rFonts w:ascii="ITC Avant Garde" w:hAnsi="ITC Avant Garde" w:cs="Arial"/>
          <w:b/>
          <w:sz w:val="20"/>
          <w:szCs w:val="20"/>
          <w:lang w:val="es-ES"/>
        </w:rPr>
        <w:t>OCTAVO.</w:t>
      </w:r>
      <w:r w:rsidRPr="00614C98">
        <w:rPr>
          <w:rFonts w:ascii="ITC Avant Garde" w:hAnsi="ITC Avant Garde" w:cs="Arial"/>
          <w:sz w:val="20"/>
          <w:szCs w:val="20"/>
          <w:lang w:val="es-ES"/>
        </w:rPr>
        <w:t xml:space="preserve"> El 13 de diciembre de 2017, mediante Acuerdo P/IFT/131217/884, el Pleno del Instituto aprobó someter a consulta pública el "Anteproyecto del Acuerdo por el que se modifican los Lineamientos de Colaboración en Materia de Seguridad y Justicia” </w:t>
      </w:r>
      <w:r w:rsidRPr="00614C98">
        <w:rPr>
          <w:rFonts w:ascii="ITC Avant Garde" w:hAnsi="ITC Avant Garde"/>
          <w:sz w:val="20"/>
          <w:szCs w:val="20"/>
        </w:rPr>
        <w:t>(“Anteproyecto”)</w:t>
      </w:r>
      <w:r>
        <w:rPr>
          <w:rFonts w:ascii="ITC Avant Garde" w:hAnsi="ITC Avant Garde" w:cs="Arial"/>
          <w:sz w:val="20"/>
          <w:szCs w:val="20"/>
          <w:lang w:val="es-ES"/>
        </w:rPr>
        <w:t>.</w:t>
      </w:r>
      <w:r w:rsidR="00A0398A" w:rsidRPr="00A0398A">
        <w:rPr>
          <w:rFonts w:ascii="ITC Avant Garde" w:hAnsi="ITC Avant Garde"/>
          <w:sz w:val="20"/>
        </w:rPr>
        <w:t xml:space="preserve"> </w:t>
      </w:r>
      <w:r w:rsidR="00A0398A" w:rsidRPr="00614C98">
        <w:rPr>
          <w:rFonts w:ascii="ITC Avant Garde" w:hAnsi="ITC Avant Garde"/>
          <w:sz w:val="20"/>
        </w:rPr>
        <w:t>La consulta pública se llevó a cabo</w:t>
      </w:r>
      <w:r w:rsidR="00A0398A">
        <w:rPr>
          <w:rFonts w:ascii="ITC Avant Garde" w:hAnsi="ITC Avant Garde"/>
          <w:sz w:val="20"/>
        </w:rPr>
        <w:t xml:space="preserve"> por un periodo de veinte días hábiles que transcurrieron</w:t>
      </w:r>
      <w:r w:rsidR="00A0398A" w:rsidRPr="00614C98">
        <w:rPr>
          <w:rFonts w:ascii="ITC Avant Garde" w:hAnsi="ITC Avant Garde"/>
          <w:sz w:val="20"/>
        </w:rPr>
        <w:t xml:space="preserve"> del 15 de diciembre de 2017 al 29 de enero de 2018.</w:t>
      </w:r>
    </w:p>
    <w:p w14:paraId="0978D411" w14:textId="77777777" w:rsidR="002403EB" w:rsidRPr="00614C98" w:rsidRDefault="002403EB" w:rsidP="002339E1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3BFB9B97" w14:textId="5B79A0FE" w:rsidR="004E2E2D" w:rsidRDefault="002339E1" w:rsidP="004E2E2D">
      <w:pPr>
        <w:spacing w:after="0" w:line="240" w:lineRule="auto"/>
        <w:jc w:val="both"/>
        <w:rPr>
          <w:rFonts w:ascii="ITC Avant Garde" w:hAnsi="ITC Avant Garde"/>
          <w:sz w:val="20"/>
          <w:szCs w:val="20"/>
          <w:lang w:val="es-ES"/>
        </w:rPr>
      </w:pPr>
      <w:r w:rsidRPr="00614C98">
        <w:rPr>
          <w:rFonts w:ascii="ITC Avant Garde" w:hAnsi="ITC Avant Garde"/>
          <w:b/>
          <w:sz w:val="20"/>
        </w:rPr>
        <w:t xml:space="preserve">NOVENO. </w:t>
      </w:r>
      <w:r w:rsidR="004E2E2D">
        <w:rPr>
          <w:rFonts w:ascii="ITC Avant Garde" w:hAnsi="ITC Avant Garde"/>
          <w:sz w:val="20"/>
          <w:szCs w:val="20"/>
          <w:lang w:val="es-ES"/>
        </w:rPr>
        <w:t>El 28 de diciembre de 2017 se publicó en el DOF el “ACUERDO mediante el cual el Pleno del Instituto Federal de Telecomunicaciones adiciona dos párrafos al artículo cuarto transitorio del "</w:t>
      </w:r>
      <w:r w:rsidR="004E2E2D" w:rsidRPr="004E2E2D">
        <w:rPr>
          <w:rFonts w:ascii="ITC Avant Garde" w:hAnsi="ITC Avant Garde"/>
          <w:i/>
          <w:sz w:val="20"/>
          <w:szCs w:val="20"/>
          <w:lang w:val="es-ES"/>
        </w:rPr>
        <w:t>Acuerdo mediante el cual el Pleno del Instituto Federal de Telecomunicaciones expide los Lineamientos de Colaboración en Materia de Seguridad y Justicia y modifica el plan técnico fundamental de numeración, publicado el 21 de junio de 1996</w:t>
      </w:r>
      <w:r w:rsidR="004E2E2D">
        <w:rPr>
          <w:rFonts w:ascii="ITC Avant Garde" w:hAnsi="ITC Avant Garde"/>
          <w:sz w:val="20"/>
          <w:szCs w:val="20"/>
          <w:lang w:val="es-ES"/>
        </w:rPr>
        <w:t>", publicado el 2 de diciembre de 2015”.</w:t>
      </w:r>
    </w:p>
    <w:p w14:paraId="0207BF61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</w:pPr>
    </w:p>
    <w:p w14:paraId="7E45ABB3" w14:textId="4562D866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353E5E">
        <w:rPr>
          <w:rFonts w:ascii="ITC Avant Garde" w:hAnsi="ITC Avant Garde" w:cs="Arial"/>
          <w:b/>
          <w:sz w:val="20"/>
          <w:szCs w:val="20"/>
        </w:rPr>
        <w:lastRenderedPageBreak/>
        <w:t xml:space="preserve">DÉCIMO. </w:t>
      </w:r>
      <w:r w:rsidRPr="00353E5E">
        <w:rPr>
          <w:rFonts w:ascii="ITC Avant Garde" w:hAnsi="ITC Avant Garde" w:cs="Arial"/>
          <w:sz w:val="20"/>
          <w:szCs w:val="20"/>
        </w:rPr>
        <w:t>El </w:t>
      </w:r>
      <w:r w:rsidR="00353E5E" w:rsidRPr="00353E5E">
        <w:rPr>
          <w:rFonts w:ascii="ITC Avant Garde" w:hAnsi="ITC Avant Garde" w:cs="Arial"/>
          <w:sz w:val="20"/>
          <w:szCs w:val="20"/>
        </w:rPr>
        <w:t>15 de febrero de 2018, la Coordinación General de Mejora Regulatoria del Instituto emitió, mediante oficio IFT/211/CGMR/026/2018</w:t>
      </w:r>
      <w:r w:rsidRPr="00353E5E">
        <w:rPr>
          <w:rFonts w:ascii="ITC Avant Garde" w:hAnsi="ITC Avant Garde" w:cs="Arial"/>
          <w:sz w:val="20"/>
          <w:szCs w:val="20"/>
        </w:rPr>
        <w:t>, opinión</w:t>
      </w:r>
      <w:r w:rsidRPr="00353E5E">
        <w:rPr>
          <w:rStyle w:val="apple-converted-space"/>
          <w:rFonts w:ascii="ITC Avant Garde" w:hAnsi="ITC Avant Garde" w:cs="Arial"/>
          <w:sz w:val="20"/>
          <w:szCs w:val="20"/>
        </w:rPr>
        <w:t xml:space="preserve"> no vinculante </w:t>
      </w:r>
      <w:r w:rsidR="004F6951" w:rsidRPr="00353E5E">
        <w:rPr>
          <w:rFonts w:ascii="ITC Avant Garde" w:hAnsi="ITC Avant Garde" w:cs="Arial"/>
          <w:sz w:val="20"/>
          <w:szCs w:val="20"/>
        </w:rPr>
        <w:t>sobre el</w:t>
      </w:r>
      <w:r w:rsidRPr="00353E5E">
        <w:rPr>
          <w:rFonts w:ascii="ITC Avant Garde" w:hAnsi="ITC Avant Garde" w:cs="Arial"/>
          <w:sz w:val="20"/>
          <w:szCs w:val="20"/>
        </w:rPr>
        <w:t xml:space="preserve"> Análisis de Nulo Impacto Regulatorio (“ANIR”)</w:t>
      </w:r>
      <w:r w:rsidR="004F6951" w:rsidRPr="00353E5E">
        <w:rPr>
          <w:rFonts w:ascii="ITC Avant Garde" w:hAnsi="ITC Avant Garde" w:cs="Arial"/>
          <w:sz w:val="20"/>
          <w:szCs w:val="20"/>
        </w:rPr>
        <w:t xml:space="preserve"> del proyecto del presente Acuerdo</w:t>
      </w:r>
      <w:r w:rsidRPr="00353E5E">
        <w:rPr>
          <w:rFonts w:ascii="ITC Avant Garde" w:hAnsi="ITC Avant Garde" w:cs="Arial"/>
          <w:sz w:val="20"/>
          <w:szCs w:val="20"/>
        </w:rPr>
        <w:t>. E</w:t>
      </w:r>
      <w:r w:rsidRPr="00353E5E">
        <w:rPr>
          <w:rFonts w:ascii="ITC Avant Garde" w:hAnsi="ITC Avant Garde"/>
          <w:sz w:val="20"/>
          <w:szCs w:val="20"/>
        </w:rPr>
        <w:t xml:space="preserve">n dicha opinión señaló que </w:t>
      </w:r>
      <w:r w:rsidRPr="00353E5E">
        <w:rPr>
          <w:rFonts w:ascii="ITC Avant Garde" w:hAnsi="ITC Avant Garde" w:cs="Arial"/>
          <w:sz w:val="20"/>
          <w:szCs w:val="20"/>
        </w:rPr>
        <w:t>el proyecto no generará nuevos costos de cumplimiento a los particulares a</w:t>
      </w:r>
      <w:r w:rsidRPr="00353E5E">
        <w:rPr>
          <w:rStyle w:val="apple-converted-space"/>
          <w:rFonts w:ascii="ITC Avant Garde" w:hAnsi="ITC Avant Garde" w:cs="Arial"/>
          <w:sz w:val="20"/>
          <w:szCs w:val="20"/>
        </w:rPr>
        <w:t> </w:t>
      </w:r>
      <w:r w:rsidRPr="00353E5E">
        <w:rPr>
          <w:rFonts w:ascii="ITC Avant Garde" w:hAnsi="ITC Avant Garde" w:cs="Arial"/>
          <w:sz w:val="20"/>
          <w:szCs w:val="20"/>
        </w:rPr>
        <w:t>su entrada en vigor, por lo que considera adecuado que el proyecto se acompañe de un ANIR.</w:t>
      </w:r>
    </w:p>
    <w:p w14:paraId="51D8EC76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hAnsi="ITC Avant Garde" w:cs="Arial"/>
          <w:color w:val="2F2F2F"/>
          <w:sz w:val="20"/>
          <w:szCs w:val="20"/>
        </w:rPr>
      </w:pPr>
    </w:p>
    <w:p w14:paraId="09F45425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hAnsi="ITC Avant Garde" w:cs="Arial"/>
          <w:color w:val="000000"/>
          <w:sz w:val="20"/>
          <w:szCs w:val="20"/>
        </w:rPr>
      </w:pPr>
      <w:r w:rsidRPr="00614C98">
        <w:rPr>
          <w:rFonts w:ascii="ITC Avant Garde" w:hAnsi="ITC Avant Garde" w:cs="Arial"/>
          <w:color w:val="000000"/>
          <w:sz w:val="20"/>
          <w:szCs w:val="20"/>
        </w:rPr>
        <w:t>En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virtud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de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los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antecedentes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señalados</w:t>
      </w:r>
      <w:r w:rsidRPr="00614C98">
        <w:rPr>
          <w:rStyle w:val="apple-converted-space"/>
          <w:rFonts w:ascii="ITC Avant Garde" w:hAnsi="ITC Avant Garde" w:cs="Arial"/>
          <w:color w:val="000000"/>
          <w:sz w:val="20"/>
          <w:szCs w:val="20"/>
        </w:rPr>
        <w:t> </w:t>
      </w:r>
      <w:r w:rsidRPr="00614C98">
        <w:rPr>
          <w:rFonts w:ascii="ITC Avant Garde" w:hAnsi="ITC Avant Garde" w:cs="Arial"/>
          <w:color w:val="000000"/>
          <w:sz w:val="20"/>
          <w:szCs w:val="20"/>
        </w:rPr>
        <w:t>y,</w:t>
      </w:r>
    </w:p>
    <w:p w14:paraId="7D4CCAC8" w14:textId="77777777" w:rsidR="002339E1" w:rsidRPr="00614C98" w:rsidRDefault="002339E1" w:rsidP="002339E1">
      <w:pPr>
        <w:pStyle w:val="Default"/>
        <w:tabs>
          <w:tab w:val="left" w:pos="0"/>
        </w:tabs>
        <w:jc w:val="both"/>
        <w:rPr>
          <w:rFonts w:ascii="ITC Avant Garde" w:hAnsi="ITC Avant Garde"/>
          <w:b/>
          <w:bCs/>
          <w:sz w:val="20"/>
          <w:szCs w:val="20"/>
          <w:lang w:val="es-ES_tradnl"/>
        </w:rPr>
      </w:pPr>
    </w:p>
    <w:p w14:paraId="060C5578" w14:textId="77777777" w:rsidR="002339E1" w:rsidRPr="00614C98" w:rsidRDefault="002339E1" w:rsidP="002339E1">
      <w:pPr>
        <w:pStyle w:val="Default"/>
        <w:tabs>
          <w:tab w:val="left" w:pos="0"/>
        </w:tabs>
        <w:jc w:val="center"/>
        <w:rPr>
          <w:rFonts w:ascii="ITC Avant Garde" w:hAnsi="ITC Avant Garde"/>
          <w:b/>
          <w:bCs/>
          <w:sz w:val="20"/>
          <w:szCs w:val="20"/>
          <w:lang w:val="es-ES_tradnl"/>
        </w:rPr>
      </w:pPr>
      <w:r w:rsidRPr="00614C98">
        <w:rPr>
          <w:rFonts w:ascii="ITC Avant Garde" w:hAnsi="ITC Avant Garde"/>
          <w:b/>
          <w:bCs/>
          <w:sz w:val="20"/>
          <w:szCs w:val="20"/>
          <w:lang w:val="es-ES_tradnl"/>
        </w:rPr>
        <w:t>C O N S I D E R A N D O</w:t>
      </w:r>
    </w:p>
    <w:p w14:paraId="223784FB" w14:textId="77777777" w:rsidR="002339E1" w:rsidRPr="00614C98" w:rsidRDefault="002339E1" w:rsidP="002339E1">
      <w:pPr>
        <w:pStyle w:val="Default"/>
        <w:tabs>
          <w:tab w:val="left" w:pos="0"/>
        </w:tabs>
        <w:jc w:val="both"/>
        <w:rPr>
          <w:rFonts w:ascii="ITC Avant Garde" w:hAnsi="ITC Avant Garde"/>
          <w:b/>
          <w:bCs/>
          <w:sz w:val="20"/>
          <w:szCs w:val="20"/>
          <w:lang w:val="es-ES_tradnl"/>
        </w:rPr>
      </w:pPr>
    </w:p>
    <w:p w14:paraId="46F5675A" w14:textId="287F667D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bCs/>
          <w:color w:val="000000"/>
          <w:sz w:val="20"/>
          <w:szCs w:val="20"/>
        </w:rPr>
      </w:pPr>
      <w:r w:rsidRPr="00614C98">
        <w:rPr>
          <w:rFonts w:ascii="ITC Avant Garde" w:hAnsi="ITC Avant Garde"/>
          <w:b/>
          <w:bCs/>
          <w:sz w:val="20"/>
          <w:szCs w:val="20"/>
          <w:lang w:val="es-ES_tradnl" w:eastAsia="es-MX"/>
        </w:rPr>
        <w:t xml:space="preserve">PRIMERO. Competencia del Instituto Federal de Telecomunicaciones. </w:t>
      </w:r>
      <w:r w:rsidRPr="00614C98">
        <w:rPr>
          <w:rFonts w:ascii="ITC Avant Garde" w:hAnsi="ITC Avant Garde"/>
          <w:bCs/>
          <w:color w:val="000000"/>
          <w:sz w:val="20"/>
          <w:szCs w:val="20"/>
        </w:rPr>
        <w:t xml:space="preserve">De conformidad con lo establecido en el párrafo décimo </w:t>
      </w:r>
      <w:r w:rsidR="00ED6782">
        <w:rPr>
          <w:rFonts w:ascii="ITC Avant Garde" w:hAnsi="ITC Avant Garde"/>
          <w:bCs/>
          <w:color w:val="000000"/>
          <w:sz w:val="20"/>
          <w:szCs w:val="20"/>
        </w:rPr>
        <w:t>quinto</w:t>
      </w:r>
      <w:r w:rsidRPr="00614C98">
        <w:rPr>
          <w:rFonts w:ascii="ITC Avant Garde" w:hAnsi="ITC Avant Garde"/>
          <w:bCs/>
          <w:color w:val="000000"/>
          <w:sz w:val="20"/>
          <w:szCs w:val="20"/>
        </w:rPr>
        <w:t xml:space="preserve"> del artículo 28 de la Constitución Política de los Estados Unidos Mexicanos, el Instituto es un órgano autónomo, con personalidad jurídica y patrimonio propio, que tiene por objeto el desarrollo eficiente de la radiodifusión y las telecomunicaciones, conforme a lo dispuesto en la Constitución y en los términos que fijen las leyes.</w:t>
      </w:r>
    </w:p>
    <w:p w14:paraId="4F8ABD30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bCs/>
          <w:color w:val="000000"/>
          <w:sz w:val="20"/>
          <w:szCs w:val="20"/>
        </w:rPr>
      </w:pPr>
    </w:p>
    <w:p w14:paraId="1888BDF2" w14:textId="32683138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bCs/>
          <w:color w:val="000000"/>
          <w:sz w:val="20"/>
          <w:szCs w:val="20"/>
        </w:rPr>
      </w:pPr>
      <w:r w:rsidRPr="00614C98">
        <w:rPr>
          <w:rFonts w:ascii="ITC Avant Garde" w:hAnsi="ITC Avant Garde"/>
          <w:bCs/>
          <w:color w:val="000000"/>
          <w:sz w:val="20"/>
          <w:szCs w:val="20"/>
        </w:rPr>
        <w:t>En términos de lo dispuesto por el artículo 7 de la</w:t>
      </w:r>
      <w:r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AD3660">
        <w:rPr>
          <w:rFonts w:ascii="ITC Avant Garde" w:hAnsi="ITC Avant Garde"/>
          <w:bCs/>
          <w:color w:val="000000"/>
          <w:sz w:val="20"/>
          <w:szCs w:val="20"/>
        </w:rPr>
        <w:t>Ley Federal de Telecomunicaciones y Radiodifusión (“</w:t>
      </w:r>
      <w:r>
        <w:rPr>
          <w:rFonts w:ascii="ITC Avant Garde" w:hAnsi="ITC Avant Garde"/>
          <w:bCs/>
          <w:color w:val="000000"/>
          <w:sz w:val="20"/>
          <w:szCs w:val="20"/>
        </w:rPr>
        <w:t>LFTR</w:t>
      </w:r>
      <w:r w:rsidR="00AD3660">
        <w:rPr>
          <w:rFonts w:ascii="ITC Avant Garde" w:hAnsi="ITC Avant Garde"/>
          <w:bCs/>
          <w:color w:val="000000"/>
          <w:sz w:val="20"/>
          <w:szCs w:val="20"/>
        </w:rPr>
        <w:t>”)</w:t>
      </w:r>
      <w:r w:rsidRPr="00614C98">
        <w:rPr>
          <w:rFonts w:ascii="ITC Avant Garde" w:hAnsi="ITC Avant Garde"/>
          <w:bCs/>
          <w:color w:val="000000"/>
          <w:sz w:val="20"/>
          <w:szCs w:val="20"/>
        </w:rPr>
        <w:t xml:space="preserve">, el </w:t>
      </w:r>
      <w:r>
        <w:rPr>
          <w:rFonts w:ascii="ITC Avant Garde" w:hAnsi="ITC Avant Garde"/>
          <w:bCs/>
          <w:color w:val="000000"/>
          <w:sz w:val="20"/>
          <w:szCs w:val="20"/>
        </w:rPr>
        <w:t xml:space="preserve">Instituto </w:t>
      </w:r>
      <w:r w:rsidRPr="00614C98">
        <w:rPr>
          <w:rFonts w:ascii="ITC Avant Garde" w:hAnsi="ITC Avant Garde"/>
          <w:bCs/>
          <w:color w:val="000000"/>
          <w:sz w:val="20"/>
          <w:szCs w:val="20"/>
        </w:rPr>
        <w:t xml:space="preserve"> tiene a su cargo la regulación, promoción y supervisión del uso, aprovechamiento y explotación del espectro radioeléctrico, los recursos orbitales, los servicios satelitales, las redes públicas de telecomunicaciones y la prestación de los servicios de radiodifusión y de telecomunicaciones, así como del acceso a la infraestructura activa y pasiva y otros insumos esenciales; y es la autoridad en materia de competencia económica en los sectores de radiodifusión y telecomunicaciones, en materia de lineamientos técnicos relativos a la infraestructura y los equipos que se conecten a las redes de telecomunicaciones, así como en materia de homologación y evaluación de la conformidad de dicha infraestructura y equipos.</w:t>
      </w:r>
    </w:p>
    <w:p w14:paraId="50EBA8C8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bCs/>
          <w:color w:val="000000"/>
          <w:sz w:val="20"/>
          <w:szCs w:val="20"/>
        </w:rPr>
      </w:pPr>
    </w:p>
    <w:p w14:paraId="7BB6DF83" w14:textId="6CB752F6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 w:cs="Arial"/>
          <w:b/>
          <w:sz w:val="20"/>
          <w:szCs w:val="20"/>
        </w:rPr>
        <w:t>SEGUNDO</w:t>
      </w:r>
      <w:r w:rsidRPr="00614C98">
        <w:rPr>
          <w:rFonts w:ascii="ITC Avant Garde" w:hAnsi="ITC Avant Garde" w:cs="Arial"/>
          <w:sz w:val="20"/>
          <w:szCs w:val="20"/>
        </w:rPr>
        <w:t xml:space="preserve">. </w:t>
      </w:r>
      <w:r w:rsidRPr="00614C98">
        <w:rPr>
          <w:rFonts w:ascii="ITC Avant Garde" w:hAnsi="ITC Avant Garde" w:cs="Arial"/>
          <w:b/>
          <w:sz w:val="20"/>
          <w:szCs w:val="20"/>
        </w:rPr>
        <w:t>Obligacio</w:t>
      </w:r>
      <w:r w:rsidR="00587906">
        <w:rPr>
          <w:rFonts w:ascii="ITC Avant Garde" w:hAnsi="ITC Avant Garde" w:cs="Arial"/>
          <w:b/>
          <w:sz w:val="20"/>
          <w:szCs w:val="20"/>
        </w:rPr>
        <w:t>nes en materia de seguridad y</w:t>
      </w:r>
      <w:r w:rsidRPr="00614C98">
        <w:rPr>
          <w:rFonts w:ascii="ITC Avant Garde" w:hAnsi="ITC Avant Garde" w:cs="Arial"/>
          <w:b/>
          <w:sz w:val="20"/>
          <w:szCs w:val="20"/>
        </w:rPr>
        <w:t xml:space="preserve"> justicia</w:t>
      </w:r>
      <w:r w:rsidRPr="00614C98">
        <w:rPr>
          <w:rFonts w:ascii="ITC Avant Garde" w:hAnsi="ITC Avant Garde"/>
          <w:b/>
          <w:sz w:val="20"/>
          <w:szCs w:val="20"/>
        </w:rPr>
        <w:t>.</w:t>
      </w:r>
      <w:r w:rsidRPr="00614C98">
        <w:rPr>
          <w:rFonts w:ascii="ITC Avant Garde" w:hAnsi="ITC Avant Garde"/>
          <w:sz w:val="20"/>
          <w:szCs w:val="20"/>
        </w:rPr>
        <w:t xml:space="preserve"> El Título Octavo “De la Colaboración con la Justicia” de la LFTR, establece las obligaciones en materia de seguridad y de justicia que tienen los concesionarios de telecomunicaciones y, en su caso, los autorizados, los cuales por mandato legal deben colaborar con las instancias de seguridad, procuración y administración de justicia competentes cuando éstas lo requieran a través de los mecanismos que para ello se instituyan.</w:t>
      </w:r>
    </w:p>
    <w:p w14:paraId="31A9A325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53E49456" w14:textId="30C2861C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>De conformidad con lo dispuesto en el artículo 190, fracción I, tercer párrafo, de la LFTR, el Instituto, escuchando a las instancias de seguridad y procuración de justicia, así como previas reuniones con los concesionarios, autorizados, asociaciones y cámaras de la industria de las telecomunicaciones, emitió los Lineamientos de Colaboración</w:t>
      </w:r>
      <w:r w:rsidR="00AD3660">
        <w:rPr>
          <w:rFonts w:ascii="ITC Avant Garde" w:hAnsi="ITC Avant Garde"/>
          <w:sz w:val="20"/>
          <w:szCs w:val="20"/>
        </w:rPr>
        <w:t xml:space="preserve"> en Materia de Seguridad y Justicia (“Lineamientos de Colaboración”)</w:t>
      </w:r>
      <w:r w:rsidRPr="00614C98">
        <w:rPr>
          <w:rFonts w:ascii="ITC Avant Garde" w:hAnsi="ITC Avant Garde"/>
          <w:sz w:val="20"/>
          <w:szCs w:val="20"/>
        </w:rPr>
        <w:t>, a fin de que la colaboración entre los concesionarios de telecomunicaciones y autorizados con las mencionadas autoridades, sea efectiva y oportuna.</w:t>
      </w:r>
    </w:p>
    <w:p w14:paraId="031B958A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544490FE" w14:textId="090FB8BC" w:rsidR="002339E1" w:rsidRPr="00614C98" w:rsidRDefault="002339E1" w:rsidP="002339E1">
      <w:pPr>
        <w:spacing w:line="240" w:lineRule="auto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b/>
          <w:sz w:val="20"/>
          <w:szCs w:val="20"/>
        </w:rPr>
        <w:t xml:space="preserve">TERCERO. </w:t>
      </w:r>
      <w:r w:rsidR="00AD3660">
        <w:rPr>
          <w:rFonts w:ascii="ITC Avant Garde" w:hAnsi="ITC Avant Garde"/>
          <w:b/>
          <w:sz w:val="20"/>
          <w:szCs w:val="20"/>
        </w:rPr>
        <w:t>N</w:t>
      </w:r>
      <w:r w:rsidRPr="00614C98">
        <w:rPr>
          <w:rFonts w:ascii="ITC Avant Garde" w:hAnsi="ITC Avant Garde" w:cs="Arial"/>
          <w:b/>
          <w:sz w:val="20"/>
          <w:szCs w:val="20"/>
          <w:shd w:val="clear" w:color="auto" w:fill="FFFFFF"/>
        </w:rPr>
        <w:t xml:space="preserve">ecesidad </w:t>
      </w:r>
      <w:r w:rsidR="00AD3660">
        <w:rPr>
          <w:rFonts w:ascii="ITC Avant Garde" w:hAnsi="ITC Avant Garde" w:cs="Arial"/>
          <w:b/>
          <w:sz w:val="20"/>
          <w:szCs w:val="20"/>
          <w:shd w:val="clear" w:color="auto" w:fill="FFFFFF"/>
        </w:rPr>
        <w:t>de armonizar</w:t>
      </w:r>
      <w:r w:rsidRPr="00614C98">
        <w:rPr>
          <w:rFonts w:ascii="ITC Avant Garde" w:hAnsi="ITC Avant Garde" w:cs="Arial"/>
          <w:b/>
          <w:sz w:val="20"/>
          <w:szCs w:val="20"/>
          <w:shd w:val="clear" w:color="auto" w:fill="FFFFFF"/>
        </w:rPr>
        <w:t xml:space="preserve"> los L</w:t>
      </w:r>
      <w:r w:rsidR="00C9700C">
        <w:rPr>
          <w:rFonts w:ascii="ITC Avant Garde" w:hAnsi="ITC Avant Garde" w:cs="Arial"/>
          <w:b/>
          <w:sz w:val="20"/>
          <w:szCs w:val="20"/>
          <w:shd w:val="clear" w:color="auto" w:fill="FFFFFF"/>
        </w:rPr>
        <w:t>ineamientos de Colaboración en M</w:t>
      </w:r>
      <w:r w:rsidRPr="00614C98">
        <w:rPr>
          <w:rFonts w:ascii="ITC Avant Garde" w:hAnsi="ITC Avant Garde" w:cs="Arial"/>
          <w:b/>
          <w:sz w:val="20"/>
          <w:szCs w:val="20"/>
          <w:shd w:val="clear" w:color="auto" w:fill="FFFFFF"/>
        </w:rPr>
        <w:t>ateria de Seguridad y Justicia</w:t>
      </w:r>
      <w:r w:rsidR="00AD3660">
        <w:rPr>
          <w:rFonts w:ascii="ITC Avant Garde" w:hAnsi="ITC Avant Garde" w:cs="Arial"/>
          <w:b/>
          <w:sz w:val="20"/>
          <w:szCs w:val="20"/>
          <w:shd w:val="clear" w:color="auto" w:fill="FFFFFF"/>
        </w:rPr>
        <w:t xml:space="preserve"> con el marco jurídico vigente en materia de transparencia y p</w:t>
      </w:r>
      <w:r w:rsidR="00AD3660">
        <w:rPr>
          <w:rFonts w:ascii="ITC Avant Garde" w:hAnsi="ITC Avant Garde"/>
          <w:b/>
          <w:sz w:val="20"/>
          <w:szCs w:val="20"/>
        </w:rPr>
        <w:t>rotección de datos personales</w:t>
      </w:r>
      <w:r w:rsidRPr="00614C98">
        <w:rPr>
          <w:rFonts w:ascii="ITC Avant Garde" w:hAnsi="ITC Avant Garde" w:cs="Arial"/>
          <w:sz w:val="20"/>
          <w:szCs w:val="20"/>
          <w:shd w:val="clear" w:color="auto" w:fill="FFFFFF"/>
        </w:rPr>
        <w:t>.</w:t>
      </w:r>
      <w:r>
        <w:rPr>
          <w:rFonts w:ascii="ITC Avant Garde" w:hAnsi="ITC Avant Garde"/>
          <w:b/>
          <w:sz w:val="20"/>
          <w:szCs w:val="20"/>
        </w:rPr>
        <w:t xml:space="preserve"> </w:t>
      </w:r>
      <w:r w:rsidRPr="00614C98">
        <w:rPr>
          <w:rFonts w:ascii="ITC Avant Garde" w:hAnsi="ITC Avant Garde"/>
          <w:sz w:val="20"/>
          <w:szCs w:val="20"/>
        </w:rPr>
        <w:t>La</w:t>
      </w:r>
      <w:r>
        <w:rPr>
          <w:rFonts w:ascii="ITC Avant Garde" w:hAnsi="ITC Avant Garde"/>
          <w:sz w:val="20"/>
          <w:szCs w:val="20"/>
        </w:rPr>
        <w:t xml:space="preserve"> </w:t>
      </w:r>
      <w:r w:rsidRPr="00614C98">
        <w:rPr>
          <w:rFonts w:ascii="ITC Avant Garde" w:hAnsi="ITC Avant Garde"/>
          <w:sz w:val="20"/>
          <w:szCs w:val="20"/>
        </w:rPr>
        <w:t>Ley General de Protección de Datos Personales e</w:t>
      </w:r>
      <w:r w:rsidR="00AD3660">
        <w:rPr>
          <w:rFonts w:ascii="ITC Avant Garde" w:hAnsi="ITC Avant Garde"/>
          <w:sz w:val="20"/>
          <w:szCs w:val="20"/>
        </w:rPr>
        <w:t>n Posesión de Sujetos Obligados</w:t>
      </w:r>
      <w:r w:rsidRPr="00614C98">
        <w:rPr>
          <w:rFonts w:ascii="ITC Avant Garde" w:hAnsi="ITC Avant Garde"/>
          <w:sz w:val="20"/>
          <w:szCs w:val="20"/>
        </w:rPr>
        <w:t xml:space="preserve"> prevé un capítulo específico sobre la obtención y tratamiento de datos personales en posesión de las instancias de seguridad, procuración y administración de justicia, en el cual se dispone la obligación de establecer medidas de seguridad de nivel alto para garantizar su integridad, disponibilidad, confidencialidad y protección (artículo</w:t>
      </w:r>
      <w:r w:rsidR="00AD3660">
        <w:rPr>
          <w:rFonts w:ascii="ITC Avant Garde" w:hAnsi="ITC Avant Garde"/>
          <w:sz w:val="20"/>
          <w:szCs w:val="20"/>
        </w:rPr>
        <w:t>s</w:t>
      </w:r>
      <w:r w:rsidRPr="00614C98">
        <w:rPr>
          <w:rFonts w:ascii="ITC Avant Garde" w:hAnsi="ITC Avant Garde"/>
          <w:sz w:val="20"/>
          <w:szCs w:val="20"/>
        </w:rPr>
        <w:t xml:space="preserve"> 80 </w:t>
      </w:r>
      <w:r w:rsidR="00AD3660">
        <w:rPr>
          <w:rFonts w:ascii="ITC Avant Garde" w:hAnsi="ITC Avant Garde"/>
          <w:sz w:val="20"/>
          <w:szCs w:val="20"/>
        </w:rPr>
        <w:t>al 82</w:t>
      </w:r>
      <w:r w:rsidRPr="00614C98">
        <w:rPr>
          <w:rFonts w:ascii="ITC Avant Garde" w:hAnsi="ITC Avant Garde"/>
          <w:sz w:val="20"/>
          <w:szCs w:val="20"/>
        </w:rPr>
        <w:t xml:space="preserve">). Lo anterior, aunado a las obligaciones que tienen las referidas instancias de </w:t>
      </w:r>
      <w:r w:rsidRPr="00614C98">
        <w:rPr>
          <w:rFonts w:ascii="ITC Avant Garde" w:hAnsi="ITC Avant Garde"/>
          <w:sz w:val="20"/>
          <w:szCs w:val="20"/>
        </w:rPr>
        <w:lastRenderedPageBreak/>
        <w:t>establecer y documentar los procedimientos para la conservación y, en su caso, bloqueo y supresión de los datos personales (artículos 23 y 24), así como de establecer y mantener las medidas de carácter administrativo, físico y técnico para la protección de los datos personales, que permitan protegerlos contra daño, pérdida, alteración, destrucción o su uso, acceso o tratamiento no autorizado (artículo 31).</w:t>
      </w:r>
    </w:p>
    <w:p w14:paraId="657B5383" w14:textId="4BD80D0B" w:rsidR="002339E1" w:rsidRPr="00614C98" w:rsidRDefault="00AD3660" w:rsidP="002339E1">
      <w:pPr>
        <w:spacing w:line="240" w:lineRule="auto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Según la propia</w:t>
      </w:r>
      <w:r w:rsidR="002339E1" w:rsidRPr="00614C98">
        <w:rPr>
          <w:rFonts w:ascii="ITC Avant Garde" w:hAnsi="ITC Avant Garde"/>
          <w:sz w:val="20"/>
          <w:szCs w:val="20"/>
        </w:rPr>
        <w:t xml:space="preserve"> Ley General de Protección de Datos Personales e</w:t>
      </w:r>
      <w:r>
        <w:rPr>
          <w:rFonts w:ascii="ITC Avant Garde" w:hAnsi="ITC Avant Garde"/>
          <w:sz w:val="20"/>
          <w:szCs w:val="20"/>
        </w:rPr>
        <w:t xml:space="preserve">n Posesión de Sujetos Obligados, </w:t>
      </w:r>
      <w:r w:rsidR="002339E1" w:rsidRPr="00614C98">
        <w:rPr>
          <w:rFonts w:ascii="ITC Avant Garde" w:hAnsi="ITC Avant Garde"/>
          <w:sz w:val="20"/>
          <w:szCs w:val="20"/>
        </w:rPr>
        <w:t xml:space="preserve">corresponde al Instituto Nacional de Transparencia, Acceso a la Información y Protección de Datos Personales (“INAI”) garantizar el ejercicio del derecho a la protección de datos personales en posesión de las instancias de seguridad, procuración y administración de justicia como sujetos obligados, así como vigilar y verificar el cumplimiento de la ley (artículos 89, fracciones I y XIV, 146 y siguientes). También le corresponde al INAI emitir las disposiciones administrativas de carácter general para el debido cumplimiento de los principios, deberes y obligaciones que establece la mencionada ley, así como emitir lineamientos generales para el debido tratamiento de los datos personales (artículo 89, fracciones XIX y XXVII). </w:t>
      </w:r>
    </w:p>
    <w:p w14:paraId="473FC75E" w14:textId="21E4E9BE" w:rsidR="002339E1" w:rsidRPr="00614C98" w:rsidRDefault="002339E1" w:rsidP="002339E1">
      <w:pPr>
        <w:spacing w:line="240" w:lineRule="auto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 xml:space="preserve">Por su parte, la Ley General de Transparencia y Acceso a la Información Pública y la </w:t>
      </w:r>
      <w:r w:rsidR="00B84152" w:rsidRPr="00614C98">
        <w:rPr>
          <w:rFonts w:ascii="ITC Avant Garde" w:hAnsi="ITC Avant Garde"/>
          <w:sz w:val="20"/>
          <w:szCs w:val="20"/>
        </w:rPr>
        <w:t xml:space="preserve">Ley Federal de Transparencia y Acceso a la Información Pública </w:t>
      </w:r>
      <w:r w:rsidRPr="00614C98">
        <w:rPr>
          <w:rFonts w:ascii="ITC Avant Garde" w:hAnsi="ITC Avant Garde"/>
          <w:sz w:val="20"/>
          <w:szCs w:val="20"/>
        </w:rPr>
        <w:t>prevén en s</w:t>
      </w:r>
      <w:r w:rsidR="007B6E3B">
        <w:rPr>
          <w:rFonts w:ascii="ITC Avant Garde" w:hAnsi="ITC Avant Garde"/>
          <w:sz w:val="20"/>
          <w:szCs w:val="20"/>
        </w:rPr>
        <w:t>us artículos 70, fracción XLVII</w:t>
      </w:r>
      <w:r w:rsidRPr="00614C98">
        <w:rPr>
          <w:rFonts w:ascii="ITC Avant Garde" w:hAnsi="ITC Avant Garde"/>
          <w:sz w:val="20"/>
          <w:szCs w:val="20"/>
        </w:rPr>
        <w:t xml:space="preserve"> y 69, fracción V, inciso</w:t>
      </w:r>
      <w:r w:rsidR="007B6E3B">
        <w:rPr>
          <w:rFonts w:ascii="ITC Avant Garde" w:hAnsi="ITC Avant Garde"/>
          <w:sz w:val="20"/>
          <w:szCs w:val="20"/>
        </w:rPr>
        <w:t xml:space="preserve"> a), respectivamente,</w:t>
      </w:r>
      <w:r w:rsidRPr="00614C98">
        <w:rPr>
          <w:rFonts w:ascii="ITC Avant Garde" w:hAnsi="ITC Avant Garde"/>
          <w:sz w:val="20"/>
          <w:szCs w:val="20"/>
        </w:rPr>
        <w:t xml:space="preserve"> que</w:t>
      </w:r>
      <w:r w:rsidR="007B6E3B">
        <w:rPr>
          <w:rFonts w:ascii="ITC Avant Garde" w:hAnsi="ITC Avant Garde"/>
          <w:sz w:val="20"/>
          <w:szCs w:val="20"/>
        </w:rPr>
        <w:t xml:space="preserve"> los sujetos obligados</w:t>
      </w:r>
      <w:r w:rsidRPr="00614C98">
        <w:rPr>
          <w:rFonts w:ascii="ITC Avant Garde" w:hAnsi="ITC Avant Garde"/>
          <w:sz w:val="20"/>
          <w:szCs w:val="20"/>
        </w:rPr>
        <w:t xml:space="preserve"> </w:t>
      </w:r>
      <w:r w:rsidR="007B6E3B" w:rsidRPr="00614C98">
        <w:rPr>
          <w:rFonts w:ascii="ITC Avant Garde" w:hAnsi="ITC Avant Garde"/>
          <w:sz w:val="20"/>
          <w:szCs w:val="20"/>
        </w:rPr>
        <w:t>en materia de seguridad pública y procuración de justicia</w:t>
      </w:r>
      <w:r w:rsidR="007B6E3B">
        <w:rPr>
          <w:rFonts w:ascii="ITC Avant Garde" w:hAnsi="ITC Avant Garde"/>
          <w:sz w:val="20"/>
          <w:szCs w:val="20"/>
        </w:rPr>
        <w:t>,</w:t>
      </w:r>
      <w:r w:rsidR="007B6E3B" w:rsidRPr="00614C98">
        <w:rPr>
          <w:rFonts w:ascii="ITC Avant Garde" w:hAnsi="ITC Avant Garde"/>
          <w:sz w:val="20"/>
          <w:szCs w:val="20"/>
        </w:rPr>
        <w:t xml:space="preserve"> </w:t>
      </w:r>
      <w:r w:rsidR="007B6E3B">
        <w:rPr>
          <w:rFonts w:ascii="ITC Avant Garde" w:hAnsi="ITC Avant Garde"/>
          <w:sz w:val="20"/>
          <w:szCs w:val="20"/>
        </w:rPr>
        <w:t>deberán</w:t>
      </w:r>
      <w:r w:rsidRPr="00614C98">
        <w:rPr>
          <w:rFonts w:ascii="ITC Avant Garde" w:hAnsi="ITC Avant Garde"/>
          <w:sz w:val="20"/>
          <w:szCs w:val="20"/>
        </w:rPr>
        <w:t xml:space="preserve"> poner a disposición del público y mantener actualizada, en los respectivos medios electrónicos, 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correspondiente.</w:t>
      </w:r>
      <w:r w:rsidR="00F631C3">
        <w:rPr>
          <w:rFonts w:ascii="ITC Avant Garde" w:hAnsi="ITC Avant Garde"/>
          <w:sz w:val="20"/>
          <w:szCs w:val="20"/>
        </w:rPr>
        <w:t xml:space="preserve"> </w:t>
      </w:r>
    </w:p>
    <w:p w14:paraId="74D047DF" w14:textId="1775E5F0" w:rsidR="002339E1" w:rsidRPr="00614C98" w:rsidRDefault="002339E1" w:rsidP="002339E1">
      <w:pPr>
        <w:spacing w:line="240" w:lineRule="auto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 xml:space="preserve">La </w:t>
      </w:r>
      <w:r w:rsidR="00B84152" w:rsidRPr="009074E8">
        <w:rPr>
          <w:rFonts w:ascii="ITC Avant Garde" w:hAnsi="ITC Avant Garde"/>
          <w:sz w:val="20"/>
          <w:szCs w:val="20"/>
        </w:rPr>
        <w:t xml:space="preserve">verificación </w:t>
      </w:r>
      <w:r w:rsidR="00F631C3" w:rsidRPr="009074E8">
        <w:rPr>
          <w:rFonts w:ascii="ITC Avant Garde" w:hAnsi="ITC Avant Garde"/>
          <w:sz w:val="20"/>
          <w:szCs w:val="20"/>
        </w:rPr>
        <w:t>de la</w:t>
      </w:r>
      <w:r w:rsidR="00B84152" w:rsidRPr="009074E8">
        <w:rPr>
          <w:rFonts w:ascii="ITC Avant Garde" w:hAnsi="ITC Avant Garde"/>
          <w:sz w:val="20"/>
          <w:szCs w:val="20"/>
        </w:rPr>
        <w:t xml:space="preserve"> </w:t>
      </w:r>
      <w:r w:rsidRPr="009074E8">
        <w:rPr>
          <w:rFonts w:ascii="ITC Avant Garde" w:hAnsi="ITC Avant Garde"/>
          <w:sz w:val="20"/>
          <w:szCs w:val="20"/>
        </w:rPr>
        <w:t xml:space="preserve">observancia </w:t>
      </w:r>
      <w:r w:rsidR="00F631C3" w:rsidRPr="009074E8">
        <w:rPr>
          <w:rFonts w:ascii="ITC Avant Garde" w:hAnsi="ITC Avant Garde"/>
          <w:sz w:val="20"/>
          <w:szCs w:val="20"/>
        </w:rPr>
        <w:t>de</w:t>
      </w:r>
      <w:r w:rsidRPr="009074E8">
        <w:rPr>
          <w:rFonts w:ascii="ITC Avant Garde" w:hAnsi="ITC Avant Garde"/>
          <w:sz w:val="20"/>
          <w:szCs w:val="20"/>
        </w:rPr>
        <w:t xml:space="preserve"> la</w:t>
      </w:r>
      <w:r w:rsidR="00B84152" w:rsidRPr="009074E8">
        <w:rPr>
          <w:rFonts w:ascii="ITC Avant Garde" w:hAnsi="ITC Avant Garde"/>
          <w:sz w:val="20"/>
          <w:szCs w:val="20"/>
        </w:rPr>
        <w:t xml:space="preserve">s </w:t>
      </w:r>
      <w:r w:rsidR="00F631C3" w:rsidRPr="009074E8">
        <w:rPr>
          <w:rFonts w:ascii="ITC Avant Garde" w:hAnsi="ITC Avant Garde"/>
          <w:sz w:val="20"/>
          <w:szCs w:val="20"/>
        </w:rPr>
        <w:t xml:space="preserve">mencionadas obligaciones en materia de </w:t>
      </w:r>
      <w:r w:rsidR="00B84152" w:rsidRPr="009074E8">
        <w:rPr>
          <w:rFonts w:ascii="ITC Avant Garde" w:hAnsi="ITC Avant Garde"/>
          <w:sz w:val="20"/>
          <w:szCs w:val="20"/>
        </w:rPr>
        <w:t xml:space="preserve">transparencia </w:t>
      </w:r>
      <w:r w:rsidR="00E577FD" w:rsidRPr="009074E8">
        <w:rPr>
          <w:rFonts w:ascii="ITC Avant Garde" w:hAnsi="ITC Avant Garde"/>
          <w:sz w:val="20"/>
          <w:szCs w:val="20"/>
        </w:rPr>
        <w:t xml:space="preserve">y protección de datos personales </w:t>
      </w:r>
      <w:r w:rsidR="00B84152" w:rsidRPr="009074E8">
        <w:rPr>
          <w:rFonts w:ascii="ITC Avant Garde" w:hAnsi="ITC Avant Garde"/>
          <w:sz w:val="20"/>
          <w:szCs w:val="20"/>
        </w:rPr>
        <w:t>corre</w:t>
      </w:r>
      <w:r w:rsidR="00C9700C">
        <w:rPr>
          <w:rFonts w:ascii="ITC Avant Garde" w:hAnsi="ITC Avant Garde"/>
          <w:sz w:val="20"/>
          <w:szCs w:val="20"/>
        </w:rPr>
        <w:t>sponde al INAI, así como a los o</w:t>
      </w:r>
      <w:r w:rsidR="00B84152" w:rsidRPr="009074E8">
        <w:rPr>
          <w:rFonts w:ascii="ITC Avant Garde" w:hAnsi="ITC Avant Garde"/>
          <w:sz w:val="20"/>
          <w:szCs w:val="20"/>
        </w:rPr>
        <w:t>rganismos garantes</w:t>
      </w:r>
      <w:r w:rsidR="009074E8">
        <w:rPr>
          <w:rFonts w:ascii="ITC Avant Garde" w:hAnsi="ITC Avant Garde"/>
          <w:sz w:val="20"/>
          <w:szCs w:val="20"/>
        </w:rPr>
        <w:t xml:space="preserve"> de las entidades f</w:t>
      </w:r>
      <w:r w:rsidR="00B84152" w:rsidRPr="009074E8">
        <w:rPr>
          <w:rFonts w:ascii="ITC Avant Garde" w:hAnsi="ITC Avant Garde"/>
          <w:sz w:val="20"/>
          <w:szCs w:val="20"/>
        </w:rPr>
        <w:t>ederativas</w:t>
      </w:r>
      <w:r w:rsidR="00E577FD" w:rsidRPr="009074E8">
        <w:rPr>
          <w:rFonts w:ascii="ITC Avant Garde" w:hAnsi="ITC Avant Garde"/>
          <w:sz w:val="20"/>
          <w:szCs w:val="20"/>
        </w:rPr>
        <w:t xml:space="preserve"> que cuentan con autonomía constitucional especializados en materia de acceso a la información y protección de datos personales, en términos de los artículos 6o. y 116, fracción VIII de la Constitución Política de los Estados Unidos Mexicanos (</w:t>
      </w:r>
      <w:r w:rsidR="00F631C3" w:rsidRPr="009074E8">
        <w:rPr>
          <w:rFonts w:ascii="ITC Avant Garde" w:hAnsi="ITC Avant Garde"/>
          <w:sz w:val="20"/>
          <w:szCs w:val="20"/>
        </w:rPr>
        <w:t>artículo</w:t>
      </w:r>
      <w:r w:rsidR="00E577FD" w:rsidRPr="009074E8">
        <w:rPr>
          <w:rFonts w:ascii="ITC Avant Garde" w:hAnsi="ITC Avant Garde"/>
          <w:sz w:val="20"/>
          <w:szCs w:val="20"/>
        </w:rPr>
        <w:t>s</w:t>
      </w:r>
      <w:r w:rsidR="00F631C3" w:rsidRPr="009074E8">
        <w:rPr>
          <w:rFonts w:ascii="ITC Avant Garde" w:hAnsi="ITC Avant Garde"/>
          <w:sz w:val="20"/>
          <w:szCs w:val="20"/>
        </w:rPr>
        <w:t xml:space="preserve"> 63 de la </w:t>
      </w:r>
      <w:r w:rsidR="00F631C3" w:rsidRPr="00614C98">
        <w:rPr>
          <w:rFonts w:ascii="ITC Avant Garde" w:hAnsi="ITC Avant Garde"/>
          <w:sz w:val="20"/>
          <w:szCs w:val="20"/>
        </w:rPr>
        <w:t xml:space="preserve">Ley General de Transparencia y </w:t>
      </w:r>
      <w:r w:rsidR="00F631C3">
        <w:rPr>
          <w:rFonts w:ascii="ITC Avant Garde" w:hAnsi="ITC Avant Garde"/>
          <w:sz w:val="20"/>
          <w:szCs w:val="20"/>
        </w:rPr>
        <w:t>Acceso a la Información Pública</w:t>
      </w:r>
      <w:r w:rsidR="00C9700C">
        <w:rPr>
          <w:rFonts w:ascii="ITC Avant Garde" w:hAnsi="ITC Avant Garde"/>
          <w:sz w:val="20"/>
          <w:szCs w:val="20"/>
        </w:rPr>
        <w:t xml:space="preserve"> y 146</w:t>
      </w:r>
      <w:r w:rsidR="00E577FD">
        <w:rPr>
          <w:rFonts w:ascii="ITC Avant Garde" w:hAnsi="ITC Avant Garde"/>
          <w:sz w:val="20"/>
          <w:szCs w:val="20"/>
        </w:rPr>
        <w:t xml:space="preserve"> de la </w:t>
      </w:r>
      <w:r w:rsidR="00E577FD" w:rsidRPr="00614C98">
        <w:rPr>
          <w:rFonts w:ascii="ITC Avant Garde" w:hAnsi="ITC Avant Garde"/>
          <w:sz w:val="20"/>
          <w:szCs w:val="20"/>
        </w:rPr>
        <w:t>Ley General de Protección de Datos Personales e</w:t>
      </w:r>
      <w:r w:rsidR="00E577FD">
        <w:rPr>
          <w:rFonts w:ascii="ITC Avant Garde" w:hAnsi="ITC Avant Garde"/>
          <w:sz w:val="20"/>
          <w:szCs w:val="20"/>
        </w:rPr>
        <w:t>n Posesión de Sujetos Obligados).</w:t>
      </w:r>
      <w:r w:rsidR="00F070C2">
        <w:rPr>
          <w:rFonts w:ascii="ITC Avant Garde" w:hAnsi="ITC Avant Garde"/>
          <w:sz w:val="20"/>
          <w:szCs w:val="20"/>
        </w:rPr>
        <w:t xml:space="preserve"> </w:t>
      </w:r>
    </w:p>
    <w:p w14:paraId="53F1CBDD" w14:textId="5E06515E" w:rsidR="002339E1" w:rsidRPr="00614C98" w:rsidRDefault="00DD2B1D" w:rsidP="002339E1">
      <w:pPr>
        <w:pStyle w:val="ANOTACION"/>
        <w:spacing w:before="0" w:after="0" w:line="240" w:lineRule="auto"/>
        <w:jc w:val="both"/>
        <w:rPr>
          <w:rFonts w:ascii="ITC Avant Garde" w:hAnsi="ITC Avant Garde"/>
          <w:b w:val="0"/>
          <w:sz w:val="20"/>
          <w:lang w:val="es-MX"/>
        </w:rPr>
      </w:pPr>
      <w:r>
        <w:rPr>
          <w:rFonts w:ascii="ITC Avant Garde" w:hAnsi="ITC Avant Garde"/>
          <w:b w:val="0"/>
          <w:sz w:val="20"/>
          <w:lang w:val="es-MX"/>
        </w:rPr>
        <w:t>P</w:t>
      </w:r>
      <w:r w:rsidR="002339E1" w:rsidRPr="00614C98">
        <w:rPr>
          <w:rFonts w:ascii="ITC Avant Garde" w:hAnsi="ITC Avant Garde"/>
          <w:b w:val="0"/>
          <w:sz w:val="20"/>
          <w:lang w:val="es-MX"/>
        </w:rPr>
        <w:t>or lo que se refiere a los concesionarios de telecomunicaciones y autorizados, la Ley Federal de Protección de Datos Personales en Posesión de los Particulares establece que las personas físicas o morales de carácter privado son responsables del tratamiento de datos personales, ya sea su obtención, uso, divulgación o almacenamiento, por cualquier medio, así como su cancelación (artículos 2, 3, fracciones XIV y XVIII, y 11). Los responsables del tratamiento de datos personales deben establecer medidas de seguridad administrativas, técnicas y físicas que protejan los datos contra daño, pérdida, alteración, destrucción o el uso, acceso o tratamiento no autorizado (artículo 19).</w:t>
      </w:r>
    </w:p>
    <w:p w14:paraId="7E26AD3B" w14:textId="77777777" w:rsidR="002339E1" w:rsidRPr="00614C98" w:rsidRDefault="002339E1" w:rsidP="002339E1">
      <w:pPr>
        <w:pStyle w:val="ANOTACION"/>
        <w:spacing w:before="0" w:after="0" w:line="240" w:lineRule="auto"/>
        <w:jc w:val="both"/>
        <w:rPr>
          <w:rFonts w:ascii="ITC Avant Garde" w:hAnsi="ITC Avant Garde"/>
          <w:b w:val="0"/>
          <w:sz w:val="20"/>
          <w:lang w:val="es-MX"/>
        </w:rPr>
      </w:pPr>
    </w:p>
    <w:p w14:paraId="5FAB2268" w14:textId="62154E63" w:rsidR="00DD2B1D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  <w:lang w:val="es-MX"/>
        </w:rPr>
      </w:pPr>
      <w:r w:rsidRPr="00614C98">
        <w:rPr>
          <w:rFonts w:ascii="ITC Avant Garde" w:hAnsi="ITC Avant Garde"/>
          <w:sz w:val="20"/>
          <w:lang w:val="es-MX"/>
        </w:rPr>
        <w:t>Al respecto, es el INAI el garante de la vigilancia, verificación y de imposición de sanciones relacionadas a la obtención, tratamiento, conservación y supresió</w:t>
      </w:r>
      <w:r w:rsidR="00F070C2">
        <w:rPr>
          <w:rFonts w:ascii="ITC Avant Garde" w:hAnsi="ITC Avant Garde"/>
          <w:sz w:val="20"/>
          <w:lang w:val="es-MX"/>
        </w:rPr>
        <w:t xml:space="preserve">n de datos personales (artículo 39, fracciones I y VI de la </w:t>
      </w:r>
      <w:r w:rsidR="00F070C2" w:rsidRPr="00614C98">
        <w:rPr>
          <w:rFonts w:ascii="ITC Avant Garde" w:hAnsi="ITC Avant Garde"/>
          <w:sz w:val="20"/>
          <w:lang w:val="es-MX"/>
        </w:rPr>
        <w:t>Ley Federal de Protección de Datos Personales en Posesión de los Particulares</w:t>
      </w:r>
      <w:r w:rsidRPr="00614C98">
        <w:rPr>
          <w:rFonts w:ascii="ITC Avant Garde" w:hAnsi="ITC Avant Garde"/>
          <w:sz w:val="20"/>
          <w:lang w:val="es-MX"/>
        </w:rPr>
        <w:t>)</w:t>
      </w:r>
      <w:r w:rsidR="00FB1164">
        <w:rPr>
          <w:rFonts w:ascii="ITC Avant Garde" w:hAnsi="ITC Avant Garde"/>
          <w:sz w:val="20"/>
          <w:lang w:val="es-MX"/>
        </w:rPr>
        <w:t>.</w:t>
      </w:r>
      <w:r w:rsidRPr="00614C98">
        <w:rPr>
          <w:rFonts w:ascii="ITC Avant Garde" w:hAnsi="ITC Avant Garde"/>
          <w:sz w:val="20"/>
          <w:lang w:val="es-MX"/>
        </w:rPr>
        <w:t xml:space="preserve"> </w:t>
      </w:r>
    </w:p>
    <w:p w14:paraId="04643CA8" w14:textId="77777777" w:rsidR="00DD2B1D" w:rsidRDefault="00DD2B1D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  <w:lang w:val="es-MX"/>
        </w:rPr>
      </w:pPr>
    </w:p>
    <w:p w14:paraId="2CD0A95F" w14:textId="5F4DE4BD" w:rsidR="002339E1" w:rsidRDefault="00DD2B1D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 xml:space="preserve">En consistencia con lo expuesto en este considerando, </w:t>
      </w:r>
      <w:r w:rsidR="002339E1" w:rsidRPr="00614C98">
        <w:rPr>
          <w:rFonts w:ascii="ITC Avant Garde" w:hAnsi="ITC Avant Garde"/>
          <w:sz w:val="20"/>
          <w:lang w:val="es-MX"/>
        </w:rPr>
        <w:t xml:space="preserve">se estima necesario </w:t>
      </w:r>
      <w:r>
        <w:rPr>
          <w:rFonts w:ascii="ITC Avant Garde" w:hAnsi="ITC Avant Garde"/>
          <w:sz w:val="20"/>
          <w:lang w:val="es-MX"/>
        </w:rPr>
        <w:t>modificar</w:t>
      </w:r>
      <w:r w:rsidR="002339E1" w:rsidRPr="00614C98">
        <w:rPr>
          <w:rFonts w:ascii="ITC Avant Garde" w:hAnsi="ITC Avant Garde"/>
          <w:sz w:val="20"/>
          <w:lang w:val="es-MX"/>
        </w:rPr>
        <w:t xml:space="preserve"> los Lineamientos de Colaboración </w:t>
      </w:r>
      <w:r>
        <w:rPr>
          <w:rFonts w:ascii="ITC Avant Garde" w:hAnsi="ITC Avant Garde"/>
          <w:sz w:val="20"/>
          <w:lang w:val="es-MX"/>
        </w:rPr>
        <w:t>a efecto de eliminar las normas relativas a:</w:t>
      </w:r>
    </w:p>
    <w:p w14:paraId="7CDD0825" w14:textId="468E669B" w:rsidR="00DD2B1D" w:rsidRDefault="00DD2B1D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  <w:lang w:val="es-MX"/>
        </w:rPr>
      </w:pPr>
    </w:p>
    <w:p w14:paraId="19D7A162" w14:textId="0A971E00" w:rsidR="00DD2B1D" w:rsidRDefault="008B22FC" w:rsidP="00DD2B1D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 xml:space="preserve">La </w:t>
      </w:r>
      <w:r w:rsidR="00D37DA8">
        <w:rPr>
          <w:rFonts w:ascii="ITC Avant Garde" w:hAnsi="ITC Avant Garde"/>
          <w:sz w:val="20"/>
          <w:lang w:val="es-MX"/>
        </w:rPr>
        <w:t>obligación de los concesionarios y autorizados de entregar informes semestrales al Instituto s</w:t>
      </w:r>
      <w:r>
        <w:rPr>
          <w:rFonts w:ascii="ITC Avant Garde" w:hAnsi="ITC Avant Garde"/>
          <w:sz w:val="20"/>
          <w:lang w:val="es-MX"/>
        </w:rPr>
        <w:t>obre el número</w:t>
      </w:r>
      <w:r w:rsidRPr="008B22FC">
        <w:rPr>
          <w:rFonts w:ascii="ITC Avant Garde" w:hAnsi="ITC Avant Garde"/>
          <w:sz w:val="20"/>
          <w:lang w:val="es-MX"/>
        </w:rPr>
        <w:t xml:space="preserve"> de requerimientos de información de localización geográfica en tiempo real y de registro de datos de comunicaciones</w:t>
      </w:r>
      <w:r>
        <w:rPr>
          <w:rFonts w:ascii="ITC Avant Garde" w:hAnsi="ITC Avant Garde"/>
          <w:sz w:val="20"/>
          <w:lang w:val="es-MX"/>
        </w:rPr>
        <w:t>.</w:t>
      </w:r>
    </w:p>
    <w:p w14:paraId="29FB2E03" w14:textId="4EB701C2" w:rsidR="008B22FC" w:rsidRDefault="008B22FC" w:rsidP="00DD2B1D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>La solicitud de informes semestrales por parte del Instituto a las Autoridades Facultadas sobre el número</w:t>
      </w:r>
      <w:r w:rsidRPr="008B22FC">
        <w:rPr>
          <w:rFonts w:ascii="ITC Avant Garde" w:hAnsi="ITC Avant Garde"/>
          <w:sz w:val="20"/>
          <w:lang w:val="es-MX"/>
        </w:rPr>
        <w:t xml:space="preserve"> de requerimientos de información de localización geográfica en tiempo real y de registro de datos de comunicaciones</w:t>
      </w:r>
      <w:r>
        <w:rPr>
          <w:rFonts w:ascii="ITC Avant Garde" w:hAnsi="ITC Avant Garde"/>
          <w:sz w:val="20"/>
          <w:lang w:val="es-MX"/>
        </w:rPr>
        <w:t>.</w:t>
      </w:r>
    </w:p>
    <w:p w14:paraId="1F053D51" w14:textId="44A3E269" w:rsidR="008B22FC" w:rsidRDefault="008B22FC" w:rsidP="00DD2B1D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>La publicación de información estadística contenida en los informes semestrales por parte del Instituto.</w:t>
      </w:r>
    </w:p>
    <w:p w14:paraId="5BFE5B94" w14:textId="4213555E" w:rsidR="002339E1" w:rsidRDefault="00DD2B1D" w:rsidP="008B22FC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 w:rsidRPr="00DD2B1D">
        <w:rPr>
          <w:rFonts w:ascii="ITC Avant Garde" w:hAnsi="ITC Avant Garde"/>
          <w:sz w:val="20"/>
          <w:lang w:val="es-MX"/>
        </w:rPr>
        <w:t xml:space="preserve">La implementación </w:t>
      </w:r>
      <w:r>
        <w:rPr>
          <w:rFonts w:ascii="ITC Avant Garde" w:hAnsi="ITC Avant Garde"/>
          <w:sz w:val="20"/>
          <w:lang w:val="es-MX"/>
        </w:rPr>
        <w:t xml:space="preserve">por parte de concesionarios y autorizados </w:t>
      </w:r>
      <w:r w:rsidRPr="00DD2B1D">
        <w:rPr>
          <w:rFonts w:ascii="ITC Avant Garde" w:hAnsi="ITC Avant Garde"/>
          <w:sz w:val="20"/>
          <w:lang w:val="es-MX"/>
        </w:rPr>
        <w:t xml:space="preserve">de ciertos protocolos </w:t>
      </w:r>
      <w:r w:rsidR="008B22FC">
        <w:rPr>
          <w:rFonts w:ascii="ITC Avant Garde" w:hAnsi="ITC Avant Garde"/>
          <w:sz w:val="20"/>
          <w:lang w:val="es-MX"/>
        </w:rPr>
        <w:t xml:space="preserve">y estándares </w:t>
      </w:r>
      <w:r w:rsidRPr="00DD2B1D">
        <w:rPr>
          <w:rFonts w:ascii="ITC Avant Garde" w:hAnsi="ITC Avant Garde"/>
          <w:sz w:val="20"/>
          <w:lang w:val="es-MX"/>
        </w:rPr>
        <w:t xml:space="preserve">para garantizar </w:t>
      </w:r>
      <w:r w:rsidR="00FB1164">
        <w:rPr>
          <w:rFonts w:ascii="ITC Avant Garde" w:hAnsi="ITC Avant Garde"/>
          <w:sz w:val="20"/>
          <w:lang w:val="es-MX"/>
        </w:rPr>
        <w:t xml:space="preserve">la </w:t>
      </w:r>
      <w:r w:rsidRPr="00DD2B1D">
        <w:rPr>
          <w:rFonts w:ascii="ITC Avant Garde" w:hAnsi="ITC Avant Garde"/>
          <w:sz w:val="20"/>
          <w:lang w:val="es-MX"/>
        </w:rPr>
        <w:t>integridad y seguridad de la información transmitida, manejada y resguardada</w:t>
      </w:r>
      <w:r>
        <w:rPr>
          <w:rFonts w:ascii="ITC Avant Garde" w:hAnsi="ITC Avant Garde"/>
          <w:sz w:val="20"/>
          <w:lang w:val="es-MX"/>
        </w:rPr>
        <w:t xml:space="preserve">, así como la exigencia de informes </w:t>
      </w:r>
      <w:r w:rsidR="008B22FC">
        <w:rPr>
          <w:rFonts w:ascii="ITC Avant Garde" w:hAnsi="ITC Avant Garde"/>
          <w:sz w:val="20"/>
          <w:lang w:val="es-MX"/>
        </w:rPr>
        <w:t>al respecto</w:t>
      </w:r>
      <w:r>
        <w:rPr>
          <w:rFonts w:ascii="ITC Avant Garde" w:hAnsi="ITC Avant Garde"/>
          <w:sz w:val="20"/>
          <w:lang w:val="es-MX"/>
        </w:rPr>
        <w:t>.</w:t>
      </w:r>
    </w:p>
    <w:p w14:paraId="60835E0F" w14:textId="471F6112" w:rsidR="00DD2B1D" w:rsidRDefault="00DD2B1D" w:rsidP="008B22FC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 xml:space="preserve">La solicitud de información por parte del Instituto a las Autoridades Facultadas sobre </w:t>
      </w:r>
      <w:r w:rsidRPr="008B22FC">
        <w:rPr>
          <w:rFonts w:ascii="ITC Avant Garde" w:hAnsi="ITC Avant Garde"/>
          <w:sz w:val="20"/>
          <w:lang w:val="es-MX"/>
        </w:rPr>
        <w:t xml:space="preserve">medidas de seguridad </w:t>
      </w:r>
      <w:r w:rsidR="008B22FC">
        <w:rPr>
          <w:rFonts w:ascii="ITC Avant Garde" w:hAnsi="ITC Avant Garde"/>
          <w:sz w:val="20"/>
          <w:lang w:val="es-MX"/>
        </w:rPr>
        <w:t>para el</w:t>
      </w:r>
      <w:r w:rsidRPr="008B22FC">
        <w:rPr>
          <w:rFonts w:ascii="ITC Avant Garde" w:hAnsi="ITC Avant Garde"/>
          <w:sz w:val="20"/>
          <w:lang w:val="es-MX"/>
        </w:rPr>
        <w:t xml:space="preserve"> resguardo y manejo de información.</w:t>
      </w:r>
    </w:p>
    <w:p w14:paraId="34A63676" w14:textId="19DBB96C" w:rsidR="008B22FC" w:rsidRDefault="008B22FC" w:rsidP="008B22FC">
      <w:pPr>
        <w:pStyle w:val="Texto"/>
        <w:numPr>
          <w:ilvl w:val="0"/>
          <w:numId w:val="3"/>
        </w:numPr>
        <w:spacing w:after="0" w:line="240" w:lineRule="auto"/>
        <w:rPr>
          <w:rFonts w:ascii="ITC Avant Garde" w:hAnsi="ITC Avant Garde"/>
          <w:sz w:val="20"/>
          <w:lang w:val="es-MX"/>
        </w:rPr>
      </w:pPr>
      <w:r>
        <w:rPr>
          <w:rFonts w:ascii="ITC Avant Garde" w:hAnsi="ITC Avant Garde"/>
          <w:sz w:val="20"/>
          <w:lang w:val="es-MX"/>
        </w:rPr>
        <w:t>La exigencia de la cancelación y supresión</w:t>
      </w:r>
      <w:r w:rsidRPr="008B22FC">
        <w:rPr>
          <w:rFonts w:ascii="ITC Avant Garde" w:hAnsi="ITC Avant Garde"/>
          <w:sz w:val="20"/>
          <w:lang w:val="es-MX"/>
        </w:rPr>
        <w:t xml:space="preserve"> de manera segura</w:t>
      </w:r>
      <w:r>
        <w:rPr>
          <w:rFonts w:ascii="ITC Avant Garde" w:hAnsi="ITC Avant Garde"/>
          <w:sz w:val="20"/>
          <w:lang w:val="es-MX"/>
        </w:rPr>
        <w:t xml:space="preserve"> de información y datos por parte de varias autoridades, así como las solicitudes de información al respecto por parte del Instituto.</w:t>
      </w:r>
    </w:p>
    <w:p w14:paraId="082510A0" w14:textId="77777777" w:rsidR="00DD2B1D" w:rsidRPr="00DD2B1D" w:rsidRDefault="00DD2B1D" w:rsidP="00DD2B1D">
      <w:pPr>
        <w:pStyle w:val="Texto"/>
        <w:spacing w:after="0" w:line="240" w:lineRule="auto"/>
        <w:ind w:left="720" w:firstLine="0"/>
        <w:rPr>
          <w:rFonts w:ascii="ITC Avant Garde" w:hAnsi="ITC Avant Garde"/>
          <w:sz w:val="20"/>
          <w:lang w:val="es-MX"/>
        </w:rPr>
      </w:pPr>
    </w:p>
    <w:p w14:paraId="7B0FD43F" w14:textId="7BF1C236" w:rsidR="009D2522" w:rsidRDefault="002339E1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>
        <w:rPr>
          <w:rFonts w:ascii="ITC Avant Garde" w:hAnsi="ITC Avant Garde"/>
          <w:b/>
          <w:sz w:val="20"/>
          <w:lang w:val="es-MX"/>
        </w:rPr>
        <w:t>CUARTO</w:t>
      </w:r>
      <w:r w:rsidRPr="00614C98">
        <w:rPr>
          <w:rFonts w:ascii="ITC Avant Garde" w:hAnsi="ITC Avant Garde"/>
          <w:b/>
          <w:sz w:val="20"/>
          <w:lang w:val="es-MX"/>
        </w:rPr>
        <w:t>. Consulta Pública.</w:t>
      </w:r>
      <w:r w:rsidRPr="00614C98">
        <w:rPr>
          <w:rFonts w:ascii="ITC Avant Garde" w:hAnsi="ITC Avant Garde"/>
          <w:sz w:val="20"/>
          <w:lang w:val="es-MX"/>
        </w:rPr>
        <w:t xml:space="preserve"> </w:t>
      </w:r>
      <w:r w:rsidRPr="00614C98">
        <w:rPr>
          <w:rFonts w:ascii="ITC Avant Garde" w:hAnsi="ITC Avant Garde"/>
          <w:sz w:val="20"/>
        </w:rPr>
        <w:t xml:space="preserve">Como quedó señalado en el </w:t>
      </w:r>
      <w:r w:rsidR="000041B5">
        <w:rPr>
          <w:rFonts w:ascii="ITC Avant Garde" w:hAnsi="ITC Avant Garde"/>
          <w:sz w:val="20"/>
        </w:rPr>
        <w:t>a</w:t>
      </w:r>
      <w:r w:rsidRPr="00614C98">
        <w:rPr>
          <w:rFonts w:ascii="ITC Avant Garde" w:hAnsi="ITC Avant Garde"/>
          <w:sz w:val="20"/>
        </w:rPr>
        <w:t>ntecedente Octavo del presente Acuerdo, el</w:t>
      </w:r>
      <w:r w:rsidRPr="00614C98">
        <w:rPr>
          <w:rStyle w:val="apple-converted-space"/>
          <w:rFonts w:ascii="ITC Avant Garde" w:hAnsi="ITC Avant Garde"/>
          <w:sz w:val="20"/>
        </w:rPr>
        <w:t xml:space="preserve"> </w:t>
      </w:r>
      <w:r>
        <w:rPr>
          <w:rStyle w:val="apple-converted-space"/>
          <w:rFonts w:ascii="ITC Avant Garde" w:hAnsi="ITC Avant Garde"/>
          <w:sz w:val="20"/>
        </w:rPr>
        <w:t xml:space="preserve">Instituto </w:t>
      </w:r>
      <w:r w:rsidRPr="00614C98">
        <w:rPr>
          <w:rFonts w:ascii="ITC Avant Garde" w:hAnsi="ITC Avant Garde"/>
          <w:sz w:val="20"/>
        </w:rPr>
        <w:t>sometió a consulta pública el Antep</w:t>
      </w:r>
      <w:r>
        <w:rPr>
          <w:rFonts w:ascii="ITC Avant Garde" w:hAnsi="ITC Avant Garde"/>
          <w:sz w:val="20"/>
        </w:rPr>
        <w:t>royecto</w:t>
      </w:r>
      <w:r w:rsidR="009D2522">
        <w:rPr>
          <w:rFonts w:ascii="ITC Avant Garde" w:hAnsi="ITC Avant Garde"/>
          <w:sz w:val="20"/>
        </w:rPr>
        <w:t xml:space="preserve"> </w:t>
      </w:r>
      <w:r>
        <w:rPr>
          <w:rFonts w:ascii="ITC Avant Garde" w:hAnsi="ITC Avant Garde"/>
          <w:sz w:val="20"/>
        </w:rPr>
        <w:t xml:space="preserve">por un </w:t>
      </w:r>
      <w:r w:rsidRPr="00614C98">
        <w:rPr>
          <w:rFonts w:ascii="ITC Avant Garde" w:hAnsi="ITC Avant Garde"/>
          <w:sz w:val="20"/>
        </w:rPr>
        <w:t>periodo</w:t>
      </w:r>
      <w:r>
        <w:rPr>
          <w:rFonts w:ascii="ITC Avant Garde" w:hAnsi="ITC Avant Garde"/>
          <w:sz w:val="20"/>
        </w:rPr>
        <w:t xml:space="preserve"> de veinte días hábiles,</w:t>
      </w:r>
      <w:r w:rsidRPr="00614C98">
        <w:rPr>
          <w:rFonts w:ascii="ITC Avant Garde" w:hAnsi="ITC Avant Garde"/>
          <w:sz w:val="20"/>
        </w:rPr>
        <w:t xml:space="preserve"> comprendido entre el</w:t>
      </w:r>
      <w:r w:rsidRPr="00614C98">
        <w:rPr>
          <w:rStyle w:val="apple-converted-space"/>
          <w:rFonts w:ascii="ITC Avant Garde" w:hAnsi="ITC Avant Garde"/>
          <w:sz w:val="20"/>
        </w:rPr>
        <w:t> </w:t>
      </w:r>
      <w:r w:rsidRPr="00614C98">
        <w:rPr>
          <w:rFonts w:ascii="ITC Avant Garde" w:hAnsi="ITC Avant Garde"/>
          <w:sz w:val="20"/>
        </w:rPr>
        <w:t>15 de diciembre d</w:t>
      </w:r>
      <w:r w:rsidR="009D2522">
        <w:rPr>
          <w:rFonts w:ascii="ITC Avant Garde" w:hAnsi="ITC Avant Garde"/>
          <w:sz w:val="20"/>
        </w:rPr>
        <w:t>e 2017 y el 29 de enero de 2018.</w:t>
      </w:r>
    </w:p>
    <w:p w14:paraId="41A12885" w14:textId="77777777" w:rsidR="009D2522" w:rsidRDefault="009D2522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14:paraId="59A03157" w14:textId="1DA1215F" w:rsidR="004501F9" w:rsidRDefault="009D2522" w:rsidP="000041B5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>Durante es</w:t>
      </w:r>
      <w:r w:rsidR="002339E1" w:rsidRPr="00614C98">
        <w:rPr>
          <w:rFonts w:ascii="ITC Avant Garde" w:hAnsi="ITC Avant Garde"/>
          <w:sz w:val="20"/>
        </w:rPr>
        <w:t>e periodo se r</w:t>
      </w:r>
      <w:r w:rsidR="000041B5">
        <w:rPr>
          <w:rFonts w:ascii="ITC Avant Garde" w:hAnsi="ITC Avant Garde"/>
          <w:sz w:val="20"/>
        </w:rPr>
        <w:t>egistraron dos participaciones</w:t>
      </w:r>
      <w:r w:rsidR="002339E1" w:rsidRPr="00614C98">
        <w:rPr>
          <w:rFonts w:ascii="ITC Avant Garde" w:hAnsi="ITC Avant Garde"/>
          <w:sz w:val="20"/>
        </w:rPr>
        <w:t>.</w:t>
      </w:r>
      <w:r w:rsidR="000041B5">
        <w:rPr>
          <w:rFonts w:ascii="ITC Avant Garde" w:hAnsi="ITC Avant Garde"/>
          <w:sz w:val="20"/>
        </w:rPr>
        <w:t xml:space="preserve"> E</w:t>
      </w:r>
      <w:r w:rsidR="002339E1">
        <w:rPr>
          <w:rFonts w:ascii="ITC Avant Garde" w:hAnsi="ITC Avant Garde"/>
          <w:sz w:val="20"/>
        </w:rPr>
        <w:t>n cumplimiento a lo establecido por el artículo 51 de la LFTR</w:t>
      </w:r>
      <w:r w:rsidR="000041B5">
        <w:rPr>
          <w:rFonts w:ascii="ITC Avant Garde" w:hAnsi="ITC Avant Garde"/>
          <w:sz w:val="20"/>
        </w:rPr>
        <w:t xml:space="preserve"> y por los lineamientos noveno y décimo de los Lineamientos de Consulta Pública y Análisis Regulatorio del Instituto Federal de Telecomunicaciones</w:t>
      </w:r>
      <w:r w:rsidR="002339E1">
        <w:rPr>
          <w:rFonts w:ascii="ITC Avant Garde" w:hAnsi="ITC Avant Garde"/>
          <w:sz w:val="20"/>
        </w:rPr>
        <w:t xml:space="preserve">, </w:t>
      </w:r>
      <w:r w:rsidR="000041B5">
        <w:rPr>
          <w:rFonts w:ascii="ITC Avant Garde" w:hAnsi="ITC Avant Garde"/>
          <w:sz w:val="20"/>
        </w:rPr>
        <w:t xml:space="preserve">el Instituto </w:t>
      </w:r>
      <w:r w:rsidR="002339E1" w:rsidRPr="00614C98">
        <w:rPr>
          <w:rFonts w:ascii="ITC Avant Garde" w:hAnsi="ITC Avant Garde"/>
          <w:sz w:val="20"/>
        </w:rPr>
        <w:t xml:space="preserve">dio atención a </w:t>
      </w:r>
      <w:r w:rsidR="000041B5">
        <w:rPr>
          <w:rFonts w:ascii="ITC Avant Garde" w:hAnsi="ITC Avant Garde"/>
          <w:sz w:val="20"/>
        </w:rPr>
        <w:t>los</w:t>
      </w:r>
      <w:r w:rsidR="002339E1" w:rsidRPr="00614C98">
        <w:rPr>
          <w:rFonts w:ascii="ITC Avant Garde" w:hAnsi="ITC Avant Garde"/>
          <w:sz w:val="20"/>
        </w:rPr>
        <w:t xml:space="preserve"> comentarios</w:t>
      </w:r>
      <w:r w:rsidR="002339E1" w:rsidRPr="00614C98">
        <w:rPr>
          <w:rStyle w:val="apple-converted-space"/>
          <w:rFonts w:ascii="ITC Avant Garde" w:hAnsi="ITC Avant Garde"/>
          <w:sz w:val="20"/>
        </w:rPr>
        <w:t> </w:t>
      </w:r>
      <w:r w:rsidR="002339E1" w:rsidRPr="00614C98">
        <w:rPr>
          <w:rFonts w:ascii="ITC Avant Garde" w:hAnsi="ITC Avant Garde"/>
          <w:sz w:val="20"/>
        </w:rPr>
        <w:t xml:space="preserve">recibidos en la consulta, publicando </w:t>
      </w:r>
      <w:r w:rsidR="000041B5">
        <w:rPr>
          <w:rFonts w:ascii="ITC Avant Garde" w:hAnsi="ITC Avant Garde"/>
          <w:sz w:val="20"/>
        </w:rPr>
        <w:t xml:space="preserve">el informe de consideraciones correspondiente </w:t>
      </w:r>
      <w:r w:rsidR="002339E1" w:rsidRPr="00614C98">
        <w:rPr>
          <w:rFonts w:ascii="ITC Avant Garde" w:hAnsi="ITC Avant Garde"/>
          <w:sz w:val="20"/>
        </w:rPr>
        <w:t>en su portal de Internet</w:t>
      </w:r>
      <w:r w:rsidR="000041B5">
        <w:rPr>
          <w:rFonts w:ascii="ITC Avant Garde" w:hAnsi="ITC Avant Garde"/>
          <w:sz w:val="20"/>
        </w:rPr>
        <w:t>. Cabe señalar que, l</w:t>
      </w:r>
      <w:r>
        <w:rPr>
          <w:rFonts w:ascii="ITC Avant Garde" w:hAnsi="ITC Avant Garde"/>
          <w:sz w:val="20"/>
        </w:rPr>
        <w:t>as participaciones</w:t>
      </w:r>
      <w:r w:rsidR="004501F9">
        <w:rPr>
          <w:rFonts w:ascii="ITC Avant Garde" w:hAnsi="ITC Avant Garde"/>
          <w:sz w:val="20"/>
        </w:rPr>
        <w:t xml:space="preserve"> </w:t>
      </w:r>
      <w:r w:rsidR="000041B5">
        <w:rPr>
          <w:rFonts w:ascii="ITC Avant Garde" w:hAnsi="ITC Avant Garde"/>
          <w:sz w:val="20"/>
        </w:rPr>
        <w:t>no ameritaro</w:t>
      </w:r>
      <w:r w:rsidR="004501F9">
        <w:rPr>
          <w:rFonts w:ascii="ITC Avant Garde" w:hAnsi="ITC Avant Garde"/>
          <w:sz w:val="20"/>
        </w:rPr>
        <w:t xml:space="preserve">n </w:t>
      </w:r>
      <w:r w:rsidR="00A84A13">
        <w:rPr>
          <w:rFonts w:ascii="ITC Avant Garde" w:hAnsi="ITC Avant Garde"/>
          <w:sz w:val="20"/>
        </w:rPr>
        <w:t xml:space="preserve">modificación </w:t>
      </w:r>
      <w:r w:rsidR="004501F9">
        <w:rPr>
          <w:rFonts w:ascii="ITC Avant Garde" w:hAnsi="ITC Avant Garde"/>
          <w:sz w:val="20"/>
        </w:rPr>
        <w:t>alguna al</w:t>
      </w:r>
      <w:r w:rsidR="000041B5">
        <w:rPr>
          <w:rFonts w:ascii="ITC Avant Garde" w:hAnsi="ITC Avant Garde"/>
          <w:sz w:val="20"/>
        </w:rPr>
        <w:t xml:space="preserve"> contenido del Anteproyecto</w:t>
      </w:r>
      <w:r w:rsidR="004501F9">
        <w:rPr>
          <w:rFonts w:ascii="ITC Avant Garde" w:hAnsi="ITC Avant Garde"/>
          <w:sz w:val="20"/>
        </w:rPr>
        <w:t xml:space="preserve">. </w:t>
      </w:r>
    </w:p>
    <w:p w14:paraId="2C9384B9" w14:textId="77777777" w:rsidR="002339E1" w:rsidRPr="00614C98" w:rsidRDefault="002339E1" w:rsidP="004501F9">
      <w:pPr>
        <w:pStyle w:val="Texto"/>
        <w:spacing w:after="0" w:line="240" w:lineRule="auto"/>
        <w:ind w:firstLine="0"/>
        <w:rPr>
          <w:rFonts w:ascii="ITC Avant Garde" w:hAnsi="ITC Avant Garde"/>
          <w:sz w:val="20"/>
          <w:lang w:val="es-MX" w:eastAsia="es-MX"/>
        </w:rPr>
      </w:pPr>
    </w:p>
    <w:p w14:paraId="2D72832C" w14:textId="666D14B6" w:rsidR="00FD73DA" w:rsidRDefault="006C19F7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>
        <w:rPr>
          <w:rFonts w:ascii="ITC Avant Garde" w:hAnsi="ITC Avant Garde"/>
          <w:b/>
          <w:sz w:val="20"/>
        </w:rPr>
        <w:t>QUINTO</w:t>
      </w:r>
      <w:r w:rsidR="002339E1" w:rsidRPr="00614C98">
        <w:rPr>
          <w:rFonts w:ascii="ITC Avant Garde" w:hAnsi="ITC Avant Garde"/>
          <w:b/>
          <w:sz w:val="20"/>
        </w:rPr>
        <w:t>. Análisis de Nulo Impacto Regulatorio.</w:t>
      </w:r>
      <w:r w:rsidR="002339E1" w:rsidRPr="00614C98">
        <w:rPr>
          <w:rFonts w:ascii="ITC Avant Garde" w:hAnsi="ITC Avant Garde"/>
          <w:sz w:val="20"/>
        </w:rPr>
        <w:t xml:space="preserve"> </w:t>
      </w:r>
      <w:r w:rsidR="00FD73DA">
        <w:rPr>
          <w:rFonts w:ascii="ITC Avant Garde" w:hAnsi="ITC Avant Garde"/>
          <w:sz w:val="20"/>
        </w:rPr>
        <w:t>L</w:t>
      </w:r>
      <w:r w:rsidR="002339E1" w:rsidRPr="00614C98">
        <w:rPr>
          <w:rFonts w:ascii="ITC Avant Garde" w:hAnsi="ITC Avant Garde"/>
          <w:sz w:val="20"/>
        </w:rPr>
        <w:t xml:space="preserve">a Unidad de Asuntos Jurídicos </w:t>
      </w:r>
      <w:r w:rsidR="006C24AB" w:rsidRPr="00614C98">
        <w:rPr>
          <w:rFonts w:ascii="ITC Avant Garde" w:hAnsi="ITC Avant Garde"/>
          <w:sz w:val="20"/>
        </w:rPr>
        <w:t>del Instituto</w:t>
      </w:r>
      <w:r w:rsidR="002339E1">
        <w:rPr>
          <w:rFonts w:ascii="ITC Avant Garde" w:hAnsi="ITC Avant Garde"/>
          <w:sz w:val="20"/>
        </w:rPr>
        <w:t xml:space="preserve"> </w:t>
      </w:r>
      <w:r w:rsidR="002339E1" w:rsidRPr="00614C98">
        <w:rPr>
          <w:rFonts w:ascii="ITC Avant Garde" w:hAnsi="ITC Avant Garde"/>
          <w:sz w:val="20"/>
        </w:rPr>
        <w:t xml:space="preserve">realizó el </w:t>
      </w:r>
      <w:r w:rsidR="00FD73DA">
        <w:rPr>
          <w:rFonts w:ascii="ITC Avant Garde" w:hAnsi="ITC Avant Garde"/>
          <w:sz w:val="20"/>
        </w:rPr>
        <w:t>ANIR</w:t>
      </w:r>
      <w:r w:rsidR="002339E1" w:rsidRPr="00614C98">
        <w:rPr>
          <w:rFonts w:ascii="ITC Avant Garde" w:hAnsi="ITC Avant Garde"/>
          <w:sz w:val="20"/>
        </w:rPr>
        <w:t xml:space="preserve"> correspondiente</w:t>
      </w:r>
      <w:r w:rsidR="00FD73DA">
        <w:rPr>
          <w:rFonts w:ascii="ITC Avant Garde" w:hAnsi="ITC Avant Garde"/>
          <w:sz w:val="20"/>
        </w:rPr>
        <w:t xml:space="preserve"> al </w:t>
      </w:r>
      <w:r w:rsidR="001460B1">
        <w:rPr>
          <w:rFonts w:ascii="ITC Avant Garde" w:hAnsi="ITC Avant Garde"/>
          <w:sz w:val="20"/>
        </w:rPr>
        <w:t>“</w:t>
      </w:r>
      <w:r w:rsidR="00FD73DA">
        <w:rPr>
          <w:rFonts w:ascii="ITC Avant Garde" w:hAnsi="ITC Avant Garde"/>
          <w:sz w:val="20"/>
        </w:rPr>
        <w:t xml:space="preserve">Proyecto de </w:t>
      </w:r>
      <w:r w:rsidR="00FD73DA" w:rsidRPr="00614C98">
        <w:rPr>
          <w:rFonts w:ascii="ITC Avant Garde" w:hAnsi="ITC Avant Garde"/>
          <w:sz w:val="20"/>
        </w:rPr>
        <w:t xml:space="preserve">Acuerdo por el que se modifican los Lineamientos de Colaboración en </w:t>
      </w:r>
      <w:r w:rsidR="00FD73DA">
        <w:rPr>
          <w:rFonts w:ascii="ITC Avant Garde" w:hAnsi="ITC Avant Garde"/>
          <w:sz w:val="20"/>
        </w:rPr>
        <w:t>Materia de Seguridad y Justicia</w:t>
      </w:r>
      <w:r w:rsidR="001460B1">
        <w:rPr>
          <w:rFonts w:ascii="ITC Avant Garde" w:hAnsi="ITC Avant Garde"/>
          <w:sz w:val="20"/>
        </w:rPr>
        <w:t>”</w:t>
      </w:r>
      <w:r w:rsidR="00FD73DA">
        <w:rPr>
          <w:rFonts w:ascii="ITC Avant Garde" w:hAnsi="ITC Avant Garde"/>
          <w:sz w:val="20"/>
        </w:rPr>
        <w:t xml:space="preserve">, mismo que fue objeto de </w:t>
      </w:r>
      <w:r w:rsidR="00FD73DA" w:rsidRPr="00F83AEA">
        <w:rPr>
          <w:rFonts w:ascii="ITC Avant Garde" w:hAnsi="ITC Avant Garde"/>
          <w:sz w:val="20"/>
        </w:rPr>
        <w:t xml:space="preserve">opinión </w:t>
      </w:r>
      <w:r w:rsidR="00F83AEA" w:rsidRPr="00F83AEA">
        <w:rPr>
          <w:rFonts w:ascii="ITC Avant Garde" w:hAnsi="ITC Avant Garde"/>
          <w:sz w:val="20"/>
        </w:rPr>
        <w:t xml:space="preserve">favorable </w:t>
      </w:r>
      <w:r w:rsidR="00FD73DA" w:rsidRPr="00F83AEA">
        <w:rPr>
          <w:rFonts w:ascii="ITC Avant Garde" w:hAnsi="ITC Avant Garde"/>
          <w:sz w:val="20"/>
        </w:rPr>
        <w:t>por</w:t>
      </w:r>
      <w:r w:rsidR="00FD73DA">
        <w:rPr>
          <w:rFonts w:ascii="ITC Avant Garde" w:hAnsi="ITC Avant Garde"/>
          <w:sz w:val="20"/>
        </w:rPr>
        <w:t xml:space="preserve"> parte de la Coordinación General de Mejora Regulatoria del Instituto. </w:t>
      </w:r>
    </w:p>
    <w:p w14:paraId="728D7153" w14:textId="77777777" w:rsidR="00FD73DA" w:rsidRDefault="00FD73DA" w:rsidP="002339E1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</w:p>
    <w:p w14:paraId="1434AFAB" w14:textId="6A0C7F7B" w:rsidR="002339E1" w:rsidRDefault="00FD73DA" w:rsidP="00FD73DA">
      <w:pPr>
        <w:pStyle w:val="Texto"/>
        <w:spacing w:after="0" w:line="240" w:lineRule="auto"/>
        <w:ind w:firstLine="0"/>
        <w:rPr>
          <w:rFonts w:ascii="ITC Avant Garde" w:hAnsi="ITC Avant Garde"/>
          <w:sz w:val="20"/>
        </w:rPr>
      </w:pPr>
      <w:r>
        <w:rPr>
          <w:rFonts w:ascii="ITC Avant Garde" w:hAnsi="ITC Avant Garde"/>
          <w:sz w:val="20"/>
        </w:rPr>
        <w:t xml:space="preserve">Del ANIR y de </w:t>
      </w:r>
      <w:r w:rsidR="00A9173D">
        <w:rPr>
          <w:rFonts w:ascii="ITC Avant Garde" w:hAnsi="ITC Avant Garde"/>
          <w:sz w:val="20"/>
        </w:rPr>
        <w:t>la opinión no vinculante de la Coordinación General de Mejora Regulatoria,</w:t>
      </w:r>
      <w:r>
        <w:rPr>
          <w:rFonts w:ascii="ITC Avant Garde" w:hAnsi="ITC Avant Garde"/>
          <w:sz w:val="20"/>
        </w:rPr>
        <w:t xml:space="preserve"> </w:t>
      </w:r>
      <w:r w:rsidR="002339E1" w:rsidRPr="00614C98">
        <w:rPr>
          <w:rFonts w:ascii="ITC Avant Garde" w:hAnsi="ITC Avant Garde"/>
          <w:sz w:val="20"/>
        </w:rPr>
        <w:t xml:space="preserve">se advierte que el </w:t>
      </w:r>
      <w:r>
        <w:rPr>
          <w:rFonts w:ascii="ITC Avant Garde" w:hAnsi="ITC Avant Garde"/>
          <w:sz w:val="20"/>
        </w:rPr>
        <w:t xml:space="preserve">presente </w:t>
      </w:r>
      <w:r w:rsidR="002339E1" w:rsidRPr="00614C98">
        <w:rPr>
          <w:rFonts w:ascii="ITC Avant Garde" w:hAnsi="ITC Avant Garde"/>
          <w:sz w:val="20"/>
        </w:rPr>
        <w:t xml:space="preserve">Acuerdo no generará </w:t>
      </w:r>
      <w:r>
        <w:rPr>
          <w:rFonts w:ascii="ITC Avant Garde" w:hAnsi="ITC Avant Garde"/>
          <w:sz w:val="20"/>
        </w:rPr>
        <w:t xml:space="preserve">nuevos </w:t>
      </w:r>
      <w:r w:rsidR="002339E1" w:rsidRPr="00614C98">
        <w:rPr>
          <w:rFonts w:ascii="ITC Avant Garde" w:hAnsi="ITC Avant Garde"/>
          <w:sz w:val="20"/>
        </w:rPr>
        <w:t>costo</w:t>
      </w:r>
      <w:r>
        <w:rPr>
          <w:rFonts w:ascii="ITC Avant Garde" w:hAnsi="ITC Avant Garde"/>
          <w:sz w:val="20"/>
        </w:rPr>
        <w:t xml:space="preserve">s de cumplimiento </w:t>
      </w:r>
      <w:r w:rsidR="002339E1" w:rsidRPr="00614C98">
        <w:rPr>
          <w:rFonts w:ascii="ITC Avant Garde" w:hAnsi="ITC Avant Garde"/>
          <w:sz w:val="20"/>
        </w:rPr>
        <w:t>a los particulares a su entrada en vigor</w:t>
      </w:r>
      <w:r w:rsidR="00704A1B">
        <w:rPr>
          <w:rFonts w:ascii="ITC Avant Garde" w:hAnsi="ITC Avant Garde"/>
          <w:sz w:val="20"/>
        </w:rPr>
        <w:t>,</w:t>
      </w:r>
      <w:r w:rsidR="002339E1" w:rsidRPr="00614C98">
        <w:rPr>
          <w:rFonts w:ascii="ITC Avant Garde" w:hAnsi="ITC Avant Garde"/>
          <w:sz w:val="20"/>
        </w:rPr>
        <w:t xml:space="preserve"> al no actualizar ninguno de</w:t>
      </w:r>
      <w:r w:rsidR="002339E1" w:rsidRPr="00614C98">
        <w:rPr>
          <w:rStyle w:val="apple-converted-space"/>
          <w:rFonts w:ascii="ITC Avant Garde" w:hAnsi="ITC Avant Garde"/>
          <w:sz w:val="20"/>
        </w:rPr>
        <w:t> </w:t>
      </w:r>
      <w:r w:rsidR="002339E1" w:rsidRPr="00614C98">
        <w:rPr>
          <w:rFonts w:ascii="ITC Avant Garde" w:hAnsi="ITC Avant Garde"/>
          <w:sz w:val="20"/>
        </w:rPr>
        <w:t xml:space="preserve">los supuestos </w:t>
      </w:r>
      <w:r>
        <w:rPr>
          <w:rFonts w:ascii="ITC Avant Garde" w:hAnsi="ITC Avant Garde"/>
          <w:sz w:val="20"/>
        </w:rPr>
        <w:t>previstos en lineamiento vigésimo primero de los Lineamientos de Consulta Pública y Análisis Regulatorio del Instituto Federal de Telecomunicaciones</w:t>
      </w:r>
      <w:r w:rsidR="00B9450D">
        <w:rPr>
          <w:rFonts w:ascii="ITC Avant Garde" w:hAnsi="ITC Avant Garde"/>
          <w:sz w:val="20"/>
        </w:rPr>
        <w:t>; por el contrario, resulta en una disminución de la carga regulatoria y los costos consecuentes para los concesionarios y autorizados</w:t>
      </w:r>
      <w:r w:rsidR="002339E1">
        <w:rPr>
          <w:rFonts w:ascii="ITC Avant Garde" w:hAnsi="ITC Avant Garde"/>
          <w:sz w:val="20"/>
        </w:rPr>
        <w:t>.</w:t>
      </w:r>
    </w:p>
    <w:p w14:paraId="4443FD9A" w14:textId="77777777" w:rsidR="007A79CB" w:rsidRPr="00614C98" w:rsidRDefault="007A79CB" w:rsidP="002339E1">
      <w:pPr>
        <w:shd w:val="clear" w:color="auto" w:fill="FFFFFF"/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7F64C58C" w14:textId="0845FD91" w:rsidR="002339E1" w:rsidRPr="00614C98" w:rsidRDefault="002339E1" w:rsidP="002860E2">
      <w:pPr>
        <w:spacing w:after="0" w:line="240" w:lineRule="auto"/>
        <w:jc w:val="both"/>
        <w:rPr>
          <w:rFonts w:ascii="ITC Avant Garde" w:hAnsi="ITC Avant Garde"/>
          <w:b/>
          <w:bCs/>
          <w:sz w:val="20"/>
          <w:szCs w:val="20"/>
          <w:lang w:val="es-ES_tradnl"/>
        </w:rPr>
      </w:pPr>
      <w:r w:rsidRPr="00614C98">
        <w:rPr>
          <w:rFonts w:ascii="ITC Avant Garde" w:hAnsi="ITC Avant Garde"/>
          <w:kern w:val="2"/>
          <w:sz w:val="20"/>
          <w:szCs w:val="20"/>
          <w:lang w:val="es-ES" w:eastAsia="ar-SA"/>
        </w:rPr>
        <w:t xml:space="preserve">Por las razones expuestas y con fundamento en los artículos 28, párrafo </w:t>
      </w:r>
      <w:r w:rsidRPr="002860E2">
        <w:rPr>
          <w:rFonts w:ascii="ITC Avant Garde" w:hAnsi="ITC Avant Garde"/>
          <w:kern w:val="2"/>
          <w:sz w:val="20"/>
          <w:szCs w:val="20"/>
          <w:lang w:val="es-ES" w:eastAsia="ar-SA"/>
        </w:rPr>
        <w:t xml:space="preserve">décimo </w:t>
      </w:r>
      <w:r w:rsidR="00242B78" w:rsidRPr="002860E2">
        <w:rPr>
          <w:rFonts w:ascii="ITC Avant Garde" w:hAnsi="ITC Avant Garde"/>
          <w:kern w:val="2"/>
          <w:sz w:val="20"/>
          <w:szCs w:val="20"/>
          <w:lang w:val="es-ES" w:eastAsia="ar-SA"/>
        </w:rPr>
        <w:t>quinto</w:t>
      </w:r>
      <w:r w:rsidRPr="00614C98">
        <w:rPr>
          <w:rFonts w:ascii="ITC Avant Garde" w:hAnsi="ITC Avant Garde"/>
          <w:kern w:val="2"/>
          <w:sz w:val="20"/>
          <w:szCs w:val="20"/>
          <w:lang w:val="es-ES" w:eastAsia="ar-SA"/>
        </w:rPr>
        <w:t xml:space="preserve">, de la Constitución Política de los Estados Unidos Mexicanos; 7, 15, </w:t>
      </w:r>
      <w:r w:rsidRPr="002860E2">
        <w:rPr>
          <w:rFonts w:ascii="ITC Avant Garde" w:hAnsi="ITC Avant Garde"/>
          <w:kern w:val="2"/>
          <w:sz w:val="20"/>
          <w:szCs w:val="20"/>
          <w:lang w:val="es-ES" w:eastAsia="ar-SA"/>
        </w:rPr>
        <w:t>fracci</w:t>
      </w:r>
      <w:r w:rsidR="00FD73DA">
        <w:rPr>
          <w:rFonts w:ascii="ITC Avant Garde" w:hAnsi="ITC Avant Garde"/>
          <w:kern w:val="2"/>
          <w:sz w:val="20"/>
          <w:szCs w:val="20"/>
          <w:lang w:val="es-ES" w:eastAsia="ar-SA"/>
        </w:rPr>
        <w:t>ón I</w:t>
      </w:r>
      <w:r w:rsidRPr="00614C98">
        <w:rPr>
          <w:rFonts w:ascii="ITC Avant Garde" w:hAnsi="ITC Avant Garde"/>
          <w:kern w:val="2"/>
          <w:sz w:val="20"/>
          <w:szCs w:val="20"/>
          <w:lang w:val="es-ES" w:eastAsia="ar-SA"/>
        </w:rPr>
        <w:t xml:space="preserve">, 16, 17, fracción I, 189 y 190 de la Ley Federal de Telecomunicaciones y Radiodifusión, así como 1, 4, fracción I, 6, fracción XXV, </w:t>
      </w:r>
      <w:r w:rsidRPr="00614C98">
        <w:rPr>
          <w:rFonts w:ascii="ITC Avant Garde" w:hAnsi="ITC Avant Garde" w:cs="Arial"/>
          <w:sz w:val="20"/>
          <w:szCs w:val="20"/>
        </w:rPr>
        <w:t xml:space="preserve">52 y 53, fracción III del Estatuto Orgánico del Instituto Federal de Telecomunicaciones, </w:t>
      </w:r>
      <w:r w:rsidRPr="00614C98">
        <w:rPr>
          <w:rFonts w:ascii="ITC Avant Garde" w:hAnsi="ITC Avant Garde"/>
          <w:kern w:val="2"/>
          <w:sz w:val="20"/>
          <w:szCs w:val="20"/>
          <w:lang w:val="es-ES" w:eastAsia="ar-SA"/>
        </w:rPr>
        <w:t>el Pleno del Instituto Federal de Telecomunicaciones emite el siguiente:</w:t>
      </w:r>
    </w:p>
    <w:p w14:paraId="57FB8C6F" w14:textId="77777777" w:rsidR="002339E1" w:rsidRDefault="002339E1" w:rsidP="002339E1">
      <w:pPr>
        <w:pStyle w:val="ANOTACION"/>
        <w:spacing w:before="0" w:after="0" w:line="240" w:lineRule="auto"/>
        <w:rPr>
          <w:rFonts w:ascii="ITC Avant Garde" w:hAnsi="ITC Avant Garde" w:cs="Arial"/>
          <w:sz w:val="20"/>
          <w:lang w:val="es-MX"/>
        </w:rPr>
      </w:pPr>
    </w:p>
    <w:p w14:paraId="00C1D6A8" w14:textId="77777777" w:rsidR="00416DA6" w:rsidRDefault="00416DA6" w:rsidP="002339E1">
      <w:pPr>
        <w:pStyle w:val="ANOTACION"/>
        <w:spacing w:before="0" w:after="0" w:line="240" w:lineRule="auto"/>
        <w:rPr>
          <w:rFonts w:ascii="ITC Avant Garde" w:hAnsi="ITC Avant Garde" w:cs="Arial"/>
          <w:sz w:val="20"/>
          <w:lang w:val="es-MX"/>
        </w:rPr>
      </w:pPr>
    </w:p>
    <w:p w14:paraId="684772D6" w14:textId="4C3DFA8D" w:rsidR="002339E1" w:rsidRPr="00614C98" w:rsidRDefault="002339E1" w:rsidP="002339E1">
      <w:pPr>
        <w:pStyle w:val="ANOTACION"/>
        <w:spacing w:before="0" w:after="0" w:line="240" w:lineRule="auto"/>
        <w:rPr>
          <w:rFonts w:ascii="ITC Avant Garde" w:hAnsi="ITC Avant Garde" w:cs="Arial"/>
          <w:sz w:val="20"/>
          <w:lang w:val="es-MX"/>
        </w:rPr>
      </w:pPr>
      <w:bookmarkStart w:id="0" w:name="_GoBack"/>
      <w:bookmarkEnd w:id="0"/>
      <w:r w:rsidRPr="00614C98">
        <w:rPr>
          <w:rFonts w:ascii="ITC Avant Garde" w:hAnsi="ITC Avant Garde" w:cs="Arial"/>
          <w:sz w:val="20"/>
          <w:lang w:val="es-MX"/>
        </w:rPr>
        <w:t>A C U E R D O</w:t>
      </w:r>
    </w:p>
    <w:p w14:paraId="180D66E4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</w:pPr>
    </w:p>
    <w:p w14:paraId="553108ED" w14:textId="7C149B1D" w:rsidR="002339E1" w:rsidRPr="00614C98" w:rsidRDefault="002339E1" w:rsidP="002339E1">
      <w:pPr>
        <w:spacing w:after="0" w:line="240" w:lineRule="auto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sz w:val="20"/>
          <w:szCs w:val="20"/>
          <w:lang w:eastAsia="es-MX"/>
        </w:rPr>
        <w:t>ÚNICO.-</w:t>
      </w:r>
      <w:r w:rsidRPr="00614C98">
        <w:rPr>
          <w:rFonts w:ascii="ITC Avant Garde" w:eastAsia="Times New Roman" w:hAnsi="ITC Avant Garde" w:cs="Arial"/>
          <w:sz w:val="20"/>
          <w:szCs w:val="20"/>
          <w:lang w:eastAsia="es-MX"/>
        </w:rPr>
        <w:t> 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 Se </w:t>
      </w:r>
      <w:r w:rsidRPr="00614C98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MODIFICA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el primer párrafo del lineamiento </w:t>
      </w:r>
      <w:r w:rsidR="00F76833"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DÉCIMO OCTAVO</w:t>
      </w:r>
      <w:r w:rsidR="00FE58E3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en su encabezado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; se </w:t>
      </w: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DEROGAN 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las fracciones V, VI y VII del lineamiento </w:t>
      </w:r>
      <w:r w:rsidR="00F76833"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OCTAVO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; las fracciones I, II y III</w:t>
      </w:r>
      <w:r w:rsidR="00FE58E3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del primer párrafo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, así como </w:t>
      </w:r>
      <w:r w:rsidR="001B54BD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los párrafos segundo a</w:t>
      </w:r>
      <w:r w:rsidR="00F65C05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l</w:t>
      </w:r>
      <w:r w:rsidR="001B54BD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quinto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del lineamiento </w:t>
      </w:r>
      <w:r w:rsidR="00F76833"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DÉCIMO OCTAVO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; el segundo párrafo del lineamiento </w:t>
      </w:r>
      <w:r w:rsidR="00F76833"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CUADRAGÉSIMO PRIMERO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, y el Anexo II de los Lineamientos de Colaboración en Materia de Seguridad y Justicia, para quedar como sigue:</w:t>
      </w:r>
    </w:p>
    <w:p w14:paraId="55304C9B" w14:textId="77777777" w:rsidR="002339E1" w:rsidRPr="00614C98" w:rsidRDefault="002339E1" w:rsidP="002339E1">
      <w:pPr>
        <w:spacing w:after="0" w:line="240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</w:p>
    <w:p w14:paraId="38F7AE5A" w14:textId="77777777" w:rsidR="002339E1" w:rsidRPr="00614C98" w:rsidRDefault="002339E1" w:rsidP="002339E1">
      <w:pPr>
        <w:spacing w:after="0" w:line="240" w:lineRule="auto"/>
        <w:ind w:firstLine="288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"</w:t>
      </w: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OCTAVO.-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 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...</w:t>
      </w:r>
    </w:p>
    <w:p w14:paraId="10E87695" w14:textId="77777777" w:rsidR="002339E1" w:rsidRPr="00614C98" w:rsidRDefault="002339E1" w:rsidP="003953C1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I </w:t>
      </w:r>
      <w:r w:rsidRPr="00F76833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a</w:t>
      </w: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 IV.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> 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...</w:t>
      </w:r>
    </w:p>
    <w:p w14:paraId="4119FB56" w14:textId="77777777" w:rsidR="002339E1" w:rsidRPr="00614C98" w:rsidRDefault="002339E1" w:rsidP="003953C1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V. 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1CCBD77A" w14:textId="77777777" w:rsidR="002339E1" w:rsidRPr="00614C98" w:rsidRDefault="002339E1" w:rsidP="003953C1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VI. 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531636DD" w14:textId="77777777" w:rsidR="002339E1" w:rsidRPr="00614C98" w:rsidRDefault="002339E1" w:rsidP="003953C1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 xml:space="preserve">VII. 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1643AA6F" w14:textId="77777777" w:rsidR="002339E1" w:rsidRPr="00614C98" w:rsidRDefault="002339E1" w:rsidP="003953C1">
      <w:pPr>
        <w:spacing w:after="0" w:line="240" w:lineRule="auto"/>
        <w:ind w:firstLine="708"/>
        <w:jc w:val="both"/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</w:pPr>
      <w:r w:rsidRPr="00614C98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VIII.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y </w:t>
      </w:r>
      <w:r w:rsidRPr="00614C98">
        <w:rPr>
          <w:rFonts w:ascii="ITC Avant Garde" w:eastAsia="Times New Roman" w:hAnsi="ITC Avant Garde" w:cs="Arial"/>
          <w:b/>
          <w:color w:val="2F2F2F"/>
          <w:sz w:val="20"/>
          <w:szCs w:val="20"/>
          <w:lang w:eastAsia="es-MX"/>
        </w:rPr>
        <w:t>IX.</w:t>
      </w:r>
      <w:r w:rsidRPr="00614C98">
        <w:rPr>
          <w:rFonts w:ascii="ITC Avant Garde" w:eastAsia="Times New Roman" w:hAnsi="ITC Avant Garde" w:cs="Arial"/>
          <w:color w:val="2F2F2F"/>
          <w:sz w:val="20"/>
          <w:szCs w:val="20"/>
          <w:lang w:eastAsia="es-MX"/>
        </w:rPr>
        <w:t xml:space="preserve"> </w:t>
      </w:r>
      <w:r w:rsidRPr="00614C98"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  <w:t>…</w:t>
      </w:r>
    </w:p>
    <w:p w14:paraId="3CEE1840" w14:textId="77777777" w:rsidR="002339E1" w:rsidRPr="00614C98" w:rsidRDefault="002339E1" w:rsidP="002339E1">
      <w:pPr>
        <w:spacing w:after="0" w:line="240" w:lineRule="auto"/>
        <w:ind w:firstLine="288"/>
        <w:jc w:val="both"/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</w:pPr>
    </w:p>
    <w:p w14:paraId="1525245F" w14:textId="77777777" w:rsidR="002339E1" w:rsidRPr="00614C98" w:rsidRDefault="002339E1" w:rsidP="002339E1">
      <w:pPr>
        <w:spacing w:after="0" w:line="240" w:lineRule="auto"/>
        <w:ind w:left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DÉCIMO OCTAVO.-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 </w:t>
      </w:r>
      <w:r w:rsidRPr="00614C98">
        <w:rPr>
          <w:rFonts w:ascii="ITC Avant Garde" w:hAnsi="ITC Avant Garde" w:cs="Arial"/>
          <w:bCs/>
          <w:sz w:val="20"/>
          <w:szCs w:val="20"/>
        </w:rPr>
        <w:t>Los Concesionarios y Autorizados deberán entregar al Instituto en el mes de enero de cada año, el informe referido en el lineamiento CUADRAGÉSIMO.</w:t>
      </w:r>
    </w:p>
    <w:p w14:paraId="4CF1112D" w14:textId="77777777" w:rsidR="002339E1" w:rsidRPr="00614C98" w:rsidRDefault="002339E1" w:rsidP="00FE58E3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I.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572CBBD2" w14:textId="77777777" w:rsidR="002339E1" w:rsidRPr="00614C98" w:rsidRDefault="002339E1" w:rsidP="00FE58E3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II.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6A2E4446" w14:textId="77777777" w:rsidR="002339E1" w:rsidRPr="00614C98" w:rsidRDefault="002339E1" w:rsidP="00FE58E3">
      <w:pPr>
        <w:spacing w:after="0" w:line="240" w:lineRule="auto"/>
        <w:ind w:firstLine="70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color w:val="2F2F2F"/>
          <w:sz w:val="20"/>
          <w:szCs w:val="20"/>
          <w:lang w:eastAsia="es-MX"/>
        </w:rPr>
        <w:t>III.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 xml:space="preserve"> (Se deroga).</w:t>
      </w:r>
    </w:p>
    <w:p w14:paraId="0BFE1B3B" w14:textId="77777777" w:rsidR="002339E1" w:rsidRPr="00614C98" w:rsidRDefault="002339E1" w:rsidP="00FE58E3">
      <w:pPr>
        <w:spacing w:after="0" w:line="240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6206A068" w14:textId="77777777" w:rsidR="001B54BD" w:rsidRPr="00614C98" w:rsidRDefault="001B54BD" w:rsidP="001B54BD">
      <w:pPr>
        <w:spacing w:after="0" w:line="240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50AE71C3" w14:textId="77777777" w:rsidR="002339E1" w:rsidRPr="00614C98" w:rsidRDefault="002339E1" w:rsidP="002339E1">
      <w:pPr>
        <w:spacing w:after="0" w:line="240" w:lineRule="auto"/>
        <w:ind w:firstLine="288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>(Se deroga).</w:t>
      </w:r>
    </w:p>
    <w:p w14:paraId="7376CD0F" w14:textId="77777777" w:rsidR="001B54BD" w:rsidRPr="00614C98" w:rsidRDefault="001B54BD" w:rsidP="001B54BD">
      <w:pPr>
        <w:spacing w:after="0" w:line="240" w:lineRule="auto"/>
        <w:ind w:firstLine="288"/>
        <w:jc w:val="both"/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</w:t>
      </w:r>
    </w:p>
    <w:p w14:paraId="283776A1" w14:textId="77777777" w:rsidR="002339E1" w:rsidRPr="00614C98" w:rsidRDefault="002339E1" w:rsidP="002339E1">
      <w:pPr>
        <w:spacing w:after="0" w:line="240" w:lineRule="auto"/>
        <w:ind w:firstLine="288"/>
        <w:jc w:val="both"/>
        <w:rPr>
          <w:rFonts w:ascii="ITC Avant Garde" w:hAnsi="ITC Avant Garde"/>
          <w:sz w:val="20"/>
          <w:szCs w:val="20"/>
        </w:rPr>
      </w:pPr>
    </w:p>
    <w:p w14:paraId="72CEBAF4" w14:textId="77777777" w:rsidR="002339E1" w:rsidRPr="00614C98" w:rsidRDefault="002339E1" w:rsidP="002339E1">
      <w:pPr>
        <w:spacing w:after="0" w:line="240" w:lineRule="auto"/>
        <w:ind w:firstLine="284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b/>
          <w:sz w:val="20"/>
          <w:szCs w:val="20"/>
        </w:rPr>
        <w:t xml:space="preserve">CUADRAGÉSIMO PRIMERO.- </w:t>
      </w:r>
      <w:r w:rsidRPr="00614C98">
        <w:rPr>
          <w:rFonts w:ascii="ITC Avant Garde" w:hAnsi="ITC Avant Garde"/>
          <w:sz w:val="20"/>
          <w:szCs w:val="20"/>
        </w:rPr>
        <w:t>…</w:t>
      </w:r>
    </w:p>
    <w:p w14:paraId="7FE712E1" w14:textId="77777777" w:rsidR="002339E1" w:rsidRPr="00614C98" w:rsidRDefault="002339E1" w:rsidP="002339E1">
      <w:pPr>
        <w:spacing w:after="0" w:line="240" w:lineRule="auto"/>
        <w:ind w:firstLine="284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>(Se deroga).</w:t>
      </w:r>
    </w:p>
    <w:p w14:paraId="5ECC45D6" w14:textId="77777777" w:rsidR="002339E1" w:rsidRPr="00614C98" w:rsidRDefault="002339E1" w:rsidP="002339E1">
      <w:pPr>
        <w:spacing w:after="0" w:line="240" w:lineRule="auto"/>
        <w:ind w:firstLine="284"/>
        <w:jc w:val="both"/>
        <w:rPr>
          <w:rFonts w:ascii="ITC Avant Garde" w:hAnsi="ITC Avant Garde"/>
          <w:sz w:val="20"/>
          <w:szCs w:val="20"/>
        </w:rPr>
      </w:pPr>
      <w:r w:rsidRPr="00614C98">
        <w:rPr>
          <w:rFonts w:ascii="ITC Avant Garde" w:hAnsi="ITC Avant Garde"/>
          <w:sz w:val="20"/>
          <w:szCs w:val="20"/>
        </w:rPr>
        <w:t>…</w:t>
      </w:r>
    </w:p>
    <w:p w14:paraId="5DA00592" w14:textId="77777777" w:rsidR="002339E1" w:rsidRPr="00614C98" w:rsidRDefault="002339E1" w:rsidP="002339E1">
      <w:pPr>
        <w:spacing w:after="0" w:line="240" w:lineRule="auto"/>
        <w:ind w:firstLine="284"/>
        <w:jc w:val="both"/>
        <w:rPr>
          <w:rFonts w:ascii="ITC Avant Garde" w:hAnsi="ITC Avant Garde"/>
          <w:sz w:val="20"/>
          <w:szCs w:val="20"/>
        </w:rPr>
      </w:pPr>
    </w:p>
    <w:p w14:paraId="5F02A248" w14:textId="77777777" w:rsidR="002339E1" w:rsidRPr="00614C98" w:rsidRDefault="002339E1" w:rsidP="002339E1">
      <w:pPr>
        <w:spacing w:after="0" w:line="240" w:lineRule="auto"/>
        <w:ind w:firstLine="284"/>
        <w:jc w:val="both"/>
        <w:rPr>
          <w:rFonts w:ascii="ITC Avant Garde" w:eastAsia="Times New Roman" w:hAnsi="ITC Avant Garde" w:cs="Times"/>
          <w:b/>
          <w:bCs/>
          <w:color w:val="2F2F2F"/>
          <w:sz w:val="20"/>
          <w:szCs w:val="20"/>
          <w:lang w:eastAsia="es-MX"/>
        </w:rPr>
      </w:pPr>
      <w:r w:rsidRPr="00614C98">
        <w:rPr>
          <w:rFonts w:ascii="ITC Avant Garde" w:hAnsi="ITC Avant Garde"/>
          <w:b/>
          <w:sz w:val="20"/>
          <w:szCs w:val="20"/>
        </w:rPr>
        <w:t xml:space="preserve">ANEXO II. </w:t>
      </w:r>
      <w:r w:rsidRPr="00614C98">
        <w:rPr>
          <w:rFonts w:ascii="ITC Avant Garde" w:eastAsia="Times New Roman" w:hAnsi="ITC Avant Garde" w:cs="Arial"/>
          <w:bCs/>
          <w:color w:val="2F2F2F"/>
          <w:sz w:val="20"/>
          <w:szCs w:val="20"/>
          <w:lang w:eastAsia="es-MX"/>
        </w:rPr>
        <w:t>(Se deroga).”</w:t>
      </w:r>
    </w:p>
    <w:p w14:paraId="031881BF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Times"/>
          <w:b/>
          <w:bCs/>
          <w:sz w:val="20"/>
          <w:szCs w:val="20"/>
          <w:lang w:eastAsia="es-MX"/>
        </w:rPr>
      </w:pPr>
    </w:p>
    <w:p w14:paraId="5E362AD7" w14:textId="77777777" w:rsidR="002339E1" w:rsidRPr="00353E5E" w:rsidRDefault="002339E1" w:rsidP="002339E1">
      <w:pPr>
        <w:shd w:val="clear" w:color="auto" w:fill="FFFFFF"/>
        <w:spacing w:after="0" w:line="240" w:lineRule="auto"/>
        <w:jc w:val="center"/>
        <w:rPr>
          <w:rFonts w:ascii="ITC Avant Garde" w:eastAsia="Times New Roman" w:hAnsi="ITC Avant Garde" w:cs="Times"/>
          <w:b/>
          <w:bCs/>
          <w:sz w:val="20"/>
          <w:szCs w:val="20"/>
          <w:lang w:val="en-GB" w:eastAsia="es-MX"/>
        </w:rPr>
      </w:pPr>
      <w:r w:rsidRPr="00353E5E">
        <w:rPr>
          <w:rFonts w:ascii="ITC Avant Garde" w:eastAsia="Times New Roman" w:hAnsi="ITC Avant Garde" w:cs="Times"/>
          <w:b/>
          <w:bCs/>
          <w:sz w:val="20"/>
          <w:szCs w:val="20"/>
          <w:lang w:val="en-GB" w:eastAsia="es-MX"/>
        </w:rPr>
        <w:t>T R A N S I T O R I O</w:t>
      </w:r>
    </w:p>
    <w:p w14:paraId="5F166B9F" w14:textId="77777777" w:rsidR="002339E1" w:rsidRPr="00353E5E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Times New Roman"/>
          <w:b/>
          <w:bCs/>
          <w:sz w:val="20"/>
          <w:szCs w:val="20"/>
          <w:lang w:val="en-GB" w:eastAsia="es-MX"/>
        </w:rPr>
      </w:pPr>
    </w:p>
    <w:p w14:paraId="7A2BAAB8" w14:textId="1ED8C87C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Arial"/>
          <w:sz w:val="20"/>
          <w:szCs w:val="20"/>
          <w:lang w:eastAsia="es-MX"/>
        </w:rPr>
      </w:pPr>
      <w:r w:rsidRPr="00614C98">
        <w:rPr>
          <w:rFonts w:ascii="ITC Avant Garde" w:eastAsia="Times New Roman" w:hAnsi="ITC Avant Garde" w:cs="Arial"/>
          <w:b/>
          <w:bCs/>
          <w:sz w:val="20"/>
          <w:szCs w:val="20"/>
          <w:lang w:eastAsia="es-MX"/>
        </w:rPr>
        <w:t>ÚNICO. </w:t>
      </w:r>
      <w:r w:rsidR="00F61ECC">
        <w:rPr>
          <w:rFonts w:ascii="ITC Avant Garde" w:eastAsia="Times New Roman" w:hAnsi="ITC Avant Garde" w:cs="Arial"/>
          <w:sz w:val="20"/>
          <w:szCs w:val="20"/>
          <w:lang w:eastAsia="es-MX"/>
        </w:rPr>
        <w:t>El presente A</w:t>
      </w:r>
      <w:r w:rsidRPr="00614C98">
        <w:rPr>
          <w:rFonts w:ascii="ITC Avant Garde" w:eastAsia="Times New Roman" w:hAnsi="ITC Avant Garde" w:cs="Arial"/>
          <w:sz w:val="20"/>
          <w:szCs w:val="20"/>
          <w:lang w:eastAsia="es-MX"/>
        </w:rPr>
        <w:t>cuerdo entrará en vigor al día siguiente de su publicación en el Diario Oficial de la Federación.</w:t>
      </w:r>
    </w:p>
    <w:p w14:paraId="78414DA0" w14:textId="77777777" w:rsidR="002339E1" w:rsidRPr="00614C98" w:rsidRDefault="002339E1" w:rsidP="002339E1">
      <w:pPr>
        <w:shd w:val="clear" w:color="auto" w:fill="FFFFFF"/>
        <w:spacing w:after="0" w:line="240" w:lineRule="auto"/>
        <w:jc w:val="both"/>
        <w:rPr>
          <w:rFonts w:ascii="ITC Avant Garde" w:eastAsia="Times New Roman" w:hAnsi="ITC Avant Garde" w:cs="Arial"/>
          <w:sz w:val="20"/>
          <w:szCs w:val="20"/>
          <w:lang w:eastAsia="es-MX"/>
        </w:rPr>
      </w:pPr>
    </w:p>
    <w:p w14:paraId="3C7891BA" w14:textId="77777777" w:rsidR="002339E1" w:rsidRPr="00614C98" w:rsidRDefault="002339E1" w:rsidP="002339E1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787B5B77" w14:textId="77777777" w:rsidR="002E6321" w:rsidRPr="002339E1" w:rsidRDefault="002E6321" w:rsidP="002339E1"/>
    <w:sectPr w:rsidR="002E6321" w:rsidRPr="0023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77CB" w14:textId="77777777" w:rsidR="008A1EDA" w:rsidRDefault="008A1EDA" w:rsidP="00970D86">
      <w:pPr>
        <w:spacing w:after="0" w:line="240" w:lineRule="auto"/>
      </w:pPr>
      <w:r>
        <w:separator/>
      </w:r>
    </w:p>
  </w:endnote>
  <w:endnote w:type="continuationSeparator" w:id="0">
    <w:p w14:paraId="7BD5F397" w14:textId="77777777" w:rsidR="008A1EDA" w:rsidRDefault="008A1EDA" w:rsidP="0097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BE1E7" w14:textId="77777777" w:rsidR="008A1EDA" w:rsidRDefault="008A1EDA" w:rsidP="00970D86">
      <w:pPr>
        <w:spacing w:after="0" w:line="240" w:lineRule="auto"/>
      </w:pPr>
      <w:r>
        <w:separator/>
      </w:r>
    </w:p>
  </w:footnote>
  <w:footnote w:type="continuationSeparator" w:id="0">
    <w:p w14:paraId="20B8C3F5" w14:textId="77777777" w:rsidR="008A1EDA" w:rsidRDefault="008A1EDA" w:rsidP="0097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177"/>
    <w:multiLevelType w:val="hybridMultilevel"/>
    <w:tmpl w:val="7C369D62"/>
    <w:lvl w:ilvl="0" w:tplc="214477FC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64F1D"/>
    <w:multiLevelType w:val="hybridMultilevel"/>
    <w:tmpl w:val="7CA8AB82"/>
    <w:lvl w:ilvl="0" w:tplc="1B3AFBF6">
      <w:start w:val="1"/>
      <w:numFmt w:val="upperRoman"/>
      <w:lvlText w:val="%1."/>
      <w:lvlJc w:val="left"/>
      <w:pPr>
        <w:ind w:left="1007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67" w:hanging="360"/>
      </w:pPr>
    </w:lvl>
    <w:lvl w:ilvl="2" w:tplc="080A001B" w:tentative="1">
      <w:start w:val="1"/>
      <w:numFmt w:val="lowerRoman"/>
      <w:lvlText w:val="%3."/>
      <w:lvlJc w:val="right"/>
      <w:pPr>
        <w:ind w:left="2087" w:hanging="180"/>
      </w:pPr>
    </w:lvl>
    <w:lvl w:ilvl="3" w:tplc="080A000F" w:tentative="1">
      <w:start w:val="1"/>
      <w:numFmt w:val="decimal"/>
      <w:lvlText w:val="%4."/>
      <w:lvlJc w:val="left"/>
      <w:pPr>
        <w:ind w:left="2807" w:hanging="360"/>
      </w:pPr>
    </w:lvl>
    <w:lvl w:ilvl="4" w:tplc="080A0019" w:tentative="1">
      <w:start w:val="1"/>
      <w:numFmt w:val="lowerLetter"/>
      <w:lvlText w:val="%5."/>
      <w:lvlJc w:val="left"/>
      <w:pPr>
        <w:ind w:left="3527" w:hanging="360"/>
      </w:pPr>
    </w:lvl>
    <w:lvl w:ilvl="5" w:tplc="080A001B" w:tentative="1">
      <w:start w:val="1"/>
      <w:numFmt w:val="lowerRoman"/>
      <w:lvlText w:val="%6."/>
      <w:lvlJc w:val="right"/>
      <w:pPr>
        <w:ind w:left="4247" w:hanging="180"/>
      </w:pPr>
    </w:lvl>
    <w:lvl w:ilvl="6" w:tplc="080A000F" w:tentative="1">
      <w:start w:val="1"/>
      <w:numFmt w:val="decimal"/>
      <w:lvlText w:val="%7."/>
      <w:lvlJc w:val="left"/>
      <w:pPr>
        <w:ind w:left="4967" w:hanging="360"/>
      </w:pPr>
    </w:lvl>
    <w:lvl w:ilvl="7" w:tplc="080A0019" w:tentative="1">
      <w:start w:val="1"/>
      <w:numFmt w:val="lowerLetter"/>
      <w:lvlText w:val="%8."/>
      <w:lvlJc w:val="left"/>
      <w:pPr>
        <w:ind w:left="5687" w:hanging="360"/>
      </w:pPr>
    </w:lvl>
    <w:lvl w:ilvl="8" w:tplc="08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73C76A5F"/>
    <w:multiLevelType w:val="hybridMultilevel"/>
    <w:tmpl w:val="F844E3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F3EB4"/>
    <w:multiLevelType w:val="hybridMultilevel"/>
    <w:tmpl w:val="98823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6"/>
    <w:rsid w:val="000041B5"/>
    <w:rsid w:val="00044472"/>
    <w:rsid w:val="0006039F"/>
    <w:rsid w:val="000823FF"/>
    <w:rsid w:val="00095908"/>
    <w:rsid w:val="000A6AE6"/>
    <w:rsid w:val="000C7196"/>
    <w:rsid w:val="000D0682"/>
    <w:rsid w:val="000D3024"/>
    <w:rsid w:val="000E12A1"/>
    <w:rsid w:val="000E2934"/>
    <w:rsid w:val="00106893"/>
    <w:rsid w:val="00110C2A"/>
    <w:rsid w:val="001460B1"/>
    <w:rsid w:val="001517E4"/>
    <w:rsid w:val="00181955"/>
    <w:rsid w:val="001A1B71"/>
    <w:rsid w:val="001B40B5"/>
    <w:rsid w:val="001B54BD"/>
    <w:rsid w:val="001C31DB"/>
    <w:rsid w:val="001F0FE6"/>
    <w:rsid w:val="001F67B3"/>
    <w:rsid w:val="0020105D"/>
    <w:rsid w:val="002064C3"/>
    <w:rsid w:val="00217BCA"/>
    <w:rsid w:val="002339E1"/>
    <w:rsid w:val="002359D3"/>
    <w:rsid w:val="002403EB"/>
    <w:rsid w:val="00242B78"/>
    <w:rsid w:val="002860E2"/>
    <w:rsid w:val="002D1746"/>
    <w:rsid w:val="002E2616"/>
    <w:rsid w:val="002E6321"/>
    <w:rsid w:val="003046B4"/>
    <w:rsid w:val="003059C1"/>
    <w:rsid w:val="00312BF7"/>
    <w:rsid w:val="00321FAD"/>
    <w:rsid w:val="0033136D"/>
    <w:rsid w:val="003333B3"/>
    <w:rsid w:val="00344D45"/>
    <w:rsid w:val="00353E5E"/>
    <w:rsid w:val="00365F7A"/>
    <w:rsid w:val="0037404F"/>
    <w:rsid w:val="00381792"/>
    <w:rsid w:val="003935AF"/>
    <w:rsid w:val="003953C1"/>
    <w:rsid w:val="003B4DAF"/>
    <w:rsid w:val="003B6340"/>
    <w:rsid w:val="003B6393"/>
    <w:rsid w:val="003B762E"/>
    <w:rsid w:val="003D480E"/>
    <w:rsid w:val="003E1D96"/>
    <w:rsid w:val="003F0A33"/>
    <w:rsid w:val="00416DA6"/>
    <w:rsid w:val="004303BA"/>
    <w:rsid w:val="0043098F"/>
    <w:rsid w:val="004501F9"/>
    <w:rsid w:val="00451A8F"/>
    <w:rsid w:val="00461D2D"/>
    <w:rsid w:val="00482744"/>
    <w:rsid w:val="004A21D6"/>
    <w:rsid w:val="004A3E85"/>
    <w:rsid w:val="004E2659"/>
    <w:rsid w:val="004E2E2D"/>
    <w:rsid w:val="004F1207"/>
    <w:rsid w:val="004F6951"/>
    <w:rsid w:val="00506AB0"/>
    <w:rsid w:val="005279A8"/>
    <w:rsid w:val="005460D7"/>
    <w:rsid w:val="00552A4D"/>
    <w:rsid w:val="00587906"/>
    <w:rsid w:val="00590B4B"/>
    <w:rsid w:val="005A308A"/>
    <w:rsid w:val="005B52C9"/>
    <w:rsid w:val="005C0FFA"/>
    <w:rsid w:val="005C4887"/>
    <w:rsid w:val="00614C98"/>
    <w:rsid w:val="006730C1"/>
    <w:rsid w:val="006C19F7"/>
    <w:rsid w:val="006C24AB"/>
    <w:rsid w:val="00704A1B"/>
    <w:rsid w:val="007251DF"/>
    <w:rsid w:val="00750200"/>
    <w:rsid w:val="00766A04"/>
    <w:rsid w:val="00791FA4"/>
    <w:rsid w:val="00795225"/>
    <w:rsid w:val="007A79CB"/>
    <w:rsid w:val="007B6E3B"/>
    <w:rsid w:val="008020B4"/>
    <w:rsid w:val="008319D9"/>
    <w:rsid w:val="00833FA0"/>
    <w:rsid w:val="008962AB"/>
    <w:rsid w:val="008A1EDA"/>
    <w:rsid w:val="008A7100"/>
    <w:rsid w:val="008B1F49"/>
    <w:rsid w:val="008B22FC"/>
    <w:rsid w:val="008C30E2"/>
    <w:rsid w:val="008D5241"/>
    <w:rsid w:val="008F0284"/>
    <w:rsid w:val="00904A1E"/>
    <w:rsid w:val="009074E8"/>
    <w:rsid w:val="00924790"/>
    <w:rsid w:val="00970D86"/>
    <w:rsid w:val="00974E7F"/>
    <w:rsid w:val="00993CAA"/>
    <w:rsid w:val="009A1014"/>
    <w:rsid w:val="009D2522"/>
    <w:rsid w:val="009E2002"/>
    <w:rsid w:val="009F51C3"/>
    <w:rsid w:val="00A00429"/>
    <w:rsid w:val="00A0398A"/>
    <w:rsid w:val="00A178A4"/>
    <w:rsid w:val="00A25B8F"/>
    <w:rsid w:val="00A507C9"/>
    <w:rsid w:val="00A51909"/>
    <w:rsid w:val="00A807A6"/>
    <w:rsid w:val="00A80A11"/>
    <w:rsid w:val="00A84A13"/>
    <w:rsid w:val="00A87C14"/>
    <w:rsid w:val="00A90902"/>
    <w:rsid w:val="00A9173D"/>
    <w:rsid w:val="00AB7F8C"/>
    <w:rsid w:val="00AC05CA"/>
    <w:rsid w:val="00AD3660"/>
    <w:rsid w:val="00AD6009"/>
    <w:rsid w:val="00B84152"/>
    <w:rsid w:val="00B9450D"/>
    <w:rsid w:val="00B97D5A"/>
    <w:rsid w:val="00BA3DA8"/>
    <w:rsid w:val="00BB19C8"/>
    <w:rsid w:val="00BB3E23"/>
    <w:rsid w:val="00BC30EA"/>
    <w:rsid w:val="00BE1C14"/>
    <w:rsid w:val="00C02AF0"/>
    <w:rsid w:val="00C16D01"/>
    <w:rsid w:val="00C9700C"/>
    <w:rsid w:val="00C97C36"/>
    <w:rsid w:val="00CD7004"/>
    <w:rsid w:val="00CE27DD"/>
    <w:rsid w:val="00D23424"/>
    <w:rsid w:val="00D37DA8"/>
    <w:rsid w:val="00D56C68"/>
    <w:rsid w:val="00D6223B"/>
    <w:rsid w:val="00D71361"/>
    <w:rsid w:val="00DB3A17"/>
    <w:rsid w:val="00DD2B1D"/>
    <w:rsid w:val="00DD6B83"/>
    <w:rsid w:val="00DE6DBE"/>
    <w:rsid w:val="00E2106F"/>
    <w:rsid w:val="00E33CD0"/>
    <w:rsid w:val="00E577FD"/>
    <w:rsid w:val="00E61E5E"/>
    <w:rsid w:val="00E86C07"/>
    <w:rsid w:val="00EB34E0"/>
    <w:rsid w:val="00ED6782"/>
    <w:rsid w:val="00EF53AD"/>
    <w:rsid w:val="00F070C2"/>
    <w:rsid w:val="00F2264C"/>
    <w:rsid w:val="00F27AFB"/>
    <w:rsid w:val="00F36B07"/>
    <w:rsid w:val="00F40D7F"/>
    <w:rsid w:val="00F61ECC"/>
    <w:rsid w:val="00F631C3"/>
    <w:rsid w:val="00F65C05"/>
    <w:rsid w:val="00F76833"/>
    <w:rsid w:val="00F822BA"/>
    <w:rsid w:val="00F83AEA"/>
    <w:rsid w:val="00FB1164"/>
    <w:rsid w:val="00FD2B5F"/>
    <w:rsid w:val="00FD73DA"/>
    <w:rsid w:val="00FE48FC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4A42"/>
  <w15:chartTrackingRefBased/>
  <w15:docId w15:val="{B44C5D05-A718-4D63-9C5C-19CA9533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E1"/>
  </w:style>
  <w:style w:type="paragraph" w:styleId="Ttulo2">
    <w:name w:val="heading 2"/>
    <w:basedOn w:val="Normal"/>
    <w:link w:val="Ttulo2Car"/>
    <w:uiPriority w:val="9"/>
    <w:qFormat/>
    <w:rsid w:val="00082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2E261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E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E26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16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2E261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2E261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TextoCar">
    <w:name w:val="Texto Car"/>
    <w:link w:val="Texto"/>
    <w:locked/>
    <w:rsid w:val="002E261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2E261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D5241"/>
  </w:style>
  <w:style w:type="paragraph" w:customStyle="1" w:styleId="Default">
    <w:name w:val="Default"/>
    <w:rsid w:val="008D52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0D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70D86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B8F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B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823F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texto0">
    <w:name w:val="texto"/>
    <w:basedOn w:val="Normal"/>
    <w:rsid w:val="00C02AF0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table" w:styleId="Tablaconcuadrcula">
    <w:name w:val="Table Grid"/>
    <w:basedOn w:val="Tablanormal"/>
    <w:uiPriority w:val="39"/>
    <w:rsid w:val="00C02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3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9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1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90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47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967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863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9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2280</Words>
  <Characters>12544</Characters>
  <Application>Microsoft Office Word</Application>
  <DocSecurity>4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DGCJ</dc:creator>
  <cp:keywords/>
  <dc:description/>
  <cp:lastModifiedBy>Yaratzet Funes Lopez</cp:lastModifiedBy>
  <cp:revision>2</cp:revision>
  <cp:lastPrinted>2017-03-31T15:08:00Z</cp:lastPrinted>
  <dcterms:created xsi:type="dcterms:W3CDTF">2018-03-07T16:22:00Z</dcterms:created>
  <dcterms:modified xsi:type="dcterms:W3CDTF">2018-03-07T16:22:00Z</dcterms:modified>
</cp:coreProperties>
</file>