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Tr="0068307E">
        <w:trPr>
          <w:trHeight w:val="816"/>
        </w:trPr>
        <w:tc>
          <w:tcPr>
            <w:tcW w:w="3114" w:type="dxa"/>
            <w:shd w:val="clear" w:color="auto" w:fill="DBDBDB" w:themeFill="accent3" w:themeFillTint="66"/>
          </w:tcPr>
          <w:p w:rsidR="00501ADF" w:rsidRPr="0068307E" w:rsidRDefault="00002CDF" w:rsidP="00501ADF">
            <w:pPr>
              <w:jc w:val="both"/>
              <w:rPr>
                <w:b/>
                <w:sz w:val="20"/>
              </w:rPr>
            </w:pPr>
            <w:r>
              <w:rPr>
                <w:b/>
                <w:sz w:val="20"/>
              </w:rPr>
              <w:t>|</w:t>
            </w:r>
            <w:r w:rsidR="00501ADF" w:rsidRPr="0068307E">
              <w:rPr>
                <w:b/>
                <w:sz w:val="20"/>
              </w:rPr>
              <w:t>Unidad administrativa:</w:t>
            </w:r>
          </w:p>
          <w:p w:rsidR="0068307E" w:rsidRPr="0068307E" w:rsidRDefault="0068307E" w:rsidP="00501ADF">
            <w:pPr>
              <w:jc w:val="both"/>
              <w:rPr>
                <w:sz w:val="20"/>
              </w:rPr>
            </w:pPr>
          </w:p>
          <w:p w:rsidR="0068307E" w:rsidRPr="0068307E" w:rsidRDefault="00F450C9" w:rsidP="00501ADF">
            <w:pPr>
              <w:jc w:val="both"/>
              <w:rPr>
                <w:sz w:val="20"/>
              </w:rPr>
            </w:pPr>
            <w:r>
              <w:rPr>
                <w:sz w:val="20"/>
              </w:rPr>
              <w:t>Unidad de Asuntos Jurídicos</w:t>
            </w:r>
          </w:p>
        </w:tc>
        <w:tc>
          <w:tcPr>
            <w:tcW w:w="5714" w:type="dxa"/>
            <w:gridSpan w:val="2"/>
            <w:shd w:val="clear" w:color="auto" w:fill="DBDBDB" w:themeFill="accent3" w:themeFillTint="66"/>
          </w:tcPr>
          <w:p w:rsidR="00501ADF" w:rsidRDefault="00501ADF" w:rsidP="00501ADF">
            <w:pPr>
              <w:jc w:val="both"/>
              <w:rPr>
                <w:b/>
                <w:sz w:val="20"/>
              </w:rPr>
            </w:pPr>
            <w:r w:rsidRPr="0068307E">
              <w:rPr>
                <w:b/>
                <w:sz w:val="20"/>
              </w:rPr>
              <w:t>Título del anteproyecto de regulación:</w:t>
            </w:r>
          </w:p>
          <w:p w:rsidR="0068307E" w:rsidRDefault="0068307E" w:rsidP="00501ADF">
            <w:pPr>
              <w:jc w:val="both"/>
              <w:rPr>
                <w:b/>
                <w:sz w:val="20"/>
              </w:rPr>
            </w:pPr>
          </w:p>
          <w:p w:rsidR="0068307E" w:rsidRPr="0068307E" w:rsidRDefault="00B76566" w:rsidP="001F3085">
            <w:pPr>
              <w:jc w:val="both"/>
              <w:rPr>
                <w:sz w:val="20"/>
              </w:rPr>
            </w:pPr>
            <w:r w:rsidRPr="00B76566">
              <w:rPr>
                <w:sz w:val="20"/>
              </w:rPr>
              <w:t>ANTEPROYECTO DEL ACUERDO POR EL QUE SE MODIFICAN LOS LINEAMIENTOS DE COLABORACIÓN EN MATERIA DE SEGURIDAD Y JUSTICIA.</w:t>
            </w:r>
          </w:p>
        </w:tc>
      </w:tr>
      <w:tr w:rsidR="0068307E" w:rsidTr="0068307E">
        <w:tc>
          <w:tcPr>
            <w:tcW w:w="3114" w:type="dxa"/>
            <w:vMerge w:val="restart"/>
            <w:shd w:val="clear" w:color="auto" w:fill="DBDBDB" w:themeFill="accent3" w:themeFillTint="66"/>
          </w:tcPr>
          <w:p w:rsidR="0068307E" w:rsidRPr="00DB1927" w:rsidRDefault="0068307E" w:rsidP="00501ADF">
            <w:pPr>
              <w:jc w:val="both"/>
              <w:rPr>
                <w:b/>
                <w:sz w:val="18"/>
                <w:szCs w:val="18"/>
              </w:rPr>
            </w:pPr>
            <w:r w:rsidRPr="00DB1927">
              <w:rPr>
                <w:b/>
                <w:sz w:val="18"/>
                <w:szCs w:val="18"/>
              </w:rPr>
              <w:t>Datos de contacto:</w:t>
            </w:r>
          </w:p>
          <w:p w:rsidR="0068307E" w:rsidRPr="00DB1927" w:rsidRDefault="0068307E" w:rsidP="00501ADF">
            <w:pPr>
              <w:jc w:val="both"/>
              <w:rPr>
                <w:b/>
                <w:sz w:val="18"/>
                <w:szCs w:val="18"/>
              </w:rPr>
            </w:pPr>
          </w:p>
          <w:p w:rsidR="0068307E" w:rsidRPr="00DB1927" w:rsidRDefault="0068307E" w:rsidP="00501ADF">
            <w:pPr>
              <w:jc w:val="both"/>
              <w:rPr>
                <w:sz w:val="18"/>
                <w:szCs w:val="18"/>
              </w:rPr>
            </w:pPr>
            <w:r w:rsidRPr="00DB1927">
              <w:rPr>
                <w:sz w:val="18"/>
                <w:szCs w:val="18"/>
              </w:rPr>
              <w:t xml:space="preserve">Lic. </w:t>
            </w:r>
            <w:r w:rsidR="00440900" w:rsidRPr="00DB1927">
              <w:rPr>
                <w:sz w:val="18"/>
                <w:szCs w:val="18"/>
              </w:rPr>
              <w:t>Karim Yuzef Gazal Batiz</w:t>
            </w:r>
          </w:p>
          <w:p w:rsidR="0068307E" w:rsidRPr="00DB1927" w:rsidRDefault="0068307E" w:rsidP="00501ADF">
            <w:pPr>
              <w:jc w:val="both"/>
              <w:rPr>
                <w:sz w:val="18"/>
                <w:szCs w:val="18"/>
              </w:rPr>
            </w:pPr>
            <w:r w:rsidRPr="00DB1927">
              <w:rPr>
                <w:sz w:val="18"/>
                <w:szCs w:val="18"/>
              </w:rPr>
              <w:t>Teléfono: 5015-</w:t>
            </w:r>
            <w:r w:rsidR="00440900" w:rsidRPr="00DB1927">
              <w:rPr>
                <w:sz w:val="18"/>
                <w:szCs w:val="18"/>
              </w:rPr>
              <w:t>4560</w:t>
            </w:r>
          </w:p>
          <w:p w:rsidR="0068307E" w:rsidRPr="00DB1927" w:rsidRDefault="0068307E" w:rsidP="00501ADF">
            <w:pPr>
              <w:jc w:val="both"/>
              <w:rPr>
                <w:sz w:val="18"/>
                <w:szCs w:val="18"/>
              </w:rPr>
            </w:pPr>
            <w:r w:rsidRPr="00DB1927">
              <w:rPr>
                <w:sz w:val="18"/>
                <w:szCs w:val="18"/>
              </w:rPr>
              <w:t>Correo electrónico:</w:t>
            </w:r>
          </w:p>
          <w:p w:rsidR="00D773DF" w:rsidRPr="00DB1927" w:rsidRDefault="00440900" w:rsidP="001F3085">
            <w:pPr>
              <w:jc w:val="both"/>
              <w:rPr>
                <w:sz w:val="18"/>
                <w:szCs w:val="18"/>
              </w:rPr>
            </w:pPr>
            <w:r w:rsidRPr="00DB1927">
              <w:rPr>
                <w:sz w:val="18"/>
                <w:szCs w:val="18"/>
              </w:rPr>
              <w:t>karim.gazal</w:t>
            </w:r>
            <w:hyperlink r:id="rId7" w:history="1">
              <w:r w:rsidR="00D773DF" w:rsidRPr="00DB1927">
                <w:rPr>
                  <w:rStyle w:val="Hipervnculo"/>
                  <w:color w:val="auto"/>
                  <w:sz w:val="18"/>
                  <w:szCs w:val="18"/>
                  <w:u w:val="none"/>
                </w:rPr>
                <w:t>@ift.org.mx</w:t>
              </w:r>
            </w:hyperlink>
          </w:p>
          <w:p w:rsidR="00D773DF" w:rsidRPr="00DB1927" w:rsidRDefault="00D773DF" w:rsidP="001F3085">
            <w:pPr>
              <w:jc w:val="both"/>
              <w:rPr>
                <w:sz w:val="18"/>
                <w:szCs w:val="18"/>
              </w:rPr>
            </w:pPr>
          </w:p>
          <w:p w:rsidR="0068307E" w:rsidRPr="00DB1927" w:rsidRDefault="00DB1927" w:rsidP="001F3085">
            <w:pPr>
              <w:jc w:val="both"/>
              <w:rPr>
                <w:sz w:val="18"/>
                <w:szCs w:val="18"/>
              </w:rPr>
            </w:pPr>
            <w:r w:rsidRPr="00DB1927">
              <w:rPr>
                <w:sz w:val="18"/>
                <w:szCs w:val="18"/>
              </w:rPr>
              <w:t xml:space="preserve">Lic. </w:t>
            </w:r>
            <w:r w:rsidR="00440900" w:rsidRPr="00DB1927">
              <w:rPr>
                <w:sz w:val="18"/>
                <w:szCs w:val="18"/>
              </w:rPr>
              <w:t>Mayra Alejandra Brito del Carmen</w:t>
            </w:r>
            <w:r w:rsidR="0068307E" w:rsidRPr="00DB1927">
              <w:rPr>
                <w:sz w:val="18"/>
                <w:szCs w:val="18"/>
              </w:rPr>
              <w:t xml:space="preserve"> </w:t>
            </w:r>
          </w:p>
          <w:p w:rsidR="00D773DF" w:rsidRPr="00DB1927" w:rsidRDefault="00440900" w:rsidP="001F3085">
            <w:pPr>
              <w:jc w:val="both"/>
              <w:rPr>
                <w:sz w:val="18"/>
                <w:szCs w:val="18"/>
              </w:rPr>
            </w:pPr>
            <w:r w:rsidRPr="00DB1927">
              <w:rPr>
                <w:sz w:val="18"/>
                <w:szCs w:val="18"/>
              </w:rPr>
              <w:t>Teléfono: 5015-2096</w:t>
            </w:r>
          </w:p>
          <w:p w:rsidR="00D773DF" w:rsidRPr="00DB1927" w:rsidRDefault="00D773DF" w:rsidP="001F3085">
            <w:pPr>
              <w:jc w:val="both"/>
              <w:rPr>
                <w:sz w:val="18"/>
                <w:szCs w:val="18"/>
              </w:rPr>
            </w:pPr>
            <w:r w:rsidRPr="00DB1927">
              <w:rPr>
                <w:sz w:val="18"/>
                <w:szCs w:val="18"/>
              </w:rPr>
              <w:t>Correo electrónico:</w:t>
            </w:r>
          </w:p>
          <w:p w:rsidR="00D773DF" w:rsidRPr="0068307E" w:rsidRDefault="00440900" w:rsidP="001F3085">
            <w:pPr>
              <w:jc w:val="both"/>
              <w:rPr>
                <w:b/>
                <w:sz w:val="20"/>
              </w:rPr>
            </w:pPr>
            <w:r w:rsidRPr="00DB1927">
              <w:rPr>
                <w:sz w:val="18"/>
                <w:szCs w:val="18"/>
              </w:rPr>
              <w:t>mayra.brito</w:t>
            </w:r>
            <w:r w:rsidR="00D773DF" w:rsidRPr="00DB1927">
              <w:rPr>
                <w:sz w:val="18"/>
                <w:szCs w:val="18"/>
              </w:rPr>
              <w:t>@ift.org.mx</w:t>
            </w:r>
          </w:p>
        </w:tc>
        <w:tc>
          <w:tcPr>
            <w:tcW w:w="3402" w:type="dxa"/>
            <w:shd w:val="clear" w:color="auto" w:fill="DBDBDB" w:themeFill="accent3" w:themeFillTint="66"/>
          </w:tcPr>
          <w:p w:rsidR="0068307E" w:rsidRDefault="0068307E" w:rsidP="008A48B0">
            <w:pPr>
              <w:jc w:val="both"/>
              <w:rPr>
                <w:b/>
                <w:sz w:val="20"/>
              </w:rPr>
            </w:pPr>
            <w:r w:rsidRPr="0068307E">
              <w:rPr>
                <w:b/>
                <w:sz w:val="20"/>
              </w:rPr>
              <w:t>Fecha de elaboración:</w:t>
            </w:r>
          </w:p>
          <w:p w:rsidR="0068307E" w:rsidRPr="0068307E" w:rsidRDefault="0068307E" w:rsidP="008A48B0">
            <w:pPr>
              <w:jc w:val="both"/>
              <w:rPr>
                <w:b/>
                <w:sz w:val="20"/>
              </w:rPr>
            </w:pPr>
          </w:p>
        </w:tc>
        <w:tc>
          <w:tcPr>
            <w:tcW w:w="2312" w:type="dxa"/>
            <w:shd w:val="clear" w:color="auto" w:fill="DBDBDB" w:themeFill="accent3" w:themeFillTint="66"/>
          </w:tcPr>
          <w:p w:rsidR="0068307E" w:rsidRPr="0068307E" w:rsidRDefault="00AB3BFB" w:rsidP="00440900">
            <w:pPr>
              <w:jc w:val="center"/>
              <w:rPr>
                <w:sz w:val="20"/>
              </w:rPr>
            </w:pPr>
            <w:r>
              <w:rPr>
                <w:sz w:val="20"/>
              </w:rPr>
              <w:t>05</w:t>
            </w:r>
            <w:r w:rsidR="0068307E" w:rsidRPr="0068307E">
              <w:rPr>
                <w:sz w:val="20"/>
              </w:rPr>
              <w:t>/</w:t>
            </w:r>
            <w:r>
              <w:rPr>
                <w:sz w:val="20"/>
              </w:rPr>
              <w:t>12</w:t>
            </w:r>
            <w:r w:rsidR="0068307E" w:rsidRPr="0068307E">
              <w:rPr>
                <w:sz w:val="20"/>
              </w:rPr>
              <w:t>/</w:t>
            </w:r>
            <w:r w:rsidR="001F3085">
              <w:rPr>
                <w:sz w:val="20"/>
              </w:rPr>
              <w:t>2017</w:t>
            </w:r>
          </w:p>
        </w:tc>
      </w:tr>
      <w:tr w:rsidR="0068307E" w:rsidTr="0068307E">
        <w:trPr>
          <w:trHeight w:val="390"/>
        </w:trPr>
        <w:tc>
          <w:tcPr>
            <w:tcW w:w="3114" w:type="dxa"/>
            <w:vMerge/>
            <w:shd w:val="clear" w:color="auto" w:fill="DBDBDB" w:themeFill="accent3" w:themeFillTint="66"/>
          </w:tcPr>
          <w:p w:rsidR="0068307E" w:rsidRPr="0068307E" w:rsidRDefault="0068307E" w:rsidP="00501ADF">
            <w:pPr>
              <w:jc w:val="both"/>
              <w:rPr>
                <w:sz w:val="20"/>
              </w:rPr>
            </w:pPr>
          </w:p>
        </w:tc>
        <w:tc>
          <w:tcPr>
            <w:tcW w:w="3402" w:type="dxa"/>
            <w:shd w:val="clear" w:color="auto" w:fill="DBDBDB" w:themeFill="accent3" w:themeFillTint="66"/>
          </w:tcPr>
          <w:p w:rsidR="0068307E" w:rsidRPr="0068307E" w:rsidRDefault="0068307E" w:rsidP="0068307E">
            <w:pPr>
              <w:jc w:val="both"/>
              <w:rPr>
                <w:b/>
                <w:sz w:val="20"/>
              </w:rPr>
            </w:pPr>
            <w:r w:rsidRPr="0068307E">
              <w:rPr>
                <w:b/>
                <w:sz w:val="20"/>
              </w:rPr>
              <w:t xml:space="preserve">Fecha de </w:t>
            </w:r>
            <w:r>
              <w:rPr>
                <w:b/>
                <w:sz w:val="20"/>
              </w:rPr>
              <w:t>inicio de la consulta pública</w:t>
            </w:r>
            <w:r w:rsidRPr="0068307E">
              <w:rPr>
                <w:b/>
                <w:sz w:val="20"/>
              </w:rPr>
              <w:t>:</w:t>
            </w:r>
          </w:p>
        </w:tc>
        <w:tc>
          <w:tcPr>
            <w:tcW w:w="2312" w:type="dxa"/>
            <w:shd w:val="clear" w:color="auto" w:fill="DBDBDB" w:themeFill="accent3" w:themeFillTint="66"/>
          </w:tcPr>
          <w:p w:rsidR="0068307E" w:rsidRPr="0068307E" w:rsidRDefault="00002CDF" w:rsidP="00C8546E">
            <w:pPr>
              <w:jc w:val="center"/>
              <w:rPr>
                <w:sz w:val="20"/>
              </w:rPr>
            </w:pPr>
            <w:r>
              <w:rPr>
                <w:sz w:val="20"/>
              </w:rPr>
              <w:t>15</w:t>
            </w:r>
            <w:r w:rsidR="0068307E" w:rsidRPr="0068307E">
              <w:rPr>
                <w:sz w:val="20"/>
              </w:rPr>
              <w:t>/</w:t>
            </w:r>
            <w:r w:rsidR="00C8546E">
              <w:rPr>
                <w:sz w:val="20"/>
              </w:rPr>
              <w:t>12</w:t>
            </w:r>
            <w:r w:rsidR="0068307E" w:rsidRPr="0068307E">
              <w:rPr>
                <w:sz w:val="20"/>
              </w:rPr>
              <w:t>/</w:t>
            </w:r>
            <w:r w:rsidR="001F3085">
              <w:rPr>
                <w:sz w:val="20"/>
              </w:rPr>
              <w:t>2017</w:t>
            </w:r>
          </w:p>
        </w:tc>
      </w:tr>
      <w:tr w:rsidR="0068307E" w:rsidTr="0068307E">
        <w:tc>
          <w:tcPr>
            <w:tcW w:w="3114" w:type="dxa"/>
            <w:vMerge/>
            <w:shd w:val="clear" w:color="auto" w:fill="DBDBDB" w:themeFill="accent3" w:themeFillTint="66"/>
          </w:tcPr>
          <w:p w:rsidR="0068307E" w:rsidRPr="0068307E" w:rsidRDefault="0068307E" w:rsidP="00501ADF">
            <w:pPr>
              <w:jc w:val="both"/>
              <w:rPr>
                <w:sz w:val="20"/>
              </w:rPr>
            </w:pPr>
          </w:p>
        </w:tc>
        <w:tc>
          <w:tcPr>
            <w:tcW w:w="3402" w:type="dxa"/>
            <w:shd w:val="clear" w:color="auto" w:fill="DBDBDB" w:themeFill="accent3" w:themeFillTint="66"/>
          </w:tcPr>
          <w:p w:rsidR="0068307E" w:rsidRPr="0068307E" w:rsidRDefault="005A40FB" w:rsidP="0068307E">
            <w:pPr>
              <w:jc w:val="both"/>
              <w:rPr>
                <w:b/>
                <w:sz w:val="20"/>
              </w:rPr>
            </w:pPr>
            <w:r>
              <w:rPr>
                <w:b/>
                <w:sz w:val="20"/>
              </w:rPr>
              <w:t xml:space="preserve">Fecha de </w:t>
            </w:r>
            <w:r w:rsidR="0068307E">
              <w:rPr>
                <w:b/>
                <w:sz w:val="20"/>
              </w:rPr>
              <w:t>conclusión de la consulta pública:</w:t>
            </w:r>
          </w:p>
        </w:tc>
        <w:tc>
          <w:tcPr>
            <w:tcW w:w="2312" w:type="dxa"/>
            <w:shd w:val="clear" w:color="auto" w:fill="DBDBDB" w:themeFill="accent3" w:themeFillTint="66"/>
          </w:tcPr>
          <w:p w:rsidR="0068307E" w:rsidRPr="0068307E" w:rsidRDefault="00440900" w:rsidP="004D6E27">
            <w:pPr>
              <w:jc w:val="center"/>
              <w:rPr>
                <w:sz w:val="20"/>
              </w:rPr>
            </w:pPr>
            <w:r>
              <w:rPr>
                <w:sz w:val="20"/>
              </w:rPr>
              <w:t>2</w:t>
            </w:r>
            <w:r w:rsidR="00002CDF">
              <w:rPr>
                <w:sz w:val="20"/>
              </w:rPr>
              <w:t>9</w:t>
            </w:r>
            <w:bookmarkStart w:id="0" w:name="_GoBack"/>
            <w:bookmarkEnd w:id="0"/>
            <w:r>
              <w:rPr>
                <w:sz w:val="20"/>
              </w:rPr>
              <w:t>/0</w:t>
            </w:r>
            <w:r w:rsidR="00C8546E">
              <w:rPr>
                <w:sz w:val="20"/>
              </w:rPr>
              <w:t>1</w:t>
            </w:r>
            <w:r w:rsidR="0068307E" w:rsidRPr="0068307E">
              <w:rPr>
                <w:sz w:val="20"/>
              </w:rPr>
              <w:t>/</w:t>
            </w:r>
            <w:r w:rsidR="00C8546E">
              <w:rPr>
                <w:sz w:val="20"/>
              </w:rPr>
              <w:t>2018</w:t>
            </w:r>
          </w:p>
        </w:tc>
      </w:tr>
    </w:tbl>
    <w:p w:rsidR="00501ADF" w:rsidRDefault="00501ADF" w:rsidP="00501ADF">
      <w:pPr>
        <w:jc w:val="both"/>
      </w:pPr>
    </w:p>
    <w:p w:rsidR="001932FC" w:rsidRDefault="001932FC" w:rsidP="0068307E">
      <w:pPr>
        <w:shd w:val="clear" w:color="auto" w:fill="A8D08D" w:themeFill="accent6" w:themeFillTint="99"/>
        <w:jc w:val="both"/>
      </w:pPr>
      <w: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E6080B" w:rsidTr="008A48B0">
        <w:tc>
          <w:tcPr>
            <w:tcW w:w="8828" w:type="dxa"/>
            <w:shd w:val="clear" w:color="auto" w:fill="FFFFFF" w:themeFill="background1"/>
          </w:tcPr>
          <w:p w:rsidR="001932FC" w:rsidRPr="00E6080B" w:rsidRDefault="001932FC" w:rsidP="008A48B0">
            <w:pPr>
              <w:shd w:val="clear" w:color="auto" w:fill="FFFFFF" w:themeFill="background1"/>
              <w:jc w:val="both"/>
              <w:rPr>
                <w:sz w:val="20"/>
                <w:szCs w:val="20"/>
              </w:rPr>
            </w:pPr>
            <w:r w:rsidRPr="00E6080B">
              <w:rPr>
                <w:sz w:val="20"/>
                <w:szCs w:val="20"/>
              </w:rPr>
              <w:t>1.</w:t>
            </w:r>
            <w:r w:rsidR="00E6080B">
              <w:rPr>
                <w:sz w:val="20"/>
                <w:szCs w:val="20"/>
              </w:rPr>
              <w:t>-</w:t>
            </w:r>
            <w:r w:rsidRPr="00E6080B">
              <w:rPr>
                <w:sz w:val="20"/>
                <w:szCs w:val="20"/>
              </w:rPr>
              <w:t xml:space="preserve"> </w:t>
            </w:r>
            <w:r w:rsidR="00D221B5">
              <w:rPr>
                <w:sz w:val="20"/>
                <w:szCs w:val="20"/>
              </w:rPr>
              <w:t>Explique brevemente en qué consiste el anteproyecto de regulación propuesto así como sus objetivos generales</w:t>
            </w:r>
            <w:r w:rsidRPr="00E6080B">
              <w:rPr>
                <w:sz w:val="20"/>
                <w:szCs w:val="20"/>
              </w:rPr>
              <w:t>:</w:t>
            </w:r>
          </w:p>
          <w:p w:rsidR="001932FC" w:rsidRPr="00E6080B" w:rsidRDefault="00B76566" w:rsidP="008A48B0">
            <w:pPr>
              <w:shd w:val="clear" w:color="auto" w:fill="FFFFFF" w:themeFill="background1"/>
              <w:jc w:val="both"/>
              <w:rPr>
                <w:sz w:val="20"/>
                <w:szCs w:val="20"/>
              </w:rPr>
            </w:pPr>
            <w:r w:rsidRPr="00B76566">
              <w:rPr>
                <w:sz w:val="20"/>
                <w:szCs w:val="20"/>
              </w:rPr>
              <w:t xml:space="preserve">Reducir la carga regulatoria prevista en los Lineamientos de Colaboración en materia de Seguridad y Justicia derogando aquellos que son materia de la Ley General de Protección de Datos Personales en Posesión de Sujetos Obligados, la Ley General de Transparencia y Acceso a la Información Pública y la Ley Federal de Transparencia y Acceso a la Información Pública, </w:t>
            </w:r>
            <w:r w:rsidRPr="00D773DF">
              <w:rPr>
                <w:sz w:val="20"/>
                <w:szCs w:val="20"/>
              </w:rPr>
              <w:t>la primera</w:t>
            </w:r>
            <w:r w:rsidRPr="00B76566">
              <w:rPr>
                <w:sz w:val="20"/>
                <w:szCs w:val="20"/>
              </w:rPr>
              <w:t xml:space="preserve"> en materia de protección de datos personales y las dos últimas en materia de transparencia y acceso a la información, respectivamente. Conforme a tales disposiciones corresponde al Instituto Nacional de Transparencia, Acceso a la Información y Protección de Datos Personales (INAI) vigilar y verificar el cumplimiento de lo dispuesto en las leyes en </w:t>
            </w:r>
            <w:r w:rsidR="002B4F68">
              <w:rPr>
                <w:sz w:val="20"/>
                <w:szCs w:val="20"/>
              </w:rPr>
              <w:t>mención</w:t>
            </w:r>
            <w:r w:rsidRPr="00B76566">
              <w:rPr>
                <w:sz w:val="20"/>
                <w:szCs w:val="20"/>
              </w:rPr>
              <w:t>, así como de garantizar el ejercicio de los derechos que contienen.</w:t>
            </w:r>
          </w:p>
          <w:p w:rsidR="001932FC" w:rsidRPr="00E6080B" w:rsidRDefault="001932FC" w:rsidP="001932FC">
            <w:pPr>
              <w:jc w:val="both"/>
              <w:rPr>
                <w:sz w:val="20"/>
                <w:szCs w:val="20"/>
              </w:rPr>
            </w:pPr>
          </w:p>
        </w:tc>
      </w:tr>
    </w:tbl>
    <w:p w:rsidR="001932FC" w:rsidRDefault="001932FC" w:rsidP="001932FC">
      <w:pPr>
        <w:jc w:val="both"/>
      </w:pPr>
    </w:p>
    <w:p w:rsidR="001932FC" w:rsidRDefault="001932FC" w:rsidP="00A1622C">
      <w:pPr>
        <w:shd w:val="clear" w:color="auto" w:fill="A8D08D" w:themeFill="accent6" w:themeFillTint="99"/>
        <w:jc w:val="both"/>
      </w:pPr>
      <w:r>
        <w:t xml:space="preserve">II. </w:t>
      </w:r>
      <w:r w:rsidR="00E21B49">
        <w:t>IMPACTO DE LA REGULACIÓN</w:t>
      </w:r>
      <w:r>
        <w:t>.</w:t>
      </w:r>
    </w:p>
    <w:tbl>
      <w:tblPr>
        <w:tblStyle w:val="Tablaconcuadrcula"/>
        <w:tblW w:w="0" w:type="auto"/>
        <w:tblLook w:val="04A0" w:firstRow="1" w:lastRow="0" w:firstColumn="1" w:lastColumn="0" w:noHBand="0" w:noVBand="1"/>
      </w:tblPr>
      <w:tblGrid>
        <w:gridCol w:w="8828"/>
      </w:tblGrid>
      <w:tr w:rsidR="00E6080B" w:rsidTr="00E6080B">
        <w:tc>
          <w:tcPr>
            <w:tcW w:w="8828" w:type="dxa"/>
          </w:tcPr>
          <w:p w:rsidR="00801FED" w:rsidRPr="00801FED" w:rsidRDefault="00E35357" w:rsidP="00E6080B">
            <w:pPr>
              <w:jc w:val="both"/>
              <w:rPr>
                <w:sz w:val="20"/>
              </w:rPr>
            </w:pPr>
            <w:r>
              <w:rPr>
                <w:sz w:val="20"/>
              </w:rPr>
              <w:t>2</w:t>
            </w:r>
            <w:r w:rsidR="00E6080B" w:rsidRPr="00801FED">
              <w:rPr>
                <w:sz w:val="20"/>
              </w:rPr>
              <w:t xml:space="preserve">.- </w:t>
            </w:r>
            <w:r w:rsidR="00E21B49">
              <w:rPr>
                <w:sz w:val="20"/>
              </w:rPr>
              <w:t>Justifique las razones por las que considera que el anteproyecto de regulación propuesto no genera costos de cumplimiento para los particulares, independientemente de los beneficios que éste genere</w:t>
            </w:r>
            <w:r w:rsidR="00801FED" w:rsidRPr="00801FED">
              <w:rPr>
                <w:sz w:val="20"/>
              </w:rPr>
              <w:t>:</w:t>
            </w:r>
          </w:p>
          <w:p w:rsidR="00B76566" w:rsidRDefault="00B76566" w:rsidP="00B76566">
            <w:pPr>
              <w:jc w:val="both"/>
              <w:rPr>
                <w:sz w:val="20"/>
              </w:rPr>
            </w:pPr>
          </w:p>
          <w:p w:rsidR="00B76566" w:rsidRDefault="00B76566" w:rsidP="00B76566">
            <w:pPr>
              <w:jc w:val="both"/>
              <w:rPr>
                <w:sz w:val="20"/>
                <w:szCs w:val="20"/>
              </w:rPr>
            </w:pPr>
            <w:r>
              <w:rPr>
                <w:sz w:val="20"/>
              </w:rPr>
              <w:t xml:space="preserve">La modificación a los Lineamientos propuesta tiene como objetivo reducir la carga regulatoria </w:t>
            </w:r>
            <w:r w:rsidRPr="00B76566">
              <w:rPr>
                <w:sz w:val="20"/>
                <w:szCs w:val="20"/>
              </w:rPr>
              <w:t>prevista en los Lineamientos de Colaboración en materia de Seguridad y Justicia derogando aquellos que son materia de la Ley General de Protección de Datos Personales en Posesión de Sujetos Obligados, la Ley General de Transparencia y Acceso a la Información Pública y la Ley Federal de Transparencia y</w:t>
            </w:r>
            <w:r>
              <w:rPr>
                <w:sz w:val="20"/>
                <w:szCs w:val="20"/>
              </w:rPr>
              <w:t xml:space="preserve"> Acceso a la Información Pública.</w:t>
            </w:r>
          </w:p>
          <w:p w:rsidR="00B76566" w:rsidRPr="00B76566" w:rsidRDefault="00B76566" w:rsidP="00B76566">
            <w:pPr>
              <w:jc w:val="both"/>
              <w:rPr>
                <w:sz w:val="20"/>
                <w:szCs w:val="20"/>
              </w:rPr>
            </w:pPr>
          </w:p>
          <w:p w:rsidR="00B76566" w:rsidRDefault="00B76566" w:rsidP="00B76566">
            <w:pPr>
              <w:jc w:val="both"/>
              <w:rPr>
                <w:sz w:val="20"/>
              </w:rPr>
            </w:pPr>
            <w:r>
              <w:rPr>
                <w:sz w:val="20"/>
              </w:rPr>
              <w:t>En este sentido, la derogación planteada permite la  eliminación de obligaciones que son competencia del INAI, lo que da certeza jurídica sobre la autoridad que se encuentra facultada en términos de ley.</w:t>
            </w:r>
          </w:p>
          <w:p w:rsidR="00801FED" w:rsidRPr="00801FED" w:rsidRDefault="00801FED" w:rsidP="00E6080B">
            <w:pPr>
              <w:jc w:val="both"/>
              <w:rPr>
                <w:sz w:val="20"/>
              </w:rPr>
            </w:pPr>
          </w:p>
          <w:p w:rsidR="00E6080B" w:rsidRDefault="00E6080B" w:rsidP="00E6080B">
            <w:pPr>
              <w:jc w:val="both"/>
            </w:pPr>
          </w:p>
        </w:tc>
      </w:tr>
    </w:tbl>
    <w:p w:rsidR="00E21B49" w:rsidRDefault="00E21B49" w:rsidP="00E21B49">
      <w:pPr>
        <w:jc w:val="both"/>
      </w:pPr>
    </w:p>
    <w:tbl>
      <w:tblPr>
        <w:tblStyle w:val="Tablaconcuadrcula"/>
        <w:tblW w:w="0" w:type="auto"/>
        <w:tblLook w:val="04A0" w:firstRow="1" w:lastRow="0" w:firstColumn="1" w:lastColumn="0" w:noHBand="0" w:noVBand="1"/>
      </w:tblPr>
      <w:tblGrid>
        <w:gridCol w:w="1696"/>
        <w:gridCol w:w="5670"/>
        <w:gridCol w:w="1462"/>
      </w:tblGrid>
      <w:tr w:rsidR="00804F49" w:rsidRPr="00804F49" w:rsidTr="007D4E5B">
        <w:tc>
          <w:tcPr>
            <w:tcW w:w="1696" w:type="dxa"/>
            <w:vMerge w:val="restart"/>
          </w:tcPr>
          <w:p w:rsidR="00804F49" w:rsidRPr="00804F49" w:rsidRDefault="00E35357" w:rsidP="00804F49">
            <w:pPr>
              <w:jc w:val="both"/>
              <w:rPr>
                <w:sz w:val="20"/>
                <w:szCs w:val="20"/>
              </w:rPr>
            </w:pPr>
            <w:r>
              <w:rPr>
                <w:sz w:val="20"/>
                <w:szCs w:val="20"/>
              </w:rPr>
              <w:t>3</w:t>
            </w:r>
            <w:r w:rsidR="00804F49" w:rsidRPr="00804F49">
              <w:rPr>
                <w:sz w:val="20"/>
                <w:szCs w:val="20"/>
              </w:rPr>
              <w:t>.- Indique cuál(es) de la(s) siguiente(s) acciones corresponde(n) al anteproyecto de regulación propuesto</w:t>
            </w:r>
            <w:r w:rsidR="00804F49">
              <w:rPr>
                <w:sz w:val="20"/>
                <w:szCs w:val="20"/>
              </w:rPr>
              <w:t>.</w:t>
            </w:r>
          </w:p>
        </w:tc>
        <w:tc>
          <w:tcPr>
            <w:tcW w:w="5670" w:type="dxa"/>
            <w:shd w:val="clear" w:color="auto" w:fill="A8D08D" w:themeFill="accent6" w:themeFillTint="99"/>
          </w:tcPr>
          <w:p w:rsidR="00804F49" w:rsidRPr="00804F49" w:rsidRDefault="00804F49" w:rsidP="00804F49">
            <w:pPr>
              <w:jc w:val="center"/>
              <w:rPr>
                <w:sz w:val="20"/>
                <w:szCs w:val="20"/>
              </w:rPr>
            </w:pPr>
            <w:r w:rsidRPr="00804F49">
              <w:rPr>
                <w:sz w:val="20"/>
                <w:szCs w:val="20"/>
              </w:rPr>
              <w:t>Acciones</w:t>
            </w:r>
          </w:p>
        </w:tc>
        <w:tc>
          <w:tcPr>
            <w:tcW w:w="1462" w:type="dxa"/>
            <w:shd w:val="clear" w:color="auto" w:fill="A8D08D" w:themeFill="accent6" w:themeFillTint="99"/>
          </w:tcPr>
          <w:p w:rsidR="00804F49" w:rsidRPr="00804F49" w:rsidRDefault="00804F49" w:rsidP="00804F49">
            <w:pPr>
              <w:jc w:val="center"/>
              <w:rPr>
                <w:sz w:val="20"/>
                <w:szCs w:val="20"/>
              </w:rPr>
            </w:pPr>
            <w:r w:rsidRPr="00804F49">
              <w:rPr>
                <w:sz w:val="20"/>
                <w:szCs w:val="20"/>
              </w:rPr>
              <w:t>Seleccione</w:t>
            </w:r>
          </w:p>
        </w:tc>
      </w:tr>
      <w:tr w:rsidR="00804F49" w:rsidRPr="00804F49" w:rsidTr="00804F49">
        <w:tc>
          <w:tcPr>
            <w:tcW w:w="1696" w:type="dxa"/>
            <w:vMerge/>
          </w:tcPr>
          <w:p w:rsidR="00804F49" w:rsidRPr="00804F49" w:rsidRDefault="00804F49" w:rsidP="00E21B49">
            <w:pPr>
              <w:jc w:val="both"/>
              <w:rPr>
                <w:sz w:val="20"/>
                <w:szCs w:val="20"/>
              </w:rPr>
            </w:pPr>
          </w:p>
        </w:tc>
        <w:tc>
          <w:tcPr>
            <w:tcW w:w="5670" w:type="dxa"/>
          </w:tcPr>
          <w:p w:rsidR="00804F49" w:rsidRPr="00804F49" w:rsidRDefault="00804F49" w:rsidP="00E21B49">
            <w:pPr>
              <w:jc w:val="both"/>
              <w:rPr>
                <w:sz w:val="20"/>
                <w:szCs w:val="20"/>
              </w:rPr>
            </w:pPr>
            <w:r w:rsidRPr="00804F49">
              <w:rPr>
                <w:sz w:val="20"/>
                <w:szCs w:val="20"/>
              </w:rPr>
              <w:t>Crea nuevas obligaciones y/o sanciones para los particulares o hace más estrictas las existentes</w:t>
            </w:r>
            <w:r>
              <w:rPr>
                <w:sz w:val="20"/>
                <w:szCs w:val="20"/>
              </w:rPr>
              <w:t>.</w:t>
            </w:r>
          </w:p>
        </w:tc>
        <w:tc>
          <w:tcPr>
            <w:tcW w:w="1462" w:type="dxa"/>
          </w:tcPr>
          <w:p w:rsidR="00804F49" w:rsidRPr="00804F49" w:rsidRDefault="00804F49" w:rsidP="00B76566">
            <w:pPr>
              <w:jc w:val="center"/>
              <w:rPr>
                <w:sz w:val="20"/>
                <w:szCs w:val="20"/>
              </w:rPr>
            </w:pPr>
            <w:r>
              <w:rPr>
                <w:sz w:val="20"/>
                <w:szCs w:val="20"/>
              </w:rPr>
              <w:t>Si ( ) No (</w:t>
            </w:r>
            <w:r w:rsidR="00B76566">
              <w:rPr>
                <w:sz w:val="20"/>
                <w:szCs w:val="20"/>
              </w:rPr>
              <w:t>X</w:t>
            </w:r>
            <w:r>
              <w:rPr>
                <w:sz w:val="20"/>
                <w:szCs w:val="20"/>
              </w:rPr>
              <w:t>)</w:t>
            </w:r>
          </w:p>
        </w:tc>
      </w:tr>
      <w:tr w:rsidR="00804F49" w:rsidRPr="00804F49" w:rsidTr="00804F49">
        <w:tc>
          <w:tcPr>
            <w:tcW w:w="1696" w:type="dxa"/>
            <w:vMerge/>
          </w:tcPr>
          <w:p w:rsidR="00804F49" w:rsidRPr="00804F49" w:rsidRDefault="00804F49" w:rsidP="00804F49">
            <w:pPr>
              <w:jc w:val="both"/>
              <w:rPr>
                <w:sz w:val="20"/>
                <w:szCs w:val="20"/>
              </w:rPr>
            </w:pPr>
          </w:p>
        </w:tc>
        <w:tc>
          <w:tcPr>
            <w:tcW w:w="5670" w:type="dxa"/>
          </w:tcPr>
          <w:p w:rsidR="00804F49" w:rsidRPr="00804F49" w:rsidRDefault="00804F49" w:rsidP="00804F49">
            <w:pPr>
              <w:jc w:val="both"/>
              <w:rPr>
                <w:sz w:val="20"/>
                <w:szCs w:val="20"/>
              </w:rPr>
            </w:pPr>
            <w:r w:rsidRPr="00804F49">
              <w:rPr>
                <w:sz w:val="20"/>
                <w:szCs w:val="20"/>
              </w:rPr>
              <w:t>Modifica o crea trámites que signifiquen mayores cargas administrativas o costos de cumplimiento para los particulares.</w:t>
            </w:r>
          </w:p>
        </w:tc>
        <w:tc>
          <w:tcPr>
            <w:tcW w:w="1462" w:type="dxa"/>
          </w:tcPr>
          <w:p w:rsidR="00804F49" w:rsidRDefault="00804F49" w:rsidP="00B76566">
            <w:pPr>
              <w:jc w:val="center"/>
            </w:pPr>
            <w:r w:rsidRPr="00D76D0A">
              <w:rPr>
                <w:sz w:val="20"/>
                <w:szCs w:val="20"/>
              </w:rPr>
              <w:t>Si ( ) No (</w:t>
            </w:r>
            <w:r w:rsidR="00B76566">
              <w:rPr>
                <w:sz w:val="20"/>
                <w:szCs w:val="20"/>
              </w:rPr>
              <w:t>X</w:t>
            </w:r>
            <w:r w:rsidRPr="00D76D0A">
              <w:rPr>
                <w:sz w:val="20"/>
                <w:szCs w:val="20"/>
              </w:rPr>
              <w:t>)</w:t>
            </w:r>
          </w:p>
        </w:tc>
      </w:tr>
      <w:tr w:rsidR="00804F49" w:rsidRPr="00804F49" w:rsidTr="00804F49">
        <w:tc>
          <w:tcPr>
            <w:tcW w:w="1696" w:type="dxa"/>
            <w:vMerge/>
          </w:tcPr>
          <w:p w:rsidR="00804F49" w:rsidRPr="00804F49" w:rsidRDefault="00804F49" w:rsidP="00804F49">
            <w:pPr>
              <w:jc w:val="both"/>
              <w:rPr>
                <w:sz w:val="20"/>
                <w:szCs w:val="20"/>
              </w:rPr>
            </w:pPr>
          </w:p>
        </w:tc>
        <w:tc>
          <w:tcPr>
            <w:tcW w:w="5670" w:type="dxa"/>
          </w:tcPr>
          <w:p w:rsidR="00804F49" w:rsidRPr="00804F49" w:rsidRDefault="00804F49" w:rsidP="00804F49">
            <w:pPr>
              <w:jc w:val="both"/>
              <w:rPr>
                <w:sz w:val="20"/>
                <w:szCs w:val="20"/>
              </w:rPr>
            </w:pPr>
            <w:r w:rsidRPr="00804F49">
              <w:rPr>
                <w:sz w:val="20"/>
                <w:szCs w:val="20"/>
              </w:rPr>
              <w:t>Reduce o restringe prestaciones o derechos para los particulares.</w:t>
            </w:r>
          </w:p>
        </w:tc>
        <w:tc>
          <w:tcPr>
            <w:tcW w:w="1462" w:type="dxa"/>
          </w:tcPr>
          <w:p w:rsidR="00804F49" w:rsidRDefault="00804F49" w:rsidP="00B76566">
            <w:pPr>
              <w:jc w:val="center"/>
            </w:pPr>
            <w:r w:rsidRPr="00D76D0A">
              <w:rPr>
                <w:sz w:val="20"/>
                <w:szCs w:val="20"/>
              </w:rPr>
              <w:t>Si ( ) No (</w:t>
            </w:r>
            <w:r w:rsidR="00B76566">
              <w:rPr>
                <w:sz w:val="20"/>
                <w:szCs w:val="20"/>
              </w:rPr>
              <w:t>X</w:t>
            </w:r>
            <w:r w:rsidRPr="00D76D0A">
              <w:rPr>
                <w:sz w:val="20"/>
                <w:szCs w:val="20"/>
              </w:rPr>
              <w:t>)</w:t>
            </w:r>
          </w:p>
        </w:tc>
      </w:tr>
      <w:tr w:rsidR="00804F49" w:rsidRPr="00804F49" w:rsidTr="00804F49">
        <w:tc>
          <w:tcPr>
            <w:tcW w:w="1696" w:type="dxa"/>
            <w:vMerge/>
          </w:tcPr>
          <w:p w:rsidR="00804F49" w:rsidRPr="00804F49" w:rsidRDefault="00804F49" w:rsidP="00804F49">
            <w:pPr>
              <w:jc w:val="both"/>
              <w:rPr>
                <w:sz w:val="20"/>
                <w:szCs w:val="20"/>
              </w:rPr>
            </w:pPr>
          </w:p>
        </w:tc>
        <w:tc>
          <w:tcPr>
            <w:tcW w:w="5670" w:type="dxa"/>
          </w:tcPr>
          <w:p w:rsidR="00804F49" w:rsidRPr="00804F49" w:rsidRDefault="00804F49" w:rsidP="00804F49">
            <w:pPr>
              <w:jc w:val="both"/>
              <w:rPr>
                <w:sz w:val="20"/>
                <w:szCs w:val="20"/>
              </w:rPr>
            </w:pPr>
            <w:r w:rsidRPr="00804F49">
              <w:rPr>
                <w:sz w:val="20"/>
                <w:szCs w:val="20"/>
              </w:rPr>
              <w:t>Establece o modifica definiciones, clasificaciones, metodologías, criterios, caracterizaciones o cualquier otro término de referencia, afectando derechos, obligaciones, prestaciones o trámites de los particulares.</w:t>
            </w:r>
          </w:p>
        </w:tc>
        <w:tc>
          <w:tcPr>
            <w:tcW w:w="1462" w:type="dxa"/>
          </w:tcPr>
          <w:p w:rsidR="00804F49" w:rsidRDefault="00804F49" w:rsidP="00B76566">
            <w:pPr>
              <w:jc w:val="center"/>
            </w:pPr>
            <w:r w:rsidRPr="00D76D0A">
              <w:rPr>
                <w:sz w:val="20"/>
                <w:szCs w:val="20"/>
              </w:rPr>
              <w:t>Si ( ) No (</w:t>
            </w:r>
            <w:r w:rsidR="00B76566">
              <w:rPr>
                <w:sz w:val="20"/>
                <w:szCs w:val="20"/>
              </w:rPr>
              <w:t>X</w:t>
            </w:r>
            <w:r w:rsidRPr="00D76D0A">
              <w:rPr>
                <w:sz w:val="20"/>
                <w:szCs w:val="20"/>
              </w:rPr>
              <w:t>)</w:t>
            </w:r>
          </w:p>
        </w:tc>
      </w:tr>
    </w:tbl>
    <w:p w:rsidR="00E21B49" w:rsidRDefault="00E21B49" w:rsidP="00E21B49">
      <w:pPr>
        <w:jc w:val="both"/>
      </w:pPr>
    </w:p>
    <w:p w:rsidR="00A73AD8" w:rsidRDefault="00A73AD8" w:rsidP="00A73AD8">
      <w:pPr>
        <w:shd w:val="clear" w:color="auto" w:fill="A8D08D" w:themeFill="accent6" w:themeFillTint="99"/>
        <w:jc w:val="both"/>
      </w:pPr>
      <w:r>
        <w:t>I</w:t>
      </w:r>
      <w:r w:rsidR="00804F49">
        <w:t>I</w:t>
      </w:r>
      <w:r>
        <w:t>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Tr="00E9535A">
        <w:trPr>
          <w:trHeight w:val="1366"/>
        </w:trPr>
        <w:tc>
          <w:tcPr>
            <w:tcW w:w="8828" w:type="dxa"/>
          </w:tcPr>
          <w:p w:rsidR="00B74C55" w:rsidRDefault="00E35357" w:rsidP="00A73AD8">
            <w:pPr>
              <w:jc w:val="both"/>
              <w:rPr>
                <w:sz w:val="20"/>
              </w:rPr>
            </w:pPr>
            <w:r>
              <w:rPr>
                <w:sz w:val="20"/>
              </w:rPr>
              <w:t>4</w:t>
            </w:r>
            <w:r w:rsidR="00A73AD8" w:rsidRPr="00A73AD8">
              <w:rPr>
                <w:sz w:val="20"/>
              </w:rPr>
              <w:t xml:space="preserve">.- </w:t>
            </w:r>
            <w:r w:rsidR="00A73AD8">
              <w:rPr>
                <w:sz w:val="20"/>
              </w:rPr>
              <w:t xml:space="preserve">Enliste </w:t>
            </w:r>
            <w:r w:rsidR="00B74C55">
              <w:rPr>
                <w:sz w:val="20"/>
              </w:rPr>
              <w:t>los datos bibliográficos o las direcciones electrónicas consultadas para el diseño y redacción</w:t>
            </w:r>
            <w:r w:rsidR="00804F49">
              <w:rPr>
                <w:sz w:val="20"/>
              </w:rPr>
              <w:t xml:space="preserve"> del anteproyecto de regulación, así como cualquier otra documentación que se considere de interés.</w:t>
            </w:r>
          </w:p>
          <w:p w:rsidR="008921EF" w:rsidRDefault="008921EF" w:rsidP="00A73AD8">
            <w:pPr>
              <w:jc w:val="both"/>
              <w:rPr>
                <w:sz w:val="20"/>
              </w:rPr>
            </w:pPr>
          </w:p>
          <w:p w:rsidR="00FA5B60" w:rsidRPr="00CA571E" w:rsidRDefault="008921EF" w:rsidP="008921EF">
            <w:pPr>
              <w:pStyle w:val="Prrafodelista"/>
              <w:numPr>
                <w:ilvl w:val="0"/>
                <w:numId w:val="4"/>
              </w:numPr>
              <w:jc w:val="both"/>
              <w:rPr>
                <w:sz w:val="20"/>
                <w:szCs w:val="20"/>
              </w:rPr>
            </w:pPr>
            <w:r w:rsidRPr="00CA571E">
              <w:rPr>
                <w:sz w:val="20"/>
              </w:rPr>
              <w:t>Lineamientos de Colaboración en Materia de Seguridad y Justicia. Publicación en el Diario Oficial de la Federación el 2 de diciembre de 2015.</w:t>
            </w:r>
          </w:p>
          <w:p w:rsidR="00FA5B60" w:rsidRPr="00CA571E" w:rsidRDefault="00FA5B60" w:rsidP="00FA5B60">
            <w:pPr>
              <w:pStyle w:val="Prrafodelista"/>
              <w:numPr>
                <w:ilvl w:val="0"/>
                <w:numId w:val="4"/>
              </w:numPr>
              <w:jc w:val="both"/>
              <w:rPr>
                <w:sz w:val="20"/>
                <w:szCs w:val="20"/>
              </w:rPr>
            </w:pPr>
            <w:r w:rsidRPr="00CA571E">
              <w:rPr>
                <w:sz w:val="20"/>
                <w:szCs w:val="20"/>
              </w:rPr>
              <w:t xml:space="preserve">Ley General de Transparencia y Acceso a la Información Pública. </w:t>
            </w:r>
            <w:r w:rsidRPr="00CA571E">
              <w:rPr>
                <w:sz w:val="20"/>
              </w:rPr>
              <w:t xml:space="preserve">Publicación en el Diario Oficial de la Federación </w:t>
            </w:r>
            <w:r w:rsidR="008921EF" w:rsidRPr="00CA571E">
              <w:rPr>
                <w:sz w:val="20"/>
              </w:rPr>
              <w:t xml:space="preserve">el </w:t>
            </w:r>
            <w:r w:rsidRPr="00CA571E">
              <w:rPr>
                <w:sz w:val="20"/>
              </w:rPr>
              <w:t>4 de mayo de 2015.</w:t>
            </w:r>
          </w:p>
          <w:p w:rsidR="00FA5B60" w:rsidRPr="00CA571E" w:rsidRDefault="00B76566" w:rsidP="00FA5B60">
            <w:pPr>
              <w:pStyle w:val="Prrafodelista"/>
              <w:numPr>
                <w:ilvl w:val="0"/>
                <w:numId w:val="4"/>
              </w:numPr>
              <w:jc w:val="both"/>
              <w:rPr>
                <w:sz w:val="20"/>
                <w:szCs w:val="20"/>
              </w:rPr>
            </w:pPr>
            <w:r w:rsidRPr="00CA571E">
              <w:rPr>
                <w:sz w:val="20"/>
                <w:szCs w:val="20"/>
              </w:rPr>
              <w:t>Ley Federal de Transparencia y Acceso a la Información Pública</w:t>
            </w:r>
            <w:r w:rsidR="00E9535A" w:rsidRPr="00CA571E">
              <w:rPr>
                <w:sz w:val="20"/>
                <w:szCs w:val="20"/>
              </w:rPr>
              <w:t xml:space="preserve">. </w:t>
            </w:r>
            <w:r w:rsidR="00E9535A" w:rsidRPr="00CA571E">
              <w:rPr>
                <w:sz w:val="20"/>
              </w:rPr>
              <w:t>Publicación en el Diario Oficial de la Federación el 9 de mayo de 2016.</w:t>
            </w:r>
            <w:r w:rsidR="00FA5B60" w:rsidRPr="00CA571E">
              <w:rPr>
                <w:sz w:val="20"/>
                <w:szCs w:val="20"/>
              </w:rPr>
              <w:t xml:space="preserve"> </w:t>
            </w:r>
          </w:p>
          <w:p w:rsidR="00FA5B60" w:rsidRPr="00CA571E" w:rsidRDefault="00FA5B60" w:rsidP="00FA5B60">
            <w:pPr>
              <w:pStyle w:val="Prrafodelista"/>
              <w:numPr>
                <w:ilvl w:val="0"/>
                <w:numId w:val="4"/>
              </w:numPr>
              <w:jc w:val="both"/>
              <w:rPr>
                <w:sz w:val="20"/>
                <w:szCs w:val="20"/>
              </w:rPr>
            </w:pPr>
            <w:r w:rsidRPr="00CA571E">
              <w:rPr>
                <w:sz w:val="20"/>
                <w:szCs w:val="20"/>
              </w:rPr>
              <w:t xml:space="preserve">Ley General de Protección de Datos Personales en Posesión de Sujetos Obligados. </w:t>
            </w:r>
            <w:r w:rsidRPr="00CA571E">
              <w:rPr>
                <w:sz w:val="20"/>
              </w:rPr>
              <w:t>Publicación en el Diario Oficial de la Federación</w:t>
            </w:r>
            <w:r w:rsidR="008921EF" w:rsidRPr="00CA571E">
              <w:rPr>
                <w:sz w:val="20"/>
              </w:rPr>
              <w:t xml:space="preserve"> el</w:t>
            </w:r>
            <w:r w:rsidRPr="00CA571E">
              <w:rPr>
                <w:sz w:val="20"/>
              </w:rPr>
              <w:t xml:space="preserve"> 26 de enero de 2017.</w:t>
            </w:r>
          </w:p>
          <w:p w:rsidR="00870931" w:rsidRDefault="00870931" w:rsidP="00FA5B60">
            <w:pPr>
              <w:pStyle w:val="Prrafodelista"/>
              <w:jc w:val="both"/>
            </w:pPr>
          </w:p>
        </w:tc>
      </w:tr>
    </w:tbl>
    <w:p w:rsidR="0086684A" w:rsidRDefault="0086684A" w:rsidP="0086684A">
      <w:pPr>
        <w:jc w:val="both"/>
      </w:pPr>
    </w:p>
    <w:sectPr w:rsidR="0086684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D1" w:rsidRDefault="00BC4FD1" w:rsidP="00501ADF">
      <w:pPr>
        <w:spacing w:after="0" w:line="240" w:lineRule="auto"/>
      </w:pPr>
      <w:r>
        <w:separator/>
      </w:r>
    </w:p>
  </w:endnote>
  <w:endnote w:type="continuationSeparator" w:id="0">
    <w:p w:rsidR="00BC4FD1" w:rsidRDefault="00BC4FD1"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D1" w:rsidRDefault="00BC4FD1" w:rsidP="00501ADF">
      <w:pPr>
        <w:spacing w:after="0" w:line="240" w:lineRule="auto"/>
      </w:pPr>
      <w:r>
        <w:separator/>
      </w:r>
    </w:p>
  </w:footnote>
  <w:footnote w:type="continuationSeparator" w:id="0">
    <w:p w:rsidR="00BC4FD1" w:rsidRDefault="00BC4FD1"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DF" w:rsidRPr="00501ADF" w:rsidRDefault="00804F4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6630940A" wp14:editId="70AC3AD7">
              <wp:simplePos x="0" y="0"/>
              <wp:positionH relativeFrom="margin">
                <wp:posOffset>2301240</wp:posOffset>
              </wp:positionH>
              <wp:positionV relativeFrom="paragraph">
                <wp:posOffset>7620</wp:posOffset>
              </wp:positionV>
              <wp:extent cx="3343275" cy="590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90550"/>
                      </a:xfrm>
                      <a:prstGeom prst="rect">
                        <a:avLst/>
                      </a:prstGeom>
                      <a:solidFill>
                        <a:srgbClr val="FFFFFF"/>
                      </a:solidFill>
                      <a:ln w="9525">
                        <a:solidFill>
                          <a:schemeClr val="bg1"/>
                        </a:solidFill>
                        <a:miter lim="800000"/>
                        <a:headEnd/>
                        <a:tailEnd/>
                      </a:ln>
                    </wps:spPr>
                    <wps:txbx>
                      <w:txbxContent>
                        <w:p w:rsidR="00804F49" w:rsidRDefault="00E35357" w:rsidP="00804F49">
                          <w:pPr>
                            <w:jc w:val="right"/>
                          </w:pPr>
                          <w:r>
                            <w:t>ANÁ</w:t>
                          </w:r>
                          <w:r w:rsidR="00804F49" w:rsidRPr="00804F49">
                            <w:t xml:space="preserve">LISIS DE </w:t>
                          </w:r>
                          <w:r>
                            <w:t xml:space="preserve">NULO </w:t>
                          </w:r>
                          <w:r w:rsidR="00804F49" w:rsidRPr="00804F49">
                            <w:t>IMPACTO REGULATORIO</w:t>
                          </w:r>
                        </w:p>
                        <w:p w:rsidR="00294941" w:rsidRDefault="00294941" w:rsidP="00804F49">
                          <w:pPr>
                            <w:jc w:val="right"/>
                          </w:pPr>
                          <w:r>
                            <w:t>ANEXO B)</w:t>
                          </w:r>
                        </w:p>
                        <w:p w:rsidR="00294941" w:rsidRPr="00804F49" w:rsidRDefault="00294941" w:rsidP="00804F4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0940A" id="_x0000_t202" coordsize="21600,21600" o:spt="202" path="m,l,21600r21600,l21600,xe">
              <v:stroke joinstyle="miter"/>
              <v:path gradientshapeok="t" o:connecttype="rect"/>
            </v:shapetype>
            <v:shape id="Cuadro de texto 2" o:spid="_x0000_s1026" type="#_x0000_t202" style="position:absolute;margin-left:181.2pt;margin-top:.6pt;width:263.2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" strokecolor="white [3212]">
              <v:textbox>
                <w:txbxContent>
                  <w:p w:rsidR="00804F49" w:rsidRDefault="00E35357" w:rsidP="00804F49">
                    <w:pPr>
                      <w:jc w:val="right"/>
                    </w:pPr>
                    <w:r>
                      <w:t>ANÁ</w:t>
                    </w:r>
                    <w:r w:rsidR="00804F49" w:rsidRPr="00804F49">
                      <w:t xml:space="preserve">LISIS DE </w:t>
                    </w:r>
                    <w:r>
                      <w:t xml:space="preserve">NULO </w:t>
                    </w:r>
                    <w:r w:rsidR="00804F49" w:rsidRPr="00804F49">
                      <w:t>IMPACTO REGULATORIO</w:t>
                    </w:r>
                  </w:p>
                  <w:p w:rsidR="00294941" w:rsidRDefault="00294941" w:rsidP="00804F49">
                    <w:pPr>
                      <w:jc w:val="right"/>
                    </w:pPr>
                    <w:r>
                      <w:t>ANEXO B)</w:t>
                    </w:r>
                  </w:p>
                  <w:p w:rsidR="00294941" w:rsidRPr="00804F49" w:rsidRDefault="00294941" w:rsidP="00804F49">
                    <w:pPr>
                      <w:jc w:val="right"/>
                    </w:pPr>
                  </w:p>
                </w:txbxContent>
              </v:textbox>
              <w10:wrap type="square" anchorx="margin"/>
            </v:shape>
          </w:pict>
        </mc:Fallback>
      </mc:AlternateContent>
    </w:r>
    <w:r w:rsidR="00501ADF"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6FCA643C" wp14:editId="427444E3">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ADF" w:rsidRDefault="00501ADF">
    <w:pPr>
      <w:pStyle w:val="Encabezado"/>
    </w:pPr>
  </w:p>
  <w:p w:rsidR="00804F49" w:rsidRDefault="00804F49">
    <w:pPr>
      <w:pStyle w:val="Encabezado"/>
    </w:pPr>
  </w:p>
  <w:p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D23FF1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501ADF" w:rsidRDefault="00501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76308C"/>
    <w:multiLevelType w:val="hybridMultilevel"/>
    <w:tmpl w:val="6B367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CDF"/>
    <w:rsid w:val="001932FC"/>
    <w:rsid w:val="001F3085"/>
    <w:rsid w:val="00286496"/>
    <w:rsid w:val="00294941"/>
    <w:rsid w:val="00295E97"/>
    <w:rsid w:val="002B4F68"/>
    <w:rsid w:val="0030055F"/>
    <w:rsid w:val="003039BF"/>
    <w:rsid w:val="003C037F"/>
    <w:rsid w:val="003F05E7"/>
    <w:rsid w:val="004358A1"/>
    <w:rsid w:val="00440900"/>
    <w:rsid w:val="004B6836"/>
    <w:rsid w:val="004D6E27"/>
    <w:rsid w:val="004E0DA9"/>
    <w:rsid w:val="00501ADF"/>
    <w:rsid w:val="005436B2"/>
    <w:rsid w:val="00573E6F"/>
    <w:rsid w:val="005A40FB"/>
    <w:rsid w:val="005B6627"/>
    <w:rsid w:val="005E04B7"/>
    <w:rsid w:val="00613D86"/>
    <w:rsid w:val="006717D5"/>
    <w:rsid w:val="0068307E"/>
    <w:rsid w:val="006C0EBC"/>
    <w:rsid w:val="006D7A08"/>
    <w:rsid w:val="007D4E5B"/>
    <w:rsid w:val="00801FED"/>
    <w:rsid w:val="00804F49"/>
    <w:rsid w:val="0086684A"/>
    <w:rsid w:val="00870931"/>
    <w:rsid w:val="00876D05"/>
    <w:rsid w:val="00884CE9"/>
    <w:rsid w:val="008876FE"/>
    <w:rsid w:val="008921EF"/>
    <w:rsid w:val="008A48B0"/>
    <w:rsid w:val="008C76AF"/>
    <w:rsid w:val="008E3011"/>
    <w:rsid w:val="009A30C9"/>
    <w:rsid w:val="00A1622C"/>
    <w:rsid w:val="00A204C3"/>
    <w:rsid w:val="00A5745B"/>
    <w:rsid w:val="00A73AD8"/>
    <w:rsid w:val="00AB3BFB"/>
    <w:rsid w:val="00B13D50"/>
    <w:rsid w:val="00B21D96"/>
    <w:rsid w:val="00B6461E"/>
    <w:rsid w:val="00B74C55"/>
    <w:rsid w:val="00B76566"/>
    <w:rsid w:val="00BC4FD1"/>
    <w:rsid w:val="00C370CF"/>
    <w:rsid w:val="00C452CD"/>
    <w:rsid w:val="00C8546E"/>
    <w:rsid w:val="00C917FC"/>
    <w:rsid w:val="00CA571E"/>
    <w:rsid w:val="00D221B5"/>
    <w:rsid w:val="00D30A94"/>
    <w:rsid w:val="00D773DF"/>
    <w:rsid w:val="00DB1927"/>
    <w:rsid w:val="00E12C09"/>
    <w:rsid w:val="00E21B49"/>
    <w:rsid w:val="00E27972"/>
    <w:rsid w:val="00E35357"/>
    <w:rsid w:val="00E6080B"/>
    <w:rsid w:val="00E9535A"/>
    <w:rsid w:val="00F1226C"/>
    <w:rsid w:val="00F27F33"/>
    <w:rsid w:val="00F450C9"/>
    <w:rsid w:val="00F877FC"/>
    <w:rsid w:val="00FA5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deglobo">
    <w:name w:val="Balloon Text"/>
    <w:basedOn w:val="Normal"/>
    <w:link w:val="TextodegloboCar"/>
    <w:uiPriority w:val="99"/>
    <w:semiHidden/>
    <w:unhideWhenUsed/>
    <w:rsid w:val="00F450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4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x@ift.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dcterms:created xsi:type="dcterms:W3CDTF">2017-12-15T04:28:00Z</dcterms:created>
  <dcterms:modified xsi:type="dcterms:W3CDTF">2017-12-15T04:28:00Z</dcterms:modified>
</cp:coreProperties>
</file>