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73191" w14:textId="602A6674" w:rsidR="00030DD9" w:rsidRPr="00ED27DC" w:rsidRDefault="00B37A2A" w:rsidP="00B37A2A">
      <w:pPr>
        <w:rPr>
          <w:rFonts w:ascii="ITC Avant Garde" w:eastAsia="Calibri" w:hAnsi="ITC Avant Garde" w:cs="Times New Roman"/>
          <w:b/>
          <w:sz w:val="18"/>
          <w:szCs w:val="18"/>
          <w:lang w:val="es-ES"/>
        </w:rPr>
      </w:pPr>
      <w:bookmarkStart w:id="0" w:name="_Toc323285056"/>
      <w:r>
        <w:rPr>
          <w:rFonts w:ascii="ITC Avant Garde" w:eastAsia="Calibri" w:hAnsi="ITC Avant Garde" w:cs="Times New Roman"/>
          <w:b/>
          <w:sz w:val="18"/>
          <w:szCs w:val="18"/>
          <w:lang w:val="es-ES"/>
        </w:rPr>
        <w:t xml:space="preserve">Informe de consideraciones relacionado con la Consulta Pública del </w:t>
      </w:r>
      <w:proofErr w:type="gramStart"/>
      <w:r>
        <w:rPr>
          <w:rFonts w:ascii="ITC Avant Garde" w:eastAsia="Calibri" w:hAnsi="ITC Avant Garde" w:cs="Times New Roman"/>
          <w:b/>
          <w:sz w:val="18"/>
          <w:szCs w:val="18"/>
          <w:lang w:val="es-ES"/>
        </w:rPr>
        <w:t xml:space="preserve">“ </w:t>
      </w:r>
      <w:r w:rsidR="006144ED" w:rsidRPr="00ED27DC">
        <w:rPr>
          <w:rFonts w:ascii="ITC Avant Garde" w:eastAsia="Calibri" w:hAnsi="ITC Avant Garde" w:cs="Times New Roman"/>
          <w:b/>
          <w:sz w:val="18"/>
          <w:szCs w:val="18"/>
          <w:lang w:val="es-ES"/>
        </w:rPr>
        <w:t>Modelo</w:t>
      </w:r>
      <w:proofErr w:type="gramEnd"/>
      <w:r w:rsidR="006144ED" w:rsidRPr="00ED27DC">
        <w:rPr>
          <w:rFonts w:ascii="ITC Avant Garde" w:eastAsia="Calibri" w:hAnsi="ITC Avant Garde" w:cs="Times New Roman"/>
          <w:b/>
          <w:sz w:val="18"/>
          <w:szCs w:val="18"/>
          <w:lang w:val="es-ES"/>
        </w:rPr>
        <w:t xml:space="preserve"> de costos para determinar las tarifas de los servicios de compartición de infraestructura prestados por el Agente Económico Preponderante en el sector de radiodifusión</w:t>
      </w:r>
      <w:r>
        <w:rPr>
          <w:rFonts w:ascii="ITC Avant Garde" w:eastAsia="Calibri" w:hAnsi="ITC Avant Garde" w:cs="Times New Roman"/>
          <w:b/>
          <w:sz w:val="18"/>
          <w:szCs w:val="18"/>
          <w:lang w:val="es-ES"/>
        </w:rPr>
        <w:t>”</w:t>
      </w:r>
      <w:bookmarkStart w:id="1" w:name="_GoBack"/>
      <w:bookmarkEnd w:id="1"/>
    </w:p>
    <w:bookmarkEnd w:id="0"/>
    <w:p w14:paraId="5835693B" w14:textId="77777777" w:rsidR="008958B5" w:rsidRPr="00ED27DC" w:rsidRDefault="008958B5" w:rsidP="008958B5">
      <w:pPr>
        <w:keepNext/>
        <w:keepLines/>
        <w:numPr>
          <w:ilvl w:val="1"/>
          <w:numId w:val="8"/>
        </w:numPr>
        <w:spacing w:before="360"/>
        <w:outlineLvl w:val="1"/>
        <w:rPr>
          <w:rFonts w:ascii="ITC Avant Garde" w:eastAsiaTheme="majorEastAsia" w:hAnsi="ITC Avant Garde" w:cstheme="majorBidi"/>
          <w:b/>
          <w:bCs/>
          <w:sz w:val="18"/>
          <w:szCs w:val="18"/>
          <w:lang w:val="es-ES"/>
        </w:rPr>
      </w:pPr>
      <w:r w:rsidRPr="00ED27DC">
        <w:rPr>
          <w:rFonts w:ascii="ITC Avant Garde" w:eastAsiaTheme="majorEastAsia" w:hAnsi="ITC Avant Garde" w:cstheme="majorBidi"/>
          <w:b/>
          <w:bCs/>
          <w:sz w:val="18"/>
          <w:szCs w:val="18"/>
          <w:lang w:val="es-ES"/>
        </w:rPr>
        <w:t>Introducción</w:t>
      </w:r>
    </w:p>
    <w:p w14:paraId="1412E94F" w14:textId="7894C78A" w:rsidR="008958B5" w:rsidRPr="00ED27DC" w:rsidRDefault="008958B5" w:rsidP="008958B5">
      <w:pPr>
        <w:rPr>
          <w:rFonts w:ascii="ITC Avant Garde" w:eastAsia="Calibri" w:hAnsi="ITC Avant Garde" w:cs="Times New Roman"/>
          <w:sz w:val="18"/>
          <w:szCs w:val="18"/>
          <w:lang w:val="es-ES"/>
        </w:rPr>
      </w:pPr>
      <w:r w:rsidRPr="00ED27DC">
        <w:rPr>
          <w:rFonts w:ascii="ITC Avant Garde" w:eastAsia="Calibri" w:hAnsi="ITC Avant Garde" w:cs="Times New Roman"/>
          <w:sz w:val="18"/>
          <w:szCs w:val="18"/>
          <w:lang w:val="es-ES"/>
        </w:rPr>
        <w:t>Con relación a las manifestaciones, opiniones, comentarios y propuestas concretas recibidas hasta el</w:t>
      </w:r>
      <w:r w:rsidR="006144ED" w:rsidRPr="00ED27DC">
        <w:rPr>
          <w:rFonts w:ascii="ITC Avant Garde" w:eastAsia="Calibri" w:hAnsi="ITC Avant Garde" w:cs="Times New Roman"/>
          <w:sz w:val="18"/>
          <w:szCs w:val="18"/>
          <w:lang w:val="es-ES"/>
        </w:rPr>
        <w:t xml:space="preserve"> 6</w:t>
      </w:r>
      <w:r w:rsidR="00A36CBD" w:rsidRPr="00ED27DC">
        <w:rPr>
          <w:rFonts w:ascii="ITC Avant Garde" w:eastAsia="Calibri" w:hAnsi="ITC Avant Garde" w:cs="Times New Roman"/>
          <w:sz w:val="18"/>
          <w:szCs w:val="18"/>
          <w:lang w:val="es-ES"/>
        </w:rPr>
        <w:t xml:space="preserve"> de </w:t>
      </w:r>
      <w:r w:rsidR="006144ED" w:rsidRPr="00ED27DC">
        <w:rPr>
          <w:rFonts w:ascii="ITC Avant Garde" w:eastAsia="Calibri" w:hAnsi="ITC Avant Garde" w:cs="Times New Roman"/>
          <w:sz w:val="18"/>
          <w:szCs w:val="18"/>
          <w:lang w:val="es-ES"/>
        </w:rPr>
        <w:t>Octu</w:t>
      </w:r>
      <w:r w:rsidR="00A36CBD" w:rsidRPr="00ED27DC">
        <w:rPr>
          <w:rFonts w:ascii="ITC Avant Garde" w:eastAsia="Calibri" w:hAnsi="ITC Avant Garde" w:cs="Times New Roman"/>
          <w:sz w:val="18"/>
          <w:szCs w:val="18"/>
          <w:lang w:val="es-ES"/>
        </w:rPr>
        <w:t>bre</w:t>
      </w:r>
      <w:r w:rsidRPr="00ED27DC">
        <w:rPr>
          <w:rFonts w:ascii="ITC Avant Garde" w:eastAsia="Calibri" w:hAnsi="ITC Avant Garde" w:cs="Times New Roman"/>
          <w:sz w:val="18"/>
          <w:szCs w:val="18"/>
          <w:lang w:val="es-ES"/>
        </w:rPr>
        <w:t xml:space="preserve"> </w:t>
      </w:r>
      <w:r w:rsidR="006144ED" w:rsidRPr="00ED27DC">
        <w:rPr>
          <w:rFonts w:ascii="ITC Avant Garde" w:eastAsia="Calibri" w:hAnsi="ITC Avant Garde" w:cs="Times New Roman"/>
          <w:sz w:val="18"/>
          <w:szCs w:val="18"/>
          <w:lang w:val="es-ES"/>
        </w:rPr>
        <w:t>de 2017</w:t>
      </w:r>
      <w:r w:rsidRPr="00ED27DC">
        <w:rPr>
          <w:rFonts w:ascii="ITC Avant Garde" w:eastAsia="Calibri" w:hAnsi="ITC Avant Garde" w:cs="Times New Roman"/>
          <w:sz w:val="18"/>
          <w:szCs w:val="18"/>
          <w:lang w:val="es-ES"/>
        </w:rPr>
        <w:t xml:space="preserve">, de acuerdo </w:t>
      </w:r>
      <w:r w:rsidR="00CC6455">
        <w:rPr>
          <w:rFonts w:ascii="ITC Avant Garde" w:eastAsia="Calibri" w:hAnsi="ITC Avant Garde" w:cs="Times New Roman"/>
          <w:sz w:val="18"/>
          <w:szCs w:val="18"/>
          <w:lang w:val="es-ES"/>
        </w:rPr>
        <w:t>co</w:t>
      </w:r>
      <w:r w:rsidR="00DF09CD">
        <w:rPr>
          <w:rFonts w:ascii="ITC Avant Garde" w:eastAsia="Calibri" w:hAnsi="ITC Avant Garde" w:cs="Times New Roman"/>
          <w:sz w:val="18"/>
          <w:szCs w:val="18"/>
          <w:lang w:val="es-ES"/>
        </w:rPr>
        <w:t>n</w:t>
      </w:r>
      <w:r w:rsidRPr="00ED27DC">
        <w:rPr>
          <w:rFonts w:ascii="ITC Avant Garde" w:eastAsia="Calibri" w:hAnsi="ITC Avant Garde" w:cs="Times New Roman"/>
          <w:sz w:val="18"/>
          <w:szCs w:val="18"/>
          <w:lang w:val="es-ES"/>
        </w:rPr>
        <w:t xml:space="preserve"> la Consulta Pública del </w:t>
      </w:r>
      <w:r w:rsidR="0015561C" w:rsidRPr="00ED27DC">
        <w:rPr>
          <w:rFonts w:ascii="ITC Avant Garde" w:eastAsia="Calibri" w:hAnsi="ITC Avant Garde" w:cs="Times New Roman"/>
          <w:sz w:val="18"/>
          <w:szCs w:val="18"/>
          <w:lang w:val="es-ES"/>
        </w:rPr>
        <w:t>“Modelo de C</w:t>
      </w:r>
      <w:r w:rsidR="006144ED" w:rsidRPr="00ED27DC">
        <w:rPr>
          <w:rFonts w:ascii="ITC Avant Garde" w:eastAsia="Calibri" w:hAnsi="ITC Avant Garde" w:cs="Times New Roman"/>
          <w:sz w:val="18"/>
          <w:szCs w:val="18"/>
          <w:lang w:val="es-ES"/>
        </w:rPr>
        <w:t xml:space="preserve">ostos para determinar las </w:t>
      </w:r>
      <w:r w:rsidR="0015561C" w:rsidRPr="00ED27DC">
        <w:rPr>
          <w:rFonts w:ascii="ITC Avant Garde" w:eastAsia="Calibri" w:hAnsi="ITC Avant Garde" w:cs="Times New Roman"/>
          <w:sz w:val="18"/>
          <w:szCs w:val="18"/>
          <w:lang w:val="es-ES"/>
        </w:rPr>
        <w:t>tarifas de los Servicios de Compartición de I</w:t>
      </w:r>
      <w:r w:rsidR="006144ED" w:rsidRPr="00ED27DC">
        <w:rPr>
          <w:rFonts w:ascii="ITC Avant Garde" w:eastAsia="Calibri" w:hAnsi="ITC Avant Garde" w:cs="Times New Roman"/>
          <w:sz w:val="18"/>
          <w:szCs w:val="18"/>
          <w:lang w:val="es-ES"/>
        </w:rPr>
        <w:t>nfraestructura prestados por el Agente</w:t>
      </w:r>
      <w:r w:rsidR="0015561C" w:rsidRPr="00ED27DC">
        <w:rPr>
          <w:rFonts w:ascii="ITC Avant Garde" w:eastAsia="Calibri" w:hAnsi="ITC Avant Garde" w:cs="Times New Roman"/>
          <w:sz w:val="18"/>
          <w:szCs w:val="18"/>
          <w:lang w:val="es-ES"/>
        </w:rPr>
        <w:t xml:space="preserve"> Económico Preponderante en el Sector de R</w:t>
      </w:r>
      <w:r w:rsidR="006144ED" w:rsidRPr="00ED27DC">
        <w:rPr>
          <w:rFonts w:ascii="ITC Avant Garde" w:eastAsia="Calibri" w:hAnsi="ITC Avant Garde" w:cs="Times New Roman"/>
          <w:sz w:val="18"/>
          <w:szCs w:val="18"/>
          <w:lang w:val="es-ES"/>
        </w:rPr>
        <w:t>adiodifusión</w:t>
      </w:r>
      <w:r w:rsidR="0015561C" w:rsidRPr="00ED27DC">
        <w:rPr>
          <w:rFonts w:ascii="ITC Avant Garde" w:eastAsia="Calibri" w:hAnsi="ITC Avant Garde" w:cs="Times New Roman"/>
          <w:sz w:val="18"/>
          <w:szCs w:val="18"/>
          <w:lang w:val="es-ES"/>
        </w:rPr>
        <w:t>” (en lo sucesivo, “Modelo de Costos”)</w:t>
      </w:r>
      <w:r w:rsidR="00DF09CD">
        <w:rPr>
          <w:rFonts w:ascii="ITC Avant Garde" w:eastAsia="Calibri" w:hAnsi="ITC Avant Garde" w:cs="Times New Roman"/>
          <w:sz w:val="18"/>
          <w:szCs w:val="18"/>
          <w:lang w:val="es-ES"/>
        </w:rPr>
        <w:t>,</w:t>
      </w:r>
      <w:r w:rsidRPr="00ED27DC">
        <w:rPr>
          <w:rFonts w:ascii="ITC Avant Garde" w:eastAsia="Calibri" w:hAnsi="ITC Avant Garde" w:cs="Times New Roman"/>
          <w:sz w:val="18"/>
          <w:szCs w:val="18"/>
          <w:lang w:val="es-ES"/>
        </w:rPr>
        <w:t xml:space="preserve"> se informa que el Instituto Federal de Telecomunicaciones (</w:t>
      </w:r>
      <w:r w:rsidR="00A36CBD" w:rsidRPr="00ED27DC">
        <w:rPr>
          <w:rFonts w:ascii="ITC Avant Garde" w:eastAsia="Calibri" w:hAnsi="ITC Avant Garde" w:cs="Times New Roman"/>
          <w:sz w:val="18"/>
          <w:szCs w:val="18"/>
          <w:lang w:val="es-ES"/>
        </w:rPr>
        <w:t>en lo sucesivo</w:t>
      </w:r>
      <w:r w:rsidR="00DF09CD">
        <w:rPr>
          <w:rFonts w:ascii="ITC Avant Garde" w:eastAsia="Calibri" w:hAnsi="ITC Avant Garde" w:cs="Times New Roman"/>
          <w:sz w:val="18"/>
          <w:szCs w:val="18"/>
          <w:lang w:val="es-ES"/>
        </w:rPr>
        <w:t>,</w:t>
      </w:r>
      <w:r w:rsidRPr="00ED27DC">
        <w:rPr>
          <w:rFonts w:ascii="ITC Avant Garde" w:eastAsia="Calibri" w:hAnsi="ITC Avant Garde" w:cs="Times New Roman"/>
          <w:sz w:val="18"/>
          <w:szCs w:val="18"/>
          <w:lang w:val="es-ES"/>
        </w:rPr>
        <w:t xml:space="preserve"> “Instituto”) </w:t>
      </w:r>
      <w:r w:rsidR="00DF09CD">
        <w:rPr>
          <w:rFonts w:ascii="ITC Avant Garde" w:eastAsia="Calibri" w:hAnsi="ITC Avant Garde" w:cs="Times New Roman"/>
          <w:sz w:val="18"/>
          <w:szCs w:val="18"/>
          <w:lang w:val="es-ES"/>
        </w:rPr>
        <w:t xml:space="preserve">los </w:t>
      </w:r>
      <w:r w:rsidRPr="00ED27DC">
        <w:rPr>
          <w:rFonts w:ascii="ITC Avant Garde" w:eastAsia="Calibri" w:hAnsi="ITC Avant Garde" w:cs="Times New Roman"/>
          <w:sz w:val="18"/>
          <w:szCs w:val="18"/>
          <w:lang w:val="es-ES"/>
        </w:rPr>
        <w:t xml:space="preserve">agrupó conforme a las preguntas de la consulta para su mejor identificación. No </w:t>
      </w:r>
      <w:proofErr w:type="gramStart"/>
      <w:r w:rsidR="00984BBD">
        <w:rPr>
          <w:rFonts w:ascii="ITC Avant Garde" w:eastAsia="Calibri" w:hAnsi="ITC Avant Garde" w:cs="Times New Roman"/>
          <w:sz w:val="18"/>
          <w:szCs w:val="18"/>
          <w:lang w:val="es-ES"/>
        </w:rPr>
        <w:t>obstante</w:t>
      </w:r>
      <w:proofErr w:type="gramEnd"/>
      <w:r w:rsidR="00984BBD">
        <w:rPr>
          <w:rFonts w:ascii="ITC Avant Garde" w:eastAsia="Calibri" w:hAnsi="ITC Avant Garde" w:cs="Times New Roman"/>
          <w:sz w:val="18"/>
          <w:szCs w:val="18"/>
          <w:lang w:val="es-ES"/>
        </w:rPr>
        <w:t xml:space="preserve"> lo anterior, </w:t>
      </w:r>
      <w:r w:rsidRPr="00ED27DC">
        <w:rPr>
          <w:rFonts w:ascii="ITC Avant Garde" w:eastAsia="Calibri" w:hAnsi="ITC Avant Garde" w:cs="Times New Roman"/>
          <w:sz w:val="18"/>
          <w:szCs w:val="18"/>
          <w:lang w:val="es-ES"/>
        </w:rPr>
        <w:t>se menciona que todas las opiniones y pronunciamientos recibidos se encuentran disponibles para su consulta en la página de internet del Instituto.</w:t>
      </w:r>
    </w:p>
    <w:p w14:paraId="26E78811" w14:textId="77777777" w:rsidR="008958B5" w:rsidRPr="00ED27DC" w:rsidRDefault="008958B5" w:rsidP="008958B5">
      <w:pPr>
        <w:rPr>
          <w:rFonts w:ascii="ITC Avant Garde" w:eastAsia="Calibri" w:hAnsi="ITC Avant Garde" w:cs="Times New Roman"/>
          <w:sz w:val="18"/>
          <w:szCs w:val="18"/>
          <w:lang w:val="es-ES"/>
        </w:rPr>
      </w:pPr>
      <w:r w:rsidRPr="00ED27DC">
        <w:rPr>
          <w:rFonts w:ascii="ITC Avant Garde" w:eastAsia="Calibri" w:hAnsi="ITC Avant Garde" w:cs="Times New Roman"/>
          <w:sz w:val="18"/>
          <w:szCs w:val="18"/>
          <w:lang w:val="es-ES"/>
        </w:rPr>
        <w:t xml:space="preserve">Asimismo, durante el plazo de duración de la Consulta </w:t>
      </w:r>
      <w:r w:rsidR="00E555AF" w:rsidRPr="00ED27DC">
        <w:rPr>
          <w:rFonts w:ascii="ITC Avant Garde" w:eastAsia="Calibri" w:hAnsi="ITC Avant Garde" w:cs="Times New Roman"/>
          <w:sz w:val="18"/>
          <w:szCs w:val="18"/>
          <w:lang w:val="es-ES"/>
        </w:rPr>
        <w:t>Pública de mérito, se recibió</w:t>
      </w:r>
      <w:r w:rsidR="00E35544" w:rsidRPr="00ED27DC">
        <w:rPr>
          <w:rFonts w:ascii="ITC Avant Garde" w:eastAsia="Calibri" w:hAnsi="ITC Avant Garde" w:cs="Times New Roman"/>
          <w:sz w:val="18"/>
          <w:szCs w:val="18"/>
          <w:lang w:val="es-ES"/>
        </w:rPr>
        <w:t xml:space="preserve"> únicamente</w:t>
      </w:r>
      <w:r w:rsidR="00E555AF" w:rsidRPr="00ED27DC">
        <w:rPr>
          <w:rFonts w:ascii="ITC Avant Garde" w:eastAsia="Calibri" w:hAnsi="ITC Avant Garde" w:cs="Times New Roman"/>
          <w:sz w:val="18"/>
          <w:szCs w:val="18"/>
          <w:lang w:val="es-ES"/>
        </w:rPr>
        <w:t xml:space="preserve"> la </w:t>
      </w:r>
      <w:r w:rsidR="00E35544" w:rsidRPr="00ED27DC">
        <w:rPr>
          <w:rFonts w:ascii="ITC Avant Garde" w:eastAsia="Calibri" w:hAnsi="ITC Avant Garde" w:cs="Times New Roman"/>
          <w:sz w:val="18"/>
          <w:szCs w:val="18"/>
          <w:lang w:val="es-ES"/>
        </w:rPr>
        <w:t>participación</w:t>
      </w:r>
      <w:r w:rsidR="00E555AF" w:rsidRPr="00ED27DC">
        <w:rPr>
          <w:rFonts w:ascii="ITC Avant Garde" w:eastAsia="Calibri" w:hAnsi="ITC Avant Garde" w:cs="Times New Roman"/>
          <w:sz w:val="18"/>
          <w:szCs w:val="18"/>
          <w:lang w:val="es-ES"/>
        </w:rPr>
        <w:t xml:space="preserve"> del siguiente</w:t>
      </w:r>
      <w:r w:rsidRPr="00ED27DC">
        <w:rPr>
          <w:rFonts w:ascii="ITC Avant Garde" w:eastAsia="Calibri" w:hAnsi="ITC Avant Garde" w:cs="Times New Roman"/>
          <w:sz w:val="18"/>
          <w:szCs w:val="18"/>
          <w:lang w:val="es-ES"/>
        </w:rPr>
        <w:t xml:space="preserve"> concesi</w:t>
      </w:r>
      <w:r w:rsidR="00E555AF" w:rsidRPr="00ED27DC">
        <w:rPr>
          <w:rFonts w:ascii="ITC Avant Garde" w:eastAsia="Calibri" w:hAnsi="ITC Avant Garde" w:cs="Times New Roman"/>
          <w:sz w:val="18"/>
          <w:szCs w:val="18"/>
          <w:lang w:val="es-ES"/>
        </w:rPr>
        <w:t>onario</w:t>
      </w:r>
      <w:r w:rsidRPr="00ED27DC">
        <w:rPr>
          <w:rFonts w:ascii="ITC Avant Garde" w:eastAsia="Calibri" w:hAnsi="ITC Avant Garde" w:cs="Times New Roman"/>
          <w:sz w:val="18"/>
          <w:szCs w:val="18"/>
          <w:lang w:val="es-ES"/>
        </w:rPr>
        <w:t>:</w:t>
      </w:r>
    </w:p>
    <w:p w14:paraId="1B5BAE79" w14:textId="77777777" w:rsidR="00EB0EE0" w:rsidRPr="00ED27DC" w:rsidRDefault="00EB0EE0" w:rsidP="00EB0EE0">
      <w:pPr>
        <w:pStyle w:val="Prrafodelista"/>
        <w:numPr>
          <w:ilvl w:val="0"/>
          <w:numId w:val="30"/>
        </w:numPr>
        <w:rPr>
          <w:rFonts w:ascii="ITC Avant Garde" w:hAnsi="ITC Avant Garde"/>
          <w:bCs/>
          <w:sz w:val="18"/>
          <w:szCs w:val="18"/>
          <w:lang w:val="es-MX"/>
        </w:rPr>
      </w:pPr>
      <w:r w:rsidRPr="00ED27DC">
        <w:rPr>
          <w:rFonts w:ascii="ITC Avant Garde" w:hAnsi="ITC Avant Garde"/>
          <w:sz w:val="18"/>
          <w:szCs w:val="18"/>
        </w:rPr>
        <w:t>TELEVIMEX, S.A. de C.V.</w:t>
      </w:r>
    </w:p>
    <w:p w14:paraId="27411793" w14:textId="26D46EE2" w:rsidR="008958B5" w:rsidRPr="00ED27DC" w:rsidRDefault="00FF20FA" w:rsidP="00EB0EE0">
      <w:pPr>
        <w:rPr>
          <w:rFonts w:ascii="ITC Avant Garde" w:hAnsi="ITC Avant Garde"/>
          <w:sz w:val="18"/>
          <w:szCs w:val="18"/>
          <w:lang w:val="es-MX"/>
        </w:rPr>
      </w:pPr>
      <w:r>
        <w:rPr>
          <w:rFonts w:ascii="ITC Avant Garde" w:hAnsi="ITC Avant Garde"/>
          <w:sz w:val="18"/>
          <w:szCs w:val="18"/>
          <w:lang w:val="es-MX"/>
        </w:rPr>
        <w:t>Es por ello que l</w:t>
      </w:r>
      <w:r w:rsidR="008958B5" w:rsidRPr="00ED27DC">
        <w:rPr>
          <w:rFonts w:ascii="ITC Avant Garde" w:hAnsi="ITC Avant Garde"/>
          <w:sz w:val="18"/>
          <w:szCs w:val="18"/>
          <w:lang w:val="es-MX"/>
        </w:rPr>
        <w:t>o contenido en la</w:t>
      </w:r>
      <w:r w:rsidR="004E3E7C" w:rsidRPr="00ED27DC">
        <w:rPr>
          <w:rFonts w:ascii="ITC Avant Garde" w:hAnsi="ITC Avant Garde"/>
          <w:sz w:val="18"/>
          <w:szCs w:val="18"/>
          <w:lang w:val="es-MX"/>
        </w:rPr>
        <w:t>s</w:t>
      </w:r>
      <w:r w:rsidR="008958B5" w:rsidRPr="00ED27DC">
        <w:rPr>
          <w:rFonts w:ascii="ITC Avant Garde" w:hAnsi="ITC Avant Garde"/>
          <w:sz w:val="18"/>
          <w:szCs w:val="18"/>
          <w:lang w:val="es-MX"/>
        </w:rPr>
        <w:t xml:space="preserve"> presentes Respuestas Generales atiende únicamente lo relacionado con las observaciones realizadas por </w:t>
      </w:r>
      <w:r w:rsidR="004E3E7C" w:rsidRPr="00ED27DC">
        <w:rPr>
          <w:rFonts w:ascii="ITC Avant Garde" w:hAnsi="ITC Avant Garde"/>
          <w:sz w:val="18"/>
          <w:szCs w:val="18"/>
          <w:lang w:val="es-MX"/>
        </w:rPr>
        <w:t>TELEVIMEX, S.A. DE C.V. (en lo sucesivo, “</w:t>
      </w:r>
      <w:proofErr w:type="spellStart"/>
      <w:r w:rsidR="004E3E7C" w:rsidRPr="00ED27DC">
        <w:rPr>
          <w:rFonts w:ascii="ITC Avant Garde" w:hAnsi="ITC Avant Garde"/>
          <w:sz w:val="18"/>
          <w:szCs w:val="18"/>
          <w:lang w:val="es-MX"/>
        </w:rPr>
        <w:t>Televimex</w:t>
      </w:r>
      <w:proofErr w:type="spellEnd"/>
      <w:r w:rsidR="004E3E7C" w:rsidRPr="00ED27DC">
        <w:rPr>
          <w:rFonts w:ascii="ITC Avant Garde" w:hAnsi="ITC Avant Garde"/>
          <w:sz w:val="18"/>
          <w:szCs w:val="18"/>
          <w:lang w:val="es-MX"/>
        </w:rPr>
        <w:t>”) en la</w:t>
      </w:r>
      <w:r w:rsidR="008958B5" w:rsidRPr="00ED27DC">
        <w:rPr>
          <w:rFonts w:ascii="ITC Avant Garde" w:hAnsi="ITC Avant Garde"/>
          <w:sz w:val="18"/>
          <w:szCs w:val="18"/>
          <w:lang w:val="es-MX"/>
        </w:rPr>
        <w:t xml:space="preserve"> Consulta Pública referente a l</w:t>
      </w:r>
      <w:r w:rsidR="00E35544" w:rsidRPr="00ED27DC">
        <w:rPr>
          <w:rFonts w:ascii="ITC Avant Garde" w:hAnsi="ITC Avant Garde"/>
          <w:sz w:val="18"/>
          <w:szCs w:val="18"/>
          <w:lang w:val="es-MX"/>
        </w:rPr>
        <w:t>os asuntos relacionados con el Modelo de C</w:t>
      </w:r>
      <w:r w:rsidR="008958B5" w:rsidRPr="00ED27DC">
        <w:rPr>
          <w:rFonts w:ascii="ITC Avant Garde" w:hAnsi="ITC Avant Garde"/>
          <w:sz w:val="18"/>
          <w:szCs w:val="18"/>
          <w:lang w:val="es-MX"/>
        </w:rPr>
        <w:t>osto</w:t>
      </w:r>
      <w:r w:rsidR="00D43959" w:rsidRPr="00ED27DC">
        <w:rPr>
          <w:rFonts w:ascii="ITC Avant Garde" w:hAnsi="ITC Avant Garde"/>
          <w:sz w:val="18"/>
          <w:szCs w:val="18"/>
          <w:lang w:val="es-MX"/>
        </w:rPr>
        <w:t>s</w:t>
      </w:r>
      <w:r w:rsidR="008958B5" w:rsidRPr="00ED27DC">
        <w:rPr>
          <w:rFonts w:ascii="ITC Avant Garde" w:hAnsi="ITC Avant Garde"/>
          <w:sz w:val="18"/>
          <w:szCs w:val="18"/>
          <w:lang w:val="es-MX"/>
        </w:rPr>
        <w:t xml:space="preserve"> </w:t>
      </w:r>
      <w:r w:rsidR="00227927">
        <w:rPr>
          <w:rFonts w:ascii="ITC Avant Garde" w:hAnsi="ITC Avant Garde"/>
          <w:sz w:val="18"/>
          <w:szCs w:val="18"/>
          <w:lang w:val="es-MX"/>
        </w:rPr>
        <w:t>puesto a consideración</w:t>
      </w:r>
      <w:r w:rsidR="008958B5" w:rsidRPr="00ED27DC">
        <w:rPr>
          <w:rFonts w:ascii="ITC Avant Garde" w:hAnsi="ITC Avant Garde"/>
          <w:sz w:val="18"/>
          <w:szCs w:val="18"/>
          <w:lang w:val="es-MX"/>
        </w:rPr>
        <w:t xml:space="preserve">. Se excluye por lo tanto los comentarios y respuestas asociadas a la Oferta de Referencia correspondiente, ya cubierto en Consultas Públicas anteriores. </w:t>
      </w:r>
      <w:r w:rsidR="00F21D36" w:rsidRPr="00ED27DC">
        <w:rPr>
          <w:rFonts w:ascii="ITC Avant Garde" w:hAnsi="ITC Avant Garde"/>
          <w:sz w:val="18"/>
          <w:szCs w:val="18"/>
          <w:lang w:val="es-MX"/>
        </w:rPr>
        <w:t xml:space="preserve">Asimismo, </w:t>
      </w:r>
      <w:r w:rsidR="008958B5" w:rsidRPr="00ED27DC">
        <w:rPr>
          <w:rFonts w:ascii="ITC Avant Garde" w:hAnsi="ITC Avant Garde"/>
          <w:sz w:val="18"/>
          <w:szCs w:val="18"/>
          <w:lang w:val="es-MX"/>
        </w:rPr>
        <w:t xml:space="preserve">no se responde a comentarios, referencias y sugerencias explícitas a los cálculos del modelo, si bien se han tenido en </w:t>
      </w:r>
      <w:r w:rsidR="00F21D36" w:rsidRPr="00ED27DC">
        <w:rPr>
          <w:rFonts w:ascii="ITC Avant Garde" w:hAnsi="ITC Avant Garde"/>
          <w:sz w:val="18"/>
          <w:szCs w:val="18"/>
          <w:lang w:val="es-MX"/>
        </w:rPr>
        <w:t>consideración</w:t>
      </w:r>
      <w:r w:rsidR="00925A42">
        <w:rPr>
          <w:rFonts w:ascii="ITC Avant Garde" w:hAnsi="ITC Avant Garde"/>
          <w:sz w:val="18"/>
          <w:szCs w:val="18"/>
          <w:lang w:val="es-MX"/>
        </w:rPr>
        <w:t xml:space="preserve"> al</w:t>
      </w:r>
      <w:r w:rsidR="008958B5" w:rsidRPr="00ED27DC">
        <w:rPr>
          <w:rFonts w:ascii="ITC Avant Garde" w:hAnsi="ITC Avant Garde"/>
          <w:sz w:val="18"/>
          <w:szCs w:val="18"/>
          <w:lang w:val="es-MX"/>
        </w:rPr>
        <w:t xml:space="preserve"> </w:t>
      </w:r>
      <w:r w:rsidR="00F21D36" w:rsidRPr="00ED27DC">
        <w:rPr>
          <w:rFonts w:ascii="ITC Avant Garde" w:hAnsi="ITC Avant Garde"/>
          <w:sz w:val="18"/>
          <w:szCs w:val="18"/>
          <w:lang w:val="es-MX"/>
        </w:rPr>
        <w:t>efectua</w:t>
      </w:r>
      <w:r w:rsidR="00925A42">
        <w:rPr>
          <w:rFonts w:ascii="ITC Avant Garde" w:hAnsi="ITC Avant Garde"/>
          <w:sz w:val="18"/>
          <w:szCs w:val="18"/>
          <w:lang w:val="es-MX"/>
        </w:rPr>
        <w:t>r</w:t>
      </w:r>
      <w:r w:rsidR="00F21D36" w:rsidRPr="00ED27DC">
        <w:rPr>
          <w:rFonts w:ascii="ITC Avant Garde" w:hAnsi="ITC Avant Garde"/>
          <w:sz w:val="18"/>
          <w:szCs w:val="18"/>
          <w:lang w:val="es-MX"/>
        </w:rPr>
        <w:t xml:space="preserve"> </w:t>
      </w:r>
      <w:r w:rsidR="008958B5" w:rsidRPr="00ED27DC">
        <w:rPr>
          <w:rFonts w:ascii="ITC Avant Garde" w:hAnsi="ITC Avant Garde"/>
          <w:sz w:val="18"/>
          <w:szCs w:val="18"/>
          <w:lang w:val="es-MX"/>
        </w:rPr>
        <w:t>corr</w:t>
      </w:r>
      <w:r w:rsidR="00F21D36" w:rsidRPr="00ED27DC">
        <w:rPr>
          <w:rFonts w:ascii="ITC Avant Garde" w:hAnsi="ITC Avant Garde"/>
          <w:sz w:val="18"/>
          <w:szCs w:val="18"/>
          <w:lang w:val="es-MX"/>
        </w:rPr>
        <w:t>ecciones</w:t>
      </w:r>
      <w:r w:rsidR="008958B5" w:rsidRPr="00ED27DC">
        <w:rPr>
          <w:rFonts w:ascii="ITC Avant Garde" w:hAnsi="ITC Avant Garde"/>
          <w:sz w:val="18"/>
          <w:szCs w:val="18"/>
          <w:lang w:val="es-MX"/>
        </w:rPr>
        <w:t xml:space="preserve"> o modific</w:t>
      </w:r>
      <w:r w:rsidR="00F21D36" w:rsidRPr="00ED27DC">
        <w:rPr>
          <w:rFonts w:ascii="ITC Avant Garde" w:hAnsi="ITC Avant Garde"/>
          <w:sz w:val="18"/>
          <w:szCs w:val="18"/>
          <w:lang w:val="es-MX"/>
        </w:rPr>
        <w:t xml:space="preserve">aciones </w:t>
      </w:r>
      <w:r w:rsidR="008958B5" w:rsidRPr="00ED27DC">
        <w:rPr>
          <w:rFonts w:ascii="ITC Avant Garde" w:hAnsi="ITC Avant Garde"/>
          <w:sz w:val="18"/>
          <w:szCs w:val="18"/>
          <w:lang w:val="es-MX"/>
        </w:rPr>
        <w:t>donde se haya considerado pertinente.</w:t>
      </w:r>
    </w:p>
    <w:p w14:paraId="07321E0D" w14:textId="77777777" w:rsidR="00662C81" w:rsidRPr="00ED27DC" w:rsidRDefault="00662C81" w:rsidP="00662C81">
      <w:pPr>
        <w:keepNext/>
        <w:keepLines/>
        <w:numPr>
          <w:ilvl w:val="1"/>
          <w:numId w:val="8"/>
        </w:numPr>
        <w:spacing w:before="360"/>
        <w:outlineLvl w:val="1"/>
        <w:rPr>
          <w:rFonts w:ascii="ITC Avant Garde" w:eastAsiaTheme="majorEastAsia" w:hAnsi="ITC Avant Garde" w:cstheme="majorBidi"/>
          <w:b/>
          <w:bCs/>
          <w:sz w:val="18"/>
          <w:szCs w:val="18"/>
          <w:lang w:val="es-ES"/>
        </w:rPr>
      </w:pPr>
      <w:r w:rsidRPr="00ED27DC">
        <w:rPr>
          <w:rFonts w:ascii="ITC Avant Garde" w:eastAsiaTheme="majorEastAsia" w:hAnsi="ITC Avant Garde" w:cstheme="majorBidi"/>
          <w:b/>
          <w:bCs/>
          <w:sz w:val="18"/>
          <w:szCs w:val="18"/>
          <w:lang w:val="es-ES"/>
        </w:rPr>
        <w:t>Comentarios generales al modelo de costos y su documento metodológico</w:t>
      </w:r>
    </w:p>
    <w:p w14:paraId="28B77C51" w14:textId="77777777" w:rsidR="00772EDF" w:rsidRPr="00ED27DC" w:rsidRDefault="00454FC9" w:rsidP="00BC5411">
      <w:pPr>
        <w:spacing w:after="120"/>
        <w:rPr>
          <w:rFonts w:ascii="ITC Avant Garde" w:hAnsi="ITC Avant Garde"/>
          <w:i/>
          <w:sz w:val="18"/>
          <w:szCs w:val="18"/>
          <w:u w:val="single"/>
          <w:lang w:val="es-ES_tradnl"/>
        </w:rPr>
      </w:pPr>
      <w:r w:rsidRPr="00ED27DC">
        <w:rPr>
          <w:rFonts w:ascii="ITC Avant Garde" w:hAnsi="ITC Avant Garde"/>
          <w:i/>
          <w:sz w:val="18"/>
          <w:szCs w:val="18"/>
          <w:u w:val="single"/>
          <w:lang w:val="es-ES_tradnl"/>
        </w:rPr>
        <w:t xml:space="preserve">2.1. </w:t>
      </w:r>
      <w:r w:rsidR="0020228B" w:rsidRPr="00ED27DC">
        <w:rPr>
          <w:rFonts w:ascii="ITC Avant Garde" w:hAnsi="ITC Avant Garde"/>
          <w:i/>
          <w:sz w:val="18"/>
          <w:szCs w:val="18"/>
          <w:u w:val="single"/>
          <w:lang w:val="es-ES_tradnl"/>
        </w:rPr>
        <w:t>Comentario</w:t>
      </w:r>
      <w:r w:rsidR="00772EDF" w:rsidRPr="00ED27DC">
        <w:rPr>
          <w:rFonts w:ascii="ITC Avant Garde" w:hAnsi="ITC Avant Garde"/>
          <w:i/>
          <w:sz w:val="18"/>
          <w:szCs w:val="18"/>
          <w:u w:val="single"/>
          <w:lang w:val="es-ES_tradnl"/>
        </w:rPr>
        <w:t xml:space="preserve"> de la Consulta Pública</w:t>
      </w:r>
    </w:p>
    <w:p w14:paraId="2228ED9E" w14:textId="3EAE9AC2" w:rsidR="0020228B" w:rsidRPr="00ED27DC" w:rsidRDefault="003D09DB" w:rsidP="00984BBD">
      <w:pPr>
        <w:rPr>
          <w:rFonts w:ascii="ITC Avant Garde" w:hAnsi="ITC Avant Garde"/>
          <w:sz w:val="18"/>
          <w:szCs w:val="18"/>
          <w:lang w:val="es-MX"/>
        </w:rPr>
      </w:pPr>
      <w:proofErr w:type="spellStart"/>
      <w:r w:rsidRPr="00ED27DC">
        <w:rPr>
          <w:rFonts w:ascii="ITC Avant Garde" w:hAnsi="ITC Avant Garde"/>
          <w:sz w:val="18"/>
          <w:szCs w:val="18"/>
          <w:lang w:val="es-ES_tradnl"/>
        </w:rPr>
        <w:t>Televimex</w:t>
      </w:r>
      <w:proofErr w:type="spellEnd"/>
      <w:r w:rsidRPr="00ED27DC">
        <w:rPr>
          <w:rFonts w:ascii="ITC Avant Garde" w:hAnsi="ITC Avant Garde"/>
          <w:sz w:val="18"/>
          <w:szCs w:val="18"/>
          <w:lang w:val="es-ES_tradnl"/>
        </w:rPr>
        <w:t xml:space="preserve"> considera que l</w:t>
      </w:r>
      <w:r w:rsidR="001A10CC" w:rsidRPr="00ED27DC">
        <w:rPr>
          <w:rFonts w:ascii="ITC Avant Garde" w:hAnsi="ITC Avant Garde"/>
          <w:sz w:val="18"/>
          <w:szCs w:val="18"/>
          <w:lang w:val="es-MX"/>
        </w:rPr>
        <w:t xml:space="preserve">a estimación de costos, aun si se trata de calcular el </w:t>
      </w:r>
      <w:r w:rsidR="00FC7846" w:rsidRPr="00ED27DC">
        <w:rPr>
          <w:rFonts w:ascii="ITC Avant Garde" w:hAnsi="ITC Avant Garde"/>
          <w:i/>
          <w:sz w:val="18"/>
          <w:szCs w:val="18"/>
          <w:lang w:val="es-MX"/>
        </w:rPr>
        <w:t>“</w:t>
      </w:r>
      <w:r w:rsidR="001A10CC" w:rsidRPr="00ED27DC">
        <w:rPr>
          <w:rFonts w:ascii="ITC Avant Garde" w:hAnsi="ITC Avant Garde"/>
          <w:i/>
          <w:sz w:val="18"/>
          <w:szCs w:val="18"/>
          <w:lang w:val="es-MX"/>
        </w:rPr>
        <w:t>costo incremental de largo plazo</w:t>
      </w:r>
      <w:r w:rsidR="00FC7846" w:rsidRPr="00ED27DC">
        <w:rPr>
          <w:rFonts w:ascii="ITC Avant Garde" w:hAnsi="ITC Avant Garde"/>
          <w:i/>
          <w:sz w:val="18"/>
          <w:szCs w:val="18"/>
          <w:lang w:val="es-MX"/>
        </w:rPr>
        <w:t>”</w:t>
      </w:r>
      <w:r w:rsidR="001A10CC" w:rsidRPr="00ED27DC">
        <w:rPr>
          <w:rFonts w:ascii="ITC Avant Garde" w:hAnsi="ITC Avant Garde"/>
          <w:sz w:val="18"/>
          <w:szCs w:val="18"/>
          <w:lang w:val="es-MX"/>
        </w:rPr>
        <w:t>, no refleja necesariamente el valor de la infraestruc</w:t>
      </w:r>
      <w:r w:rsidRPr="00ED27DC">
        <w:rPr>
          <w:rFonts w:ascii="ITC Avant Garde" w:hAnsi="ITC Avant Garde"/>
          <w:sz w:val="18"/>
          <w:szCs w:val="18"/>
          <w:lang w:val="es-MX"/>
        </w:rPr>
        <w:t>tura pasiva sujeta a compartir</w:t>
      </w:r>
      <w:r w:rsidR="00096071">
        <w:rPr>
          <w:rFonts w:ascii="ITC Avant Garde" w:hAnsi="ITC Avant Garde"/>
          <w:sz w:val="18"/>
          <w:szCs w:val="18"/>
          <w:lang w:val="es-MX"/>
        </w:rPr>
        <w:t xml:space="preserve">. Al respecto, </w:t>
      </w:r>
      <w:proofErr w:type="spellStart"/>
      <w:r w:rsidR="00096071">
        <w:rPr>
          <w:rFonts w:ascii="ITC Avant Garde" w:hAnsi="ITC Avant Garde"/>
          <w:sz w:val="18"/>
          <w:szCs w:val="18"/>
          <w:lang w:val="es-MX"/>
        </w:rPr>
        <w:t>Televimex</w:t>
      </w:r>
      <w:proofErr w:type="spellEnd"/>
      <w:r w:rsidR="00096071">
        <w:rPr>
          <w:rFonts w:ascii="ITC Avant Garde" w:hAnsi="ITC Avant Garde"/>
          <w:sz w:val="18"/>
          <w:szCs w:val="18"/>
          <w:lang w:val="es-MX"/>
        </w:rPr>
        <w:t xml:space="preserve"> menciona que el valor de la infraestructura pasiva en realidad debe de ser proporcional a los flujos de ingresos que está va a generar descontados de una tasa apropiada</w:t>
      </w:r>
      <w:r w:rsidR="00096071" w:rsidRPr="00096071">
        <w:rPr>
          <w:rFonts w:ascii="ITC Avant Garde" w:hAnsi="ITC Avant Garde"/>
          <w:sz w:val="18"/>
          <w:szCs w:val="18"/>
          <w:lang w:val="es-MX"/>
        </w:rPr>
        <w:t xml:space="preserve"> </w:t>
      </w:r>
      <w:r w:rsidR="00096071" w:rsidRPr="00ED27DC">
        <w:rPr>
          <w:rFonts w:ascii="ITC Avant Garde" w:hAnsi="ITC Avant Garde"/>
          <w:sz w:val="18"/>
          <w:szCs w:val="18"/>
          <w:lang w:val="es-MX"/>
        </w:rPr>
        <w:t xml:space="preserve">y que ese es el valor al que se vendería una torre, por ejemplo, y no debiendo ser únicamente el costo </w:t>
      </w:r>
      <w:r w:rsidR="00096071">
        <w:rPr>
          <w:rFonts w:ascii="ITC Avant Garde" w:hAnsi="ITC Avant Garde"/>
          <w:sz w:val="18"/>
          <w:szCs w:val="18"/>
          <w:lang w:val="es-MX"/>
        </w:rPr>
        <w:t>de su construcción y operación.</w:t>
      </w:r>
    </w:p>
    <w:p w14:paraId="17309719" w14:textId="77777777" w:rsidR="002938A6" w:rsidRPr="00ED27DC" w:rsidRDefault="00454FC9" w:rsidP="0020228B">
      <w:pPr>
        <w:spacing w:after="120"/>
        <w:rPr>
          <w:rFonts w:ascii="ITC Avant Garde" w:hAnsi="ITC Avant Garde"/>
          <w:sz w:val="18"/>
          <w:u w:val="single"/>
          <w:lang w:val="es-ES_tradnl"/>
        </w:rPr>
      </w:pPr>
      <w:r w:rsidRPr="00ED27DC">
        <w:rPr>
          <w:rFonts w:ascii="ITC Avant Garde" w:hAnsi="ITC Avant Garde"/>
          <w:sz w:val="18"/>
          <w:u w:val="single"/>
          <w:lang w:val="es-ES_tradnl"/>
        </w:rPr>
        <w:t xml:space="preserve">2.1 </w:t>
      </w:r>
      <w:r w:rsidR="002938A6" w:rsidRPr="00ED27DC">
        <w:rPr>
          <w:rFonts w:ascii="ITC Avant Garde" w:hAnsi="ITC Avant Garde"/>
          <w:sz w:val="18"/>
          <w:u w:val="single"/>
          <w:lang w:val="es-ES_tradnl"/>
        </w:rPr>
        <w:t xml:space="preserve">Respuesta del </w:t>
      </w:r>
      <w:r w:rsidR="00772EDF" w:rsidRPr="00ED27DC">
        <w:rPr>
          <w:rFonts w:ascii="ITC Avant Garde" w:hAnsi="ITC Avant Garde"/>
          <w:sz w:val="18"/>
          <w:u w:val="single"/>
          <w:lang w:val="es-ES_tradnl"/>
        </w:rPr>
        <w:t>Instituto</w:t>
      </w:r>
    </w:p>
    <w:p w14:paraId="3E21659C" w14:textId="72203EE9" w:rsidR="001A10CC" w:rsidRPr="00ED27DC" w:rsidRDefault="00E03640" w:rsidP="00E35916">
      <w:pPr>
        <w:rPr>
          <w:rFonts w:ascii="ITC Avant Garde" w:hAnsi="ITC Avant Garde"/>
          <w:color w:val="000000" w:themeColor="text1"/>
          <w:sz w:val="18"/>
          <w:szCs w:val="18"/>
          <w:lang w:val="es-ES_tradnl"/>
        </w:rPr>
      </w:pPr>
      <w:r w:rsidRPr="00ED27DC">
        <w:rPr>
          <w:rFonts w:ascii="ITC Avant Garde" w:hAnsi="ITC Avant Garde"/>
          <w:color w:val="000000" w:themeColor="text1"/>
          <w:sz w:val="18"/>
          <w:szCs w:val="18"/>
          <w:lang w:val="es-ES_tradnl"/>
        </w:rPr>
        <w:t xml:space="preserve">Con </w:t>
      </w:r>
      <w:r w:rsidR="00E16D7E" w:rsidRPr="00ED27DC">
        <w:rPr>
          <w:rFonts w:ascii="ITC Avant Garde" w:hAnsi="ITC Avant Garde"/>
          <w:color w:val="000000" w:themeColor="text1"/>
          <w:sz w:val="18"/>
          <w:szCs w:val="18"/>
          <w:lang w:val="es-ES_tradnl"/>
        </w:rPr>
        <w:t>referencia a</w:t>
      </w:r>
      <w:r w:rsidR="008452BD" w:rsidRPr="00ED27DC">
        <w:rPr>
          <w:rFonts w:ascii="ITC Avant Garde" w:hAnsi="ITC Avant Garde"/>
          <w:color w:val="000000" w:themeColor="text1"/>
          <w:sz w:val="18"/>
          <w:szCs w:val="18"/>
          <w:lang w:val="es-ES_tradnl"/>
        </w:rPr>
        <w:t>l</w:t>
      </w:r>
      <w:r w:rsidRPr="00ED27DC">
        <w:rPr>
          <w:rFonts w:ascii="ITC Avant Garde" w:hAnsi="ITC Avant Garde"/>
          <w:color w:val="000000" w:themeColor="text1"/>
          <w:sz w:val="18"/>
          <w:szCs w:val="18"/>
          <w:lang w:val="es-ES_tradnl"/>
        </w:rPr>
        <w:t xml:space="preserve"> señalam</w:t>
      </w:r>
      <w:r w:rsidR="00E16D7E" w:rsidRPr="00ED27DC">
        <w:rPr>
          <w:rFonts w:ascii="ITC Avant Garde" w:hAnsi="ITC Avant Garde"/>
          <w:color w:val="000000" w:themeColor="text1"/>
          <w:sz w:val="18"/>
          <w:szCs w:val="18"/>
          <w:lang w:val="es-ES_tradnl"/>
        </w:rPr>
        <w:t>iento</w:t>
      </w:r>
      <w:r w:rsidRPr="00ED27DC">
        <w:rPr>
          <w:rFonts w:ascii="ITC Avant Garde" w:hAnsi="ITC Avant Garde"/>
          <w:color w:val="000000" w:themeColor="text1"/>
          <w:sz w:val="18"/>
          <w:szCs w:val="18"/>
          <w:lang w:val="es-ES_tradnl"/>
        </w:rPr>
        <w:t xml:space="preserve"> de disconformidad con la metodología de costeo, el Instituto señala que la metodología bajo la cual se ha implementado el modelo es consistente con lo dispuesto por </w:t>
      </w:r>
      <w:r w:rsidRPr="00ED27DC">
        <w:rPr>
          <w:rFonts w:ascii="ITC Avant Garde" w:hAnsi="ITC Avant Garde"/>
          <w:color w:val="000000" w:themeColor="text1"/>
          <w:sz w:val="18"/>
          <w:szCs w:val="18"/>
          <w:lang w:val="es-ES_tradnl"/>
        </w:rPr>
        <w:lastRenderedPageBreak/>
        <w:t xml:space="preserve">la Medida </w:t>
      </w:r>
      <w:r w:rsidR="00E338C8" w:rsidRPr="00ED27DC">
        <w:rPr>
          <w:rFonts w:ascii="ITC Avant Garde" w:hAnsi="ITC Avant Garde"/>
          <w:color w:val="000000" w:themeColor="text1"/>
          <w:sz w:val="18"/>
          <w:szCs w:val="18"/>
          <w:lang w:val="es-ES_tradnl"/>
        </w:rPr>
        <w:t>CUARTA</w:t>
      </w:r>
      <w:r w:rsidRPr="00ED27DC">
        <w:rPr>
          <w:rFonts w:ascii="ITC Avant Garde" w:hAnsi="ITC Avant Garde"/>
          <w:color w:val="000000" w:themeColor="text1"/>
          <w:sz w:val="18"/>
          <w:szCs w:val="18"/>
          <w:lang w:val="es-ES_tradnl"/>
        </w:rPr>
        <w:t xml:space="preserve"> de las Medidas de </w:t>
      </w:r>
      <w:r w:rsidR="00E338C8" w:rsidRPr="00ED27DC">
        <w:rPr>
          <w:rFonts w:ascii="ITC Avant Garde" w:hAnsi="ITC Avant Garde"/>
          <w:color w:val="000000" w:themeColor="text1"/>
          <w:sz w:val="18"/>
          <w:szCs w:val="18"/>
          <w:lang w:val="es-ES_tradnl"/>
        </w:rPr>
        <w:t>Radiodifusión</w:t>
      </w:r>
      <w:r w:rsidR="00C44480" w:rsidRPr="00ED27DC">
        <w:rPr>
          <w:rStyle w:val="Refdenotaalpie"/>
          <w:rFonts w:ascii="ITC Avant Garde" w:hAnsi="ITC Avant Garde"/>
          <w:szCs w:val="18"/>
          <w:lang w:val="es-ES_tradnl"/>
        </w:rPr>
        <w:footnoteReference w:id="2"/>
      </w:r>
      <w:r w:rsidR="00E35916" w:rsidRPr="00ED27DC">
        <w:rPr>
          <w:rFonts w:ascii="ITC Avant Garde" w:hAnsi="ITC Avant Garde"/>
          <w:color w:val="000000" w:themeColor="text1"/>
          <w:sz w:val="18"/>
          <w:szCs w:val="18"/>
          <w:lang w:val="es-ES_tradnl"/>
        </w:rPr>
        <w:t>, donde se establece la metodología y circunstancias mediante las cuales se determinarán las tarifas aplicables a los servicios los Servicios de Acceso y Uso Compartido de Infraestructura Pasiva relativos a la Oferta de Pública de Infraestructura</w:t>
      </w:r>
      <w:r w:rsidR="007D5DAA" w:rsidRPr="00ED27DC">
        <w:rPr>
          <w:rFonts w:ascii="ITC Avant Garde" w:hAnsi="ITC Avant Garde"/>
          <w:color w:val="000000" w:themeColor="text1"/>
          <w:sz w:val="18"/>
          <w:szCs w:val="18"/>
          <w:lang w:val="es-ES_tradnl"/>
        </w:rPr>
        <w:t xml:space="preserve"> (OPI)</w:t>
      </w:r>
      <w:r w:rsidR="00E35916" w:rsidRPr="00ED27DC">
        <w:rPr>
          <w:rFonts w:ascii="ITC Avant Garde" w:hAnsi="ITC Avant Garde"/>
          <w:color w:val="000000" w:themeColor="text1"/>
          <w:sz w:val="18"/>
          <w:szCs w:val="18"/>
          <w:lang w:val="es-ES_tradnl"/>
        </w:rPr>
        <w:t xml:space="preserve">. </w:t>
      </w:r>
    </w:p>
    <w:p w14:paraId="6FB5DD6A" w14:textId="31CEE97A" w:rsidR="00E13C3F" w:rsidRDefault="003F16B4" w:rsidP="00E13C3F">
      <w:pPr>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Por otra parte,</w:t>
      </w:r>
      <w:r w:rsidR="00FC4E72">
        <w:rPr>
          <w:rFonts w:ascii="ITC Avant Garde" w:hAnsi="ITC Avant Garde"/>
          <w:color w:val="000000" w:themeColor="text1"/>
          <w:sz w:val="18"/>
          <w:szCs w:val="18"/>
          <w:lang w:val="es-ES_tradnl"/>
        </w:rPr>
        <w:t xml:space="preserve"> </w:t>
      </w:r>
      <w:proofErr w:type="spellStart"/>
      <w:r w:rsidR="009D3DD2">
        <w:rPr>
          <w:rFonts w:ascii="ITC Avant Garde" w:hAnsi="ITC Avant Garde"/>
          <w:color w:val="000000" w:themeColor="text1"/>
          <w:sz w:val="18"/>
          <w:szCs w:val="18"/>
          <w:lang w:val="es-ES_tradnl"/>
        </w:rPr>
        <w:t>Televimex</w:t>
      </w:r>
      <w:proofErr w:type="spellEnd"/>
      <w:r w:rsidR="009D3DD2">
        <w:rPr>
          <w:rFonts w:ascii="ITC Avant Garde" w:hAnsi="ITC Avant Garde"/>
          <w:color w:val="000000" w:themeColor="text1"/>
          <w:sz w:val="18"/>
          <w:szCs w:val="18"/>
          <w:lang w:val="es-ES_tradnl"/>
        </w:rPr>
        <w:t xml:space="preserve"> menciona que en el modelo de costos n</w:t>
      </w:r>
      <w:r w:rsidR="00E13C3F">
        <w:rPr>
          <w:rFonts w:ascii="ITC Avant Garde" w:hAnsi="ITC Avant Garde"/>
          <w:color w:val="000000" w:themeColor="text1"/>
          <w:sz w:val="18"/>
          <w:szCs w:val="18"/>
          <w:lang w:val="es-ES_tradnl"/>
        </w:rPr>
        <w:t>o só</w:t>
      </w:r>
      <w:r w:rsidR="009D3DD2">
        <w:rPr>
          <w:rFonts w:ascii="ITC Avant Garde" w:hAnsi="ITC Avant Garde"/>
          <w:color w:val="000000" w:themeColor="text1"/>
          <w:sz w:val="18"/>
          <w:szCs w:val="18"/>
          <w:lang w:val="es-ES_tradnl"/>
        </w:rPr>
        <w:t xml:space="preserve">lo se debe de calcular el costo de construcción y operación de la infraestructura, sino que también debe de considerar el flujo de ingresos que ésta va a generar descontados de una tasa apropiada. Al respecto, es importante precisar que el modelo de costos considera </w:t>
      </w:r>
      <w:r w:rsidR="00D1714A">
        <w:rPr>
          <w:rFonts w:ascii="ITC Avant Garde" w:hAnsi="ITC Avant Garde"/>
          <w:color w:val="000000" w:themeColor="text1"/>
          <w:sz w:val="18"/>
          <w:szCs w:val="18"/>
          <w:lang w:val="es-ES_tradnl"/>
        </w:rPr>
        <w:t>los flujos de ingresos al tomar todas las inversiones a través del calculó del CAPEX y el OPEX</w:t>
      </w:r>
      <w:r w:rsidR="001D6AD4">
        <w:rPr>
          <w:rFonts w:ascii="ITC Avant Garde" w:hAnsi="ITC Avant Garde"/>
          <w:color w:val="000000" w:themeColor="text1"/>
          <w:sz w:val="18"/>
          <w:szCs w:val="18"/>
          <w:lang w:val="es-ES_tradnl"/>
        </w:rPr>
        <w:t xml:space="preserve"> y anualizar esta inversión con una tasa adecuada</w:t>
      </w:r>
      <w:r w:rsidR="00D1714A">
        <w:rPr>
          <w:rFonts w:ascii="ITC Avant Garde" w:hAnsi="ITC Avant Garde"/>
          <w:color w:val="000000" w:themeColor="text1"/>
          <w:sz w:val="18"/>
          <w:szCs w:val="18"/>
          <w:lang w:val="es-ES_tradnl"/>
        </w:rPr>
        <w:t xml:space="preserve">, </w:t>
      </w:r>
    </w:p>
    <w:p w14:paraId="6AD0F8E0" w14:textId="77777777" w:rsidR="00E13C3F" w:rsidRDefault="00E13C3F" w:rsidP="00E13C3F">
      <w:pPr>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 xml:space="preserve">Al respecto, cabe recalcar que el CAPEX contempla los costos asociados a la adquisición de la propia instalación de la infraestructura, así como los costos de instalación de los mismos, mientras que el OPEX incluye los costos asociados al personal </w:t>
      </w:r>
      <w:r w:rsidRPr="00FC4E72">
        <w:rPr>
          <w:rFonts w:ascii="ITC Avant Garde" w:hAnsi="ITC Avant Garde"/>
          <w:color w:val="000000" w:themeColor="text1"/>
          <w:sz w:val="18"/>
          <w:szCs w:val="18"/>
          <w:lang w:val="es-ES_tradnl"/>
        </w:rPr>
        <w:t>propio encargado de la gestión, operación y mantenimiento de la infraestructura y equipos, las operaciones externalizadas (por ejemplo, empresas contratadas para el mantenimiento de los elementos que conforman la infraestructura y los equipos), así como la energía necesaria para el funcionamiento de los equipos.</w:t>
      </w:r>
    </w:p>
    <w:p w14:paraId="0422AEDA" w14:textId="7CBCDF17" w:rsidR="00E13C3F" w:rsidRPr="00DC7725" w:rsidRDefault="001D6AD4" w:rsidP="00E13C3F">
      <w:pPr>
        <w:rPr>
          <w:rFonts w:ascii="ITC Avant Garde" w:hAnsi="ITC Avant Garde"/>
          <w:color w:val="000000" w:themeColor="text1"/>
          <w:sz w:val="18"/>
          <w:szCs w:val="18"/>
          <w:lang w:val="es-MX"/>
        </w:rPr>
      </w:pPr>
      <w:r>
        <w:rPr>
          <w:rFonts w:ascii="ITC Avant Garde" w:hAnsi="ITC Avant Garde"/>
          <w:color w:val="000000" w:themeColor="text1"/>
          <w:sz w:val="18"/>
          <w:szCs w:val="18"/>
          <w:lang w:val="es-ES_tradnl"/>
        </w:rPr>
        <w:t xml:space="preserve">Así, el modelo </w:t>
      </w:r>
      <w:r w:rsidR="00504F2D">
        <w:rPr>
          <w:rFonts w:ascii="ITC Avant Garde" w:hAnsi="ITC Avant Garde"/>
          <w:color w:val="000000" w:themeColor="text1"/>
          <w:sz w:val="18"/>
          <w:szCs w:val="18"/>
          <w:lang w:val="es-ES_tradnl"/>
        </w:rPr>
        <w:t xml:space="preserve">toma las inversiones totales de cada uno delos activos derivados de conjuntar su CAPEX y OPEX y genera un flujo </w:t>
      </w:r>
      <w:r w:rsidR="00E13C3F">
        <w:rPr>
          <w:rFonts w:ascii="ITC Avant Garde" w:hAnsi="ITC Avant Garde"/>
          <w:color w:val="000000" w:themeColor="text1"/>
          <w:sz w:val="18"/>
          <w:szCs w:val="18"/>
          <w:lang w:val="es-ES_tradnl"/>
        </w:rPr>
        <w:t xml:space="preserve">a una tasa apropiada de </w:t>
      </w:r>
      <w:r w:rsidR="00984BBD">
        <w:rPr>
          <w:rFonts w:ascii="ITC Avant Garde" w:hAnsi="ITC Avant Garde"/>
          <w:color w:val="000000" w:themeColor="text1"/>
          <w:sz w:val="18"/>
          <w:szCs w:val="18"/>
          <w:lang w:val="es-ES_tradnl"/>
        </w:rPr>
        <w:t>descuento según</w:t>
      </w:r>
      <w:r w:rsidR="00337C8A">
        <w:rPr>
          <w:rFonts w:ascii="ITC Avant Garde" w:hAnsi="ITC Avant Garde"/>
          <w:color w:val="000000" w:themeColor="text1"/>
          <w:sz w:val="18"/>
          <w:szCs w:val="18"/>
          <w:lang w:val="es-ES_tradnl"/>
        </w:rPr>
        <w:t xml:space="preserve"> el método de </w:t>
      </w:r>
      <w:proofErr w:type="spellStart"/>
      <w:r w:rsidR="00337C8A">
        <w:rPr>
          <w:rFonts w:ascii="ITC Avant Garde" w:hAnsi="ITC Avant Garde"/>
          <w:color w:val="000000" w:themeColor="text1"/>
          <w:sz w:val="18"/>
          <w:szCs w:val="18"/>
          <w:lang w:val="es-ES_tradnl"/>
        </w:rPr>
        <w:t>anualización</w:t>
      </w:r>
      <w:proofErr w:type="spellEnd"/>
      <w:r w:rsidR="00337C8A">
        <w:rPr>
          <w:rFonts w:ascii="ITC Avant Garde" w:hAnsi="ITC Avant Garde"/>
          <w:color w:val="000000" w:themeColor="text1"/>
          <w:sz w:val="18"/>
          <w:szCs w:val="18"/>
          <w:lang w:val="es-ES_tradnl"/>
        </w:rPr>
        <w:t xml:space="preserve"> siguiente</w:t>
      </w:r>
      <w:r w:rsidR="00E13C3F" w:rsidRPr="00DC7725">
        <w:rPr>
          <w:rFonts w:ascii="ITC Avant Garde" w:hAnsi="ITC Avant Garde"/>
          <w:color w:val="000000" w:themeColor="text1"/>
          <w:sz w:val="18"/>
          <w:szCs w:val="18"/>
          <w:lang w:val="es-MX"/>
        </w:rPr>
        <w:t>:</w:t>
      </w:r>
    </w:p>
    <w:p w14:paraId="419AA561" w14:textId="77777777" w:rsidR="00DC7725" w:rsidRPr="00DC7725" w:rsidRDefault="00DC7725" w:rsidP="00DC7725">
      <w:pPr>
        <w:rPr>
          <w:rFonts w:ascii="ITC Avant Garde" w:hAnsi="ITC Avant Garde"/>
          <w:color w:val="000000" w:themeColor="text1"/>
          <w:sz w:val="18"/>
          <w:szCs w:val="18"/>
          <w:lang w:val="es-MX"/>
        </w:rPr>
      </w:pPr>
      <w:bookmarkStart w:id="2" w:name="_Toc305574079"/>
      <m:oMathPara>
        <m:oMath>
          <m:r>
            <w:rPr>
              <w:rFonts w:ascii="Cambria Math" w:hAnsi="Cambria Math"/>
              <w:color w:val="000000" w:themeColor="text1"/>
              <w:sz w:val="18"/>
              <w:szCs w:val="18"/>
              <w:lang w:val="es-MX"/>
            </w:rPr>
            <m:t>a=I·</m:t>
          </m:r>
          <m:f>
            <m:fPr>
              <m:ctrlPr>
                <w:rPr>
                  <w:rFonts w:ascii="Cambria Math" w:hAnsi="Cambria Math"/>
                  <w:i/>
                  <w:color w:val="000000" w:themeColor="text1"/>
                  <w:sz w:val="18"/>
                  <w:szCs w:val="18"/>
                  <w:lang w:val="es-MX"/>
                </w:rPr>
              </m:ctrlPr>
            </m:fPr>
            <m:num>
              <m:r>
                <w:rPr>
                  <w:rFonts w:ascii="Cambria Math" w:hAnsi="Cambria Math"/>
                  <w:color w:val="000000" w:themeColor="text1"/>
                  <w:sz w:val="18"/>
                  <w:szCs w:val="18"/>
                  <w:lang w:val="es-MX"/>
                </w:rPr>
                <m:t>r-p</m:t>
              </m:r>
            </m:num>
            <m:den>
              <m:r>
                <w:rPr>
                  <w:rFonts w:ascii="Cambria Math" w:hAnsi="Cambria Math"/>
                  <w:color w:val="000000" w:themeColor="text1"/>
                  <w:sz w:val="18"/>
                  <w:szCs w:val="18"/>
                  <w:lang w:val="es-MX"/>
                </w:rPr>
                <m:t>1-</m:t>
              </m:r>
              <m:sSup>
                <m:sSupPr>
                  <m:ctrlPr>
                    <w:rPr>
                      <w:rFonts w:ascii="Cambria Math" w:hAnsi="Cambria Math"/>
                      <w:i/>
                      <w:color w:val="000000" w:themeColor="text1"/>
                      <w:sz w:val="18"/>
                      <w:szCs w:val="18"/>
                      <w:lang w:val="es-MX"/>
                    </w:rPr>
                  </m:ctrlPr>
                </m:sSupPr>
                <m:e>
                  <m:d>
                    <m:dPr>
                      <m:ctrlPr>
                        <w:rPr>
                          <w:rFonts w:ascii="Cambria Math" w:hAnsi="Cambria Math"/>
                          <w:i/>
                          <w:color w:val="000000" w:themeColor="text1"/>
                          <w:sz w:val="18"/>
                          <w:szCs w:val="18"/>
                          <w:lang w:val="es-MX"/>
                        </w:rPr>
                      </m:ctrlPr>
                    </m:dPr>
                    <m:e>
                      <m:f>
                        <m:fPr>
                          <m:ctrlPr>
                            <w:rPr>
                              <w:rFonts w:ascii="Cambria Math" w:hAnsi="Cambria Math"/>
                              <w:i/>
                              <w:color w:val="000000" w:themeColor="text1"/>
                              <w:sz w:val="18"/>
                              <w:szCs w:val="18"/>
                              <w:lang w:val="es-MX"/>
                            </w:rPr>
                          </m:ctrlPr>
                        </m:fPr>
                        <m:num>
                          <m:r>
                            <w:rPr>
                              <w:rFonts w:ascii="Cambria Math" w:hAnsi="Cambria Math"/>
                              <w:color w:val="000000" w:themeColor="text1"/>
                              <w:sz w:val="18"/>
                              <w:szCs w:val="18"/>
                              <w:lang w:val="es-MX"/>
                            </w:rPr>
                            <m:t>1+p</m:t>
                          </m:r>
                        </m:num>
                        <m:den>
                          <m:r>
                            <w:rPr>
                              <w:rFonts w:ascii="Cambria Math" w:hAnsi="Cambria Math"/>
                              <w:color w:val="000000" w:themeColor="text1"/>
                              <w:sz w:val="18"/>
                              <w:szCs w:val="18"/>
                              <w:lang w:val="es-MX"/>
                            </w:rPr>
                            <m:t>1+r</m:t>
                          </m:r>
                        </m:den>
                      </m:f>
                    </m:e>
                  </m:d>
                </m:e>
                <m:sup>
                  <m:r>
                    <w:rPr>
                      <w:rFonts w:ascii="Cambria Math" w:hAnsi="Cambria Math"/>
                      <w:color w:val="000000" w:themeColor="text1"/>
                      <w:sz w:val="18"/>
                      <w:szCs w:val="18"/>
                      <w:lang w:val="es-MX"/>
                    </w:rPr>
                    <m:t>VU</m:t>
                  </m:r>
                </m:sup>
              </m:sSup>
            </m:den>
          </m:f>
        </m:oMath>
      </m:oMathPara>
    </w:p>
    <w:p w14:paraId="168B510E" w14:textId="57027AC0" w:rsidR="00DC7725" w:rsidRDefault="00DC7725" w:rsidP="00DC7725">
      <w:pPr>
        <w:spacing w:after="0" w:line="240" w:lineRule="auto"/>
        <w:rPr>
          <w:rFonts w:ascii="ITC Avant Garde" w:hAnsi="ITC Avant Garde"/>
          <w:color w:val="000000" w:themeColor="text1"/>
          <w:sz w:val="18"/>
          <w:szCs w:val="18"/>
          <w:lang w:val="es-MX"/>
        </w:rPr>
      </w:pPr>
      <w:r w:rsidRPr="00984BBD">
        <w:rPr>
          <w:rFonts w:ascii="ITC Avant Garde" w:hAnsi="ITC Avant Garde"/>
          <w:color w:val="000000" w:themeColor="text1"/>
          <w:sz w:val="18"/>
          <w:szCs w:val="18"/>
          <w:lang w:val="es-MX"/>
        </w:rPr>
        <w:t>Donde:</w:t>
      </w:r>
    </w:p>
    <w:p w14:paraId="152BEAEC" w14:textId="77777777" w:rsidR="00337C8A" w:rsidRPr="00984BBD" w:rsidRDefault="00337C8A" w:rsidP="00DC7725">
      <w:pPr>
        <w:spacing w:after="0" w:line="240" w:lineRule="auto"/>
        <w:rPr>
          <w:rFonts w:ascii="ITC Avant Garde" w:hAnsi="ITC Avant Garde"/>
          <w:color w:val="000000" w:themeColor="text1"/>
          <w:sz w:val="18"/>
          <w:szCs w:val="18"/>
          <w:lang w:val="es-MX"/>
        </w:rPr>
      </w:pPr>
    </w:p>
    <w:p w14:paraId="79B146E5" w14:textId="77777777" w:rsidR="00DC7725" w:rsidRPr="00984BBD" w:rsidRDefault="00DC7725" w:rsidP="00DC7725">
      <w:pPr>
        <w:spacing w:after="0" w:line="240" w:lineRule="auto"/>
        <w:rPr>
          <w:rFonts w:ascii="ITC Avant Garde" w:hAnsi="ITC Avant Garde"/>
          <w:bCs/>
          <w:color w:val="000000" w:themeColor="text1"/>
          <w:sz w:val="18"/>
          <w:szCs w:val="18"/>
          <w:lang w:val="es-MX"/>
        </w:rPr>
      </w:pPr>
      <w:r w:rsidRPr="00984BBD">
        <w:rPr>
          <w:rFonts w:ascii="ITC Avant Garde" w:hAnsi="ITC Avant Garde"/>
          <w:bCs/>
          <w:i/>
          <w:color w:val="000000" w:themeColor="text1"/>
          <w:sz w:val="18"/>
          <w:szCs w:val="18"/>
          <w:lang w:val="es-MX"/>
        </w:rPr>
        <w:t>a</w:t>
      </w:r>
      <w:r w:rsidRPr="00984BBD">
        <w:rPr>
          <w:rFonts w:ascii="ITC Avant Garde" w:hAnsi="ITC Avant Garde"/>
          <w:bCs/>
          <w:color w:val="000000" w:themeColor="text1"/>
          <w:sz w:val="18"/>
          <w:szCs w:val="18"/>
          <w:lang w:val="es-MX"/>
        </w:rPr>
        <w:t xml:space="preserve"> representa la anualidad asociada al activo (dentro de la vida útil).</w:t>
      </w:r>
    </w:p>
    <w:p w14:paraId="20F9C3F7" w14:textId="77777777" w:rsidR="00DC7725" w:rsidRPr="00984BBD" w:rsidRDefault="00DC7725" w:rsidP="00DC7725">
      <w:pPr>
        <w:spacing w:after="0" w:line="240" w:lineRule="auto"/>
        <w:rPr>
          <w:rFonts w:ascii="ITC Avant Garde" w:hAnsi="ITC Avant Garde"/>
          <w:bCs/>
          <w:color w:val="000000" w:themeColor="text1"/>
          <w:sz w:val="18"/>
          <w:szCs w:val="18"/>
          <w:lang w:val="es-MX"/>
        </w:rPr>
      </w:pPr>
      <w:r w:rsidRPr="00984BBD">
        <w:rPr>
          <w:rFonts w:ascii="ITC Avant Garde" w:hAnsi="ITC Avant Garde"/>
          <w:bCs/>
          <w:i/>
          <w:color w:val="000000" w:themeColor="text1"/>
          <w:sz w:val="18"/>
          <w:szCs w:val="18"/>
          <w:lang w:val="es-MX"/>
        </w:rPr>
        <w:t>I</w:t>
      </w:r>
      <w:r w:rsidRPr="00984BBD">
        <w:rPr>
          <w:rFonts w:ascii="ITC Avant Garde" w:hAnsi="ITC Avant Garde"/>
          <w:bCs/>
          <w:color w:val="000000" w:themeColor="text1"/>
          <w:sz w:val="18"/>
          <w:szCs w:val="18"/>
          <w:lang w:val="es-MX"/>
        </w:rPr>
        <w:t xml:space="preserve"> es la inversión asociada al activo.</w:t>
      </w:r>
    </w:p>
    <w:p w14:paraId="28DFAF7A" w14:textId="77777777" w:rsidR="00DC7725" w:rsidRPr="00984BBD" w:rsidRDefault="00DC7725" w:rsidP="00DC7725">
      <w:pPr>
        <w:spacing w:after="0" w:line="240" w:lineRule="auto"/>
        <w:rPr>
          <w:rFonts w:ascii="ITC Avant Garde" w:hAnsi="ITC Avant Garde"/>
          <w:bCs/>
          <w:color w:val="000000" w:themeColor="text1"/>
          <w:sz w:val="18"/>
          <w:szCs w:val="18"/>
          <w:lang w:val="es-MX"/>
        </w:rPr>
      </w:pPr>
      <w:r w:rsidRPr="00984BBD">
        <w:rPr>
          <w:rFonts w:ascii="ITC Avant Garde" w:hAnsi="ITC Avant Garde"/>
          <w:bCs/>
          <w:i/>
          <w:color w:val="000000" w:themeColor="text1"/>
          <w:sz w:val="18"/>
          <w:szCs w:val="18"/>
          <w:lang w:val="es-MX"/>
        </w:rPr>
        <w:t>r</w:t>
      </w:r>
      <w:r w:rsidRPr="00984BBD">
        <w:rPr>
          <w:rFonts w:ascii="ITC Avant Garde" w:hAnsi="ITC Avant Garde"/>
          <w:bCs/>
          <w:color w:val="000000" w:themeColor="text1"/>
          <w:sz w:val="18"/>
          <w:szCs w:val="18"/>
          <w:lang w:val="es-MX"/>
        </w:rPr>
        <w:t xml:space="preserve"> representa la tasa de costo de capital promedio ponderado (CCPP).</w:t>
      </w:r>
    </w:p>
    <w:p w14:paraId="285B9F82" w14:textId="77777777" w:rsidR="00DC7725" w:rsidRPr="00984BBD" w:rsidRDefault="00DC7725" w:rsidP="00DC7725">
      <w:pPr>
        <w:spacing w:after="0" w:line="240" w:lineRule="auto"/>
        <w:rPr>
          <w:rFonts w:ascii="ITC Avant Garde" w:hAnsi="ITC Avant Garde"/>
          <w:bCs/>
          <w:color w:val="000000" w:themeColor="text1"/>
          <w:sz w:val="18"/>
          <w:szCs w:val="18"/>
          <w:lang w:val="es-MX"/>
        </w:rPr>
      </w:pPr>
      <w:r w:rsidRPr="00984BBD">
        <w:rPr>
          <w:rFonts w:ascii="ITC Avant Garde" w:hAnsi="ITC Avant Garde"/>
          <w:bCs/>
          <w:i/>
          <w:color w:val="000000" w:themeColor="text1"/>
          <w:sz w:val="18"/>
          <w:szCs w:val="18"/>
          <w:lang w:val="es-MX"/>
        </w:rPr>
        <w:t>p</w:t>
      </w:r>
      <w:r w:rsidRPr="00984BBD">
        <w:rPr>
          <w:rFonts w:ascii="ITC Avant Garde" w:hAnsi="ITC Avant Garde"/>
          <w:bCs/>
          <w:color w:val="000000" w:themeColor="text1"/>
          <w:sz w:val="18"/>
          <w:szCs w:val="18"/>
          <w:lang w:val="es-MX"/>
        </w:rPr>
        <w:t xml:space="preserve"> es la tendencia de costos asociada al activo.</w:t>
      </w:r>
    </w:p>
    <w:p w14:paraId="2CA20798" w14:textId="6292373A" w:rsidR="00DC7725" w:rsidRDefault="00DC7725" w:rsidP="00DC7725">
      <w:pPr>
        <w:spacing w:after="0" w:line="240" w:lineRule="auto"/>
        <w:rPr>
          <w:rFonts w:ascii="ITC Avant Garde" w:hAnsi="ITC Avant Garde"/>
          <w:bCs/>
          <w:color w:val="000000" w:themeColor="text1"/>
          <w:sz w:val="16"/>
          <w:szCs w:val="18"/>
          <w:lang w:val="es-MX"/>
        </w:rPr>
      </w:pPr>
      <w:r w:rsidRPr="00DC7725">
        <w:rPr>
          <w:rFonts w:ascii="ITC Avant Garde" w:hAnsi="ITC Avant Garde"/>
          <w:bCs/>
          <w:i/>
          <w:color w:val="000000" w:themeColor="text1"/>
          <w:sz w:val="16"/>
          <w:szCs w:val="18"/>
          <w:lang w:val="es-MX"/>
        </w:rPr>
        <w:t>VU</w:t>
      </w:r>
      <w:r w:rsidRPr="00DC7725">
        <w:rPr>
          <w:rFonts w:ascii="ITC Avant Garde" w:hAnsi="ITC Avant Garde"/>
          <w:bCs/>
          <w:color w:val="000000" w:themeColor="text1"/>
          <w:sz w:val="16"/>
          <w:szCs w:val="18"/>
          <w:lang w:val="es-MX"/>
        </w:rPr>
        <w:t xml:space="preserve"> es la vida útil de los activos</w:t>
      </w:r>
      <w:bookmarkEnd w:id="2"/>
      <w:r w:rsidRPr="00DC7725">
        <w:rPr>
          <w:rFonts w:ascii="ITC Avant Garde" w:hAnsi="ITC Avant Garde"/>
          <w:bCs/>
          <w:color w:val="000000" w:themeColor="text1"/>
          <w:sz w:val="16"/>
          <w:szCs w:val="18"/>
          <w:lang w:val="es-MX"/>
        </w:rPr>
        <w:t>.</w:t>
      </w:r>
    </w:p>
    <w:p w14:paraId="1E5DA648" w14:textId="77777777" w:rsidR="00DC7725" w:rsidRPr="00DC7725" w:rsidRDefault="00DC7725" w:rsidP="00DC7725">
      <w:pPr>
        <w:spacing w:after="0" w:line="240" w:lineRule="auto"/>
        <w:rPr>
          <w:rFonts w:ascii="ITC Avant Garde" w:hAnsi="ITC Avant Garde"/>
          <w:bCs/>
          <w:color w:val="000000" w:themeColor="text1"/>
          <w:sz w:val="16"/>
          <w:szCs w:val="18"/>
          <w:lang w:val="es-MX"/>
        </w:rPr>
      </w:pPr>
    </w:p>
    <w:p w14:paraId="16864770" w14:textId="17DBA73C" w:rsidR="00E13C3F" w:rsidRPr="00245174" w:rsidRDefault="00337C8A" w:rsidP="00245174">
      <w:pPr>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S</w:t>
      </w:r>
      <w:r w:rsidR="00245174">
        <w:rPr>
          <w:rFonts w:ascii="ITC Avant Garde" w:hAnsi="ITC Avant Garde"/>
          <w:color w:val="000000" w:themeColor="text1"/>
          <w:sz w:val="18"/>
          <w:szCs w:val="18"/>
          <w:lang w:val="es-ES_tradnl"/>
        </w:rPr>
        <w:t>e puede observar que</w:t>
      </w:r>
      <w:r w:rsidR="00E13C3F">
        <w:rPr>
          <w:rFonts w:ascii="ITC Avant Garde" w:hAnsi="ITC Avant Garde"/>
          <w:color w:val="000000" w:themeColor="text1"/>
          <w:sz w:val="18"/>
          <w:szCs w:val="18"/>
          <w:lang w:val="es-ES_tradnl"/>
        </w:rPr>
        <w:t xml:space="preserve"> al anualizar el CAPEX y OPEX se aplica una tasa de descuento </w:t>
      </w:r>
      <w:r>
        <w:rPr>
          <w:rFonts w:ascii="ITC Avant Garde" w:hAnsi="ITC Avant Garde"/>
          <w:color w:val="000000" w:themeColor="text1"/>
          <w:sz w:val="18"/>
          <w:szCs w:val="18"/>
          <w:lang w:val="es-ES_tradnl"/>
        </w:rPr>
        <w:t>igual a</w:t>
      </w:r>
      <w:r w:rsidR="00E13C3F">
        <w:rPr>
          <w:rFonts w:ascii="ITC Avant Garde" w:hAnsi="ITC Avant Garde"/>
          <w:color w:val="000000" w:themeColor="text1"/>
          <w:sz w:val="18"/>
          <w:szCs w:val="18"/>
          <w:lang w:val="es-ES_tradnl"/>
        </w:rPr>
        <w:t xml:space="preserve"> la tasa de costo de capital promedio ponderado (CCPP o WACC por sus siglas en ingles</w:t>
      </w:r>
      <w:r w:rsidR="00E13C3F" w:rsidRPr="00DC7725">
        <w:rPr>
          <w:rFonts w:ascii="ITC Avant Garde" w:hAnsi="ITC Avant Garde"/>
          <w:color w:val="000000" w:themeColor="text1"/>
          <w:sz w:val="18"/>
          <w:szCs w:val="18"/>
          <w:lang w:val="es-MX"/>
        </w:rPr>
        <w:t>.</w:t>
      </w:r>
    </w:p>
    <w:p w14:paraId="7FDB2FC4" w14:textId="358A3D5F" w:rsidR="006B04CB" w:rsidRPr="00ED27DC" w:rsidRDefault="00E13C3F" w:rsidP="006B04CB">
      <w:pPr>
        <w:spacing w:after="120"/>
        <w:rPr>
          <w:rFonts w:ascii="ITC Avant Garde" w:hAnsi="ITC Avant Garde"/>
          <w:i/>
          <w:sz w:val="18"/>
          <w:szCs w:val="18"/>
          <w:u w:val="single"/>
          <w:lang w:val="es-ES_tradnl"/>
        </w:rPr>
      </w:pPr>
      <w:r>
        <w:rPr>
          <w:rFonts w:ascii="ITC Avant Garde" w:hAnsi="ITC Avant Garde"/>
          <w:color w:val="000000" w:themeColor="text1"/>
          <w:sz w:val="18"/>
          <w:szCs w:val="18"/>
          <w:lang w:val="es-ES_tradnl"/>
        </w:rPr>
        <w:t xml:space="preserve">Es por lo anterior que, al </w:t>
      </w:r>
      <w:r w:rsidR="00741934">
        <w:rPr>
          <w:rFonts w:ascii="ITC Avant Garde" w:hAnsi="ITC Avant Garde"/>
          <w:color w:val="000000" w:themeColor="text1"/>
          <w:sz w:val="18"/>
          <w:szCs w:val="18"/>
          <w:lang w:val="es-ES_tradnl"/>
        </w:rPr>
        <w:t>considerar</w:t>
      </w:r>
      <w:r w:rsidR="00337C8A">
        <w:rPr>
          <w:rFonts w:ascii="ITC Avant Garde" w:hAnsi="ITC Avant Garde"/>
          <w:color w:val="000000" w:themeColor="text1"/>
          <w:sz w:val="18"/>
          <w:szCs w:val="18"/>
          <w:lang w:val="es-ES_tradnl"/>
        </w:rPr>
        <w:t xml:space="preserve"> la </w:t>
      </w:r>
      <w:proofErr w:type="spellStart"/>
      <w:r w:rsidR="00337C8A">
        <w:rPr>
          <w:rFonts w:ascii="ITC Avant Garde" w:hAnsi="ITC Avant Garde"/>
          <w:color w:val="000000" w:themeColor="text1"/>
          <w:sz w:val="18"/>
          <w:szCs w:val="18"/>
          <w:lang w:val="es-ES_tradnl"/>
        </w:rPr>
        <w:t>anualización</w:t>
      </w:r>
      <w:proofErr w:type="spellEnd"/>
      <w:r w:rsidR="00337C8A">
        <w:rPr>
          <w:rFonts w:ascii="ITC Avant Garde" w:hAnsi="ITC Avant Garde"/>
          <w:color w:val="000000" w:themeColor="text1"/>
          <w:sz w:val="18"/>
          <w:szCs w:val="18"/>
          <w:lang w:val="es-ES_tradnl"/>
        </w:rPr>
        <w:t xml:space="preserve"> del</w:t>
      </w:r>
      <w:r w:rsidR="00741934">
        <w:rPr>
          <w:rFonts w:ascii="ITC Avant Garde" w:hAnsi="ITC Avant Garde"/>
          <w:color w:val="000000" w:themeColor="text1"/>
          <w:sz w:val="18"/>
          <w:szCs w:val="18"/>
          <w:lang w:val="es-ES_tradnl"/>
        </w:rPr>
        <w:t xml:space="preserve"> CAPEX y OPEX</w:t>
      </w:r>
      <w:r>
        <w:rPr>
          <w:rFonts w:ascii="ITC Avant Garde" w:hAnsi="ITC Avant Garde"/>
          <w:color w:val="000000" w:themeColor="text1"/>
          <w:sz w:val="18"/>
          <w:szCs w:val="18"/>
          <w:lang w:val="es-ES_tradnl"/>
        </w:rPr>
        <w:t xml:space="preserve"> </w:t>
      </w:r>
      <w:r w:rsidR="00337C8A">
        <w:rPr>
          <w:rFonts w:ascii="ITC Avant Garde" w:hAnsi="ITC Avant Garde"/>
          <w:color w:val="000000" w:themeColor="text1"/>
          <w:sz w:val="18"/>
          <w:szCs w:val="18"/>
          <w:lang w:val="es-ES_tradnl"/>
        </w:rPr>
        <w:t xml:space="preserve">el modelo de costos </w:t>
      </w:r>
      <w:proofErr w:type="spellStart"/>
      <w:r>
        <w:rPr>
          <w:rFonts w:ascii="ITC Avant Garde" w:hAnsi="ITC Avant Garde"/>
          <w:color w:val="000000" w:themeColor="text1"/>
          <w:sz w:val="18"/>
          <w:szCs w:val="18"/>
          <w:lang w:val="es-ES_tradnl"/>
        </w:rPr>
        <w:t>s</w:t>
      </w:r>
      <w:proofErr w:type="spellEnd"/>
      <w:r>
        <w:rPr>
          <w:rFonts w:ascii="ITC Avant Garde" w:hAnsi="ITC Avant Garde"/>
          <w:color w:val="000000" w:themeColor="text1"/>
          <w:sz w:val="18"/>
          <w:szCs w:val="18"/>
          <w:lang w:val="es-ES_tradnl"/>
        </w:rPr>
        <w:t xml:space="preserve"> considera los flujos de ingresos</w:t>
      </w:r>
      <w:r w:rsidR="00337C8A">
        <w:rPr>
          <w:rFonts w:ascii="ITC Avant Garde" w:hAnsi="ITC Avant Garde"/>
          <w:color w:val="000000" w:themeColor="text1"/>
          <w:sz w:val="18"/>
          <w:szCs w:val="18"/>
          <w:lang w:val="es-ES_tradnl"/>
        </w:rPr>
        <w:t xml:space="preserve"> necesarios para reponer el activo con una tasa de descuento apropiada y tomando en cuenta su revalorización.</w:t>
      </w:r>
      <w:r w:rsidR="00454FC9" w:rsidRPr="00ED27DC">
        <w:rPr>
          <w:rFonts w:ascii="ITC Avant Garde" w:hAnsi="ITC Avant Garde"/>
          <w:i/>
          <w:sz w:val="18"/>
          <w:szCs w:val="18"/>
          <w:u w:val="single"/>
          <w:lang w:val="es-ES_tradnl"/>
        </w:rPr>
        <w:t>2.</w:t>
      </w:r>
      <w:r w:rsidR="00100459">
        <w:rPr>
          <w:rFonts w:ascii="ITC Avant Garde" w:hAnsi="ITC Avant Garde"/>
          <w:i/>
          <w:sz w:val="18"/>
          <w:szCs w:val="18"/>
          <w:u w:val="single"/>
          <w:lang w:val="es-ES_tradnl"/>
        </w:rPr>
        <w:t>2</w:t>
      </w:r>
      <w:r w:rsidR="00454FC9" w:rsidRPr="00ED27DC">
        <w:rPr>
          <w:rFonts w:ascii="ITC Avant Garde" w:hAnsi="ITC Avant Garde"/>
          <w:i/>
          <w:sz w:val="18"/>
          <w:szCs w:val="18"/>
          <w:u w:val="single"/>
          <w:lang w:val="es-ES_tradnl"/>
        </w:rPr>
        <w:t xml:space="preserve"> </w:t>
      </w:r>
      <w:r w:rsidR="006B04CB" w:rsidRPr="00ED27DC">
        <w:rPr>
          <w:rFonts w:ascii="ITC Avant Garde" w:hAnsi="ITC Avant Garde"/>
          <w:i/>
          <w:sz w:val="18"/>
          <w:szCs w:val="18"/>
          <w:u w:val="single"/>
          <w:lang w:val="es-ES_tradnl"/>
        </w:rPr>
        <w:t>Comentario de la Consulta Pública</w:t>
      </w:r>
    </w:p>
    <w:p w14:paraId="16C465AC" w14:textId="3750737F" w:rsidR="006B04CB" w:rsidRPr="00ED27DC" w:rsidRDefault="0045664E" w:rsidP="006B04CB">
      <w:pPr>
        <w:spacing w:after="120"/>
        <w:rPr>
          <w:rFonts w:ascii="ITC Avant Garde" w:hAnsi="ITC Avant Garde"/>
          <w:sz w:val="18"/>
          <w:szCs w:val="18"/>
          <w:lang w:val="es-MX"/>
        </w:rPr>
      </w:pPr>
      <w:proofErr w:type="spellStart"/>
      <w:r w:rsidRPr="00ED27DC">
        <w:rPr>
          <w:rFonts w:ascii="ITC Avant Garde" w:hAnsi="ITC Avant Garde"/>
          <w:sz w:val="18"/>
          <w:szCs w:val="18"/>
          <w:lang w:val="es-MX"/>
        </w:rPr>
        <w:t>Televimex</w:t>
      </w:r>
      <w:proofErr w:type="spellEnd"/>
      <w:r w:rsidRPr="00ED27DC">
        <w:rPr>
          <w:rFonts w:ascii="ITC Avant Garde" w:hAnsi="ITC Avant Garde"/>
          <w:sz w:val="18"/>
          <w:szCs w:val="18"/>
          <w:lang w:val="es-MX"/>
        </w:rPr>
        <w:t xml:space="preserve"> refiere </w:t>
      </w:r>
      <w:r w:rsidR="00984BBD" w:rsidRPr="00ED27DC">
        <w:rPr>
          <w:rFonts w:ascii="ITC Avant Garde" w:hAnsi="ITC Avant Garde"/>
          <w:sz w:val="18"/>
          <w:szCs w:val="18"/>
          <w:lang w:val="es-MX"/>
        </w:rPr>
        <w:t>que,</w:t>
      </w:r>
      <w:r w:rsidRPr="00ED27DC">
        <w:rPr>
          <w:rFonts w:ascii="ITC Avant Garde" w:hAnsi="ITC Avant Garde"/>
          <w:sz w:val="18"/>
          <w:szCs w:val="18"/>
          <w:lang w:val="es-MX"/>
        </w:rPr>
        <w:t xml:space="preserve"> e</w:t>
      </w:r>
      <w:r w:rsidR="00E70FD0" w:rsidRPr="00ED27DC">
        <w:rPr>
          <w:rFonts w:ascii="ITC Avant Garde" w:hAnsi="ITC Avant Garde"/>
          <w:sz w:val="18"/>
          <w:szCs w:val="18"/>
          <w:lang w:val="es-MX"/>
        </w:rPr>
        <w:t>conómicamente hablando, el valor de la infraestructura pasiva pudiere determinarse con mayor precisión por medio de un sistema de subastas competitivas para su uso</w:t>
      </w:r>
      <w:r w:rsidRPr="00ED27DC">
        <w:rPr>
          <w:rFonts w:ascii="ITC Avant Garde" w:hAnsi="ITC Avant Garde"/>
          <w:sz w:val="18"/>
          <w:szCs w:val="18"/>
          <w:lang w:val="es-MX"/>
        </w:rPr>
        <w:t>, en las que</w:t>
      </w:r>
      <w:r w:rsidR="00E70FD0" w:rsidRPr="00ED27DC">
        <w:rPr>
          <w:rFonts w:ascii="ITC Avant Garde" w:hAnsi="ITC Avant Garde"/>
          <w:sz w:val="18"/>
          <w:szCs w:val="18"/>
          <w:lang w:val="es-MX"/>
        </w:rPr>
        <w:t xml:space="preserve"> cada agente económico pujaría por un precio que tomaría en cuenta la alternativa de construir la suya propia, así como los flujos futuros esperados como resultado de la explotación de </w:t>
      </w:r>
      <w:r w:rsidR="00E70FD0" w:rsidRPr="00ED27DC">
        <w:rPr>
          <w:rFonts w:ascii="ITC Avant Garde" w:hAnsi="ITC Avant Garde"/>
          <w:sz w:val="18"/>
          <w:szCs w:val="18"/>
          <w:lang w:val="es-MX"/>
        </w:rPr>
        <w:lastRenderedPageBreak/>
        <w:t xml:space="preserve">servicios de radiodifusión que se generen para cada mercado. </w:t>
      </w:r>
      <w:r w:rsidRPr="00ED27DC">
        <w:rPr>
          <w:rFonts w:ascii="ITC Avant Garde" w:hAnsi="ITC Avant Garde"/>
          <w:sz w:val="18"/>
          <w:szCs w:val="18"/>
          <w:lang w:val="es-MX"/>
        </w:rPr>
        <w:t>Considera que</w:t>
      </w:r>
      <w:r w:rsidR="00E70FD0" w:rsidRPr="00ED27DC">
        <w:rPr>
          <w:rFonts w:ascii="ITC Avant Garde" w:hAnsi="ITC Avant Garde"/>
          <w:sz w:val="18"/>
          <w:szCs w:val="18"/>
          <w:lang w:val="es-MX"/>
        </w:rPr>
        <w:t xml:space="preserve"> un modelo de determinación de tarifas tomaría en cuenta el valor de la demanda por la infraestructura pasiva y no sólo el costo de capital y de operación como lo hace el Modelo </w:t>
      </w:r>
      <w:r w:rsidRPr="00ED27DC">
        <w:rPr>
          <w:rFonts w:ascii="ITC Avant Garde" w:hAnsi="ITC Avant Garde"/>
          <w:sz w:val="18"/>
          <w:szCs w:val="18"/>
          <w:lang w:val="es-MX"/>
        </w:rPr>
        <w:t xml:space="preserve">de Costos propuesto por el </w:t>
      </w:r>
      <w:r w:rsidR="00921442" w:rsidRPr="00ED27DC">
        <w:rPr>
          <w:rFonts w:ascii="ITC Avant Garde" w:hAnsi="ITC Avant Garde"/>
          <w:sz w:val="18"/>
          <w:szCs w:val="18"/>
          <w:lang w:val="es-MX"/>
        </w:rPr>
        <w:t>Instituto</w:t>
      </w:r>
      <w:r w:rsidRPr="00ED27DC">
        <w:rPr>
          <w:rFonts w:ascii="ITC Avant Garde" w:hAnsi="ITC Avant Garde"/>
          <w:sz w:val="18"/>
          <w:szCs w:val="18"/>
          <w:lang w:val="es-MX"/>
        </w:rPr>
        <w:t>.</w:t>
      </w:r>
    </w:p>
    <w:p w14:paraId="077D2784" w14:textId="136126A1" w:rsidR="006B04CB" w:rsidRPr="00ED27DC" w:rsidRDefault="00454FC9" w:rsidP="006B04CB">
      <w:pPr>
        <w:spacing w:after="120"/>
        <w:rPr>
          <w:rFonts w:ascii="ITC Avant Garde" w:hAnsi="ITC Avant Garde"/>
          <w:sz w:val="18"/>
          <w:u w:val="single"/>
          <w:lang w:val="es-ES_tradnl"/>
        </w:rPr>
      </w:pPr>
      <w:r w:rsidRPr="00ED27DC">
        <w:rPr>
          <w:rFonts w:ascii="ITC Avant Garde" w:hAnsi="ITC Avant Garde"/>
          <w:sz w:val="18"/>
          <w:u w:val="single"/>
          <w:lang w:val="es-ES_tradnl"/>
        </w:rPr>
        <w:t>2.</w:t>
      </w:r>
      <w:r w:rsidR="00100459">
        <w:rPr>
          <w:rFonts w:ascii="ITC Avant Garde" w:hAnsi="ITC Avant Garde"/>
          <w:sz w:val="18"/>
          <w:u w:val="single"/>
          <w:lang w:val="es-ES_tradnl"/>
        </w:rPr>
        <w:t>2</w:t>
      </w:r>
      <w:r w:rsidRPr="00ED27DC">
        <w:rPr>
          <w:rFonts w:ascii="ITC Avant Garde" w:hAnsi="ITC Avant Garde"/>
          <w:sz w:val="18"/>
          <w:u w:val="single"/>
          <w:lang w:val="es-ES_tradnl"/>
        </w:rPr>
        <w:t xml:space="preserve"> </w:t>
      </w:r>
      <w:r w:rsidR="006B04CB" w:rsidRPr="00ED27DC">
        <w:rPr>
          <w:rFonts w:ascii="ITC Avant Garde" w:hAnsi="ITC Avant Garde"/>
          <w:sz w:val="18"/>
          <w:u w:val="single"/>
          <w:lang w:val="es-ES_tradnl"/>
        </w:rPr>
        <w:t>Respuesta del Instituto</w:t>
      </w:r>
    </w:p>
    <w:p w14:paraId="6761B6FC" w14:textId="77777777" w:rsidR="00E70FD0" w:rsidRPr="00ED27DC" w:rsidRDefault="00E70FD0" w:rsidP="00E70FD0">
      <w:pPr>
        <w:spacing w:after="120"/>
        <w:rPr>
          <w:rFonts w:ascii="ITC Avant Garde" w:hAnsi="ITC Avant Garde"/>
          <w:color w:val="000000" w:themeColor="text1"/>
          <w:sz w:val="18"/>
          <w:szCs w:val="18"/>
          <w:lang w:val="es-MX"/>
        </w:rPr>
      </w:pPr>
      <w:r w:rsidRPr="00ED27DC">
        <w:rPr>
          <w:rFonts w:ascii="ITC Avant Garde" w:hAnsi="ITC Avant Garde"/>
          <w:color w:val="000000" w:themeColor="text1"/>
          <w:sz w:val="18"/>
          <w:szCs w:val="18"/>
          <w:lang w:val="es-MX"/>
        </w:rPr>
        <w:t xml:space="preserve">En línea con el análisis del comentario anterior, según se establece en la Medida CUARTA de las medidas de radiodifusión aplicables al AEP, el Instituto debe determinar las tarifas aplicables a los servicios con base en una metodología de </w:t>
      </w:r>
      <w:r w:rsidR="00277596" w:rsidRPr="00ED27DC">
        <w:rPr>
          <w:rFonts w:ascii="ITC Avant Garde" w:hAnsi="ITC Avant Garde"/>
          <w:color w:val="000000" w:themeColor="text1"/>
          <w:sz w:val="18"/>
          <w:szCs w:val="18"/>
          <w:lang w:val="es-MX"/>
        </w:rPr>
        <w:t>CIPLP</w:t>
      </w:r>
      <w:r w:rsidRPr="00ED27DC">
        <w:rPr>
          <w:rFonts w:ascii="ITC Avant Garde" w:hAnsi="ITC Avant Garde"/>
          <w:color w:val="000000" w:themeColor="text1"/>
          <w:sz w:val="18"/>
          <w:szCs w:val="18"/>
          <w:lang w:val="es-MX"/>
        </w:rPr>
        <w:t xml:space="preserve">. Por lo tanto, un sistema de subastas no estaría alineado con las </w:t>
      </w:r>
      <w:r w:rsidR="00700F78" w:rsidRPr="00ED27DC">
        <w:rPr>
          <w:rFonts w:ascii="ITC Avant Garde" w:hAnsi="ITC Avant Garde"/>
          <w:sz w:val="18"/>
          <w:szCs w:val="18"/>
          <w:lang w:val="es-ES_tradnl"/>
        </w:rPr>
        <w:t>Medidas de Radiodifusión</w:t>
      </w:r>
      <w:r w:rsidRPr="00ED27DC">
        <w:rPr>
          <w:rFonts w:ascii="ITC Avant Garde" w:hAnsi="ITC Avant Garde"/>
          <w:color w:val="000000" w:themeColor="text1"/>
          <w:sz w:val="18"/>
          <w:szCs w:val="18"/>
          <w:lang w:val="es-MX"/>
        </w:rPr>
        <w:t>.</w:t>
      </w:r>
    </w:p>
    <w:p w14:paraId="2AB5DF0E" w14:textId="11139C0C" w:rsidR="00277596" w:rsidRPr="00ED27DC" w:rsidRDefault="00E70FD0" w:rsidP="00277596">
      <w:pPr>
        <w:pStyle w:val="IFTTexto"/>
        <w:spacing w:after="120" w:line="320" w:lineRule="atLeast"/>
        <w:rPr>
          <w:sz w:val="18"/>
          <w:szCs w:val="18"/>
        </w:rPr>
      </w:pPr>
      <w:r w:rsidRPr="00ED27DC">
        <w:rPr>
          <w:color w:val="000000" w:themeColor="text1"/>
          <w:sz w:val="18"/>
          <w:szCs w:val="18"/>
        </w:rPr>
        <w:t>Con respecto a la consideración de la demanda de la infraestructura pasiva, recordamos que el modelo de costos sí contempla volúmenes de demanda mayorista de referencia para el cálculo de las tar</w:t>
      </w:r>
      <w:r w:rsidR="00277596" w:rsidRPr="00ED27DC">
        <w:rPr>
          <w:color w:val="000000" w:themeColor="text1"/>
          <w:sz w:val="18"/>
          <w:szCs w:val="18"/>
        </w:rPr>
        <w:t>ifas de los servicios modelados.</w:t>
      </w:r>
      <w:r w:rsidRPr="00ED27DC">
        <w:rPr>
          <w:color w:val="000000" w:themeColor="text1"/>
          <w:sz w:val="18"/>
          <w:szCs w:val="18"/>
        </w:rPr>
        <w:t xml:space="preserve"> </w:t>
      </w:r>
      <w:r w:rsidR="00277596" w:rsidRPr="00ED27DC">
        <w:rPr>
          <w:sz w:val="18"/>
          <w:szCs w:val="18"/>
        </w:rPr>
        <w:t xml:space="preserve">Las hipótesis consideradas para la definición de esta demanda son las siguientes: </w:t>
      </w:r>
    </w:p>
    <w:p w14:paraId="1E3AD914" w14:textId="77777777" w:rsidR="00277596" w:rsidRPr="00ED27DC" w:rsidRDefault="00277596" w:rsidP="00277596">
      <w:pPr>
        <w:pStyle w:val="IFTTexto"/>
        <w:spacing w:after="120" w:line="320" w:lineRule="atLeast"/>
        <w:rPr>
          <w:sz w:val="18"/>
          <w:szCs w:val="18"/>
        </w:rPr>
      </w:pPr>
      <w:r w:rsidRPr="00ED27DC">
        <w:rPr>
          <w:sz w:val="18"/>
          <w:szCs w:val="18"/>
        </w:rPr>
        <w:t xml:space="preserve">Para los servicios de </w:t>
      </w:r>
      <w:proofErr w:type="spellStart"/>
      <w:r w:rsidRPr="00ED27DC">
        <w:rPr>
          <w:b/>
          <w:sz w:val="18"/>
          <w:szCs w:val="18"/>
        </w:rPr>
        <w:t>coubicación</w:t>
      </w:r>
      <w:proofErr w:type="spellEnd"/>
      <w:r w:rsidRPr="00ED27DC">
        <w:rPr>
          <w:sz w:val="18"/>
          <w:szCs w:val="18"/>
        </w:rPr>
        <w:t>, se asume que:</w:t>
      </w:r>
    </w:p>
    <w:p w14:paraId="52A6A88F" w14:textId="77777777" w:rsidR="00277596" w:rsidRPr="00ED27DC" w:rsidRDefault="00277596" w:rsidP="00277596">
      <w:pPr>
        <w:pStyle w:val="IFTTexto"/>
        <w:numPr>
          <w:ilvl w:val="0"/>
          <w:numId w:val="43"/>
        </w:numPr>
        <w:spacing w:after="120" w:line="320" w:lineRule="atLeast"/>
        <w:rPr>
          <w:sz w:val="18"/>
          <w:szCs w:val="18"/>
        </w:rPr>
      </w:pPr>
      <w:r w:rsidRPr="00ED27DC">
        <w:rPr>
          <w:sz w:val="18"/>
          <w:szCs w:val="18"/>
        </w:rPr>
        <w:t xml:space="preserve">Un CS requiere el servicio de </w:t>
      </w:r>
      <w:proofErr w:type="spellStart"/>
      <w:r w:rsidRPr="00ED27DC">
        <w:rPr>
          <w:sz w:val="18"/>
          <w:szCs w:val="18"/>
        </w:rPr>
        <w:t>coubicación</w:t>
      </w:r>
      <w:proofErr w:type="spellEnd"/>
      <w:r w:rsidRPr="00ED27DC">
        <w:rPr>
          <w:sz w:val="18"/>
          <w:szCs w:val="18"/>
        </w:rPr>
        <w:t xml:space="preserve"> en caseta relativo al espacio ocupado por un transmisor y un filtro de máscara requeridos para radiodifundir un canal con la misma potencia que radiodifunde el AEP en cada emplazamiento.</w:t>
      </w:r>
    </w:p>
    <w:p w14:paraId="5E9D5D0D" w14:textId="77777777" w:rsidR="00277596" w:rsidRPr="00ED27DC" w:rsidRDefault="00277596" w:rsidP="00277596">
      <w:pPr>
        <w:pStyle w:val="IFTTexto"/>
        <w:numPr>
          <w:ilvl w:val="0"/>
          <w:numId w:val="43"/>
        </w:numPr>
        <w:spacing w:after="120" w:line="320" w:lineRule="atLeast"/>
        <w:rPr>
          <w:sz w:val="18"/>
          <w:szCs w:val="18"/>
        </w:rPr>
      </w:pPr>
      <w:r w:rsidRPr="00ED27DC">
        <w:rPr>
          <w:sz w:val="18"/>
          <w:szCs w:val="18"/>
        </w:rPr>
        <w:t xml:space="preserve">Un CS requiere el servicio de </w:t>
      </w:r>
      <w:proofErr w:type="spellStart"/>
      <w:r w:rsidRPr="00ED27DC">
        <w:rPr>
          <w:sz w:val="18"/>
          <w:szCs w:val="18"/>
        </w:rPr>
        <w:t>coubicación</w:t>
      </w:r>
      <w:proofErr w:type="spellEnd"/>
      <w:r w:rsidRPr="00ED27DC">
        <w:rPr>
          <w:sz w:val="18"/>
          <w:szCs w:val="18"/>
        </w:rPr>
        <w:t xml:space="preserve"> en torre relativo al espacio lineal ocupado por una antena radiante requerido para radiodifundir un canal con las mismas características que radiodifunde el AEP en cada emplazamiento.</w:t>
      </w:r>
    </w:p>
    <w:p w14:paraId="5607932A" w14:textId="77777777" w:rsidR="00277596" w:rsidRPr="00ED27DC" w:rsidRDefault="00277596" w:rsidP="00277596">
      <w:pPr>
        <w:pStyle w:val="IFTTexto"/>
        <w:numPr>
          <w:ilvl w:val="0"/>
          <w:numId w:val="43"/>
        </w:numPr>
        <w:spacing w:after="120" w:line="320" w:lineRule="atLeast"/>
        <w:rPr>
          <w:sz w:val="18"/>
          <w:szCs w:val="18"/>
        </w:rPr>
      </w:pPr>
      <w:r w:rsidRPr="00ED27DC">
        <w:rPr>
          <w:sz w:val="18"/>
          <w:szCs w:val="18"/>
        </w:rPr>
        <w:t>Un CS requiere el servicio de acceso a la fuente de energía relativo a la potencia eléctrica requerida para dar servicio y respaldar un transmisor necesario para radiodifundir un canal con la misma potencia que radiodifunde el AEP en cada emplazamiento.</w:t>
      </w:r>
    </w:p>
    <w:p w14:paraId="7BA58B1F" w14:textId="77777777" w:rsidR="00277596" w:rsidRPr="00ED27DC" w:rsidRDefault="00277596" w:rsidP="00277596">
      <w:pPr>
        <w:pStyle w:val="IFTTexto"/>
        <w:spacing w:after="120" w:line="320" w:lineRule="atLeast"/>
        <w:rPr>
          <w:sz w:val="18"/>
          <w:szCs w:val="18"/>
        </w:rPr>
      </w:pPr>
      <w:r w:rsidRPr="00ED27DC">
        <w:rPr>
          <w:sz w:val="18"/>
          <w:szCs w:val="18"/>
        </w:rPr>
        <w:t xml:space="preserve">Para el servicio de </w:t>
      </w:r>
      <w:r w:rsidRPr="00ED27DC">
        <w:rPr>
          <w:b/>
          <w:sz w:val="18"/>
          <w:szCs w:val="18"/>
        </w:rPr>
        <w:t>emisión de señal</w:t>
      </w:r>
      <w:r w:rsidRPr="00ED27DC">
        <w:rPr>
          <w:sz w:val="18"/>
          <w:szCs w:val="18"/>
        </w:rPr>
        <w:t xml:space="preserve">, se asume que un CS requiere la prestación del servicio de emisión de señal para un canal en cada emplazamiento. Esta hipótesis se asume sin menoscabo de que este servicio sólo se prestaría en caso de que no existiera espacio suficiente para </w:t>
      </w:r>
      <w:proofErr w:type="spellStart"/>
      <w:r w:rsidRPr="00ED27DC">
        <w:rPr>
          <w:sz w:val="18"/>
          <w:szCs w:val="18"/>
        </w:rPr>
        <w:t>coubicar</w:t>
      </w:r>
      <w:proofErr w:type="spellEnd"/>
      <w:r w:rsidRPr="00ED27DC">
        <w:rPr>
          <w:sz w:val="18"/>
          <w:szCs w:val="18"/>
        </w:rPr>
        <w:t xml:space="preserve"> todo el equipo que requiriese el CS para llevar a cabo la eficiente prestación del servicio de televisión radiodifundida.</w:t>
      </w:r>
    </w:p>
    <w:p w14:paraId="18D70E70" w14:textId="38563C9F" w:rsidR="006B04CB" w:rsidRPr="00ED27DC" w:rsidRDefault="00454FC9" w:rsidP="006B04CB">
      <w:pPr>
        <w:spacing w:after="120"/>
        <w:rPr>
          <w:rFonts w:ascii="ITC Avant Garde" w:hAnsi="ITC Avant Garde"/>
          <w:i/>
          <w:sz w:val="18"/>
          <w:szCs w:val="18"/>
          <w:u w:val="single"/>
          <w:lang w:val="es-ES_tradnl"/>
        </w:rPr>
      </w:pPr>
      <w:r w:rsidRPr="00ED27DC">
        <w:rPr>
          <w:rFonts w:ascii="ITC Avant Garde" w:hAnsi="ITC Avant Garde"/>
          <w:i/>
          <w:sz w:val="18"/>
          <w:szCs w:val="18"/>
          <w:u w:val="single"/>
          <w:lang w:val="es-ES_tradnl"/>
        </w:rPr>
        <w:t>2.</w:t>
      </w:r>
      <w:r w:rsidR="00100459">
        <w:rPr>
          <w:rFonts w:ascii="ITC Avant Garde" w:hAnsi="ITC Avant Garde"/>
          <w:i/>
          <w:sz w:val="18"/>
          <w:szCs w:val="18"/>
          <w:u w:val="single"/>
          <w:lang w:val="es-ES_tradnl"/>
        </w:rPr>
        <w:t>3</w:t>
      </w:r>
      <w:r w:rsidRPr="00ED27DC">
        <w:rPr>
          <w:rFonts w:ascii="ITC Avant Garde" w:hAnsi="ITC Avant Garde"/>
          <w:i/>
          <w:sz w:val="18"/>
          <w:szCs w:val="18"/>
          <w:u w:val="single"/>
          <w:lang w:val="es-ES_tradnl"/>
        </w:rPr>
        <w:t xml:space="preserve"> </w:t>
      </w:r>
      <w:r w:rsidR="006B04CB" w:rsidRPr="00ED27DC">
        <w:rPr>
          <w:rFonts w:ascii="ITC Avant Garde" w:hAnsi="ITC Avant Garde"/>
          <w:i/>
          <w:sz w:val="18"/>
          <w:szCs w:val="18"/>
          <w:u w:val="single"/>
          <w:lang w:val="es-ES_tradnl"/>
        </w:rPr>
        <w:t>Comentario de la Consulta Pública</w:t>
      </w:r>
    </w:p>
    <w:p w14:paraId="0D51A101" w14:textId="10209D69" w:rsidR="004D7758" w:rsidRPr="00ED27DC" w:rsidRDefault="00CC7F48" w:rsidP="00E70FD0">
      <w:pPr>
        <w:spacing w:after="120"/>
        <w:rPr>
          <w:rFonts w:ascii="ITC Avant Garde" w:hAnsi="ITC Avant Garde"/>
          <w:sz w:val="18"/>
          <w:szCs w:val="18"/>
          <w:lang w:val="es-MX"/>
        </w:rPr>
      </w:pPr>
      <w:proofErr w:type="spellStart"/>
      <w:r w:rsidRPr="00ED27DC">
        <w:rPr>
          <w:rFonts w:ascii="ITC Avant Garde" w:hAnsi="ITC Avant Garde"/>
          <w:sz w:val="18"/>
          <w:szCs w:val="18"/>
          <w:lang w:val="es-MX"/>
        </w:rPr>
        <w:t>Televimex</w:t>
      </w:r>
      <w:proofErr w:type="spellEnd"/>
      <w:r w:rsidRPr="00ED27DC">
        <w:rPr>
          <w:rFonts w:ascii="ITC Avant Garde" w:hAnsi="ITC Avant Garde"/>
          <w:sz w:val="18"/>
          <w:szCs w:val="18"/>
          <w:lang w:val="es-MX"/>
        </w:rPr>
        <w:t xml:space="preserve"> considera que </w:t>
      </w:r>
      <w:r w:rsidR="00E70FD0" w:rsidRPr="00ED27DC">
        <w:rPr>
          <w:rFonts w:ascii="ITC Avant Garde" w:hAnsi="ITC Avant Garde"/>
          <w:sz w:val="18"/>
          <w:szCs w:val="18"/>
          <w:lang w:val="es-MX"/>
        </w:rPr>
        <w:t xml:space="preserve">el Modelo de Costos propuesto por </w:t>
      </w:r>
      <w:r w:rsidRPr="00ED27DC">
        <w:rPr>
          <w:rFonts w:ascii="ITC Avant Garde" w:hAnsi="ITC Avant Garde"/>
          <w:sz w:val="18"/>
          <w:szCs w:val="18"/>
          <w:lang w:val="es-MX"/>
        </w:rPr>
        <w:t>el Instituto</w:t>
      </w:r>
      <w:r w:rsidR="00E70FD0" w:rsidRPr="00ED27DC">
        <w:rPr>
          <w:rFonts w:ascii="ITC Avant Garde" w:hAnsi="ITC Avant Garde"/>
          <w:sz w:val="18"/>
          <w:szCs w:val="18"/>
          <w:lang w:val="es-MX"/>
        </w:rPr>
        <w:t xml:space="preserve"> asigna el mismo costo a condiciones iguales, independientemente de la localización o uso de la infraestructura pasiva. </w:t>
      </w:r>
      <w:r w:rsidRPr="00ED27DC">
        <w:rPr>
          <w:rFonts w:ascii="ITC Avant Garde" w:hAnsi="ITC Avant Garde"/>
          <w:sz w:val="18"/>
          <w:szCs w:val="18"/>
          <w:lang w:val="es-MX"/>
        </w:rPr>
        <w:t>Considera que</w:t>
      </w:r>
      <w:r w:rsidR="00E70FD0" w:rsidRPr="00ED27DC">
        <w:rPr>
          <w:rFonts w:ascii="ITC Avant Garde" w:hAnsi="ITC Avant Garde"/>
          <w:sz w:val="18"/>
          <w:szCs w:val="18"/>
          <w:lang w:val="es-MX"/>
        </w:rPr>
        <w:t xml:space="preserve"> el Modelo de Costos tiende a ignorar las condiciones de demanda por el uso de la infraestructura pasiva, aún y cuando la descripción del Modelo de Costos mencione la demanda en varias ocasiones. </w:t>
      </w:r>
      <w:r w:rsidRPr="00ED27DC">
        <w:rPr>
          <w:rFonts w:ascii="ITC Avant Garde" w:hAnsi="ITC Avant Garde"/>
          <w:sz w:val="18"/>
          <w:szCs w:val="18"/>
          <w:lang w:val="es-MX"/>
        </w:rPr>
        <w:t>Refiere que</w:t>
      </w:r>
      <w:r w:rsidR="00E70FD0" w:rsidRPr="00ED27DC">
        <w:rPr>
          <w:rFonts w:ascii="ITC Avant Garde" w:hAnsi="ITC Avant Garde"/>
          <w:sz w:val="18"/>
          <w:szCs w:val="18"/>
          <w:lang w:val="es-MX"/>
        </w:rPr>
        <w:t xml:space="preserve"> para un agente económico no tiene el mismo valor el uso de cierta infraestructura pasiva estratégicamente localizada por el tamaño del mercado de la televisión radiodifundida, que otra igual en términos físicos, pero con capacidad para radiodifundir a pocos televidentes por una menor densidad de población objetivo.</w:t>
      </w:r>
    </w:p>
    <w:p w14:paraId="0F9A4D54" w14:textId="77777777" w:rsidR="00E70FD0" w:rsidRPr="00ED27DC" w:rsidRDefault="00CC7F48" w:rsidP="00E70FD0">
      <w:pPr>
        <w:spacing w:after="120"/>
        <w:rPr>
          <w:rFonts w:ascii="ITC Avant Garde" w:hAnsi="ITC Avant Garde"/>
          <w:sz w:val="18"/>
          <w:szCs w:val="18"/>
          <w:lang w:val="es-MX"/>
        </w:rPr>
      </w:pPr>
      <w:r w:rsidRPr="00ED27DC">
        <w:rPr>
          <w:rFonts w:ascii="ITC Avant Garde" w:hAnsi="ITC Avant Garde"/>
          <w:sz w:val="18"/>
          <w:szCs w:val="18"/>
          <w:lang w:val="es-MX"/>
        </w:rPr>
        <w:t xml:space="preserve">Considera </w:t>
      </w:r>
      <w:proofErr w:type="spellStart"/>
      <w:r w:rsidRPr="00ED27DC">
        <w:rPr>
          <w:rFonts w:ascii="ITC Avant Garde" w:hAnsi="ITC Avant Garde"/>
          <w:sz w:val="18"/>
          <w:szCs w:val="18"/>
          <w:lang w:val="es-MX"/>
        </w:rPr>
        <w:t>Televimex</w:t>
      </w:r>
      <w:proofErr w:type="spellEnd"/>
      <w:r w:rsidRPr="00ED27DC">
        <w:rPr>
          <w:rFonts w:ascii="ITC Avant Garde" w:hAnsi="ITC Avant Garde"/>
          <w:sz w:val="18"/>
          <w:szCs w:val="18"/>
          <w:lang w:val="es-MX"/>
        </w:rPr>
        <w:t xml:space="preserve"> que e</w:t>
      </w:r>
      <w:r w:rsidR="004D7758" w:rsidRPr="00ED27DC">
        <w:rPr>
          <w:rFonts w:ascii="ITC Avant Garde" w:hAnsi="ITC Avant Garde"/>
          <w:sz w:val="18"/>
          <w:szCs w:val="18"/>
          <w:lang w:val="es-MX"/>
        </w:rPr>
        <w:t>sta igualdad de costos con un modelo mecánico puede llevar a situaciones en las que, con un costo uniforme por tipo y tamaño de infraestructura pasiva, se sobre-</w:t>
      </w:r>
      <w:r w:rsidR="004D7758" w:rsidRPr="00ED27DC">
        <w:rPr>
          <w:rFonts w:ascii="ITC Avant Garde" w:hAnsi="ITC Avant Garde"/>
          <w:sz w:val="18"/>
          <w:szCs w:val="18"/>
          <w:lang w:val="es-MX"/>
        </w:rPr>
        <w:lastRenderedPageBreak/>
        <w:t xml:space="preserve">utilice la infraestructura pasiva más valiosa y se sub-utilice aquélla situada en áreas de menor densidad. </w:t>
      </w:r>
      <w:r w:rsidRPr="00ED27DC">
        <w:rPr>
          <w:rFonts w:ascii="ITC Avant Garde" w:hAnsi="ITC Avant Garde"/>
          <w:sz w:val="18"/>
          <w:szCs w:val="18"/>
          <w:lang w:val="es-MX"/>
        </w:rPr>
        <w:t>Teniendo</w:t>
      </w:r>
      <w:r w:rsidR="004D7758" w:rsidRPr="00ED27DC">
        <w:rPr>
          <w:rFonts w:ascii="ITC Avant Garde" w:hAnsi="ITC Avant Garde"/>
          <w:sz w:val="18"/>
          <w:szCs w:val="18"/>
          <w:lang w:val="es-MX"/>
        </w:rPr>
        <w:t xml:space="preserve"> como consecuencia que se sub-invierta en las zonas donde es más fácil recuperar la inversión y se justifique la instalación de nueva infraestructura pasiva, mientras que no se logre una mayor penetración nacional de nuevos canales en la infraestructura pasiva sub-utili</w:t>
      </w:r>
      <w:r w:rsidRPr="00ED27DC">
        <w:rPr>
          <w:rFonts w:ascii="ITC Avant Garde" w:hAnsi="ITC Avant Garde"/>
          <w:sz w:val="18"/>
          <w:szCs w:val="18"/>
          <w:lang w:val="es-MX"/>
        </w:rPr>
        <w:t>zada de áreas de baja densidad.</w:t>
      </w:r>
    </w:p>
    <w:p w14:paraId="2D953834" w14:textId="4E437433" w:rsidR="006B04CB" w:rsidRPr="00ED27DC" w:rsidRDefault="00454FC9" w:rsidP="006B04CB">
      <w:pPr>
        <w:spacing w:after="120"/>
        <w:rPr>
          <w:rFonts w:ascii="ITC Avant Garde" w:hAnsi="ITC Avant Garde"/>
          <w:sz w:val="18"/>
          <w:u w:val="single"/>
          <w:lang w:val="es-ES_tradnl"/>
        </w:rPr>
      </w:pPr>
      <w:r w:rsidRPr="00ED27DC">
        <w:rPr>
          <w:rFonts w:ascii="ITC Avant Garde" w:hAnsi="ITC Avant Garde"/>
          <w:sz w:val="18"/>
          <w:u w:val="single"/>
          <w:lang w:val="es-ES_tradnl"/>
        </w:rPr>
        <w:t>2</w:t>
      </w:r>
      <w:r w:rsidR="009E1308" w:rsidRPr="00ED27DC">
        <w:rPr>
          <w:rFonts w:ascii="ITC Avant Garde" w:hAnsi="ITC Avant Garde"/>
          <w:sz w:val="18"/>
          <w:u w:val="single"/>
          <w:lang w:val="es-ES_tradnl"/>
        </w:rPr>
        <w:t>.</w:t>
      </w:r>
      <w:r w:rsidR="00100459">
        <w:rPr>
          <w:rFonts w:ascii="ITC Avant Garde" w:hAnsi="ITC Avant Garde"/>
          <w:sz w:val="18"/>
          <w:u w:val="single"/>
          <w:lang w:val="es-ES_tradnl"/>
        </w:rPr>
        <w:t>3</w:t>
      </w:r>
      <w:r w:rsidRPr="00ED27DC">
        <w:rPr>
          <w:rFonts w:ascii="ITC Avant Garde" w:hAnsi="ITC Avant Garde"/>
          <w:sz w:val="18"/>
          <w:u w:val="single"/>
          <w:lang w:val="es-ES_tradnl"/>
        </w:rPr>
        <w:t xml:space="preserve"> </w:t>
      </w:r>
      <w:r w:rsidR="006B04CB" w:rsidRPr="00ED27DC">
        <w:rPr>
          <w:rFonts w:ascii="ITC Avant Garde" w:hAnsi="ITC Avant Garde"/>
          <w:sz w:val="18"/>
          <w:u w:val="single"/>
          <w:lang w:val="es-ES_tradnl"/>
        </w:rPr>
        <w:t>Respuesta del Instituto</w:t>
      </w:r>
    </w:p>
    <w:p w14:paraId="62859DAA" w14:textId="29E9AEA2" w:rsidR="00D12876" w:rsidRDefault="00D43210" w:rsidP="00E70FD0">
      <w:pPr>
        <w:spacing w:after="120"/>
        <w:rPr>
          <w:rFonts w:ascii="ITC Avant Garde" w:hAnsi="ITC Avant Garde"/>
          <w:sz w:val="18"/>
          <w:szCs w:val="18"/>
          <w:lang w:val="es-ES_tradnl"/>
        </w:rPr>
      </w:pPr>
      <w:r>
        <w:rPr>
          <w:rFonts w:ascii="ITC Avant Garde" w:hAnsi="ITC Avant Garde"/>
          <w:sz w:val="18"/>
          <w:szCs w:val="18"/>
          <w:lang w:val="es-ES_tradnl"/>
        </w:rPr>
        <w:t xml:space="preserve">Respecto a la manifestación de </w:t>
      </w:r>
      <w:proofErr w:type="spellStart"/>
      <w:r>
        <w:rPr>
          <w:rFonts w:ascii="ITC Avant Garde" w:hAnsi="ITC Avant Garde"/>
          <w:sz w:val="18"/>
          <w:szCs w:val="18"/>
          <w:lang w:val="es-ES_tradnl"/>
        </w:rPr>
        <w:t>Televimex</w:t>
      </w:r>
      <w:proofErr w:type="spellEnd"/>
      <w:r>
        <w:rPr>
          <w:rFonts w:ascii="ITC Avant Garde" w:hAnsi="ITC Avant Garde"/>
          <w:sz w:val="18"/>
          <w:szCs w:val="18"/>
          <w:lang w:val="es-ES_tradnl"/>
        </w:rPr>
        <w:t xml:space="preserve"> sobre que el modelo de costos ignora las condiciones de demanda, se menciona que d</w:t>
      </w:r>
      <w:r w:rsidR="000A5E5F">
        <w:rPr>
          <w:rFonts w:ascii="ITC Avant Garde" w:hAnsi="ITC Avant Garde"/>
          <w:sz w:val="18"/>
          <w:szCs w:val="18"/>
          <w:lang w:val="es-ES_tradnl"/>
        </w:rPr>
        <w:t xml:space="preserve">erivado de la </w:t>
      </w:r>
      <w:r w:rsidR="000A5E5F" w:rsidRPr="00984BBD">
        <w:rPr>
          <w:rFonts w:ascii="ITC Avant Garde" w:hAnsi="ITC Avant Garde"/>
          <w:i/>
          <w:sz w:val="18"/>
          <w:szCs w:val="18"/>
          <w:lang w:val="es-ES_tradnl"/>
        </w:rPr>
        <w:t xml:space="preserve">“RESOLUCIÓN MEDIANTE LA CUAL EL PLENO DEL INSTITUTO FEDERAL DE TELECOMUNICACIONES SUPRIME, MODIFICA Y ADICIONA LAS MEDIDAS IMPUESTAS AL AGENTE ECONÓMICO PREPONDERANTE EN EL SECTOR DE RADIODIFUSIÓN MEDIANTE RESOLUCIÓN DE FECHA 6 DE MARZO DE 2014, APROBADA MEDIANTE ACUERDO P/IFT/EXT/060314/77” </w:t>
      </w:r>
      <w:r w:rsidR="000A5E5F">
        <w:rPr>
          <w:rFonts w:ascii="ITC Avant Garde" w:hAnsi="ITC Avant Garde"/>
          <w:sz w:val="18"/>
          <w:szCs w:val="18"/>
          <w:lang w:val="es-ES_tradnl"/>
        </w:rPr>
        <w:t>(en lo sucesivo, “Revisión Bienal de Medidas”), se estableció lo siguiente:</w:t>
      </w:r>
    </w:p>
    <w:p w14:paraId="3D4D3C32" w14:textId="2FB57200" w:rsidR="000A5E5F" w:rsidRPr="00984BBD" w:rsidRDefault="00D12876" w:rsidP="00984BBD">
      <w:pPr>
        <w:pStyle w:val="CitaIFT"/>
        <w:rPr>
          <w:sz w:val="16"/>
          <w:szCs w:val="16"/>
        </w:rPr>
      </w:pPr>
      <w:r w:rsidRPr="00984BBD">
        <w:rPr>
          <w:sz w:val="16"/>
          <w:szCs w:val="16"/>
        </w:rPr>
        <w:t>“</w:t>
      </w:r>
      <w:r w:rsidR="000A5E5F" w:rsidRPr="00984BBD">
        <w:rPr>
          <w:sz w:val="16"/>
          <w:szCs w:val="16"/>
        </w:rPr>
        <w:t xml:space="preserve">Medidas </w:t>
      </w:r>
      <w:r w:rsidR="005F0269" w:rsidRPr="00984BBD">
        <w:rPr>
          <w:sz w:val="16"/>
          <w:szCs w:val="16"/>
        </w:rPr>
        <w:t>relacionadas</w:t>
      </w:r>
      <w:r w:rsidR="000A5E5F" w:rsidRPr="00984BBD">
        <w:rPr>
          <w:sz w:val="16"/>
          <w:szCs w:val="16"/>
        </w:rPr>
        <w:t xml:space="preserve"> con el Acceso y </w:t>
      </w:r>
      <w:r w:rsidR="005F0269" w:rsidRPr="00984BBD">
        <w:rPr>
          <w:sz w:val="16"/>
          <w:szCs w:val="16"/>
        </w:rPr>
        <w:t xml:space="preserve">Compartición de Infraestructura: </w:t>
      </w:r>
    </w:p>
    <w:p w14:paraId="625EB079" w14:textId="728DA764" w:rsidR="005F0269" w:rsidRPr="00984BBD" w:rsidRDefault="005F0269" w:rsidP="00984BBD">
      <w:pPr>
        <w:pStyle w:val="CitaIFT"/>
        <w:rPr>
          <w:rFonts w:eastAsia="Calibri" w:cs="Times New Roman"/>
          <w:sz w:val="16"/>
          <w:szCs w:val="16"/>
        </w:rPr>
      </w:pPr>
      <w:r w:rsidRPr="00984BBD">
        <w:rPr>
          <w:sz w:val="16"/>
          <w:szCs w:val="16"/>
        </w:rPr>
        <w:t>[…]</w:t>
      </w:r>
    </w:p>
    <w:p w14:paraId="79A2D0EF" w14:textId="0F20963E" w:rsidR="005F0269" w:rsidRPr="00984BBD" w:rsidRDefault="005F0269" w:rsidP="00984BBD">
      <w:pPr>
        <w:pStyle w:val="CitaIFT"/>
        <w:rPr>
          <w:sz w:val="16"/>
          <w:szCs w:val="16"/>
        </w:rPr>
      </w:pPr>
      <w:r w:rsidRPr="00984BBD">
        <w:rPr>
          <w:sz w:val="16"/>
          <w:szCs w:val="16"/>
        </w:rPr>
        <w:t>En re</w:t>
      </w:r>
      <w:r w:rsidR="00A53D4A" w:rsidRPr="00984BBD">
        <w:rPr>
          <w:sz w:val="16"/>
          <w:szCs w:val="16"/>
        </w:rPr>
        <w:t>lación con la implementación de las Medidas se observa que:</w:t>
      </w:r>
    </w:p>
    <w:p w14:paraId="703091F4" w14:textId="23A0530B" w:rsidR="00A53D4A" w:rsidRPr="00984BBD" w:rsidRDefault="00A53D4A" w:rsidP="00984BBD">
      <w:pPr>
        <w:pStyle w:val="CitaIFT"/>
        <w:rPr>
          <w:sz w:val="16"/>
          <w:szCs w:val="16"/>
        </w:rPr>
      </w:pPr>
      <w:r w:rsidRPr="00984BBD">
        <w:rPr>
          <w:sz w:val="16"/>
          <w:szCs w:val="16"/>
        </w:rPr>
        <w:t>[…]</w:t>
      </w:r>
    </w:p>
    <w:p w14:paraId="61EBA969" w14:textId="345E2A13" w:rsidR="00A53D4A" w:rsidRPr="00984BBD" w:rsidRDefault="00A53D4A" w:rsidP="00984BBD">
      <w:pPr>
        <w:pStyle w:val="CitaIFT"/>
        <w:numPr>
          <w:ilvl w:val="0"/>
          <w:numId w:val="51"/>
        </w:numPr>
        <w:rPr>
          <w:sz w:val="16"/>
          <w:szCs w:val="16"/>
        </w:rPr>
      </w:pPr>
      <w:r w:rsidRPr="00984BBD">
        <w:rPr>
          <w:sz w:val="16"/>
          <w:szCs w:val="16"/>
        </w:rPr>
        <w:t xml:space="preserve">A fin de facilitar la implementación de la Medida se recomienda establecer un mecanismo que facilite la negociación entre el AEPR y los solicitantes de acceso a su infraestructura, tal que el solicitante pueda acceder a mejores condiciones, particularmente en cuanto a la tarifa. </w:t>
      </w:r>
      <w:r w:rsidR="00D12876" w:rsidRPr="00984BBD">
        <w:rPr>
          <w:sz w:val="16"/>
          <w:szCs w:val="16"/>
        </w:rPr>
        <w:t>También</w:t>
      </w:r>
      <w:r w:rsidRPr="00984BBD">
        <w:rPr>
          <w:sz w:val="16"/>
          <w:szCs w:val="16"/>
        </w:rPr>
        <w:t xml:space="preserve"> es pertinente contar con un mecanismo de resolución de disputas más </w:t>
      </w:r>
      <w:r w:rsidR="00D12876" w:rsidRPr="00984BBD">
        <w:rPr>
          <w:sz w:val="16"/>
          <w:szCs w:val="16"/>
        </w:rPr>
        <w:t>ágil</w:t>
      </w:r>
      <w:r w:rsidRPr="00984BBD">
        <w:rPr>
          <w:sz w:val="16"/>
          <w:szCs w:val="16"/>
        </w:rPr>
        <w:t xml:space="preserve">. </w:t>
      </w:r>
      <w:r w:rsidRPr="00984BBD">
        <w:rPr>
          <w:b/>
          <w:sz w:val="16"/>
          <w:szCs w:val="16"/>
          <w:u w:val="single"/>
        </w:rPr>
        <w:t>Las tarifas que determine el Instituto en la resolución de disputas deberán estar basadas en costos.</w:t>
      </w:r>
      <w:r w:rsidRPr="00984BBD">
        <w:rPr>
          <w:sz w:val="16"/>
          <w:szCs w:val="16"/>
        </w:rPr>
        <w:t>”</w:t>
      </w:r>
    </w:p>
    <w:p w14:paraId="168F14E3" w14:textId="62B96186" w:rsidR="00A53D4A" w:rsidRPr="00984BBD" w:rsidRDefault="00A53D4A" w:rsidP="00984BBD">
      <w:pPr>
        <w:pStyle w:val="CitaIFT"/>
        <w:jc w:val="right"/>
        <w:rPr>
          <w:sz w:val="16"/>
          <w:szCs w:val="16"/>
        </w:rPr>
      </w:pPr>
      <w:r w:rsidRPr="00984BBD">
        <w:rPr>
          <w:sz w:val="16"/>
          <w:szCs w:val="16"/>
        </w:rPr>
        <w:t>(Énfasis añadido)</w:t>
      </w:r>
    </w:p>
    <w:p w14:paraId="611E394A" w14:textId="3388E485" w:rsidR="00656279" w:rsidRDefault="00D12876" w:rsidP="00E70FD0">
      <w:pPr>
        <w:spacing w:after="120"/>
        <w:rPr>
          <w:rFonts w:ascii="ITC Avant Garde" w:hAnsi="ITC Avant Garde"/>
          <w:sz w:val="18"/>
          <w:szCs w:val="18"/>
          <w:lang w:val="es-ES_tradnl"/>
        </w:rPr>
      </w:pPr>
      <w:r>
        <w:rPr>
          <w:rFonts w:ascii="ITC Avant Garde" w:hAnsi="ITC Avant Garde"/>
          <w:sz w:val="18"/>
          <w:szCs w:val="18"/>
          <w:lang w:val="es-ES_tradnl"/>
        </w:rPr>
        <w:t xml:space="preserve">De lo anterior, es de notarse que en la Revisión Bienal de Medidas </w:t>
      </w:r>
      <w:r w:rsidR="002F2F22">
        <w:rPr>
          <w:rFonts w:ascii="ITC Avant Garde" w:hAnsi="ITC Avant Garde"/>
          <w:sz w:val="18"/>
          <w:szCs w:val="18"/>
          <w:lang w:val="es-ES_tradnl"/>
        </w:rPr>
        <w:t>se estableci</w:t>
      </w:r>
      <w:r>
        <w:rPr>
          <w:rFonts w:ascii="ITC Avant Garde" w:hAnsi="ITC Avant Garde"/>
          <w:sz w:val="18"/>
          <w:szCs w:val="18"/>
          <w:lang w:val="es-ES_tradnl"/>
        </w:rPr>
        <w:t xml:space="preserve">ó que </w:t>
      </w:r>
      <w:r w:rsidR="005A6881">
        <w:rPr>
          <w:rFonts w:ascii="ITC Avant Garde" w:hAnsi="ITC Avant Garde"/>
          <w:sz w:val="18"/>
          <w:szCs w:val="18"/>
          <w:lang w:val="es-ES_tradnl"/>
        </w:rPr>
        <w:t xml:space="preserve">las tarifas determinadas por el Instituto deberán estar basadas en costos, lo cual significa que la regulación no establece que se tarifiquen los precios de </w:t>
      </w:r>
      <w:r w:rsidR="002F2F22">
        <w:rPr>
          <w:rFonts w:ascii="ITC Avant Garde" w:hAnsi="ITC Avant Garde"/>
          <w:sz w:val="18"/>
          <w:szCs w:val="18"/>
          <w:lang w:val="es-ES_tradnl"/>
        </w:rPr>
        <w:t>mercado,</w:t>
      </w:r>
      <w:r w:rsidR="005A6881">
        <w:rPr>
          <w:rFonts w:ascii="ITC Avant Garde" w:hAnsi="ITC Avant Garde"/>
          <w:sz w:val="18"/>
          <w:szCs w:val="18"/>
          <w:lang w:val="es-ES_tradnl"/>
        </w:rPr>
        <w:t xml:space="preserve"> sino que se tarifiquen los costos</w:t>
      </w:r>
      <w:r w:rsidR="002F2F22">
        <w:rPr>
          <w:rFonts w:ascii="ITC Avant Garde" w:hAnsi="ITC Avant Garde"/>
          <w:sz w:val="18"/>
          <w:szCs w:val="18"/>
          <w:lang w:val="es-ES_tradnl"/>
        </w:rPr>
        <w:t>,</w:t>
      </w:r>
      <w:r w:rsidR="005A6881">
        <w:rPr>
          <w:rFonts w:ascii="ITC Avant Garde" w:hAnsi="ITC Avant Garde"/>
          <w:sz w:val="18"/>
          <w:szCs w:val="18"/>
          <w:lang w:val="es-ES_tradnl"/>
        </w:rPr>
        <w:t xml:space="preserve"> </w:t>
      </w:r>
      <w:r w:rsidR="002F2F22">
        <w:rPr>
          <w:rFonts w:ascii="ITC Avant Garde" w:hAnsi="ITC Avant Garde"/>
          <w:sz w:val="18"/>
          <w:szCs w:val="18"/>
          <w:lang w:val="es-ES_tradnl"/>
        </w:rPr>
        <w:t xml:space="preserve">como resultado </w:t>
      </w:r>
      <w:r w:rsidR="005A6881">
        <w:rPr>
          <w:rFonts w:ascii="ITC Avant Garde" w:hAnsi="ITC Avant Garde"/>
          <w:sz w:val="18"/>
          <w:szCs w:val="18"/>
          <w:lang w:val="es-ES_tradnl"/>
        </w:rPr>
        <w:t xml:space="preserve">los factores implícitos de </w:t>
      </w:r>
      <w:r w:rsidR="00656279">
        <w:rPr>
          <w:rFonts w:ascii="ITC Avant Garde" w:hAnsi="ITC Avant Garde"/>
          <w:sz w:val="18"/>
          <w:szCs w:val="18"/>
          <w:lang w:val="es-ES_tradnl"/>
        </w:rPr>
        <w:t xml:space="preserve">la </w:t>
      </w:r>
      <w:r w:rsidR="005A6881">
        <w:rPr>
          <w:rFonts w:ascii="ITC Avant Garde" w:hAnsi="ITC Avant Garde"/>
          <w:sz w:val="18"/>
          <w:szCs w:val="18"/>
          <w:lang w:val="es-ES_tradnl"/>
        </w:rPr>
        <w:t>demanda</w:t>
      </w:r>
      <w:r w:rsidR="00656279">
        <w:rPr>
          <w:rFonts w:ascii="ITC Avant Garde" w:hAnsi="ITC Avant Garde"/>
          <w:sz w:val="18"/>
          <w:szCs w:val="18"/>
          <w:lang w:val="es-ES_tradnl"/>
        </w:rPr>
        <w:t xml:space="preserve"> del mercado</w:t>
      </w:r>
      <w:r w:rsidR="005A6881">
        <w:rPr>
          <w:rFonts w:ascii="ITC Avant Garde" w:hAnsi="ITC Avant Garde"/>
          <w:sz w:val="18"/>
          <w:szCs w:val="18"/>
          <w:lang w:val="es-ES_tradnl"/>
        </w:rPr>
        <w:t xml:space="preserve"> no deben de influir</w:t>
      </w:r>
      <w:r w:rsidR="00656279">
        <w:rPr>
          <w:rFonts w:ascii="ITC Avant Garde" w:hAnsi="ITC Avant Garde"/>
          <w:sz w:val="18"/>
          <w:szCs w:val="18"/>
          <w:lang w:val="es-ES_tradnl"/>
        </w:rPr>
        <w:t xml:space="preserve"> en el costeo de dos activos idénticos, es decir dos torres con las mismas características no tienen por qué presentar costos distintos</w:t>
      </w:r>
      <w:r w:rsidR="002F2F22">
        <w:rPr>
          <w:rFonts w:ascii="ITC Avant Garde" w:hAnsi="ITC Avant Garde"/>
          <w:sz w:val="18"/>
          <w:szCs w:val="18"/>
          <w:lang w:val="es-ES_tradnl"/>
        </w:rPr>
        <w:t xml:space="preserve">. </w:t>
      </w:r>
    </w:p>
    <w:p w14:paraId="0EA203D7" w14:textId="28C29C05" w:rsidR="000A5E5F" w:rsidRDefault="00656279" w:rsidP="00E70FD0">
      <w:pPr>
        <w:spacing w:after="120"/>
        <w:rPr>
          <w:rFonts w:ascii="ITC Avant Garde" w:hAnsi="ITC Avant Garde"/>
          <w:sz w:val="18"/>
          <w:szCs w:val="18"/>
          <w:lang w:val="es-ES_tradnl"/>
        </w:rPr>
      </w:pPr>
      <w:r>
        <w:rPr>
          <w:rFonts w:ascii="ITC Avant Garde" w:hAnsi="ITC Avant Garde"/>
          <w:sz w:val="18"/>
          <w:szCs w:val="18"/>
          <w:lang w:val="es-ES_tradnl"/>
        </w:rPr>
        <w:t xml:space="preserve">Por otra parte existe una interpretación errónea del participante sobre </w:t>
      </w:r>
      <w:r w:rsidR="00A74249">
        <w:rPr>
          <w:rFonts w:ascii="ITC Avant Garde" w:hAnsi="ITC Avant Garde"/>
          <w:sz w:val="18"/>
          <w:szCs w:val="18"/>
          <w:lang w:val="es-ES_tradnl"/>
        </w:rPr>
        <w:t xml:space="preserve">lo que en el modelo de costos se incluye como demanda, ya que </w:t>
      </w:r>
      <w:r w:rsidR="002F2F22">
        <w:rPr>
          <w:rFonts w:ascii="ITC Avant Garde" w:hAnsi="ITC Avant Garde"/>
          <w:sz w:val="18"/>
          <w:szCs w:val="18"/>
          <w:lang w:val="es-ES_tradnl"/>
        </w:rPr>
        <w:t xml:space="preserve">el modelo de costos toma en cuenta las </w:t>
      </w:r>
      <w:r w:rsidR="005A6881">
        <w:rPr>
          <w:rFonts w:ascii="ITC Avant Garde" w:hAnsi="ITC Avant Garde"/>
          <w:sz w:val="18"/>
          <w:szCs w:val="18"/>
          <w:lang w:val="es-ES_tradnl"/>
        </w:rPr>
        <w:t>condiciones</w:t>
      </w:r>
      <w:r w:rsidR="002F2F22">
        <w:rPr>
          <w:rFonts w:ascii="ITC Avant Garde" w:hAnsi="ITC Avant Garde"/>
          <w:sz w:val="18"/>
          <w:szCs w:val="18"/>
          <w:lang w:val="es-ES_tradnl"/>
        </w:rPr>
        <w:t xml:space="preserve"> de demanda </w:t>
      </w:r>
      <w:r w:rsidR="005A6881">
        <w:rPr>
          <w:rFonts w:ascii="ITC Avant Garde" w:hAnsi="ITC Avant Garde"/>
          <w:sz w:val="18"/>
          <w:szCs w:val="18"/>
          <w:lang w:val="es-ES_tradnl"/>
        </w:rPr>
        <w:t xml:space="preserve">para el dimensionamiento del uso y tamaño de la infraestructura y no para establecer el valor económico </w:t>
      </w:r>
      <w:r w:rsidR="00A74249">
        <w:rPr>
          <w:rFonts w:ascii="ITC Avant Garde" w:hAnsi="ITC Avant Garde"/>
          <w:sz w:val="18"/>
          <w:szCs w:val="18"/>
          <w:lang w:val="es-ES_tradnl"/>
        </w:rPr>
        <w:t>del precio de mercado de un activo transable</w:t>
      </w:r>
      <w:r w:rsidR="002F2F22">
        <w:rPr>
          <w:rFonts w:ascii="ITC Avant Garde" w:hAnsi="ITC Avant Garde"/>
          <w:sz w:val="18"/>
          <w:szCs w:val="18"/>
          <w:lang w:val="es-ES_tradnl"/>
        </w:rPr>
        <w:t>, es decir</w:t>
      </w:r>
      <w:r w:rsidR="00A74249">
        <w:rPr>
          <w:rFonts w:ascii="ITC Avant Garde" w:hAnsi="ITC Avant Garde"/>
          <w:sz w:val="18"/>
          <w:szCs w:val="18"/>
          <w:lang w:val="es-ES_tradnl"/>
        </w:rPr>
        <w:t xml:space="preserve"> nuevamente,</w:t>
      </w:r>
      <w:r w:rsidR="002F2F22">
        <w:rPr>
          <w:rFonts w:ascii="ITC Avant Garde" w:hAnsi="ITC Avant Garde"/>
          <w:sz w:val="18"/>
          <w:szCs w:val="18"/>
          <w:lang w:val="es-ES_tradnl"/>
        </w:rPr>
        <w:t xml:space="preserve"> </w:t>
      </w:r>
      <w:r w:rsidR="00A74249">
        <w:rPr>
          <w:rFonts w:ascii="ITC Avant Garde" w:hAnsi="ITC Avant Garde"/>
          <w:sz w:val="18"/>
          <w:szCs w:val="18"/>
          <w:lang w:val="es-ES_tradnl"/>
        </w:rPr>
        <w:t>que la demanda usada en el modelo no afecta al costeo de activos que por su naturaleza deben tener el</w:t>
      </w:r>
      <w:r w:rsidR="002F2F22">
        <w:rPr>
          <w:rFonts w:ascii="ITC Avant Garde" w:hAnsi="ITC Avant Garde"/>
          <w:sz w:val="18"/>
          <w:szCs w:val="18"/>
          <w:lang w:val="es-ES_tradnl"/>
        </w:rPr>
        <w:t xml:space="preserve"> mismo costo independientemente del lugar que se encuentre.</w:t>
      </w:r>
    </w:p>
    <w:p w14:paraId="3C621C0C" w14:textId="619CEA11" w:rsidR="00E70FD0" w:rsidRPr="00ED27DC" w:rsidRDefault="002D2F22" w:rsidP="00E70FD0">
      <w:pPr>
        <w:spacing w:after="120"/>
        <w:rPr>
          <w:rFonts w:ascii="ITC Avant Garde" w:hAnsi="ITC Avant Garde"/>
          <w:sz w:val="18"/>
          <w:szCs w:val="18"/>
          <w:lang w:val="es-ES_tradnl"/>
        </w:rPr>
      </w:pPr>
      <w:r>
        <w:rPr>
          <w:rFonts w:ascii="ITC Avant Garde" w:hAnsi="ITC Avant Garde"/>
          <w:sz w:val="18"/>
          <w:szCs w:val="18"/>
          <w:lang w:val="es-ES_tradnl"/>
        </w:rPr>
        <w:t>Respecto al grado de utilización mencionado por el participante, con relación a la sobre-utilización de activos con mayor valor de mercado y sub-utilización de activos con menor valor de mercado</w:t>
      </w:r>
      <w:r w:rsidR="002F2F22">
        <w:rPr>
          <w:rFonts w:ascii="ITC Avant Garde" w:hAnsi="ITC Avant Garde"/>
          <w:sz w:val="18"/>
          <w:szCs w:val="18"/>
          <w:lang w:val="es-ES_tradnl"/>
        </w:rPr>
        <w:t xml:space="preserve">, es importante mencionar que, aunque </w:t>
      </w:r>
      <w:r w:rsidR="00A74249">
        <w:rPr>
          <w:rFonts w:ascii="ITC Avant Garde" w:hAnsi="ITC Avant Garde"/>
          <w:sz w:val="18"/>
          <w:szCs w:val="18"/>
          <w:lang w:val="es-ES_tradnl"/>
        </w:rPr>
        <w:t>la mayoría de los activos no se</w:t>
      </w:r>
      <w:r w:rsidR="00613BA2">
        <w:rPr>
          <w:rFonts w:ascii="ITC Avant Garde" w:hAnsi="ITC Avant Garde"/>
          <w:sz w:val="18"/>
          <w:szCs w:val="18"/>
          <w:lang w:val="es-ES_tradnl"/>
        </w:rPr>
        <w:t xml:space="preserve"> </w:t>
      </w:r>
      <w:r w:rsidR="00984BBD">
        <w:rPr>
          <w:rFonts w:ascii="ITC Avant Garde" w:hAnsi="ITC Avant Garde"/>
          <w:sz w:val="18"/>
          <w:szCs w:val="18"/>
          <w:lang w:val="es-ES_tradnl"/>
        </w:rPr>
        <w:t>diferencian en</w:t>
      </w:r>
      <w:r w:rsidR="002F2F22">
        <w:rPr>
          <w:rFonts w:ascii="ITC Avant Garde" w:hAnsi="ITC Avant Garde"/>
          <w:sz w:val="18"/>
          <w:szCs w:val="18"/>
          <w:lang w:val="es-ES_tradnl"/>
        </w:rPr>
        <w:t xml:space="preserve"> </w:t>
      </w:r>
      <w:r>
        <w:rPr>
          <w:rFonts w:ascii="ITC Avant Garde" w:hAnsi="ITC Avant Garde"/>
          <w:sz w:val="18"/>
          <w:szCs w:val="18"/>
          <w:lang w:val="es-ES_tradnl"/>
        </w:rPr>
        <w:t>costos</w:t>
      </w:r>
      <w:r w:rsidR="002F2F22">
        <w:rPr>
          <w:rFonts w:ascii="ITC Avant Garde" w:hAnsi="ITC Avant Garde"/>
          <w:sz w:val="18"/>
          <w:szCs w:val="18"/>
          <w:lang w:val="es-ES_tradnl"/>
        </w:rPr>
        <w:t xml:space="preserve"> </w:t>
      </w:r>
      <w:r w:rsidR="00613BA2">
        <w:rPr>
          <w:rFonts w:ascii="ITC Avant Garde" w:hAnsi="ITC Avant Garde"/>
          <w:sz w:val="18"/>
          <w:szCs w:val="18"/>
          <w:lang w:val="es-ES_tradnl"/>
        </w:rPr>
        <w:t>por el lugar en el que se ubica</w:t>
      </w:r>
      <w:r w:rsidR="002F2F22">
        <w:rPr>
          <w:rFonts w:ascii="ITC Avant Garde" w:hAnsi="ITC Avant Garde"/>
          <w:sz w:val="18"/>
          <w:szCs w:val="18"/>
          <w:lang w:val="es-ES_tradnl"/>
        </w:rPr>
        <w:t xml:space="preserve">, el acceso a la infraestructura depende de dos factores: el acceso a la infraestructura y el acceso al espacio o emplazamiento en el que se ubique. </w:t>
      </w:r>
      <w:r w:rsidR="00E70FD0" w:rsidRPr="00ED27DC">
        <w:rPr>
          <w:rFonts w:ascii="ITC Avant Garde" w:hAnsi="ITC Avant Garde"/>
          <w:sz w:val="18"/>
          <w:szCs w:val="18"/>
          <w:lang w:val="es-ES_tradnl"/>
        </w:rPr>
        <w:t xml:space="preserve">A este respecto, es importante recordar que el modelo de costos realiza un costeo basado en </w:t>
      </w:r>
      <w:r w:rsidR="00990EDC">
        <w:rPr>
          <w:rFonts w:ascii="ITC Avant Garde" w:hAnsi="ITC Avant Garde"/>
          <w:sz w:val="18"/>
          <w:szCs w:val="18"/>
          <w:lang w:val="es-ES_tradnl"/>
        </w:rPr>
        <w:t>características</w:t>
      </w:r>
      <w:r w:rsidR="00E70FD0" w:rsidRPr="00ED27DC">
        <w:rPr>
          <w:rFonts w:ascii="ITC Avant Garde" w:hAnsi="ITC Avant Garde"/>
          <w:sz w:val="18"/>
          <w:szCs w:val="18"/>
          <w:lang w:val="es-ES_tradnl"/>
        </w:rPr>
        <w:t xml:space="preserve"> de cada </w:t>
      </w:r>
      <w:r w:rsidR="00E70FD0" w:rsidRPr="00ED27DC">
        <w:rPr>
          <w:rFonts w:ascii="ITC Avant Garde" w:hAnsi="ITC Avant Garde"/>
          <w:sz w:val="18"/>
          <w:szCs w:val="18"/>
          <w:lang w:val="es-ES_tradnl"/>
        </w:rPr>
        <w:lastRenderedPageBreak/>
        <w:t>emplazamiento</w:t>
      </w:r>
      <w:r w:rsidR="00613BA2">
        <w:rPr>
          <w:rFonts w:ascii="ITC Avant Garde" w:hAnsi="ITC Avant Garde"/>
          <w:sz w:val="18"/>
          <w:szCs w:val="18"/>
          <w:lang w:val="es-ES_tradnl"/>
        </w:rPr>
        <w:t>, a</w:t>
      </w:r>
      <w:r w:rsidR="00E70FD0" w:rsidRPr="00ED27DC">
        <w:rPr>
          <w:rFonts w:ascii="ITC Avant Garde" w:hAnsi="ITC Avant Garde"/>
          <w:sz w:val="18"/>
          <w:szCs w:val="18"/>
          <w:lang w:val="es-ES_tradnl"/>
        </w:rPr>
        <w:t>dicionalmente, vista la preocupación presentada en el comentario, se ha añadido complejidad al modelo para incrementar la precisión del costo del predio</w:t>
      </w:r>
      <w:r w:rsidR="00CA1C1D" w:rsidRPr="00ED27DC">
        <w:rPr>
          <w:rFonts w:ascii="ITC Avant Garde" w:hAnsi="ITC Avant Garde"/>
          <w:sz w:val="18"/>
          <w:szCs w:val="18"/>
          <w:lang w:val="es-ES_tradnl"/>
        </w:rPr>
        <w:t xml:space="preserve"> como se explicará a continuación:</w:t>
      </w:r>
    </w:p>
    <w:p w14:paraId="1ADADD5E" w14:textId="77777777" w:rsidR="009806C7" w:rsidRPr="00ED27DC" w:rsidRDefault="009806C7" w:rsidP="009806C7">
      <w:pPr>
        <w:spacing w:after="120"/>
        <w:rPr>
          <w:rFonts w:ascii="ITC Avant Garde" w:hAnsi="ITC Avant Garde"/>
          <w:sz w:val="18"/>
          <w:szCs w:val="18"/>
          <w:lang w:val="es-ES_tradnl"/>
        </w:rPr>
      </w:pPr>
      <w:r w:rsidRPr="00ED27DC">
        <w:rPr>
          <w:rFonts w:ascii="ITC Avant Garde" w:hAnsi="ITC Avant Garde"/>
          <w:sz w:val="18"/>
          <w:szCs w:val="18"/>
          <w:lang w:val="es-ES_tradnl"/>
        </w:rPr>
        <w:t>En la versión final del modelo, se ha llevado a cabo una clasificación de los costos de arrendamiento del predio de acuerdo con un criterio de estratificación socioeconómica a partir de información del Instituto Nacional de Estadística y Geografía (INEGI). Este ajuste permite reconocer de una manera causal y objetiva los costos de arrendamiento de los predios en los sitios del AEP.</w:t>
      </w:r>
    </w:p>
    <w:p w14:paraId="42C2B21C" w14:textId="77777777" w:rsidR="00613BA2" w:rsidRDefault="009806C7" w:rsidP="009806C7">
      <w:pPr>
        <w:spacing w:after="120"/>
        <w:rPr>
          <w:rFonts w:ascii="ITC Avant Garde" w:hAnsi="ITC Avant Garde"/>
          <w:sz w:val="18"/>
          <w:szCs w:val="18"/>
          <w:lang w:val="es-ES_tradnl"/>
        </w:rPr>
      </w:pPr>
      <w:r w:rsidRPr="00ED27DC">
        <w:rPr>
          <w:rFonts w:ascii="ITC Avant Garde" w:hAnsi="ITC Avant Garde"/>
          <w:sz w:val="18"/>
          <w:szCs w:val="18"/>
          <w:lang w:val="es-ES_tradnl"/>
        </w:rPr>
        <w:t>En concreto, se ha constatado que los costos unitarios de arrendamiento del predio (por metro cuadrado) tienen patrones diferentes dependiendo de la ubicación de los sitios</w:t>
      </w:r>
      <w:r w:rsidR="00613BA2">
        <w:rPr>
          <w:rFonts w:ascii="ITC Avant Garde" w:hAnsi="ITC Avant Garde"/>
          <w:sz w:val="18"/>
          <w:szCs w:val="18"/>
          <w:lang w:val="es-ES_tradnl"/>
        </w:rPr>
        <w:t xml:space="preserve">, como resultado, sitios ubicados en zonas rurales cuentan con una compensación, es decir los predios de zonas rurales tienen un costo menor que sus similares en zonas urbanas. </w:t>
      </w:r>
    </w:p>
    <w:p w14:paraId="7ADBDF9F" w14:textId="170B34C4" w:rsidR="00F762A3" w:rsidRDefault="00613BA2" w:rsidP="00984BBD">
      <w:pPr>
        <w:spacing w:after="120"/>
        <w:rPr>
          <w:rFonts w:ascii="ITC Avant Garde" w:hAnsi="ITC Avant Garde"/>
          <w:sz w:val="18"/>
          <w:szCs w:val="18"/>
          <w:lang w:val="es-ES_tradnl"/>
        </w:rPr>
      </w:pPr>
      <w:r>
        <w:rPr>
          <w:rFonts w:ascii="ITC Avant Garde" w:hAnsi="ITC Avant Garde"/>
          <w:sz w:val="18"/>
          <w:szCs w:val="18"/>
          <w:lang w:val="es-ES_tradnl"/>
        </w:rPr>
        <w:t>Es por lo anterior, que si bien el modelo de costos no lleva a cabo diferenciaci</w:t>
      </w:r>
      <w:r w:rsidR="00BD1E83">
        <w:rPr>
          <w:rFonts w:ascii="ITC Avant Garde" w:hAnsi="ITC Avant Garde"/>
          <w:sz w:val="18"/>
          <w:szCs w:val="18"/>
          <w:lang w:val="es-ES_tradnl"/>
        </w:rPr>
        <w:t xml:space="preserve">ón de precio de infraestructura por el lugar donde se ubique, el costo del predio si cuenta con tal diferenciación, por lo que el modelo de costos, toma en cuenta la localización en el que se encuentra la infraestructura a través del precio de predios. </w:t>
      </w:r>
      <w:r w:rsidR="0067762C">
        <w:rPr>
          <w:rFonts w:ascii="ITC Avant Garde" w:hAnsi="ITC Avant Garde"/>
          <w:sz w:val="18"/>
          <w:szCs w:val="18"/>
          <w:lang w:val="es-ES_tradnl"/>
        </w:rPr>
        <w:t>Es por lo anterior que al entender que para tener acceso a la torre es necesario el acceso al piso para casos de torres idénticas el valor, en costos, del servicio conjunto siempre será menos en zonas rurales que urbanas, ya que el costo del piso esta diferenciado por su localización.</w:t>
      </w:r>
    </w:p>
    <w:p w14:paraId="0CAD1E57" w14:textId="76B78367" w:rsidR="006B04CB" w:rsidRPr="00ED27DC" w:rsidRDefault="00454FC9" w:rsidP="006B04CB">
      <w:pPr>
        <w:spacing w:after="120"/>
        <w:rPr>
          <w:rFonts w:ascii="ITC Avant Garde" w:hAnsi="ITC Avant Garde"/>
          <w:i/>
          <w:sz w:val="18"/>
          <w:szCs w:val="18"/>
          <w:u w:val="single"/>
          <w:lang w:val="es-ES_tradnl"/>
        </w:rPr>
      </w:pPr>
      <w:r w:rsidRPr="00ED27DC">
        <w:rPr>
          <w:rFonts w:ascii="ITC Avant Garde" w:hAnsi="ITC Avant Garde"/>
          <w:i/>
          <w:sz w:val="18"/>
          <w:szCs w:val="18"/>
          <w:u w:val="single"/>
          <w:lang w:val="es-ES_tradnl"/>
        </w:rPr>
        <w:t>2</w:t>
      </w:r>
      <w:r w:rsidR="004D7758" w:rsidRPr="00ED27DC">
        <w:rPr>
          <w:rFonts w:ascii="ITC Avant Garde" w:hAnsi="ITC Avant Garde"/>
          <w:i/>
          <w:sz w:val="18"/>
          <w:szCs w:val="18"/>
          <w:u w:val="single"/>
          <w:lang w:val="es-ES_tradnl"/>
        </w:rPr>
        <w:t>.</w:t>
      </w:r>
      <w:r w:rsidR="00210CE8">
        <w:rPr>
          <w:rFonts w:ascii="ITC Avant Garde" w:hAnsi="ITC Avant Garde"/>
          <w:i/>
          <w:sz w:val="18"/>
          <w:szCs w:val="18"/>
          <w:u w:val="single"/>
          <w:lang w:val="es-ES_tradnl"/>
        </w:rPr>
        <w:t>4</w:t>
      </w:r>
      <w:r w:rsidRPr="00ED27DC">
        <w:rPr>
          <w:rFonts w:ascii="ITC Avant Garde" w:hAnsi="ITC Avant Garde"/>
          <w:i/>
          <w:sz w:val="18"/>
          <w:szCs w:val="18"/>
          <w:u w:val="single"/>
          <w:lang w:val="es-ES_tradnl"/>
        </w:rPr>
        <w:t xml:space="preserve"> </w:t>
      </w:r>
      <w:r w:rsidR="006B04CB" w:rsidRPr="00ED27DC">
        <w:rPr>
          <w:rFonts w:ascii="ITC Avant Garde" w:hAnsi="ITC Avant Garde"/>
          <w:i/>
          <w:sz w:val="18"/>
          <w:szCs w:val="18"/>
          <w:u w:val="single"/>
          <w:lang w:val="es-ES_tradnl"/>
        </w:rPr>
        <w:t>Comentario de la Consulta Pública</w:t>
      </w:r>
    </w:p>
    <w:p w14:paraId="687195E4" w14:textId="1A4A2453" w:rsidR="006B04CB" w:rsidRPr="00ED27DC" w:rsidRDefault="000E1B14" w:rsidP="006B04CB">
      <w:pPr>
        <w:spacing w:after="120"/>
        <w:rPr>
          <w:rFonts w:ascii="ITC Avant Garde" w:hAnsi="ITC Avant Garde"/>
          <w:sz w:val="18"/>
          <w:szCs w:val="18"/>
          <w:lang w:val="es-MX"/>
        </w:rPr>
      </w:pPr>
      <w:r w:rsidRPr="00ED27DC">
        <w:rPr>
          <w:rFonts w:ascii="ITC Avant Garde" w:hAnsi="ITC Avant Garde"/>
          <w:sz w:val="18"/>
          <w:szCs w:val="18"/>
          <w:lang w:val="es-MX"/>
        </w:rPr>
        <w:t>Respecto de la metodología de costos actuales seguida por el Modelo de Costos</w:t>
      </w:r>
      <w:r w:rsidR="007B2ACC">
        <w:rPr>
          <w:rFonts w:ascii="ITC Avant Garde" w:hAnsi="ITC Avant Garde"/>
          <w:sz w:val="18"/>
          <w:szCs w:val="18"/>
          <w:lang w:val="es-MX"/>
        </w:rPr>
        <w:t>,</w:t>
      </w:r>
      <w:r w:rsidRPr="00ED27DC">
        <w:rPr>
          <w:rFonts w:ascii="ITC Avant Garde" w:hAnsi="ITC Avant Garde"/>
          <w:sz w:val="18"/>
          <w:szCs w:val="18"/>
          <w:lang w:val="es-MX"/>
        </w:rPr>
        <w:t xml:space="preserve"> </w:t>
      </w:r>
      <w:proofErr w:type="spellStart"/>
      <w:r w:rsidRPr="00ED27DC">
        <w:rPr>
          <w:rFonts w:ascii="ITC Avant Garde" w:hAnsi="ITC Avant Garde"/>
          <w:sz w:val="18"/>
          <w:szCs w:val="18"/>
          <w:lang w:val="es-MX"/>
        </w:rPr>
        <w:t>Televimex</w:t>
      </w:r>
      <w:proofErr w:type="spellEnd"/>
      <w:r w:rsidRPr="00ED27DC">
        <w:rPr>
          <w:rFonts w:ascii="ITC Avant Garde" w:hAnsi="ITC Avant Garde"/>
          <w:sz w:val="18"/>
          <w:szCs w:val="18"/>
          <w:lang w:val="es-MX"/>
        </w:rPr>
        <w:t xml:space="preserve"> considera que</w:t>
      </w:r>
      <w:r w:rsidR="007155E5" w:rsidRPr="00ED27DC">
        <w:rPr>
          <w:rFonts w:ascii="ITC Avant Garde" w:hAnsi="ITC Avant Garde"/>
          <w:sz w:val="18"/>
          <w:szCs w:val="18"/>
          <w:lang w:val="es-MX"/>
        </w:rPr>
        <w:t xml:space="preserve"> es mejor pero no suficiente corrección, utilizar "costos corrientes", </w:t>
      </w:r>
      <w:r w:rsidRPr="00ED27DC">
        <w:rPr>
          <w:rFonts w:ascii="ITC Avant Garde" w:hAnsi="ITC Avant Garde"/>
          <w:sz w:val="18"/>
          <w:szCs w:val="18"/>
          <w:lang w:val="es-MX"/>
        </w:rPr>
        <w:t xml:space="preserve">refiere que </w:t>
      </w:r>
      <w:r w:rsidR="007155E5" w:rsidRPr="00ED27DC">
        <w:rPr>
          <w:rFonts w:ascii="ITC Avant Garde" w:hAnsi="ITC Avant Garde"/>
          <w:sz w:val="18"/>
          <w:szCs w:val="18"/>
          <w:lang w:val="es-MX"/>
        </w:rPr>
        <w:t xml:space="preserve">el Modelo de Costos propuesto también puede implicar una medida errónea del costo de la inversión realizada por el cálculo del costo del capital. En principio, el uso del CAPM (Capital </w:t>
      </w:r>
      <w:proofErr w:type="spellStart"/>
      <w:r w:rsidR="007155E5" w:rsidRPr="00ED27DC">
        <w:rPr>
          <w:rFonts w:ascii="ITC Avant Garde" w:hAnsi="ITC Avant Garde"/>
          <w:sz w:val="18"/>
          <w:szCs w:val="18"/>
          <w:lang w:val="es-MX"/>
        </w:rPr>
        <w:t>Asset</w:t>
      </w:r>
      <w:proofErr w:type="spellEnd"/>
      <w:r w:rsidR="007155E5" w:rsidRPr="00ED27DC">
        <w:rPr>
          <w:rFonts w:ascii="ITC Avant Garde" w:hAnsi="ITC Avant Garde"/>
          <w:sz w:val="18"/>
          <w:szCs w:val="18"/>
          <w:lang w:val="es-MX"/>
        </w:rPr>
        <w:t xml:space="preserve"> </w:t>
      </w:r>
      <w:proofErr w:type="spellStart"/>
      <w:r w:rsidR="007155E5" w:rsidRPr="00ED27DC">
        <w:rPr>
          <w:rFonts w:ascii="ITC Avant Garde" w:hAnsi="ITC Avant Garde"/>
          <w:sz w:val="18"/>
          <w:szCs w:val="18"/>
          <w:lang w:val="es-MX"/>
        </w:rPr>
        <w:t>Pricing</w:t>
      </w:r>
      <w:proofErr w:type="spellEnd"/>
      <w:r w:rsidR="007155E5" w:rsidRPr="00ED27DC">
        <w:rPr>
          <w:rFonts w:ascii="ITC Avant Garde" w:hAnsi="ITC Avant Garde"/>
          <w:sz w:val="18"/>
          <w:szCs w:val="18"/>
          <w:lang w:val="es-MX"/>
        </w:rPr>
        <w:t xml:space="preserve"> </w:t>
      </w:r>
      <w:proofErr w:type="spellStart"/>
      <w:r w:rsidR="007155E5" w:rsidRPr="00ED27DC">
        <w:rPr>
          <w:rFonts w:ascii="ITC Avant Garde" w:hAnsi="ITC Avant Garde"/>
          <w:sz w:val="18"/>
          <w:szCs w:val="18"/>
          <w:lang w:val="es-MX"/>
        </w:rPr>
        <w:t>Model</w:t>
      </w:r>
      <w:proofErr w:type="spellEnd"/>
      <w:r w:rsidR="007155E5" w:rsidRPr="00ED27DC">
        <w:rPr>
          <w:rFonts w:ascii="ITC Avant Garde" w:hAnsi="ITC Avant Garde"/>
          <w:sz w:val="18"/>
          <w:szCs w:val="18"/>
          <w:lang w:val="es-MX"/>
        </w:rPr>
        <w:t xml:space="preserve">, por sus siglas en inglés) implica la evaluación de un proyecto en términos esperados antes de llevar a cabo la inversión. Con el CAPM, la viabilidad económica y financiera de las inversiones se evalúan siempre de manera ex ante. Así, el costo de capital de la empresa se estima en términos "esperados" con base a la tasa de interés libre de riesgo (Rf), la </w:t>
      </w:r>
      <w:r w:rsidR="007155E5" w:rsidRPr="00ED27DC">
        <w:rPr>
          <w:rFonts w:ascii="Calibri" w:hAnsi="Calibri" w:cs="Calibri"/>
          <w:sz w:val="18"/>
          <w:szCs w:val="18"/>
          <w:lang w:val="es-MX"/>
        </w:rPr>
        <w:t>β</w:t>
      </w:r>
      <w:r w:rsidR="007155E5" w:rsidRPr="00ED27DC">
        <w:rPr>
          <w:rFonts w:ascii="ITC Avant Garde" w:hAnsi="ITC Avant Garde"/>
          <w:sz w:val="18"/>
          <w:szCs w:val="18"/>
          <w:lang w:val="es-MX"/>
        </w:rPr>
        <w:t xml:space="preserve"> y la prima del riesgo del mercado (Re) esperada al momento de llevar a cabo la inversi</w:t>
      </w:r>
      <w:r w:rsidR="007155E5" w:rsidRPr="00ED27DC">
        <w:rPr>
          <w:rFonts w:ascii="ITC Avant Garde" w:hAnsi="ITC Avant Garde" w:cs="ITC Avant Garde"/>
          <w:sz w:val="18"/>
          <w:szCs w:val="18"/>
          <w:lang w:val="es-MX"/>
        </w:rPr>
        <w:t>ó</w:t>
      </w:r>
      <w:r w:rsidR="007155E5" w:rsidRPr="00ED27DC">
        <w:rPr>
          <w:rFonts w:ascii="ITC Avant Garde" w:hAnsi="ITC Avant Garde"/>
          <w:sz w:val="18"/>
          <w:szCs w:val="18"/>
          <w:lang w:val="es-MX"/>
        </w:rPr>
        <w:t>n. Una vez fijados estos par</w:t>
      </w:r>
      <w:r w:rsidR="007155E5" w:rsidRPr="00ED27DC">
        <w:rPr>
          <w:rFonts w:ascii="ITC Avant Garde" w:hAnsi="ITC Avant Garde" w:cs="ITC Avant Garde"/>
          <w:sz w:val="18"/>
          <w:szCs w:val="18"/>
          <w:lang w:val="es-MX"/>
        </w:rPr>
        <w:t>á</w:t>
      </w:r>
      <w:r w:rsidR="007155E5" w:rsidRPr="00ED27DC">
        <w:rPr>
          <w:rFonts w:ascii="ITC Avant Garde" w:hAnsi="ITC Avant Garde"/>
          <w:sz w:val="18"/>
          <w:szCs w:val="18"/>
          <w:lang w:val="es-MX"/>
        </w:rPr>
        <w:t>metros se obtiene el costo de capital esperado de la empresa con el que se evalúa la viabilidad del proyecto. Es decir, en una situación ideal, el costo de capital debería ser determinado al momento en que el AEP en Radiodifusión evaluó la inversión y la hubiera realizado, no así bajo los parámetros de 2017 varios años después, que probablemente implican un Costo de Capital Promedio Ponderado ("CCPP") real menor al que se tenía originalmente. Se entiende que se usen parámetros actuales como los de la Tabla 2.2 del Documento Metodológico del Modelo de Costos para que haya cierta congruencia con el uso de "costos corrientes", pero es altamente probable que el costo de capital real bajo el cual se tomó la decisión de inversión haya sid</w:t>
      </w:r>
      <w:r w:rsidRPr="00ED27DC">
        <w:rPr>
          <w:rFonts w:ascii="ITC Avant Garde" w:hAnsi="ITC Avant Garde"/>
          <w:sz w:val="18"/>
          <w:szCs w:val="18"/>
          <w:lang w:val="es-MX"/>
        </w:rPr>
        <w:t>o superior al obtenido en 2017.</w:t>
      </w:r>
    </w:p>
    <w:p w14:paraId="6890450F" w14:textId="29603CE0" w:rsidR="006B04CB" w:rsidRPr="00ED27DC" w:rsidRDefault="00454FC9" w:rsidP="006B04CB">
      <w:pPr>
        <w:spacing w:after="120"/>
        <w:rPr>
          <w:rFonts w:ascii="ITC Avant Garde" w:hAnsi="ITC Avant Garde"/>
          <w:sz w:val="18"/>
          <w:u w:val="single"/>
          <w:lang w:val="es-ES_tradnl"/>
        </w:rPr>
      </w:pPr>
      <w:r w:rsidRPr="00ED27DC">
        <w:rPr>
          <w:rFonts w:ascii="ITC Avant Garde" w:hAnsi="ITC Avant Garde"/>
          <w:sz w:val="18"/>
          <w:u w:val="single"/>
          <w:lang w:val="es-ES_tradnl"/>
        </w:rPr>
        <w:t>2</w:t>
      </w:r>
      <w:r w:rsidR="009E1308" w:rsidRPr="00ED27DC">
        <w:rPr>
          <w:rFonts w:ascii="ITC Avant Garde" w:hAnsi="ITC Avant Garde"/>
          <w:sz w:val="18"/>
          <w:u w:val="single"/>
          <w:lang w:val="es-ES_tradnl"/>
        </w:rPr>
        <w:t>.</w:t>
      </w:r>
      <w:r w:rsidR="00210CE8">
        <w:rPr>
          <w:rFonts w:ascii="ITC Avant Garde" w:hAnsi="ITC Avant Garde"/>
          <w:sz w:val="18"/>
          <w:u w:val="single"/>
          <w:lang w:val="es-ES_tradnl"/>
        </w:rPr>
        <w:t>4</w:t>
      </w:r>
      <w:r w:rsidRPr="00ED27DC">
        <w:rPr>
          <w:rFonts w:ascii="ITC Avant Garde" w:hAnsi="ITC Avant Garde"/>
          <w:sz w:val="18"/>
          <w:u w:val="single"/>
          <w:lang w:val="es-ES_tradnl"/>
        </w:rPr>
        <w:t xml:space="preserve"> </w:t>
      </w:r>
      <w:r w:rsidR="006B04CB" w:rsidRPr="00ED27DC">
        <w:rPr>
          <w:rFonts w:ascii="ITC Avant Garde" w:hAnsi="ITC Avant Garde"/>
          <w:sz w:val="18"/>
          <w:u w:val="single"/>
          <w:lang w:val="es-ES_tradnl"/>
        </w:rPr>
        <w:t>Respuesta del Instituto</w:t>
      </w:r>
    </w:p>
    <w:p w14:paraId="01B64C9C" w14:textId="77777777" w:rsidR="00C072F9" w:rsidRPr="00ED27DC" w:rsidRDefault="00C072F9" w:rsidP="00C072F9">
      <w:pPr>
        <w:pStyle w:val="IFTnormal"/>
        <w:spacing w:after="120" w:line="320" w:lineRule="atLeast"/>
        <w:rPr>
          <w:sz w:val="18"/>
          <w:szCs w:val="18"/>
        </w:rPr>
      </w:pPr>
      <w:r w:rsidRPr="00ED27DC">
        <w:rPr>
          <w:sz w:val="18"/>
          <w:szCs w:val="18"/>
        </w:rPr>
        <w:t>La metodología del CCPP considera que el retorno de los activos de la empresa debe ser igual al retorno total esperado por sus accionistas y acreedores de deuda, ponderados por su contribución respectiva al financiamiento de la empresa.</w:t>
      </w:r>
    </w:p>
    <w:p w14:paraId="49A5AF53" w14:textId="77777777" w:rsidR="00C072F9" w:rsidRPr="00ED27DC" w:rsidRDefault="00C072F9" w:rsidP="00ED27DC">
      <w:pPr>
        <w:pStyle w:val="IFTnormal"/>
        <w:spacing w:after="120" w:line="320" w:lineRule="atLeast"/>
        <w:rPr>
          <w:sz w:val="18"/>
          <w:szCs w:val="18"/>
        </w:rPr>
      </w:pPr>
      <w:r w:rsidRPr="00ED27DC">
        <w:rPr>
          <w:sz w:val="18"/>
          <w:szCs w:val="18"/>
        </w:rPr>
        <w:lastRenderedPageBreak/>
        <w:t>En el Modelo se utiliza el valor del CCPP real antes de impuestos a partir de la información facilitada por el AEP. El CCPP se define como el costo promedio de la deuda y de los fondos propios, ponderados en función de sus respectivos pesos en la estructura de financiación de la compañía, y se calcula mediante la siguiente expresión:</w:t>
      </w:r>
    </w:p>
    <w:p w14:paraId="7443D4E6" w14:textId="77777777" w:rsidR="00C072F9" w:rsidRPr="00ED27DC" w:rsidRDefault="00D50FAD" w:rsidP="00ED27DC">
      <w:pPr>
        <w:pStyle w:val="IFTnormal"/>
        <w:spacing w:line="320" w:lineRule="atLeast"/>
        <w:rPr>
          <w:sz w:val="18"/>
          <w:szCs w:val="18"/>
        </w:rPr>
      </w:pPr>
      <m:oMathPara>
        <m:oMath>
          <m:sSub>
            <m:sSubPr>
              <m:ctrlPr>
                <w:rPr>
                  <w:rFonts w:ascii="Cambria Math" w:hAnsi="Cambria Math"/>
                  <w:i/>
                  <w:sz w:val="18"/>
                  <w:szCs w:val="18"/>
                </w:rPr>
              </m:ctrlPr>
            </m:sSubPr>
            <m:e>
              <m:r>
                <w:rPr>
                  <w:rFonts w:ascii="Cambria Math" w:hAnsi="Cambria Math"/>
                  <w:sz w:val="18"/>
                  <w:szCs w:val="18"/>
                </w:rPr>
                <m:t>CCPP</m:t>
              </m:r>
            </m:e>
            <m:sub>
              <m:r>
                <w:rPr>
                  <w:rFonts w:ascii="Cambria Math" w:hAnsi="Cambria Math"/>
                  <w:sz w:val="18"/>
                  <w:szCs w:val="18"/>
                </w:rPr>
                <m:t>nominal antes de impuestos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e</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E</m:t>
              </m:r>
            </m:num>
            <m:den>
              <m:d>
                <m:dPr>
                  <m:ctrlPr>
                    <w:rPr>
                      <w:rFonts w:ascii="Cambria Math" w:hAnsi="Cambria Math"/>
                      <w:i/>
                      <w:sz w:val="18"/>
                      <w:szCs w:val="18"/>
                    </w:rPr>
                  </m:ctrlPr>
                </m:dPr>
                <m:e>
                  <m:r>
                    <w:rPr>
                      <w:rFonts w:ascii="Cambria Math" w:hAnsi="Cambria Math"/>
                      <w:sz w:val="18"/>
                      <w:szCs w:val="18"/>
                    </w:rPr>
                    <m:t>D+E</m:t>
                  </m:r>
                </m:e>
              </m:d>
              <m:r>
                <w:rPr>
                  <w:rFonts w:ascii="Cambria Math" w:hAnsi="Cambria Math"/>
                  <w:sz w:val="18"/>
                  <w:szCs w:val="18"/>
                </w:rPr>
                <m:t>∙(1-t)</m:t>
              </m:r>
            </m:den>
          </m:f>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d</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D</m:t>
              </m:r>
            </m:num>
            <m:den>
              <m:r>
                <w:rPr>
                  <w:rFonts w:ascii="Cambria Math" w:hAnsi="Cambria Math"/>
                  <w:sz w:val="18"/>
                  <w:szCs w:val="18"/>
                </w:rPr>
                <m:t>D+E</m:t>
              </m:r>
            </m:den>
          </m:f>
        </m:oMath>
      </m:oMathPara>
    </w:p>
    <w:p w14:paraId="694B72EA" w14:textId="77777777" w:rsidR="00C072F9" w:rsidRPr="00ED27DC" w:rsidRDefault="00C072F9" w:rsidP="00ED27DC">
      <w:pPr>
        <w:pStyle w:val="IFTnormal"/>
        <w:spacing w:after="120" w:line="320" w:lineRule="atLeast"/>
        <w:rPr>
          <w:sz w:val="18"/>
          <w:szCs w:val="18"/>
        </w:rPr>
      </w:pPr>
      <w:r w:rsidRPr="00ED27DC">
        <w:rPr>
          <w:sz w:val="18"/>
          <w:szCs w:val="18"/>
        </w:rPr>
        <w:t>Donde los términos involucrados denotan lo siguiente:</w:t>
      </w:r>
    </w:p>
    <w:p w14:paraId="0E84627D" w14:textId="4B98A6AD" w:rsidR="00C072F9" w:rsidRPr="00ED27DC" w:rsidRDefault="00D50FAD" w:rsidP="00ED27DC">
      <w:pPr>
        <w:pStyle w:val="IFTnormal"/>
        <w:spacing w:after="120" w:line="320" w:lineRule="atLeast"/>
        <w:rPr>
          <w:sz w:val="18"/>
          <w:szCs w:val="18"/>
        </w:rPr>
      </w:pPr>
      <m:oMath>
        <m:sSub>
          <m:sSubPr>
            <m:ctrlPr>
              <w:rPr>
                <w:rFonts w:ascii="Cambria Math" w:hAnsi="Cambria Math"/>
                <w:bCs/>
                <w:i/>
                <w:sz w:val="18"/>
                <w:szCs w:val="18"/>
              </w:rPr>
            </m:ctrlPr>
          </m:sSubPr>
          <m:e>
            <m:r>
              <w:rPr>
                <w:rFonts w:ascii="Cambria Math" w:hAnsi="Cambria Math"/>
                <w:sz w:val="18"/>
                <w:szCs w:val="18"/>
              </w:rPr>
              <m:t>C</m:t>
            </m:r>
          </m:e>
          <m:sub>
            <m:r>
              <w:rPr>
                <w:rFonts w:ascii="Cambria Math" w:hAnsi="Cambria Math"/>
                <w:sz w:val="18"/>
                <w:szCs w:val="18"/>
              </w:rPr>
              <m:t>e</m:t>
            </m:r>
          </m:sub>
        </m:sSub>
      </m:oMath>
      <w:r w:rsidR="00C072F9" w:rsidRPr="00ED27DC">
        <w:rPr>
          <w:sz w:val="18"/>
          <w:szCs w:val="18"/>
        </w:rPr>
        <w:t>: Costo del ca</w:t>
      </w:r>
      <w:proofErr w:type="spellStart"/>
      <w:r w:rsidR="00C072F9" w:rsidRPr="00ED27DC">
        <w:rPr>
          <w:sz w:val="18"/>
          <w:szCs w:val="18"/>
        </w:rPr>
        <w:t>pital</w:t>
      </w:r>
      <w:proofErr w:type="spellEnd"/>
      <w:r w:rsidR="00C072F9" w:rsidRPr="00ED27DC">
        <w:rPr>
          <w:sz w:val="18"/>
          <w:szCs w:val="18"/>
        </w:rPr>
        <w:t xml:space="preserve"> de la </w:t>
      </w:r>
      <w:r w:rsidR="00984BBD" w:rsidRPr="00ED27DC">
        <w:rPr>
          <w:sz w:val="18"/>
          <w:szCs w:val="18"/>
        </w:rPr>
        <w:t>empresa.</w:t>
      </w:r>
    </w:p>
    <w:p w14:paraId="07C302F8" w14:textId="77777777" w:rsidR="00C072F9" w:rsidRPr="00ED27DC" w:rsidRDefault="00D50FAD" w:rsidP="00ED27DC">
      <w:pPr>
        <w:pStyle w:val="IFTnormal"/>
        <w:spacing w:after="120" w:line="320" w:lineRule="atLeast"/>
        <w:rPr>
          <w:sz w:val="18"/>
          <w:szCs w:val="18"/>
        </w:rPr>
      </w:pPr>
      <m:oMath>
        <m:sSub>
          <m:sSubPr>
            <m:ctrlPr>
              <w:rPr>
                <w:rFonts w:ascii="Cambria Math" w:hAnsi="Cambria Math"/>
                <w:bCs/>
                <w:i/>
                <w:sz w:val="18"/>
                <w:szCs w:val="18"/>
              </w:rPr>
            </m:ctrlPr>
          </m:sSubPr>
          <m:e>
            <m:r>
              <w:rPr>
                <w:rFonts w:ascii="Cambria Math" w:hAnsi="Cambria Math"/>
                <w:sz w:val="18"/>
                <w:szCs w:val="18"/>
              </w:rPr>
              <m:t>C</m:t>
            </m:r>
          </m:e>
          <m:sub>
            <m:r>
              <w:rPr>
                <w:rFonts w:ascii="Cambria Math" w:hAnsi="Cambria Math"/>
                <w:sz w:val="18"/>
                <w:szCs w:val="18"/>
              </w:rPr>
              <m:t>d</m:t>
            </m:r>
          </m:sub>
        </m:sSub>
      </m:oMath>
      <w:r w:rsidR="00C072F9" w:rsidRPr="00ED27DC">
        <w:rPr>
          <w:sz w:val="18"/>
          <w:szCs w:val="18"/>
        </w:rPr>
        <w:t>: Costo de la deuda.</w:t>
      </w:r>
    </w:p>
    <w:p w14:paraId="5F55A85A" w14:textId="77777777" w:rsidR="00C072F9" w:rsidRPr="00ED27DC" w:rsidRDefault="00C072F9" w:rsidP="00ED27DC">
      <w:pPr>
        <w:pStyle w:val="IFTnormal"/>
        <w:spacing w:after="120" w:line="320" w:lineRule="atLeast"/>
        <w:rPr>
          <w:sz w:val="18"/>
          <w:szCs w:val="18"/>
        </w:rPr>
      </w:pPr>
      <m:oMath>
        <m:r>
          <w:rPr>
            <w:rFonts w:ascii="Cambria Math" w:hAnsi="Cambria Math"/>
            <w:sz w:val="18"/>
            <w:szCs w:val="18"/>
          </w:rPr>
          <m:t>E</m:t>
        </m:r>
      </m:oMath>
      <w:r w:rsidRPr="00ED27DC">
        <w:rPr>
          <w:sz w:val="18"/>
          <w:szCs w:val="18"/>
        </w:rPr>
        <w:t>: Valor total del capital (</w:t>
      </w:r>
      <w:proofErr w:type="spellStart"/>
      <w:r w:rsidRPr="00ED27DC">
        <w:rPr>
          <w:i/>
          <w:sz w:val="18"/>
          <w:szCs w:val="18"/>
        </w:rPr>
        <w:t>equity</w:t>
      </w:r>
      <w:proofErr w:type="spellEnd"/>
      <w:r w:rsidRPr="00ED27DC">
        <w:rPr>
          <w:sz w:val="18"/>
          <w:szCs w:val="18"/>
        </w:rPr>
        <w:t>) del operador.</w:t>
      </w:r>
    </w:p>
    <w:p w14:paraId="742870BD" w14:textId="77777777" w:rsidR="00C072F9" w:rsidRPr="00ED27DC" w:rsidRDefault="00C072F9" w:rsidP="00ED27DC">
      <w:pPr>
        <w:pStyle w:val="IFTnormal"/>
        <w:spacing w:after="120" w:line="320" w:lineRule="atLeast"/>
        <w:rPr>
          <w:sz w:val="18"/>
          <w:szCs w:val="18"/>
        </w:rPr>
      </w:pPr>
      <m:oMath>
        <m:r>
          <w:rPr>
            <w:rFonts w:ascii="Cambria Math" w:hAnsi="Cambria Math"/>
            <w:sz w:val="18"/>
            <w:szCs w:val="18"/>
          </w:rPr>
          <m:t>D</m:t>
        </m:r>
      </m:oMath>
      <w:r w:rsidRPr="00ED27DC">
        <w:rPr>
          <w:sz w:val="18"/>
          <w:szCs w:val="18"/>
        </w:rPr>
        <w:t>: Valor total de mercado de la deuda.</w:t>
      </w:r>
    </w:p>
    <w:p w14:paraId="4E7A0004" w14:textId="77777777" w:rsidR="00C072F9" w:rsidRPr="00ED27DC" w:rsidRDefault="00C072F9" w:rsidP="00ED27DC">
      <w:pPr>
        <w:pStyle w:val="IFTnormal"/>
        <w:spacing w:after="120" w:line="320" w:lineRule="atLeast"/>
        <w:rPr>
          <w:sz w:val="18"/>
          <w:szCs w:val="18"/>
        </w:rPr>
      </w:pPr>
      <m:oMath>
        <m:r>
          <w:rPr>
            <w:rFonts w:ascii="Cambria Math" w:hAnsi="Cambria Math"/>
            <w:sz w:val="18"/>
            <w:szCs w:val="18"/>
          </w:rPr>
          <m:t>t:</m:t>
        </m:r>
      </m:oMath>
      <w:r w:rsidRPr="00ED27DC">
        <w:rPr>
          <w:sz w:val="18"/>
          <w:szCs w:val="18"/>
        </w:rPr>
        <w:t xml:space="preserve"> Tasa impositiva.</w:t>
      </w:r>
    </w:p>
    <w:p w14:paraId="395F6EF2" w14:textId="77777777" w:rsidR="00C072F9" w:rsidRPr="00ED27DC" w:rsidRDefault="00C072F9" w:rsidP="00ED27DC">
      <w:pPr>
        <w:pStyle w:val="IFTnormal"/>
        <w:spacing w:after="120" w:line="320" w:lineRule="atLeast"/>
        <w:rPr>
          <w:sz w:val="18"/>
          <w:szCs w:val="18"/>
        </w:rPr>
      </w:pPr>
      <w:r w:rsidRPr="00ED27DC">
        <w:rPr>
          <w:sz w:val="18"/>
          <w:szCs w:val="18"/>
        </w:rPr>
        <w:t>Para el cálculo del costo del patrimonio (</w:t>
      </w:r>
      <w:proofErr w:type="spellStart"/>
      <w:r w:rsidRPr="00ED27DC">
        <w:rPr>
          <w:i/>
          <w:sz w:val="18"/>
          <w:szCs w:val="18"/>
        </w:rPr>
        <w:t>k</w:t>
      </w:r>
      <w:r w:rsidRPr="00ED27DC">
        <w:rPr>
          <w:i/>
          <w:sz w:val="18"/>
          <w:szCs w:val="18"/>
          <w:vertAlign w:val="subscript"/>
        </w:rPr>
        <w:t>e</w:t>
      </w:r>
      <w:proofErr w:type="spellEnd"/>
      <w:r w:rsidRPr="00ED27DC">
        <w:rPr>
          <w:sz w:val="18"/>
          <w:szCs w:val="18"/>
        </w:rPr>
        <w:t>), se utiliza la metodología CAPM (</w:t>
      </w:r>
      <w:r w:rsidRPr="00ED27DC">
        <w:rPr>
          <w:i/>
          <w:iCs/>
          <w:sz w:val="18"/>
          <w:szCs w:val="18"/>
        </w:rPr>
        <w:t xml:space="preserve">Capital </w:t>
      </w:r>
      <w:proofErr w:type="spellStart"/>
      <w:r w:rsidRPr="00ED27DC">
        <w:rPr>
          <w:i/>
          <w:iCs/>
          <w:sz w:val="18"/>
          <w:szCs w:val="18"/>
        </w:rPr>
        <w:t>Asset</w:t>
      </w:r>
      <w:proofErr w:type="spellEnd"/>
      <w:r w:rsidRPr="00ED27DC">
        <w:rPr>
          <w:i/>
          <w:iCs/>
          <w:sz w:val="18"/>
          <w:szCs w:val="18"/>
        </w:rPr>
        <w:t xml:space="preserve"> </w:t>
      </w:r>
      <w:proofErr w:type="spellStart"/>
      <w:r w:rsidRPr="00ED27DC">
        <w:rPr>
          <w:i/>
          <w:iCs/>
          <w:sz w:val="18"/>
          <w:szCs w:val="18"/>
        </w:rPr>
        <w:t>Pricing</w:t>
      </w:r>
      <w:proofErr w:type="spellEnd"/>
      <w:r w:rsidRPr="00ED27DC">
        <w:rPr>
          <w:i/>
          <w:iCs/>
          <w:sz w:val="18"/>
          <w:szCs w:val="18"/>
        </w:rPr>
        <w:t xml:space="preserve"> </w:t>
      </w:r>
      <w:proofErr w:type="spellStart"/>
      <w:r w:rsidRPr="00ED27DC">
        <w:rPr>
          <w:i/>
          <w:iCs/>
          <w:sz w:val="18"/>
          <w:szCs w:val="18"/>
        </w:rPr>
        <w:t>Model</w:t>
      </w:r>
      <w:proofErr w:type="spellEnd"/>
      <w:r w:rsidRPr="00ED27DC">
        <w:rPr>
          <w:sz w:val="18"/>
          <w:szCs w:val="18"/>
        </w:rPr>
        <w:t>). La formulación a seguir vendría expresada por la siguiente ecuación:</w:t>
      </w:r>
    </w:p>
    <w:p w14:paraId="1D301D6C" w14:textId="77777777" w:rsidR="00C072F9" w:rsidRPr="00ED27DC" w:rsidRDefault="00D50FAD" w:rsidP="00ED27DC">
      <w:pPr>
        <w:pStyle w:val="IFTnormal"/>
        <w:spacing w:line="320" w:lineRule="atLeast"/>
        <w:rPr>
          <w:sz w:val="18"/>
          <w:szCs w:val="18"/>
        </w:rPr>
      </w:pPr>
      <m:oMathPara>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e</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e</m:t>
              </m:r>
            </m:sub>
          </m:sSub>
          <m:r>
            <w:rPr>
              <w:rFonts w:ascii="Cambria Math" w:hAnsi="Cambria Math"/>
              <w:sz w:val="18"/>
              <w:szCs w:val="18"/>
            </w:rPr>
            <m:t>∙β</m:t>
          </m:r>
        </m:oMath>
      </m:oMathPara>
    </w:p>
    <w:p w14:paraId="59E5741A" w14:textId="77777777" w:rsidR="00C072F9" w:rsidRPr="00ED27DC" w:rsidRDefault="00C072F9" w:rsidP="00ED27DC">
      <w:pPr>
        <w:pStyle w:val="IFTnormal"/>
        <w:spacing w:after="120" w:line="320" w:lineRule="atLeast"/>
        <w:rPr>
          <w:sz w:val="18"/>
          <w:szCs w:val="18"/>
        </w:rPr>
      </w:pPr>
      <w:r w:rsidRPr="00ED27DC">
        <w:rPr>
          <w:sz w:val="18"/>
          <w:szCs w:val="18"/>
        </w:rPr>
        <w:t>En donde:</w:t>
      </w:r>
    </w:p>
    <w:p w14:paraId="52A3E84E" w14:textId="77777777" w:rsidR="00C072F9" w:rsidRPr="00ED27DC" w:rsidRDefault="00D50FAD" w:rsidP="00ED27DC">
      <w:pPr>
        <w:pStyle w:val="IFTnormal"/>
        <w:spacing w:after="120" w:line="320" w:lineRule="atLeast"/>
        <w:rPr>
          <w:sz w:val="18"/>
          <w:szCs w:val="18"/>
        </w:rPr>
      </w:pPr>
      <m:oMath>
        <m:sSub>
          <m:sSubPr>
            <m:ctrlPr>
              <w:rPr>
                <w:rFonts w:ascii="Cambria Math" w:hAnsi="Cambria Math"/>
                <w:bCs/>
                <w:i/>
                <w:sz w:val="18"/>
                <w:szCs w:val="18"/>
              </w:rPr>
            </m:ctrlPr>
          </m:sSubPr>
          <m:e>
            <m:r>
              <w:rPr>
                <w:rFonts w:ascii="Cambria Math" w:hAnsi="Cambria Math"/>
                <w:sz w:val="18"/>
                <w:szCs w:val="18"/>
              </w:rPr>
              <m:t>R</m:t>
            </m:r>
          </m:e>
          <m:sub>
            <m:r>
              <w:rPr>
                <w:rFonts w:ascii="Cambria Math" w:hAnsi="Cambria Math"/>
                <w:sz w:val="18"/>
                <w:szCs w:val="18"/>
              </w:rPr>
              <m:t>f</m:t>
            </m:r>
          </m:sub>
        </m:sSub>
      </m:oMath>
      <w:r w:rsidR="00C072F9" w:rsidRPr="00ED27DC">
        <w:rPr>
          <w:sz w:val="18"/>
          <w:szCs w:val="18"/>
        </w:rPr>
        <w:t>: Tasa libre de riesgo.</w:t>
      </w:r>
    </w:p>
    <w:p w14:paraId="7513D086" w14:textId="77777777" w:rsidR="00C072F9" w:rsidRPr="00ED27DC" w:rsidRDefault="00D50FAD" w:rsidP="00ED27DC">
      <w:pPr>
        <w:pStyle w:val="IFTnormal"/>
        <w:spacing w:after="120" w:line="320" w:lineRule="atLeast"/>
        <w:rPr>
          <w:sz w:val="18"/>
          <w:szCs w:val="18"/>
        </w:rPr>
      </w:pPr>
      <m:oMath>
        <m:sSub>
          <m:sSubPr>
            <m:ctrlPr>
              <w:rPr>
                <w:rFonts w:ascii="Cambria Math" w:hAnsi="Cambria Math"/>
                <w:bCs/>
                <w:i/>
                <w:sz w:val="18"/>
                <w:szCs w:val="18"/>
              </w:rPr>
            </m:ctrlPr>
          </m:sSubPr>
          <m:e>
            <m:r>
              <w:rPr>
                <w:rFonts w:ascii="Cambria Math" w:hAnsi="Cambria Math"/>
                <w:sz w:val="18"/>
                <w:szCs w:val="18"/>
              </w:rPr>
              <m:t>R</m:t>
            </m:r>
          </m:e>
          <m:sub>
            <m:r>
              <w:rPr>
                <w:rFonts w:ascii="Cambria Math" w:hAnsi="Cambria Math"/>
                <w:sz w:val="18"/>
                <w:szCs w:val="18"/>
              </w:rPr>
              <m:t>e</m:t>
            </m:r>
          </m:sub>
        </m:sSub>
      </m:oMath>
      <w:r w:rsidR="00C072F9" w:rsidRPr="00ED27DC">
        <w:rPr>
          <w:bCs/>
          <w:sz w:val="18"/>
          <w:szCs w:val="18"/>
        </w:rPr>
        <w:t>:</w:t>
      </w:r>
      <w:r w:rsidR="00C072F9" w:rsidRPr="00ED27DC">
        <w:rPr>
          <w:sz w:val="18"/>
          <w:szCs w:val="18"/>
        </w:rPr>
        <w:t xml:space="preserve"> Prima del riesgo del mercado.</w:t>
      </w:r>
    </w:p>
    <w:p w14:paraId="14339CDE" w14:textId="77777777" w:rsidR="00C072F9" w:rsidRPr="00ED27DC" w:rsidRDefault="00C072F9" w:rsidP="00ED27DC">
      <w:pPr>
        <w:pStyle w:val="IFTnormal"/>
        <w:spacing w:after="120" w:line="320" w:lineRule="atLeast"/>
        <w:rPr>
          <w:sz w:val="18"/>
          <w:szCs w:val="18"/>
        </w:rPr>
      </w:pPr>
      <m:oMath>
        <m:r>
          <w:rPr>
            <w:rFonts w:ascii="Cambria Math" w:hAnsi="Cambria Math"/>
            <w:sz w:val="18"/>
            <w:szCs w:val="18"/>
          </w:rPr>
          <m:t>β</m:t>
        </m:r>
      </m:oMath>
      <w:r w:rsidRPr="00ED27DC">
        <w:rPr>
          <w:bCs/>
          <w:sz w:val="18"/>
          <w:szCs w:val="18"/>
        </w:rPr>
        <w:t>:</w:t>
      </w:r>
      <w:r w:rsidRPr="00ED27DC">
        <w:rPr>
          <w:sz w:val="18"/>
          <w:szCs w:val="18"/>
        </w:rPr>
        <w:t xml:space="preserve"> Beta apalancada.</w:t>
      </w:r>
    </w:p>
    <w:p w14:paraId="1B15B19D" w14:textId="77777777" w:rsidR="00C072F9" w:rsidRPr="00ED27DC" w:rsidRDefault="00C072F9" w:rsidP="00ED27DC">
      <w:pPr>
        <w:pStyle w:val="IFTnormal"/>
        <w:spacing w:after="120" w:line="320" w:lineRule="atLeast"/>
        <w:rPr>
          <w:sz w:val="18"/>
          <w:szCs w:val="18"/>
        </w:rPr>
      </w:pPr>
      <w:r w:rsidRPr="00ED27DC">
        <w:rPr>
          <w:sz w:val="18"/>
          <w:szCs w:val="18"/>
        </w:rPr>
        <w:t>Para el cálculo de la beta apalancada se sigue la siguiente fórmula.</w:t>
      </w:r>
    </w:p>
    <w:p w14:paraId="2A4B9A05" w14:textId="77777777" w:rsidR="00C072F9" w:rsidRPr="00ED27DC" w:rsidRDefault="00C072F9" w:rsidP="00ED27DC">
      <w:pPr>
        <w:pStyle w:val="IFTnormal"/>
        <w:spacing w:line="320" w:lineRule="atLeast"/>
        <w:rPr>
          <w:sz w:val="18"/>
          <w:szCs w:val="18"/>
        </w:rPr>
      </w:pPr>
      <m:oMathPara>
        <m:oMath>
          <m:r>
            <w:rPr>
              <w:rFonts w:ascii="Cambria Math" w:hAnsi="Cambria Math"/>
              <w:sz w:val="18"/>
              <w:szCs w:val="18"/>
            </w:rPr>
            <m:t>β=</m:t>
          </m:r>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d</m:t>
              </m:r>
            </m:sub>
          </m:sSub>
          <m:r>
            <w:rPr>
              <w:rFonts w:ascii="Cambria Math" w:hAnsi="Cambria Math"/>
              <w:sz w:val="18"/>
              <w:szCs w:val="18"/>
            </w:rPr>
            <m:t>∙(1+</m:t>
          </m:r>
          <m:d>
            <m:dPr>
              <m:ctrlPr>
                <w:rPr>
                  <w:rFonts w:ascii="Cambria Math" w:hAnsi="Cambria Math"/>
                  <w:i/>
                  <w:sz w:val="18"/>
                  <w:szCs w:val="18"/>
                </w:rPr>
              </m:ctrlPr>
            </m:dPr>
            <m:e>
              <m:r>
                <w:rPr>
                  <w:rFonts w:ascii="Cambria Math" w:hAnsi="Cambria Math"/>
                  <w:sz w:val="18"/>
                  <w:szCs w:val="18"/>
                </w:rPr>
                <m:t>1-T</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D</m:t>
              </m:r>
            </m:num>
            <m:den>
              <m:r>
                <w:rPr>
                  <w:rFonts w:ascii="Cambria Math" w:hAnsi="Cambria Math"/>
                  <w:sz w:val="18"/>
                  <w:szCs w:val="18"/>
                </w:rPr>
                <m:t>E</m:t>
              </m:r>
            </m:den>
          </m:f>
          <m:r>
            <w:rPr>
              <w:rFonts w:ascii="Cambria Math" w:hAnsi="Cambria Math"/>
              <w:sz w:val="18"/>
              <w:szCs w:val="18"/>
            </w:rPr>
            <m:t>)</m:t>
          </m:r>
        </m:oMath>
      </m:oMathPara>
    </w:p>
    <w:p w14:paraId="31607E52" w14:textId="77777777" w:rsidR="00C072F9" w:rsidRPr="00ED27DC" w:rsidRDefault="00C072F9" w:rsidP="00ED27DC">
      <w:pPr>
        <w:pStyle w:val="IFTnormal"/>
        <w:spacing w:after="120" w:line="320" w:lineRule="atLeast"/>
        <w:rPr>
          <w:sz w:val="18"/>
          <w:szCs w:val="18"/>
        </w:rPr>
      </w:pPr>
      <w:r w:rsidRPr="00ED27DC">
        <w:rPr>
          <w:sz w:val="18"/>
          <w:szCs w:val="18"/>
        </w:rPr>
        <w:t>En donde:</w:t>
      </w:r>
    </w:p>
    <w:p w14:paraId="5DDAD4B9" w14:textId="77777777" w:rsidR="00C072F9" w:rsidRPr="00ED27DC" w:rsidRDefault="00D50FAD" w:rsidP="00ED27DC">
      <w:pPr>
        <w:pStyle w:val="IFTnormal"/>
        <w:spacing w:after="120" w:line="320" w:lineRule="atLeast"/>
        <w:rPr>
          <w:sz w:val="18"/>
          <w:szCs w:val="18"/>
        </w:rPr>
      </w:pPr>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d</m:t>
            </m:r>
          </m:sub>
        </m:sSub>
      </m:oMath>
      <w:r w:rsidR="00C072F9" w:rsidRPr="00ED27DC">
        <w:rPr>
          <w:bCs/>
          <w:sz w:val="18"/>
          <w:szCs w:val="18"/>
        </w:rPr>
        <w:t>:</w:t>
      </w:r>
      <w:r w:rsidR="00C072F9" w:rsidRPr="00ED27DC">
        <w:rPr>
          <w:sz w:val="18"/>
          <w:szCs w:val="18"/>
        </w:rPr>
        <w:t xml:space="preserve"> Beta </w:t>
      </w:r>
      <w:proofErr w:type="spellStart"/>
      <w:r w:rsidR="00C072F9" w:rsidRPr="00ED27DC">
        <w:rPr>
          <w:sz w:val="18"/>
          <w:szCs w:val="18"/>
        </w:rPr>
        <w:t>desapalancada</w:t>
      </w:r>
      <w:proofErr w:type="spellEnd"/>
      <w:r w:rsidR="00C072F9" w:rsidRPr="00ED27DC">
        <w:rPr>
          <w:sz w:val="18"/>
          <w:szCs w:val="18"/>
        </w:rPr>
        <w:t>.</w:t>
      </w:r>
    </w:p>
    <w:p w14:paraId="2F1F9B3E" w14:textId="77777777" w:rsidR="00C072F9" w:rsidRPr="00ED27DC" w:rsidRDefault="00C072F9" w:rsidP="00ED27DC">
      <w:pPr>
        <w:pStyle w:val="IFTnormal"/>
        <w:spacing w:after="120" w:line="320" w:lineRule="atLeast"/>
        <w:rPr>
          <w:sz w:val="18"/>
          <w:szCs w:val="18"/>
        </w:rPr>
      </w:pPr>
      <m:oMath>
        <m:r>
          <w:rPr>
            <w:rFonts w:ascii="Cambria Math" w:hAnsi="Cambria Math"/>
            <w:sz w:val="18"/>
            <w:szCs w:val="18"/>
          </w:rPr>
          <m:t>E</m:t>
        </m:r>
      </m:oMath>
      <w:r w:rsidRPr="00ED27DC">
        <w:rPr>
          <w:sz w:val="18"/>
          <w:szCs w:val="18"/>
        </w:rPr>
        <w:t>: Valor total del capital (equity) del operador.</w:t>
      </w:r>
    </w:p>
    <w:p w14:paraId="6A9371C9" w14:textId="77777777" w:rsidR="00C072F9" w:rsidRPr="00ED27DC" w:rsidRDefault="00C072F9" w:rsidP="00ED27DC">
      <w:pPr>
        <w:pStyle w:val="IFTnormal"/>
        <w:spacing w:after="120" w:line="320" w:lineRule="atLeast"/>
        <w:rPr>
          <w:sz w:val="18"/>
          <w:szCs w:val="18"/>
        </w:rPr>
      </w:pPr>
      <m:oMath>
        <m:r>
          <w:rPr>
            <w:rFonts w:ascii="Cambria Math" w:hAnsi="Cambria Math"/>
            <w:sz w:val="18"/>
            <w:szCs w:val="18"/>
          </w:rPr>
          <m:t>D</m:t>
        </m:r>
      </m:oMath>
      <w:r w:rsidRPr="00ED27DC">
        <w:rPr>
          <w:sz w:val="18"/>
          <w:szCs w:val="18"/>
        </w:rPr>
        <w:t>: Valor total de mercado de la deuda.</w:t>
      </w:r>
    </w:p>
    <w:p w14:paraId="35812B2C" w14:textId="77777777" w:rsidR="00C072F9" w:rsidRPr="00ED27DC" w:rsidRDefault="00C072F9" w:rsidP="00ED27DC">
      <w:pPr>
        <w:pStyle w:val="IFTnormal"/>
        <w:spacing w:after="120" w:line="320" w:lineRule="atLeast"/>
        <w:rPr>
          <w:sz w:val="18"/>
          <w:szCs w:val="18"/>
        </w:rPr>
      </w:pPr>
      <m:oMath>
        <m:r>
          <w:rPr>
            <w:rFonts w:ascii="Cambria Math" w:hAnsi="Cambria Math"/>
            <w:sz w:val="18"/>
            <w:szCs w:val="18"/>
          </w:rPr>
          <m:t>t:</m:t>
        </m:r>
      </m:oMath>
      <w:r w:rsidRPr="00ED27DC">
        <w:rPr>
          <w:sz w:val="18"/>
          <w:szCs w:val="18"/>
        </w:rPr>
        <w:t xml:space="preserve"> Tasa impositiva.</w:t>
      </w:r>
    </w:p>
    <w:p w14:paraId="37621A31" w14:textId="77777777" w:rsidR="00C072F9" w:rsidRPr="00ED27DC" w:rsidRDefault="00C072F9" w:rsidP="00ED27DC">
      <w:pPr>
        <w:pStyle w:val="IFTnormal"/>
        <w:spacing w:after="120" w:line="320" w:lineRule="atLeast"/>
        <w:rPr>
          <w:sz w:val="18"/>
          <w:szCs w:val="18"/>
        </w:rPr>
      </w:pPr>
      <w:r w:rsidRPr="00ED27DC">
        <w:rPr>
          <w:sz w:val="18"/>
          <w:szCs w:val="18"/>
        </w:rPr>
        <w:t>El CCPP real antes de impuestos empleado en el Modelo se calcularía a partir del WACC nominal antes de impuestos como sigue:</w:t>
      </w:r>
    </w:p>
    <w:p w14:paraId="49939028" w14:textId="77777777" w:rsidR="00C072F9" w:rsidRPr="00ED27DC" w:rsidRDefault="00D50FAD" w:rsidP="00ED27DC">
      <w:pPr>
        <w:pStyle w:val="IFTnormal"/>
        <w:spacing w:line="320" w:lineRule="atLeast"/>
        <w:rPr>
          <w:sz w:val="18"/>
          <w:szCs w:val="18"/>
        </w:rPr>
      </w:pPr>
      <m:oMathPara>
        <m:oMath>
          <m:sSub>
            <m:sSubPr>
              <m:ctrlPr>
                <w:rPr>
                  <w:rFonts w:ascii="Cambria Math" w:hAnsi="Cambria Math"/>
                  <w:i/>
                  <w:sz w:val="18"/>
                  <w:szCs w:val="18"/>
                </w:rPr>
              </m:ctrlPr>
            </m:sSubPr>
            <m:e>
              <m:r>
                <w:rPr>
                  <w:rFonts w:ascii="Cambria Math" w:hAnsi="Cambria Math"/>
                  <w:sz w:val="18"/>
                  <w:szCs w:val="18"/>
                </w:rPr>
                <m:t>CCPP</m:t>
              </m:r>
            </m:e>
            <m:sub>
              <m:r>
                <w:rPr>
                  <w:rFonts w:ascii="Cambria Math" w:hAnsi="Cambria Math"/>
                  <w:sz w:val="18"/>
                  <w:szCs w:val="18"/>
                </w:rPr>
                <m:t>real antes de impuestos</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 xml:space="preserve">1+ </m:t>
              </m:r>
              <m:sSub>
                <m:sSubPr>
                  <m:ctrlPr>
                    <w:rPr>
                      <w:rFonts w:ascii="Cambria Math" w:hAnsi="Cambria Math"/>
                      <w:i/>
                      <w:sz w:val="18"/>
                      <w:szCs w:val="18"/>
                    </w:rPr>
                  </m:ctrlPr>
                </m:sSubPr>
                <m:e>
                  <m:r>
                    <w:rPr>
                      <w:rFonts w:ascii="Cambria Math" w:hAnsi="Cambria Math"/>
                      <w:sz w:val="18"/>
                      <w:szCs w:val="18"/>
                    </w:rPr>
                    <m:t>CCPP</m:t>
                  </m:r>
                </m:e>
                <m:sub>
                  <m:r>
                    <w:rPr>
                      <w:rFonts w:ascii="Cambria Math" w:hAnsi="Cambria Math"/>
                      <w:sz w:val="18"/>
                      <w:szCs w:val="18"/>
                    </w:rPr>
                    <m:t>nominal antes de impuestos</m:t>
                  </m:r>
                </m:sub>
              </m:sSub>
            </m:num>
            <m:den>
              <m:r>
                <w:rPr>
                  <w:rFonts w:ascii="Cambria Math" w:hAnsi="Cambria Math"/>
                  <w:sz w:val="18"/>
                  <w:szCs w:val="18"/>
                </w:rPr>
                <m:t xml:space="preserve">1+i </m:t>
              </m:r>
            </m:den>
          </m:f>
          <m:r>
            <w:rPr>
              <w:rFonts w:ascii="Cambria Math" w:hAnsi="Cambria Math"/>
              <w:sz w:val="18"/>
              <w:szCs w:val="18"/>
            </w:rPr>
            <m:t>-1</m:t>
          </m:r>
        </m:oMath>
      </m:oMathPara>
    </w:p>
    <w:p w14:paraId="3D0E3DE0" w14:textId="77777777" w:rsidR="00C072F9" w:rsidRPr="00ED27DC" w:rsidRDefault="00C072F9" w:rsidP="00ED27DC">
      <w:pPr>
        <w:pStyle w:val="IFTnormal"/>
        <w:spacing w:line="320" w:lineRule="atLeast"/>
        <w:rPr>
          <w:sz w:val="18"/>
          <w:szCs w:val="18"/>
        </w:rPr>
      </w:pPr>
      <w:r w:rsidRPr="00ED27DC">
        <w:rPr>
          <w:sz w:val="18"/>
          <w:szCs w:val="18"/>
        </w:rPr>
        <w:t>Donde:</w:t>
      </w:r>
    </w:p>
    <w:p w14:paraId="66689111" w14:textId="77777777" w:rsidR="00C072F9" w:rsidRPr="00ED27DC" w:rsidRDefault="00D50FAD" w:rsidP="00ED27DC">
      <w:pPr>
        <w:pStyle w:val="IFTnormal"/>
        <w:spacing w:after="120" w:line="320" w:lineRule="atLeast"/>
        <w:rPr>
          <w:sz w:val="18"/>
          <w:szCs w:val="18"/>
        </w:rPr>
      </w:pPr>
      <m:oMath>
        <m:sSub>
          <m:sSubPr>
            <m:ctrlPr>
              <w:rPr>
                <w:rFonts w:ascii="Cambria Math" w:hAnsi="Cambria Math"/>
                <w:i/>
                <w:sz w:val="18"/>
                <w:szCs w:val="18"/>
              </w:rPr>
            </m:ctrlPr>
          </m:sSubPr>
          <m:e>
            <m:r>
              <w:rPr>
                <w:rFonts w:ascii="Cambria Math" w:hAnsi="Cambria Math"/>
                <w:sz w:val="18"/>
                <w:szCs w:val="18"/>
              </w:rPr>
              <m:t>CCPP</m:t>
            </m:r>
          </m:e>
          <m:sub>
            <m:r>
              <w:rPr>
                <w:rFonts w:ascii="Cambria Math" w:hAnsi="Cambria Math"/>
                <w:sz w:val="18"/>
                <w:szCs w:val="18"/>
              </w:rPr>
              <m:t>nominal antes de impuestos</m:t>
            </m:r>
          </m:sub>
        </m:sSub>
      </m:oMath>
      <w:r w:rsidR="00C072F9" w:rsidRPr="00ED27DC">
        <w:rPr>
          <w:bCs/>
          <w:sz w:val="18"/>
          <w:szCs w:val="18"/>
        </w:rPr>
        <w:t>:</w:t>
      </w:r>
      <w:r w:rsidR="00C072F9" w:rsidRPr="00ED27DC">
        <w:rPr>
          <w:sz w:val="18"/>
          <w:szCs w:val="18"/>
        </w:rPr>
        <w:t xml:space="preserve"> CCPP nominal antes de impuestos, según los cálculos presentados anteriormente.</w:t>
      </w:r>
    </w:p>
    <w:p w14:paraId="54921915" w14:textId="77777777" w:rsidR="00C072F9" w:rsidRPr="00ED27DC" w:rsidRDefault="00C072F9" w:rsidP="00ED27DC">
      <w:pPr>
        <w:pStyle w:val="IFTnormal"/>
        <w:spacing w:after="120" w:line="320" w:lineRule="atLeast"/>
        <w:rPr>
          <w:sz w:val="18"/>
          <w:szCs w:val="18"/>
        </w:rPr>
      </w:pPr>
      <w:r w:rsidRPr="00ED27DC">
        <w:rPr>
          <w:sz w:val="18"/>
          <w:szCs w:val="18"/>
        </w:rPr>
        <w:t>i: Tasa de inflación.</w:t>
      </w:r>
    </w:p>
    <w:p w14:paraId="3CD2F029" w14:textId="78AAFB2C" w:rsidR="00C072F9" w:rsidRPr="00ED27DC" w:rsidRDefault="00C072F9" w:rsidP="00ED27DC">
      <w:pPr>
        <w:pStyle w:val="IFTnormal"/>
        <w:spacing w:after="120" w:line="320" w:lineRule="atLeast"/>
        <w:rPr>
          <w:sz w:val="18"/>
          <w:szCs w:val="18"/>
        </w:rPr>
      </w:pPr>
      <w:r w:rsidRPr="00ED27DC">
        <w:rPr>
          <w:sz w:val="18"/>
          <w:szCs w:val="18"/>
        </w:rPr>
        <w:lastRenderedPageBreak/>
        <w:t xml:space="preserve">Los parámetros empleados en el cálculo del CCPP se presentan en la tabla siguiente. </w:t>
      </w:r>
    </w:p>
    <w:p w14:paraId="03541B1B" w14:textId="77777777" w:rsidR="00C072F9" w:rsidRPr="00ED27DC" w:rsidRDefault="00C072F9" w:rsidP="00ED27DC">
      <w:pPr>
        <w:pStyle w:val="IFTnormal"/>
        <w:spacing w:after="120" w:line="320" w:lineRule="atLeast"/>
        <w:rPr>
          <w:sz w:val="18"/>
          <w:szCs w:val="18"/>
        </w:rPr>
      </w:pPr>
    </w:p>
    <w:tbl>
      <w:tblPr>
        <w:tblW w:w="7910" w:type="dxa"/>
        <w:jc w:val="center"/>
        <w:tblLayout w:type="fixed"/>
        <w:tblLook w:val="04A0" w:firstRow="1" w:lastRow="0" w:firstColumn="1" w:lastColumn="0" w:noHBand="0" w:noVBand="1"/>
      </w:tblPr>
      <w:tblGrid>
        <w:gridCol w:w="4592"/>
        <w:gridCol w:w="1659"/>
        <w:gridCol w:w="1659"/>
      </w:tblGrid>
      <w:tr w:rsidR="00C072F9" w:rsidRPr="00ED27DC" w14:paraId="473227CD" w14:textId="77777777" w:rsidTr="00FD0A23">
        <w:trPr>
          <w:trHeight w:val="381"/>
          <w:jc w:val="center"/>
        </w:trPr>
        <w:tc>
          <w:tcPr>
            <w:tcW w:w="4592" w:type="dxa"/>
            <w:tcBorders>
              <w:top w:val="nil"/>
              <w:left w:val="single" w:sz="4" w:space="0" w:color="FFFFFF"/>
              <w:right w:val="single" w:sz="4" w:space="0" w:color="FFFFFF"/>
            </w:tcBorders>
            <w:shd w:val="clear" w:color="auto" w:fill="4F629B"/>
            <w:vAlign w:val="center"/>
            <w:hideMark/>
          </w:tcPr>
          <w:p w14:paraId="4CA095DA" w14:textId="77777777" w:rsidR="00C072F9" w:rsidRPr="00ED27DC" w:rsidRDefault="00C072F9" w:rsidP="00ED27DC">
            <w:pPr>
              <w:pStyle w:val="IFTnormal"/>
              <w:spacing w:after="120" w:line="320" w:lineRule="atLeast"/>
              <w:rPr>
                <w:b/>
                <w:color w:val="EEECE1" w:themeColor="background2"/>
                <w:sz w:val="18"/>
                <w:szCs w:val="18"/>
              </w:rPr>
            </w:pPr>
            <w:r w:rsidRPr="00ED27DC">
              <w:rPr>
                <w:b/>
                <w:color w:val="EEECE1" w:themeColor="background2"/>
                <w:sz w:val="18"/>
                <w:szCs w:val="18"/>
              </w:rPr>
              <w:t>Concepto</w:t>
            </w:r>
          </w:p>
        </w:tc>
        <w:tc>
          <w:tcPr>
            <w:tcW w:w="1659" w:type="dxa"/>
            <w:tcBorders>
              <w:top w:val="nil"/>
              <w:left w:val="nil"/>
              <w:right w:val="single" w:sz="4" w:space="0" w:color="FFFFFF"/>
            </w:tcBorders>
            <w:shd w:val="clear" w:color="auto" w:fill="4F629B"/>
            <w:vAlign w:val="center"/>
            <w:hideMark/>
          </w:tcPr>
          <w:p w14:paraId="47A1AB22" w14:textId="77777777" w:rsidR="00C072F9" w:rsidRPr="00ED27DC" w:rsidRDefault="00C072F9" w:rsidP="00ED27DC">
            <w:pPr>
              <w:pStyle w:val="IFTnormal"/>
              <w:spacing w:after="120" w:line="320" w:lineRule="atLeast"/>
              <w:rPr>
                <w:b/>
                <w:color w:val="EEECE1" w:themeColor="background2"/>
                <w:sz w:val="18"/>
                <w:szCs w:val="18"/>
              </w:rPr>
            </w:pPr>
            <w:r w:rsidRPr="00ED27DC">
              <w:rPr>
                <w:b/>
                <w:color w:val="EEECE1" w:themeColor="background2"/>
                <w:sz w:val="18"/>
                <w:szCs w:val="18"/>
              </w:rPr>
              <w:t>Valor</w:t>
            </w:r>
          </w:p>
        </w:tc>
        <w:tc>
          <w:tcPr>
            <w:tcW w:w="1659" w:type="dxa"/>
            <w:tcBorders>
              <w:top w:val="nil"/>
              <w:left w:val="nil"/>
              <w:right w:val="single" w:sz="4" w:space="0" w:color="FFFFFF"/>
            </w:tcBorders>
            <w:shd w:val="clear" w:color="auto" w:fill="4F629B"/>
            <w:vAlign w:val="center"/>
          </w:tcPr>
          <w:p w14:paraId="202F0727" w14:textId="77777777" w:rsidR="00C072F9" w:rsidRPr="00ED27DC" w:rsidRDefault="00C072F9" w:rsidP="00ED27DC">
            <w:pPr>
              <w:pStyle w:val="IFTnormal"/>
              <w:spacing w:after="120" w:line="320" w:lineRule="atLeast"/>
              <w:rPr>
                <w:b/>
                <w:color w:val="EEECE1" w:themeColor="background2"/>
                <w:sz w:val="18"/>
                <w:szCs w:val="18"/>
              </w:rPr>
            </w:pPr>
            <w:r w:rsidRPr="00ED27DC">
              <w:rPr>
                <w:b/>
                <w:color w:val="EEECE1" w:themeColor="background2"/>
                <w:sz w:val="18"/>
                <w:szCs w:val="18"/>
              </w:rPr>
              <w:t>Fuente de referencia</w:t>
            </w:r>
          </w:p>
        </w:tc>
      </w:tr>
      <w:tr w:rsidR="00C072F9" w:rsidRPr="00ED27DC" w14:paraId="7455D5FA" w14:textId="77777777" w:rsidTr="00FD0A23">
        <w:trPr>
          <w:trHeight w:val="217"/>
          <w:jc w:val="center"/>
        </w:trPr>
        <w:tc>
          <w:tcPr>
            <w:tcW w:w="4592" w:type="dxa"/>
            <w:tcBorders>
              <w:bottom w:val="single" w:sz="4" w:space="0" w:color="auto"/>
            </w:tcBorders>
            <w:shd w:val="clear" w:color="auto" w:fill="auto"/>
            <w:noWrap/>
            <w:vAlign w:val="center"/>
          </w:tcPr>
          <w:p w14:paraId="6A2DCBFF" w14:textId="77777777" w:rsidR="00C072F9" w:rsidRPr="00ED27DC" w:rsidRDefault="00C072F9" w:rsidP="00ED27DC">
            <w:pPr>
              <w:pStyle w:val="IFTnormal"/>
              <w:spacing w:after="120" w:line="320" w:lineRule="atLeast"/>
              <w:rPr>
                <w:sz w:val="18"/>
                <w:szCs w:val="18"/>
                <w:lang w:eastAsia="en-GB"/>
              </w:rPr>
            </w:pPr>
            <w:r w:rsidRPr="00ED27DC">
              <w:rPr>
                <w:rFonts w:cs="Calibri"/>
                <w:sz w:val="18"/>
                <w:szCs w:val="18"/>
              </w:rPr>
              <w:t>Valor total del capital (</w:t>
            </w:r>
            <w:proofErr w:type="spellStart"/>
            <w:r w:rsidRPr="00ED27DC">
              <w:rPr>
                <w:rFonts w:cs="Calibri"/>
                <w:sz w:val="18"/>
                <w:szCs w:val="18"/>
              </w:rPr>
              <w:t>equity</w:t>
            </w:r>
            <w:proofErr w:type="spellEnd"/>
            <w:r w:rsidRPr="00ED27DC">
              <w:rPr>
                <w:rFonts w:cs="Calibri"/>
                <w:sz w:val="18"/>
                <w:szCs w:val="18"/>
              </w:rPr>
              <w:t>) del operador</w:t>
            </w:r>
            <w:r w:rsidRPr="00ED27DC" w:rsidDel="00D30AFA">
              <w:rPr>
                <w:rFonts w:cs="Calibri"/>
                <w:sz w:val="18"/>
                <w:szCs w:val="18"/>
              </w:rPr>
              <w:t xml:space="preserve"> </w:t>
            </w:r>
            <w:r w:rsidRPr="00ED27DC">
              <w:rPr>
                <w:rFonts w:cs="Calibri"/>
                <w:sz w:val="18"/>
                <w:szCs w:val="18"/>
              </w:rPr>
              <w:t>(E)</w:t>
            </w:r>
          </w:p>
        </w:tc>
        <w:tc>
          <w:tcPr>
            <w:tcW w:w="1659" w:type="dxa"/>
            <w:tcBorders>
              <w:bottom w:val="single" w:sz="4" w:space="0" w:color="auto"/>
            </w:tcBorders>
            <w:shd w:val="clear" w:color="auto" w:fill="auto"/>
            <w:noWrap/>
            <w:vAlign w:val="center"/>
          </w:tcPr>
          <w:p w14:paraId="79F7DE62" w14:textId="77777777" w:rsidR="00C072F9" w:rsidRPr="00ED27DC" w:rsidRDefault="00C072F9" w:rsidP="00ED27DC">
            <w:pPr>
              <w:pStyle w:val="IFTnormal"/>
              <w:spacing w:after="120" w:line="320" w:lineRule="atLeast"/>
              <w:rPr>
                <w:sz w:val="18"/>
                <w:szCs w:val="18"/>
                <w:lang w:eastAsia="en-GB"/>
              </w:rPr>
            </w:pPr>
            <w:r w:rsidRPr="00ED27DC">
              <w:rPr>
                <w:sz w:val="18"/>
                <w:szCs w:val="18"/>
                <w:lang w:eastAsia="en-GB"/>
              </w:rPr>
              <w:t>261.202</w:t>
            </w:r>
          </w:p>
        </w:tc>
        <w:tc>
          <w:tcPr>
            <w:tcW w:w="1659" w:type="dxa"/>
            <w:tcBorders>
              <w:bottom w:val="single" w:sz="4" w:space="0" w:color="auto"/>
            </w:tcBorders>
            <w:vAlign w:val="center"/>
          </w:tcPr>
          <w:p w14:paraId="351B5342" w14:textId="77777777" w:rsidR="00C072F9" w:rsidRPr="00ED27DC" w:rsidRDefault="00C072F9" w:rsidP="00ED27DC">
            <w:pPr>
              <w:pStyle w:val="IFTnormal"/>
              <w:spacing w:after="120" w:line="320" w:lineRule="atLeast"/>
              <w:rPr>
                <w:sz w:val="18"/>
                <w:szCs w:val="18"/>
                <w:lang w:eastAsia="en-GB"/>
              </w:rPr>
            </w:pPr>
            <w:proofErr w:type="spellStart"/>
            <w:r w:rsidRPr="00ED27DC">
              <w:rPr>
                <w:sz w:val="18"/>
                <w:szCs w:val="18"/>
                <w:lang w:eastAsia="en-GB"/>
              </w:rPr>
              <w:t>Bloomberg</w:t>
            </w:r>
            <w:proofErr w:type="spellEnd"/>
          </w:p>
        </w:tc>
      </w:tr>
      <w:tr w:rsidR="00C072F9" w:rsidRPr="00ED27DC" w14:paraId="23BDA145" w14:textId="77777777" w:rsidTr="00FD0A23">
        <w:trPr>
          <w:trHeight w:val="228"/>
          <w:jc w:val="center"/>
        </w:trPr>
        <w:tc>
          <w:tcPr>
            <w:tcW w:w="4592" w:type="dxa"/>
            <w:tcBorders>
              <w:top w:val="single" w:sz="4" w:space="0" w:color="auto"/>
              <w:bottom w:val="single" w:sz="4" w:space="0" w:color="auto"/>
            </w:tcBorders>
            <w:shd w:val="clear" w:color="auto" w:fill="auto"/>
            <w:noWrap/>
            <w:vAlign w:val="center"/>
          </w:tcPr>
          <w:p w14:paraId="1BFED135" w14:textId="77777777" w:rsidR="00C072F9" w:rsidRPr="00ED27DC" w:rsidRDefault="00C072F9" w:rsidP="00ED27DC">
            <w:pPr>
              <w:pStyle w:val="IFTnormal"/>
              <w:spacing w:after="120" w:line="320" w:lineRule="atLeast"/>
              <w:rPr>
                <w:sz w:val="18"/>
                <w:szCs w:val="18"/>
                <w:lang w:eastAsia="en-GB"/>
              </w:rPr>
            </w:pPr>
            <w:r w:rsidRPr="00ED27DC">
              <w:rPr>
                <w:rFonts w:cs="Calibri"/>
                <w:sz w:val="18"/>
                <w:szCs w:val="18"/>
              </w:rPr>
              <w:t>Valor total de mercado de la deuda (D)</w:t>
            </w:r>
          </w:p>
        </w:tc>
        <w:tc>
          <w:tcPr>
            <w:tcW w:w="1659" w:type="dxa"/>
            <w:tcBorders>
              <w:top w:val="single" w:sz="4" w:space="0" w:color="auto"/>
              <w:bottom w:val="single" w:sz="4" w:space="0" w:color="auto"/>
            </w:tcBorders>
            <w:shd w:val="clear" w:color="auto" w:fill="auto"/>
            <w:noWrap/>
            <w:vAlign w:val="center"/>
          </w:tcPr>
          <w:p w14:paraId="19AC9B9F" w14:textId="77777777" w:rsidR="00C072F9" w:rsidRPr="00ED27DC" w:rsidRDefault="00C072F9" w:rsidP="00ED27DC">
            <w:pPr>
              <w:pStyle w:val="IFTnormal"/>
              <w:spacing w:after="120" w:line="320" w:lineRule="atLeast"/>
              <w:rPr>
                <w:sz w:val="18"/>
                <w:szCs w:val="18"/>
                <w:lang w:eastAsia="en-GB"/>
              </w:rPr>
            </w:pPr>
            <w:r w:rsidRPr="00ED27DC">
              <w:rPr>
                <w:sz w:val="18"/>
                <w:szCs w:val="18"/>
                <w:lang w:eastAsia="en-GB"/>
              </w:rPr>
              <w:t>127.622</w:t>
            </w:r>
          </w:p>
        </w:tc>
        <w:tc>
          <w:tcPr>
            <w:tcW w:w="1659" w:type="dxa"/>
            <w:tcBorders>
              <w:top w:val="single" w:sz="4" w:space="0" w:color="auto"/>
              <w:bottom w:val="single" w:sz="4" w:space="0" w:color="auto"/>
            </w:tcBorders>
            <w:vAlign w:val="center"/>
          </w:tcPr>
          <w:p w14:paraId="0DDAF38A" w14:textId="77777777" w:rsidR="00C072F9" w:rsidRPr="00ED27DC" w:rsidRDefault="00C072F9" w:rsidP="00ED27DC">
            <w:pPr>
              <w:pStyle w:val="IFTnormal"/>
              <w:spacing w:after="120" w:line="320" w:lineRule="atLeast"/>
              <w:rPr>
                <w:sz w:val="18"/>
                <w:szCs w:val="18"/>
                <w:lang w:eastAsia="en-GB"/>
              </w:rPr>
            </w:pPr>
            <w:proofErr w:type="spellStart"/>
            <w:r w:rsidRPr="00ED27DC">
              <w:rPr>
                <w:sz w:val="18"/>
                <w:szCs w:val="18"/>
                <w:lang w:eastAsia="en-GB"/>
              </w:rPr>
              <w:t>Bloomberg</w:t>
            </w:r>
            <w:proofErr w:type="spellEnd"/>
          </w:p>
        </w:tc>
      </w:tr>
      <w:tr w:rsidR="00C072F9" w:rsidRPr="00ED27DC" w14:paraId="14EF47E6" w14:textId="77777777" w:rsidTr="00FD0A23">
        <w:trPr>
          <w:trHeight w:val="228"/>
          <w:jc w:val="center"/>
        </w:trPr>
        <w:tc>
          <w:tcPr>
            <w:tcW w:w="4592" w:type="dxa"/>
            <w:tcBorders>
              <w:top w:val="single" w:sz="4" w:space="0" w:color="auto"/>
              <w:bottom w:val="single" w:sz="4" w:space="0" w:color="auto"/>
            </w:tcBorders>
            <w:shd w:val="clear" w:color="auto" w:fill="auto"/>
            <w:noWrap/>
            <w:vAlign w:val="center"/>
          </w:tcPr>
          <w:p w14:paraId="3CE08705" w14:textId="77777777" w:rsidR="00C072F9" w:rsidRPr="00ED27DC" w:rsidRDefault="00C072F9" w:rsidP="00ED27DC">
            <w:pPr>
              <w:pStyle w:val="IFTnormal"/>
              <w:spacing w:after="120" w:line="320" w:lineRule="atLeast"/>
              <w:rPr>
                <w:sz w:val="18"/>
                <w:szCs w:val="18"/>
                <w:lang w:eastAsia="en-GB"/>
              </w:rPr>
            </w:pPr>
            <w:r w:rsidRPr="00ED27DC">
              <w:rPr>
                <w:rFonts w:cs="Calibri"/>
                <w:sz w:val="18"/>
                <w:szCs w:val="18"/>
              </w:rPr>
              <w:t>Tasa impositiva (T)</w:t>
            </w:r>
          </w:p>
        </w:tc>
        <w:tc>
          <w:tcPr>
            <w:tcW w:w="1659" w:type="dxa"/>
            <w:tcBorders>
              <w:top w:val="single" w:sz="4" w:space="0" w:color="auto"/>
              <w:bottom w:val="single" w:sz="4" w:space="0" w:color="auto"/>
            </w:tcBorders>
            <w:shd w:val="clear" w:color="auto" w:fill="auto"/>
            <w:noWrap/>
            <w:vAlign w:val="center"/>
          </w:tcPr>
          <w:p w14:paraId="0CA89214" w14:textId="77777777" w:rsidR="00C072F9" w:rsidRPr="00ED27DC" w:rsidRDefault="00C072F9" w:rsidP="00ED27DC">
            <w:pPr>
              <w:pStyle w:val="IFTnormal"/>
              <w:spacing w:after="120" w:line="320" w:lineRule="atLeast"/>
              <w:rPr>
                <w:sz w:val="18"/>
                <w:szCs w:val="18"/>
                <w:lang w:eastAsia="en-GB"/>
              </w:rPr>
            </w:pPr>
            <w:r w:rsidRPr="00ED27DC">
              <w:rPr>
                <w:sz w:val="18"/>
                <w:szCs w:val="18"/>
                <w:lang w:eastAsia="en-GB"/>
              </w:rPr>
              <w:t>30%</w:t>
            </w:r>
          </w:p>
        </w:tc>
        <w:tc>
          <w:tcPr>
            <w:tcW w:w="1659" w:type="dxa"/>
            <w:tcBorders>
              <w:top w:val="single" w:sz="4" w:space="0" w:color="auto"/>
              <w:bottom w:val="single" w:sz="4" w:space="0" w:color="auto"/>
            </w:tcBorders>
            <w:vAlign w:val="center"/>
          </w:tcPr>
          <w:p w14:paraId="39F8B2C7" w14:textId="77777777" w:rsidR="00C072F9" w:rsidRPr="00ED27DC" w:rsidRDefault="00C072F9" w:rsidP="00ED27DC">
            <w:pPr>
              <w:pStyle w:val="IFTnormal"/>
              <w:spacing w:after="120" w:line="320" w:lineRule="atLeast"/>
              <w:rPr>
                <w:sz w:val="18"/>
                <w:szCs w:val="18"/>
                <w:lang w:eastAsia="en-GB"/>
              </w:rPr>
            </w:pPr>
            <w:r w:rsidRPr="00ED27DC">
              <w:rPr>
                <w:sz w:val="18"/>
                <w:szCs w:val="18"/>
                <w:lang w:eastAsia="en-GB"/>
              </w:rPr>
              <w:t>Tasa impositiva nominal</w:t>
            </w:r>
          </w:p>
        </w:tc>
      </w:tr>
      <w:tr w:rsidR="00C072F9" w:rsidRPr="00ED27DC" w14:paraId="1D417659" w14:textId="77777777" w:rsidTr="00FD0A23">
        <w:trPr>
          <w:trHeight w:val="228"/>
          <w:jc w:val="center"/>
        </w:trPr>
        <w:tc>
          <w:tcPr>
            <w:tcW w:w="4592" w:type="dxa"/>
            <w:tcBorders>
              <w:top w:val="single" w:sz="4" w:space="0" w:color="auto"/>
              <w:bottom w:val="single" w:sz="4" w:space="0" w:color="auto"/>
            </w:tcBorders>
            <w:shd w:val="clear" w:color="auto" w:fill="auto"/>
            <w:noWrap/>
            <w:vAlign w:val="center"/>
          </w:tcPr>
          <w:p w14:paraId="3AA60099" w14:textId="77777777" w:rsidR="00C072F9" w:rsidRPr="00ED27DC" w:rsidRDefault="00C072F9" w:rsidP="00ED27DC">
            <w:pPr>
              <w:pStyle w:val="IFTnormal"/>
              <w:spacing w:after="120" w:line="320" w:lineRule="atLeast"/>
              <w:rPr>
                <w:sz w:val="18"/>
                <w:szCs w:val="18"/>
                <w:lang w:eastAsia="en-GB"/>
              </w:rPr>
            </w:pPr>
            <w:r w:rsidRPr="00ED27DC">
              <w:rPr>
                <w:rFonts w:cs="Calibri"/>
                <w:sz w:val="18"/>
                <w:szCs w:val="18"/>
              </w:rPr>
              <w:t>Costo de la deuda (C</w:t>
            </w:r>
            <w:r w:rsidRPr="00ED27DC">
              <w:rPr>
                <w:rStyle w:val="font681"/>
                <w:rFonts w:ascii="ITC Avant Garde" w:hAnsi="ITC Avant Garde" w:cs="Calibri"/>
                <w:sz w:val="18"/>
                <w:szCs w:val="18"/>
                <w:lang w:val="es-MX"/>
              </w:rPr>
              <w:t>d</w:t>
            </w:r>
            <w:r w:rsidRPr="00ED27DC">
              <w:rPr>
                <w:rStyle w:val="font1771"/>
                <w:rFonts w:ascii="ITC Avant Garde" w:hAnsi="ITC Avant Garde" w:cs="Calibri"/>
                <w:sz w:val="18"/>
                <w:szCs w:val="18"/>
                <w:lang w:val="es-MX"/>
              </w:rPr>
              <w:t>)</w:t>
            </w:r>
          </w:p>
        </w:tc>
        <w:tc>
          <w:tcPr>
            <w:tcW w:w="1659" w:type="dxa"/>
            <w:tcBorders>
              <w:top w:val="single" w:sz="4" w:space="0" w:color="auto"/>
              <w:bottom w:val="single" w:sz="4" w:space="0" w:color="auto"/>
            </w:tcBorders>
            <w:shd w:val="clear" w:color="auto" w:fill="auto"/>
            <w:noWrap/>
            <w:vAlign w:val="center"/>
          </w:tcPr>
          <w:p w14:paraId="0D71B059" w14:textId="77777777" w:rsidR="00C072F9" w:rsidRPr="00ED27DC" w:rsidRDefault="00C072F9" w:rsidP="00ED27DC">
            <w:pPr>
              <w:pStyle w:val="IFTnormal"/>
              <w:spacing w:after="120" w:line="320" w:lineRule="atLeast"/>
              <w:rPr>
                <w:sz w:val="18"/>
                <w:szCs w:val="18"/>
                <w:lang w:eastAsia="en-GB"/>
              </w:rPr>
            </w:pPr>
            <w:r w:rsidRPr="00ED27DC">
              <w:rPr>
                <w:sz w:val="18"/>
                <w:szCs w:val="18"/>
                <w:lang w:eastAsia="en-GB"/>
              </w:rPr>
              <w:t>6,2%</w:t>
            </w:r>
          </w:p>
        </w:tc>
        <w:tc>
          <w:tcPr>
            <w:tcW w:w="1659" w:type="dxa"/>
            <w:tcBorders>
              <w:top w:val="single" w:sz="4" w:space="0" w:color="auto"/>
              <w:bottom w:val="single" w:sz="4" w:space="0" w:color="auto"/>
            </w:tcBorders>
            <w:vAlign w:val="center"/>
          </w:tcPr>
          <w:p w14:paraId="5D86F3BD" w14:textId="77777777" w:rsidR="00C072F9" w:rsidRPr="00ED27DC" w:rsidRDefault="00C072F9" w:rsidP="00ED27DC">
            <w:pPr>
              <w:pStyle w:val="IFTnormal"/>
              <w:spacing w:after="120" w:line="320" w:lineRule="atLeast"/>
              <w:rPr>
                <w:sz w:val="18"/>
                <w:szCs w:val="18"/>
                <w:lang w:eastAsia="en-GB"/>
              </w:rPr>
            </w:pPr>
            <w:proofErr w:type="spellStart"/>
            <w:r w:rsidRPr="00ED27DC">
              <w:rPr>
                <w:sz w:val="18"/>
                <w:szCs w:val="18"/>
                <w:lang w:eastAsia="en-GB"/>
              </w:rPr>
              <w:t>Bloomberg</w:t>
            </w:r>
            <w:proofErr w:type="spellEnd"/>
          </w:p>
        </w:tc>
      </w:tr>
      <w:tr w:rsidR="00C072F9" w:rsidRPr="00ED27DC" w14:paraId="041EF218" w14:textId="77777777" w:rsidTr="00FD0A23">
        <w:trPr>
          <w:trHeight w:val="228"/>
          <w:jc w:val="center"/>
        </w:trPr>
        <w:tc>
          <w:tcPr>
            <w:tcW w:w="4592" w:type="dxa"/>
            <w:tcBorders>
              <w:top w:val="single" w:sz="4" w:space="0" w:color="auto"/>
              <w:bottom w:val="single" w:sz="4" w:space="0" w:color="auto"/>
            </w:tcBorders>
            <w:shd w:val="clear" w:color="auto" w:fill="auto"/>
            <w:noWrap/>
            <w:vAlign w:val="center"/>
          </w:tcPr>
          <w:p w14:paraId="73660241" w14:textId="77777777" w:rsidR="00C072F9" w:rsidRPr="00ED27DC" w:rsidRDefault="00C072F9" w:rsidP="00ED27DC">
            <w:pPr>
              <w:pStyle w:val="IFTnormal"/>
              <w:spacing w:after="120" w:line="320" w:lineRule="atLeast"/>
              <w:rPr>
                <w:sz w:val="18"/>
                <w:szCs w:val="18"/>
                <w:lang w:eastAsia="en-GB"/>
              </w:rPr>
            </w:pPr>
            <w:r w:rsidRPr="00ED27DC">
              <w:rPr>
                <w:rFonts w:cs="Calibri"/>
                <w:sz w:val="18"/>
                <w:szCs w:val="18"/>
              </w:rPr>
              <w:t>Tasa libre de riesgo (</w:t>
            </w:r>
            <w:r w:rsidRPr="00ED27DC">
              <w:rPr>
                <w:rStyle w:val="font681"/>
                <w:rFonts w:ascii="ITC Avant Garde" w:hAnsi="ITC Avant Garde" w:cs="Calibri"/>
                <w:sz w:val="18"/>
                <w:szCs w:val="18"/>
                <w:lang w:val="es-MX"/>
              </w:rPr>
              <w:t>Rf</w:t>
            </w:r>
            <w:r w:rsidRPr="00ED27DC">
              <w:rPr>
                <w:rStyle w:val="font1771"/>
                <w:rFonts w:ascii="ITC Avant Garde" w:hAnsi="ITC Avant Garde" w:cs="Calibri"/>
                <w:sz w:val="18"/>
                <w:szCs w:val="18"/>
                <w:lang w:val="es-MX"/>
              </w:rPr>
              <w:t>)</w:t>
            </w:r>
          </w:p>
        </w:tc>
        <w:tc>
          <w:tcPr>
            <w:tcW w:w="1659" w:type="dxa"/>
            <w:tcBorders>
              <w:top w:val="single" w:sz="4" w:space="0" w:color="auto"/>
              <w:bottom w:val="single" w:sz="4" w:space="0" w:color="auto"/>
            </w:tcBorders>
            <w:shd w:val="clear" w:color="auto" w:fill="auto"/>
            <w:noWrap/>
            <w:vAlign w:val="center"/>
          </w:tcPr>
          <w:p w14:paraId="2B717438" w14:textId="77777777" w:rsidR="00C072F9" w:rsidRPr="00ED27DC" w:rsidRDefault="00C072F9" w:rsidP="00ED27DC">
            <w:pPr>
              <w:pStyle w:val="IFTnormal"/>
              <w:spacing w:after="120" w:line="320" w:lineRule="atLeast"/>
              <w:rPr>
                <w:sz w:val="18"/>
                <w:szCs w:val="18"/>
                <w:lang w:eastAsia="en-GB"/>
              </w:rPr>
            </w:pPr>
            <w:r w:rsidRPr="00ED27DC">
              <w:rPr>
                <w:sz w:val="18"/>
                <w:szCs w:val="18"/>
                <w:lang w:eastAsia="en-GB"/>
              </w:rPr>
              <w:t>7,2%</w:t>
            </w:r>
          </w:p>
        </w:tc>
        <w:tc>
          <w:tcPr>
            <w:tcW w:w="1659" w:type="dxa"/>
            <w:tcBorders>
              <w:top w:val="single" w:sz="4" w:space="0" w:color="auto"/>
              <w:bottom w:val="single" w:sz="4" w:space="0" w:color="auto"/>
            </w:tcBorders>
            <w:vAlign w:val="center"/>
          </w:tcPr>
          <w:p w14:paraId="3A8464E1" w14:textId="77777777" w:rsidR="00C072F9" w:rsidRPr="00ED27DC" w:rsidRDefault="00C072F9" w:rsidP="00ED27DC">
            <w:pPr>
              <w:pStyle w:val="IFTnormal"/>
              <w:spacing w:after="120" w:line="320" w:lineRule="atLeast"/>
              <w:rPr>
                <w:sz w:val="18"/>
                <w:szCs w:val="18"/>
                <w:lang w:eastAsia="en-GB"/>
              </w:rPr>
            </w:pPr>
            <w:proofErr w:type="spellStart"/>
            <w:r w:rsidRPr="00ED27DC">
              <w:rPr>
                <w:sz w:val="18"/>
                <w:szCs w:val="18"/>
                <w:lang w:eastAsia="en-GB"/>
              </w:rPr>
              <w:t>Bloomberg</w:t>
            </w:r>
            <w:proofErr w:type="spellEnd"/>
          </w:p>
        </w:tc>
      </w:tr>
      <w:tr w:rsidR="00C072F9" w:rsidRPr="00ED27DC" w14:paraId="1B58C73A" w14:textId="77777777" w:rsidTr="00FD0A23">
        <w:trPr>
          <w:trHeight w:val="228"/>
          <w:jc w:val="center"/>
        </w:trPr>
        <w:tc>
          <w:tcPr>
            <w:tcW w:w="4592" w:type="dxa"/>
            <w:tcBorders>
              <w:top w:val="single" w:sz="4" w:space="0" w:color="auto"/>
              <w:bottom w:val="single" w:sz="4" w:space="0" w:color="auto"/>
            </w:tcBorders>
            <w:shd w:val="clear" w:color="auto" w:fill="auto"/>
            <w:noWrap/>
            <w:vAlign w:val="center"/>
          </w:tcPr>
          <w:p w14:paraId="323A3AD7" w14:textId="77777777" w:rsidR="00C072F9" w:rsidRPr="00ED27DC" w:rsidRDefault="00C072F9" w:rsidP="00ED27DC">
            <w:pPr>
              <w:pStyle w:val="IFTnormal"/>
              <w:spacing w:after="120" w:line="320" w:lineRule="atLeast"/>
              <w:rPr>
                <w:sz w:val="18"/>
                <w:szCs w:val="18"/>
                <w:lang w:eastAsia="en-GB"/>
              </w:rPr>
            </w:pPr>
            <w:r w:rsidRPr="00ED27DC">
              <w:rPr>
                <w:rFonts w:cs="Calibri"/>
                <w:sz w:val="18"/>
                <w:szCs w:val="18"/>
              </w:rPr>
              <w:t xml:space="preserve">Beta </w:t>
            </w:r>
            <w:proofErr w:type="spellStart"/>
            <w:r w:rsidRPr="00ED27DC">
              <w:rPr>
                <w:rFonts w:cs="Calibri"/>
                <w:sz w:val="18"/>
                <w:szCs w:val="18"/>
              </w:rPr>
              <w:t>desapalancada</w:t>
            </w:r>
            <w:proofErr w:type="spellEnd"/>
            <w:r w:rsidRPr="00ED27DC">
              <w:rPr>
                <w:rFonts w:cs="Calibri"/>
                <w:sz w:val="18"/>
                <w:szCs w:val="18"/>
              </w:rPr>
              <w:t xml:space="preserve"> (</w:t>
            </w:r>
            <w:r w:rsidRPr="00ED27DC">
              <w:rPr>
                <w:rFonts w:ascii="Calibri" w:hAnsi="Calibri" w:cs="Calibri"/>
                <w:sz w:val="18"/>
                <w:szCs w:val="18"/>
              </w:rPr>
              <w:t>β</w:t>
            </w:r>
            <w:r w:rsidRPr="00ED27DC">
              <w:rPr>
                <w:rStyle w:val="font681"/>
                <w:rFonts w:ascii="ITC Avant Garde" w:hAnsi="ITC Avant Garde" w:cs="Calibri"/>
                <w:sz w:val="18"/>
                <w:szCs w:val="18"/>
                <w:lang w:val="es-MX"/>
              </w:rPr>
              <w:t>d</w:t>
            </w:r>
            <w:r w:rsidRPr="00ED27DC">
              <w:rPr>
                <w:rStyle w:val="font1771"/>
                <w:rFonts w:ascii="ITC Avant Garde" w:hAnsi="ITC Avant Garde" w:cs="Calibri"/>
                <w:sz w:val="18"/>
                <w:szCs w:val="18"/>
                <w:lang w:val="es-MX"/>
              </w:rPr>
              <w:t>)</w:t>
            </w:r>
          </w:p>
        </w:tc>
        <w:tc>
          <w:tcPr>
            <w:tcW w:w="1659" w:type="dxa"/>
            <w:tcBorders>
              <w:top w:val="single" w:sz="4" w:space="0" w:color="auto"/>
              <w:bottom w:val="single" w:sz="4" w:space="0" w:color="auto"/>
            </w:tcBorders>
            <w:shd w:val="clear" w:color="auto" w:fill="auto"/>
            <w:noWrap/>
            <w:vAlign w:val="center"/>
          </w:tcPr>
          <w:p w14:paraId="7EF025D0" w14:textId="77777777" w:rsidR="00C072F9" w:rsidRPr="00ED27DC" w:rsidRDefault="00C072F9" w:rsidP="00ED27DC">
            <w:pPr>
              <w:pStyle w:val="IFTnormal"/>
              <w:spacing w:after="120" w:line="320" w:lineRule="atLeast"/>
              <w:rPr>
                <w:sz w:val="18"/>
                <w:szCs w:val="18"/>
                <w:lang w:eastAsia="en-GB"/>
              </w:rPr>
            </w:pPr>
            <w:r w:rsidRPr="00ED27DC">
              <w:rPr>
                <w:sz w:val="18"/>
                <w:szCs w:val="18"/>
                <w:lang w:eastAsia="en-GB"/>
              </w:rPr>
              <w:t>0,86</w:t>
            </w:r>
          </w:p>
        </w:tc>
        <w:tc>
          <w:tcPr>
            <w:tcW w:w="1659" w:type="dxa"/>
            <w:tcBorders>
              <w:top w:val="single" w:sz="4" w:space="0" w:color="auto"/>
              <w:bottom w:val="single" w:sz="4" w:space="0" w:color="auto"/>
            </w:tcBorders>
            <w:vAlign w:val="center"/>
          </w:tcPr>
          <w:p w14:paraId="5DE7A95A" w14:textId="77777777" w:rsidR="00C072F9" w:rsidRPr="00ED27DC" w:rsidRDefault="00C072F9" w:rsidP="00ED27DC">
            <w:pPr>
              <w:pStyle w:val="IFTnormal"/>
              <w:spacing w:after="120" w:line="320" w:lineRule="atLeast"/>
              <w:rPr>
                <w:sz w:val="18"/>
                <w:szCs w:val="18"/>
                <w:lang w:eastAsia="en-GB"/>
              </w:rPr>
            </w:pPr>
            <w:proofErr w:type="spellStart"/>
            <w:r w:rsidRPr="00ED27DC">
              <w:rPr>
                <w:sz w:val="18"/>
                <w:szCs w:val="18"/>
                <w:lang w:eastAsia="en-GB"/>
              </w:rPr>
              <w:t>Bloomberg</w:t>
            </w:r>
            <w:proofErr w:type="spellEnd"/>
          </w:p>
        </w:tc>
      </w:tr>
      <w:tr w:rsidR="00C072F9" w:rsidRPr="00C22532" w14:paraId="3EDCC61C" w14:textId="77777777" w:rsidTr="00FD0A23">
        <w:trPr>
          <w:trHeight w:val="228"/>
          <w:jc w:val="center"/>
        </w:trPr>
        <w:tc>
          <w:tcPr>
            <w:tcW w:w="4592" w:type="dxa"/>
            <w:tcBorders>
              <w:top w:val="single" w:sz="4" w:space="0" w:color="auto"/>
              <w:bottom w:val="single" w:sz="4" w:space="0" w:color="auto"/>
            </w:tcBorders>
            <w:shd w:val="clear" w:color="auto" w:fill="auto"/>
            <w:noWrap/>
            <w:vAlign w:val="center"/>
          </w:tcPr>
          <w:p w14:paraId="37DFB444" w14:textId="77777777" w:rsidR="00C072F9" w:rsidRPr="00ED27DC" w:rsidRDefault="00C072F9" w:rsidP="00ED27DC">
            <w:pPr>
              <w:pStyle w:val="IFTnormal"/>
              <w:spacing w:after="120" w:line="320" w:lineRule="atLeast"/>
              <w:rPr>
                <w:sz w:val="18"/>
                <w:szCs w:val="18"/>
                <w:lang w:eastAsia="en-GB"/>
              </w:rPr>
            </w:pPr>
            <w:r w:rsidRPr="00ED27DC">
              <w:rPr>
                <w:rFonts w:cs="Calibri"/>
                <w:sz w:val="18"/>
                <w:szCs w:val="18"/>
              </w:rPr>
              <w:t>Prima de riesgo del mercado (R</w:t>
            </w:r>
            <w:r w:rsidRPr="00ED27DC">
              <w:rPr>
                <w:rStyle w:val="font681"/>
                <w:rFonts w:ascii="ITC Avant Garde" w:hAnsi="ITC Avant Garde" w:cs="Calibri"/>
                <w:sz w:val="18"/>
                <w:szCs w:val="18"/>
                <w:lang w:val="es-MX"/>
              </w:rPr>
              <w:t>e</w:t>
            </w:r>
            <w:r w:rsidRPr="00ED27DC">
              <w:rPr>
                <w:rStyle w:val="font1771"/>
                <w:rFonts w:ascii="ITC Avant Garde" w:hAnsi="ITC Avant Garde" w:cs="Calibri"/>
                <w:sz w:val="18"/>
                <w:szCs w:val="18"/>
                <w:lang w:val="es-MX"/>
              </w:rPr>
              <w:t>)</w:t>
            </w:r>
          </w:p>
        </w:tc>
        <w:tc>
          <w:tcPr>
            <w:tcW w:w="1659" w:type="dxa"/>
            <w:tcBorders>
              <w:top w:val="single" w:sz="4" w:space="0" w:color="auto"/>
              <w:bottom w:val="single" w:sz="4" w:space="0" w:color="auto"/>
            </w:tcBorders>
            <w:shd w:val="clear" w:color="auto" w:fill="auto"/>
            <w:noWrap/>
            <w:vAlign w:val="center"/>
          </w:tcPr>
          <w:p w14:paraId="1C137763" w14:textId="77777777" w:rsidR="00C072F9" w:rsidRPr="00ED27DC" w:rsidRDefault="00C072F9" w:rsidP="00984BBD">
            <w:pPr>
              <w:pStyle w:val="IFTnormal"/>
              <w:spacing w:after="0" w:line="240" w:lineRule="auto"/>
              <w:rPr>
                <w:sz w:val="18"/>
                <w:szCs w:val="18"/>
                <w:lang w:eastAsia="en-GB"/>
              </w:rPr>
            </w:pPr>
            <w:r w:rsidRPr="00ED27DC">
              <w:rPr>
                <w:sz w:val="18"/>
                <w:szCs w:val="18"/>
                <w:lang w:eastAsia="en-GB"/>
              </w:rPr>
              <w:t>7,4%</w:t>
            </w:r>
          </w:p>
        </w:tc>
        <w:tc>
          <w:tcPr>
            <w:tcW w:w="1659" w:type="dxa"/>
            <w:tcBorders>
              <w:top w:val="single" w:sz="4" w:space="0" w:color="auto"/>
              <w:bottom w:val="single" w:sz="4" w:space="0" w:color="auto"/>
            </w:tcBorders>
            <w:vAlign w:val="center"/>
          </w:tcPr>
          <w:p w14:paraId="31D7CCE9" w14:textId="5272CCA8" w:rsidR="00C072F9" w:rsidRPr="00ED27DC" w:rsidRDefault="00C60945" w:rsidP="00984BBD">
            <w:pPr>
              <w:pStyle w:val="IFTnormal"/>
              <w:spacing w:after="0" w:line="240" w:lineRule="auto"/>
              <w:rPr>
                <w:sz w:val="18"/>
                <w:szCs w:val="18"/>
                <w:lang w:eastAsia="en-GB"/>
              </w:rPr>
            </w:pPr>
            <w:r w:rsidRPr="00C60945">
              <w:rPr>
                <w:sz w:val="18"/>
                <w:szCs w:val="18"/>
                <w:lang w:eastAsia="en-GB"/>
              </w:rPr>
              <w:t xml:space="preserve">Comparativa de valores tomados de </w:t>
            </w:r>
            <w:proofErr w:type="spellStart"/>
            <w:r w:rsidRPr="00C60945">
              <w:rPr>
                <w:sz w:val="18"/>
                <w:szCs w:val="18"/>
                <w:lang w:eastAsia="en-GB"/>
              </w:rPr>
              <w:t>Aswath</w:t>
            </w:r>
            <w:proofErr w:type="spellEnd"/>
            <w:r w:rsidRPr="00C60945">
              <w:rPr>
                <w:sz w:val="18"/>
                <w:szCs w:val="18"/>
                <w:lang w:eastAsia="en-GB"/>
              </w:rPr>
              <w:t xml:space="preserve"> </w:t>
            </w:r>
            <w:proofErr w:type="spellStart"/>
            <w:r w:rsidRPr="00C60945">
              <w:rPr>
                <w:sz w:val="18"/>
                <w:szCs w:val="18"/>
                <w:lang w:eastAsia="en-GB"/>
              </w:rPr>
              <w:t>Damodaran</w:t>
            </w:r>
            <w:proofErr w:type="spellEnd"/>
          </w:p>
        </w:tc>
      </w:tr>
      <w:tr w:rsidR="00C072F9" w:rsidRPr="00ED27DC" w14:paraId="2151560C" w14:textId="77777777" w:rsidTr="00FD0A23">
        <w:trPr>
          <w:trHeight w:val="228"/>
          <w:jc w:val="center"/>
        </w:trPr>
        <w:tc>
          <w:tcPr>
            <w:tcW w:w="4592" w:type="dxa"/>
            <w:tcBorders>
              <w:top w:val="single" w:sz="4" w:space="0" w:color="auto"/>
              <w:bottom w:val="single" w:sz="4" w:space="0" w:color="auto"/>
            </w:tcBorders>
            <w:shd w:val="clear" w:color="auto" w:fill="auto"/>
            <w:noWrap/>
            <w:vAlign w:val="center"/>
          </w:tcPr>
          <w:p w14:paraId="36A8F43E" w14:textId="77777777" w:rsidR="00C072F9" w:rsidRPr="00ED27DC" w:rsidRDefault="00C072F9" w:rsidP="00ED27DC">
            <w:pPr>
              <w:pStyle w:val="IFTnormal"/>
              <w:spacing w:after="120" w:line="320" w:lineRule="atLeast"/>
              <w:rPr>
                <w:rFonts w:cs="Calibri"/>
                <w:sz w:val="18"/>
                <w:szCs w:val="18"/>
              </w:rPr>
            </w:pPr>
            <w:r w:rsidRPr="00ED27DC">
              <w:rPr>
                <w:rFonts w:cs="Calibri"/>
                <w:sz w:val="18"/>
                <w:szCs w:val="18"/>
              </w:rPr>
              <w:t>Tasa de inflación (i)</w:t>
            </w:r>
          </w:p>
        </w:tc>
        <w:tc>
          <w:tcPr>
            <w:tcW w:w="1659" w:type="dxa"/>
            <w:tcBorders>
              <w:top w:val="single" w:sz="4" w:space="0" w:color="auto"/>
              <w:bottom w:val="single" w:sz="4" w:space="0" w:color="auto"/>
            </w:tcBorders>
            <w:shd w:val="clear" w:color="auto" w:fill="auto"/>
            <w:noWrap/>
            <w:vAlign w:val="center"/>
          </w:tcPr>
          <w:p w14:paraId="0AAEC0B9" w14:textId="192224AC" w:rsidR="00C072F9" w:rsidRPr="00ED27DC" w:rsidRDefault="008F344F" w:rsidP="00984BBD">
            <w:pPr>
              <w:pStyle w:val="IFTnormal"/>
              <w:spacing w:after="0" w:line="240" w:lineRule="auto"/>
              <w:rPr>
                <w:sz w:val="18"/>
                <w:szCs w:val="18"/>
                <w:lang w:eastAsia="en-GB"/>
              </w:rPr>
            </w:pPr>
            <w:r>
              <w:rPr>
                <w:sz w:val="18"/>
                <w:szCs w:val="18"/>
                <w:lang w:eastAsia="en-GB"/>
              </w:rPr>
              <w:t>3.36</w:t>
            </w:r>
            <w:r w:rsidR="00C072F9" w:rsidRPr="00ED27DC">
              <w:rPr>
                <w:sz w:val="18"/>
                <w:szCs w:val="18"/>
                <w:lang w:eastAsia="en-GB"/>
              </w:rPr>
              <w:t>%</w:t>
            </w:r>
          </w:p>
        </w:tc>
        <w:tc>
          <w:tcPr>
            <w:tcW w:w="1659" w:type="dxa"/>
            <w:tcBorders>
              <w:top w:val="single" w:sz="4" w:space="0" w:color="auto"/>
              <w:bottom w:val="single" w:sz="4" w:space="0" w:color="auto"/>
            </w:tcBorders>
            <w:vAlign w:val="center"/>
          </w:tcPr>
          <w:p w14:paraId="6D2436A5" w14:textId="000AA6D4" w:rsidR="00C072F9" w:rsidRPr="00ED27DC" w:rsidRDefault="00947E16" w:rsidP="00984BBD">
            <w:pPr>
              <w:pStyle w:val="IFTnormal"/>
              <w:spacing w:after="0" w:line="240" w:lineRule="auto"/>
              <w:rPr>
                <w:sz w:val="18"/>
                <w:szCs w:val="18"/>
                <w:lang w:eastAsia="en-GB"/>
              </w:rPr>
            </w:pPr>
            <w:r>
              <w:rPr>
                <w:sz w:val="18"/>
                <w:szCs w:val="18"/>
                <w:lang w:eastAsia="en-GB"/>
              </w:rPr>
              <w:t>Condiciones técnicas mínimas para la interconexión</w:t>
            </w:r>
            <w:r w:rsidR="00CD563B">
              <w:rPr>
                <w:rStyle w:val="Refdenotaalpie"/>
                <w:szCs w:val="18"/>
                <w:lang w:eastAsia="en-GB"/>
              </w:rPr>
              <w:footnoteReference w:id="3"/>
            </w:r>
          </w:p>
        </w:tc>
      </w:tr>
      <w:tr w:rsidR="00C072F9" w:rsidRPr="00ED27DC" w14:paraId="6708E9D9" w14:textId="77777777" w:rsidTr="00FD0A23">
        <w:trPr>
          <w:trHeight w:val="228"/>
          <w:jc w:val="center"/>
        </w:trPr>
        <w:tc>
          <w:tcPr>
            <w:tcW w:w="4592" w:type="dxa"/>
            <w:tcBorders>
              <w:top w:val="single" w:sz="4" w:space="0" w:color="auto"/>
              <w:bottom w:val="single" w:sz="4" w:space="0" w:color="auto"/>
            </w:tcBorders>
            <w:shd w:val="clear" w:color="auto" w:fill="auto"/>
            <w:noWrap/>
            <w:vAlign w:val="center"/>
          </w:tcPr>
          <w:p w14:paraId="485ED8CF" w14:textId="77777777" w:rsidR="00C072F9" w:rsidRPr="00ED27DC" w:rsidRDefault="00C072F9" w:rsidP="00ED27DC">
            <w:pPr>
              <w:pStyle w:val="IFTnormal"/>
              <w:spacing w:after="120" w:line="320" w:lineRule="atLeast"/>
              <w:rPr>
                <w:sz w:val="18"/>
                <w:szCs w:val="18"/>
                <w:lang w:eastAsia="en-GB"/>
              </w:rPr>
            </w:pPr>
            <w:r w:rsidRPr="00ED27DC">
              <w:rPr>
                <w:b/>
                <w:sz w:val="18"/>
                <w:szCs w:val="18"/>
                <w:lang w:eastAsia="en-GB"/>
              </w:rPr>
              <w:t>CCPP real antes de impuestos</w:t>
            </w:r>
          </w:p>
        </w:tc>
        <w:tc>
          <w:tcPr>
            <w:tcW w:w="1659" w:type="dxa"/>
            <w:tcBorders>
              <w:top w:val="single" w:sz="4" w:space="0" w:color="auto"/>
              <w:bottom w:val="single" w:sz="4" w:space="0" w:color="auto"/>
            </w:tcBorders>
            <w:shd w:val="clear" w:color="auto" w:fill="auto"/>
            <w:noWrap/>
            <w:vAlign w:val="center"/>
          </w:tcPr>
          <w:p w14:paraId="79B05DDB" w14:textId="33AEB09D" w:rsidR="00C072F9" w:rsidRPr="00ED27DC" w:rsidRDefault="00C072F9" w:rsidP="00ED27DC">
            <w:pPr>
              <w:pStyle w:val="IFTnormal"/>
              <w:spacing w:after="120" w:line="320" w:lineRule="atLeast"/>
              <w:rPr>
                <w:b/>
                <w:sz w:val="18"/>
                <w:szCs w:val="18"/>
                <w:lang w:eastAsia="en-GB"/>
              </w:rPr>
            </w:pPr>
            <w:r w:rsidRPr="00ED27DC">
              <w:rPr>
                <w:b/>
                <w:sz w:val="18"/>
                <w:szCs w:val="18"/>
                <w:lang w:eastAsia="en-GB"/>
              </w:rPr>
              <w:t>1</w:t>
            </w:r>
            <w:r w:rsidR="008F344F">
              <w:rPr>
                <w:b/>
                <w:sz w:val="18"/>
                <w:szCs w:val="18"/>
                <w:lang w:eastAsia="en-GB"/>
              </w:rPr>
              <w:t>3.29</w:t>
            </w:r>
            <w:r w:rsidRPr="00ED27DC">
              <w:rPr>
                <w:b/>
                <w:sz w:val="18"/>
                <w:szCs w:val="18"/>
                <w:lang w:eastAsia="en-GB"/>
              </w:rPr>
              <w:t>%</w:t>
            </w:r>
          </w:p>
        </w:tc>
        <w:tc>
          <w:tcPr>
            <w:tcW w:w="1659" w:type="dxa"/>
            <w:tcBorders>
              <w:top w:val="single" w:sz="4" w:space="0" w:color="auto"/>
              <w:bottom w:val="single" w:sz="4" w:space="0" w:color="auto"/>
            </w:tcBorders>
            <w:vAlign w:val="center"/>
          </w:tcPr>
          <w:p w14:paraId="7E0D8088" w14:textId="77777777" w:rsidR="00C072F9" w:rsidRPr="00ED27DC" w:rsidRDefault="00C072F9" w:rsidP="00ED27DC">
            <w:pPr>
              <w:pStyle w:val="IFTnormal"/>
              <w:spacing w:after="120" w:line="320" w:lineRule="atLeast"/>
              <w:rPr>
                <w:b/>
                <w:sz w:val="18"/>
                <w:szCs w:val="18"/>
                <w:lang w:eastAsia="en-GB"/>
              </w:rPr>
            </w:pPr>
          </w:p>
        </w:tc>
      </w:tr>
    </w:tbl>
    <w:p w14:paraId="5C002131" w14:textId="77777777" w:rsidR="00041248" w:rsidRDefault="00041248" w:rsidP="00984BBD">
      <w:pPr>
        <w:pStyle w:val="IFTnormal"/>
        <w:spacing w:after="0" w:line="240" w:lineRule="auto"/>
        <w:rPr>
          <w:sz w:val="16"/>
          <w:szCs w:val="16"/>
        </w:rPr>
      </w:pPr>
    </w:p>
    <w:p w14:paraId="0C063C35" w14:textId="77777777" w:rsidR="00041248" w:rsidRDefault="00041248" w:rsidP="00984BBD">
      <w:pPr>
        <w:pStyle w:val="IFTnormal"/>
        <w:spacing w:after="0" w:line="240" w:lineRule="auto"/>
        <w:rPr>
          <w:sz w:val="16"/>
          <w:szCs w:val="16"/>
        </w:rPr>
      </w:pPr>
    </w:p>
    <w:p w14:paraId="664063D7" w14:textId="3B2EF3E0" w:rsidR="00C072F9" w:rsidRDefault="00C072F9" w:rsidP="00984BBD">
      <w:pPr>
        <w:pStyle w:val="IFTnormal"/>
        <w:spacing w:after="0" w:line="240" w:lineRule="auto"/>
        <w:rPr>
          <w:sz w:val="16"/>
          <w:szCs w:val="16"/>
        </w:rPr>
      </w:pPr>
      <w:r w:rsidRPr="00ED27DC">
        <w:rPr>
          <w:sz w:val="16"/>
          <w:szCs w:val="16"/>
        </w:rPr>
        <w:t>Tabla</w:t>
      </w:r>
      <w:r w:rsidR="00391715">
        <w:rPr>
          <w:sz w:val="16"/>
          <w:szCs w:val="16"/>
        </w:rPr>
        <w:t>1</w:t>
      </w:r>
      <w:r w:rsidRPr="00ED27DC">
        <w:rPr>
          <w:sz w:val="16"/>
          <w:szCs w:val="16"/>
        </w:rPr>
        <w:t xml:space="preserve">: Valores para el cálculo del CCPP [Fuente: </w:t>
      </w:r>
      <w:r w:rsidR="00391715" w:rsidRPr="00391715">
        <w:rPr>
          <w:sz w:val="16"/>
          <w:szCs w:val="16"/>
        </w:rPr>
        <w:t>“Resolución mediante la cual el Pleno del Instituto Federal de Telecomunicaciones modifica y autoriza al agente económico preponderante en el sector de radiodifusión los términos y condiciones de la oferta pública de infraestructura, aplicables del 1° de enero de 2018 al 31 de diciembre de 2019</w:t>
      </w:r>
      <w:r w:rsidR="00391715">
        <w:rPr>
          <w:sz w:val="16"/>
          <w:szCs w:val="16"/>
        </w:rPr>
        <w:t>”</w:t>
      </w:r>
      <w:r w:rsidRPr="00ED27DC">
        <w:rPr>
          <w:sz w:val="16"/>
          <w:szCs w:val="16"/>
        </w:rPr>
        <w:t>]</w:t>
      </w:r>
    </w:p>
    <w:p w14:paraId="4F431DD9" w14:textId="77777777" w:rsidR="00C60945" w:rsidRPr="00ED27DC" w:rsidRDefault="00C60945" w:rsidP="00984BBD">
      <w:pPr>
        <w:pStyle w:val="IFTnormal"/>
        <w:spacing w:after="0" w:line="240" w:lineRule="auto"/>
        <w:rPr>
          <w:sz w:val="16"/>
          <w:szCs w:val="16"/>
        </w:rPr>
      </w:pPr>
    </w:p>
    <w:p w14:paraId="5CDCF981" w14:textId="77777777" w:rsidR="007155E5" w:rsidRPr="00ED27DC" w:rsidRDefault="007155E5" w:rsidP="006B04CB">
      <w:pPr>
        <w:spacing w:after="120"/>
        <w:rPr>
          <w:rFonts w:ascii="ITC Avant Garde" w:hAnsi="ITC Avant Garde"/>
          <w:sz w:val="18"/>
          <w:szCs w:val="18"/>
          <w:lang w:val="es-ES_tradnl"/>
        </w:rPr>
      </w:pPr>
      <w:r w:rsidRPr="00ED27DC">
        <w:rPr>
          <w:rFonts w:ascii="ITC Avant Garde" w:hAnsi="ITC Avant Garde"/>
          <w:sz w:val="18"/>
          <w:szCs w:val="18"/>
          <w:lang w:val="es-ES_tradnl"/>
        </w:rPr>
        <w:t xml:space="preserve">Tal y como se manifiesta en el comentario, el modelo sigue una metodología de costos actuales, bajo </w:t>
      </w:r>
      <w:r w:rsidR="00C072F9" w:rsidRPr="00ED27DC">
        <w:rPr>
          <w:rFonts w:ascii="ITC Avant Garde" w:hAnsi="ITC Avant Garde"/>
          <w:sz w:val="18"/>
          <w:szCs w:val="18"/>
          <w:lang w:val="es-ES_tradnl"/>
        </w:rPr>
        <w:t>la</w:t>
      </w:r>
      <w:r w:rsidRPr="00ED27DC">
        <w:rPr>
          <w:rFonts w:ascii="ITC Avant Garde" w:hAnsi="ITC Avant Garde"/>
          <w:sz w:val="18"/>
          <w:szCs w:val="18"/>
          <w:lang w:val="es-ES_tradnl"/>
        </w:rPr>
        <w:t xml:space="preserve"> cual se asume que los equipos y la infraestructura se revalorizan asumiendo que estos se adquirieran e instalaran en la actualidad. De esta manera, emplear un costo de capital promedio ponderado basado en parámetros actuales es consistente con la metodología de costos actuales definida por el Instituto.</w:t>
      </w:r>
    </w:p>
    <w:p w14:paraId="245CA461" w14:textId="134EBA9C" w:rsidR="006B04CB" w:rsidRPr="00ED27DC" w:rsidRDefault="00454FC9" w:rsidP="006B04CB">
      <w:pPr>
        <w:spacing w:after="120"/>
        <w:rPr>
          <w:rFonts w:ascii="ITC Avant Garde" w:hAnsi="ITC Avant Garde"/>
          <w:i/>
          <w:sz w:val="18"/>
          <w:szCs w:val="18"/>
          <w:u w:val="single"/>
          <w:lang w:val="es-ES_tradnl"/>
        </w:rPr>
      </w:pPr>
      <w:r w:rsidRPr="00ED27DC">
        <w:rPr>
          <w:rFonts w:ascii="ITC Avant Garde" w:hAnsi="ITC Avant Garde"/>
          <w:i/>
          <w:sz w:val="18"/>
          <w:szCs w:val="18"/>
          <w:u w:val="single"/>
          <w:lang w:val="es-ES_tradnl"/>
        </w:rPr>
        <w:t>2</w:t>
      </w:r>
      <w:r w:rsidR="009E1308" w:rsidRPr="00ED27DC">
        <w:rPr>
          <w:rFonts w:ascii="ITC Avant Garde" w:hAnsi="ITC Avant Garde"/>
          <w:i/>
          <w:sz w:val="18"/>
          <w:szCs w:val="18"/>
          <w:u w:val="single"/>
          <w:lang w:val="es-ES_tradnl"/>
        </w:rPr>
        <w:t>.</w:t>
      </w:r>
      <w:r w:rsidR="00210CE8">
        <w:rPr>
          <w:rFonts w:ascii="ITC Avant Garde" w:hAnsi="ITC Avant Garde"/>
          <w:i/>
          <w:sz w:val="18"/>
          <w:szCs w:val="18"/>
          <w:u w:val="single"/>
          <w:lang w:val="es-ES_tradnl"/>
        </w:rPr>
        <w:t>5</w:t>
      </w:r>
      <w:r w:rsidRPr="00ED27DC">
        <w:rPr>
          <w:rFonts w:ascii="ITC Avant Garde" w:hAnsi="ITC Avant Garde"/>
          <w:i/>
          <w:sz w:val="18"/>
          <w:szCs w:val="18"/>
          <w:u w:val="single"/>
          <w:lang w:val="es-ES_tradnl"/>
        </w:rPr>
        <w:t xml:space="preserve"> </w:t>
      </w:r>
      <w:r w:rsidR="006B04CB" w:rsidRPr="00ED27DC">
        <w:rPr>
          <w:rFonts w:ascii="ITC Avant Garde" w:hAnsi="ITC Avant Garde"/>
          <w:i/>
          <w:sz w:val="18"/>
          <w:szCs w:val="18"/>
          <w:u w:val="single"/>
          <w:lang w:val="es-ES_tradnl"/>
        </w:rPr>
        <w:t>Comentario de la Consulta Pública</w:t>
      </w:r>
    </w:p>
    <w:p w14:paraId="111AE0E7" w14:textId="7E0627ED" w:rsidR="006B04CB" w:rsidRPr="00ED27DC" w:rsidRDefault="006B2B48" w:rsidP="006B04CB">
      <w:pPr>
        <w:spacing w:after="120"/>
        <w:rPr>
          <w:rFonts w:ascii="ITC Avant Garde" w:hAnsi="ITC Avant Garde"/>
          <w:sz w:val="18"/>
          <w:szCs w:val="18"/>
          <w:lang w:val="es-MX"/>
        </w:rPr>
      </w:pPr>
      <w:proofErr w:type="spellStart"/>
      <w:r w:rsidRPr="00ED27DC">
        <w:rPr>
          <w:rFonts w:ascii="ITC Avant Garde" w:hAnsi="ITC Avant Garde"/>
          <w:sz w:val="18"/>
          <w:szCs w:val="18"/>
          <w:lang w:val="es-MX"/>
        </w:rPr>
        <w:t>Televimex</w:t>
      </w:r>
      <w:proofErr w:type="spellEnd"/>
      <w:r w:rsidRPr="00ED27DC">
        <w:rPr>
          <w:rFonts w:ascii="ITC Avant Garde" w:hAnsi="ITC Avant Garde"/>
          <w:sz w:val="18"/>
          <w:szCs w:val="18"/>
          <w:lang w:val="es-MX"/>
        </w:rPr>
        <w:t xml:space="preserve"> refiere que e</w:t>
      </w:r>
      <w:r w:rsidR="00320568" w:rsidRPr="00ED27DC">
        <w:rPr>
          <w:rFonts w:ascii="ITC Avant Garde" w:hAnsi="ITC Avant Garde"/>
          <w:sz w:val="18"/>
          <w:szCs w:val="18"/>
          <w:lang w:val="es-MX"/>
        </w:rPr>
        <w:t>l uso del costo de capital del AEP en Radiodifusión en lugar del costo de capital del concesionario solicitante ("CS") también puede incidir en la determinación del costo correcto</w:t>
      </w:r>
      <w:r w:rsidRPr="00ED27DC">
        <w:rPr>
          <w:rFonts w:ascii="ITC Avant Garde" w:hAnsi="ITC Avant Garde"/>
          <w:sz w:val="18"/>
          <w:szCs w:val="18"/>
          <w:lang w:val="es-MX"/>
        </w:rPr>
        <w:t xml:space="preserve">, al considerar </w:t>
      </w:r>
      <w:proofErr w:type="gramStart"/>
      <w:r w:rsidRPr="00ED27DC">
        <w:rPr>
          <w:rFonts w:ascii="ITC Avant Garde" w:hAnsi="ITC Avant Garde"/>
          <w:sz w:val="18"/>
          <w:szCs w:val="18"/>
          <w:lang w:val="es-MX"/>
        </w:rPr>
        <w:t>que</w:t>
      </w:r>
      <w:proofErr w:type="gramEnd"/>
      <w:r w:rsidR="00320568" w:rsidRPr="00ED27DC">
        <w:rPr>
          <w:rFonts w:ascii="ITC Avant Garde" w:hAnsi="ITC Avant Garde"/>
          <w:sz w:val="18"/>
          <w:szCs w:val="18"/>
          <w:lang w:val="es-MX"/>
        </w:rPr>
        <w:t xml:space="preserve"> si el CS tuviere un costo de capital menor, podría haber una sobreestimación, o una subestimación si fuere mayor. </w:t>
      </w:r>
      <w:r w:rsidRPr="00ED27DC">
        <w:rPr>
          <w:rFonts w:ascii="ITC Avant Garde" w:hAnsi="ITC Avant Garde"/>
          <w:sz w:val="18"/>
          <w:szCs w:val="18"/>
          <w:lang w:val="es-MX"/>
        </w:rPr>
        <w:t>Resaltando la importancia de</w:t>
      </w:r>
      <w:r w:rsidR="00320568" w:rsidRPr="00ED27DC">
        <w:rPr>
          <w:rFonts w:ascii="ITC Avant Garde" w:hAnsi="ITC Avant Garde"/>
          <w:sz w:val="18"/>
          <w:szCs w:val="18"/>
          <w:lang w:val="es-MX"/>
        </w:rPr>
        <w:t xml:space="preserve"> que el CS enfrente los parámetros correctos para hacer una estimación apropiada sobre la conveniencia de </w:t>
      </w:r>
      <w:r w:rsidR="00320568" w:rsidRPr="00ED27DC">
        <w:rPr>
          <w:rFonts w:ascii="ITC Avant Garde" w:hAnsi="ITC Avant Garde"/>
          <w:sz w:val="18"/>
          <w:szCs w:val="18"/>
          <w:lang w:val="es-MX"/>
        </w:rPr>
        <w:lastRenderedPageBreak/>
        <w:t>arrendar o invertir en su propia infraestructura pasiva</w:t>
      </w:r>
      <w:r w:rsidR="007C0C28">
        <w:rPr>
          <w:rFonts w:ascii="ITC Avant Garde" w:hAnsi="ITC Avant Garde"/>
          <w:sz w:val="18"/>
          <w:szCs w:val="18"/>
          <w:lang w:val="es-MX"/>
        </w:rPr>
        <w:t xml:space="preserve"> y c</w:t>
      </w:r>
      <w:r w:rsidRPr="00ED27DC">
        <w:rPr>
          <w:rFonts w:ascii="ITC Avant Garde" w:hAnsi="ITC Avant Garde"/>
          <w:sz w:val="18"/>
          <w:szCs w:val="18"/>
          <w:lang w:val="es-MX"/>
        </w:rPr>
        <w:t>onsiderando que e</w:t>
      </w:r>
      <w:r w:rsidR="00320568" w:rsidRPr="00ED27DC">
        <w:rPr>
          <w:rFonts w:ascii="ITC Avant Garde" w:hAnsi="ITC Avant Garde"/>
          <w:sz w:val="18"/>
          <w:szCs w:val="18"/>
          <w:lang w:val="es-MX"/>
        </w:rPr>
        <w:t xml:space="preserve">sta evaluación sólo </w:t>
      </w:r>
      <w:r w:rsidR="00C9223E">
        <w:rPr>
          <w:rFonts w:ascii="ITC Avant Garde" w:hAnsi="ITC Avant Garde"/>
          <w:sz w:val="18"/>
          <w:szCs w:val="18"/>
          <w:lang w:val="es-MX"/>
        </w:rPr>
        <w:t xml:space="preserve">la </w:t>
      </w:r>
      <w:r w:rsidR="00320568" w:rsidRPr="00ED27DC">
        <w:rPr>
          <w:rFonts w:ascii="ITC Avant Garde" w:hAnsi="ITC Avant Garde"/>
          <w:sz w:val="18"/>
          <w:szCs w:val="18"/>
          <w:lang w:val="es-MX"/>
        </w:rPr>
        <w:t>puede</w:t>
      </w:r>
      <w:r w:rsidR="00C9223E">
        <w:rPr>
          <w:rFonts w:ascii="ITC Avant Garde" w:hAnsi="ITC Avant Garde"/>
          <w:sz w:val="18"/>
          <w:szCs w:val="18"/>
          <w:lang w:val="es-MX"/>
        </w:rPr>
        <w:t>n</w:t>
      </w:r>
      <w:r w:rsidR="00320568" w:rsidRPr="00ED27DC">
        <w:rPr>
          <w:rFonts w:ascii="ITC Avant Garde" w:hAnsi="ITC Avant Garde"/>
          <w:sz w:val="18"/>
          <w:szCs w:val="18"/>
          <w:lang w:val="es-MX"/>
        </w:rPr>
        <w:t xml:space="preserve"> hacer </w:t>
      </w:r>
      <w:r w:rsidR="00C9223E">
        <w:rPr>
          <w:rFonts w:ascii="ITC Avant Garde" w:hAnsi="ITC Avant Garde"/>
          <w:sz w:val="18"/>
          <w:szCs w:val="18"/>
          <w:lang w:val="es-MX"/>
        </w:rPr>
        <w:t xml:space="preserve">los CS </w:t>
      </w:r>
      <w:r w:rsidR="00320568" w:rsidRPr="00ED27DC">
        <w:rPr>
          <w:rFonts w:ascii="ITC Avant Garde" w:hAnsi="ITC Avant Garde"/>
          <w:sz w:val="18"/>
          <w:szCs w:val="18"/>
          <w:lang w:val="es-MX"/>
        </w:rPr>
        <w:t xml:space="preserve">utilizando </w:t>
      </w:r>
      <w:r w:rsidR="007C0C28">
        <w:rPr>
          <w:rFonts w:ascii="ITC Avant Garde" w:hAnsi="ITC Avant Garde"/>
          <w:sz w:val="18"/>
          <w:szCs w:val="18"/>
          <w:lang w:val="es-MX"/>
        </w:rPr>
        <w:t>su</w:t>
      </w:r>
      <w:r w:rsidR="00320568" w:rsidRPr="00ED27DC">
        <w:rPr>
          <w:rFonts w:ascii="ITC Avant Garde" w:hAnsi="ITC Avant Garde"/>
          <w:sz w:val="18"/>
          <w:szCs w:val="18"/>
          <w:lang w:val="es-MX"/>
        </w:rPr>
        <w:t xml:space="preserve"> costo de capital y no el del AEP en Radiodifusión.</w:t>
      </w:r>
    </w:p>
    <w:p w14:paraId="4F32B238" w14:textId="4D369B72" w:rsidR="006B04CB" w:rsidRPr="00ED27DC" w:rsidRDefault="00454FC9" w:rsidP="006B04CB">
      <w:pPr>
        <w:spacing w:after="120"/>
        <w:rPr>
          <w:rFonts w:ascii="ITC Avant Garde" w:hAnsi="ITC Avant Garde"/>
          <w:sz w:val="18"/>
          <w:u w:val="single"/>
          <w:lang w:val="es-ES_tradnl"/>
        </w:rPr>
      </w:pPr>
      <w:r w:rsidRPr="00ED27DC">
        <w:rPr>
          <w:rFonts w:ascii="ITC Avant Garde" w:hAnsi="ITC Avant Garde"/>
          <w:sz w:val="18"/>
          <w:u w:val="single"/>
          <w:lang w:val="es-ES_tradnl"/>
        </w:rPr>
        <w:t>2</w:t>
      </w:r>
      <w:r w:rsidR="009E1308" w:rsidRPr="00ED27DC">
        <w:rPr>
          <w:rFonts w:ascii="ITC Avant Garde" w:hAnsi="ITC Avant Garde"/>
          <w:sz w:val="18"/>
          <w:u w:val="single"/>
          <w:lang w:val="es-ES_tradnl"/>
        </w:rPr>
        <w:t>.</w:t>
      </w:r>
      <w:r w:rsidR="00210CE8">
        <w:rPr>
          <w:rFonts w:ascii="ITC Avant Garde" w:hAnsi="ITC Avant Garde"/>
          <w:sz w:val="18"/>
          <w:u w:val="single"/>
          <w:lang w:val="es-ES_tradnl"/>
        </w:rPr>
        <w:t>5</w:t>
      </w:r>
      <w:r w:rsidRPr="00ED27DC">
        <w:rPr>
          <w:rFonts w:ascii="ITC Avant Garde" w:hAnsi="ITC Avant Garde"/>
          <w:sz w:val="18"/>
          <w:u w:val="single"/>
          <w:lang w:val="es-ES_tradnl"/>
        </w:rPr>
        <w:t xml:space="preserve"> </w:t>
      </w:r>
      <w:r w:rsidR="006B04CB" w:rsidRPr="00ED27DC">
        <w:rPr>
          <w:rFonts w:ascii="ITC Avant Garde" w:hAnsi="ITC Avant Garde"/>
          <w:sz w:val="18"/>
          <w:u w:val="single"/>
          <w:lang w:val="es-ES_tradnl"/>
        </w:rPr>
        <w:t>Respuesta del Instituto</w:t>
      </w:r>
    </w:p>
    <w:p w14:paraId="66EBDFF0" w14:textId="77777777" w:rsidR="006B04CB" w:rsidRPr="00ED27DC" w:rsidRDefault="00320568" w:rsidP="0020228B">
      <w:pPr>
        <w:spacing w:after="120"/>
        <w:rPr>
          <w:rFonts w:ascii="ITC Avant Garde" w:hAnsi="ITC Avant Garde"/>
          <w:color w:val="000000" w:themeColor="text1"/>
          <w:sz w:val="18"/>
          <w:szCs w:val="18"/>
          <w:lang w:val="es-MX"/>
        </w:rPr>
      </w:pPr>
      <w:r w:rsidRPr="00ED27DC">
        <w:rPr>
          <w:rFonts w:ascii="ITC Avant Garde" w:hAnsi="ITC Avant Garde"/>
          <w:sz w:val="18"/>
          <w:szCs w:val="18"/>
          <w:lang w:val="es-ES_tradnl"/>
        </w:rPr>
        <w:t>El objetivo del modelo es determinar unas tarifas que permitan recuperar (con un margen equivalente al costo de capital promedio ponderado) los costos en los que incurre el AEP en la adquisición, instalación, operación y mantenimiento de la infraestructura compartida con otros concesionarios solicitantes. Por lo tanto, dicho margen debe representar el costo de capital promedio ponderado del propio AEP, y no del concesionario solicitante.</w:t>
      </w:r>
    </w:p>
    <w:p w14:paraId="01FAF2FA" w14:textId="42F63111" w:rsidR="006B04CB" w:rsidRPr="00ED27DC" w:rsidRDefault="00454FC9" w:rsidP="006B04CB">
      <w:pPr>
        <w:spacing w:after="120"/>
        <w:rPr>
          <w:rFonts w:ascii="ITC Avant Garde" w:hAnsi="ITC Avant Garde"/>
          <w:i/>
          <w:sz w:val="18"/>
          <w:szCs w:val="18"/>
          <w:u w:val="single"/>
          <w:lang w:val="es-ES_tradnl"/>
        </w:rPr>
      </w:pPr>
      <w:r w:rsidRPr="00ED27DC">
        <w:rPr>
          <w:rFonts w:ascii="ITC Avant Garde" w:hAnsi="ITC Avant Garde"/>
          <w:i/>
          <w:sz w:val="18"/>
          <w:szCs w:val="18"/>
          <w:u w:val="single"/>
          <w:lang w:val="es-ES_tradnl"/>
        </w:rPr>
        <w:t>2</w:t>
      </w:r>
      <w:r w:rsidR="009E1308" w:rsidRPr="00ED27DC">
        <w:rPr>
          <w:rFonts w:ascii="ITC Avant Garde" w:hAnsi="ITC Avant Garde"/>
          <w:i/>
          <w:sz w:val="18"/>
          <w:szCs w:val="18"/>
          <w:u w:val="single"/>
          <w:lang w:val="es-ES_tradnl"/>
        </w:rPr>
        <w:t>.</w:t>
      </w:r>
      <w:r w:rsidR="00210CE8">
        <w:rPr>
          <w:rFonts w:ascii="ITC Avant Garde" w:hAnsi="ITC Avant Garde"/>
          <w:i/>
          <w:sz w:val="18"/>
          <w:szCs w:val="18"/>
          <w:u w:val="single"/>
          <w:lang w:val="es-ES_tradnl"/>
        </w:rPr>
        <w:t>6</w:t>
      </w:r>
      <w:r w:rsidR="009E1308" w:rsidRPr="00ED27DC">
        <w:rPr>
          <w:rFonts w:ascii="ITC Avant Garde" w:hAnsi="ITC Avant Garde"/>
          <w:i/>
          <w:sz w:val="18"/>
          <w:szCs w:val="18"/>
          <w:u w:val="single"/>
          <w:lang w:val="es-ES_tradnl"/>
        </w:rPr>
        <w:t xml:space="preserve"> </w:t>
      </w:r>
      <w:r w:rsidR="006B04CB" w:rsidRPr="00ED27DC">
        <w:rPr>
          <w:rFonts w:ascii="ITC Avant Garde" w:hAnsi="ITC Avant Garde"/>
          <w:i/>
          <w:sz w:val="18"/>
          <w:szCs w:val="18"/>
          <w:u w:val="single"/>
          <w:lang w:val="es-ES_tradnl"/>
        </w:rPr>
        <w:t>Comentario de la Consulta Pública</w:t>
      </w:r>
    </w:p>
    <w:p w14:paraId="13480CCE" w14:textId="1505082F" w:rsidR="006B04CB" w:rsidRPr="00ED27DC" w:rsidRDefault="003613E2" w:rsidP="00320568">
      <w:pPr>
        <w:tabs>
          <w:tab w:val="left" w:pos="1215"/>
        </w:tabs>
        <w:spacing w:after="120"/>
        <w:rPr>
          <w:rFonts w:ascii="ITC Avant Garde" w:hAnsi="ITC Avant Garde"/>
          <w:sz w:val="18"/>
          <w:szCs w:val="18"/>
          <w:lang w:val="es-MX"/>
        </w:rPr>
      </w:pPr>
      <w:r w:rsidRPr="00ED27DC">
        <w:rPr>
          <w:rFonts w:ascii="ITC Avant Garde" w:hAnsi="ITC Avant Garde"/>
          <w:sz w:val="18"/>
          <w:szCs w:val="18"/>
          <w:lang w:val="es-MX"/>
        </w:rPr>
        <w:t xml:space="preserve">Manifiesta </w:t>
      </w:r>
      <w:proofErr w:type="spellStart"/>
      <w:r w:rsidRPr="00ED27DC">
        <w:rPr>
          <w:rFonts w:ascii="ITC Avant Garde" w:hAnsi="ITC Avant Garde"/>
          <w:sz w:val="18"/>
          <w:szCs w:val="18"/>
          <w:lang w:val="es-MX"/>
        </w:rPr>
        <w:t>Televimex</w:t>
      </w:r>
      <w:proofErr w:type="spellEnd"/>
      <w:r w:rsidRPr="00ED27DC">
        <w:rPr>
          <w:rFonts w:ascii="ITC Avant Garde" w:hAnsi="ITC Avant Garde"/>
          <w:sz w:val="18"/>
          <w:szCs w:val="18"/>
          <w:lang w:val="es-MX"/>
        </w:rPr>
        <w:t xml:space="preserve"> que e</w:t>
      </w:r>
      <w:r w:rsidR="00320568" w:rsidRPr="00ED27DC">
        <w:rPr>
          <w:rFonts w:ascii="ITC Avant Garde" w:hAnsi="ITC Avant Garde"/>
          <w:sz w:val="18"/>
          <w:szCs w:val="18"/>
          <w:lang w:val="es-MX"/>
        </w:rPr>
        <w:t xml:space="preserve">l uso de depreciación acelerada bajo la modalidad de "anualidad inclinada" puede ser adecuado desde el punto de vista </w:t>
      </w:r>
      <w:r w:rsidR="00984BBD" w:rsidRPr="00ED27DC">
        <w:rPr>
          <w:rFonts w:ascii="ITC Avant Garde" w:hAnsi="ITC Avant Garde"/>
          <w:sz w:val="18"/>
          <w:szCs w:val="18"/>
          <w:lang w:val="es-MX"/>
        </w:rPr>
        <w:t>económico,</w:t>
      </w:r>
      <w:r w:rsidRPr="00ED27DC">
        <w:rPr>
          <w:rFonts w:ascii="ITC Avant Garde" w:hAnsi="ITC Avant Garde"/>
          <w:sz w:val="18"/>
          <w:szCs w:val="18"/>
          <w:lang w:val="es-MX"/>
        </w:rPr>
        <w:t xml:space="preserve"> </w:t>
      </w:r>
      <w:r w:rsidR="00320568" w:rsidRPr="00ED27DC">
        <w:rPr>
          <w:rFonts w:ascii="ITC Avant Garde" w:hAnsi="ITC Avant Garde"/>
          <w:sz w:val="18"/>
          <w:szCs w:val="18"/>
          <w:lang w:val="es-MX"/>
        </w:rPr>
        <w:t>pero no permitiría reconocer el régimen de depreciación para efectos fiscales que, en México, contempla tasas diferenciadas por región para promover la inversión fuera de las grandes aglomeraciones urbanas.</w:t>
      </w:r>
    </w:p>
    <w:p w14:paraId="4E200637" w14:textId="79C52C0B" w:rsidR="00403288" w:rsidRPr="00ED27DC" w:rsidRDefault="00454FC9" w:rsidP="006B04CB">
      <w:pPr>
        <w:spacing w:after="120"/>
        <w:rPr>
          <w:rFonts w:ascii="ITC Avant Garde" w:hAnsi="ITC Avant Garde"/>
          <w:sz w:val="18"/>
          <w:u w:val="single"/>
          <w:lang w:val="es-ES_tradnl"/>
        </w:rPr>
      </w:pPr>
      <w:r w:rsidRPr="00ED27DC">
        <w:rPr>
          <w:rFonts w:ascii="ITC Avant Garde" w:hAnsi="ITC Avant Garde"/>
          <w:sz w:val="18"/>
          <w:u w:val="single"/>
          <w:lang w:val="es-ES_tradnl"/>
        </w:rPr>
        <w:t>2</w:t>
      </w:r>
      <w:r w:rsidR="009E1308" w:rsidRPr="00ED27DC">
        <w:rPr>
          <w:rFonts w:ascii="ITC Avant Garde" w:hAnsi="ITC Avant Garde"/>
          <w:sz w:val="18"/>
          <w:u w:val="single"/>
          <w:lang w:val="es-ES_tradnl"/>
        </w:rPr>
        <w:t>.</w:t>
      </w:r>
      <w:r w:rsidR="00210CE8">
        <w:rPr>
          <w:rFonts w:ascii="ITC Avant Garde" w:hAnsi="ITC Avant Garde"/>
          <w:sz w:val="18"/>
          <w:u w:val="single"/>
          <w:lang w:val="es-ES_tradnl"/>
        </w:rPr>
        <w:t>6</w:t>
      </w:r>
      <w:r w:rsidRPr="00ED27DC">
        <w:rPr>
          <w:rFonts w:ascii="ITC Avant Garde" w:hAnsi="ITC Avant Garde"/>
          <w:sz w:val="18"/>
          <w:u w:val="single"/>
          <w:lang w:val="es-ES_tradnl"/>
        </w:rPr>
        <w:t xml:space="preserve"> </w:t>
      </w:r>
      <w:r w:rsidR="006B04CB" w:rsidRPr="00ED27DC">
        <w:rPr>
          <w:rFonts w:ascii="ITC Avant Garde" w:hAnsi="ITC Avant Garde"/>
          <w:sz w:val="18"/>
          <w:u w:val="single"/>
          <w:lang w:val="es-ES_tradnl"/>
        </w:rPr>
        <w:t>Respuesta del Instituto</w:t>
      </w:r>
    </w:p>
    <w:p w14:paraId="3D9B527C" w14:textId="1CBB1743" w:rsidR="00403288" w:rsidRPr="00ED27DC" w:rsidRDefault="00403288" w:rsidP="00403288">
      <w:pPr>
        <w:pStyle w:val="IFTnormal"/>
        <w:spacing w:after="120" w:line="320" w:lineRule="atLeast"/>
        <w:rPr>
          <w:sz w:val="18"/>
          <w:szCs w:val="18"/>
        </w:rPr>
      </w:pPr>
      <w:r w:rsidRPr="00ED27DC">
        <w:rPr>
          <w:sz w:val="18"/>
          <w:szCs w:val="18"/>
        </w:rPr>
        <w:t>El Instituto señala que el modelo considera la anualidad inclinada para la depreciación de los costos asociados al capital en el Modelo. Este método permite consider</w:t>
      </w:r>
      <w:r w:rsidR="00762549">
        <w:rPr>
          <w:sz w:val="18"/>
          <w:szCs w:val="18"/>
        </w:rPr>
        <w:t>ar</w:t>
      </w:r>
      <w:r w:rsidRPr="00ED27DC">
        <w:rPr>
          <w:sz w:val="18"/>
          <w:szCs w:val="18"/>
        </w:rPr>
        <w:t xml:space="preserve"> la evolución de los precios de los equipos a la vez que evita potenciales distorsiones originadas por la incertidumbre asociada a las proyecciones de demanda.</w:t>
      </w:r>
    </w:p>
    <w:p w14:paraId="0AB8251C" w14:textId="77777777" w:rsidR="00320568" w:rsidRPr="00ED27DC" w:rsidRDefault="00320568" w:rsidP="00403288">
      <w:pPr>
        <w:spacing w:after="120"/>
        <w:rPr>
          <w:rFonts w:ascii="ITC Avant Garde" w:hAnsi="ITC Avant Garde"/>
          <w:sz w:val="18"/>
          <w:szCs w:val="18"/>
          <w:lang w:val="es-ES_tradnl"/>
        </w:rPr>
      </w:pPr>
      <w:r w:rsidRPr="00ED27DC">
        <w:rPr>
          <w:rFonts w:ascii="ITC Avant Garde" w:hAnsi="ITC Avant Garde"/>
          <w:sz w:val="18"/>
          <w:szCs w:val="18"/>
          <w:lang w:val="es-ES_tradnl"/>
        </w:rPr>
        <w:t>En primer lugar, la utilización de la anualidad inclinada para la depreciación de los costos asociados al capital no se traduce necesariamente en el uso de una depreciación acelerada. Tal circunstancia dependerá de la evolución de los precios de los activos sobre los que se calcula la anualidad inclinada.</w:t>
      </w:r>
    </w:p>
    <w:p w14:paraId="55745047" w14:textId="507817B1" w:rsidR="006B04CB" w:rsidRPr="00ED27DC" w:rsidRDefault="00320568" w:rsidP="00320568">
      <w:pPr>
        <w:spacing w:after="120"/>
        <w:rPr>
          <w:rFonts w:ascii="ITC Avant Garde" w:hAnsi="ITC Avant Garde"/>
          <w:color w:val="000000" w:themeColor="text1"/>
          <w:sz w:val="18"/>
          <w:szCs w:val="18"/>
          <w:lang w:val="es-MX"/>
        </w:rPr>
      </w:pPr>
      <w:r w:rsidRPr="00ED27DC">
        <w:rPr>
          <w:rFonts w:ascii="ITC Avant Garde" w:hAnsi="ITC Avant Garde"/>
          <w:sz w:val="18"/>
          <w:szCs w:val="18"/>
          <w:lang w:val="es-ES_tradnl"/>
        </w:rPr>
        <w:t>En segundo lugar, el objetivo del modelo es determinar unas tarifas que permitan al AEP la recuperación económica de sus inversiones, incluyendo una tasa de rentabilidad sobre el capital (equivalente al costo de capital promedio ponderado)</w:t>
      </w:r>
      <w:r w:rsidR="00762549">
        <w:rPr>
          <w:rFonts w:ascii="ITC Avant Garde" w:hAnsi="ITC Avant Garde"/>
          <w:sz w:val="18"/>
          <w:szCs w:val="18"/>
          <w:lang w:val="es-ES_tradnl"/>
        </w:rPr>
        <w:t>, por lo que e</w:t>
      </w:r>
      <w:r w:rsidRPr="00ED27DC">
        <w:rPr>
          <w:rFonts w:ascii="ITC Avant Garde" w:hAnsi="ITC Avant Garde"/>
          <w:sz w:val="18"/>
          <w:szCs w:val="18"/>
          <w:lang w:val="es-ES_tradnl"/>
        </w:rPr>
        <w:t>l método de depreciación de costos propuesto en el modelo es consistente con dicho objetivo.</w:t>
      </w:r>
    </w:p>
    <w:p w14:paraId="6A389AF8" w14:textId="2A31BD8A" w:rsidR="006B04CB" w:rsidRPr="00ED27DC" w:rsidRDefault="00454FC9" w:rsidP="006B04CB">
      <w:pPr>
        <w:spacing w:after="120"/>
        <w:rPr>
          <w:rFonts w:ascii="ITC Avant Garde" w:hAnsi="ITC Avant Garde"/>
          <w:i/>
          <w:sz w:val="18"/>
          <w:szCs w:val="18"/>
          <w:u w:val="single"/>
          <w:lang w:val="es-ES_tradnl"/>
        </w:rPr>
      </w:pPr>
      <w:r w:rsidRPr="00ED27DC">
        <w:rPr>
          <w:rFonts w:ascii="ITC Avant Garde" w:hAnsi="ITC Avant Garde"/>
          <w:i/>
          <w:sz w:val="18"/>
          <w:szCs w:val="18"/>
          <w:u w:val="single"/>
          <w:lang w:val="es-ES_tradnl"/>
        </w:rPr>
        <w:t>2</w:t>
      </w:r>
      <w:r w:rsidR="009E1308" w:rsidRPr="00ED27DC">
        <w:rPr>
          <w:rFonts w:ascii="ITC Avant Garde" w:hAnsi="ITC Avant Garde"/>
          <w:i/>
          <w:sz w:val="18"/>
          <w:szCs w:val="18"/>
          <w:u w:val="single"/>
          <w:lang w:val="es-ES_tradnl"/>
        </w:rPr>
        <w:t>.</w:t>
      </w:r>
      <w:r w:rsidR="00210CE8">
        <w:rPr>
          <w:rFonts w:ascii="ITC Avant Garde" w:hAnsi="ITC Avant Garde"/>
          <w:i/>
          <w:sz w:val="18"/>
          <w:szCs w:val="18"/>
          <w:u w:val="single"/>
          <w:lang w:val="es-ES_tradnl"/>
        </w:rPr>
        <w:t>7</w:t>
      </w:r>
      <w:r w:rsidRPr="00ED27DC">
        <w:rPr>
          <w:rFonts w:ascii="ITC Avant Garde" w:hAnsi="ITC Avant Garde"/>
          <w:i/>
          <w:sz w:val="18"/>
          <w:szCs w:val="18"/>
          <w:u w:val="single"/>
          <w:lang w:val="es-ES_tradnl"/>
        </w:rPr>
        <w:t xml:space="preserve"> </w:t>
      </w:r>
      <w:r w:rsidR="006B04CB" w:rsidRPr="00ED27DC">
        <w:rPr>
          <w:rFonts w:ascii="ITC Avant Garde" w:hAnsi="ITC Avant Garde"/>
          <w:i/>
          <w:sz w:val="18"/>
          <w:szCs w:val="18"/>
          <w:u w:val="single"/>
          <w:lang w:val="es-ES_tradnl"/>
        </w:rPr>
        <w:t>Comentario de la Consulta Pública</w:t>
      </w:r>
    </w:p>
    <w:p w14:paraId="189DFA82" w14:textId="4AB34CA4" w:rsidR="00320568" w:rsidRPr="00ED27DC" w:rsidRDefault="003613E2" w:rsidP="00320568">
      <w:pPr>
        <w:spacing w:after="120"/>
        <w:rPr>
          <w:rFonts w:ascii="ITC Avant Garde" w:hAnsi="ITC Avant Garde"/>
          <w:sz w:val="18"/>
          <w:szCs w:val="18"/>
          <w:lang w:val="es-ES_tradnl"/>
        </w:rPr>
      </w:pPr>
      <w:r w:rsidRPr="00ED27DC">
        <w:rPr>
          <w:rFonts w:ascii="ITC Avant Garde" w:hAnsi="ITC Avant Garde"/>
          <w:sz w:val="18"/>
          <w:szCs w:val="18"/>
          <w:lang w:val="es-ES_tradnl"/>
        </w:rPr>
        <w:t xml:space="preserve">Considera </w:t>
      </w:r>
      <w:proofErr w:type="spellStart"/>
      <w:r w:rsidRPr="00ED27DC">
        <w:rPr>
          <w:rFonts w:ascii="ITC Avant Garde" w:hAnsi="ITC Avant Garde"/>
          <w:sz w:val="18"/>
          <w:szCs w:val="18"/>
          <w:lang w:val="es-ES_tradnl"/>
        </w:rPr>
        <w:t>Televimex</w:t>
      </w:r>
      <w:proofErr w:type="spellEnd"/>
      <w:r w:rsidRPr="00ED27DC">
        <w:rPr>
          <w:rFonts w:ascii="ITC Avant Garde" w:hAnsi="ITC Avant Garde"/>
          <w:sz w:val="18"/>
          <w:szCs w:val="18"/>
          <w:lang w:val="es-ES_tradnl"/>
        </w:rPr>
        <w:t xml:space="preserve"> apropiado e</w:t>
      </w:r>
      <w:r w:rsidR="00320568" w:rsidRPr="00ED27DC">
        <w:rPr>
          <w:rFonts w:ascii="ITC Avant Garde" w:hAnsi="ITC Avant Garde"/>
          <w:sz w:val="18"/>
          <w:szCs w:val="18"/>
          <w:lang w:val="es-ES_tradnl"/>
        </w:rPr>
        <w:t>l horizonte temporal que propone el modelo</w:t>
      </w:r>
      <w:r w:rsidRPr="00ED27DC">
        <w:rPr>
          <w:rFonts w:ascii="ITC Avant Garde" w:hAnsi="ITC Avant Garde"/>
          <w:sz w:val="18"/>
          <w:szCs w:val="18"/>
          <w:lang w:val="es-ES_tradnl"/>
        </w:rPr>
        <w:t xml:space="preserve"> de </w:t>
      </w:r>
      <w:r w:rsidR="00320568" w:rsidRPr="00ED27DC">
        <w:rPr>
          <w:rFonts w:ascii="ITC Avant Garde" w:hAnsi="ITC Avant Garde"/>
          <w:sz w:val="18"/>
          <w:szCs w:val="18"/>
          <w:lang w:val="es-ES_tradnl"/>
        </w:rPr>
        <w:t>cinco años a partir de 2017, pero</w:t>
      </w:r>
      <w:r w:rsidR="00762549">
        <w:rPr>
          <w:rFonts w:ascii="ITC Avant Garde" w:hAnsi="ITC Avant Garde"/>
          <w:sz w:val="18"/>
          <w:szCs w:val="18"/>
          <w:lang w:val="es-ES_tradnl"/>
        </w:rPr>
        <w:t xml:space="preserve"> señala</w:t>
      </w:r>
      <w:r w:rsidR="00320568" w:rsidRPr="00ED27DC">
        <w:rPr>
          <w:rFonts w:ascii="ITC Avant Garde" w:hAnsi="ITC Avant Garde"/>
          <w:sz w:val="18"/>
          <w:szCs w:val="18"/>
          <w:lang w:val="es-ES_tradnl"/>
        </w:rPr>
        <w:t xml:space="preserve"> </w:t>
      </w:r>
      <w:r w:rsidRPr="00ED27DC">
        <w:rPr>
          <w:rFonts w:ascii="ITC Avant Garde" w:hAnsi="ITC Avant Garde"/>
          <w:sz w:val="18"/>
          <w:szCs w:val="18"/>
          <w:lang w:val="es-ES_tradnl"/>
        </w:rPr>
        <w:t xml:space="preserve">que </w:t>
      </w:r>
      <w:r w:rsidR="00320568" w:rsidRPr="00ED27DC">
        <w:rPr>
          <w:rFonts w:ascii="ITC Avant Garde" w:hAnsi="ITC Avant Garde"/>
          <w:sz w:val="18"/>
          <w:szCs w:val="18"/>
          <w:lang w:val="es-ES_tradnl"/>
        </w:rPr>
        <w:t>puede resultar en las siguientes dos consideraciones: una, la revisión quinquenal puede ser incongruente con el uso del CAPM que implica una evaluación ex ante del proyecto para toda su vida útil y no para cada cinco años.</w:t>
      </w:r>
      <w:r w:rsidR="00A10AEC" w:rsidRPr="00ED27DC">
        <w:rPr>
          <w:rFonts w:ascii="ITC Avant Garde" w:hAnsi="ITC Avant Garde"/>
          <w:sz w:val="18"/>
          <w:szCs w:val="18"/>
          <w:lang w:val="es-ES_tradnl"/>
        </w:rPr>
        <w:t xml:space="preserve"> </w:t>
      </w:r>
      <w:r w:rsidR="00320568" w:rsidRPr="00ED27DC">
        <w:rPr>
          <w:rFonts w:ascii="ITC Avant Garde" w:hAnsi="ITC Avant Garde"/>
          <w:sz w:val="18"/>
          <w:szCs w:val="18"/>
          <w:lang w:val="es-ES_tradnl"/>
        </w:rPr>
        <w:t xml:space="preserve">Por otro lado, el cambio tecnológico puede resultar en modificaciones en el valor asignado a la infraestructura pasiva que no se verían reflejados por el Modelo de Costos, el cual no toma en cuenta las consecuentes variaciones en demanda. </w:t>
      </w:r>
      <w:r w:rsidRPr="00ED27DC">
        <w:rPr>
          <w:rFonts w:ascii="ITC Avant Garde" w:hAnsi="ITC Avant Garde"/>
          <w:sz w:val="18"/>
          <w:szCs w:val="18"/>
          <w:lang w:val="es-ES_tradnl"/>
        </w:rPr>
        <w:t>Por lo que señala que</w:t>
      </w:r>
      <w:r w:rsidR="00320568" w:rsidRPr="00ED27DC">
        <w:rPr>
          <w:rFonts w:ascii="ITC Avant Garde" w:hAnsi="ITC Avant Garde"/>
          <w:sz w:val="18"/>
          <w:szCs w:val="18"/>
          <w:lang w:val="es-ES_tradnl"/>
        </w:rPr>
        <w:t xml:space="preserve"> cinco años puede ser un periodo suficientemente largo.</w:t>
      </w:r>
    </w:p>
    <w:p w14:paraId="7F9FFB9B" w14:textId="5B9009CA" w:rsidR="006B04CB" w:rsidRPr="00ED27DC" w:rsidRDefault="00454FC9" w:rsidP="00320568">
      <w:pPr>
        <w:spacing w:after="120"/>
        <w:rPr>
          <w:rFonts w:ascii="ITC Avant Garde" w:hAnsi="ITC Avant Garde"/>
          <w:sz w:val="18"/>
          <w:u w:val="single"/>
          <w:lang w:val="es-ES_tradnl"/>
        </w:rPr>
      </w:pPr>
      <w:r w:rsidRPr="00ED27DC">
        <w:rPr>
          <w:rFonts w:ascii="ITC Avant Garde" w:hAnsi="ITC Avant Garde"/>
          <w:sz w:val="18"/>
          <w:u w:val="single"/>
          <w:lang w:val="es-ES_tradnl"/>
        </w:rPr>
        <w:t>2</w:t>
      </w:r>
      <w:r w:rsidR="00A10AEC" w:rsidRPr="00ED27DC">
        <w:rPr>
          <w:rFonts w:ascii="ITC Avant Garde" w:hAnsi="ITC Avant Garde"/>
          <w:sz w:val="18"/>
          <w:u w:val="single"/>
          <w:lang w:val="es-ES_tradnl"/>
        </w:rPr>
        <w:t>.</w:t>
      </w:r>
      <w:r w:rsidR="00210CE8">
        <w:rPr>
          <w:rFonts w:ascii="ITC Avant Garde" w:hAnsi="ITC Avant Garde"/>
          <w:sz w:val="18"/>
          <w:u w:val="single"/>
          <w:lang w:val="es-ES_tradnl"/>
        </w:rPr>
        <w:t>7</w:t>
      </w:r>
      <w:r w:rsidR="00A10AEC" w:rsidRPr="00ED27DC">
        <w:rPr>
          <w:rFonts w:ascii="ITC Avant Garde" w:hAnsi="ITC Avant Garde"/>
          <w:sz w:val="18"/>
          <w:u w:val="single"/>
          <w:lang w:val="es-ES_tradnl"/>
        </w:rPr>
        <w:t xml:space="preserve"> </w:t>
      </w:r>
      <w:r w:rsidR="006B04CB" w:rsidRPr="00ED27DC">
        <w:rPr>
          <w:rFonts w:ascii="ITC Avant Garde" w:hAnsi="ITC Avant Garde"/>
          <w:sz w:val="18"/>
          <w:u w:val="single"/>
          <w:lang w:val="es-ES_tradnl"/>
        </w:rPr>
        <w:t>Respuesta del Instituto</w:t>
      </w:r>
    </w:p>
    <w:p w14:paraId="6A91DDC9" w14:textId="7F0793B3" w:rsidR="000E1C51" w:rsidRPr="00ED27DC" w:rsidRDefault="00351414" w:rsidP="00403288">
      <w:pPr>
        <w:pStyle w:val="IFTnormal"/>
        <w:spacing w:after="120" w:line="320" w:lineRule="atLeast"/>
        <w:rPr>
          <w:sz w:val="18"/>
          <w:szCs w:val="18"/>
        </w:rPr>
      </w:pPr>
      <w:r w:rsidRPr="00ED27DC">
        <w:rPr>
          <w:sz w:val="18"/>
          <w:szCs w:val="18"/>
        </w:rPr>
        <w:t>Considera el Instituto que u</w:t>
      </w:r>
      <w:r w:rsidR="00403288" w:rsidRPr="00ED27DC">
        <w:rPr>
          <w:sz w:val="18"/>
          <w:szCs w:val="18"/>
        </w:rPr>
        <w:t xml:space="preserve">n periodo de tiempo que inicie a partir de 2017 permitirá reunir la información adecuada que refleje fidedignamente el estado actual de la infraestructura y demanda del operador modelado. </w:t>
      </w:r>
      <w:r w:rsidRPr="00ED27DC">
        <w:rPr>
          <w:sz w:val="18"/>
          <w:szCs w:val="18"/>
        </w:rPr>
        <w:t>A ese respecto, el horizonte</w:t>
      </w:r>
      <w:r w:rsidR="000E1C51" w:rsidRPr="00ED27DC">
        <w:rPr>
          <w:sz w:val="18"/>
          <w:szCs w:val="18"/>
        </w:rPr>
        <w:t xml:space="preserve"> temporal no afecta al cálculo de la depreciación y, por tanto, a los resultados del modelo. Cada activo se evalúa de manera individual </w:t>
      </w:r>
      <w:r w:rsidR="000E1C51" w:rsidRPr="00ED27DC">
        <w:rPr>
          <w:sz w:val="18"/>
          <w:szCs w:val="18"/>
        </w:rPr>
        <w:lastRenderedPageBreak/>
        <w:t>según su vida útil, de acuerdo con los valores reportados por el AEP en el marco de la elaboración del modelo, de acuerdo a lo recogido en la hoja ‘2B INP VIDAS UTILES’ del modelo de costos.</w:t>
      </w:r>
    </w:p>
    <w:p w14:paraId="78F65111" w14:textId="42D5C1AB" w:rsidR="000E1C51" w:rsidRPr="00ED27DC" w:rsidRDefault="00D452AD" w:rsidP="00403288">
      <w:pPr>
        <w:pStyle w:val="IFTnormal"/>
        <w:spacing w:after="120" w:line="320" w:lineRule="atLeast"/>
        <w:rPr>
          <w:sz w:val="18"/>
          <w:szCs w:val="18"/>
        </w:rPr>
      </w:pPr>
      <w:r>
        <w:rPr>
          <w:sz w:val="18"/>
          <w:szCs w:val="18"/>
        </w:rPr>
        <w:t>Adicionalmente</w:t>
      </w:r>
      <w:r w:rsidR="000E1C51" w:rsidRPr="00ED27DC">
        <w:rPr>
          <w:sz w:val="18"/>
          <w:szCs w:val="18"/>
        </w:rPr>
        <w:t xml:space="preserve"> el modelo podría ser ajustado acordemente para reflejar eventuales cambios tecnológicos.</w:t>
      </w:r>
    </w:p>
    <w:p w14:paraId="7EC7A67C" w14:textId="77777777" w:rsidR="00BF5A19" w:rsidRPr="00ED27DC" w:rsidRDefault="0020228B" w:rsidP="006B04CB">
      <w:pPr>
        <w:keepNext/>
        <w:keepLines/>
        <w:numPr>
          <w:ilvl w:val="1"/>
          <w:numId w:val="8"/>
        </w:numPr>
        <w:spacing w:before="360"/>
        <w:outlineLvl w:val="1"/>
        <w:rPr>
          <w:rFonts w:ascii="ITC Avant Garde" w:hAnsi="ITC Avant Garde"/>
          <w:b/>
          <w:sz w:val="18"/>
          <w:szCs w:val="18"/>
          <w:lang w:val="es-ES_tradnl"/>
        </w:rPr>
      </w:pPr>
      <w:r w:rsidRPr="00ED27DC">
        <w:rPr>
          <w:rFonts w:ascii="ITC Avant Garde" w:hAnsi="ITC Avant Garde"/>
          <w:b/>
          <w:sz w:val="18"/>
          <w:szCs w:val="18"/>
          <w:lang w:val="es-ES_tradnl"/>
        </w:rPr>
        <w:t>Comentarios específicos al modelo de costos y su documento metodológico</w:t>
      </w:r>
    </w:p>
    <w:p w14:paraId="4C4ADDEE" w14:textId="77777777" w:rsidR="006B04CB" w:rsidRPr="00ED27DC" w:rsidRDefault="00DF609A" w:rsidP="006B04CB">
      <w:pPr>
        <w:spacing w:after="120"/>
        <w:rPr>
          <w:rFonts w:ascii="ITC Avant Garde" w:hAnsi="ITC Avant Garde"/>
          <w:i/>
          <w:sz w:val="18"/>
          <w:szCs w:val="18"/>
          <w:u w:val="single"/>
          <w:lang w:val="es-ES_tradnl"/>
        </w:rPr>
      </w:pPr>
      <w:r w:rsidRPr="00ED27DC">
        <w:rPr>
          <w:rFonts w:ascii="ITC Avant Garde" w:hAnsi="ITC Avant Garde"/>
          <w:i/>
          <w:sz w:val="18"/>
          <w:szCs w:val="18"/>
          <w:u w:val="single"/>
          <w:lang w:val="es-ES_tradnl"/>
        </w:rPr>
        <w:t xml:space="preserve">3.1 </w:t>
      </w:r>
      <w:r w:rsidR="006B04CB" w:rsidRPr="00ED27DC">
        <w:rPr>
          <w:rFonts w:ascii="ITC Avant Garde" w:hAnsi="ITC Avant Garde"/>
          <w:i/>
          <w:sz w:val="18"/>
          <w:szCs w:val="18"/>
          <w:u w:val="single"/>
          <w:lang w:val="es-ES_tradnl"/>
        </w:rPr>
        <w:t>Comentario de la Consulta Pública</w:t>
      </w:r>
    </w:p>
    <w:p w14:paraId="6F30C91A" w14:textId="77777777" w:rsidR="000E1C51" w:rsidRPr="00ED27DC" w:rsidRDefault="000E1C51" w:rsidP="000E1C51">
      <w:pPr>
        <w:spacing w:after="120"/>
        <w:rPr>
          <w:rFonts w:ascii="ITC Avant Garde" w:hAnsi="ITC Avant Garde"/>
          <w:sz w:val="18"/>
          <w:szCs w:val="18"/>
          <w:lang w:val="es-ES_tradnl"/>
        </w:rPr>
      </w:pPr>
      <w:r w:rsidRPr="00ED27DC">
        <w:rPr>
          <w:rFonts w:ascii="ITC Avant Garde" w:hAnsi="ITC Avant Garde"/>
          <w:sz w:val="18"/>
          <w:szCs w:val="18"/>
          <w:lang w:val="es-ES_tradnl"/>
        </w:rPr>
        <w:t xml:space="preserve">Respecto </w:t>
      </w:r>
      <w:r w:rsidR="003D4710" w:rsidRPr="00ED27DC">
        <w:rPr>
          <w:rFonts w:ascii="ITC Avant Garde" w:hAnsi="ITC Avant Garde"/>
          <w:sz w:val="18"/>
          <w:szCs w:val="18"/>
          <w:lang w:val="es-ES_tradnl"/>
        </w:rPr>
        <w:t>del “</w:t>
      </w:r>
      <w:r w:rsidRPr="00ED27DC">
        <w:rPr>
          <w:rFonts w:ascii="ITC Avant Garde" w:hAnsi="ITC Avant Garde"/>
          <w:sz w:val="18"/>
          <w:szCs w:val="18"/>
          <w:lang w:val="es-ES_tradnl"/>
        </w:rPr>
        <w:t>Módulo de Dimensionamiento" del Documento Metodológico</w:t>
      </w:r>
      <w:r w:rsidR="003D4710" w:rsidRPr="00ED27DC">
        <w:rPr>
          <w:rFonts w:ascii="ITC Avant Garde" w:hAnsi="ITC Avant Garde"/>
          <w:sz w:val="18"/>
          <w:szCs w:val="18"/>
          <w:lang w:val="es-ES_tradnl"/>
        </w:rPr>
        <w:t>, r</w:t>
      </w:r>
      <w:r w:rsidR="003613E2" w:rsidRPr="00ED27DC">
        <w:rPr>
          <w:rFonts w:ascii="ITC Avant Garde" w:hAnsi="ITC Avant Garde"/>
          <w:sz w:val="18"/>
          <w:szCs w:val="18"/>
          <w:lang w:val="es-ES_tradnl"/>
        </w:rPr>
        <w:t xml:space="preserve">efiere </w:t>
      </w:r>
      <w:proofErr w:type="spellStart"/>
      <w:r w:rsidR="003613E2" w:rsidRPr="00ED27DC">
        <w:rPr>
          <w:rFonts w:ascii="ITC Avant Garde" w:hAnsi="ITC Avant Garde"/>
          <w:sz w:val="18"/>
          <w:szCs w:val="18"/>
          <w:lang w:val="es-ES_tradnl"/>
        </w:rPr>
        <w:t>Televimex</w:t>
      </w:r>
      <w:proofErr w:type="spellEnd"/>
      <w:r w:rsidR="003613E2" w:rsidRPr="00ED27DC">
        <w:rPr>
          <w:rFonts w:ascii="ITC Avant Garde" w:hAnsi="ITC Avant Garde"/>
          <w:sz w:val="18"/>
          <w:szCs w:val="18"/>
          <w:lang w:val="es-ES_tradnl"/>
        </w:rPr>
        <w:t xml:space="preserve"> que</w:t>
      </w:r>
      <w:r w:rsidRPr="00ED27DC">
        <w:rPr>
          <w:rFonts w:ascii="ITC Avant Garde" w:hAnsi="ITC Avant Garde"/>
          <w:sz w:val="18"/>
          <w:szCs w:val="18"/>
          <w:lang w:val="es-ES_tradnl"/>
        </w:rPr>
        <w:t xml:space="preserve"> dentro de los insumos que debe utilizar para el Modelo de Costos no debe considerar el rubro "Transmisor", toda vez que se trata de un elemento de infraestructura activa que, en términos de la Resolución Preponderancia, es un elemento que el CS debe suministrar por su cuenta, por lo que lo procedente es eliminar dicho insumo dentro del Modelo de Costos y </w:t>
      </w:r>
      <w:r w:rsidR="003D4710" w:rsidRPr="00ED27DC">
        <w:rPr>
          <w:rFonts w:ascii="ITC Avant Garde" w:hAnsi="ITC Avant Garde"/>
          <w:sz w:val="18"/>
          <w:szCs w:val="18"/>
          <w:lang w:val="es-ES_tradnl"/>
        </w:rPr>
        <w:t>el</w:t>
      </w:r>
      <w:r w:rsidRPr="00ED27DC">
        <w:rPr>
          <w:rFonts w:ascii="ITC Avant Garde" w:hAnsi="ITC Avant Garde"/>
          <w:sz w:val="18"/>
          <w:szCs w:val="18"/>
          <w:lang w:val="es-ES_tradnl"/>
        </w:rPr>
        <w:t xml:space="preserve"> Documento Metodológico.</w:t>
      </w:r>
    </w:p>
    <w:p w14:paraId="3D9FDBE3" w14:textId="77777777" w:rsidR="006B04CB" w:rsidRPr="00ED27DC" w:rsidRDefault="00DF609A" w:rsidP="000E1C51">
      <w:pPr>
        <w:spacing w:after="120"/>
        <w:rPr>
          <w:rFonts w:ascii="ITC Avant Garde" w:hAnsi="ITC Avant Garde"/>
          <w:sz w:val="18"/>
          <w:u w:val="single"/>
          <w:lang w:val="es-ES_tradnl"/>
        </w:rPr>
      </w:pPr>
      <w:r w:rsidRPr="00ED27DC">
        <w:rPr>
          <w:rFonts w:ascii="ITC Avant Garde" w:hAnsi="ITC Avant Garde"/>
          <w:sz w:val="18"/>
          <w:u w:val="single"/>
          <w:lang w:val="es-ES_tradnl"/>
        </w:rPr>
        <w:t xml:space="preserve">3.1 </w:t>
      </w:r>
      <w:r w:rsidR="006B04CB" w:rsidRPr="00ED27DC">
        <w:rPr>
          <w:rFonts w:ascii="ITC Avant Garde" w:hAnsi="ITC Avant Garde"/>
          <w:sz w:val="18"/>
          <w:u w:val="single"/>
          <w:lang w:val="es-ES_tradnl"/>
        </w:rPr>
        <w:t>Respuesta del Instituto</w:t>
      </w:r>
    </w:p>
    <w:p w14:paraId="38C36D9B" w14:textId="746DC451" w:rsidR="000E1C51" w:rsidRPr="00ED27DC" w:rsidRDefault="00D452AD" w:rsidP="006B04CB">
      <w:pPr>
        <w:spacing w:after="120"/>
        <w:rPr>
          <w:rFonts w:ascii="ITC Avant Garde" w:hAnsi="ITC Avant Garde"/>
          <w:sz w:val="18"/>
          <w:szCs w:val="18"/>
          <w:lang w:val="es-ES_tradnl"/>
        </w:rPr>
      </w:pPr>
      <w:r>
        <w:rPr>
          <w:rFonts w:ascii="ITC Avant Garde" w:hAnsi="ITC Avant Garde"/>
          <w:sz w:val="18"/>
          <w:szCs w:val="18"/>
          <w:lang w:val="es-ES_tradnl"/>
        </w:rPr>
        <w:t>Se precisa que e</w:t>
      </w:r>
      <w:r w:rsidR="000E1C51" w:rsidRPr="00ED27DC">
        <w:rPr>
          <w:rFonts w:ascii="ITC Avant Garde" w:hAnsi="ITC Avant Garde"/>
          <w:sz w:val="18"/>
          <w:szCs w:val="18"/>
          <w:lang w:val="es-ES_tradnl"/>
        </w:rPr>
        <w:t>l elemento transmisor debe considerarse en el modelo, al hacer uso de espacio y potencia eléctrica en los sitios del AEP. No obstante, según</w:t>
      </w:r>
      <w:r w:rsidR="00816734" w:rsidRPr="00ED27DC">
        <w:rPr>
          <w:rFonts w:ascii="ITC Avant Garde" w:hAnsi="ITC Avant Garde"/>
          <w:sz w:val="18"/>
          <w:szCs w:val="18"/>
          <w:lang w:val="es-ES_tradnl"/>
        </w:rPr>
        <w:t xml:space="preserve"> se indica en la Sección 9 del “</w:t>
      </w:r>
      <w:r w:rsidR="000E1C51" w:rsidRPr="00ED27DC">
        <w:rPr>
          <w:rFonts w:ascii="ITC Avant Garde" w:hAnsi="ITC Avant Garde"/>
          <w:sz w:val="18"/>
          <w:szCs w:val="18"/>
          <w:lang w:val="es-ES_tradnl"/>
        </w:rPr>
        <w:t xml:space="preserve">Documento </w:t>
      </w:r>
      <w:r w:rsidR="00816734" w:rsidRPr="00ED27DC">
        <w:rPr>
          <w:rFonts w:ascii="ITC Avant Garde" w:hAnsi="ITC Avant Garde"/>
          <w:sz w:val="18"/>
          <w:szCs w:val="18"/>
          <w:lang w:val="es-ES_tradnl"/>
        </w:rPr>
        <w:t>Metodológico del M</w:t>
      </w:r>
      <w:r w:rsidR="000E1C51" w:rsidRPr="00ED27DC">
        <w:rPr>
          <w:rFonts w:ascii="ITC Avant Garde" w:hAnsi="ITC Avant Garde"/>
          <w:sz w:val="18"/>
          <w:szCs w:val="18"/>
          <w:lang w:val="es-ES_tradnl"/>
        </w:rPr>
        <w:t>odelo</w:t>
      </w:r>
      <w:r w:rsidR="00816734" w:rsidRPr="00ED27DC">
        <w:rPr>
          <w:rFonts w:ascii="ITC Avant Garde" w:hAnsi="ITC Avant Garde"/>
          <w:sz w:val="18"/>
          <w:szCs w:val="18"/>
          <w:lang w:val="es-ES_tradnl"/>
        </w:rPr>
        <w:t xml:space="preserve"> de Costos”</w:t>
      </w:r>
      <w:r w:rsidR="000E1C51" w:rsidRPr="00ED27DC">
        <w:rPr>
          <w:rFonts w:ascii="ITC Avant Garde" w:hAnsi="ITC Avant Garde"/>
          <w:sz w:val="18"/>
          <w:szCs w:val="18"/>
          <w:lang w:val="es-ES_tradnl"/>
        </w:rPr>
        <w:t xml:space="preserve"> sometido a consulta pública, no se consideran los costos de dicho elemento para el </w:t>
      </w:r>
      <w:proofErr w:type="spellStart"/>
      <w:r w:rsidR="000E1C51" w:rsidRPr="00ED27DC">
        <w:rPr>
          <w:rFonts w:ascii="ITC Avant Garde" w:hAnsi="ITC Avant Garde"/>
          <w:sz w:val="18"/>
          <w:szCs w:val="18"/>
          <w:lang w:val="es-ES_tradnl"/>
        </w:rPr>
        <w:t>costeo</w:t>
      </w:r>
      <w:proofErr w:type="spellEnd"/>
      <w:r w:rsidR="000E1C51" w:rsidRPr="00ED27DC">
        <w:rPr>
          <w:rFonts w:ascii="ITC Avant Garde" w:hAnsi="ITC Avant Garde"/>
          <w:sz w:val="18"/>
          <w:szCs w:val="18"/>
          <w:lang w:val="es-ES_tradnl"/>
        </w:rPr>
        <w:t xml:space="preserve"> de los servicios modelados.</w:t>
      </w:r>
    </w:p>
    <w:p w14:paraId="3C509A7E" w14:textId="77777777" w:rsidR="006B04CB" w:rsidRPr="00ED27DC" w:rsidRDefault="00C32AC6" w:rsidP="006B04CB">
      <w:pPr>
        <w:spacing w:after="120"/>
        <w:rPr>
          <w:rFonts w:ascii="ITC Avant Garde" w:hAnsi="ITC Avant Garde"/>
          <w:i/>
          <w:sz w:val="18"/>
          <w:szCs w:val="18"/>
          <w:u w:val="single"/>
          <w:lang w:val="es-ES_tradnl"/>
        </w:rPr>
      </w:pPr>
      <w:r w:rsidRPr="00ED27DC">
        <w:rPr>
          <w:rFonts w:ascii="ITC Avant Garde" w:hAnsi="ITC Avant Garde"/>
          <w:i/>
          <w:sz w:val="18"/>
          <w:szCs w:val="18"/>
          <w:u w:val="single"/>
          <w:lang w:val="es-ES_tradnl"/>
        </w:rPr>
        <w:t xml:space="preserve">3.2 </w:t>
      </w:r>
      <w:r w:rsidR="006B04CB" w:rsidRPr="00ED27DC">
        <w:rPr>
          <w:rFonts w:ascii="ITC Avant Garde" w:hAnsi="ITC Avant Garde"/>
          <w:i/>
          <w:sz w:val="18"/>
          <w:szCs w:val="18"/>
          <w:u w:val="single"/>
          <w:lang w:val="es-ES_tradnl"/>
        </w:rPr>
        <w:t>Comentario de la Consulta Pública</w:t>
      </w:r>
    </w:p>
    <w:p w14:paraId="7B439CAD" w14:textId="77777777" w:rsidR="006B04CB" w:rsidRPr="00ED27DC" w:rsidRDefault="000E1C51" w:rsidP="000E1C51">
      <w:pPr>
        <w:spacing w:after="120"/>
        <w:rPr>
          <w:rFonts w:ascii="ITC Avant Garde" w:hAnsi="ITC Avant Garde"/>
          <w:sz w:val="18"/>
          <w:szCs w:val="18"/>
          <w:lang w:val="es-MX"/>
        </w:rPr>
      </w:pPr>
      <w:r w:rsidRPr="00ED27DC">
        <w:rPr>
          <w:rFonts w:ascii="ITC Avant Garde" w:hAnsi="ITC Avant Garde"/>
          <w:sz w:val="18"/>
          <w:szCs w:val="18"/>
          <w:lang w:val="es-MX"/>
        </w:rPr>
        <w:t xml:space="preserve">Respecto </w:t>
      </w:r>
      <w:r w:rsidR="003D4710" w:rsidRPr="00ED27DC">
        <w:rPr>
          <w:rFonts w:ascii="ITC Avant Garde" w:hAnsi="ITC Avant Garde"/>
          <w:sz w:val="18"/>
          <w:szCs w:val="18"/>
          <w:lang w:val="es-MX"/>
        </w:rPr>
        <w:t>d</w:t>
      </w:r>
      <w:r w:rsidR="00C072F9" w:rsidRPr="00ED27DC">
        <w:rPr>
          <w:rFonts w:ascii="ITC Avant Garde" w:hAnsi="ITC Avant Garde"/>
          <w:sz w:val="18"/>
          <w:szCs w:val="18"/>
          <w:lang w:val="es-MX"/>
        </w:rPr>
        <w:t>el mó</w:t>
      </w:r>
      <w:r w:rsidR="003D4710" w:rsidRPr="00ED27DC">
        <w:rPr>
          <w:rFonts w:ascii="ITC Avant Garde" w:hAnsi="ITC Avant Garde"/>
          <w:sz w:val="18"/>
          <w:szCs w:val="18"/>
          <w:lang w:val="es-MX"/>
        </w:rPr>
        <w:t>dulo</w:t>
      </w:r>
      <w:r w:rsidRPr="00ED27DC">
        <w:rPr>
          <w:rFonts w:ascii="ITC Avant Garde" w:hAnsi="ITC Avant Garde"/>
          <w:sz w:val="18"/>
          <w:szCs w:val="18"/>
          <w:lang w:val="es-MX"/>
        </w:rPr>
        <w:t xml:space="preserve"> </w:t>
      </w:r>
      <w:r w:rsidR="003D4710" w:rsidRPr="00ED27DC">
        <w:rPr>
          <w:rFonts w:ascii="ITC Avant Garde" w:hAnsi="ITC Avant Garde"/>
          <w:sz w:val="18"/>
          <w:szCs w:val="18"/>
          <w:lang w:val="es-MX"/>
        </w:rPr>
        <w:t>“</w:t>
      </w:r>
      <w:r w:rsidRPr="00ED27DC">
        <w:rPr>
          <w:rFonts w:ascii="ITC Avant Garde" w:hAnsi="ITC Avant Garde"/>
          <w:sz w:val="18"/>
          <w:szCs w:val="18"/>
          <w:lang w:val="es-MX"/>
        </w:rPr>
        <w:t xml:space="preserve">Demanda </w:t>
      </w:r>
      <w:r w:rsidR="003D4710" w:rsidRPr="00ED27DC">
        <w:rPr>
          <w:rFonts w:ascii="ITC Avant Garde" w:hAnsi="ITC Avant Garde"/>
          <w:sz w:val="18"/>
          <w:szCs w:val="18"/>
          <w:lang w:val="es-MX"/>
        </w:rPr>
        <w:t>M</w:t>
      </w:r>
      <w:r w:rsidRPr="00ED27DC">
        <w:rPr>
          <w:rFonts w:ascii="ITC Avant Garde" w:hAnsi="ITC Avant Garde"/>
          <w:sz w:val="18"/>
          <w:szCs w:val="18"/>
          <w:lang w:val="es-MX"/>
        </w:rPr>
        <w:t xml:space="preserve">ayorista </w:t>
      </w:r>
      <w:r w:rsidR="003D4710" w:rsidRPr="00ED27DC">
        <w:rPr>
          <w:rFonts w:ascii="ITC Avant Garde" w:hAnsi="ITC Avant Garde"/>
          <w:sz w:val="18"/>
          <w:szCs w:val="18"/>
          <w:lang w:val="es-MX"/>
        </w:rPr>
        <w:t>C</w:t>
      </w:r>
      <w:r w:rsidRPr="00ED27DC">
        <w:rPr>
          <w:rFonts w:ascii="ITC Avant Garde" w:hAnsi="ITC Avant Garde"/>
          <w:sz w:val="18"/>
          <w:szCs w:val="18"/>
          <w:lang w:val="es-MX"/>
        </w:rPr>
        <w:t>onsiderada en el Modelo" del Documento Metodológico</w:t>
      </w:r>
      <w:r w:rsidR="003D4710" w:rsidRPr="00ED27DC">
        <w:rPr>
          <w:rFonts w:ascii="ITC Avant Garde" w:hAnsi="ITC Avant Garde"/>
          <w:sz w:val="18"/>
          <w:szCs w:val="18"/>
          <w:lang w:val="es-MX"/>
        </w:rPr>
        <w:t xml:space="preserve">, </w:t>
      </w:r>
      <w:proofErr w:type="spellStart"/>
      <w:r w:rsidR="003D4710" w:rsidRPr="00ED27DC">
        <w:rPr>
          <w:rFonts w:ascii="ITC Avant Garde" w:hAnsi="ITC Avant Garde"/>
          <w:sz w:val="18"/>
          <w:szCs w:val="18"/>
          <w:lang w:val="es-MX"/>
        </w:rPr>
        <w:t>Televimex</w:t>
      </w:r>
      <w:proofErr w:type="spellEnd"/>
      <w:r w:rsidR="003D4710" w:rsidRPr="00ED27DC">
        <w:rPr>
          <w:rFonts w:ascii="ITC Avant Garde" w:hAnsi="ITC Avant Garde"/>
          <w:sz w:val="18"/>
          <w:szCs w:val="18"/>
          <w:lang w:val="es-MX"/>
        </w:rPr>
        <w:t xml:space="preserve"> </w:t>
      </w:r>
      <w:r w:rsidRPr="00ED27DC">
        <w:rPr>
          <w:rFonts w:ascii="ITC Avant Garde" w:hAnsi="ITC Avant Garde"/>
          <w:sz w:val="18"/>
          <w:szCs w:val="18"/>
          <w:lang w:val="es-MX"/>
        </w:rPr>
        <w:t xml:space="preserve">hace notar </w:t>
      </w:r>
      <w:r w:rsidR="003D4710" w:rsidRPr="00ED27DC">
        <w:rPr>
          <w:rFonts w:ascii="ITC Avant Garde" w:hAnsi="ITC Avant Garde"/>
          <w:sz w:val="18"/>
          <w:szCs w:val="18"/>
          <w:lang w:val="es-MX"/>
        </w:rPr>
        <w:t>que</w:t>
      </w:r>
      <w:r w:rsidRPr="00ED27DC">
        <w:rPr>
          <w:rFonts w:ascii="ITC Avant Garde" w:hAnsi="ITC Avant Garde"/>
          <w:sz w:val="18"/>
          <w:szCs w:val="18"/>
          <w:lang w:val="es-MX"/>
        </w:rPr>
        <w:t xml:space="preserve"> si bien el título del numeral señala la expresión "demanda mayorista", estableciendo que, para prestar el servicio de </w:t>
      </w:r>
      <w:proofErr w:type="spellStart"/>
      <w:r w:rsidRPr="00ED27DC">
        <w:rPr>
          <w:rFonts w:ascii="ITC Avant Garde" w:hAnsi="ITC Avant Garde"/>
          <w:sz w:val="18"/>
          <w:szCs w:val="18"/>
          <w:lang w:val="es-MX"/>
        </w:rPr>
        <w:t>coubicación</w:t>
      </w:r>
      <w:proofErr w:type="spellEnd"/>
      <w:r w:rsidRPr="00ED27DC">
        <w:rPr>
          <w:rFonts w:ascii="ITC Avant Garde" w:hAnsi="ITC Avant Garde"/>
          <w:sz w:val="18"/>
          <w:szCs w:val="18"/>
          <w:lang w:val="es-MX"/>
        </w:rPr>
        <w:t xml:space="preserve"> se debe tener un transmisor de la misma potencia, una antena radiante con las mismas características, y una fuente de energía para radiodifundir una señal con la misma potencia que el AEP en Radiodifusión, e</w:t>
      </w:r>
      <w:r w:rsidR="003D4710" w:rsidRPr="00ED27DC">
        <w:rPr>
          <w:rFonts w:ascii="ITC Avant Garde" w:hAnsi="ITC Avant Garde"/>
          <w:sz w:val="18"/>
          <w:szCs w:val="18"/>
          <w:lang w:val="es-MX"/>
        </w:rPr>
        <w:t>l</w:t>
      </w:r>
      <w:r w:rsidRPr="00ED27DC">
        <w:rPr>
          <w:rFonts w:ascii="ITC Avant Garde" w:hAnsi="ITC Avant Garde"/>
          <w:sz w:val="18"/>
          <w:szCs w:val="18"/>
          <w:lang w:val="es-MX"/>
        </w:rPr>
        <w:t xml:space="preserve"> Instituto no cita o refiere información alguna respecto de una demanda mayorista, estableciendo únicamente que, para el caso en que el AEP en Radiodifusión pueda compartir los servicios, deba tratarse de un canal con la misma potencia y el mismo patrón de radiación, por lo que lo procedente es ajustar el título del citado numeral, de modo que refleje el supuesto que en realidad intenta considerar.</w:t>
      </w:r>
    </w:p>
    <w:p w14:paraId="6BDE8EEF" w14:textId="77777777" w:rsidR="006B04CB" w:rsidRPr="00ED27DC" w:rsidRDefault="00C32AC6" w:rsidP="006B04CB">
      <w:pPr>
        <w:spacing w:after="120"/>
        <w:rPr>
          <w:rFonts w:ascii="ITC Avant Garde" w:hAnsi="ITC Avant Garde"/>
          <w:sz w:val="18"/>
          <w:u w:val="single"/>
          <w:lang w:val="es-ES_tradnl"/>
        </w:rPr>
      </w:pPr>
      <w:r w:rsidRPr="00ED27DC">
        <w:rPr>
          <w:rFonts w:ascii="ITC Avant Garde" w:hAnsi="ITC Avant Garde"/>
          <w:sz w:val="18"/>
          <w:u w:val="single"/>
          <w:lang w:val="es-ES_tradnl"/>
        </w:rPr>
        <w:t xml:space="preserve">3.2 </w:t>
      </w:r>
      <w:r w:rsidR="006B04CB" w:rsidRPr="00ED27DC">
        <w:rPr>
          <w:rFonts w:ascii="ITC Avant Garde" w:hAnsi="ITC Avant Garde"/>
          <w:sz w:val="18"/>
          <w:u w:val="single"/>
          <w:lang w:val="es-ES_tradnl"/>
        </w:rPr>
        <w:t>Respuesta del Instituto</w:t>
      </w:r>
    </w:p>
    <w:p w14:paraId="541E4ADA" w14:textId="32113DB4" w:rsidR="00816734" w:rsidRPr="00ED27DC" w:rsidRDefault="000E1C51" w:rsidP="00816734">
      <w:pPr>
        <w:pStyle w:val="IFTnormal"/>
        <w:spacing w:after="120" w:line="320" w:lineRule="atLeast"/>
        <w:rPr>
          <w:sz w:val="18"/>
          <w:szCs w:val="18"/>
        </w:rPr>
      </w:pPr>
      <w:r w:rsidRPr="00ED27DC">
        <w:rPr>
          <w:sz w:val="18"/>
          <w:szCs w:val="18"/>
        </w:rPr>
        <w:t xml:space="preserve">Según se </w:t>
      </w:r>
      <w:r w:rsidR="00D92F0B" w:rsidRPr="00ED27DC">
        <w:rPr>
          <w:sz w:val="18"/>
          <w:szCs w:val="18"/>
        </w:rPr>
        <w:t>describe en la Sección 5.1 del “Documento Metodológico del Modelo de Costos”</w:t>
      </w:r>
      <w:r w:rsidRPr="00ED27DC">
        <w:rPr>
          <w:sz w:val="18"/>
          <w:szCs w:val="18"/>
        </w:rPr>
        <w:t xml:space="preserve"> sometido a consulta pública,</w:t>
      </w:r>
      <w:r w:rsidR="00816734" w:rsidRPr="00ED27DC">
        <w:rPr>
          <w:sz w:val="18"/>
          <w:szCs w:val="18"/>
        </w:rPr>
        <w:t xml:space="preserve"> el modelo</w:t>
      </w:r>
      <w:r w:rsidRPr="00ED27DC">
        <w:rPr>
          <w:sz w:val="18"/>
          <w:szCs w:val="18"/>
        </w:rPr>
        <w:t xml:space="preserve"> </w:t>
      </w:r>
      <w:r w:rsidR="00816734" w:rsidRPr="00ED27DC">
        <w:rPr>
          <w:sz w:val="18"/>
          <w:szCs w:val="18"/>
        </w:rPr>
        <w:t xml:space="preserve">contempla volúmenes de demanda mayorista de referencia para el cálculo de las tarifas de los servicios modelados. Las hipótesis consideradas para la definición de esta demanda son las siguientes: </w:t>
      </w:r>
    </w:p>
    <w:p w14:paraId="292A79EB" w14:textId="77777777" w:rsidR="00816734" w:rsidRPr="00ED27DC" w:rsidRDefault="00816734" w:rsidP="00816734">
      <w:pPr>
        <w:pStyle w:val="IFTnormal"/>
        <w:spacing w:after="120" w:line="320" w:lineRule="atLeast"/>
        <w:rPr>
          <w:sz w:val="18"/>
          <w:szCs w:val="18"/>
        </w:rPr>
      </w:pPr>
      <w:r w:rsidRPr="00ED27DC">
        <w:rPr>
          <w:sz w:val="18"/>
          <w:szCs w:val="18"/>
        </w:rPr>
        <w:t xml:space="preserve">Para los servicios de </w:t>
      </w:r>
      <w:proofErr w:type="spellStart"/>
      <w:r w:rsidRPr="00ED27DC">
        <w:rPr>
          <w:b/>
          <w:sz w:val="18"/>
          <w:szCs w:val="18"/>
        </w:rPr>
        <w:t>coubicación</w:t>
      </w:r>
      <w:proofErr w:type="spellEnd"/>
      <w:r w:rsidRPr="00ED27DC">
        <w:rPr>
          <w:sz w:val="18"/>
          <w:szCs w:val="18"/>
        </w:rPr>
        <w:t>, se asume que:</w:t>
      </w:r>
    </w:p>
    <w:p w14:paraId="5D93F55A" w14:textId="77777777" w:rsidR="00816734" w:rsidRPr="00ED27DC" w:rsidRDefault="00816734" w:rsidP="00816734">
      <w:pPr>
        <w:pStyle w:val="IFTnormal"/>
        <w:numPr>
          <w:ilvl w:val="0"/>
          <w:numId w:val="43"/>
        </w:numPr>
        <w:spacing w:after="120" w:line="320" w:lineRule="atLeast"/>
        <w:rPr>
          <w:sz w:val="18"/>
          <w:szCs w:val="18"/>
        </w:rPr>
      </w:pPr>
      <w:r w:rsidRPr="00ED27DC">
        <w:rPr>
          <w:sz w:val="18"/>
          <w:szCs w:val="18"/>
        </w:rPr>
        <w:t xml:space="preserve">Un CS requiere el servicio de </w:t>
      </w:r>
      <w:proofErr w:type="spellStart"/>
      <w:r w:rsidRPr="00ED27DC">
        <w:rPr>
          <w:sz w:val="18"/>
          <w:szCs w:val="18"/>
        </w:rPr>
        <w:t>coubicación</w:t>
      </w:r>
      <w:proofErr w:type="spellEnd"/>
      <w:r w:rsidRPr="00ED27DC">
        <w:rPr>
          <w:sz w:val="18"/>
          <w:szCs w:val="18"/>
        </w:rPr>
        <w:t xml:space="preserve"> en caseta relativo al espacio ocupado por un transmisor y un filtro de máscara requeridos para radiodifundir un canal con la misma potencia que radiodifunde el AEP en cada emplazamiento.</w:t>
      </w:r>
    </w:p>
    <w:p w14:paraId="10385464" w14:textId="77777777" w:rsidR="00816734" w:rsidRPr="00ED27DC" w:rsidRDefault="00816734" w:rsidP="00816734">
      <w:pPr>
        <w:pStyle w:val="IFTnormal"/>
        <w:numPr>
          <w:ilvl w:val="0"/>
          <w:numId w:val="43"/>
        </w:numPr>
        <w:spacing w:after="120" w:line="320" w:lineRule="atLeast"/>
        <w:rPr>
          <w:sz w:val="18"/>
          <w:szCs w:val="18"/>
        </w:rPr>
      </w:pPr>
      <w:r w:rsidRPr="00ED27DC">
        <w:rPr>
          <w:sz w:val="18"/>
          <w:szCs w:val="18"/>
        </w:rPr>
        <w:lastRenderedPageBreak/>
        <w:t xml:space="preserve">Un CS requiere el servicio de </w:t>
      </w:r>
      <w:proofErr w:type="spellStart"/>
      <w:r w:rsidRPr="00ED27DC">
        <w:rPr>
          <w:sz w:val="18"/>
          <w:szCs w:val="18"/>
        </w:rPr>
        <w:t>coubicación</w:t>
      </w:r>
      <w:proofErr w:type="spellEnd"/>
      <w:r w:rsidRPr="00ED27DC">
        <w:rPr>
          <w:sz w:val="18"/>
          <w:szCs w:val="18"/>
        </w:rPr>
        <w:t xml:space="preserve"> en torre relativo al espacio lineal ocupado por una antena radiante requerido para radiodifundir un canal con las mismas características que radiodifunde el AEP en cada emplazamiento.</w:t>
      </w:r>
    </w:p>
    <w:p w14:paraId="5C0A39DF" w14:textId="77777777" w:rsidR="00816734" w:rsidRPr="00ED27DC" w:rsidRDefault="00816734" w:rsidP="00816734">
      <w:pPr>
        <w:pStyle w:val="IFTnormal"/>
        <w:numPr>
          <w:ilvl w:val="0"/>
          <w:numId w:val="43"/>
        </w:numPr>
        <w:spacing w:after="120" w:line="320" w:lineRule="atLeast"/>
        <w:rPr>
          <w:sz w:val="18"/>
          <w:szCs w:val="18"/>
        </w:rPr>
      </w:pPr>
      <w:r w:rsidRPr="00ED27DC">
        <w:rPr>
          <w:sz w:val="18"/>
          <w:szCs w:val="18"/>
        </w:rPr>
        <w:t>Un CS requiere el servicio de acceso a la fuente de energía relativo a la potencia eléctrica requerida para dar servicio y respaldar un transmisor necesario para radiodifundir un canal con la misma potencia que radiodifunde el AEP en cada emplazamiento.</w:t>
      </w:r>
    </w:p>
    <w:p w14:paraId="0F5B0D09" w14:textId="77777777" w:rsidR="00816734" w:rsidRPr="00ED27DC" w:rsidRDefault="00816734" w:rsidP="00816734">
      <w:pPr>
        <w:pStyle w:val="IFTnormal"/>
        <w:spacing w:after="120" w:line="320" w:lineRule="atLeast"/>
        <w:rPr>
          <w:sz w:val="18"/>
          <w:szCs w:val="18"/>
        </w:rPr>
      </w:pPr>
      <w:r w:rsidRPr="00ED27DC">
        <w:rPr>
          <w:sz w:val="18"/>
          <w:szCs w:val="18"/>
        </w:rPr>
        <w:t xml:space="preserve">Para el servicio de </w:t>
      </w:r>
      <w:r w:rsidRPr="00ED27DC">
        <w:rPr>
          <w:b/>
          <w:sz w:val="18"/>
          <w:szCs w:val="18"/>
        </w:rPr>
        <w:t>emisión de señal</w:t>
      </w:r>
      <w:r w:rsidRPr="00ED27DC">
        <w:rPr>
          <w:sz w:val="18"/>
          <w:szCs w:val="18"/>
        </w:rPr>
        <w:t xml:space="preserve">, se asume que un CS requiere la prestación del servicio de emisión de señal para un canal en cada emplazamiento. Esta hipótesis se asume sin menoscabo de que este servicio sólo se prestaría en caso de que no existiera espacio suficiente para </w:t>
      </w:r>
      <w:proofErr w:type="spellStart"/>
      <w:r w:rsidRPr="00ED27DC">
        <w:rPr>
          <w:sz w:val="18"/>
          <w:szCs w:val="18"/>
        </w:rPr>
        <w:t>coubicar</w:t>
      </w:r>
      <w:proofErr w:type="spellEnd"/>
      <w:r w:rsidRPr="00ED27DC">
        <w:rPr>
          <w:sz w:val="18"/>
          <w:szCs w:val="18"/>
        </w:rPr>
        <w:t xml:space="preserve"> todo el equipo que requiriese el CS para llevar a cabo la eficiente prestación del servicio de televisión radiodifundida.</w:t>
      </w:r>
    </w:p>
    <w:p w14:paraId="330FD0C3" w14:textId="77777777" w:rsidR="006B04CB" w:rsidRPr="00ED27DC" w:rsidRDefault="00C32AC6" w:rsidP="006B04CB">
      <w:pPr>
        <w:spacing w:after="120"/>
        <w:rPr>
          <w:rFonts w:ascii="ITC Avant Garde" w:hAnsi="ITC Avant Garde"/>
          <w:i/>
          <w:sz w:val="18"/>
          <w:szCs w:val="18"/>
          <w:u w:val="single"/>
          <w:lang w:val="es-ES_tradnl"/>
        </w:rPr>
      </w:pPr>
      <w:r w:rsidRPr="00ED27DC">
        <w:rPr>
          <w:rFonts w:ascii="ITC Avant Garde" w:hAnsi="ITC Avant Garde"/>
          <w:i/>
          <w:sz w:val="18"/>
          <w:szCs w:val="18"/>
          <w:u w:val="single"/>
          <w:lang w:val="es-ES_tradnl"/>
        </w:rPr>
        <w:t xml:space="preserve">3.3 </w:t>
      </w:r>
      <w:r w:rsidR="006B04CB" w:rsidRPr="00ED27DC">
        <w:rPr>
          <w:rFonts w:ascii="ITC Avant Garde" w:hAnsi="ITC Avant Garde"/>
          <w:i/>
          <w:sz w:val="18"/>
          <w:szCs w:val="18"/>
          <w:u w:val="single"/>
          <w:lang w:val="es-ES_tradnl"/>
        </w:rPr>
        <w:t>Comentario de la Consulta Pública</w:t>
      </w:r>
    </w:p>
    <w:p w14:paraId="00C88F0D" w14:textId="7E95F0EF" w:rsidR="006B04CB" w:rsidRPr="00ED27DC" w:rsidRDefault="000E1C51" w:rsidP="000E1C51">
      <w:pPr>
        <w:spacing w:after="120"/>
        <w:rPr>
          <w:rFonts w:ascii="ITC Avant Garde" w:hAnsi="ITC Avant Garde"/>
          <w:sz w:val="18"/>
          <w:szCs w:val="18"/>
          <w:lang w:val="es-MX"/>
        </w:rPr>
      </w:pPr>
      <w:r w:rsidRPr="00ED27DC">
        <w:rPr>
          <w:rFonts w:ascii="ITC Avant Garde" w:hAnsi="ITC Avant Garde"/>
          <w:sz w:val="18"/>
          <w:szCs w:val="18"/>
          <w:lang w:val="es-MX"/>
        </w:rPr>
        <w:t xml:space="preserve">Respecto </w:t>
      </w:r>
      <w:r w:rsidR="003D4710" w:rsidRPr="00ED27DC">
        <w:rPr>
          <w:rFonts w:ascii="ITC Avant Garde" w:hAnsi="ITC Avant Garde"/>
          <w:sz w:val="18"/>
          <w:szCs w:val="18"/>
          <w:lang w:val="es-MX"/>
        </w:rPr>
        <w:t>del apartado</w:t>
      </w:r>
      <w:r w:rsidRPr="00ED27DC">
        <w:rPr>
          <w:rFonts w:ascii="ITC Avant Garde" w:hAnsi="ITC Avant Garde"/>
          <w:sz w:val="18"/>
          <w:szCs w:val="18"/>
          <w:lang w:val="es-MX"/>
        </w:rPr>
        <w:t xml:space="preserve"> </w:t>
      </w:r>
      <w:r w:rsidR="003D4710" w:rsidRPr="00ED27DC">
        <w:rPr>
          <w:rFonts w:ascii="ITC Avant Garde" w:hAnsi="ITC Avant Garde"/>
          <w:sz w:val="18"/>
          <w:szCs w:val="18"/>
          <w:lang w:val="es-MX"/>
        </w:rPr>
        <w:t>“</w:t>
      </w:r>
      <w:r w:rsidRPr="00ED27DC">
        <w:rPr>
          <w:rFonts w:ascii="ITC Avant Garde" w:hAnsi="ITC Avant Garde"/>
          <w:sz w:val="18"/>
          <w:szCs w:val="18"/>
          <w:lang w:val="es-MX"/>
        </w:rPr>
        <w:t>Costeo de recursos (CAPEX y OPEX)" del Documento Metodológico</w:t>
      </w:r>
      <w:r w:rsidR="003D4710" w:rsidRPr="00ED27DC">
        <w:rPr>
          <w:rFonts w:ascii="ITC Avant Garde" w:hAnsi="ITC Avant Garde"/>
          <w:sz w:val="18"/>
          <w:szCs w:val="18"/>
          <w:lang w:val="es-MX"/>
        </w:rPr>
        <w:t xml:space="preserve">, </w:t>
      </w:r>
      <w:proofErr w:type="spellStart"/>
      <w:r w:rsidR="003D4710" w:rsidRPr="00ED27DC">
        <w:rPr>
          <w:rFonts w:ascii="ITC Avant Garde" w:hAnsi="ITC Avant Garde"/>
          <w:sz w:val="18"/>
          <w:szCs w:val="18"/>
          <w:lang w:val="es-MX"/>
        </w:rPr>
        <w:t>Televimex</w:t>
      </w:r>
      <w:proofErr w:type="spellEnd"/>
      <w:r w:rsidR="003D4710" w:rsidRPr="00ED27DC">
        <w:rPr>
          <w:rFonts w:ascii="ITC Avant Garde" w:hAnsi="ITC Avant Garde"/>
          <w:sz w:val="18"/>
          <w:szCs w:val="18"/>
          <w:lang w:val="es-MX"/>
        </w:rPr>
        <w:t xml:space="preserve"> </w:t>
      </w:r>
      <w:r w:rsidRPr="00ED27DC">
        <w:rPr>
          <w:rFonts w:ascii="ITC Avant Garde" w:hAnsi="ITC Avant Garde"/>
          <w:sz w:val="18"/>
          <w:szCs w:val="18"/>
          <w:lang w:val="es-MX"/>
        </w:rPr>
        <w:t xml:space="preserve"> hace notar a</w:t>
      </w:r>
      <w:r w:rsidR="003D4710" w:rsidRPr="00ED27DC">
        <w:rPr>
          <w:rFonts w:ascii="ITC Avant Garde" w:hAnsi="ITC Avant Garde"/>
          <w:sz w:val="18"/>
          <w:szCs w:val="18"/>
          <w:lang w:val="es-MX"/>
        </w:rPr>
        <w:t>l</w:t>
      </w:r>
      <w:r w:rsidRPr="00ED27DC">
        <w:rPr>
          <w:rFonts w:ascii="ITC Avant Garde" w:hAnsi="ITC Avant Garde"/>
          <w:sz w:val="18"/>
          <w:szCs w:val="18"/>
          <w:lang w:val="es-MX"/>
        </w:rPr>
        <w:t xml:space="preserve"> Instituto que las tendencias de CAPEX y OPEX señaladas no son representativas para cada uno de los recursos considerados en el Modelo de Costos, toda vez que no hay una tendencia real de crecimiento del mercado de compartición de infraestructura pasiva y considerando que el factor del 4.44%, que está atribuido de forma generalizada en el Modelo de Costos, es menor al índice inflacionario nacional, por lo que lo procedente es que ese Instituto aclare el origen de atribuir la tasa de crecimiento de 4.4</w:t>
      </w:r>
      <w:r w:rsidR="00007099">
        <w:rPr>
          <w:rFonts w:ascii="ITC Avant Garde" w:hAnsi="ITC Avant Garde"/>
          <w:sz w:val="18"/>
          <w:szCs w:val="18"/>
          <w:lang w:val="es-MX"/>
        </w:rPr>
        <w:t>4</w:t>
      </w:r>
      <w:r w:rsidRPr="00ED27DC">
        <w:rPr>
          <w:rFonts w:ascii="ITC Avant Garde" w:hAnsi="ITC Avant Garde"/>
          <w:sz w:val="18"/>
          <w:szCs w:val="18"/>
          <w:lang w:val="es-MX"/>
        </w:rPr>
        <w:t>%</w:t>
      </w:r>
      <w:r w:rsidR="003D4710" w:rsidRPr="00ED27DC">
        <w:rPr>
          <w:rFonts w:ascii="ITC Avant Garde" w:hAnsi="ITC Avant Garde"/>
          <w:sz w:val="18"/>
          <w:szCs w:val="18"/>
          <w:lang w:val="es-MX"/>
        </w:rPr>
        <w:t>.</w:t>
      </w:r>
    </w:p>
    <w:p w14:paraId="2924A0C5" w14:textId="77777777" w:rsidR="006B04CB" w:rsidRPr="00ED27DC" w:rsidRDefault="00C32AC6" w:rsidP="006B04CB">
      <w:pPr>
        <w:spacing w:after="120"/>
        <w:rPr>
          <w:rFonts w:ascii="ITC Avant Garde" w:hAnsi="ITC Avant Garde"/>
          <w:sz w:val="18"/>
          <w:u w:val="single"/>
          <w:lang w:val="es-ES_tradnl"/>
        </w:rPr>
      </w:pPr>
      <w:r w:rsidRPr="00ED27DC">
        <w:rPr>
          <w:rFonts w:ascii="ITC Avant Garde" w:hAnsi="ITC Avant Garde"/>
          <w:sz w:val="18"/>
          <w:u w:val="single"/>
          <w:lang w:val="es-ES_tradnl"/>
        </w:rPr>
        <w:t xml:space="preserve">3.3 </w:t>
      </w:r>
      <w:r w:rsidR="006B04CB" w:rsidRPr="00ED27DC">
        <w:rPr>
          <w:rFonts w:ascii="ITC Avant Garde" w:hAnsi="ITC Avant Garde"/>
          <w:sz w:val="18"/>
          <w:u w:val="single"/>
          <w:lang w:val="es-ES_tradnl"/>
        </w:rPr>
        <w:t>Respuesta del Instituto</w:t>
      </w:r>
    </w:p>
    <w:p w14:paraId="7D385E23" w14:textId="1E132F40" w:rsidR="000E1C51" w:rsidRPr="00ED27DC" w:rsidRDefault="00007099" w:rsidP="006B04CB">
      <w:pPr>
        <w:spacing w:after="120"/>
        <w:rPr>
          <w:rFonts w:ascii="ITC Avant Garde" w:hAnsi="ITC Avant Garde"/>
          <w:sz w:val="18"/>
          <w:szCs w:val="18"/>
          <w:lang w:val="es-ES_tradnl"/>
        </w:rPr>
      </w:pPr>
      <w:proofErr w:type="spellStart"/>
      <w:r>
        <w:rPr>
          <w:rFonts w:ascii="ITC Avant Garde" w:hAnsi="ITC Avant Garde"/>
          <w:sz w:val="18"/>
          <w:szCs w:val="18"/>
          <w:lang w:val="es-ES_tradnl"/>
        </w:rPr>
        <w:t>Si</w:t>
      </w:r>
      <w:r w:rsidR="004E1E51">
        <w:rPr>
          <w:rFonts w:ascii="ITC Avant Garde" w:hAnsi="ITC Avant Garde"/>
          <w:sz w:val="18"/>
          <w:szCs w:val="18"/>
          <w:lang w:val="es-ES_tradnl"/>
        </w:rPr>
        <w:t>El</w:t>
      </w:r>
      <w:proofErr w:type="spellEnd"/>
      <w:r w:rsidR="004E1E51">
        <w:rPr>
          <w:rFonts w:ascii="ITC Avant Garde" w:hAnsi="ITC Avant Garde"/>
          <w:sz w:val="18"/>
          <w:szCs w:val="18"/>
          <w:lang w:val="es-ES_tradnl"/>
        </w:rPr>
        <w:t xml:space="preserve"> participante indica en su comentario una</w:t>
      </w:r>
      <w:r>
        <w:rPr>
          <w:rFonts w:ascii="ITC Avant Garde" w:hAnsi="ITC Avant Garde"/>
          <w:sz w:val="18"/>
          <w:szCs w:val="18"/>
          <w:lang w:val="es-ES_tradnl"/>
        </w:rPr>
        <w:t xml:space="preserve"> tasa de crecimiento de 4.44% </w:t>
      </w:r>
      <w:r w:rsidR="004E1E51">
        <w:rPr>
          <w:rFonts w:ascii="ITC Avant Garde" w:hAnsi="ITC Avant Garde"/>
          <w:sz w:val="18"/>
          <w:szCs w:val="18"/>
          <w:lang w:val="es-ES_tradnl"/>
        </w:rPr>
        <w:t>la cual no</w:t>
      </w:r>
      <w:r>
        <w:rPr>
          <w:rFonts w:ascii="ITC Avant Garde" w:hAnsi="ITC Avant Garde"/>
          <w:sz w:val="18"/>
          <w:szCs w:val="18"/>
          <w:lang w:val="es-ES_tradnl"/>
        </w:rPr>
        <w:t xml:space="preserve"> es utilizad</w:t>
      </w:r>
      <w:r w:rsidR="004E1E51">
        <w:rPr>
          <w:rFonts w:ascii="ITC Avant Garde" w:hAnsi="ITC Avant Garde"/>
          <w:sz w:val="18"/>
          <w:szCs w:val="18"/>
          <w:lang w:val="es-ES_tradnl"/>
        </w:rPr>
        <w:t>a</w:t>
      </w:r>
      <w:r>
        <w:rPr>
          <w:rFonts w:ascii="ITC Avant Garde" w:hAnsi="ITC Avant Garde"/>
          <w:sz w:val="18"/>
          <w:szCs w:val="18"/>
          <w:lang w:val="es-ES_tradnl"/>
        </w:rPr>
        <w:t xml:space="preserve"> en el modelo</w:t>
      </w:r>
      <w:r w:rsidR="004E1E51">
        <w:rPr>
          <w:rFonts w:ascii="ITC Avant Garde" w:hAnsi="ITC Avant Garde"/>
          <w:sz w:val="18"/>
          <w:szCs w:val="18"/>
          <w:lang w:val="es-ES_tradnl"/>
        </w:rPr>
        <w:t xml:space="preserve"> en el modelo puesto a Consulta Pública. Sin embargo, el modelo integra </w:t>
      </w:r>
      <w:proofErr w:type="spellStart"/>
      <w:r w:rsidR="004E1E51">
        <w:rPr>
          <w:rFonts w:ascii="ITC Avant Garde" w:hAnsi="ITC Avant Garde"/>
          <w:sz w:val="18"/>
          <w:szCs w:val="18"/>
          <w:lang w:val="es-ES_tradnl"/>
        </w:rPr>
        <w:t>un</w:t>
      </w:r>
      <w:r w:rsidR="000E1C51" w:rsidRPr="00ED27DC">
        <w:rPr>
          <w:rFonts w:ascii="ITC Avant Garde" w:hAnsi="ITC Avant Garde"/>
          <w:sz w:val="18"/>
          <w:szCs w:val="18"/>
          <w:lang w:val="es-ES_tradnl"/>
        </w:rPr>
        <w:t>factor</w:t>
      </w:r>
      <w:proofErr w:type="spellEnd"/>
      <w:r w:rsidR="000E1C51" w:rsidRPr="00ED27DC">
        <w:rPr>
          <w:rFonts w:ascii="ITC Avant Garde" w:hAnsi="ITC Avant Garde"/>
          <w:sz w:val="18"/>
          <w:szCs w:val="18"/>
          <w:lang w:val="es-ES_tradnl"/>
        </w:rPr>
        <w:t xml:space="preserve"> de crecimiento de 4.4%</w:t>
      </w:r>
      <w:r w:rsidR="004E1E51">
        <w:rPr>
          <w:rFonts w:ascii="ITC Avant Garde" w:hAnsi="ITC Avant Garde"/>
          <w:sz w:val="18"/>
          <w:szCs w:val="18"/>
          <w:lang w:val="es-ES_tradnl"/>
        </w:rPr>
        <w:t xml:space="preserve">, el cual </w:t>
      </w:r>
      <w:r w:rsidR="000E1C51" w:rsidRPr="00ED27DC">
        <w:rPr>
          <w:rFonts w:ascii="ITC Avant Garde" w:hAnsi="ITC Avant Garde"/>
          <w:sz w:val="18"/>
          <w:szCs w:val="18"/>
          <w:lang w:val="es-ES_tradnl"/>
        </w:rPr>
        <w:t>corresponde con la evolución nominal de los salarios</w:t>
      </w:r>
      <w:r w:rsidR="00190DEA" w:rsidRPr="00ED27DC">
        <w:rPr>
          <w:rStyle w:val="Refdenotaalpie"/>
          <w:rFonts w:ascii="ITC Avant Garde" w:hAnsi="ITC Avant Garde"/>
          <w:szCs w:val="18"/>
          <w:lang w:val="es-ES_tradnl"/>
        </w:rPr>
        <w:footnoteReference w:id="4"/>
      </w:r>
      <w:r w:rsidR="000E1C51" w:rsidRPr="00ED27DC">
        <w:rPr>
          <w:rFonts w:ascii="ITC Avant Garde" w:hAnsi="ITC Avant Garde"/>
          <w:sz w:val="18"/>
          <w:szCs w:val="18"/>
          <w:lang w:val="es-ES_tradnl"/>
        </w:rPr>
        <w:t xml:space="preserve"> reportada por el AEP en el marco de la elaboración del modelo. Asimismo, dado que las tendencias del modelo se encuentran en términos “reales”, al valor anterior se le descuenta la tasa de inflación anual correspondiente.</w:t>
      </w:r>
    </w:p>
    <w:p w14:paraId="76804F5F" w14:textId="77777777" w:rsidR="006B04CB" w:rsidRPr="00ED27DC" w:rsidRDefault="00C32AC6" w:rsidP="006B04CB">
      <w:pPr>
        <w:spacing w:after="120"/>
        <w:rPr>
          <w:rFonts w:ascii="ITC Avant Garde" w:hAnsi="ITC Avant Garde"/>
          <w:i/>
          <w:sz w:val="18"/>
          <w:szCs w:val="18"/>
          <w:u w:val="single"/>
          <w:lang w:val="es-ES_tradnl"/>
        </w:rPr>
      </w:pPr>
      <w:r w:rsidRPr="00ED27DC">
        <w:rPr>
          <w:rFonts w:ascii="ITC Avant Garde" w:hAnsi="ITC Avant Garde"/>
          <w:i/>
          <w:sz w:val="18"/>
          <w:szCs w:val="18"/>
          <w:u w:val="single"/>
          <w:lang w:val="es-ES_tradnl"/>
        </w:rPr>
        <w:t xml:space="preserve">3.4 </w:t>
      </w:r>
      <w:r w:rsidR="006B04CB" w:rsidRPr="00ED27DC">
        <w:rPr>
          <w:rFonts w:ascii="ITC Avant Garde" w:hAnsi="ITC Avant Garde"/>
          <w:i/>
          <w:sz w:val="18"/>
          <w:szCs w:val="18"/>
          <w:u w:val="single"/>
          <w:lang w:val="es-ES_tradnl"/>
        </w:rPr>
        <w:t>Comentario de la Consulta Pública</w:t>
      </w:r>
    </w:p>
    <w:p w14:paraId="3371F243" w14:textId="610868AA" w:rsidR="006B04CB" w:rsidRPr="00ED27DC" w:rsidRDefault="000E1C51" w:rsidP="000E1C51">
      <w:pPr>
        <w:spacing w:after="120"/>
        <w:rPr>
          <w:rFonts w:ascii="ITC Avant Garde" w:hAnsi="ITC Avant Garde"/>
          <w:sz w:val="18"/>
          <w:szCs w:val="18"/>
          <w:lang w:val="es-MX"/>
        </w:rPr>
      </w:pPr>
      <w:r w:rsidRPr="00ED27DC">
        <w:rPr>
          <w:rFonts w:ascii="ITC Avant Garde" w:hAnsi="ITC Avant Garde"/>
          <w:sz w:val="18"/>
          <w:szCs w:val="18"/>
          <w:lang w:val="es-MX"/>
        </w:rPr>
        <w:t xml:space="preserve">Respecto </w:t>
      </w:r>
      <w:r w:rsidR="003D4710" w:rsidRPr="00ED27DC">
        <w:rPr>
          <w:rFonts w:ascii="ITC Avant Garde" w:hAnsi="ITC Avant Garde"/>
          <w:sz w:val="18"/>
          <w:szCs w:val="18"/>
          <w:lang w:val="es-MX"/>
        </w:rPr>
        <w:t>del apartado</w:t>
      </w:r>
      <w:r w:rsidRPr="00ED27DC">
        <w:rPr>
          <w:rFonts w:ascii="ITC Avant Garde" w:hAnsi="ITC Avant Garde"/>
          <w:sz w:val="18"/>
          <w:szCs w:val="18"/>
          <w:lang w:val="es-MX"/>
        </w:rPr>
        <w:t xml:space="preserve"> "Definición de insumos unitarios de espacio ocupado y potencia eléctrica de cada recurso" </w:t>
      </w:r>
      <w:proofErr w:type="spellStart"/>
      <w:r w:rsidR="003D4710" w:rsidRPr="00ED27DC">
        <w:rPr>
          <w:rFonts w:ascii="ITC Avant Garde" w:hAnsi="ITC Avant Garde"/>
          <w:sz w:val="18"/>
          <w:szCs w:val="18"/>
          <w:lang w:val="es-MX"/>
        </w:rPr>
        <w:t>Televimex</w:t>
      </w:r>
      <w:proofErr w:type="spellEnd"/>
      <w:r w:rsidR="003D4710" w:rsidRPr="00ED27DC">
        <w:rPr>
          <w:rFonts w:ascii="ITC Avant Garde" w:hAnsi="ITC Avant Garde"/>
          <w:sz w:val="18"/>
          <w:szCs w:val="18"/>
          <w:lang w:val="es-MX"/>
        </w:rPr>
        <w:t xml:space="preserve"> refiere que</w:t>
      </w:r>
      <w:r w:rsidRPr="00ED27DC">
        <w:rPr>
          <w:rFonts w:ascii="ITC Avant Garde" w:hAnsi="ITC Avant Garde"/>
          <w:sz w:val="18"/>
          <w:szCs w:val="18"/>
          <w:lang w:val="es-MX"/>
        </w:rPr>
        <w:t xml:space="preserve"> no es clara la fuente de información que utilizó para determinar el dimensionamiento adicional, provocando que para el caso que se intente </w:t>
      </w:r>
      <w:r w:rsidR="00227ACD" w:rsidRPr="00227ACD">
        <w:rPr>
          <w:rFonts w:ascii="ITC Avant Garde" w:hAnsi="ITC Avant Garde"/>
          <w:i/>
          <w:sz w:val="18"/>
          <w:szCs w:val="18"/>
          <w:lang w:val="es-MX"/>
        </w:rPr>
        <w:t>“</w:t>
      </w:r>
      <w:r w:rsidRPr="00227ACD">
        <w:rPr>
          <w:rFonts w:ascii="ITC Avant Garde" w:hAnsi="ITC Avant Garde"/>
          <w:i/>
          <w:sz w:val="18"/>
          <w:szCs w:val="18"/>
          <w:lang w:val="es-MX"/>
        </w:rPr>
        <w:t>poblar</w:t>
      </w:r>
      <w:r w:rsidR="00227ACD" w:rsidRPr="00227ACD">
        <w:rPr>
          <w:rFonts w:ascii="ITC Avant Garde" w:hAnsi="ITC Avant Garde"/>
          <w:i/>
          <w:sz w:val="18"/>
          <w:szCs w:val="18"/>
          <w:lang w:val="es-MX"/>
        </w:rPr>
        <w:t>”</w:t>
      </w:r>
      <w:r w:rsidRPr="00ED27DC">
        <w:rPr>
          <w:rFonts w:ascii="ITC Avant Garde" w:hAnsi="ITC Avant Garde"/>
          <w:sz w:val="18"/>
          <w:szCs w:val="18"/>
          <w:lang w:val="es-MX"/>
        </w:rPr>
        <w:t xml:space="preserve"> el Modelo de Costos, se corra el riesgo de cambiar los resultados en la determinación de valores, al no resultar ser los valores que están agregados y expresados en las filas 156 a la 170 del Modelo de Costos, por lo que no existe claridad respecto a la información que se está considerando para determinar los valores de cada insumo, solicitando a ese Instituto otorgue</w:t>
      </w:r>
      <w:r w:rsidR="003D4710" w:rsidRPr="00ED27DC">
        <w:rPr>
          <w:rFonts w:ascii="ITC Avant Garde" w:hAnsi="ITC Avant Garde"/>
          <w:sz w:val="18"/>
          <w:szCs w:val="18"/>
          <w:lang w:val="es-MX"/>
        </w:rPr>
        <w:t xml:space="preserve"> claridad respecto a este paso.</w:t>
      </w:r>
    </w:p>
    <w:p w14:paraId="3567CCD5" w14:textId="77777777" w:rsidR="006B04CB" w:rsidRPr="00ED27DC" w:rsidRDefault="00C32AC6" w:rsidP="006B04CB">
      <w:pPr>
        <w:spacing w:after="120"/>
        <w:rPr>
          <w:rFonts w:ascii="ITC Avant Garde" w:hAnsi="ITC Avant Garde"/>
          <w:sz w:val="18"/>
          <w:u w:val="single"/>
          <w:lang w:val="es-ES_tradnl"/>
        </w:rPr>
      </w:pPr>
      <w:r w:rsidRPr="00ED27DC">
        <w:rPr>
          <w:rFonts w:ascii="ITC Avant Garde" w:hAnsi="ITC Avant Garde"/>
          <w:sz w:val="18"/>
          <w:u w:val="single"/>
          <w:lang w:val="es-ES_tradnl"/>
        </w:rPr>
        <w:t xml:space="preserve">3.4 </w:t>
      </w:r>
      <w:r w:rsidR="006B04CB" w:rsidRPr="00ED27DC">
        <w:rPr>
          <w:rFonts w:ascii="ITC Avant Garde" w:hAnsi="ITC Avant Garde"/>
          <w:sz w:val="18"/>
          <w:u w:val="single"/>
          <w:lang w:val="es-ES_tradnl"/>
        </w:rPr>
        <w:t>Respuesta del Instituto</w:t>
      </w:r>
    </w:p>
    <w:p w14:paraId="6A29CEB5" w14:textId="77777777" w:rsidR="00190DEA" w:rsidRPr="00ED27DC" w:rsidRDefault="00190DEA" w:rsidP="00190DEA">
      <w:pPr>
        <w:spacing w:after="120"/>
        <w:rPr>
          <w:rFonts w:ascii="ITC Avant Garde" w:hAnsi="ITC Avant Garde"/>
          <w:sz w:val="18"/>
          <w:szCs w:val="18"/>
          <w:lang w:val="es-ES_tradnl"/>
        </w:rPr>
      </w:pPr>
      <w:r w:rsidRPr="00ED27DC">
        <w:rPr>
          <w:rFonts w:ascii="ITC Avant Garde" w:hAnsi="ITC Avant Garde"/>
          <w:sz w:val="18"/>
          <w:szCs w:val="18"/>
          <w:lang w:val="es-ES_tradnl"/>
        </w:rPr>
        <w:t xml:space="preserve">Los insumos unitarios relativos al espacio ocupado y potencia eléctrica requerida de cada uno de los recursos modelados se caracterizan en las hojas ‘2C INP ESPACIO’ y ‘2D INP POTENCIA’, de </w:t>
      </w:r>
      <w:r w:rsidRPr="00ED27DC">
        <w:rPr>
          <w:rFonts w:ascii="ITC Avant Garde" w:hAnsi="ITC Avant Garde"/>
          <w:sz w:val="18"/>
          <w:szCs w:val="18"/>
          <w:lang w:val="es-ES_tradnl"/>
        </w:rPr>
        <w:lastRenderedPageBreak/>
        <w:t xml:space="preserve">acuerdo con lo indicado en la Sección 6 del ‘Documento metodológico del modelo’ sometido a consulta pública. </w:t>
      </w:r>
    </w:p>
    <w:p w14:paraId="60EBF2F5" w14:textId="77777777" w:rsidR="00190DEA" w:rsidRPr="00ED27DC" w:rsidRDefault="00190DEA" w:rsidP="00190DEA">
      <w:pPr>
        <w:spacing w:after="120"/>
        <w:rPr>
          <w:rFonts w:ascii="ITC Avant Garde" w:hAnsi="ITC Avant Garde"/>
          <w:sz w:val="18"/>
          <w:szCs w:val="18"/>
          <w:lang w:val="es-ES_tradnl"/>
        </w:rPr>
      </w:pPr>
      <w:r w:rsidRPr="00ED27DC">
        <w:rPr>
          <w:rFonts w:ascii="ITC Avant Garde" w:hAnsi="ITC Avant Garde"/>
          <w:sz w:val="18"/>
          <w:szCs w:val="18"/>
          <w:lang w:val="es-ES_tradnl"/>
        </w:rPr>
        <w:t xml:space="preserve">La hoja ‘6B CONS TOTAL KPI’ calcula, para cada categoría de sitio, el espacio y potencia eléctrica total de todos los recursos ubicados en los sitios que conforman dicha categoría, como el producto del insumo unitario (referido en el párrafo anterior) por el número de recursos totales resultante del proceso de dimensionado. </w:t>
      </w:r>
    </w:p>
    <w:p w14:paraId="56D48ED9" w14:textId="77777777" w:rsidR="00190DEA" w:rsidRPr="00ED27DC" w:rsidRDefault="00190DEA" w:rsidP="00190DEA">
      <w:pPr>
        <w:spacing w:after="120"/>
        <w:rPr>
          <w:rFonts w:ascii="ITC Avant Garde" w:hAnsi="ITC Avant Garde"/>
          <w:sz w:val="18"/>
          <w:szCs w:val="18"/>
          <w:lang w:val="es-ES_tradnl"/>
        </w:rPr>
      </w:pPr>
      <w:r w:rsidRPr="00ED27DC">
        <w:rPr>
          <w:rFonts w:ascii="ITC Avant Garde" w:hAnsi="ITC Avant Garde"/>
          <w:sz w:val="18"/>
          <w:szCs w:val="18"/>
          <w:lang w:val="es-ES_tradnl"/>
        </w:rPr>
        <w:t>Posteriormente, la mencionada hoja ‘6C CONS KPI SERV’ convierte el espacio y potencia eléctrica a nivel de recurso, en espacio y potencia eléctrica a nivel de servicio modelado (a través del mapeo establecido en la hoja ‘3B MAP SERV UNIDADES’).</w:t>
      </w:r>
    </w:p>
    <w:p w14:paraId="3378FF9D" w14:textId="77777777" w:rsidR="006B04CB" w:rsidRPr="00ED27DC" w:rsidRDefault="00C32AC6" w:rsidP="00190DEA">
      <w:pPr>
        <w:spacing w:after="120"/>
        <w:rPr>
          <w:rFonts w:ascii="ITC Avant Garde" w:hAnsi="ITC Avant Garde"/>
          <w:i/>
          <w:sz w:val="18"/>
          <w:szCs w:val="18"/>
          <w:u w:val="single"/>
          <w:lang w:val="es-ES_tradnl"/>
        </w:rPr>
      </w:pPr>
      <w:r w:rsidRPr="00ED27DC">
        <w:rPr>
          <w:rFonts w:ascii="ITC Avant Garde" w:hAnsi="ITC Avant Garde"/>
          <w:i/>
          <w:sz w:val="18"/>
          <w:szCs w:val="18"/>
          <w:u w:val="single"/>
          <w:lang w:val="es-ES_tradnl"/>
        </w:rPr>
        <w:t xml:space="preserve">3.5 </w:t>
      </w:r>
      <w:r w:rsidR="006B04CB" w:rsidRPr="00ED27DC">
        <w:rPr>
          <w:rFonts w:ascii="ITC Avant Garde" w:hAnsi="ITC Avant Garde"/>
          <w:i/>
          <w:sz w:val="18"/>
          <w:szCs w:val="18"/>
          <w:u w:val="single"/>
          <w:lang w:val="es-ES_tradnl"/>
        </w:rPr>
        <w:t>Comentario de la Consulta Pública</w:t>
      </w:r>
    </w:p>
    <w:p w14:paraId="43F2E946" w14:textId="77777777" w:rsidR="006B04CB" w:rsidRPr="00ED27DC" w:rsidRDefault="00190DEA" w:rsidP="003D4710">
      <w:pPr>
        <w:spacing w:after="120"/>
        <w:rPr>
          <w:rFonts w:ascii="ITC Avant Garde" w:hAnsi="ITC Avant Garde"/>
          <w:sz w:val="18"/>
          <w:szCs w:val="18"/>
          <w:lang w:val="es-MX"/>
        </w:rPr>
      </w:pPr>
      <w:r w:rsidRPr="00ED27DC">
        <w:rPr>
          <w:rFonts w:ascii="ITC Avant Garde" w:hAnsi="ITC Avant Garde"/>
          <w:sz w:val="18"/>
          <w:szCs w:val="18"/>
          <w:lang w:val="es-MX"/>
        </w:rPr>
        <w:t>Respecto la Hoja del</w:t>
      </w:r>
      <w:r w:rsidR="001D5B09" w:rsidRPr="00ED27DC">
        <w:rPr>
          <w:rFonts w:ascii="ITC Avant Garde" w:hAnsi="ITC Avant Garde"/>
          <w:sz w:val="18"/>
          <w:szCs w:val="18"/>
          <w:lang w:val="es-MX"/>
        </w:rPr>
        <w:t xml:space="preserve"> Modelo de Costos denominada "1</w:t>
      </w:r>
      <w:r w:rsidR="003D4710" w:rsidRPr="00ED27DC">
        <w:rPr>
          <w:rFonts w:ascii="ITC Avant Garde" w:hAnsi="ITC Avant Garde"/>
          <w:sz w:val="18"/>
          <w:szCs w:val="18"/>
          <w:lang w:val="es-MX"/>
        </w:rPr>
        <w:t xml:space="preserve">C INP COSTOS UNITARIOS" considera </w:t>
      </w:r>
      <w:proofErr w:type="spellStart"/>
      <w:r w:rsidR="003D4710" w:rsidRPr="00ED27DC">
        <w:rPr>
          <w:rFonts w:ascii="ITC Avant Garde" w:hAnsi="ITC Avant Garde"/>
          <w:sz w:val="18"/>
          <w:szCs w:val="18"/>
          <w:lang w:val="es-MX"/>
        </w:rPr>
        <w:t>Televimex</w:t>
      </w:r>
      <w:proofErr w:type="spellEnd"/>
      <w:r w:rsidRPr="00ED27DC">
        <w:rPr>
          <w:rFonts w:ascii="ITC Avant Garde" w:hAnsi="ITC Avant Garde"/>
          <w:sz w:val="18"/>
          <w:szCs w:val="18"/>
          <w:lang w:val="es-MX"/>
        </w:rPr>
        <w:t xml:space="preserve"> que los valores para el rubro "Torre" fueron atribuidos con base en una referencia denominada como "Media de la Industria" y expresados en Euros, siendo lo anterior incorrecto dejando en desventaja a </w:t>
      </w:r>
      <w:r w:rsidR="003D4710" w:rsidRPr="00ED27DC">
        <w:rPr>
          <w:rFonts w:ascii="ITC Avant Garde" w:hAnsi="ITC Avant Garde"/>
          <w:sz w:val="18"/>
          <w:szCs w:val="18"/>
          <w:lang w:val="es-MX"/>
        </w:rPr>
        <w:t>la empresa</w:t>
      </w:r>
      <w:r w:rsidRPr="00ED27DC">
        <w:rPr>
          <w:rFonts w:ascii="ITC Avant Garde" w:hAnsi="ITC Avant Garde"/>
          <w:sz w:val="18"/>
          <w:szCs w:val="18"/>
          <w:lang w:val="es-MX"/>
        </w:rPr>
        <w:t>, toda vez que (i) e</w:t>
      </w:r>
      <w:r w:rsidR="003D4710" w:rsidRPr="00ED27DC">
        <w:rPr>
          <w:rFonts w:ascii="ITC Avant Garde" w:hAnsi="ITC Avant Garde"/>
          <w:sz w:val="18"/>
          <w:szCs w:val="18"/>
          <w:lang w:val="es-MX"/>
        </w:rPr>
        <w:t>l</w:t>
      </w:r>
      <w:r w:rsidRPr="00ED27DC">
        <w:rPr>
          <w:rFonts w:ascii="ITC Avant Garde" w:hAnsi="ITC Avant Garde"/>
          <w:sz w:val="18"/>
          <w:szCs w:val="18"/>
          <w:lang w:val="es-MX"/>
        </w:rPr>
        <w:t xml:space="preserve"> Instituto atribuye valores de torres basados en agentes económicos cuya actividad principal es la del arrendamiento de infraestructura para los sectores de telecomunicaciones y radiodifusión (como lo es American Tower), sin considerar que la actividad económica de </w:t>
      </w:r>
      <w:proofErr w:type="spellStart"/>
      <w:r w:rsidR="003D4710" w:rsidRPr="00ED27DC">
        <w:rPr>
          <w:rFonts w:ascii="ITC Avant Garde" w:hAnsi="ITC Avant Garde"/>
          <w:sz w:val="18"/>
          <w:szCs w:val="18"/>
          <w:lang w:val="es-MX"/>
        </w:rPr>
        <w:t>Televimex</w:t>
      </w:r>
      <w:proofErr w:type="spellEnd"/>
      <w:r w:rsidRPr="00ED27DC">
        <w:rPr>
          <w:rFonts w:ascii="ITC Avant Garde" w:hAnsi="ITC Avant Garde"/>
          <w:sz w:val="18"/>
          <w:szCs w:val="18"/>
          <w:lang w:val="es-MX"/>
        </w:rPr>
        <w:t xml:space="preserve"> es la de la prestación del Servicio de Televisión Radiodifundida, actividad que incide directamente en la forma, periodicidad y montos de inversión en infraestructura pasiva (misma que se realiza en función a factores de expansión poblacional y de audiencias) y (ii) en la práctica ordinaria de la industria mexicana que es aquella a la que se ciñe </w:t>
      </w:r>
      <w:proofErr w:type="spellStart"/>
      <w:r w:rsidR="003D4710" w:rsidRPr="00ED27DC">
        <w:rPr>
          <w:rFonts w:ascii="ITC Avant Garde" w:hAnsi="ITC Avant Garde"/>
          <w:sz w:val="18"/>
          <w:szCs w:val="18"/>
          <w:lang w:val="es-MX"/>
        </w:rPr>
        <w:t>Televimex</w:t>
      </w:r>
      <w:proofErr w:type="spellEnd"/>
      <w:r w:rsidRPr="00ED27DC">
        <w:rPr>
          <w:rFonts w:ascii="ITC Avant Garde" w:hAnsi="ITC Avant Garde"/>
          <w:sz w:val="18"/>
          <w:szCs w:val="18"/>
          <w:lang w:val="es-MX"/>
        </w:rPr>
        <w:t>, se utiliza el Dólar Estadounidense como la moneda extranjera referente, por lo que lo procedente es ajustar los valores atribuidos para dicho rubro tomando en consideración las circunstancias específicas de mi representada, en la moneda extranjera utilizada como referencia, siend</w:t>
      </w:r>
      <w:r w:rsidR="003D4710" w:rsidRPr="00ED27DC">
        <w:rPr>
          <w:rFonts w:ascii="ITC Avant Garde" w:hAnsi="ITC Avant Garde"/>
          <w:sz w:val="18"/>
          <w:szCs w:val="18"/>
          <w:lang w:val="es-MX"/>
        </w:rPr>
        <w:t>o ésta el Dólar Estadounidense.</w:t>
      </w:r>
    </w:p>
    <w:p w14:paraId="58EC07F5" w14:textId="77777777" w:rsidR="006B04CB" w:rsidRPr="00ED27DC" w:rsidRDefault="001D5B09" w:rsidP="006B04CB">
      <w:pPr>
        <w:spacing w:after="120"/>
        <w:rPr>
          <w:rFonts w:ascii="ITC Avant Garde" w:hAnsi="ITC Avant Garde"/>
          <w:sz w:val="18"/>
          <w:u w:val="single"/>
          <w:lang w:val="es-ES_tradnl"/>
        </w:rPr>
      </w:pPr>
      <w:r w:rsidRPr="00ED27DC">
        <w:rPr>
          <w:rFonts w:ascii="ITC Avant Garde" w:hAnsi="ITC Avant Garde"/>
          <w:sz w:val="18"/>
          <w:u w:val="single"/>
          <w:lang w:val="es-ES_tradnl"/>
        </w:rPr>
        <w:t xml:space="preserve">3.5 </w:t>
      </w:r>
      <w:r w:rsidR="006B04CB" w:rsidRPr="00ED27DC">
        <w:rPr>
          <w:rFonts w:ascii="ITC Avant Garde" w:hAnsi="ITC Avant Garde"/>
          <w:sz w:val="18"/>
          <w:u w:val="single"/>
          <w:lang w:val="es-ES_tradnl"/>
        </w:rPr>
        <w:t>Respuesta del Instituto</w:t>
      </w:r>
    </w:p>
    <w:p w14:paraId="71FA2090" w14:textId="1E641DD7" w:rsidR="00190DEA" w:rsidRPr="00ED27DC" w:rsidRDefault="00190DEA" w:rsidP="00190DEA">
      <w:pPr>
        <w:spacing w:after="120"/>
        <w:rPr>
          <w:rFonts w:ascii="ITC Avant Garde" w:hAnsi="ITC Avant Garde"/>
          <w:color w:val="000000" w:themeColor="text1"/>
          <w:sz w:val="18"/>
          <w:szCs w:val="18"/>
          <w:lang w:val="es-MX"/>
        </w:rPr>
      </w:pPr>
      <w:r w:rsidRPr="00ED27DC">
        <w:rPr>
          <w:rFonts w:ascii="ITC Avant Garde" w:hAnsi="ITC Avant Garde"/>
          <w:color w:val="000000" w:themeColor="text1"/>
          <w:sz w:val="18"/>
          <w:szCs w:val="18"/>
          <w:lang w:val="es-MX"/>
        </w:rPr>
        <w:t xml:space="preserve">Se desconoce el origen de las afirmaciones de </w:t>
      </w:r>
      <w:proofErr w:type="spellStart"/>
      <w:r w:rsidR="008D65AA">
        <w:rPr>
          <w:rFonts w:ascii="ITC Avant Garde" w:hAnsi="ITC Avant Garde"/>
          <w:color w:val="000000" w:themeColor="text1"/>
          <w:sz w:val="18"/>
          <w:szCs w:val="18"/>
          <w:lang w:val="es-MX"/>
        </w:rPr>
        <w:t>Televimex</w:t>
      </w:r>
      <w:proofErr w:type="spellEnd"/>
      <w:r w:rsidRPr="00ED27DC">
        <w:rPr>
          <w:rFonts w:ascii="ITC Avant Garde" w:hAnsi="ITC Avant Garde"/>
          <w:color w:val="000000" w:themeColor="text1"/>
          <w:sz w:val="18"/>
          <w:szCs w:val="18"/>
          <w:lang w:val="es-MX"/>
        </w:rPr>
        <w:t xml:space="preserve"> al respecto de las fuentes de referencias tomadas para los valores de CAPEX unitario de las torres, ya que </w:t>
      </w:r>
      <w:r w:rsidR="008D65AA">
        <w:rPr>
          <w:rFonts w:ascii="ITC Avant Garde" w:hAnsi="ITC Avant Garde"/>
          <w:color w:val="000000" w:themeColor="text1"/>
          <w:sz w:val="18"/>
          <w:szCs w:val="18"/>
          <w:lang w:val="es-MX"/>
        </w:rPr>
        <w:t>é</w:t>
      </w:r>
      <w:r w:rsidRPr="00ED27DC">
        <w:rPr>
          <w:rFonts w:ascii="ITC Avant Garde" w:hAnsi="ITC Avant Garde"/>
          <w:color w:val="000000" w:themeColor="text1"/>
          <w:sz w:val="18"/>
          <w:szCs w:val="18"/>
          <w:lang w:val="es-MX"/>
        </w:rPr>
        <w:t>stos corresponden con referencias internacionales de empresas cuya actividad principal es la prestación del servicio de televisión radiodifundida, y no a agentes económicos cuya actividad principal es el arrendamiento de infraestructura, tales como American Tower.</w:t>
      </w:r>
    </w:p>
    <w:p w14:paraId="23C016FF" w14:textId="77777777" w:rsidR="00A81C13" w:rsidRPr="00ED27DC" w:rsidRDefault="00190DEA" w:rsidP="00190DEA">
      <w:pPr>
        <w:spacing w:after="120"/>
        <w:rPr>
          <w:rFonts w:ascii="ITC Avant Garde" w:hAnsi="ITC Avant Garde"/>
          <w:color w:val="000000" w:themeColor="text1"/>
          <w:sz w:val="18"/>
          <w:szCs w:val="18"/>
          <w:lang w:val="es-MX"/>
        </w:rPr>
      </w:pPr>
      <w:r w:rsidRPr="00ED27DC">
        <w:rPr>
          <w:rFonts w:ascii="ITC Avant Garde" w:hAnsi="ITC Avant Garde"/>
          <w:color w:val="000000" w:themeColor="text1"/>
          <w:sz w:val="18"/>
          <w:szCs w:val="18"/>
          <w:lang w:val="es-MX"/>
        </w:rPr>
        <w:t>Con posterioridad al proceso de consulta pública, se ha confirmado con proveedores de torres que sirven en el mercado mexicano que dichos valores son representativos de los costos de adquisición e instalación de torres de radiodifusión en México, a excepción de potenciales licencias de obra y adecuación que podrían diferir de un país a otro. Por lo tanto, se ha llevado a cabo en el modelo un ajuste para considerar dichas licencias según información del AEP. Igualmente, se ha ajustado la moneda de referencia tal y como se sugiere en el comentario</w:t>
      </w:r>
      <w:r w:rsidR="00A81C13" w:rsidRPr="00ED27DC">
        <w:rPr>
          <w:rFonts w:ascii="ITC Avant Garde" w:hAnsi="ITC Avant Garde"/>
          <w:color w:val="000000" w:themeColor="text1"/>
          <w:sz w:val="18"/>
          <w:szCs w:val="18"/>
          <w:lang w:val="es-MX"/>
        </w:rPr>
        <w:t xml:space="preserve"> y se explica a continuación:</w:t>
      </w:r>
    </w:p>
    <w:p w14:paraId="1B3EF0A8" w14:textId="77777777" w:rsidR="00A81C13" w:rsidRPr="00ED27DC" w:rsidRDefault="00A81C13" w:rsidP="00A81C13">
      <w:pPr>
        <w:spacing w:after="120"/>
        <w:rPr>
          <w:rFonts w:ascii="ITC Avant Garde" w:hAnsi="ITC Avant Garde"/>
          <w:color w:val="000000" w:themeColor="text1"/>
          <w:sz w:val="18"/>
          <w:szCs w:val="18"/>
          <w:lang w:val="es-MX"/>
        </w:rPr>
      </w:pPr>
      <w:r w:rsidRPr="00ED27DC">
        <w:rPr>
          <w:rFonts w:ascii="ITC Avant Garde" w:hAnsi="ITC Avant Garde"/>
          <w:color w:val="000000" w:themeColor="text1"/>
          <w:sz w:val="18"/>
          <w:szCs w:val="18"/>
          <w:lang w:val="es-MX"/>
        </w:rPr>
        <w:t>En la versión final del modelo, se han llevado a cabo los siguientes ajustes con relación a los insumos unitarios de CAPEX de las torres:</w:t>
      </w:r>
    </w:p>
    <w:p w14:paraId="58A32376" w14:textId="01D97D6D" w:rsidR="00A81C13" w:rsidRPr="00ED27DC" w:rsidRDefault="00A81C13" w:rsidP="00ED27DC">
      <w:pPr>
        <w:pStyle w:val="Prrafodelista"/>
        <w:numPr>
          <w:ilvl w:val="0"/>
          <w:numId w:val="46"/>
        </w:numPr>
        <w:spacing w:after="120"/>
        <w:rPr>
          <w:rFonts w:ascii="ITC Avant Garde" w:hAnsi="ITC Avant Garde"/>
          <w:color w:val="000000" w:themeColor="text1"/>
          <w:sz w:val="18"/>
          <w:szCs w:val="18"/>
          <w:lang w:val="es-MX"/>
        </w:rPr>
      </w:pPr>
      <w:r w:rsidRPr="00ED27DC">
        <w:rPr>
          <w:rFonts w:ascii="ITC Avant Garde" w:hAnsi="ITC Avant Garde"/>
          <w:color w:val="000000" w:themeColor="text1"/>
          <w:sz w:val="18"/>
          <w:szCs w:val="18"/>
          <w:lang w:val="es-MX"/>
        </w:rPr>
        <w:lastRenderedPageBreak/>
        <w:t xml:space="preserve">En primer lugar, se ha ajustado la moneda de referencia para estos insumos, utilizando el peso mexicano que es el empleado por </w:t>
      </w:r>
      <w:r w:rsidR="002C2C03">
        <w:rPr>
          <w:rFonts w:ascii="ITC Avant Garde" w:hAnsi="ITC Avant Garde"/>
          <w:color w:val="000000" w:themeColor="text1"/>
          <w:sz w:val="18"/>
          <w:szCs w:val="18"/>
          <w:lang w:val="es-MX"/>
        </w:rPr>
        <w:t>Grupo Televisa</w:t>
      </w:r>
      <w:r w:rsidRPr="00ED27DC">
        <w:rPr>
          <w:rFonts w:ascii="ITC Avant Garde" w:hAnsi="ITC Avant Garde"/>
          <w:color w:val="000000" w:themeColor="text1"/>
          <w:sz w:val="18"/>
          <w:szCs w:val="18"/>
          <w:lang w:val="es-MX"/>
        </w:rPr>
        <w:t xml:space="preserve"> en la información provista al respecto.</w:t>
      </w:r>
    </w:p>
    <w:p w14:paraId="05945C2F" w14:textId="77777777" w:rsidR="00A81C13" w:rsidRPr="00ED27DC" w:rsidRDefault="00A81C13" w:rsidP="00ED27DC">
      <w:pPr>
        <w:pStyle w:val="Prrafodelista"/>
        <w:spacing w:after="120"/>
        <w:rPr>
          <w:rFonts w:ascii="ITC Avant Garde" w:hAnsi="ITC Avant Garde"/>
          <w:color w:val="000000" w:themeColor="text1"/>
          <w:sz w:val="18"/>
          <w:szCs w:val="18"/>
          <w:lang w:val="es-MX"/>
        </w:rPr>
      </w:pPr>
    </w:p>
    <w:p w14:paraId="274DEF30" w14:textId="30FEE50E" w:rsidR="00355883" w:rsidRPr="00984BBD" w:rsidRDefault="00A81C13" w:rsidP="00984BBD">
      <w:pPr>
        <w:pStyle w:val="Prrafodelista"/>
        <w:numPr>
          <w:ilvl w:val="0"/>
          <w:numId w:val="46"/>
        </w:numPr>
        <w:spacing w:after="120"/>
        <w:rPr>
          <w:rFonts w:ascii="ITC Avant Garde" w:hAnsi="ITC Avant Garde"/>
          <w:color w:val="000000" w:themeColor="text1"/>
          <w:sz w:val="18"/>
          <w:szCs w:val="18"/>
          <w:lang w:val="es-MX"/>
        </w:rPr>
      </w:pPr>
      <w:r w:rsidRPr="00ED27DC">
        <w:rPr>
          <w:rFonts w:ascii="ITC Avant Garde" w:hAnsi="ITC Avant Garde"/>
          <w:color w:val="000000" w:themeColor="text1"/>
          <w:sz w:val="18"/>
          <w:szCs w:val="18"/>
          <w:lang w:val="es-MX"/>
        </w:rPr>
        <w:t>En segundo lugar, se han añadido a los insumos unitarios de CAPEX propuestos en el modelo sometido a consulta pública aquellos costos asociados a las licencias de obra y adecuación de las torres, a partir de información reportada por el AEP en el marco de la elaboración del modelo.</w:t>
      </w:r>
    </w:p>
    <w:p w14:paraId="73DDD4AF" w14:textId="77777777" w:rsidR="006B04CB" w:rsidRPr="00ED27DC" w:rsidRDefault="001D5B09" w:rsidP="006B04CB">
      <w:pPr>
        <w:spacing w:after="120"/>
        <w:rPr>
          <w:rFonts w:ascii="ITC Avant Garde" w:hAnsi="ITC Avant Garde"/>
          <w:i/>
          <w:sz w:val="18"/>
          <w:szCs w:val="18"/>
          <w:u w:val="single"/>
          <w:lang w:val="es-ES_tradnl"/>
        </w:rPr>
      </w:pPr>
      <w:r w:rsidRPr="00ED27DC">
        <w:rPr>
          <w:rFonts w:ascii="ITC Avant Garde" w:hAnsi="ITC Avant Garde"/>
          <w:i/>
          <w:sz w:val="18"/>
          <w:szCs w:val="18"/>
          <w:u w:val="single"/>
          <w:lang w:val="es-ES_tradnl"/>
        </w:rPr>
        <w:t xml:space="preserve">3.6 </w:t>
      </w:r>
      <w:r w:rsidR="006B04CB" w:rsidRPr="00ED27DC">
        <w:rPr>
          <w:rFonts w:ascii="ITC Avant Garde" w:hAnsi="ITC Avant Garde"/>
          <w:i/>
          <w:sz w:val="18"/>
          <w:szCs w:val="18"/>
          <w:u w:val="single"/>
          <w:lang w:val="es-ES_tradnl"/>
        </w:rPr>
        <w:t>Comentario de la Consulta Pública</w:t>
      </w:r>
    </w:p>
    <w:p w14:paraId="20352C05" w14:textId="77777777" w:rsidR="006B04CB" w:rsidRPr="00ED27DC" w:rsidRDefault="00355883" w:rsidP="00190DEA">
      <w:pPr>
        <w:spacing w:after="120"/>
        <w:rPr>
          <w:rFonts w:ascii="ITC Avant Garde" w:hAnsi="ITC Avant Garde"/>
          <w:sz w:val="18"/>
          <w:szCs w:val="18"/>
          <w:lang w:val="es-MX"/>
        </w:rPr>
      </w:pPr>
      <w:r w:rsidRPr="00ED27DC">
        <w:rPr>
          <w:rFonts w:ascii="ITC Avant Garde" w:hAnsi="ITC Avant Garde"/>
          <w:sz w:val="18"/>
          <w:szCs w:val="18"/>
          <w:lang w:val="es-MX"/>
        </w:rPr>
        <w:t>Por último, r</w:t>
      </w:r>
      <w:r w:rsidR="00190DEA" w:rsidRPr="00ED27DC">
        <w:rPr>
          <w:rFonts w:ascii="ITC Avant Garde" w:hAnsi="ITC Avant Garde"/>
          <w:sz w:val="18"/>
          <w:szCs w:val="18"/>
          <w:lang w:val="es-MX"/>
        </w:rPr>
        <w:t>especto la Hoja del Modelo de Costos den</w:t>
      </w:r>
      <w:r w:rsidRPr="00ED27DC">
        <w:rPr>
          <w:rFonts w:ascii="ITC Avant Garde" w:hAnsi="ITC Avant Garde"/>
          <w:sz w:val="18"/>
          <w:szCs w:val="18"/>
          <w:lang w:val="es-MX"/>
        </w:rPr>
        <w:t xml:space="preserve">ominada "3D MAP PAR ESTACIONES" </w:t>
      </w:r>
      <w:proofErr w:type="spellStart"/>
      <w:r w:rsidRPr="00ED27DC">
        <w:rPr>
          <w:rFonts w:ascii="ITC Avant Garde" w:hAnsi="ITC Avant Garde"/>
          <w:sz w:val="18"/>
          <w:szCs w:val="18"/>
          <w:lang w:val="es-MX"/>
        </w:rPr>
        <w:t>Televimex</w:t>
      </w:r>
      <w:proofErr w:type="spellEnd"/>
      <w:r w:rsidRPr="00ED27DC">
        <w:rPr>
          <w:rFonts w:ascii="ITC Avant Garde" w:hAnsi="ITC Avant Garde"/>
          <w:sz w:val="18"/>
          <w:szCs w:val="18"/>
          <w:lang w:val="es-MX"/>
        </w:rPr>
        <w:t xml:space="preserve"> refiere</w:t>
      </w:r>
      <w:r w:rsidR="00190DEA" w:rsidRPr="00ED27DC">
        <w:rPr>
          <w:rFonts w:ascii="ITC Avant Garde" w:hAnsi="ITC Avant Garde"/>
          <w:sz w:val="18"/>
          <w:szCs w:val="18"/>
          <w:lang w:val="es-MX"/>
        </w:rPr>
        <w:t xml:space="preserve"> que respecto a la categorización de estaciones que proponen en el Modelo de Costos, se considera como insumo principal la "Torre" (y la altura de ésta), sin establecer justificación alguna para considerar dicho atributo, por lo que se solicita a ese Instituto realice la aclaración y modificación procedente, para que en su caso, el atributo "Torre" (y su altura) no sea un elemento que ayude a definir la clasificación de estaciones.”</w:t>
      </w:r>
    </w:p>
    <w:p w14:paraId="32E68BC4" w14:textId="77777777" w:rsidR="006B04CB" w:rsidRPr="00ED27DC" w:rsidRDefault="001D5B09" w:rsidP="006B04CB">
      <w:pPr>
        <w:spacing w:after="120"/>
        <w:rPr>
          <w:rFonts w:ascii="ITC Avant Garde" w:hAnsi="ITC Avant Garde"/>
          <w:sz w:val="18"/>
          <w:u w:val="single"/>
          <w:lang w:val="es-ES_tradnl"/>
        </w:rPr>
      </w:pPr>
      <w:r w:rsidRPr="00ED27DC">
        <w:rPr>
          <w:rFonts w:ascii="ITC Avant Garde" w:hAnsi="ITC Avant Garde"/>
          <w:sz w:val="18"/>
          <w:u w:val="single"/>
          <w:lang w:val="es-ES_tradnl"/>
        </w:rPr>
        <w:t xml:space="preserve">3.6 </w:t>
      </w:r>
      <w:r w:rsidR="006B04CB" w:rsidRPr="00ED27DC">
        <w:rPr>
          <w:rFonts w:ascii="ITC Avant Garde" w:hAnsi="ITC Avant Garde"/>
          <w:sz w:val="18"/>
          <w:u w:val="single"/>
          <w:lang w:val="es-ES_tradnl"/>
        </w:rPr>
        <w:t>Respuesta del Instituto</w:t>
      </w:r>
    </w:p>
    <w:p w14:paraId="518CB0C6" w14:textId="77777777" w:rsidR="00190DEA" w:rsidRPr="00ED27DC" w:rsidRDefault="00190DEA" w:rsidP="00190DEA">
      <w:pPr>
        <w:rPr>
          <w:rFonts w:ascii="ITC Avant Garde" w:hAnsi="ITC Avant Garde"/>
          <w:sz w:val="18"/>
          <w:szCs w:val="18"/>
          <w:lang w:val="es-ES_tradnl"/>
        </w:rPr>
      </w:pPr>
      <w:r w:rsidRPr="00ED27DC">
        <w:rPr>
          <w:rFonts w:ascii="ITC Avant Garde" w:hAnsi="ITC Avant Garde"/>
          <w:sz w:val="18"/>
          <w:szCs w:val="18"/>
          <w:lang w:val="es-ES_tradnl"/>
        </w:rPr>
        <w:t xml:space="preserve">El modelo de costos sometido a consulta pública tomaba una categorización de los sitios consistente con la definida por el AEP en la propuesta de </w:t>
      </w:r>
      <w:r w:rsidR="007D5DAA" w:rsidRPr="00ED27DC">
        <w:rPr>
          <w:rFonts w:ascii="ITC Avant Garde" w:hAnsi="ITC Avant Garde"/>
          <w:sz w:val="18"/>
          <w:szCs w:val="18"/>
          <w:lang w:val="es-ES_tradnl"/>
        </w:rPr>
        <w:t>OPI</w:t>
      </w:r>
      <w:r w:rsidRPr="00ED27DC">
        <w:rPr>
          <w:rFonts w:ascii="ITC Avant Garde" w:hAnsi="ITC Avant Garde"/>
          <w:sz w:val="18"/>
          <w:szCs w:val="18"/>
          <w:lang w:val="es-ES_tradnl"/>
        </w:rPr>
        <w:t xml:space="preserve"> presentada al Instituto.</w:t>
      </w:r>
    </w:p>
    <w:p w14:paraId="704F5D8A" w14:textId="77777777" w:rsidR="00D56184" w:rsidRDefault="002736D8" w:rsidP="00190DEA">
      <w:pPr>
        <w:rPr>
          <w:rFonts w:ascii="ITC Avant Garde" w:hAnsi="ITC Avant Garde"/>
          <w:sz w:val="18"/>
          <w:szCs w:val="18"/>
          <w:u w:val="single"/>
          <w:lang w:val="es-ES_tradnl"/>
        </w:rPr>
      </w:pPr>
      <w:r>
        <w:rPr>
          <w:rFonts w:ascii="ITC Avant Garde" w:hAnsi="ITC Avant Garde"/>
          <w:sz w:val="18"/>
          <w:szCs w:val="18"/>
          <w:u w:val="single"/>
          <w:lang w:val="es-ES_tradnl"/>
        </w:rPr>
        <w:t xml:space="preserve">Sin embargo, </w:t>
      </w:r>
      <w:r w:rsidR="00D56184">
        <w:rPr>
          <w:rFonts w:ascii="ITC Avant Garde" w:hAnsi="ITC Avant Garde"/>
          <w:sz w:val="18"/>
          <w:szCs w:val="18"/>
          <w:u w:val="single"/>
          <w:lang w:val="es-ES_tradnl"/>
        </w:rPr>
        <w:t xml:space="preserve">el Instituto consideró que el listado de regiones enviado por el AEP para la construcción del modelo de costos presentado en la Consulta Pública carecía de justificación, ya que solamente enlistaba 8 categorías sin mencionar </w:t>
      </w:r>
      <w:r w:rsidR="00D56184" w:rsidRPr="00D56184">
        <w:rPr>
          <w:rFonts w:ascii="ITC Avant Garde" w:hAnsi="ITC Avant Garde"/>
          <w:sz w:val="18"/>
          <w:szCs w:val="18"/>
          <w:u w:val="single"/>
          <w:lang w:val="es-ES_tradnl"/>
        </w:rPr>
        <w:t xml:space="preserve">cómo se determinaron </w:t>
      </w:r>
      <w:r w:rsidR="00D56184">
        <w:rPr>
          <w:rFonts w:ascii="ITC Avant Garde" w:hAnsi="ITC Avant Garde"/>
          <w:sz w:val="18"/>
          <w:szCs w:val="18"/>
          <w:u w:val="single"/>
          <w:lang w:val="es-ES_tradnl"/>
        </w:rPr>
        <w:t>los</w:t>
      </w:r>
      <w:r w:rsidR="00D56184" w:rsidRPr="00D56184">
        <w:rPr>
          <w:rFonts w:ascii="ITC Avant Garde" w:hAnsi="ITC Avant Garde"/>
          <w:sz w:val="18"/>
          <w:szCs w:val="18"/>
          <w:u w:val="single"/>
          <w:lang w:val="es-ES_tradnl"/>
        </w:rPr>
        <w:t xml:space="preserve"> rangos que definen la clasificación de los sitios, ni las fuentes empleadas en este proceso.</w:t>
      </w:r>
      <w:r w:rsidR="00D56184">
        <w:rPr>
          <w:rFonts w:ascii="ITC Avant Garde" w:hAnsi="ITC Avant Garde"/>
          <w:sz w:val="18"/>
          <w:szCs w:val="18"/>
          <w:u w:val="single"/>
          <w:lang w:val="es-ES_tradnl"/>
        </w:rPr>
        <w:t xml:space="preserve"> </w:t>
      </w:r>
    </w:p>
    <w:p w14:paraId="35B7CE24" w14:textId="5052A949" w:rsidR="00D56184" w:rsidRPr="00D56184" w:rsidRDefault="00D56184" w:rsidP="004C1B3C">
      <w:pPr>
        <w:rPr>
          <w:rFonts w:ascii="ITC Avant Garde" w:hAnsi="ITC Avant Garde"/>
          <w:sz w:val="18"/>
          <w:szCs w:val="18"/>
          <w:u w:val="single"/>
          <w:lang w:val="es-ES_tradnl"/>
        </w:rPr>
      </w:pPr>
      <w:r>
        <w:rPr>
          <w:rFonts w:ascii="ITC Avant Garde" w:hAnsi="ITC Avant Garde"/>
          <w:sz w:val="18"/>
          <w:szCs w:val="18"/>
          <w:u w:val="single"/>
          <w:lang w:val="es-ES_tradnl"/>
        </w:rPr>
        <w:t xml:space="preserve">Es por lo anterior, que el Modelo de Costos fue modificado para considerar la información de la infraestructura utilizada en la prestación de los servicios de </w:t>
      </w:r>
      <w:proofErr w:type="spellStart"/>
      <w:r>
        <w:rPr>
          <w:rFonts w:ascii="ITC Avant Garde" w:hAnsi="ITC Avant Garde"/>
          <w:sz w:val="18"/>
          <w:szCs w:val="18"/>
          <w:u w:val="single"/>
          <w:lang w:val="es-ES_tradnl"/>
        </w:rPr>
        <w:t>coubicación</w:t>
      </w:r>
      <w:proofErr w:type="spellEnd"/>
      <w:r>
        <w:rPr>
          <w:rFonts w:ascii="ITC Avant Garde" w:hAnsi="ITC Avant Garde"/>
          <w:sz w:val="18"/>
          <w:szCs w:val="18"/>
          <w:u w:val="single"/>
          <w:lang w:val="es-ES_tradnl"/>
        </w:rPr>
        <w:t xml:space="preserve"> (predio, caseta y torre) y así determinar si la operación del sitio es llevada a cabo por el AEP o por el resto de los integrantes</w:t>
      </w:r>
      <w:r w:rsidR="004C1B3C">
        <w:rPr>
          <w:rFonts w:ascii="ITC Avant Garde" w:hAnsi="ITC Avant Garde"/>
          <w:sz w:val="18"/>
          <w:szCs w:val="18"/>
          <w:u w:val="single"/>
          <w:lang w:val="es-ES_tradnl"/>
        </w:rPr>
        <w:t xml:space="preserve"> para obtener</w:t>
      </w:r>
      <w:r w:rsidRPr="00D56184">
        <w:rPr>
          <w:rFonts w:ascii="ITC Avant Garde" w:hAnsi="ITC Avant Garde"/>
          <w:sz w:val="18"/>
          <w:szCs w:val="18"/>
          <w:u w:val="single"/>
          <w:lang w:val="es-ES_tradnl"/>
        </w:rPr>
        <w:t xml:space="preserve"> la siguiente clasificación, junto con el número de sitios a incluir dentro de cada categoría.</w:t>
      </w:r>
    </w:p>
    <w:tbl>
      <w:tblPr>
        <w:tblStyle w:val="Tablaconcuadrcula"/>
        <w:tblW w:w="8875" w:type="dxa"/>
        <w:jc w:val="center"/>
        <w:tblLayout w:type="fixed"/>
        <w:tblLook w:val="0420" w:firstRow="1" w:lastRow="0" w:firstColumn="0" w:lastColumn="0" w:noHBand="0" w:noVBand="1"/>
        <w:tblCaption w:val="Figura 3: Estrutura del modelo de costos de coubicación móvil (Fuente: IFT, 2015)"/>
        <w:tblDescription w:val="Se divida en hoja de cálculo y descripción"/>
      </w:tblPr>
      <w:tblGrid>
        <w:gridCol w:w="1220"/>
        <w:gridCol w:w="1220"/>
        <w:gridCol w:w="1616"/>
        <w:gridCol w:w="1701"/>
        <w:gridCol w:w="1701"/>
        <w:gridCol w:w="1417"/>
      </w:tblGrid>
      <w:tr w:rsidR="00D56184" w:rsidRPr="00B13BE0" w14:paraId="4932249A" w14:textId="77777777" w:rsidTr="00190716">
        <w:trPr>
          <w:trHeight w:val="470"/>
          <w:tblHeader/>
          <w:jc w:val="center"/>
        </w:trPr>
        <w:tc>
          <w:tcPr>
            <w:tcW w:w="1220" w:type="dxa"/>
            <w:tcBorders>
              <w:top w:val="nil"/>
              <w:left w:val="nil"/>
            </w:tcBorders>
            <w:shd w:val="clear" w:color="auto" w:fill="auto"/>
          </w:tcPr>
          <w:p w14:paraId="1A11CEE9" w14:textId="77777777" w:rsidR="00D56184" w:rsidRPr="00984BBD" w:rsidRDefault="00D56184" w:rsidP="00190716">
            <w:pPr>
              <w:pStyle w:val="Textotabla"/>
              <w:jc w:val="center"/>
              <w:rPr>
                <w:b/>
                <w:sz w:val="16"/>
                <w:szCs w:val="16"/>
              </w:rPr>
            </w:pPr>
          </w:p>
        </w:tc>
        <w:tc>
          <w:tcPr>
            <w:tcW w:w="1220" w:type="dxa"/>
            <w:tcBorders>
              <w:bottom w:val="single" w:sz="4" w:space="0" w:color="auto"/>
            </w:tcBorders>
            <w:shd w:val="clear" w:color="auto" w:fill="BFBFBF" w:themeFill="background1" w:themeFillShade="BF"/>
            <w:vAlign w:val="center"/>
          </w:tcPr>
          <w:p w14:paraId="383B8907" w14:textId="77777777" w:rsidR="00D56184" w:rsidRPr="00984BBD" w:rsidRDefault="00D56184" w:rsidP="00190716">
            <w:pPr>
              <w:pStyle w:val="Textotabla"/>
              <w:jc w:val="center"/>
              <w:rPr>
                <w:b/>
                <w:sz w:val="16"/>
                <w:szCs w:val="16"/>
              </w:rPr>
            </w:pPr>
            <w:r w:rsidRPr="00984BBD">
              <w:rPr>
                <w:b/>
                <w:sz w:val="16"/>
                <w:szCs w:val="16"/>
              </w:rPr>
              <w:t>Operación</w:t>
            </w:r>
          </w:p>
        </w:tc>
        <w:tc>
          <w:tcPr>
            <w:tcW w:w="1616" w:type="dxa"/>
            <w:shd w:val="clear" w:color="auto" w:fill="BFBFBF" w:themeFill="background1" w:themeFillShade="BF"/>
            <w:vAlign w:val="center"/>
          </w:tcPr>
          <w:p w14:paraId="5F0496DA" w14:textId="77777777" w:rsidR="00D56184" w:rsidRPr="00984BBD" w:rsidRDefault="00D56184" w:rsidP="00190716">
            <w:pPr>
              <w:pStyle w:val="Textotabla"/>
              <w:jc w:val="center"/>
              <w:rPr>
                <w:b/>
                <w:sz w:val="16"/>
                <w:szCs w:val="16"/>
              </w:rPr>
            </w:pPr>
            <w:r w:rsidRPr="00984BBD">
              <w:rPr>
                <w:b/>
                <w:sz w:val="16"/>
                <w:szCs w:val="16"/>
              </w:rPr>
              <w:t>Predio</w:t>
            </w:r>
          </w:p>
        </w:tc>
        <w:tc>
          <w:tcPr>
            <w:tcW w:w="1701" w:type="dxa"/>
            <w:shd w:val="clear" w:color="auto" w:fill="BFBFBF" w:themeFill="background1" w:themeFillShade="BF"/>
            <w:vAlign w:val="center"/>
          </w:tcPr>
          <w:p w14:paraId="4E1C03B5" w14:textId="77777777" w:rsidR="00D56184" w:rsidRPr="00984BBD" w:rsidRDefault="00D56184" w:rsidP="00190716">
            <w:pPr>
              <w:pStyle w:val="Textotabla"/>
              <w:jc w:val="center"/>
              <w:rPr>
                <w:b/>
                <w:color w:val="000000" w:themeColor="text1"/>
                <w:sz w:val="16"/>
                <w:szCs w:val="16"/>
              </w:rPr>
            </w:pPr>
            <w:r w:rsidRPr="00984BBD">
              <w:rPr>
                <w:b/>
                <w:color w:val="000000" w:themeColor="text1"/>
                <w:sz w:val="16"/>
                <w:szCs w:val="16"/>
              </w:rPr>
              <w:t>Caseta</w:t>
            </w:r>
          </w:p>
        </w:tc>
        <w:tc>
          <w:tcPr>
            <w:tcW w:w="1701" w:type="dxa"/>
            <w:shd w:val="clear" w:color="auto" w:fill="BFBFBF" w:themeFill="background1" w:themeFillShade="BF"/>
            <w:vAlign w:val="center"/>
          </w:tcPr>
          <w:p w14:paraId="23C720C8" w14:textId="77777777" w:rsidR="00D56184" w:rsidRPr="00984BBD" w:rsidRDefault="00D56184" w:rsidP="00190716">
            <w:pPr>
              <w:pStyle w:val="Textotabla"/>
              <w:jc w:val="center"/>
              <w:rPr>
                <w:b/>
                <w:color w:val="000000" w:themeColor="text1"/>
                <w:sz w:val="16"/>
                <w:szCs w:val="16"/>
              </w:rPr>
            </w:pPr>
            <w:r w:rsidRPr="00984BBD">
              <w:rPr>
                <w:b/>
                <w:color w:val="000000" w:themeColor="text1"/>
                <w:sz w:val="16"/>
                <w:szCs w:val="16"/>
              </w:rPr>
              <w:t>Torre</w:t>
            </w:r>
          </w:p>
        </w:tc>
        <w:tc>
          <w:tcPr>
            <w:tcW w:w="1417" w:type="dxa"/>
            <w:shd w:val="clear" w:color="auto" w:fill="BFBFBF" w:themeFill="background1" w:themeFillShade="BF"/>
            <w:vAlign w:val="center"/>
          </w:tcPr>
          <w:p w14:paraId="29414CF5" w14:textId="77777777" w:rsidR="00D56184" w:rsidRPr="00984BBD" w:rsidRDefault="00D56184" w:rsidP="00190716">
            <w:pPr>
              <w:pStyle w:val="Textotabla"/>
              <w:jc w:val="center"/>
              <w:rPr>
                <w:b/>
                <w:color w:val="000000" w:themeColor="text1"/>
                <w:sz w:val="16"/>
                <w:szCs w:val="16"/>
              </w:rPr>
            </w:pPr>
            <w:r w:rsidRPr="00984BBD">
              <w:rPr>
                <w:b/>
                <w:color w:val="000000" w:themeColor="text1"/>
                <w:sz w:val="16"/>
                <w:szCs w:val="16"/>
              </w:rPr>
              <w:t>Número de sitios</w:t>
            </w:r>
          </w:p>
        </w:tc>
      </w:tr>
      <w:tr w:rsidR="00D56184" w:rsidRPr="00B13BE0" w14:paraId="1A2843F9" w14:textId="77777777" w:rsidTr="00190716">
        <w:trPr>
          <w:trHeight w:val="447"/>
          <w:jc w:val="center"/>
        </w:trPr>
        <w:tc>
          <w:tcPr>
            <w:tcW w:w="1220" w:type="dxa"/>
            <w:shd w:val="clear" w:color="auto" w:fill="auto"/>
            <w:vAlign w:val="center"/>
          </w:tcPr>
          <w:p w14:paraId="23B2FA5E" w14:textId="77777777" w:rsidR="00D56184" w:rsidRPr="00984BBD" w:rsidRDefault="00D56184" w:rsidP="00190716">
            <w:pPr>
              <w:pStyle w:val="Textotabla"/>
              <w:jc w:val="center"/>
              <w:rPr>
                <w:sz w:val="16"/>
                <w:szCs w:val="16"/>
              </w:rPr>
            </w:pPr>
            <w:r w:rsidRPr="00984BBD">
              <w:rPr>
                <w:sz w:val="16"/>
                <w:szCs w:val="16"/>
              </w:rPr>
              <w:t>1</w:t>
            </w:r>
          </w:p>
        </w:tc>
        <w:tc>
          <w:tcPr>
            <w:tcW w:w="1220" w:type="dxa"/>
            <w:tcBorders>
              <w:bottom w:val="nil"/>
            </w:tcBorders>
            <w:vAlign w:val="center"/>
          </w:tcPr>
          <w:p w14:paraId="243BBA7F" w14:textId="77777777" w:rsidR="00D56184" w:rsidRPr="00984BBD" w:rsidRDefault="00D56184" w:rsidP="00190716">
            <w:pPr>
              <w:pStyle w:val="Textotabla"/>
              <w:jc w:val="left"/>
              <w:rPr>
                <w:sz w:val="16"/>
                <w:szCs w:val="16"/>
              </w:rPr>
            </w:pPr>
          </w:p>
        </w:tc>
        <w:tc>
          <w:tcPr>
            <w:tcW w:w="1616" w:type="dxa"/>
            <w:vAlign w:val="center"/>
          </w:tcPr>
          <w:p w14:paraId="226E6584" w14:textId="77777777" w:rsidR="00D56184" w:rsidRPr="00984BBD" w:rsidRDefault="00D56184" w:rsidP="00190716">
            <w:pPr>
              <w:pStyle w:val="Textotabla"/>
              <w:jc w:val="left"/>
              <w:rPr>
                <w:sz w:val="16"/>
                <w:szCs w:val="16"/>
              </w:rPr>
            </w:pPr>
            <w:r w:rsidRPr="00984BBD">
              <w:rPr>
                <w:sz w:val="16"/>
                <w:szCs w:val="16"/>
              </w:rPr>
              <w:t>Arrendamiento/Propiedad</w:t>
            </w:r>
          </w:p>
        </w:tc>
        <w:tc>
          <w:tcPr>
            <w:tcW w:w="1701" w:type="dxa"/>
            <w:vAlign w:val="center"/>
          </w:tcPr>
          <w:p w14:paraId="00394875" w14:textId="77777777" w:rsidR="00D56184" w:rsidRPr="00984BBD" w:rsidRDefault="00D56184" w:rsidP="00190716">
            <w:pPr>
              <w:pStyle w:val="Textotabla"/>
              <w:jc w:val="left"/>
              <w:rPr>
                <w:sz w:val="16"/>
                <w:szCs w:val="16"/>
              </w:rPr>
            </w:pPr>
            <w:r w:rsidRPr="00984BBD">
              <w:rPr>
                <w:sz w:val="16"/>
                <w:szCs w:val="16"/>
              </w:rPr>
              <w:t>Arrendamiento/Propiedad</w:t>
            </w:r>
          </w:p>
        </w:tc>
        <w:tc>
          <w:tcPr>
            <w:tcW w:w="1701" w:type="dxa"/>
            <w:vAlign w:val="center"/>
          </w:tcPr>
          <w:p w14:paraId="309D5944" w14:textId="77777777" w:rsidR="00D56184" w:rsidRPr="00984BBD" w:rsidRDefault="00D56184" w:rsidP="00190716">
            <w:pPr>
              <w:pStyle w:val="Textotabla"/>
              <w:jc w:val="left"/>
              <w:rPr>
                <w:sz w:val="16"/>
                <w:szCs w:val="16"/>
              </w:rPr>
            </w:pPr>
            <w:r w:rsidRPr="00984BBD">
              <w:rPr>
                <w:sz w:val="16"/>
                <w:szCs w:val="16"/>
              </w:rPr>
              <w:t>Arrendamiento/Propiedad</w:t>
            </w:r>
          </w:p>
        </w:tc>
        <w:tc>
          <w:tcPr>
            <w:tcW w:w="1417" w:type="dxa"/>
            <w:vAlign w:val="center"/>
          </w:tcPr>
          <w:p w14:paraId="1F76585A" w14:textId="77777777" w:rsidR="00D56184" w:rsidRPr="00984BBD" w:rsidRDefault="00D56184" w:rsidP="00190716">
            <w:pPr>
              <w:pStyle w:val="Textotabla"/>
              <w:jc w:val="center"/>
              <w:rPr>
                <w:sz w:val="16"/>
                <w:szCs w:val="16"/>
              </w:rPr>
            </w:pPr>
            <w:r w:rsidRPr="00984BBD">
              <w:rPr>
                <w:sz w:val="16"/>
                <w:szCs w:val="16"/>
              </w:rPr>
              <w:t>153</w:t>
            </w:r>
          </w:p>
        </w:tc>
      </w:tr>
      <w:tr w:rsidR="00D56184" w:rsidRPr="00B13BE0" w14:paraId="4D5B876F" w14:textId="77777777" w:rsidTr="00190716">
        <w:trPr>
          <w:trHeight w:val="463"/>
          <w:jc w:val="center"/>
        </w:trPr>
        <w:tc>
          <w:tcPr>
            <w:tcW w:w="1220" w:type="dxa"/>
            <w:shd w:val="clear" w:color="auto" w:fill="auto"/>
            <w:vAlign w:val="center"/>
          </w:tcPr>
          <w:p w14:paraId="15C461AE" w14:textId="77777777" w:rsidR="00D56184" w:rsidRPr="00984BBD" w:rsidRDefault="00D56184" w:rsidP="00190716">
            <w:pPr>
              <w:pStyle w:val="Textotabla"/>
              <w:jc w:val="center"/>
              <w:rPr>
                <w:sz w:val="16"/>
                <w:szCs w:val="16"/>
              </w:rPr>
            </w:pPr>
            <w:r w:rsidRPr="00984BBD">
              <w:rPr>
                <w:sz w:val="16"/>
                <w:szCs w:val="16"/>
              </w:rPr>
              <w:t>2</w:t>
            </w:r>
          </w:p>
        </w:tc>
        <w:tc>
          <w:tcPr>
            <w:tcW w:w="1220" w:type="dxa"/>
            <w:tcBorders>
              <w:top w:val="nil"/>
              <w:bottom w:val="nil"/>
            </w:tcBorders>
            <w:vAlign w:val="center"/>
          </w:tcPr>
          <w:p w14:paraId="29E408DC" w14:textId="77777777" w:rsidR="00D56184" w:rsidRPr="00984BBD" w:rsidRDefault="00D56184" w:rsidP="00190716">
            <w:pPr>
              <w:pStyle w:val="Textotabla"/>
              <w:jc w:val="left"/>
              <w:rPr>
                <w:sz w:val="16"/>
                <w:szCs w:val="16"/>
              </w:rPr>
            </w:pPr>
          </w:p>
        </w:tc>
        <w:tc>
          <w:tcPr>
            <w:tcW w:w="1616" w:type="dxa"/>
            <w:vAlign w:val="center"/>
          </w:tcPr>
          <w:p w14:paraId="2C349FB0" w14:textId="77777777" w:rsidR="00D56184" w:rsidRPr="00984BBD" w:rsidRDefault="00D56184" w:rsidP="00190716">
            <w:pPr>
              <w:pStyle w:val="Textotabla"/>
              <w:jc w:val="left"/>
              <w:rPr>
                <w:sz w:val="16"/>
                <w:szCs w:val="16"/>
              </w:rPr>
            </w:pPr>
            <w:r w:rsidRPr="00984BBD">
              <w:rPr>
                <w:sz w:val="16"/>
                <w:szCs w:val="16"/>
              </w:rPr>
              <w:t>Comodato</w:t>
            </w:r>
          </w:p>
        </w:tc>
        <w:tc>
          <w:tcPr>
            <w:tcW w:w="1701" w:type="dxa"/>
            <w:vAlign w:val="center"/>
          </w:tcPr>
          <w:p w14:paraId="79DEEC84" w14:textId="77777777" w:rsidR="00D56184" w:rsidRPr="00984BBD" w:rsidRDefault="00D56184" w:rsidP="00190716">
            <w:pPr>
              <w:pStyle w:val="Textotabla"/>
              <w:jc w:val="left"/>
              <w:rPr>
                <w:sz w:val="16"/>
                <w:szCs w:val="16"/>
              </w:rPr>
            </w:pPr>
            <w:r w:rsidRPr="00984BBD">
              <w:rPr>
                <w:sz w:val="16"/>
                <w:szCs w:val="16"/>
              </w:rPr>
              <w:t>Arrendamiento/Propiedad</w:t>
            </w:r>
          </w:p>
        </w:tc>
        <w:tc>
          <w:tcPr>
            <w:tcW w:w="1701" w:type="dxa"/>
            <w:vAlign w:val="center"/>
          </w:tcPr>
          <w:p w14:paraId="78246C07" w14:textId="77777777" w:rsidR="00D56184" w:rsidRPr="00984BBD" w:rsidRDefault="00D56184" w:rsidP="00190716">
            <w:pPr>
              <w:pStyle w:val="Textotabla"/>
              <w:jc w:val="left"/>
              <w:rPr>
                <w:sz w:val="16"/>
                <w:szCs w:val="16"/>
              </w:rPr>
            </w:pPr>
            <w:r w:rsidRPr="00984BBD">
              <w:rPr>
                <w:sz w:val="16"/>
                <w:szCs w:val="16"/>
              </w:rPr>
              <w:t>Arrendamiento/Propiedad</w:t>
            </w:r>
          </w:p>
        </w:tc>
        <w:tc>
          <w:tcPr>
            <w:tcW w:w="1417" w:type="dxa"/>
            <w:vAlign w:val="center"/>
          </w:tcPr>
          <w:p w14:paraId="28512DEC" w14:textId="77777777" w:rsidR="00D56184" w:rsidRPr="00984BBD" w:rsidRDefault="00D56184" w:rsidP="00190716">
            <w:pPr>
              <w:pStyle w:val="Textotabla"/>
              <w:jc w:val="center"/>
              <w:rPr>
                <w:sz w:val="16"/>
                <w:szCs w:val="16"/>
              </w:rPr>
            </w:pPr>
            <w:r w:rsidRPr="00984BBD">
              <w:rPr>
                <w:sz w:val="16"/>
                <w:szCs w:val="16"/>
              </w:rPr>
              <w:t>15</w:t>
            </w:r>
          </w:p>
        </w:tc>
      </w:tr>
      <w:tr w:rsidR="00D56184" w:rsidRPr="00B13BE0" w14:paraId="0317FDDA" w14:textId="77777777" w:rsidTr="00190716">
        <w:trPr>
          <w:trHeight w:val="463"/>
          <w:jc w:val="center"/>
        </w:trPr>
        <w:tc>
          <w:tcPr>
            <w:tcW w:w="1220" w:type="dxa"/>
            <w:shd w:val="clear" w:color="auto" w:fill="auto"/>
            <w:vAlign w:val="center"/>
          </w:tcPr>
          <w:p w14:paraId="4B6778DA" w14:textId="77777777" w:rsidR="00D56184" w:rsidRPr="00984BBD" w:rsidRDefault="00D56184" w:rsidP="00190716">
            <w:pPr>
              <w:pStyle w:val="Textotabla"/>
              <w:jc w:val="center"/>
              <w:rPr>
                <w:sz w:val="16"/>
                <w:szCs w:val="16"/>
              </w:rPr>
            </w:pPr>
            <w:r w:rsidRPr="00984BBD">
              <w:rPr>
                <w:sz w:val="16"/>
                <w:szCs w:val="16"/>
              </w:rPr>
              <w:t>3</w:t>
            </w:r>
          </w:p>
        </w:tc>
        <w:tc>
          <w:tcPr>
            <w:tcW w:w="1220" w:type="dxa"/>
            <w:tcBorders>
              <w:top w:val="nil"/>
              <w:bottom w:val="nil"/>
            </w:tcBorders>
            <w:vAlign w:val="center"/>
          </w:tcPr>
          <w:p w14:paraId="5B9420A1" w14:textId="77777777" w:rsidR="00D56184" w:rsidRPr="00984BBD" w:rsidRDefault="00D56184" w:rsidP="00190716">
            <w:pPr>
              <w:pStyle w:val="Textotabla"/>
              <w:jc w:val="left"/>
              <w:rPr>
                <w:sz w:val="16"/>
                <w:szCs w:val="16"/>
              </w:rPr>
            </w:pPr>
            <w:r w:rsidRPr="00984BBD">
              <w:rPr>
                <w:sz w:val="16"/>
                <w:szCs w:val="16"/>
              </w:rPr>
              <w:t>Grupo Televisa</w:t>
            </w:r>
          </w:p>
        </w:tc>
        <w:tc>
          <w:tcPr>
            <w:tcW w:w="1616" w:type="dxa"/>
            <w:vAlign w:val="center"/>
          </w:tcPr>
          <w:p w14:paraId="5CB4ADBB" w14:textId="77777777" w:rsidR="00D56184" w:rsidRPr="00984BBD" w:rsidRDefault="00D56184" w:rsidP="00190716">
            <w:pPr>
              <w:pStyle w:val="Textotabla"/>
              <w:jc w:val="left"/>
              <w:rPr>
                <w:sz w:val="16"/>
                <w:szCs w:val="16"/>
              </w:rPr>
            </w:pPr>
            <w:r w:rsidRPr="00984BBD">
              <w:rPr>
                <w:sz w:val="16"/>
                <w:szCs w:val="16"/>
              </w:rPr>
              <w:t>Arrendamiento/Propiedad</w:t>
            </w:r>
          </w:p>
        </w:tc>
        <w:tc>
          <w:tcPr>
            <w:tcW w:w="1701" w:type="dxa"/>
            <w:vAlign w:val="center"/>
          </w:tcPr>
          <w:p w14:paraId="1A79D8B2" w14:textId="77777777" w:rsidR="00D56184" w:rsidRPr="00984BBD" w:rsidRDefault="00D56184" w:rsidP="00190716">
            <w:pPr>
              <w:pStyle w:val="Textotabla"/>
              <w:jc w:val="left"/>
              <w:rPr>
                <w:sz w:val="16"/>
                <w:szCs w:val="16"/>
              </w:rPr>
            </w:pPr>
            <w:r w:rsidRPr="00984BBD">
              <w:rPr>
                <w:sz w:val="16"/>
                <w:szCs w:val="16"/>
              </w:rPr>
              <w:t>Arrendamiento/Propiedad</w:t>
            </w:r>
          </w:p>
        </w:tc>
        <w:tc>
          <w:tcPr>
            <w:tcW w:w="1701" w:type="dxa"/>
            <w:vAlign w:val="center"/>
          </w:tcPr>
          <w:p w14:paraId="4F7ADE82" w14:textId="77777777" w:rsidR="00D56184" w:rsidRPr="00984BBD" w:rsidRDefault="00D56184" w:rsidP="00190716">
            <w:pPr>
              <w:pStyle w:val="Textotabla"/>
              <w:jc w:val="left"/>
              <w:rPr>
                <w:sz w:val="16"/>
                <w:szCs w:val="16"/>
              </w:rPr>
            </w:pPr>
            <w:r w:rsidRPr="00984BBD">
              <w:rPr>
                <w:sz w:val="16"/>
                <w:szCs w:val="16"/>
              </w:rPr>
              <w:t>Comodato</w:t>
            </w:r>
          </w:p>
        </w:tc>
        <w:tc>
          <w:tcPr>
            <w:tcW w:w="1417" w:type="dxa"/>
            <w:vAlign w:val="center"/>
          </w:tcPr>
          <w:p w14:paraId="37B703C2" w14:textId="77777777" w:rsidR="00D56184" w:rsidRPr="00984BBD" w:rsidRDefault="00D56184" w:rsidP="00190716">
            <w:pPr>
              <w:pStyle w:val="Textotabla"/>
              <w:jc w:val="center"/>
              <w:rPr>
                <w:sz w:val="16"/>
                <w:szCs w:val="16"/>
              </w:rPr>
            </w:pPr>
            <w:r w:rsidRPr="00984BBD">
              <w:rPr>
                <w:sz w:val="16"/>
                <w:szCs w:val="16"/>
              </w:rPr>
              <w:t>11</w:t>
            </w:r>
          </w:p>
        </w:tc>
      </w:tr>
      <w:tr w:rsidR="00D56184" w:rsidRPr="00B13BE0" w14:paraId="30D868F2" w14:textId="77777777" w:rsidTr="00190716">
        <w:trPr>
          <w:trHeight w:val="463"/>
          <w:jc w:val="center"/>
        </w:trPr>
        <w:tc>
          <w:tcPr>
            <w:tcW w:w="1220" w:type="dxa"/>
            <w:shd w:val="clear" w:color="auto" w:fill="auto"/>
            <w:vAlign w:val="center"/>
          </w:tcPr>
          <w:p w14:paraId="4A72358A" w14:textId="77777777" w:rsidR="00D56184" w:rsidRPr="00984BBD" w:rsidRDefault="00D56184" w:rsidP="00190716">
            <w:pPr>
              <w:pStyle w:val="Textotabla"/>
              <w:jc w:val="center"/>
              <w:rPr>
                <w:sz w:val="16"/>
                <w:szCs w:val="16"/>
              </w:rPr>
            </w:pPr>
            <w:r w:rsidRPr="00984BBD">
              <w:rPr>
                <w:sz w:val="16"/>
                <w:szCs w:val="16"/>
              </w:rPr>
              <w:t>4</w:t>
            </w:r>
          </w:p>
        </w:tc>
        <w:tc>
          <w:tcPr>
            <w:tcW w:w="1220" w:type="dxa"/>
            <w:tcBorders>
              <w:top w:val="nil"/>
              <w:bottom w:val="nil"/>
            </w:tcBorders>
            <w:vAlign w:val="center"/>
          </w:tcPr>
          <w:p w14:paraId="1A7CC275" w14:textId="77777777" w:rsidR="00D56184" w:rsidRPr="00984BBD" w:rsidRDefault="00D56184" w:rsidP="00190716">
            <w:pPr>
              <w:pStyle w:val="Textotabla"/>
              <w:jc w:val="left"/>
              <w:rPr>
                <w:sz w:val="16"/>
                <w:szCs w:val="16"/>
              </w:rPr>
            </w:pPr>
          </w:p>
        </w:tc>
        <w:tc>
          <w:tcPr>
            <w:tcW w:w="1616" w:type="dxa"/>
            <w:vAlign w:val="center"/>
          </w:tcPr>
          <w:p w14:paraId="3F3CCC62" w14:textId="77777777" w:rsidR="00D56184" w:rsidRPr="00984BBD" w:rsidRDefault="00D56184" w:rsidP="00190716">
            <w:pPr>
              <w:pStyle w:val="Textotabla"/>
              <w:jc w:val="left"/>
              <w:rPr>
                <w:sz w:val="16"/>
                <w:szCs w:val="16"/>
              </w:rPr>
            </w:pPr>
            <w:r w:rsidRPr="00984BBD">
              <w:rPr>
                <w:sz w:val="16"/>
                <w:szCs w:val="16"/>
              </w:rPr>
              <w:t>Comodato</w:t>
            </w:r>
          </w:p>
        </w:tc>
        <w:tc>
          <w:tcPr>
            <w:tcW w:w="1701" w:type="dxa"/>
            <w:vAlign w:val="center"/>
          </w:tcPr>
          <w:p w14:paraId="1A79A931" w14:textId="77777777" w:rsidR="00D56184" w:rsidRPr="00984BBD" w:rsidRDefault="00D56184" w:rsidP="00190716">
            <w:pPr>
              <w:pStyle w:val="Textotabla"/>
              <w:jc w:val="left"/>
              <w:rPr>
                <w:sz w:val="16"/>
                <w:szCs w:val="16"/>
              </w:rPr>
            </w:pPr>
            <w:r w:rsidRPr="00984BBD">
              <w:rPr>
                <w:sz w:val="16"/>
                <w:szCs w:val="16"/>
              </w:rPr>
              <w:t>Comodato</w:t>
            </w:r>
          </w:p>
        </w:tc>
        <w:tc>
          <w:tcPr>
            <w:tcW w:w="1701" w:type="dxa"/>
            <w:vAlign w:val="center"/>
          </w:tcPr>
          <w:p w14:paraId="485C6B42" w14:textId="77777777" w:rsidR="00D56184" w:rsidRPr="00984BBD" w:rsidRDefault="00D56184" w:rsidP="00190716">
            <w:pPr>
              <w:pStyle w:val="Textotabla"/>
              <w:jc w:val="left"/>
              <w:rPr>
                <w:sz w:val="16"/>
                <w:szCs w:val="16"/>
              </w:rPr>
            </w:pPr>
            <w:r w:rsidRPr="00984BBD">
              <w:rPr>
                <w:sz w:val="16"/>
                <w:szCs w:val="16"/>
              </w:rPr>
              <w:t>Arrendamiento/Propiedad</w:t>
            </w:r>
          </w:p>
        </w:tc>
        <w:tc>
          <w:tcPr>
            <w:tcW w:w="1417" w:type="dxa"/>
            <w:vAlign w:val="center"/>
          </w:tcPr>
          <w:p w14:paraId="1C8B8E22" w14:textId="77777777" w:rsidR="00D56184" w:rsidRPr="00984BBD" w:rsidRDefault="00D56184" w:rsidP="00190716">
            <w:pPr>
              <w:pStyle w:val="Textotabla"/>
              <w:jc w:val="center"/>
              <w:rPr>
                <w:sz w:val="16"/>
                <w:szCs w:val="16"/>
              </w:rPr>
            </w:pPr>
            <w:r w:rsidRPr="00984BBD">
              <w:rPr>
                <w:sz w:val="16"/>
                <w:szCs w:val="16"/>
              </w:rPr>
              <w:t>11</w:t>
            </w:r>
          </w:p>
        </w:tc>
      </w:tr>
      <w:tr w:rsidR="00D56184" w:rsidRPr="00B13BE0" w14:paraId="5DFE1BB1" w14:textId="77777777" w:rsidTr="00190716">
        <w:trPr>
          <w:trHeight w:val="478"/>
          <w:jc w:val="center"/>
        </w:trPr>
        <w:tc>
          <w:tcPr>
            <w:tcW w:w="1220" w:type="dxa"/>
            <w:shd w:val="clear" w:color="auto" w:fill="auto"/>
            <w:vAlign w:val="center"/>
          </w:tcPr>
          <w:p w14:paraId="793EE766" w14:textId="77777777" w:rsidR="00D56184" w:rsidRPr="00984BBD" w:rsidRDefault="00D56184" w:rsidP="00190716">
            <w:pPr>
              <w:pStyle w:val="Textotabla"/>
              <w:jc w:val="center"/>
              <w:rPr>
                <w:sz w:val="16"/>
                <w:szCs w:val="16"/>
              </w:rPr>
            </w:pPr>
            <w:r w:rsidRPr="00984BBD">
              <w:rPr>
                <w:sz w:val="16"/>
                <w:szCs w:val="16"/>
              </w:rPr>
              <w:t>5</w:t>
            </w:r>
          </w:p>
        </w:tc>
        <w:tc>
          <w:tcPr>
            <w:tcW w:w="1220" w:type="dxa"/>
            <w:tcBorders>
              <w:top w:val="nil"/>
            </w:tcBorders>
            <w:vAlign w:val="center"/>
          </w:tcPr>
          <w:p w14:paraId="7D402BF0" w14:textId="77777777" w:rsidR="00D56184" w:rsidRPr="00984BBD" w:rsidRDefault="00D56184" w:rsidP="00190716">
            <w:pPr>
              <w:pStyle w:val="Textotabla"/>
              <w:jc w:val="left"/>
              <w:rPr>
                <w:sz w:val="16"/>
                <w:szCs w:val="16"/>
              </w:rPr>
            </w:pPr>
          </w:p>
        </w:tc>
        <w:tc>
          <w:tcPr>
            <w:tcW w:w="1616" w:type="dxa"/>
            <w:vAlign w:val="center"/>
          </w:tcPr>
          <w:p w14:paraId="21E28801" w14:textId="77777777" w:rsidR="00D56184" w:rsidRPr="00984BBD" w:rsidRDefault="00D56184" w:rsidP="00190716">
            <w:pPr>
              <w:pStyle w:val="Textotabla"/>
              <w:jc w:val="left"/>
              <w:rPr>
                <w:sz w:val="16"/>
                <w:szCs w:val="16"/>
              </w:rPr>
            </w:pPr>
            <w:r w:rsidRPr="00984BBD">
              <w:rPr>
                <w:sz w:val="16"/>
                <w:szCs w:val="16"/>
              </w:rPr>
              <w:t>Comodato</w:t>
            </w:r>
          </w:p>
        </w:tc>
        <w:tc>
          <w:tcPr>
            <w:tcW w:w="1701" w:type="dxa"/>
            <w:vAlign w:val="center"/>
          </w:tcPr>
          <w:p w14:paraId="0A8864E9" w14:textId="77777777" w:rsidR="00D56184" w:rsidRPr="00984BBD" w:rsidRDefault="00D56184" w:rsidP="00190716">
            <w:pPr>
              <w:pStyle w:val="Textotabla"/>
              <w:jc w:val="left"/>
              <w:rPr>
                <w:sz w:val="16"/>
                <w:szCs w:val="16"/>
              </w:rPr>
            </w:pPr>
            <w:r w:rsidRPr="00984BBD">
              <w:rPr>
                <w:sz w:val="16"/>
                <w:szCs w:val="16"/>
              </w:rPr>
              <w:t>Comodato</w:t>
            </w:r>
          </w:p>
        </w:tc>
        <w:tc>
          <w:tcPr>
            <w:tcW w:w="1701" w:type="dxa"/>
            <w:vAlign w:val="center"/>
          </w:tcPr>
          <w:p w14:paraId="2D93EA41" w14:textId="77777777" w:rsidR="00D56184" w:rsidRPr="00984BBD" w:rsidRDefault="00D56184" w:rsidP="00190716">
            <w:pPr>
              <w:pStyle w:val="Textotabla"/>
              <w:jc w:val="left"/>
              <w:rPr>
                <w:sz w:val="16"/>
                <w:szCs w:val="16"/>
              </w:rPr>
            </w:pPr>
            <w:r w:rsidRPr="00984BBD">
              <w:rPr>
                <w:sz w:val="16"/>
                <w:szCs w:val="16"/>
              </w:rPr>
              <w:t>Comodato</w:t>
            </w:r>
          </w:p>
        </w:tc>
        <w:tc>
          <w:tcPr>
            <w:tcW w:w="1417" w:type="dxa"/>
            <w:vAlign w:val="center"/>
          </w:tcPr>
          <w:p w14:paraId="1E8E8E84" w14:textId="77777777" w:rsidR="00D56184" w:rsidRPr="00984BBD" w:rsidRDefault="00D56184" w:rsidP="00190716">
            <w:pPr>
              <w:pStyle w:val="Textotabla"/>
              <w:jc w:val="center"/>
              <w:rPr>
                <w:sz w:val="16"/>
                <w:szCs w:val="16"/>
              </w:rPr>
            </w:pPr>
            <w:r w:rsidRPr="00984BBD">
              <w:rPr>
                <w:sz w:val="16"/>
                <w:szCs w:val="16"/>
              </w:rPr>
              <w:t>201</w:t>
            </w:r>
          </w:p>
        </w:tc>
      </w:tr>
      <w:tr w:rsidR="00D56184" w:rsidRPr="00B13BE0" w14:paraId="615A9A69" w14:textId="77777777" w:rsidTr="00190716">
        <w:trPr>
          <w:trHeight w:val="432"/>
          <w:jc w:val="center"/>
        </w:trPr>
        <w:tc>
          <w:tcPr>
            <w:tcW w:w="1220" w:type="dxa"/>
            <w:shd w:val="clear" w:color="auto" w:fill="auto"/>
            <w:vAlign w:val="center"/>
          </w:tcPr>
          <w:p w14:paraId="787948E9" w14:textId="77777777" w:rsidR="00D56184" w:rsidRPr="00984BBD" w:rsidRDefault="00D56184" w:rsidP="00190716">
            <w:pPr>
              <w:pStyle w:val="Textotabla"/>
              <w:jc w:val="center"/>
              <w:rPr>
                <w:sz w:val="16"/>
                <w:szCs w:val="16"/>
              </w:rPr>
            </w:pPr>
            <w:r w:rsidRPr="00984BBD">
              <w:rPr>
                <w:sz w:val="16"/>
                <w:szCs w:val="16"/>
              </w:rPr>
              <w:t>6</w:t>
            </w:r>
          </w:p>
        </w:tc>
        <w:tc>
          <w:tcPr>
            <w:tcW w:w="1220" w:type="dxa"/>
            <w:vAlign w:val="center"/>
          </w:tcPr>
          <w:p w14:paraId="5FEF1D43" w14:textId="77777777" w:rsidR="00D56184" w:rsidRPr="00984BBD" w:rsidRDefault="00D56184" w:rsidP="00190716">
            <w:pPr>
              <w:pStyle w:val="Textotabla"/>
              <w:jc w:val="left"/>
              <w:rPr>
                <w:sz w:val="16"/>
                <w:szCs w:val="16"/>
              </w:rPr>
            </w:pPr>
            <w:r w:rsidRPr="00984BBD">
              <w:rPr>
                <w:sz w:val="16"/>
                <w:szCs w:val="16"/>
              </w:rPr>
              <w:t>Resto del AEP</w:t>
            </w:r>
          </w:p>
        </w:tc>
        <w:tc>
          <w:tcPr>
            <w:tcW w:w="1616" w:type="dxa"/>
            <w:vAlign w:val="center"/>
          </w:tcPr>
          <w:p w14:paraId="73426EAD" w14:textId="77777777" w:rsidR="00D56184" w:rsidRPr="00984BBD" w:rsidRDefault="00D56184" w:rsidP="00190716">
            <w:pPr>
              <w:pStyle w:val="Textotabla"/>
              <w:jc w:val="left"/>
              <w:rPr>
                <w:sz w:val="16"/>
                <w:szCs w:val="16"/>
              </w:rPr>
            </w:pPr>
            <w:r w:rsidRPr="00984BBD">
              <w:rPr>
                <w:sz w:val="16"/>
                <w:szCs w:val="16"/>
              </w:rPr>
              <w:t>Todos</w:t>
            </w:r>
          </w:p>
        </w:tc>
        <w:tc>
          <w:tcPr>
            <w:tcW w:w="1701" w:type="dxa"/>
            <w:vAlign w:val="center"/>
          </w:tcPr>
          <w:p w14:paraId="569CCCCC" w14:textId="77777777" w:rsidR="00D56184" w:rsidRPr="00984BBD" w:rsidRDefault="00D56184" w:rsidP="00190716">
            <w:pPr>
              <w:pStyle w:val="Textotabla"/>
              <w:jc w:val="left"/>
              <w:rPr>
                <w:sz w:val="16"/>
                <w:szCs w:val="16"/>
              </w:rPr>
            </w:pPr>
            <w:r w:rsidRPr="00984BBD">
              <w:rPr>
                <w:sz w:val="16"/>
                <w:szCs w:val="16"/>
              </w:rPr>
              <w:t>Todos</w:t>
            </w:r>
          </w:p>
        </w:tc>
        <w:tc>
          <w:tcPr>
            <w:tcW w:w="1701" w:type="dxa"/>
            <w:vAlign w:val="center"/>
          </w:tcPr>
          <w:p w14:paraId="586981F4" w14:textId="77777777" w:rsidR="00D56184" w:rsidRPr="00984BBD" w:rsidRDefault="00D56184" w:rsidP="00190716">
            <w:pPr>
              <w:pStyle w:val="Textotabla"/>
              <w:jc w:val="left"/>
              <w:rPr>
                <w:sz w:val="16"/>
                <w:szCs w:val="16"/>
              </w:rPr>
            </w:pPr>
            <w:r w:rsidRPr="00984BBD">
              <w:rPr>
                <w:sz w:val="16"/>
                <w:szCs w:val="16"/>
              </w:rPr>
              <w:t>Todos</w:t>
            </w:r>
          </w:p>
        </w:tc>
        <w:tc>
          <w:tcPr>
            <w:tcW w:w="1417" w:type="dxa"/>
            <w:vAlign w:val="center"/>
          </w:tcPr>
          <w:p w14:paraId="62AB514B" w14:textId="77777777" w:rsidR="00D56184" w:rsidRPr="00984BBD" w:rsidRDefault="00D56184" w:rsidP="00190716">
            <w:pPr>
              <w:pStyle w:val="Textotabla"/>
              <w:jc w:val="center"/>
              <w:rPr>
                <w:sz w:val="16"/>
                <w:szCs w:val="16"/>
              </w:rPr>
            </w:pPr>
            <w:r w:rsidRPr="00984BBD">
              <w:rPr>
                <w:sz w:val="16"/>
                <w:szCs w:val="16"/>
              </w:rPr>
              <w:t>31</w:t>
            </w:r>
          </w:p>
        </w:tc>
      </w:tr>
    </w:tbl>
    <w:p w14:paraId="15E5853E" w14:textId="77777777" w:rsidR="00D56184" w:rsidRDefault="00D56184" w:rsidP="00190DEA">
      <w:pPr>
        <w:rPr>
          <w:rFonts w:ascii="ITC Avant Garde" w:hAnsi="ITC Avant Garde"/>
          <w:sz w:val="18"/>
          <w:szCs w:val="18"/>
          <w:u w:val="single"/>
          <w:lang w:val="es-ES_tradnl"/>
        </w:rPr>
      </w:pPr>
    </w:p>
    <w:p w14:paraId="31287671" w14:textId="77777777" w:rsidR="00D56184" w:rsidRDefault="00D56184" w:rsidP="00190DEA">
      <w:pPr>
        <w:rPr>
          <w:rFonts w:ascii="ITC Avant Garde" w:hAnsi="ITC Avant Garde"/>
          <w:sz w:val="18"/>
          <w:szCs w:val="18"/>
          <w:u w:val="single"/>
          <w:lang w:val="es-ES_tradnl"/>
        </w:rPr>
      </w:pPr>
    </w:p>
    <w:p w14:paraId="3295673F" w14:textId="4F5CB3FC" w:rsidR="00EC0571" w:rsidRDefault="004C1B3C" w:rsidP="00190DEA">
      <w:pPr>
        <w:rPr>
          <w:rFonts w:ascii="ITC Avant Garde" w:hAnsi="ITC Avant Garde"/>
          <w:sz w:val="18"/>
          <w:szCs w:val="18"/>
          <w:lang w:val="es-MX"/>
        </w:rPr>
      </w:pPr>
      <w:r>
        <w:rPr>
          <w:rFonts w:ascii="ITC Avant Garde" w:hAnsi="ITC Avant Garde"/>
          <w:sz w:val="18"/>
          <w:szCs w:val="18"/>
          <w:u w:val="single"/>
          <w:lang w:val="es-ES_tradnl"/>
        </w:rPr>
        <w:t xml:space="preserve">Asimismo, </w:t>
      </w:r>
      <w:r w:rsidR="008E30E1" w:rsidRPr="00ED27DC">
        <w:rPr>
          <w:rFonts w:ascii="ITC Avant Garde" w:hAnsi="ITC Avant Garde"/>
          <w:sz w:val="18"/>
          <w:szCs w:val="18"/>
          <w:lang w:val="es-MX"/>
        </w:rPr>
        <w:t xml:space="preserve">se ha ajustado la clasificación </w:t>
      </w:r>
      <w:r w:rsidR="00EC0571">
        <w:rPr>
          <w:rFonts w:ascii="ITC Avant Garde" w:hAnsi="ITC Avant Garde"/>
          <w:sz w:val="18"/>
          <w:szCs w:val="18"/>
          <w:lang w:val="es-MX"/>
        </w:rPr>
        <w:t xml:space="preserve">atendiendo a los principales criterios diferenciadores de costo en los emplazamientos: </w:t>
      </w:r>
    </w:p>
    <w:p w14:paraId="77FCE39D" w14:textId="77777777" w:rsidR="00EC0571" w:rsidRPr="00EC0571" w:rsidRDefault="00EC0571" w:rsidP="00EC0571">
      <w:pPr>
        <w:numPr>
          <w:ilvl w:val="0"/>
          <w:numId w:val="53"/>
        </w:numPr>
        <w:rPr>
          <w:rFonts w:ascii="ITC Avant Garde" w:hAnsi="ITC Avant Garde"/>
          <w:sz w:val="18"/>
          <w:szCs w:val="18"/>
          <w:lang w:val="es-ES_tradnl"/>
        </w:rPr>
      </w:pPr>
      <w:r w:rsidRPr="00EC0571">
        <w:rPr>
          <w:rFonts w:ascii="ITC Avant Garde" w:hAnsi="ITC Avant Garde"/>
          <w:b/>
          <w:sz w:val="18"/>
          <w:szCs w:val="18"/>
          <w:lang w:val="es-ES_tradnl"/>
        </w:rPr>
        <w:t>Ubicación de los sitos:</w:t>
      </w:r>
      <w:r w:rsidRPr="00EC0571">
        <w:rPr>
          <w:rFonts w:ascii="ITC Avant Garde" w:hAnsi="ITC Avant Garde"/>
          <w:sz w:val="18"/>
          <w:szCs w:val="18"/>
          <w:lang w:val="es-ES_tradnl"/>
        </w:rPr>
        <w:t xml:space="preserve"> A partir de la ubicación en coordenadas del sitio proporcionadas por el AEP al Instituto, se obtuvo la información de su localización; es decir, la entidad federativa, municipio, localidad y área </w:t>
      </w:r>
      <w:proofErr w:type="spellStart"/>
      <w:r w:rsidRPr="00EC0571">
        <w:rPr>
          <w:rFonts w:ascii="ITC Avant Garde" w:hAnsi="ITC Avant Garde"/>
          <w:sz w:val="18"/>
          <w:szCs w:val="18"/>
          <w:lang w:val="es-ES_tradnl"/>
        </w:rPr>
        <w:t>geoestadística</w:t>
      </w:r>
      <w:proofErr w:type="spellEnd"/>
      <w:r w:rsidRPr="00EC0571">
        <w:rPr>
          <w:rFonts w:ascii="ITC Avant Garde" w:hAnsi="ITC Avant Garde"/>
          <w:sz w:val="18"/>
          <w:szCs w:val="18"/>
          <w:lang w:val="es-ES_tradnl"/>
        </w:rPr>
        <w:t xml:space="preserve"> básica (“AGEB”) empleado los marcos geo-estadísticos del INEGI</w:t>
      </w:r>
      <w:r w:rsidRPr="00EC0571">
        <w:rPr>
          <w:rFonts w:ascii="ITC Avant Garde" w:hAnsi="ITC Avant Garde"/>
          <w:sz w:val="18"/>
          <w:szCs w:val="18"/>
          <w:vertAlign w:val="superscript"/>
          <w:lang w:val="es-ES_tradnl"/>
        </w:rPr>
        <w:footnoteReference w:id="5"/>
      </w:r>
      <w:r w:rsidRPr="00EC0571">
        <w:rPr>
          <w:rFonts w:ascii="ITC Avant Garde" w:hAnsi="ITC Avant Garde"/>
          <w:sz w:val="18"/>
          <w:szCs w:val="18"/>
          <w:lang w:val="es-ES_tradnl"/>
        </w:rPr>
        <w:t>. En complemento, a partir de los datos anteriores, a cada sitio se asoció, según la disponibilidad de datos, la región socioeconómica correspondiente</w:t>
      </w:r>
      <w:r w:rsidRPr="00EC0571">
        <w:rPr>
          <w:rFonts w:ascii="ITC Avant Garde" w:hAnsi="ITC Avant Garde"/>
          <w:sz w:val="18"/>
          <w:szCs w:val="18"/>
          <w:vertAlign w:val="superscript"/>
          <w:lang w:val="es-ES_tradnl"/>
        </w:rPr>
        <w:footnoteReference w:id="6"/>
      </w:r>
      <w:r w:rsidRPr="00EC0571">
        <w:rPr>
          <w:rFonts w:ascii="ITC Avant Garde" w:hAnsi="ITC Avant Garde"/>
          <w:sz w:val="18"/>
          <w:szCs w:val="18"/>
          <w:lang w:val="es-419"/>
        </w:rPr>
        <w:t xml:space="preserve"> primero por</w:t>
      </w:r>
      <w:r w:rsidRPr="00EC0571">
        <w:rPr>
          <w:rFonts w:ascii="ITC Avant Garde" w:hAnsi="ITC Avant Garde"/>
          <w:sz w:val="18"/>
          <w:szCs w:val="18"/>
          <w:lang w:val="es-ES_tradnl"/>
        </w:rPr>
        <w:t xml:space="preserve"> AGEB</w:t>
      </w:r>
      <w:r w:rsidRPr="00EC0571">
        <w:rPr>
          <w:rFonts w:ascii="ITC Avant Garde" w:hAnsi="ITC Avant Garde"/>
          <w:sz w:val="18"/>
          <w:szCs w:val="18"/>
          <w:lang w:val="es-419"/>
        </w:rPr>
        <w:t>, en caso de que los datos no lo permitieran se asocia por</w:t>
      </w:r>
      <w:r w:rsidRPr="00EC0571">
        <w:rPr>
          <w:rFonts w:ascii="ITC Avant Garde" w:hAnsi="ITC Avant Garde"/>
          <w:sz w:val="18"/>
          <w:szCs w:val="18"/>
          <w:lang w:val="es-ES_tradnl"/>
        </w:rPr>
        <w:t xml:space="preserve"> localidad</w:t>
      </w:r>
      <w:r w:rsidRPr="00EC0571">
        <w:rPr>
          <w:rFonts w:ascii="ITC Avant Garde" w:hAnsi="ITC Avant Garde"/>
          <w:sz w:val="18"/>
          <w:szCs w:val="18"/>
          <w:vertAlign w:val="superscript"/>
          <w:lang w:val="es-ES_tradnl"/>
        </w:rPr>
        <w:footnoteReference w:id="7"/>
      </w:r>
      <w:r w:rsidRPr="00EC0571">
        <w:rPr>
          <w:rFonts w:ascii="ITC Avant Garde" w:hAnsi="ITC Avant Garde"/>
          <w:sz w:val="18"/>
          <w:szCs w:val="18"/>
          <w:lang w:val="es-419"/>
        </w:rPr>
        <w:t>, de no ser posible por localidad se pasa a asociar por</w:t>
      </w:r>
      <w:r w:rsidRPr="00EC0571">
        <w:rPr>
          <w:rFonts w:ascii="ITC Avant Garde" w:hAnsi="ITC Avant Garde"/>
          <w:sz w:val="18"/>
          <w:szCs w:val="18"/>
          <w:lang w:val="es-ES_tradnl"/>
        </w:rPr>
        <w:t xml:space="preserve"> municipio</w:t>
      </w:r>
      <w:r w:rsidRPr="00EC0571">
        <w:rPr>
          <w:rFonts w:ascii="ITC Avant Garde" w:hAnsi="ITC Avant Garde"/>
          <w:sz w:val="18"/>
          <w:szCs w:val="18"/>
          <w:lang w:val="es-419"/>
        </w:rPr>
        <w:t xml:space="preserve"> y si ninguna fuera posible dada la calidad de información por </w:t>
      </w:r>
      <w:r w:rsidRPr="00EC0571">
        <w:rPr>
          <w:rFonts w:ascii="ITC Avant Garde" w:hAnsi="ITC Avant Garde"/>
          <w:sz w:val="18"/>
          <w:szCs w:val="18"/>
          <w:lang w:val="es-ES_tradnl"/>
        </w:rPr>
        <w:t>entidad federativa.</w:t>
      </w:r>
    </w:p>
    <w:p w14:paraId="3BB505BB" w14:textId="506F8F32" w:rsidR="00EC0571" w:rsidRPr="00EC0571" w:rsidRDefault="00EC0571" w:rsidP="00984BBD">
      <w:pPr>
        <w:ind w:left="1080"/>
        <w:rPr>
          <w:rFonts w:ascii="ITC Avant Garde" w:hAnsi="ITC Avant Garde"/>
          <w:sz w:val="18"/>
          <w:szCs w:val="18"/>
          <w:lang w:val="es-ES_tradnl"/>
        </w:rPr>
      </w:pPr>
      <w:r w:rsidRPr="00EC0571">
        <w:rPr>
          <w:rFonts w:ascii="ITC Avant Garde" w:hAnsi="ITC Avant Garde"/>
          <w:sz w:val="18"/>
          <w:szCs w:val="18"/>
          <w:lang w:val="es-ES_tradnl"/>
        </w:rPr>
        <w:t xml:space="preserve">Con base en el proceso anterior, el conjunto de sitios en cuestión se clasificó en dos tipos, de acuerdo con el estrato socioeconómico correspondiente. </w:t>
      </w:r>
      <w:r>
        <w:rPr>
          <w:rFonts w:ascii="ITC Avant Garde" w:hAnsi="ITC Avant Garde"/>
          <w:sz w:val="18"/>
          <w:szCs w:val="18"/>
          <w:lang w:val="es-ES_tradnl"/>
        </w:rPr>
        <w:t xml:space="preserve">Cabe destacar que, </w:t>
      </w:r>
      <w:r w:rsidRPr="00EC0571">
        <w:rPr>
          <w:rFonts w:ascii="ITC Avant Garde" w:hAnsi="ITC Avant Garde"/>
          <w:sz w:val="18"/>
          <w:szCs w:val="18"/>
          <w:lang w:val="es-ES_tradnl"/>
        </w:rPr>
        <w:t>a partir de la clasificación del INEGI, se clasifican bajo el tipo “A” los sitios ubicados en los estratos socioeconómicos 4, 5, 6 y 7 del INEGI, y bajo el tipo “B” los ubicados en los estratos socioeconómicos 1, 2, y 3 del INEGI.</w:t>
      </w:r>
    </w:p>
    <w:p w14:paraId="2AA9AEFA" w14:textId="77777777" w:rsidR="00EC0571" w:rsidRPr="00EC0571" w:rsidRDefault="00EC0571" w:rsidP="00EC0571">
      <w:pPr>
        <w:numPr>
          <w:ilvl w:val="0"/>
          <w:numId w:val="53"/>
        </w:numPr>
        <w:rPr>
          <w:rFonts w:ascii="ITC Avant Garde" w:hAnsi="ITC Avant Garde"/>
          <w:sz w:val="18"/>
          <w:szCs w:val="18"/>
          <w:lang w:val="es-ES_tradnl"/>
        </w:rPr>
      </w:pPr>
      <w:r w:rsidRPr="00EC0571">
        <w:rPr>
          <w:rFonts w:ascii="ITC Avant Garde" w:hAnsi="ITC Avant Garde"/>
          <w:b/>
          <w:sz w:val="18"/>
          <w:szCs w:val="18"/>
          <w:lang w:val="es-ES_tradnl"/>
        </w:rPr>
        <w:t>Tipo de torre:</w:t>
      </w:r>
      <w:r w:rsidRPr="00EC0571">
        <w:rPr>
          <w:rFonts w:ascii="ITC Avant Garde" w:hAnsi="ITC Avant Garde"/>
          <w:sz w:val="18"/>
          <w:szCs w:val="18"/>
          <w:lang w:val="es-ES_tradnl"/>
        </w:rPr>
        <w:t xml:space="preserve"> los sitios se clasifican según si la estructura tipo torre presente en el sitio es de tipo </w:t>
      </w:r>
      <w:proofErr w:type="spellStart"/>
      <w:r w:rsidRPr="00EC0571">
        <w:rPr>
          <w:rFonts w:ascii="ITC Avant Garde" w:hAnsi="ITC Avant Garde"/>
          <w:sz w:val="18"/>
          <w:szCs w:val="18"/>
          <w:lang w:val="es-ES_tradnl"/>
        </w:rPr>
        <w:t>autosoportada</w:t>
      </w:r>
      <w:proofErr w:type="spellEnd"/>
      <w:r w:rsidRPr="00EC0571">
        <w:rPr>
          <w:rFonts w:ascii="ITC Avant Garde" w:hAnsi="ITC Avant Garde"/>
          <w:sz w:val="18"/>
          <w:szCs w:val="18"/>
          <w:lang w:val="es-ES_tradnl"/>
        </w:rPr>
        <w:t xml:space="preserve"> o arriostrada.</w:t>
      </w:r>
    </w:p>
    <w:p w14:paraId="4AAA70B4" w14:textId="77777777" w:rsidR="00EC0571" w:rsidRPr="00EC0571" w:rsidRDefault="00EC0571" w:rsidP="00EC0571">
      <w:pPr>
        <w:numPr>
          <w:ilvl w:val="0"/>
          <w:numId w:val="53"/>
        </w:numPr>
        <w:rPr>
          <w:rFonts w:ascii="ITC Avant Garde" w:hAnsi="ITC Avant Garde"/>
          <w:sz w:val="18"/>
          <w:szCs w:val="18"/>
          <w:lang w:val="es-ES_tradnl"/>
        </w:rPr>
      </w:pPr>
      <w:r w:rsidRPr="00EC0571">
        <w:rPr>
          <w:rFonts w:ascii="ITC Avant Garde" w:hAnsi="ITC Avant Garde"/>
          <w:b/>
          <w:sz w:val="18"/>
          <w:szCs w:val="18"/>
          <w:lang w:val="es-ES_tradnl"/>
        </w:rPr>
        <w:t>Altura de la torre:</w:t>
      </w:r>
      <w:r w:rsidRPr="00EC0571">
        <w:rPr>
          <w:rFonts w:ascii="ITC Avant Garde" w:hAnsi="ITC Avant Garde"/>
          <w:sz w:val="18"/>
          <w:szCs w:val="18"/>
          <w:lang w:val="es-ES_tradnl"/>
        </w:rPr>
        <w:t xml:space="preserve"> los sitios se clasifican según si la torre del sitio es inferior a los cincuenta metros de altura (“pequeña”) o bien superior a este umbral (“grande”). </w:t>
      </w:r>
    </w:p>
    <w:p w14:paraId="47C5E036" w14:textId="3271B64B" w:rsidR="00190716" w:rsidRDefault="00190716" w:rsidP="00190DEA">
      <w:pPr>
        <w:rPr>
          <w:rFonts w:ascii="ITC Avant Garde" w:hAnsi="ITC Avant Garde"/>
          <w:sz w:val="18"/>
          <w:szCs w:val="18"/>
          <w:lang w:val="es-MX"/>
        </w:rPr>
      </w:pPr>
      <w:r>
        <w:rPr>
          <w:rFonts w:ascii="ITC Avant Garde" w:hAnsi="ITC Avant Garde"/>
          <w:sz w:val="18"/>
          <w:szCs w:val="18"/>
          <w:lang w:val="es-MX"/>
        </w:rPr>
        <w:t xml:space="preserve">Finalmente, se diferenció por relevancia y estructuras de costos para tener como resultado, la clasificación de los sitios del AEP como sigue: </w:t>
      </w:r>
    </w:p>
    <w:p w14:paraId="5E018F06" w14:textId="3065DA39" w:rsidR="00190716" w:rsidRDefault="00190716" w:rsidP="00984BBD">
      <w:pPr>
        <w:rPr>
          <w:rFonts w:ascii="ITC Avant Garde" w:hAnsi="ITC Avant Garde"/>
          <w:b/>
          <w:sz w:val="17"/>
          <w:szCs w:val="17"/>
        </w:rPr>
        <w:sectPr w:rsidR="00190716" w:rsidSect="001438D2">
          <w:headerReference w:type="default" r:id="rId11"/>
          <w:footerReference w:type="default" r:id="rId12"/>
          <w:footerReference w:type="first" r:id="rId13"/>
          <w:type w:val="continuous"/>
          <w:pgSz w:w="11906" w:h="16838" w:code="9"/>
          <w:pgMar w:top="1418" w:right="1588" w:bottom="1418" w:left="1588" w:header="567" w:footer="567" w:gutter="0"/>
          <w:pgNumType w:start="1"/>
          <w:cols w:space="720"/>
          <w:titlePg/>
          <w:docGrid w:linePitch="299"/>
        </w:sectPr>
      </w:pPr>
    </w:p>
    <w:p w14:paraId="410161C0" w14:textId="30739AAC" w:rsidR="00190716" w:rsidRPr="003B0090" w:rsidRDefault="00190716" w:rsidP="00190716">
      <w:pPr>
        <w:jc w:val="center"/>
        <w:rPr>
          <w:rFonts w:ascii="ITC Avant Garde" w:hAnsi="ITC Avant Garde"/>
        </w:rPr>
      </w:pPr>
      <w:r w:rsidRPr="003B0090">
        <w:rPr>
          <w:rFonts w:ascii="ITC Avant Garde" w:hAnsi="ITC Avant Garde"/>
          <w:b/>
          <w:sz w:val="17"/>
          <w:szCs w:val="17"/>
        </w:rPr>
        <w:lastRenderedPageBreak/>
        <w:t>C</w:t>
      </w:r>
      <w:r w:rsidRPr="003B0090">
        <w:rPr>
          <w:rFonts w:ascii="ITC Avant Garde" w:hAnsi="ITC Avant Garde"/>
          <w:b/>
          <w:color w:val="000000" w:themeColor="text1"/>
          <w:sz w:val="17"/>
          <w:szCs w:val="17"/>
        </w:rPr>
        <w:t>LASIFICACIÓN DE SITIOS MATERIA DE LA OPI CONSIDERADA PARA EL MODELO DE COSTOS</w:t>
      </w:r>
    </w:p>
    <w:tbl>
      <w:tblPr>
        <w:tblStyle w:val="Tablaconcuadrcula"/>
        <w:tblW w:w="11902" w:type="dxa"/>
        <w:jc w:val="center"/>
        <w:tblLayout w:type="fixed"/>
        <w:tblLook w:val="0420" w:firstRow="1" w:lastRow="0" w:firstColumn="0" w:lastColumn="0" w:noHBand="0" w:noVBand="1"/>
        <w:tblCaption w:val="Figura 3: Estrutura del modelo de costos de coubicación móvil (Fuente: IFT, 2015)"/>
        <w:tblDescription w:val="Se divida en hoja de cálculo y descripción"/>
      </w:tblPr>
      <w:tblGrid>
        <w:gridCol w:w="1129"/>
        <w:gridCol w:w="426"/>
        <w:gridCol w:w="1701"/>
        <w:gridCol w:w="1674"/>
        <w:gridCol w:w="1586"/>
        <w:gridCol w:w="1559"/>
        <w:gridCol w:w="1559"/>
        <w:gridCol w:w="1134"/>
        <w:gridCol w:w="1134"/>
      </w:tblGrid>
      <w:tr w:rsidR="00190716" w:rsidRPr="00A64A92" w14:paraId="24B8B837" w14:textId="77777777" w:rsidTr="00190716">
        <w:trPr>
          <w:trHeight w:val="406"/>
          <w:tblHeader/>
          <w:jc w:val="center"/>
        </w:trPr>
        <w:tc>
          <w:tcPr>
            <w:tcW w:w="1129" w:type="dxa"/>
            <w:shd w:val="clear" w:color="auto" w:fill="D9D9D9" w:themeFill="background1" w:themeFillShade="D9"/>
            <w:vAlign w:val="center"/>
          </w:tcPr>
          <w:p w14:paraId="6D0FDACA" w14:textId="77777777" w:rsidR="00190716" w:rsidRPr="00A64A92" w:rsidRDefault="00190716" w:rsidP="00190716">
            <w:pPr>
              <w:pStyle w:val="Textotabla"/>
              <w:jc w:val="center"/>
              <w:rPr>
                <w:b/>
                <w:sz w:val="17"/>
                <w:szCs w:val="17"/>
              </w:rPr>
            </w:pPr>
            <w:r w:rsidRPr="00A64A92">
              <w:rPr>
                <w:b/>
                <w:sz w:val="17"/>
                <w:szCs w:val="17"/>
              </w:rPr>
              <w:t>Operación</w:t>
            </w:r>
          </w:p>
        </w:tc>
        <w:tc>
          <w:tcPr>
            <w:tcW w:w="426" w:type="dxa"/>
            <w:shd w:val="clear" w:color="auto" w:fill="D9D9D9" w:themeFill="background1" w:themeFillShade="D9"/>
          </w:tcPr>
          <w:p w14:paraId="144961A2" w14:textId="77777777" w:rsidR="00190716" w:rsidRPr="00A64A92" w:rsidRDefault="00190716" w:rsidP="00190716">
            <w:pPr>
              <w:pStyle w:val="Textotabla"/>
              <w:jc w:val="center"/>
              <w:rPr>
                <w:b/>
                <w:sz w:val="17"/>
                <w:szCs w:val="17"/>
              </w:rPr>
            </w:pPr>
            <w:r w:rsidRPr="00A64A92">
              <w:rPr>
                <w:b/>
                <w:sz w:val="17"/>
                <w:szCs w:val="17"/>
              </w:rPr>
              <w:t>#</w:t>
            </w:r>
          </w:p>
        </w:tc>
        <w:tc>
          <w:tcPr>
            <w:tcW w:w="1701" w:type="dxa"/>
            <w:shd w:val="clear" w:color="auto" w:fill="D9D9D9" w:themeFill="background1" w:themeFillShade="D9"/>
            <w:vAlign w:val="center"/>
          </w:tcPr>
          <w:p w14:paraId="5E334D34" w14:textId="77777777" w:rsidR="00190716" w:rsidRPr="00A64A92" w:rsidRDefault="00190716" w:rsidP="00190716">
            <w:pPr>
              <w:pStyle w:val="Textotabla"/>
              <w:jc w:val="center"/>
              <w:rPr>
                <w:b/>
                <w:sz w:val="17"/>
                <w:szCs w:val="17"/>
              </w:rPr>
            </w:pPr>
            <w:r w:rsidRPr="00A64A92">
              <w:rPr>
                <w:b/>
                <w:sz w:val="17"/>
                <w:szCs w:val="17"/>
              </w:rPr>
              <w:t>Predio</w:t>
            </w:r>
          </w:p>
        </w:tc>
        <w:tc>
          <w:tcPr>
            <w:tcW w:w="1674" w:type="dxa"/>
            <w:shd w:val="clear" w:color="auto" w:fill="D9D9D9" w:themeFill="background1" w:themeFillShade="D9"/>
            <w:vAlign w:val="center"/>
          </w:tcPr>
          <w:p w14:paraId="7125BD6C" w14:textId="77777777" w:rsidR="00190716" w:rsidRPr="00A64A92" w:rsidRDefault="00190716" w:rsidP="00190716">
            <w:pPr>
              <w:pStyle w:val="Textotabla"/>
              <w:jc w:val="center"/>
              <w:rPr>
                <w:b/>
                <w:color w:val="000000" w:themeColor="text1"/>
                <w:sz w:val="17"/>
                <w:szCs w:val="17"/>
              </w:rPr>
            </w:pPr>
            <w:r w:rsidRPr="00A64A92">
              <w:rPr>
                <w:b/>
                <w:color w:val="000000" w:themeColor="text1"/>
                <w:sz w:val="17"/>
                <w:szCs w:val="17"/>
              </w:rPr>
              <w:t>Caseta</w:t>
            </w:r>
          </w:p>
        </w:tc>
        <w:tc>
          <w:tcPr>
            <w:tcW w:w="1586" w:type="dxa"/>
            <w:shd w:val="clear" w:color="auto" w:fill="D9D9D9" w:themeFill="background1" w:themeFillShade="D9"/>
            <w:vAlign w:val="center"/>
          </w:tcPr>
          <w:p w14:paraId="4FE0C9E6" w14:textId="77777777" w:rsidR="00190716" w:rsidRPr="00A64A92" w:rsidRDefault="00190716" w:rsidP="00190716">
            <w:pPr>
              <w:pStyle w:val="Textotabla"/>
              <w:jc w:val="center"/>
              <w:rPr>
                <w:b/>
                <w:color w:val="000000" w:themeColor="text1"/>
                <w:sz w:val="17"/>
                <w:szCs w:val="17"/>
              </w:rPr>
            </w:pPr>
            <w:r w:rsidRPr="00A64A92">
              <w:rPr>
                <w:b/>
                <w:color w:val="000000" w:themeColor="text1"/>
                <w:sz w:val="17"/>
                <w:szCs w:val="17"/>
              </w:rPr>
              <w:t>Operación de Torre</w:t>
            </w:r>
          </w:p>
        </w:tc>
        <w:tc>
          <w:tcPr>
            <w:tcW w:w="1559" w:type="dxa"/>
            <w:tcBorders>
              <w:bottom w:val="single" w:sz="4" w:space="0" w:color="auto"/>
            </w:tcBorders>
            <w:shd w:val="clear" w:color="auto" w:fill="D9D9D9" w:themeFill="background1" w:themeFillShade="D9"/>
            <w:vAlign w:val="center"/>
          </w:tcPr>
          <w:p w14:paraId="7DAE6B85" w14:textId="77777777" w:rsidR="00190716" w:rsidRPr="00A64A92" w:rsidRDefault="00190716" w:rsidP="00190716">
            <w:pPr>
              <w:pStyle w:val="Textotabla"/>
              <w:jc w:val="center"/>
              <w:rPr>
                <w:b/>
                <w:color w:val="000000" w:themeColor="text1"/>
                <w:sz w:val="17"/>
                <w:szCs w:val="17"/>
              </w:rPr>
            </w:pPr>
            <w:r w:rsidRPr="00A64A92">
              <w:rPr>
                <w:b/>
                <w:color w:val="000000" w:themeColor="text1"/>
                <w:sz w:val="17"/>
                <w:szCs w:val="17"/>
              </w:rPr>
              <w:t>Estrato</w:t>
            </w:r>
          </w:p>
        </w:tc>
        <w:tc>
          <w:tcPr>
            <w:tcW w:w="1559" w:type="dxa"/>
            <w:tcBorders>
              <w:bottom w:val="single" w:sz="4" w:space="0" w:color="auto"/>
            </w:tcBorders>
            <w:shd w:val="clear" w:color="auto" w:fill="D9D9D9" w:themeFill="background1" w:themeFillShade="D9"/>
            <w:vAlign w:val="center"/>
          </w:tcPr>
          <w:p w14:paraId="275FCDE5" w14:textId="77777777" w:rsidR="00190716" w:rsidRPr="00A64A92" w:rsidRDefault="00190716" w:rsidP="00190716">
            <w:pPr>
              <w:pStyle w:val="Textotabla"/>
              <w:jc w:val="center"/>
              <w:rPr>
                <w:b/>
                <w:color w:val="000000" w:themeColor="text1"/>
                <w:sz w:val="17"/>
                <w:szCs w:val="17"/>
              </w:rPr>
            </w:pPr>
            <w:r w:rsidRPr="00A64A92">
              <w:rPr>
                <w:b/>
                <w:color w:val="000000" w:themeColor="text1"/>
                <w:sz w:val="17"/>
                <w:szCs w:val="17"/>
              </w:rPr>
              <w:t>Tipo de torre</w:t>
            </w:r>
          </w:p>
        </w:tc>
        <w:tc>
          <w:tcPr>
            <w:tcW w:w="1134" w:type="dxa"/>
            <w:tcBorders>
              <w:bottom w:val="single" w:sz="4" w:space="0" w:color="auto"/>
            </w:tcBorders>
            <w:shd w:val="clear" w:color="auto" w:fill="D9D9D9" w:themeFill="background1" w:themeFillShade="D9"/>
            <w:vAlign w:val="center"/>
          </w:tcPr>
          <w:p w14:paraId="216A9858" w14:textId="77777777" w:rsidR="00190716" w:rsidRPr="00A64A92" w:rsidRDefault="00190716" w:rsidP="00190716">
            <w:pPr>
              <w:pStyle w:val="Textotabla"/>
              <w:jc w:val="center"/>
              <w:rPr>
                <w:b/>
                <w:color w:val="000000" w:themeColor="text1"/>
                <w:sz w:val="17"/>
                <w:szCs w:val="17"/>
              </w:rPr>
            </w:pPr>
            <w:r w:rsidRPr="00A64A92">
              <w:rPr>
                <w:b/>
                <w:color w:val="000000" w:themeColor="text1"/>
                <w:sz w:val="17"/>
                <w:szCs w:val="17"/>
              </w:rPr>
              <w:t>Altura de torre</w:t>
            </w:r>
          </w:p>
        </w:tc>
        <w:tc>
          <w:tcPr>
            <w:tcW w:w="1134" w:type="dxa"/>
            <w:shd w:val="clear" w:color="auto" w:fill="D9D9D9" w:themeFill="background1" w:themeFillShade="D9"/>
            <w:vAlign w:val="center"/>
          </w:tcPr>
          <w:p w14:paraId="11632CC2" w14:textId="77777777" w:rsidR="00190716" w:rsidRPr="00A64A92" w:rsidRDefault="00190716" w:rsidP="00190716">
            <w:pPr>
              <w:pStyle w:val="Textotabla"/>
              <w:jc w:val="center"/>
              <w:rPr>
                <w:b/>
                <w:color w:val="000000" w:themeColor="text1"/>
                <w:sz w:val="17"/>
                <w:szCs w:val="17"/>
              </w:rPr>
            </w:pPr>
            <w:r w:rsidRPr="00A64A92">
              <w:rPr>
                <w:b/>
                <w:color w:val="000000" w:themeColor="text1"/>
                <w:sz w:val="17"/>
                <w:szCs w:val="17"/>
              </w:rPr>
              <w:t>Número de sitios</w:t>
            </w:r>
          </w:p>
        </w:tc>
      </w:tr>
      <w:tr w:rsidR="00190716" w:rsidRPr="00A64A92" w14:paraId="270112AE" w14:textId="77777777" w:rsidTr="00190716">
        <w:trPr>
          <w:trHeight w:val="520"/>
          <w:jc w:val="center"/>
        </w:trPr>
        <w:tc>
          <w:tcPr>
            <w:tcW w:w="1129" w:type="dxa"/>
            <w:vMerge w:val="restart"/>
            <w:vAlign w:val="center"/>
          </w:tcPr>
          <w:p w14:paraId="5D7FD020" w14:textId="77777777" w:rsidR="00190716" w:rsidRPr="00A64A92" w:rsidRDefault="00190716" w:rsidP="00190716">
            <w:pPr>
              <w:pStyle w:val="Textotabla"/>
              <w:jc w:val="left"/>
              <w:rPr>
                <w:sz w:val="17"/>
                <w:szCs w:val="17"/>
              </w:rPr>
            </w:pPr>
            <w:r w:rsidRPr="00A64A92">
              <w:rPr>
                <w:sz w:val="17"/>
                <w:szCs w:val="17"/>
              </w:rPr>
              <w:t>Grupo Televisa</w:t>
            </w:r>
          </w:p>
        </w:tc>
        <w:tc>
          <w:tcPr>
            <w:tcW w:w="426" w:type="dxa"/>
            <w:vAlign w:val="center"/>
          </w:tcPr>
          <w:p w14:paraId="0B6033AB" w14:textId="77777777" w:rsidR="00190716" w:rsidRPr="00A64A92" w:rsidRDefault="00190716" w:rsidP="00190716">
            <w:pPr>
              <w:pStyle w:val="Textotabla"/>
              <w:spacing w:before="0" w:after="0" w:line="240" w:lineRule="auto"/>
              <w:jc w:val="center"/>
              <w:rPr>
                <w:sz w:val="17"/>
                <w:szCs w:val="17"/>
              </w:rPr>
            </w:pPr>
            <w:r w:rsidRPr="00A64A92">
              <w:rPr>
                <w:sz w:val="17"/>
                <w:szCs w:val="17"/>
              </w:rPr>
              <w:t>1</w:t>
            </w:r>
          </w:p>
        </w:tc>
        <w:tc>
          <w:tcPr>
            <w:tcW w:w="1701" w:type="dxa"/>
            <w:vAlign w:val="center"/>
          </w:tcPr>
          <w:p w14:paraId="04AAEB03"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2C0674EF"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674" w:type="dxa"/>
            <w:vAlign w:val="center"/>
          </w:tcPr>
          <w:p w14:paraId="0EC0BA10"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12AEA4FF"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86" w:type="dxa"/>
            <w:vAlign w:val="center"/>
          </w:tcPr>
          <w:p w14:paraId="50FC926B"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0489ED2A"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59" w:type="dxa"/>
            <w:tcBorders>
              <w:right w:val="nil"/>
            </w:tcBorders>
            <w:vAlign w:val="center"/>
          </w:tcPr>
          <w:p w14:paraId="3A5C1304" w14:textId="77777777" w:rsidR="00190716" w:rsidRPr="00A64A92" w:rsidRDefault="00190716" w:rsidP="00190716">
            <w:pPr>
              <w:pStyle w:val="Textotabla"/>
              <w:jc w:val="center"/>
              <w:rPr>
                <w:sz w:val="17"/>
                <w:szCs w:val="17"/>
              </w:rPr>
            </w:pPr>
            <w:r w:rsidRPr="00A64A92">
              <w:rPr>
                <w:sz w:val="17"/>
                <w:szCs w:val="17"/>
              </w:rPr>
              <w:t>Monterrey, Tres Padres</w:t>
            </w:r>
          </w:p>
        </w:tc>
        <w:tc>
          <w:tcPr>
            <w:tcW w:w="1559" w:type="dxa"/>
            <w:tcBorders>
              <w:left w:val="nil"/>
              <w:right w:val="nil"/>
            </w:tcBorders>
            <w:vAlign w:val="center"/>
          </w:tcPr>
          <w:p w14:paraId="7952411D" w14:textId="77777777" w:rsidR="00190716" w:rsidRPr="00A64A92" w:rsidRDefault="00190716" w:rsidP="00190716">
            <w:pPr>
              <w:pStyle w:val="Textotabla"/>
              <w:jc w:val="center"/>
              <w:rPr>
                <w:sz w:val="17"/>
                <w:szCs w:val="17"/>
              </w:rPr>
            </w:pPr>
          </w:p>
        </w:tc>
        <w:tc>
          <w:tcPr>
            <w:tcW w:w="1134" w:type="dxa"/>
            <w:tcBorders>
              <w:left w:val="nil"/>
            </w:tcBorders>
            <w:vAlign w:val="center"/>
          </w:tcPr>
          <w:p w14:paraId="6398EC5F" w14:textId="77777777" w:rsidR="00190716" w:rsidRPr="00A64A92" w:rsidRDefault="00190716" w:rsidP="00190716">
            <w:pPr>
              <w:pStyle w:val="Textotabla"/>
              <w:jc w:val="center"/>
              <w:rPr>
                <w:sz w:val="17"/>
                <w:szCs w:val="17"/>
              </w:rPr>
            </w:pPr>
          </w:p>
        </w:tc>
        <w:tc>
          <w:tcPr>
            <w:tcW w:w="1134" w:type="dxa"/>
            <w:vAlign w:val="center"/>
          </w:tcPr>
          <w:p w14:paraId="7CB0D5A5" w14:textId="77777777" w:rsidR="00190716" w:rsidRPr="00A64A92" w:rsidRDefault="00190716" w:rsidP="00190716">
            <w:pPr>
              <w:pStyle w:val="Textotabla"/>
              <w:jc w:val="center"/>
              <w:rPr>
                <w:sz w:val="17"/>
                <w:szCs w:val="17"/>
              </w:rPr>
            </w:pPr>
            <w:r w:rsidRPr="00A64A92">
              <w:rPr>
                <w:sz w:val="17"/>
                <w:szCs w:val="17"/>
              </w:rPr>
              <w:t>2</w:t>
            </w:r>
          </w:p>
        </w:tc>
      </w:tr>
      <w:tr w:rsidR="00190716" w:rsidRPr="00A64A92" w14:paraId="360F5677" w14:textId="77777777" w:rsidTr="00190716">
        <w:trPr>
          <w:trHeight w:val="520"/>
          <w:jc w:val="center"/>
        </w:trPr>
        <w:tc>
          <w:tcPr>
            <w:tcW w:w="1129" w:type="dxa"/>
            <w:vMerge/>
            <w:vAlign w:val="center"/>
          </w:tcPr>
          <w:p w14:paraId="6F365AE0" w14:textId="77777777" w:rsidR="00190716" w:rsidRPr="00A64A92" w:rsidRDefault="00190716" w:rsidP="00190716">
            <w:pPr>
              <w:pStyle w:val="Textotabla"/>
              <w:jc w:val="left"/>
              <w:rPr>
                <w:sz w:val="17"/>
                <w:szCs w:val="17"/>
              </w:rPr>
            </w:pPr>
          </w:p>
        </w:tc>
        <w:tc>
          <w:tcPr>
            <w:tcW w:w="426" w:type="dxa"/>
            <w:vAlign w:val="center"/>
          </w:tcPr>
          <w:p w14:paraId="13493006" w14:textId="77777777" w:rsidR="00190716" w:rsidRPr="00A64A92" w:rsidRDefault="00190716" w:rsidP="00190716">
            <w:pPr>
              <w:pStyle w:val="Textotabla"/>
              <w:spacing w:before="0" w:after="0" w:line="240" w:lineRule="auto"/>
              <w:jc w:val="center"/>
              <w:rPr>
                <w:sz w:val="17"/>
                <w:szCs w:val="17"/>
              </w:rPr>
            </w:pPr>
            <w:r w:rsidRPr="00A64A92">
              <w:rPr>
                <w:sz w:val="17"/>
                <w:szCs w:val="17"/>
              </w:rPr>
              <w:t>2</w:t>
            </w:r>
          </w:p>
        </w:tc>
        <w:tc>
          <w:tcPr>
            <w:tcW w:w="1701" w:type="dxa"/>
            <w:vAlign w:val="center"/>
          </w:tcPr>
          <w:p w14:paraId="79C41857"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72E6AA5A"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674" w:type="dxa"/>
            <w:vAlign w:val="center"/>
          </w:tcPr>
          <w:p w14:paraId="16223C81"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3A77D371"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86" w:type="dxa"/>
            <w:vAlign w:val="center"/>
          </w:tcPr>
          <w:p w14:paraId="21F760D5"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2A4A897F"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59" w:type="dxa"/>
            <w:vAlign w:val="center"/>
          </w:tcPr>
          <w:p w14:paraId="088996DF" w14:textId="77777777" w:rsidR="00190716" w:rsidRPr="00A64A92" w:rsidRDefault="00190716" w:rsidP="00190716">
            <w:pPr>
              <w:pStyle w:val="Textotabla"/>
              <w:jc w:val="center"/>
              <w:rPr>
                <w:sz w:val="17"/>
                <w:szCs w:val="17"/>
              </w:rPr>
            </w:pPr>
            <w:r w:rsidRPr="00A64A92">
              <w:rPr>
                <w:sz w:val="17"/>
                <w:szCs w:val="17"/>
              </w:rPr>
              <w:t>A</w:t>
            </w:r>
          </w:p>
        </w:tc>
        <w:tc>
          <w:tcPr>
            <w:tcW w:w="1559" w:type="dxa"/>
            <w:vAlign w:val="center"/>
          </w:tcPr>
          <w:p w14:paraId="216D924D" w14:textId="77777777" w:rsidR="00190716" w:rsidRPr="00A64A92" w:rsidRDefault="00190716" w:rsidP="00190716">
            <w:pPr>
              <w:pStyle w:val="Textotabla"/>
              <w:jc w:val="center"/>
              <w:rPr>
                <w:sz w:val="17"/>
                <w:szCs w:val="17"/>
              </w:rPr>
            </w:pPr>
            <w:proofErr w:type="spellStart"/>
            <w:r w:rsidRPr="00A64A92">
              <w:rPr>
                <w:sz w:val="17"/>
                <w:szCs w:val="17"/>
              </w:rPr>
              <w:t>Autosoportada</w:t>
            </w:r>
            <w:proofErr w:type="spellEnd"/>
          </w:p>
        </w:tc>
        <w:tc>
          <w:tcPr>
            <w:tcW w:w="1134" w:type="dxa"/>
            <w:vAlign w:val="center"/>
          </w:tcPr>
          <w:p w14:paraId="03924AAD" w14:textId="77777777" w:rsidR="00190716" w:rsidRPr="00A64A92" w:rsidRDefault="00190716" w:rsidP="00190716">
            <w:pPr>
              <w:pStyle w:val="Textotabla"/>
              <w:jc w:val="center"/>
              <w:rPr>
                <w:sz w:val="17"/>
                <w:szCs w:val="17"/>
              </w:rPr>
            </w:pPr>
            <w:r w:rsidRPr="00A64A92">
              <w:rPr>
                <w:sz w:val="17"/>
                <w:szCs w:val="17"/>
              </w:rPr>
              <w:t>Pequeña</w:t>
            </w:r>
          </w:p>
        </w:tc>
        <w:tc>
          <w:tcPr>
            <w:tcW w:w="1134" w:type="dxa"/>
            <w:vAlign w:val="center"/>
          </w:tcPr>
          <w:p w14:paraId="1E4772E4" w14:textId="77777777" w:rsidR="00190716" w:rsidRPr="00A64A92" w:rsidRDefault="00190716" w:rsidP="00190716">
            <w:pPr>
              <w:pStyle w:val="Textotabla"/>
              <w:jc w:val="center"/>
              <w:rPr>
                <w:sz w:val="17"/>
                <w:szCs w:val="17"/>
              </w:rPr>
            </w:pPr>
            <w:r w:rsidRPr="00A64A92">
              <w:rPr>
                <w:sz w:val="17"/>
                <w:szCs w:val="17"/>
              </w:rPr>
              <w:t>11</w:t>
            </w:r>
          </w:p>
        </w:tc>
      </w:tr>
      <w:tr w:rsidR="00190716" w:rsidRPr="00A64A92" w14:paraId="56A39FD3" w14:textId="77777777" w:rsidTr="00190716">
        <w:trPr>
          <w:trHeight w:val="534"/>
          <w:jc w:val="center"/>
        </w:trPr>
        <w:tc>
          <w:tcPr>
            <w:tcW w:w="1129" w:type="dxa"/>
            <w:vMerge/>
            <w:vAlign w:val="center"/>
          </w:tcPr>
          <w:p w14:paraId="0574F192" w14:textId="77777777" w:rsidR="00190716" w:rsidRPr="00A64A92" w:rsidRDefault="00190716" w:rsidP="00190716">
            <w:pPr>
              <w:pStyle w:val="Textotabla"/>
              <w:jc w:val="left"/>
              <w:rPr>
                <w:sz w:val="17"/>
                <w:szCs w:val="17"/>
              </w:rPr>
            </w:pPr>
          </w:p>
        </w:tc>
        <w:tc>
          <w:tcPr>
            <w:tcW w:w="426" w:type="dxa"/>
            <w:vAlign w:val="center"/>
          </w:tcPr>
          <w:p w14:paraId="72641573" w14:textId="77777777" w:rsidR="00190716" w:rsidRPr="00A64A92" w:rsidRDefault="00190716" w:rsidP="00190716">
            <w:pPr>
              <w:pStyle w:val="Textotabla"/>
              <w:spacing w:before="0" w:after="0" w:line="240" w:lineRule="auto"/>
              <w:jc w:val="center"/>
              <w:rPr>
                <w:sz w:val="17"/>
                <w:szCs w:val="17"/>
              </w:rPr>
            </w:pPr>
            <w:r w:rsidRPr="00A64A92">
              <w:rPr>
                <w:sz w:val="17"/>
                <w:szCs w:val="17"/>
              </w:rPr>
              <w:t>3</w:t>
            </w:r>
          </w:p>
        </w:tc>
        <w:tc>
          <w:tcPr>
            <w:tcW w:w="1701" w:type="dxa"/>
            <w:vAlign w:val="center"/>
          </w:tcPr>
          <w:p w14:paraId="0497CB73"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4E64B931"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674" w:type="dxa"/>
            <w:vAlign w:val="center"/>
          </w:tcPr>
          <w:p w14:paraId="09217268"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632EBEF2"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86" w:type="dxa"/>
            <w:vAlign w:val="center"/>
          </w:tcPr>
          <w:p w14:paraId="1360287A"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6AFD8CA3"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59" w:type="dxa"/>
            <w:vAlign w:val="center"/>
          </w:tcPr>
          <w:p w14:paraId="1C092B86" w14:textId="77777777" w:rsidR="00190716" w:rsidRPr="00A64A92" w:rsidRDefault="00190716" w:rsidP="00190716">
            <w:pPr>
              <w:pStyle w:val="Textotabla"/>
              <w:jc w:val="center"/>
              <w:rPr>
                <w:sz w:val="17"/>
                <w:szCs w:val="17"/>
              </w:rPr>
            </w:pPr>
            <w:r w:rsidRPr="00A64A92">
              <w:rPr>
                <w:sz w:val="17"/>
                <w:szCs w:val="17"/>
              </w:rPr>
              <w:t>A</w:t>
            </w:r>
          </w:p>
        </w:tc>
        <w:tc>
          <w:tcPr>
            <w:tcW w:w="1559" w:type="dxa"/>
            <w:vAlign w:val="center"/>
          </w:tcPr>
          <w:p w14:paraId="26D77325" w14:textId="77777777" w:rsidR="00190716" w:rsidRPr="00A64A92" w:rsidRDefault="00190716" w:rsidP="00190716">
            <w:pPr>
              <w:pStyle w:val="Textotabla"/>
              <w:jc w:val="center"/>
              <w:rPr>
                <w:sz w:val="17"/>
                <w:szCs w:val="17"/>
              </w:rPr>
            </w:pPr>
            <w:proofErr w:type="spellStart"/>
            <w:r w:rsidRPr="00A64A92">
              <w:rPr>
                <w:sz w:val="17"/>
                <w:szCs w:val="17"/>
              </w:rPr>
              <w:t>Autosoportada</w:t>
            </w:r>
            <w:proofErr w:type="spellEnd"/>
          </w:p>
        </w:tc>
        <w:tc>
          <w:tcPr>
            <w:tcW w:w="1134" w:type="dxa"/>
            <w:vAlign w:val="center"/>
          </w:tcPr>
          <w:p w14:paraId="32692683" w14:textId="77777777" w:rsidR="00190716" w:rsidRPr="00A64A92" w:rsidRDefault="00190716" w:rsidP="00190716">
            <w:pPr>
              <w:pStyle w:val="Textotabla"/>
              <w:jc w:val="center"/>
              <w:rPr>
                <w:sz w:val="17"/>
                <w:szCs w:val="17"/>
              </w:rPr>
            </w:pPr>
            <w:r w:rsidRPr="00A64A92">
              <w:rPr>
                <w:sz w:val="17"/>
                <w:szCs w:val="17"/>
              </w:rPr>
              <w:t>Grande</w:t>
            </w:r>
          </w:p>
        </w:tc>
        <w:tc>
          <w:tcPr>
            <w:tcW w:w="1134" w:type="dxa"/>
            <w:vAlign w:val="center"/>
          </w:tcPr>
          <w:p w14:paraId="06F741CA" w14:textId="77777777" w:rsidR="00190716" w:rsidRPr="00A64A92" w:rsidRDefault="00190716" w:rsidP="00190716">
            <w:pPr>
              <w:pStyle w:val="Textotabla"/>
              <w:jc w:val="center"/>
              <w:rPr>
                <w:sz w:val="17"/>
                <w:szCs w:val="17"/>
              </w:rPr>
            </w:pPr>
            <w:r w:rsidRPr="00A64A92">
              <w:rPr>
                <w:sz w:val="17"/>
                <w:szCs w:val="17"/>
              </w:rPr>
              <w:t>20</w:t>
            </w:r>
          </w:p>
        </w:tc>
      </w:tr>
      <w:tr w:rsidR="00190716" w:rsidRPr="00A64A92" w14:paraId="1F123A78" w14:textId="77777777" w:rsidTr="00190716">
        <w:trPr>
          <w:trHeight w:val="520"/>
          <w:jc w:val="center"/>
        </w:trPr>
        <w:tc>
          <w:tcPr>
            <w:tcW w:w="1129" w:type="dxa"/>
            <w:vMerge/>
            <w:vAlign w:val="center"/>
          </w:tcPr>
          <w:p w14:paraId="5E373964" w14:textId="77777777" w:rsidR="00190716" w:rsidRPr="00A64A92" w:rsidRDefault="00190716" w:rsidP="00190716">
            <w:pPr>
              <w:pStyle w:val="Textotabla"/>
              <w:jc w:val="left"/>
              <w:rPr>
                <w:sz w:val="17"/>
                <w:szCs w:val="17"/>
              </w:rPr>
            </w:pPr>
          </w:p>
        </w:tc>
        <w:tc>
          <w:tcPr>
            <w:tcW w:w="426" w:type="dxa"/>
            <w:vAlign w:val="center"/>
          </w:tcPr>
          <w:p w14:paraId="07A1A612" w14:textId="77777777" w:rsidR="00190716" w:rsidRPr="00A64A92" w:rsidRDefault="00190716" w:rsidP="00190716">
            <w:pPr>
              <w:pStyle w:val="Textotabla"/>
              <w:spacing w:before="0" w:after="0" w:line="240" w:lineRule="auto"/>
              <w:jc w:val="center"/>
              <w:rPr>
                <w:sz w:val="17"/>
                <w:szCs w:val="17"/>
              </w:rPr>
            </w:pPr>
            <w:r w:rsidRPr="00A64A92">
              <w:rPr>
                <w:sz w:val="17"/>
                <w:szCs w:val="17"/>
              </w:rPr>
              <w:t>4</w:t>
            </w:r>
          </w:p>
        </w:tc>
        <w:tc>
          <w:tcPr>
            <w:tcW w:w="1701" w:type="dxa"/>
            <w:vAlign w:val="center"/>
          </w:tcPr>
          <w:p w14:paraId="5F6CB3DD"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683D0F62"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674" w:type="dxa"/>
            <w:vAlign w:val="center"/>
          </w:tcPr>
          <w:p w14:paraId="0984043D"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28A33F46"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86" w:type="dxa"/>
            <w:vAlign w:val="center"/>
          </w:tcPr>
          <w:p w14:paraId="19BF333A"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571D06E5"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59" w:type="dxa"/>
            <w:vAlign w:val="center"/>
          </w:tcPr>
          <w:p w14:paraId="0F9E5C55" w14:textId="77777777" w:rsidR="00190716" w:rsidRPr="00A64A92" w:rsidRDefault="00190716" w:rsidP="00190716">
            <w:pPr>
              <w:pStyle w:val="Textotabla"/>
              <w:jc w:val="center"/>
              <w:rPr>
                <w:sz w:val="17"/>
                <w:szCs w:val="17"/>
              </w:rPr>
            </w:pPr>
            <w:r w:rsidRPr="00A64A92">
              <w:rPr>
                <w:sz w:val="17"/>
                <w:szCs w:val="17"/>
              </w:rPr>
              <w:t>A</w:t>
            </w:r>
          </w:p>
        </w:tc>
        <w:tc>
          <w:tcPr>
            <w:tcW w:w="1559" w:type="dxa"/>
            <w:vAlign w:val="center"/>
          </w:tcPr>
          <w:p w14:paraId="4948D3E3" w14:textId="77777777" w:rsidR="00190716" w:rsidRPr="00A64A92" w:rsidRDefault="00190716" w:rsidP="00190716">
            <w:pPr>
              <w:pStyle w:val="Textotabla"/>
              <w:jc w:val="center"/>
              <w:rPr>
                <w:sz w:val="17"/>
                <w:szCs w:val="17"/>
              </w:rPr>
            </w:pPr>
            <w:r w:rsidRPr="00A64A92">
              <w:rPr>
                <w:sz w:val="17"/>
                <w:szCs w:val="17"/>
              </w:rPr>
              <w:t>Arriostrada</w:t>
            </w:r>
          </w:p>
        </w:tc>
        <w:tc>
          <w:tcPr>
            <w:tcW w:w="1134" w:type="dxa"/>
            <w:vAlign w:val="center"/>
          </w:tcPr>
          <w:p w14:paraId="09F58F59" w14:textId="77777777" w:rsidR="00190716" w:rsidRPr="00A64A92" w:rsidRDefault="00190716" w:rsidP="00190716">
            <w:pPr>
              <w:pStyle w:val="Textotabla"/>
              <w:jc w:val="center"/>
              <w:rPr>
                <w:sz w:val="17"/>
                <w:szCs w:val="17"/>
              </w:rPr>
            </w:pPr>
            <w:r w:rsidRPr="00A64A92">
              <w:rPr>
                <w:sz w:val="17"/>
                <w:szCs w:val="17"/>
              </w:rPr>
              <w:t>Pequeña</w:t>
            </w:r>
          </w:p>
        </w:tc>
        <w:tc>
          <w:tcPr>
            <w:tcW w:w="1134" w:type="dxa"/>
            <w:vAlign w:val="center"/>
          </w:tcPr>
          <w:p w14:paraId="2C8901AE" w14:textId="77777777" w:rsidR="00190716" w:rsidRPr="00A64A92" w:rsidRDefault="00190716" w:rsidP="00190716">
            <w:pPr>
              <w:pStyle w:val="Textotabla"/>
              <w:jc w:val="center"/>
              <w:rPr>
                <w:sz w:val="17"/>
                <w:szCs w:val="17"/>
              </w:rPr>
            </w:pPr>
            <w:r w:rsidRPr="00A64A92">
              <w:rPr>
                <w:sz w:val="17"/>
                <w:szCs w:val="17"/>
              </w:rPr>
              <w:t>13</w:t>
            </w:r>
          </w:p>
        </w:tc>
      </w:tr>
      <w:tr w:rsidR="00190716" w:rsidRPr="00A64A92" w14:paraId="638F3620" w14:textId="77777777" w:rsidTr="00190716">
        <w:trPr>
          <w:trHeight w:val="534"/>
          <w:jc w:val="center"/>
        </w:trPr>
        <w:tc>
          <w:tcPr>
            <w:tcW w:w="1129" w:type="dxa"/>
            <w:vMerge/>
            <w:vAlign w:val="center"/>
          </w:tcPr>
          <w:p w14:paraId="1959C14C" w14:textId="77777777" w:rsidR="00190716" w:rsidRPr="00A64A92" w:rsidRDefault="00190716" w:rsidP="00190716">
            <w:pPr>
              <w:pStyle w:val="Textotabla"/>
              <w:jc w:val="left"/>
              <w:rPr>
                <w:sz w:val="17"/>
                <w:szCs w:val="17"/>
              </w:rPr>
            </w:pPr>
          </w:p>
        </w:tc>
        <w:tc>
          <w:tcPr>
            <w:tcW w:w="426" w:type="dxa"/>
            <w:vAlign w:val="center"/>
          </w:tcPr>
          <w:p w14:paraId="235940D3" w14:textId="77777777" w:rsidR="00190716" w:rsidRPr="00A64A92" w:rsidRDefault="00190716" w:rsidP="00190716">
            <w:pPr>
              <w:pStyle w:val="Textotabla"/>
              <w:spacing w:before="0" w:after="0" w:line="240" w:lineRule="auto"/>
              <w:jc w:val="center"/>
              <w:rPr>
                <w:sz w:val="17"/>
                <w:szCs w:val="17"/>
              </w:rPr>
            </w:pPr>
            <w:r w:rsidRPr="00A64A92">
              <w:rPr>
                <w:sz w:val="17"/>
                <w:szCs w:val="17"/>
              </w:rPr>
              <w:t>5</w:t>
            </w:r>
          </w:p>
        </w:tc>
        <w:tc>
          <w:tcPr>
            <w:tcW w:w="1701" w:type="dxa"/>
            <w:vAlign w:val="center"/>
          </w:tcPr>
          <w:p w14:paraId="3218ABAE"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777F018F"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674" w:type="dxa"/>
            <w:vAlign w:val="center"/>
          </w:tcPr>
          <w:p w14:paraId="5E6BB280"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64ABB389"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86" w:type="dxa"/>
            <w:vAlign w:val="center"/>
          </w:tcPr>
          <w:p w14:paraId="2A138336"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499D6C6F"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59" w:type="dxa"/>
            <w:vAlign w:val="center"/>
          </w:tcPr>
          <w:p w14:paraId="3755B28B" w14:textId="77777777" w:rsidR="00190716" w:rsidRPr="00A64A92" w:rsidRDefault="00190716" w:rsidP="00190716">
            <w:pPr>
              <w:pStyle w:val="Textotabla"/>
              <w:jc w:val="center"/>
              <w:rPr>
                <w:sz w:val="17"/>
                <w:szCs w:val="17"/>
              </w:rPr>
            </w:pPr>
            <w:r w:rsidRPr="00A64A92">
              <w:rPr>
                <w:sz w:val="17"/>
                <w:szCs w:val="17"/>
              </w:rPr>
              <w:t>A</w:t>
            </w:r>
          </w:p>
        </w:tc>
        <w:tc>
          <w:tcPr>
            <w:tcW w:w="1559" w:type="dxa"/>
            <w:vAlign w:val="center"/>
          </w:tcPr>
          <w:p w14:paraId="6DAF5EA0" w14:textId="77777777" w:rsidR="00190716" w:rsidRPr="00A64A92" w:rsidRDefault="00190716" w:rsidP="00190716">
            <w:pPr>
              <w:pStyle w:val="Textotabla"/>
              <w:jc w:val="center"/>
              <w:rPr>
                <w:sz w:val="17"/>
                <w:szCs w:val="17"/>
              </w:rPr>
            </w:pPr>
            <w:r w:rsidRPr="00A64A92">
              <w:rPr>
                <w:sz w:val="17"/>
                <w:szCs w:val="17"/>
              </w:rPr>
              <w:t>Arriostrada</w:t>
            </w:r>
          </w:p>
        </w:tc>
        <w:tc>
          <w:tcPr>
            <w:tcW w:w="1134" w:type="dxa"/>
            <w:vAlign w:val="center"/>
          </w:tcPr>
          <w:p w14:paraId="7BCE220C" w14:textId="77777777" w:rsidR="00190716" w:rsidRPr="00A64A92" w:rsidRDefault="00190716" w:rsidP="00190716">
            <w:pPr>
              <w:pStyle w:val="Textotabla"/>
              <w:jc w:val="center"/>
              <w:rPr>
                <w:sz w:val="17"/>
                <w:szCs w:val="17"/>
              </w:rPr>
            </w:pPr>
            <w:r w:rsidRPr="00A64A92">
              <w:rPr>
                <w:sz w:val="17"/>
                <w:szCs w:val="17"/>
              </w:rPr>
              <w:t>Grande</w:t>
            </w:r>
          </w:p>
        </w:tc>
        <w:tc>
          <w:tcPr>
            <w:tcW w:w="1134" w:type="dxa"/>
            <w:vAlign w:val="center"/>
          </w:tcPr>
          <w:p w14:paraId="2DFD255D" w14:textId="77777777" w:rsidR="00190716" w:rsidRPr="00A64A92" w:rsidRDefault="00190716" w:rsidP="00190716">
            <w:pPr>
              <w:pStyle w:val="Textotabla"/>
              <w:jc w:val="center"/>
              <w:rPr>
                <w:sz w:val="17"/>
                <w:szCs w:val="17"/>
              </w:rPr>
            </w:pPr>
            <w:r w:rsidRPr="00A64A92">
              <w:rPr>
                <w:sz w:val="17"/>
                <w:szCs w:val="17"/>
              </w:rPr>
              <w:t>4</w:t>
            </w:r>
          </w:p>
        </w:tc>
      </w:tr>
      <w:tr w:rsidR="00190716" w:rsidRPr="00A64A92" w14:paraId="02C728F3" w14:textId="77777777" w:rsidTr="00190716">
        <w:trPr>
          <w:trHeight w:val="534"/>
          <w:jc w:val="center"/>
        </w:trPr>
        <w:tc>
          <w:tcPr>
            <w:tcW w:w="1129" w:type="dxa"/>
            <w:vMerge/>
            <w:vAlign w:val="center"/>
          </w:tcPr>
          <w:p w14:paraId="081C658F" w14:textId="77777777" w:rsidR="00190716" w:rsidRPr="00A64A92" w:rsidRDefault="00190716" w:rsidP="00190716">
            <w:pPr>
              <w:pStyle w:val="Textotabla"/>
              <w:jc w:val="left"/>
              <w:rPr>
                <w:sz w:val="17"/>
                <w:szCs w:val="17"/>
              </w:rPr>
            </w:pPr>
          </w:p>
        </w:tc>
        <w:tc>
          <w:tcPr>
            <w:tcW w:w="426" w:type="dxa"/>
            <w:vAlign w:val="center"/>
          </w:tcPr>
          <w:p w14:paraId="4470E30F" w14:textId="77777777" w:rsidR="00190716" w:rsidRPr="00A64A92" w:rsidRDefault="00190716" w:rsidP="00190716">
            <w:pPr>
              <w:pStyle w:val="Textotabla"/>
              <w:spacing w:before="0" w:after="0" w:line="240" w:lineRule="auto"/>
              <w:jc w:val="center"/>
              <w:rPr>
                <w:sz w:val="17"/>
                <w:szCs w:val="17"/>
              </w:rPr>
            </w:pPr>
            <w:r w:rsidRPr="00A64A92">
              <w:rPr>
                <w:sz w:val="17"/>
                <w:szCs w:val="17"/>
              </w:rPr>
              <w:t>6</w:t>
            </w:r>
          </w:p>
        </w:tc>
        <w:tc>
          <w:tcPr>
            <w:tcW w:w="1701" w:type="dxa"/>
            <w:vAlign w:val="center"/>
          </w:tcPr>
          <w:p w14:paraId="39C3948F"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1F27112F"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674" w:type="dxa"/>
            <w:vAlign w:val="center"/>
          </w:tcPr>
          <w:p w14:paraId="38CB0CBE"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60B4B89A"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86" w:type="dxa"/>
            <w:vAlign w:val="center"/>
          </w:tcPr>
          <w:p w14:paraId="101AD526"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706FC72D"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59" w:type="dxa"/>
            <w:vAlign w:val="center"/>
          </w:tcPr>
          <w:p w14:paraId="0B390848" w14:textId="77777777" w:rsidR="00190716" w:rsidRPr="00A64A92" w:rsidRDefault="00190716" w:rsidP="00190716">
            <w:pPr>
              <w:pStyle w:val="Textotabla"/>
              <w:jc w:val="center"/>
              <w:rPr>
                <w:sz w:val="17"/>
                <w:szCs w:val="17"/>
              </w:rPr>
            </w:pPr>
            <w:r w:rsidRPr="00A64A92">
              <w:rPr>
                <w:sz w:val="17"/>
                <w:szCs w:val="17"/>
              </w:rPr>
              <w:t>B</w:t>
            </w:r>
          </w:p>
        </w:tc>
        <w:tc>
          <w:tcPr>
            <w:tcW w:w="1559" w:type="dxa"/>
            <w:vAlign w:val="center"/>
          </w:tcPr>
          <w:p w14:paraId="25FF5A3F" w14:textId="77777777" w:rsidR="00190716" w:rsidRPr="00A64A92" w:rsidRDefault="00190716" w:rsidP="00190716">
            <w:pPr>
              <w:pStyle w:val="Textotabla"/>
              <w:jc w:val="center"/>
              <w:rPr>
                <w:sz w:val="17"/>
                <w:szCs w:val="17"/>
              </w:rPr>
            </w:pPr>
            <w:proofErr w:type="spellStart"/>
            <w:r w:rsidRPr="00A64A92">
              <w:rPr>
                <w:sz w:val="17"/>
                <w:szCs w:val="17"/>
              </w:rPr>
              <w:t>Autosoportada</w:t>
            </w:r>
            <w:proofErr w:type="spellEnd"/>
          </w:p>
        </w:tc>
        <w:tc>
          <w:tcPr>
            <w:tcW w:w="1134" w:type="dxa"/>
            <w:vAlign w:val="center"/>
          </w:tcPr>
          <w:p w14:paraId="5035DD2E" w14:textId="77777777" w:rsidR="00190716" w:rsidRPr="00A64A92" w:rsidRDefault="00190716" w:rsidP="00190716">
            <w:pPr>
              <w:pStyle w:val="Textotabla"/>
              <w:jc w:val="center"/>
              <w:rPr>
                <w:sz w:val="17"/>
                <w:szCs w:val="17"/>
              </w:rPr>
            </w:pPr>
            <w:r w:rsidRPr="00A64A92">
              <w:rPr>
                <w:sz w:val="17"/>
                <w:szCs w:val="17"/>
              </w:rPr>
              <w:t>Pequeña</w:t>
            </w:r>
          </w:p>
        </w:tc>
        <w:tc>
          <w:tcPr>
            <w:tcW w:w="1134" w:type="dxa"/>
            <w:vAlign w:val="center"/>
          </w:tcPr>
          <w:p w14:paraId="3D7313B0" w14:textId="77777777" w:rsidR="00190716" w:rsidRPr="00A64A92" w:rsidRDefault="00190716" w:rsidP="00190716">
            <w:pPr>
              <w:pStyle w:val="Textotabla"/>
              <w:jc w:val="center"/>
              <w:rPr>
                <w:sz w:val="17"/>
                <w:szCs w:val="17"/>
              </w:rPr>
            </w:pPr>
            <w:r w:rsidRPr="00A64A92">
              <w:rPr>
                <w:sz w:val="17"/>
                <w:szCs w:val="17"/>
              </w:rPr>
              <w:t>22</w:t>
            </w:r>
          </w:p>
        </w:tc>
      </w:tr>
      <w:tr w:rsidR="00190716" w:rsidRPr="00A64A92" w14:paraId="4E910447" w14:textId="77777777" w:rsidTr="00190716">
        <w:trPr>
          <w:trHeight w:val="520"/>
          <w:jc w:val="center"/>
        </w:trPr>
        <w:tc>
          <w:tcPr>
            <w:tcW w:w="1129" w:type="dxa"/>
            <w:vMerge/>
            <w:vAlign w:val="center"/>
          </w:tcPr>
          <w:p w14:paraId="2D7A95DF" w14:textId="77777777" w:rsidR="00190716" w:rsidRPr="00A64A92" w:rsidRDefault="00190716" w:rsidP="00190716">
            <w:pPr>
              <w:pStyle w:val="Textotabla"/>
              <w:jc w:val="left"/>
              <w:rPr>
                <w:sz w:val="17"/>
                <w:szCs w:val="17"/>
              </w:rPr>
            </w:pPr>
          </w:p>
        </w:tc>
        <w:tc>
          <w:tcPr>
            <w:tcW w:w="426" w:type="dxa"/>
            <w:vAlign w:val="center"/>
          </w:tcPr>
          <w:p w14:paraId="52D44A34" w14:textId="77777777" w:rsidR="00190716" w:rsidRPr="00A64A92" w:rsidRDefault="00190716" w:rsidP="00190716">
            <w:pPr>
              <w:pStyle w:val="Textotabla"/>
              <w:spacing w:before="0" w:after="0" w:line="240" w:lineRule="auto"/>
              <w:jc w:val="center"/>
              <w:rPr>
                <w:sz w:val="17"/>
                <w:szCs w:val="17"/>
              </w:rPr>
            </w:pPr>
            <w:r w:rsidRPr="00A64A92">
              <w:rPr>
                <w:sz w:val="17"/>
                <w:szCs w:val="17"/>
              </w:rPr>
              <w:t>7</w:t>
            </w:r>
          </w:p>
        </w:tc>
        <w:tc>
          <w:tcPr>
            <w:tcW w:w="1701" w:type="dxa"/>
            <w:vAlign w:val="center"/>
          </w:tcPr>
          <w:p w14:paraId="352F9498"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7D644DAD"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674" w:type="dxa"/>
            <w:vAlign w:val="center"/>
          </w:tcPr>
          <w:p w14:paraId="0C04EA79"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33A3EAEA"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86" w:type="dxa"/>
            <w:vAlign w:val="center"/>
          </w:tcPr>
          <w:p w14:paraId="3277ED5F"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3DDA3199"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59" w:type="dxa"/>
            <w:vAlign w:val="center"/>
          </w:tcPr>
          <w:p w14:paraId="76AD9D7C" w14:textId="77777777" w:rsidR="00190716" w:rsidRPr="00A64A92" w:rsidRDefault="00190716" w:rsidP="00190716">
            <w:pPr>
              <w:pStyle w:val="Textotabla"/>
              <w:jc w:val="center"/>
              <w:rPr>
                <w:sz w:val="17"/>
                <w:szCs w:val="17"/>
              </w:rPr>
            </w:pPr>
            <w:r w:rsidRPr="00A64A92">
              <w:rPr>
                <w:sz w:val="17"/>
                <w:szCs w:val="17"/>
              </w:rPr>
              <w:t>B</w:t>
            </w:r>
          </w:p>
        </w:tc>
        <w:tc>
          <w:tcPr>
            <w:tcW w:w="1559" w:type="dxa"/>
            <w:vAlign w:val="center"/>
          </w:tcPr>
          <w:p w14:paraId="7D7F9541" w14:textId="77777777" w:rsidR="00190716" w:rsidRPr="00A64A92" w:rsidRDefault="00190716" w:rsidP="00190716">
            <w:pPr>
              <w:pStyle w:val="Textotabla"/>
              <w:jc w:val="center"/>
              <w:rPr>
                <w:sz w:val="17"/>
                <w:szCs w:val="17"/>
              </w:rPr>
            </w:pPr>
            <w:proofErr w:type="spellStart"/>
            <w:r w:rsidRPr="00A64A92">
              <w:rPr>
                <w:sz w:val="17"/>
                <w:szCs w:val="17"/>
              </w:rPr>
              <w:t>Autosoportada</w:t>
            </w:r>
            <w:proofErr w:type="spellEnd"/>
          </w:p>
        </w:tc>
        <w:tc>
          <w:tcPr>
            <w:tcW w:w="1134" w:type="dxa"/>
            <w:vAlign w:val="center"/>
          </w:tcPr>
          <w:p w14:paraId="228DDE85" w14:textId="77777777" w:rsidR="00190716" w:rsidRPr="00A64A92" w:rsidRDefault="00190716" w:rsidP="00190716">
            <w:pPr>
              <w:pStyle w:val="Textotabla"/>
              <w:jc w:val="center"/>
              <w:rPr>
                <w:sz w:val="17"/>
                <w:szCs w:val="17"/>
              </w:rPr>
            </w:pPr>
            <w:r w:rsidRPr="00A64A92">
              <w:rPr>
                <w:sz w:val="17"/>
                <w:szCs w:val="17"/>
              </w:rPr>
              <w:t>Grande</w:t>
            </w:r>
          </w:p>
        </w:tc>
        <w:tc>
          <w:tcPr>
            <w:tcW w:w="1134" w:type="dxa"/>
            <w:vAlign w:val="center"/>
          </w:tcPr>
          <w:p w14:paraId="379E4A31" w14:textId="77777777" w:rsidR="00190716" w:rsidRPr="00A64A92" w:rsidRDefault="00190716" w:rsidP="00190716">
            <w:pPr>
              <w:pStyle w:val="Textotabla"/>
              <w:jc w:val="center"/>
              <w:rPr>
                <w:sz w:val="17"/>
                <w:szCs w:val="17"/>
              </w:rPr>
            </w:pPr>
            <w:r w:rsidRPr="00A64A92">
              <w:rPr>
                <w:sz w:val="17"/>
                <w:szCs w:val="17"/>
              </w:rPr>
              <w:t>38</w:t>
            </w:r>
          </w:p>
        </w:tc>
      </w:tr>
      <w:tr w:rsidR="00190716" w:rsidRPr="00A64A92" w14:paraId="692D85AD" w14:textId="77777777" w:rsidTr="00190716">
        <w:trPr>
          <w:trHeight w:val="534"/>
          <w:jc w:val="center"/>
        </w:trPr>
        <w:tc>
          <w:tcPr>
            <w:tcW w:w="1129" w:type="dxa"/>
            <w:vMerge/>
            <w:vAlign w:val="center"/>
          </w:tcPr>
          <w:p w14:paraId="2C5E06C3" w14:textId="77777777" w:rsidR="00190716" w:rsidRPr="00A64A92" w:rsidRDefault="00190716" w:rsidP="00190716">
            <w:pPr>
              <w:pStyle w:val="Textotabla"/>
              <w:jc w:val="left"/>
              <w:rPr>
                <w:sz w:val="17"/>
                <w:szCs w:val="17"/>
              </w:rPr>
            </w:pPr>
          </w:p>
        </w:tc>
        <w:tc>
          <w:tcPr>
            <w:tcW w:w="426" w:type="dxa"/>
            <w:vAlign w:val="center"/>
          </w:tcPr>
          <w:p w14:paraId="2E36410E" w14:textId="77777777" w:rsidR="00190716" w:rsidRPr="00A64A92" w:rsidRDefault="00190716" w:rsidP="00190716">
            <w:pPr>
              <w:pStyle w:val="Textotabla"/>
              <w:spacing w:before="0" w:after="0" w:line="240" w:lineRule="auto"/>
              <w:jc w:val="center"/>
              <w:rPr>
                <w:sz w:val="17"/>
                <w:szCs w:val="17"/>
              </w:rPr>
            </w:pPr>
            <w:r w:rsidRPr="00A64A92">
              <w:rPr>
                <w:sz w:val="17"/>
                <w:szCs w:val="17"/>
              </w:rPr>
              <w:t>8</w:t>
            </w:r>
          </w:p>
        </w:tc>
        <w:tc>
          <w:tcPr>
            <w:tcW w:w="1701" w:type="dxa"/>
            <w:vAlign w:val="center"/>
          </w:tcPr>
          <w:p w14:paraId="726A843C"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7B5FDCF1"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674" w:type="dxa"/>
            <w:vAlign w:val="center"/>
          </w:tcPr>
          <w:p w14:paraId="27AC002A"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0C8F136B"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86" w:type="dxa"/>
            <w:vAlign w:val="center"/>
          </w:tcPr>
          <w:p w14:paraId="67E8A046"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6259844E"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59" w:type="dxa"/>
            <w:vAlign w:val="center"/>
          </w:tcPr>
          <w:p w14:paraId="1F358D3D" w14:textId="77777777" w:rsidR="00190716" w:rsidRPr="00A64A92" w:rsidRDefault="00190716" w:rsidP="00190716">
            <w:pPr>
              <w:pStyle w:val="Textotabla"/>
              <w:jc w:val="center"/>
              <w:rPr>
                <w:sz w:val="17"/>
                <w:szCs w:val="17"/>
              </w:rPr>
            </w:pPr>
            <w:r w:rsidRPr="00A64A92">
              <w:rPr>
                <w:sz w:val="17"/>
                <w:szCs w:val="17"/>
              </w:rPr>
              <w:t>B</w:t>
            </w:r>
          </w:p>
        </w:tc>
        <w:tc>
          <w:tcPr>
            <w:tcW w:w="1559" w:type="dxa"/>
            <w:vAlign w:val="center"/>
          </w:tcPr>
          <w:p w14:paraId="64781C06" w14:textId="77777777" w:rsidR="00190716" w:rsidRPr="00A64A92" w:rsidRDefault="00190716" w:rsidP="00190716">
            <w:pPr>
              <w:pStyle w:val="Textotabla"/>
              <w:jc w:val="center"/>
              <w:rPr>
                <w:sz w:val="17"/>
                <w:szCs w:val="17"/>
              </w:rPr>
            </w:pPr>
            <w:r w:rsidRPr="00A64A92">
              <w:rPr>
                <w:sz w:val="17"/>
                <w:szCs w:val="17"/>
              </w:rPr>
              <w:t>Arriostrada</w:t>
            </w:r>
          </w:p>
        </w:tc>
        <w:tc>
          <w:tcPr>
            <w:tcW w:w="1134" w:type="dxa"/>
            <w:vAlign w:val="center"/>
          </w:tcPr>
          <w:p w14:paraId="6ED7FB3A" w14:textId="77777777" w:rsidR="00190716" w:rsidRPr="00A64A92" w:rsidRDefault="00190716" w:rsidP="00190716">
            <w:pPr>
              <w:pStyle w:val="Textotabla"/>
              <w:jc w:val="center"/>
              <w:rPr>
                <w:sz w:val="17"/>
                <w:szCs w:val="17"/>
              </w:rPr>
            </w:pPr>
            <w:r w:rsidRPr="00A64A92">
              <w:rPr>
                <w:sz w:val="17"/>
                <w:szCs w:val="17"/>
              </w:rPr>
              <w:t>Pequeña</w:t>
            </w:r>
          </w:p>
        </w:tc>
        <w:tc>
          <w:tcPr>
            <w:tcW w:w="1134" w:type="dxa"/>
            <w:vAlign w:val="center"/>
          </w:tcPr>
          <w:p w14:paraId="6ECDD33C" w14:textId="77777777" w:rsidR="00190716" w:rsidRPr="00A64A92" w:rsidRDefault="00190716" w:rsidP="00190716">
            <w:pPr>
              <w:pStyle w:val="Textotabla"/>
              <w:jc w:val="center"/>
              <w:rPr>
                <w:sz w:val="17"/>
                <w:szCs w:val="17"/>
              </w:rPr>
            </w:pPr>
            <w:r w:rsidRPr="00A64A92">
              <w:rPr>
                <w:sz w:val="17"/>
                <w:szCs w:val="17"/>
              </w:rPr>
              <w:t>34</w:t>
            </w:r>
          </w:p>
        </w:tc>
      </w:tr>
      <w:tr w:rsidR="00190716" w:rsidRPr="00A64A92" w14:paraId="14F102C7" w14:textId="77777777" w:rsidTr="00190716">
        <w:trPr>
          <w:trHeight w:val="520"/>
          <w:jc w:val="center"/>
        </w:trPr>
        <w:tc>
          <w:tcPr>
            <w:tcW w:w="1129" w:type="dxa"/>
            <w:vMerge/>
            <w:vAlign w:val="center"/>
          </w:tcPr>
          <w:p w14:paraId="126E38CF" w14:textId="77777777" w:rsidR="00190716" w:rsidRPr="00A64A92" w:rsidRDefault="00190716" w:rsidP="00190716">
            <w:pPr>
              <w:pStyle w:val="Textotabla"/>
              <w:jc w:val="left"/>
              <w:rPr>
                <w:sz w:val="17"/>
                <w:szCs w:val="17"/>
              </w:rPr>
            </w:pPr>
          </w:p>
        </w:tc>
        <w:tc>
          <w:tcPr>
            <w:tcW w:w="426" w:type="dxa"/>
            <w:vAlign w:val="center"/>
          </w:tcPr>
          <w:p w14:paraId="29861373" w14:textId="77777777" w:rsidR="00190716" w:rsidRPr="00A64A92" w:rsidRDefault="00190716" w:rsidP="00190716">
            <w:pPr>
              <w:pStyle w:val="Textotabla"/>
              <w:spacing w:before="0" w:after="0" w:line="240" w:lineRule="auto"/>
              <w:jc w:val="center"/>
              <w:rPr>
                <w:sz w:val="17"/>
                <w:szCs w:val="17"/>
              </w:rPr>
            </w:pPr>
            <w:r w:rsidRPr="00A64A92">
              <w:rPr>
                <w:sz w:val="17"/>
                <w:szCs w:val="17"/>
              </w:rPr>
              <w:t>9</w:t>
            </w:r>
          </w:p>
        </w:tc>
        <w:tc>
          <w:tcPr>
            <w:tcW w:w="1701" w:type="dxa"/>
            <w:vAlign w:val="center"/>
          </w:tcPr>
          <w:p w14:paraId="17A4E9BD"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2CA7ABA9"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674" w:type="dxa"/>
            <w:vAlign w:val="center"/>
          </w:tcPr>
          <w:p w14:paraId="37714E7B"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10DCA798"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86" w:type="dxa"/>
            <w:vAlign w:val="center"/>
          </w:tcPr>
          <w:p w14:paraId="7C161CB3"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7757FEDA"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59" w:type="dxa"/>
            <w:vAlign w:val="center"/>
          </w:tcPr>
          <w:p w14:paraId="05D8ECE8" w14:textId="77777777" w:rsidR="00190716" w:rsidRPr="00A64A92" w:rsidRDefault="00190716" w:rsidP="00190716">
            <w:pPr>
              <w:pStyle w:val="Textotabla"/>
              <w:jc w:val="center"/>
              <w:rPr>
                <w:sz w:val="17"/>
                <w:szCs w:val="17"/>
              </w:rPr>
            </w:pPr>
            <w:r w:rsidRPr="00A64A92">
              <w:rPr>
                <w:sz w:val="17"/>
                <w:szCs w:val="17"/>
              </w:rPr>
              <w:t>B</w:t>
            </w:r>
          </w:p>
        </w:tc>
        <w:tc>
          <w:tcPr>
            <w:tcW w:w="1559" w:type="dxa"/>
            <w:vAlign w:val="center"/>
          </w:tcPr>
          <w:p w14:paraId="6E052F8F" w14:textId="77777777" w:rsidR="00190716" w:rsidRPr="00A64A92" w:rsidRDefault="00190716" w:rsidP="00190716">
            <w:pPr>
              <w:pStyle w:val="Textotabla"/>
              <w:jc w:val="center"/>
              <w:rPr>
                <w:sz w:val="17"/>
                <w:szCs w:val="17"/>
              </w:rPr>
            </w:pPr>
            <w:r w:rsidRPr="00A64A92">
              <w:rPr>
                <w:sz w:val="17"/>
                <w:szCs w:val="17"/>
              </w:rPr>
              <w:t>Arriostrada</w:t>
            </w:r>
          </w:p>
        </w:tc>
        <w:tc>
          <w:tcPr>
            <w:tcW w:w="1134" w:type="dxa"/>
            <w:vAlign w:val="center"/>
          </w:tcPr>
          <w:p w14:paraId="57FE7264" w14:textId="77777777" w:rsidR="00190716" w:rsidRPr="00A64A92" w:rsidRDefault="00190716" w:rsidP="00190716">
            <w:pPr>
              <w:pStyle w:val="Textotabla"/>
              <w:jc w:val="center"/>
              <w:rPr>
                <w:sz w:val="17"/>
                <w:szCs w:val="17"/>
              </w:rPr>
            </w:pPr>
            <w:r w:rsidRPr="00A64A92">
              <w:rPr>
                <w:sz w:val="17"/>
                <w:szCs w:val="17"/>
              </w:rPr>
              <w:t>Grande</w:t>
            </w:r>
          </w:p>
        </w:tc>
        <w:tc>
          <w:tcPr>
            <w:tcW w:w="1134" w:type="dxa"/>
            <w:vAlign w:val="center"/>
          </w:tcPr>
          <w:p w14:paraId="57774077" w14:textId="77777777" w:rsidR="00190716" w:rsidRPr="00A64A92" w:rsidRDefault="00190716" w:rsidP="00190716">
            <w:pPr>
              <w:pStyle w:val="Textotabla"/>
              <w:jc w:val="center"/>
              <w:rPr>
                <w:sz w:val="17"/>
                <w:szCs w:val="17"/>
              </w:rPr>
            </w:pPr>
            <w:r w:rsidRPr="00A64A92">
              <w:rPr>
                <w:sz w:val="17"/>
                <w:szCs w:val="17"/>
              </w:rPr>
              <w:t>9</w:t>
            </w:r>
          </w:p>
        </w:tc>
      </w:tr>
      <w:tr w:rsidR="00190716" w:rsidRPr="00A64A92" w14:paraId="3C46DA22" w14:textId="77777777" w:rsidTr="00190716">
        <w:trPr>
          <w:trHeight w:val="534"/>
          <w:jc w:val="center"/>
        </w:trPr>
        <w:tc>
          <w:tcPr>
            <w:tcW w:w="1129" w:type="dxa"/>
            <w:vMerge/>
            <w:vAlign w:val="center"/>
          </w:tcPr>
          <w:p w14:paraId="7D045532" w14:textId="77777777" w:rsidR="00190716" w:rsidRPr="00A64A92" w:rsidRDefault="00190716" w:rsidP="00190716">
            <w:pPr>
              <w:pStyle w:val="Textotabla"/>
              <w:jc w:val="left"/>
              <w:rPr>
                <w:sz w:val="17"/>
                <w:szCs w:val="17"/>
              </w:rPr>
            </w:pPr>
          </w:p>
        </w:tc>
        <w:tc>
          <w:tcPr>
            <w:tcW w:w="426" w:type="dxa"/>
            <w:vAlign w:val="center"/>
          </w:tcPr>
          <w:p w14:paraId="2A455541" w14:textId="77777777" w:rsidR="00190716" w:rsidRPr="00A64A92" w:rsidRDefault="00190716" w:rsidP="00190716">
            <w:pPr>
              <w:pStyle w:val="Textotabla"/>
              <w:spacing w:before="0" w:after="0" w:line="240" w:lineRule="auto"/>
              <w:jc w:val="center"/>
              <w:rPr>
                <w:sz w:val="17"/>
                <w:szCs w:val="17"/>
              </w:rPr>
            </w:pPr>
            <w:r w:rsidRPr="00A64A92">
              <w:rPr>
                <w:sz w:val="17"/>
                <w:szCs w:val="17"/>
              </w:rPr>
              <w:t>10</w:t>
            </w:r>
          </w:p>
        </w:tc>
        <w:tc>
          <w:tcPr>
            <w:tcW w:w="1701" w:type="dxa"/>
            <w:vAlign w:val="center"/>
          </w:tcPr>
          <w:p w14:paraId="40E45C48" w14:textId="77777777" w:rsidR="00190716" w:rsidRPr="00A64A92" w:rsidRDefault="00190716" w:rsidP="00190716">
            <w:pPr>
              <w:pStyle w:val="Textotabla"/>
              <w:spacing w:before="0" w:after="0" w:line="240" w:lineRule="auto"/>
              <w:jc w:val="center"/>
              <w:rPr>
                <w:sz w:val="17"/>
                <w:szCs w:val="17"/>
              </w:rPr>
            </w:pPr>
            <w:r w:rsidRPr="00A64A92">
              <w:rPr>
                <w:sz w:val="17"/>
                <w:szCs w:val="17"/>
              </w:rPr>
              <w:t>Comodato</w:t>
            </w:r>
          </w:p>
        </w:tc>
        <w:tc>
          <w:tcPr>
            <w:tcW w:w="1674" w:type="dxa"/>
            <w:vAlign w:val="center"/>
          </w:tcPr>
          <w:p w14:paraId="13B4FC71"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21453D11"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86" w:type="dxa"/>
            <w:vAlign w:val="center"/>
          </w:tcPr>
          <w:p w14:paraId="7844699F"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7394FEA8"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59" w:type="dxa"/>
            <w:vAlign w:val="center"/>
          </w:tcPr>
          <w:p w14:paraId="35FA63A6" w14:textId="77777777" w:rsidR="00190716" w:rsidRPr="00A64A92" w:rsidRDefault="00190716" w:rsidP="00190716">
            <w:pPr>
              <w:pStyle w:val="Textotabla"/>
              <w:jc w:val="center"/>
              <w:rPr>
                <w:sz w:val="17"/>
                <w:szCs w:val="17"/>
              </w:rPr>
            </w:pPr>
            <w:r w:rsidRPr="00A64A92">
              <w:rPr>
                <w:sz w:val="17"/>
                <w:szCs w:val="17"/>
              </w:rPr>
              <w:t>Todos</w:t>
            </w:r>
          </w:p>
        </w:tc>
        <w:tc>
          <w:tcPr>
            <w:tcW w:w="1559" w:type="dxa"/>
            <w:vAlign w:val="center"/>
          </w:tcPr>
          <w:p w14:paraId="61CDB171" w14:textId="77777777" w:rsidR="00190716" w:rsidRPr="00A64A92" w:rsidRDefault="00190716" w:rsidP="00190716">
            <w:pPr>
              <w:pStyle w:val="Textotabla"/>
              <w:jc w:val="center"/>
              <w:rPr>
                <w:sz w:val="17"/>
                <w:szCs w:val="17"/>
              </w:rPr>
            </w:pPr>
            <w:r w:rsidRPr="00A64A92">
              <w:rPr>
                <w:sz w:val="17"/>
                <w:szCs w:val="17"/>
              </w:rPr>
              <w:t>Todos</w:t>
            </w:r>
          </w:p>
        </w:tc>
        <w:tc>
          <w:tcPr>
            <w:tcW w:w="1134" w:type="dxa"/>
            <w:vAlign w:val="center"/>
          </w:tcPr>
          <w:p w14:paraId="2B1D2999" w14:textId="77777777" w:rsidR="00190716" w:rsidRPr="00A64A92" w:rsidRDefault="00190716" w:rsidP="00190716">
            <w:pPr>
              <w:pStyle w:val="Textotabla"/>
              <w:jc w:val="center"/>
              <w:rPr>
                <w:sz w:val="17"/>
                <w:szCs w:val="17"/>
              </w:rPr>
            </w:pPr>
            <w:r w:rsidRPr="00A64A92">
              <w:rPr>
                <w:sz w:val="17"/>
                <w:szCs w:val="17"/>
              </w:rPr>
              <w:t>Todos</w:t>
            </w:r>
          </w:p>
        </w:tc>
        <w:tc>
          <w:tcPr>
            <w:tcW w:w="1134" w:type="dxa"/>
            <w:vAlign w:val="center"/>
          </w:tcPr>
          <w:p w14:paraId="18D19B7D" w14:textId="77777777" w:rsidR="00190716" w:rsidRPr="00A64A92" w:rsidRDefault="00190716" w:rsidP="00190716">
            <w:pPr>
              <w:pStyle w:val="Textotabla"/>
              <w:jc w:val="center"/>
              <w:rPr>
                <w:sz w:val="17"/>
                <w:szCs w:val="17"/>
              </w:rPr>
            </w:pPr>
            <w:r w:rsidRPr="00A64A92">
              <w:rPr>
                <w:sz w:val="17"/>
                <w:szCs w:val="17"/>
              </w:rPr>
              <w:t>15</w:t>
            </w:r>
          </w:p>
        </w:tc>
      </w:tr>
      <w:tr w:rsidR="00190716" w:rsidRPr="00A64A92" w14:paraId="5D4FFACD" w14:textId="77777777" w:rsidTr="00190716">
        <w:trPr>
          <w:trHeight w:val="520"/>
          <w:jc w:val="center"/>
        </w:trPr>
        <w:tc>
          <w:tcPr>
            <w:tcW w:w="1129" w:type="dxa"/>
            <w:vMerge/>
            <w:vAlign w:val="center"/>
          </w:tcPr>
          <w:p w14:paraId="052B2E62" w14:textId="77777777" w:rsidR="00190716" w:rsidRPr="00A64A92" w:rsidRDefault="00190716" w:rsidP="00190716">
            <w:pPr>
              <w:pStyle w:val="Textotabla"/>
              <w:jc w:val="left"/>
              <w:rPr>
                <w:sz w:val="17"/>
                <w:szCs w:val="17"/>
              </w:rPr>
            </w:pPr>
          </w:p>
        </w:tc>
        <w:tc>
          <w:tcPr>
            <w:tcW w:w="426" w:type="dxa"/>
            <w:vAlign w:val="center"/>
          </w:tcPr>
          <w:p w14:paraId="649F2BE2" w14:textId="77777777" w:rsidR="00190716" w:rsidRPr="00A64A92" w:rsidRDefault="00190716" w:rsidP="00190716">
            <w:pPr>
              <w:pStyle w:val="Textotabla"/>
              <w:spacing w:before="0" w:after="0" w:line="240" w:lineRule="auto"/>
              <w:jc w:val="center"/>
              <w:rPr>
                <w:sz w:val="17"/>
                <w:szCs w:val="17"/>
              </w:rPr>
            </w:pPr>
            <w:r w:rsidRPr="00A64A92">
              <w:rPr>
                <w:sz w:val="17"/>
                <w:szCs w:val="17"/>
              </w:rPr>
              <w:t>11</w:t>
            </w:r>
          </w:p>
        </w:tc>
        <w:tc>
          <w:tcPr>
            <w:tcW w:w="1701" w:type="dxa"/>
            <w:vAlign w:val="center"/>
          </w:tcPr>
          <w:p w14:paraId="4963657A"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0538D423"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674" w:type="dxa"/>
            <w:vAlign w:val="center"/>
          </w:tcPr>
          <w:p w14:paraId="702EFBE2"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5581FDA5"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86" w:type="dxa"/>
            <w:vAlign w:val="center"/>
          </w:tcPr>
          <w:p w14:paraId="76EC762F" w14:textId="77777777" w:rsidR="00190716" w:rsidRPr="00A64A92" w:rsidRDefault="00190716" w:rsidP="00190716">
            <w:pPr>
              <w:pStyle w:val="Textotabla"/>
              <w:spacing w:before="0" w:after="0" w:line="240" w:lineRule="auto"/>
              <w:jc w:val="center"/>
              <w:rPr>
                <w:sz w:val="17"/>
                <w:szCs w:val="17"/>
              </w:rPr>
            </w:pPr>
            <w:r w:rsidRPr="00A64A92">
              <w:rPr>
                <w:sz w:val="17"/>
                <w:szCs w:val="17"/>
              </w:rPr>
              <w:t>Comodato</w:t>
            </w:r>
          </w:p>
        </w:tc>
        <w:tc>
          <w:tcPr>
            <w:tcW w:w="1559" w:type="dxa"/>
            <w:vAlign w:val="center"/>
          </w:tcPr>
          <w:p w14:paraId="687EE1B5" w14:textId="77777777" w:rsidR="00190716" w:rsidRPr="00A64A92" w:rsidRDefault="00190716" w:rsidP="00190716">
            <w:pPr>
              <w:pStyle w:val="Textotabla"/>
              <w:jc w:val="center"/>
              <w:rPr>
                <w:sz w:val="17"/>
                <w:szCs w:val="17"/>
              </w:rPr>
            </w:pPr>
            <w:r w:rsidRPr="00A64A92">
              <w:rPr>
                <w:sz w:val="17"/>
                <w:szCs w:val="17"/>
              </w:rPr>
              <w:t>Todos</w:t>
            </w:r>
          </w:p>
        </w:tc>
        <w:tc>
          <w:tcPr>
            <w:tcW w:w="1559" w:type="dxa"/>
            <w:vAlign w:val="center"/>
          </w:tcPr>
          <w:p w14:paraId="66A5C7AD" w14:textId="77777777" w:rsidR="00190716" w:rsidRPr="00A64A92" w:rsidRDefault="00190716" w:rsidP="00190716">
            <w:pPr>
              <w:pStyle w:val="Textotabla"/>
              <w:jc w:val="center"/>
              <w:rPr>
                <w:sz w:val="17"/>
                <w:szCs w:val="17"/>
              </w:rPr>
            </w:pPr>
            <w:r w:rsidRPr="00A64A92">
              <w:rPr>
                <w:sz w:val="17"/>
                <w:szCs w:val="17"/>
              </w:rPr>
              <w:t>Todos</w:t>
            </w:r>
          </w:p>
        </w:tc>
        <w:tc>
          <w:tcPr>
            <w:tcW w:w="1134" w:type="dxa"/>
            <w:vAlign w:val="center"/>
          </w:tcPr>
          <w:p w14:paraId="00EA1969" w14:textId="77777777" w:rsidR="00190716" w:rsidRPr="00A64A92" w:rsidRDefault="00190716" w:rsidP="00190716">
            <w:pPr>
              <w:pStyle w:val="Textotabla"/>
              <w:jc w:val="center"/>
              <w:rPr>
                <w:sz w:val="17"/>
                <w:szCs w:val="17"/>
              </w:rPr>
            </w:pPr>
            <w:r w:rsidRPr="00A64A92">
              <w:rPr>
                <w:sz w:val="17"/>
                <w:szCs w:val="17"/>
              </w:rPr>
              <w:t>Todos</w:t>
            </w:r>
          </w:p>
        </w:tc>
        <w:tc>
          <w:tcPr>
            <w:tcW w:w="1134" w:type="dxa"/>
            <w:vAlign w:val="center"/>
          </w:tcPr>
          <w:p w14:paraId="2FDD714A" w14:textId="77777777" w:rsidR="00190716" w:rsidRPr="00A64A92" w:rsidRDefault="00190716" w:rsidP="00190716">
            <w:pPr>
              <w:pStyle w:val="Textotabla"/>
              <w:jc w:val="center"/>
              <w:rPr>
                <w:sz w:val="17"/>
                <w:szCs w:val="17"/>
              </w:rPr>
            </w:pPr>
            <w:r w:rsidRPr="00A64A92">
              <w:rPr>
                <w:sz w:val="17"/>
                <w:szCs w:val="17"/>
              </w:rPr>
              <w:t>11</w:t>
            </w:r>
          </w:p>
        </w:tc>
      </w:tr>
      <w:tr w:rsidR="00190716" w:rsidRPr="00A64A92" w14:paraId="3597584E" w14:textId="77777777" w:rsidTr="00190716">
        <w:trPr>
          <w:trHeight w:val="534"/>
          <w:jc w:val="center"/>
        </w:trPr>
        <w:tc>
          <w:tcPr>
            <w:tcW w:w="1129" w:type="dxa"/>
            <w:vMerge/>
            <w:vAlign w:val="center"/>
          </w:tcPr>
          <w:p w14:paraId="6055646C" w14:textId="77777777" w:rsidR="00190716" w:rsidRPr="00A64A92" w:rsidRDefault="00190716" w:rsidP="00190716">
            <w:pPr>
              <w:pStyle w:val="Textotabla"/>
              <w:jc w:val="left"/>
              <w:rPr>
                <w:sz w:val="17"/>
                <w:szCs w:val="17"/>
              </w:rPr>
            </w:pPr>
          </w:p>
        </w:tc>
        <w:tc>
          <w:tcPr>
            <w:tcW w:w="426" w:type="dxa"/>
            <w:vAlign w:val="center"/>
          </w:tcPr>
          <w:p w14:paraId="46FA7294" w14:textId="77777777" w:rsidR="00190716" w:rsidRPr="00A64A92" w:rsidRDefault="00190716" w:rsidP="00190716">
            <w:pPr>
              <w:pStyle w:val="Textotabla"/>
              <w:spacing w:before="0" w:after="0" w:line="240" w:lineRule="auto"/>
              <w:jc w:val="center"/>
              <w:rPr>
                <w:sz w:val="17"/>
                <w:szCs w:val="17"/>
              </w:rPr>
            </w:pPr>
            <w:r w:rsidRPr="00A64A92">
              <w:rPr>
                <w:sz w:val="17"/>
                <w:szCs w:val="17"/>
              </w:rPr>
              <w:t>12</w:t>
            </w:r>
          </w:p>
        </w:tc>
        <w:tc>
          <w:tcPr>
            <w:tcW w:w="1701" w:type="dxa"/>
            <w:vAlign w:val="center"/>
          </w:tcPr>
          <w:p w14:paraId="110A6E76" w14:textId="77777777" w:rsidR="00190716" w:rsidRPr="00A64A92" w:rsidRDefault="00190716" w:rsidP="00190716">
            <w:pPr>
              <w:pStyle w:val="Textotabla"/>
              <w:spacing w:before="0" w:after="0" w:line="240" w:lineRule="auto"/>
              <w:jc w:val="center"/>
              <w:rPr>
                <w:sz w:val="17"/>
                <w:szCs w:val="17"/>
              </w:rPr>
            </w:pPr>
            <w:r w:rsidRPr="00A64A92">
              <w:rPr>
                <w:sz w:val="17"/>
                <w:szCs w:val="17"/>
              </w:rPr>
              <w:t>Comodato</w:t>
            </w:r>
          </w:p>
        </w:tc>
        <w:tc>
          <w:tcPr>
            <w:tcW w:w="1674" w:type="dxa"/>
            <w:vAlign w:val="center"/>
          </w:tcPr>
          <w:p w14:paraId="583C5E69" w14:textId="77777777" w:rsidR="00190716" w:rsidRPr="00A64A92" w:rsidRDefault="00190716" w:rsidP="00190716">
            <w:pPr>
              <w:pStyle w:val="Textotabla"/>
              <w:spacing w:before="0" w:after="0" w:line="240" w:lineRule="auto"/>
              <w:jc w:val="center"/>
              <w:rPr>
                <w:sz w:val="17"/>
                <w:szCs w:val="17"/>
              </w:rPr>
            </w:pPr>
            <w:r w:rsidRPr="00A64A92">
              <w:rPr>
                <w:sz w:val="17"/>
                <w:szCs w:val="17"/>
              </w:rPr>
              <w:t>Comodato</w:t>
            </w:r>
          </w:p>
        </w:tc>
        <w:tc>
          <w:tcPr>
            <w:tcW w:w="1586" w:type="dxa"/>
            <w:vAlign w:val="center"/>
          </w:tcPr>
          <w:p w14:paraId="1EFECF2B"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305E631D" w14:textId="77777777" w:rsidR="00190716" w:rsidRPr="00A64A92" w:rsidRDefault="00190716" w:rsidP="00190716">
            <w:pPr>
              <w:pStyle w:val="Textotabla"/>
              <w:spacing w:before="0" w:after="0" w:line="240" w:lineRule="auto"/>
              <w:jc w:val="center"/>
              <w:rPr>
                <w:sz w:val="17"/>
                <w:szCs w:val="17"/>
              </w:rPr>
            </w:pPr>
            <w:r w:rsidRPr="00A64A92">
              <w:rPr>
                <w:sz w:val="17"/>
                <w:szCs w:val="17"/>
              </w:rPr>
              <w:t>Propiedad Grupo Televisa</w:t>
            </w:r>
          </w:p>
        </w:tc>
        <w:tc>
          <w:tcPr>
            <w:tcW w:w="1559" w:type="dxa"/>
            <w:vAlign w:val="center"/>
          </w:tcPr>
          <w:p w14:paraId="300D15BF"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0107FB6F" w14:textId="77777777" w:rsidR="00190716" w:rsidRPr="00A64A92" w:rsidRDefault="00190716" w:rsidP="00190716">
            <w:pPr>
              <w:pStyle w:val="Textotabla"/>
              <w:jc w:val="center"/>
              <w:rPr>
                <w:sz w:val="17"/>
                <w:szCs w:val="17"/>
              </w:rPr>
            </w:pPr>
            <w:r w:rsidRPr="00A64A92">
              <w:rPr>
                <w:sz w:val="17"/>
                <w:szCs w:val="17"/>
              </w:rPr>
              <w:t>Propiedad Grupo Televisa</w:t>
            </w:r>
          </w:p>
        </w:tc>
        <w:tc>
          <w:tcPr>
            <w:tcW w:w="1559" w:type="dxa"/>
            <w:vAlign w:val="center"/>
          </w:tcPr>
          <w:p w14:paraId="2A4589E6" w14:textId="77777777" w:rsidR="00190716" w:rsidRPr="00A64A92" w:rsidRDefault="00190716" w:rsidP="00190716">
            <w:pPr>
              <w:pStyle w:val="Textotabla"/>
              <w:spacing w:before="0" w:after="0" w:line="240" w:lineRule="auto"/>
              <w:jc w:val="center"/>
              <w:rPr>
                <w:sz w:val="17"/>
                <w:szCs w:val="17"/>
              </w:rPr>
            </w:pPr>
            <w:r w:rsidRPr="00A64A92">
              <w:rPr>
                <w:sz w:val="17"/>
                <w:szCs w:val="17"/>
              </w:rPr>
              <w:t>Arrendamiento/</w:t>
            </w:r>
          </w:p>
          <w:p w14:paraId="48C7F55A" w14:textId="77777777" w:rsidR="00190716" w:rsidRPr="00A64A92" w:rsidRDefault="00190716" w:rsidP="00190716">
            <w:pPr>
              <w:pStyle w:val="Textotabla"/>
              <w:jc w:val="center"/>
              <w:rPr>
                <w:sz w:val="17"/>
                <w:szCs w:val="17"/>
              </w:rPr>
            </w:pPr>
            <w:r w:rsidRPr="00A64A92">
              <w:rPr>
                <w:sz w:val="17"/>
                <w:szCs w:val="17"/>
              </w:rPr>
              <w:t>Propiedad Grupo Televisa</w:t>
            </w:r>
          </w:p>
        </w:tc>
        <w:tc>
          <w:tcPr>
            <w:tcW w:w="1134" w:type="dxa"/>
            <w:vAlign w:val="center"/>
          </w:tcPr>
          <w:p w14:paraId="3A1C56E6" w14:textId="77777777" w:rsidR="00190716" w:rsidRPr="00A64A92" w:rsidRDefault="00190716" w:rsidP="00190716">
            <w:pPr>
              <w:pStyle w:val="Textotabla"/>
              <w:jc w:val="center"/>
              <w:rPr>
                <w:sz w:val="17"/>
                <w:szCs w:val="17"/>
              </w:rPr>
            </w:pPr>
            <w:r w:rsidRPr="00A64A92">
              <w:rPr>
                <w:sz w:val="17"/>
                <w:szCs w:val="17"/>
              </w:rPr>
              <w:t>Todos</w:t>
            </w:r>
          </w:p>
        </w:tc>
        <w:tc>
          <w:tcPr>
            <w:tcW w:w="1134" w:type="dxa"/>
            <w:vAlign w:val="center"/>
          </w:tcPr>
          <w:p w14:paraId="6C3E8593" w14:textId="77777777" w:rsidR="00190716" w:rsidRPr="00A64A92" w:rsidRDefault="00190716" w:rsidP="00190716">
            <w:pPr>
              <w:pStyle w:val="Textotabla"/>
              <w:jc w:val="center"/>
              <w:rPr>
                <w:sz w:val="17"/>
                <w:szCs w:val="17"/>
              </w:rPr>
            </w:pPr>
            <w:r w:rsidRPr="00A64A92">
              <w:rPr>
                <w:sz w:val="17"/>
                <w:szCs w:val="17"/>
              </w:rPr>
              <w:t>11</w:t>
            </w:r>
          </w:p>
        </w:tc>
      </w:tr>
      <w:tr w:rsidR="00190716" w:rsidRPr="00A64A92" w14:paraId="70E82BDC" w14:textId="77777777" w:rsidTr="00190716">
        <w:trPr>
          <w:trHeight w:val="400"/>
          <w:jc w:val="center"/>
        </w:trPr>
        <w:tc>
          <w:tcPr>
            <w:tcW w:w="1129" w:type="dxa"/>
            <w:vMerge/>
            <w:vAlign w:val="center"/>
          </w:tcPr>
          <w:p w14:paraId="0A238494" w14:textId="77777777" w:rsidR="00190716" w:rsidRPr="00A64A92" w:rsidRDefault="00190716" w:rsidP="00190716">
            <w:pPr>
              <w:pStyle w:val="Textotabla"/>
              <w:jc w:val="left"/>
              <w:rPr>
                <w:sz w:val="17"/>
                <w:szCs w:val="17"/>
              </w:rPr>
            </w:pPr>
          </w:p>
        </w:tc>
        <w:tc>
          <w:tcPr>
            <w:tcW w:w="426" w:type="dxa"/>
            <w:vAlign w:val="center"/>
          </w:tcPr>
          <w:p w14:paraId="0FA1C5E2" w14:textId="77777777" w:rsidR="00190716" w:rsidRPr="00A64A92" w:rsidRDefault="00190716" w:rsidP="00190716">
            <w:pPr>
              <w:pStyle w:val="Textotabla"/>
              <w:spacing w:before="0" w:after="0" w:line="240" w:lineRule="auto"/>
              <w:jc w:val="center"/>
              <w:rPr>
                <w:sz w:val="17"/>
                <w:szCs w:val="17"/>
              </w:rPr>
            </w:pPr>
            <w:r w:rsidRPr="00A64A92">
              <w:rPr>
                <w:sz w:val="17"/>
                <w:szCs w:val="17"/>
              </w:rPr>
              <w:t>13</w:t>
            </w:r>
          </w:p>
        </w:tc>
        <w:tc>
          <w:tcPr>
            <w:tcW w:w="1701" w:type="dxa"/>
            <w:vAlign w:val="center"/>
          </w:tcPr>
          <w:p w14:paraId="4C3137B5" w14:textId="77777777" w:rsidR="00190716" w:rsidRPr="00A64A92" w:rsidRDefault="00190716" w:rsidP="00190716">
            <w:pPr>
              <w:pStyle w:val="Textotabla"/>
              <w:spacing w:before="0" w:after="0" w:line="240" w:lineRule="auto"/>
              <w:jc w:val="center"/>
              <w:rPr>
                <w:sz w:val="17"/>
                <w:szCs w:val="17"/>
              </w:rPr>
            </w:pPr>
            <w:r w:rsidRPr="00A64A92">
              <w:rPr>
                <w:sz w:val="17"/>
                <w:szCs w:val="17"/>
              </w:rPr>
              <w:t>Comodato</w:t>
            </w:r>
          </w:p>
        </w:tc>
        <w:tc>
          <w:tcPr>
            <w:tcW w:w="1674" w:type="dxa"/>
            <w:vAlign w:val="center"/>
          </w:tcPr>
          <w:p w14:paraId="1732F4F8" w14:textId="77777777" w:rsidR="00190716" w:rsidRPr="00A64A92" w:rsidRDefault="00190716" w:rsidP="00190716">
            <w:pPr>
              <w:pStyle w:val="Textotabla"/>
              <w:spacing w:before="0" w:after="0" w:line="240" w:lineRule="auto"/>
              <w:jc w:val="center"/>
              <w:rPr>
                <w:sz w:val="17"/>
                <w:szCs w:val="17"/>
              </w:rPr>
            </w:pPr>
            <w:r w:rsidRPr="00A64A92">
              <w:rPr>
                <w:sz w:val="17"/>
                <w:szCs w:val="17"/>
              </w:rPr>
              <w:t>Comodato</w:t>
            </w:r>
          </w:p>
        </w:tc>
        <w:tc>
          <w:tcPr>
            <w:tcW w:w="1586" w:type="dxa"/>
            <w:vAlign w:val="center"/>
          </w:tcPr>
          <w:p w14:paraId="18EC9C3F" w14:textId="77777777" w:rsidR="00190716" w:rsidRPr="00A64A92" w:rsidRDefault="00190716" w:rsidP="00190716">
            <w:pPr>
              <w:pStyle w:val="Textotabla"/>
              <w:spacing w:before="0" w:after="0" w:line="240" w:lineRule="auto"/>
              <w:jc w:val="center"/>
              <w:rPr>
                <w:sz w:val="17"/>
                <w:szCs w:val="17"/>
              </w:rPr>
            </w:pPr>
            <w:r w:rsidRPr="00A64A92">
              <w:rPr>
                <w:sz w:val="17"/>
                <w:szCs w:val="17"/>
              </w:rPr>
              <w:t>Comodato</w:t>
            </w:r>
          </w:p>
        </w:tc>
        <w:tc>
          <w:tcPr>
            <w:tcW w:w="1559" w:type="dxa"/>
            <w:vAlign w:val="center"/>
          </w:tcPr>
          <w:p w14:paraId="4832E1AC" w14:textId="77777777" w:rsidR="00190716" w:rsidRPr="00A64A92" w:rsidRDefault="00190716" w:rsidP="00190716">
            <w:pPr>
              <w:pStyle w:val="Textotabla"/>
              <w:jc w:val="center"/>
              <w:rPr>
                <w:sz w:val="17"/>
                <w:szCs w:val="17"/>
              </w:rPr>
            </w:pPr>
            <w:r w:rsidRPr="00A64A92">
              <w:rPr>
                <w:sz w:val="17"/>
                <w:szCs w:val="17"/>
              </w:rPr>
              <w:t>Todos</w:t>
            </w:r>
          </w:p>
        </w:tc>
        <w:tc>
          <w:tcPr>
            <w:tcW w:w="1559" w:type="dxa"/>
            <w:vAlign w:val="center"/>
          </w:tcPr>
          <w:p w14:paraId="63085395" w14:textId="77777777" w:rsidR="00190716" w:rsidRPr="00A64A92" w:rsidRDefault="00190716" w:rsidP="00190716">
            <w:pPr>
              <w:pStyle w:val="Textotabla"/>
              <w:jc w:val="center"/>
              <w:rPr>
                <w:sz w:val="17"/>
                <w:szCs w:val="17"/>
              </w:rPr>
            </w:pPr>
            <w:r w:rsidRPr="00A64A92">
              <w:rPr>
                <w:sz w:val="17"/>
                <w:szCs w:val="17"/>
              </w:rPr>
              <w:t>Todos</w:t>
            </w:r>
          </w:p>
        </w:tc>
        <w:tc>
          <w:tcPr>
            <w:tcW w:w="1134" w:type="dxa"/>
            <w:vAlign w:val="center"/>
          </w:tcPr>
          <w:p w14:paraId="517B5BA3" w14:textId="77777777" w:rsidR="00190716" w:rsidRPr="00A64A92" w:rsidRDefault="00190716" w:rsidP="00190716">
            <w:pPr>
              <w:pStyle w:val="Textotabla"/>
              <w:jc w:val="center"/>
              <w:rPr>
                <w:sz w:val="17"/>
                <w:szCs w:val="17"/>
              </w:rPr>
            </w:pPr>
            <w:r w:rsidRPr="00A64A92">
              <w:rPr>
                <w:sz w:val="17"/>
                <w:szCs w:val="17"/>
              </w:rPr>
              <w:t>Todos</w:t>
            </w:r>
          </w:p>
        </w:tc>
        <w:tc>
          <w:tcPr>
            <w:tcW w:w="1134" w:type="dxa"/>
            <w:vAlign w:val="center"/>
          </w:tcPr>
          <w:p w14:paraId="04775442" w14:textId="77777777" w:rsidR="00190716" w:rsidRPr="00A64A92" w:rsidRDefault="00190716" w:rsidP="00190716">
            <w:pPr>
              <w:pStyle w:val="Textotabla"/>
              <w:jc w:val="center"/>
              <w:rPr>
                <w:sz w:val="17"/>
                <w:szCs w:val="17"/>
              </w:rPr>
            </w:pPr>
            <w:r w:rsidRPr="00A64A92">
              <w:rPr>
                <w:sz w:val="17"/>
                <w:szCs w:val="17"/>
              </w:rPr>
              <w:t>201</w:t>
            </w:r>
          </w:p>
        </w:tc>
      </w:tr>
      <w:tr w:rsidR="00190716" w:rsidRPr="00A64A92" w14:paraId="580FB38E" w14:textId="77777777" w:rsidTr="00190716">
        <w:trPr>
          <w:trHeight w:val="387"/>
          <w:jc w:val="center"/>
        </w:trPr>
        <w:tc>
          <w:tcPr>
            <w:tcW w:w="1129" w:type="dxa"/>
            <w:vAlign w:val="center"/>
          </w:tcPr>
          <w:p w14:paraId="15E7867E" w14:textId="77777777" w:rsidR="00190716" w:rsidRPr="00A64A92" w:rsidRDefault="00190716" w:rsidP="00190716">
            <w:pPr>
              <w:pStyle w:val="Textotabla"/>
              <w:jc w:val="left"/>
              <w:rPr>
                <w:sz w:val="17"/>
                <w:szCs w:val="17"/>
              </w:rPr>
            </w:pPr>
            <w:r w:rsidRPr="00A64A92">
              <w:rPr>
                <w:sz w:val="17"/>
                <w:szCs w:val="17"/>
              </w:rPr>
              <w:t>Resto del AEP</w:t>
            </w:r>
          </w:p>
        </w:tc>
        <w:tc>
          <w:tcPr>
            <w:tcW w:w="426" w:type="dxa"/>
            <w:vAlign w:val="center"/>
          </w:tcPr>
          <w:p w14:paraId="6E1F5514" w14:textId="77777777" w:rsidR="00190716" w:rsidRPr="00A64A92" w:rsidRDefault="00190716" w:rsidP="00190716">
            <w:pPr>
              <w:pStyle w:val="Textotabla"/>
              <w:spacing w:before="0" w:after="0" w:line="240" w:lineRule="auto"/>
              <w:jc w:val="center"/>
              <w:rPr>
                <w:sz w:val="17"/>
                <w:szCs w:val="17"/>
              </w:rPr>
            </w:pPr>
            <w:r w:rsidRPr="00A64A92">
              <w:rPr>
                <w:sz w:val="17"/>
                <w:szCs w:val="17"/>
              </w:rPr>
              <w:t>14</w:t>
            </w:r>
          </w:p>
        </w:tc>
        <w:tc>
          <w:tcPr>
            <w:tcW w:w="1701" w:type="dxa"/>
            <w:vAlign w:val="center"/>
          </w:tcPr>
          <w:p w14:paraId="430FE124" w14:textId="77777777" w:rsidR="00190716" w:rsidRPr="00A64A92" w:rsidRDefault="00190716" w:rsidP="00190716">
            <w:pPr>
              <w:pStyle w:val="Textotabla"/>
              <w:spacing w:before="0" w:after="0" w:line="240" w:lineRule="auto"/>
              <w:jc w:val="center"/>
              <w:rPr>
                <w:sz w:val="17"/>
                <w:szCs w:val="17"/>
              </w:rPr>
            </w:pPr>
            <w:r w:rsidRPr="00A64A92">
              <w:rPr>
                <w:sz w:val="17"/>
                <w:szCs w:val="17"/>
              </w:rPr>
              <w:t>Todos</w:t>
            </w:r>
          </w:p>
        </w:tc>
        <w:tc>
          <w:tcPr>
            <w:tcW w:w="1674" w:type="dxa"/>
            <w:vAlign w:val="center"/>
          </w:tcPr>
          <w:p w14:paraId="533D0C1A" w14:textId="77777777" w:rsidR="00190716" w:rsidRPr="00A64A92" w:rsidRDefault="00190716" w:rsidP="00190716">
            <w:pPr>
              <w:pStyle w:val="Textotabla"/>
              <w:spacing w:before="0" w:after="0" w:line="240" w:lineRule="auto"/>
              <w:jc w:val="center"/>
              <w:rPr>
                <w:sz w:val="17"/>
                <w:szCs w:val="17"/>
              </w:rPr>
            </w:pPr>
            <w:r w:rsidRPr="00A64A92">
              <w:rPr>
                <w:sz w:val="17"/>
                <w:szCs w:val="17"/>
              </w:rPr>
              <w:t>Todos</w:t>
            </w:r>
          </w:p>
        </w:tc>
        <w:tc>
          <w:tcPr>
            <w:tcW w:w="1586" w:type="dxa"/>
            <w:vAlign w:val="center"/>
          </w:tcPr>
          <w:p w14:paraId="68061C1B" w14:textId="77777777" w:rsidR="00190716" w:rsidRPr="00A64A92" w:rsidRDefault="00190716" w:rsidP="00190716">
            <w:pPr>
              <w:pStyle w:val="Textotabla"/>
              <w:spacing w:before="0" w:after="0" w:line="240" w:lineRule="auto"/>
              <w:jc w:val="center"/>
              <w:rPr>
                <w:sz w:val="17"/>
                <w:szCs w:val="17"/>
              </w:rPr>
            </w:pPr>
            <w:r w:rsidRPr="00A64A92">
              <w:rPr>
                <w:sz w:val="17"/>
                <w:szCs w:val="17"/>
              </w:rPr>
              <w:t>Todos</w:t>
            </w:r>
          </w:p>
        </w:tc>
        <w:tc>
          <w:tcPr>
            <w:tcW w:w="1559" w:type="dxa"/>
            <w:vAlign w:val="center"/>
          </w:tcPr>
          <w:p w14:paraId="4D712FC5" w14:textId="77777777" w:rsidR="00190716" w:rsidRPr="00A64A92" w:rsidRDefault="00190716" w:rsidP="00190716">
            <w:pPr>
              <w:pStyle w:val="Textotabla"/>
              <w:jc w:val="center"/>
              <w:rPr>
                <w:sz w:val="17"/>
                <w:szCs w:val="17"/>
              </w:rPr>
            </w:pPr>
            <w:r w:rsidRPr="00A64A92">
              <w:rPr>
                <w:sz w:val="17"/>
                <w:szCs w:val="17"/>
              </w:rPr>
              <w:t>Todos</w:t>
            </w:r>
          </w:p>
        </w:tc>
        <w:tc>
          <w:tcPr>
            <w:tcW w:w="1559" w:type="dxa"/>
            <w:vAlign w:val="center"/>
          </w:tcPr>
          <w:p w14:paraId="0A426AFE" w14:textId="77777777" w:rsidR="00190716" w:rsidRPr="00A64A92" w:rsidRDefault="00190716" w:rsidP="00190716">
            <w:pPr>
              <w:pStyle w:val="Textotabla"/>
              <w:jc w:val="center"/>
              <w:rPr>
                <w:sz w:val="17"/>
                <w:szCs w:val="17"/>
              </w:rPr>
            </w:pPr>
            <w:r w:rsidRPr="00A64A92">
              <w:rPr>
                <w:sz w:val="17"/>
                <w:szCs w:val="17"/>
              </w:rPr>
              <w:t>Todos</w:t>
            </w:r>
          </w:p>
        </w:tc>
        <w:tc>
          <w:tcPr>
            <w:tcW w:w="1134" w:type="dxa"/>
            <w:vAlign w:val="center"/>
          </w:tcPr>
          <w:p w14:paraId="310F3E42" w14:textId="77777777" w:rsidR="00190716" w:rsidRPr="00A64A92" w:rsidRDefault="00190716" w:rsidP="00190716">
            <w:pPr>
              <w:pStyle w:val="Textotabla"/>
              <w:jc w:val="center"/>
              <w:rPr>
                <w:sz w:val="17"/>
                <w:szCs w:val="17"/>
              </w:rPr>
            </w:pPr>
            <w:r w:rsidRPr="00A64A92">
              <w:rPr>
                <w:sz w:val="17"/>
                <w:szCs w:val="17"/>
              </w:rPr>
              <w:t>Todos</w:t>
            </w:r>
          </w:p>
        </w:tc>
        <w:tc>
          <w:tcPr>
            <w:tcW w:w="1134" w:type="dxa"/>
            <w:vAlign w:val="center"/>
          </w:tcPr>
          <w:p w14:paraId="30D4355B" w14:textId="77777777" w:rsidR="00190716" w:rsidRPr="00A64A92" w:rsidRDefault="00190716" w:rsidP="00190716">
            <w:pPr>
              <w:pStyle w:val="Textotabla"/>
              <w:jc w:val="center"/>
              <w:rPr>
                <w:sz w:val="17"/>
                <w:szCs w:val="17"/>
              </w:rPr>
            </w:pPr>
            <w:r w:rsidRPr="00A64A92">
              <w:rPr>
                <w:sz w:val="17"/>
                <w:szCs w:val="17"/>
              </w:rPr>
              <w:t>31*</w:t>
            </w:r>
          </w:p>
        </w:tc>
      </w:tr>
    </w:tbl>
    <w:p w14:paraId="6D684412" w14:textId="77777777" w:rsidR="00190716" w:rsidRDefault="00190716" w:rsidP="00190716">
      <w:pPr>
        <w:rPr>
          <w:rFonts w:ascii="ITC Avant Garde" w:hAnsi="ITC Avant Garde"/>
        </w:rPr>
      </w:pPr>
    </w:p>
    <w:p w14:paraId="54085F8C" w14:textId="77777777" w:rsidR="00190716" w:rsidRPr="00984BBD" w:rsidRDefault="00190716" w:rsidP="00190716">
      <w:pPr>
        <w:rPr>
          <w:rFonts w:ascii="ITC Avant Garde" w:hAnsi="ITC Avant Garde"/>
          <w:sz w:val="18"/>
          <w:szCs w:val="18"/>
        </w:rPr>
      </w:pPr>
      <w:r w:rsidRPr="00984BBD">
        <w:rPr>
          <w:rFonts w:ascii="ITC Avant Garde" w:hAnsi="ITC Avant Garde"/>
          <w:sz w:val="18"/>
          <w:szCs w:val="18"/>
        </w:rPr>
        <w:t>*</w:t>
      </w:r>
      <w:proofErr w:type="spellStart"/>
      <w:r w:rsidRPr="00984BBD">
        <w:rPr>
          <w:rFonts w:ascii="ITC Avant Garde" w:hAnsi="ITC Avant Garde"/>
          <w:sz w:val="18"/>
          <w:szCs w:val="18"/>
        </w:rPr>
        <w:t>Corresponde</w:t>
      </w:r>
      <w:proofErr w:type="spellEnd"/>
      <w:r w:rsidRPr="00984BBD">
        <w:rPr>
          <w:rFonts w:ascii="ITC Avant Garde" w:hAnsi="ITC Avant Garde"/>
          <w:sz w:val="18"/>
          <w:szCs w:val="18"/>
        </w:rPr>
        <w:t xml:space="preserve"> al </w:t>
      </w:r>
      <w:proofErr w:type="spellStart"/>
      <w:r w:rsidRPr="00984BBD">
        <w:rPr>
          <w:rFonts w:ascii="ITC Avant Garde" w:hAnsi="ITC Avant Garde"/>
          <w:sz w:val="18"/>
          <w:szCs w:val="18"/>
        </w:rPr>
        <w:t>número</w:t>
      </w:r>
      <w:proofErr w:type="spellEnd"/>
      <w:r w:rsidRPr="00984BBD">
        <w:rPr>
          <w:rFonts w:ascii="ITC Avant Garde" w:hAnsi="ITC Avant Garde"/>
          <w:sz w:val="18"/>
          <w:szCs w:val="18"/>
        </w:rPr>
        <w:t xml:space="preserve"> total de </w:t>
      </w:r>
      <w:proofErr w:type="spellStart"/>
      <w:r w:rsidRPr="00984BBD">
        <w:rPr>
          <w:rFonts w:ascii="ITC Avant Garde" w:hAnsi="ITC Avant Garde"/>
          <w:sz w:val="18"/>
          <w:szCs w:val="18"/>
        </w:rPr>
        <w:t>sitios</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implementado</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en</w:t>
      </w:r>
      <w:proofErr w:type="spellEnd"/>
      <w:r w:rsidRPr="00984BBD">
        <w:rPr>
          <w:rFonts w:ascii="ITC Avant Garde" w:hAnsi="ITC Avant Garde"/>
          <w:sz w:val="18"/>
          <w:szCs w:val="18"/>
        </w:rPr>
        <w:t xml:space="preserve"> el </w:t>
      </w:r>
      <w:proofErr w:type="spellStart"/>
      <w:r w:rsidRPr="00984BBD">
        <w:rPr>
          <w:rFonts w:ascii="ITC Avant Garde" w:hAnsi="ITC Avant Garde"/>
          <w:sz w:val="18"/>
          <w:szCs w:val="18"/>
        </w:rPr>
        <w:t>Modelo</w:t>
      </w:r>
      <w:proofErr w:type="spellEnd"/>
      <w:r w:rsidRPr="00984BBD">
        <w:rPr>
          <w:rFonts w:ascii="ITC Avant Garde" w:hAnsi="ITC Avant Garde"/>
          <w:sz w:val="18"/>
          <w:szCs w:val="18"/>
        </w:rPr>
        <w:t xml:space="preserve"> de </w:t>
      </w:r>
      <w:proofErr w:type="spellStart"/>
      <w:r w:rsidRPr="00984BBD">
        <w:rPr>
          <w:rFonts w:ascii="ITC Avant Garde" w:hAnsi="ITC Avant Garde"/>
          <w:sz w:val="18"/>
          <w:szCs w:val="18"/>
        </w:rPr>
        <w:t>Costos</w:t>
      </w:r>
      <w:proofErr w:type="spellEnd"/>
      <w:r w:rsidRPr="00984BBD">
        <w:rPr>
          <w:rFonts w:ascii="ITC Avant Garde" w:hAnsi="ITC Avant Garde"/>
          <w:sz w:val="18"/>
          <w:szCs w:val="18"/>
        </w:rPr>
        <w:t xml:space="preserve"> de </w:t>
      </w:r>
      <w:proofErr w:type="spellStart"/>
      <w:r w:rsidRPr="00984BBD">
        <w:rPr>
          <w:rFonts w:ascii="ITC Avant Garde" w:hAnsi="ITC Avant Garde"/>
          <w:sz w:val="18"/>
          <w:szCs w:val="18"/>
        </w:rPr>
        <w:t>acuerdo</w:t>
      </w:r>
      <w:proofErr w:type="spellEnd"/>
      <w:r w:rsidRPr="00984BBD">
        <w:rPr>
          <w:rFonts w:ascii="ITC Avant Garde" w:hAnsi="ITC Avant Garde"/>
          <w:sz w:val="18"/>
          <w:szCs w:val="18"/>
        </w:rPr>
        <w:t xml:space="preserve"> con la </w:t>
      </w:r>
      <w:proofErr w:type="spellStart"/>
      <w:r w:rsidRPr="00984BBD">
        <w:rPr>
          <w:rFonts w:ascii="ITC Avant Garde" w:hAnsi="ITC Avant Garde"/>
          <w:sz w:val="18"/>
          <w:szCs w:val="18"/>
        </w:rPr>
        <w:t>información</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proporcionada</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por</w:t>
      </w:r>
      <w:proofErr w:type="spellEnd"/>
      <w:r w:rsidRPr="00984BBD">
        <w:rPr>
          <w:rFonts w:ascii="ITC Avant Garde" w:hAnsi="ITC Avant Garde"/>
          <w:sz w:val="18"/>
          <w:szCs w:val="18"/>
        </w:rPr>
        <w:t xml:space="preserve"> el resto de </w:t>
      </w:r>
      <w:proofErr w:type="spellStart"/>
      <w:r w:rsidRPr="00984BBD">
        <w:rPr>
          <w:rFonts w:ascii="ITC Avant Garde" w:hAnsi="ITC Avant Garde"/>
          <w:sz w:val="18"/>
          <w:szCs w:val="18"/>
        </w:rPr>
        <w:t>los</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integrantes</w:t>
      </w:r>
      <w:proofErr w:type="spellEnd"/>
      <w:r w:rsidRPr="00984BBD">
        <w:rPr>
          <w:rFonts w:ascii="ITC Avant Garde" w:hAnsi="ITC Avant Garde"/>
          <w:sz w:val="18"/>
          <w:szCs w:val="18"/>
        </w:rPr>
        <w:t xml:space="preserve"> del AEP (</w:t>
      </w:r>
      <w:proofErr w:type="spellStart"/>
      <w:r w:rsidRPr="00984BBD">
        <w:rPr>
          <w:rFonts w:ascii="ITC Avant Garde" w:hAnsi="ITC Avant Garde"/>
          <w:sz w:val="18"/>
          <w:szCs w:val="18"/>
        </w:rPr>
        <w:t>distintos</w:t>
      </w:r>
      <w:proofErr w:type="spellEnd"/>
      <w:r w:rsidRPr="00984BBD">
        <w:rPr>
          <w:rFonts w:ascii="ITC Avant Garde" w:hAnsi="ITC Avant Garde"/>
          <w:sz w:val="18"/>
          <w:szCs w:val="18"/>
        </w:rPr>
        <w:t xml:space="preserve"> a las </w:t>
      </w:r>
      <w:proofErr w:type="spellStart"/>
      <w:r w:rsidRPr="00984BBD">
        <w:rPr>
          <w:rFonts w:ascii="ITC Avant Garde" w:hAnsi="ITC Avant Garde"/>
          <w:sz w:val="18"/>
          <w:szCs w:val="18"/>
        </w:rPr>
        <w:t>empresas</w:t>
      </w:r>
      <w:proofErr w:type="spellEnd"/>
      <w:r w:rsidRPr="00984BBD">
        <w:rPr>
          <w:rFonts w:ascii="ITC Avant Garde" w:hAnsi="ITC Avant Garde"/>
          <w:sz w:val="18"/>
          <w:szCs w:val="18"/>
        </w:rPr>
        <w:t xml:space="preserve"> de </w:t>
      </w:r>
      <w:proofErr w:type="spellStart"/>
      <w:r w:rsidRPr="00984BBD">
        <w:rPr>
          <w:rFonts w:ascii="ITC Avant Garde" w:hAnsi="ITC Avant Garde"/>
          <w:sz w:val="18"/>
          <w:szCs w:val="18"/>
        </w:rPr>
        <w:t>Grupo</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Televisa</w:t>
      </w:r>
      <w:proofErr w:type="spellEnd"/>
      <w:r w:rsidRPr="00984BBD">
        <w:rPr>
          <w:rFonts w:ascii="ITC Avant Garde" w:hAnsi="ITC Avant Garde"/>
          <w:sz w:val="18"/>
          <w:szCs w:val="18"/>
        </w:rPr>
        <w:t xml:space="preserve">); sin embargo, se </w:t>
      </w:r>
      <w:proofErr w:type="spellStart"/>
      <w:r w:rsidRPr="00984BBD">
        <w:rPr>
          <w:rFonts w:ascii="ITC Avant Garde" w:hAnsi="ITC Avant Garde"/>
          <w:sz w:val="18"/>
          <w:szCs w:val="18"/>
        </w:rPr>
        <w:t>considera</w:t>
      </w:r>
      <w:proofErr w:type="spellEnd"/>
      <w:r w:rsidRPr="00984BBD">
        <w:rPr>
          <w:rFonts w:ascii="ITC Avant Garde" w:hAnsi="ITC Avant Garde"/>
          <w:sz w:val="18"/>
          <w:szCs w:val="18"/>
        </w:rPr>
        <w:t xml:space="preserve"> que del total de </w:t>
      </w:r>
      <w:proofErr w:type="spellStart"/>
      <w:r w:rsidRPr="00984BBD">
        <w:rPr>
          <w:rFonts w:ascii="ITC Avant Garde" w:hAnsi="ITC Avant Garde"/>
          <w:sz w:val="18"/>
          <w:szCs w:val="18"/>
        </w:rPr>
        <w:t>sitios</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reportados</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por</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éstos</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treinta</w:t>
      </w:r>
      <w:proofErr w:type="spellEnd"/>
      <w:r w:rsidRPr="00984BBD">
        <w:rPr>
          <w:rFonts w:ascii="ITC Avant Garde" w:hAnsi="ITC Avant Garde"/>
          <w:sz w:val="18"/>
          <w:szCs w:val="18"/>
        </w:rPr>
        <w:t xml:space="preserve"> y </w:t>
      </w:r>
      <w:proofErr w:type="spellStart"/>
      <w:r w:rsidRPr="00984BBD">
        <w:rPr>
          <w:rFonts w:ascii="ITC Avant Garde" w:hAnsi="ITC Avant Garde"/>
          <w:sz w:val="18"/>
          <w:szCs w:val="18"/>
        </w:rPr>
        <w:t>tres</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sitios</w:t>
      </w:r>
      <w:proofErr w:type="spellEnd"/>
      <w:r w:rsidRPr="00984BBD">
        <w:rPr>
          <w:rFonts w:ascii="ITC Avant Garde" w:hAnsi="ITC Avant Garde"/>
          <w:sz w:val="18"/>
          <w:szCs w:val="18"/>
        </w:rPr>
        <w:t xml:space="preserve">) y que </w:t>
      </w:r>
      <w:proofErr w:type="spellStart"/>
      <w:r w:rsidRPr="00984BBD">
        <w:rPr>
          <w:rFonts w:ascii="ITC Avant Garde" w:hAnsi="ITC Avant Garde"/>
          <w:sz w:val="18"/>
          <w:szCs w:val="18"/>
        </w:rPr>
        <w:t>encuentran</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descritos</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en</w:t>
      </w:r>
      <w:proofErr w:type="spellEnd"/>
      <w:r w:rsidRPr="00984BBD">
        <w:rPr>
          <w:rFonts w:ascii="ITC Avant Garde" w:hAnsi="ITC Avant Garde"/>
          <w:sz w:val="18"/>
          <w:szCs w:val="18"/>
        </w:rPr>
        <w:t xml:space="preserve"> el </w:t>
      </w:r>
      <w:proofErr w:type="spellStart"/>
      <w:r w:rsidRPr="00984BBD">
        <w:rPr>
          <w:rFonts w:ascii="ITC Avant Garde" w:hAnsi="ITC Avant Garde"/>
          <w:sz w:val="18"/>
          <w:szCs w:val="18"/>
        </w:rPr>
        <w:t>Anexo</w:t>
      </w:r>
      <w:proofErr w:type="spellEnd"/>
      <w:r w:rsidRPr="00984BBD">
        <w:rPr>
          <w:rFonts w:ascii="ITC Avant Garde" w:hAnsi="ITC Avant Garde"/>
          <w:sz w:val="18"/>
          <w:szCs w:val="18"/>
        </w:rPr>
        <w:t xml:space="preserve"> 1 de la </w:t>
      </w:r>
      <w:proofErr w:type="spellStart"/>
      <w:r w:rsidRPr="00984BBD">
        <w:rPr>
          <w:rFonts w:ascii="ITC Avant Garde" w:hAnsi="ITC Avant Garde"/>
          <w:sz w:val="18"/>
          <w:szCs w:val="18"/>
        </w:rPr>
        <w:t>Oferta</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Pública</w:t>
      </w:r>
      <w:proofErr w:type="spellEnd"/>
      <w:r w:rsidRPr="00984BBD">
        <w:rPr>
          <w:rFonts w:ascii="ITC Avant Garde" w:hAnsi="ITC Avant Garde"/>
          <w:sz w:val="18"/>
          <w:szCs w:val="18"/>
        </w:rPr>
        <w:t xml:space="preserve">, no se </w:t>
      </w:r>
      <w:proofErr w:type="spellStart"/>
      <w:r w:rsidRPr="00984BBD">
        <w:rPr>
          <w:rFonts w:ascii="ITC Avant Garde" w:hAnsi="ITC Avant Garde"/>
          <w:sz w:val="18"/>
          <w:szCs w:val="18"/>
        </w:rPr>
        <w:t>consideraron</w:t>
      </w:r>
      <w:proofErr w:type="spellEnd"/>
      <w:r w:rsidRPr="00984BBD">
        <w:rPr>
          <w:rFonts w:ascii="ITC Avant Garde" w:hAnsi="ITC Avant Garde"/>
          <w:sz w:val="18"/>
          <w:szCs w:val="18"/>
        </w:rPr>
        <w:t xml:space="preserve"> dos de </w:t>
      </w:r>
      <w:proofErr w:type="spellStart"/>
      <w:r w:rsidRPr="00984BBD">
        <w:rPr>
          <w:rFonts w:ascii="ITC Avant Garde" w:hAnsi="ITC Avant Garde"/>
          <w:sz w:val="18"/>
          <w:szCs w:val="18"/>
        </w:rPr>
        <w:t>ellos</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en</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razón</w:t>
      </w:r>
      <w:proofErr w:type="spellEnd"/>
      <w:r w:rsidRPr="00984BBD">
        <w:rPr>
          <w:rFonts w:ascii="ITC Avant Garde" w:hAnsi="ITC Avant Garde"/>
          <w:sz w:val="18"/>
          <w:szCs w:val="18"/>
        </w:rPr>
        <w:t xml:space="preserve"> de que </w:t>
      </w:r>
      <w:proofErr w:type="spellStart"/>
      <w:r w:rsidRPr="00984BBD">
        <w:rPr>
          <w:rFonts w:ascii="ITC Avant Garde" w:hAnsi="ITC Avant Garde"/>
          <w:sz w:val="18"/>
          <w:szCs w:val="18"/>
        </w:rPr>
        <w:t>dicha</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información</w:t>
      </w:r>
      <w:proofErr w:type="spellEnd"/>
      <w:r w:rsidRPr="00984BBD">
        <w:rPr>
          <w:rFonts w:ascii="ITC Avant Garde" w:hAnsi="ITC Avant Garde"/>
          <w:sz w:val="18"/>
          <w:szCs w:val="18"/>
        </w:rPr>
        <w:t xml:space="preserve"> no </w:t>
      </w:r>
      <w:proofErr w:type="spellStart"/>
      <w:r w:rsidRPr="00984BBD">
        <w:rPr>
          <w:rFonts w:ascii="ITC Avant Garde" w:hAnsi="ITC Avant Garde"/>
          <w:sz w:val="18"/>
          <w:szCs w:val="18"/>
        </w:rPr>
        <w:t>fue</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proporcionada</w:t>
      </w:r>
      <w:proofErr w:type="spellEnd"/>
      <w:r w:rsidRPr="00984BBD">
        <w:rPr>
          <w:rFonts w:ascii="ITC Avant Garde" w:hAnsi="ITC Avant Garde"/>
          <w:sz w:val="18"/>
          <w:szCs w:val="18"/>
        </w:rPr>
        <w:t xml:space="preserve"> de </w:t>
      </w:r>
      <w:proofErr w:type="spellStart"/>
      <w:r w:rsidRPr="00984BBD">
        <w:rPr>
          <w:rFonts w:ascii="ITC Avant Garde" w:hAnsi="ITC Avant Garde"/>
          <w:sz w:val="18"/>
          <w:szCs w:val="18"/>
        </w:rPr>
        <w:t>manera</w:t>
      </w:r>
      <w:proofErr w:type="spellEnd"/>
      <w:r w:rsidRPr="00984BBD">
        <w:rPr>
          <w:rFonts w:ascii="ITC Avant Garde" w:hAnsi="ITC Avant Garde"/>
          <w:sz w:val="18"/>
          <w:szCs w:val="18"/>
        </w:rPr>
        <w:t xml:space="preserve"> compatible con lo </w:t>
      </w:r>
      <w:proofErr w:type="spellStart"/>
      <w:r w:rsidRPr="00984BBD">
        <w:rPr>
          <w:rFonts w:ascii="ITC Avant Garde" w:hAnsi="ITC Avant Garde"/>
          <w:sz w:val="18"/>
          <w:szCs w:val="18"/>
        </w:rPr>
        <w:t>solicitad</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por</w:t>
      </w:r>
      <w:proofErr w:type="spellEnd"/>
      <w:r w:rsidRPr="00984BBD">
        <w:rPr>
          <w:rFonts w:ascii="ITC Avant Garde" w:hAnsi="ITC Avant Garde"/>
          <w:sz w:val="18"/>
          <w:szCs w:val="18"/>
        </w:rPr>
        <w:t xml:space="preserve"> el </w:t>
      </w:r>
      <w:proofErr w:type="spellStart"/>
      <w:r w:rsidRPr="00984BBD">
        <w:rPr>
          <w:rFonts w:ascii="ITC Avant Garde" w:hAnsi="ITC Avant Garde"/>
          <w:sz w:val="18"/>
          <w:szCs w:val="18"/>
        </w:rPr>
        <w:t>Instituto</w:t>
      </w:r>
      <w:proofErr w:type="spellEnd"/>
      <w:r w:rsidRPr="00984BBD">
        <w:rPr>
          <w:rFonts w:ascii="ITC Avant Garde" w:hAnsi="ITC Avant Garde"/>
          <w:sz w:val="18"/>
          <w:szCs w:val="18"/>
        </w:rPr>
        <w:t xml:space="preserve"> o no </w:t>
      </w:r>
      <w:proofErr w:type="spellStart"/>
      <w:r w:rsidRPr="00984BBD">
        <w:rPr>
          <w:rFonts w:ascii="ITC Avant Garde" w:hAnsi="ITC Avant Garde"/>
          <w:sz w:val="18"/>
          <w:szCs w:val="18"/>
        </w:rPr>
        <w:t>fue</w:t>
      </w:r>
      <w:proofErr w:type="spellEnd"/>
      <w:r w:rsidRPr="00984BBD">
        <w:rPr>
          <w:rFonts w:ascii="ITC Avant Garde" w:hAnsi="ITC Avant Garde"/>
          <w:sz w:val="18"/>
          <w:szCs w:val="18"/>
        </w:rPr>
        <w:t xml:space="preserve"> </w:t>
      </w:r>
      <w:proofErr w:type="spellStart"/>
      <w:r w:rsidRPr="00984BBD">
        <w:rPr>
          <w:rFonts w:ascii="ITC Avant Garde" w:hAnsi="ITC Avant Garde"/>
          <w:sz w:val="18"/>
          <w:szCs w:val="18"/>
        </w:rPr>
        <w:t>reportada</w:t>
      </w:r>
      <w:proofErr w:type="spellEnd"/>
      <w:r w:rsidRPr="00984BBD">
        <w:rPr>
          <w:rFonts w:ascii="ITC Avant Garde" w:hAnsi="ITC Avant Garde"/>
          <w:sz w:val="18"/>
          <w:szCs w:val="18"/>
        </w:rPr>
        <w:t>.</w:t>
      </w:r>
    </w:p>
    <w:p w14:paraId="24EA83DB" w14:textId="77777777" w:rsidR="00190716" w:rsidRDefault="00190716" w:rsidP="00190DEA">
      <w:pPr>
        <w:rPr>
          <w:rFonts w:ascii="ITC Avant Garde" w:hAnsi="ITC Avant Garde"/>
          <w:sz w:val="18"/>
          <w:szCs w:val="18"/>
          <w:lang w:val="es-MX"/>
        </w:rPr>
        <w:sectPr w:rsidR="00190716" w:rsidSect="00984BBD">
          <w:pgSz w:w="16838" w:h="11906" w:orient="landscape" w:code="9"/>
          <w:pgMar w:top="1588" w:right="1418" w:bottom="1588" w:left="1418" w:header="567" w:footer="567" w:gutter="0"/>
          <w:pgNumType w:start="1"/>
          <w:cols w:space="720"/>
          <w:titlePg/>
          <w:docGrid w:linePitch="299"/>
        </w:sectPr>
      </w:pPr>
    </w:p>
    <w:p w14:paraId="7FB80D1D" w14:textId="29243209" w:rsidR="0020228B" w:rsidRPr="00ED27DC" w:rsidRDefault="00190716" w:rsidP="00190DEA">
      <w:pPr>
        <w:rPr>
          <w:rFonts w:ascii="ITC Avant Garde" w:hAnsi="ITC Avant Garde"/>
          <w:sz w:val="18"/>
          <w:szCs w:val="18"/>
          <w:lang w:val="es-MX"/>
        </w:rPr>
      </w:pPr>
      <w:r>
        <w:rPr>
          <w:rFonts w:ascii="ITC Avant Garde" w:hAnsi="ITC Avant Garde"/>
          <w:sz w:val="18"/>
          <w:szCs w:val="18"/>
          <w:lang w:val="es-MX"/>
        </w:rPr>
        <w:lastRenderedPageBreak/>
        <w:t>Es</w:t>
      </w:r>
      <w:r w:rsidR="00EC0571">
        <w:rPr>
          <w:rFonts w:ascii="ITC Avant Garde" w:hAnsi="ITC Avant Garde"/>
          <w:sz w:val="18"/>
          <w:szCs w:val="18"/>
          <w:lang w:val="es-MX"/>
        </w:rPr>
        <w:t xml:space="preserve"> </w:t>
      </w:r>
      <w:r>
        <w:rPr>
          <w:rFonts w:ascii="ITC Avant Garde" w:hAnsi="ITC Avant Garde"/>
          <w:sz w:val="18"/>
          <w:szCs w:val="18"/>
          <w:lang w:val="es-MX"/>
        </w:rPr>
        <w:t xml:space="preserve">así que </w:t>
      </w:r>
      <w:r w:rsidR="00EC0571">
        <w:rPr>
          <w:rFonts w:ascii="ITC Avant Garde" w:hAnsi="ITC Avant Garde"/>
          <w:sz w:val="18"/>
          <w:szCs w:val="18"/>
          <w:lang w:val="es-MX"/>
        </w:rPr>
        <w:t xml:space="preserve">el modelo de costos </w:t>
      </w:r>
      <w:r>
        <w:rPr>
          <w:rFonts w:ascii="ITC Avant Garde" w:hAnsi="ITC Avant Garde"/>
          <w:sz w:val="18"/>
          <w:szCs w:val="18"/>
          <w:lang w:val="es-MX"/>
        </w:rPr>
        <w:t xml:space="preserve">fue modificado para considerar 5 </w:t>
      </w:r>
      <w:r w:rsidR="00E92F74">
        <w:rPr>
          <w:rFonts w:ascii="ITC Avant Garde" w:hAnsi="ITC Avant Garde"/>
          <w:sz w:val="18"/>
          <w:szCs w:val="18"/>
          <w:lang w:val="es-MX"/>
        </w:rPr>
        <w:t>categorías</w:t>
      </w:r>
      <w:r>
        <w:rPr>
          <w:rFonts w:ascii="ITC Avant Garde" w:hAnsi="ITC Avant Garde"/>
          <w:sz w:val="18"/>
          <w:szCs w:val="18"/>
          <w:lang w:val="es-MX"/>
        </w:rPr>
        <w:t xml:space="preserve"> adicionales como resultado de la reconfiguración d</w:t>
      </w:r>
      <w:r w:rsidR="00E92F74">
        <w:rPr>
          <w:rFonts w:ascii="ITC Avant Garde" w:hAnsi="ITC Avant Garde"/>
          <w:sz w:val="18"/>
          <w:szCs w:val="18"/>
          <w:lang w:val="es-MX"/>
        </w:rPr>
        <w:t xml:space="preserve">e las mismas siguiendo los </w:t>
      </w:r>
      <w:r>
        <w:rPr>
          <w:rFonts w:ascii="ITC Avant Garde" w:hAnsi="ITC Avant Garde"/>
          <w:sz w:val="18"/>
          <w:szCs w:val="18"/>
          <w:lang w:val="es-MX"/>
        </w:rPr>
        <w:t>parámetros mencionados anteriormente</w:t>
      </w:r>
      <w:r w:rsidR="00E92F74">
        <w:rPr>
          <w:rFonts w:ascii="ITC Avant Garde" w:hAnsi="ITC Avant Garde"/>
          <w:sz w:val="18"/>
          <w:szCs w:val="18"/>
          <w:lang w:val="es-MX"/>
        </w:rPr>
        <w:t>. De esta forma, el modelo de costos cambia de</w:t>
      </w:r>
      <w:r w:rsidR="00FE31A0">
        <w:rPr>
          <w:rFonts w:ascii="ITC Avant Garde" w:hAnsi="ITC Avant Garde"/>
          <w:sz w:val="18"/>
          <w:szCs w:val="18"/>
          <w:lang w:val="es-MX"/>
        </w:rPr>
        <w:t xml:space="preserve"> considerar</w:t>
      </w:r>
      <w:r w:rsidR="00E92F74">
        <w:rPr>
          <w:rFonts w:ascii="ITC Avant Garde" w:hAnsi="ITC Avant Garde"/>
          <w:sz w:val="18"/>
          <w:szCs w:val="18"/>
          <w:lang w:val="es-MX"/>
        </w:rPr>
        <w:t xml:space="preserve"> 8 categorías correspondientes a la operación del AEP y una categoría para el resto de los operadores en el modelo presentado en Consulta Pública, a considerar 13 categorías relacionadas con la operación del AEP y una categoría para el resto de los operadores</w:t>
      </w:r>
      <w:r w:rsidR="00984BBD">
        <w:rPr>
          <w:rFonts w:ascii="ITC Avant Garde" w:hAnsi="ITC Avant Garde"/>
          <w:sz w:val="18"/>
          <w:szCs w:val="18"/>
          <w:lang w:val="es-MX"/>
        </w:rPr>
        <w:t>.</w:t>
      </w:r>
    </w:p>
    <w:sectPr w:rsidR="0020228B" w:rsidRPr="00ED27DC" w:rsidSect="00190716">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A9071" w14:textId="77777777" w:rsidR="00D50FAD" w:rsidRDefault="00D50FAD" w:rsidP="003C6172">
      <w:pPr>
        <w:spacing w:after="0" w:line="240" w:lineRule="auto"/>
      </w:pPr>
      <w:r>
        <w:separator/>
      </w:r>
    </w:p>
  </w:endnote>
  <w:endnote w:type="continuationSeparator" w:id="0">
    <w:p w14:paraId="19D34AF4" w14:textId="77777777" w:rsidR="00D50FAD" w:rsidRDefault="00D50FAD" w:rsidP="003C6172">
      <w:pPr>
        <w:spacing w:after="0" w:line="240" w:lineRule="auto"/>
      </w:pPr>
      <w:r>
        <w:continuationSeparator/>
      </w:r>
    </w:p>
  </w:endnote>
  <w:endnote w:type="continuationNotice" w:id="1">
    <w:p w14:paraId="48482B0B" w14:textId="77777777" w:rsidR="00D50FAD" w:rsidRDefault="00D50F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482973"/>
      <w:docPartObj>
        <w:docPartGallery w:val="Page Numbers (Bottom of Page)"/>
        <w:docPartUnique/>
      </w:docPartObj>
    </w:sdtPr>
    <w:sdtEndPr/>
    <w:sdtContent>
      <w:p w14:paraId="54E59EB9" w14:textId="6E979D6E" w:rsidR="00A53C95" w:rsidRDefault="00A53C95" w:rsidP="008958B5">
        <w:pPr>
          <w:pStyle w:val="Piedepgina"/>
          <w:jc w:val="right"/>
        </w:pPr>
        <w:r>
          <w:fldChar w:fldCharType="begin"/>
        </w:r>
        <w:r>
          <w:instrText>PAGE   \* MERGEFORMAT</w:instrText>
        </w:r>
        <w:r>
          <w:fldChar w:fldCharType="separate"/>
        </w:r>
        <w:r w:rsidR="00B37A2A" w:rsidRPr="00B37A2A">
          <w:rPr>
            <w:noProof/>
            <w:lang w:val="es-ES"/>
          </w:rPr>
          <w:t>2</w:t>
        </w:r>
        <w:r>
          <w:fldChar w:fldCharType="end"/>
        </w:r>
      </w:p>
    </w:sdtContent>
  </w:sdt>
  <w:p w14:paraId="6814BCE3" w14:textId="6CEB0CD9" w:rsidR="00A53C95" w:rsidRDefault="00A53C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092483"/>
      <w:docPartObj>
        <w:docPartGallery w:val="Page Numbers (Bottom of Page)"/>
        <w:docPartUnique/>
      </w:docPartObj>
    </w:sdtPr>
    <w:sdtEndPr/>
    <w:sdtContent>
      <w:p w14:paraId="0E8023A7" w14:textId="1C35714B" w:rsidR="00A53C95" w:rsidRPr="008958B5" w:rsidRDefault="00A53C95" w:rsidP="008958B5">
        <w:pPr>
          <w:pStyle w:val="Piedepgina"/>
          <w:jc w:val="right"/>
        </w:pPr>
        <w:r>
          <w:fldChar w:fldCharType="begin"/>
        </w:r>
        <w:r>
          <w:instrText>PAGE   \* MERGEFORMAT</w:instrText>
        </w:r>
        <w:r>
          <w:fldChar w:fldCharType="separate"/>
        </w:r>
        <w:r w:rsidR="00B37A2A" w:rsidRPr="00B37A2A">
          <w:rPr>
            <w:noProof/>
            <w:lang w:val="es-ES"/>
          </w:rPr>
          <w:t>1</w:t>
        </w:r>
        <w:r>
          <w:fldChar w:fldCharType="end"/>
        </w:r>
      </w:p>
    </w:sdtContent>
  </w:sdt>
  <w:p w14:paraId="25011390" w14:textId="723D7A63" w:rsidR="00A53C95" w:rsidRPr="008958B5" w:rsidRDefault="00A53C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8DC8D" w14:textId="77777777" w:rsidR="00D50FAD" w:rsidRDefault="00D50FAD" w:rsidP="003C6172">
      <w:pPr>
        <w:spacing w:after="0" w:line="240" w:lineRule="auto"/>
      </w:pPr>
      <w:r>
        <w:separator/>
      </w:r>
    </w:p>
  </w:footnote>
  <w:footnote w:type="continuationSeparator" w:id="0">
    <w:p w14:paraId="21B01A0B" w14:textId="77777777" w:rsidR="00D50FAD" w:rsidRDefault="00D50FAD" w:rsidP="003C6172">
      <w:pPr>
        <w:spacing w:after="0" w:line="240" w:lineRule="auto"/>
      </w:pPr>
      <w:r>
        <w:continuationSeparator/>
      </w:r>
    </w:p>
  </w:footnote>
  <w:footnote w:type="continuationNotice" w:id="1">
    <w:p w14:paraId="6D8282D4" w14:textId="77777777" w:rsidR="00D50FAD" w:rsidRDefault="00D50FAD">
      <w:pPr>
        <w:spacing w:after="0" w:line="240" w:lineRule="auto"/>
      </w:pPr>
    </w:p>
  </w:footnote>
  <w:footnote w:id="2">
    <w:p w14:paraId="678BD46F" w14:textId="77777777" w:rsidR="00A53C95" w:rsidRPr="00C44480" w:rsidRDefault="00A53C95" w:rsidP="00C44480">
      <w:pPr>
        <w:pStyle w:val="Textonotapie"/>
        <w:ind w:left="0" w:firstLine="0"/>
        <w:rPr>
          <w:rFonts w:ascii="ITC Avant Garde" w:hAnsi="ITC Avant Garde"/>
          <w:lang w:val="es-MX"/>
        </w:rPr>
      </w:pPr>
      <w:r w:rsidRPr="00C44480">
        <w:rPr>
          <w:rStyle w:val="Refdenotaalpie"/>
          <w:rFonts w:ascii="ITC Avant Garde" w:hAnsi="ITC Avant Garde"/>
        </w:rPr>
        <w:footnoteRef/>
      </w:r>
      <w:r w:rsidRPr="00C44480">
        <w:rPr>
          <w:rFonts w:ascii="ITC Avant Garde" w:hAnsi="ITC Avant Garde"/>
          <w:lang w:val="es-MX"/>
        </w:rPr>
        <w:t xml:space="preserve"> Resolución No. P/IFT/EXT/270217/120 mediante la cual el Pleno del Instituto Federal de Telecomunicaciones suprime, modifica y adiciona las medidas impuestas al Agente Económico Preponderante en el sector de radiodifusión mediante Resolución de 6 de marzo de 2014, aprobada mediante Acuerdo P/IFT/EXT/060314/77, http://www.ift.org.mx/sites/default/files/pitfext270217120verpub_1.pdf</w:t>
      </w:r>
    </w:p>
  </w:footnote>
  <w:footnote w:id="3">
    <w:p w14:paraId="7A6193B7" w14:textId="605EC578" w:rsidR="00A53C95" w:rsidRPr="00984BBD" w:rsidRDefault="00A53C95" w:rsidP="00CD563B">
      <w:pPr>
        <w:pStyle w:val="Textonotapie"/>
        <w:ind w:left="0" w:firstLine="0"/>
        <w:rPr>
          <w:lang w:val="es-MX"/>
        </w:rPr>
      </w:pPr>
      <w:r>
        <w:rPr>
          <w:rStyle w:val="Refdenotaalpie"/>
        </w:rPr>
        <w:footnoteRef/>
      </w:r>
      <w:r w:rsidRPr="00984BBD">
        <w:rPr>
          <w:lang w:val="es-MX"/>
        </w:rPr>
        <w:t xml:space="preserve"> </w:t>
      </w:r>
      <w:r w:rsidRPr="00984BBD">
        <w:rPr>
          <w:rFonts w:ascii="ITC Avant Garde" w:hAnsi="ITC Avant Garde"/>
          <w:lang w:val="es-MX"/>
        </w:rPr>
        <w:t>De conformidad con el valor de inflación utilizado en el “ACUERDO MEDIANTE EL CUAL EL PLENO DEL INSTITUTO FEDERAL DE TELECOMUNICACIONES ESTABLECE LAS CONDICIONES TECNICAS MINIMAS PARA LA INTERCONEXION ENTRE CONCESIONARIOS QUE OPEREN REDES PUBLICAS DE TELECOMUNICACIONES Y DETERMINA LAS TARIFAS DE INTERCONEXION RESULTADO DE LA METODOLOGIA PARA EL CALCULO DE COSTOS DE INTERCONEXION QUE ESTARAN VIGENTES DEL 1 DE ENERO AL 31 DE DICIEMBRE DE 2018.”</w:t>
      </w:r>
      <w:r>
        <w:rPr>
          <w:rFonts w:ascii="ITC Avant Garde" w:hAnsi="ITC Avant Garde"/>
          <w:lang w:val="es-MX"/>
        </w:rPr>
        <w:t xml:space="preserve"> Disponible en: </w:t>
      </w:r>
      <w:r w:rsidRPr="00D144D3">
        <w:rPr>
          <w:rFonts w:ascii="ITC Avant Garde" w:hAnsi="ITC Avant Garde"/>
          <w:lang w:val="es-MX"/>
        </w:rPr>
        <w:t>http://www.dof.gob.mx/nota_detalle.php?codigo=5504053&amp;fecha=09/11/2017</w:t>
      </w:r>
      <w:r w:rsidRPr="00D144D3" w:rsidDel="00D144D3">
        <w:rPr>
          <w:rFonts w:ascii="ITC Avant Garde" w:hAnsi="ITC Avant Garde"/>
          <w:lang w:val="es-MX"/>
        </w:rPr>
        <w:t xml:space="preserve"> </w:t>
      </w:r>
    </w:p>
  </w:footnote>
  <w:footnote w:id="4">
    <w:p w14:paraId="0C6CDB2E" w14:textId="77777777" w:rsidR="00A53C95" w:rsidRPr="00190DEA" w:rsidRDefault="00A53C95">
      <w:pPr>
        <w:pStyle w:val="Textonotapie"/>
        <w:rPr>
          <w:lang w:val="es-MX"/>
        </w:rPr>
      </w:pPr>
      <w:r>
        <w:rPr>
          <w:rStyle w:val="Refdenotaalpie"/>
        </w:rPr>
        <w:footnoteRef/>
      </w:r>
      <w:r>
        <w:t xml:space="preserve"> </w:t>
      </w:r>
      <w:r w:rsidRPr="00984BBD">
        <w:rPr>
          <w:rFonts w:ascii="ITC Avant Garde" w:hAnsi="ITC Avant Garde"/>
          <w:lang w:val="es-MX"/>
        </w:rPr>
        <w:t>Fuente: SITATYR</w:t>
      </w:r>
    </w:p>
  </w:footnote>
  <w:footnote w:id="5">
    <w:p w14:paraId="1613558F" w14:textId="77777777" w:rsidR="00A53C95" w:rsidRPr="00984BBD" w:rsidRDefault="00A53C95" w:rsidP="00984BBD">
      <w:pPr>
        <w:pStyle w:val="Textonotapie"/>
        <w:ind w:left="0" w:firstLine="0"/>
        <w:rPr>
          <w:rFonts w:ascii="ITC Avant Garde" w:hAnsi="ITC Avant Garde"/>
          <w:lang w:val="es-MX"/>
        </w:rPr>
      </w:pPr>
      <w:r w:rsidRPr="00984BBD">
        <w:rPr>
          <w:rStyle w:val="Refdenotaalpie"/>
          <w:rFonts w:ascii="ITC Avant Garde" w:hAnsi="ITC Avant Garde"/>
          <w:sz w:val="16"/>
          <w:szCs w:val="16"/>
        </w:rPr>
        <w:footnoteRef/>
      </w:r>
      <w:r w:rsidRPr="00984BBD">
        <w:rPr>
          <w:rFonts w:ascii="ITC Avant Garde" w:hAnsi="ITC Avant Garde"/>
        </w:rPr>
        <w:t xml:space="preserve"> </w:t>
      </w:r>
      <w:r w:rsidRPr="00984BBD">
        <w:rPr>
          <w:rFonts w:ascii="ITC Avant Garde" w:hAnsi="ITC Avant Garde"/>
          <w:lang w:val="es-MX"/>
        </w:rPr>
        <w:t xml:space="preserve">En concreto se emplearon 1) el Marco </w:t>
      </w:r>
      <w:proofErr w:type="spellStart"/>
      <w:r w:rsidRPr="00984BBD">
        <w:rPr>
          <w:rFonts w:ascii="ITC Avant Garde" w:hAnsi="ITC Avant Garde"/>
          <w:lang w:val="es-MX"/>
        </w:rPr>
        <w:t>geoestadístico</w:t>
      </w:r>
      <w:proofErr w:type="spellEnd"/>
      <w:r w:rsidRPr="00984BBD">
        <w:rPr>
          <w:rFonts w:ascii="ITC Avant Garde" w:hAnsi="ITC Avant Garde"/>
          <w:lang w:val="es-MX"/>
        </w:rPr>
        <w:t xml:space="preserve"> municipal 2000 (Censo General de Población y Vivienda 2000) (disponible a través de la siguiente dirección electrónica: </w:t>
      </w:r>
      <w:hyperlink r:id="rId1" w:history="1">
        <w:r w:rsidRPr="00984BBD">
          <w:rPr>
            <w:rFonts w:ascii="ITC Avant Garde" w:hAnsi="ITC Avant Garde"/>
            <w:lang w:val="es-MX"/>
          </w:rPr>
          <w:t>http://internet.contenidos.inegi.org.mx/contenidos/Productos/prod_serv/contenidos/espanol/bvinegi/productos/geografia/marc_geo/702825292843_s.zip</w:t>
        </w:r>
      </w:hyperlink>
      <w:r w:rsidRPr="00984BBD">
        <w:rPr>
          <w:rFonts w:ascii="ITC Avant Garde" w:hAnsi="ITC Avant Garde"/>
          <w:lang w:val="es-MX"/>
        </w:rPr>
        <w:t xml:space="preserve">  y 2) el Marco </w:t>
      </w:r>
      <w:proofErr w:type="spellStart"/>
      <w:r w:rsidRPr="00984BBD">
        <w:rPr>
          <w:rFonts w:ascii="ITC Avant Garde" w:hAnsi="ITC Avant Garde"/>
          <w:lang w:val="es-MX"/>
        </w:rPr>
        <w:t>Geoestadístico</w:t>
      </w:r>
      <w:proofErr w:type="spellEnd"/>
      <w:r w:rsidRPr="00984BBD">
        <w:rPr>
          <w:rFonts w:ascii="ITC Avant Garde" w:hAnsi="ITC Avant Garde"/>
          <w:lang w:val="es-MX"/>
        </w:rPr>
        <w:t xml:space="preserve">, junio 2017 (disponible a través de la dirección electrónica </w:t>
      </w:r>
      <w:hyperlink r:id="rId2" w:history="1">
        <w:r w:rsidRPr="00984BBD">
          <w:rPr>
            <w:rFonts w:ascii="ITC Avant Garde" w:hAnsi="ITC Avant Garde"/>
            <w:lang w:val="es-MX"/>
          </w:rPr>
          <w:t>http://internet.contenidos.inegi.org.mx/contenidos/Productos/prod_serv/contenidos/espanol/bvinegi/productos/geografia/marcogeo/889463142683_s.zip</w:t>
        </w:r>
      </w:hyperlink>
      <w:r w:rsidRPr="00984BBD">
        <w:rPr>
          <w:rFonts w:ascii="ITC Avant Garde" w:hAnsi="ITC Avant Garde"/>
          <w:lang w:val="es-MX"/>
        </w:rPr>
        <w:t xml:space="preserve">). </w:t>
      </w:r>
    </w:p>
  </w:footnote>
  <w:footnote w:id="6">
    <w:p w14:paraId="7EC61740" w14:textId="77777777" w:rsidR="00A53C95" w:rsidRPr="00984BBD" w:rsidRDefault="00A53C95" w:rsidP="00984BBD">
      <w:pPr>
        <w:pStyle w:val="Textonotapie"/>
        <w:ind w:left="0" w:firstLine="0"/>
        <w:rPr>
          <w:rFonts w:ascii="ITC Avant Garde" w:hAnsi="ITC Avant Garde"/>
          <w:lang w:val="es-MX"/>
        </w:rPr>
      </w:pPr>
      <w:r w:rsidRPr="00984BBD">
        <w:rPr>
          <w:rFonts w:ascii="ITC Avant Garde" w:hAnsi="ITC Avant Garde"/>
          <w:szCs w:val="16"/>
          <w:vertAlign w:val="superscript"/>
          <w:lang w:val="es-MX"/>
        </w:rPr>
        <w:footnoteRef/>
      </w:r>
      <w:r w:rsidRPr="00984BBD">
        <w:rPr>
          <w:rFonts w:ascii="ITC Avant Garde" w:hAnsi="ITC Avant Garde"/>
          <w:sz w:val="18"/>
          <w:szCs w:val="18"/>
          <w:vertAlign w:val="superscript"/>
          <w:lang w:val="es-MX"/>
        </w:rPr>
        <w:t xml:space="preserve"> </w:t>
      </w:r>
      <w:r w:rsidRPr="00984BBD">
        <w:rPr>
          <w:rFonts w:ascii="ITC Avant Garde" w:hAnsi="ITC Avant Garde"/>
          <w:lang w:val="es-MX"/>
        </w:rPr>
        <w:t xml:space="preserve">Se refiere a la clasificación por “Regiones socioeconómicas de México” elaborada por INEGI, disponible a través de la siguiente dirección electrónica </w:t>
      </w:r>
      <w:hyperlink r:id="rId3" w:history="1">
        <w:r w:rsidRPr="00984BBD">
          <w:rPr>
            <w:rFonts w:ascii="ITC Avant Garde" w:hAnsi="ITC Avant Garde"/>
            <w:lang w:val="es-MX"/>
          </w:rPr>
          <w:t>http://www.inegi.org.mx/est/contenidos/espanol/sistemas/regsoc/default.asp?c=11723</w:t>
        </w:r>
      </w:hyperlink>
      <w:r w:rsidRPr="00984BBD">
        <w:rPr>
          <w:rFonts w:ascii="ITC Avant Garde" w:hAnsi="ITC Avant Garde"/>
          <w:lang w:val="es-MX"/>
        </w:rPr>
        <w:t>. En este sentido, la metodología empleada asoció en primer lugar la región socioeconómica del AGEB donde se ubica el sitio. En su ausencia de este dato, se asoció el estrato correspondiente a la localidad, y ante la falta de éste la región correspondiente al municipio y así sucesivamente.</w:t>
      </w:r>
    </w:p>
  </w:footnote>
  <w:footnote w:id="7">
    <w:p w14:paraId="1076FD52" w14:textId="0F1FE974" w:rsidR="00A53C95" w:rsidRDefault="00A53C95" w:rsidP="00984BBD">
      <w:pPr>
        <w:pStyle w:val="Textonotapie"/>
        <w:ind w:left="0" w:firstLine="0"/>
      </w:pPr>
      <w:r w:rsidRPr="00984BBD">
        <w:rPr>
          <w:rFonts w:ascii="ITC Avant Garde" w:hAnsi="ITC Avant Garde"/>
          <w:vertAlign w:val="superscript"/>
          <w:lang w:val="es-MX"/>
        </w:rPr>
        <w:footnoteRef/>
      </w:r>
      <w:r w:rsidR="00984BBD">
        <w:rPr>
          <w:rFonts w:ascii="ITC Avant Garde" w:hAnsi="ITC Avant Garde"/>
        </w:rPr>
        <w:t xml:space="preserve"> </w:t>
      </w:r>
      <w:r w:rsidRPr="00984BBD">
        <w:rPr>
          <w:rFonts w:ascii="ITC Avant Garde" w:hAnsi="ITC Avant Garde"/>
        </w:rPr>
        <w:t xml:space="preserve">Para el </w:t>
      </w:r>
      <w:proofErr w:type="spellStart"/>
      <w:r w:rsidRPr="00984BBD">
        <w:rPr>
          <w:rFonts w:ascii="ITC Avant Garde" w:hAnsi="ITC Avant Garde"/>
        </w:rPr>
        <w:t>caso</w:t>
      </w:r>
      <w:proofErr w:type="spellEnd"/>
      <w:r w:rsidRPr="00984BBD">
        <w:rPr>
          <w:rFonts w:ascii="ITC Avant Garde" w:hAnsi="ITC Avant Garde"/>
        </w:rPr>
        <w:t xml:space="preserve"> de la </w:t>
      </w:r>
      <w:proofErr w:type="spellStart"/>
      <w:r w:rsidRPr="00984BBD">
        <w:rPr>
          <w:rFonts w:ascii="ITC Avant Garde" w:hAnsi="ITC Avant Garde"/>
        </w:rPr>
        <w:t>localidad</w:t>
      </w:r>
      <w:proofErr w:type="spellEnd"/>
      <w:r w:rsidRPr="00984BBD">
        <w:rPr>
          <w:rFonts w:ascii="ITC Avant Garde" w:hAnsi="ITC Avant Garde"/>
        </w:rPr>
        <w:t xml:space="preserve">, se </w:t>
      </w:r>
      <w:proofErr w:type="spellStart"/>
      <w:r w:rsidRPr="00984BBD">
        <w:rPr>
          <w:rFonts w:ascii="ITC Avant Garde" w:hAnsi="ITC Avant Garde"/>
        </w:rPr>
        <w:t>estimó</w:t>
      </w:r>
      <w:proofErr w:type="spellEnd"/>
      <w:r w:rsidRPr="00984BBD">
        <w:rPr>
          <w:rFonts w:ascii="ITC Avant Garde" w:hAnsi="ITC Avant Garde"/>
        </w:rPr>
        <w:t xml:space="preserve"> el </w:t>
      </w:r>
      <w:proofErr w:type="spellStart"/>
      <w:r w:rsidRPr="00984BBD">
        <w:rPr>
          <w:rFonts w:ascii="ITC Avant Garde" w:hAnsi="ITC Avant Garde"/>
        </w:rPr>
        <w:t>estrato</w:t>
      </w:r>
      <w:proofErr w:type="spellEnd"/>
      <w:r w:rsidRPr="00984BBD">
        <w:rPr>
          <w:rFonts w:ascii="ITC Avant Garde" w:hAnsi="ITC Avant Garde"/>
        </w:rPr>
        <w:t xml:space="preserve"> </w:t>
      </w:r>
      <w:proofErr w:type="spellStart"/>
      <w:r w:rsidRPr="00984BBD">
        <w:rPr>
          <w:rFonts w:ascii="ITC Avant Garde" w:hAnsi="ITC Avant Garde"/>
        </w:rPr>
        <w:t>socioeconómico</w:t>
      </w:r>
      <w:proofErr w:type="spellEnd"/>
      <w:r w:rsidRPr="00984BBD">
        <w:rPr>
          <w:rFonts w:ascii="ITC Avant Garde" w:hAnsi="ITC Avant Garde"/>
        </w:rPr>
        <w:t xml:space="preserve"> </w:t>
      </w:r>
      <w:proofErr w:type="spellStart"/>
      <w:r w:rsidRPr="00984BBD">
        <w:rPr>
          <w:rFonts w:ascii="ITC Avant Garde" w:hAnsi="ITC Avant Garde"/>
        </w:rPr>
        <w:t>correspondiente</w:t>
      </w:r>
      <w:proofErr w:type="spellEnd"/>
      <w:r w:rsidRPr="00984BBD">
        <w:rPr>
          <w:rFonts w:ascii="ITC Avant Garde" w:hAnsi="ITC Avant Garde"/>
        </w:rPr>
        <w:t xml:space="preserve"> </w:t>
      </w:r>
      <w:proofErr w:type="spellStart"/>
      <w:r w:rsidRPr="00984BBD">
        <w:rPr>
          <w:rFonts w:ascii="ITC Avant Garde" w:hAnsi="ITC Avant Garde"/>
        </w:rPr>
        <w:t>ponderando</w:t>
      </w:r>
      <w:proofErr w:type="spellEnd"/>
      <w:r w:rsidRPr="00984BBD">
        <w:rPr>
          <w:rFonts w:ascii="ITC Avant Garde" w:hAnsi="ITC Avant Garde"/>
        </w:rPr>
        <w:t xml:space="preserve"> el </w:t>
      </w:r>
      <w:proofErr w:type="spellStart"/>
      <w:r w:rsidRPr="00984BBD">
        <w:rPr>
          <w:rFonts w:ascii="ITC Avant Garde" w:hAnsi="ITC Avant Garde"/>
        </w:rPr>
        <w:t>nivel</w:t>
      </w:r>
      <w:proofErr w:type="spellEnd"/>
      <w:r w:rsidRPr="00984BBD">
        <w:rPr>
          <w:rFonts w:ascii="ITC Avant Garde" w:hAnsi="ITC Avant Garde"/>
        </w:rPr>
        <w:t xml:space="preserve"> </w:t>
      </w:r>
      <w:proofErr w:type="spellStart"/>
      <w:r w:rsidRPr="00984BBD">
        <w:rPr>
          <w:rFonts w:ascii="ITC Avant Garde" w:hAnsi="ITC Avant Garde"/>
        </w:rPr>
        <w:t>socioeconómico</w:t>
      </w:r>
      <w:proofErr w:type="spellEnd"/>
      <w:r w:rsidRPr="00984BBD">
        <w:rPr>
          <w:rFonts w:ascii="ITC Avant Garde" w:hAnsi="ITC Avant Garde"/>
        </w:rPr>
        <w:t xml:space="preserve"> de </w:t>
      </w:r>
      <w:proofErr w:type="spellStart"/>
      <w:r w:rsidRPr="00984BBD">
        <w:rPr>
          <w:rFonts w:ascii="ITC Avant Garde" w:hAnsi="ITC Avant Garde"/>
        </w:rPr>
        <w:t>todas</w:t>
      </w:r>
      <w:proofErr w:type="spellEnd"/>
      <w:r w:rsidRPr="00984BBD">
        <w:rPr>
          <w:rFonts w:ascii="ITC Avant Garde" w:hAnsi="ITC Avant Garde"/>
        </w:rPr>
        <w:t xml:space="preserve"> las AGEB que </w:t>
      </w:r>
      <w:proofErr w:type="spellStart"/>
      <w:r w:rsidRPr="00984BBD">
        <w:rPr>
          <w:rFonts w:ascii="ITC Avant Garde" w:hAnsi="ITC Avant Garde"/>
        </w:rPr>
        <w:t>integran</w:t>
      </w:r>
      <w:proofErr w:type="spellEnd"/>
      <w:r w:rsidRPr="00984BBD">
        <w:rPr>
          <w:rFonts w:ascii="ITC Avant Garde" w:hAnsi="ITC Avant Garde"/>
        </w:rPr>
        <w:t xml:space="preserve"> a </w:t>
      </w:r>
      <w:proofErr w:type="spellStart"/>
      <w:r w:rsidRPr="00984BBD">
        <w:rPr>
          <w:rFonts w:ascii="ITC Avant Garde" w:hAnsi="ITC Avant Garde"/>
        </w:rPr>
        <w:t>una</w:t>
      </w:r>
      <w:proofErr w:type="spellEnd"/>
      <w:r w:rsidRPr="00984BBD">
        <w:rPr>
          <w:rFonts w:ascii="ITC Avant Garde" w:hAnsi="ITC Avant Garde"/>
        </w:rPr>
        <w:t xml:space="preserve"> </w:t>
      </w:r>
      <w:proofErr w:type="spellStart"/>
      <w:r w:rsidRPr="00984BBD">
        <w:rPr>
          <w:rFonts w:ascii="ITC Avant Garde" w:hAnsi="ITC Avant Garde"/>
        </w:rPr>
        <w:t>localidad</w:t>
      </w:r>
      <w:proofErr w:type="spellEnd"/>
      <w:r w:rsidRPr="00984BBD">
        <w:rPr>
          <w:rFonts w:ascii="ITC Avant Garde" w:hAnsi="ITC Avant Garde"/>
        </w:rPr>
        <w:t xml:space="preserve"> </w:t>
      </w:r>
      <w:proofErr w:type="spellStart"/>
      <w:r w:rsidRPr="00984BBD">
        <w:rPr>
          <w:rFonts w:ascii="ITC Avant Garde" w:hAnsi="ITC Avant Garde"/>
        </w:rPr>
        <w:t>por</w:t>
      </w:r>
      <w:proofErr w:type="spellEnd"/>
      <w:r w:rsidRPr="00984BBD">
        <w:rPr>
          <w:rFonts w:ascii="ITC Avant Garde" w:hAnsi="ITC Avant Garde"/>
        </w:rPr>
        <w:t xml:space="preserve"> la </w:t>
      </w:r>
      <w:proofErr w:type="spellStart"/>
      <w:r w:rsidRPr="00984BBD">
        <w:rPr>
          <w:rFonts w:ascii="ITC Avant Garde" w:hAnsi="ITC Avant Garde"/>
        </w:rPr>
        <w:t>cantidad</w:t>
      </w:r>
      <w:proofErr w:type="spellEnd"/>
      <w:r w:rsidRPr="00984BBD">
        <w:rPr>
          <w:rFonts w:ascii="ITC Avant Garde" w:hAnsi="ITC Avant Garde"/>
        </w:rPr>
        <w:t xml:space="preserve"> de </w:t>
      </w:r>
      <w:proofErr w:type="spellStart"/>
      <w:r w:rsidRPr="00984BBD">
        <w:rPr>
          <w:rFonts w:ascii="ITC Avant Garde" w:hAnsi="ITC Avant Garde"/>
        </w:rPr>
        <w:t>habitantes</w:t>
      </w:r>
      <w:proofErr w:type="spellEnd"/>
      <w:r w:rsidRPr="00984BBD">
        <w:rPr>
          <w:rFonts w:ascii="ITC Avant Garde" w:hAnsi="ITC Avant Garde"/>
        </w:rPr>
        <w:t xml:space="preserve"> </w:t>
      </w:r>
      <w:proofErr w:type="spellStart"/>
      <w:r w:rsidRPr="00984BBD">
        <w:rPr>
          <w:rFonts w:ascii="ITC Avant Garde" w:hAnsi="ITC Avant Garde"/>
        </w:rPr>
        <w:t>presentes</w:t>
      </w:r>
      <w:proofErr w:type="spellEnd"/>
      <w:r w:rsidRPr="00984BBD">
        <w:rPr>
          <w:rFonts w:ascii="ITC Avant Garde" w:hAnsi="ITC Avant Garde"/>
        </w:rPr>
        <w:t xml:space="preserve"> </w:t>
      </w:r>
      <w:proofErr w:type="spellStart"/>
      <w:r w:rsidRPr="00984BBD">
        <w:rPr>
          <w:rFonts w:ascii="ITC Avant Garde" w:hAnsi="ITC Avant Garde"/>
        </w:rPr>
        <w:t>en</w:t>
      </w:r>
      <w:proofErr w:type="spellEnd"/>
      <w:r w:rsidRPr="00984BBD">
        <w:rPr>
          <w:rFonts w:ascii="ITC Avant Garde" w:hAnsi="ITC Avant Garde"/>
        </w:rPr>
        <w:t xml:space="preserve"> </w:t>
      </w:r>
      <w:proofErr w:type="spellStart"/>
      <w:r w:rsidRPr="00984BBD">
        <w:rPr>
          <w:rFonts w:ascii="ITC Avant Garde" w:hAnsi="ITC Avant Garde"/>
        </w:rPr>
        <w:t>dichas</w:t>
      </w:r>
      <w:proofErr w:type="spellEnd"/>
      <w:r w:rsidRPr="00984BBD">
        <w:rPr>
          <w:rFonts w:ascii="ITC Avant Garde" w:hAnsi="ITC Avant Garde"/>
        </w:rPr>
        <w:t xml:space="preserve"> AGEB.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4D32F" w14:textId="77777777" w:rsidR="00A53C95" w:rsidRPr="00FD6F5F" w:rsidRDefault="00A53C95" w:rsidP="00FD6F5F">
    <w:pPr>
      <w:pStyle w:val="Encabezado"/>
      <w:rPr>
        <w:lang w:val="es-ES"/>
      </w:rPr>
    </w:pPr>
    <w:r>
      <w:tab/>
    </w:r>
  </w:p>
  <w:p w14:paraId="2D900C2F" w14:textId="5884778C" w:rsidR="00A53C95" w:rsidRDefault="00A53C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3DA5FE7"/>
    <w:multiLevelType w:val="hybridMultilevel"/>
    <w:tmpl w:val="9E0A7C16"/>
    <w:lvl w:ilvl="0" w:tplc="88A0EEA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0C6C9E"/>
    <w:multiLevelType w:val="hybridMultilevel"/>
    <w:tmpl w:val="843ED06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08B114B0"/>
    <w:multiLevelType w:val="hybridMultilevel"/>
    <w:tmpl w:val="FC4207B8"/>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A759E"/>
    <w:multiLevelType w:val="hybridMultilevel"/>
    <w:tmpl w:val="1C16C37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0E3F28E3"/>
    <w:multiLevelType w:val="hybridMultilevel"/>
    <w:tmpl w:val="A6D0E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6752C5A"/>
    <w:multiLevelType w:val="hybridMultilevel"/>
    <w:tmpl w:val="59207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99F12E6"/>
    <w:multiLevelType w:val="hybridMultilevel"/>
    <w:tmpl w:val="5A9439CA"/>
    <w:lvl w:ilvl="0" w:tplc="9BB84C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2" w15:restartNumberingAfterBreak="0">
    <w:nsid w:val="21207401"/>
    <w:multiLevelType w:val="hybridMultilevel"/>
    <w:tmpl w:val="16E4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DB3BD8"/>
    <w:multiLevelType w:val="hybridMultilevel"/>
    <w:tmpl w:val="C6FC5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BF05BEA"/>
    <w:multiLevelType w:val="hybridMultilevel"/>
    <w:tmpl w:val="C7B02F62"/>
    <w:lvl w:ilvl="0" w:tplc="20A26492">
      <w:start w:val="1"/>
      <w:numFmt w:val="bullet"/>
      <w:pStyle w:val="Indentado2"/>
      <w:lvlText w:val="v"/>
      <w:lvlJc w:val="left"/>
      <w:pPr>
        <w:ind w:left="1176" w:hanging="360"/>
      </w:pPr>
      <w:rPr>
        <w:rFonts w:ascii="Wingdings" w:hAnsi="Wingdings" w:hint="default"/>
        <w:color w:val="4F81BD" w:themeColor="accent1"/>
      </w:rPr>
    </w:lvl>
    <w:lvl w:ilvl="1" w:tplc="040A0003" w:tentative="1">
      <w:start w:val="1"/>
      <w:numFmt w:val="bullet"/>
      <w:lvlText w:val="o"/>
      <w:lvlJc w:val="left"/>
      <w:pPr>
        <w:ind w:left="2214" w:hanging="360"/>
      </w:pPr>
      <w:rPr>
        <w:rFonts w:ascii="Courier New" w:hAnsi="Courier New" w:cs="Courier New" w:hint="default"/>
      </w:rPr>
    </w:lvl>
    <w:lvl w:ilvl="2" w:tplc="040A0005" w:tentative="1">
      <w:start w:val="1"/>
      <w:numFmt w:val="bullet"/>
      <w:lvlText w:val=""/>
      <w:lvlJc w:val="left"/>
      <w:pPr>
        <w:ind w:left="2934" w:hanging="360"/>
      </w:pPr>
      <w:rPr>
        <w:rFonts w:ascii="Wingdings" w:hAnsi="Wingdings" w:hint="default"/>
      </w:rPr>
    </w:lvl>
    <w:lvl w:ilvl="3" w:tplc="040A0001" w:tentative="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25"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6" w15:restartNumberingAfterBreak="0">
    <w:nsid w:val="3238575B"/>
    <w:multiLevelType w:val="hybridMultilevel"/>
    <w:tmpl w:val="CDEC523A"/>
    <w:lvl w:ilvl="0" w:tplc="931879A2">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37EA5238"/>
    <w:multiLevelType w:val="hybridMultilevel"/>
    <w:tmpl w:val="1004BE2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9" w15:restartNumberingAfterBreak="0">
    <w:nsid w:val="394A09F0"/>
    <w:multiLevelType w:val="multilevel"/>
    <w:tmpl w:val="AD2841F0"/>
    <w:lvl w:ilvl="0">
      <w:start w:val="1"/>
      <w:numFmt w:val="upperLetter"/>
      <w:pStyle w:val="Annex10"/>
      <w:suff w:val="space"/>
      <w:lvlText w:val="Anexo %1."/>
      <w:lvlJc w:val="left"/>
      <w:pPr>
        <w:ind w:left="0" w:hanging="357"/>
      </w:pPr>
      <w:rPr>
        <w:rFonts w:ascii="Verdana" w:hAnsi="Verdana" w:hint="default"/>
        <w:b/>
        <w:i w:val="0"/>
        <w:color w:val="4F81BD"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30"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3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0135DCB"/>
    <w:multiLevelType w:val="hybridMultilevel"/>
    <w:tmpl w:val="05DC27D2"/>
    <w:lvl w:ilvl="0" w:tplc="286E8962">
      <w:start w:val="1"/>
      <w:numFmt w:val="decimal"/>
      <w:lvlText w:val="%1."/>
      <w:lvlJc w:val="left"/>
      <w:pPr>
        <w:ind w:left="1210" w:hanging="360"/>
      </w:pPr>
      <w:rPr>
        <w:rFonts w:hint="default"/>
        <w:sz w:val="18"/>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33" w15:restartNumberingAfterBreak="0">
    <w:nsid w:val="406F1844"/>
    <w:multiLevelType w:val="hybridMultilevel"/>
    <w:tmpl w:val="4C105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3F00B6D"/>
    <w:multiLevelType w:val="hybridMultilevel"/>
    <w:tmpl w:val="FD8C7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50010E74"/>
    <w:multiLevelType w:val="hybridMultilevel"/>
    <w:tmpl w:val="8A685644"/>
    <w:lvl w:ilvl="0" w:tplc="04B4BB0C">
      <w:start w:val="1"/>
      <w:numFmt w:val="bullet"/>
      <w:pStyle w:val="Indentado1"/>
      <w:lvlText w:val=""/>
      <w:lvlJc w:val="left"/>
      <w:pPr>
        <w:ind w:left="378"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lang w:val="es-CR"/>
        <w:specVanish w:val="0"/>
        <w14:shadow w14:blurRad="0" w14:dist="0" w14:dir="0" w14:sx="0" w14:sy="0" w14:kx="0" w14:ky="0" w14:algn="none">
          <w14:srgbClr w14:val="000000"/>
        </w14:shadow>
        <w14:textOutline w14:w="0" w14:cap="rnd" w14:cmpd="sng" w14:algn="ctr">
          <w14:noFill/>
          <w14:prstDash w14:val="solid"/>
          <w14:bevel/>
        </w14:textOutline>
      </w:rPr>
    </w:lvl>
    <w:lvl w:ilvl="1" w:tplc="0C0A000F">
      <w:start w:val="1"/>
      <w:numFmt w:val="decimal"/>
      <w:lvlText w:val="%2."/>
      <w:lvlJc w:val="left"/>
      <w:pPr>
        <w:ind w:left="1444" w:hanging="360"/>
      </w:pPr>
      <w:rPr>
        <w:rFonts w:hint="default"/>
      </w:rPr>
    </w:lvl>
    <w:lvl w:ilvl="2" w:tplc="0C0A0005" w:tentative="1">
      <w:start w:val="1"/>
      <w:numFmt w:val="bullet"/>
      <w:lvlText w:val=""/>
      <w:lvlJc w:val="left"/>
      <w:pPr>
        <w:ind w:left="2164" w:hanging="360"/>
      </w:pPr>
      <w:rPr>
        <w:rFonts w:ascii="Wingdings" w:hAnsi="Wingdings" w:hint="default"/>
      </w:rPr>
    </w:lvl>
    <w:lvl w:ilvl="3" w:tplc="0C0A0001" w:tentative="1">
      <w:start w:val="1"/>
      <w:numFmt w:val="bullet"/>
      <w:lvlText w:val=""/>
      <w:lvlJc w:val="left"/>
      <w:pPr>
        <w:ind w:left="2884" w:hanging="360"/>
      </w:pPr>
      <w:rPr>
        <w:rFonts w:ascii="Symbol" w:hAnsi="Symbol" w:hint="default"/>
      </w:rPr>
    </w:lvl>
    <w:lvl w:ilvl="4" w:tplc="0C0A0003" w:tentative="1">
      <w:start w:val="1"/>
      <w:numFmt w:val="bullet"/>
      <w:lvlText w:val="o"/>
      <w:lvlJc w:val="left"/>
      <w:pPr>
        <w:ind w:left="3604" w:hanging="360"/>
      </w:pPr>
      <w:rPr>
        <w:rFonts w:ascii="Courier New" w:hAnsi="Courier New" w:cs="Courier New" w:hint="default"/>
      </w:rPr>
    </w:lvl>
    <w:lvl w:ilvl="5" w:tplc="0C0A0005" w:tentative="1">
      <w:start w:val="1"/>
      <w:numFmt w:val="bullet"/>
      <w:lvlText w:val=""/>
      <w:lvlJc w:val="left"/>
      <w:pPr>
        <w:ind w:left="4324" w:hanging="360"/>
      </w:pPr>
      <w:rPr>
        <w:rFonts w:ascii="Wingdings" w:hAnsi="Wingdings" w:hint="default"/>
      </w:rPr>
    </w:lvl>
    <w:lvl w:ilvl="6" w:tplc="0C0A0001" w:tentative="1">
      <w:start w:val="1"/>
      <w:numFmt w:val="bullet"/>
      <w:lvlText w:val=""/>
      <w:lvlJc w:val="left"/>
      <w:pPr>
        <w:ind w:left="5044" w:hanging="360"/>
      </w:pPr>
      <w:rPr>
        <w:rFonts w:ascii="Symbol" w:hAnsi="Symbol" w:hint="default"/>
      </w:rPr>
    </w:lvl>
    <w:lvl w:ilvl="7" w:tplc="0C0A0003" w:tentative="1">
      <w:start w:val="1"/>
      <w:numFmt w:val="bullet"/>
      <w:lvlText w:val="o"/>
      <w:lvlJc w:val="left"/>
      <w:pPr>
        <w:ind w:left="5764" w:hanging="360"/>
      </w:pPr>
      <w:rPr>
        <w:rFonts w:ascii="Courier New" w:hAnsi="Courier New" w:cs="Courier New" w:hint="default"/>
      </w:rPr>
    </w:lvl>
    <w:lvl w:ilvl="8" w:tplc="0C0A0005" w:tentative="1">
      <w:start w:val="1"/>
      <w:numFmt w:val="bullet"/>
      <w:lvlText w:val=""/>
      <w:lvlJc w:val="left"/>
      <w:pPr>
        <w:ind w:left="6484" w:hanging="360"/>
      </w:pPr>
      <w:rPr>
        <w:rFonts w:ascii="Wingdings" w:hAnsi="Wingdings" w:hint="default"/>
      </w:rPr>
    </w:lvl>
  </w:abstractNum>
  <w:abstractNum w:abstractNumId="37" w15:restartNumberingAfterBreak="0">
    <w:nsid w:val="50F759CB"/>
    <w:multiLevelType w:val="hybridMultilevel"/>
    <w:tmpl w:val="8108A394"/>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4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42"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43" w15:restartNumberingAfterBreak="0">
    <w:nsid w:val="66FA6262"/>
    <w:multiLevelType w:val="hybridMultilevel"/>
    <w:tmpl w:val="088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364345"/>
    <w:multiLevelType w:val="hybridMultilevel"/>
    <w:tmpl w:val="B8FAF9A0"/>
    <w:lvl w:ilvl="0" w:tplc="B56EBBE4">
      <w:start w:val="2"/>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9CC0D8A"/>
    <w:multiLevelType w:val="hybridMultilevel"/>
    <w:tmpl w:val="4B2416DC"/>
    <w:lvl w:ilvl="0" w:tplc="3BD842F6">
      <w:start w:val="1"/>
      <w:numFmt w:val="bullet"/>
      <w:lvlText w:val="▪"/>
      <w:lvlJc w:val="left"/>
      <w:pPr>
        <w:tabs>
          <w:tab w:val="num" w:pos="720"/>
        </w:tabs>
        <w:ind w:left="720" w:hanging="360"/>
      </w:pPr>
      <w:rPr>
        <w:rFonts w:ascii="Calibri" w:hAnsi="Calibri" w:hint="default"/>
      </w:rPr>
    </w:lvl>
    <w:lvl w:ilvl="1" w:tplc="3760E5FC" w:tentative="1">
      <w:start w:val="1"/>
      <w:numFmt w:val="bullet"/>
      <w:lvlText w:val="▪"/>
      <w:lvlJc w:val="left"/>
      <w:pPr>
        <w:tabs>
          <w:tab w:val="num" w:pos="1440"/>
        </w:tabs>
        <w:ind w:left="1440" w:hanging="360"/>
      </w:pPr>
      <w:rPr>
        <w:rFonts w:ascii="Calibri" w:hAnsi="Calibri" w:hint="default"/>
      </w:rPr>
    </w:lvl>
    <w:lvl w:ilvl="2" w:tplc="B32086E8" w:tentative="1">
      <w:start w:val="1"/>
      <w:numFmt w:val="bullet"/>
      <w:lvlText w:val="▪"/>
      <w:lvlJc w:val="left"/>
      <w:pPr>
        <w:tabs>
          <w:tab w:val="num" w:pos="2160"/>
        </w:tabs>
        <w:ind w:left="2160" w:hanging="360"/>
      </w:pPr>
      <w:rPr>
        <w:rFonts w:ascii="Calibri" w:hAnsi="Calibri" w:hint="default"/>
      </w:rPr>
    </w:lvl>
    <w:lvl w:ilvl="3" w:tplc="10E8DA94" w:tentative="1">
      <w:start w:val="1"/>
      <w:numFmt w:val="bullet"/>
      <w:lvlText w:val="▪"/>
      <w:lvlJc w:val="left"/>
      <w:pPr>
        <w:tabs>
          <w:tab w:val="num" w:pos="2880"/>
        </w:tabs>
        <w:ind w:left="2880" w:hanging="360"/>
      </w:pPr>
      <w:rPr>
        <w:rFonts w:ascii="Calibri" w:hAnsi="Calibri" w:hint="default"/>
      </w:rPr>
    </w:lvl>
    <w:lvl w:ilvl="4" w:tplc="F83831F2" w:tentative="1">
      <w:start w:val="1"/>
      <w:numFmt w:val="bullet"/>
      <w:lvlText w:val="▪"/>
      <w:lvlJc w:val="left"/>
      <w:pPr>
        <w:tabs>
          <w:tab w:val="num" w:pos="3600"/>
        </w:tabs>
        <w:ind w:left="3600" w:hanging="360"/>
      </w:pPr>
      <w:rPr>
        <w:rFonts w:ascii="Calibri" w:hAnsi="Calibri" w:hint="default"/>
      </w:rPr>
    </w:lvl>
    <w:lvl w:ilvl="5" w:tplc="98AEF6DE" w:tentative="1">
      <w:start w:val="1"/>
      <w:numFmt w:val="bullet"/>
      <w:lvlText w:val="▪"/>
      <w:lvlJc w:val="left"/>
      <w:pPr>
        <w:tabs>
          <w:tab w:val="num" w:pos="4320"/>
        </w:tabs>
        <w:ind w:left="4320" w:hanging="360"/>
      </w:pPr>
      <w:rPr>
        <w:rFonts w:ascii="Calibri" w:hAnsi="Calibri" w:hint="default"/>
      </w:rPr>
    </w:lvl>
    <w:lvl w:ilvl="6" w:tplc="56823118" w:tentative="1">
      <w:start w:val="1"/>
      <w:numFmt w:val="bullet"/>
      <w:lvlText w:val="▪"/>
      <w:lvlJc w:val="left"/>
      <w:pPr>
        <w:tabs>
          <w:tab w:val="num" w:pos="5040"/>
        </w:tabs>
        <w:ind w:left="5040" w:hanging="360"/>
      </w:pPr>
      <w:rPr>
        <w:rFonts w:ascii="Calibri" w:hAnsi="Calibri" w:hint="default"/>
      </w:rPr>
    </w:lvl>
    <w:lvl w:ilvl="7" w:tplc="EB604FC8" w:tentative="1">
      <w:start w:val="1"/>
      <w:numFmt w:val="bullet"/>
      <w:lvlText w:val="▪"/>
      <w:lvlJc w:val="left"/>
      <w:pPr>
        <w:tabs>
          <w:tab w:val="num" w:pos="5760"/>
        </w:tabs>
        <w:ind w:left="5760" w:hanging="360"/>
      </w:pPr>
      <w:rPr>
        <w:rFonts w:ascii="Calibri" w:hAnsi="Calibri" w:hint="default"/>
      </w:rPr>
    </w:lvl>
    <w:lvl w:ilvl="8" w:tplc="3DFE9BA0" w:tentative="1">
      <w:start w:val="1"/>
      <w:numFmt w:val="bullet"/>
      <w:lvlText w:val="▪"/>
      <w:lvlJc w:val="left"/>
      <w:pPr>
        <w:tabs>
          <w:tab w:val="num" w:pos="6480"/>
        </w:tabs>
        <w:ind w:left="6480" w:hanging="360"/>
      </w:pPr>
      <w:rPr>
        <w:rFonts w:ascii="Calibri" w:hAnsi="Calibri" w:hint="default"/>
      </w:rPr>
    </w:lvl>
  </w:abstractNum>
  <w:abstractNum w:abstractNumId="46"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47" w15:restartNumberingAfterBreak="0">
    <w:nsid w:val="6F1B2E66"/>
    <w:multiLevelType w:val="hybridMultilevel"/>
    <w:tmpl w:val="7F86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A13743"/>
    <w:multiLevelType w:val="hybridMultilevel"/>
    <w:tmpl w:val="835CE262"/>
    <w:lvl w:ilvl="0" w:tplc="A8847DEE">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1133B59"/>
    <w:multiLevelType w:val="hybridMultilevel"/>
    <w:tmpl w:val="EDB82AAA"/>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EB6F36"/>
    <w:multiLevelType w:val="hybridMultilevel"/>
    <w:tmpl w:val="3A123760"/>
    <w:lvl w:ilvl="0" w:tplc="AB3E1898">
      <w:start w:val="1"/>
      <w:numFmt w:val="bullet"/>
      <w:pStyle w:val="ListaCitaOtras"/>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9"/>
  </w:num>
  <w:num w:numId="2">
    <w:abstractNumId w:val="7"/>
  </w:num>
  <w:num w:numId="3">
    <w:abstractNumId w:val="15"/>
  </w:num>
  <w:num w:numId="4">
    <w:abstractNumId w:val="8"/>
  </w:num>
  <w:num w:numId="5">
    <w:abstractNumId w:val="21"/>
  </w:num>
  <w:num w:numId="6">
    <w:abstractNumId w:val="31"/>
  </w:num>
  <w:num w:numId="7">
    <w:abstractNumId w:val="20"/>
  </w:num>
  <w:num w:numId="8">
    <w:abstractNumId w:val="25"/>
  </w:num>
  <w:num w:numId="9">
    <w:abstractNumId w:val="40"/>
  </w:num>
  <w:num w:numId="10">
    <w:abstractNumId w:val="35"/>
  </w:num>
  <w:num w:numId="11">
    <w:abstractNumId w:val="46"/>
  </w:num>
  <w:num w:numId="12">
    <w:abstractNumId w:val="41"/>
  </w:num>
  <w:num w:numId="13">
    <w:abstractNumId w:val="42"/>
  </w:num>
  <w:num w:numId="14">
    <w:abstractNumId w:val="30"/>
  </w:num>
  <w:num w:numId="15">
    <w:abstractNumId w:val="39"/>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38"/>
  </w:num>
  <w:num w:numId="25">
    <w:abstractNumId w:val="27"/>
  </w:num>
  <w:num w:numId="26">
    <w:abstractNumId w:val="11"/>
  </w:num>
  <w:num w:numId="27">
    <w:abstractNumId w:val="13"/>
  </w:num>
  <w:num w:numId="28">
    <w:abstractNumId w:val="49"/>
  </w:num>
  <w:num w:numId="29">
    <w:abstractNumId w:val="26"/>
  </w:num>
  <w:num w:numId="30">
    <w:abstractNumId w:val="37"/>
  </w:num>
  <w:num w:numId="31">
    <w:abstractNumId w:val="17"/>
  </w:num>
  <w:num w:numId="32">
    <w:abstractNumId w:val="22"/>
  </w:num>
  <w:num w:numId="33">
    <w:abstractNumId w:val="43"/>
  </w:num>
  <w:num w:numId="34">
    <w:abstractNumId w:val="9"/>
  </w:num>
  <w:num w:numId="35">
    <w:abstractNumId w:val="9"/>
  </w:num>
  <w:num w:numId="36">
    <w:abstractNumId w:val="45"/>
  </w:num>
  <w:num w:numId="37">
    <w:abstractNumId w:val="18"/>
  </w:num>
  <w:num w:numId="38">
    <w:abstractNumId w:val="3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24"/>
  </w:num>
  <w:num w:numId="42">
    <w:abstractNumId w:val="36"/>
  </w:num>
  <w:num w:numId="43">
    <w:abstractNumId w:val="44"/>
  </w:num>
  <w:num w:numId="44">
    <w:abstractNumId w:val="14"/>
  </w:num>
  <w:num w:numId="45">
    <w:abstractNumId w:val="23"/>
  </w:num>
  <w:num w:numId="46">
    <w:abstractNumId w:val="33"/>
  </w:num>
  <w:num w:numId="47">
    <w:abstractNumId w:val="29"/>
  </w:num>
  <w:num w:numId="48">
    <w:abstractNumId w:val="19"/>
  </w:num>
  <w:num w:numId="49">
    <w:abstractNumId w:val="12"/>
  </w:num>
  <w:num w:numId="50">
    <w:abstractNumId w:val="32"/>
  </w:num>
  <w:num w:numId="51">
    <w:abstractNumId w:val="28"/>
  </w:num>
  <w:num w:numId="52">
    <w:abstractNumId w:val="50"/>
  </w:num>
  <w:num w:numId="53">
    <w:abstractNumId w:val="48"/>
  </w:num>
  <w:num w:numId="54">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GB" w:vendorID="64" w:dllVersion="131078"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B"/>
    <w:rsid w:val="00007099"/>
    <w:rsid w:val="00011374"/>
    <w:rsid w:val="00012F9A"/>
    <w:rsid w:val="000164CB"/>
    <w:rsid w:val="00016DF3"/>
    <w:rsid w:val="00021D1F"/>
    <w:rsid w:val="00021D46"/>
    <w:rsid w:val="000239CF"/>
    <w:rsid w:val="00025921"/>
    <w:rsid w:val="00025D89"/>
    <w:rsid w:val="00030DD9"/>
    <w:rsid w:val="00033AFD"/>
    <w:rsid w:val="00035E15"/>
    <w:rsid w:val="00041248"/>
    <w:rsid w:val="0004267F"/>
    <w:rsid w:val="00045E03"/>
    <w:rsid w:val="000466BB"/>
    <w:rsid w:val="00050F2F"/>
    <w:rsid w:val="0005524C"/>
    <w:rsid w:val="0006115B"/>
    <w:rsid w:val="00066589"/>
    <w:rsid w:val="00070BEB"/>
    <w:rsid w:val="000721ED"/>
    <w:rsid w:val="00073654"/>
    <w:rsid w:val="00075AB9"/>
    <w:rsid w:val="000774F6"/>
    <w:rsid w:val="00077AA6"/>
    <w:rsid w:val="00077F62"/>
    <w:rsid w:val="000809B1"/>
    <w:rsid w:val="00094B13"/>
    <w:rsid w:val="00096071"/>
    <w:rsid w:val="000979CE"/>
    <w:rsid w:val="000A0E4D"/>
    <w:rsid w:val="000A2AC3"/>
    <w:rsid w:val="000A59A7"/>
    <w:rsid w:val="000A5E5F"/>
    <w:rsid w:val="000A7C0A"/>
    <w:rsid w:val="000B2BF0"/>
    <w:rsid w:val="000B2F3C"/>
    <w:rsid w:val="000C21E9"/>
    <w:rsid w:val="000C49E3"/>
    <w:rsid w:val="000C6C0D"/>
    <w:rsid w:val="000C7D84"/>
    <w:rsid w:val="000D137F"/>
    <w:rsid w:val="000D3E75"/>
    <w:rsid w:val="000D43FB"/>
    <w:rsid w:val="000D69AE"/>
    <w:rsid w:val="000E1B14"/>
    <w:rsid w:val="000E1C51"/>
    <w:rsid w:val="000F1744"/>
    <w:rsid w:val="000F44F2"/>
    <w:rsid w:val="00100459"/>
    <w:rsid w:val="001042DF"/>
    <w:rsid w:val="00115749"/>
    <w:rsid w:val="001178BC"/>
    <w:rsid w:val="00126B93"/>
    <w:rsid w:val="0012797F"/>
    <w:rsid w:val="00131DDE"/>
    <w:rsid w:val="0013763A"/>
    <w:rsid w:val="00137ED3"/>
    <w:rsid w:val="001438D2"/>
    <w:rsid w:val="00144BD2"/>
    <w:rsid w:val="00145144"/>
    <w:rsid w:val="00151097"/>
    <w:rsid w:val="0015561C"/>
    <w:rsid w:val="00157D64"/>
    <w:rsid w:val="00162632"/>
    <w:rsid w:val="00163B82"/>
    <w:rsid w:val="00165F67"/>
    <w:rsid w:val="00166C6E"/>
    <w:rsid w:val="00166F41"/>
    <w:rsid w:val="0017023A"/>
    <w:rsid w:val="00177636"/>
    <w:rsid w:val="001820C8"/>
    <w:rsid w:val="00187F10"/>
    <w:rsid w:val="00190716"/>
    <w:rsid w:val="00190DEA"/>
    <w:rsid w:val="00193324"/>
    <w:rsid w:val="001A0DC4"/>
    <w:rsid w:val="001A10CC"/>
    <w:rsid w:val="001A42F1"/>
    <w:rsid w:val="001A5353"/>
    <w:rsid w:val="001A6A44"/>
    <w:rsid w:val="001B0607"/>
    <w:rsid w:val="001B5FDD"/>
    <w:rsid w:val="001C12FC"/>
    <w:rsid w:val="001C54DD"/>
    <w:rsid w:val="001D2DB2"/>
    <w:rsid w:val="001D5B09"/>
    <w:rsid w:val="001D6AD4"/>
    <w:rsid w:val="001E0D16"/>
    <w:rsid w:val="001E4098"/>
    <w:rsid w:val="001F06DC"/>
    <w:rsid w:val="001F57FB"/>
    <w:rsid w:val="001F77DB"/>
    <w:rsid w:val="00201BB9"/>
    <w:rsid w:val="00201BDE"/>
    <w:rsid w:val="0020228B"/>
    <w:rsid w:val="00202B14"/>
    <w:rsid w:val="002061B5"/>
    <w:rsid w:val="00210CE8"/>
    <w:rsid w:val="00210F78"/>
    <w:rsid w:val="00213E01"/>
    <w:rsid w:val="00213E16"/>
    <w:rsid w:val="0021571C"/>
    <w:rsid w:val="00217218"/>
    <w:rsid w:val="002211DC"/>
    <w:rsid w:val="002222A7"/>
    <w:rsid w:val="00227927"/>
    <w:rsid w:val="00227ACD"/>
    <w:rsid w:val="00227FDB"/>
    <w:rsid w:val="00231B56"/>
    <w:rsid w:val="00233139"/>
    <w:rsid w:val="00237A2C"/>
    <w:rsid w:val="00245174"/>
    <w:rsid w:val="00245939"/>
    <w:rsid w:val="0025274D"/>
    <w:rsid w:val="00253DC7"/>
    <w:rsid w:val="00257057"/>
    <w:rsid w:val="0025753D"/>
    <w:rsid w:val="00261F43"/>
    <w:rsid w:val="00263060"/>
    <w:rsid w:val="002640AC"/>
    <w:rsid w:val="0026545D"/>
    <w:rsid w:val="00265B26"/>
    <w:rsid w:val="00266FA3"/>
    <w:rsid w:val="002678EB"/>
    <w:rsid w:val="002712DD"/>
    <w:rsid w:val="002736D8"/>
    <w:rsid w:val="00273C1F"/>
    <w:rsid w:val="002743CD"/>
    <w:rsid w:val="00274DA3"/>
    <w:rsid w:val="002750D4"/>
    <w:rsid w:val="00276E91"/>
    <w:rsid w:val="00277596"/>
    <w:rsid w:val="00277BFA"/>
    <w:rsid w:val="002800BD"/>
    <w:rsid w:val="00282B1C"/>
    <w:rsid w:val="0029238A"/>
    <w:rsid w:val="0029355D"/>
    <w:rsid w:val="002938A6"/>
    <w:rsid w:val="002966F9"/>
    <w:rsid w:val="00296EF6"/>
    <w:rsid w:val="002972DD"/>
    <w:rsid w:val="002A16AE"/>
    <w:rsid w:val="002A1FA3"/>
    <w:rsid w:val="002B2056"/>
    <w:rsid w:val="002B258A"/>
    <w:rsid w:val="002C2016"/>
    <w:rsid w:val="002C2C03"/>
    <w:rsid w:val="002C31A2"/>
    <w:rsid w:val="002C5826"/>
    <w:rsid w:val="002D092A"/>
    <w:rsid w:val="002D2F22"/>
    <w:rsid w:val="002D4F88"/>
    <w:rsid w:val="002D5AAC"/>
    <w:rsid w:val="002D615B"/>
    <w:rsid w:val="002D7683"/>
    <w:rsid w:val="002E1D61"/>
    <w:rsid w:val="002E21DE"/>
    <w:rsid w:val="002F1F37"/>
    <w:rsid w:val="002F1FE8"/>
    <w:rsid w:val="002F2044"/>
    <w:rsid w:val="002F24A5"/>
    <w:rsid w:val="002F2F22"/>
    <w:rsid w:val="002F4E92"/>
    <w:rsid w:val="002F507F"/>
    <w:rsid w:val="00307792"/>
    <w:rsid w:val="00307A71"/>
    <w:rsid w:val="003110D4"/>
    <w:rsid w:val="00311803"/>
    <w:rsid w:val="003136A0"/>
    <w:rsid w:val="00314973"/>
    <w:rsid w:val="00320568"/>
    <w:rsid w:val="00320B89"/>
    <w:rsid w:val="00320F3B"/>
    <w:rsid w:val="003226EB"/>
    <w:rsid w:val="003242AE"/>
    <w:rsid w:val="00324B8A"/>
    <w:rsid w:val="00330717"/>
    <w:rsid w:val="0033074F"/>
    <w:rsid w:val="00336042"/>
    <w:rsid w:val="00336943"/>
    <w:rsid w:val="00337756"/>
    <w:rsid w:val="0033789D"/>
    <w:rsid w:val="00337C8A"/>
    <w:rsid w:val="00343F42"/>
    <w:rsid w:val="003442D2"/>
    <w:rsid w:val="00344BA0"/>
    <w:rsid w:val="00351414"/>
    <w:rsid w:val="00353583"/>
    <w:rsid w:val="00355028"/>
    <w:rsid w:val="00355883"/>
    <w:rsid w:val="00356CC9"/>
    <w:rsid w:val="0035710A"/>
    <w:rsid w:val="003613E2"/>
    <w:rsid w:val="00365395"/>
    <w:rsid w:val="00371888"/>
    <w:rsid w:val="00372B67"/>
    <w:rsid w:val="00372BF7"/>
    <w:rsid w:val="00372E2A"/>
    <w:rsid w:val="00375395"/>
    <w:rsid w:val="00391715"/>
    <w:rsid w:val="003934A0"/>
    <w:rsid w:val="003A5D6B"/>
    <w:rsid w:val="003A73E1"/>
    <w:rsid w:val="003B1AD2"/>
    <w:rsid w:val="003B6396"/>
    <w:rsid w:val="003C1F76"/>
    <w:rsid w:val="003C304F"/>
    <w:rsid w:val="003C6172"/>
    <w:rsid w:val="003C6D87"/>
    <w:rsid w:val="003D05E2"/>
    <w:rsid w:val="003D09DB"/>
    <w:rsid w:val="003D2CB9"/>
    <w:rsid w:val="003D4710"/>
    <w:rsid w:val="003D554D"/>
    <w:rsid w:val="003E1B10"/>
    <w:rsid w:val="003E2FDA"/>
    <w:rsid w:val="003E3AD9"/>
    <w:rsid w:val="003E51A3"/>
    <w:rsid w:val="003F16B4"/>
    <w:rsid w:val="003F2680"/>
    <w:rsid w:val="003F5875"/>
    <w:rsid w:val="003F62BB"/>
    <w:rsid w:val="004005AA"/>
    <w:rsid w:val="00403288"/>
    <w:rsid w:val="00404CFC"/>
    <w:rsid w:val="0041250B"/>
    <w:rsid w:val="00414199"/>
    <w:rsid w:val="00414DBD"/>
    <w:rsid w:val="00417405"/>
    <w:rsid w:val="00417CB6"/>
    <w:rsid w:val="00422108"/>
    <w:rsid w:val="004227B7"/>
    <w:rsid w:val="00423489"/>
    <w:rsid w:val="004244F2"/>
    <w:rsid w:val="00436AEE"/>
    <w:rsid w:val="00442AF7"/>
    <w:rsid w:val="00444DA5"/>
    <w:rsid w:val="004457BE"/>
    <w:rsid w:val="00447110"/>
    <w:rsid w:val="00453F3C"/>
    <w:rsid w:val="00454FC9"/>
    <w:rsid w:val="0045664E"/>
    <w:rsid w:val="00457F76"/>
    <w:rsid w:val="004630CC"/>
    <w:rsid w:val="004642AE"/>
    <w:rsid w:val="00472070"/>
    <w:rsid w:val="004727D7"/>
    <w:rsid w:val="00475B37"/>
    <w:rsid w:val="004777C9"/>
    <w:rsid w:val="004803DB"/>
    <w:rsid w:val="00480565"/>
    <w:rsid w:val="00482D9A"/>
    <w:rsid w:val="004838EF"/>
    <w:rsid w:val="00486181"/>
    <w:rsid w:val="00486AAD"/>
    <w:rsid w:val="00491F91"/>
    <w:rsid w:val="004955CB"/>
    <w:rsid w:val="00495936"/>
    <w:rsid w:val="00495BBE"/>
    <w:rsid w:val="00496224"/>
    <w:rsid w:val="00496AB3"/>
    <w:rsid w:val="004974AF"/>
    <w:rsid w:val="004A0261"/>
    <w:rsid w:val="004A4DD7"/>
    <w:rsid w:val="004A69CB"/>
    <w:rsid w:val="004A73B2"/>
    <w:rsid w:val="004B1994"/>
    <w:rsid w:val="004B3D61"/>
    <w:rsid w:val="004B3FBE"/>
    <w:rsid w:val="004C001E"/>
    <w:rsid w:val="004C143A"/>
    <w:rsid w:val="004C1B3C"/>
    <w:rsid w:val="004C3635"/>
    <w:rsid w:val="004C3DB8"/>
    <w:rsid w:val="004C7191"/>
    <w:rsid w:val="004C73E5"/>
    <w:rsid w:val="004D26BD"/>
    <w:rsid w:val="004D7758"/>
    <w:rsid w:val="004E1E51"/>
    <w:rsid w:val="004E3222"/>
    <w:rsid w:val="004E3E7C"/>
    <w:rsid w:val="004E5D44"/>
    <w:rsid w:val="004E6780"/>
    <w:rsid w:val="004E74B5"/>
    <w:rsid w:val="004F1823"/>
    <w:rsid w:val="004F2277"/>
    <w:rsid w:val="004F55E9"/>
    <w:rsid w:val="005013F3"/>
    <w:rsid w:val="00504F2D"/>
    <w:rsid w:val="00513E19"/>
    <w:rsid w:val="00514A0C"/>
    <w:rsid w:val="00514DD9"/>
    <w:rsid w:val="00517391"/>
    <w:rsid w:val="0052028C"/>
    <w:rsid w:val="00520A74"/>
    <w:rsid w:val="0053125B"/>
    <w:rsid w:val="0053181C"/>
    <w:rsid w:val="005446DB"/>
    <w:rsid w:val="00546865"/>
    <w:rsid w:val="00556A9A"/>
    <w:rsid w:val="005655EE"/>
    <w:rsid w:val="00572001"/>
    <w:rsid w:val="0057330A"/>
    <w:rsid w:val="00574C9A"/>
    <w:rsid w:val="0058057E"/>
    <w:rsid w:val="00582E9C"/>
    <w:rsid w:val="00586307"/>
    <w:rsid w:val="00592F58"/>
    <w:rsid w:val="005A0EF0"/>
    <w:rsid w:val="005A5979"/>
    <w:rsid w:val="005A6881"/>
    <w:rsid w:val="005B4D13"/>
    <w:rsid w:val="005C3F58"/>
    <w:rsid w:val="005C4F3F"/>
    <w:rsid w:val="005C513E"/>
    <w:rsid w:val="005C65AD"/>
    <w:rsid w:val="005D07A3"/>
    <w:rsid w:val="005D225C"/>
    <w:rsid w:val="005D2B83"/>
    <w:rsid w:val="005D45C8"/>
    <w:rsid w:val="005F0269"/>
    <w:rsid w:val="005F0970"/>
    <w:rsid w:val="005F0D61"/>
    <w:rsid w:val="005F79F0"/>
    <w:rsid w:val="00607E5F"/>
    <w:rsid w:val="00610037"/>
    <w:rsid w:val="00610A85"/>
    <w:rsid w:val="00611FD8"/>
    <w:rsid w:val="00613BA2"/>
    <w:rsid w:val="006144ED"/>
    <w:rsid w:val="00620036"/>
    <w:rsid w:val="00622D11"/>
    <w:rsid w:val="00625D84"/>
    <w:rsid w:val="00632C3B"/>
    <w:rsid w:val="00634925"/>
    <w:rsid w:val="00637B9E"/>
    <w:rsid w:val="0064112D"/>
    <w:rsid w:val="0064132E"/>
    <w:rsid w:val="00641CB9"/>
    <w:rsid w:val="00643405"/>
    <w:rsid w:val="006435B5"/>
    <w:rsid w:val="00647B4E"/>
    <w:rsid w:val="00650C3B"/>
    <w:rsid w:val="006528FC"/>
    <w:rsid w:val="006534F4"/>
    <w:rsid w:val="00656279"/>
    <w:rsid w:val="006626B7"/>
    <w:rsid w:val="00662C81"/>
    <w:rsid w:val="00670815"/>
    <w:rsid w:val="0067121E"/>
    <w:rsid w:val="0067149E"/>
    <w:rsid w:val="00677547"/>
    <w:rsid w:val="0067762C"/>
    <w:rsid w:val="00680C89"/>
    <w:rsid w:val="00682B77"/>
    <w:rsid w:val="0068491B"/>
    <w:rsid w:val="00685F22"/>
    <w:rsid w:val="00686395"/>
    <w:rsid w:val="0069500B"/>
    <w:rsid w:val="00696783"/>
    <w:rsid w:val="00696966"/>
    <w:rsid w:val="006A1C1E"/>
    <w:rsid w:val="006A4CB3"/>
    <w:rsid w:val="006A5331"/>
    <w:rsid w:val="006A64D8"/>
    <w:rsid w:val="006B04CB"/>
    <w:rsid w:val="006B2B48"/>
    <w:rsid w:val="006B4487"/>
    <w:rsid w:val="006B48D2"/>
    <w:rsid w:val="006B5229"/>
    <w:rsid w:val="006C5E5F"/>
    <w:rsid w:val="006C7103"/>
    <w:rsid w:val="006D1D1F"/>
    <w:rsid w:val="006D4AE8"/>
    <w:rsid w:val="006D5382"/>
    <w:rsid w:val="006D7C3C"/>
    <w:rsid w:val="006E3221"/>
    <w:rsid w:val="006F33E0"/>
    <w:rsid w:val="006F6B48"/>
    <w:rsid w:val="00700F78"/>
    <w:rsid w:val="00703750"/>
    <w:rsid w:val="007077C7"/>
    <w:rsid w:val="00707DD2"/>
    <w:rsid w:val="00711130"/>
    <w:rsid w:val="007155E5"/>
    <w:rsid w:val="00717A74"/>
    <w:rsid w:val="007224FA"/>
    <w:rsid w:val="00722F0D"/>
    <w:rsid w:val="007236F8"/>
    <w:rsid w:val="00723C4E"/>
    <w:rsid w:val="00724F05"/>
    <w:rsid w:val="00725297"/>
    <w:rsid w:val="0072570D"/>
    <w:rsid w:val="00725C37"/>
    <w:rsid w:val="00726499"/>
    <w:rsid w:val="0072745C"/>
    <w:rsid w:val="007324C3"/>
    <w:rsid w:val="0074046F"/>
    <w:rsid w:val="00740540"/>
    <w:rsid w:val="00741934"/>
    <w:rsid w:val="00741B7F"/>
    <w:rsid w:val="00741FFC"/>
    <w:rsid w:val="00742BF5"/>
    <w:rsid w:val="007431AB"/>
    <w:rsid w:val="00743DCD"/>
    <w:rsid w:val="00744208"/>
    <w:rsid w:val="00752327"/>
    <w:rsid w:val="00761EAE"/>
    <w:rsid w:val="00762549"/>
    <w:rsid w:val="0076581D"/>
    <w:rsid w:val="007713C5"/>
    <w:rsid w:val="00772EDF"/>
    <w:rsid w:val="00774FA9"/>
    <w:rsid w:val="007772B0"/>
    <w:rsid w:val="00780CD0"/>
    <w:rsid w:val="007810F8"/>
    <w:rsid w:val="00781C49"/>
    <w:rsid w:val="00782410"/>
    <w:rsid w:val="007858A7"/>
    <w:rsid w:val="00785AEF"/>
    <w:rsid w:val="00790549"/>
    <w:rsid w:val="007923B9"/>
    <w:rsid w:val="007931D8"/>
    <w:rsid w:val="007939C9"/>
    <w:rsid w:val="00793F88"/>
    <w:rsid w:val="007A291D"/>
    <w:rsid w:val="007A2BB9"/>
    <w:rsid w:val="007B138B"/>
    <w:rsid w:val="007B2ACC"/>
    <w:rsid w:val="007B3FD2"/>
    <w:rsid w:val="007C0C28"/>
    <w:rsid w:val="007C5429"/>
    <w:rsid w:val="007D0D90"/>
    <w:rsid w:val="007D1957"/>
    <w:rsid w:val="007D2579"/>
    <w:rsid w:val="007D382C"/>
    <w:rsid w:val="007D5DAA"/>
    <w:rsid w:val="007E130C"/>
    <w:rsid w:val="007E2539"/>
    <w:rsid w:val="007E5B50"/>
    <w:rsid w:val="007F2A33"/>
    <w:rsid w:val="007F3D26"/>
    <w:rsid w:val="007F6C1D"/>
    <w:rsid w:val="007F6FB4"/>
    <w:rsid w:val="007F71C5"/>
    <w:rsid w:val="008034AB"/>
    <w:rsid w:val="00804BA0"/>
    <w:rsid w:val="00805AE8"/>
    <w:rsid w:val="008117EA"/>
    <w:rsid w:val="00816734"/>
    <w:rsid w:val="00817475"/>
    <w:rsid w:val="00820DFF"/>
    <w:rsid w:val="00830B7D"/>
    <w:rsid w:val="0084114E"/>
    <w:rsid w:val="008452BD"/>
    <w:rsid w:val="008472FF"/>
    <w:rsid w:val="00847F11"/>
    <w:rsid w:val="00850ECB"/>
    <w:rsid w:val="00851767"/>
    <w:rsid w:val="00852FC1"/>
    <w:rsid w:val="00854BF4"/>
    <w:rsid w:val="00861F3B"/>
    <w:rsid w:val="00863720"/>
    <w:rsid w:val="0086385E"/>
    <w:rsid w:val="008659AE"/>
    <w:rsid w:val="00870324"/>
    <w:rsid w:val="00871925"/>
    <w:rsid w:val="00871A12"/>
    <w:rsid w:val="008733D5"/>
    <w:rsid w:val="00874992"/>
    <w:rsid w:val="00876B8D"/>
    <w:rsid w:val="00880D6C"/>
    <w:rsid w:val="0088307C"/>
    <w:rsid w:val="00886324"/>
    <w:rsid w:val="0088698F"/>
    <w:rsid w:val="00886B3B"/>
    <w:rsid w:val="0089104A"/>
    <w:rsid w:val="008958B5"/>
    <w:rsid w:val="008A00B4"/>
    <w:rsid w:val="008A14A4"/>
    <w:rsid w:val="008A515A"/>
    <w:rsid w:val="008B3F33"/>
    <w:rsid w:val="008B74FA"/>
    <w:rsid w:val="008C5AAE"/>
    <w:rsid w:val="008D3D7E"/>
    <w:rsid w:val="008D3F8A"/>
    <w:rsid w:val="008D65AA"/>
    <w:rsid w:val="008D723D"/>
    <w:rsid w:val="008E0DD6"/>
    <w:rsid w:val="008E1FBD"/>
    <w:rsid w:val="008E296D"/>
    <w:rsid w:val="008E306F"/>
    <w:rsid w:val="008E30E1"/>
    <w:rsid w:val="008E7A89"/>
    <w:rsid w:val="008F344F"/>
    <w:rsid w:val="008F41D1"/>
    <w:rsid w:val="008F4C6E"/>
    <w:rsid w:val="008F5BAC"/>
    <w:rsid w:val="008F66F9"/>
    <w:rsid w:val="008F777C"/>
    <w:rsid w:val="008F7B4E"/>
    <w:rsid w:val="00917514"/>
    <w:rsid w:val="00920D59"/>
    <w:rsid w:val="00921442"/>
    <w:rsid w:val="009258E7"/>
    <w:rsid w:val="00925A42"/>
    <w:rsid w:val="0093182A"/>
    <w:rsid w:val="00931AF2"/>
    <w:rsid w:val="00932E6C"/>
    <w:rsid w:val="00932FED"/>
    <w:rsid w:val="00935D4B"/>
    <w:rsid w:val="00936300"/>
    <w:rsid w:val="00943F9D"/>
    <w:rsid w:val="00946DD7"/>
    <w:rsid w:val="009472D0"/>
    <w:rsid w:val="00947E16"/>
    <w:rsid w:val="009567C0"/>
    <w:rsid w:val="0096042E"/>
    <w:rsid w:val="00961542"/>
    <w:rsid w:val="00961CBF"/>
    <w:rsid w:val="0097064E"/>
    <w:rsid w:val="0097264A"/>
    <w:rsid w:val="009803EB"/>
    <w:rsid w:val="009806C7"/>
    <w:rsid w:val="00983C74"/>
    <w:rsid w:val="00984316"/>
    <w:rsid w:val="00984BBD"/>
    <w:rsid w:val="00985537"/>
    <w:rsid w:val="00987891"/>
    <w:rsid w:val="00990EDC"/>
    <w:rsid w:val="00991D90"/>
    <w:rsid w:val="00994555"/>
    <w:rsid w:val="009962D7"/>
    <w:rsid w:val="009964B3"/>
    <w:rsid w:val="00996F5D"/>
    <w:rsid w:val="0099750F"/>
    <w:rsid w:val="009A4310"/>
    <w:rsid w:val="009A5290"/>
    <w:rsid w:val="009A77B7"/>
    <w:rsid w:val="009B6E56"/>
    <w:rsid w:val="009C7E81"/>
    <w:rsid w:val="009D1589"/>
    <w:rsid w:val="009D3DD2"/>
    <w:rsid w:val="009D651B"/>
    <w:rsid w:val="009D75EF"/>
    <w:rsid w:val="009D7A9F"/>
    <w:rsid w:val="009E0180"/>
    <w:rsid w:val="009E1308"/>
    <w:rsid w:val="009E4796"/>
    <w:rsid w:val="009E53C1"/>
    <w:rsid w:val="009E75CE"/>
    <w:rsid w:val="009E7860"/>
    <w:rsid w:val="00A01F5A"/>
    <w:rsid w:val="00A0450C"/>
    <w:rsid w:val="00A07629"/>
    <w:rsid w:val="00A079B6"/>
    <w:rsid w:val="00A10AEC"/>
    <w:rsid w:val="00A11FE9"/>
    <w:rsid w:val="00A12E22"/>
    <w:rsid w:val="00A14682"/>
    <w:rsid w:val="00A15173"/>
    <w:rsid w:val="00A20395"/>
    <w:rsid w:val="00A239F1"/>
    <w:rsid w:val="00A321F0"/>
    <w:rsid w:val="00A35A1F"/>
    <w:rsid w:val="00A36CBD"/>
    <w:rsid w:val="00A37939"/>
    <w:rsid w:val="00A406A5"/>
    <w:rsid w:val="00A418AD"/>
    <w:rsid w:val="00A42BF0"/>
    <w:rsid w:val="00A4583C"/>
    <w:rsid w:val="00A465B1"/>
    <w:rsid w:val="00A465CE"/>
    <w:rsid w:val="00A46A18"/>
    <w:rsid w:val="00A50287"/>
    <w:rsid w:val="00A52BB3"/>
    <w:rsid w:val="00A52EAF"/>
    <w:rsid w:val="00A53C95"/>
    <w:rsid w:val="00A53D4A"/>
    <w:rsid w:val="00A552B1"/>
    <w:rsid w:val="00A605C5"/>
    <w:rsid w:val="00A6743B"/>
    <w:rsid w:val="00A67D5C"/>
    <w:rsid w:val="00A705E9"/>
    <w:rsid w:val="00A724C9"/>
    <w:rsid w:val="00A73836"/>
    <w:rsid w:val="00A73CDD"/>
    <w:rsid w:val="00A74249"/>
    <w:rsid w:val="00A75587"/>
    <w:rsid w:val="00A75AF2"/>
    <w:rsid w:val="00A76038"/>
    <w:rsid w:val="00A8191D"/>
    <w:rsid w:val="00A81C13"/>
    <w:rsid w:val="00A84B18"/>
    <w:rsid w:val="00A879F9"/>
    <w:rsid w:val="00A91308"/>
    <w:rsid w:val="00A913C0"/>
    <w:rsid w:val="00A91ADF"/>
    <w:rsid w:val="00A921D4"/>
    <w:rsid w:val="00A94AEC"/>
    <w:rsid w:val="00AA02E1"/>
    <w:rsid w:val="00AA045A"/>
    <w:rsid w:val="00AA246E"/>
    <w:rsid w:val="00AB3D6F"/>
    <w:rsid w:val="00AC45B0"/>
    <w:rsid w:val="00AC4A09"/>
    <w:rsid w:val="00AD06B7"/>
    <w:rsid w:val="00AD5A72"/>
    <w:rsid w:val="00AD7E0E"/>
    <w:rsid w:val="00AD7E1B"/>
    <w:rsid w:val="00AE0F00"/>
    <w:rsid w:val="00AE1783"/>
    <w:rsid w:val="00AF1EA6"/>
    <w:rsid w:val="00AF23C9"/>
    <w:rsid w:val="00B001F8"/>
    <w:rsid w:val="00B02122"/>
    <w:rsid w:val="00B029E7"/>
    <w:rsid w:val="00B029F2"/>
    <w:rsid w:val="00B03489"/>
    <w:rsid w:val="00B07286"/>
    <w:rsid w:val="00B114DB"/>
    <w:rsid w:val="00B13207"/>
    <w:rsid w:val="00B13BE0"/>
    <w:rsid w:val="00B2076F"/>
    <w:rsid w:val="00B209A2"/>
    <w:rsid w:val="00B27F62"/>
    <w:rsid w:val="00B36AE6"/>
    <w:rsid w:val="00B37A2A"/>
    <w:rsid w:val="00B40810"/>
    <w:rsid w:val="00B55172"/>
    <w:rsid w:val="00B6781B"/>
    <w:rsid w:val="00B734D2"/>
    <w:rsid w:val="00B805F2"/>
    <w:rsid w:val="00B87550"/>
    <w:rsid w:val="00B926B5"/>
    <w:rsid w:val="00B928DC"/>
    <w:rsid w:val="00B93220"/>
    <w:rsid w:val="00B93BD1"/>
    <w:rsid w:val="00B943D1"/>
    <w:rsid w:val="00B952E1"/>
    <w:rsid w:val="00B96939"/>
    <w:rsid w:val="00BA40E9"/>
    <w:rsid w:val="00BA6121"/>
    <w:rsid w:val="00BB1C4F"/>
    <w:rsid w:val="00BB38B5"/>
    <w:rsid w:val="00BB3B88"/>
    <w:rsid w:val="00BB4033"/>
    <w:rsid w:val="00BC5411"/>
    <w:rsid w:val="00BC56F6"/>
    <w:rsid w:val="00BC5CFF"/>
    <w:rsid w:val="00BD1E83"/>
    <w:rsid w:val="00BD3811"/>
    <w:rsid w:val="00BD7BF5"/>
    <w:rsid w:val="00BE3108"/>
    <w:rsid w:val="00BE4026"/>
    <w:rsid w:val="00BF0AB8"/>
    <w:rsid w:val="00BF2C4A"/>
    <w:rsid w:val="00BF5A19"/>
    <w:rsid w:val="00BF5ED7"/>
    <w:rsid w:val="00BF5FDA"/>
    <w:rsid w:val="00C019EC"/>
    <w:rsid w:val="00C02C66"/>
    <w:rsid w:val="00C036A6"/>
    <w:rsid w:val="00C04D64"/>
    <w:rsid w:val="00C072F9"/>
    <w:rsid w:val="00C07666"/>
    <w:rsid w:val="00C1254F"/>
    <w:rsid w:val="00C14ABC"/>
    <w:rsid w:val="00C14BC4"/>
    <w:rsid w:val="00C15B53"/>
    <w:rsid w:val="00C164D3"/>
    <w:rsid w:val="00C21042"/>
    <w:rsid w:val="00C2174A"/>
    <w:rsid w:val="00C21F9B"/>
    <w:rsid w:val="00C22532"/>
    <w:rsid w:val="00C26B4C"/>
    <w:rsid w:val="00C32AC6"/>
    <w:rsid w:val="00C33EE2"/>
    <w:rsid w:val="00C41EE5"/>
    <w:rsid w:val="00C43BE0"/>
    <w:rsid w:val="00C44480"/>
    <w:rsid w:val="00C4453B"/>
    <w:rsid w:val="00C44ACE"/>
    <w:rsid w:val="00C45082"/>
    <w:rsid w:val="00C46257"/>
    <w:rsid w:val="00C47C10"/>
    <w:rsid w:val="00C50030"/>
    <w:rsid w:val="00C50C93"/>
    <w:rsid w:val="00C556AB"/>
    <w:rsid w:val="00C56987"/>
    <w:rsid w:val="00C57867"/>
    <w:rsid w:val="00C60945"/>
    <w:rsid w:val="00C61241"/>
    <w:rsid w:val="00C62435"/>
    <w:rsid w:val="00C63343"/>
    <w:rsid w:val="00C6387C"/>
    <w:rsid w:val="00C664CC"/>
    <w:rsid w:val="00C73865"/>
    <w:rsid w:val="00C80269"/>
    <w:rsid w:val="00C855DD"/>
    <w:rsid w:val="00C86653"/>
    <w:rsid w:val="00C87FE2"/>
    <w:rsid w:val="00C911BF"/>
    <w:rsid w:val="00C9223E"/>
    <w:rsid w:val="00C97CC0"/>
    <w:rsid w:val="00CA0B92"/>
    <w:rsid w:val="00CA1C1D"/>
    <w:rsid w:val="00CA3F64"/>
    <w:rsid w:val="00CA5EC8"/>
    <w:rsid w:val="00CB6CCB"/>
    <w:rsid w:val="00CB7AE8"/>
    <w:rsid w:val="00CC09F0"/>
    <w:rsid w:val="00CC2310"/>
    <w:rsid w:val="00CC6455"/>
    <w:rsid w:val="00CC7F48"/>
    <w:rsid w:val="00CD09B7"/>
    <w:rsid w:val="00CD2FEE"/>
    <w:rsid w:val="00CD3809"/>
    <w:rsid w:val="00CD563B"/>
    <w:rsid w:val="00CD58B3"/>
    <w:rsid w:val="00CD650B"/>
    <w:rsid w:val="00CE6974"/>
    <w:rsid w:val="00CE782F"/>
    <w:rsid w:val="00CF2FD2"/>
    <w:rsid w:val="00CF3B7D"/>
    <w:rsid w:val="00CF497E"/>
    <w:rsid w:val="00CF6277"/>
    <w:rsid w:val="00CF733E"/>
    <w:rsid w:val="00D02D6E"/>
    <w:rsid w:val="00D05D40"/>
    <w:rsid w:val="00D05F54"/>
    <w:rsid w:val="00D068DB"/>
    <w:rsid w:val="00D12876"/>
    <w:rsid w:val="00D144D3"/>
    <w:rsid w:val="00D14B8C"/>
    <w:rsid w:val="00D14DBB"/>
    <w:rsid w:val="00D1714A"/>
    <w:rsid w:val="00D17968"/>
    <w:rsid w:val="00D17D19"/>
    <w:rsid w:val="00D21702"/>
    <w:rsid w:val="00D247C6"/>
    <w:rsid w:val="00D32FAB"/>
    <w:rsid w:val="00D34F31"/>
    <w:rsid w:val="00D43210"/>
    <w:rsid w:val="00D43959"/>
    <w:rsid w:val="00D440B1"/>
    <w:rsid w:val="00D445BE"/>
    <w:rsid w:val="00D4486D"/>
    <w:rsid w:val="00D452AD"/>
    <w:rsid w:val="00D50FAD"/>
    <w:rsid w:val="00D53197"/>
    <w:rsid w:val="00D5396B"/>
    <w:rsid w:val="00D55CCD"/>
    <w:rsid w:val="00D56184"/>
    <w:rsid w:val="00D61A58"/>
    <w:rsid w:val="00D63674"/>
    <w:rsid w:val="00D66481"/>
    <w:rsid w:val="00D67154"/>
    <w:rsid w:val="00D70A15"/>
    <w:rsid w:val="00D72240"/>
    <w:rsid w:val="00D74D08"/>
    <w:rsid w:val="00D77223"/>
    <w:rsid w:val="00D77C8F"/>
    <w:rsid w:val="00D84F7B"/>
    <w:rsid w:val="00D9098B"/>
    <w:rsid w:val="00D92EA9"/>
    <w:rsid w:val="00D92F0B"/>
    <w:rsid w:val="00DA790E"/>
    <w:rsid w:val="00DB2804"/>
    <w:rsid w:val="00DB4001"/>
    <w:rsid w:val="00DC0F0D"/>
    <w:rsid w:val="00DC1A0B"/>
    <w:rsid w:val="00DC7725"/>
    <w:rsid w:val="00DC7D0E"/>
    <w:rsid w:val="00DE240D"/>
    <w:rsid w:val="00DE301F"/>
    <w:rsid w:val="00DE571B"/>
    <w:rsid w:val="00DF031E"/>
    <w:rsid w:val="00DF09CD"/>
    <w:rsid w:val="00DF10CB"/>
    <w:rsid w:val="00DF26F1"/>
    <w:rsid w:val="00DF3294"/>
    <w:rsid w:val="00DF45DD"/>
    <w:rsid w:val="00DF609A"/>
    <w:rsid w:val="00E03640"/>
    <w:rsid w:val="00E05F55"/>
    <w:rsid w:val="00E07DF8"/>
    <w:rsid w:val="00E13C3F"/>
    <w:rsid w:val="00E16D7E"/>
    <w:rsid w:val="00E20094"/>
    <w:rsid w:val="00E23445"/>
    <w:rsid w:val="00E24878"/>
    <w:rsid w:val="00E2748A"/>
    <w:rsid w:val="00E30C88"/>
    <w:rsid w:val="00E32852"/>
    <w:rsid w:val="00E338C8"/>
    <w:rsid w:val="00E348D3"/>
    <w:rsid w:val="00E35544"/>
    <w:rsid w:val="00E35916"/>
    <w:rsid w:val="00E360C0"/>
    <w:rsid w:val="00E41493"/>
    <w:rsid w:val="00E4249F"/>
    <w:rsid w:val="00E42C2F"/>
    <w:rsid w:val="00E430AE"/>
    <w:rsid w:val="00E43A41"/>
    <w:rsid w:val="00E43DB9"/>
    <w:rsid w:val="00E50BE7"/>
    <w:rsid w:val="00E5383D"/>
    <w:rsid w:val="00E53B2F"/>
    <w:rsid w:val="00E555AF"/>
    <w:rsid w:val="00E609D2"/>
    <w:rsid w:val="00E61BF1"/>
    <w:rsid w:val="00E70FD0"/>
    <w:rsid w:val="00E74967"/>
    <w:rsid w:val="00E81B4B"/>
    <w:rsid w:val="00E83F7A"/>
    <w:rsid w:val="00E92DAB"/>
    <w:rsid w:val="00E92F74"/>
    <w:rsid w:val="00E96093"/>
    <w:rsid w:val="00E96D98"/>
    <w:rsid w:val="00E96FDD"/>
    <w:rsid w:val="00EA03B5"/>
    <w:rsid w:val="00EA1157"/>
    <w:rsid w:val="00EA56AF"/>
    <w:rsid w:val="00EA6DF7"/>
    <w:rsid w:val="00EA7B6F"/>
    <w:rsid w:val="00EB0EE0"/>
    <w:rsid w:val="00EB4D93"/>
    <w:rsid w:val="00EC0571"/>
    <w:rsid w:val="00ED27DC"/>
    <w:rsid w:val="00ED31E6"/>
    <w:rsid w:val="00EE00CC"/>
    <w:rsid w:val="00EE0BEB"/>
    <w:rsid w:val="00EE5676"/>
    <w:rsid w:val="00EE74BA"/>
    <w:rsid w:val="00EF2BB2"/>
    <w:rsid w:val="00EF69DF"/>
    <w:rsid w:val="00EF764D"/>
    <w:rsid w:val="00F03DFC"/>
    <w:rsid w:val="00F0426A"/>
    <w:rsid w:val="00F04DDF"/>
    <w:rsid w:val="00F0613B"/>
    <w:rsid w:val="00F07078"/>
    <w:rsid w:val="00F149F6"/>
    <w:rsid w:val="00F1570E"/>
    <w:rsid w:val="00F21D36"/>
    <w:rsid w:val="00F24051"/>
    <w:rsid w:val="00F26B1D"/>
    <w:rsid w:val="00F357FF"/>
    <w:rsid w:val="00F366FF"/>
    <w:rsid w:val="00F57B57"/>
    <w:rsid w:val="00F6492F"/>
    <w:rsid w:val="00F64F41"/>
    <w:rsid w:val="00F66A3A"/>
    <w:rsid w:val="00F704EC"/>
    <w:rsid w:val="00F7078F"/>
    <w:rsid w:val="00F70C4A"/>
    <w:rsid w:val="00F739F7"/>
    <w:rsid w:val="00F73F7C"/>
    <w:rsid w:val="00F741A1"/>
    <w:rsid w:val="00F762A3"/>
    <w:rsid w:val="00F77466"/>
    <w:rsid w:val="00F80067"/>
    <w:rsid w:val="00F84B14"/>
    <w:rsid w:val="00F85C68"/>
    <w:rsid w:val="00F86B41"/>
    <w:rsid w:val="00F9018D"/>
    <w:rsid w:val="00F91A02"/>
    <w:rsid w:val="00F9278A"/>
    <w:rsid w:val="00F92864"/>
    <w:rsid w:val="00F97585"/>
    <w:rsid w:val="00FA19B9"/>
    <w:rsid w:val="00FA1F4F"/>
    <w:rsid w:val="00FA276E"/>
    <w:rsid w:val="00FA4881"/>
    <w:rsid w:val="00FA65B9"/>
    <w:rsid w:val="00FB05AD"/>
    <w:rsid w:val="00FB321F"/>
    <w:rsid w:val="00FB34D2"/>
    <w:rsid w:val="00FC226E"/>
    <w:rsid w:val="00FC3E6C"/>
    <w:rsid w:val="00FC4E0E"/>
    <w:rsid w:val="00FC4E72"/>
    <w:rsid w:val="00FC6E17"/>
    <w:rsid w:val="00FC7846"/>
    <w:rsid w:val="00FD0A23"/>
    <w:rsid w:val="00FD0C35"/>
    <w:rsid w:val="00FD16A2"/>
    <w:rsid w:val="00FD2088"/>
    <w:rsid w:val="00FD6F5F"/>
    <w:rsid w:val="00FE002D"/>
    <w:rsid w:val="00FE1F05"/>
    <w:rsid w:val="00FE31A0"/>
    <w:rsid w:val="00FE5BAC"/>
    <w:rsid w:val="00FF20FA"/>
    <w:rsid w:val="00FF5185"/>
    <w:rsid w:val="00FF5F78"/>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7FE31"/>
  <w15:docId w15:val="{604529B5-3107-45C7-A0CE-596AEF89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AC"/>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link w:val="DescripcinCar"/>
    <w:uiPriority w:val="99"/>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
    <w:link w:val="TextonotapieCar"/>
    <w:uiPriority w:val="99"/>
    <w:unhideWhenUsed/>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unhideWhenUsed/>
    <w:rsid w:val="003C6172"/>
    <w:pPr>
      <w:numPr>
        <w:numId w:val="6"/>
      </w:numPr>
    </w:p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
    <w:basedOn w:val="Fuentedeprrafopredeter"/>
    <w:link w:val="Textonotapie"/>
    <w:uiPriority w:val="99"/>
    <w:rsid w:val="00A705E9"/>
    <w:rPr>
      <w:rFonts w:ascii="Arial" w:hAnsi="Arial"/>
      <w:sz w:val="16"/>
      <w:szCs w:val="20"/>
    </w:rPr>
  </w:style>
  <w:style w:type="character" w:styleId="Refdenotaalpie">
    <w:name w:val="footnote reference"/>
    <w:aliases w:val="Footnote Reference Superscript,fr,o,Style 6,Ref,de nota al pie,(NECG) Footnote Reference,Style 3,Appel note de bas de p,Style 12,Style 124,Ref. de nota al pie 2,Style 13,FR,Style 17,Footnote Reference/"/>
    <w:basedOn w:val="Fuentedeprrafopredeter"/>
    <w:uiPriority w:val="99"/>
    <w:unhideWhenUsed/>
    <w:qFormat/>
    <w:rsid w:val="00486181"/>
    <w:rPr>
      <w:rFonts w:ascii="Arial" w:hAnsi="Arial"/>
      <w:b w:val="0"/>
      <w:i w:val="0"/>
      <w:sz w:val="20"/>
      <w:vertAlign w:val="superscript"/>
    </w:rPr>
  </w:style>
  <w:style w:type="paragraph" w:styleId="Piedepgina">
    <w:name w:val="footer"/>
    <w:link w:val="PiedepginaCar"/>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basedOn w:val="Normal"/>
    <w:uiPriority w:val="34"/>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semiHidden/>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customStyle="1" w:styleId="Indentado2">
    <w:name w:val="Indentado 2"/>
    <w:basedOn w:val="I1"/>
    <w:link w:val="Indentado1Car"/>
    <w:qFormat/>
    <w:rsid w:val="00277596"/>
    <w:pPr>
      <w:numPr>
        <w:numId w:val="41"/>
      </w:numPr>
      <w:spacing w:after="0" w:line="336" w:lineRule="auto"/>
    </w:pPr>
    <w:rPr>
      <w:rFonts w:ascii="Century Gothic" w:eastAsia="Times New Roman" w:hAnsi="Century Gothic" w:cs="Times New Roman"/>
      <w:sz w:val="20"/>
      <w:szCs w:val="24"/>
      <w:lang w:val="es-ES" w:eastAsia="es-ES"/>
    </w:rPr>
  </w:style>
  <w:style w:type="character" w:customStyle="1" w:styleId="Indentado1Car">
    <w:name w:val="Indentado_1 Car"/>
    <w:basedOn w:val="Fuentedeprrafopredeter"/>
    <w:link w:val="Indentado2"/>
    <w:rsid w:val="00277596"/>
    <w:rPr>
      <w:rFonts w:ascii="Century Gothic" w:eastAsia="Times New Roman" w:hAnsi="Century Gothic" w:cs="Times New Roman"/>
      <w:sz w:val="20"/>
      <w:szCs w:val="24"/>
      <w:lang w:val="es-ES" w:eastAsia="es-ES"/>
    </w:rPr>
  </w:style>
  <w:style w:type="paragraph" w:customStyle="1" w:styleId="Indentado1">
    <w:name w:val="Indentado 1"/>
    <w:basedOn w:val="I1"/>
    <w:link w:val="Indentado1Char1"/>
    <w:autoRedefine/>
    <w:uiPriority w:val="99"/>
    <w:qFormat/>
    <w:rsid w:val="00277596"/>
    <w:pPr>
      <w:numPr>
        <w:numId w:val="42"/>
      </w:numPr>
      <w:spacing w:before="120" w:after="120" w:line="336" w:lineRule="auto"/>
      <w:contextualSpacing/>
    </w:pPr>
    <w:rPr>
      <w:rFonts w:ascii="Century Gothic" w:eastAsia="Times New Roman" w:hAnsi="Century Gothic" w:cs="Times New Roman"/>
      <w:bCs/>
      <w:sz w:val="20"/>
      <w:szCs w:val="24"/>
      <w:lang w:val="es-CR" w:eastAsia="es-ES"/>
    </w:rPr>
  </w:style>
  <w:style w:type="character" w:customStyle="1" w:styleId="Indentado1Char1">
    <w:name w:val="Indentado 1 Char1"/>
    <w:basedOn w:val="Fuentedeprrafopredeter"/>
    <w:link w:val="Indentado1"/>
    <w:uiPriority w:val="99"/>
    <w:rsid w:val="00277596"/>
    <w:rPr>
      <w:rFonts w:ascii="Century Gothic" w:eastAsia="Times New Roman" w:hAnsi="Century Gothic" w:cs="Times New Roman"/>
      <w:bCs/>
      <w:sz w:val="20"/>
      <w:szCs w:val="24"/>
      <w:lang w:val="es-CR" w:eastAsia="es-ES"/>
    </w:rPr>
  </w:style>
  <w:style w:type="paragraph" w:customStyle="1" w:styleId="Annex10">
    <w:name w:val="Annex1"/>
    <w:basedOn w:val="Ttulo1"/>
    <w:rsid w:val="00C072F9"/>
    <w:pPr>
      <w:keepLines w:val="0"/>
      <w:pageBreakBefore w:val="0"/>
      <w:numPr>
        <w:numId w:val="47"/>
      </w:numPr>
      <w:spacing w:before="480" w:after="240" w:line="336" w:lineRule="auto"/>
      <w:jc w:val="both"/>
    </w:pPr>
    <w:rPr>
      <w:rFonts w:ascii="Century Gothic" w:eastAsia="Times New Roman" w:hAnsi="Century Gothic" w:cs="Arial"/>
      <w:b/>
      <w:iCs/>
      <w:color w:val="4F81BD" w:themeColor="accent1"/>
      <w:sz w:val="40"/>
      <w:lang w:val="es-ES" w:eastAsia="es-ES"/>
    </w:rPr>
  </w:style>
  <w:style w:type="character" w:customStyle="1" w:styleId="DescripcinCar">
    <w:name w:val="Descripción Car"/>
    <w:basedOn w:val="Fuentedeprrafopredeter"/>
    <w:link w:val="Descripcin"/>
    <w:uiPriority w:val="99"/>
    <w:rsid w:val="00C072F9"/>
    <w:rPr>
      <w:rFonts w:ascii="Arial" w:hAnsi="Arial" w:cs="Arial"/>
      <w:bCs/>
      <w:i/>
      <w:sz w:val="18"/>
      <w:szCs w:val="18"/>
    </w:rPr>
  </w:style>
  <w:style w:type="character" w:customStyle="1" w:styleId="font681">
    <w:name w:val="font681"/>
    <w:basedOn w:val="Fuentedeprrafopredeter"/>
    <w:rsid w:val="00C072F9"/>
    <w:rPr>
      <w:rFonts w:ascii="Verdana" w:hAnsi="Verdana" w:hint="default"/>
      <w:b w:val="0"/>
      <w:bCs w:val="0"/>
      <w:i w:val="0"/>
      <w:iCs w:val="0"/>
      <w:strike w:val="0"/>
      <w:dstrike w:val="0"/>
      <w:color w:val="000000"/>
      <w:sz w:val="16"/>
      <w:szCs w:val="16"/>
      <w:u w:val="none"/>
      <w:effect w:val="none"/>
    </w:rPr>
  </w:style>
  <w:style w:type="character" w:customStyle="1" w:styleId="font1771">
    <w:name w:val="font1771"/>
    <w:basedOn w:val="Fuentedeprrafopredeter"/>
    <w:rsid w:val="00C072F9"/>
    <w:rPr>
      <w:rFonts w:ascii="Verdana" w:hAnsi="Verdana" w:hint="default"/>
      <w:b w:val="0"/>
      <w:bCs w:val="0"/>
      <w:i w:val="0"/>
      <w:iCs w:val="0"/>
      <w:strike w:val="0"/>
      <w:dstrike w:val="0"/>
      <w:color w:val="000000"/>
      <w:sz w:val="20"/>
      <w:szCs w:val="20"/>
      <w:u w:val="none"/>
      <w:effect w:val="none"/>
    </w:rPr>
  </w:style>
  <w:style w:type="paragraph" w:customStyle="1" w:styleId="CitaIFT">
    <w:name w:val="Cita IFT"/>
    <w:basedOn w:val="Normal"/>
    <w:link w:val="CitaIFTCar"/>
    <w:qFormat/>
    <w:rsid w:val="00D12876"/>
    <w:pPr>
      <w:adjustRightInd w:val="0"/>
      <w:spacing w:after="200" w:line="276" w:lineRule="auto"/>
      <w:ind w:left="851" w:right="760"/>
    </w:pPr>
    <w:rPr>
      <w:rFonts w:ascii="ITC Avant Garde" w:eastAsia="Times New Roman" w:hAnsi="ITC Avant Garde" w:cs="Arial"/>
      <w:bCs/>
      <w:i/>
      <w:color w:val="000000"/>
      <w:sz w:val="18"/>
      <w:szCs w:val="18"/>
      <w:lang w:val="es-ES_tradnl" w:eastAsia="es-ES"/>
    </w:rPr>
  </w:style>
  <w:style w:type="character" w:customStyle="1" w:styleId="CitaIFTCar">
    <w:name w:val="Cita IFT Car"/>
    <w:link w:val="CitaIFT"/>
    <w:qFormat/>
    <w:rsid w:val="00D12876"/>
    <w:rPr>
      <w:rFonts w:ascii="ITC Avant Garde" w:eastAsia="Times New Roman" w:hAnsi="ITC Avant Garde" w:cs="Arial"/>
      <w:bCs/>
      <w:i/>
      <w:color w:val="000000"/>
      <w:sz w:val="18"/>
      <w:szCs w:val="18"/>
      <w:lang w:val="es-ES_tradnl" w:eastAsia="es-ES"/>
    </w:rPr>
  </w:style>
  <w:style w:type="paragraph" w:customStyle="1" w:styleId="ListaCitaOtras">
    <w:name w:val="ListaCitaOtras"/>
    <w:basedOn w:val="CitaIFT"/>
    <w:qFormat/>
    <w:rsid w:val="007923B9"/>
    <w:pPr>
      <w:numPr>
        <w:numId w:val="52"/>
      </w:numPr>
    </w:pPr>
    <w:rPr>
      <w:bCs w:val="0"/>
      <w:lang w:val="es-MX"/>
    </w:rPr>
  </w:style>
  <w:style w:type="paragraph" w:customStyle="1" w:styleId="Textotabla">
    <w:name w:val="Texto tabla"/>
    <w:basedOn w:val="Normal"/>
    <w:link w:val="TextotablaChar"/>
    <w:qFormat/>
    <w:rsid w:val="00D56184"/>
    <w:pPr>
      <w:spacing w:before="40" w:after="40" w:line="276" w:lineRule="auto"/>
    </w:pPr>
    <w:rPr>
      <w:rFonts w:ascii="ITC Avant Garde" w:eastAsia="Calibri" w:hAnsi="ITC Avant Garde" w:cs="Arial"/>
      <w:color w:val="000000"/>
      <w:sz w:val="18"/>
      <w:szCs w:val="20"/>
      <w:lang w:val="es-ES_tradnl" w:eastAsia="es-ES"/>
    </w:rPr>
  </w:style>
  <w:style w:type="character" w:customStyle="1" w:styleId="TextotablaChar">
    <w:name w:val="Texto tabla Char"/>
    <w:basedOn w:val="Fuentedeprrafopredeter"/>
    <w:link w:val="Textotabla"/>
    <w:rsid w:val="00D56184"/>
    <w:rPr>
      <w:rFonts w:ascii="ITC Avant Garde" w:eastAsia="Calibri" w:hAnsi="ITC Avant Garde" w:cs="Arial"/>
      <w:color w:val="000000"/>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 w:id="172886584">
          <w:marLeft w:val="274"/>
          <w:marRight w:val="0"/>
          <w:marTop w:val="0"/>
          <w:marBottom w:val="120"/>
          <w:divBdr>
            <w:top w:val="none" w:sz="0" w:space="0" w:color="auto"/>
            <w:left w:val="none" w:sz="0" w:space="0" w:color="auto"/>
            <w:bottom w:val="none" w:sz="0" w:space="0" w:color="auto"/>
            <w:right w:val="none" w:sz="0" w:space="0" w:color="auto"/>
          </w:divBdr>
        </w:div>
      </w:divsChild>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negi.org.mx/est/contenidos/espanol/sistemas/regsoc/default.asp?c=11723" TargetMode="External"/><Relationship Id="rId2" Type="http://schemas.openxmlformats.org/officeDocument/2006/relationships/hyperlink" Target="http://internet.contenidos.inegi.org.mx/contenidos/Productos/prod_serv/contenidos/espanol/bvinegi/productos/geografia/marcogeo/889463142683_s.zip" TargetMode="External"/><Relationship Id="rId1" Type="http://schemas.openxmlformats.org/officeDocument/2006/relationships/hyperlink" Target="http://internet.contenidos.inegi.org.mx/contenidos/Productos/prod_serv/contenidos/espanol/bvinegi/productos/geografia/marc_geo/702825292843_s.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E4457-4133-4D85-975E-A108148E7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F2B441-1141-4CED-815B-EE78941C8B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CCF452-1D2B-4AAA-8886-D3B2FA8A7A06}">
  <ds:schemaRefs>
    <ds:schemaRef ds:uri="http://schemas.microsoft.com/sharepoint/v3/contenttype/forms"/>
  </ds:schemaRefs>
</ds:datastoreItem>
</file>

<file path=customXml/itemProps4.xml><?xml version="1.0" encoding="utf-8"?>
<ds:datastoreItem xmlns:ds="http://schemas.openxmlformats.org/officeDocument/2006/customXml" ds:itemID="{021918C9-42A2-48C1-8C24-F75F7CB2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8</TotalTime>
  <Pages>16</Pages>
  <Words>5843</Words>
  <Characters>32142</Characters>
  <Application>Microsoft Office Word</Application>
  <DocSecurity>0</DocSecurity>
  <Lines>267</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Jose Pablo Vanegas Soriano</dc:creator>
  <cp:lastModifiedBy>Anaid Karina Limon Rivera</cp:lastModifiedBy>
  <cp:revision>4</cp:revision>
  <cp:lastPrinted>2011-01-06T16:36:00Z</cp:lastPrinted>
  <dcterms:created xsi:type="dcterms:W3CDTF">2018-02-01T22:55:00Z</dcterms:created>
  <dcterms:modified xsi:type="dcterms:W3CDTF">2018-02-01T23:02:00Z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