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14:paraId="375CA9BD" w14:textId="77777777" w:rsidR="004970C4" w:rsidRDefault="004970C4" w:rsidP="007A6974">
      <w:pPr>
        <w:spacing w:after="0"/>
        <w:rPr>
          <w:rFonts w:ascii="Century Gothic" w:hAnsi="Century Gothic"/>
          <w:b/>
        </w:rPr>
      </w:pPr>
    </w:p>
    <w:p w14:paraId="3DA9A5C8" w14:textId="77777777" w:rsidR="001078AA" w:rsidRPr="007A6974" w:rsidRDefault="001078AA" w:rsidP="007A6974">
      <w:pPr>
        <w:spacing w:after="0"/>
        <w:rPr>
          <w:rFonts w:ascii="Century Gothic" w:hAnsi="Century Gothic"/>
          <w:b/>
          <w:sz w:val="16"/>
        </w:rPr>
      </w:pPr>
    </w:p>
    <w:p w14:paraId="17AF0422" w14:textId="77777777" w:rsidR="001078AA" w:rsidRDefault="001078AA" w:rsidP="001078AA">
      <w:pPr>
        <w:spacing w:after="0"/>
        <w:rPr>
          <w:rFonts w:ascii="Century Gothic" w:hAnsi="Century Gothic"/>
          <w:b/>
          <w:sz w:val="16"/>
        </w:rPr>
      </w:pPr>
      <w:r w:rsidRPr="007A6974">
        <w:rPr>
          <w:rFonts w:ascii="Century Gothic" w:hAnsi="Century Gothic"/>
          <w:b/>
          <w:sz w:val="16"/>
        </w:rPr>
        <w:t>Instrucciones para su llenado y participación:</w:t>
      </w:r>
    </w:p>
    <w:p w14:paraId="303E472C" w14:textId="77777777" w:rsidR="001078AA" w:rsidRPr="007A6974" w:rsidRDefault="001078AA" w:rsidP="001078AA">
      <w:pPr>
        <w:spacing w:after="0"/>
        <w:rPr>
          <w:rFonts w:ascii="Century Gothic" w:hAnsi="Century Gothic"/>
          <w:b/>
          <w:sz w:val="16"/>
        </w:rPr>
      </w:pPr>
    </w:p>
    <w:p w14:paraId="603D2D03" w14:textId="11866D1E" w:rsidR="001078AA" w:rsidRPr="007A6974" w:rsidRDefault="001078AA" w:rsidP="001078A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C51B7D" w:rsidRPr="00454F33">
          <w:rPr>
            <w:rStyle w:val="Hipervnculo"/>
            <w:rFonts w:ascii="Century Gothic" w:hAnsi="Century Gothic"/>
            <w:sz w:val="14"/>
            <w:szCs w:val="14"/>
          </w:rPr>
          <w:t>modelodecostos@ift.org.mx</w:t>
        </w:r>
      </w:hyperlink>
      <w:r w:rsidRPr="007A6974">
        <w:rPr>
          <w:rFonts w:ascii="Century Gothic" w:hAnsi="Century Gothic"/>
          <w:sz w:val="14"/>
          <w:szCs w:val="14"/>
        </w:rPr>
        <w:t xml:space="preserve">, en donde habrá que considerarse que la capacidad límite para la remisión de archivos es de </w:t>
      </w:r>
      <w:r>
        <w:rPr>
          <w:rFonts w:ascii="Century Gothic" w:hAnsi="Century Gothic"/>
          <w:sz w:val="14"/>
          <w:szCs w:val="14"/>
        </w:rPr>
        <w:t>25 MB</w:t>
      </w:r>
      <w:r w:rsidRPr="007A6974">
        <w:rPr>
          <w:rFonts w:ascii="Century Gothic" w:hAnsi="Century Gothic"/>
          <w:sz w:val="14"/>
          <w:szCs w:val="14"/>
        </w:rPr>
        <w:t>.</w:t>
      </w:r>
    </w:p>
    <w:p w14:paraId="25F4B79D" w14:textId="77777777" w:rsidR="001078AA" w:rsidRPr="007A6974" w:rsidRDefault="001078AA" w:rsidP="001078A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Pr>
          <w:rFonts w:ascii="Century Gothic" w:hAnsi="Century Gothic"/>
          <w:sz w:val="14"/>
          <w:szCs w:val="14"/>
        </w:rPr>
        <w:t xml:space="preserve">(nombre y apellidos) </w:t>
      </w:r>
      <w:r w:rsidRPr="007A6974">
        <w:rPr>
          <w:rFonts w:ascii="Century Gothic" w:hAnsi="Century Gothic"/>
          <w:sz w:val="14"/>
          <w:szCs w:val="14"/>
        </w:rPr>
        <w:t>del representante le</w:t>
      </w:r>
      <w:bookmarkStart w:id="0" w:name="_GoBack"/>
      <w:bookmarkEnd w:id="0"/>
      <w:r w:rsidRPr="007A6974">
        <w:rPr>
          <w:rFonts w:ascii="Century Gothic" w:hAnsi="Century Gothic"/>
          <w:sz w:val="14"/>
          <w:szCs w:val="14"/>
        </w:rPr>
        <w:t xml:space="preserve">gal. Para este último caso, deberá </w:t>
      </w:r>
      <w:r>
        <w:rPr>
          <w:rFonts w:ascii="Century Gothic" w:hAnsi="Century Gothic"/>
          <w:sz w:val="14"/>
          <w:szCs w:val="14"/>
        </w:rPr>
        <w:t>elegir</w:t>
      </w:r>
      <w:r w:rsidRPr="007A6974">
        <w:rPr>
          <w:rFonts w:ascii="Century Gothic" w:hAnsi="Century Gothic"/>
          <w:sz w:val="14"/>
          <w:szCs w:val="14"/>
        </w:rPr>
        <w:t xml:space="preserve"> </w:t>
      </w:r>
      <w:r>
        <w:rPr>
          <w:rFonts w:ascii="Century Gothic" w:hAnsi="Century Gothic"/>
          <w:sz w:val="14"/>
          <w:szCs w:val="14"/>
        </w:rPr>
        <w:t>entre</w:t>
      </w:r>
      <w:r w:rsidRPr="007A6974">
        <w:rPr>
          <w:rFonts w:ascii="Century Gothic" w:hAnsi="Century Gothic"/>
          <w:sz w:val="14"/>
          <w:szCs w:val="14"/>
        </w:rPr>
        <w:t xml:space="preserve"> </w:t>
      </w:r>
      <w:r>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Pr>
          <w:rFonts w:ascii="Century Gothic" w:hAnsi="Century Gothic"/>
          <w:sz w:val="14"/>
          <w:szCs w:val="14"/>
        </w:rPr>
        <w:t>l mismo</w:t>
      </w:r>
      <w:r w:rsidRPr="007A6974">
        <w:rPr>
          <w:rFonts w:ascii="Century Gothic" w:hAnsi="Century Gothic"/>
          <w:sz w:val="14"/>
          <w:szCs w:val="14"/>
        </w:rPr>
        <w:t>.</w:t>
      </w:r>
    </w:p>
    <w:p w14:paraId="3834CE9D" w14:textId="77777777" w:rsidR="001078AA" w:rsidRDefault="001078AA" w:rsidP="001078A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como sobre la publicidad que se dará a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por usted en el presente proceso consultivo.</w:t>
      </w:r>
    </w:p>
    <w:p w14:paraId="5CE728F0" w14:textId="77777777" w:rsidR="001078AA" w:rsidRPr="002448EE" w:rsidRDefault="001078AA" w:rsidP="001078AA">
      <w:pPr>
        <w:pStyle w:val="Prrafodelista"/>
        <w:numPr>
          <w:ilvl w:val="0"/>
          <w:numId w:val="1"/>
        </w:numPr>
        <w:spacing w:after="0"/>
        <w:ind w:left="426" w:right="49" w:hanging="426"/>
        <w:jc w:val="both"/>
        <w:rPr>
          <w:rFonts w:ascii="Century Gothic" w:hAnsi="Century Gothic"/>
          <w:sz w:val="14"/>
          <w:szCs w:val="14"/>
        </w:rPr>
      </w:pPr>
      <w:r w:rsidRPr="002448EE">
        <w:rPr>
          <w:rFonts w:ascii="Century Gothic" w:hAnsi="Century Gothic"/>
          <w:sz w:val="14"/>
          <w:szCs w:val="14"/>
        </w:rPr>
        <w:t>Vierta sus comentarios conforme a la estructura de la Sección II del presente formato:</w:t>
      </w:r>
      <w:r w:rsidRPr="002C621F">
        <w:t xml:space="preserve"> </w:t>
      </w:r>
      <w:r w:rsidRPr="002448EE">
        <w:rPr>
          <w:rFonts w:ascii="Century Gothic" w:hAnsi="Century Gothic"/>
          <w:sz w:val="14"/>
          <w:szCs w:val="14"/>
        </w:rPr>
        <w:t>Preguntas sobre el Modelo de costos para determinar las tarifas de los servicios de compartición de infraestructura prestados por el Agente Económico Preponderante en el sector de radiodifusión</w:t>
      </w:r>
    </w:p>
    <w:p w14:paraId="2B1A591A" w14:textId="77777777" w:rsidR="001078AA" w:rsidRPr="007A6974" w:rsidRDefault="001078AA" w:rsidP="001078A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2CD91316" w14:textId="77777777" w:rsidR="001078AA" w:rsidRPr="007A6974" w:rsidRDefault="001078AA" w:rsidP="001078AA">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Pr="007A6974">
        <w:rPr>
          <w:rFonts w:ascii="Century Gothic" w:hAnsi="Century Gothic"/>
          <w:sz w:val="14"/>
          <w:szCs w:val="14"/>
        </w:rPr>
        <w:t xml:space="preserve"> conveniente.</w:t>
      </w:r>
    </w:p>
    <w:p w14:paraId="1EBE0843" w14:textId="77777777" w:rsidR="001078AA" w:rsidRPr="007A6974" w:rsidRDefault="001078AA" w:rsidP="001078A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El período de consulta pública será del </w:t>
      </w:r>
      <w:r>
        <w:rPr>
          <w:rFonts w:ascii="Century Gothic" w:hAnsi="Century Gothic"/>
          <w:sz w:val="14"/>
          <w:szCs w:val="14"/>
        </w:rPr>
        <w:t>7 de septiembre</w:t>
      </w:r>
      <w:r w:rsidRPr="007A6974">
        <w:rPr>
          <w:rFonts w:ascii="Century Gothic" w:hAnsi="Century Gothic"/>
          <w:sz w:val="14"/>
          <w:szCs w:val="14"/>
        </w:rPr>
        <w:t xml:space="preserve"> al </w:t>
      </w:r>
      <w:r>
        <w:rPr>
          <w:rFonts w:ascii="Century Gothic" w:hAnsi="Century Gothic"/>
          <w:sz w:val="14"/>
          <w:szCs w:val="14"/>
        </w:rPr>
        <w:t>6</w:t>
      </w:r>
      <w:r w:rsidRPr="007A6974">
        <w:rPr>
          <w:rFonts w:ascii="Century Gothic" w:hAnsi="Century Gothic"/>
          <w:sz w:val="14"/>
          <w:szCs w:val="14"/>
        </w:rPr>
        <w:t xml:space="preserve"> de </w:t>
      </w:r>
      <w:r>
        <w:rPr>
          <w:rFonts w:ascii="Century Gothic" w:hAnsi="Century Gothic"/>
          <w:sz w:val="14"/>
          <w:szCs w:val="14"/>
        </w:rPr>
        <w:t>octubre</w:t>
      </w:r>
      <w:r w:rsidRPr="007A6974">
        <w:rPr>
          <w:rFonts w:ascii="Century Gothic" w:hAnsi="Century Gothic"/>
          <w:sz w:val="14"/>
          <w:szCs w:val="14"/>
        </w:rPr>
        <w:t xml:space="preserve"> de 20</w:t>
      </w:r>
      <w:r>
        <w:rPr>
          <w:rFonts w:ascii="Century Gothic" w:hAnsi="Century Gothic"/>
          <w:sz w:val="14"/>
          <w:szCs w:val="14"/>
        </w:rPr>
        <w:t>17 (30 días naturales)</w:t>
      </w:r>
      <w:r w:rsidRPr="007A6974">
        <w:rPr>
          <w:rFonts w:ascii="Century Gothic" w:hAnsi="Century Gothic"/>
          <w:sz w:val="14"/>
          <w:szCs w:val="14"/>
        </w:rPr>
        <w:t>. Una vez concluido</w:t>
      </w:r>
      <w:r w:rsidRPr="004970C4">
        <w:rPr>
          <w:rFonts w:ascii="Century Gothic" w:hAnsi="Century Gothic"/>
          <w:sz w:val="14"/>
          <w:szCs w:val="14"/>
        </w:rPr>
        <w:t>,</w:t>
      </w:r>
      <w:r w:rsidRPr="007A6974">
        <w:rPr>
          <w:rFonts w:ascii="Century Gothic" w:hAnsi="Century Gothic"/>
          <w:sz w:val="14"/>
          <w:szCs w:val="14"/>
        </w:rPr>
        <w:t xml:space="preserve"> se podrá</w:t>
      </w:r>
      <w:r>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 </w:t>
      </w:r>
      <w:hyperlink r:id="rId12" w:tooltip="Liga directa a la seccióndel  portal del IFT en la que se encuentran todas las consultas públicas" w:history="1">
        <w:r w:rsidRPr="007A6974">
          <w:rPr>
            <w:rStyle w:val="Hipervnculo"/>
            <w:rFonts w:ascii="Century Gothic" w:hAnsi="Century Gothic"/>
            <w:sz w:val="14"/>
            <w:szCs w:val="14"/>
          </w:rPr>
          <w:t>http://www.ift.org.mx/industria/consultas-publicas</w:t>
        </w:r>
      </w:hyperlink>
      <w:r w:rsidRPr="007A6974">
        <w:rPr>
          <w:rFonts w:ascii="Century Gothic" w:hAnsi="Century Gothic"/>
          <w:sz w:val="14"/>
          <w:szCs w:val="14"/>
        </w:rPr>
        <w:t xml:space="preserve"> </w:t>
      </w:r>
    </w:p>
    <w:p w14:paraId="7B4FC0F0" w14:textId="6CC04656" w:rsidR="001078AA" w:rsidRPr="00C900FF" w:rsidRDefault="001078AA" w:rsidP="001078A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w:t>
      </w:r>
      <w:r w:rsidR="00717740">
        <w:rPr>
          <w:rFonts w:ascii="Century Gothic" w:hAnsi="Century Gothic"/>
          <w:sz w:val="14"/>
          <w:szCs w:val="14"/>
        </w:rPr>
        <w:t xml:space="preserve">Federal de Telecomunicaciones (en adelante, el “Instituto”) </w:t>
      </w:r>
      <w:r w:rsidRPr="007A6974">
        <w:rPr>
          <w:rFonts w:ascii="Century Gothic" w:hAnsi="Century Gothic"/>
          <w:sz w:val="14"/>
          <w:szCs w:val="14"/>
        </w:rPr>
        <w:t xml:space="preserve">pone a </w:t>
      </w:r>
      <w:r>
        <w:rPr>
          <w:rFonts w:ascii="Century Gothic" w:hAnsi="Century Gothic"/>
          <w:sz w:val="14"/>
          <w:szCs w:val="14"/>
        </w:rPr>
        <w:t>su disposición el</w:t>
      </w:r>
      <w:r w:rsidRPr="007A6974">
        <w:rPr>
          <w:rFonts w:ascii="Century Gothic" w:hAnsi="Century Gothic"/>
          <w:sz w:val="14"/>
          <w:szCs w:val="14"/>
        </w:rPr>
        <w:t xml:space="preserve"> siguiente punto de contacto:</w:t>
      </w:r>
      <w:r>
        <w:rPr>
          <w:rFonts w:ascii="Century Gothic" w:hAnsi="Century Gothic"/>
          <w:sz w:val="14"/>
          <w:szCs w:val="14"/>
        </w:rPr>
        <w:t xml:space="preserve"> César Martínez Anell, Subdirector de Resolución de Desacuerdos 1,</w:t>
      </w:r>
      <w:r w:rsidRPr="000E41F3">
        <w:rPr>
          <w:rFonts w:ascii="Century Gothic" w:hAnsi="Century Gothic"/>
          <w:sz w:val="14"/>
          <w:szCs w:val="14"/>
        </w:rPr>
        <w:t xml:space="preserve"> </w:t>
      </w:r>
      <w:r w:rsidRPr="007A6974">
        <w:rPr>
          <w:rFonts w:ascii="Century Gothic" w:hAnsi="Century Gothic"/>
          <w:sz w:val="14"/>
          <w:szCs w:val="14"/>
        </w:rPr>
        <w:t xml:space="preserve">correo electrónico: </w:t>
      </w:r>
      <w:hyperlink r:id="rId13" w:history="1">
        <w:r w:rsidRPr="002448EE">
          <w:rPr>
            <w:rStyle w:val="Hipervnculo"/>
            <w:rFonts w:ascii="Century Gothic" w:hAnsi="Century Gothic"/>
            <w:sz w:val="14"/>
            <w:szCs w:val="14"/>
          </w:rPr>
          <w:t>cesar.martinez</w:t>
        </w:r>
        <w:r w:rsidRPr="00F84628">
          <w:rPr>
            <w:rStyle w:val="Hipervnculo"/>
            <w:rFonts w:ascii="Century Gothic" w:hAnsi="Century Gothic"/>
            <w:sz w:val="14"/>
            <w:szCs w:val="14"/>
          </w:rPr>
          <w:t>@ift.org.mx</w:t>
        </w:r>
      </w:hyperlink>
      <w:r w:rsidRPr="002448EE">
        <w:rPr>
          <w:rStyle w:val="Hipervnculo"/>
        </w:rPr>
        <w:t xml:space="preserve"> </w:t>
      </w:r>
      <w:r>
        <w:rPr>
          <w:rFonts w:ascii="Century Gothic" w:hAnsi="Century Gothic"/>
          <w:sz w:val="14"/>
          <w:szCs w:val="14"/>
        </w:rPr>
        <w:t xml:space="preserve">o bien, a través del </w:t>
      </w:r>
      <w:r w:rsidRPr="007A6974">
        <w:rPr>
          <w:rFonts w:ascii="Century Gothic" w:hAnsi="Century Gothic"/>
          <w:sz w:val="14"/>
          <w:szCs w:val="14"/>
        </w:rPr>
        <w:t xml:space="preserve">número telefónico (55) </w:t>
      </w:r>
      <w:r>
        <w:rPr>
          <w:rFonts w:ascii="Century Gothic" w:hAnsi="Century Gothic"/>
          <w:sz w:val="14"/>
          <w:szCs w:val="14"/>
        </w:rPr>
        <w:t>50154000, extensión4398</w:t>
      </w:r>
      <w:r w:rsidRPr="007A6974">
        <w:rPr>
          <w:rFonts w:ascii="Century Gothic" w:hAnsi="Century Gothic"/>
          <w:sz w:val="14"/>
          <w:szCs w:val="14"/>
        </w:rPr>
        <w:t>.</w:t>
      </w: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1078AA"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4E6B9448" w14:textId="77777777" w:rsidR="001078AA" w:rsidRPr="001078AA" w:rsidRDefault="001078AA" w:rsidP="001078AA">
            <w:pPr>
              <w:spacing w:after="0" w:line="240" w:lineRule="auto"/>
              <w:jc w:val="both"/>
              <w:rPr>
                <w:rFonts w:ascii="Century Gothic" w:eastAsia="Times New Roman" w:hAnsi="Century Gothic" w:cs="Times New Roman"/>
                <w:color w:val="000000"/>
                <w:sz w:val="14"/>
                <w:szCs w:val="16"/>
                <w:lang w:eastAsia="es-MX"/>
              </w:rPr>
            </w:pPr>
            <w:r w:rsidRPr="001078AA">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participantes el siguiente Aviso de Privacidad Integral:</w:t>
            </w:r>
          </w:p>
          <w:p w14:paraId="102460BB" w14:textId="77777777" w:rsidR="001078AA" w:rsidRPr="001078AA" w:rsidRDefault="001078AA" w:rsidP="001078AA">
            <w:pPr>
              <w:spacing w:after="0" w:line="240" w:lineRule="auto"/>
              <w:jc w:val="both"/>
              <w:rPr>
                <w:rFonts w:ascii="Century Gothic" w:eastAsia="Times New Roman" w:hAnsi="Century Gothic" w:cs="Times New Roman"/>
                <w:color w:val="000000"/>
                <w:sz w:val="14"/>
                <w:szCs w:val="16"/>
                <w:lang w:eastAsia="es-MX"/>
              </w:rPr>
            </w:pPr>
          </w:p>
          <w:p w14:paraId="5E9F9FDA" w14:textId="77777777" w:rsidR="001078AA" w:rsidRPr="001078AA" w:rsidRDefault="001078AA" w:rsidP="001078AA">
            <w:pPr>
              <w:pStyle w:val="Prrafodelista"/>
              <w:numPr>
                <w:ilvl w:val="0"/>
                <w:numId w:val="13"/>
              </w:numPr>
              <w:spacing w:after="0" w:line="240" w:lineRule="auto"/>
              <w:jc w:val="both"/>
              <w:rPr>
                <w:rFonts w:ascii="Century Gothic" w:eastAsia="Times New Roman" w:hAnsi="Century Gothic" w:cs="Times New Roman"/>
                <w:color w:val="000000"/>
                <w:sz w:val="14"/>
                <w:szCs w:val="16"/>
                <w:lang w:eastAsia="es-MX"/>
              </w:rPr>
            </w:pPr>
            <w:r w:rsidRPr="001078AA">
              <w:rPr>
                <w:rFonts w:ascii="Century Gothic" w:eastAsia="Times New Roman" w:hAnsi="Century Gothic" w:cs="Times New Roman"/>
                <w:b/>
                <w:color w:val="000000"/>
                <w:sz w:val="14"/>
                <w:szCs w:val="16"/>
                <w:lang w:eastAsia="es-MX"/>
              </w:rPr>
              <w:t>Denominación del responsable:</w:t>
            </w:r>
            <w:r w:rsidRPr="001078AA">
              <w:rPr>
                <w:rFonts w:ascii="Century Gothic" w:eastAsia="Times New Roman" w:hAnsi="Century Gothic" w:cs="Times New Roman"/>
                <w:color w:val="000000"/>
                <w:sz w:val="14"/>
                <w:szCs w:val="16"/>
                <w:lang w:eastAsia="es-MX"/>
              </w:rPr>
              <w:t xml:space="preserve"> Instituto Federal de Telecomunicaciones.</w:t>
            </w:r>
          </w:p>
          <w:p w14:paraId="2CC457B2" w14:textId="77777777" w:rsidR="001078AA" w:rsidRPr="001078AA" w:rsidRDefault="001078AA" w:rsidP="001078AA">
            <w:pPr>
              <w:pStyle w:val="Prrafodelista"/>
              <w:numPr>
                <w:ilvl w:val="0"/>
                <w:numId w:val="13"/>
              </w:numPr>
              <w:spacing w:after="0" w:line="240" w:lineRule="auto"/>
              <w:jc w:val="both"/>
              <w:rPr>
                <w:rFonts w:ascii="Century Gothic" w:eastAsia="Times New Roman" w:hAnsi="Century Gothic" w:cs="Times New Roman"/>
                <w:color w:val="000000"/>
                <w:sz w:val="14"/>
                <w:szCs w:val="16"/>
                <w:lang w:eastAsia="es-MX"/>
              </w:rPr>
            </w:pPr>
            <w:r w:rsidRPr="001078AA">
              <w:rPr>
                <w:rFonts w:ascii="Century Gothic" w:eastAsia="Times New Roman" w:hAnsi="Century Gothic" w:cs="Times New Roman"/>
                <w:b/>
                <w:color w:val="000000"/>
                <w:sz w:val="14"/>
                <w:szCs w:val="16"/>
                <w:lang w:eastAsia="es-MX"/>
              </w:rPr>
              <w:t>Domicilio del responsable:</w:t>
            </w:r>
            <w:r w:rsidRPr="001078A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036517EB" w14:textId="77777777" w:rsidR="001078AA" w:rsidRPr="001078AA" w:rsidRDefault="001078AA" w:rsidP="001078AA">
            <w:pPr>
              <w:pStyle w:val="Prrafodelista"/>
              <w:numPr>
                <w:ilvl w:val="0"/>
                <w:numId w:val="13"/>
              </w:numPr>
              <w:spacing w:after="0" w:line="240" w:lineRule="auto"/>
              <w:jc w:val="both"/>
              <w:rPr>
                <w:rFonts w:ascii="Century Gothic" w:eastAsia="Times New Roman" w:hAnsi="Century Gothic" w:cs="Times New Roman"/>
                <w:color w:val="000000"/>
                <w:sz w:val="14"/>
                <w:szCs w:val="16"/>
                <w:lang w:eastAsia="es-MX"/>
              </w:rPr>
            </w:pPr>
            <w:r w:rsidRPr="001078AA">
              <w:rPr>
                <w:rFonts w:ascii="Century Gothic" w:eastAsia="Times New Roman" w:hAnsi="Century Gothic" w:cs="Times New Roman"/>
                <w:b/>
                <w:color w:val="000000"/>
                <w:sz w:val="14"/>
                <w:szCs w:val="16"/>
                <w:lang w:eastAsia="es-MX"/>
              </w:rPr>
              <w:t>Datos personales que serán sometidos a tratamiento y su finalidad:</w:t>
            </w:r>
            <w:r w:rsidRPr="001078AA">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Federal de Telecomunicaciones a efecto de generar un espacio de intercambio de información, opiniones y puntos de vista sobre cualquier tema de interés que este órgano constitucional autónomo someta al escrutinio público.</w:t>
            </w:r>
          </w:p>
          <w:p w14:paraId="58533416" w14:textId="77777777" w:rsidR="001078AA" w:rsidRPr="001078AA" w:rsidRDefault="001078AA" w:rsidP="001078AA">
            <w:pPr>
              <w:pStyle w:val="Prrafodelista"/>
              <w:numPr>
                <w:ilvl w:val="0"/>
                <w:numId w:val="13"/>
              </w:numPr>
              <w:spacing w:after="0" w:line="240" w:lineRule="auto"/>
              <w:jc w:val="both"/>
              <w:rPr>
                <w:rFonts w:ascii="Century Gothic" w:eastAsia="Times New Roman" w:hAnsi="Century Gothic" w:cs="Times New Roman"/>
                <w:color w:val="000000"/>
                <w:sz w:val="14"/>
                <w:szCs w:val="16"/>
                <w:lang w:eastAsia="es-MX"/>
              </w:rPr>
            </w:pPr>
            <w:r w:rsidRPr="001078AA">
              <w:rPr>
                <w:rFonts w:ascii="Century Gothic" w:eastAsia="Times New Roman" w:hAnsi="Century Gothic" w:cs="Times New Roman"/>
                <w:b/>
                <w:color w:val="000000"/>
                <w:sz w:val="14"/>
                <w:szCs w:val="16"/>
                <w:lang w:eastAsia="es-MX"/>
              </w:rPr>
              <w:t xml:space="preserve">Información relativa a las transferencias de datos personales que requieran consentimiento: </w:t>
            </w:r>
            <w:r w:rsidRPr="001078AA">
              <w:rPr>
                <w:rFonts w:ascii="Century Gothic" w:eastAsia="Times New Roman" w:hAnsi="Century Gothic" w:cs="Times New Roman"/>
                <w:color w:val="000000"/>
                <w:sz w:val="14"/>
                <w:szCs w:val="16"/>
                <w:lang w:eastAsia="es-MX"/>
              </w:rPr>
              <w:t>Ninguno de los datos personales recabados con motivo de los procesos de consulta pública es objeto de transferencia en términos de lo dispuesto por el Artículo 3, fracción XXXII de la LGPDPPSO.</w:t>
            </w:r>
          </w:p>
          <w:p w14:paraId="046BF076" w14:textId="77777777" w:rsidR="001078AA" w:rsidRPr="001078AA" w:rsidRDefault="001078AA" w:rsidP="001078AA">
            <w:pPr>
              <w:pStyle w:val="Prrafodelista"/>
              <w:numPr>
                <w:ilvl w:val="0"/>
                <w:numId w:val="13"/>
              </w:numPr>
              <w:spacing w:after="0" w:line="240" w:lineRule="auto"/>
              <w:ind w:right="229"/>
              <w:jc w:val="both"/>
              <w:rPr>
                <w:rFonts w:ascii="Century Gothic" w:eastAsia="Times New Roman" w:hAnsi="Century Gothic" w:cs="Times New Roman"/>
                <w:b/>
                <w:color w:val="000000"/>
                <w:sz w:val="14"/>
                <w:szCs w:val="16"/>
                <w:lang w:eastAsia="es-MX"/>
              </w:rPr>
            </w:pPr>
            <w:r w:rsidRPr="001078AA">
              <w:rPr>
                <w:rFonts w:ascii="Century Gothic" w:eastAsia="Times New Roman" w:hAnsi="Century Gothic" w:cs="Times New Roman"/>
                <w:b/>
                <w:color w:val="000000"/>
                <w:sz w:val="14"/>
                <w:szCs w:val="16"/>
                <w:lang w:eastAsia="es-MX"/>
              </w:rPr>
              <w:lastRenderedPageBreak/>
              <w:t xml:space="preserve">Fundamento legal que faculta al responsable para llevar a cabo el tratamiento: </w:t>
            </w:r>
            <w:r w:rsidRPr="001078AA">
              <w:rPr>
                <w:rFonts w:ascii="Century Gothic" w:eastAsia="Times New Roman" w:hAnsi="Century Gothic" w:cs="Times New Roman"/>
                <w:color w:val="000000"/>
                <w:sz w:val="14"/>
                <w:szCs w:val="16"/>
                <w:lang w:eastAsia="es-MX"/>
              </w:rPr>
              <w:t>Artículo 51 de la Ley Federal de Telecomunicaciones y Radiodifusión.</w:t>
            </w:r>
          </w:p>
          <w:p w14:paraId="3BF4841B" w14:textId="77777777" w:rsidR="001078AA" w:rsidRPr="001078AA" w:rsidRDefault="001078AA" w:rsidP="001078AA">
            <w:pPr>
              <w:pStyle w:val="Prrafodelista"/>
              <w:numPr>
                <w:ilvl w:val="0"/>
                <w:numId w:val="13"/>
              </w:numPr>
              <w:spacing w:after="0" w:line="240" w:lineRule="auto"/>
              <w:ind w:right="229"/>
              <w:jc w:val="both"/>
              <w:rPr>
                <w:rFonts w:ascii="Century Gothic" w:eastAsia="Times New Roman" w:hAnsi="Century Gothic" w:cs="Times New Roman"/>
                <w:b/>
                <w:color w:val="000000"/>
                <w:sz w:val="14"/>
                <w:szCs w:val="16"/>
                <w:lang w:eastAsia="es-MX"/>
              </w:rPr>
            </w:pPr>
            <w:r w:rsidRPr="001078AA">
              <w:rPr>
                <w:rFonts w:ascii="Century Gothic" w:eastAsia="Times New Roman" w:hAnsi="Century Gothic" w:cs="Times New Roman"/>
                <w:b/>
                <w:color w:val="000000"/>
                <w:sz w:val="14"/>
                <w:szCs w:val="16"/>
                <w:lang w:eastAsia="es-MX"/>
              </w:rPr>
              <w:t xml:space="preserve">Mecanismos y medios disponibles para que el titular, en su caso, pueda manifestar su negativa para el tratamiento de sus datos personales para finalidades y transferencias de datos personales que requieren el consentimiento del titular: </w:t>
            </w:r>
            <w:r w:rsidRPr="001078AA">
              <w:rPr>
                <w:rFonts w:ascii="Century Gothic" w:eastAsia="Times New Roman" w:hAnsi="Century Gothic" w:cs="Times New Roman"/>
                <w:color w:val="000000"/>
                <w:sz w:val="14"/>
                <w:szCs w:val="16"/>
                <w:lang w:eastAsia="es-MX"/>
              </w:rPr>
              <w:t>Se ponen a disposición los siguientes puntos de contacto: César Martínez Anell, Subdirector de Resolución de Desacuerdos 1, correo electrónico: cesar.martinez@ift.org.mx o bien, a través del número telefónico (55) 50154000, extensión4398, con quien el titular de los datos personales podrá comunicarse a efecto de manifestar, de ser el caso, su negativa para el tratamiento de sus datos personales para finalidades que requieran su consentimiento.</w:t>
            </w:r>
          </w:p>
          <w:p w14:paraId="2E7CE437" w14:textId="77777777" w:rsidR="001078AA" w:rsidRPr="001078AA" w:rsidRDefault="001078AA" w:rsidP="001078AA">
            <w:pPr>
              <w:pStyle w:val="Prrafodelista"/>
              <w:numPr>
                <w:ilvl w:val="0"/>
                <w:numId w:val="13"/>
              </w:numPr>
              <w:spacing w:after="0" w:line="240" w:lineRule="auto"/>
              <w:ind w:right="229"/>
              <w:jc w:val="both"/>
              <w:rPr>
                <w:rFonts w:ascii="Century Gothic" w:eastAsia="Times New Roman" w:hAnsi="Century Gothic" w:cs="Times New Roman"/>
                <w:b/>
                <w:color w:val="000000"/>
                <w:sz w:val="14"/>
                <w:szCs w:val="16"/>
                <w:lang w:eastAsia="es-MX"/>
              </w:rPr>
            </w:pPr>
            <w:r w:rsidRPr="001078AA">
              <w:rPr>
                <w:rFonts w:ascii="Century Gothic" w:eastAsia="Times New Roman" w:hAnsi="Century Gothic" w:cs="Times New Roman"/>
                <w:b/>
                <w:color w:val="000000"/>
                <w:sz w:val="14"/>
                <w:szCs w:val="16"/>
                <w:lang w:eastAsia="es-MX"/>
              </w:rPr>
              <w:t xml:space="preserve">Los mecanismos, medios y procedimientos disponibles para ejercer los derechos ARCO: </w:t>
            </w:r>
            <w:r w:rsidRPr="001078AA">
              <w:rPr>
                <w:rFonts w:ascii="Century Gothic" w:eastAsia="Times New Roman" w:hAnsi="Century Gothic" w:cs="Times New Roman"/>
                <w:color w:val="000000"/>
                <w:sz w:val="14"/>
                <w:szCs w:val="16"/>
                <w:lang w:eastAsia="es-MX"/>
              </w:rPr>
              <w:t xml:space="preserve">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084BD4BF" w14:textId="77777777" w:rsidR="001078AA" w:rsidRPr="001078AA" w:rsidRDefault="001078AA" w:rsidP="001078AA">
            <w:pPr>
              <w:pStyle w:val="Prrafodelista"/>
              <w:numPr>
                <w:ilvl w:val="0"/>
                <w:numId w:val="13"/>
              </w:numPr>
              <w:spacing w:after="0" w:line="240" w:lineRule="auto"/>
              <w:ind w:right="229"/>
              <w:jc w:val="both"/>
              <w:rPr>
                <w:rFonts w:ascii="Century Gothic" w:eastAsia="Times New Roman" w:hAnsi="Century Gothic" w:cs="Times New Roman"/>
                <w:b/>
                <w:color w:val="000000"/>
                <w:sz w:val="14"/>
                <w:szCs w:val="16"/>
                <w:lang w:eastAsia="es-MX"/>
              </w:rPr>
            </w:pPr>
            <w:r w:rsidRPr="001078AA">
              <w:rPr>
                <w:rFonts w:ascii="Century Gothic" w:eastAsia="Times New Roman" w:hAnsi="Century Gothic" w:cs="Times New Roman"/>
                <w:b/>
                <w:color w:val="000000"/>
                <w:sz w:val="14"/>
                <w:szCs w:val="16"/>
                <w:lang w:eastAsia="es-MX"/>
              </w:rPr>
              <w:t xml:space="preserve">El domicilio de la Unidad de Transparencia del Instituto Federal de Telecomunicaciones: </w:t>
            </w:r>
            <w:r w:rsidRPr="001078AA">
              <w:rPr>
                <w:rFonts w:ascii="Century Gothic" w:eastAsia="Times New Roman" w:hAnsi="Century Gothic" w:cs="Times New Roman"/>
                <w:color w:val="000000"/>
                <w:sz w:val="14"/>
                <w:szCs w:val="16"/>
                <w:lang w:eastAsia="es-MX"/>
              </w:rPr>
              <w:t>Insurgentes Sur #1143, Col. Nochebuena, Delegación Benito Juárez, C.P. 03720, Ciudad de México, México.</w:t>
            </w:r>
          </w:p>
          <w:p w14:paraId="602D50CB" w14:textId="77777777" w:rsidR="001078AA" w:rsidRPr="001078AA" w:rsidRDefault="001078AA" w:rsidP="001078AA">
            <w:pPr>
              <w:pStyle w:val="Prrafodelista"/>
              <w:numPr>
                <w:ilvl w:val="0"/>
                <w:numId w:val="13"/>
              </w:numPr>
              <w:spacing w:after="0" w:line="240" w:lineRule="auto"/>
              <w:ind w:right="229"/>
              <w:jc w:val="both"/>
              <w:rPr>
                <w:rFonts w:ascii="Century Gothic" w:eastAsia="Times New Roman" w:hAnsi="Century Gothic" w:cs="Times New Roman"/>
                <w:color w:val="000000"/>
                <w:sz w:val="14"/>
                <w:szCs w:val="16"/>
                <w:lang w:eastAsia="es-MX"/>
              </w:rPr>
            </w:pPr>
            <w:r w:rsidRPr="001078AA">
              <w:rPr>
                <w:rFonts w:ascii="Century Gothic" w:eastAsia="Times New Roman" w:hAnsi="Century Gothic" w:cs="Times New Roman"/>
                <w:b/>
                <w:color w:val="000000"/>
                <w:sz w:val="14"/>
                <w:szCs w:val="16"/>
                <w:lang w:eastAsia="es-MX"/>
              </w:rPr>
              <w:t xml:space="preserve">Los medios a través de los cuales el responsable comunicará a los titulares los cambios al aviso de privacidad: </w:t>
            </w:r>
            <w:r w:rsidRPr="001078AA">
              <w:rPr>
                <w:rFonts w:ascii="Century Gothic" w:eastAsia="Times New Roman" w:hAnsi="Century Gothic" w:cs="Times New Roman"/>
                <w:color w:val="000000"/>
                <w:sz w:val="14"/>
                <w:szCs w:val="16"/>
                <w:lang w:eastAsia="es-MX"/>
              </w:rPr>
              <w:t>Todo cambio al Aviso de Privacidad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647"/>
      </w:tblGrid>
      <w:tr w:rsidR="000E55B0" w:rsidRPr="004970C4" w14:paraId="0A347E50" w14:textId="77777777" w:rsidTr="0062012F">
        <w:trPr>
          <w:trHeight w:val="581"/>
        </w:trPr>
        <w:tc>
          <w:tcPr>
            <w:tcW w:w="8647" w:type="dxa"/>
            <w:shd w:val="clear" w:color="auto" w:fill="D9D9D9" w:themeFill="background1" w:themeFillShade="D9"/>
            <w:vAlign w:val="center"/>
            <w:hideMark/>
          </w:tcPr>
          <w:p w14:paraId="3AAFED6F" w14:textId="4257AC88" w:rsidR="000E55B0" w:rsidRPr="00C41536" w:rsidRDefault="001078AA" w:rsidP="0062012F">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1418C4">
              <w:rPr>
                <w:rFonts w:ascii="Century Gothic" w:eastAsia="Times New Roman" w:hAnsi="Century Gothic" w:cs="Times New Roman"/>
                <w:b/>
                <w:bCs/>
                <w:color w:val="000000" w:themeColor="text1"/>
                <w:lang w:eastAsia="es-MX"/>
              </w:rPr>
              <w:lastRenderedPageBreak/>
              <w:t>Preguntas sobre el Modelo de costos para determinar las tarifas de los servicios de compartición de infraestructura prestados por el Agente Económico Preponderante en el sector de radiodifusión</w:t>
            </w:r>
          </w:p>
        </w:tc>
      </w:tr>
      <w:tr w:rsidR="001078AA" w:rsidRPr="004970C4" w14:paraId="196F6794" w14:textId="77777777" w:rsidTr="0062012F">
        <w:trPr>
          <w:trHeight w:val="678"/>
        </w:trPr>
        <w:tc>
          <w:tcPr>
            <w:tcW w:w="8647" w:type="dxa"/>
            <w:shd w:val="clear" w:color="auto" w:fill="C5E0B3" w:themeFill="accent6" w:themeFillTint="66"/>
            <w:vAlign w:val="center"/>
            <w:hideMark/>
          </w:tcPr>
          <w:p w14:paraId="65AF8432" w14:textId="1E9FB5D3" w:rsidR="001078AA" w:rsidRPr="001078AA" w:rsidRDefault="00424956" w:rsidP="0062012F">
            <w:pPr>
              <w:spacing w:after="0" w:line="240" w:lineRule="auto"/>
              <w:jc w:val="center"/>
              <w:rPr>
                <w:rFonts w:ascii="Century Gothic" w:eastAsia="Times New Roman" w:hAnsi="Century Gothic" w:cs="Times New Roman"/>
                <w:b/>
                <w:color w:val="000000"/>
                <w:sz w:val="20"/>
                <w:lang w:eastAsia="es-MX"/>
              </w:rPr>
            </w:pPr>
            <w:r>
              <w:rPr>
                <w:rFonts w:ascii="Century Gothic" w:eastAsia="Times New Roman" w:hAnsi="Century Gothic" w:cs="Times New Roman"/>
                <w:b/>
                <w:color w:val="000000"/>
                <w:sz w:val="20"/>
                <w:lang w:eastAsia="es-MX"/>
              </w:rPr>
              <w:t>II</w:t>
            </w:r>
            <w:r w:rsidR="001078AA" w:rsidRPr="001078AA">
              <w:rPr>
                <w:rFonts w:ascii="Century Gothic" w:eastAsia="Times New Roman" w:hAnsi="Century Gothic" w:cs="Times New Roman"/>
                <w:b/>
                <w:color w:val="000000"/>
                <w:sz w:val="20"/>
                <w:lang w:eastAsia="es-MX"/>
              </w:rPr>
              <w:t>.1</w:t>
            </w:r>
            <w:r>
              <w:rPr>
                <w:rFonts w:ascii="Century Gothic" w:eastAsia="Times New Roman" w:hAnsi="Century Gothic" w:cs="Times New Roman"/>
                <w:b/>
                <w:color w:val="000000"/>
                <w:sz w:val="20"/>
                <w:lang w:eastAsia="es-MX"/>
              </w:rPr>
              <w:t>.</w:t>
            </w:r>
            <w:r w:rsidR="001078AA" w:rsidRPr="001078AA">
              <w:rPr>
                <w:rFonts w:ascii="Century Gothic" w:eastAsia="Times New Roman" w:hAnsi="Century Gothic" w:cs="Times New Roman"/>
                <w:b/>
                <w:color w:val="000000"/>
                <w:sz w:val="20"/>
                <w:lang w:eastAsia="es-MX"/>
              </w:rPr>
              <w:t xml:space="preserve"> Objeto de la Consulta Pública</w:t>
            </w:r>
          </w:p>
        </w:tc>
      </w:tr>
      <w:tr w:rsidR="001078AA" w:rsidRPr="004970C4" w14:paraId="3740CA3D" w14:textId="77777777" w:rsidTr="0062012F">
        <w:trPr>
          <w:trHeight w:val="290"/>
        </w:trPr>
        <w:tc>
          <w:tcPr>
            <w:tcW w:w="8647" w:type="dxa"/>
            <w:shd w:val="clear" w:color="auto" w:fill="auto"/>
            <w:vAlign w:val="center"/>
          </w:tcPr>
          <w:p w14:paraId="74F22850" w14:textId="77777777"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t xml:space="preserve">El presente documento ha sido concebido a modo de guía para el proceso de Consulta Pública sobre el modelo de costos para determinar las tarifas de los servicios de compartición de infraestructura prestados por el Agente Económico Preponderante en el sector de radiodifusión (en lo sucesivo, el “Modelo”) y contiene una serie de preguntas específicas sobre los principales conceptos utilizados en el modelo de costos propuesto y sobre los respectivos documentos de apoyo. </w:t>
            </w:r>
          </w:p>
          <w:p w14:paraId="09018B0A" w14:textId="77777777"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t>Dichas preguntas hacen referencia a los documentos de apoyo que están disponibles en la Consulta Pública:</w:t>
            </w:r>
          </w:p>
          <w:p w14:paraId="1B3FA96B" w14:textId="77777777" w:rsidR="001078AA" w:rsidRPr="002448EE" w:rsidRDefault="001078AA" w:rsidP="0062012F">
            <w:pPr>
              <w:pStyle w:val="Indentation1"/>
              <w:spacing w:before="120"/>
              <w:ind w:right="191"/>
              <w:rPr>
                <w:rFonts w:ascii="ITC Avant Garde" w:hAnsi="ITC Avant Garde"/>
                <w:szCs w:val="20"/>
              </w:rPr>
            </w:pPr>
            <w:r w:rsidRPr="002448EE">
              <w:rPr>
                <w:rFonts w:ascii="ITC Avant Garde" w:hAnsi="ITC Avant Garde"/>
                <w:szCs w:val="20"/>
                <w:lang w:val="es-ES"/>
              </w:rPr>
              <w:t>Documento metodológico del modelo</w:t>
            </w:r>
          </w:p>
          <w:p w14:paraId="74533CD8" w14:textId="77777777" w:rsidR="001078AA" w:rsidRPr="002448EE" w:rsidRDefault="001078AA" w:rsidP="0062012F">
            <w:pPr>
              <w:pStyle w:val="Indentation1"/>
              <w:spacing w:before="120"/>
              <w:ind w:right="191"/>
              <w:rPr>
                <w:rFonts w:ascii="ITC Avant Garde" w:hAnsi="ITC Avant Garde"/>
                <w:szCs w:val="20"/>
              </w:rPr>
            </w:pPr>
            <w:r w:rsidRPr="002448EE">
              <w:rPr>
                <w:rFonts w:ascii="ITC Avant Garde" w:hAnsi="ITC Avant Garde"/>
                <w:szCs w:val="20"/>
                <w:lang w:val="es-ES"/>
              </w:rPr>
              <w:t>Manual de usuario del modelo</w:t>
            </w:r>
          </w:p>
          <w:p w14:paraId="3852158B" w14:textId="77777777" w:rsidR="001078AA" w:rsidRPr="002448EE" w:rsidRDefault="001078AA" w:rsidP="0062012F">
            <w:pPr>
              <w:pStyle w:val="Indentation1"/>
              <w:spacing w:before="120"/>
              <w:ind w:right="191"/>
              <w:rPr>
                <w:rFonts w:ascii="ITC Avant Garde" w:hAnsi="ITC Avant Garde"/>
                <w:szCs w:val="20"/>
              </w:rPr>
            </w:pPr>
            <w:r w:rsidRPr="002448EE">
              <w:rPr>
                <w:rFonts w:ascii="ITC Avant Garde" w:hAnsi="ITC Avant Garde"/>
                <w:szCs w:val="20"/>
                <w:lang w:val="es-ES"/>
              </w:rPr>
              <w:t>Modelo de costos</w:t>
            </w:r>
          </w:p>
          <w:p w14:paraId="40113EB4" w14:textId="77777777"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t xml:space="preserve">No obstante, se podrán realizar comentarios acerca de cualquier otro aspecto relacionado con el modelo y la documentación asociada que forma parte de la Consulta Pública. </w:t>
            </w:r>
          </w:p>
          <w:p w14:paraId="709F449F" w14:textId="27574D8D"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t>Se invita a los participantes a aportar información y comentarios sobre la estructura y el diseño del modelo. Las aportaciones permitirán al Instituto fortalecer este modelo y sus resultados.</w:t>
            </w:r>
          </w:p>
          <w:p w14:paraId="291881AC" w14:textId="77777777"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lastRenderedPageBreak/>
              <w:t>Para que el Instituto tenga en cuenta los comentarios y la nueva información facilitada por los participantes, estos deberán estar suficientemente justificados con información de soporte verificable y los argumentos deberán estar adecuadamente fundados.</w:t>
            </w:r>
          </w:p>
          <w:p w14:paraId="2C336B58" w14:textId="77777777"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t>El modelo de costos está disponible en formato Microsoft Excel con el objetivo de dotar de transparencia al proceso y facilitar la compresión por parte de los participantes sobre los parámetros específicos utilizados en su construcción.</w:t>
            </w:r>
          </w:p>
          <w:p w14:paraId="4BA9C9DD" w14:textId="77777777"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t>Con el objetivo de preservar la confidencialidad de la información aportada por los operadores durante la fase de construcción del modelo se han modificado los datos de entrada aplicando un factor aleatorio entre -30% y +30%, si bien se ha mantenido la estructura, los cálculos y las variables del modelo. En este tenor en el archivo Excel correspondiente al modelo los cambios efectuados están señalados con un color especial para el fondo de celda, tal y como se muestra en el ejemplo siguiente:</w:t>
            </w:r>
          </w:p>
          <w:p w14:paraId="4BB1F448" w14:textId="73679458" w:rsidR="001078AA" w:rsidRPr="002448EE" w:rsidRDefault="001078AA" w:rsidP="0062012F">
            <w:pPr>
              <w:spacing w:before="120"/>
              <w:ind w:right="191"/>
              <w:jc w:val="center"/>
              <w:rPr>
                <w:rFonts w:ascii="ITC Avant Garde" w:hAnsi="ITC Avant Garde"/>
                <w:sz w:val="20"/>
                <w:szCs w:val="20"/>
              </w:rPr>
            </w:pPr>
            <w:r w:rsidRPr="002448EE">
              <w:rPr>
                <w:rFonts w:ascii="ITC Avant Garde" w:hAnsi="ITC Avant Garde"/>
                <w:noProof/>
                <w:sz w:val="20"/>
                <w:szCs w:val="20"/>
                <w:lang w:eastAsia="es-MX"/>
              </w:rPr>
              <w:drawing>
                <wp:inline distT="0" distB="0" distL="0" distR="0" wp14:anchorId="7A9B354C" wp14:editId="2F589048">
                  <wp:extent cx="1943100" cy="334736"/>
                  <wp:effectExtent l="0" t="0" r="0" b="8255"/>
                  <wp:docPr id="1" name="Picture 2" descr="C:\Users\Alvaro.AXONPG\AppData\Local\Microsoft\Windows\INetCache\Content.Word\83C53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varo.AXONPG\AppData\Local\Microsoft\Windows\INetCache\Content.Word\83C5395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0775" cy="337781"/>
                          </a:xfrm>
                          <a:prstGeom prst="rect">
                            <a:avLst/>
                          </a:prstGeom>
                          <a:noFill/>
                          <a:ln>
                            <a:noFill/>
                          </a:ln>
                        </pic:spPr>
                      </pic:pic>
                    </a:graphicData>
                  </a:graphic>
                </wp:inline>
              </w:drawing>
            </w:r>
          </w:p>
          <w:p w14:paraId="04F55590" w14:textId="77777777"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t xml:space="preserve">Asimismo, se informa que los resultados podrían modificarse derivado de circunstancias particulares de cada caso y eventualmente si el Instituto considera procedente realizar algún ajuste a partir de comentarios vertidos a través de la consulta pública. </w:t>
            </w:r>
          </w:p>
          <w:p w14:paraId="52E01BE6" w14:textId="77777777" w:rsidR="001078AA" w:rsidRPr="002448EE" w:rsidRDefault="001078AA" w:rsidP="0062012F">
            <w:pPr>
              <w:spacing w:before="120" w:after="0" w:line="300" w:lineRule="auto"/>
              <w:ind w:right="191"/>
              <w:jc w:val="both"/>
              <w:rPr>
                <w:rFonts w:ascii="ITC Avant Garde" w:hAnsi="ITC Avant Garde"/>
                <w:sz w:val="20"/>
                <w:szCs w:val="20"/>
              </w:rPr>
            </w:pPr>
            <w:r w:rsidRPr="002448EE">
              <w:rPr>
                <w:rFonts w:ascii="ITC Avant Garde" w:hAnsi="ITC Avant Garde"/>
                <w:sz w:val="20"/>
                <w:szCs w:val="20"/>
              </w:rPr>
              <w:t>Cabe señalar que una vez concluida la Consulta Pública, la información y los comentarios aportados serán analizados y evaluados por el Instituto.</w:t>
            </w:r>
          </w:p>
          <w:p w14:paraId="384B2E6C" w14:textId="77777777" w:rsidR="001078AA" w:rsidRPr="00C41536" w:rsidRDefault="001078AA" w:rsidP="0062012F">
            <w:pPr>
              <w:spacing w:after="0" w:line="240" w:lineRule="auto"/>
              <w:rPr>
                <w:rFonts w:ascii="Century Gothic" w:eastAsia="Times New Roman" w:hAnsi="Century Gothic" w:cs="Times New Roman"/>
                <w:color w:val="000000"/>
                <w:lang w:eastAsia="es-MX"/>
              </w:rPr>
            </w:pPr>
          </w:p>
        </w:tc>
      </w:tr>
      <w:tr w:rsidR="001078AA" w:rsidRPr="004970C4" w14:paraId="4BCB7D2F" w14:textId="77777777" w:rsidTr="0062012F">
        <w:trPr>
          <w:trHeight w:val="290"/>
        </w:trPr>
        <w:tc>
          <w:tcPr>
            <w:tcW w:w="8647" w:type="dxa"/>
            <w:shd w:val="clear" w:color="auto" w:fill="C5E0B3" w:themeFill="accent6" w:themeFillTint="66"/>
            <w:vAlign w:val="center"/>
          </w:tcPr>
          <w:p w14:paraId="560207E6" w14:textId="77777777" w:rsidR="009C2598" w:rsidRDefault="009C2598" w:rsidP="0062012F">
            <w:pPr>
              <w:spacing w:after="0" w:line="240" w:lineRule="auto"/>
              <w:jc w:val="center"/>
              <w:rPr>
                <w:rFonts w:ascii="Century Gothic" w:eastAsia="Times New Roman" w:hAnsi="Century Gothic" w:cs="Times New Roman"/>
                <w:b/>
                <w:color w:val="000000"/>
                <w:sz w:val="20"/>
                <w:lang w:eastAsia="es-MX"/>
              </w:rPr>
            </w:pPr>
          </w:p>
          <w:p w14:paraId="3DCC3978" w14:textId="2EE49DE3" w:rsidR="001078AA" w:rsidRDefault="00424956" w:rsidP="0062012F">
            <w:pPr>
              <w:spacing w:after="0" w:line="240" w:lineRule="auto"/>
              <w:jc w:val="center"/>
              <w:rPr>
                <w:rFonts w:ascii="Century Gothic" w:eastAsia="Times New Roman" w:hAnsi="Century Gothic" w:cs="Times New Roman"/>
                <w:b/>
                <w:color w:val="000000"/>
                <w:sz w:val="20"/>
                <w:lang w:eastAsia="es-MX"/>
              </w:rPr>
            </w:pPr>
            <w:r>
              <w:rPr>
                <w:rFonts w:ascii="Century Gothic" w:eastAsia="Times New Roman" w:hAnsi="Century Gothic" w:cs="Times New Roman"/>
                <w:b/>
                <w:color w:val="000000"/>
                <w:sz w:val="20"/>
                <w:lang w:eastAsia="es-MX"/>
              </w:rPr>
              <w:t>II</w:t>
            </w:r>
            <w:r w:rsidR="001078AA">
              <w:rPr>
                <w:rFonts w:ascii="Century Gothic" w:eastAsia="Times New Roman" w:hAnsi="Century Gothic" w:cs="Times New Roman"/>
                <w:b/>
                <w:color w:val="000000"/>
                <w:sz w:val="20"/>
                <w:lang w:eastAsia="es-MX"/>
              </w:rPr>
              <w:t>.2</w:t>
            </w:r>
            <w:r w:rsidR="001078AA" w:rsidRPr="001078AA">
              <w:rPr>
                <w:rFonts w:ascii="Century Gothic" w:eastAsia="Times New Roman" w:hAnsi="Century Gothic" w:cs="Times New Roman"/>
                <w:b/>
                <w:color w:val="000000"/>
                <w:sz w:val="20"/>
                <w:lang w:eastAsia="es-MX"/>
              </w:rPr>
              <w:t>. Principios metodológicos generales del modelo</w:t>
            </w:r>
          </w:p>
          <w:p w14:paraId="21E43B81" w14:textId="244D4D66" w:rsidR="009C2598" w:rsidRPr="00C41536" w:rsidRDefault="009C2598" w:rsidP="0062012F">
            <w:pPr>
              <w:spacing w:after="0" w:line="240" w:lineRule="auto"/>
              <w:jc w:val="center"/>
              <w:rPr>
                <w:rFonts w:ascii="Century Gothic" w:eastAsia="Times New Roman" w:hAnsi="Century Gothic" w:cs="Times New Roman"/>
                <w:color w:val="000000"/>
                <w:lang w:eastAsia="es-MX"/>
              </w:rPr>
            </w:pPr>
          </w:p>
        </w:tc>
      </w:tr>
      <w:tr w:rsidR="001078AA" w:rsidRPr="004970C4" w14:paraId="3857F81E" w14:textId="77777777" w:rsidTr="0062012F">
        <w:trPr>
          <w:trHeight w:val="290"/>
        </w:trPr>
        <w:tc>
          <w:tcPr>
            <w:tcW w:w="8647" w:type="dxa"/>
            <w:shd w:val="clear" w:color="auto" w:fill="auto"/>
            <w:vAlign w:val="center"/>
          </w:tcPr>
          <w:p w14:paraId="1ED970C8" w14:textId="77777777" w:rsidR="009C2598" w:rsidRDefault="009C2598" w:rsidP="0062012F">
            <w:pPr>
              <w:spacing w:after="0" w:line="300" w:lineRule="auto"/>
              <w:ind w:right="191"/>
              <w:jc w:val="both"/>
              <w:rPr>
                <w:rFonts w:ascii="ITC Avant Garde" w:hAnsi="ITC Avant Garde"/>
                <w:sz w:val="20"/>
                <w:szCs w:val="20"/>
              </w:rPr>
            </w:pPr>
          </w:p>
          <w:p w14:paraId="7792C1DD" w14:textId="77777777" w:rsidR="001078AA" w:rsidRPr="002448EE" w:rsidRDefault="001078AA" w:rsidP="0062012F">
            <w:pPr>
              <w:spacing w:after="0" w:line="300" w:lineRule="auto"/>
              <w:ind w:right="191"/>
              <w:jc w:val="both"/>
              <w:rPr>
                <w:rFonts w:ascii="ITC Avant Garde" w:hAnsi="ITC Avant Garde"/>
                <w:sz w:val="20"/>
                <w:szCs w:val="20"/>
              </w:rPr>
            </w:pPr>
            <w:r w:rsidRPr="002448EE">
              <w:rPr>
                <w:rFonts w:ascii="ITC Avant Garde" w:hAnsi="ITC Avant Garde"/>
                <w:sz w:val="20"/>
                <w:szCs w:val="20"/>
              </w:rPr>
              <w:t>Los principios generales, hipótesis y premisas bajo las cuales se elaboró el modelo se resumen en la siguiente tabla:</w:t>
            </w:r>
          </w:p>
          <w:tbl>
            <w:tblPr>
              <w:tblW w:w="8703" w:type="dxa"/>
              <w:jc w:val="center"/>
              <w:tblLayout w:type="fixed"/>
              <w:tblCellMar>
                <w:top w:w="72" w:type="dxa"/>
                <w:left w:w="70" w:type="dxa"/>
                <w:bottom w:w="72" w:type="dxa"/>
                <w:right w:w="70" w:type="dxa"/>
              </w:tblCellMar>
              <w:tblLook w:val="04A0" w:firstRow="1" w:lastRow="0" w:firstColumn="1" w:lastColumn="0" w:noHBand="0" w:noVBand="1"/>
            </w:tblPr>
            <w:tblGrid>
              <w:gridCol w:w="3569"/>
              <w:gridCol w:w="5134"/>
            </w:tblGrid>
            <w:tr w:rsidR="001078AA" w:rsidRPr="00800CE9" w14:paraId="037753A4" w14:textId="77777777" w:rsidTr="009C2598">
              <w:trPr>
                <w:cantSplit/>
                <w:trHeight w:val="19"/>
                <w:jc w:val="center"/>
              </w:trPr>
              <w:tc>
                <w:tcPr>
                  <w:tcW w:w="3569" w:type="dxa"/>
                  <w:tcBorders>
                    <w:top w:val="nil"/>
                    <w:left w:val="single" w:sz="4" w:space="0" w:color="FFFFFF"/>
                    <w:bottom w:val="nil"/>
                    <w:right w:val="single" w:sz="4" w:space="0" w:color="FFFFFF"/>
                  </w:tcBorders>
                  <w:shd w:val="clear" w:color="auto" w:fill="000000" w:themeFill="text1"/>
                  <w:vAlign w:val="center"/>
                  <w:hideMark/>
                </w:tcPr>
                <w:p w14:paraId="5424357E" w14:textId="77777777" w:rsidR="001078AA" w:rsidRPr="002448EE" w:rsidRDefault="001078AA" w:rsidP="00C51B7D">
                  <w:pPr>
                    <w:keepNext/>
                    <w:keepLines/>
                    <w:framePr w:hSpace="141" w:wrap="around" w:vAnchor="text" w:hAnchor="text" w:x="77" w:y="108"/>
                    <w:spacing w:after="0" w:line="240" w:lineRule="auto"/>
                    <w:ind w:right="191"/>
                    <w:jc w:val="center"/>
                    <w:rPr>
                      <w:rFonts w:ascii="ITC Avant Garde" w:hAnsi="ITC Avant Garde"/>
                      <w:b/>
                      <w:bCs/>
                      <w:sz w:val="20"/>
                      <w:szCs w:val="20"/>
                    </w:rPr>
                  </w:pPr>
                  <w:r w:rsidRPr="002448EE">
                    <w:rPr>
                      <w:rFonts w:ascii="ITC Avant Garde" w:hAnsi="ITC Avant Garde"/>
                      <w:b/>
                      <w:bCs/>
                      <w:sz w:val="20"/>
                      <w:szCs w:val="20"/>
                      <w:lang w:val="es-CR"/>
                    </w:rPr>
                    <w:t>Aspecto metodológico</w:t>
                  </w:r>
                </w:p>
              </w:tc>
              <w:tc>
                <w:tcPr>
                  <w:tcW w:w="5134" w:type="dxa"/>
                  <w:tcBorders>
                    <w:top w:val="nil"/>
                    <w:left w:val="nil"/>
                    <w:bottom w:val="single" w:sz="4" w:space="0" w:color="244062"/>
                    <w:right w:val="single" w:sz="4" w:space="0" w:color="FFFFFF"/>
                  </w:tcBorders>
                  <w:shd w:val="clear" w:color="auto" w:fill="000000" w:themeFill="text1"/>
                  <w:vAlign w:val="center"/>
                  <w:hideMark/>
                </w:tcPr>
                <w:p w14:paraId="0C250682" w14:textId="77777777" w:rsidR="001078AA" w:rsidRPr="002448EE" w:rsidRDefault="001078AA" w:rsidP="00C51B7D">
                  <w:pPr>
                    <w:keepNext/>
                    <w:keepLines/>
                    <w:framePr w:hSpace="141" w:wrap="around" w:vAnchor="text" w:hAnchor="text" w:x="77" w:y="108"/>
                    <w:spacing w:after="0" w:line="240" w:lineRule="auto"/>
                    <w:ind w:right="191"/>
                    <w:jc w:val="center"/>
                    <w:rPr>
                      <w:rFonts w:ascii="ITC Avant Garde" w:hAnsi="ITC Avant Garde"/>
                      <w:b/>
                      <w:bCs/>
                      <w:sz w:val="20"/>
                      <w:szCs w:val="20"/>
                    </w:rPr>
                  </w:pPr>
                  <w:r w:rsidRPr="002448EE">
                    <w:rPr>
                      <w:rFonts w:ascii="ITC Avant Garde" w:hAnsi="ITC Avant Garde"/>
                      <w:b/>
                      <w:bCs/>
                      <w:sz w:val="20"/>
                      <w:szCs w:val="20"/>
                      <w:lang w:val="es-CR"/>
                    </w:rPr>
                    <w:t>Enfoque adoptado</w:t>
                  </w:r>
                </w:p>
              </w:tc>
            </w:tr>
            <w:tr w:rsidR="001078AA" w:rsidRPr="00800CE9" w14:paraId="38F3581E" w14:textId="77777777" w:rsidTr="009C2598">
              <w:trPr>
                <w:cantSplit/>
                <w:trHeight w:val="19"/>
                <w:jc w:val="center"/>
              </w:trPr>
              <w:tc>
                <w:tcPr>
                  <w:tcW w:w="3569" w:type="dxa"/>
                  <w:tcBorders>
                    <w:top w:val="single" w:sz="4" w:space="0" w:color="244062"/>
                    <w:left w:val="nil"/>
                    <w:bottom w:val="single" w:sz="4" w:space="0" w:color="244062"/>
                    <w:right w:val="nil"/>
                  </w:tcBorders>
                  <w:shd w:val="clear" w:color="auto" w:fill="FFFFFF" w:themeFill="background1"/>
                  <w:vAlign w:val="center"/>
                  <w:hideMark/>
                </w:tcPr>
                <w:p w14:paraId="13D066B7"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Categorías de costo a considerar</w:t>
                  </w:r>
                </w:p>
              </w:tc>
              <w:tc>
                <w:tcPr>
                  <w:tcW w:w="5134" w:type="dxa"/>
                  <w:tcBorders>
                    <w:top w:val="single" w:sz="4" w:space="0" w:color="244062"/>
                    <w:left w:val="nil"/>
                    <w:bottom w:val="single" w:sz="4" w:space="0" w:color="auto"/>
                    <w:right w:val="nil"/>
                  </w:tcBorders>
                  <w:shd w:val="clear" w:color="auto" w:fill="auto"/>
                  <w:vAlign w:val="center"/>
                </w:tcPr>
                <w:p w14:paraId="3D012D6F" w14:textId="77777777" w:rsidR="001078AA" w:rsidRPr="002448EE" w:rsidRDefault="001078AA" w:rsidP="00C51B7D">
                  <w:pPr>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CAPEX de la infraestructura (siguiendo una revalorización a costos corrientes).</w:t>
                  </w:r>
                </w:p>
                <w:p w14:paraId="7138C294" w14:textId="77777777" w:rsidR="001078AA" w:rsidRPr="002448EE" w:rsidRDefault="001078AA" w:rsidP="00C51B7D">
                  <w:pPr>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OPEX de la infraestructura.</w:t>
                  </w:r>
                </w:p>
                <w:p w14:paraId="298D9E01"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lang w:val="es-CR"/>
                    </w:rPr>
                  </w:pPr>
                  <w:r w:rsidRPr="002448EE">
                    <w:rPr>
                      <w:rFonts w:ascii="ITC Avant Garde" w:hAnsi="ITC Avant Garde"/>
                      <w:sz w:val="20"/>
                      <w:szCs w:val="20"/>
                    </w:rPr>
                    <w:t>Costos Generales y de Administración (G&amp;A).</w:t>
                  </w:r>
                </w:p>
              </w:tc>
            </w:tr>
            <w:tr w:rsidR="001078AA" w:rsidRPr="00800CE9" w14:paraId="5B97F47F"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hideMark/>
                </w:tcPr>
                <w:p w14:paraId="6A8842E0"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Costo de Capital</w:t>
                  </w:r>
                </w:p>
              </w:tc>
              <w:tc>
                <w:tcPr>
                  <w:tcW w:w="5134" w:type="dxa"/>
                  <w:tcBorders>
                    <w:top w:val="single" w:sz="4" w:space="0" w:color="auto"/>
                    <w:left w:val="nil"/>
                    <w:bottom w:val="single" w:sz="4" w:space="0" w:color="244062"/>
                    <w:right w:val="nil"/>
                  </w:tcBorders>
                  <w:shd w:val="clear" w:color="auto" w:fill="auto"/>
                  <w:vAlign w:val="center"/>
                  <w:hideMark/>
                </w:tcPr>
                <w:p w14:paraId="087A6C43"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Costo de capital promedio ponderado (CCPP o WACC, por sus siglas en inglés) real antes de impuestos.</w:t>
                  </w:r>
                </w:p>
              </w:tc>
            </w:tr>
            <w:tr w:rsidR="001078AA" w:rsidRPr="00800CE9" w14:paraId="24692670"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hideMark/>
                </w:tcPr>
                <w:p w14:paraId="6F8B81C7" w14:textId="7DC3ECDE"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bCs/>
                      <w:sz w:val="20"/>
                      <w:szCs w:val="20"/>
                    </w:rPr>
                    <w:t xml:space="preserve">Método de </w:t>
                  </w:r>
                  <w:r w:rsidR="00BA74C5">
                    <w:rPr>
                      <w:rFonts w:ascii="ITC Avant Garde" w:hAnsi="ITC Avant Garde"/>
                      <w:bCs/>
                      <w:sz w:val="20"/>
                      <w:szCs w:val="20"/>
                    </w:rPr>
                    <w:t>depreciación</w:t>
                  </w:r>
                  <w:r w:rsidR="00BA74C5" w:rsidRPr="002448EE">
                    <w:rPr>
                      <w:rFonts w:ascii="ITC Avant Garde" w:hAnsi="ITC Avant Garde"/>
                      <w:bCs/>
                      <w:sz w:val="20"/>
                      <w:szCs w:val="20"/>
                    </w:rPr>
                    <w:t xml:space="preserve"> </w:t>
                  </w:r>
                  <w:r w:rsidRPr="002448EE">
                    <w:rPr>
                      <w:rFonts w:ascii="ITC Avant Garde" w:hAnsi="ITC Avant Garde"/>
                      <w:bCs/>
                      <w:sz w:val="20"/>
                      <w:szCs w:val="20"/>
                    </w:rPr>
                    <w:t>de costos</w:t>
                  </w:r>
                </w:p>
              </w:tc>
              <w:tc>
                <w:tcPr>
                  <w:tcW w:w="5134" w:type="dxa"/>
                  <w:tcBorders>
                    <w:top w:val="nil"/>
                    <w:left w:val="nil"/>
                    <w:bottom w:val="single" w:sz="4" w:space="0" w:color="244062"/>
                    <w:right w:val="nil"/>
                  </w:tcBorders>
                  <w:shd w:val="clear" w:color="auto" w:fill="auto"/>
                  <w:vAlign w:val="center"/>
                  <w:hideMark/>
                </w:tcPr>
                <w:p w14:paraId="55FEA0BC"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Método de anualidad inclinada.</w:t>
                  </w:r>
                </w:p>
              </w:tc>
            </w:tr>
            <w:tr w:rsidR="001078AA" w:rsidRPr="00800CE9" w14:paraId="5210932B"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hideMark/>
                </w:tcPr>
                <w:p w14:paraId="70F45DDE"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bCs/>
                      <w:sz w:val="20"/>
                      <w:szCs w:val="20"/>
                    </w:rPr>
                    <w:lastRenderedPageBreak/>
                    <w:t>Estándar de Costos</w:t>
                  </w:r>
                </w:p>
              </w:tc>
              <w:tc>
                <w:tcPr>
                  <w:tcW w:w="5134" w:type="dxa"/>
                  <w:tcBorders>
                    <w:top w:val="nil"/>
                    <w:left w:val="nil"/>
                    <w:bottom w:val="single" w:sz="4" w:space="0" w:color="244062"/>
                    <w:right w:val="nil"/>
                  </w:tcBorders>
                  <w:shd w:val="clear" w:color="auto" w:fill="auto"/>
                  <w:vAlign w:val="center"/>
                  <w:hideMark/>
                </w:tcPr>
                <w:p w14:paraId="69C1FCEA"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lang w:val="es-ES_tradnl"/>
                    </w:rPr>
                  </w:pPr>
                  <w:r w:rsidRPr="002448EE">
                    <w:rPr>
                      <w:rFonts w:ascii="ITC Avant Garde" w:hAnsi="ITC Avant Garde"/>
                      <w:sz w:val="20"/>
                      <w:szCs w:val="20"/>
                    </w:rPr>
                    <w:t>Costos incrementales promedio a largo plazo (CIPLP), el cual incorpora costos comunes.</w:t>
                  </w:r>
                </w:p>
              </w:tc>
            </w:tr>
            <w:tr w:rsidR="001078AA" w:rsidRPr="00800CE9" w14:paraId="4CE2827C"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hideMark/>
                </w:tcPr>
                <w:p w14:paraId="60EAC39E"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bCs/>
                      <w:sz w:val="20"/>
                      <w:szCs w:val="20"/>
                    </w:rPr>
                    <w:t xml:space="preserve">Asignación de costos comunes relacionados con la </w:t>
                  </w:r>
                  <w:r w:rsidRPr="002448EE">
                    <w:rPr>
                      <w:rFonts w:ascii="ITC Avant Garde" w:hAnsi="ITC Avant Garde"/>
                      <w:sz w:val="20"/>
                      <w:szCs w:val="20"/>
                    </w:rPr>
                    <w:t xml:space="preserve">infraestructura </w:t>
                  </w:r>
                </w:p>
              </w:tc>
              <w:tc>
                <w:tcPr>
                  <w:tcW w:w="5134" w:type="dxa"/>
                  <w:tcBorders>
                    <w:top w:val="nil"/>
                    <w:left w:val="nil"/>
                    <w:bottom w:val="single" w:sz="4" w:space="0" w:color="244062"/>
                    <w:right w:val="nil"/>
                  </w:tcBorders>
                  <w:shd w:val="clear" w:color="auto" w:fill="auto"/>
                  <w:vAlign w:val="center"/>
                  <w:hideMark/>
                </w:tcPr>
                <w:p w14:paraId="295F6CED"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Mediante el método de capacidad requerida.</w:t>
                  </w:r>
                </w:p>
              </w:tc>
            </w:tr>
            <w:tr w:rsidR="001078AA" w:rsidRPr="00800CE9" w14:paraId="775FADD2"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hideMark/>
                </w:tcPr>
                <w:p w14:paraId="28B4A657"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bCs/>
                      <w:sz w:val="20"/>
                      <w:szCs w:val="20"/>
                    </w:rPr>
                    <w:t xml:space="preserve">Asignación de costos comunes no relacionados con la </w:t>
                  </w:r>
                  <w:r w:rsidRPr="002448EE">
                    <w:rPr>
                      <w:rFonts w:ascii="ITC Avant Garde" w:hAnsi="ITC Avant Garde"/>
                      <w:sz w:val="20"/>
                      <w:szCs w:val="20"/>
                    </w:rPr>
                    <w:t xml:space="preserve">infraestructura </w:t>
                  </w:r>
                </w:p>
              </w:tc>
              <w:tc>
                <w:tcPr>
                  <w:tcW w:w="5134" w:type="dxa"/>
                  <w:tcBorders>
                    <w:top w:val="nil"/>
                    <w:left w:val="nil"/>
                    <w:bottom w:val="single" w:sz="4" w:space="0" w:color="244062"/>
                    <w:right w:val="nil"/>
                  </w:tcBorders>
                  <w:shd w:val="clear" w:color="auto" w:fill="auto"/>
                  <w:vAlign w:val="center"/>
                  <w:hideMark/>
                </w:tcPr>
                <w:p w14:paraId="355E2289"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Mediante un margen (mark-up, por su siglas en inglés) equi-proporcional (EPMU).</w:t>
                  </w:r>
                </w:p>
              </w:tc>
            </w:tr>
            <w:tr w:rsidR="001078AA" w:rsidRPr="00800CE9" w14:paraId="085DE015"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hideMark/>
                </w:tcPr>
                <w:p w14:paraId="2C9C3924"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bCs/>
                      <w:sz w:val="20"/>
                      <w:szCs w:val="20"/>
                    </w:rPr>
                    <w:t>Operador a modelar</w:t>
                  </w:r>
                </w:p>
              </w:tc>
              <w:tc>
                <w:tcPr>
                  <w:tcW w:w="5134" w:type="dxa"/>
                  <w:tcBorders>
                    <w:top w:val="nil"/>
                    <w:left w:val="nil"/>
                    <w:bottom w:val="single" w:sz="4" w:space="0" w:color="244062"/>
                    <w:right w:val="nil"/>
                  </w:tcBorders>
                  <w:shd w:val="clear" w:color="auto" w:fill="auto"/>
                  <w:vAlign w:val="center"/>
                  <w:hideMark/>
                </w:tcPr>
                <w:p w14:paraId="0048EAA1"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Operador hipotético eficiente basado en la operación real del AEP.</w:t>
                  </w:r>
                </w:p>
              </w:tc>
            </w:tr>
            <w:tr w:rsidR="001078AA" w:rsidRPr="00800CE9" w14:paraId="7D2637FD"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hideMark/>
                </w:tcPr>
                <w:p w14:paraId="146A44F3"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bCs/>
                      <w:sz w:val="20"/>
                      <w:szCs w:val="20"/>
                    </w:rPr>
                    <w:t>Topología de los sitios</w:t>
                  </w:r>
                </w:p>
              </w:tc>
              <w:tc>
                <w:tcPr>
                  <w:tcW w:w="5134" w:type="dxa"/>
                  <w:tcBorders>
                    <w:top w:val="nil"/>
                    <w:left w:val="nil"/>
                    <w:bottom w:val="single" w:sz="4" w:space="0" w:color="244062"/>
                    <w:right w:val="nil"/>
                  </w:tcBorders>
                  <w:shd w:val="clear" w:color="auto" w:fill="auto"/>
                  <w:vAlign w:val="center"/>
                  <w:hideMark/>
                </w:tcPr>
                <w:p w14:paraId="4BE3CC6C"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Enfoque Scorched Node.</w:t>
                  </w:r>
                </w:p>
              </w:tc>
            </w:tr>
            <w:tr w:rsidR="001078AA" w:rsidRPr="00800CE9" w14:paraId="512DB339"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tcPr>
                <w:p w14:paraId="3E3EEAE2"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bCs/>
                      <w:sz w:val="20"/>
                      <w:szCs w:val="20"/>
                    </w:rPr>
                  </w:pPr>
                  <w:r w:rsidRPr="002448EE">
                    <w:rPr>
                      <w:rFonts w:ascii="ITC Avant Garde" w:hAnsi="ITC Avant Garde"/>
                      <w:bCs/>
                      <w:sz w:val="20"/>
                      <w:szCs w:val="20"/>
                    </w:rPr>
                    <w:t>Horizonte temporal</w:t>
                  </w:r>
                </w:p>
              </w:tc>
              <w:tc>
                <w:tcPr>
                  <w:tcW w:w="5134" w:type="dxa"/>
                  <w:tcBorders>
                    <w:top w:val="nil"/>
                    <w:left w:val="nil"/>
                    <w:bottom w:val="single" w:sz="4" w:space="0" w:color="244062"/>
                    <w:right w:val="nil"/>
                  </w:tcBorders>
                  <w:shd w:val="clear" w:color="auto" w:fill="auto"/>
                  <w:vAlign w:val="center"/>
                </w:tcPr>
                <w:p w14:paraId="0EC5B141"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Diseño de un modelo dinámico que considera 2017 como año de referencia actual, más 4 años futuros.</w:t>
                  </w:r>
                </w:p>
              </w:tc>
            </w:tr>
            <w:tr w:rsidR="001078AA" w:rsidRPr="00800CE9" w14:paraId="0B4F7CA7" w14:textId="77777777" w:rsidTr="009C2598">
              <w:trPr>
                <w:cantSplit/>
                <w:trHeight w:val="19"/>
                <w:jc w:val="center"/>
              </w:trPr>
              <w:tc>
                <w:tcPr>
                  <w:tcW w:w="3569" w:type="dxa"/>
                  <w:tcBorders>
                    <w:top w:val="nil"/>
                    <w:left w:val="nil"/>
                    <w:bottom w:val="single" w:sz="4" w:space="0" w:color="244062"/>
                    <w:right w:val="nil"/>
                  </w:tcBorders>
                  <w:shd w:val="clear" w:color="auto" w:fill="FFFFFF" w:themeFill="background1"/>
                  <w:vAlign w:val="center"/>
                </w:tcPr>
                <w:p w14:paraId="61417CC7"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bCs/>
                      <w:sz w:val="20"/>
                      <w:szCs w:val="20"/>
                    </w:rPr>
                  </w:pPr>
                  <w:r w:rsidRPr="002448EE">
                    <w:rPr>
                      <w:rFonts w:ascii="ITC Avant Garde" w:hAnsi="ITC Avant Garde"/>
                      <w:bCs/>
                      <w:sz w:val="20"/>
                      <w:szCs w:val="20"/>
                    </w:rPr>
                    <w:t>Desagregación de los sitios</w:t>
                  </w:r>
                </w:p>
              </w:tc>
              <w:tc>
                <w:tcPr>
                  <w:tcW w:w="5134" w:type="dxa"/>
                  <w:tcBorders>
                    <w:top w:val="nil"/>
                    <w:left w:val="nil"/>
                    <w:bottom w:val="single" w:sz="4" w:space="0" w:color="244062"/>
                    <w:right w:val="nil"/>
                  </w:tcBorders>
                  <w:shd w:val="clear" w:color="auto" w:fill="auto"/>
                  <w:vAlign w:val="center"/>
                </w:tcPr>
                <w:p w14:paraId="285CCDCA" w14:textId="77777777" w:rsidR="001078AA" w:rsidRPr="002448EE" w:rsidRDefault="001078AA" w:rsidP="00C51B7D">
                  <w:pPr>
                    <w:keepNext/>
                    <w:keepLines/>
                    <w:framePr w:hSpace="141" w:wrap="around" w:vAnchor="text" w:hAnchor="text" w:x="77" w:y="108"/>
                    <w:spacing w:after="0" w:line="240" w:lineRule="auto"/>
                    <w:ind w:right="191"/>
                    <w:rPr>
                      <w:rFonts w:ascii="ITC Avant Garde" w:hAnsi="ITC Avant Garde"/>
                      <w:sz w:val="20"/>
                      <w:szCs w:val="20"/>
                    </w:rPr>
                  </w:pPr>
                  <w:r w:rsidRPr="002448EE">
                    <w:rPr>
                      <w:rFonts w:ascii="ITC Avant Garde" w:hAnsi="ITC Avant Garde"/>
                      <w:sz w:val="20"/>
                      <w:szCs w:val="20"/>
                    </w:rPr>
                    <w:t>Agregación por sitios “tipo”.</w:t>
                  </w:r>
                </w:p>
              </w:tc>
            </w:tr>
          </w:tbl>
          <w:p w14:paraId="036DC3FA" w14:textId="77777777" w:rsidR="001078AA" w:rsidRPr="00F525A4" w:rsidRDefault="001078AA" w:rsidP="0062012F">
            <w:pPr>
              <w:pStyle w:val="Descripcin"/>
              <w:spacing w:before="120"/>
              <w:ind w:right="191"/>
              <w:rPr>
                <w:rFonts w:ascii="ITC Avant Garde" w:hAnsi="ITC Avant Garde"/>
              </w:rPr>
            </w:pPr>
            <w:r w:rsidRPr="00F525A4">
              <w:rPr>
                <w:rFonts w:ascii="ITC Avant Garde" w:hAnsi="ITC Avant Garde"/>
              </w:rPr>
              <w:t xml:space="preserve">Tabla </w:t>
            </w:r>
            <w:r>
              <w:rPr>
                <w:rFonts w:ascii="ITC Avant Garde" w:hAnsi="ITC Avant Garde"/>
              </w:rPr>
              <w:t>1</w:t>
            </w:r>
            <w:r w:rsidRPr="00F525A4">
              <w:rPr>
                <w:rFonts w:ascii="ITC Avant Garde" w:hAnsi="ITC Avant Garde"/>
              </w:rPr>
              <w:t>.</w:t>
            </w:r>
            <w:r w:rsidRPr="00F525A4">
              <w:rPr>
                <w:rFonts w:ascii="ITC Avant Garde" w:hAnsi="ITC Avant Garde"/>
              </w:rPr>
              <w:fldChar w:fldCharType="begin"/>
            </w:r>
            <w:r w:rsidRPr="00F525A4">
              <w:rPr>
                <w:rFonts w:ascii="ITC Avant Garde" w:hAnsi="ITC Avant Garde"/>
              </w:rPr>
              <w:instrText xml:space="preserve"> SEQ Tabla \* ARABIC \s 1 </w:instrText>
            </w:r>
            <w:r w:rsidRPr="00F525A4">
              <w:rPr>
                <w:rFonts w:ascii="ITC Avant Garde" w:hAnsi="ITC Avant Garde"/>
              </w:rPr>
              <w:fldChar w:fldCharType="separate"/>
            </w:r>
            <w:r w:rsidRPr="00F525A4">
              <w:rPr>
                <w:rFonts w:ascii="ITC Avant Garde" w:hAnsi="ITC Avant Garde"/>
                <w:noProof/>
              </w:rPr>
              <w:t>1</w:t>
            </w:r>
            <w:r w:rsidRPr="00F525A4">
              <w:rPr>
                <w:rFonts w:ascii="ITC Avant Garde" w:hAnsi="ITC Avant Garde"/>
                <w:noProof/>
              </w:rPr>
              <w:fldChar w:fldCharType="end"/>
            </w:r>
            <w:r w:rsidRPr="00F525A4">
              <w:rPr>
                <w:rFonts w:ascii="ITC Avant Garde" w:hAnsi="ITC Avant Garde"/>
              </w:rPr>
              <w:t>: Resumen del marco metodológico adoptado para el desarrollo del modelo [Fuente: IFT]</w:t>
            </w:r>
          </w:p>
          <w:p w14:paraId="2503EEDE" w14:textId="77777777" w:rsidR="001078AA" w:rsidRPr="002448EE" w:rsidRDefault="001078AA" w:rsidP="0062012F">
            <w:pPr>
              <w:spacing w:after="0" w:line="300" w:lineRule="auto"/>
              <w:ind w:right="191"/>
              <w:jc w:val="both"/>
              <w:rPr>
                <w:rFonts w:ascii="ITC Avant Garde" w:hAnsi="ITC Avant Garde"/>
                <w:sz w:val="20"/>
                <w:szCs w:val="20"/>
              </w:rPr>
            </w:pPr>
            <w:r w:rsidRPr="002448EE">
              <w:rPr>
                <w:rFonts w:ascii="ITC Avant Garde" w:hAnsi="ITC Avant Garde"/>
                <w:sz w:val="20"/>
                <w:szCs w:val="20"/>
              </w:rPr>
              <w:t>Para mayor detalle acerca de los conceptos anteriores, véase el documento metodológico del modelo.</w:t>
            </w:r>
          </w:p>
          <w:p w14:paraId="660DBEA7" w14:textId="77777777" w:rsidR="001078AA" w:rsidRPr="00C41536" w:rsidRDefault="001078AA" w:rsidP="0062012F">
            <w:pPr>
              <w:spacing w:after="0" w:line="240" w:lineRule="auto"/>
              <w:rPr>
                <w:rFonts w:ascii="Century Gothic" w:eastAsia="Times New Roman" w:hAnsi="Century Gothic" w:cs="Times New Roman"/>
                <w:color w:val="000000"/>
                <w:lang w:eastAsia="es-MX"/>
              </w:rPr>
            </w:pPr>
          </w:p>
        </w:tc>
      </w:tr>
      <w:tr w:rsidR="001078AA" w:rsidRPr="004970C4" w14:paraId="382DEBCA" w14:textId="77777777" w:rsidTr="0062012F">
        <w:trPr>
          <w:trHeight w:val="290"/>
        </w:trPr>
        <w:tc>
          <w:tcPr>
            <w:tcW w:w="8647" w:type="dxa"/>
            <w:shd w:val="clear" w:color="auto" w:fill="C5E0B3" w:themeFill="accent6" w:themeFillTint="66"/>
            <w:vAlign w:val="center"/>
          </w:tcPr>
          <w:p w14:paraId="37A7B740" w14:textId="25AF2279" w:rsidR="001078AA" w:rsidRPr="009C2598" w:rsidRDefault="00424956" w:rsidP="0062012F">
            <w:pPr>
              <w:keepNext/>
              <w:keepLines/>
              <w:numPr>
                <w:ilvl w:val="1"/>
                <w:numId w:val="0"/>
              </w:numPr>
              <w:spacing w:before="360" w:after="240" w:line="336" w:lineRule="auto"/>
              <w:ind w:right="191"/>
              <w:jc w:val="center"/>
              <w:outlineLvl w:val="1"/>
              <w:rPr>
                <w:rFonts w:ascii="ITC Avant Garde" w:eastAsia="Times New Roman" w:hAnsi="ITC Avant Garde" w:cs="Times New Roman"/>
                <w:b/>
                <w:bCs/>
                <w:iCs/>
                <w:sz w:val="20"/>
                <w:szCs w:val="20"/>
                <w:lang w:val="es-ES_tradnl" w:eastAsia="es-ES"/>
              </w:rPr>
            </w:pPr>
            <w:r>
              <w:rPr>
                <w:rFonts w:ascii="ITC Avant Garde" w:eastAsia="Times New Roman" w:hAnsi="ITC Avant Garde" w:cs="Times New Roman"/>
                <w:b/>
                <w:bCs/>
                <w:iCs/>
                <w:sz w:val="20"/>
                <w:szCs w:val="20"/>
                <w:lang w:val="es-ES_tradnl" w:eastAsia="es-ES"/>
              </w:rPr>
              <w:lastRenderedPageBreak/>
              <w:t>II</w:t>
            </w:r>
            <w:r w:rsidR="009C2598">
              <w:rPr>
                <w:rFonts w:ascii="ITC Avant Garde" w:eastAsia="Times New Roman" w:hAnsi="ITC Avant Garde" w:cs="Times New Roman"/>
                <w:b/>
                <w:bCs/>
                <w:iCs/>
                <w:sz w:val="20"/>
                <w:szCs w:val="20"/>
                <w:lang w:val="es-ES_tradnl" w:eastAsia="es-ES"/>
              </w:rPr>
              <w:t>.3</w:t>
            </w:r>
            <w:r>
              <w:rPr>
                <w:rFonts w:ascii="ITC Avant Garde" w:eastAsia="Times New Roman" w:hAnsi="ITC Avant Garde" w:cs="Times New Roman"/>
                <w:b/>
                <w:bCs/>
                <w:iCs/>
                <w:sz w:val="20"/>
                <w:szCs w:val="20"/>
                <w:lang w:val="es-ES_tradnl" w:eastAsia="es-ES"/>
              </w:rPr>
              <w:t>.</w:t>
            </w:r>
            <w:r w:rsidR="009C2598">
              <w:rPr>
                <w:rFonts w:ascii="ITC Avant Garde" w:eastAsia="Times New Roman" w:hAnsi="ITC Avant Garde" w:cs="Times New Roman"/>
                <w:b/>
                <w:bCs/>
                <w:iCs/>
                <w:sz w:val="20"/>
                <w:szCs w:val="20"/>
                <w:lang w:val="es-ES_tradnl" w:eastAsia="es-ES"/>
              </w:rPr>
              <w:t xml:space="preserve"> </w:t>
            </w:r>
            <w:r w:rsidR="009C2598" w:rsidRPr="009C2598">
              <w:rPr>
                <w:rFonts w:ascii="ITC Avant Garde" w:eastAsia="Times New Roman" w:hAnsi="ITC Avant Garde" w:cs="Times New Roman"/>
                <w:b/>
                <w:bCs/>
                <w:iCs/>
                <w:sz w:val="20"/>
                <w:szCs w:val="20"/>
                <w:lang w:val="es-ES_tradnl" w:eastAsia="es-ES"/>
              </w:rPr>
              <w:t>Elementos de la infraestructura del AEP</w:t>
            </w:r>
          </w:p>
        </w:tc>
      </w:tr>
      <w:tr w:rsidR="001078AA" w:rsidRPr="004970C4" w14:paraId="6D488F3C" w14:textId="77777777" w:rsidTr="0062012F">
        <w:trPr>
          <w:trHeight w:val="290"/>
        </w:trPr>
        <w:tc>
          <w:tcPr>
            <w:tcW w:w="8647" w:type="dxa"/>
            <w:shd w:val="clear" w:color="auto" w:fill="auto"/>
            <w:vAlign w:val="center"/>
          </w:tcPr>
          <w:p w14:paraId="1C9018F8" w14:textId="77777777" w:rsidR="009C2598" w:rsidRPr="009C2598" w:rsidRDefault="009C2598" w:rsidP="0062012F">
            <w:pPr>
              <w:spacing w:after="0" w:line="300" w:lineRule="auto"/>
              <w:ind w:right="191"/>
              <w:jc w:val="both"/>
              <w:rPr>
                <w:rFonts w:ascii="ITC Avant Garde" w:hAnsi="ITC Avant Garde"/>
                <w:sz w:val="20"/>
                <w:szCs w:val="20"/>
              </w:rPr>
            </w:pPr>
            <w:r w:rsidRPr="009C2598">
              <w:rPr>
                <w:rFonts w:ascii="ITC Avant Garde" w:hAnsi="ITC Avant Garde"/>
                <w:sz w:val="20"/>
                <w:szCs w:val="20"/>
              </w:rPr>
              <w:t>Como se ha mencionado previamente, el modelo tiene el objetivo de calcular las tarifas de los servicios de compartición de infraestructura prestados por el AEP en el sector de radiodifusión, por lo cual únicamente se contempla la infraestructura involucrada en la prestación de estos servicios, tal y como se puede apreciar en la siguiente ilustración.</w:t>
            </w:r>
          </w:p>
          <w:p w14:paraId="5F1AA2FB" w14:textId="3783F2DC" w:rsidR="009C2598" w:rsidRPr="009C2598" w:rsidRDefault="00FC2519" w:rsidP="00FC2519">
            <w:pPr>
              <w:keepNext/>
              <w:keepLines/>
              <w:spacing w:after="0"/>
              <w:ind w:right="191"/>
              <w:jc w:val="center"/>
              <w:rPr>
                <w:rFonts w:ascii="ITC Avant Garde" w:hAnsi="ITC Avant Garde"/>
                <w:sz w:val="20"/>
                <w:szCs w:val="20"/>
              </w:rPr>
            </w:pPr>
            <w:r w:rsidRPr="002F0A30">
              <w:rPr>
                <w:noProof/>
                <w:lang w:eastAsia="es-MX"/>
              </w:rPr>
              <w:lastRenderedPageBreak/>
              <w:drawing>
                <wp:inline distT="0" distB="0" distL="0" distR="0" wp14:anchorId="5C08C400" wp14:editId="57542B49">
                  <wp:extent cx="5400040" cy="289795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897954"/>
                          </a:xfrm>
                          <a:prstGeom prst="rect">
                            <a:avLst/>
                          </a:prstGeom>
                          <a:noFill/>
                          <a:ln>
                            <a:noFill/>
                          </a:ln>
                        </pic:spPr>
                      </pic:pic>
                    </a:graphicData>
                  </a:graphic>
                </wp:inline>
              </w:drawing>
            </w:r>
          </w:p>
          <w:p w14:paraId="1BEB5C90" w14:textId="77777777" w:rsidR="009C2598" w:rsidRPr="009C2598" w:rsidRDefault="009C2598" w:rsidP="0062012F">
            <w:pPr>
              <w:spacing w:before="60" w:after="360" w:line="336" w:lineRule="auto"/>
              <w:ind w:right="191"/>
              <w:jc w:val="center"/>
              <w:rPr>
                <w:rFonts w:ascii="ITC Avant Garde" w:eastAsia="Times New Roman" w:hAnsi="ITC Avant Garde" w:cs="Times New Roman"/>
                <w:b/>
                <w:bCs/>
                <w:sz w:val="16"/>
                <w:szCs w:val="16"/>
                <w:lang w:eastAsia="es-ES"/>
              </w:rPr>
            </w:pPr>
            <w:r w:rsidRPr="009C2598">
              <w:rPr>
                <w:rFonts w:ascii="ITC Avant Garde" w:eastAsia="Times New Roman" w:hAnsi="ITC Avant Garde" w:cs="Times New Roman"/>
                <w:b/>
                <w:bCs/>
                <w:sz w:val="16"/>
                <w:szCs w:val="16"/>
                <w:lang w:eastAsia="es-ES"/>
              </w:rPr>
              <w:t>Ilustración 1.</w:t>
            </w:r>
            <w:r w:rsidRPr="009C2598">
              <w:rPr>
                <w:rFonts w:ascii="ITC Avant Garde" w:eastAsia="Times New Roman" w:hAnsi="ITC Avant Garde" w:cs="Times New Roman"/>
                <w:b/>
                <w:bCs/>
                <w:sz w:val="16"/>
                <w:szCs w:val="16"/>
                <w:lang w:eastAsia="es-ES"/>
              </w:rPr>
              <w:fldChar w:fldCharType="begin"/>
            </w:r>
            <w:r w:rsidRPr="009C2598">
              <w:rPr>
                <w:rFonts w:ascii="ITC Avant Garde" w:eastAsia="Times New Roman" w:hAnsi="ITC Avant Garde" w:cs="Times New Roman"/>
                <w:b/>
                <w:bCs/>
                <w:sz w:val="16"/>
                <w:szCs w:val="16"/>
                <w:lang w:eastAsia="es-ES"/>
              </w:rPr>
              <w:instrText xml:space="preserve"> SEQ Ilustración \* ARABIC \s 1 </w:instrText>
            </w:r>
            <w:r w:rsidRPr="009C2598">
              <w:rPr>
                <w:rFonts w:ascii="ITC Avant Garde" w:eastAsia="Times New Roman" w:hAnsi="ITC Avant Garde" w:cs="Times New Roman"/>
                <w:b/>
                <w:bCs/>
                <w:sz w:val="16"/>
                <w:szCs w:val="16"/>
                <w:lang w:eastAsia="es-ES"/>
              </w:rPr>
              <w:fldChar w:fldCharType="separate"/>
            </w:r>
            <w:r w:rsidRPr="009C2598">
              <w:rPr>
                <w:rFonts w:ascii="ITC Avant Garde" w:eastAsia="Times New Roman" w:hAnsi="ITC Avant Garde" w:cs="Times New Roman"/>
                <w:b/>
                <w:bCs/>
                <w:noProof/>
                <w:sz w:val="16"/>
                <w:szCs w:val="16"/>
                <w:lang w:eastAsia="es-ES"/>
              </w:rPr>
              <w:t>1</w:t>
            </w:r>
            <w:r w:rsidRPr="009C2598">
              <w:rPr>
                <w:rFonts w:ascii="ITC Avant Garde" w:eastAsia="Times New Roman" w:hAnsi="ITC Avant Garde" w:cs="Times New Roman"/>
                <w:b/>
                <w:bCs/>
                <w:sz w:val="16"/>
                <w:szCs w:val="16"/>
                <w:lang w:eastAsia="es-ES"/>
              </w:rPr>
              <w:fldChar w:fldCharType="end"/>
            </w:r>
            <w:r w:rsidRPr="009C2598">
              <w:rPr>
                <w:rFonts w:ascii="ITC Avant Garde" w:eastAsia="Times New Roman" w:hAnsi="ITC Avant Garde" w:cs="Times New Roman"/>
                <w:b/>
                <w:bCs/>
                <w:sz w:val="16"/>
                <w:szCs w:val="16"/>
                <w:lang w:eastAsia="es-ES"/>
              </w:rPr>
              <w:t>: Esquema general de la infraestructura considerada en el modelo [Fuente: IFT]</w:t>
            </w:r>
          </w:p>
          <w:p w14:paraId="2F4AD0F0" w14:textId="77777777" w:rsidR="009C2598" w:rsidRPr="009C2598" w:rsidRDefault="009C2598" w:rsidP="0062012F">
            <w:pPr>
              <w:spacing w:after="0" w:line="300" w:lineRule="auto"/>
              <w:ind w:right="191"/>
              <w:jc w:val="both"/>
              <w:rPr>
                <w:rFonts w:ascii="ITC Avant Garde" w:hAnsi="ITC Avant Garde"/>
                <w:sz w:val="20"/>
                <w:szCs w:val="20"/>
              </w:rPr>
            </w:pPr>
            <w:r w:rsidRPr="009C2598">
              <w:rPr>
                <w:rFonts w:ascii="ITC Avant Garde" w:hAnsi="ITC Avant Garde"/>
                <w:sz w:val="20"/>
                <w:szCs w:val="20"/>
              </w:rPr>
              <w:t>La infraestructura modelada está comprendida por los siguientes elementos:</w:t>
            </w:r>
          </w:p>
          <w:p w14:paraId="643E4BBF"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Predio</w:t>
            </w:r>
          </w:p>
          <w:p w14:paraId="44ECBFF2"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Caseta</w:t>
            </w:r>
          </w:p>
          <w:p w14:paraId="498C6D6C"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Torre</w:t>
            </w:r>
          </w:p>
          <w:p w14:paraId="2B4E9F27"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Cama de transmisión</w:t>
            </w:r>
          </w:p>
          <w:p w14:paraId="023C699F"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Transmisor</w:t>
            </w:r>
          </w:p>
          <w:p w14:paraId="62ACB30E"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Filtro de máscara</w:t>
            </w:r>
          </w:p>
          <w:p w14:paraId="165E0612"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Combinador</w:t>
            </w:r>
          </w:p>
          <w:p w14:paraId="301B8CD3"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Panel de parcheo</w:t>
            </w:r>
          </w:p>
          <w:p w14:paraId="2BF63B8B"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Línea de transmisión</w:t>
            </w:r>
          </w:p>
          <w:p w14:paraId="20570283" w14:textId="5F817316" w:rsidR="009C2598" w:rsidRPr="00BA74C5" w:rsidRDefault="00FC2519"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Pr>
                <w:rFonts w:ascii="ITC Avant Garde" w:eastAsia="Times New Roman" w:hAnsi="ITC Avant Garde" w:cs="Times New Roman"/>
                <w:bCs/>
                <w:sz w:val="20"/>
                <w:szCs w:val="20"/>
                <w:lang w:val="es-CR" w:eastAsia="es-ES"/>
              </w:rPr>
              <w:t xml:space="preserve">Antena </w:t>
            </w:r>
            <w:r w:rsidR="009C2598" w:rsidRPr="00BA74C5">
              <w:rPr>
                <w:rFonts w:ascii="ITC Avant Garde" w:eastAsia="Times New Roman" w:hAnsi="ITC Avant Garde" w:cs="Times New Roman"/>
                <w:bCs/>
                <w:sz w:val="20"/>
                <w:szCs w:val="20"/>
                <w:lang w:val="es-CR" w:eastAsia="es-ES"/>
              </w:rPr>
              <w:t>radiante</w:t>
            </w:r>
          </w:p>
          <w:p w14:paraId="45082C36"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Subestación eléctrica</w:t>
            </w:r>
          </w:p>
          <w:p w14:paraId="6594FE8A"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sz w:val="20"/>
                <w:szCs w:val="20"/>
                <w:lang w:val="es-CR" w:eastAsia="es-ES"/>
              </w:rPr>
            </w:pPr>
            <w:r w:rsidRPr="00BA74C5">
              <w:rPr>
                <w:rFonts w:ascii="ITC Avant Garde" w:eastAsia="Times New Roman" w:hAnsi="ITC Avant Garde" w:cs="Times New Roman"/>
                <w:bCs/>
                <w:sz w:val="20"/>
                <w:szCs w:val="20"/>
                <w:lang w:val="es-CR" w:eastAsia="es-ES"/>
              </w:rPr>
              <w:t>Planta de emergencia (que agrupa la planta de generadores y los UPS</w:t>
            </w:r>
            <w:r w:rsidRPr="009C2598">
              <w:rPr>
                <w:vertAlign w:val="superscript"/>
                <w:lang w:val="es-CR" w:eastAsia="es-ES"/>
              </w:rPr>
              <w:footnoteReference w:id="1"/>
            </w:r>
            <w:r w:rsidRPr="00BA74C5">
              <w:rPr>
                <w:rFonts w:ascii="ITC Avant Garde" w:eastAsia="Times New Roman" w:hAnsi="ITC Avant Garde" w:cs="Times New Roman"/>
                <w:bCs/>
                <w:sz w:val="20"/>
                <w:szCs w:val="20"/>
                <w:lang w:val="es-CR" w:eastAsia="es-ES"/>
              </w:rPr>
              <w:t>)</w:t>
            </w:r>
          </w:p>
          <w:p w14:paraId="1FF5D5B1" w14:textId="77777777" w:rsidR="009C2598" w:rsidRPr="00BA74C5" w:rsidRDefault="009C2598" w:rsidP="0062012F">
            <w:pPr>
              <w:pStyle w:val="Prrafodelista"/>
              <w:numPr>
                <w:ilvl w:val="0"/>
                <w:numId w:val="27"/>
              </w:numPr>
              <w:spacing w:after="0" w:line="300" w:lineRule="auto"/>
              <w:ind w:right="191"/>
              <w:jc w:val="both"/>
              <w:rPr>
                <w:rFonts w:ascii="ITC Avant Garde" w:eastAsia="Times New Roman" w:hAnsi="ITC Avant Garde" w:cs="Times New Roman"/>
                <w:bCs/>
                <w:noProof/>
                <w:sz w:val="20"/>
                <w:szCs w:val="20"/>
                <w:lang w:val="es-CR" w:eastAsia="en-GB"/>
              </w:rPr>
            </w:pPr>
            <w:r w:rsidRPr="00BA74C5">
              <w:rPr>
                <w:rFonts w:ascii="ITC Avant Garde" w:eastAsia="Times New Roman" w:hAnsi="ITC Avant Garde" w:cs="Times New Roman"/>
                <w:bCs/>
                <w:sz w:val="20"/>
                <w:szCs w:val="20"/>
                <w:lang w:val="es-CR" w:eastAsia="es-ES"/>
              </w:rPr>
              <w:t>Aire acondicionado</w:t>
            </w:r>
          </w:p>
          <w:p w14:paraId="383F3E5F" w14:textId="77777777" w:rsidR="001078AA" w:rsidRPr="00C41536" w:rsidRDefault="001078AA" w:rsidP="0062012F">
            <w:pPr>
              <w:spacing w:after="0" w:line="240" w:lineRule="auto"/>
              <w:rPr>
                <w:rFonts w:ascii="Century Gothic" w:eastAsia="Times New Roman" w:hAnsi="Century Gothic" w:cs="Times New Roman"/>
                <w:color w:val="000000"/>
                <w:lang w:eastAsia="es-MX"/>
              </w:rPr>
            </w:pPr>
          </w:p>
        </w:tc>
      </w:tr>
      <w:tr w:rsidR="001078AA" w:rsidRPr="004970C4" w14:paraId="07C4A5C0" w14:textId="77777777" w:rsidTr="0062012F">
        <w:trPr>
          <w:trHeight w:val="290"/>
        </w:trPr>
        <w:tc>
          <w:tcPr>
            <w:tcW w:w="8647" w:type="dxa"/>
            <w:shd w:val="clear" w:color="auto" w:fill="DBDBDB" w:themeFill="accent3" w:themeFillTint="66"/>
            <w:vAlign w:val="center"/>
          </w:tcPr>
          <w:p w14:paraId="46495EBF" w14:textId="0E33F211" w:rsidR="001078AA" w:rsidRPr="009C2598" w:rsidRDefault="009C2598" w:rsidP="0062012F">
            <w:pPr>
              <w:spacing w:after="120" w:line="300" w:lineRule="auto"/>
              <w:ind w:right="191"/>
              <w:rPr>
                <w:rFonts w:ascii="ITC Avant Garde" w:hAnsi="ITC Avant Garde"/>
                <w:sz w:val="20"/>
                <w:szCs w:val="20"/>
              </w:rPr>
            </w:pPr>
            <w:r w:rsidRPr="002448EE">
              <w:rPr>
                <w:rFonts w:ascii="ITC Avant Garde" w:hAnsi="ITC Avant Garde"/>
                <w:b/>
                <w:sz w:val="20"/>
                <w:szCs w:val="20"/>
              </w:rPr>
              <w:lastRenderedPageBreak/>
              <w:t xml:space="preserve">P. </w:t>
            </w:r>
            <w:r w:rsidRPr="002448EE">
              <w:rPr>
                <w:rFonts w:ascii="ITC Avant Garde" w:hAnsi="ITC Avant Garde"/>
                <w:b/>
                <w:sz w:val="20"/>
                <w:szCs w:val="20"/>
              </w:rPr>
              <w:fldChar w:fldCharType="begin"/>
            </w:r>
            <w:r w:rsidRPr="002448EE">
              <w:rPr>
                <w:rFonts w:ascii="ITC Avant Garde" w:hAnsi="ITC Avant Garde"/>
                <w:b/>
                <w:sz w:val="20"/>
                <w:szCs w:val="20"/>
              </w:rPr>
              <w:instrText xml:space="preserve"> SEQ Question \* ARABIC </w:instrText>
            </w:r>
            <w:r w:rsidRPr="002448EE">
              <w:rPr>
                <w:rFonts w:ascii="ITC Avant Garde" w:hAnsi="ITC Avant Garde"/>
                <w:b/>
                <w:sz w:val="20"/>
                <w:szCs w:val="20"/>
              </w:rPr>
              <w:fldChar w:fldCharType="separate"/>
            </w:r>
            <w:r w:rsidRPr="002448EE">
              <w:rPr>
                <w:rFonts w:ascii="ITC Avant Garde" w:hAnsi="ITC Avant Garde"/>
                <w:b/>
                <w:noProof/>
                <w:sz w:val="20"/>
                <w:szCs w:val="20"/>
              </w:rPr>
              <w:t>1</w:t>
            </w:r>
            <w:r w:rsidRPr="002448EE">
              <w:rPr>
                <w:rFonts w:ascii="ITC Avant Garde" w:hAnsi="ITC Avant Garde"/>
                <w:b/>
                <w:sz w:val="20"/>
                <w:szCs w:val="20"/>
              </w:rPr>
              <w:fldChar w:fldCharType="end"/>
            </w:r>
            <w:r w:rsidRPr="002448EE">
              <w:rPr>
                <w:rFonts w:ascii="ITC Avant Garde" w:hAnsi="ITC Avant Garde"/>
                <w:b/>
                <w:sz w:val="20"/>
                <w:szCs w:val="20"/>
              </w:rPr>
              <w:t xml:space="preserve">: </w:t>
            </w:r>
            <w:r w:rsidRPr="002448EE">
              <w:rPr>
                <w:rFonts w:ascii="ITC Avant Garde" w:hAnsi="ITC Avant Garde"/>
                <w:sz w:val="20"/>
                <w:szCs w:val="20"/>
              </w:rPr>
              <w:t>¿Considera convenientes y suficientes los elementos considerados para el modelado de la infraestructura del AEP?</w:t>
            </w:r>
          </w:p>
        </w:tc>
      </w:tr>
      <w:tr w:rsidR="001078AA" w:rsidRPr="004970C4" w14:paraId="2D26E960" w14:textId="77777777" w:rsidTr="0062012F">
        <w:trPr>
          <w:trHeight w:val="290"/>
        </w:trPr>
        <w:tc>
          <w:tcPr>
            <w:tcW w:w="8647" w:type="dxa"/>
            <w:shd w:val="clear" w:color="auto" w:fill="auto"/>
            <w:vAlign w:val="center"/>
          </w:tcPr>
          <w:p w14:paraId="00F75FE8" w14:textId="0E25E2C3" w:rsidR="001078AA" w:rsidRPr="00C41536" w:rsidRDefault="009C2598" w:rsidP="0062012F">
            <w:pPr>
              <w:spacing w:after="0" w:line="240" w:lineRule="auto"/>
              <w:rPr>
                <w:rFonts w:ascii="Century Gothic" w:eastAsia="Times New Roman" w:hAnsi="Century Gothic" w:cs="Times New Roman"/>
                <w:color w:val="000000"/>
                <w:lang w:eastAsia="es-MX"/>
              </w:rPr>
            </w:pPr>
            <w:r>
              <w:rPr>
                <w:rFonts w:ascii="Century Gothic" w:eastAsia="Times New Roman" w:hAnsi="Century Gothic" w:cs="Times New Roman"/>
                <w:color w:val="000000"/>
                <w:sz w:val="20"/>
                <w:szCs w:val="20"/>
                <w:lang w:eastAsia="es-MX"/>
              </w:rPr>
              <w:t>Proporcione su comentario:</w:t>
            </w:r>
          </w:p>
        </w:tc>
      </w:tr>
      <w:tr w:rsidR="001078AA" w:rsidRPr="004970C4" w14:paraId="764E3E88" w14:textId="77777777" w:rsidTr="0062012F">
        <w:trPr>
          <w:trHeight w:val="290"/>
        </w:trPr>
        <w:tc>
          <w:tcPr>
            <w:tcW w:w="8647" w:type="dxa"/>
            <w:shd w:val="clear" w:color="auto" w:fill="C5E0B3" w:themeFill="accent6" w:themeFillTint="66"/>
            <w:vAlign w:val="center"/>
          </w:tcPr>
          <w:p w14:paraId="017EBE11" w14:textId="0CC2E9DE" w:rsidR="001078AA" w:rsidRPr="009C2598" w:rsidRDefault="00424956" w:rsidP="0062012F">
            <w:pPr>
              <w:keepNext/>
              <w:keepLines/>
              <w:numPr>
                <w:ilvl w:val="1"/>
                <w:numId w:val="0"/>
              </w:numPr>
              <w:spacing w:before="360" w:after="240" w:line="336" w:lineRule="auto"/>
              <w:ind w:right="191"/>
              <w:jc w:val="center"/>
              <w:outlineLvl w:val="1"/>
              <w:rPr>
                <w:rFonts w:ascii="ITC Avant Garde" w:eastAsia="Times New Roman" w:hAnsi="ITC Avant Garde" w:cs="Times New Roman"/>
                <w:b/>
                <w:bCs/>
                <w:iCs/>
                <w:sz w:val="20"/>
                <w:szCs w:val="20"/>
                <w:lang w:val="es-ES_tradnl" w:eastAsia="es-ES"/>
              </w:rPr>
            </w:pPr>
            <w:r>
              <w:rPr>
                <w:rFonts w:ascii="ITC Avant Garde" w:eastAsia="Times New Roman" w:hAnsi="ITC Avant Garde" w:cs="Times New Roman"/>
                <w:b/>
                <w:bCs/>
                <w:iCs/>
                <w:sz w:val="20"/>
                <w:szCs w:val="20"/>
                <w:lang w:val="es-ES_tradnl" w:eastAsia="es-ES"/>
              </w:rPr>
              <w:lastRenderedPageBreak/>
              <w:t>II.4</w:t>
            </w:r>
            <w:r w:rsidR="009C2598">
              <w:rPr>
                <w:rFonts w:ascii="ITC Avant Garde" w:eastAsia="Times New Roman" w:hAnsi="ITC Avant Garde" w:cs="Times New Roman"/>
                <w:b/>
                <w:bCs/>
                <w:iCs/>
                <w:sz w:val="20"/>
                <w:szCs w:val="20"/>
                <w:lang w:val="es-ES_tradnl" w:eastAsia="es-ES"/>
              </w:rPr>
              <w:t xml:space="preserve"> </w:t>
            </w:r>
            <w:r w:rsidR="009C2598" w:rsidRPr="009C2598">
              <w:rPr>
                <w:rFonts w:ascii="ITC Avant Garde" w:eastAsia="Times New Roman" w:hAnsi="ITC Avant Garde" w:cs="Times New Roman"/>
                <w:b/>
                <w:bCs/>
                <w:iCs/>
                <w:sz w:val="20"/>
                <w:szCs w:val="20"/>
                <w:lang w:val="es-ES_tradnl" w:eastAsia="es-ES"/>
              </w:rPr>
              <w:t>Aspectos relacionados con la implementación del modelo</w:t>
            </w:r>
          </w:p>
        </w:tc>
      </w:tr>
      <w:tr w:rsidR="009C2598" w:rsidRPr="004970C4" w14:paraId="5F06F5DD" w14:textId="77777777" w:rsidTr="0062012F">
        <w:trPr>
          <w:trHeight w:val="290"/>
        </w:trPr>
        <w:tc>
          <w:tcPr>
            <w:tcW w:w="8647" w:type="dxa"/>
            <w:shd w:val="clear" w:color="auto" w:fill="auto"/>
            <w:vAlign w:val="center"/>
          </w:tcPr>
          <w:p w14:paraId="3F13DEDD" w14:textId="0018D4F0" w:rsidR="009C2598" w:rsidRPr="0062012F" w:rsidRDefault="00424956" w:rsidP="0062012F">
            <w:pPr>
              <w:keepNext/>
              <w:numPr>
                <w:ilvl w:val="2"/>
                <w:numId w:val="0"/>
              </w:numPr>
              <w:spacing w:before="360" w:after="120" w:line="336" w:lineRule="auto"/>
              <w:ind w:left="357" w:right="191" w:hanging="357"/>
              <w:jc w:val="center"/>
              <w:outlineLvl w:val="2"/>
              <w:rPr>
                <w:rFonts w:ascii="ITC Avant Garde" w:eastAsia="Times New Roman" w:hAnsi="ITC Avant Garde" w:cs="Arial"/>
                <w:b/>
                <w:bCs/>
                <w:sz w:val="20"/>
                <w:szCs w:val="20"/>
                <w:u w:val="single"/>
                <w:lang w:val="es-ES_tradnl" w:eastAsia="es-ES"/>
              </w:rPr>
            </w:pPr>
            <w:r w:rsidRPr="0062012F">
              <w:rPr>
                <w:rFonts w:ascii="ITC Avant Garde" w:eastAsia="Times New Roman" w:hAnsi="ITC Avant Garde" w:cs="Arial"/>
                <w:b/>
                <w:bCs/>
                <w:sz w:val="20"/>
                <w:szCs w:val="20"/>
                <w:u w:val="single"/>
                <w:lang w:val="es-ES_tradnl" w:eastAsia="es-ES"/>
              </w:rPr>
              <w:t>II</w:t>
            </w:r>
            <w:r w:rsidR="00611523" w:rsidRPr="0062012F">
              <w:rPr>
                <w:rFonts w:ascii="ITC Avant Garde" w:eastAsia="Times New Roman" w:hAnsi="ITC Avant Garde" w:cs="Arial"/>
                <w:b/>
                <w:bCs/>
                <w:sz w:val="20"/>
                <w:szCs w:val="20"/>
                <w:u w:val="single"/>
                <w:lang w:val="es-ES_tradnl" w:eastAsia="es-ES"/>
              </w:rPr>
              <w:t>.</w:t>
            </w:r>
            <w:r w:rsidRPr="0062012F">
              <w:rPr>
                <w:rFonts w:ascii="ITC Avant Garde" w:eastAsia="Times New Roman" w:hAnsi="ITC Avant Garde" w:cs="Arial"/>
                <w:b/>
                <w:bCs/>
                <w:sz w:val="20"/>
                <w:szCs w:val="20"/>
                <w:u w:val="single"/>
                <w:lang w:val="es-ES_tradnl" w:eastAsia="es-ES"/>
              </w:rPr>
              <w:t>4</w:t>
            </w:r>
            <w:r w:rsidR="009C2598" w:rsidRPr="0062012F">
              <w:rPr>
                <w:rFonts w:ascii="ITC Avant Garde" w:eastAsia="Times New Roman" w:hAnsi="ITC Avant Garde" w:cs="Arial"/>
                <w:b/>
                <w:bCs/>
                <w:sz w:val="20"/>
                <w:szCs w:val="20"/>
                <w:u w:val="single"/>
                <w:lang w:val="es-ES_tradnl" w:eastAsia="es-ES"/>
              </w:rPr>
              <w:t>.1 Demanda mayorista</w:t>
            </w:r>
          </w:p>
          <w:p w14:paraId="785998E0" w14:textId="6062F2CD" w:rsidR="009C2598" w:rsidRPr="009C2598" w:rsidRDefault="009C2598" w:rsidP="0062012F">
            <w:pPr>
              <w:spacing w:after="0" w:line="300" w:lineRule="auto"/>
              <w:ind w:right="191"/>
              <w:jc w:val="both"/>
              <w:rPr>
                <w:rFonts w:ascii="ITC Avant Garde" w:hAnsi="ITC Avant Garde"/>
                <w:sz w:val="20"/>
                <w:szCs w:val="20"/>
              </w:rPr>
            </w:pPr>
            <w:r w:rsidRPr="009C2598">
              <w:rPr>
                <w:rFonts w:ascii="ITC Avant Garde" w:hAnsi="ITC Avant Garde"/>
                <w:sz w:val="20"/>
                <w:szCs w:val="20"/>
              </w:rPr>
              <w:t xml:space="preserve">Como se describe en el capítulo ‘5.1 Demanda mayorista considerada en el </w:t>
            </w:r>
            <w:r w:rsidR="00A469EB">
              <w:rPr>
                <w:rFonts w:ascii="ITC Avant Garde" w:hAnsi="ITC Avant Garde"/>
                <w:sz w:val="20"/>
                <w:szCs w:val="20"/>
              </w:rPr>
              <w:t>M</w:t>
            </w:r>
            <w:r w:rsidRPr="009C2598">
              <w:rPr>
                <w:rFonts w:ascii="ITC Avant Garde" w:hAnsi="ITC Avant Garde"/>
                <w:sz w:val="20"/>
                <w:szCs w:val="20"/>
              </w:rPr>
              <w:t xml:space="preserve">odelo’ del documento metodológico, el modelo contempla unos volúmenes de demanda mayorista de referencia para el cálculo de las tarifas de los servicios modelados. Las hipótesis consideradas para la definición de esta demanda son las siguientes: </w:t>
            </w:r>
          </w:p>
          <w:p w14:paraId="204ACC5A" w14:textId="77777777" w:rsidR="009C2598" w:rsidRPr="009C2598" w:rsidRDefault="009C2598" w:rsidP="0062012F">
            <w:pPr>
              <w:pStyle w:val="Prrafodelista"/>
              <w:numPr>
                <w:ilvl w:val="0"/>
                <w:numId w:val="17"/>
              </w:numPr>
              <w:spacing w:before="120" w:after="120" w:line="300" w:lineRule="auto"/>
              <w:ind w:right="191"/>
              <w:jc w:val="both"/>
              <w:rPr>
                <w:rFonts w:ascii="ITC Avant Garde" w:eastAsia="Times New Roman" w:hAnsi="ITC Avant Garde" w:cs="Times New Roman"/>
                <w:bCs/>
                <w:sz w:val="20"/>
                <w:szCs w:val="20"/>
                <w:lang w:val="es-CR" w:eastAsia="es-ES"/>
              </w:rPr>
            </w:pPr>
            <w:r w:rsidRPr="009C2598">
              <w:rPr>
                <w:rFonts w:ascii="ITC Avant Garde" w:eastAsia="Times New Roman" w:hAnsi="ITC Avant Garde" w:cs="Times New Roman"/>
                <w:bCs/>
                <w:sz w:val="20"/>
                <w:szCs w:val="20"/>
                <w:lang w:val="es-CR" w:eastAsia="es-ES"/>
              </w:rPr>
              <w:t xml:space="preserve">Para los </w:t>
            </w:r>
            <w:r w:rsidRPr="009C2598">
              <w:rPr>
                <w:rFonts w:ascii="ITC Avant Garde" w:eastAsia="Times New Roman" w:hAnsi="ITC Avant Garde" w:cs="Times New Roman"/>
                <w:b/>
                <w:bCs/>
                <w:sz w:val="20"/>
                <w:szCs w:val="20"/>
                <w:lang w:val="es-CR" w:eastAsia="es-ES"/>
              </w:rPr>
              <w:t>servicios de coubicación</w:t>
            </w:r>
            <w:r w:rsidRPr="009C2598">
              <w:rPr>
                <w:rFonts w:ascii="ITC Avant Garde" w:eastAsia="Times New Roman" w:hAnsi="ITC Avant Garde" w:cs="Times New Roman"/>
                <w:bCs/>
                <w:sz w:val="20"/>
                <w:szCs w:val="20"/>
                <w:lang w:val="es-CR" w:eastAsia="es-ES"/>
              </w:rPr>
              <w:t>, se asume que:</w:t>
            </w:r>
          </w:p>
          <w:p w14:paraId="708E5FA6" w14:textId="77777777" w:rsidR="009C2598" w:rsidRPr="009C2598" w:rsidRDefault="009C2598" w:rsidP="0062012F">
            <w:pPr>
              <w:pStyle w:val="Prrafodelista"/>
              <w:numPr>
                <w:ilvl w:val="3"/>
                <w:numId w:val="16"/>
              </w:numPr>
              <w:spacing w:after="0" w:line="300" w:lineRule="auto"/>
              <w:ind w:right="191"/>
              <w:jc w:val="both"/>
              <w:rPr>
                <w:rFonts w:ascii="ITC Avant Garde" w:eastAsia="Times New Roman" w:hAnsi="ITC Avant Garde" w:cs="Times New Roman"/>
                <w:sz w:val="20"/>
                <w:szCs w:val="20"/>
                <w:lang w:val="es-ES" w:eastAsia="es-ES"/>
              </w:rPr>
            </w:pPr>
            <w:r w:rsidRPr="009C2598">
              <w:rPr>
                <w:rFonts w:ascii="ITC Avant Garde" w:eastAsia="Times New Roman" w:hAnsi="ITC Avant Garde" w:cs="Times New Roman"/>
                <w:sz w:val="20"/>
                <w:szCs w:val="20"/>
                <w:lang w:val="es-ES" w:eastAsia="es-ES"/>
              </w:rPr>
              <w:t>Un concesionario solicitante requiere el servicio de coubicación en caseta relativo al espacio ocupado por un transmisor y un filtro de máscara requeridos para radiodifundir un canal con la misma potencia que radiodifunde el AEP en cada emplazamiento.</w:t>
            </w:r>
          </w:p>
          <w:p w14:paraId="20F86409" w14:textId="2CA28797" w:rsidR="009C2598" w:rsidRPr="009C2598" w:rsidRDefault="009C2598" w:rsidP="0062012F">
            <w:pPr>
              <w:pStyle w:val="Prrafodelista"/>
              <w:numPr>
                <w:ilvl w:val="3"/>
                <w:numId w:val="16"/>
              </w:numPr>
              <w:spacing w:after="0" w:line="300" w:lineRule="auto"/>
              <w:ind w:right="191"/>
              <w:jc w:val="both"/>
              <w:rPr>
                <w:rFonts w:ascii="ITC Avant Garde" w:eastAsia="Times New Roman" w:hAnsi="ITC Avant Garde" w:cs="Times New Roman"/>
                <w:sz w:val="20"/>
                <w:szCs w:val="20"/>
                <w:lang w:val="es-ES" w:eastAsia="es-ES"/>
              </w:rPr>
            </w:pPr>
            <w:r w:rsidRPr="009C2598">
              <w:rPr>
                <w:rFonts w:ascii="ITC Avant Garde" w:eastAsia="Times New Roman" w:hAnsi="ITC Avant Garde" w:cs="Times New Roman"/>
                <w:sz w:val="20"/>
                <w:szCs w:val="20"/>
                <w:lang w:val="es-ES" w:eastAsia="es-ES"/>
              </w:rPr>
              <w:t>Un concesionario solicitante requiere el servicio de coubicación en torre relativo al espacio lineal ocupado por un</w:t>
            </w:r>
            <w:r w:rsidR="00FC2519">
              <w:rPr>
                <w:rFonts w:ascii="ITC Avant Garde" w:eastAsia="Times New Roman" w:hAnsi="ITC Avant Garde" w:cs="Times New Roman"/>
                <w:sz w:val="20"/>
                <w:szCs w:val="20"/>
                <w:lang w:val="es-ES" w:eastAsia="es-ES"/>
              </w:rPr>
              <w:t>a antena</w:t>
            </w:r>
            <w:r w:rsidRPr="009C2598">
              <w:rPr>
                <w:rFonts w:ascii="ITC Avant Garde" w:eastAsia="Times New Roman" w:hAnsi="ITC Avant Garde" w:cs="Times New Roman"/>
                <w:sz w:val="20"/>
                <w:szCs w:val="20"/>
                <w:lang w:val="es-ES" w:eastAsia="es-ES"/>
              </w:rPr>
              <w:t xml:space="preserve"> radiante requerido para radiodifundir un canal con las mismas características que radiodifunde el AEP en cada emplazamiento.</w:t>
            </w:r>
          </w:p>
          <w:p w14:paraId="74226324" w14:textId="77777777" w:rsidR="009C2598" w:rsidRPr="009C2598" w:rsidRDefault="009C2598" w:rsidP="0062012F">
            <w:pPr>
              <w:pStyle w:val="Prrafodelista"/>
              <w:numPr>
                <w:ilvl w:val="3"/>
                <w:numId w:val="16"/>
              </w:numPr>
              <w:spacing w:after="0" w:line="300" w:lineRule="auto"/>
              <w:ind w:right="191"/>
              <w:jc w:val="both"/>
              <w:rPr>
                <w:rFonts w:ascii="ITC Avant Garde" w:eastAsia="Times New Roman" w:hAnsi="ITC Avant Garde" w:cs="Times New Roman"/>
                <w:sz w:val="20"/>
                <w:szCs w:val="20"/>
                <w:lang w:val="es-ES" w:eastAsia="es-ES"/>
              </w:rPr>
            </w:pPr>
            <w:r w:rsidRPr="009C2598">
              <w:rPr>
                <w:rFonts w:ascii="ITC Avant Garde" w:eastAsia="Times New Roman" w:hAnsi="ITC Avant Garde" w:cs="Times New Roman"/>
                <w:sz w:val="20"/>
                <w:szCs w:val="20"/>
                <w:lang w:eastAsia="es-ES"/>
              </w:rPr>
              <w:t>Un concesionario solicitante requiere el servicio de acceso a la fuente de energía relativo a la potencia eléctrica requerida para dar servicio y respaldar un transmisor necesario para radiodifundir un canal con la misma potencia que radiodifunde el AEP en cada emplazamiento.</w:t>
            </w:r>
          </w:p>
          <w:p w14:paraId="66424CEB" w14:textId="77777777" w:rsidR="009C2598" w:rsidRPr="009C2598" w:rsidRDefault="009C2598" w:rsidP="0062012F">
            <w:pPr>
              <w:pStyle w:val="Prrafodelista"/>
              <w:numPr>
                <w:ilvl w:val="0"/>
                <w:numId w:val="17"/>
              </w:numPr>
              <w:spacing w:before="120" w:after="120" w:line="300" w:lineRule="auto"/>
              <w:ind w:right="191"/>
              <w:jc w:val="both"/>
              <w:rPr>
                <w:rFonts w:ascii="ITC Avant Garde" w:eastAsia="Times New Roman" w:hAnsi="ITC Avant Garde" w:cs="Times New Roman"/>
                <w:bCs/>
                <w:sz w:val="20"/>
                <w:szCs w:val="20"/>
                <w:lang w:eastAsia="es-ES"/>
              </w:rPr>
            </w:pPr>
            <w:r w:rsidRPr="009C2598">
              <w:rPr>
                <w:rFonts w:ascii="ITC Avant Garde" w:eastAsia="Times New Roman" w:hAnsi="ITC Avant Garde" w:cs="Times New Roman"/>
                <w:bCs/>
                <w:sz w:val="20"/>
                <w:szCs w:val="20"/>
                <w:lang w:val="es-CR" w:eastAsia="es-ES"/>
              </w:rPr>
              <w:t xml:space="preserve">Para el </w:t>
            </w:r>
            <w:r w:rsidRPr="00A469EB">
              <w:rPr>
                <w:rFonts w:ascii="ITC Avant Garde" w:eastAsia="Times New Roman" w:hAnsi="ITC Avant Garde" w:cs="Times New Roman"/>
                <w:b/>
                <w:bCs/>
                <w:sz w:val="20"/>
                <w:szCs w:val="20"/>
                <w:lang w:val="es-CR" w:eastAsia="es-ES"/>
              </w:rPr>
              <w:t>servicio de emisión de señal</w:t>
            </w:r>
            <w:r w:rsidRPr="009C2598">
              <w:rPr>
                <w:rFonts w:ascii="ITC Avant Garde" w:eastAsia="Times New Roman" w:hAnsi="ITC Avant Garde" w:cs="Times New Roman"/>
                <w:bCs/>
                <w:sz w:val="20"/>
                <w:szCs w:val="20"/>
                <w:lang w:val="es-CR" w:eastAsia="es-ES"/>
              </w:rPr>
              <w:t>, se asume que un concesionario solicitante requiere la prestación del servicio de emisión de señal para un canal en cada emplazamiento. Esta hipótesis se asume sin menoscabo de que este servicio sólo se prestaría en caso de que no existiera espacio suficiente para coubicar todo el equipo que requiriese el concesionario solicitante para llevar a cabo la eficiente prestación del servicio de televisión radiodifundida.</w:t>
            </w:r>
          </w:p>
          <w:p w14:paraId="6452FED4" w14:textId="77777777" w:rsidR="009C2598" w:rsidRPr="00C41536" w:rsidRDefault="009C2598" w:rsidP="0062012F">
            <w:pPr>
              <w:spacing w:after="0" w:line="240" w:lineRule="auto"/>
              <w:rPr>
                <w:rFonts w:ascii="Century Gothic" w:eastAsia="Times New Roman" w:hAnsi="Century Gothic" w:cs="Times New Roman"/>
                <w:color w:val="000000"/>
                <w:lang w:eastAsia="es-MX"/>
              </w:rPr>
            </w:pPr>
          </w:p>
        </w:tc>
      </w:tr>
      <w:tr w:rsidR="009C2598" w:rsidRPr="004970C4" w14:paraId="7D646E3B" w14:textId="77777777" w:rsidTr="0062012F">
        <w:trPr>
          <w:trHeight w:val="290"/>
        </w:trPr>
        <w:tc>
          <w:tcPr>
            <w:tcW w:w="8647" w:type="dxa"/>
            <w:shd w:val="clear" w:color="auto" w:fill="DBDBDB" w:themeFill="accent3" w:themeFillTint="66"/>
            <w:vAlign w:val="center"/>
          </w:tcPr>
          <w:p w14:paraId="256A62FE" w14:textId="2B963DED" w:rsidR="009C2598" w:rsidRPr="009C2598" w:rsidRDefault="009C2598" w:rsidP="0062012F">
            <w:pPr>
              <w:spacing w:line="300" w:lineRule="auto"/>
              <w:ind w:right="191"/>
              <w:jc w:val="both"/>
              <w:rPr>
                <w:rFonts w:ascii="ITC Avant Garde" w:hAnsi="ITC Avant Garde"/>
                <w:sz w:val="20"/>
                <w:szCs w:val="20"/>
              </w:rPr>
            </w:pPr>
            <w:r w:rsidRPr="002448EE">
              <w:rPr>
                <w:rFonts w:ascii="ITC Avant Garde" w:hAnsi="ITC Avant Garde"/>
                <w:b/>
                <w:sz w:val="20"/>
                <w:szCs w:val="20"/>
              </w:rPr>
              <w:t xml:space="preserve">P. </w:t>
            </w:r>
            <w:r w:rsidRPr="002448EE">
              <w:rPr>
                <w:rFonts w:ascii="ITC Avant Garde" w:hAnsi="ITC Avant Garde"/>
                <w:b/>
                <w:sz w:val="20"/>
                <w:szCs w:val="20"/>
              </w:rPr>
              <w:fldChar w:fldCharType="begin"/>
            </w:r>
            <w:r w:rsidRPr="002448EE">
              <w:rPr>
                <w:rFonts w:ascii="ITC Avant Garde" w:hAnsi="ITC Avant Garde"/>
                <w:b/>
                <w:sz w:val="20"/>
                <w:szCs w:val="20"/>
              </w:rPr>
              <w:instrText xml:space="preserve"> SEQ Question \* ARABIC </w:instrText>
            </w:r>
            <w:r w:rsidRPr="002448EE">
              <w:rPr>
                <w:rFonts w:ascii="ITC Avant Garde" w:hAnsi="ITC Avant Garde"/>
                <w:b/>
                <w:sz w:val="20"/>
                <w:szCs w:val="20"/>
              </w:rPr>
              <w:fldChar w:fldCharType="separate"/>
            </w:r>
            <w:r w:rsidRPr="002448EE">
              <w:rPr>
                <w:rFonts w:ascii="ITC Avant Garde" w:hAnsi="ITC Avant Garde"/>
                <w:b/>
                <w:noProof/>
                <w:sz w:val="20"/>
                <w:szCs w:val="20"/>
              </w:rPr>
              <w:t>2</w:t>
            </w:r>
            <w:r w:rsidRPr="002448EE">
              <w:rPr>
                <w:rFonts w:ascii="ITC Avant Garde" w:hAnsi="ITC Avant Garde"/>
                <w:b/>
                <w:sz w:val="20"/>
                <w:szCs w:val="20"/>
              </w:rPr>
              <w:fldChar w:fldCharType="end"/>
            </w:r>
            <w:r w:rsidRPr="002448EE">
              <w:rPr>
                <w:rFonts w:ascii="ITC Avant Garde" w:hAnsi="ITC Avant Garde"/>
                <w:b/>
                <w:sz w:val="20"/>
                <w:szCs w:val="20"/>
              </w:rPr>
              <w:t xml:space="preserve">: </w:t>
            </w:r>
            <w:r w:rsidRPr="002448EE">
              <w:rPr>
                <w:rFonts w:ascii="ITC Avant Garde" w:hAnsi="ITC Avant Garde"/>
                <w:sz w:val="20"/>
                <w:szCs w:val="20"/>
              </w:rPr>
              <w:t>¿Considera adecuadas las consideraciones tomadas en la definición de la demanda mayorista?</w:t>
            </w:r>
          </w:p>
        </w:tc>
      </w:tr>
      <w:tr w:rsidR="009C2598" w:rsidRPr="004970C4" w14:paraId="12340CFC" w14:textId="77777777" w:rsidTr="0062012F">
        <w:trPr>
          <w:trHeight w:val="290"/>
        </w:trPr>
        <w:tc>
          <w:tcPr>
            <w:tcW w:w="8647" w:type="dxa"/>
            <w:shd w:val="clear" w:color="auto" w:fill="auto"/>
            <w:vAlign w:val="center"/>
          </w:tcPr>
          <w:p w14:paraId="6EC18C66" w14:textId="07FED9C0" w:rsidR="009C2598" w:rsidRPr="009C2598" w:rsidRDefault="009C2598" w:rsidP="0062012F">
            <w:pPr>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tc>
      </w:tr>
      <w:tr w:rsidR="00424956" w:rsidRPr="004970C4" w14:paraId="5DCBBCD4" w14:textId="77777777" w:rsidTr="0062012F">
        <w:trPr>
          <w:trHeight w:val="3930"/>
        </w:trPr>
        <w:tc>
          <w:tcPr>
            <w:tcW w:w="8647" w:type="dxa"/>
            <w:shd w:val="clear" w:color="auto" w:fill="FFFFFF" w:themeFill="background1"/>
            <w:vAlign w:val="center"/>
          </w:tcPr>
          <w:p w14:paraId="4E5DEB77" w14:textId="77777777" w:rsidR="00424956" w:rsidRPr="0062012F" w:rsidRDefault="00424956" w:rsidP="0062012F">
            <w:pPr>
              <w:keepNext/>
              <w:numPr>
                <w:ilvl w:val="2"/>
                <w:numId w:val="0"/>
              </w:numPr>
              <w:spacing w:before="360" w:after="120" w:line="336" w:lineRule="auto"/>
              <w:ind w:right="191"/>
              <w:jc w:val="center"/>
              <w:outlineLvl w:val="2"/>
              <w:rPr>
                <w:rFonts w:ascii="ITC Avant Garde" w:eastAsia="Times New Roman" w:hAnsi="ITC Avant Garde" w:cs="Arial"/>
                <w:b/>
                <w:bCs/>
                <w:sz w:val="20"/>
                <w:szCs w:val="20"/>
                <w:u w:val="single"/>
                <w:lang w:val="es-ES_tradnl" w:eastAsia="es-ES"/>
              </w:rPr>
            </w:pPr>
            <w:r w:rsidRPr="0062012F">
              <w:rPr>
                <w:rFonts w:ascii="ITC Avant Garde" w:eastAsia="Times New Roman" w:hAnsi="ITC Avant Garde" w:cs="Arial"/>
                <w:b/>
                <w:bCs/>
                <w:sz w:val="20"/>
                <w:szCs w:val="20"/>
                <w:u w:val="single"/>
                <w:lang w:val="es-ES_tradnl" w:eastAsia="es-ES"/>
              </w:rPr>
              <w:lastRenderedPageBreak/>
              <w:t>II.4.2 CAPEX y OPEX unitarios</w:t>
            </w:r>
          </w:p>
          <w:p w14:paraId="041F1A96" w14:textId="77777777" w:rsidR="00424956" w:rsidRPr="002448EE" w:rsidRDefault="00424956" w:rsidP="0062012F">
            <w:pPr>
              <w:spacing w:after="0" w:line="300" w:lineRule="auto"/>
              <w:ind w:right="191"/>
              <w:jc w:val="both"/>
              <w:rPr>
                <w:rFonts w:ascii="ITC Avant Garde" w:hAnsi="ITC Avant Garde"/>
                <w:sz w:val="20"/>
                <w:szCs w:val="20"/>
                <w:lang w:val="es-ES_tradnl"/>
              </w:rPr>
            </w:pPr>
            <w:r w:rsidRPr="002448EE">
              <w:rPr>
                <w:rFonts w:ascii="ITC Avant Garde" w:hAnsi="ITC Avant Garde"/>
                <w:sz w:val="20"/>
                <w:szCs w:val="20"/>
                <w:lang w:val="es-ES_tradnl"/>
              </w:rPr>
              <w:t>Como se menciona en el capítulo ‘2.1 Categorías de costo a considerar’ del documento metodológico, las categorías de costo consideradas en el modelo son los CAPEX y OPEX de la infraestructura, así como los Costos Generales y de Administración. Asimismo, en el capítulo ‘7. Costeo de recursos (CAPEX y OPEX)’ del mismo documento se detalla el proceso seguido para el cálculo de los mismos dentro del modelo.</w:t>
            </w:r>
          </w:p>
          <w:p w14:paraId="384BA49D" w14:textId="77777777" w:rsidR="00424956" w:rsidRPr="002448EE" w:rsidRDefault="00424956" w:rsidP="0062012F">
            <w:pPr>
              <w:spacing w:after="0" w:line="300" w:lineRule="auto"/>
              <w:ind w:right="191"/>
              <w:jc w:val="both"/>
              <w:rPr>
                <w:rFonts w:ascii="ITC Avant Garde" w:hAnsi="ITC Avant Garde"/>
                <w:sz w:val="20"/>
                <w:szCs w:val="20"/>
                <w:lang w:val="es-ES_tradnl"/>
              </w:rPr>
            </w:pPr>
          </w:p>
          <w:p w14:paraId="26FFE711" w14:textId="77777777" w:rsidR="00424956" w:rsidRDefault="00424956" w:rsidP="0062012F">
            <w:pPr>
              <w:spacing w:after="0" w:line="300" w:lineRule="auto"/>
              <w:ind w:right="191"/>
              <w:jc w:val="both"/>
              <w:rPr>
                <w:rFonts w:ascii="ITC Avant Garde" w:hAnsi="ITC Avant Garde"/>
                <w:sz w:val="20"/>
                <w:szCs w:val="20"/>
              </w:rPr>
            </w:pPr>
            <w:r w:rsidRPr="002448EE">
              <w:rPr>
                <w:rFonts w:ascii="ITC Avant Garde" w:hAnsi="ITC Avant Garde"/>
                <w:sz w:val="20"/>
                <w:szCs w:val="20"/>
              </w:rPr>
              <w:t>A fin de preservar la confidencialidad de la información aportada por los operadores con relación a los valores de CAPEX y OPEX, se han anonimizado los mismos aplicando un fact</w:t>
            </w:r>
            <w:r>
              <w:rPr>
                <w:rFonts w:ascii="ITC Avant Garde" w:hAnsi="ITC Avant Garde"/>
                <w:sz w:val="20"/>
                <w:szCs w:val="20"/>
              </w:rPr>
              <w:t>or aleatorio entre -30% y +30%.</w:t>
            </w:r>
          </w:p>
          <w:p w14:paraId="0A50EE1E" w14:textId="48F6F6BF" w:rsidR="0062012F" w:rsidRPr="009C2598" w:rsidRDefault="0062012F" w:rsidP="0062012F">
            <w:pPr>
              <w:spacing w:after="0" w:line="300" w:lineRule="auto"/>
              <w:ind w:right="191"/>
              <w:jc w:val="both"/>
              <w:rPr>
                <w:rFonts w:ascii="ITC Avant Garde" w:eastAsia="Times New Roman" w:hAnsi="ITC Avant Garde" w:cs="Arial"/>
                <w:b/>
                <w:bCs/>
                <w:sz w:val="20"/>
                <w:szCs w:val="20"/>
                <w:lang w:val="es-ES_tradnl" w:eastAsia="es-ES"/>
              </w:rPr>
            </w:pPr>
          </w:p>
        </w:tc>
      </w:tr>
      <w:tr w:rsidR="009C2598" w:rsidRPr="004970C4" w14:paraId="1ABE9F46" w14:textId="77777777" w:rsidTr="0062012F">
        <w:trPr>
          <w:trHeight w:val="290"/>
        </w:trPr>
        <w:tc>
          <w:tcPr>
            <w:tcW w:w="8647" w:type="dxa"/>
            <w:shd w:val="clear" w:color="auto" w:fill="DBDBDB" w:themeFill="accent3" w:themeFillTint="66"/>
            <w:vAlign w:val="center"/>
          </w:tcPr>
          <w:p w14:paraId="034C21F0" w14:textId="3DB5852F" w:rsidR="009C2598" w:rsidRPr="00611523" w:rsidRDefault="00611523" w:rsidP="0062012F">
            <w:pPr>
              <w:spacing w:before="120" w:line="300" w:lineRule="auto"/>
              <w:jc w:val="both"/>
              <w:rPr>
                <w:rFonts w:ascii="ITC Avant Garde" w:hAnsi="ITC Avant Garde"/>
                <w:sz w:val="20"/>
                <w:szCs w:val="20"/>
              </w:rPr>
            </w:pPr>
            <w:r w:rsidRPr="002448EE">
              <w:rPr>
                <w:rFonts w:ascii="ITC Avant Garde" w:hAnsi="ITC Avant Garde"/>
                <w:b/>
                <w:sz w:val="20"/>
                <w:szCs w:val="20"/>
              </w:rPr>
              <w:t xml:space="preserve">P. </w:t>
            </w:r>
            <w:r w:rsidRPr="002448EE">
              <w:rPr>
                <w:rFonts w:ascii="ITC Avant Garde" w:hAnsi="ITC Avant Garde"/>
                <w:b/>
                <w:sz w:val="20"/>
                <w:szCs w:val="20"/>
              </w:rPr>
              <w:fldChar w:fldCharType="begin"/>
            </w:r>
            <w:r w:rsidRPr="002448EE">
              <w:rPr>
                <w:rFonts w:ascii="ITC Avant Garde" w:hAnsi="ITC Avant Garde"/>
                <w:b/>
                <w:sz w:val="20"/>
                <w:szCs w:val="20"/>
              </w:rPr>
              <w:instrText xml:space="preserve"> SEQ Question \* ARABIC </w:instrText>
            </w:r>
            <w:r w:rsidRPr="002448EE">
              <w:rPr>
                <w:rFonts w:ascii="ITC Avant Garde" w:hAnsi="ITC Avant Garde"/>
                <w:b/>
                <w:sz w:val="20"/>
                <w:szCs w:val="20"/>
              </w:rPr>
              <w:fldChar w:fldCharType="separate"/>
            </w:r>
            <w:r w:rsidRPr="002448EE">
              <w:rPr>
                <w:rFonts w:ascii="ITC Avant Garde" w:hAnsi="ITC Avant Garde"/>
                <w:b/>
                <w:noProof/>
                <w:sz w:val="20"/>
                <w:szCs w:val="20"/>
              </w:rPr>
              <w:t>3</w:t>
            </w:r>
            <w:r w:rsidRPr="002448EE">
              <w:rPr>
                <w:rFonts w:ascii="ITC Avant Garde" w:hAnsi="ITC Avant Garde"/>
                <w:b/>
                <w:sz w:val="20"/>
                <w:szCs w:val="20"/>
              </w:rPr>
              <w:fldChar w:fldCharType="end"/>
            </w:r>
            <w:r w:rsidRPr="002448EE">
              <w:rPr>
                <w:rFonts w:ascii="ITC Avant Garde" w:hAnsi="ITC Avant Garde"/>
                <w:b/>
                <w:sz w:val="20"/>
                <w:szCs w:val="20"/>
              </w:rPr>
              <w:t xml:space="preserve">: </w:t>
            </w:r>
            <w:r w:rsidRPr="002448EE">
              <w:rPr>
                <w:rFonts w:ascii="ITC Avant Garde" w:hAnsi="ITC Avant Garde"/>
                <w:sz w:val="20"/>
                <w:szCs w:val="20"/>
              </w:rPr>
              <w:t>Teniendo en consideración la anonimización de aquellos insumos aportados por los operadores con un rango de variación entre -30% y +30%, ¿considera representativos los niveles de CAPEX y OPEX unitarios de los recursos considerados en el modelo?</w:t>
            </w:r>
          </w:p>
        </w:tc>
      </w:tr>
      <w:tr w:rsidR="009C2598" w:rsidRPr="004970C4" w14:paraId="07CA7D7E" w14:textId="77777777" w:rsidTr="0062012F">
        <w:trPr>
          <w:trHeight w:val="290"/>
        </w:trPr>
        <w:tc>
          <w:tcPr>
            <w:tcW w:w="8647" w:type="dxa"/>
            <w:shd w:val="clear" w:color="auto" w:fill="auto"/>
            <w:vAlign w:val="center"/>
          </w:tcPr>
          <w:p w14:paraId="36702865" w14:textId="1775ED5D" w:rsidR="009C2598" w:rsidRPr="00611523" w:rsidRDefault="00611523" w:rsidP="0062012F">
            <w:pPr>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tc>
      </w:tr>
      <w:tr w:rsidR="009C2598" w:rsidRPr="004970C4" w14:paraId="1B25D30A" w14:textId="77777777" w:rsidTr="0062012F">
        <w:trPr>
          <w:trHeight w:val="290"/>
        </w:trPr>
        <w:tc>
          <w:tcPr>
            <w:tcW w:w="8647" w:type="dxa"/>
            <w:shd w:val="clear" w:color="auto" w:fill="DBDBDB" w:themeFill="accent3" w:themeFillTint="66"/>
            <w:vAlign w:val="center"/>
          </w:tcPr>
          <w:p w14:paraId="23DE1DB1" w14:textId="729C7125" w:rsidR="009C2598" w:rsidRPr="00611523" w:rsidRDefault="00611523" w:rsidP="0062012F">
            <w:pPr>
              <w:spacing w:before="120" w:line="300" w:lineRule="auto"/>
              <w:jc w:val="both"/>
              <w:rPr>
                <w:rFonts w:ascii="ITC Avant Garde" w:hAnsi="ITC Avant Garde"/>
                <w:sz w:val="20"/>
                <w:szCs w:val="20"/>
              </w:rPr>
            </w:pPr>
            <w:r w:rsidRPr="002448EE">
              <w:rPr>
                <w:rFonts w:ascii="ITC Avant Garde" w:hAnsi="ITC Avant Garde"/>
                <w:b/>
                <w:sz w:val="20"/>
                <w:szCs w:val="20"/>
              </w:rPr>
              <w:t xml:space="preserve">P. </w:t>
            </w:r>
            <w:r w:rsidRPr="002448EE">
              <w:rPr>
                <w:rFonts w:ascii="ITC Avant Garde" w:hAnsi="ITC Avant Garde"/>
                <w:b/>
                <w:sz w:val="20"/>
                <w:szCs w:val="20"/>
              </w:rPr>
              <w:fldChar w:fldCharType="begin"/>
            </w:r>
            <w:r w:rsidRPr="002448EE">
              <w:rPr>
                <w:rFonts w:ascii="ITC Avant Garde" w:hAnsi="ITC Avant Garde"/>
                <w:b/>
                <w:sz w:val="20"/>
                <w:szCs w:val="20"/>
              </w:rPr>
              <w:instrText xml:space="preserve"> SEQ Question \* ARABIC </w:instrText>
            </w:r>
            <w:r w:rsidRPr="002448EE">
              <w:rPr>
                <w:rFonts w:ascii="ITC Avant Garde" w:hAnsi="ITC Avant Garde"/>
                <w:b/>
                <w:sz w:val="20"/>
                <w:szCs w:val="20"/>
              </w:rPr>
              <w:fldChar w:fldCharType="separate"/>
            </w:r>
            <w:r w:rsidRPr="002448EE">
              <w:rPr>
                <w:rFonts w:ascii="ITC Avant Garde" w:hAnsi="ITC Avant Garde"/>
                <w:b/>
                <w:noProof/>
                <w:sz w:val="20"/>
                <w:szCs w:val="20"/>
              </w:rPr>
              <w:t>4</w:t>
            </w:r>
            <w:r w:rsidRPr="002448EE">
              <w:rPr>
                <w:rFonts w:ascii="ITC Avant Garde" w:hAnsi="ITC Avant Garde"/>
                <w:b/>
                <w:sz w:val="20"/>
                <w:szCs w:val="20"/>
              </w:rPr>
              <w:fldChar w:fldCharType="end"/>
            </w:r>
            <w:r w:rsidRPr="002448EE">
              <w:rPr>
                <w:rFonts w:ascii="ITC Avant Garde" w:hAnsi="ITC Avant Garde"/>
                <w:b/>
                <w:sz w:val="20"/>
                <w:szCs w:val="20"/>
              </w:rPr>
              <w:t xml:space="preserve">: </w:t>
            </w:r>
            <w:r w:rsidRPr="002448EE">
              <w:rPr>
                <w:rFonts w:ascii="ITC Avant Garde" w:hAnsi="ITC Avant Garde"/>
                <w:sz w:val="20"/>
                <w:szCs w:val="20"/>
              </w:rPr>
              <w:t>¿Considera representativas las tendencias de CAPEX y OPEX para cada uno de los recursos considerados en el modelo?</w:t>
            </w:r>
          </w:p>
        </w:tc>
      </w:tr>
      <w:tr w:rsidR="009C2598" w:rsidRPr="004970C4" w14:paraId="09CEC221" w14:textId="77777777" w:rsidTr="0062012F">
        <w:trPr>
          <w:trHeight w:val="290"/>
        </w:trPr>
        <w:tc>
          <w:tcPr>
            <w:tcW w:w="8647" w:type="dxa"/>
            <w:shd w:val="clear" w:color="auto" w:fill="auto"/>
            <w:vAlign w:val="center"/>
          </w:tcPr>
          <w:p w14:paraId="2D0DE9CA" w14:textId="5BDE4D66" w:rsidR="009C2598" w:rsidRPr="00611523" w:rsidRDefault="00611523" w:rsidP="0062012F">
            <w:pPr>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tc>
      </w:tr>
      <w:tr w:rsidR="00424956" w:rsidRPr="004970C4" w14:paraId="0AEBD043" w14:textId="77777777" w:rsidTr="0062012F">
        <w:trPr>
          <w:trHeight w:val="1331"/>
        </w:trPr>
        <w:tc>
          <w:tcPr>
            <w:tcW w:w="8647" w:type="dxa"/>
            <w:shd w:val="clear" w:color="auto" w:fill="FFFFFF" w:themeFill="background1"/>
            <w:vAlign w:val="center"/>
          </w:tcPr>
          <w:p w14:paraId="1D2A9936" w14:textId="4BFC8CFB" w:rsidR="00424956" w:rsidRPr="0062012F" w:rsidRDefault="00424956" w:rsidP="0062012F">
            <w:pPr>
              <w:keepNext/>
              <w:numPr>
                <w:ilvl w:val="2"/>
                <w:numId w:val="0"/>
              </w:numPr>
              <w:spacing w:before="360" w:after="120" w:line="336" w:lineRule="auto"/>
              <w:jc w:val="center"/>
              <w:outlineLvl w:val="2"/>
              <w:rPr>
                <w:rFonts w:ascii="ITC Avant Garde" w:eastAsia="Times New Roman" w:hAnsi="ITC Avant Garde" w:cs="Arial"/>
                <w:b/>
                <w:bCs/>
                <w:sz w:val="20"/>
                <w:szCs w:val="20"/>
                <w:u w:val="single"/>
                <w:lang w:val="es-ES_tradnl" w:eastAsia="es-ES"/>
              </w:rPr>
            </w:pPr>
            <w:r w:rsidRPr="0062012F">
              <w:rPr>
                <w:rFonts w:ascii="ITC Avant Garde" w:eastAsia="Times New Roman" w:hAnsi="ITC Avant Garde" w:cs="Arial"/>
                <w:b/>
                <w:bCs/>
                <w:sz w:val="20"/>
                <w:szCs w:val="20"/>
                <w:u w:val="single"/>
                <w:lang w:val="es-ES_tradnl" w:eastAsia="es-ES"/>
              </w:rPr>
              <w:t>II.4.3 Vidas útiles de los elementos de la infraestructura</w:t>
            </w:r>
          </w:p>
          <w:p w14:paraId="43D36D7E" w14:textId="77777777" w:rsidR="00424956" w:rsidRDefault="00424956" w:rsidP="0062012F">
            <w:pPr>
              <w:spacing w:after="0" w:line="25" w:lineRule="atLeast"/>
              <w:rPr>
                <w:rFonts w:ascii="ITC Avant Garde" w:hAnsi="ITC Avant Garde"/>
                <w:sz w:val="20"/>
                <w:szCs w:val="20"/>
                <w:lang w:val="es-ES_tradnl"/>
              </w:rPr>
            </w:pPr>
            <w:r w:rsidRPr="002448EE">
              <w:rPr>
                <w:rFonts w:ascii="ITC Avant Garde" w:hAnsi="ITC Avant Garde"/>
                <w:sz w:val="20"/>
                <w:szCs w:val="20"/>
                <w:lang w:val="es-ES_tradnl"/>
              </w:rPr>
              <w:t>La vida útil es el tiempo durante el cual un activo puede ser utilizado, es decir que es utilizado para producir un bien o servicio</w:t>
            </w:r>
            <w:r>
              <w:rPr>
                <w:rFonts w:ascii="ITC Avant Garde" w:hAnsi="ITC Avant Garde"/>
                <w:sz w:val="20"/>
                <w:szCs w:val="20"/>
                <w:lang w:val="es-ES_tradnl"/>
              </w:rPr>
              <w:t xml:space="preserve"> y que puede generar una renta.</w:t>
            </w:r>
          </w:p>
          <w:p w14:paraId="464CC9F0" w14:textId="064463FE" w:rsidR="0062012F" w:rsidRPr="00611523" w:rsidRDefault="0062012F" w:rsidP="0062012F">
            <w:pPr>
              <w:spacing w:after="0" w:line="25" w:lineRule="atLeast"/>
              <w:rPr>
                <w:rFonts w:ascii="ITC Avant Garde" w:eastAsia="Times New Roman" w:hAnsi="ITC Avant Garde" w:cs="Arial"/>
                <w:b/>
                <w:bCs/>
                <w:sz w:val="20"/>
                <w:szCs w:val="20"/>
                <w:lang w:val="es-ES_tradnl" w:eastAsia="es-ES"/>
              </w:rPr>
            </w:pPr>
          </w:p>
        </w:tc>
      </w:tr>
      <w:tr w:rsidR="009C2598" w:rsidRPr="004970C4" w14:paraId="5A7F15FE" w14:textId="77777777" w:rsidTr="0062012F">
        <w:trPr>
          <w:trHeight w:val="290"/>
        </w:trPr>
        <w:tc>
          <w:tcPr>
            <w:tcW w:w="8647" w:type="dxa"/>
            <w:shd w:val="clear" w:color="auto" w:fill="DBDBDB" w:themeFill="accent3" w:themeFillTint="66"/>
            <w:vAlign w:val="center"/>
          </w:tcPr>
          <w:p w14:paraId="3FF2A3B4" w14:textId="485245FC" w:rsidR="009C2598" w:rsidRPr="00611523" w:rsidRDefault="00611523" w:rsidP="0062012F">
            <w:pPr>
              <w:spacing w:before="120" w:line="25" w:lineRule="atLeast"/>
              <w:jc w:val="both"/>
              <w:rPr>
                <w:rFonts w:ascii="ITC Avant Garde" w:hAnsi="ITC Avant Garde"/>
                <w:sz w:val="20"/>
                <w:szCs w:val="20"/>
              </w:rPr>
            </w:pPr>
            <w:r w:rsidRPr="002448EE">
              <w:rPr>
                <w:rFonts w:ascii="ITC Avant Garde" w:hAnsi="ITC Avant Garde"/>
                <w:b/>
                <w:sz w:val="20"/>
                <w:szCs w:val="20"/>
              </w:rPr>
              <w:t xml:space="preserve">P. </w:t>
            </w:r>
            <w:r w:rsidRPr="002448EE">
              <w:rPr>
                <w:rFonts w:ascii="ITC Avant Garde" w:hAnsi="ITC Avant Garde"/>
                <w:b/>
                <w:sz w:val="20"/>
                <w:szCs w:val="20"/>
              </w:rPr>
              <w:fldChar w:fldCharType="begin"/>
            </w:r>
            <w:r w:rsidRPr="002448EE">
              <w:rPr>
                <w:rFonts w:ascii="ITC Avant Garde" w:hAnsi="ITC Avant Garde"/>
                <w:b/>
                <w:sz w:val="20"/>
                <w:szCs w:val="20"/>
              </w:rPr>
              <w:instrText xml:space="preserve"> SEQ Question \* ARABIC </w:instrText>
            </w:r>
            <w:r w:rsidRPr="002448EE">
              <w:rPr>
                <w:rFonts w:ascii="ITC Avant Garde" w:hAnsi="ITC Avant Garde"/>
                <w:b/>
                <w:sz w:val="20"/>
                <w:szCs w:val="20"/>
              </w:rPr>
              <w:fldChar w:fldCharType="separate"/>
            </w:r>
            <w:r w:rsidRPr="002448EE">
              <w:rPr>
                <w:rFonts w:ascii="ITC Avant Garde" w:hAnsi="ITC Avant Garde"/>
                <w:b/>
                <w:noProof/>
                <w:sz w:val="20"/>
                <w:szCs w:val="20"/>
              </w:rPr>
              <w:t>5</w:t>
            </w:r>
            <w:r w:rsidRPr="002448EE">
              <w:rPr>
                <w:rFonts w:ascii="ITC Avant Garde" w:hAnsi="ITC Avant Garde"/>
                <w:b/>
                <w:sz w:val="20"/>
                <w:szCs w:val="20"/>
              </w:rPr>
              <w:fldChar w:fldCharType="end"/>
            </w:r>
            <w:r w:rsidRPr="002448EE">
              <w:rPr>
                <w:rFonts w:ascii="ITC Avant Garde" w:hAnsi="ITC Avant Garde"/>
                <w:b/>
                <w:sz w:val="20"/>
                <w:szCs w:val="20"/>
              </w:rPr>
              <w:t xml:space="preserve">: </w:t>
            </w:r>
            <w:r w:rsidRPr="002448EE">
              <w:rPr>
                <w:rFonts w:ascii="ITC Avant Garde" w:hAnsi="ITC Avant Garde"/>
                <w:sz w:val="20"/>
                <w:szCs w:val="20"/>
              </w:rPr>
              <w:t>¿Considera representativas las vidas útiles asociadas a cada uno de los recursos considerados en el modelo?</w:t>
            </w:r>
          </w:p>
        </w:tc>
      </w:tr>
      <w:tr w:rsidR="009C2598" w:rsidRPr="004970C4" w14:paraId="3C20A24E" w14:textId="77777777" w:rsidTr="0062012F">
        <w:trPr>
          <w:trHeight w:val="290"/>
        </w:trPr>
        <w:tc>
          <w:tcPr>
            <w:tcW w:w="8647" w:type="dxa"/>
            <w:shd w:val="clear" w:color="auto" w:fill="auto"/>
            <w:vAlign w:val="center"/>
          </w:tcPr>
          <w:p w14:paraId="534C95EE" w14:textId="3A9B7F00" w:rsidR="009C2598" w:rsidRPr="00C41536" w:rsidRDefault="00611523" w:rsidP="0062012F">
            <w:pPr>
              <w:spacing w:after="0" w:line="240" w:lineRule="auto"/>
              <w:rPr>
                <w:rFonts w:ascii="Century Gothic" w:eastAsia="Times New Roman" w:hAnsi="Century Gothic" w:cs="Times New Roman"/>
                <w:color w:val="000000"/>
                <w:lang w:eastAsia="es-MX"/>
              </w:rPr>
            </w:pPr>
            <w:r>
              <w:rPr>
                <w:rFonts w:ascii="Century Gothic" w:eastAsia="Times New Roman" w:hAnsi="Century Gothic" w:cs="Times New Roman"/>
                <w:color w:val="000000"/>
                <w:sz w:val="20"/>
                <w:szCs w:val="20"/>
                <w:lang w:eastAsia="es-MX"/>
              </w:rPr>
              <w:t>Proporcione su c</w:t>
            </w:r>
            <w:r w:rsidRPr="00412524">
              <w:rPr>
                <w:rFonts w:ascii="Century Gothic" w:eastAsia="Times New Roman" w:hAnsi="Century Gothic" w:cs="Times New Roman"/>
                <w:color w:val="000000"/>
                <w:sz w:val="20"/>
                <w:szCs w:val="20"/>
                <w:lang w:eastAsia="es-MX"/>
              </w:rPr>
              <w:t>omentario</w:t>
            </w:r>
            <w:r>
              <w:rPr>
                <w:rFonts w:ascii="Century Gothic" w:eastAsia="Times New Roman" w:hAnsi="Century Gothic" w:cs="Times New Roman"/>
                <w:color w:val="000000"/>
                <w:sz w:val="20"/>
                <w:szCs w:val="20"/>
                <w:lang w:eastAsia="es-MX"/>
              </w:rPr>
              <w:t>:</w:t>
            </w:r>
          </w:p>
        </w:tc>
      </w:tr>
      <w:tr w:rsidR="00424956" w:rsidRPr="004970C4" w14:paraId="3839BBBB" w14:textId="77777777" w:rsidTr="0062012F">
        <w:trPr>
          <w:trHeight w:val="5291"/>
        </w:trPr>
        <w:tc>
          <w:tcPr>
            <w:tcW w:w="8647" w:type="dxa"/>
            <w:shd w:val="clear" w:color="auto" w:fill="FFFFFF" w:themeFill="background1"/>
            <w:vAlign w:val="center"/>
          </w:tcPr>
          <w:p w14:paraId="4382491E" w14:textId="4F098527" w:rsidR="00424956" w:rsidRPr="0062012F" w:rsidRDefault="00424956" w:rsidP="0062012F">
            <w:pPr>
              <w:keepNext/>
              <w:numPr>
                <w:ilvl w:val="2"/>
                <w:numId w:val="0"/>
              </w:numPr>
              <w:spacing w:before="360" w:after="120" w:line="336" w:lineRule="auto"/>
              <w:ind w:left="357" w:hanging="357"/>
              <w:jc w:val="center"/>
              <w:outlineLvl w:val="2"/>
              <w:rPr>
                <w:rFonts w:ascii="ITC Avant Garde" w:eastAsia="Times New Roman" w:hAnsi="ITC Avant Garde" w:cs="Arial"/>
                <w:b/>
                <w:bCs/>
                <w:sz w:val="20"/>
                <w:szCs w:val="20"/>
                <w:u w:val="single"/>
                <w:lang w:val="es-ES_tradnl" w:eastAsia="es-ES"/>
              </w:rPr>
            </w:pPr>
            <w:r w:rsidRPr="0062012F">
              <w:rPr>
                <w:rFonts w:ascii="ITC Avant Garde" w:eastAsia="Times New Roman" w:hAnsi="ITC Avant Garde" w:cs="Arial"/>
                <w:b/>
                <w:bCs/>
                <w:sz w:val="20"/>
                <w:szCs w:val="20"/>
                <w:u w:val="single"/>
                <w:lang w:val="es-ES_tradnl" w:eastAsia="es-ES"/>
              </w:rPr>
              <w:lastRenderedPageBreak/>
              <w:t>II.4.4  Depreciación de costos</w:t>
            </w:r>
          </w:p>
          <w:p w14:paraId="783BE84D" w14:textId="77777777" w:rsidR="00424956" w:rsidRPr="002448EE" w:rsidRDefault="00424956" w:rsidP="0062012F">
            <w:pPr>
              <w:spacing w:after="0" w:line="25" w:lineRule="atLeast"/>
              <w:rPr>
                <w:rFonts w:ascii="ITC Avant Garde" w:hAnsi="ITC Avant Garde"/>
                <w:sz w:val="20"/>
                <w:szCs w:val="20"/>
                <w:lang w:val="es-ES_tradnl"/>
              </w:rPr>
            </w:pPr>
            <w:r w:rsidRPr="002448EE">
              <w:rPr>
                <w:rFonts w:ascii="ITC Avant Garde" w:hAnsi="ITC Avant Garde"/>
                <w:sz w:val="20"/>
                <w:szCs w:val="20"/>
                <w:lang w:val="es-ES_tradnl"/>
              </w:rPr>
              <w:t>El valor de mercado de un activo está determinado por los flujos de efectivo que el inversionista espera que genere el activo durante su vida útil, descontados a una tasa de interés, que representa el costo de oportunidad. Por tanto, el valor de mercado de un activo se ve directamente afectado por cambios en las tasas de interés, toda vez que representa el costo de oportunidad al cual se enfrenta el inversionista en cualquier momento.</w:t>
            </w:r>
          </w:p>
          <w:p w14:paraId="2D4BBB19" w14:textId="77777777" w:rsidR="00424956" w:rsidRPr="002448EE" w:rsidRDefault="00424956" w:rsidP="0062012F">
            <w:pPr>
              <w:spacing w:after="0" w:line="25" w:lineRule="atLeast"/>
              <w:rPr>
                <w:rFonts w:ascii="ITC Avant Garde" w:hAnsi="ITC Avant Garde"/>
                <w:sz w:val="20"/>
                <w:szCs w:val="20"/>
                <w:lang w:val="es-ES_tradnl"/>
              </w:rPr>
            </w:pPr>
          </w:p>
          <w:p w14:paraId="4D5581ED" w14:textId="77777777" w:rsidR="00424956" w:rsidRPr="002448EE" w:rsidRDefault="00424956" w:rsidP="0062012F">
            <w:pPr>
              <w:spacing w:after="0" w:line="25" w:lineRule="atLeast"/>
              <w:rPr>
                <w:rFonts w:ascii="ITC Avant Garde" w:hAnsi="ITC Avant Garde"/>
                <w:sz w:val="20"/>
                <w:szCs w:val="20"/>
                <w:lang w:val="es-ES_tradnl"/>
              </w:rPr>
            </w:pPr>
            <w:r w:rsidRPr="002448EE">
              <w:rPr>
                <w:rFonts w:ascii="ITC Avant Garde" w:hAnsi="ITC Avant Garde"/>
                <w:sz w:val="20"/>
                <w:szCs w:val="20"/>
                <w:lang w:val="es-ES_tradnl"/>
              </w:rPr>
              <w:t>Por el contrario, el valor contable de un activo no incorpora estos cambios en el costo de oportunidad que enfrenta un inversionista, ni tampoco las reducciones en los precios del activo producto de la innovación tecnológica. Es por lo que la utilización de la depreciación contable pudiera resultar en activos cuyo valor en libros no se encuentre directamente relacionado con su valor de mercado o su valor de reventa.</w:t>
            </w:r>
          </w:p>
          <w:p w14:paraId="646644C0" w14:textId="77777777" w:rsidR="00424956" w:rsidRPr="002448EE" w:rsidRDefault="00424956" w:rsidP="0062012F">
            <w:pPr>
              <w:spacing w:after="0" w:line="25" w:lineRule="atLeast"/>
              <w:rPr>
                <w:rFonts w:ascii="ITC Avant Garde" w:hAnsi="ITC Avant Garde"/>
                <w:sz w:val="20"/>
                <w:szCs w:val="20"/>
                <w:lang w:val="es-ES_tradnl"/>
              </w:rPr>
            </w:pPr>
          </w:p>
          <w:p w14:paraId="00549289" w14:textId="77777777" w:rsidR="00424956" w:rsidRDefault="00424956" w:rsidP="0062012F">
            <w:pPr>
              <w:spacing w:after="0" w:line="25" w:lineRule="atLeast"/>
              <w:rPr>
                <w:rFonts w:ascii="ITC Avant Garde" w:hAnsi="ITC Avant Garde"/>
                <w:sz w:val="20"/>
                <w:szCs w:val="20"/>
                <w:lang w:val="es-ES_tradnl"/>
              </w:rPr>
            </w:pPr>
            <w:r w:rsidRPr="002448EE">
              <w:rPr>
                <w:rFonts w:ascii="ITC Avant Garde" w:hAnsi="ITC Avant Garde"/>
                <w:sz w:val="20"/>
                <w:szCs w:val="20"/>
                <w:lang w:val="es-ES_tradnl"/>
              </w:rPr>
              <w:t xml:space="preserve">Según se describe en el capítulo ‘2.3 Método de </w:t>
            </w:r>
            <w:r>
              <w:rPr>
                <w:rFonts w:ascii="ITC Avant Garde" w:hAnsi="ITC Avant Garde"/>
                <w:sz w:val="20"/>
                <w:szCs w:val="20"/>
                <w:lang w:val="es-ES_tradnl"/>
              </w:rPr>
              <w:t>depreciación</w:t>
            </w:r>
            <w:r w:rsidRPr="002448EE">
              <w:rPr>
                <w:rFonts w:ascii="ITC Avant Garde" w:hAnsi="ITC Avant Garde"/>
                <w:sz w:val="20"/>
                <w:szCs w:val="20"/>
                <w:lang w:val="es-ES_tradnl"/>
              </w:rPr>
              <w:t xml:space="preserve"> de costos’ del documento metodológico, el modelo considera la anualidad inclinada para la anualización de los costos asociados al capital. El detalle de la implementación de esta alternativa metodológica en el modelo se encuentra descrito en el capítulo ‘8. Módulo de </w:t>
            </w:r>
            <w:r>
              <w:rPr>
                <w:rFonts w:ascii="ITC Avant Garde" w:hAnsi="ITC Avant Garde"/>
                <w:sz w:val="20"/>
                <w:szCs w:val="20"/>
                <w:lang w:val="es-ES_tradnl"/>
              </w:rPr>
              <w:t>depreciación</w:t>
            </w:r>
            <w:r w:rsidRPr="002448EE">
              <w:rPr>
                <w:rFonts w:ascii="ITC Avant Garde" w:hAnsi="ITC Avant Garde"/>
                <w:sz w:val="20"/>
                <w:szCs w:val="20"/>
                <w:lang w:val="es-ES_tradnl"/>
              </w:rPr>
              <w:t xml:space="preserve"> </w:t>
            </w:r>
            <w:r>
              <w:rPr>
                <w:rFonts w:ascii="ITC Avant Garde" w:hAnsi="ITC Avant Garde"/>
                <w:sz w:val="20"/>
                <w:szCs w:val="20"/>
                <w:lang w:val="es-ES_tradnl"/>
              </w:rPr>
              <w:t>de costos’ del mismo documento.</w:t>
            </w:r>
          </w:p>
          <w:p w14:paraId="2042A828" w14:textId="05982118" w:rsidR="0062012F" w:rsidRPr="00611523" w:rsidRDefault="0062012F" w:rsidP="0062012F">
            <w:pPr>
              <w:spacing w:after="0" w:line="25" w:lineRule="atLeast"/>
              <w:rPr>
                <w:rFonts w:ascii="ITC Avant Garde" w:eastAsia="Times New Roman" w:hAnsi="ITC Avant Garde" w:cs="Arial"/>
                <w:b/>
                <w:bCs/>
                <w:sz w:val="20"/>
                <w:szCs w:val="20"/>
                <w:lang w:val="es-ES_tradnl" w:eastAsia="es-ES"/>
              </w:rPr>
            </w:pPr>
          </w:p>
        </w:tc>
      </w:tr>
      <w:tr w:rsidR="00611523" w:rsidRPr="004970C4" w14:paraId="6DA03378" w14:textId="77777777" w:rsidTr="0062012F">
        <w:trPr>
          <w:trHeight w:val="290"/>
        </w:trPr>
        <w:tc>
          <w:tcPr>
            <w:tcW w:w="8647" w:type="dxa"/>
            <w:shd w:val="clear" w:color="auto" w:fill="DBDBDB" w:themeFill="accent3" w:themeFillTint="66"/>
            <w:vAlign w:val="center"/>
          </w:tcPr>
          <w:p w14:paraId="6146A120" w14:textId="383A418D" w:rsidR="00611523" w:rsidRPr="00611523" w:rsidRDefault="00611523" w:rsidP="0062012F">
            <w:pPr>
              <w:spacing w:before="120" w:line="25" w:lineRule="atLeast"/>
              <w:jc w:val="both"/>
              <w:rPr>
                <w:rFonts w:ascii="ITC Avant Garde" w:hAnsi="ITC Avant Garde"/>
                <w:sz w:val="20"/>
                <w:szCs w:val="20"/>
              </w:rPr>
            </w:pPr>
            <w:r w:rsidRPr="00611523">
              <w:rPr>
                <w:rFonts w:ascii="ITC Avant Garde" w:hAnsi="ITC Avant Garde"/>
                <w:b/>
                <w:sz w:val="20"/>
                <w:szCs w:val="20"/>
              </w:rPr>
              <w:t xml:space="preserve">P. </w:t>
            </w:r>
            <w:r w:rsidRPr="00611523">
              <w:rPr>
                <w:rFonts w:ascii="ITC Avant Garde" w:hAnsi="ITC Avant Garde"/>
                <w:b/>
                <w:sz w:val="20"/>
                <w:szCs w:val="20"/>
              </w:rPr>
              <w:fldChar w:fldCharType="begin"/>
            </w:r>
            <w:r w:rsidRPr="00611523">
              <w:rPr>
                <w:rFonts w:ascii="ITC Avant Garde" w:hAnsi="ITC Avant Garde"/>
                <w:b/>
                <w:sz w:val="20"/>
                <w:szCs w:val="20"/>
              </w:rPr>
              <w:instrText xml:space="preserve"> SEQ Question \* ARABIC </w:instrText>
            </w:r>
            <w:r w:rsidRPr="00611523">
              <w:rPr>
                <w:rFonts w:ascii="ITC Avant Garde" w:hAnsi="ITC Avant Garde"/>
                <w:b/>
                <w:sz w:val="20"/>
                <w:szCs w:val="20"/>
              </w:rPr>
              <w:fldChar w:fldCharType="separate"/>
            </w:r>
            <w:r w:rsidRPr="00611523">
              <w:rPr>
                <w:rFonts w:ascii="ITC Avant Garde" w:hAnsi="ITC Avant Garde"/>
                <w:b/>
                <w:noProof/>
                <w:sz w:val="20"/>
                <w:szCs w:val="20"/>
              </w:rPr>
              <w:t>6</w:t>
            </w:r>
            <w:r w:rsidRPr="00611523">
              <w:rPr>
                <w:rFonts w:ascii="ITC Avant Garde" w:hAnsi="ITC Avant Garde"/>
                <w:b/>
                <w:sz w:val="20"/>
                <w:szCs w:val="20"/>
              </w:rPr>
              <w:fldChar w:fldCharType="end"/>
            </w:r>
            <w:r w:rsidRPr="00611523">
              <w:rPr>
                <w:rFonts w:ascii="ITC Avant Garde" w:hAnsi="ITC Avant Garde"/>
                <w:b/>
                <w:sz w:val="20"/>
                <w:szCs w:val="20"/>
              </w:rPr>
              <w:t xml:space="preserve">: </w:t>
            </w:r>
            <w:r w:rsidRPr="00611523">
              <w:rPr>
                <w:rFonts w:ascii="ITC Avant Garde" w:hAnsi="ITC Avant Garde"/>
                <w:sz w:val="20"/>
                <w:szCs w:val="20"/>
              </w:rPr>
              <w:t xml:space="preserve">¿Considera adecuada la alternativa metodológica de </w:t>
            </w:r>
            <w:r w:rsidR="00931159">
              <w:rPr>
                <w:rFonts w:ascii="ITC Avant Garde" w:hAnsi="ITC Avant Garde"/>
                <w:sz w:val="20"/>
                <w:szCs w:val="20"/>
              </w:rPr>
              <w:t>depreciación</w:t>
            </w:r>
            <w:r w:rsidR="00931159" w:rsidRPr="00611523">
              <w:rPr>
                <w:rFonts w:ascii="ITC Avant Garde" w:hAnsi="ITC Avant Garde"/>
                <w:sz w:val="20"/>
                <w:szCs w:val="20"/>
              </w:rPr>
              <w:t xml:space="preserve"> </w:t>
            </w:r>
            <w:r w:rsidRPr="00611523">
              <w:rPr>
                <w:rFonts w:ascii="ITC Avant Garde" w:hAnsi="ITC Avant Garde"/>
                <w:sz w:val="20"/>
                <w:szCs w:val="20"/>
              </w:rPr>
              <w:t>de costos empleada en el modelo?</w:t>
            </w:r>
          </w:p>
        </w:tc>
      </w:tr>
      <w:tr w:rsidR="00611523" w:rsidRPr="004970C4" w14:paraId="6254302B" w14:textId="77777777" w:rsidTr="0062012F">
        <w:trPr>
          <w:trHeight w:val="290"/>
        </w:trPr>
        <w:tc>
          <w:tcPr>
            <w:tcW w:w="8647" w:type="dxa"/>
            <w:shd w:val="clear" w:color="auto" w:fill="auto"/>
            <w:vAlign w:val="center"/>
          </w:tcPr>
          <w:p w14:paraId="4DC6E536" w14:textId="73723D55" w:rsidR="00611523" w:rsidRPr="00611523" w:rsidRDefault="00611523" w:rsidP="0062012F">
            <w:pPr>
              <w:rPr>
                <w:rFonts w:ascii="Century Gothic" w:eastAsia="Times New Roman" w:hAnsi="Century Gothic" w:cs="Times New Roman"/>
                <w:color w:val="000000"/>
                <w:sz w:val="20"/>
                <w:szCs w:val="20"/>
                <w:lang w:eastAsia="es-MX"/>
              </w:rPr>
            </w:pPr>
            <w:r w:rsidRPr="00611523">
              <w:rPr>
                <w:rFonts w:ascii="Century Gothic" w:eastAsia="Times New Roman" w:hAnsi="Century Gothic" w:cs="Times New Roman"/>
                <w:color w:val="000000"/>
                <w:sz w:val="20"/>
                <w:szCs w:val="20"/>
                <w:lang w:eastAsia="es-MX"/>
              </w:rPr>
              <w:t>Proporcione su c</w:t>
            </w:r>
            <w:r>
              <w:rPr>
                <w:rFonts w:ascii="Century Gothic" w:eastAsia="Times New Roman" w:hAnsi="Century Gothic" w:cs="Times New Roman"/>
                <w:color w:val="000000"/>
                <w:sz w:val="20"/>
                <w:szCs w:val="20"/>
                <w:lang w:eastAsia="es-MX"/>
              </w:rPr>
              <w:t>omentario:</w:t>
            </w:r>
          </w:p>
        </w:tc>
      </w:tr>
      <w:tr w:rsidR="00611523" w:rsidRPr="004970C4" w14:paraId="3AB9A4FE" w14:textId="77777777" w:rsidTr="0062012F">
        <w:trPr>
          <w:trHeight w:val="290"/>
        </w:trPr>
        <w:tc>
          <w:tcPr>
            <w:tcW w:w="8647" w:type="dxa"/>
            <w:shd w:val="clear" w:color="auto" w:fill="DBDBDB" w:themeFill="accent3" w:themeFillTint="66"/>
            <w:vAlign w:val="center"/>
          </w:tcPr>
          <w:p w14:paraId="79F4ADBA" w14:textId="5E94F851" w:rsidR="00611523" w:rsidRPr="00611523" w:rsidRDefault="00611523" w:rsidP="0062012F">
            <w:pPr>
              <w:spacing w:before="120" w:line="25" w:lineRule="atLeast"/>
              <w:jc w:val="both"/>
              <w:rPr>
                <w:rFonts w:ascii="ITC Avant Garde" w:hAnsi="ITC Avant Garde"/>
                <w:sz w:val="20"/>
                <w:szCs w:val="20"/>
              </w:rPr>
            </w:pPr>
            <w:r w:rsidRPr="00611523">
              <w:rPr>
                <w:rFonts w:ascii="ITC Avant Garde" w:hAnsi="ITC Avant Garde"/>
                <w:b/>
                <w:sz w:val="20"/>
                <w:szCs w:val="20"/>
              </w:rPr>
              <w:t xml:space="preserve">P. </w:t>
            </w:r>
            <w:r w:rsidRPr="00611523">
              <w:rPr>
                <w:rFonts w:ascii="ITC Avant Garde" w:hAnsi="ITC Avant Garde"/>
                <w:b/>
                <w:sz w:val="20"/>
                <w:szCs w:val="20"/>
              </w:rPr>
              <w:fldChar w:fldCharType="begin"/>
            </w:r>
            <w:r w:rsidRPr="00611523">
              <w:rPr>
                <w:rFonts w:ascii="ITC Avant Garde" w:hAnsi="ITC Avant Garde"/>
                <w:b/>
                <w:sz w:val="20"/>
                <w:szCs w:val="20"/>
              </w:rPr>
              <w:instrText xml:space="preserve"> SEQ Question \* ARABIC </w:instrText>
            </w:r>
            <w:r w:rsidRPr="00611523">
              <w:rPr>
                <w:rFonts w:ascii="ITC Avant Garde" w:hAnsi="ITC Avant Garde"/>
                <w:b/>
                <w:sz w:val="20"/>
                <w:szCs w:val="20"/>
              </w:rPr>
              <w:fldChar w:fldCharType="separate"/>
            </w:r>
            <w:r w:rsidRPr="00611523">
              <w:rPr>
                <w:rFonts w:ascii="ITC Avant Garde" w:hAnsi="ITC Avant Garde"/>
                <w:b/>
                <w:noProof/>
                <w:sz w:val="20"/>
                <w:szCs w:val="20"/>
              </w:rPr>
              <w:t>7</w:t>
            </w:r>
            <w:r w:rsidRPr="00611523">
              <w:rPr>
                <w:rFonts w:ascii="ITC Avant Garde" w:hAnsi="ITC Avant Garde"/>
                <w:b/>
                <w:sz w:val="20"/>
                <w:szCs w:val="20"/>
              </w:rPr>
              <w:fldChar w:fldCharType="end"/>
            </w:r>
            <w:r w:rsidRPr="00611523">
              <w:rPr>
                <w:rFonts w:ascii="ITC Avant Garde" w:hAnsi="ITC Avant Garde"/>
                <w:b/>
                <w:sz w:val="20"/>
                <w:szCs w:val="20"/>
              </w:rPr>
              <w:t xml:space="preserve">: </w:t>
            </w:r>
            <w:r w:rsidRPr="00611523">
              <w:rPr>
                <w:rFonts w:ascii="ITC Avant Garde" w:hAnsi="ITC Avant Garde"/>
                <w:sz w:val="20"/>
                <w:szCs w:val="20"/>
              </w:rPr>
              <w:t>¿Considera adecuada la implementación en el modelo de la alternativa de anualización de costos seleccionada?</w:t>
            </w:r>
          </w:p>
        </w:tc>
      </w:tr>
      <w:tr w:rsidR="00611523" w:rsidRPr="004970C4" w14:paraId="2EEE3BFB" w14:textId="77777777" w:rsidTr="0062012F">
        <w:trPr>
          <w:trHeight w:val="290"/>
        </w:trPr>
        <w:tc>
          <w:tcPr>
            <w:tcW w:w="8647" w:type="dxa"/>
            <w:shd w:val="clear" w:color="auto" w:fill="auto"/>
            <w:vAlign w:val="center"/>
          </w:tcPr>
          <w:p w14:paraId="10307B13" w14:textId="037B4981" w:rsidR="00611523" w:rsidRPr="00611523" w:rsidRDefault="00611523" w:rsidP="0062012F">
            <w:pPr>
              <w:rPr>
                <w:rFonts w:ascii="Century Gothic" w:eastAsia="Times New Roman" w:hAnsi="Century Gothic" w:cs="Times New Roman"/>
                <w:color w:val="000000"/>
                <w:sz w:val="20"/>
                <w:szCs w:val="20"/>
                <w:lang w:eastAsia="es-MX"/>
              </w:rPr>
            </w:pPr>
            <w:r w:rsidRPr="00611523">
              <w:rPr>
                <w:rFonts w:ascii="Century Gothic" w:eastAsia="Times New Roman" w:hAnsi="Century Gothic" w:cs="Times New Roman"/>
                <w:color w:val="000000"/>
                <w:sz w:val="20"/>
                <w:szCs w:val="20"/>
                <w:lang w:eastAsia="es-MX"/>
              </w:rPr>
              <w:t>Proporcione su c</w:t>
            </w:r>
            <w:r>
              <w:rPr>
                <w:rFonts w:ascii="Century Gothic" w:eastAsia="Times New Roman" w:hAnsi="Century Gothic" w:cs="Times New Roman"/>
                <w:color w:val="000000"/>
                <w:sz w:val="20"/>
                <w:szCs w:val="20"/>
                <w:lang w:eastAsia="es-MX"/>
              </w:rPr>
              <w:t>omentario:</w:t>
            </w:r>
          </w:p>
        </w:tc>
      </w:tr>
      <w:tr w:rsidR="00424956" w:rsidRPr="004970C4" w14:paraId="7DFDDDD2" w14:textId="77777777" w:rsidTr="0062012F">
        <w:trPr>
          <w:trHeight w:val="2816"/>
        </w:trPr>
        <w:tc>
          <w:tcPr>
            <w:tcW w:w="8647" w:type="dxa"/>
            <w:shd w:val="clear" w:color="auto" w:fill="FFFFFF" w:themeFill="background1"/>
            <w:vAlign w:val="center"/>
          </w:tcPr>
          <w:p w14:paraId="2B0F4163" w14:textId="476C5149" w:rsidR="00424956" w:rsidRPr="0062012F" w:rsidRDefault="00424956" w:rsidP="0062012F">
            <w:pPr>
              <w:keepNext/>
              <w:numPr>
                <w:ilvl w:val="2"/>
                <w:numId w:val="0"/>
              </w:numPr>
              <w:spacing w:before="360" w:after="120" w:line="336" w:lineRule="auto"/>
              <w:ind w:left="357" w:hanging="357"/>
              <w:jc w:val="center"/>
              <w:outlineLvl w:val="2"/>
              <w:rPr>
                <w:rFonts w:ascii="Century Gothic" w:eastAsia="Times New Roman" w:hAnsi="Century Gothic" w:cs="Times New Roman"/>
                <w:color w:val="000000"/>
                <w:u w:val="single"/>
                <w:lang w:eastAsia="es-MX"/>
              </w:rPr>
            </w:pPr>
            <w:r w:rsidRPr="0062012F">
              <w:rPr>
                <w:rFonts w:ascii="ITC Avant Garde" w:eastAsia="Times New Roman" w:hAnsi="ITC Avant Garde" w:cs="Arial"/>
                <w:b/>
                <w:bCs/>
                <w:sz w:val="20"/>
                <w:szCs w:val="20"/>
                <w:u w:val="single"/>
                <w:lang w:val="es-ES_tradnl" w:eastAsia="es-ES"/>
              </w:rPr>
              <w:t>II.4.5  Costo de capital promedio ponderado (CCPP)</w:t>
            </w:r>
          </w:p>
          <w:p w14:paraId="034C314F" w14:textId="77777777" w:rsidR="00424956" w:rsidRPr="00611523" w:rsidRDefault="00424956" w:rsidP="0062012F">
            <w:pPr>
              <w:spacing w:after="0" w:line="25" w:lineRule="atLeast"/>
              <w:rPr>
                <w:rFonts w:ascii="ITC Avant Garde" w:hAnsi="ITC Avant Garde"/>
                <w:sz w:val="20"/>
                <w:szCs w:val="20"/>
                <w:lang w:val="es-ES_tradnl"/>
              </w:rPr>
            </w:pPr>
            <w:r w:rsidRPr="00611523">
              <w:rPr>
                <w:rFonts w:ascii="ITC Avant Garde" w:hAnsi="ITC Avant Garde"/>
                <w:sz w:val="20"/>
                <w:szCs w:val="20"/>
                <w:lang w:val="es-ES_tradnl"/>
              </w:rPr>
              <w:t>La metodología del CCPP considera que el retorno de los activos de la empresa debe ser igual al retorno total esperado por sus accionistas y tenedores de deuda, ponderados por su contribución respectiva al financiamiento de la empresa.</w:t>
            </w:r>
          </w:p>
          <w:p w14:paraId="1D0C5BF9" w14:textId="77777777" w:rsidR="00424956" w:rsidRPr="00611523" w:rsidRDefault="00424956" w:rsidP="0062012F">
            <w:pPr>
              <w:spacing w:after="0" w:line="25" w:lineRule="atLeast"/>
              <w:rPr>
                <w:rFonts w:ascii="ITC Avant Garde" w:hAnsi="ITC Avant Garde"/>
                <w:sz w:val="20"/>
                <w:szCs w:val="20"/>
                <w:lang w:val="es-ES_tradnl"/>
              </w:rPr>
            </w:pPr>
          </w:p>
          <w:p w14:paraId="518434CA" w14:textId="77777777" w:rsidR="00424956" w:rsidRDefault="00424956" w:rsidP="0062012F">
            <w:pPr>
              <w:spacing w:after="0" w:line="25" w:lineRule="atLeast"/>
              <w:rPr>
                <w:rFonts w:ascii="ITC Avant Garde" w:hAnsi="ITC Avant Garde"/>
                <w:sz w:val="20"/>
                <w:szCs w:val="20"/>
                <w:lang w:val="es-ES_tradnl"/>
              </w:rPr>
            </w:pPr>
            <w:r w:rsidRPr="00611523">
              <w:rPr>
                <w:rFonts w:ascii="ITC Avant Garde" w:hAnsi="ITC Avant Garde"/>
                <w:sz w:val="20"/>
                <w:szCs w:val="20"/>
                <w:lang w:val="es-ES_tradnl"/>
              </w:rPr>
              <w:t xml:space="preserve">En el capítulo ‘2.2 Costo de capital’ del documento metodológico se describen los insumos utilizados para el cálculo del parámetro empleado en el modelo. </w:t>
            </w:r>
            <w:r w:rsidRPr="00611523">
              <w:rPr>
                <w:rFonts w:ascii="ITC Avant Garde" w:hAnsi="ITC Avant Garde"/>
                <w:sz w:val="20"/>
                <w:szCs w:val="20"/>
              </w:rPr>
              <w:t xml:space="preserve">Los valores empleados corresponden al año </w:t>
            </w:r>
            <w:r>
              <w:rPr>
                <w:rFonts w:ascii="ITC Avant Garde" w:hAnsi="ITC Avant Garde"/>
                <w:sz w:val="20"/>
                <w:szCs w:val="20"/>
              </w:rPr>
              <w:t>2017</w:t>
            </w:r>
            <w:r w:rsidRPr="00611523">
              <w:rPr>
                <w:rFonts w:ascii="ITC Avant Garde" w:hAnsi="ITC Avant Garde"/>
                <w:sz w:val="20"/>
                <w:szCs w:val="20"/>
              </w:rPr>
              <w:t>.</w:t>
            </w:r>
            <w:r w:rsidRPr="00611523">
              <w:rPr>
                <w:rFonts w:ascii="ITC Avant Garde" w:hAnsi="ITC Avant Garde"/>
                <w:sz w:val="20"/>
                <w:szCs w:val="20"/>
                <w:lang w:val="es-ES_tradnl"/>
              </w:rPr>
              <w:t xml:space="preserve"> Este se basa en el CCPP real antes de impuestos, cuyo valor resultante es </w:t>
            </w:r>
            <w:r>
              <w:rPr>
                <w:rFonts w:ascii="ITC Avant Garde" w:hAnsi="ITC Avant Garde"/>
                <w:sz w:val="20"/>
                <w:szCs w:val="20"/>
                <w:lang w:val="es-ES_tradnl"/>
              </w:rPr>
              <w:t>10.44</w:t>
            </w:r>
            <w:r w:rsidRPr="00611523">
              <w:rPr>
                <w:rFonts w:ascii="ITC Avant Garde" w:hAnsi="ITC Avant Garde"/>
                <w:sz w:val="20"/>
                <w:szCs w:val="20"/>
                <w:lang w:val="es-ES_tradnl"/>
              </w:rPr>
              <w:t>%.</w:t>
            </w:r>
          </w:p>
          <w:p w14:paraId="743A5C8F" w14:textId="29E1BE49" w:rsidR="0062012F" w:rsidRPr="00C41536" w:rsidRDefault="0062012F" w:rsidP="0062012F">
            <w:pPr>
              <w:spacing w:after="0" w:line="25" w:lineRule="atLeast"/>
              <w:rPr>
                <w:rFonts w:ascii="Century Gothic" w:eastAsia="Times New Roman" w:hAnsi="Century Gothic" w:cs="Times New Roman"/>
                <w:color w:val="000000"/>
                <w:lang w:eastAsia="es-MX"/>
              </w:rPr>
            </w:pPr>
          </w:p>
        </w:tc>
      </w:tr>
      <w:tr w:rsidR="00611523" w:rsidRPr="004970C4" w14:paraId="50C93B3D" w14:textId="77777777" w:rsidTr="0062012F">
        <w:trPr>
          <w:trHeight w:val="290"/>
        </w:trPr>
        <w:tc>
          <w:tcPr>
            <w:tcW w:w="8647" w:type="dxa"/>
            <w:shd w:val="clear" w:color="auto" w:fill="DBDBDB" w:themeFill="accent3" w:themeFillTint="66"/>
            <w:vAlign w:val="center"/>
          </w:tcPr>
          <w:p w14:paraId="0F873357" w14:textId="6D9C91E9" w:rsidR="00611523" w:rsidRPr="004F772B" w:rsidRDefault="004F772B" w:rsidP="0062012F">
            <w:pPr>
              <w:spacing w:before="120" w:line="25" w:lineRule="atLeast"/>
              <w:jc w:val="both"/>
              <w:rPr>
                <w:rFonts w:ascii="ITC Avant Garde" w:hAnsi="ITC Avant Garde"/>
                <w:sz w:val="20"/>
                <w:szCs w:val="20"/>
              </w:rPr>
            </w:pPr>
            <w:r w:rsidRPr="004F772B">
              <w:rPr>
                <w:rFonts w:ascii="ITC Avant Garde" w:hAnsi="ITC Avant Garde"/>
                <w:b/>
                <w:sz w:val="20"/>
                <w:szCs w:val="20"/>
              </w:rPr>
              <w:t xml:space="preserve">P. </w:t>
            </w:r>
            <w:r w:rsidRPr="004F772B">
              <w:rPr>
                <w:rFonts w:ascii="ITC Avant Garde" w:hAnsi="ITC Avant Garde"/>
                <w:b/>
                <w:sz w:val="20"/>
                <w:szCs w:val="20"/>
              </w:rPr>
              <w:fldChar w:fldCharType="begin"/>
            </w:r>
            <w:r w:rsidRPr="004F772B">
              <w:rPr>
                <w:rFonts w:ascii="ITC Avant Garde" w:hAnsi="ITC Avant Garde"/>
                <w:b/>
                <w:sz w:val="20"/>
                <w:szCs w:val="20"/>
              </w:rPr>
              <w:instrText xml:space="preserve"> SEQ Question \* ARABIC </w:instrText>
            </w:r>
            <w:r w:rsidRPr="004F772B">
              <w:rPr>
                <w:rFonts w:ascii="ITC Avant Garde" w:hAnsi="ITC Avant Garde"/>
                <w:b/>
                <w:sz w:val="20"/>
                <w:szCs w:val="20"/>
              </w:rPr>
              <w:fldChar w:fldCharType="separate"/>
            </w:r>
            <w:r w:rsidRPr="004F772B">
              <w:rPr>
                <w:rFonts w:ascii="ITC Avant Garde" w:hAnsi="ITC Avant Garde"/>
                <w:b/>
                <w:noProof/>
                <w:sz w:val="20"/>
                <w:szCs w:val="20"/>
              </w:rPr>
              <w:t>8</w:t>
            </w:r>
            <w:r w:rsidRPr="004F772B">
              <w:rPr>
                <w:rFonts w:ascii="ITC Avant Garde" w:hAnsi="ITC Avant Garde"/>
                <w:b/>
                <w:sz w:val="20"/>
                <w:szCs w:val="20"/>
              </w:rPr>
              <w:fldChar w:fldCharType="end"/>
            </w:r>
            <w:r w:rsidRPr="004F772B">
              <w:rPr>
                <w:rFonts w:ascii="ITC Avant Garde" w:hAnsi="ITC Avant Garde"/>
                <w:b/>
                <w:sz w:val="20"/>
                <w:szCs w:val="20"/>
              </w:rPr>
              <w:t xml:space="preserve">: </w:t>
            </w:r>
            <w:r w:rsidRPr="004F772B">
              <w:rPr>
                <w:rFonts w:ascii="ITC Avant Garde" w:hAnsi="ITC Avant Garde"/>
                <w:sz w:val="20"/>
                <w:szCs w:val="20"/>
              </w:rPr>
              <w:t>¿Tiene algún comentario con respecto al cálculo del CCPP?</w:t>
            </w:r>
          </w:p>
        </w:tc>
      </w:tr>
      <w:tr w:rsidR="00611523" w:rsidRPr="004970C4" w14:paraId="3B6E0016" w14:textId="77777777" w:rsidTr="0062012F">
        <w:trPr>
          <w:trHeight w:val="290"/>
        </w:trPr>
        <w:tc>
          <w:tcPr>
            <w:tcW w:w="8647" w:type="dxa"/>
            <w:shd w:val="clear" w:color="auto" w:fill="auto"/>
            <w:vAlign w:val="center"/>
          </w:tcPr>
          <w:p w14:paraId="3B54B344" w14:textId="261DB018" w:rsidR="00522B97" w:rsidRPr="004F772B" w:rsidRDefault="004F772B" w:rsidP="0062012F">
            <w:pPr>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tc>
      </w:tr>
      <w:tr w:rsidR="00424956" w:rsidRPr="004970C4" w14:paraId="4EF2DFC7" w14:textId="77777777" w:rsidTr="0062012F">
        <w:trPr>
          <w:trHeight w:val="5320"/>
        </w:trPr>
        <w:tc>
          <w:tcPr>
            <w:tcW w:w="8647" w:type="dxa"/>
            <w:shd w:val="clear" w:color="auto" w:fill="FFFFFF" w:themeFill="background1"/>
            <w:vAlign w:val="center"/>
          </w:tcPr>
          <w:p w14:paraId="10EF51DB" w14:textId="447B60BD" w:rsidR="00424956" w:rsidRPr="0062012F" w:rsidRDefault="00424956" w:rsidP="0062012F">
            <w:pPr>
              <w:keepNext/>
              <w:numPr>
                <w:ilvl w:val="2"/>
                <w:numId w:val="0"/>
              </w:numPr>
              <w:spacing w:before="360" w:after="120" w:line="336" w:lineRule="auto"/>
              <w:ind w:left="357" w:hanging="357"/>
              <w:jc w:val="center"/>
              <w:outlineLvl w:val="2"/>
              <w:rPr>
                <w:rFonts w:ascii="ITC Avant Garde" w:eastAsia="Times New Roman" w:hAnsi="ITC Avant Garde" w:cs="Arial"/>
                <w:b/>
                <w:bCs/>
                <w:sz w:val="20"/>
                <w:szCs w:val="20"/>
                <w:u w:val="single"/>
                <w:lang w:val="es-ES_tradnl" w:eastAsia="es-ES"/>
              </w:rPr>
            </w:pPr>
            <w:r w:rsidRPr="0062012F">
              <w:rPr>
                <w:rFonts w:ascii="ITC Avant Garde" w:eastAsia="Times New Roman" w:hAnsi="ITC Avant Garde" w:cs="Arial"/>
                <w:b/>
                <w:bCs/>
                <w:sz w:val="20"/>
                <w:szCs w:val="20"/>
                <w:u w:val="single"/>
                <w:lang w:val="es-ES_tradnl" w:eastAsia="es-ES"/>
              </w:rPr>
              <w:lastRenderedPageBreak/>
              <w:t>II.4.6  Atribución de costos a servicios</w:t>
            </w:r>
          </w:p>
          <w:p w14:paraId="4823E5F9" w14:textId="77777777" w:rsidR="00424956" w:rsidRPr="004F772B" w:rsidRDefault="00424956" w:rsidP="0062012F">
            <w:pPr>
              <w:spacing w:after="0" w:line="300" w:lineRule="auto"/>
              <w:rPr>
                <w:rFonts w:ascii="ITC Avant Garde" w:hAnsi="ITC Avant Garde"/>
                <w:sz w:val="20"/>
                <w:szCs w:val="20"/>
                <w:lang w:val="es-ES_tradnl"/>
              </w:rPr>
            </w:pPr>
            <w:r w:rsidRPr="004F772B">
              <w:rPr>
                <w:rFonts w:ascii="ITC Avant Garde" w:hAnsi="ITC Avant Garde"/>
                <w:sz w:val="20"/>
                <w:szCs w:val="20"/>
                <w:lang w:val="es-ES_tradnl"/>
              </w:rPr>
              <w:t xml:space="preserve">Como se describe en el capítulo ‘9. Módulo de imputación de costos a servicios’ del documento metodológico, la imputación de costos a servicios responde a una atribución en diversas etapas con el objetivo de cuantificar de manera dinámica el peso sobre el costo de los servicios de los distintos recursos que conforman la cadena de valor en la prestación de los servicios modelados. </w:t>
            </w:r>
          </w:p>
          <w:p w14:paraId="243A49C4" w14:textId="77777777" w:rsidR="00424956" w:rsidRPr="004F772B" w:rsidRDefault="00424956" w:rsidP="0062012F">
            <w:pPr>
              <w:spacing w:after="0" w:line="300" w:lineRule="auto"/>
              <w:rPr>
                <w:rFonts w:ascii="ITC Avant Garde" w:hAnsi="ITC Avant Garde"/>
                <w:sz w:val="20"/>
                <w:szCs w:val="20"/>
                <w:lang w:val="es-ES_tradnl"/>
              </w:rPr>
            </w:pPr>
            <w:r w:rsidRPr="004F772B">
              <w:rPr>
                <w:rFonts w:ascii="ITC Avant Garde" w:hAnsi="ITC Avant Garde"/>
                <w:sz w:val="20"/>
                <w:szCs w:val="20"/>
                <w:lang w:val="es-ES_tradnl"/>
              </w:rPr>
              <w:t>El modelo contempla 6 etapas de atribución de costos. En cada una de ellas, se atribuyen los costos de un determinado grupo de activos.</w:t>
            </w:r>
          </w:p>
          <w:p w14:paraId="6B2CA28B" w14:textId="77777777" w:rsidR="00424956" w:rsidRPr="004F772B" w:rsidRDefault="00424956" w:rsidP="0062012F">
            <w:pPr>
              <w:pStyle w:val="Prrafodelista"/>
              <w:numPr>
                <w:ilvl w:val="1"/>
                <w:numId w:val="18"/>
              </w:numPr>
              <w:spacing w:before="120" w:after="120" w:line="336" w:lineRule="auto"/>
              <w:rPr>
                <w:rFonts w:ascii="ITC Avant Garde" w:eastAsia="Times New Roman" w:hAnsi="ITC Avant Garde" w:cs="Times New Roman"/>
                <w:bCs/>
                <w:sz w:val="20"/>
                <w:szCs w:val="20"/>
                <w:lang w:val="es-CR" w:eastAsia="es-ES"/>
              </w:rPr>
            </w:pPr>
            <w:r w:rsidRPr="004F772B">
              <w:rPr>
                <w:rFonts w:ascii="ITC Avant Garde" w:eastAsia="Times New Roman" w:hAnsi="ITC Avant Garde" w:cs="Times New Roman"/>
                <w:bCs/>
                <w:sz w:val="20"/>
                <w:szCs w:val="20"/>
                <w:lang w:val="es-CR" w:eastAsia="es-ES"/>
              </w:rPr>
              <w:t>Etapa de reparto 1: Predio</w:t>
            </w:r>
          </w:p>
          <w:p w14:paraId="2A648D22" w14:textId="77777777" w:rsidR="00424956" w:rsidRPr="004F772B" w:rsidRDefault="00424956" w:rsidP="0062012F">
            <w:pPr>
              <w:pStyle w:val="Prrafodelista"/>
              <w:numPr>
                <w:ilvl w:val="1"/>
                <w:numId w:val="18"/>
              </w:numPr>
              <w:spacing w:before="120" w:after="120" w:line="336" w:lineRule="auto"/>
              <w:rPr>
                <w:rFonts w:ascii="ITC Avant Garde" w:eastAsia="Times New Roman" w:hAnsi="ITC Avant Garde" w:cs="Times New Roman"/>
                <w:bCs/>
                <w:sz w:val="20"/>
                <w:szCs w:val="20"/>
                <w:lang w:val="es-CR" w:eastAsia="es-ES"/>
              </w:rPr>
            </w:pPr>
            <w:r w:rsidRPr="004F772B">
              <w:rPr>
                <w:rFonts w:ascii="ITC Avant Garde" w:eastAsia="Times New Roman" w:hAnsi="ITC Avant Garde" w:cs="Times New Roman"/>
                <w:bCs/>
                <w:sz w:val="20"/>
                <w:szCs w:val="20"/>
                <w:lang w:val="es-CR" w:eastAsia="es-ES"/>
              </w:rPr>
              <w:t>Etapa de reparto 2: Torre</w:t>
            </w:r>
          </w:p>
          <w:p w14:paraId="6E8714B6" w14:textId="77777777" w:rsidR="00424956" w:rsidRPr="004F772B" w:rsidRDefault="00424956" w:rsidP="0062012F">
            <w:pPr>
              <w:pStyle w:val="Prrafodelista"/>
              <w:numPr>
                <w:ilvl w:val="1"/>
                <w:numId w:val="18"/>
              </w:numPr>
              <w:spacing w:before="120" w:after="120" w:line="336" w:lineRule="auto"/>
              <w:rPr>
                <w:rFonts w:ascii="ITC Avant Garde" w:eastAsia="Times New Roman" w:hAnsi="ITC Avant Garde" w:cs="Times New Roman"/>
                <w:bCs/>
                <w:sz w:val="20"/>
                <w:szCs w:val="20"/>
                <w:lang w:val="es-CR" w:eastAsia="es-ES"/>
              </w:rPr>
            </w:pPr>
            <w:r w:rsidRPr="004F772B">
              <w:rPr>
                <w:rFonts w:ascii="ITC Avant Garde" w:eastAsia="Times New Roman" w:hAnsi="ITC Avant Garde" w:cs="Times New Roman"/>
                <w:bCs/>
                <w:sz w:val="20"/>
                <w:szCs w:val="20"/>
                <w:lang w:val="es-CR" w:eastAsia="es-ES"/>
              </w:rPr>
              <w:t>Etapa de reparto 3: Caseta</w:t>
            </w:r>
          </w:p>
          <w:p w14:paraId="4F326F45" w14:textId="77777777" w:rsidR="00424956" w:rsidRPr="004F772B" w:rsidRDefault="00424956" w:rsidP="0062012F">
            <w:pPr>
              <w:pStyle w:val="Prrafodelista"/>
              <w:numPr>
                <w:ilvl w:val="1"/>
                <w:numId w:val="18"/>
              </w:numPr>
              <w:spacing w:before="120" w:after="120" w:line="336" w:lineRule="auto"/>
              <w:rPr>
                <w:rFonts w:ascii="ITC Avant Garde" w:eastAsia="Times New Roman" w:hAnsi="ITC Avant Garde" w:cs="Times New Roman"/>
                <w:bCs/>
                <w:sz w:val="20"/>
                <w:szCs w:val="20"/>
                <w:lang w:val="es-CR" w:eastAsia="es-ES"/>
              </w:rPr>
            </w:pPr>
            <w:r w:rsidRPr="004F772B">
              <w:rPr>
                <w:rFonts w:ascii="ITC Avant Garde" w:eastAsia="Times New Roman" w:hAnsi="ITC Avant Garde" w:cs="Times New Roman"/>
                <w:bCs/>
                <w:sz w:val="20"/>
                <w:szCs w:val="20"/>
                <w:lang w:val="es-CR" w:eastAsia="es-ES"/>
              </w:rPr>
              <w:t>Etapa de reparto 4: Subestación eléctrica</w:t>
            </w:r>
          </w:p>
          <w:p w14:paraId="5CE38C4C" w14:textId="77777777" w:rsidR="00424956" w:rsidRPr="004F772B" w:rsidRDefault="00424956" w:rsidP="0062012F">
            <w:pPr>
              <w:pStyle w:val="Prrafodelista"/>
              <w:numPr>
                <w:ilvl w:val="1"/>
                <w:numId w:val="18"/>
              </w:numPr>
              <w:spacing w:before="120" w:after="120" w:line="336" w:lineRule="auto"/>
              <w:rPr>
                <w:rFonts w:ascii="ITC Avant Garde" w:eastAsia="Times New Roman" w:hAnsi="ITC Avant Garde" w:cs="Times New Roman"/>
                <w:bCs/>
                <w:sz w:val="20"/>
                <w:szCs w:val="20"/>
                <w:lang w:val="es-CR" w:eastAsia="es-ES"/>
              </w:rPr>
            </w:pPr>
            <w:r w:rsidRPr="004F772B">
              <w:rPr>
                <w:rFonts w:ascii="ITC Avant Garde" w:eastAsia="Times New Roman" w:hAnsi="ITC Avant Garde" w:cs="Times New Roman"/>
                <w:bCs/>
                <w:sz w:val="20"/>
                <w:szCs w:val="20"/>
                <w:lang w:val="es-CR" w:eastAsia="es-ES"/>
              </w:rPr>
              <w:t>Etapa de reparto 5: Planta de emergencia</w:t>
            </w:r>
          </w:p>
          <w:p w14:paraId="7E279101" w14:textId="208A1E79" w:rsidR="00424956" w:rsidRPr="004F772B" w:rsidRDefault="00424956" w:rsidP="0062012F">
            <w:pPr>
              <w:pStyle w:val="Prrafodelista"/>
              <w:numPr>
                <w:ilvl w:val="1"/>
                <w:numId w:val="18"/>
              </w:numPr>
              <w:spacing w:before="120" w:after="120" w:line="336" w:lineRule="auto"/>
              <w:rPr>
                <w:rFonts w:ascii="ITC Avant Garde" w:eastAsia="Times New Roman" w:hAnsi="ITC Avant Garde" w:cs="Arial"/>
                <w:b/>
                <w:bCs/>
                <w:sz w:val="20"/>
                <w:szCs w:val="20"/>
                <w:lang w:val="es-ES_tradnl" w:eastAsia="es-ES"/>
              </w:rPr>
            </w:pPr>
            <w:r w:rsidRPr="004F772B">
              <w:rPr>
                <w:rFonts w:ascii="ITC Avant Garde" w:eastAsia="Times New Roman" w:hAnsi="ITC Avant Garde" w:cs="Times New Roman"/>
                <w:bCs/>
                <w:sz w:val="20"/>
                <w:szCs w:val="20"/>
                <w:lang w:val="es-CR" w:eastAsia="es-ES"/>
              </w:rPr>
              <w:t>Etapa de reparto 6: Aire Acondicionado</w:t>
            </w:r>
          </w:p>
        </w:tc>
      </w:tr>
      <w:tr w:rsidR="00931159" w:rsidRPr="004970C4" w14:paraId="0C68CF7D" w14:textId="77777777" w:rsidTr="0062012F">
        <w:trPr>
          <w:trHeight w:val="290"/>
        </w:trPr>
        <w:tc>
          <w:tcPr>
            <w:tcW w:w="8647" w:type="dxa"/>
            <w:shd w:val="clear" w:color="auto" w:fill="E7E6E6" w:themeFill="background2"/>
            <w:vAlign w:val="center"/>
          </w:tcPr>
          <w:p w14:paraId="451687E9" w14:textId="31474446" w:rsidR="00931159" w:rsidRDefault="00931159" w:rsidP="0062012F">
            <w:pPr>
              <w:spacing w:before="120"/>
              <w:rPr>
                <w:rFonts w:ascii="Century Gothic" w:eastAsia="Times New Roman" w:hAnsi="Century Gothic" w:cs="Times New Roman"/>
                <w:color w:val="000000"/>
                <w:sz w:val="20"/>
                <w:szCs w:val="20"/>
                <w:lang w:eastAsia="es-MX"/>
              </w:rPr>
            </w:pPr>
            <w:r w:rsidRPr="002448EE">
              <w:rPr>
                <w:rFonts w:ascii="ITC Avant Garde" w:hAnsi="ITC Avant Garde"/>
                <w:b/>
                <w:sz w:val="20"/>
                <w:szCs w:val="20"/>
              </w:rPr>
              <w:t xml:space="preserve">P. </w:t>
            </w:r>
            <w:r w:rsidRPr="002448EE">
              <w:rPr>
                <w:rFonts w:ascii="ITC Avant Garde" w:hAnsi="ITC Avant Garde"/>
                <w:b/>
                <w:sz w:val="20"/>
                <w:szCs w:val="20"/>
              </w:rPr>
              <w:fldChar w:fldCharType="begin"/>
            </w:r>
            <w:r w:rsidRPr="002448EE">
              <w:rPr>
                <w:rFonts w:ascii="ITC Avant Garde" w:hAnsi="ITC Avant Garde"/>
                <w:b/>
                <w:sz w:val="20"/>
                <w:szCs w:val="20"/>
              </w:rPr>
              <w:instrText xml:space="preserve"> SEQ Question \* ARABIC </w:instrText>
            </w:r>
            <w:r w:rsidRPr="002448EE">
              <w:rPr>
                <w:rFonts w:ascii="ITC Avant Garde" w:hAnsi="ITC Avant Garde"/>
                <w:b/>
                <w:sz w:val="20"/>
                <w:szCs w:val="20"/>
              </w:rPr>
              <w:fldChar w:fldCharType="separate"/>
            </w:r>
            <w:r w:rsidRPr="002448EE">
              <w:rPr>
                <w:rFonts w:ascii="ITC Avant Garde" w:hAnsi="ITC Avant Garde"/>
                <w:b/>
                <w:noProof/>
                <w:sz w:val="20"/>
                <w:szCs w:val="20"/>
              </w:rPr>
              <w:t>9</w:t>
            </w:r>
            <w:r w:rsidRPr="002448EE">
              <w:rPr>
                <w:rFonts w:ascii="ITC Avant Garde" w:hAnsi="ITC Avant Garde"/>
                <w:b/>
                <w:sz w:val="20"/>
                <w:szCs w:val="20"/>
              </w:rPr>
              <w:fldChar w:fldCharType="end"/>
            </w:r>
            <w:r w:rsidRPr="002448EE">
              <w:rPr>
                <w:rFonts w:ascii="ITC Avant Garde" w:hAnsi="ITC Avant Garde"/>
                <w:b/>
                <w:sz w:val="20"/>
                <w:szCs w:val="20"/>
              </w:rPr>
              <w:t xml:space="preserve">: </w:t>
            </w:r>
            <w:r w:rsidRPr="002448EE">
              <w:rPr>
                <w:rFonts w:ascii="ITC Avant Garde" w:hAnsi="ITC Avant Garde"/>
                <w:sz w:val="20"/>
                <w:szCs w:val="20"/>
              </w:rPr>
              <w:t>¿Tiene algún comentario respecto a la metodología seguida para la atribución de costos a servicios?</w:t>
            </w:r>
          </w:p>
        </w:tc>
      </w:tr>
      <w:tr w:rsidR="00611523" w:rsidRPr="004970C4" w14:paraId="53B50183" w14:textId="77777777" w:rsidTr="0062012F">
        <w:trPr>
          <w:trHeight w:val="290"/>
        </w:trPr>
        <w:tc>
          <w:tcPr>
            <w:tcW w:w="8647" w:type="dxa"/>
            <w:shd w:val="clear" w:color="auto" w:fill="auto"/>
            <w:vAlign w:val="center"/>
          </w:tcPr>
          <w:p w14:paraId="5BF9458F" w14:textId="77777777" w:rsidR="00611523" w:rsidRDefault="004F772B" w:rsidP="0062012F">
            <w:pPr>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p w14:paraId="756F8E5A" w14:textId="060C7D45" w:rsidR="0062012F" w:rsidRPr="004F772B" w:rsidRDefault="0062012F" w:rsidP="0062012F">
            <w:pPr>
              <w:rPr>
                <w:rFonts w:ascii="Century Gothic" w:eastAsia="Times New Roman" w:hAnsi="Century Gothic" w:cs="Times New Roman"/>
                <w:color w:val="000000"/>
                <w:sz w:val="20"/>
                <w:szCs w:val="20"/>
                <w:lang w:eastAsia="es-MX"/>
              </w:rPr>
            </w:pPr>
          </w:p>
        </w:tc>
      </w:tr>
      <w:tr w:rsidR="00424956" w:rsidRPr="004970C4" w14:paraId="3C2A04F1" w14:textId="77777777" w:rsidTr="0062012F">
        <w:trPr>
          <w:trHeight w:val="2812"/>
        </w:trPr>
        <w:tc>
          <w:tcPr>
            <w:tcW w:w="8647" w:type="dxa"/>
            <w:shd w:val="clear" w:color="auto" w:fill="FFFFFF" w:themeFill="background1"/>
            <w:vAlign w:val="center"/>
          </w:tcPr>
          <w:p w14:paraId="437C2380" w14:textId="68FDEE6A" w:rsidR="00424956" w:rsidRPr="0062012F" w:rsidRDefault="00424956" w:rsidP="0062012F">
            <w:pPr>
              <w:keepNext/>
              <w:numPr>
                <w:ilvl w:val="2"/>
                <w:numId w:val="0"/>
              </w:numPr>
              <w:spacing w:before="360" w:after="120" w:line="336" w:lineRule="auto"/>
              <w:ind w:left="357" w:hanging="357"/>
              <w:jc w:val="center"/>
              <w:outlineLvl w:val="2"/>
              <w:rPr>
                <w:rFonts w:ascii="ITC Avant Garde" w:eastAsia="Times New Roman" w:hAnsi="ITC Avant Garde" w:cs="Arial"/>
                <w:b/>
                <w:bCs/>
                <w:sz w:val="20"/>
                <w:szCs w:val="20"/>
                <w:u w:val="single"/>
                <w:lang w:val="es-ES_tradnl" w:eastAsia="es-ES"/>
              </w:rPr>
            </w:pPr>
            <w:r w:rsidRPr="0062012F">
              <w:rPr>
                <w:rFonts w:ascii="ITC Avant Garde" w:eastAsia="Times New Roman" w:hAnsi="ITC Avant Garde" w:cs="Arial"/>
                <w:b/>
                <w:bCs/>
                <w:sz w:val="20"/>
                <w:szCs w:val="20"/>
                <w:u w:val="single"/>
                <w:lang w:val="es-ES_tradnl" w:eastAsia="es-ES"/>
              </w:rPr>
              <w:t>II.4.7  Indicadores de dimensionamiento</w:t>
            </w:r>
          </w:p>
          <w:p w14:paraId="5D9E1868" w14:textId="77777777" w:rsidR="00424956" w:rsidRDefault="00424956" w:rsidP="0062012F">
            <w:pPr>
              <w:spacing w:before="120" w:after="0" w:line="300" w:lineRule="auto"/>
              <w:rPr>
                <w:rFonts w:ascii="ITC Avant Garde" w:hAnsi="ITC Avant Garde"/>
                <w:sz w:val="20"/>
                <w:szCs w:val="20"/>
                <w:lang w:val="es-CR"/>
              </w:rPr>
            </w:pPr>
            <w:r w:rsidRPr="004F772B">
              <w:rPr>
                <w:rFonts w:ascii="ITC Avant Garde" w:hAnsi="ITC Avant Garde"/>
                <w:sz w:val="20"/>
                <w:szCs w:val="20"/>
                <w:lang w:val="es-CR"/>
              </w:rPr>
              <w:t>Como se describe en el capítulo ‘6. Indicadores de dimensionamiento’, la lógica detrás de estos consiste en capturar ciertas propiedades asociadas a los recursos que son necesarias para la atribución de costos a servicios, de acuerdo a las etapas descritas en el punto anterior. Existen dos tipos principales de indicadores de dimensionamiento definidos para los recursos modelados: espacio ocupado y potencia eléctrica. Estos son definidos en el modelo como insumos de entrada.</w:t>
            </w:r>
          </w:p>
          <w:p w14:paraId="65C11AB2" w14:textId="0C6AAFC2" w:rsidR="0062012F" w:rsidRPr="004F772B" w:rsidRDefault="0062012F" w:rsidP="0062012F">
            <w:pPr>
              <w:spacing w:before="120" w:after="0" w:line="300" w:lineRule="auto"/>
              <w:rPr>
                <w:rFonts w:ascii="ITC Avant Garde" w:eastAsia="Times New Roman" w:hAnsi="ITC Avant Garde" w:cs="Arial"/>
                <w:b/>
                <w:bCs/>
                <w:sz w:val="20"/>
                <w:szCs w:val="20"/>
                <w:lang w:val="es-ES_tradnl" w:eastAsia="es-ES"/>
              </w:rPr>
            </w:pPr>
          </w:p>
        </w:tc>
      </w:tr>
      <w:tr w:rsidR="00611523" w:rsidRPr="004970C4" w14:paraId="1F44E7DD" w14:textId="77777777" w:rsidTr="0062012F">
        <w:trPr>
          <w:trHeight w:val="290"/>
        </w:trPr>
        <w:tc>
          <w:tcPr>
            <w:tcW w:w="8647" w:type="dxa"/>
            <w:shd w:val="clear" w:color="auto" w:fill="DBDBDB" w:themeFill="accent3" w:themeFillTint="66"/>
            <w:vAlign w:val="center"/>
          </w:tcPr>
          <w:p w14:paraId="6E3C6D95" w14:textId="3E363FDE" w:rsidR="00611523" w:rsidRPr="004F772B" w:rsidRDefault="004F772B" w:rsidP="0062012F">
            <w:pPr>
              <w:spacing w:before="120" w:line="300" w:lineRule="auto"/>
              <w:jc w:val="both"/>
              <w:rPr>
                <w:rFonts w:ascii="ITC Avant Garde" w:hAnsi="ITC Avant Garde"/>
                <w:sz w:val="20"/>
                <w:szCs w:val="20"/>
              </w:rPr>
            </w:pPr>
            <w:r w:rsidRPr="004F772B">
              <w:rPr>
                <w:rFonts w:ascii="ITC Avant Garde" w:hAnsi="ITC Avant Garde"/>
                <w:b/>
                <w:sz w:val="20"/>
                <w:szCs w:val="20"/>
              </w:rPr>
              <w:t xml:space="preserve">P. </w:t>
            </w:r>
            <w:r w:rsidRPr="004F772B">
              <w:rPr>
                <w:rFonts w:ascii="ITC Avant Garde" w:hAnsi="ITC Avant Garde"/>
                <w:b/>
                <w:sz w:val="20"/>
                <w:szCs w:val="20"/>
              </w:rPr>
              <w:fldChar w:fldCharType="begin"/>
            </w:r>
            <w:r w:rsidRPr="004F772B">
              <w:rPr>
                <w:rFonts w:ascii="ITC Avant Garde" w:hAnsi="ITC Avant Garde"/>
                <w:b/>
                <w:sz w:val="20"/>
                <w:szCs w:val="20"/>
              </w:rPr>
              <w:instrText xml:space="preserve"> SEQ Question \* ARABIC </w:instrText>
            </w:r>
            <w:r w:rsidRPr="004F772B">
              <w:rPr>
                <w:rFonts w:ascii="ITC Avant Garde" w:hAnsi="ITC Avant Garde"/>
                <w:b/>
                <w:sz w:val="20"/>
                <w:szCs w:val="20"/>
              </w:rPr>
              <w:fldChar w:fldCharType="separate"/>
            </w:r>
            <w:r w:rsidRPr="004F772B">
              <w:rPr>
                <w:rFonts w:ascii="ITC Avant Garde" w:hAnsi="ITC Avant Garde"/>
                <w:b/>
                <w:noProof/>
                <w:sz w:val="20"/>
                <w:szCs w:val="20"/>
              </w:rPr>
              <w:t>10</w:t>
            </w:r>
            <w:r w:rsidRPr="004F772B">
              <w:rPr>
                <w:rFonts w:ascii="ITC Avant Garde" w:hAnsi="ITC Avant Garde"/>
                <w:b/>
                <w:sz w:val="20"/>
                <w:szCs w:val="20"/>
              </w:rPr>
              <w:fldChar w:fldCharType="end"/>
            </w:r>
            <w:r w:rsidRPr="004F772B">
              <w:rPr>
                <w:rFonts w:ascii="ITC Avant Garde" w:hAnsi="ITC Avant Garde"/>
                <w:b/>
                <w:sz w:val="20"/>
                <w:szCs w:val="20"/>
              </w:rPr>
              <w:t xml:space="preserve">: </w:t>
            </w:r>
            <w:r w:rsidRPr="004F772B">
              <w:rPr>
                <w:rFonts w:ascii="ITC Avant Garde" w:hAnsi="ITC Avant Garde"/>
                <w:sz w:val="20"/>
                <w:szCs w:val="20"/>
              </w:rPr>
              <w:t>¿Considera representativos los valores unitarios de espacio ocupado y potencia eléctrica asociados a cada uno de los recursos definidos en el modelo?</w:t>
            </w:r>
          </w:p>
        </w:tc>
      </w:tr>
      <w:tr w:rsidR="009C2598" w:rsidRPr="004970C4" w14:paraId="1A9EB4C6" w14:textId="77777777" w:rsidTr="0062012F">
        <w:trPr>
          <w:trHeight w:val="290"/>
        </w:trPr>
        <w:tc>
          <w:tcPr>
            <w:tcW w:w="8647" w:type="dxa"/>
            <w:shd w:val="clear" w:color="auto" w:fill="auto"/>
            <w:vAlign w:val="center"/>
          </w:tcPr>
          <w:p w14:paraId="106D18B3" w14:textId="0EE25881" w:rsidR="00522B97" w:rsidRDefault="004F772B" w:rsidP="0062012F">
            <w:pPr>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p w14:paraId="4155FB83" w14:textId="4176F940" w:rsidR="00522B97" w:rsidRPr="004F772B" w:rsidRDefault="00522B97" w:rsidP="0062012F">
            <w:pPr>
              <w:rPr>
                <w:rFonts w:ascii="Century Gothic" w:eastAsia="Times New Roman" w:hAnsi="Century Gothic" w:cs="Times New Roman"/>
                <w:color w:val="000000"/>
                <w:sz w:val="20"/>
                <w:szCs w:val="20"/>
                <w:lang w:eastAsia="es-MX"/>
              </w:rPr>
            </w:pPr>
          </w:p>
        </w:tc>
      </w:tr>
      <w:tr w:rsidR="009C2598" w:rsidRPr="004970C4" w14:paraId="6546E9E7" w14:textId="77777777" w:rsidTr="0062012F">
        <w:trPr>
          <w:trHeight w:val="57"/>
        </w:trPr>
        <w:tc>
          <w:tcPr>
            <w:tcW w:w="8647" w:type="dxa"/>
            <w:shd w:val="clear" w:color="auto" w:fill="C5E0B3" w:themeFill="accent6" w:themeFillTint="66"/>
            <w:vAlign w:val="center"/>
          </w:tcPr>
          <w:p w14:paraId="5808D101" w14:textId="77777777" w:rsidR="009C2598" w:rsidRPr="004F772B" w:rsidRDefault="00815A36" w:rsidP="0062012F">
            <w:pPr>
              <w:keepNext/>
              <w:keepLines/>
              <w:numPr>
                <w:ilvl w:val="1"/>
                <w:numId w:val="0"/>
              </w:numPr>
              <w:spacing w:before="360" w:after="240" w:line="336" w:lineRule="auto"/>
              <w:jc w:val="center"/>
              <w:outlineLvl w:val="1"/>
              <w:rPr>
                <w:rFonts w:ascii="ITC Avant Garde" w:eastAsia="Times New Roman" w:hAnsi="ITC Avant Garde" w:cs="Times New Roman"/>
                <w:b/>
                <w:bCs/>
                <w:iCs/>
                <w:sz w:val="20"/>
                <w:szCs w:val="20"/>
                <w:lang w:val="es-ES_tradnl" w:eastAsia="es-ES"/>
              </w:rPr>
            </w:pPr>
            <w:r>
              <w:rPr>
                <w:rFonts w:ascii="ITC Avant Garde" w:eastAsia="Times New Roman" w:hAnsi="ITC Avant Garde" w:cs="Times New Roman"/>
                <w:b/>
                <w:bCs/>
                <w:iCs/>
                <w:sz w:val="20"/>
                <w:szCs w:val="20"/>
                <w:lang w:val="es-ES_tradnl" w:eastAsia="es-ES"/>
              </w:rPr>
              <w:lastRenderedPageBreak/>
              <w:t>II.5</w:t>
            </w:r>
            <w:r w:rsidR="004F772B">
              <w:rPr>
                <w:rFonts w:ascii="ITC Avant Garde" w:eastAsia="Times New Roman" w:hAnsi="ITC Avant Garde" w:cs="Times New Roman"/>
                <w:b/>
                <w:bCs/>
                <w:iCs/>
                <w:sz w:val="20"/>
                <w:szCs w:val="20"/>
                <w:lang w:val="es-ES_tradnl" w:eastAsia="es-ES"/>
              </w:rPr>
              <w:t xml:space="preserve"> </w:t>
            </w:r>
            <w:r w:rsidR="004F772B" w:rsidRPr="004F772B">
              <w:rPr>
                <w:rFonts w:ascii="ITC Avant Garde" w:eastAsia="Times New Roman" w:hAnsi="ITC Avant Garde" w:cs="Times New Roman"/>
                <w:b/>
                <w:bCs/>
                <w:iCs/>
                <w:sz w:val="20"/>
                <w:szCs w:val="20"/>
                <w:lang w:val="es-ES_tradnl" w:eastAsia="es-ES"/>
              </w:rPr>
              <w:t>Resultados del modelo</w:t>
            </w:r>
          </w:p>
        </w:tc>
      </w:tr>
      <w:tr w:rsidR="004F772B" w:rsidRPr="004970C4" w14:paraId="02460C66" w14:textId="77777777" w:rsidTr="0062012F">
        <w:trPr>
          <w:trHeight w:val="290"/>
        </w:trPr>
        <w:tc>
          <w:tcPr>
            <w:tcW w:w="8647" w:type="dxa"/>
            <w:shd w:val="clear" w:color="auto" w:fill="auto"/>
            <w:vAlign w:val="center"/>
          </w:tcPr>
          <w:p w14:paraId="6A11650F" w14:textId="7B0166AA" w:rsidR="004F772B" w:rsidRDefault="004F772B" w:rsidP="0062012F">
            <w:pPr>
              <w:spacing w:before="120" w:after="0" w:line="25" w:lineRule="atLeast"/>
              <w:jc w:val="both"/>
              <w:rPr>
                <w:rFonts w:ascii="ITC Avant Garde" w:hAnsi="ITC Avant Garde"/>
                <w:sz w:val="20"/>
                <w:szCs w:val="20"/>
                <w:lang w:val="es-ES_tradnl"/>
              </w:rPr>
            </w:pPr>
            <w:r w:rsidRPr="004F772B">
              <w:rPr>
                <w:rFonts w:ascii="ITC Avant Garde" w:hAnsi="ITC Avant Garde"/>
                <w:sz w:val="20"/>
                <w:szCs w:val="20"/>
                <w:lang w:val="es-ES_tradnl"/>
              </w:rPr>
              <w:t xml:space="preserve">El modelo genera resultados para los servicios mayoristas que, a la fecha de publicación de esta Consulta Pública, se encuentran recogidos en la </w:t>
            </w:r>
            <w:r w:rsidR="00F9262C">
              <w:rPr>
                <w:rFonts w:ascii="ITC Avant Garde" w:hAnsi="ITC Avant Garde"/>
                <w:sz w:val="20"/>
                <w:szCs w:val="20"/>
                <w:lang w:val="es-ES_tradnl"/>
              </w:rPr>
              <w:t xml:space="preserve">propuesta de </w:t>
            </w:r>
            <w:r w:rsidRPr="004F772B">
              <w:rPr>
                <w:rFonts w:ascii="ITC Avant Garde" w:hAnsi="ITC Avant Garde"/>
                <w:sz w:val="20"/>
                <w:szCs w:val="20"/>
                <w:lang w:val="es-ES_tradnl"/>
              </w:rPr>
              <w:t>Oferta Pública de Infraestructura (OPI) del AEP de radiodifusión. Estos servicios son los siguientes:</w:t>
            </w:r>
          </w:p>
          <w:p w14:paraId="385EDB13" w14:textId="77777777" w:rsidR="004F772B" w:rsidRPr="00931159" w:rsidRDefault="004F772B" w:rsidP="0062012F">
            <w:pPr>
              <w:pStyle w:val="Prrafodelista"/>
              <w:numPr>
                <w:ilvl w:val="0"/>
                <w:numId w:val="28"/>
              </w:numPr>
              <w:spacing w:before="120" w:after="0" w:line="25" w:lineRule="atLeast"/>
              <w:jc w:val="both"/>
              <w:rPr>
                <w:rFonts w:ascii="ITC Avant Garde" w:eastAsia="Times New Roman" w:hAnsi="ITC Avant Garde" w:cs="Times New Roman"/>
                <w:bCs/>
                <w:sz w:val="20"/>
                <w:szCs w:val="20"/>
                <w:lang w:val="es-CR" w:eastAsia="es-ES"/>
              </w:rPr>
            </w:pPr>
            <w:r w:rsidRPr="00931159">
              <w:rPr>
                <w:rFonts w:ascii="ITC Avant Garde" w:eastAsia="Times New Roman" w:hAnsi="ITC Avant Garde" w:cs="Times New Roman"/>
                <w:bCs/>
                <w:sz w:val="20"/>
                <w:szCs w:val="20"/>
                <w:lang w:val="es-CR" w:eastAsia="es-ES"/>
              </w:rPr>
              <w:t>Servicios de coubicación:</w:t>
            </w:r>
          </w:p>
          <w:p w14:paraId="2A072D96" w14:textId="77777777" w:rsidR="004F772B" w:rsidRPr="004F772B" w:rsidRDefault="004F772B" w:rsidP="0062012F">
            <w:pPr>
              <w:pStyle w:val="Prrafodelista"/>
              <w:numPr>
                <w:ilvl w:val="3"/>
                <w:numId w:val="22"/>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Servicio de coubicación en predio</w:t>
            </w:r>
          </w:p>
          <w:p w14:paraId="706CAA7B" w14:textId="77777777" w:rsidR="004F772B" w:rsidRPr="004F772B" w:rsidRDefault="004F772B" w:rsidP="0062012F">
            <w:pPr>
              <w:pStyle w:val="Prrafodelista"/>
              <w:numPr>
                <w:ilvl w:val="3"/>
                <w:numId w:val="22"/>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Servicio de coubicación en caseta</w:t>
            </w:r>
          </w:p>
          <w:p w14:paraId="13D52C78" w14:textId="77777777" w:rsidR="004F772B" w:rsidRPr="004F772B" w:rsidRDefault="004F772B" w:rsidP="0062012F">
            <w:pPr>
              <w:pStyle w:val="Prrafodelista"/>
              <w:numPr>
                <w:ilvl w:val="3"/>
                <w:numId w:val="22"/>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Servicio de coubicación en torre</w:t>
            </w:r>
          </w:p>
          <w:p w14:paraId="7417ADC4" w14:textId="77777777" w:rsidR="004F772B" w:rsidRDefault="004F772B" w:rsidP="0062012F">
            <w:pPr>
              <w:pStyle w:val="Prrafodelista"/>
              <w:numPr>
                <w:ilvl w:val="3"/>
                <w:numId w:val="22"/>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Servicio de acceso a fuentes de energía (que abarca tanto el servicio de acceso a la subestación eléctrica como a la planta de emergencia)</w:t>
            </w:r>
          </w:p>
          <w:p w14:paraId="4B721E8E" w14:textId="3198FEDE" w:rsidR="004F772B" w:rsidRPr="00931159" w:rsidRDefault="004F772B" w:rsidP="0062012F">
            <w:pPr>
              <w:pStyle w:val="Prrafodelista"/>
              <w:numPr>
                <w:ilvl w:val="3"/>
                <w:numId w:val="22"/>
              </w:numPr>
              <w:spacing w:before="120" w:after="0" w:line="25" w:lineRule="atLeast"/>
              <w:jc w:val="both"/>
              <w:rPr>
                <w:rFonts w:ascii="ITC Avant Garde" w:eastAsia="Times New Roman" w:hAnsi="ITC Avant Garde" w:cs="Times New Roman"/>
                <w:sz w:val="20"/>
                <w:szCs w:val="20"/>
                <w:lang w:val="es-ES" w:eastAsia="es-ES"/>
              </w:rPr>
            </w:pPr>
            <w:r w:rsidRPr="00931159">
              <w:rPr>
                <w:rFonts w:ascii="ITC Avant Garde" w:eastAsia="Times New Roman" w:hAnsi="ITC Avant Garde" w:cs="Times New Roman"/>
                <w:sz w:val="20"/>
                <w:szCs w:val="20"/>
                <w:lang w:val="es-ES" w:eastAsia="es-ES"/>
              </w:rPr>
              <w:t>Servicio de acceso a la cama de transmisión</w:t>
            </w:r>
            <w:r w:rsidRPr="004F772B">
              <w:rPr>
                <w:rFonts w:ascii="ITC Avant Garde" w:eastAsia="Times New Roman" w:hAnsi="ITC Avant Garde" w:cs="Times New Roman"/>
                <w:sz w:val="20"/>
                <w:szCs w:val="20"/>
                <w:vertAlign w:val="superscript"/>
                <w:lang w:val="es-ES" w:eastAsia="es-ES"/>
              </w:rPr>
              <w:footnoteReference w:id="2"/>
            </w:r>
          </w:p>
          <w:p w14:paraId="740B0C38" w14:textId="2F6261BA" w:rsidR="004F772B" w:rsidRPr="00931159" w:rsidRDefault="004F772B" w:rsidP="0062012F">
            <w:pPr>
              <w:pStyle w:val="Prrafodelista"/>
              <w:numPr>
                <w:ilvl w:val="0"/>
                <w:numId w:val="28"/>
              </w:numPr>
              <w:spacing w:before="120" w:after="0" w:line="25" w:lineRule="atLeast"/>
              <w:jc w:val="both"/>
              <w:rPr>
                <w:rFonts w:ascii="ITC Avant Garde" w:eastAsia="Times New Roman" w:hAnsi="ITC Avant Garde" w:cs="Times New Roman"/>
                <w:bCs/>
                <w:sz w:val="20"/>
                <w:szCs w:val="20"/>
                <w:lang w:val="es-CR" w:eastAsia="es-ES"/>
              </w:rPr>
            </w:pPr>
            <w:r w:rsidRPr="00931159">
              <w:rPr>
                <w:rFonts w:ascii="ITC Avant Garde" w:eastAsia="Times New Roman" w:hAnsi="ITC Avant Garde" w:cs="Times New Roman"/>
                <w:bCs/>
                <w:sz w:val="20"/>
                <w:szCs w:val="20"/>
                <w:lang w:val="es-CR" w:eastAsia="es-ES"/>
              </w:rPr>
              <w:t>Servicio de emisión de señal, con su correspondiente desagregación en los siguientes elementos de la infraestructura:</w:t>
            </w:r>
          </w:p>
          <w:p w14:paraId="66E0A9FE" w14:textId="77777777" w:rsidR="004F772B" w:rsidRPr="004F772B" w:rsidRDefault="004F772B" w:rsidP="0062012F">
            <w:pPr>
              <w:pStyle w:val="Prrafodelista"/>
              <w:numPr>
                <w:ilvl w:val="3"/>
                <w:numId w:val="23"/>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Filtro de máscara</w:t>
            </w:r>
          </w:p>
          <w:p w14:paraId="53E6539B" w14:textId="77777777" w:rsidR="004F772B" w:rsidRPr="004F772B" w:rsidRDefault="004F772B" w:rsidP="0062012F">
            <w:pPr>
              <w:pStyle w:val="Prrafodelista"/>
              <w:numPr>
                <w:ilvl w:val="3"/>
                <w:numId w:val="23"/>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Combinador</w:t>
            </w:r>
          </w:p>
          <w:p w14:paraId="46225573" w14:textId="77777777" w:rsidR="004F772B" w:rsidRPr="004F772B" w:rsidRDefault="004F772B" w:rsidP="0062012F">
            <w:pPr>
              <w:pStyle w:val="Prrafodelista"/>
              <w:numPr>
                <w:ilvl w:val="3"/>
                <w:numId w:val="23"/>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Panel de parcheo</w:t>
            </w:r>
          </w:p>
          <w:p w14:paraId="2E34E516" w14:textId="77777777" w:rsidR="004F772B" w:rsidRPr="004F772B" w:rsidRDefault="004F772B" w:rsidP="0062012F">
            <w:pPr>
              <w:pStyle w:val="Prrafodelista"/>
              <w:numPr>
                <w:ilvl w:val="3"/>
                <w:numId w:val="25"/>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Línea de transmisión</w:t>
            </w:r>
          </w:p>
          <w:p w14:paraId="3E453B55" w14:textId="0528187B" w:rsidR="004F772B" w:rsidRPr="004F772B" w:rsidRDefault="00FC2519" w:rsidP="0062012F">
            <w:pPr>
              <w:pStyle w:val="Prrafodelista"/>
              <w:numPr>
                <w:ilvl w:val="3"/>
                <w:numId w:val="25"/>
              </w:numPr>
              <w:spacing w:before="120" w:after="0" w:line="25" w:lineRule="atLeast"/>
              <w:jc w:val="both"/>
              <w:rPr>
                <w:rFonts w:ascii="ITC Avant Garde" w:eastAsia="Times New Roman" w:hAnsi="ITC Avant Garde" w:cs="Times New Roman"/>
                <w:sz w:val="20"/>
                <w:szCs w:val="20"/>
                <w:lang w:val="es-ES" w:eastAsia="es-ES"/>
              </w:rPr>
            </w:pPr>
            <w:r>
              <w:rPr>
                <w:rFonts w:ascii="ITC Avant Garde" w:eastAsia="Times New Roman" w:hAnsi="ITC Avant Garde" w:cs="Times New Roman"/>
                <w:sz w:val="20"/>
                <w:szCs w:val="20"/>
                <w:lang w:val="es-ES" w:eastAsia="es-ES"/>
              </w:rPr>
              <w:t>Antena</w:t>
            </w:r>
            <w:r w:rsidR="004F772B" w:rsidRPr="004F772B">
              <w:rPr>
                <w:rFonts w:ascii="ITC Avant Garde" w:eastAsia="Times New Roman" w:hAnsi="ITC Avant Garde" w:cs="Times New Roman"/>
                <w:sz w:val="20"/>
                <w:szCs w:val="20"/>
                <w:lang w:val="es-ES" w:eastAsia="es-ES"/>
              </w:rPr>
              <w:t xml:space="preserve"> radiante</w:t>
            </w:r>
          </w:p>
          <w:p w14:paraId="01020A84" w14:textId="77777777" w:rsidR="004F772B" w:rsidRPr="00931159" w:rsidRDefault="004F772B" w:rsidP="0062012F">
            <w:pPr>
              <w:pStyle w:val="Prrafodelista"/>
              <w:numPr>
                <w:ilvl w:val="0"/>
                <w:numId w:val="28"/>
              </w:numPr>
              <w:spacing w:before="120" w:after="0" w:line="25" w:lineRule="atLeast"/>
              <w:jc w:val="both"/>
              <w:rPr>
                <w:rFonts w:ascii="ITC Avant Garde" w:eastAsia="Times New Roman" w:hAnsi="ITC Avant Garde" w:cs="Times New Roman"/>
                <w:bCs/>
                <w:sz w:val="20"/>
                <w:szCs w:val="20"/>
                <w:lang w:val="es-CR" w:eastAsia="es-ES"/>
              </w:rPr>
            </w:pPr>
            <w:r w:rsidRPr="00931159">
              <w:rPr>
                <w:rFonts w:ascii="ITC Avant Garde" w:eastAsia="Times New Roman" w:hAnsi="ITC Avant Garde" w:cs="Times New Roman"/>
                <w:bCs/>
                <w:sz w:val="20"/>
                <w:szCs w:val="20"/>
                <w:lang w:val="es-CR" w:eastAsia="es-ES"/>
              </w:rPr>
              <w:t>Servicios complementarios:</w:t>
            </w:r>
          </w:p>
          <w:p w14:paraId="465A2D3D" w14:textId="77777777" w:rsidR="004F772B" w:rsidRPr="004F772B" w:rsidRDefault="004F772B" w:rsidP="0062012F">
            <w:pPr>
              <w:pStyle w:val="Prrafodelista"/>
              <w:numPr>
                <w:ilvl w:val="3"/>
                <w:numId w:val="26"/>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Servicio de Realización de Visita Técnica</w:t>
            </w:r>
          </w:p>
          <w:p w14:paraId="0C865B5A" w14:textId="77777777" w:rsidR="004F772B" w:rsidRPr="004F772B" w:rsidRDefault="004F772B" w:rsidP="0062012F">
            <w:pPr>
              <w:pStyle w:val="Prrafodelista"/>
              <w:numPr>
                <w:ilvl w:val="3"/>
                <w:numId w:val="26"/>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 xml:space="preserve">Servicio de Instalación de Infraestructura </w:t>
            </w:r>
          </w:p>
          <w:p w14:paraId="196B30A3" w14:textId="77777777" w:rsidR="004F772B" w:rsidRPr="004F772B" w:rsidRDefault="004F772B" w:rsidP="0062012F">
            <w:pPr>
              <w:pStyle w:val="Prrafodelista"/>
              <w:numPr>
                <w:ilvl w:val="3"/>
                <w:numId w:val="26"/>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Servicio de Acondicionamiento de Infraestructura</w:t>
            </w:r>
          </w:p>
          <w:p w14:paraId="4035A5BF" w14:textId="77777777" w:rsidR="004F772B" w:rsidRPr="004F772B" w:rsidRDefault="004F772B" w:rsidP="0062012F">
            <w:pPr>
              <w:pStyle w:val="Prrafodelista"/>
              <w:numPr>
                <w:ilvl w:val="3"/>
                <w:numId w:val="26"/>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Servicio de Recuperación de Espacios</w:t>
            </w:r>
          </w:p>
          <w:p w14:paraId="652463A1" w14:textId="77777777" w:rsidR="004F772B" w:rsidRPr="004F772B" w:rsidRDefault="004F772B" w:rsidP="0062012F">
            <w:pPr>
              <w:pStyle w:val="Prrafodelista"/>
              <w:numPr>
                <w:ilvl w:val="3"/>
                <w:numId w:val="26"/>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Acceso Programado</w:t>
            </w:r>
          </w:p>
          <w:p w14:paraId="400F1020" w14:textId="77777777" w:rsidR="004F772B" w:rsidRPr="004F772B" w:rsidRDefault="004F772B" w:rsidP="0062012F">
            <w:pPr>
              <w:pStyle w:val="Prrafodelista"/>
              <w:numPr>
                <w:ilvl w:val="3"/>
                <w:numId w:val="26"/>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Acceso de Emergencia o Acceso No Programado</w:t>
            </w:r>
          </w:p>
          <w:p w14:paraId="1CEA6009" w14:textId="77777777" w:rsidR="004F772B" w:rsidRPr="004F772B" w:rsidRDefault="004F772B" w:rsidP="0062012F">
            <w:pPr>
              <w:pStyle w:val="Prrafodelista"/>
              <w:numPr>
                <w:ilvl w:val="3"/>
                <w:numId w:val="26"/>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Reparación de Fallas y Gestión de Incidencias de la Infraestructura</w:t>
            </w:r>
          </w:p>
          <w:p w14:paraId="66730CE3" w14:textId="77777777" w:rsidR="004F772B" w:rsidRPr="004F772B" w:rsidRDefault="004F772B" w:rsidP="0062012F">
            <w:pPr>
              <w:pStyle w:val="Prrafodelista"/>
              <w:numPr>
                <w:ilvl w:val="3"/>
                <w:numId w:val="26"/>
              </w:numPr>
              <w:spacing w:before="120" w:after="0" w:line="25" w:lineRule="atLeast"/>
              <w:jc w:val="both"/>
              <w:rPr>
                <w:rFonts w:ascii="ITC Avant Garde" w:eastAsia="Times New Roman" w:hAnsi="ITC Avant Garde" w:cs="Times New Roman"/>
                <w:sz w:val="20"/>
                <w:szCs w:val="20"/>
                <w:lang w:val="es-ES" w:eastAsia="es-ES"/>
              </w:rPr>
            </w:pPr>
            <w:r w:rsidRPr="004F772B">
              <w:rPr>
                <w:rFonts w:ascii="ITC Avant Garde" w:eastAsia="Times New Roman" w:hAnsi="ITC Avant Garde" w:cs="Times New Roman"/>
                <w:sz w:val="20"/>
                <w:szCs w:val="20"/>
                <w:lang w:val="es-ES" w:eastAsia="es-ES"/>
              </w:rPr>
              <w:t>Mantenimiento a la Infraestructura del Prestador de Servicios</w:t>
            </w:r>
          </w:p>
          <w:p w14:paraId="66C25593" w14:textId="77777777" w:rsidR="004F772B" w:rsidRPr="004F772B" w:rsidRDefault="004F772B" w:rsidP="0062012F">
            <w:pPr>
              <w:spacing w:before="120" w:after="0" w:line="25" w:lineRule="atLeast"/>
              <w:jc w:val="both"/>
              <w:rPr>
                <w:rFonts w:ascii="ITC Avant Garde" w:hAnsi="ITC Avant Garde"/>
                <w:sz w:val="20"/>
                <w:szCs w:val="20"/>
              </w:rPr>
            </w:pPr>
            <w:r w:rsidRPr="004F772B">
              <w:rPr>
                <w:rFonts w:ascii="ITC Avant Garde" w:hAnsi="ITC Avant Garde"/>
                <w:sz w:val="20"/>
                <w:szCs w:val="20"/>
              </w:rPr>
              <w:t>Los resultados de los servicios anteriores se presentan en la hoja del modelo ‘10A RESULT SERV’. A raíz de la anonimización de los insumos de entrada de carácter confidencial, los resultados presentados en el modelo se presentan bajo un rango de -30% y +30% sobre los resultados generados con los insumos reales.</w:t>
            </w:r>
          </w:p>
          <w:p w14:paraId="4859E4EF" w14:textId="77777777" w:rsidR="004F772B" w:rsidRPr="004F772B" w:rsidRDefault="004F772B" w:rsidP="0062012F">
            <w:pPr>
              <w:spacing w:before="120" w:after="0" w:line="25" w:lineRule="atLeast"/>
              <w:jc w:val="both"/>
              <w:rPr>
                <w:rFonts w:ascii="ITC Avant Garde" w:hAnsi="ITC Avant Garde"/>
                <w:sz w:val="20"/>
                <w:szCs w:val="20"/>
              </w:rPr>
            </w:pPr>
            <w:r w:rsidRPr="004F772B">
              <w:rPr>
                <w:rFonts w:ascii="ITC Avant Garde" w:hAnsi="ITC Avant Garde"/>
                <w:sz w:val="20"/>
                <w:szCs w:val="20"/>
              </w:rPr>
              <w:t>No obstante, para referencia de los participantes en la Consulta Pública, se incluyen en la hoja ’10B RESULT REAL’ los resultados extraídos del modelo para los años 2018 y 2019 que resultan de la ejecución con los insumos reales (sin anonimizar).</w:t>
            </w:r>
          </w:p>
          <w:p w14:paraId="47233771" w14:textId="77777777" w:rsidR="004F772B" w:rsidRDefault="004F772B" w:rsidP="0062012F">
            <w:pPr>
              <w:spacing w:after="0" w:line="240" w:lineRule="auto"/>
              <w:rPr>
                <w:rFonts w:ascii="ITC Avant Garde" w:hAnsi="ITC Avant Garde"/>
                <w:sz w:val="20"/>
                <w:szCs w:val="20"/>
              </w:rPr>
            </w:pPr>
            <w:r w:rsidRPr="004F772B">
              <w:rPr>
                <w:rFonts w:ascii="ITC Avant Garde" w:hAnsi="ITC Avant Garde"/>
                <w:sz w:val="20"/>
                <w:szCs w:val="20"/>
              </w:rPr>
              <w:t>Se informa que los resultados podrían modificarse derivado de circunstancias particulares de cada caso y eventualmente si el Instituto considera procedente realizar algún ajuste a partir de comentarios vertidos a través de la consulta pública.</w:t>
            </w:r>
          </w:p>
          <w:p w14:paraId="19558E70" w14:textId="3BB07A51" w:rsidR="00522B97" w:rsidRPr="00C41536" w:rsidRDefault="00522B97" w:rsidP="0062012F">
            <w:pPr>
              <w:spacing w:after="0" w:line="240" w:lineRule="auto"/>
              <w:rPr>
                <w:rFonts w:ascii="Century Gothic" w:eastAsia="Times New Roman" w:hAnsi="Century Gothic" w:cs="Times New Roman"/>
                <w:color w:val="000000"/>
                <w:lang w:eastAsia="es-MX"/>
              </w:rPr>
            </w:pPr>
          </w:p>
        </w:tc>
      </w:tr>
      <w:tr w:rsidR="004F772B" w:rsidRPr="004970C4" w14:paraId="2A8550B4" w14:textId="77777777" w:rsidTr="0062012F">
        <w:trPr>
          <w:trHeight w:val="290"/>
        </w:trPr>
        <w:tc>
          <w:tcPr>
            <w:tcW w:w="8647" w:type="dxa"/>
            <w:shd w:val="clear" w:color="auto" w:fill="DBDBDB" w:themeFill="accent3" w:themeFillTint="66"/>
            <w:vAlign w:val="center"/>
          </w:tcPr>
          <w:p w14:paraId="67CC7A86" w14:textId="4B7A075B" w:rsidR="004F772B" w:rsidRPr="004F772B" w:rsidRDefault="004F772B" w:rsidP="0062012F">
            <w:pPr>
              <w:spacing w:before="120" w:line="25" w:lineRule="atLeast"/>
              <w:jc w:val="both"/>
              <w:rPr>
                <w:rFonts w:ascii="ITC Avant Garde" w:hAnsi="ITC Avant Garde"/>
                <w:sz w:val="20"/>
                <w:szCs w:val="20"/>
              </w:rPr>
            </w:pPr>
            <w:r w:rsidRPr="004F772B">
              <w:rPr>
                <w:rFonts w:ascii="ITC Avant Garde" w:hAnsi="ITC Avant Garde"/>
                <w:b/>
                <w:sz w:val="20"/>
                <w:szCs w:val="20"/>
              </w:rPr>
              <w:lastRenderedPageBreak/>
              <w:t xml:space="preserve">P. </w:t>
            </w:r>
            <w:r w:rsidRPr="004F772B">
              <w:rPr>
                <w:rFonts w:ascii="ITC Avant Garde" w:hAnsi="ITC Avant Garde"/>
                <w:b/>
                <w:sz w:val="20"/>
                <w:szCs w:val="20"/>
              </w:rPr>
              <w:fldChar w:fldCharType="begin"/>
            </w:r>
            <w:r w:rsidRPr="004F772B">
              <w:rPr>
                <w:rFonts w:ascii="ITC Avant Garde" w:hAnsi="ITC Avant Garde"/>
                <w:b/>
                <w:sz w:val="20"/>
                <w:szCs w:val="20"/>
              </w:rPr>
              <w:instrText xml:space="preserve"> SEQ Question \* ARABIC </w:instrText>
            </w:r>
            <w:r w:rsidRPr="004F772B">
              <w:rPr>
                <w:rFonts w:ascii="ITC Avant Garde" w:hAnsi="ITC Avant Garde"/>
                <w:b/>
                <w:sz w:val="20"/>
                <w:szCs w:val="20"/>
              </w:rPr>
              <w:fldChar w:fldCharType="separate"/>
            </w:r>
            <w:r w:rsidRPr="004F772B">
              <w:rPr>
                <w:rFonts w:ascii="ITC Avant Garde" w:hAnsi="ITC Avant Garde"/>
                <w:b/>
                <w:noProof/>
                <w:sz w:val="20"/>
                <w:szCs w:val="20"/>
              </w:rPr>
              <w:t>11</w:t>
            </w:r>
            <w:r w:rsidRPr="004F772B">
              <w:rPr>
                <w:rFonts w:ascii="ITC Avant Garde" w:hAnsi="ITC Avant Garde"/>
                <w:b/>
                <w:sz w:val="20"/>
                <w:szCs w:val="20"/>
              </w:rPr>
              <w:fldChar w:fldCharType="end"/>
            </w:r>
            <w:r w:rsidRPr="004F772B">
              <w:rPr>
                <w:rFonts w:ascii="ITC Avant Garde" w:hAnsi="ITC Avant Garde"/>
                <w:b/>
                <w:sz w:val="20"/>
                <w:szCs w:val="20"/>
              </w:rPr>
              <w:t xml:space="preserve">: </w:t>
            </w:r>
            <w:r w:rsidR="00522B97" w:rsidRPr="00522B97">
              <w:rPr>
                <w:rFonts w:ascii="ITC Avant Garde" w:hAnsi="ITC Avant Garde"/>
                <w:sz w:val="20"/>
                <w:szCs w:val="20"/>
              </w:rPr>
              <w:t>¿</w:t>
            </w:r>
            <w:r w:rsidR="00522B97">
              <w:rPr>
                <w:rFonts w:ascii="ITC Avant Garde" w:hAnsi="ITC Avant Garde"/>
                <w:sz w:val="20"/>
                <w:szCs w:val="20"/>
              </w:rPr>
              <w:t xml:space="preserve">Considera que los elementos de infraestructura señalados para la modelación de los servicios, </w:t>
            </w:r>
            <w:r w:rsidR="00522B97" w:rsidRPr="00522B97">
              <w:rPr>
                <w:rFonts w:ascii="ITC Avant Garde" w:hAnsi="ITC Avant Garde"/>
                <w:sz w:val="20"/>
                <w:szCs w:val="20"/>
              </w:rPr>
              <w:t>son los necesarios para la correcta prestación de los servicios de coubicación y emisión de señal</w:t>
            </w:r>
            <w:r w:rsidR="00522B97">
              <w:rPr>
                <w:rFonts w:ascii="ITC Avant Garde" w:hAnsi="ITC Avant Garde"/>
                <w:sz w:val="20"/>
                <w:szCs w:val="20"/>
              </w:rPr>
              <w:t>?</w:t>
            </w:r>
          </w:p>
        </w:tc>
      </w:tr>
      <w:tr w:rsidR="004F772B" w:rsidRPr="004970C4" w14:paraId="773211FE" w14:textId="77777777" w:rsidTr="0062012F">
        <w:trPr>
          <w:trHeight w:val="290"/>
        </w:trPr>
        <w:tc>
          <w:tcPr>
            <w:tcW w:w="8647" w:type="dxa"/>
            <w:shd w:val="clear" w:color="auto" w:fill="auto"/>
            <w:vAlign w:val="center"/>
          </w:tcPr>
          <w:p w14:paraId="60BABEAE" w14:textId="40F9AD2A" w:rsidR="004F772B" w:rsidRPr="004F772B" w:rsidRDefault="004F772B" w:rsidP="0062012F">
            <w:pPr>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tc>
      </w:tr>
      <w:tr w:rsidR="004F772B" w:rsidRPr="004970C4" w14:paraId="12665DD0" w14:textId="77777777" w:rsidTr="0062012F">
        <w:trPr>
          <w:trHeight w:val="290"/>
        </w:trPr>
        <w:tc>
          <w:tcPr>
            <w:tcW w:w="8647" w:type="dxa"/>
            <w:shd w:val="clear" w:color="auto" w:fill="DBDBDB" w:themeFill="accent3" w:themeFillTint="66"/>
            <w:vAlign w:val="center"/>
          </w:tcPr>
          <w:p w14:paraId="0E69F846" w14:textId="23791383" w:rsidR="004F772B" w:rsidRPr="004F772B" w:rsidRDefault="00522B97" w:rsidP="0062012F">
            <w:pPr>
              <w:spacing w:before="120" w:line="25" w:lineRule="atLeast"/>
              <w:jc w:val="both"/>
              <w:rPr>
                <w:rFonts w:ascii="ITC Avant Garde" w:hAnsi="ITC Avant Garde"/>
                <w:sz w:val="20"/>
                <w:szCs w:val="20"/>
              </w:rPr>
            </w:pPr>
            <w:r w:rsidRPr="004F772B">
              <w:rPr>
                <w:rFonts w:ascii="ITC Avant Garde" w:hAnsi="ITC Avant Garde"/>
                <w:b/>
                <w:sz w:val="20"/>
                <w:szCs w:val="20"/>
              </w:rPr>
              <w:t xml:space="preserve">P. </w:t>
            </w:r>
            <w:r w:rsidRPr="004F772B">
              <w:rPr>
                <w:rFonts w:ascii="ITC Avant Garde" w:hAnsi="ITC Avant Garde"/>
                <w:b/>
                <w:sz w:val="20"/>
                <w:szCs w:val="20"/>
              </w:rPr>
              <w:fldChar w:fldCharType="begin"/>
            </w:r>
            <w:r w:rsidRPr="004F772B">
              <w:rPr>
                <w:rFonts w:ascii="ITC Avant Garde" w:hAnsi="ITC Avant Garde"/>
                <w:b/>
                <w:sz w:val="20"/>
                <w:szCs w:val="20"/>
              </w:rPr>
              <w:instrText xml:space="preserve"> SEQ Question \* ARABIC </w:instrText>
            </w:r>
            <w:r w:rsidRPr="004F772B">
              <w:rPr>
                <w:rFonts w:ascii="ITC Avant Garde" w:hAnsi="ITC Avant Garde"/>
                <w:b/>
                <w:sz w:val="20"/>
                <w:szCs w:val="20"/>
              </w:rPr>
              <w:fldChar w:fldCharType="separate"/>
            </w:r>
            <w:r w:rsidRPr="004F772B">
              <w:rPr>
                <w:rFonts w:ascii="ITC Avant Garde" w:hAnsi="ITC Avant Garde"/>
                <w:b/>
                <w:noProof/>
                <w:sz w:val="20"/>
                <w:szCs w:val="20"/>
              </w:rPr>
              <w:t>1</w:t>
            </w:r>
            <w:r w:rsidRPr="004F772B">
              <w:rPr>
                <w:rFonts w:ascii="ITC Avant Garde" w:hAnsi="ITC Avant Garde"/>
                <w:b/>
                <w:sz w:val="20"/>
                <w:szCs w:val="20"/>
              </w:rPr>
              <w:fldChar w:fldCharType="end"/>
            </w:r>
            <w:r>
              <w:rPr>
                <w:rFonts w:ascii="ITC Avant Garde" w:hAnsi="ITC Avant Garde"/>
                <w:b/>
                <w:sz w:val="20"/>
                <w:szCs w:val="20"/>
              </w:rPr>
              <w:t>2</w:t>
            </w:r>
            <w:r w:rsidRPr="004F772B">
              <w:rPr>
                <w:rFonts w:ascii="ITC Avant Garde" w:hAnsi="ITC Avant Garde"/>
                <w:b/>
                <w:sz w:val="20"/>
                <w:szCs w:val="20"/>
              </w:rPr>
              <w:t xml:space="preserve">: </w:t>
            </w:r>
            <w:r w:rsidRPr="004F772B">
              <w:rPr>
                <w:rFonts w:ascii="ITC Avant Garde" w:hAnsi="ITC Avant Garde"/>
                <w:sz w:val="20"/>
                <w:szCs w:val="20"/>
              </w:rPr>
              <w:t>¿Tiene algún comentario sobre los precios resultantes del modelo para los añ</w:t>
            </w:r>
            <w:r>
              <w:rPr>
                <w:rFonts w:ascii="ITC Avant Garde" w:hAnsi="ITC Avant Garde"/>
                <w:sz w:val="20"/>
                <w:szCs w:val="20"/>
              </w:rPr>
              <w:t>os 2018 y 2019?</w:t>
            </w:r>
          </w:p>
        </w:tc>
      </w:tr>
      <w:tr w:rsidR="004F772B" w:rsidRPr="004970C4" w14:paraId="1544AA9E" w14:textId="77777777" w:rsidTr="0062012F">
        <w:trPr>
          <w:trHeight w:val="290"/>
        </w:trPr>
        <w:tc>
          <w:tcPr>
            <w:tcW w:w="8647" w:type="dxa"/>
            <w:shd w:val="clear" w:color="auto" w:fill="auto"/>
            <w:vAlign w:val="center"/>
          </w:tcPr>
          <w:p w14:paraId="550AAABB" w14:textId="1B2F1846" w:rsidR="004F772B" w:rsidRPr="004F772B" w:rsidRDefault="00522B97" w:rsidP="0062012F">
            <w:pPr>
              <w:jc w:val="both"/>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tc>
      </w:tr>
      <w:tr w:rsidR="00522B97" w:rsidRPr="004970C4" w14:paraId="3EA1C920" w14:textId="77777777" w:rsidTr="0062012F">
        <w:trPr>
          <w:trHeight w:val="290"/>
        </w:trPr>
        <w:tc>
          <w:tcPr>
            <w:tcW w:w="8647" w:type="dxa"/>
            <w:shd w:val="clear" w:color="auto" w:fill="E7E6E6" w:themeFill="background2"/>
            <w:vAlign w:val="center"/>
          </w:tcPr>
          <w:p w14:paraId="3BE44116" w14:textId="074635B8" w:rsidR="00522B97" w:rsidRDefault="00522B97" w:rsidP="0062012F">
            <w:pPr>
              <w:jc w:val="both"/>
              <w:rPr>
                <w:rFonts w:ascii="Century Gothic" w:eastAsia="Times New Roman" w:hAnsi="Century Gothic" w:cs="Times New Roman"/>
                <w:color w:val="000000"/>
                <w:sz w:val="20"/>
                <w:szCs w:val="20"/>
                <w:lang w:eastAsia="es-MX"/>
              </w:rPr>
            </w:pPr>
            <w:r w:rsidRPr="004F772B">
              <w:rPr>
                <w:rFonts w:ascii="ITC Avant Garde" w:hAnsi="ITC Avant Garde"/>
                <w:b/>
                <w:sz w:val="20"/>
                <w:szCs w:val="20"/>
              </w:rPr>
              <w:t xml:space="preserve">P. </w:t>
            </w:r>
            <w:r>
              <w:rPr>
                <w:rFonts w:ascii="ITC Avant Garde" w:hAnsi="ITC Avant Garde"/>
                <w:b/>
                <w:sz w:val="20"/>
                <w:szCs w:val="20"/>
              </w:rPr>
              <w:t>13</w:t>
            </w:r>
            <w:r w:rsidRPr="004F772B">
              <w:rPr>
                <w:rFonts w:ascii="ITC Avant Garde" w:hAnsi="ITC Avant Garde"/>
                <w:b/>
                <w:sz w:val="20"/>
                <w:szCs w:val="20"/>
              </w:rPr>
              <w:t xml:space="preserve">: </w:t>
            </w:r>
            <w:r w:rsidRPr="004F772B">
              <w:rPr>
                <w:rFonts w:ascii="ITC Avant Garde" w:hAnsi="ITC Avant Garde"/>
                <w:sz w:val="20"/>
                <w:szCs w:val="20"/>
              </w:rPr>
              <w:t>¿Tiene algún comentario adicional relativo al modelo de costos y/o</w:t>
            </w:r>
            <w:r>
              <w:rPr>
                <w:rFonts w:ascii="ITC Avant Garde" w:hAnsi="ITC Avant Garde"/>
                <w:sz w:val="20"/>
                <w:szCs w:val="20"/>
              </w:rPr>
              <w:t xml:space="preserve"> a la documentación presentada?</w:t>
            </w:r>
          </w:p>
        </w:tc>
      </w:tr>
      <w:tr w:rsidR="00522B97" w:rsidRPr="004970C4" w14:paraId="24B385EE" w14:textId="77777777" w:rsidTr="0062012F">
        <w:trPr>
          <w:trHeight w:val="290"/>
        </w:trPr>
        <w:tc>
          <w:tcPr>
            <w:tcW w:w="8647" w:type="dxa"/>
            <w:shd w:val="clear" w:color="auto" w:fill="auto"/>
            <w:vAlign w:val="center"/>
          </w:tcPr>
          <w:p w14:paraId="5FADAC30" w14:textId="4D6F627C" w:rsidR="00522B97" w:rsidRDefault="00522B97" w:rsidP="0062012F">
            <w:pPr>
              <w:rPr>
                <w:rFonts w:ascii="Century Gothic" w:eastAsia="Times New Roman" w:hAnsi="Century Gothic" w:cs="Times New Roman"/>
                <w:color w:val="000000"/>
                <w:sz w:val="20"/>
                <w:szCs w:val="20"/>
                <w:lang w:eastAsia="es-MX"/>
              </w:rPr>
            </w:pPr>
            <w:r>
              <w:rPr>
                <w:rFonts w:ascii="Century Gothic" w:eastAsia="Times New Roman" w:hAnsi="Century Gothic" w:cs="Times New Roman"/>
                <w:color w:val="000000"/>
                <w:sz w:val="20"/>
                <w:szCs w:val="20"/>
                <w:lang w:eastAsia="es-MX"/>
              </w:rPr>
              <w:t>Proporcione su comentario:</w:t>
            </w:r>
          </w:p>
        </w:tc>
      </w:tr>
      <w:tr w:rsidR="000E55B0" w:rsidRPr="004970C4" w14:paraId="512D47FF" w14:textId="77777777" w:rsidTr="0062012F">
        <w:trPr>
          <w:trHeight w:val="290"/>
        </w:trPr>
        <w:tc>
          <w:tcPr>
            <w:tcW w:w="8647" w:type="dxa"/>
            <w:shd w:val="clear" w:color="auto" w:fill="C5E0B3" w:themeFill="accent6" w:themeFillTint="66"/>
            <w:vAlign w:val="center"/>
          </w:tcPr>
          <w:p w14:paraId="32C1D5A1" w14:textId="77777777" w:rsidR="000E55B0" w:rsidRPr="006B0B12" w:rsidRDefault="000E55B0" w:rsidP="0062012F">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7431039B" w14:textId="77777777" w:rsidTr="004F772B">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4F772B">
        <w:trPr>
          <w:trHeight w:val="720"/>
          <w:jc w:val="center"/>
        </w:trPr>
        <w:tc>
          <w:tcPr>
            <w:tcW w:w="8642" w:type="dxa"/>
            <w:shd w:val="clear" w:color="000000" w:fill="FFFFFF"/>
            <w:noWrap/>
            <w:hideMark/>
          </w:tcPr>
          <w:p w14:paraId="1764587B" w14:textId="1F275202"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4F772B">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7E04FB">
      <w:headerReference w:type="default" r:id="rId16"/>
      <w:footerReference w:type="default" r:id="rId1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E45BE" w14:textId="77777777" w:rsidR="000776BF" w:rsidRDefault="000776BF" w:rsidP="0038199D">
      <w:pPr>
        <w:spacing w:after="0" w:line="240" w:lineRule="auto"/>
      </w:pPr>
      <w:r>
        <w:separator/>
      </w:r>
    </w:p>
  </w:endnote>
  <w:endnote w:type="continuationSeparator" w:id="0">
    <w:p w14:paraId="6280D964" w14:textId="77777777" w:rsidR="000776BF" w:rsidRDefault="000776BF"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C51B7D" w:rsidRPr="00C51B7D">
      <w:rPr>
        <w:rFonts w:ascii="ITC Avant Garde" w:hAnsi="ITC Avant Garde"/>
        <w:noProof/>
        <w:color w:val="323E4F" w:themeColor="text2" w:themeShade="BF"/>
        <w:sz w:val="14"/>
        <w:szCs w:val="24"/>
        <w:lang w:val="es-ES"/>
      </w:rPr>
      <w:t>1</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C51B7D" w:rsidRPr="00C51B7D">
      <w:rPr>
        <w:rFonts w:ascii="ITC Avant Garde" w:hAnsi="ITC Avant Garde"/>
        <w:noProof/>
        <w:color w:val="323E4F" w:themeColor="text2" w:themeShade="BF"/>
        <w:sz w:val="14"/>
        <w:szCs w:val="24"/>
        <w:lang w:val="es-ES"/>
      </w:rPr>
      <w:t>11</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BF018" w14:textId="77777777" w:rsidR="000776BF" w:rsidRDefault="000776BF" w:rsidP="0038199D">
      <w:pPr>
        <w:spacing w:after="0" w:line="240" w:lineRule="auto"/>
      </w:pPr>
      <w:r>
        <w:separator/>
      </w:r>
    </w:p>
  </w:footnote>
  <w:footnote w:type="continuationSeparator" w:id="0">
    <w:p w14:paraId="0F3E2D65" w14:textId="77777777" w:rsidR="000776BF" w:rsidRDefault="000776BF" w:rsidP="0038199D">
      <w:pPr>
        <w:spacing w:after="0" w:line="240" w:lineRule="auto"/>
      </w:pPr>
      <w:r>
        <w:continuationSeparator/>
      </w:r>
    </w:p>
  </w:footnote>
  <w:footnote w:id="1">
    <w:p w14:paraId="42D40E59" w14:textId="77777777" w:rsidR="009C2598" w:rsidRDefault="009C2598" w:rsidP="009C2598">
      <w:pPr>
        <w:pStyle w:val="Textonotapie"/>
      </w:pPr>
      <w:r>
        <w:rPr>
          <w:rStyle w:val="Refdenotaalpie"/>
        </w:rPr>
        <w:footnoteRef/>
      </w:r>
      <w:r>
        <w:t xml:space="preserve"> </w:t>
      </w:r>
      <w:r w:rsidRPr="00BA74C5">
        <w:rPr>
          <w:rFonts w:ascii="ITC Avant Garde" w:hAnsi="ITC Avant Garde"/>
        </w:rPr>
        <w:t>Del inglés, sistemas de alimentación ininterrumpida.</w:t>
      </w:r>
    </w:p>
  </w:footnote>
  <w:footnote w:id="2">
    <w:p w14:paraId="7C5158ED" w14:textId="77777777" w:rsidR="004F772B" w:rsidRPr="003674A7" w:rsidRDefault="004F772B" w:rsidP="003674A7">
      <w:pPr>
        <w:pStyle w:val="Textonotapie"/>
        <w:jc w:val="both"/>
        <w:rPr>
          <w:rFonts w:ascii="ITC Avant Garde" w:hAnsi="ITC Avant Garde"/>
        </w:rPr>
      </w:pPr>
      <w:r w:rsidRPr="003674A7">
        <w:rPr>
          <w:rStyle w:val="Refdenotaalpie"/>
          <w:rFonts w:ascii="ITC Avant Garde" w:hAnsi="ITC Avant Garde"/>
          <w:sz w:val="18"/>
        </w:rPr>
        <w:footnoteRef/>
      </w:r>
      <w:r w:rsidRPr="003674A7">
        <w:rPr>
          <w:rFonts w:ascii="ITC Avant Garde" w:hAnsi="ITC Avant Garde"/>
          <w:sz w:val="18"/>
        </w:rPr>
        <w:t xml:space="preserve"> Si bien este servicio no está definido como tal en la OPI (bajo el apartado ‘Servicios materia de la presente OPI’), el Anexo ‘4. Tarifas aplicables a los servicios’ recoge una tarifa asociada al uso de la cama de transmisión desde las instalaciones hasta el pie de la torre.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3943FE3B" w:rsidR="0038199D" w:rsidRPr="007A6974" w:rsidRDefault="001078AA"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0" locked="0" layoutInCell="1" allowOverlap="1" wp14:anchorId="03843DD1" wp14:editId="1F93E40A">
          <wp:simplePos x="0" y="0"/>
          <wp:positionH relativeFrom="margin">
            <wp:posOffset>-68580</wp:posOffset>
          </wp:positionH>
          <wp:positionV relativeFrom="paragraph">
            <wp:posOffset>1270</wp:posOffset>
          </wp:positionV>
          <wp:extent cx="1036800" cy="712800"/>
          <wp:effectExtent l="0" t="0" r="0" b="0"/>
          <wp:wrapSquare wrapText="bothSides"/>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0FB46D73" w14:textId="11E6EBF7" w:rsidR="0038199D" w:rsidRPr="001078AA" w:rsidRDefault="001078AA" w:rsidP="001078AA">
    <w:pPr>
      <w:pStyle w:val="Encabezado"/>
      <w:jc w:val="both"/>
      <w:rPr>
        <w:rFonts w:ascii="Century Gothic" w:hAnsi="Century Gothic"/>
        <w:b/>
        <w:sz w:val="20"/>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1B2B16B5">
              <wp:simplePos x="0" y="0"/>
              <wp:positionH relativeFrom="column">
                <wp:posOffset>57785</wp:posOffset>
              </wp:positionH>
              <wp:positionV relativeFrom="paragraph">
                <wp:posOffset>488315</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FCD777D" id="Conector recto 2" o:spid="_x0000_s1026" alt="Título: Línea para separar los textos"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pt,38.45pt" to="447.2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" strokecolor="#70ad47 [3209]" strokeweight=".5pt">
              <v:stroke joinstyle="miter"/>
            </v:line>
          </w:pict>
        </mc:Fallback>
      </mc:AlternateContent>
    </w:r>
    <w:r w:rsidRPr="00005DB7">
      <w:rPr>
        <w:rFonts w:ascii="Century Gothic" w:hAnsi="Century Gothic"/>
        <w:b/>
        <w:sz w:val="20"/>
      </w:rPr>
      <w:t xml:space="preserve">Consulta Pública </w:t>
    </w:r>
    <w:r>
      <w:rPr>
        <w:rFonts w:ascii="Century Gothic" w:hAnsi="Century Gothic"/>
        <w:b/>
        <w:sz w:val="20"/>
      </w:rPr>
      <w:t xml:space="preserve">sobre </w:t>
    </w:r>
    <w:r w:rsidR="00424956">
      <w:rPr>
        <w:rFonts w:ascii="Century Gothic" w:hAnsi="Century Gothic"/>
        <w:b/>
        <w:sz w:val="20"/>
      </w:rPr>
      <w:t xml:space="preserve">el </w:t>
    </w:r>
    <w:r>
      <w:rPr>
        <w:rFonts w:ascii="Century Gothic" w:hAnsi="Century Gothic"/>
        <w:b/>
        <w:sz w:val="20"/>
      </w:rPr>
      <w:t>“M</w:t>
    </w:r>
    <w:r w:rsidRPr="00F61CDC">
      <w:rPr>
        <w:rFonts w:ascii="Century Gothic" w:hAnsi="Century Gothic"/>
        <w:b/>
        <w:sz w:val="20"/>
      </w:rPr>
      <w:t>odelo de Costos para determinar las tarifas de los servicios de compartición de infraestructura prestados por el Agente Económico Preponderante en el sector de radiodifusión</w:t>
    </w:r>
    <w:r>
      <w:rPr>
        <w:rFonts w:ascii="Century Gothic" w:hAnsi="Century Gothic"/>
        <w:b/>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2F2BD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BD51407"/>
    <w:multiLevelType w:val="hybridMultilevel"/>
    <w:tmpl w:val="FCD0789C"/>
    <w:lvl w:ilvl="0" w:tplc="6326172E">
      <w:start w:val="1"/>
      <w:numFmt w:val="bullet"/>
      <w:lvlText w:val="►"/>
      <w:lvlJc w:val="left"/>
      <w:pPr>
        <w:ind w:left="737" w:hanging="360"/>
      </w:pPr>
      <w:rPr>
        <w:rFonts w:ascii="Arial" w:hAnsi="Arial" w:hint="default"/>
        <w:b w:val="0"/>
        <w:color w:val="auto"/>
      </w:rPr>
    </w:lvl>
    <w:lvl w:ilvl="1" w:tplc="080A0003" w:tentative="1">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4"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0B37D7"/>
    <w:multiLevelType w:val="hybridMultilevel"/>
    <w:tmpl w:val="CA70D3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8D116A"/>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056013"/>
    <w:multiLevelType w:val="hybridMultilevel"/>
    <w:tmpl w:val="038671B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6231E"/>
    <w:multiLevelType w:val="hybridMultilevel"/>
    <w:tmpl w:val="C60430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C27616"/>
    <w:multiLevelType w:val="multilevel"/>
    <w:tmpl w:val="194278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AB458B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815558"/>
    <w:multiLevelType w:val="multilevel"/>
    <w:tmpl w:val="B2923A7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B0A001E"/>
    <w:multiLevelType w:val="multilevel"/>
    <w:tmpl w:val="4FAAC6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CA9230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0010E74"/>
    <w:multiLevelType w:val="hybridMultilevel"/>
    <w:tmpl w:val="08840334"/>
    <w:lvl w:ilvl="0" w:tplc="54A26576">
      <w:start w:val="1"/>
      <w:numFmt w:val="bullet"/>
      <w:pStyle w:val="Indentado1"/>
      <w:lvlText w:val=""/>
      <w:lvlJc w:val="left"/>
      <w:pPr>
        <w:ind w:left="378" w:hanging="360"/>
      </w:pPr>
      <w:rPr>
        <w:rFonts w:ascii="Wingdings 3" w:hAnsi="Wingdings 3" w:hint="default"/>
        <w:b w:val="0"/>
        <w:bCs w:val="0"/>
        <w:i w:val="0"/>
        <w:iCs w:val="0"/>
        <w:caps w:val="0"/>
        <w:smallCaps w:val="0"/>
        <w:strike w:val="0"/>
        <w:dstrike w:val="0"/>
        <w:noProof w:val="0"/>
        <w:vanish w:val="0"/>
        <w:color w:val="auto"/>
        <w:spacing w:val="0"/>
        <w:kern w:val="0"/>
        <w:position w:val="0"/>
        <w:u w:val="none"/>
        <w:effect w:val="none"/>
        <w:vertAlign w:val="baseline"/>
        <w:em w:val="none"/>
        <w:lang w:val="es-CR"/>
        <w:specVanish w:val="0"/>
        <w14:shadow w14:blurRad="0" w14:dist="0" w14:dir="0" w14:sx="0" w14:sy="0" w14:kx="0" w14:ky="0" w14:algn="none">
          <w14:srgbClr w14:val="000000"/>
        </w14:shadow>
        <w14:textOutline w14:w="0" w14:cap="rnd" w14:cmpd="sng" w14:algn="ctr">
          <w14:noFill/>
          <w14:prstDash w14:val="solid"/>
          <w14:bevel/>
        </w14:textOutline>
      </w:rPr>
    </w:lvl>
    <w:lvl w:ilvl="1" w:tplc="0C0A000F">
      <w:start w:val="1"/>
      <w:numFmt w:val="decimal"/>
      <w:lvlText w:val="%2."/>
      <w:lvlJc w:val="left"/>
      <w:pPr>
        <w:ind w:left="1444" w:hanging="360"/>
      </w:pPr>
      <w:rPr>
        <w:rFonts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1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CC0268"/>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BC0B44"/>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0125025"/>
    <w:multiLevelType w:val="hybridMultilevel"/>
    <w:tmpl w:val="0360F0D2"/>
    <w:lvl w:ilvl="0" w:tplc="23DAA88A">
      <w:start w:val="1"/>
      <w:numFmt w:val="bullet"/>
      <w:lvlText w:val="►"/>
      <w:lvlJc w:val="left"/>
      <w:pPr>
        <w:ind w:left="738" w:hanging="360"/>
      </w:pPr>
      <w:rPr>
        <w:rFonts w:ascii="Arial" w:hAnsi="Arial" w:hint="default"/>
        <w:b w:val="0"/>
        <w:color w:val="0C2749"/>
      </w:rPr>
    </w:lvl>
    <w:lvl w:ilvl="1" w:tplc="080A0003" w:tentative="1">
      <w:start w:val="1"/>
      <w:numFmt w:val="bullet"/>
      <w:lvlText w:val="o"/>
      <w:lvlJc w:val="left"/>
      <w:pPr>
        <w:ind w:left="1458" w:hanging="360"/>
      </w:pPr>
      <w:rPr>
        <w:rFonts w:ascii="Courier New" w:hAnsi="Courier New" w:cs="Courier New" w:hint="default"/>
      </w:rPr>
    </w:lvl>
    <w:lvl w:ilvl="2" w:tplc="080A0005" w:tentative="1">
      <w:start w:val="1"/>
      <w:numFmt w:val="bullet"/>
      <w:lvlText w:val=""/>
      <w:lvlJc w:val="left"/>
      <w:pPr>
        <w:ind w:left="2178" w:hanging="360"/>
      </w:pPr>
      <w:rPr>
        <w:rFonts w:ascii="Wingdings" w:hAnsi="Wingdings" w:hint="default"/>
      </w:rPr>
    </w:lvl>
    <w:lvl w:ilvl="3" w:tplc="080A0001" w:tentative="1">
      <w:start w:val="1"/>
      <w:numFmt w:val="bullet"/>
      <w:lvlText w:val=""/>
      <w:lvlJc w:val="left"/>
      <w:pPr>
        <w:ind w:left="2898" w:hanging="360"/>
      </w:pPr>
      <w:rPr>
        <w:rFonts w:ascii="Symbol" w:hAnsi="Symbol" w:hint="default"/>
      </w:rPr>
    </w:lvl>
    <w:lvl w:ilvl="4" w:tplc="080A0003" w:tentative="1">
      <w:start w:val="1"/>
      <w:numFmt w:val="bullet"/>
      <w:lvlText w:val="o"/>
      <w:lvlJc w:val="left"/>
      <w:pPr>
        <w:ind w:left="3618" w:hanging="360"/>
      </w:pPr>
      <w:rPr>
        <w:rFonts w:ascii="Courier New" w:hAnsi="Courier New" w:cs="Courier New" w:hint="default"/>
      </w:rPr>
    </w:lvl>
    <w:lvl w:ilvl="5" w:tplc="080A0005" w:tentative="1">
      <w:start w:val="1"/>
      <w:numFmt w:val="bullet"/>
      <w:lvlText w:val=""/>
      <w:lvlJc w:val="left"/>
      <w:pPr>
        <w:ind w:left="4338" w:hanging="360"/>
      </w:pPr>
      <w:rPr>
        <w:rFonts w:ascii="Wingdings" w:hAnsi="Wingdings" w:hint="default"/>
      </w:rPr>
    </w:lvl>
    <w:lvl w:ilvl="6" w:tplc="080A0001" w:tentative="1">
      <w:start w:val="1"/>
      <w:numFmt w:val="bullet"/>
      <w:lvlText w:val=""/>
      <w:lvlJc w:val="left"/>
      <w:pPr>
        <w:ind w:left="5058" w:hanging="360"/>
      </w:pPr>
      <w:rPr>
        <w:rFonts w:ascii="Symbol" w:hAnsi="Symbol" w:hint="default"/>
      </w:rPr>
    </w:lvl>
    <w:lvl w:ilvl="7" w:tplc="080A0003" w:tentative="1">
      <w:start w:val="1"/>
      <w:numFmt w:val="bullet"/>
      <w:lvlText w:val="o"/>
      <w:lvlJc w:val="left"/>
      <w:pPr>
        <w:ind w:left="5778" w:hanging="360"/>
      </w:pPr>
      <w:rPr>
        <w:rFonts w:ascii="Courier New" w:hAnsi="Courier New" w:cs="Courier New" w:hint="default"/>
      </w:rPr>
    </w:lvl>
    <w:lvl w:ilvl="8" w:tplc="080A0005" w:tentative="1">
      <w:start w:val="1"/>
      <w:numFmt w:val="bullet"/>
      <w:lvlText w:val=""/>
      <w:lvlJc w:val="left"/>
      <w:pPr>
        <w:ind w:left="6498" w:hanging="360"/>
      </w:pPr>
      <w:rPr>
        <w:rFonts w:ascii="Wingdings" w:hAnsi="Wingdings" w:hint="default"/>
      </w:rPr>
    </w:lvl>
  </w:abstractNum>
  <w:abstractNum w:abstractNumId="23" w15:restartNumberingAfterBreak="0">
    <w:nsid w:val="63807F2A"/>
    <w:multiLevelType w:val="multilevel"/>
    <w:tmpl w:val="6AC482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FC0E9E"/>
    <w:multiLevelType w:val="hybridMultilevel"/>
    <w:tmpl w:val="D5DE30BE"/>
    <w:lvl w:ilvl="0" w:tplc="080A000B">
      <w:start w:val="1"/>
      <w:numFmt w:val="bullet"/>
      <w:lvlText w:val=""/>
      <w:lvlJc w:val="left"/>
      <w:pPr>
        <w:ind w:left="741" w:hanging="360"/>
      </w:pPr>
      <w:rPr>
        <w:rFonts w:ascii="Wingdings" w:hAnsi="Wingdings" w:hint="default"/>
      </w:rPr>
    </w:lvl>
    <w:lvl w:ilvl="1" w:tplc="080A0003" w:tentative="1">
      <w:start w:val="1"/>
      <w:numFmt w:val="bullet"/>
      <w:lvlText w:val="o"/>
      <w:lvlJc w:val="left"/>
      <w:pPr>
        <w:ind w:left="1461" w:hanging="360"/>
      </w:pPr>
      <w:rPr>
        <w:rFonts w:ascii="Courier New" w:hAnsi="Courier New" w:cs="Courier New" w:hint="default"/>
      </w:rPr>
    </w:lvl>
    <w:lvl w:ilvl="2" w:tplc="080A0005" w:tentative="1">
      <w:start w:val="1"/>
      <w:numFmt w:val="bullet"/>
      <w:lvlText w:val=""/>
      <w:lvlJc w:val="left"/>
      <w:pPr>
        <w:ind w:left="2181" w:hanging="360"/>
      </w:pPr>
      <w:rPr>
        <w:rFonts w:ascii="Wingdings" w:hAnsi="Wingdings" w:hint="default"/>
      </w:rPr>
    </w:lvl>
    <w:lvl w:ilvl="3" w:tplc="080A0001" w:tentative="1">
      <w:start w:val="1"/>
      <w:numFmt w:val="bullet"/>
      <w:lvlText w:val=""/>
      <w:lvlJc w:val="left"/>
      <w:pPr>
        <w:ind w:left="2901" w:hanging="360"/>
      </w:pPr>
      <w:rPr>
        <w:rFonts w:ascii="Symbol" w:hAnsi="Symbol" w:hint="default"/>
      </w:rPr>
    </w:lvl>
    <w:lvl w:ilvl="4" w:tplc="080A0003" w:tentative="1">
      <w:start w:val="1"/>
      <w:numFmt w:val="bullet"/>
      <w:lvlText w:val="o"/>
      <w:lvlJc w:val="left"/>
      <w:pPr>
        <w:ind w:left="3621" w:hanging="360"/>
      </w:pPr>
      <w:rPr>
        <w:rFonts w:ascii="Courier New" w:hAnsi="Courier New" w:cs="Courier New" w:hint="default"/>
      </w:rPr>
    </w:lvl>
    <w:lvl w:ilvl="5" w:tplc="080A0005" w:tentative="1">
      <w:start w:val="1"/>
      <w:numFmt w:val="bullet"/>
      <w:lvlText w:val=""/>
      <w:lvlJc w:val="left"/>
      <w:pPr>
        <w:ind w:left="4341" w:hanging="360"/>
      </w:pPr>
      <w:rPr>
        <w:rFonts w:ascii="Wingdings" w:hAnsi="Wingdings" w:hint="default"/>
      </w:rPr>
    </w:lvl>
    <w:lvl w:ilvl="6" w:tplc="080A0001" w:tentative="1">
      <w:start w:val="1"/>
      <w:numFmt w:val="bullet"/>
      <w:lvlText w:val=""/>
      <w:lvlJc w:val="left"/>
      <w:pPr>
        <w:ind w:left="5061" w:hanging="360"/>
      </w:pPr>
      <w:rPr>
        <w:rFonts w:ascii="Symbol" w:hAnsi="Symbol" w:hint="default"/>
      </w:rPr>
    </w:lvl>
    <w:lvl w:ilvl="7" w:tplc="080A0003" w:tentative="1">
      <w:start w:val="1"/>
      <w:numFmt w:val="bullet"/>
      <w:lvlText w:val="o"/>
      <w:lvlJc w:val="left"/>
      <w:pPr>
        <w:ind w:left="5781" w:hanging="360"/>
      </w:pPr>
      <w:rPr>
        <w:rFonts w:ascii="Courier New" w:hAnsi="Courier New" w:cs="Courier New" w:hint="default"/>
      </w:rPr>
    </w:lvl>
    <w:lvl w:ilvl="8" w:tplc="080A0005" w:tentative="1">
      <w:start w:val="1"/>
      <w:numFmt w:val="bullet"/>
      <w:lvlText w:val=""/>
      <w:lvlJc w:val="left"/>
      <w:pPr>
        <w:ind w:left="6501" w:hanging="360"/>
      </w:pPr>
      <w:rPr>
        <w:rFonts w:ascii="Wingdings" w:hAnsi="Wingdings" w:hint="default"/>
      </w:rPr>
    </w:lvl>
  </w:abstractNum>
  <w:abstractNum w:abstractNumId="26"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C36770"/>
    <w:multiLevelType w:val="multilevel"/>
    <w:tmpl w:val="FEB89B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8"/>
  </w:num>
  <w:num w:numId="2">
    <w:abstractNumId w:val="0"/>
  </w:num>
  <w:num w:numId="3">
    <w:abstractNumId w:val="4"/>
  </w:num>
  <w:num w:numId="4">
    <w:abstractNumId w:val="13"/>
  </w:num>
  <w:num w:numId="5">
    <w:abstractNumId w:val="26"/>
  </w:num>
  <w:num w:numId="6">
    <w:abstractNumId w:val="12"/>
  </w:num>
  <w:num w:numId="7">
    <w:abstractNumId w:val="20"/>
  </w:num>
  <w:num w:numId="8">
    <w:abstractNumId w:val="24"/>
  </w:num>
  <w:num w:numId="9">
    <w:abstractNumId w:val="9"/>
  </w:num>
  <w:num w:numId="10">
    <w:abstractNumId w:val="1"/>
  </w:num>
  <w:num w:numId="11">
    <w:abstractNumId w:val="5"/>
  </w:num>
  <w:num w:numId="12">
    <w:abstractNumId w:val="7"/>
  </w:num>
  <w:num w:numId="13">
    <w:abstractNumId w:val="8"/>
  </w:num>
  <w:num w:numId="14">
    <w:abstractNumId w:val="17"/>
  </w:num>
  <w:num w:numId="15">
    <w:abstractNumId w:val="6"/>
  </w:num>
  <w:num w:numId="16">
    <w:abstractNumId w:val="15"/>
  </w:num>
  <w:num w:numId="17">
    <w:abstractNumId w:val="25"/>
  </w:num>
  <w:num w:numId="18">
    <w:abstractNumId w:val="21"/>
  </w:num>
  <w:num w:numId="19">
    <w:abstractNumId w:val="19"/>
  </w:num>
  <w:num w:numId="20">
    <w:abstractNumId w:val="2"/>
  </w:num>
  <w:num w:numId="21">
    <w:abstractNumId w:val="16"/>
  </w:num>
  <w:num w:numId="22">
    <w:abstractNumId w:val="14"/>
  </w:num>
  <w:num w:numId="23">
    <w:abstractNumId w:val="23"/>
  </w:num>
  <w:num w:numId="24">
    <w:abstractNumId w:val="11"/>
  </w:num>
  <w:num w:numId="25">
    <w:abstractNumId w:val="27"/>
  </w:num>
  <w:num w:numId="26">
    <w:abstractNumId w:val="10"/>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776BF"/>
    <w:rsid w:val="000931D8"/>
    <w:rsid w:val="000A5CFB"/>
    <w:rsid w:val="000A6255"/>
    <w:rsid w:val="000D2838"/>
    <w:rsid w:val="000E41F3"/>
    <w:rsid w:val="000E55B0"/>
    <w:rsid w:val="00100C9C"/>
    <w:rsid w:val="001078AA"/>
    <w:rsid w:val="001124B6"/>
    <w:rsid w:val="001331D8"/>
    <w:rsid w:val="001337D2"/>
    <w:rsid w:val="00136D47"/>
    <w:rsid w:val="00170916"/>
    <w:rsid w:val="00174196"/>
    <w:rsid w:val="001E0388"/>
    <w:rsid w:val="001E3E28"/>
    <w:rsid w:val="00214626"/>
    <w:rsid w:val="002771ED"/>
    <w:rsid w:val="00307092"/>
    <w:rsid w:val="00323F3A"/>
    <w:rsid w:val="003613DA"/>
    <w:rsid w:val="003674A7"/>
    <w:rsid w:val="0038199D"/>
    <w:rsid w:val="0041087B"/>
    <w:rsid w:val="004141B1"/>
    <w:rsid w:val="00424956"/>
    <w:rsid w:val="004317BC"/>
    <w:rsid w:val="00464AE1"/>
    <w:rsid w:val="004970C4"/>
    <w:rsid w:val="004B099C"/>
    <w:rsid w:val="004B6550"/>
    <w:rsid w:val="004C09DE"/>
    <w:rsid w:val="004C4695"/>
    <w:rsid w:val="004D5EAB"/>
    <w:rsid w:val="004D64DD"/>
    <w:rsid w:val="004D71B6"/>
    <w:rsid w:val="004D7960"/>
    <w:rsid w:val="004E2A3A"/>
    <w:rsid w:val="004F4C27"/>
    <w:rsid w:val="004F772B"/>
    <w:rsid w:val="00511FAE"/>
    <w:rsid w:val="0052296A"/>
    <w:rsid w:val="00522B97"/>
    <w:rsid w:val="005B3E9A"/>
    <w:rsid w:val="005C06DB"/>
    <w:rsid w:val="005F0265"/>
    <w:rsid w:val="00603B41"/>
    <w:rsid w:val="00605BD9"/>
    <w:rsid w:val="00611523"/>
    <w:rsid w:val="0062012F"/>
    <w:rsid w:val="00623761"/>
    <w:rsid w:val="006601AF"/>
    <w:rsid w:val="006B0B12"/>
    <w:rsid w:val="006F5989"/>
    <w:rsid w:val="00717740"/>
    <w:rsid w:val="00735DEE"/>
    <w:rsid w:val="00762996"/>
    <w:rsid w:val="0077357C"/>
    <w:rsid w:val="007978CB"/>
    <w:rsid w:val="007A6974"/>
    <w:rsid w:val="007D4A23"/>
    <w:rsid w:val="007E04FB"/>
    <w:rsid w:val="00800852"/>
    <w:rsid w:val="00804BB7"/>
    <w:rsid w:val="00815A36"/>
    <w:rsid w:val="008200BE"/>
    <w:rsid w:val="008658B5"/>
    <w:rsid w:val="008711D6"/>
    <w:rsid w:val="008843FB"/>
    <w:rsid w:val="008C679D"/>
    <w:rsid w:val="008D106B"/>
    <w:rsid w:val="008F2B1A"/>
    <w:rsid w:val="00915CEA"/>
    <w:rsid w:val="00931159"/>
    <w:rsid w:val="009426CC"/>
    <w:rsid w:val="009C2598"/>
    <w:rsid w:val="009C6C17"/>
    <w:rsid w:val="009D3DDA"/>
    <w:rsid w:val="009E197F"/>
    <w:rsid w:val="00A454F4"/>
    <w:rsid w:val="00A469EB"/>
    <w:rsid w:val="00A60361"/>
    <w:rsid w:val="00A75A67"/>
    <w:rsid w:val="00A92B29"/>
    <w:rsid w:val="00AA70C3"/>
    <w:rsid w:val="00AE778E"/>
    <w:rsid w:val="00B97BF9"/>
    <w:rsid w:val="00BA74C5"/>
    <w:rsid w:val="00BB25F2"/>
    <w:rsid w:val="00C41536"/>
    <w:rsid w:val="00C42DD1"/>
    <w:rsid w:val="00C51B7D"/>
    <w:rsid w:val="00C56B77"/>
    <w:rsid w:val="00C900FF"/>
    <w:rsid w:val="00CA32F5"/>
    <w:rsid w:val="00CC382A"/>
    <w:rsid w:val="00D13CA5"/>
    <w:rsid w:val="00D472B6"/>
    <w:rsid w:val="00D94F82"/>
    <w:rsid w:val="00DC3C6C"/>
    <w:rsid w:val="00DF154A"/>
    <w:rsid w:val="00DF5CB5"/>
    <w:rsid w:val="00E64007"/>
    <w:rsid w:val="00E944B2"/>
    <w:rsid w:val="00EB1D99"/>
    <w:rsid w:val="00F212B2"/>
    <w:rsid w:val="00F9262C"/>
    <w:rsid w:val="00FA17DF"/>
    <w:rsid w:val="00FC2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do1">
    <w:name w:val="Indentado 1"/>
    <w:basedOn w:val="Normal"/>
    <w:autoRedefine/>
    <w:uiPriority w:val="99"/>
    <w:qFormat/>
    <w:rsid w:val="001078AA"/>
    <w:pPr>
      <w:numPr>
        <w:numId w:val="14"/>
      </w:numPr>
      <w:spacing w:before="120" w:after="120" w:line="336" w:lineRule="auto"/>
      <w:contextualSpacing/>
      <w:jc w:val="both"/>
    </w:pPr>
    <w:rPr>
      <w:rFonts w:ascii="Century Gothic" w:eastAsia="Times New Roman" w:hAnsi="Century Gothic" w:cs="Times New Roman"/>
      <w:bCs/>
      <w:sz w:val="20"/>
      <w:szCs w:val="24"/>
      <w:lang w:val="es-CR" w:eastAsia="es-ES"/>
    </w:rPr>
  </w:style>
  <w:style w:type="paragraph" w:customStyle="1" w:styleId="Indentation1">
    <w:name w:val="Indentation 1"/>
    <w:basedOn w:val="Indentado1"/>
    <w:link w:val="Indentation1Char"/>
    <w:qFormat/>
    <w:rsid w:val="001078AA"/>
    <w:pPr>
      <w:spacing w:before="240" w:after="0"/>
      <w:ind w:left="724"/>
    </w:pPr>
    <w:rPr>
      <w:lang w:val="en-GB"/>
    </w:rPr>
  </w:style>
  <w:style w:type="character" w:customStyle="1" w:styleId="Indentation1Char">
    <w:name w:val="Indentation 1 Char"/>
    <w:basedOn w:val="Fuentedeprrafopredeter"/>
    <w:link w:val="Indentation1"/>
    <w:rsid w:val="001078AA"/>
    <w:rPr>
      <w:rFonts w:ascii="Century Gothic" w:eastAsia="Times New Roman" w:hAnsi="Century Gothic" w:cs="Times New Roman"/>
      <w:bCs/>
      <w:sz w:val="20"/>
      <w:szCs w:val="24"/>
      <w:lang w:val="en-GB" w:eastAsia="es-ES"/>
    </w:rPr>
  </w:style>
  <w:style w:type="paragraph" w:styleId="Descripcin">
    <w:name w:val="caption"/>
    <w:basedOn w:val="Normal"/>
    <w:next w:val="Normal"/>
    <w:link w:val="DescripcinCar"/>
    <w:uiPriority w:val="99"/>
    <w:qFormat/>
    <w:rsid w:val="001078AA"/>
    <w:pPr>
      <w:spacing w:before="60" w:after="360" w:line="336" w:lineRule="auto"/>
      <w:jc w:val="center"/>
    </w:pPr>
    <w:rPr>
      <w:rFonts w:ascii="Century Gothic" w:eastAsia="Times New Roman" w:hAnsi="Century Gothic" w:cs="Times New Roman"/>
      <w:b/>
      <w:bCs/>
      <w:sz w:val="16"/>
      <w:szCs w:val="20"/>
      <w:lang w:val="es-ES" w:eastAsia="es-ES"/>
    </w:rPr>
  </w:style>
  <w:style w:type="character" w:customStyle="1" w:styleId="DescripcinCar">
    <w:name w:val="Descripción Car"/>
    <w:basedOn w:val="Fuentedeprrafopredeter"/>
    <w:link w:val="Descripcin"/>
    <w:uiPriority w:val="99"/>
    <w:rsid w:val="001078AA"/>
    <w:rPr>
      <w:rFonts w:ascii="Century Gothic" w:eastAsia="Times New Roman" w:hAnsi="Century Gothic" w:cs="Times New Roman"/>
      <w:b/>
      <w:bCs/>
      <w:sz w:val="16"/>
      <w:szCs w:val="20"/>
      <w:lang w:val="es-ES" w:eastAsia="es-ES"/>
    </w:rPr>
  </w:style>
  <w:style w:type="paragraph" w:styleId="Textonotapie">
    <w:name w:val="footnote text"/>
    <w:basedOn w:val="Normal"/>
    <w:link w:val="TextonotapieCar"/>
    <w:uiPriority w:val="99"/>
    <w:semiHidden/>
    <w:unhideWhenUsed/>
    <w:rsid w:val="009C25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2598"/>
    <w:rPr>
      <w:sz w:val="20"/>
      <w:szCs w:val="20"/>
    </w:rPr>
  </w:style>
  <w:style w:type="character" w:styleId="Refdenotaalpie">
    <w:name w:val="footnote reference"/>
    <w:aliases w:val="Footnote Reference Superscript,fr,o,Style 6"/>
    <w:basedOn w:val="Fuentedeprrafopredeter"/>
    <w:uiPriority w:val="99"/>
    <w:rsid w:val="009C2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sar.martinez@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lodecostos@ift.org.mx"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5603A"/>
    <w:rsid w:val="00070899"/>
    <w:rsid w:val="00194A46"/>
    <w:rsid w:val="001A6A6F"/>
    <w:rsid w:val="001B0E8D"/>
    <w:rsid w:val="001F7716"/>
    <w:rsid w:val="003161B8"/>
    <w:rsid w:val="004736FE"/>
    <w:rsid w:val="004C6EB0"/>
    <w:rsid w:val="00557BD6"/>
    <w:rsid w:val="00657240"/>
    <w:rsid w:val="006B1E41"/>
    <w:rsid w:val="006C0B23"/>
    <w:rsid w:val="00792F55"/>
    <w:rsid w:val="00814594"/>
    <w:rsid w:val="0082629F"/>
    <w:rsid w:val="00873614"/>
    <w:rsid w:val="009B0097"/>
    <w:rsid w:val="00A504DF"/>
    <w:rsid w:val="00A50FB8"/>
    <w:rsid w:val="00AF26F1"/>
    <w:rsid w:val="00B06DD1"/>
    <w:rsid w:val="00BE114A"/>
    <w:rsid w:val="00C1194C"/>
    <w:rsid w:val="00C228B2"/>
    <w:rsid w:val="00C55514"/>
    <w:rsid w:val="00C8448C"/>
    <w:rsid w:val="00D161F7"/>
    <w:rsid w:val="00DA67F8"/>
    <w:rsid w:val="00E02C79"/>
    <w:rsid w:val="00E431D9"/>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033B-89C0-4662-B474-0F829667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AC1DD8-EC49-4280-A339-AF3BB9C9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3383</Words>
  <Characters>18612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2017-09-06T23:16:00Z</dcterms:created>
  <dcterms:modified xsi:type="dcterms:W3CDTF">2017-09-06T23:16:00Z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1194500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