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6812" w14:textId="6251BC2B" w:rsidR="006D1F4A" w:rsidRPr="007D54E4" w:rsidRDefault="006D1F4A" w:rsidP="00E50BE7">
      <w:pPr>
        <w:rPr>
          <w:rFonts w:ascii="ITC Avant Garde" w:eastAsia="Calibri" w:hAnsi="ITC Avant Garde" w:cs="Times New Roman"/>
          <w:b/>
          <w:lang w:val="es-ES"/>
        </w:rPr>
      </w:pPr>
      <w:bookmarkStart w:id="0" w:name="_Toc323285056"/>
      <w:r w:rsidRPr="007D54E4">
        <w:rPr>
          <w:rFonts w:ascii="ITC Avant Garde" w:eastAsia="Calibri" w:hAnsi="ITC Avant Garde" w:cs="Times New Roman"/>
          <w:b/>
          <w:lang w:val="es-ES"/>
        </w:rPr>
        <w:t>INFORME DE CONSIDERACIONES SOBRE LAS MANIFESTACIONES, OPINIONES, COMENTARIOS Y PROPUESTAS, PRESENTADOS DURA</w:t>
      </w:r>
      <w:r w:rsidR="00000976">
        <w:rPr>
          <w:rFonts w:ascii="ITC Avant Garde" w:eastAsia="Calibri" w:hAnsi="ITC Avant Garde" w:cs="Times New Roman"/>
          <w:b/>
          <w:lang w:val="es-ES"/>
        </w:rPr>
        <w:t>NTE LA CONSULTA PÚBLICA SOBRE LAS</w:t>
      </w:r>
      <w:r w:rsidRPr="007D54E4">
        <w:rPr>
          <w:rFonts w:ascii="ITC Avant Garde" w:eastAsia="Calibri" w:hAnsi="ITC Avant Garde" w:cs="Times New Roman"/>
          <w:b/>
          <w:lang w:val="es-ES"/>
        </w:rPr>
        <w:t xml:space="preserve"> </w:t>
      </w:r>
      <w:r w:rsidRPr="007D54E4">
        <w:rPr>
          <w:rFonts w:ascii="ITC Avant Garde" w:eastAsia="Calibri" w:hAnsi="ITC Avant Garde" w:cs="Times New Roman"/>
          <w:b/>
          <w:i/>
          <w:lang w:val="es-ES"/>
        </w:rPr>
        <w:t>“</w:t>
      </w:r>
      <w:r w:rsidR="00000976" w:rsidRPr="00000976">
        <w:rPr>
          <w:rFonts w:ascii="ITC Avant Garde" w:eastAsia="Calibri" w:hAnsi="ITC Avant Garde" w:cs="Times New Roman"/>
          <w:b/>
          <w:i/>
          <w:lang w:val="es-ES"/>
        </w:rPr>
        <w:t>PROPUESTAS DE OFERTAS PÚBLICAS DE INFRAESTRUCTURA PRESENTADAS POR EL AGENTE ECONÓMICO PREPONDERANTE EN EL SECTOR DE RADIODIFUSIÓN</w:t>
      </w:r>
      <w:r w:rsidRPr="007D54E4">
        <w:rPr>
          <w:rFonts w:ascii="ITC Avant Garde" w:eastAsia="Calibri" w:hAnsi="ITC Avant Garde" w:cs="Times New Roman"/>
          <w:b/>
          <w:i/>
          <w:lang w:val="es-ES"/>
        </w:rPr>
        <w:t>”</w:t>
      </w:r>
      <w:r w:rsidRPr="007D54E4">
        <w:rPr>
          <w:rFonts w:ascii="ITC Avant Garde" w:eastAsia="Calibri" w:hAnsi="ITC Avant Garde" w:cs="Times New Roman"/>
          <w:b/>
          <w:lang w:val="es-ES"/>
        </w:rPr>
        <w:t>.</w:t>
      </w:r>
    </w:p>
    <w:p w14:paraId="42C3DE1A" w14:textId="685B4CBA" w:rsidR="006D1F4A" w:rsidRPr="007D54E4" w:rsidRDefault="00500648" w:rsidP="006D1F4A">
      <w:pPr>
        <w:rPr>
          <w:rFonts w:ascii="ITC Avant Garde" w:eastAsiaTheme="majorEastAsia" w:hAnsi="ITC Avant Garde" w:cstheme="majorBidi"/>
          <w:b/>
          <w:lang w:val="es-ES"/>
        </w:rPr>
      </w:pPr>
      <w:r>
        <w:rPr>
          <w:rFonts w:ascii="ITC Avant Garde" w:eastAsiaTheme="majorEastAsia" w:hAnsi="ITC Avant Garde" w:cstheme="majorBidi"/>
          <w:b/>
          <w:lang w:val="es-ES"/>
        </w:rPr>
        <w:t>Fecha de elaboración</w:t>
      </w:r>
    </w:p>
    <w:p w14:paraId="6F2C6C53" w14:textId="28D81676" w:rsidR="006D1F4A" w:rsidRPr="007D54E4" w:rsidRDefault="00376792" w:rsidP="006D1F4A">
      <w:pPr>
        <w:rPr>
          <w:rFonts w:ascii="ITC Avant Garde" w:eastAsiaTheme="majorEastAsia" w:hAnsi="ITC Avant Garde" w:cstheme="majorBidi"/>
          <w:lang w:val="es-ES"/>
        </w:rPr>
      </w:pPr>
      <w:r>
        <w:rPr>
          <w:rFonts w:ascii="ITC Avant Garde" w:eastAsiaTheme="majorEastAsia" w:hAnsi="ITC Avant Garde" w:cstheme="majorBidi"/>
          <w:lang w:val="es-ES"/>
        </w:rPr>
        <w:t>21</w:t>
      </w:r>
      <w:r w:rsidR="006D1F4A" w:rsidRPr="007D54E4">
        <w:rPr>
          <w:rFonts w:ascii="ITC Avant Garde" w:eastAsiaTheme="majorEastAsia" w:hAnsi="ITC Avant Garde" w:cstheme="majorBidi"/>
          <w:lang w:val="es-ES"/>
        </w:rPr>
        <w:t xml:space="preserve"> de </w:t>
      </w:r>
      <w:r>
        <w:rPr>
          <w:rFonts w:ascii="ITC Avant Garde" w:eastAsiaTheme="majorEastAsia" w:hAnsi="ITC Avant Garde" w:cstheme="majorBidi"/>
          <w:lang w:val="es-ES"/>
        </w:rPr>
        <w:t>agosto de 2017</w:t>
      </w:r>
    </w:p>
    <w:p w14:paraId="1644A70A" w14:textId="15EBCA67"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Título o deno</w:t>
      </w:r>
      <w:r w:rsidR="00500648">
        <w:rPr>
          <w:rFonts w:ascii="ITC Avant Garde" w:eastAsiaTheme="majorEastAsia" w:hAnsi="ITC Avant Garde" w:cstheme="majorBidi"/>
          <w:b/>
          <w:lang w:val="es-ES"/>
        </w:rPr>
        <w:t>minación de la Consulta Pública</w:t>
      </w:r>
    </w:p>
    <w:p w14:paraId="7E99862C" w14:textId="538910C9" w:rsidR="006D1F4A" w:rsidRPr="007D54E4" w:rsidRDefault="00376792" w:rsidP="00E50BE7">
      <w:pPr>
        <w:rPr>
          <w:rFonts w:ascii="ITC Avant Garde" w:eastAsiaTheme="majorEastAsia" w:hAnsi="ITC Avant Garde" w:cstheme="majorBidi"/>
          <w:i/>
          <w:lang w:val="es-ES"/>
        </w:rPr>
      </w:pPr>
      <w:r w:rsidRPr="00376792">
        <w:rPr>
          <w:rFonts w:ascii="ITC Avant Garde" w:eastAsiaTheme="majorEastAsia" w:hAnsi="ITC Avant Garde" w:cstheme="majorBidi"/>
          <w:i/>
          <w:lang w:val="es-ES"/>
        </w:rPr>
        <w:t>“PROPUESTAS DE OFERTAS PÚBLICAS DE INFRAESTRUCTURA PRESENTADAS POR EL AGENTE ECONÓMICO PREPONDERANTE EN EL SECTOR DE RADIODIFUSIÓN”</w:t>
      </w:r>
      <w:r w:rsidR="006D1F4A" w:rsidRPr="007D54E4">
        <w:rPr>
          <w:rFonts w:ascii="ITC Avant Garde" w:eastAsiaTheme="majorEastAsia" w:hAnsi="ITC Avant Garde" w:cstheme="majorBidi"/>
          <w:i/>
          <w:lang w:val="es-ES"/>
        </w:rPr>
        <w:t>.</w:t>
      </w:r>
    </w:p>
    <w:p w14:paraId="5022C277" w14:textId="455AF170"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Des</w:t>
      </w:r>
      <w:r w:rsidR="00500648">
        <w:rPr>
          <w:rFonts w:ascii="ITC Avant Garde" w:eastAsiaTheme="majorEastAsia" w:hAnsi="ITC Avant Garde" w:cstheme="majorBidi"/>
          <w:b/>
          <w:lang w:val="es-ES"/>
        </w:rPr>
        <w:t xml:space="preserve">cripción de la </w:t>
      </w:r>
      <w:r w:rsidR="00500648">
        <w:rPr>
          <w:rFonts w:ascii="ITC Avant Garde" w:eastAsiaTheme="majorEastAsia" w:hAnsi="ITC Avant Garde" w:cstheme="majorBidi"/>
          <w:b/>
          <w:lang w:val="es-ES"/>
        </w:rPr>
        <w:t>Consulta Pública</w:t>
      </w:r>
    </w:p>
    <w:p w14:paraId="751E9E14" w14:textId="63C1267F" w:rsidR="007D54E4" w:rsidRDefault="00376792" w:rsidP="007D54E4">
      <w:pPr>
        <w:rPr>
          <w:rFonts w:ascii="ITC Avant Garde" w:hAnsi="ITC Avant Garde"/>
        </w:rPr>
      </w:pPr>
      <w:r>
        <w:rPr>
          <w:rFonts w:ascii="ITC Avant Garde" w:eastAsiaTheme="majorEastAsia" w:hAnsi="ITC Avant Garde" w:cstheme="majorBidi"/>
          <w:lang w:val="es-ES"/>
        </w:rPr>
        <w:t>Del 14 de j</w:t>
      </w:r>
      <w:r w:rsidRPr="00376792">
        <w:rPr>
          <w:rFonts w:ascii="ITC Avant Garde" w:eastAsiaTheme="majorEastAsia" w:hAnsi="ITC Avant Garde" w:cstheme="majorBidi"/>
          <w:lang w:val="es-ES"/>
        </w:rPr>
        <w:t>ulio de 2017 al 12 de agosto de 2017</w:t>
      </w:r>
      <w:r w:rsidR="006D1F4A" w:rsidRPr="007D54E4">
        <w:rPr>
          <w:rFonts w:ascii="ITC Avant Garde" w:eastAsiaTheme="majorEastAsia" w:hAnsi="ITC Avant Garde" w:cstheme="majorBidi"/>
          <w:lang w:val="es-ES"/>
        </w:rPr>
        <w:t>, el Instituto Federal de Telecomunicaciones (en lo sucesivo, “Institut</w:t>
      </w:r>
      <w:r w:rsidR="00AB1AC5">
        <w:rPr>
          <w:rFonts w:ascii="ITC Avant Garde" w:eastAsiaTheme="majorEastAsia" w:hAnsi="ITC Avant Garde" w:cstheme="majorBidi"/>
          <w:lang w:val="es-ES"/>
        </w:rPr>
        <w:t>o”) llevó a cabo el proceso de C</w:t>
      </w:r>
      <w:r w:rsidR="006D1F4A" w:rsidRPr="007D54E4">
        <w:rPr>
          <w:rFonts w:ascii="ITC Avant Garde" w:eastAsiaTheme="majorEastAsia" w:hAnsi="ITC Avant Garde" w:cstheme="majorBidi"/>
          <w:lang w:val="es-ES"/>
        </w:rPr>
        <w:t xml:space="preserve">onsulta </w:t>
      </w:r>
      <w:r w:rsidR="00AB1AC5">
        <w:rPr>
          <w:rFonts w:ascii="ITC Avant Garde" w:eastAsiaTheme="majorEastAsia" w:hAnsi="ITC Avant Garde" w:cstheme="majorBidi"/>
          <w:lang w:val="es-ES"/>
        </w:rPr>
        <w:t>P</w:t>
      </w:r>
      <w:r w:rsidR="006D1F4A" w:rsidRPr="007D54E4">
        <w:rPr>
          <w:rFonts w:ascii="ITC Avant Garde" w:eastAsiaTheme="majorEastAsia" w:hAnsi="ITC Avant Garde" w:cstheme="majorBidi"/>
          <w:lang w:val="es-ES"/>
        </w:rPr>
        <w:t>ública de</w:t>
      </w:r>
      <w:r>
        <w:rPr>
          <w:rFonts w:ascii="ITC Avant Garde" w:eastAsiaTheme="majorEastAsia" w:hAnsi="ITC Avant Garde" w:cstheme="majorBidi"/>
          <w:lang w:val="es-ES"/>
        </w:rPr>
        <w:t xml:space="preserve"> </w:t>
      </w:r>
      <w:r w:rsidR="008A3C50" w:rsidRPr="007D54E4">
        <w:rPr>
          <w:rFonts w:ascii="ITC Avant Garde" w:eastAsiaTheme="majorEastAsia" w:hAnsi="ITC Avant Garde" w:cstheme="majorBidi"/>
          <w:lang w:val="es-ES"/>
        </w:rPr>
        <w:t>l</w:t>
      </w:r>
      <w:r>
        <w:rPr>
          <w:rFonts w:ascii="ITC Avant Garde" w:eastAsiaTheme="majorEastAsia" w:hAnsi="ITC Avant Garde" w:cstheme="majorBidi"/>
          <w:lang w:val="es-ES"/>
        </w:rPr>
        <w:t>as</w:t>
      </w:r>
      <w:r w:rsidR="008A3C50" w:rsidRPr="007D54E4">
        <w:rPr>
          <w:rFonts w:ascii="ITC Avant Garde" w:eastAsiaTheme="majorEastAsia" w:hAnsi="ITC Avant Garde" w:cstheme="majorBidi"/>
          <w:lang w:val="es-ES"/>
        </w:rPr>
        <w:t xml:space="preserve"> </w:t>
      </w:r>
      <w:r>
        <w:rPr>
          <w:rFonts w:ascii="ITC Avant Garde" w:eastAsiaTheme="majorEastAsia" w:hAnsi="ITC Avant Garde" w:cstheme="majorBidi"/>
          <w:lang w:val="es-ES"/>
        </w:rPr>
        <w:t>“</w:t>
      </w:r>
      <w:r w:rsidRPr="00376792">
        <w:rPr>
          <w:rFonts w:ascii="ITC Avant Garde" w:eastAsiaTheme="majorEastAsia" w:hAnsi="ITC Avant Garde" w:cstheme="majorBidi"/>
          <w:i/>
          <w:lang w:val="es-ES"/>
        </w:rPr>
        <w:t>PROPUESTAS DE OFERTAS PÚBLICAS DE INFRAESTRUCTURA PRESENTADAS POR EL AGENTE ECONÓMICO PREPONDERANTE EN EL SECTOR DE RADIODIFUSIÓN</w:t>
      </w:r>
      <w:r>
        <w:rPr>
          <w:rFonts w:ascii="ITC Avant Garde" w:eastAsiaTheme="majorEastAsia" w:hAnsi="ITC Avant Garde" w:cstheme="majorBidi"/>
          <w:i/>
          <w:lang w:val="es-ES"/>
        </w:rPr>
        <w:t>”</w:t>
      </w:r>
      <w:r w:rsidR="007D54E4">
        <w:rPr>
          <w:rFonts w:ascii="ITC Avant Garde" w:hAnsi="ITC Avant Garde"/>
        </w:rPr>
        <w:t>.</w:t>
      </w:r>
    </w:p>
    <w:p w14:paraId="169551CC" w14:textId="13B8C072" w:rsidR="007D54E4" w:rsidRPr="007D54E4" w:rsidRDefault="007D54E4" w:rsidP="007D54E4">
      <w:pPr>
        <w:rPr>
          <w:rFonts w:ascii="ITC Avant Garde" w:eastAsiaTheme="majorEastAsia" w:hAnsi="ITC Avant Garde" w:cstheme="majorBidi"/>
          <w:lang w:val="es-MX"/>
        </w:rPr>
      </w:pPr>
      <w:r w:rsidRPr="007D54E4">
        <w:rPr>
          <w:rFonts w:ascii="ITC Avant Garde" w:hAnsi="ITC Avant Garde"/>
          <w:lang w:val="es-MX"/>
        </w:rPr>
        <w:t xml:space="preserve">El Instituto puso a disposición de los interesados los siguientes medios para recibir las participaciones: </w:t>
      </w:r>
      <w:r w:rsidRPr="007D54E4">
        <w:rPr>
          <w:rFonts w:ascii="ITC Avant Garde" w:eastAsiaTheme="majorEastAsia" w:hAnsi="ITC Avant Garde" w:cstheme="majorBidi"/>
          <w:lang w:val="es-MX"/>
        </w:rPr>
        <w:t xml:space="preserve">a través de la dirección de correo electrónico </w:t>
      </w:r>
      <w:r w:rsidR="00376792">
        <w:rPr>
          <w:rFonts w:ascii="ITC Avant Garde" w:eastAsiaTheme="majorEastAsia" w:hAnsi="ITC Avant Garde" w:cstheme="majorBidi"/>
          <w:lang w:val="es-MX"/>
        </w:rPr>
        <w:t>ofertas.infraestructura</w:t>
      </w:r>
      <w:r w:rsidRPr="007D54E4">
        <w:rPr>
          <w:rFonts w:ascii="ITC Avant Garde" w:eastAsiaTheme="majorEastAsia" w:hAnsi="ITC Avant Garde" w:cstheme="majorBidi"/>
          <w:lang w:val="es-MX"/>
        </w:rPr>
        <w:t xml:space="preserve">@ift.org.mx, o mediante escrito presentado en la Oficialía de Partes Común del Instituto ubicada en Insurgentes Sur 1143, colonia Nochebuena, Delegación Benito Juárez, C.P. 03720, Ciudad de México, de lunes a jueves de las 9:00 a las 18:30 horas y los viernes de las 9:00 a las 15:00 horas, así como el </w:t>
      </w:r>
      <w:r w:rsidRPr="007D54E4">
        <w:rPr>
          <w:rFonts w:ascii="ITC Avant Garde" w:eastAsiaTheme="majorEastAsia" w:hAnsi="ITC Avant Garde" w:cstheme="majorBidi"/>
          <w:i/>
          <w:lang w:val="es-MX"/>
        </w:rPr>
        <w:t>“Formato para participar en la Consulta Pública”</w:t>
      </w:r>
      <w:r w:rsidRPr="007D54E4">
        <w:rPr>
          <w:rFonts w:ascii="ITC Avant Garde" w:eastAsiaTheme="majorEastAsia" w:hAnsi="ITC Avant Garde" w:cstheme="majorBidi"/>
          <w:lang w:val="es-MX"/>
        </w:rPr>
        <w:t>.</w:t>
      </w:r>
    </w:p>
    <w:p w14:paraId="745F743E" w14:textId="5E4543BC" w:rsidR="006D1F4A" w:rsidRDefault="006D1F4A" w:rsidP="006D1F4A">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La información que los interesados hicieron llegar al Instituto, de acuerdo a los plazos y términos descritos en esta mecánica no tiene carácter vinculante, sin perjuicio de que el Instituto pueda ponderarla en un documento que refleje los resultados de dicha consulta, el cual se hará público en el apartado de la página de la </w:t>
      </w:r>
      <w:r w:rsidR="00AB1AC5">
        <w:rPr>
          <w:rFonts w:ascii="ITC Avant Garde" w:eastAsiaTheme="majorEastAsia" w:hAnsi="ITC Avant Garde" w:cstheme="majorBidi"/>
          <w:lang w:val="es-ES"/>
        </w:rPr>
        <w:t>C</w:t>
      </w:r>
      <w:r w:rsidRPr="007D54E4">
        <w:rPr>
          <w:rFonts w:ascii="ITC Avant Garde" w:eastAsiaTheme="majorEastAsia" w:hAnsi="ITC Avant Garde" w:cstheme="majorBidi"/>
          <w:lang w:val="es-ES"/>
        </w:rPr>
        <w:t xml:space="preserve">onsulta </w:t>
      </w:r>
      <w:r w:rsidR="00AB1AC5">
        <w:rPr>
          <w:rFonts w:ascii="ITC Avant Garde" w:eastAsiaTheme="majorEastAsia" w:hAnsi="ITC Avant Garde" w:cstheme="majorBidi"/>
          <w:lang w:val="es-ES"/>
        </w:rPr>
        <w:t>P</w:t>
      </w:r>
      <w:r w:rsidRPr="007D54E4">
        <w:rPr>
          <w:rFonts w:ascii="ITC Avant Garde" w:eastAsiaTheme="majorEastAsia" w:hAnsi="ITC Avant Garde" w:cstheme="majorBidi"/>
          <w:lang w:val="es-ES"/>
        </w:rPr>
        <w:t>ública</w:t>
      </w:r>
      <w:r w:rsidRPr="007D54E4">
        <w:rPr>
          <w:rStyle w:val="Refdenotaalpie"/>
          <w:rFonts w:ascii="ITC Avant Garde" w:eastAsiaTheme="majorEastAsia" w:hAnsi="ITC Avant Garde" w:cstheme="majorBidi"/>
          <w:sz w:val="22"/>
          <w:lang w:val="es-ES"/>
        </w:rPr>
        <w:footnoteReference w:id="1"/>
      </w:r>
      <w:r w:rsidRPr="007D54E4">
        <w:rPr>
          <w:rFonts w:ascii="ITC Avant Garde" w:eastAsiaTheme="majorEastAsia" w:hAnsi="ITC Avant Garde" w:cstheme="majorBidi"/>
          <w:lang w:val="es-ES"/>
        </w:rPr>
        <w:t>.</w:t>
      </w:r>
    </w:p>
    <w:p w14:paraId="55B4E627" w14:textId="21E89C6B"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Objetivo</w:t>
      </w:r>
      <w:r w:rsidR="00376792">
        <w:rPr>
          <w:rFonts w:ascii="ITC Avant Garde" w:eastAsiaTheme="majorEastAsia" w:hAnsi="ITC Avant Garde" w:cstheme="majorBidi"/>
          <w:b/>
          <w:lang w:val="es-ES"/>
        </w:rPr>
        <w:t>s</w:t>
      </w:r>
      <w:r w:rsidR="00500648">
        <w:rPr>
          <w:rFonts w:ascii="ITC Avant Garde" w:eastAsiaTheme="majorEastAsia" w:hAnsi="ITC Avant Garde" w:cstheme="majorBidi"/>
          <w:b/>
          <w:lang w:val="es-ES"/>
        </w:rPr>
        <w:t xml:space="preserve"> de la </w:t>
      </w:r>
      <w:r w:rsidR="00500648">
        <w:rPr>
          <w:rFonts w:ascii="ITC Avant Garde" w:eastAsiaTheme="majorEastAsia" w:hAnsi="ITC Avant Garde" w:cstheme="majorBidi"/>
          <w:b/>
          <w:lang w:val="es-ES"/>
        </w:rPr>
        <w:t>Consulta Pública</w:t>
      </w:r>
    </w:p>
    <w:p w14:paraId="15B2598D" w14:textId="1B63F359" w:rsidR="007D54E4" w:rsidRPr="007D54E4" w:rsidRDefault="00376792" w:rsidP="007D54E4">
      <w:pPr>
        <w:rPr>
          <w:rFonts w:ascii="ITC Avant Garde" w:eastAsiaTheme="majorEastAsia" w:hAnsi="ITC Avant Garde" w:cstheme="majorBidi"/>
          <w:lang w:val="es-ES"/>
        </w:rPr>
      </w:pPr>
      <w:r w:rsidRPr="00376792">
        <w:rPr>
          <w:rFonts w:ascii="ITC Avant Garde" w:eastAsiaTheme="majorEastAsia" w:hAnsi="ITC Avant Garde" w:cstheme="majorBidi"/>
          <w:lang w:val="es-ES"/>
        </w:rPr>
        <w:t>Los objetivos principales del Ins</w:t>
      </w:r>
      <w:r w:rsidR="00500648">
        <w:rPr>
          <w:rFonts w:ascii="ITC Avant Garde" w:eastAsiaTheme="majorEastAsia" w:hAnsi="ITC Avant Garde" w:cstheme="majorBidi"/>
          <w:lang w:val="es-ES"/>
        </w:rPr>
        <w:t xml:space="preserve">tituto sobre la </w:t>
      </w:r>
      <w:bookmarkStart w:id="1" w:name="_GoBack"/>
      <w:r w:rsidR="00AB1AC5">
        <w:rPr>
          <w:rFonts w:ascii="ITC Avant Garde" w:eastAsiaTheme="majorEastAsia" w:hAnsi="ITC Avant Garde" w:cstheme="majorBidi"/>
          <w:lang w:val="es-ES"/>
        </w:rPr>
        <w:t>C</w:t>
      </w:r>
      <w:r w:rsidRPr="00376792">
        <w:rPr>
          <w:rFonts w:ascii="ITC Avant Garde" w:eastAsiaTheme="majorEastAsia" w:hAnsi="ITC Avant Garde" w:cstheme="majorBidi"/>
          <w:lang w:val="es-ES"/>
        </w:rPr>
        <w:t>onsulta</w:t>
      </w:r>
      <w:bookmarkEnd w:id="1"/>
      <w:r w:rsidRPr="00376792">
        <w:rPr>
          <w:rFonts w:ascii="ITC Avant Garde" w:eastAsiaTheme="majorEastAsia" w:hAnsi="ITC Avant Garde" w:cstheme="majorBidi"/>
          <w:lang w:val="es-ES"/>
        </w:rPr>
        <w:t xml:space="preserve"> </w:t>
      </w:r>
      <w:r w:rsidR="00AB1AC5">
        <w:rPr>
          <w:rFonts w:ascii="ITC Avant Garde" w:eastAsiaTheme="majorEastAsia" w:hAnsi="ITC Avant Garde" w:cstheme="majorBidi"/>
          <w:lang w:val="es-ES"/>
        </w:rPr>
        <w:t>P</w:t>
      </w:r>
      <w:r w:rsidRPr="00376792">
        <w:rPr>
          <w:rFonts w:ascii="ITC Avant Garde" w:eastAsiaTheme="majorEastAsia" w:hAnsi="ITC Avant Garde" w:cstheme="majorBidi"/>
          <w:lang w:val="es-ES"/>
        </w:rPr>
        <w:t xml:space="preserve">ública </w:t>
      </w:r>
      <w:r w:rsidR="00500648">
        <w:rPr>
          <w:rFonts w:ascii="ITC Avant Garde" w:eastAsiaTheme="majorEastAsia" w:hAnsi="ITC Avant Garde" w:cstheme="majorBidi"/>
          <w:lang w:val="es-ES"/>
        </w:rPr>
        <w:t xml:space="preserve">bajo consideración </w:t>
      </w:r>
      <w:r w:rsidRPr="00376792">
        <w:rPr>
          <w:rFonts w:ascii="ITC Avant Garde" w:eastAsiaTheme="majorEastAsia" w:hAnsi="ITC Avant Garde" w:cstheme="majorBidi"/>
          <w:lang w:val="es-ES"/>
        </w:rPr>
        <w:t xml:space="preserve">consisten en: i) contar con mayores elementos para determinar las condiciones bajo las cuales se deberán aprobar la Oferta Pública de Infraestructura del Agente </w:t>
      </w:r>
      <w:r w:rsidRPr="00376792">
        <w:rPr>
          <w:rFonts w:ascii="ITC Avant Garde" w:eastAsiaTheme="majorEastAsia" w:hAnsi="ITC Avant Garde" w:cstheme="majorBidi"/>
          <w:lang w:val="es-ES"/>
        </w:rPr>
        <w:lastRenderedPageBreak/>
        <w:t xml:space="preserve">Económico Preponderante en el sector de radiodifusión;  y, ii) favorecer la transparencia y participación ciudadana con el fin de recibir los comentarios y opiniones de la industria, académicos, analistas y sociedad en general sobre las principales condiciones técnicas y operativas para llevar a cabo los Servicios de </w:t>
      </w:r>
      <w:proofErr w:type="spellStart"/>
      <w:r w:rsidRPr="00376792">
        <w:rPr>
          <w:rFonts w:ascii="ITC Avant Garde" w:eastAsiaTheme="majorEastAsia" w:hAnsi="ITC Avant Garde" w:cstheme="majorBidi"/>
          <w:lang w:val="es-ES"/>
        </w:rPr>
        <w:t>Coubicación</w:t>
      </w:r>
      <w:proofErr w:type="spellEnd"/>
      <w:r w:rsidRPr="00376792">
        <w:rPr>
          <w:rFonts w:ascii="ITC Avant Garde" w:eastAsiaTheme="majorEastAsia" w:hAnsi="ITC Avant Garde" w:cstheme="majorBidi"/>
          <w:lang w:val="es-ES"/>
        </w:rPr>
        <w:t xml:space="preserve"> y de Emisión de Señal.</w:t>
      </w:r>
    </w:p>
    <w:p w14:paraId="28C72DA9" w14:textId="3C53427A"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Unidades y/o Coordinaciones Generales resp</w:t>
      </w:r>
      <w:r w:rsidR="00500648">
        <w:rPr>
          <w:rFonts w:ascii="ITC Avant Garde" w:eastAsiaTheme="majorEastAsia" w:hAnsi="ITC Avant Garde" w:cstheme="majorBidi"/>
          <w:b/>
          <w:lang w:val="es-ES"/>
        </w:rPr>
        <w:t xml:space="preserve">onsables de la </w:t>
      </w:r>
      <w:r w:rsidR="00500648">
        <w:rPr>
          <w:rFonts w:ascii="ITC Avant Garde" w:eastAsiaTheme="majorEastAsia" w:hAnsi="ITC Avant Garde" w:cstheme="majorBidi"/>
          <w:b/>
          <w:lang w:val="es-ES"/>
        </w:rPr>
        <w:t>Consulta Pública</w:t>
      </w:r>
    </w:p>
    <w:p w14:paraId="7C2F7958" w14:textId="12744513" w:rsidR="007D54E4" w:rsidRPr="007D54E4" w:rsidRDefault="007D54E4" w:rsidP="007D54E4">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Unidad </w:t>
      </w:r>
      <w:r w:rsidR="00500648">
        <w:rPr>
          <w:rFonts w:ascii="ITC Avant Garde" w:eastAsiaTheme="majorEastAsia" w:hAnsi="ITC Avant Garde" w:cstheme="majorBidi"/>
          <w:lang w:val="es-ES"/>
        </w:rPr>
        <w:t xml:space="preserve">de </w:t>
      </w:r>
      <w:r w:rsidRPr="007D54E4">
        <w:rPr>
          <w:rFonts w:ascii="ITC Avant Garde" w:eastAsiaTheme="majorEastAsia" w:hAnsi="ITC Avant Garde" w:cstheme="majorBidi"/>
          <w:lang w:val="es-ES"/>
        </w:rPr>
        <w:t>Política Regulatoria</w:t>
      </w:r>
    </w:p>
    <w:p w14:paraId="03DFFB9D" w14:textId="389FD7FA"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Descripción de los parti</w:t>
      </w:r>
      <w:r w:rsidR="00500648">
        <w:rPr>
          <w:rFonts w:ascii="ITC Avant Garde" w:eastAsiaTheme="majorEastAsia" w:hAnsi="ITC Avant Garde" w:cstheme="majorBidi"/>
          <w:b/>
          <w:lang w:val="es-ES"/>
        </w:rPr>
        <w:t xml:space="preserve">cipantes en la </w:t>
      </w:r>
      <w:r w:rsidR="00500648">
        <w:rPr>
          <w:rFonts w:ascii="ITC Avant Garde" w:eastAsiaTheme="majorEastAsia" w:hAnsi="ITC Avant Garde" w:cstheme="majorBidi"/>
          <w:b/>
          <w:lang w:val="es-ES"/>
        </w:rPr>
        <w:t>Consulta Pública</w:t>
      </w:r>
    </w:p>
    <w:p w14:paraId="42C470DB" w14:textId="08142E81" w:rsidR="00376792" w:rsidRPr="007D54E4" w:rsidRDefault="007D54E4" w:rsidP="00376792">
      <w:pPr>
        <w:rPr>
          <w:rStyle w:val="Hipervnculo"/>
          <w:rFonts w:ascii="ITC Avant Garde" w:hAnsi="ITC Avant Garde"/>
        </w:rPr>
      </w:pPr>
      <w:r w:rsidRPr="007D54E4">
        <w:rPr>
          <w:rFonts w:ascii="ITC Avant Garde" w:eastAsia="Calibri" w:hAnsi="ITC Avant Garde" w:cs="Times New Roman"/>
          <w:lang w:val="es-ES"/>
        </w:rPr>
        <w:t>Durante el periodo de</w:t>
      </w:r>
      <w:r w:rsidR="00376792">
        <w:rPr>
          <w:rFonts w:ascii="ITC Avant Garde" w:eastAsia="Calibri" w:hAnsi="ITC Avant Garde" w:cs="Times New Roman"/>
          <w:lang w:val="es-ES"/>
        </w:rPr>
        <w:t xml:space="preserve"> la </w:t>
      </w:r>
      <w:r w:rsidR="00AB1AC5">
        <w:rPr>
          <w:rFonts w:ascii="ITC Avant Garde" w:eastAsia="Calibri" w:hAnsi="ITC Avant Garde" w:cs="Times New Roman"/>
          <w:lang w:val="es-ES"/>
        </w:rPr>
        <w:t>C</w:t>
      </w:r>
      <w:r w:rsidR="00376792">
        <w:rPr>
          <w:rFonts w:ascii="ITC Avant Garde" w:eastAsia="Calibri" w:hAnsi="ITC Avant Garde" w:cs="Times New Roman"/>
          <w:lang w:val="es-ES"/>
        </w:rPr>
        <w:t xml:space="preserve">onsulta </w:t>
      </w:r>
      <w:r w:rsidR="00AB1AC5">
        <w:rPr>
          <w:rFonts w:ascii="ITC Avant Garde" w:eastAsia="Calibri" w:hAnsi="ITC Avant Garde" w:cs="Times New Roman"/>
          <w:lang w:val="es-ES"/>
        </w:rPr>
        <w:t>P</w:t>
      </w:r>
      <w:r w:rsidR="00376792">
        <w:rPr>
          <w:rFonts w:ascii="ITC Avant Garde" w:eastAsia="Calibri" w:hAnsi="ITC Avant Garde" w:cs="Times New Roman"/>
          <w:lang w:val="es-ES"/>
        </w:rPr>
        <w:t>ública de mérito no s</w:t>
      </w:r>
      <w:r w:rsidR="00793681">
        <w:rPr>
          <w:rFonts w:ascii="ITC Avant Garde" w:eastAsia="Calibri" w:hAnsi="ITC Avant Garde" w:cs="Times New Roman"/>
          <w:lang w:val="es-ES"/>
        </w:rPr>
        <w:t>e recibieron comentarios</w:t>
      </w:r>
      <w:r w:rsidR="00376792">
        <w:rPr>
          <w:rFonts w:ascii="ITC Avant Garde" w:eastAsia="Calibri" w:hAnsi="ITC Avant Garde" w:cs="Times New Roman"/>
          <w:lang w:val="es-ES"/>
        </w:rPr>
        <w:t>.</w:t>
      </w:r>
      <w:bookmarkEnd w:id="0"/>
    </w:p>
    <w:sectPr w:rsidR="00376792" w:rsidRPr="007D54E4"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999D9" w14:textId="77777777" w:rsidR="0097012F" w:rsidRDefault="0097012F" w:rsidP="003C6172">
      <w:pPr>
        <w:spacing w:after="0" w:line="240" w:lineRule="auto"/>
      </w:pPr>
      <w:r>
        <w:separator/>
      </w:r>
    </w:p>
  </w:endnote>
  <w:endnote w:type="continuationSeparator" w:id="0">
    <w:p w14:paraId="73F4A826" w14:textId="77777777" w:rsidR="0097012F" w:rsidRDefault="0097012F"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4061" w14:textId="6E9A927A" w:rsidR="006D1F4A" w:rsidRPr="00C84A1D" w:rsidRDefault="00793681" w:rsidP="008958B5">
    <w:pPr>
      <w:pStyle w:val="Piedepgina"/>
      <w:jc w:val="right"/>
      <w:rPr>
        <w:rFonts w:ascii="ITC Avant Garde" w:hAnsi="ITC Avant Garde"/>
        <w:b/>
      </w:rPr>
    </w:pPr>
    <w:proofErr w:type="spellStart"/>
    <w:r w:rsidRPr="00793681">
      <w:rPr>
        <w:rFonts w:ascii="ITC Avant Garde" w:hAnsi="ITC Avant Garde"/>
      </w:rPr>
      <w:t>Página</w:t>
    </w:r>
    <w:proofErr w:type="spellEnd"/>
    <w:r>
      <w:rPr>
        <w:rFonts w:ascii="ITC Avant Garde" w:hAnsi="ITC Avant Garde"/>
        <w:b/>
      </w:rPr>
      <w:t xml:space="preserve"> </w:t>
    </w:r>
    <w:sdt>
      <w:sdtPr>
        <w:rPr>
          <w:rFonts w:ascii="ITC Avant Garde" w:hAnsi="ITC Avant Garde"/>
          <w:b/>
        </w:rPr>
        <w:id w:val="-1245482973"/>
        <w:docPartObj>
          <w:docPartGallery w:val="Page Numbers (Bottom of Page)"/>
          <w:docPartUnique/>
        </w:docPartObj>
      </w:sdtPr>
      <w:sdtEndPr/>
      <w:sdtContent>
        <w:r w:rsidR="006D1F4A" w:rsidRPr="00C84A1D">
          <w:rPr>
            <w:rFonts w:ascii="ITC Avant Garde" w:hAnsi="ITC Avant Garde"/>
            <w:b/>
          </w:rPr>
          <w:fldChar w:fldCharType="begin"/>
        </w:r>
        <w:r w:rsidR="006D1F4A" w:rsidRPr="00C84A1D">
          <w:rPr>
            <w:rFonts w:ascii="ITC Avant Garde" w:hAnsi="ITC Avant Garde"/>
            <w:b/>
          </w:rPr>
          <w:instrText>PAGE   \* MERGEFORMAT</w:instrText>
        </w:r>
        <w:r w:rsidR="006D1F4A" w:rsidRPr="00C84A1D">
          <w:rPr>
            <w:rFonts w:ascii="ITC Avant Garde" w:hAnsi="ITC Avant Garde"/>
            <w:b/>
          </w:rPr>
          <w:fldChar w:fldCharType="separate"/>
        </w:r>
        <w:r w:rsidR="00AB1AC5" w:rsidRPr="00AB1AC5">
          <w:rPr>
            <w:rFonts w:ascii="ITC Avant Garde" w:hAnsi="ITC Avant Garde"/>
            <w:b/>
            <w:noProof/>
            <w:lang w:val="es-ES"/>
          </w:rPr>
          <w:t>2</w:t>
        </w:r>
        <w:r w:rsidR="006D1F4A" w:rsidRPr="00C84A1D">
          <w:rPr>
            <w:rFonts w:ascii="ITC Avant Garde" w:hAnsi="ITC Avant Garde"/>
            <w:b/>
          </w:rPr>
          <w:fldChar w:fldCharType="end"/>
        </w:r>
        <w:r w:rsidR="006D1F4A" w:rsidRPr="00C84A1D">
          <w:rPr>
            <w:rFonts w:ascii="ITC Avant Garde" w:hAnsi="ITC Avant Garde"/>
            <w:b/>
          </w:rPr>
          <w:t xml:space="preserve"> de </w:t>
        </w:r>
        <w:r w:rsidR="006D1F4A" w:rsidRPr="00C84A1D">
          <w:rPr>
            <w:rFonts w:ascii="ITC Avant Garde" w:hAnsi="ITC Avant Garde"/>
            <w:b/>
          </w:rPr>
          <w:fldChar w:fldCharType="begin"/>
        </w:r>
        <w:r w:rsidR="006D1F4A" w:rsidRPr="00C84A1D">
          <w:rPr>
            <w:rFonts w:ascii="ITC Avant Garde" w:hAnsi="ITC Avant Garde"/>
            <w:b/>
          </w:rPr>
          <w:instrText xml:space="preserve"> NUMPAGES   \* MERGEFORMAT </w:instrText>
        </w:r>
        <w:r w:rsidR="006D1F4A" w:rsidRPr="00C84A1D">
          <w:rPr>
            <w:rFonts w:ascii="ITC Avant Garde" w:hAnsi="ITC Avant Garde"/>
            <w:b/>
          </w:rPr>
          <w:fldChar w:fldCharType="separate"/>
        </w:r>
        <w:r w:rsidR="00AB1AC5">
          <w:rPr>
            <w:rFonts w:ascii="ITC Avant Garde" w:hAnsi="ITC Avant Garde"/>
            <w:b/>
            <w:noProof/>
          </w:rPr>
          <w:t>2</w:t>
        </w:r>
        <w:r w:rsidR="006D1F4A" w:rsidRPr="00C84A1D">
          <w:rPr>
            <w:rFonts w:ascii="ITC Avant Garde" w:hAnsi="ITC Avant Garde"/>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168954"/>
      <w:docPartObj>
        <w:docPartGallery w:val="Page Numbers (Bottom of Page)"/>
        <w:docPartUnique/>
      </w:docPartObj>
    </w:sdtPr>
    <w:sdtEndPr>
      <w:rPr>
        <w:rFonts w:ascii="ITC Avant Garde" w:hAnsi="ITC Avant Garde"/>
      </w:rPr>
    </w:sdtEndPr>
    <w:sdtContent>
      <w:sdt>
        <w:sdtPr>
          <w:id w:val="-1705238520"/>
          <w:docPartObj>
            <w:docPartGallery w:val="Page Numbers (Top of Page)"/>
            <w:docPartUnique/>
          </w:docPartObj>
        </w:sdtPr>
        <w:sdtEndPr>
          <w:rPr>
            <w:rFonts w:ascii="ITC Avant Garde" w:hAnsi="ITC Avant Garde"/>
          </w:rPr>
        </w:sdtEndPr>
        <w:sdtContent>
          <w:p w14:paraId="674BC481" w14:textId="694C7D3C" w:rsidR="00793681" w:rsidRPr="00793681" w:rsidRDefault="00793681" w:rsidP="00793681">
            <w:pPr>
              <w:pStyle w:val="Piedepgina"/>
              <w:jc w:val="right"/>
              <w:rPr>
                <w:rFonts w:ascii="ITC Avant Garde" w:hAnsi="ITC Avant Garde"/>
              </w:rPr>
            </w:pPr>
            <w:r w:rsidRPr="00793681">
              <w:rPr>
                <w:rFonts w:ascii="ITC Avant Garde" w:hAnsi="ITC Avant Garde"/>
                <w:lang w:val="es-ES"/>
              </w:rPr>
              <w:t xml:space="preserve">Página </w:t>
            </w:r>
            <w:r w:rsidRPr="00793681">
              <w:rPr>
                <w:rFonts w:ascii="ITC Avant Garde" w:hAnsi="ITC Avant Garde"/>
                <w:b/>
                <w:bCs/>
                <w:sz w:val="24"/>
                <w:szCs w:val="24"/>
              </w:rPr>
              <w:fldChar w:fldCharType="begin"/>
            </w:r>
            <w:r w:rsidRPr="00793681">
              <w:rPr>
                <w:rFonts w:ascii="ITC Avant Garde" w:hAnsi="ITC Avant Garde"/>
                <w:b/>
                <w:bCs/>
              </w:rPr>
              <w:instrText>PAGE</w:instrText>
            </w:r>
            <w:r w:rsidRPr="00793681">
              <w:rPr>
                <w:rFonts w:ascii="ITC Avant Garde" w:hAnsi="ITC Avant Garde"/>
                <w:b/>
                <w:bCs/>
                <w:sz w:val="24"/>
                <w:szCs w:val="24"/>
              </w:rPr>
              <w:fldChar w:fldCharType="separate"/>
            </w:r>
            <w:r w:rsidR="00AB1AC5">
              <w:rPr>
                <w:rFonts w:ascii="ITC Avant Garde" w:hAnsi="ITC Avant Garde"/>
                <w:b/>
                <w:bCs/>
                <w:noProof/>
              </w:rPr>
              <w:t>1</w:t>
            </w:r>
            <w:r w:rsidRPr="00793681">
              <w:rPr>
                <w:rFonts w:ascii="ITC Avant Garde" w:hAnsi="ITC Avant Garde"/>
                <w:b/>
                <w:bCs/>
                <w:sz w:val="24"/>
                <w:szCs w:val="24"/>
              </w:rPr>
              <w:fldChar w:fldCharType="end"/>
            </w:r>
            <w:r w:rsidRPr="00793681">
              <w:rPr>
                <w:rFonts w:ascii="ITC Avant Garde" w:hAnsi="ITC Avant Garde"/>
                <w:lang w:val="es-ES"/>
              </w:rPr>
              <w:t xml:space="preserve"> de </w:t>
            </w:r>
            <w:r w:rsidRPr="00793681">
              <w:rPr>
                <w:rFonts w:ascii="ITC Avant Garde" w:hAnsi="ITC Avant Garde"/>
                <w:b/>
                <w:bCs/>
                <w:sz w:val="24"/>
                <w:szCs w:val="24"/>
              </w:rPr>
              <w:fldChar w:fldCharType="begin"/>
            </w:r>
            <w:r w:rsidRPr="00793681">
              <w:rPr>
                <w:rFonts w:ascii="ITC Avant Garde" w:hAnsi="ITC Avant Garde"/>
                <w:b/>
                <w:bCs/>
              </w:rPr>
              <w:instrText>NUMPAGES</w:instrText>
            </w:r>
            <w:r w:rsidRPr="00793681">
              <w:rPr>
                <w:rFonts w:ascii="ITC Avant Garde" w:hAnsi="ITC Avant Garde"/>
                <w:b/>
                <w:bCs/>
                <w:sz w:val="24"/>
                <w:szCs w:val="24"/>
              </w:rPr>
              <w:fldChar w:fldCharType="separate"/>
            </w:r>
            <w:r w:rsidR="00AB1AC5">
              <w:rPr>
                <w:rFonts w:ascii="ITC Avant Garde" w:hAnsi="ITC Avant Garde"/>
                <w:b/>
                <w:bCs/>
                <w:noProof/>
              </w:rPr>
              <w:t>2</w:t>
            </w:r>
            <w:r w:rsidRPr="00793681">
              <w:rPr>
                <w:rFonts w:ascii="ITC Avant Garde" w:hAnsi="ITC Avant Garde"/>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55CC8" w14:textId="77777777" w:rsidR="0097012F" w:rsidRDefault="0097012F" w:rsidP="003C6172">
      <w:pPr>
        <w:spacing w:after="0" w:line="240" w:lineRule="auto"/>
      </w:pPr>
      <w:r>
        <w:separator/>
      </w:r>
    </w:p>
  </w:footnote>
  <w:footnote w:type="continuationSeparator" w:id="0">
    <w:p w14:paraId="0DC328DF" w14:textId="77777777" w:rsidR="0097012F" w:rsidRDefault="0097012F" w:rsidP="003C6172">
      <w:pPr>
        <w:spacing w:after="0" w:line="240" w:lineRule="auto"/>
      </w:pPr>
      <w:r>
        <w:continuationSeparator/>
      </w:r>
    </w:p>
  </w:footnote>
  <w:footnote w:id="1">
    <w:p w14:paraId="0CFB575A" w14:textId="4F74FC9A" w:rsidR="006D1F4A" w:rsidRPr="00DB41B3" w:rsidRDefault="006D1F4A" w:rsidP="006D1F4A">
      <w:pPr>
        <w:pStyle w:val="Textonotapie"/>
        <w:ind w:left="0" w:firstLine="0"/>
        <w:rPr>
          <w:rFonts w:ascii="ITC Avant Garde" w:hAnsi="ITC Avant Garde"/>
          <w:sz w:val="14"/>
          <w:szCs w:val="14"/>
          <w:lang w:val="es-MX"/>
        </w:rPr>
      </w:pPr>
      <w:r w:rsidRPr="00DB41B3">
        <w:rPr>
          <w:rStyle w:val="Refdenotaalpie"/>
          <w:rFonts w:ascii="ITC Avant Garde" w:hAnsi="ITC Avant Garde"/>
          <w:sz w:val="14"/>
          <w:szCs w:val="14"/>
        </w:rPr>
        <w:footnoteRef/>
      </w:r>
      <w:r w:rsidRPr="00DB41B3">
        <w:rPr>
          <w:rFonts w:ascii="ITC Avant Garde" w:hAnsi="ITC Avant Garde"/>
          <w:sz w:val="14"/>
          <w:szCs w:val="14"/>
        </w:rPr>
        <w:t xml:space="preserve"> </w:t>
      </w:r>
      <w:r w:rsidR="00AB1AC5">
        <w:rPr>
          <w:rFonts w:ascii="ITC Avant Garde" w:hAnsi="ITC Avant Garde"/>
          <w:sz w:val="14"/>
          <w:szCs w:val="14"/>
        </w:rPr>
        <w:t xml:space="preserve"> </w:t>
      </w:r>
      <w:r w:rsidR="007D54E4">
        <w:rPr>
          <w:rFonts w:ascii="ITC Avant Garde" w:hAnsi="ITC Avant Garde"/>
          <w:sz w:val="14"/>
          <w:szCs w:val="14"/>
          <w:lang w:val="es-MX"/>
        </w:rPr>
        <w:t xml:space="preserve">La </w:t>
      </w:r>
      <w:r w:rsidR="00AB1AC5">
        <w:rPr>
          <w:rFonts w:ascii="ITC Avant Garde" w:hAnsi="ITC Avant Garde"/>
          <w:sz w:val="14"/>
          <w:szCs w:val="14"/>
          <w:lang w:val="es-MX"/>
        </w:rPr>
        <w:t>C</w:t>
      </w:r>
      <w:r w:rsidR="007D54E4">
        <w:rPr>
          <w:rFonts w:ascii="ITC Avant Garde" w:hAnsi="ITC Avant Garde"/>
          <w:sz w:val="14"/>
          <w:szCs w:val="14"/>
          <w:lang w:val="es-MX"/>
        </w:rPr>
        <w:t xml:space="preserve">onsulta </w:t>
      </w:r>
      <w:r w:rsidR="00AB1AC5">
        <w:rPr>
          <w:rFonts w:ascii="ITC Avant Garde" w:hAnsi="ITC Avant Garde"/>
          <w:sz w:val="14"/>
          <w:szCs w:val="14"/>
          <w:lang w:val="es-MX"/>
        </w:rPr>
        <w:t>P</w:t>
      </w:r>
      <w:r w:rsidR="007D54E4">
        <w:rPr>
          <w:rFonts w:ascii="ITC Avant Garde" w:hAnsi="ITC Avant Garde"/>
          <w:sz w:val="14"/>
          <w:szCs w:val="14"/>
          <w:lang w:val="es-MX"/>
        </w:rPr>
        <w:t>ública de</w:t>
      </w:r>
      <w:r w:rsidR="00376792">
        <w:rPr>
          <w:rFonts w:ascii="ITC Avant Garde" w:hAnsi="ITC Avant Garde"/>
          <w:sz w:val="14"/>
          <w:szCs w:val="14"/>
          <w:lang w:val="es-MX"/>
        </w:rPr>
        <w:t xml:space="preserve"> </w:t>
      </w:r>
      <w:r w:rsidR="007D54E4">
        <w:rPr>
          <w:rFonts w:ascii="ITC Avant Garde" w:hAnsi="ITC Avant Garde"/>
          <w:sz w:val="14"/>
          <w:szCs w:val="14"/>
          <w:lang w:val="es-MX"/>
        </w:rPr>
        <w:t>l</w:t>
      </w:r>
      <w:r w:rsidR="00376792">
        <w:rPr>
          <w:rFonts w:ascii="ITC Avant Garde" w:hAnsi="ITC Avant Garde"/>
          <w:sz w:val="14"/>
          <w:szCs w:val="14"/>
          <w:lang w:val="es-MX"/>
        </w:rPr>
        <w:t>as</w:t>
      </w:r>
      <w:r w:rsidRPr="00DB41B3">
        <w:rPr>
          <w:rFonts w:ascii="ITC Avant Garde" w:hAnsi="ITC Avant Garde"/>
          <w:sz w:val="14"/>
          <w:szCs w:val="14"/>
          <w:lang w:val="es-MX"/>
        </w:rPr>
        <w:t xml:space="preserve"> </w:t>
      </w:r>
      <w:r w:rsidR="00376792" w:rsidRPr="00376792">
        <w:rPr>
          <w:rFonts w:ascii="ITC Avant Garde" w:hAnsi="ITC Avant Garde"/>
          <w:i/>
          <w:sz w:val="14"/>
          <w:szCs w:val="14"/>
          <w:lang w:val="es-MX"/>
        </w:rPr>
        <w:t>“PROPUESTAS DE OFERTAS PÚBLICAS DE INFRAESTRUCTURA PRESENTADAS POR EL AGENTE ECONÓMICO PREPONDERANTE EN EL SECTOR DE RADIODIFUSIÓN”</w:t>
      </w:r>
      <w:r w:rsidR="007D54E4" w:rsidRPr="007D54E4">
        <w:rPr>
          <w:rFonts w:ascii="ITC Avant Garde" w:hAnsi="ITC Avant Garde"/>
          <w:i/>
          <w:sz w:val="14"/>
          <w:szCs w:val="14"/>
          <w:lang w:val="es-MX"/>
        </w:rPr>
        <w:t>.</w:t>
      </w:r>
      <w:r w:rsidRPr="00DB41B3">
        <w:rPr>
          <w:rFonts w:ascii="ITC Avant Garde" w:hAnsi="ITC Avant Garde"/>
          <w:sz w:val="14"/>
          <w:szCs w:val="14"/>
          <w:lang w:val="es-MX"/>
        </w:rPr>
        <w:t xml:space="preserve"> se encuentra disponible a través de la siguiente dirección electrónica: </w:t>
      </w:r>
      <w:hyperlink r:id="rId1" w:history="1">
        <w:r w:rsidR="00376792" w:rsidRPr="007E1064">
          <w:rPr>
            <w:rStyle w:val="Hipervnculo"/>
            <w:rFonts w:ascii="ITC Avant Garde" w:hAnsi="ITC Avant Garde"/>
            <w:sz w:val="14"/>
            <w:szCs w:val="14"/>
            <w:lang w:val="es-MX"/>
          </w:rPr>
          <w:t>http://www.ift.org.mx/industria/consultas-publicas/consulta-publica-sobre-las-propuestas-de-ofertas-publicas-de-infraestructura-presentadas-por-el-0</w:t>
        </w:r>
      </w:hyperlink>
      <w:r w:rsidR="00376792">
        <w:rPr>
          <w:rFonts w:ascii="ITC Avant Garde" w:hAnsi="ITC Avant Gar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01AA" w14:textId="77777777" w:rsidR="006D1F4A" w:rsidRPr="00FD6F5F" w:rsidRDefault="006D1F4A"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19"/>
  </w:num>
  <w:num w:numId="6">
    <w:abstractNumId w:val="26"/>
  </w:num>
  <w:num w:numId="7">
    <w:abstractNumId w:val="18"/>
  </w:num>
  <w:num w:numId="8">
    <w:abstractNumId w:val="21"/>
  </w:num>
  <w:num w:numId="9">
    <w:abstractNumId w:val="33"/>
  </w:num>
  <w:num w:numId="10">
    <w:abstractNumId w:val="28"/>
  </w:num>
  <w:num w:numId="11">
    <w:abstractNumId w:val="39"/>
  </w:num>
  <w:num w:numId="12">
    <w:abstractNumId w:val="34"/>
  </w:num>
  <w:num w:numId="13">
    <w:abstractNumId w:val="35"/>
  </w:num>
  <w:num w:numId="14">
    <w:abstractNumId w:val="25"/>
  </w:num>
  <w:num w:numId="15">
    <w:abstractNumId w:val="32"/>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23"/>
  </w:num>
  <w:num w:numId="26">
    <w:abstractNumId w:val="11"/>
  </w:num>
  <w:num w:numId="27">
    <w:abstractNumId w:val="13"/>
  </w:num>
  <w:num w:numId="28">
    <w:abstractNumId w:val="41"/>
  </w:num>
  <w:num w:numId="29">
    <w:abstractNumId w:val="22"/>
  </w:num>
  <w:num w:numId="30">
    <w:abstractNumId w:val="30"/>
  </w:num>
  <w:num w:numId="31">
    <w:abstractNumId w:val="16"/>
  </w:num>
  <w:num w:numId="32">
    <w:abstractNumId w:val="20"/>
  </w:num>
  <w:num w:numId="33">
    <w:abstractNumId w:val="36"/>
  </w:num>
  <w:num w:numId="34">
    <w:abstractNumId w:val="9"/>
  </w:num>
  <w:num w:numId="35">
    <w:abstractNumId w:val="9"/>
  </w:num>
  <w:num w:numId="36">
    <w:abstractNumId w:val="38"/>
  </w:num>
  <w:num w:numId="37">
    <w:abstractNumId w:val="1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37"/>
  </w:num>
  <w:num w:numId="43">
    <w:abstractNumId w:val="12"/>
  </w:num>
  <w:num w:numId="44">
    <w:abstractNumId w:val="21"/>
  </w:num>
  <w:num w:numId="45">
    <w:abstractNumId w:val="21"/>
  </w:num>
  <w:num w:numId="46">
    <w:abstractNumId w:val="21"/>
  </w:num>
  <w:num w:numId="47">
    <w:abstractNumId w:val="29"/>
  </w:num>
  <w:num w:numId="48">
    <w:abstractNumId w:val="43"/>
  </w:num>
  <w:num w:numId="49">
    <w:abstractNumId w:val="14"/>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EB"/>
    <w:rsid w:val="00000976"/>
    <w:rsid w:val="00000D47"/>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4B13"/>
    <w:rsid w:val="000979CE"/>
    <w:rsid w:val="000A0E4D"/>
    <w:rsid w:val="000A2AC3"/>
    <w:rsid w:val="000A59A7"/>
    <w:rsid w:val="000A7C0A"/>
    <w:rsid w:val="000B2BF0"/>
    <w:rsid w:val="000B2F3C"/>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42DF"/>
    <w:rsid w:val="00115749"/>
    <w:rsid w:val="001178BC"/>
    <w:rsid w:val="001236ED"/>
    <w:rsid w:val="00123DA5"/>
    <w:rsid w:val="0012797F"/>
    <w:rsid w:val="00131DDE"/>
    <w:rsid w:val="0013713B"/>
    <w:rsid w:val="0013763A"/>
    <w:rsid w:val="00137ED3"/>
    <w:rsid w:val="001438D2"/>
    <w:rsid w:val="00145144"/>
    <w:rsid w:val="00145323"/>
    <w:rsid w:val="00157D64"/>
    <w:rsid w:val="00163B82"/>
    <w:rsid w:val="00165F67"/>
    <w:rsid w:val="00166C6E"/>
    <w:rsid w:val="00166F41"/>
    <w:rsid w:val="0017023A"/>
    <w:rsid w:val="001769CC"/>
    <w:rsid w:val="00176FA1"/>
    <w:rsid w:val="00177636"/>
    <w:rsid w:val="001820C8"/>
    <w:rsid w:val="00186225"/>
    <w:rsid w:val="00187F10"/>
    <w:rsid w:val="00193324"/>
    <w:rsid w:val="001A0DC4"/>
    <w:rsid w:val="001A42F1"/>
    <w:rsid w:val="001A5353"/>
    <w:rsid w:val="001A6A44"/>
    <w:rsid w:val="001B0607"/>
    <w:rsid w:val="001B5FDD"/>
    <w:rsid w:val="001B77A7"/>
    <w:rsid w:val="001C12FC"/>
    <w:rsid w:val="001C54DD"/>
    <w:rsid w:val="001D472D"/>
    <w:rsid w:val="001E02B7"/>
    <w:rsid w:val="001E0D16"/>
    <w:rsid w:val="001E4098"/>
    <w:rsid w:val="001E79ED"/>
    <w:rsid w:val="001F06DC"/>
    <w:rsid w:val="001F57FB"/>
    <w:rsid w:val="001F77DB"/>
    <w:rsid w:val="00201BDE"/>
    <w:rsid w:val="002061B5"/>
    <w:rsid w:val="00210F78"/>
    <w:rsid w:val="00213768"/>
    <w:rsid w:val="00213E01"/>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6E4C"/>
    <w:rsid w:val="002E7B47"/>
    <w:rsid w:val="002F1F37"/>
    <w:rsid w:val="002F24A5"/>
    <w:rsid w:val="002F36EE"/>
    <w:rsid w:val="002F4E92"/>
    <w:rsid w:val="00301AAA"/>
    <w:rsid w:val="00307792"/>
    <w:rsid w:val="00310720"/>
    <w:rsid w:val="003110D4"/>
    <w:rsid w:val="00311803"/>
    <w:rsid w:val="0031318E"/>
    <w:rsid w:val="003136A0"/>
    <w:rsid w:val="00314973"/>
    <w:rsid w:val="00320F3B"/>
    <w:rsid w:val="003226EB"/>
    <w:rsid w:val="003242AE"/>
    <w:rsid w:val="00324B8A"/>
    <w:rsid w:val="003302B3"/>
    <w:rsid w:val="00330717"/>
    <w:rsid w:val="00336042"/>
    <w:rsid w:val="00336EE3"/>
    <w:rsid w:val="00337756"/>
    <w:rsid w:val="0033789D"/>
    <w:rsid w:val="00341B9C"/>
    <w:rsid w:val="00343F42"/>
    <w:rsid w:val="003442D2"/>
    <w:rsid w:val="0035272C"/>
    <w:rsid w:val="00355028"/>
    <w:rsid w:val="00356CC9"/>
    <w:rsid w:val="0035710A"/>
    <w:rsid w:val="00365395"/>
    <w:rsid w:val="00371888"/>
    <w:rsid w:val="00372B67"/>
    <w:rsid w:val="00372BF7"/>
    <w:rsid w:val="00372E2A"/>
    <w:rsid w:val="00375395"/>
    <w:rsid w:val="00376792"/>
    <w:rsid w:val="00383016"/>
    <w:rsid w:val="00383887"/>
    <w:rsid w:val="003934A0"/>
    <w:rsid w:val="003A5D6B"/>
    <w:rsid w:val="003B1AD2"/>
    <w:rsid w:val="003B4DC0"/>
    <w:rsid w:val="003B6396"/>
    <w:rsid w:val="003C1F76"/>
    <w:rsid w:val="003C304F"/>
    <w:rsid w:val="003C6172"/>
    <w:rsid w:val="003C6662"/>
    <w:rsid w:val="003C6E14"/>
    <w:rsid w:val="003D05E2"/>
    <w:rsid w:val="003D11CE"/>
    <w:rsid w:val="003D2CB9"/>
    <w:rsid w:val="003E16DA"/>
    <w:rsid w:val="003E51A3"/>
    <w:rsid w:val="003F2680"/>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36AEE"/>
    <w:rsid w:val="00444DA5"/>
    <w:rsid w:val="004457BE"/>
    <w:rsid w:val="00447110"/>
    <w:rsid w:val="00453F3C"/>
    <w:rsid w:val="004571AD"/>
    <w:rsid w:val="00457F76"/>
    <w:rsid w:val="004630CC"/>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E3222"/>
    <w:rsid w:val="004E4E94"/>
    <w:rsid w:val="004E4F9A"/>
    <w:rsid w:val="004E5D44"/>
    <w:rsid w:val="004E6780"/>
    <w:rsid w:val="004E68FC"/>
    <w:rsid w:val="004F1823"/>
    <w:rsid w:val="004F2277"/>
    <w:rsid w:val="004F55E9"/>
    <w:rsid w:val="005004AC"/>
    <w:rsid w:val="00500648"/>
    <w:rsid w:val="005013F3"/>
    <w:rsid w:val="00507D99"/>
    <w:rsid w:val="00513E19"/>
    <w:rsid w:val="00514DD9"/>
    <w:rsid w:val="00517391"/>
    <w:rsid w:val="00520A74"/>
    <w:rsid w:val="00524ABF"/>
    <w:rsid w:val="0053181C"/>
    <w:rsid w:val="005378CB"/>
    <w:rsid w:val="005434C3"/>
    <w:rsid w:val="005446DB"/>
    <w:rsid w:val="00547B9A"/>
    <w:rsid w:val="00550282"/>
    <w:rsid w:val="00563BE7"/>
    <w:rsid w:val="005655EE"/>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C12B8"/>
    <w:rsid w:val="005C16EE"/>
    <w:rsid w:val="005C3F58"/>
    <w:rsid w:val="005C4F3F"/>
    <w:rsid w:val="005C513E"/>
    <w:rsid w:val="005C59B7"/>
    <w:rsid w:val="005C65AD"/>
    <w:rsid w:val="005C7381"/>
    <w:rsid w:val="005D07A3"/>
    <w:rsid w:val="005D225C"/>
    <w:rsid w:val="005D45C8"/>
    <w:rsid w:val="005F0D61"/>
    <w:rsid w:val="005F79F0"/>
    <w:rsid w:val="00606043"/>
    <w:rsid w:val="00607E5F"/>
    <w:rsid w:val="00610037"/>
    <w:rsid w:val="00610A85"/>
    <w:rsid w:val="00611FD8"/>
    <w:rsid w:val="00620036"/>
    <w:rsid w:val="00622062"/>
    <w:rsid w:val="00622D11"/>
    <w:rsid w:val="00625D84"/>
    <w:rsid w:val="00632C3B"/>
    <w:rsid w:val="00634925"/>
    <w:rsid w:val="006371DA"/>
    <w:rsid w:val="00637B9E"/>
    <w:rsid w:val="0064112D"/>
    <w:rsid w:val="00641CB9"/>
    <w:rsid w:val="00643405"/>
    <w:rsid w:val="006435B5"/>
    <w:rsid w:val="00647B4E"/>
    <w:rsid w:val="00650C3B"/>
    <w:rsid w:val="006528FC"/>
    <w:rsid w:val="006534F4"/>
    <w:rsid w:val="006626B7"/>
    <w:rsid w:val="00662CE0"/>
    <w:rsid w:val="00670815"/>
    <w:rsid w:val="0067121E"/>
    <w:rsid w:val="0067149E"/>
    <w:rsid w:val="00677547"/>
    <w:rsid w:val="00682B77"/>
    <w:rsid w:val="0068491B"/>
    <w:rsid w:val="00685F22"/>
    <w:rsid w:val="00686395"/>
    <w:rsid w:val="0069500B"/>
    <w:rsid w:val="00696783"/>
    <w:rsid w:val="00696966"/>
    <w:rsid w:val="006A1C1E"/>
    <w:rsid w:val="006A459C"/>
    <w:rsid w:val="006A5331"/>
    <w:rsid w:val="006A64D8"/>
    <w:rsid w:val="006B4487"/>
    <w:rsid w:val="006B48D2"/>
    <w:rsid w:val="006B5229"/>
    <w:rsid w:val="006C5E5F"/>
    <w:rsid w:val="006C7103"/>
    <w:rsid w:val="006D1D1F"/>
    <w:rsid w:val="006D1F4A"/>
    <w:rsid w:val="006D4AE8"/>
    <w:rsid w:val="006D5382"/>
    <w:rsid w:val="006D7C3C"/>
    <w:rsid w:val="006E3221"/>
    <w:rsid w:val="006E55EC"/>
    <w:rsid w:val="006E70A2"/>
    <w:rsid w:val="006F33E0"/>
    <w:rsid w:val="006F6B48"/>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D6C"/>
    <w:rsid w:val="00882004"/>
    <w:rsid w:val="0088307C"/>
    <w:rsid w:val="00886324"/>
    <w:rsid w:val="0088698F"/>
    <w:rsid w:val="00886B3B"/>
    <w:rsid w:val="0089104A"/>
    <w:rsid w:val="008958B5"/>
    <w:rsid w:val="008A14A4"/>
    <w:rsid w:val="008A2D32"/>
    <w:rsid w:val="008A3C50"/>
    <w:rsid w:val="008A515A"/>
    <w:rsid w:val="008B3F33"/>
    <w:rsid w:val="008B6A56"/>
    <w:rsid w:val="008B74FA"/>
    <w:rsid w:val="008C0DF8"/>
    <w:rsid w:val="008C5AAE"/>
    <w:rsid w:val="008D3D7E"/>
    <w:rsid w:val="008D3F8A"/>
    <w:rsid w:val="008D723D"/>
    <w:rsid w:val="008D7EEB"/>
    <w:rsid w:val="008E0DD6"/>
    <w:rsid w:val="008E1FBD"/>
    <w:rsid w:val="008E296D"/>
    <w:rsid w:val="008E306F"/>
    <w:rsid w:val="008E6139"/>
    <w:rsid w:val="008E7A89"/>
    <w:rsid w:val="008F41D1"/>
    <w:rsid w:val="008F4C6E"/>
    <w:rsid w:val="008F5BAC"/>
    <w:rsid w:val="008F66F9"/>
    <w:rsid w:val="008F777C"/>
    <w:rsid w:val="00917514"/>
    <w:rsid w:val="00920D59"/>
    <w:rsid w:val="009253CA"/>
    <w:rsid w:val="009258E7"/>
    <w:rsid w:val="00926E1D"/>
    <w:rsid w:val="0093182A"/>
    <w:rsid w:val="00931AF2"/>
    <w:rsid w:val="00932E6C"/>
    <w:rsid w:val="00932FED"/>
    <w:rsid w:val="00935D4B"/>
    <w:rsid w:val="00936300"/>
    <w:rsid w:val="00943F9D"/>
    <w:rsid w:val="00946DD7"/>
    <w:rsid w:val="009472D0"/>
    <w:rsid w:val="0095045E"/>
    <w:rsid w:val="009507F5"/>
    <w:rsid w:val="00961542"/>
    <w:rsid w:val="00961CBF"/>
    <w:rsid w:val="0096626C"/>
    <w:rsid w:val="0097012F"/>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C19"/>
    <w:rsid w:val="009A7724"/>
    <w:rsid w:val="009A77B7"/>
    <w:rsid w:val="009B6E56"/>
    <w:rsid w:val="009C41EC"/>
    <w:rsid w:val="009C561C"/>
    <w:rsid w:val="009D1589"/>
    <w:rsid w:val="009D75EF"/>
    <w:rsid w:val="009D7688"/>
    <w:rsid w:val="009D7A9F"/>
    <w:rsid w:val="009E4796"/>
    <w:rsid w:val="009E53C1"/>
    <w:rsid w:val="009E75CE"/>
    <w:rsid w:val="009E7860"/>
    <w:rsid w:val="00A01F5A"/>
    <w:rsid w:val="00A0450C"/>
    <w:rsid w:val="00A07629"/>
    <w:rsid w:val="00A079B6"/>
    <w:rsid w:val="00A11FE9"/>
    <w:rsid w:val="00A14682"/>
    <w:rsid w:val="00A15173"/>
    <w:rsid w:val="00A17845"/>
    <w:rsid w:val="00A20395"/>
    <w:rsid w:val="00A22B67"/>
    <w:rsid w:val="00A239F1"/>
    <w:rsid w:val="00A315B9"/>
    <w:rsid w:val="00A321F0"/>
    <w:rsid w:val="00A32E3F"/>
    <w:rsid w:val="00A35A1F"/>
    <w:rsid w:val="00A36CBD"/>
    <w:rsid w:val="00A37939"/>
    <w:rsid w:val="00A379AA"/>
    <w:rsid w:val="00A406A5"/>
    <w:rsid w:val="00A40BE1"/>
    <w:rsid w:val="00A418AD"/>
    <w:rsid w:val="00A42BF0"/>
    <w:rsid w:val="00A4583C"/>
    <w:rsid w:val="00A465B1"/>
    <w:rsid w:val="00A465CE"/>
    <w:rsid w:val="00A46A18"/>
    <w:rsid w:val="00A50287"/>
    <w:rsid w:val="00A52EAF"/>
    <w:rsid w:val="00A605C5"/>
    <w:rsid w:val="00A6743B"/>
    <w:rsid w:val="00A705E9"/>
    <w:rsid w:val="00A72495"/>
    <w:rsid w:val="00A724C9"/>
    <w:rsid w:val="00A73836"/>
    <w:rsid w:val="00A73CDD"/>
    <w:rsid w:val="00A75587"/>
    <w:rsid w:val="00A75AF2"/>
    <w:rsid w:val="00A76038"/>
    <w:rsid w:val="00A8191D"/>
    <w:rsid w:val="00A84B18"/>
    <w:rsid w:val="00A879F9"/>
    <w:rsid w:val="00A87B25"/>
    <w:rsid w:val="00A91308"/>
    <w:rsid w:val="00A913C0"/>
    <w:rsid w:val="00A91ADF"/>
    <w:rsid w:val="00A921D4"/>
    <w:rsid w:val="00A94AEC"/>
    <w:rsid w:val="00A97E52"/>
    <w:rsid w:val="00AA02E1"/>
    <w:rsid w:val="00AA045A"/>
    <w:rsid w:val="00AB1AC5"/>
    <w:rsid w:val="00AB3D6F"/>
    <w:rsid w:val="00AC45B0"/>
    <w:rsid w:val="00AC4A09"/>
    <w:rsid w:val="00AD06B7"/>
    <w:rsid w:val="00AD5A72"/>
    <w:rsid w:val="00AD7E0E"/>
    <w:rsid w:val="00AD7E1B"/>
    <w:rsid w:val="00AE0F00"/>
    <w:rsid w:val="00AE1783"/>
    <w:rsid w:val="00AF1EA6"/>
    <w:rsid w:val="00AF23C9"/>
    <w:rsid w:val="00B001F8"/>
    <w:rsid w:val="00B02122"/>
    <w:rsid w:val="00B029E7"/>
    <w:rsid w:val="00B029F2"/>
    <w:rsid w:val="00B03489"/>
    <w:rsid w:val="00B07286"/>
    <w:rsid w:val="00B13207"/>
    <w:rsid w:val="00B1407B"/>
    <w:rsid w:val="00B2076F"/>
    <w:rsid w:val="00B209A2"/>
    <w:rsid w:val="00B27F62"/>
    <w:rsid w:val="00B36AE6"/>
    <w:rsid w:val="00B40810"/>
    <w:rsid w:val="00B4135F"/>
    <w:rsid w:val="00B55172"/>
    <w:rsid w:val="00B6781B"/>
    <w:rsid w:val="00B734D2"/>
    <w:rsid w:val="00B87550"/>
    <w:rsid w:val="00B926B5"/>
    <w:rsid w:val="00B928DC"/>
    <w:rsid w:val="00B93220"/>
    <w:rsid w:val="00B93BD1"/>
    <w:rsid w:val="00B943D1"/>
    <w:rsid w:val="00B96939"/>
    <w:rsid w:val="00BA2FCE"/>
    <w:rsid w:val="00BA40E9"/>
    <w:rsid w:val="00BA6121"/>
    <w:rsid w:val="00BB1C4F"/>
    <w:rsid w:val="00BB38B5"/>
    <w:rsid w:val="00BB3B88"/>
    <w:rsid w:val="00BB4033"/>
    <w:rsid w:val="00BB64EC"/>
    <w:rsid w:val="00BC5411"/>
    <w:rsid w:val="00BC56F6"/>
    <w:rsid w:val="00BE25BB"/>
    <w:rsid w:val="00BE3108"/>
    <w:rsid w:val="00BE4026"/>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B4C"/>
    <w:rsid w:val="00C30D8A"/>
    <w:rsid w:val="00C41EE5"/>
    <w:rsid w:val="00C43BE0"/>
    <w:rsid w:val="00C4453B"/>
    <w:rsid w:val="00C44ACE"/>
    <w:rsid w:val="00C45082"/>
    <w:rsid w:val="00C46257"/>
    <w:rsid w:val="00C47C10"/>
    <w:rsid w:val="00C50030"/>
    <w:rsid w:val="00C50C93"/>
    <w:rsid w:val="00C5502C"/>
    <w:rsid w:val="00C556AB"/>
    <w:rsid w:val="00C55A7D"/>
    <w:rsid w:val="00C56987"/>
    <w:rsid w:val="00C57867"/>
    <w:rsid w:val="00C61241"/>
    <w:rsid w:val="00C62435"/>
    <w:rsid w:val="00C63343"/>
    <w:rsid w:val="00C6387C"/>
    <w:rsid w:val="00C64D31"/>
    <w:rsid w:val="00C664CC"/>
    <w:rsid w:val="00C73865"/>
    <w:rsid w:val="00C80269"/>
    <w:rsid w:val="00C84A1D"/>
    <w:rsid w:val="00C855DD"/>
    <w:rsid w:val="00C86653"/>
    <w:rsid w:val="00C911BF"/>
    <w:rsid w:val="00C97CC0"/>
    <w:rsid w:val="00CA0B92"/>
    <w:rsid w:val="00CA3F64"/>
    <w:rsid w:val="00CA5EC8"/>
    <w:rsid w:val="00CA7880"/>
    <w:rsid w:val="00CB6CCB"/>
    <w:rsid w:val="00CB7AE8"/>
    <w:rsid w:val="00CC09F0"/>
    <w:rsid w:val="00CC2310"/>
    <w:rsid w:val="00CC2B6A"/>
    <w:rsid w:val="00CC3A9C"/>
    <w:rsid w:val="00CC50B4"/>
    <w:rsid w:val="00CD09B7"/>
    <w:rsid w:val="00CD3809"/>
    <w:rsid w:val="00CD58B3"/>
    <w:rsid w:val="00CD650B"/>
    <w:rsid w:val="00CE1F20"/>
    <w:rsid w:val="00CE6974"/>
    <w:rsid w:val="00CE757E"/>
    <w:rsid w:val="00CE782F"/>
    <w:rsid w:val="00CF3B7D"/>
    <w:rsid w:val="00CF497E"/>
    <w:rsid w:val="00CF6277"/>
    <w:rsid w:val="00CF76F6"/>
    <w:rsid w:val="00CF7A58"/>
    <w:rsid w:val="00D02D6E"/>
    <w:rsid w:val="00D05F54"/>
    <w:rsid w:val="00D068DB"/>
    <w:rsid w:val="00D06B34"/>
    <w:rsid w:val="00D14DBB"/>
    <w:rsid w:val="00D17968"/>
    <w:rsid w:val="00D17D19"/>
    <w:rsid w:val="00D2020B"/>
    <w:rsid w:val="00D21702"/>
    <w:rsid w:val="00D247C6"/>
    <w:rsid w:val="00D32FAB"/>
    <w:rsid w:val="00D34F31"/>
    <w:rsid w:val="00D440B1"/>
    <w:rsid w:val="00D445BE"/>
    <w:rsid w:val="00D4486D"/>
    <w:rsid w:val="00D53197"/>
    <w:rsid w:val="00D5396B"/>
    <w:rsid w:val="00D55CCD"/>
    <w:rsid w:val="00D55DA4"/>
    <w:rsid w:val="00D563F0"/>
    <w:rsid w:val="00D63674"/>
    <w:rsid w:val="00D67154"/>
    <w:rsid w:val="00D70A15"/>
    <w:rsid w:val="00D72240"/>
    <w:rsid w:val="00D74D08"/>
    <w:rsid w:val="00D77C8F"/>
    <w:rsid w:val="00D84F7B"/>
    <w:rsid w:val="00D9098B"/>
    <w:rsid w:val="00D92B0F"/>
    <w:rsid w:val="00D92EA9"/>
    <w:rsid w:val="00DA790E"/>
    <w:rsid w:val="00DB2804"/>
    <w:rsid w:val="00DB4001"/>
    <w:rsid w:val="00DC0F0D"/>
    <w:rsid w:val="00DC1A0B"/>
    <w:rsid w:val="00DC7D0E"/>
    <w:rsid w:val="00DE240D"/>
    <w:rsid w:val="00DE2F3C"/>
    <w:rsid w:val="00DE301F"/>
    <w:rsid w:val="00DE522D"/>
    <w:rsid w:val="00DE571B"/>
    <w:rsid w:val="00DF26F1"/>
    <w:rsid w:val="00DF3294"/>
    <w:rsid w:val="00DF3CEA"/>
    <w:rsid w:val="00E02C92"/>
    <w:rsid w:val="00E05F55"/>
    <w:rsid w:val="00E07DF8"/>
    <w:rsid w:val="00E13A6F"/>
    <w:rsid w:val="00E142A3"/>
    <w:rsid w:val="00E23445"/>
    <w:rsid w:val="00E23B3C"/>
    <w:rsid w:val="00E2748A"/>
    <w:rsid w:val="00E32852"/>
    <w:rsid w:val="00E32994"/>
    <w:rsid w:val="00E348D3"/>
    <w:rsid w:val="00E360C0"/>
    <w:rsid w:val="00E42021"/>
    <w:rsid w:val="00E42C2F"/>
    <w:rsid w:val="00E430AE"/>
    <w:rsid w:val="00E43A41"/>
    <w:rsid w:val="00E43DB9"/>
    <w:rsid w:val="00E45FD7"/>
    <w:rsid w:val="00E50BE7"/>
    <w:rsid w:val="00E5383D"/>
    <w:rsid w:val="00E56DE8"/>
    <w:rsid w:val="00E609D2"/>
    <w:rsid w:val="00E61BF1"/>
    <w:rsid w:val="00E642E6"/>
    <w:rsid w:val="00E74967"/>
    <w:rsid w:val="00E81B4B"/>
    <w:rsid w:val="00E83F7A"/>
    <w:rsid w:val="00E92154"/>
    <w:rsid w:val="00E92DAB"/>
    <w:rsid w:val="00E96093"/>
    <w:rsid w:val="00E96D98"/>
    <w:rsid w:val="00E96FDD"/>
    <w:rsid w:val="00EA03B5"/>
    <w:rsid w:val="00EA1157"/>
    <w:rsid w:val="00EA56AF"/>
    <w:rsid w:val="00EA7B6F"/>
    <w:rsid w:val="00EC0733"/>
    <w:rsid w:val="00ED0B3C"/>
    <w:rsid w:val="00ED4E42"/>
    <w:rsid w:val="00EE00CC"/>
    <w:rsid w:val="00EE0BEB"/>
    <w:rsid w:val="00EE5676"/>
    <w:rsid w:val="00EE64CE"/>
    <w:rsid w:val="00EE74BA"/>
    <w:rsid w:val="00EF69DF"/>
    <w:rsid w:val="00EF764D"/>
    <w:rsid w:val="00F00EEA"/>
    <w:rsid w:val="00F03DFC"/>
    <w:rsid w:val="00F0426A"/>
    <w:rsid w:val="00F04DDF"/>
    <w:rsid w:val="00F0613B"/>
    <w:rsid w:val="00F07078"/>
    <w:rsid w:val="00F1570E"/>
    <w:rsid w:val="00F20220"/>
    <w:rsid w:val="00F21D36"/>
    <w:rsid w:val="00F24051"/>
    <w:rsid w:val="00F26B1D"/>
    <w:rsid w:val="00F366FF"/>
    <w:rsid w:val="00F43379"/>
    <w:rsid w:val="00F446CE"/>
    <w:rsid w:val="00F534F7"/>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321F"/>
    <w:rsid w:val="00FB34D2"/>
    <w:rsid w:val="00FB7221"/>
    <w:rsid w:val="00FC226E"/>
    <w:rsid w:val="00FC6E17"/>
    <w:rsid w:val="00FD0C35"/>
    <w:rsid w:val="00FD16A2"/>
    <w:rsid w:val="00FD2088"/>
    <w:rsid w:val="00FD6F5F"/>
    <w:rsid w:val="00FE002D"/>
    <w:rsid w:val="00FE1F05"/>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consulta-publica-sobre-las-propuestas-de-ofertas-publicas-de-infraestructura-presentadas-por-el-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2.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C5D042-55C0-4F68-8818-924069E3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3</TotalTime>
  <Pages>2</Pages>
  <Words>398</Words>
  <Characters>2190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Cesar Martinez Anell</cp:lastModifiedBy>
  <cp:revision>4</cp:revision>
  <cp:lastPrinted>2011-01-06T16:36:00Z</cp:lastPrinted>
  <dcterms:created xsi:type="dcterms:W3CDTF">2020-06-30T23:52:00Z</dcterms:created>
  <dcterms:modified xsi:type="dcterms:W3CDTF">2020-07-01T00:36:00Z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