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51653" w14:textId="40EB21E1" w:rsidR="00E472F3" w:rsidRDefault="007D2AAA" w:rsidP="00E472F3">
      <w:pPr>
        <w:spacing w:before="240" w:after="120" w:line="240" w:lineRule="auto"/>
        <w:jc w:val="both"/>
        <w:rPr>
          <w:rFonts w:ascii="ITC Avant Garde" w:hAnsi="ITC Avant Garde"/>
          <w:b/>
          <w:color w:val="000000"/>
        </w:rPr>
      </w:pPr>
      <w:r w:rsidRPr="008A1002">
        <w:rPr>
          <w:rFonts w:ascii="ITC Avant Garde" w:hAnsi="ITC Avant Garde"/>
          <w:b/>
          <w:color w:val="000000"/>
        </w:rPr>
        <w:t xml:space="preserve">ACUERDO MEDIANTE EL CUAL EL PLENO DEL INSTITUTO FEDERAL DE TELECOMUNICACIONES </w:t>
      </w:r>
      <w:r w:rsidR="00096DDB">
        <w:rPr>
          <w:rFonts w:ascii="ITC Avant Garde" w:hAnsi="ITC Avant Garde"/>
          <w:b/>
          <w:color w:val="000000"/>
        </w:rPr>
        <w:t xml:space="preserve">DETERMINA </w:t>
      </w:r>
      <w:r w:rsidR="00D0043A" w:rsidRPr="008A1002">
        <w:rPr>
          <w:rFonts w:ascii="ITC Avant Garde" w:hAnsi="ITC Avant Garde"/>
          <w:b/>
          <w:color w:val="000000"/>
        </w:rPr>
        <w:t>SOMETE</w:t>
      </w:r>
      <w:r w:rsidR="00096DDB">
        <w:rPr>
          <w:rFonts w:ascii="ITC Avant Garde" w:hAnsi="ITC Avant Garde"/>
          <w:b/>
          <w:color w:val="000000"/>
        </w:rPr>
        <w:t>R</w:t>
      </w:r>
      <w:r w:rsidR="00D0043A" w:rsidRPr="008A1002">
        <w:rPr>
          <w:rFonts w:ascii="ITC Avant Garde" w:hAnsi="ITC Avant Garde"/>
          <w:b/>
          <w:color w:val="000000"/>
        </w:rPr>
        <w:t xml:space="preserve"> A </w:t>
      </w:r>
      <w:r w:rsidR="001C174C" w:rsidRPr="001C174C">
        <w:rPr>
          <w:rFonts w:ascii="ITC Avant Garde" w:hAnsi="ITC Avant Garde"/>
          <w:b/>
          <w:color w:val="000000"/>
        </w:rPr>
        <w:t>CONSULTA PÚBLICA EL ANTEPROYECTO DE ACUERDO MEDIANTE EL CUAL SE MODIFICAN LOS NUMERALES 3.2., 3.3.8</w:t>
      </w:r>
      <w:r w:rsidR="001C174C">
        <w:rPr>
          <w:rFonts w:ascii="ITC Avant Garde" w:hAnsi="ITC Avant Garde"/>
          <w:b/>
          <w:color w:val="000000"/>
        </w:rPr>
        <w:t>.,</w:t>
      </w:r>
      <w:r w:rsidR="001C174C" w:rsidRPr="001C174C">
        <w:rPr>
          <w:rFonts w:ascii="ITC Avant Garde" w:hAnsi="ITC Avant Garde"/>
          <w:b/>
          <w:color w:val="000000"/>
        </w:rPr>
        <w:t xml:space="preserve"> 3.3.11. Y EL ANEXO B FORMATOS ESPECÍFICOS</w:t>
      </w:r>
      <w:r w:rsidR="00924F92">
        <w:rPr>
          <w:rFonts w:ascii="ITC Avant Garde" w:hAnsi="ITC Avant Garde"/>
          <w:b/>
          <w:color w:val="000000"/>
        </w:rPr>
        <w:t xml:space="preserve"> DE REGISTRO DE TARIFAS</w:t>
      </w:r>
      <w:r w:rsidR="001C174C" w:rsidRPr="001C174C">
        <w:rPr>
          <w:rFonts w:ascii="ITC Avant Garde" w:hAnsi="ITC Avant Garde"/>
          <w:b/>
          <w:color w:val="000000"/>
        </w:rPr>
        <w:t>, ASÍ COMO SE ADICIONAN LOS NUMERALES 3.3.6., 3.3.9., 3.3.10</w:t>
      </w:r>
      <w:r w:rsidR="001C174C">
        <w:rPr>
          <w:rFonts w:ascii="ITC Avant Garde" w:hAnsi="ITC Avant Garde"/>
          <w:b/>
          <w:color w:val="000000"/>
        </w:rPr>
        <w:t>.</w:t>
      </w:r>
      <w:r w:rsidR="001C174C" w:rsidRPr="001C174C">
        <w:rPr>
          <w:rFonts w:ascii="ITC Avant Garde" w:hAnsi="ITC Avant Garde"/>
          <w:b/>
          <w:color w:val="000000"/>
        </w:rPr>
        <w:t>, 5.1</w:t>
      </w:r>
      <w:r w:rsidR="001C174C">
        <w:rPr>
          <w:rFonts w:ascii="ITC Avant Garde" w:hAnsi="ITC Avant Garde"/>
          <w:b/>
          <w:color w:val="000000"/>
        </w:rPr>
        <w:t>.</w:t>
      </w:r>
      <w:r w:rsidR="001C174C" w:rsidRPr="001C174C">
        <w:rPr>
          <w:rFonts w:ascii="ITC Avant Garde" w:hAnsi="ITC Avant Garde"/>
          <w:b/>
          <w:color w:val="000000"/>
        </w:rPr>
        <w:t>e.</w:t>
      </w:r>
      <w:r w:rsidR="00BA2A01">
        <w:rPr>
          <w:rFonts w:ascii="ITC Avant Garde" w:hAnsi="ITC Avant Garde"/>
          <w:b/>
          <w:color w:val="000000"/>
        </w:rPr>
        <w:t>,</w:t>
      </w:r>
      <w:r w:rsidR="001C174C" w:rsidRPr="001C174C">
        <w:rPr>
          <w:rFonts w:ascii="ITC Avant Garde" w:hAnsi="ITC Avant Garde"/>
          <w:b/>
          <w:color w:val="000000"/>
        </w:rPr>
        <w:t xml:space="preserve"> EL ANEXO C FORM</w:t>
      </w:r>
      <w:r w:rsidR="00BA2A01">
        <w:rPr>
          <w:rFonts w:ascii="ITC Avant Garde" w:hAnsi="ITC Avant Garde"/>
          <w:b/>
          <w:color w:val="000000"/>
        </w:rPr>
        <w:t xml:space="preserve">ATOS SIMPLIFICADOS DE INFORMACIÓN Y EL ANEXO D </w:t>
      </w:r>
      <w:r w:rsidR="00F32006">
        <w:rPr>
          <w:rFonts w:ascii="ITC Avant Garde" w:hAnsi="ITC Avant Garde"/>
          <w:b/>
          <w:color w:val="000000"/>
        </w:rPr>
        <w:t>INFORMACIÓN Y MÉTRICAS DE FORMATOS DE REGISTRO DE TARIFAS,</w:t>
      </w:r>
      <w:r w:rsidR="00B33DF1">
        <w:rPr>
          <w:rFonts w:ascii="ITC Avant Garde" w:hAnsi="ITC Avant Garde"/>
          <w:b/>
          <w:color w:val="000000"/>
        </w:rPr>
        <w:t xml:space="preserve"> DE</w:t>
      </w:r>
      <w:r w:rsidR="005D1D3D">
        <w:rPr>
          <w:rFonts w:ascii="ITC Avant Garde" w:hAnsi="ITC Avant Garde"/>
          <w:b/>
          <w:color w:val="000000"/>
        </w:rPr>
        <w:t xml:space="preserve">L ACUERDO </w:t>
      </w:r>
      <w:r w:rsidR="005D1D3D" w:rsidRPr="005D1D3D">
        <w:rPr>
          <w:rFonts w:ascii="ITC Avant Garde" w:hAnsi="ITC Avant Garde"/>
          <w:b/>
          <w:color w:val="000000"/>
        </w:rPr>
        <w:t>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RADIODIFUSIÓN.</w:t>
      </w:r>
    </w:p>
    <w:p w14:paraId="420A770F" w14:textId="77777777" w:rsidR="009874A0" w:rsidRDefault="009874A0" w:rsidP="00E472F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ITC Avant Garde" w:hAnsi="ITC Avant Garde"/>
          <w:b/>
          <w:color w:val="000000"/>
        </w:rPr>
      </w:pPr>
      <w:r w:rsidRPr="008A1002">
        <w:rPr>
          <w:rFonts w:ascii="ITC Avant Garde" w:hAnsi="ITC Avant Garde"/>
          <w:b/>
          <w:color w:val="000000"/>
        </w:rPr>
        <w:t>ANTECEDENTES</w:t>
      </w:r>
    </w:p>
    <w:p w14:paraId="0599CE05" w14:textId="1FA0D23E" w:rsidR="00406E3C" w:rsidRPr="00406E3C" w:rsidRDefault="009874A0" w:rsidP="00406E3C">
      <w:pPr>
        <w:pStyle w:val="Prrafodelista"/>
        <w:numPr>
          <w:ilvl w:val="0"/>
          <w:numId w:val="1"/>
        </w:numPr>
        <w:suppressAutoHyphens/>
        <w:spacing w:before="240" w:after="120" w:line="240" w:lineRule="auto"/>
        <w:ind w:left="0" w:firstLine="0"/>
        <w:contextualSpacing w:val="0"/>
        <w:jc w:val="both"/>
        <w:rPr>
          <w:color w:val="000000"/>
          <w:kern w:val="1"/>
        </w:rPr>
      </w:pPr>
      <w:r w:rsidRPr="008A1002">
        <w:rPr>
          <w:color w:val="000000"/>
          <w:kern w:val="1"/>
        </w:rPr>
        <w:t>El 11 de junio de 2013, se publicó en el Diario Oficial de la Federación (</w:t>
      </w:r>
      <w:r w:rsidR="00D0043A">
        <w:rPr>
          <w:color w:val="000000"/>
          <w:kern w:val="1"/>
        </w:rPr>
        <w:t xml:space="preserve">en lo sucesivo, </w:t>
      </w:r>
      <w:r w:rsidR="00CB00CD">
        <w:rPr>
          <w:color w:val="000000"/>
          <w:kern w:val="1"/>
        </w:rPr>
        <w:t>“</w:t>
      </w:r>
      <w:r w:rsidRPr="008A1002">
        <w:rPr>
          <w:color w:val="000000"/>
          <w:kern w:val="1"/>
        </w:rPr>
        <w:t>DOF</w:t>
      </w:r>
      <w:r w:rsidR="00CB00CD">
        <w:rPr>
          <w:color w:val="000000"/>
          <w:kern w:val="1"/>
        </w:rPr>
        <w:t>”</w:t>
      </w:r>
      <w:r w:rsidRPr="008A1002">
        <w:rPr>
          <w:color w:val="000000"/>
          <w:kern w:val="1"/>
        </w:rPr>
        <w:t>), el “</w:t>
      </w:r>
      <w:r w:rsidRPr="008A1002">
        <w:rPr>
          <w:i/>
          <w:color w:val="000000"/>
          <w:kern w:val="1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8A1002">
        <w:rPr>
          <w:color w:val="000000"/>
          <w:kern w:val="1"/>
        </w:rPr>
        <w:t>”, mediante el cual se creó al Instituto Federal de Telecomunicaciones (</w:t>
      </w:r>
      <w:r w:rsidR="00D0043A">
        <w:rPr>
          <w:color w:val="000000"/>
          <w:kern w:val="1"/>
        </w:rPr>
        <w:t xml:space="preserve">en lo sucesivo, el </w:t>
      </w:r>
      <w:r w:rsidR="00B33DF1">
        <w:rPr>
          <w:color w:val="000000"/>
          <w:kern w:val="1"/>
        </w:rPr>
        <w:t>“</w:t>
      </w:r>
      <w:r w:rsidRPr="008A1002">
        <w:rPr>
          <w:color w:val="000000"/>
          <w:kern w:val="1"/>
        </w:rPr>
        <w:t>Instituto</w:t>
      </w:r>
      <w:r w:rsidR="00B33DF1">
        <w:rPr>
          <w:color w:val="000000"/>
          <w:kern w:val="1"/>
        </w:rPr>
        <w:t>”</w:t>
      </w:r>
      <w:r w:rsidRPr="008A1002">
        <w:rPr>
          <w:color w:val="000000"/>
          <w:kern w:val="1"/>
        </w:rPr>
        <w:t xml:space="preserve">) como un órgano autónomo, con personalidad jurídica y patrimonio propios. </w:t>
      </w:r>
    </w:p>
    <w:p w14:paraId="788145C4" w14:textId="57814D27" w:rsidR="00406E3C" w:rsidRPr="00406E3C" w:rsidRDefault="009874A0" w:rsidP="00406E3C">
      <w:pPr>
        <w:pStyle w:val="Prrafodelista"/>
        <w:numPr>
          <w:ilvl w:val="0"/>
          <w:numId w:val="1"/>
        </w:numPr>
        <w:suppressAutoHyphens/>
        <w:spacing w:before="240" w:after="120" w:line="240" w:lineRule="auto"/>
        <w:ind w:left="0" w:firstLine="0"/>
        <w:contextualSpacing w:val="0"/>
        <w:jc w:val="both"/>
        <w:rPr>
          <w:color w:val="000000"/>
          <w:kern w:val="1"/>
        </w:rPr>
      </w:pPr>
      <w:r w:rsidRPr="008A1002">
        <w:rPr>
          <w:color w:val="000000"/>
          <w:kern w:val="1"/>
        </w:rPr>
        <w:t>El 14 de julio de 2014, se publicó en el DOF el “</w:t>
      </w:r>
      <w:r w:rsidRPr="008A1002">
        <w:rPr>
          <w:i/>
          <w:color w:val="000000"/>
          <w:kern w:val="1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8A1002">
        <w:rPr>
          <w:color w:val="000000"/>
          <w:kern w:val="1"/>
        </w:rPr>
        <w:t xml:space="preserve">”, </w:t>
      </w:r>
      <w:r w:rsidR="004078DB">
        <w:rPr>
          <w:color w:val="000000"/>
          <w:kern w:val="1"/>
        </w:rPr>
        <w:t>el cual</w:t>
      </w:r>
      <w:r w:rsidRPr="008A1002">
        <w:rPr>
          <w:color w:val="000000"/>
          <w:kern w:val="1"/>
        </w:rPr>
        <w:t xml:space="preserve"> de conformidad con el artículo PRIMERO Transitorio, entró en vigor </w:t>
      </w:r>
      <w:r w:rsidR="00CB00CD">
        <w:rPr>
          <w:color w:val="000000"/>
          <w:kern w:val="1"/>
        </w:rPr>
        <w:t xml:space="preserve">a los </w:t>
      </w:r>
      <w:r w:rsidRPr="008A1002">
        <w:rPr>
          <w:color w:val="000000"/>
          <w:kern w:val="1"/>
        </w:rPr>
        <w:t>30 días naturales siguientes a su publicación, es decir, el 13 de agosto de 2014.</w:t>
      </w:r>
    </w:p>
    <w:p w14:paraId="4B2ED927" w14:textId="23FF7A41" w:rsidR="00406E3C" w:rsidRPr="00406E3C" w:rsidRDefault="00B91ED9" w:rsidP="00406E3C">
      <w:pPr>
        <w:pStyle w:val="Prrafodelista"/>
        <w:numPr>
          <w:ilvl w:val="0"/>
          <w:numId w:val="1"/>
        </w:numPr>
        <w:suppressAutoHyphens/>
        <w:spacing w:before="240" w:after="120" w:line="240" w:lineRule="auto"/>
        <w:ind w:left="0" w:firstLine="0"/>
        <w:contextualSpacing w:val="0"/>
        <w:jc w:val="both"/>
        <w:rPr>
          <w:color w:val="000000"/>
          <w:kern w:val="1"/>
        </w:rPr>
      </w:pPr>
      <w:r w:rsidRPr="00A61D6E">
        <w:rPr>
          <w:color w:val="000000"/>
          <w:shd w:val="clear" w:color="auto" w:fill="FFFFFF"/>
        </w:rPr>
        <w:t>El 4 de septiembre de 2014, se publicó en el Diario Oficial de la Federación el “</w:t>
      </w:r>
      <w:r w:rsidRPr="00A61D6E">
        <w:rPr>
          <w:i/>
          <w:color w:val="000000"/>
          <w:shd w:val="clear" w:color="auto" w:fill="FFFFFF"/>
        </w:rPr>
        <w:t>Estatuto Orgánico del Instituto Federal de Telecomunicaciones</w:t>
      </w:r>
      <w:r w:rsidRPr="00A61D6E">
        <w:rPr>
          <w:color w:val="000000"/>
          <w:shd w:val="clear" w:color="auto" w:fill="FFFFFF"/>
        </w:rPr>
        <w:t xml:space="preserve">” (el “Estatuto Orgánico”), mismo que entró en vigor el 26 de septiembre de 2014, y fue modificado por última vez el </w:t>
      </w:r>
      <w:r>
        <w:rPr>
          <w:color w:val="000000"/>
          <w:shd w:val="clear" w:color="auto" w:fill="FFFFFF"/>
        </w:rPr>
        <w:t>20</w:t>
      </w:r>
      <w:r w:rsidRPr="00A61D6E">
        <w:rPr>
          <w:color w:val="000000"/>
          <w:shd w:val="clear" w:color="auto" w:fill="FFFFFF"/>
        </w:rPr>
        <w:t xml:space="preserve"> de </w:t>
      </w:r>
      <w:r>
        <w:rPr>
          <w:color w:val="000000"/>
          <w:shd w:val="clear" w:color="auto" w:fill="FFFFFF"/>
        </w:rPr>
        <w:t>julio</w:t>
      </w:r>
      <w:r w:rsidRPr="00A61D6E">
        <w:rPr>
          <w:color w:val="000000"/>
          <w:shd w:val="clear" w:color="auto" w:fill="FFFFFF"/>
        </w:rPr>
        <w:t xml:space="preserve"> de 20</w:t>
      </w:r>
      <w:r>
        <w:rPr>
          <w:color w:val="000000"/>
          <w:shd w:val="clear" w:color="auto" w:fill="FFFFFF"/>
        </w:rPr>
        <w:t>17</w:t>
      </w:r>
      <w:r w:rsidR="004C0EF3">
        <w:rPr>
          <w:color w:val="000000"/>
          <w:shd w:val="clear" w:color="auto" w:fill="FFFFFF"/>
        </w:rPr>
        <w:t>.</w:t>
      </w:r>
    </w:p>
    <w:p w14:paraId="1DF563DD" w14:textId="57503278" w:rsidR="009874A0" w:rsidRDefault="001D4133" w:rsidP="00E472F3">
      <w:pPr>
        <w:pStyle w:val="Prrafodelista"/>
        <w:numPr>
          <w:ilvl w:val="0"/>
          <w:numId w:val="1"/>
        </w:numPr>
        <w:suppressAutoHyphens/>
        <w:spacing w:before="240" w:after="120" w:line="240" w:lineRule="auto"/>
        <w:ind w:left="0" w:firstLine="0"/>
        <w:contextualSpacing w:val="0"/>
        <w:jc w:val="both"/>
        <w:rPr>
          <w:color w:val="000000"/>
          <w:kern w:val="1"/>
        </w:rPr>
      </w:pPr>
      <w:r>
        <w:rPr>
          <w:color w:val="000000"/>
          <w:kern w:val="1"/>
        </w:rPr>
        <w:t xml:space="preserve">El </w:t>
      </w:r>
      <w:r w:rsidR="009874A0" w:rsidRPr="008A1002">
        <w:rPr>
          <w:color w:val="000000"/>
          <w:kern w:val="1"/>
        </w:rPr>
        <w:t xml:space="preserve">4 de </w:t>
      </w:r>
      <w:r>
        <w:rPr>
          <w:color w:val="000000"/>
          <w:kern w:val="1"/>
        </w:rPr>
        <w:t>diciembre</w:t>
      </w:r>
      <w:r w:rsidR="009874A0" w:rsidRPr="008A1002">
        <w:rPr>
          <w:color w:val="000000"/>
          <w:kern w:val="1"/>
        </w:rPr>
        <w:t xml:space="preserve"> de 201</w:t>
      </w:r>
      <w:r>
        <w:rPr>
          <w:color w:val="000000"/>
          <w:kern w:val="1"/>
        </w:rPr>
        <w:t>4</w:t>
      </w:r>
      <w:r w:rsidR="009874A0" w:rsidRPr="008A1002">
        <w:rPr>
          <w:color w:val="000000"/>
          <w:kern w:val="1"/>
        </w:rPr>
        <w:t xml:space="preserve"> se publicó en el DOF el “Acuerdo mediante el cual</w:t>
      </w:r>
      <w:r>
        <w:rPr>
          <w:color w:val="000000"/>
          <w:kern w:val="1"/>
        </w:rPr>
        <w:t xml:space="preserve"> </w:t>
      </w:r>
      <w:r w:rsidRPr="001D4133">
        <w:rPr>
          <w:color w:val="000000"/>
          <w:kern w:val="1"/>
        </w:rPr>
        <w:t xml:space="preserve">se establece el procedimiento para la presentación de la solicitud electrónica de registro de tarifas a los usuarios que deben cumplir los concesionarios y autorizados de servicios de telecomunicaciones, al amparo de la </w:t>
      </w:r>
      <w:r>
        <w:rPr>
          <w:color w:val="000000"/>
          <w:kern w:val="1"/>
        </w:rPr>
        <w:t>Ley F</w:t>
      </w:r>
      <w:r w:rsidRPr="001D4133">
        <w:rPr>
          <w:color w:val="000000"/>
          <w:kern w:val="1"/>
        </w:rPr>
        <w:t xml:space="preserve">ederal de </w:t>
      </w:r>
      <w:r>
        <w:rPr>
          <w:color w:val="000000"/>
          <w:kern w:val="1"/>
        </w:rPr>
        <w:t>Telecomunicaciones y R</w:t>
      </w:r>
      <w:r w:rsidRPr="001D4133">
        <w:rPr>
          <w:color w:val="000000"/>
          <w:kern w:val="1"/>
        </w:rPr>
        <w:t>adiodifusión</w:t>
      </w:r>
      <w:r w:rsidR="009874A0" w:rsidRPr="008A1002">
        <w:rPr>
          <w:color w:val="000000"/>
          <w:kern w:val="1"/>
        </w:rPr>
        <w:t>”</w:t>
      </w:r>
      <w:r w:rsidR="00406E3C">
        <w:rPr>
          <w:color w:val="000000"/>
          <w:kern w:val="1"/>
        </w:rPr>
        <w:t>.</w:t>
      </w:r>
    </w:p>
    <w:p w14:paraId="56349FE3" w14:textId="32B3FAC0" w:rsidR="009874A0" w:rsidRDefault="009874A0" w:rsidP="00E472F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ITC Avant Garde" w:hAnsi="ITC Avant Garde"/>
          <w:b/>
          <w:kern w:val="1"/>
        </w:rPr>
      </w:pPr>
      <w:r w:rsidRPr="008A1002">
        <w:rPr>
          <w:rFonts w:ascii="ITC Avant Garde" w:hAnsi="ITC Avant Garde"/>
          <w:b/>
          <w:kern w:val="1"/>
        </w:rPr>
        <w:t>CONSIDERANDO</w:t>
      </w:r>
    </w:p>
    <w:p w14:paraId="15CC1506" w14:textId="7FDF4074" w:rsidR="00406E3C" w:rsidRDefault="009874A0" w:rsidP="00E472F3">
      <w:pPr>
        <w:suppressAutoHyphens/>
        <w:spacing w:before="240" w:after="120" w:line="240" w:lineRule="auto"/>
        <w:ind w:right="-62"/>
        <w:jc w:val="both"/>
        <w:rPr>
          <w:rFonts w:ascii="ITC Avant Garde" w:hAnsi="ITC Avant Garde"/>
          <w:kern w:val="1"/>
          <w:lang w:val="es-ES"/>
        </w:rPr>
      </w:pPr>
      <w:r w:rsidRPr="008A1002">
        <w:rPr>
          <w:rFonts w:ascii="ITC Avant Garde" w:hAnsi="ITC Avant Garde"/>
          <w:b/>
          <w:kern w:val="1"/>
        </w:rPr>
        <w:t>PRIMERO.-</w:t>
      </w:r>
      <w:r w:rsidRPr="008A1002">
        <w:rPr>
          <w:rFonts w:ascii="ITC Avant Garde" w:hAnsi="ITC Avant Garde"/>
          <w:kern w:val="1"/>
        </w:rPr>
        <w:t xml:space="preserve"> </w:t>
      </w:r>
      <w:r w:rsidRPr="008A1002">
        <w:rPr>
          <w:rFonts w:ascii="ITC Avant Garde" w:hAnsi="ITC Avant Garde"/>
          <w:kern w:val="1"/>
          <w:lang w:val="es-ES"/>
        </w:rPr>
        <w:t>De conformidad con el artículo 28</w:t>
      </w:r>
      <w:r w:rsidRPr="00516910">
        <w:rPr>
          <w:rFonts w:ascii="ITC Avant Garde" w:hAnsi="ITC Avant Garde"/>
          <w:kern w:val="1"/>
          <w:lang w:val="es-ES"/>
        </w:rPr>
        <w:t>, párrafo décimo quinto de la Constitución Política de los Estados Unidos Mexicanos (</w:t>
      </w:r>
      <w:r w:rsidR="00D0043A" w:rsidRPr="00516910">
        <w:rPr>
          <w:rFonts w:ascii="ITC Avant Garde" w:hAnsi="ITC Avant Garde"/>
          <w:kern w:val="1"/>
          <w:lang w:val="es-ES"/>
        </w:rPr>
        <w:t xml:space="preserve">en lo sucesivo, la </w:t>
      </w:r>
      <w:r w:rsidR="00CB00CD" w:rsidRPr="00516910">
        <w:rPr>
          <w:rFonts w:ascii="ITC Avant Garde" w:hAnsi="ITC Avant Garde"/>
          <w:kern w:val="1"/>
          <w:lang w:val="es-ES"/>
        </w:rPr>
        <w:t>“</w:t>
      </w:r>
      <w:r w:rsidRPr="00516910">
        <w:rPr>
          <w:rFonts w:ascii="ITC Avant Garde" w:hAnsi="ITC Avant Garde"/>
          <w:kern w:val="1"/>
          <w:lang w:val="es-ES"/>
        </w:rPr>
        <w:t>Constitución</w:t>
      </w:r>
      <w:r w:rsidR="00CB00CD" w:rsidRPr="00516910">
        <w:rPr>
          <w:rFonts w:ascii="ITC Avant Garde" w:hAnsi="ITC Avant Garde"/>
          <w:kern w:val="1"/>
          <w:lang w:val="es-ES"/>
        </w:rPr>
        <w:t>”</w:t>
      </w:r>
      <w:r w:rsidRPr="00516910">
        <w:rPr>
          <w:rFonts w:ascii="ITC Avant Garde" w:hAnsi="ITC Avant Garde"/>
          <w:kern w:val="1"/>
          <w:lang w:val="es-ES"/>
        </w:rPr>
        <w:t xml:space="preserve">), el Instituto es un órgano autónomo con personalidad jurídica y patrimonio propio, que tiene por objeto </w:t>
      </w:r>
      <w:r w:rsidRPr="00516910">
        <w:rPr>
          <w:rFonts w:ascii="ITC Avant Garde" w:hAnsi="ITC Avant Garde"/>
          <w:kern w:val="1"/>
          <w:lang w:val="es-ES"/>
        </w:rPr>
        <w:lastRenderedPageBreak/>
        <w:t xml:space="preserve">el desarrollo eficiente de la radiodifusión y las telecomunicaciones, conforme a lo dispuesto en la propia Constitución y en los términos que fijen las leyes. </w:t>
      </w:r>
    </w:p>
    <w:p w14:paraId="3848A80F" w14:textId="551EB329" w:rsidR="009874A0" w:rsidRDefault="009874A0" w:rsidP="00E472F3">
      <w:pPr>
        <w:suppressAutoHyphens/>
        <w:spacing w:before="240" w:after="120" w:line="240" w:lineRule="auto"/>
        <w:ind w:right="-62"/>
        <w:jc w:val="both"/>
        <w:rPr>
          <w:rFonts w:ascii="ITC Avant Garde" w:hAnsi="ITC Avant Garde"/>
          <w:kern w:val="1"/>
          <w:lang w:val="es-ES"/>
        </w:rPr>
      </w:pPr>
      <w:r w:rsidRPr="00516910">
        <w:rPr>
          <w:rFonts w:ascii="ITC Avant Garde" w:hAnsi="ITC Avant Garde"/>
          <w:kern w:val="1"/>
          <w:lang w:val="es-ES"/>
        </w:rPr>
        <w:t>Para tal efecto tiene a su cargo la regulación, promoción y supervisión del uso, aprovechamiento y explotación del espectro radioeléctrico, los recursos orbitales, los servicios satelitales, las redes públicas de telecomunicaciones y la prestación de los servicios de radiodifusión y de telecomunicaciones, así como del acceso a la infraestructura activa y pasiva y otros insumos esenciales, en términos del precepto de la Constitución invocado, así como del artículo 7 de la Ley Federal de Telecomunicaciones y Radiodifusión (</w:t>
      </w:r>
      <w:r w:rsidR="00D0043A" w:rsidRPr="00516910">
        <w:rPr>
          <w:rFonts w:ascii="ITC Avant Garde" w:hAnsi="ITC Avant Garde"/>
          <w:kern w:val="1"/>
          <w:lang w:val="es-ES"/>
        </w:rPr>
        <w:t xml:space="preserve">en lo sucesivo, la </w:t>
      </w:r>
      <w:r w:rsidR="00CB00CD" w:rsidRPr="00516910">
        <w:rPr>
          <w:rFonts w:ascii="ITC Avant Garde" w:hAnsi="ITC Avant Garde"/>
          <w:kern w:val="1"/>
          <w:lang w:val="es-ES"/>
        </w:rPr>
        <w:t>“</w:t>
      </w:r>
      <w:r w:rsidRPr="00516910">
        <w:rPr>
          <w:rFonts w:ascii="ITC Avant Garde" w:hAnsi="ITC Avant Garde"/>
          <w:kern w:val="1"/>
          <w:lang w:val="es-ES"/>
        </w:rPr>
        <w:t>Ley</w:t>
      </w:r>
      <w:r w:rsidR="00CB00CD" w:rsidRPr="00516910">
        <w:rPr>
          <w:rFonts w:ascii="ITC Avant Garde" w:hAnsi="ITC Avant Garde"/>
          <w:kern w:val="1"/>
          <w:lang w:val="es-ES"/>
        </w:rPr>
        <w:t>”</w:t>
      </w:r>
      <w:r w:rsidRPr="00516910">
        <w:rPr>
          <w:rFonts w:ascii="ITC Avant Garde" w:hAnsi="ITC Avant Garde"/>
          <w:kern w:val="1"/>
          <w:lang w:val="es-ES"/>
        </w:rPr>
        <w:t>), garantizando lo establecido en los artículos 6° y 7° de la Constitución.</w:t>
      </w:r>
    </w:p>
    <w:p w14:paraId="5B9A1754" w14:textId="2C493C2E" w:rsidR="009874A0" w:rsidRDefault="009874A0" w:rsidP="00E472F3">
      <w:pPr>
        <w:suppressAutoHyphens/>
        <w:spacing w:before="240" w:after="120" w:line="240" w:lineRule="auto"/>
        <w:ind w:right="-62"/>
        <w:jc w:val="both"/>
        <w:rPr>
          <w:rFonts w:ascii="ITC Avant Garde" w:hAnsi="ITC Avant Garde"/>
          <w:kern w:val="1"/>
        </w:rPr>
      </w:pPr>
      <w:r w:rsidRPr="00516910">
        <w:rPr>
          <w:rFonts w:ascii="ITC Avant Garde" w:hAnsi="ITC Avant Garde"/>
          <w:kern w:val="1"/>
        </w:rPr>
        <w:t>Asimismo, el párrafo décimo sexto del artículo 28 de la Constitución establece que el Instituto es también la autoridad en materia de competencia</w:t>
      </w:r>
      <w:r w:rsidRPr="008A1002">
        <w:rPr>
          <w:rFonts w:ascii="ITC Avant Garde" w:hAnsi="ITC Avant Garde"/>
          <w:kern w:val="1"/>
        </w:rPr>
        <w:t xml:space="preserve"> económica de los sectores de radiodifusión y tel</w:t>
      </w:r>
      <w:r w:rsidR="004078DB">
        <w:rPr>
          <w:rFonts w:ascii="ITC Avant Garde" w:hAnsi="ITC Avant Garde"/>
          <w:kern w:val="1"/>
        </w:rPr>
        <w:t>ecomunicaciones, por lo que en e</w:t>
      </w:r>
      <w:r w:rsidRPr="008A1002">
        <w:rPr>
          <w:rFonts w:ascii="ITC Avant Garde" w:hAnsi="ITC Avant Garde"/>
          <w:kern w:val="1"/>
        </w:rPr>
        <w:t>stos ejercerá en forma exclusiva las facultades del artículo 28 de la Constitución, la Ley y la Ley Federal de Competencia Económica.</w:t>
      </w:r>
    </w:p>
    <w:p w14:paraId="12EC285A" w14:textId="1D9B4734" w:rsidR="009874A0" w:rsidRDefault="00535C82" w:rsidP="00E472F3">
      <w:pPr>
        <w:spacing w:before="240" w:after="120" w:line="240" w:lineRule="auto"/>
        <w:jc w:val="both"/>
        <w:rPr>
          <w:rFonts w:ascii="ITC Avant Garde" w:hAnsi="ITC Avant Garde"/>
          <w:kern w:val="1"/>
        </w:rPr>
      </w:pPr>
      <w:r w:rsidRPr="008A1002">
        <w:rPr>
          <w:rFonts w:ascii="ITC Avant Garde" w:hAnsi="ITC Avant Garde"/>
          <w:kern w:val="1"/>
        </w:rPr>
        <w:t xml:space="preserve">Los artículos 15 fracción I y 51 de la Ley señalan, respectivamente, que el Instituto podrá expedir </w:t>
      </w:r>
      <w:r w:rsidR="00B17C27">
        <w:rPr>
          <w:rFonts w:ascii="ITC Avant Garde" w:hAnsi="ITC Avant Garde"/>
          <w:kern w:val="1"/>
        </w:rPr>
        <w:t>disposiciones administrativas de carácter general</w:t>
      </w:r>
      <w:r w:rsidRPr="008A1002">
        <w:rPr>
          <w:rFonts w:ascii="ITC Avant Garde" w:hAnsi="ITC Avant Garde"/>
          <w:kern w:val="1"/>
        </w:rPr>
        <w:t xml:space="preserve"> en materia de telecomunicaciones y radiodifusión y que para ello deberá realizar consultas públicas bajo los principios de transparencia y participación ciudadana.</w:t>
      </w:r>
    </w:p>
    <w:p w14:paraId="66BDDE38" w14:textId="25FBE07A" w:rsidR="009874A0" w:rsidRDefault="009874A0" w:rsidP="00E472F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ITC Avant Garde" w:hAnsi="ITC Avant Garde"/>
          <w:kern w:val="1"/>
        </w:rPr>
      </w:pPr>
      <w:r w:rsidRPr="008A1002">
        <w:rPr>
          <w:rFonts w:ascii="ITC Avant Garde" w:hAnsi="ITC Avant Garde"/>
          <w:kern w:val="1"/>
        </w:rPr>
        <w:t>Por lo anterior y con fundamento en los artículos 6º y 28, párrafos décimo quinto y décimo sexto de la Const</w:t>
      </w:r>
      <w:r w:rsidR="00CB00CD">
        <w:rPr>
          <w:rFonts w:ascii="ITC Avant Garde" w:hAnsi="ITC Avant Garde"/>
          <w:kern w:val="1"/>
        </w:rPr>
        <w:t>itución; 1, 2, 7, 15 fracciones I</w:t>
      </w:r>
      <w:r w:rsidRPr="008A1002">
        <w:rPr>
          <w:rFonts w:ascii="ITC Avant Garde" w:hAnsi="ITC Avant Garde"/>
          <w:kern w:val="1"/>
        </w:rPr>
        <w:t xml:space="preserve"> y LVI, 17 fracción I</w:t>
      </w:r>
      <w:r w:rsidR="00535C82" w:rsidRPr="008A1002">
        <w:rPr>
          <w:rFonts w:ascii="ITC Avant Garde" w:hAnsi="ITC Avant Garde"/>
          <w:kern w:val="1"/>
        </w:rPr>
        <w:t xml:space="preserve"> y 51</w:t>
      </w:r>
      <w:r w:rsidRPr="008A1002">
        <w:rPr>
          <w:rFonts w:ascii="ITC Avant Garde" w:hAnsi="ITC Avant Garde"/>
          <w:kern w:val="1"/>
        </w:rPr>
        <w:t xml:space="preserve"> de la Ley y 1, 4 fracción I y 6 fracción I del Estatuto Orgánico</w:t>
      </w:r>
      <w:r w:rsidR="00CB00CD">
        <w:rPr>
          <w:rFonts w:ascii="ITC Avant Garde" w:hAnsi="ITC Avant Garde"/>
          <w:kern w:val="1"/>
        </w:rPr>
        <w:t xml:space="preserve"> de</w:t>
      </w:r>
      <w:r w:rsidR="00CB00CD" w:rsidRPr="00CB00CD">
        <w:rPr>
          <w:rFonts w:ascii="ITC Avant Garde" w:hAnsi="ITC Avant Garde"/>
          <w:kern w:val="1"/>
        </w:rPr>
        <w:t>l Instituto Federal de Telecomunicaciones</w:t>
      </w:r>
      <w:r w:rsidRPr="008A1002">
        <w:rPr>
          <w:rFonts w:ascii="ITC Avant Garde" w:hAnsi="ITC Avant Garde"/>
          <w:kern w:val="1"/>
        </w:rPr>
        <w:t>, el Pleno del Instituto es competente pa</w:t>
      </w:r>
      <w:r w:rsidR="007D7B8B">
        <w:rPr>
          <w:rFonts w:ascii="ITC Avant Garde" w:hAnsi="ITC Avant Garde"/>
          <w:kern w:val="1"/>
        </w:rPr>
        <w:t>ra emitir el presente Acuerdo</w:t>
      </w:r>
      <w:r w:rsidRPr="008A1002">
        <w:rPr>
          <w:rFonts w:ascii="ITC Avant Garde" w:hAnsi="ITC Avant Garde"/>
          <w:kern w:val="1"/>
        </w:rPr>
        <w:t>.</w:t>
      </w:r>
    </w:p>
    <w:p w14:paraId="2FC9E1B6" w14:textId="77777777" w:rsidR="00D0043A" w:rsidRPr="008A1002" w:rsidRDefault="00D0043A" w:rsidP="00E472F3">
      <w:pPr>
        <w:spacing w:before="240" w:after="120" w:line="240" w:lineRule="auto"/>
        <w:ind w:right="-58"/>
        <w:jc w:val="both"/>
        <w:rPr>
          <w:rFonts w:ascii="ITC Avant Garde" w:hAnsi="ITC Avant Garde"/>
          <w:kern w:val="1"/>
        </w:rPr>
      </w:pPr>
      <w:r w:rsidRPr="008A1002">
        <w:rPr>
          <w:rFonts w:ascii="ITC Avant Garde" w:hAnsi="ITC Avant Garde"/>
          <w:b/>
        </w:rPr>
        <w:t>SEGUNDO.-</w:t>
      </w:r>
      <w:r w:rsidRPr="008A1002">
        <w:rPr>
          <w:rFonts w:ascii="ITC Avant Garde" w:hAnsi="ITC Avant Garde"/>
        </w:rPr>
        <w:t xml:space="preserve"> </w:t>
      </w:r>
      <w:r w:rsidRPr="008A1002">
        <w:rPr>
          <w:rFonts w:ascii="ITC Avant Garde" w:hAnsi="ITC Avant Garde"/>
          <w:kern w:val="1"/>
        </w:rPr>
        <w:t>El artículo 51 de la Ley señala que para la emisión y modificación de reglas, lineamientos o disposiciones administrativas de carácter general, así como en cualquier caso que determine el Pleno, el Instituto deberá realizar consultas públicas bajo los principios de transparencia y participación ciudadana.</w:t>
      </w:r>
    </w:p>
    <w:p w14:paraId="5B5407D1" w14:textId="045ECAE5" w:rsidR="00D0043A" w:rsidRPr="008A1002" w:rsidRDefault="00D0043A" w:rsidP="00E472F3">
      <w:pPr>
        <w:spacing w:before="240" w:after="120" w:line="240" w:lineRule="auto"/>
        <w:ind w:right="-58"/>
        <w:jc w:val="both"/>
        <w:rPr>
          <w:rFonts w:ascii="ITC Avant Garde" w:hAnsi="ITC Avant Garde"/>
          <w:kern w:val="1"/>
        </w:rPr>
      </w:pPr>
      <w:r w:rsidRPr="008A1002">
        <w:rPr>
          <w:rFonts w:ascii="ITC Avant Garde" w:hAnsi="ITC Avant Garde"/>
          <w:kern w:val="1"/>
        </w:rPr>
        <w:t>En este sentido, el Pleno del Instituto estima conveniente someter a consulta pública el proyecto de modificación del “</w:t>
      </w:r>
      <w:r w:rsidR="00673F24" w:rsidRPr="00673F24">
        <w:rPr>
          <w:rFonts w:ascii="ITC Avant Garde" w:hAnsi="ITC Avant Garde"/>
          <w:kern w:val="1"/>
        </w:rPr>
        <w:t>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</w:t>
      </w:r>
      <w:r w:rsidRPr="008A1002">
        <w:rPr>
          <w:rFonts w:ascii="ITC Avant Garde" w:hAnsi="ITC Avant Garde"/>
          <w:kern w:val="1"/>
        </w:rPr>
        <w:t>”</w:t>
      </w:r>
      <w:r>
        <w:rPr>
          <w:rFonts w:ascii="ITC Avant Garde" w:hAnsi="ITC Avant Garde"/>
          <w:kern w:val="1"/>
        </w:rPr>
        <w:t xml:space="preserve"> (“</w:t>
      </w:r>
      <w:r w:rsidR="00673F24">
        <w:rPr>
          <w:rFonts w:ascii="ITC Avant Garde" w:hAnsi="ITC Avant Garde"/>
          <w:kern w:val="1"/>
        </w:rPr>
        <w:t>Acuerdo de Registro de Tarifas</w:t>
      </w:r>
      <w:r>
        <w:rPr>
          <w:rFonts w:ascii="ITC Avant Garde" w:hAnsi="ITC Avant Garde"/>
          <w:kern w:val="1"/>
        </w:rPr>
        <w:t>”)</w:t>
      </w:r>
      <w:r w:rsidRPr="008A1002">
        <w:rPr>
          <w:rFonts w:ascii="ITC Avant Garde" w:hAnsi="ITC Avant Garde"/>
          <w:kern w:val="1"/>
        </w:rPr>
        <w:t xml:space="preserve">, mismo que forma parte integral del presente acuerdo. </w:t>
      </w:r>
    </w:p>
    <w:p w14:paraId="7F1B561D" w14:textId="51998205" w:rsidR="00D0043A" w:rsidRPr="00B847EB" w:rsidRDefault="00EC0BD1" w:rsidP="00E472F3">
      <w:pPr>
        <w:spacing w:before="240" w:after="120" w:line="240" w:lineRule="auto"/>
        <w:ind w:right="-58"/>
        <w:jc w:val="both"/>
        <w:rPr>
          <w:rFonts w:ascii="ITC Avant Garde" w:hAnsi="ITC Avant Garde"/>
          <w:kern w:val="1"/>
        </w:rPr>
      </w:pPr>
      <w:r>
        <w:rPr>
          <w:rFonts w:ascii="ITC Avant Garde" w:hAnsi="ITC Avant Garde"/>
          <w:kern w:val="1"/>
        </w:rPr>
        <w:t>Dicho</w:t>
      </w:r>
      <w:r w:rsidR="00673F24">
        <w:rPr>
          <w:rFonts w:ascii="ITC Avant Garde" w:hAnsi="ITC Avant Garde"/>
          <w:kern w:val="1"/>
        </w:rPr>
        <w:t xml:space="preserve"> Acuerdo de Registro de Tarifas corresponde</w:t>
      </w:r>
      <w:r>
        <w:rPr>
          <w:rFonts w:ascii="ITC Avant Garde" w:hAnsi="ITC Avant Garde"/>
          <w:kern w:val="1"/>
        </w:rPr>
        <w:t xml:space="preserve"> a la </w:t>
      </w:r>
      <w:r w:rsidR="00D0043A" w:rsidRPr="008A1002">
        <w:rPr>
          <w:rFonts w:ascii="ITC Avant Garde" w:hAnsi="ITC Avant Garde"/>
          <w:kern w:val="1"/>
        </w:rPr>
        <w:t xml:space="preserve">disposición administrativa de carácter general </w:t>
      </w:r>
      <w:r>
        <w:rPr>
          <w:rFonts w:ascii="ITC Avant Garde" w:hAnsi="ITC Avant Garde"/>
          <w:kern w:val="1"/>
        </w:rPr>
        <w:t xml:space="preserve">que </w:t>
      </w:r>
      <w:r w:rsidR="00D0043A" w:rsidRPr="008A1002">
        <w:rPr>
          <w:rFonts w:ascii="ITC Avant Garde" w:hAnsi="ITC Avant Garde"/>
          <w:kern w:val="1"/>
        </w:rPr>
        <w:t>tiene como objeto</w:t>
      </w:r>
      <w:r w:rsidR="00673F24">
        <w:rPr>
          <w:rFonts w:ascii="ITC Avant Garde" w:hAnsi="ITC Avant Garde"/>
          <w:kern w:val="1"/>
        </w:rPr>
        <w:t xml:space="preserve"> </w:t>
      </w:r>
      <w:r w:rsidR="00673F24" w:rsidRPr="00673F24">
        <w:rPr>
          <w:rFonts w:ascii="ITC Avant Garde" w:hAnsi="ITC Avant Garde"/>
          <w:kern w:val="1"/>
        </w:rPr>
        <w:t xml:space="preserve">establecer el procedimiento, así como los requisitos y formatos que deberán cumplir los concesionarios para uso comercial o para uso social y autorizados de los servicios de telecomunicaciones, para presentar solicitud </w:t>
      </w:r>
      <w:r w:rsidR="00673F24" w:rsidRPr="00673F24">
        <w:rPr>
          <w:rFonts w:ascii="ITC Avant Garde" w:hAnsi="ITC Avant Garde"/>
          <w:kern w:val="1"/>
        </w:rPr>
        <w:lastRenderedPageBreak/>
        <w:t>electrónica de registro de sus tarifas a los usuarios, previamente a su entrada en vigor, ante el Instituto Federal de Telecomunicaciones</w:t>
      </w:r>
      <w:r w:rsidR="00D0043A" w:rsidRPr="00B847EB">
        <w:rPr>
          <w:rFonts w:ascii="ITC Avant Garde" w:hAnsi="ITC Avant Garde"/>
          <w:kern w:val="1"/>
        </w:rPr>
        <w:t xml:space="preserve">. </w:t>
      </w:r>
    </w:p>
    <w:p w14:paraId="28806226" w14:textId="77777777" w:rsidR="00D0043A" w:rsidRDefault="00D0043A" w:rsidP="00E472F3">
      <w:pPr>
        <w:pStyle w:val="Default"/>
        <w:spacing w:before="240" w:after="120"/>
        <w:jc w:val="both"/>
        <w:rPr>
          <w:rFonts w:ascii="ITC Avant Garde" w:hAnsi="ITC Avant Garde" w:cs="Times New Roman"/>
          <w:color w:val="auto"/>
          <w:kern w:val="1"/>
          <w:sz w:val="22"/>
          <w:szCs w:val="22"/>
          <w:lang w:eastAsia="en-US"/>
        </w:rPr>
      </w:pPr>
      <w:r w:rsidRPr="00B847EB">
        <w:rPr>
          <w:rFonts w:ascii="ITC Avant Garde" w:hAnsi="ITC Avant Garde" w:cs="Times New Roman"/>
          <w:color w:val="auto"/>
          <w:kern w:val="1"/>
          <w:sz w:val="22"/>
          <w:szCs w:val="22"/>
          <w:lang w:eastAsia="en-US"/>
        </w:rPr>
        <w:t>Por lo anterior, la modificación a que se refiere el presente Acuerdo debe estar sujeta a un proceso de consulta pública por un periodo razonable a fin de transparentar y promover la participación ciudadana en los procesos de emisión de disposiciones de carácter general que genere el Instituto, a efecto de dar cabal cumplimiento a lo establecido en el dispositivo legal señalado.</w:t>
      </w:r>
    </w:p>
    <w:p w14:paraId="64B74861" w14:textId="459464C8" w:rsidR="00673F24" w:rsidRDefault="00D0043A" w:rsidP="00E472F3">
      <w:pPr>
        <w:spacing w:before="240" w:after="120" w:line="240" w:lineRule="auto"/>
        <w:ind w:right="-57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TERCERO</w:t>
      </w:r>
      <w:r w:rsidR="009874A0" w:rsidRPr="008A1002">
        <w:rPr>
          <w:rFonts w:ascii="ITC Avant Garde" w:hAnsi="ITC Avant Garde"/>
          <w:b/>
        </w:rPr>
        <w:t>.-</w:t>
      </w:r>
      <w:r w:rsidR="002A2879" w:rsidRPr="008A1002">
        <w:rPr>
          <w:rFonts w:ascii="ITC Avant Garde" w:hAnsi="ITC Avant Garde"/>
        </w:rPr>
        <w:t xml:space="preserve"> </w:t>
      </w:r>
      <w:r w:rsidR="009874A0" w:rsidRPr="008A1002">
        <w:rPr>
          <w:rFonts w:ascii="ITC Avant Garde" w:hAnsi="ITC Avant Garde"/>
        </w:rPr>
        <w:t>La Ley establece en</w:t>
      </w:r>
      <w:r w:rsidR="00673F24">
        <w:rPr>
          <w:rFonts w:ascii="ITC Avant Garde" w:hAnsi="ITC Avant Garde"/>
        </w:rPr>
        <w:t xml:space="preserve"> el artículo 177 fracción IX que el Instituto será el encargado de crear, llevar y mantener actualizado el Registro Público de Concesiones en el cual se inscribirán, entre otros, las tarifas al público</w:t>
      </w:r>
      <w:r w:rsidR="00556A76">
        <w:rPr>
          <w:rFonts w:ascii="ITC Avant Garde" w:hAnsi="ITC Avant Garde"/>
        </w:rPr>
        <w:t xml:space="preserve"> de los servicios de telecomunicaciones</w:t>
      </w:r>
      <w:r w:rsidR="009B7E4D">
        <w:rPr>
          <w:rFonts w:ascii="ITC Avant Garde" w:hAnsi="ITC Avant Garde"/>
        </w:rPr>
        <w:t xml:space="preserve"> ofrecidos por los concesionarios y los autorizados, incluidos descuentos y bonificaciones.</w:t>
      </w:r>
    </w:p>
    <w:p w14:paraId="230D0563" w14:textId="6E8885FB" w:rsidR="009B7E4D" w:rsidRDefault="009B7E4D" w:rsidP="00E472F3">
      <w:pPr>
        <w:spacing w:before="240" w:after="120" w:line="240" w:lineRule="auto"/>
        <w:ind w:right="-57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En este mismo sentido, el artículo 205 de la Ley establece q</w:t>
      </w:r>
      <w:r w:rsidR="0034211E">
        <w:rPr>
          <w:rFonts w:ascii="ITC Avant Garde" w:hAnsi="ITC Avant Garde"/>
        </w:rPr>
        <w:t>ue el Instituto deberá establecer un mecanismo electrónico para el registro de las tarifas a los usuarios.</w:t>
      </w:r>
    </w:p>
    <w:p w14:paraId="7BCFD0C1" w14:textId="7C2F44AB" w:rsidR="0034211E" w:rsidRDefault="0034211E" w:rsidP="00E472F3">
      <w:pPr>
        <w:spacing w:before="240" w:after="120" w:line="240" w:lineRule="auto"/>
        <w:ind w:right="-57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cumplimiento a lo anterior, el Instituto creó el Sistema Electrónico de Registro de Tarifas </w:t>
      </w:r>
      <w:r w:rsidR="00B726A9">
        <w:rPr>
          <w:rFonts w:ascii="ITC Avant Garde" w:hAnsi="ITC Avant Garde"/>
        </w:rPr>
        <w:t xml:space="preserve">(en lo sucesivo, el “SERT”) </w:t>
      </w:r>
      <w:r>
        <w:rPr>
          <w:rFonts w:ascii="ITC Avant Garde" w:hAnsi="ITC Avant Garde"/>
        </w:rPr>
        <w:t xml:space="preserve">como el mecanismo electrónico </w:t>
      </w:r>
      <w:r w:rsidRPr="0034211E">
        <w:rPr>
          <w:rFonts w:ascii="ITC Avant Garde" w:hAnsi="ITC Avant Garde"/>
        </w:rPr>
        <w:t xml:space="preserve">mediante el cual los concesionarios y autorizados </w:t>
      </w:r>
      <w:r>
        <w:rPr>
          <w:rFonts w:ascii="ITC Avant Garde" w:hAnsi="ITC Avant Garde"/>
        </w:rPr>
        <w:t>pueden</w:t>
      </w:r>
      <w:r w:rsidRPr="0034211E">
        <w:rPr>
          <w:rFonts w:ascii="ITC Avant Garde" w:hAnsi="ITC Avant Garde"/>
        </w:rPr>
        <w:t xml:space="preserve"> registrar sus tarifas a los usuarios, </w:t>
      </w:r>
      <w:r>
        <w:rPr>
          <w:rFonts w:ascii="ITC Avant Garde" w:hAnsi="ITC Avant Garde"/>
        </w:rPr>
        <w:t>s</w:t>
      </w:r>
      <w:r w:rsidRPr="0034211E">
        <w:rPr>
          <w:rFonts w:ascii="ITC Avant Garde" w:hAnsi="ITC Avant Garde"/>
        </w:rPr>
        <w:t xml:space="preserve">istema </w:t>
      </w:r>
      <w:r>
        <w:rPr>
          <w:rFonts w:ascii="ITC Avant Garde" w:hAnsi="ITC Avant Garde"/>
        </w:rPr>
        <w:t xml:space="preserve">que se encuentra </w:t>
      </w:r>
      <w:r w:rsidRPr="0034211E">
        <w:rPr>
          <w:rFonts w:ascii="ITC Avant Garde" w:hAnsi="ITC Avant Garde"/>
        </w:rPr>
        <w:t xml:space="preserve">disponible en el sitio de Internet del Instituto </w:t>
      </w:r>
      <w:r>
        <w:rPr>
          <w:rFonts w:ascii="ITC Avant Garde" w:hAnsi="ITC Avant Garde"/>
        </w:rPr>
        <w:t xml:space="preserve">y cuya metodología de acceso y requisitos a cubrir </w:t>
      </w:r>
      <w:r w:rsidR="0085620F">
        <w:rPr>
          <w:rFonts w:ascii="ITC Avant Garde" w:hAnsi="ITC Avant Garde"/>
        </w:rPr>
        <w:t>para</w:t>
      </w:r>
      <w:r>
        <w:rPr>
          <w:rFonts w:ascii="ITC Avant Garde" w:hAnsi="ITC Avant Garde"/>
        </w:rPr>
        <w:t xml:space="preserve"> el registro de tarifas se encuentra establecida en el Acuerdo de Registro de Tarifas.</w:t>
      </w:r>
    </w:p>
    <w:p w14:paraId="56F19123" w14:textId="48B41FD2" w:rsidR="00A10D4D" w:rsidRDefault="00A10D4D" w:rsidP="00E472F3">
      <w:pPr>
        <w:spacing w:before="240" w:after="120" w:line="240" w:lineRule="auto"/>
        <w:ind w:right="-5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Derivado de la experiencia adquirida con la aplicación del SERT para el registro de las tarifas que aplican a sus usuarios los operadores de telecomunicaciones y considerando la dinámica que existe en esta materia, a efecto de que el Instituto pueda proveer mayor y mejor información a través del Registro Público de Concesiones, se propone la modificación del Acuerdo de Registro de Tarifas a efecto de introducir nuevos formatos de registro donde se establezcan con mayor claridad los parámetros, condiciones y oferta de los diferentes servicios de telecomunicaciones que se ofrecen en el mercado. </w:t>
      </w:r>
    </w:p>
    <w:p w14:paraId="254ABBD2" w14:textId="71A33347" w:rsidR="00673F24" w:rsidRPr="006F3F09" w:rsidRDefault="00A10D4D" w:rsidP="00E472F3">
      <w:pPr>
        <w:spacing w:before="240" w:after="120" w:line="240" w:lineRule="auto"/>
        <w:ind w:right="-5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 c</w:t>
      </w:r>
      <w:r w:rsidR="00561C75">
        <w:rPr>
          <w:rFonts w:ascii="ITC Avant Garde" w:hAnsi="ITC Avant Garde"/>
        </w:rPr>
        <w:t xml:space="preserve">onforme </w:t>
      </w:r>
      <w:r>
        <w:rPr>
          <w:rFonts w:ascii="ITC Avant Garde" w:hAnsi="ITC Avant Garde"/>
        </w:rPr>
        <w:t>lo establece</w:t>
      </w:r>
      <w:r w:rsidR="00561C75">
        <w:rPr>
          <w:rFonts w:ascii="ITC Avant Garde" w:hAnsi="ITC Avant Garde"/>
        </w:rPr>
        <w:t xml:space="preserve"> el artículo 71 fracción </w:t>
      </w:r>
      <w:r w:rsidR="006F3F09">
        <w:rPr>
          <w:rFonts w:ascii="ITC Avant Garde" w:hAnsi="ITC Avant Garde"/>
        </w:rPr>
        <w:t>V</w:t>
      </w:r>
      <w:r w:rsidR="00561C75">
        <w:rPr>
          <w:rFonts w:ascii="ITC Avant Garde" w:hAnsi="ITC Avant Garde"/>
        </w:rPr>
        <w:t xml:space="preserve"> del Estatuto Orgánico del Instituto Federal de Telecomunicaciones</w:t>
      </w:r>
      <w:r w:rsidR="006F3F09">
        <w:rPr>
          <w:rFonts w:ascii="ITC Avant Garde" w:hAnsi="ITC Avant Garde"/>
        </w:rPr>
        <w:t xml:space="preserve"> (en lo sucesivo, “el Estatuto Orgánico”), la Coordinación General de Política del Usuario tiene la atribución de e</w:t>
      </w:r>
      <w:r w:rsidR="00982D7D" w:rsidRPr="006F3F09">
        <w:rPr>
          <w:rFonts w:ascii="ITC Avant Garde" w:hAnsi="ITC Avant Garde"/>
        </w:rPr>
        <w:t>laborar, en coordinación con la Unidad de Concesiones y Servicios, y proponer al Pleno, las disposiciones que establezcan las condiciones para que los concesionarios o autorizados para prestar servicios de telecomunicaciones publiquen información transparente, comparable, adecuada y actualizada sobre los precios y tarifas aplicables; sobre los gastos eventuales relacionados con la terminación de contratos, así como información sobre el acceso y utilización de los servicios que presta</w:t>
      </w:r>
      <w:r w:rsidR="006F3F09">
        <w:rPr>
          <w:rFonts w:ascii="ITC Avant Garde" w:hAnsi="ITC Avant Garde"/>
        </w:rPr>
        <w:t>n a los usuarios o suscriptores.</w:t>
      </w:r>
    </w:p>
    <w:p w14:paraId="3857E3DD" w14:textId="72E6FFA7" w:rsidR="00A10D4D" w:rsidRDefault="00A10D4D" w:rsidP="00E472F3">
      <w:pPr>
        <w:spacing w:before="240" w:after="120" w:line="240" w:lineRule="auto"/>
        <w:ind w:right="-5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Por lo anterior, en el Anteproyecto se propone la adición de un Formato Simplificado de información </w:t>
      </w:r>
      <w:r w:rsidR="0091320C">
        <w:rPr>
          <w:rFonts w:ascii="ITC Avant Garde" w:hAnsi="ITC Avant Garde"/>
        </w:rPr>
        <w:t>que</w:t>
      </w:r>
      <w:r>
        <w:rPr>
          <w:rFonts w:ascii="ITC Avant Garde" w:hAnsi="ITC Avant Garde"/>
        </w:rPr>
        <w:t xml:space="preserve"> </w:t>
      </w:r>
      <w:r w:rsidR="0091320C">
        <w:rPr>
          <w:rFonts w:ascii="ITC Avant Garde" w:hAnsi="ITC Avant Garde"/>
        </w:rPr>
        <w:t>sería</w:t>
      </w:r>
      <w:r>
        <w:rPr>
          <w:rFonts w:ascii="ITC Avant Garde" w:hAnsi="ITC Avant Garde"/>
        </w:rPr>
        <w:t xml:space="preserve"> emitido desde el proceso de registro correspondiente y contendrá los datos básicos de las tarifas que se inscriben en el Registro Público de Concesiones, el </w:t>
      </w:r>
      <w:r>
        <w:rPr>
          <w:rFonts w:ascii="ITC Avant Garde" w:hAnsi="ITC Avant Garde"/>
        </w:rPr>
        <w:lastRenderedPageBreak/>
        <w:t>cual servirá para que los operadores publiquen de manera transparente, comparable y estandarizada la información de su oferta comercial dentro de sus portales de Internet</w:t>
      </w:r>
      <w:r w:rsidR="0091320C">
        <w:rPr>
          <w:rFonts w:ascii="ITC Avant Garde" w:hAnsi="ITC Avant Garde"/>
        </w:rPr>
        <w:t xml:space="preserve"> conforme a los </w:t>
      </w:r>
      <w:r w:rsidR="0091320C" w:rsidRPr="0091320C">
        <w:rPr>
          <w:rFonts w:ascii="ITC Avant Garde" w:hAnsi="ITC Avant Garde"/>
        </w:rPr>
        <w:t>Lineamientos que al efecto emita el Instituto de conformidad con lo establecido en el artículo 195 de la Ley</w:t>
      </w:r>
      <w:r>
        <w:rPr>
          <w:rFonts w:ascii="ITC Avant Garde" w:hAnsi="ITC Avant Garde"/>
        </w:rPr>
        <w:t>.</w:t>
      </w:r>
    </w:p>
    <w:p w14:paraId="661F1EBD" w14:textId="40753DDC" w:rsidR="006F3F09" w:rsidRDefault="006F3F09" w:rsidP="00E472F3">
      <w:pPr>
        <w:spacing w:before="240" w:after="120" w:line="240" w:lineRule="auto"/>
        <w:ind w:right="-58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Asimismo, se hace necesario la actualización</w:t>
      </w:r>
      <w:r w:rsidR="0085620F">
        <w:rPr>
          <w:rFonts w:ascii="ITC Avant Garde" w:hAnsi="ITC Avant Garde"/>
        </w:rPr>
        <w:t xml:space="preserve"> de las especificaciones de las tarifas a los usuarios que se registran</w:t>
      </w:r>
      <w:r w:rsidR="00DA7E40">
        <w:rPr>
          <w:rFonts w:ascii="ITC Avant Garde" w:hAnsi="ITC Avant Garde"/>
        </w:rPr>
        <w:t>,</w:t>
      </w:r>
      <w:r w:rsidR="0085620F">
        <w:rPr>
          <w:rFonts w:ascii="ITC Avant Garde" w:hAnsi="ITC Avant Garde"/>
        </w:rPr>
        <w:t xml:space="preserve"> a efecto de</w:t>
      </w:r>
      <w:r>
        <w:rPr>
          <w:rFonts w:ascii="ITC Avant Garde" w:hAnsi="ITC Avant Garde"/>
        </w:rPr>
        <w:t xml:space="preserve"> dotar al Instituto de los elementos necesarios que permitan la elaboración de los reportes de información comparable</w:t>
      </w:r>
      <w:r w:rsidR="00DA7E40">
        <w:rPr>
          <w:rFonts w:ascii="ITC Avant Garde" w:hAnsi="ITC Avant Garde"/>
        </w:rPr>
        <w:t>,</w:t>
      </w:r>
      <w:r w:rsidR="00B726A9">
        <w:rPr>
          <w:rFonts w:ascii="ITC Avant Garde" w:hAnsi="ITC Avant Garde"/>
        </w:rPr>
        <w:t xml:space="preserve"> los cuales tienen el objeto de </w:t>
      </w:r>
      <w:r w:rsidR="00B726A9" w:rsidRPr="00B726A9">
        <w:rPr>
          <w:rFonts w:ascii="ITC Avant Garde" w:hAnsi="ITC Avant Garde"/>
        </w:rPr>
        <w:t>brindar información de utilidad de manera que permita a los usuarios comparar y tomar decisiones mejor informadas</w:t>
      </w:r>
      <w:r w:rsidR="00B726A9">
        <w:rPr>
          <w:rFonts w:ascii="ITC Avant Garde" w:hAnsi="ITC Avant Garde"/>
        </w:rPr>
        <w:t>, así como analizar la oferta de los concesionarios y autorizados que ofrecen servicios de telecomunicaciones</w:t>
      </w:r>
      <w:r w:rsidR="0091320C">
        <w:rPr>
          <w:rFonts w:ascii="ITC Avant Garde" w:hAnsi="ITC Avant Garde"/>
        </w:rPr>
        <w:t xml:space="preserve"> y contar con mayores elementos también para realizar informes estadísticos en la materia</w:t>
      </w:r>
      <w:r w:rsidR="00B726A9">
        <w:rPr>
          <w:rFonts w:ascii="ITC Avant Garde" w:hAnsi="ITC Avant Garde"/>
        </w:rPr>
        <w:t>.</w:t>
      </w:r>
    </w:p>
    <w:p w14:paraId="5C023A01" w14:textId="42031DBD" w:rsidR="009874A0" w:rsidRPr="008A1002" w:rsidRDefault="009874A0" w:rsidP="00E472F3">
      <w:pPr>
        <w:pStyle w:val="Default"/>
        <w:spacing w:before="240" w:after="120"/>
        <w:jc w:val="both"/>
        <w:rPr>
          <w:rFonts w:ascii="ITC Avant Garde" w:hAnsi="ITC Avant Garde"/>
          <w:sz w:val="22"/>
          <w:szCs w:val="22"/>
        </w:rPr>
      </w:pPr>
      <w:r w:rsidRPr="008A1002">
        <w:rPr>
          <w:rFonts w:ascii="ITC Avant Garde" w:hAnsi="ITC Avant Garde"/>
          <w:sz w:val="22"/>
          <w:szCs w:val="22"/>
        </w:rPr>
        <w:t xml:space="preserve">En virtud de lo anterior, y con fundamento en </w:t>
      </w:r>
      <w:r w:rsidR="00415B1E">
        <w:rPr>
          <w:rFonts w:ascii="ITC Avant Garde" w:hAnsi="ITC Avant Garde"/>
          <w:sz w:val="22"/>
          <w:szCs w:val="22"/>
        </w:rPr>
        <w:t>los</w:t>
      </w:r>
      <w:r w:rsidRPr="008A1002">
        <w:rPr>
          <w:rFonts w:ascii="ITC Avant Garde" w:hAnsi="ITC Avant Garde"/>
          <w:sz w:val="22"/>
          <w:szCs w:val="22"/>
        </w:rPr>
        <w:t xml:space="preserve"> artículo</w:t>
      </w:r>
      <w:r w:rsidR="00415B1E">
        <w:rPr>
          <w:rFonts w:ascii="ITC Avant Garde" w:hAnsi="ITC Avant Garde"/>
          <w:sz w:val="22"/>
          <w:szCs w:val="22"/>
        </w:rPr>
        <w:t>s</w:t>
      </w:r>
      <w:r w:rsidRPr="008A1002">
        <w:rPr>
          <w:rFonts w:ascii="ITC Avant Garde" w:hAnsi="ITC Avant Garde"/>
          <w:sz w:val="22"/>
          <w:szCs w:val="22"/>
        </w:rPr>
        <w:t xml:space="preserve"> 15 fracción I </w:t>
      </w:r>
      <w:r w:rsidR="00E16335" w:rsidRPr="008A1002">
        <w:rPr>
          <w:rFonts w:ascii="ITC Avant Garde" w:hAnsi="ITC Avant Garde"/>
          <w:sz w:val="22"/>
          <w:szCs w:val="22"/>
        </w:rPr>
        <w:t xml:space="preserve">y 51 </w:t>
      </w:r>
      <w:r w:rsidRPr="008A1002">
        <w:rPr>
          <w:rFonts w:ascii="ITC Avant Garde" w:hAnsi="ITC Avant Garde"/>
          <w:sz w:val="22"/>
          <w:szCs w:val="22"/>
        </w:rPr>
        <w:t xml:space="preserve">de la Ley, el Instituto considera necesaria la </w:t>
      </w:r>
      <w:r w:rsidR="001E5E8A" w:rsidRPr="008A1002">
        <w:rPr>
          <w:rFonts w:ascii="ITC Avant Garde" w:hAnsi="ITC Avant Garde"/>
          <w:sz w:val="22"/>
          <w:szCs w:val="22"/>
        </w:rPr>
        <w:t>modificación</w:t>
      </w:r>
      <w:r w:rsidRPr="008A1002">
        <w:rPr>
          <w:rFonts w:ascii="ITC Avant Garde" w:hAnsi="ITC Avant Garde"/>
          <w:sz w:val="22"/>
          <w:szCs w:val="22"/>
        </w:rPr>
        <w:t xml:space="preserve"> de</w:t>
      </w:r>
      <w:r w:rsidR="0085620F">
        <w:rPr>
          <w:rFonts w:ascii="ITC Avant Garde" w:hAnsi="ITC Avant Garde"/>
          <w:sz w:val="22"/>
          <w:szCs w:val="22"/>
        </w:rPr>
        <w:t>l Acuerdo de</w:t>
      </w:r>
      <w:r w:rsidR="00DA7E40">
        <w:rPr>
          <w:rFonts w:ascii="ITC Avant Garde" w:hAnsi="ITC Avant Garde"/>
          <w:sz w:val="22"/>
          <w:szCs w:val="22"/>
        </w:rPr>
        <w:t xml:space="preserve"> Registro de</w:t>
      </w:r>
      <w:r w:rsidR="0085620F">
        <w:rPr>
          <w:rFonts w:ascii="ITC Avant Garde" w:hAnsi="ITC Avant Garde"/>
          <w:sz w:val="22"/>
          <w:szCs w:val="22"/>
        </w:rPr>
        <w:t xml:space="preserve"> Tarifas en sus </w:t>
      </w:r>
      <w:r w:rsidR="00DA7E40" w:rsidRPr="00DA7E40">
        <w:rPr>
          <w:rFonts w:ascii="ITC Avant Garde" w:hAnsi="ITC Avant Garde"/>
          <w:sz w:val="22"/>
          <w:szCs w:val="22"/>
        </w:rPr>
        <w:t xml:space="preserve">numerales 3.2., </w:t>
      </w:r>
      <w:r w:rsidR="001C174C">
        <w:rPr>
          <w:rFonts w:ascii="ITC Avant Garde" w:hAnsi="ITC Avant Garde"/>
          <w:sz w:val="22"/>
          <w:szCs w:val="22"/>
        </w:rPr>
        <w:t xml:space="preserve">3.3.8., 3.3.11. y el Anexo B. </w:t>
      </w:r>
      <w:r w:rsidR="00BA2D18">
        <w:rPr>
          <w:rFonts w:ascii="ITC Avant Garde" w:hAnsi="ITC Avant Garde"/>
          <w:sz w:val="22"/>
          <w:szCs w:val="22"/>
        </w:rPr>
        <w:t>“</w:t>
      </w:r>
      <w:r w:rsidR="001C174C">
        <w:rPr>
          <w:rFonts w:ascii="ITC Avant Garde" w:hAnsi="ITC Avant Garde"/>
          <w:sz w:val="22"/>
          <w:szCs w:val="22"/>
        </w:rPr>
        <w:t>Formatos Específicos</w:t>
      </w:r>
      <w:r w:rsidR="00BD31B4">
        <w:rPr>
          <w:rFonts w:ascii="ITC Avant Garde" w:hAnsi="ITC Avant Garde"/>
          <w:sz w:val="22"/>
          <w:szCs w:val="22"/>
        </w:rPr>
        <w:t xml:space="preserve"> de Registro de Tarifas</w:t>
      </w:r>
      <w:r w:rsidR="00BA2D18">
        <w:rPr>
          <w:rFonts w:ascii="ITC Avant Garde" w:hAnsi="ITC Avant Garde"/>
          <w:sz w:val="22"/>
          <w:szCs w:val="22"/>
        </w:rPr>
        <w:t>”</w:t>
      </w:r>
      <w:r w:rsidR="001C174C">
        <w:rPr>
          <w:rFonts w:ascii="ITC Avant Garde" w:hAnsi="ITC Avant Garde"/>
          <w:sz w:val="22"/>
          <w:szCs w:val="22"/>
        </w:rPr>
        <w:t xml:space="preserve">, así como la adición de los numerales </w:t>
      </w:r>
      <w:r w:rsidR="00DA7E40" w:rsidRPr="00DA7E40">
        <w:rPr>
          <w:rFonts w:ascii="ITC Avant Garde" w:hAnsi="ITC Avant Garde"/>
          <w:sz w:val="22"/>
          <w:szCs w:val="22"/>
        </w:rPr>
        <w:t>3.3.6.</w:t>
      </w:r>
      <w:r w:rsidR="001C174C">
        <w:rPr>
          <w:rFonts w:ascii="ITC Avant Garde" w:hAnsi="ITC Avant Garde"/>
          <w:sz w:val="22"/>
          <w:szCs w:val="22"/>
        </w:rPr>
        <w:t xml:space="preserve">, 3.3.9., 3.3.10., </w:t>
      </w:r>
      <w:r w:rsidR="00DA7E40" w:rsidRPr="00DA7E40">
        <w:rPr>
          <w:rFonts w:ascii="ITC Avant Garde" w:hAnsi="ITC Avant Garde"/>
          <w:sz w:val="22"/>
          <w:szCs w:val="22"/>
        </w:rPr>
        <w:t>5.1.e</w:t>
      </w:r>
      <w:r w:rsidR="001C174C">
        <w:rPr>
          <w:rFonts w:ascii="ITC Avant Garde" w:hAnsi="ITC Avant Garde"/>
          <w:sz w:val="22"/>
          <w:szCs w:val="22"/>
        </w:rPr>
        <w:t>.</w:t>
      </w:r>
      <w:r w:rsidR="00F32006">
        <w:rPr>
          <w:rFonts w:ascii="ITC Avant Garde" w:hAnsi="ITC Avant Garde"/>
          <w:sz w:val="22"/>
          <w:szCs w:val="22"/>
        </w:rPr>
        <w:t xml:space="preserve">, </w:t>
      </w:r>
      <w:r w:rsidR="00DA7E40" w:rsidRPr="00DA7E40">
        <w:rPr>
          <w:rFonts w:ascii="ITC Avant Garde" w:hAnsi="ITC Avant Garde"/>
          <w:sz w:val="22"/>
          <w:szCs w:val="22"/>
        </w:rPr>
        <w:t>el Anexo C. Formato</w:t>
      </w:r>
      <w:r w:rsidR="00F32006">
        <w:rPr>
          <w:rFonts w:ascii="ITC Avant Garde" w:hAnsi="ITC Avant Garde"/>
          <w:sz w:val="22"/>
          <w:szCs w:val="22"/>
        </w:rPr>
        <w:t>s</w:t>
      </w:r>
      <w:r w:rsidR="00DA7E40" w:rsidRPr="00DA7E40">
        <w:rPr>
          <w:rFonts w:ascii="ITC Avant Garde" w:hAnsi="ITC Avant Garde"/>
          <w:sz w:val="22"/>
          <w:szCs w:val="22"/>
        </w:rPr>
        <w:t xml:space="preserve"> Simplificado</w:t>
      </w:r>
      <w:r w:rsidR="00F32006">
        <w:rPr>
          <w:rFonts w:ascii="ITC Avant Garde" w:hAnsi="ITC Avant Garde"/>
          <w:sz w:val="22"/>
          <w:szCs w:val="22"/>
        </w:rPr>
        <w:t>s</w:t>
      </w:r>
      <w:r w:rsidR="00DA7E40" w:rsidRPr="00DA7E40">
        <w:rPr>
          <w:rFonts w:ascii="ITC Avant Garde" w:hAnsi="ITC Avant Garde"/>
          <w:sz w:val="22"/>
          <w:szCs w:val="22"/>
        </w:rPr>
        <w:t xml:space="preserve"> de Información</w:t>
      </w:r>
      <w:r w:rsidR="00F32006">
        <w:rPr>
          <w:rFonts w:ascii="ITC Avant Garde" w:hAnsi="ITC Avant Garde"/>
          <w:sz w:val="22"/>
          <w:szCs w:val="22"/>
        </w:rPr>
        <w:t xml:space="preserve"> y el Anexo D. </w:t>
      </w:r>
      <w:r w:rsidR="00BA2D18">
        <w:rPr>
          <w:rFonts w:ascii="ITC Avant Garde" w:hAnsi="ITC Avant Garde"/>
          <w:sz w:val="22"/>
          <w:szCs w:val="22"/>
        </w:rPr>
        <w:t>“</w:t>
      </w:r>
      <w:r w:rsidR="000151DA">
        <w:rPr>
          <w:rFonts w:ascii="ITC Avant Garde" w:hAnsi="ITC Avant Garde"/>
          <w:sz w:val="22"/>
          <w:szCs w:val="22"/>
        </w:rPr>
        <w:t xml:space="preserve">Formatos de </w:t>
      </w:r>
      <w:r w:rsidR="00F32006">
        <w:rPr>
          <w:rFonts w:ascii="ITC Avant Garde" w:hAnsi="ITC Avant Garde"/>
          <w:sz w:val="22"/>
          <w:szCs w:val="22"/>
        </w:rPr>
        <w:t>Información y Métricas de</w:t>
      </w:r>
      <w:r w:rsidR="000151DA">
        <w:rPr>
          <w:rFonts w:ascii="ITC Avant Garde" w:hAnsi="ITC Avant Garde"/>
          <w:sz w:val="22"/>
          <w:szCs w:val="22"/>
        </w:rPr>
        <w:t xml:space="preserve">l </w:t>
      </w:r>
      <w:r w:rsidR="00F32006">
        <w:rPr>
          <w:rFonts w:ascii="ITC Avant Garde" w:hAnsi="ITC Avant Garde"/>
          <w:sz w:val="22"/>
          <w:szCs w:val="22"/>
        </w:rPr>
        <w:t xml:space="preserve"> </w:t>
      </w:r>
      <w:r w:rsidR="000151DA">
        <w:rPr>
          <w:rFonts w:ascii="ITC Avant Garde" w:hAnsi="ITC Avant Garde"/>
          <w:sz w:val="22"/>
          <w:szCs w:val="22"/>
        </w:rPr>
        <w:t>Instituto Federal de Telecomunicaciones</w:t>
      </w:r>
      <w:r w:rsidR="00BA2D18">
        <w:rPr>
          <w:rFonts w:ascii="ITC Avant Garde" w:hAnsi="ITC Avant Garde"/>
          <w:sz w:val="22"/>
          <w:szCs w:val="22"/>
        </w:rPr>
        <w:t>. Registro Electrónico de Tarifas”</w:t>
      </w:r>
      <w:r w:rsidR="00B847EB">
        <w:rPr>
          <w:rFonts w:ascii="ITC Avant Garde" w:hAnsi="ITC Avant Garde"/>
          <w:sz w:val="22"/>
          <w:szCs w:val="22"/>
        </w:rPr>
        <w:t xml:space="preserve">, </w:t>
      </w:r>
      <w:r w:rsidR="00E16335" w:rsidRPr="008A1002">
        <w:rPr>
          <w:rFonts w:ascii="ITC Avant Garde" w:hAnsi="ITC Avant Garde"/>
          <w:sz w:val="22"/>
          <w:szCs w:val="22"/>
        </w:rPr>
        <w:t>y por lo tanto, someter la modificación correspondiente a consulta pública</w:t>
      </w:r>
      <w:r w:rsidR="001E5E8A" w:rsidRPr="008A1002">
        <w:rPr>
          <w:rFonts w:ascii="ITC Avant Garde" w:hAnsi="ITC Avant Garde"/>
          <w:sz w:val="22"/>
          <w:szCs w:val="22"/>
        </w:rPr>
        <w:t>.</w:t>
      </w:r>
    </w:p>
    <w:p w14:paraId="32D21FCD" w14:textId="77777777" w:rsidR="00406E3C" w:rsidRDefault="00CB00CD" w:rsidP="00406E3C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ITC Avant Garde" w:hAnsi="ITC Avant Garde"/>
          <w:color w:val="000000"/>
        </w:rPr>
      </w:pPr>
      <w:r w:rsidRPr="0006114D">
        <w:rPr>
          <w:rFonts w:ascii="ITC Avant Garde" w:hAnsi="ITC Avant Garde"/>
        </w:rPr>
        <w:t xml:space="preserve">Por las razones antes expuestas, con fundamento en lo dispuesto por los </w:t>
      </w:r>
      <w:r w:rsidRPr="0006114D">
        <w:rPr>
          <w:rFonts w:ascii="ITC Avant Garde" w:hAnsi="ITC Avant Garde"/>
          <w:kern w:val="1"/>
        </w:rPr>
        <w:t xml:space="preserve">artículos 6º y 28, </w:t>
      </w:r>
      <w:r w:rsidRPr="00516910">
        <w:rPr>
          <w:rFonts w:ascii="ITC Avant Garde" w:hAnsi="ITC Avant Garde"/>
          <w:kern w:val="1"/>
        </w:rPr>
        <w:t>párrafo décimo quinto de la Constitución Política de los Estados Unidos Mexicanos; Cuarto Transitorio del Decreto por el que se reforman y adicionan diversas disposiciones de los artículos 6o., 7o., 27, 28, 73, 78, 94 y 105 de la Constitución Política de los Estados Unidos Mexicanos, en materia de telecomunicaciones;</w:t>
      </w:r>
      <w:r w:rsidRPr="00516910">
        <w:rPr>
          <w:rFonts w:ascii="ITC Avant Garde" w:hAnsi="ITC Avant Garde"/>
          <w:kern w:val="2"/>
          <w:lang w:val="es-ES"/>
        </w:rPr>
        <w:t xml:space="preserve"> 1, 2, 7, 15, fracciones I y LVI, 17</w:t>
      </w:r>
      <w:r w:rsidR="00B847EB" w:rsidRPr="00516910">
        <w:rPr>
          <w:rFonts w:ascii="ITC Avant Garde" w:hAnsi="ITC Avant Garde"/>
          <w:kern w:val="2"/>
          <w:lang w:val="es-ES"/>
        </w:rPr>
        <w:t xml:space="preserve"> fracción I y 51 </w:t>
      </w:r>
      <w:r w:rsidRPr="00516910">
        <w:rPr>
          <w:rFonts w:ascii="ITC Avant Garde" w:hAnsi="ITC Avant Garde"/>
          <w:kern w:val="2"/>
          <w:lang w:val="es-ES"/>
        </w:rPr>
        <w:t>de la Ley Federal de Telecomunicaciones y Radiodifusión;</w:t>
      </w:r>
      <w:r w:rsidRPr="00516910">
        <w:rPr>
          <w:rFonts w:ascii="ITC Avant Garde" w:hAnsi="ITC Avant Garde"/>
        </w:rPr>
        <w:t xml:space="preserve"> y </w:t>
      </w:r>
      <w:r w:rsidRPr="00516910">
        <w:rPr>
          <w:rFonts w:ascii="ITC Avant Garde" w:hAnsi="ITC Avant Garde"/>
          <w:kern w:val="1"/>
        </w:rPr>
        <w:t>1, 4, fracción I y 6, fracciones I y XXXVII</w:t>
      </w:r>
      <w:r w:rsidRPr="00516910">
        <w:rPr>
          <w:rFonts w:ascii="ITC Avant Garde" w:hAnsi="ITC Avant Garde"/>
        </w:rPr>
        <w:t xml:space="preserve"> del Estatuto Orgánico del Instituto Federal de Telecomunicaciones, </w:t>
      </w:r>
      <w:r w:rsidRPr="00516910">
        <w:rPr>
          <w:rFonts w:ascii="ITC Avant Garde" w:hAnsi="ITC Avant Garde"/>
          <w:color w:val="000000"/>
        </w:rPr>
        <w:t>se expide el siguiente:</w:t>
      </w:r>
    </w:p>
    <w:p w14:paraId="58BE9CC6" w14:textId="17B8CF4B" w:rsidR="009874A0" w:rsidRPr="00406E3C" w:rsidRDefault="009874A0" w:rsidP="00406E3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ITC Avant Garde" w:hAnsi="ITC Avant Garde"/>
          <w:color w:val="000000"/>
        </w:rPr>
      </w:pPr>
      <w:r w:rsidRPr="00516910">
        <w:rPr>
          <w:rFonts w:ascii="ITC Avant Garde" w:hAnsi="ITC Avant Garde" w:cs="TimesNewRomanPS-BoldMT"/>
          <w:b/>
          <w:bCs/>
          <w:color w:val="000000"/>
        </w:rPr>
        <w:t>ACUERDO</w:t>
      </w:r>
    </w:p>
    <w:p w14:paraId="13716CC7" w14:textId="353DCEB0" w:rsidR="009874A0" w:rsidRDefault="009874A0" w:rsidP="00E472F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ITC Avant Garde" w:hAnsi="ITC Avant Garde"/>
          <w:color w:val="000000"/>
        </w:rPr>
      </w:pPr>
      <w:r w:rsidRPr="00516910">
        <w:rPr>
          <w:rFonts w:ascii="ITC Avant Garde" w:hAnsi="ITC Avant Garde"/>
          <w:b/>
          <w:color w:val="000000"/>
        </w:rPr>
        <w:t xml:space="preserve">PRIMERO.- </w:t>
      </w:r>
      <w:r w:rsidR="008A1002" w:rsidRPr="00516910">
        <w:rPr>
          <w:rFonts w:ascii="ITC Avant Garde" w:hAnsi="ITC Avant Garde"/>
          <w:color w:val="000000"/>
        </w:rPr>
        <w:t xml:space="preserve">Se </w:t>
      </w:r>
      <w:r w:rsidR="008444EC">
        <w:rPr>
          <w:rFonts w:ascii="ITC Avant Garde" w:hAnsi="ITC Avant Garde"/>
          <w:color w:val="000000"/>
        </w:rPr>
        <w:t xml:space="preserve">determina </w:t>
      </w:r>
      <w:r w:rsidR="008A1002" w:rsidRPr="00516910">
        <w:rPr>
          <w:rFonts w:ascii="ITC Avant Garde" w:hAnsi="ITC Avant Garde"/>
          <w:color w:val="000000"/>
        </w:rPr>
        <w:t>somete</w:t>
      </w:r>
      <w:r w:rsidR="0085620F">
        <w:rPr>
          <w:rFonts w:ascii="ITC Avant Garde" w:hAnsi="ITC Avant Garde"/>
          <w:color w:val="000000"/>
        </w:rPr>
        <w:t>r</w:t>
      </w:r>
      <w:r w:rsidR="008A1002" w:rsidRPr="00516910">
        <w:rPr>
          <w:rFonts w:ascii="ITC Avant Garde" w:hAnsi="ITC Avant Garde"/>
          <w:color w:val="000000"/>
        </w:rPr>
        <w:t xml:space="preserve"> a consulta pública, por un plazo de </w:t>
      </w:r>
      <w:r w:rsidR="00A96A2D">
        <w:rPr>
          <w:rFonts w:ascii="ITC Avant Garde" w:hAnsi="ITC Avant Garde"/>
          <w:color w:val="000000"/>
        </w:rPr>
        <w:t>20</w:t>
      </w:r>
      <w:r w:rsidR="008A1002" w:rsidRPr="00516910">
        <w:rPr>
          <w:rFonts w:ascii="ITC Avant Garde" w:hAnsi="ITC Avant Garde"/>
          <w:color w:val="000000"/>
        </w:rPr>
        <w:t xml:space="preserve"> (</w:t>
      </w:r>
      <w:r w:rsidR="00A96A2D">
        <w:rPr>
          <w:rFonts w:ascii="ITC Avant Garde" w:hAnsi="ITC Avant Garde"/>
          <w:color w:val="000000"/>
        </w:rPr>
        <w:t>veinte</w:t>
      </w:r>
      <w:r w:rsidR="008A1002" w:rsidRPr="00516910">
        <w:rPr>
          <w:rFonts w:ascii="ITC Avant Garde" w:hAnsi="ITC Avant Garde"/>
          <w:color w:val="000000"/>
        </w:rPr>
        <w:t>) días hábiles contados a partir del día hábil siguiente al de su publicación en el portal de Internet del Instituto Federal de Telecomunicaciones</w:t>
      </w:r>
      <w:r w:rsidR="002C523E" w:rsidRPr="00516910">
        <w:rPr>
          <w:rFonts w:ascii="ITC Avant Garde" w:hAnsi="ITC Avant Garde"/>
          <w:color w:val="000000"/>
        </w:rPr>
        <w:t>,</w:t>
      </w:r>
      <w:r w:rsidR="008A1002" w:rsidRPr="00516910">
        <w:rPr>
          <w:rFonts w:ascii="ITC Avant Garde" w:hAnsi="ITC Avant Garde"/>
          <w:color w:val="000000"/>
        </w:rPr>
        <w:t xml:space="preserve"> </w:t>
      </w:r>
      <w:r w:rsidR="00DA7E40" w:rsidRPr="00516910">
        <w:rPr>
          <w:rFonts w:ascii="ITC Avant Garde" w:hAnsi="ITC Avant Garde"/>
          <w:color w:val="000000"/>
        </w:rPr>
        <w:t xml:space="preserve">el </w:t>
      </w:r>
      <w:r w:rsidR="00DA7E40" w:rsidRPr="00516910">
        <w:rPr>
          <w:rFonts w:ascii="ITC Avant Garde" w:hAnsi="ITC Avant Garde"/>
          <w:i/>
          <w:color w:val="000000"/>
        </w:rPr>
        <w:t xml:space="preserve">Anteproyecto de </w:t>
      </w:r>
      <w:r w:rsidR="0091320C" w:rsidRPr="0091320C">
        <w:rPr>
          <w:rFonts w:ascii="ITC Avant Garde" w:hAnsi="ITC Avant Garde"/>
          <w:i/>
          <w:color w:val="000000"/>
        </w:rPr>
        <w:t xml:space="preserve">Acuerdo mediante el cual se modifican los numerales 3.2., 3.3.8., 3.3.11. y el Anexo </w:t>
      </w:r>
      <w:r w:rsidR="0091320C">
        <w:rPr>
          <w:rFonts w:ascii="ITC Avant Garde" w:hAnsi="ITC Avant Garde"/>
          <w:i/>
          <w:color w:val="000000"/>
        </w:rPr>
        <w:t>B</w:t>
      </w:r>
      <w:r w:rsidR="00BA2D18">
        <w:rPr>
          <w:rFonts w:ascii="ITC Avant Garde" w:hAnsi="ITC Avant Garde"/>
          <w:i/>
          <w:color w:val="000000"/>
        </w:rPr>
        <w:t>. “</w:t>
      </w:r>
      <w:r w:rsidR="0091320C" w:rsidRPr="0091320C">
        <w:rPr>
          <w:rFonts w:ascii="ITC Avant Garde" w:hAnsi="ITC Avant Garde"/>
          <w:i/>
          <w:color w:val="000000"/>
        </w:rPr>
        <w:t>Formatos Específicos</w:t>
      </w:r>
      <w:r w:rsidR="00BD31B4">
        <w:rPr>
          <w:rFonts w:ascii="ITC Avant Garde" w:hAnsi="ITC Avant Garde"/>
          <w:i/>
          <w:color w:val="000000"/>
        </w:rPr>
        <w:t xml:space="preserve"> de Registro de Tarifas</w:t>
      </w:r>
      <w:r w:rsidR="00BA2D18">
        <w:rPr>
          <w:rFonts w:ascii="ITC Avant Garde" w:hAnsi="ITC Avant Garde"/>
          <w:i/>
          <w:color w:val="000000"/>
        </w:rPr>
        <w:t>”</w:t>
      </w:r>
      <w:r w:rsidR="0091320C" w:rsidRPr="0091320C">
        <w:rPr>
          <w:rFonts w:ascii="ITC Avant Garde" w:hAnsi="ITC Avant Garde"/>
          <w:i/>
          <w:color w:val="000000"/>
        </w:rPr>
        <w:t>, así como se adicionan los numerales 3.3.6., 3.3.9., 3.3.10., 5.1.e.</w:t>
      </w:r>
      <w:r w:rsidR="00F32006">
        <w:rPr>
          <w:rFonts w:ascii="ITC Avant Garde" w:hAnsi="ITC Avant Garde"/>
          <w:i/>
          <w:color w:val="000000"/>
        </w:rPr>
        <w:t>,</w:t>
      </w:r>
      <w:r w:rsidR="0091320C" w:rsidRPr="0091320C">
        <w:rPr>
          <w:rFonts w:ascii="ITC Avant Garde" w:hAnsi="ITC Avant Garde"/>
          <w:i/>
          <w:color w:val="000000"/>
        </w:rPr>
        <w:t xml:space="preserve"> el Anexo </w:t>
      </w:r>
      <w:r w:rsidR="0091320C">
        <w:rPr>
          <w:rFonts w:ascii="ITC Avant Garde" w:hAnsi="ITC Avant Garde"/>
          <w:i/>
          <w:color w:val="000000"/>
        </w:rPr>
        <w:t>C</w:t>
      </w:r>
      <w:r w:rsidR="00BA2D18">
        <w:rPr>
          <w:rFonts w:ascii="ITC Avant Garde" w:hAnsi="ITC Avant Garde"/>
          <w:i/>
          <w:color w:val="000000"/>
        </w:rPr>
        <w:t>. “</w:t>
      </w:r>
      <w:r w:rsidR="0091320C" w:rsidRPr="0091320C">
        <w:rPr>
          <w:rFonts w:ascii="ITC Avant Garde" w:hAnsi="ITC Avant Garde"/>
          <w:i/>
          <w:color w:val="000000"/>
        </w:rPr>
        <w:t>Formato</w:t>
      </w:r>
      <w:r w:rsidR="00F32006">
        <w:rPr>
          <w:rFonts w:ascii="ITC Avant Garde" w:hAnsi="ITC Avant Garde"/>
          <w:i/>
          <w:color w:val="000000"/>
        </w:rPr>
        <w:t>s</w:t>
      </w:r>
      <w:r w:rsidR="0091320C" w:rsidRPr="0091320C">
        <w:rPr>
          <w:rFonts w:ascii="ITC Avant Garde" w:hAnsi="ITC Avant Garde"/>
          <w:i/>
          <w:color w:val="000000"/>
        </w:rPr>
        <w:t xml:space="preserve"> Simplificado</w:t>
      </w:r>
      <w:r w:rsidR="00F32006">
        <w:rPr>
          <w:rFonts w:ascii="ITC Avant Garde" w:hAnsi="ITC Avant Garde"/>
          <w:i/>
          <w:color w:val="000000"/>
        </w:rPr>
        <w:t>s</w:t>
      </w:r>
      <w:r w:rsidR="0091320C" w:rsidRPr="0091320C">
        <w:rPr>
          <w:rFonts w:ascii="ITC Avant Garde" w:hAnsi="ITC Avant Garde"/>
          <w:i/>
          <w:color w:val="000000"/>
        </w:rPr>
        <w:t xml:space="preserve"> de Información</w:t>
      </w:r>
      <w:r w:rsidR="00BA2D18">
        <w:rPr>
          <w:rFonts w:ascii="ITC Avant Garde" w:hAnsi="ITC Avant Garde"/>
          <w:i/>
          <w:color w:val="000000"/>
        </w:rPr>
        <w:t>”</w:t>
      </w:r>
      <w:r w:rsidR="00F32006">
        <w:rPr>
          <w:rFonts w:ascii="ITC Avant Garde" w:hAnsi="ITC Avant Garde"/>
          <w:i/>
          <w:color w:val="000000"/>
        </w:rPr>
        <w:t xml:space="preserve"> y el Anexo </w:t>
      </w:r>
      <w:r w:rsidR="00F32006" w:rsidRPr="00F32006">
        <w:rPr>
          <w:rFonts w:ascii="ITC Avant Garde" w:hAnsi="ITC Avant Garde"/>
          <w:i/>
        </w:rPr>
        <w:t xml:space="preserve">D. </w:t>
      </w:r>
      <w:r w:rsidR="00BA2D18">
        <w:rPr>
          <w:rFonts w:ascii="ITC Avant Garde" w:hAnsi="ITC Avant Garde"/>
          <w:i/>
        </w:rPr>
        <w:t>“</w:t>
      </w:r>
      <w:r w:rsidR="00BA2D18" w:rsidRPr="00BA2D18">
        <w:rPr>
          <w:rFonts w:ascii="ITC Avant Garde" w:hAnsi="ITC Avant Garde"/>
          <w:i/>
        </w:rPr>
        <w:t>Formatos de Información y Métricas del Instituto Federal de Telecomunicaciones</w:t>
      </w:r>
      <w:r w:rsidR="00BA2D18">
        <w:rPr>
          <w:rFonts w:ascii="ITC Avant Garde" w:hAnsi="ITC Avant Garde"/>
          <w:i/>
        </w:rPr>
        <w:t>.</w:t>
      </w:r>
      <w:r w:rsidR="00BA2D18" w:rsidRPr="00BA2D18">
        <w:rPr>
          <w:rFonts w:ascii="ITC Avant Garde" w:hAnsi="ITC Avant Garde"/>
          <w:i/>
        </w:rPr>
        <w:t xml:space="preserve"> Registro Electrónico de Tarifas</w:t>
      </w:r>
      <w:r w:rsidR="00BA2D18">
        <w:rPr>
          <w:rFonts w:ascii="ITC Avant Garde" w:hAnsi="ITC Avant Garde"/>
          <w:i/>
        </w:rPr>
        <w:t>”</w:t>
      </w:r>
      <w:r w:rsidR="0091320C" w:rsidRPr="00BA2D18">
        <w:rPr>
          <w:rFonts w:ascii="ITC Avant Garde" w:hAnsi="ITC Avant Garde"/>
          <w:i/>
          <w:color w:val="000000"/>
        </w:rPr>
        <w:t xml:space="preserve">, </w:t>
      </w:r>
      <w:r w:rsidR="0091320C" w:rsidRPr="0091320C">
        <w:rPr>
          <w:rFonts w:ascii="ITC Avant Garde" w:hAnsi="ITC Avant Garde"/>
          <w:i/>
          <w:color w:val="000000"/>
        </w:rPr>
        <w:t>del Acuerdo mediante el cual se establece el procedimiento para la presentación de la solicitud electrónica de registro de tarifas a los usuarios que deben cumplir los concesionarios y autorizados de servicios de telecomunicaciones, al amparo de la Ley Federal de Telecomunicaciones y Radiodifusión</w:t>
      </w:r>
      <w:r w:rsidR="00DA7E40" w:rsidRPr="00597CB0">
        <w:rPr>
          <w:rFonts w:ascii="ITC Avant Garde" w:hAnsi="ITC Avant Garde"/>
          <w:i/>
          <w:color w:val="000000"/>
        </w:rPr>
        <w:t>”</w:t>
      </w:r>
      <w:r w:rsidR="00DA7E40" w:rsidRPr="00516910">
        <w:rPr>
          <w:rFonts w:ascii="ITC Avant Garde" w:hAnsi="ITC Avant Garde"/>
          <w:color w:val="000000"/>
        </w:rPr>
        <w:t>,</w:t>
      </w:r>
      <w:r w:rsidR="00DA7E40">
        <w:rPr>
          <w:rFonts w:ascii="ITC Avant Garde" w:hAnsi="ITC Avant Garde"/>
          <w:color w:val="000000"/>
        </w:rPr>
        <w:t xml:space="preserve"> </w:t>
      </w:r>
      <w:r w:rsidR="00794A78" w:rsidRPr="00516910">
        <w:rPr>
          <w:rFonts w:ascii="ITC Avant Garde" w:hAnsi="ITC Avant Garde"/>
          <w:color w:val="000000"/>
        </w:rPr>
        <w:t xml:space="preserve">mismo que se acompaña como </w:t>
      </w:r>
      <w:r w:rsidR="00794A78" w:rsidRPr="00516910">
        <w:rPr>
          <w:rFonts w:ascii="ITC Avant Garde" w:hAnsi="ITC Avant Garde"/>
          <w:b/>
          <w:color w:val="000000"/>
        </w:rPr>
        <w:t>Anexo 1</w:t>
      </w:r>
      <w:r w:rsidR="00794A78" w:rsidRPr="00516910">
        <w:rPr>
          <w:rFonts w:ascii="ITC Avant Garde" w:hAnsi="ITC Avant Garde"/>
          <w:color w:val="000000"/>
        </w:rPr>
        <w:t xml:space="preserve"> a fin de que cualquier interesado presente comentarios, observaciones, propuestas </w:t>
      </w:r>
      <w:r w:rsidR="001C69A1">
        <w:rPr>
          <w:rFonts w:ascii="ITC Avant Garde" w:hAnsi="ITC Avant Garde"/>
          <w:color w:val="000000"/>
        </w:rPr>
        <w:t>de modificación o adición</w:t>
      </w:r>
      <w:r w:rsidR="00794A78" w:rsidRPr="00516910">
        <w:rPr>
          <w:rFonts w:ascii="ITC Avant Garde" w:hAnsi="ITC Avant Garde"/>
          <w:color w:val="000000"/>
        </w:rPr>
        <w:t xml:space="preserve">. </w:t>
      </w:r>
    </w:p>
    <w:p w14:paraId="1759A8DF" w14:textId="32A2F356" w:rsidR="000A513B" w:rsidRDefault="000A513B" w:rsidP="00E472F3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ITC Avant Garde" w:hAnsi="ITC Avant Garde" w:cs="TimesNewRomanPSMT"/>
          <w:color w:val="000000"/>
        </w:rPr>
      </w:pPr>
      <w:r w:rsidRPr="00516910">
        <w:rPr>
          <w:rFonts w:ascii="ITC Avant Garde" w:hAnsi="ITC Avant Garde"/>
          <w:b/>
        </w:rPr>
        <w:lastRenderedPageBreak/>
        <w:t>SEGUNDO.-</w:t>
      </w:r>
      <w:r w:rsidRPr="00516910">
        <w:rPr>
          <w:rFonts w:ascii="ITC Avant Garde" w:hAnsi="ITC Avant Garde"/>
        </w:rPr>
        <w:t xml:space="preserve"> </w:t>
      </w:r>
      <w:r w:rsidRPr="00516910">
        <w:rPr>
          <w:rFonts w:ascii="ITC Avant Garde" w:hAnsi="ITC Avant Garde" w:cs="TimesNewRomanPSMT"/>
          <w:color w:val="000000"/>
        </w:rPr>
        <w:t xml:space="preserve">Se instruye a la Unidad de </w:t>
      </w:r>
      <w:r w:rsidR="00B847EB" w:rsidRPr="00516910">
        <w:rPr>
          <w:rFonts w:ascii="ITC Avant Garde" w:hAnsi="ITC Avant Garde" w:cs="TimesNewRomanPSMT"/>
          <w:color w:val="000000"/>
        </w:rPr>
        <w:t>Concesiones y Servicios</w:t>
      </w:r>
      <w:r w:rsidRPr="00516910">
        <w:rPr>
          <w:rFonts w:ascii="ITC Avant Garde" w:hAnsi="ITC Avant Garde" w:cs="TimesNewRomanPSMT"/>
          <w:color w:val="000000"/>
        </w:rPr>
        <w:t xml:space="preserve"> a recibir y dar la atención que corresponda, en el ámbito de sus atribuciones, a las opiniones que sean vertidas en virtud de la consulta pública materia del presente Acuerdo.</w:t>
      </w:r>
    </w:p>
    <w:p w14:paraId="152C13D6" w14:textId="32042AE5" w:rsidR="00406E3C" w:rsidRDefault="000A513B" w:rsidP="00406E3C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>TERCERO</w:t>
      </w:r>
      <w:r w:rsidRPr="008A1002">
        <w:rPr>
          <w:rFonts w:ascii="ITC Avant Garde" w:hAnsi="ITC Avant Garde"/>
          <w:b/>
        </w:rPr>
        <w:t>.-</w:t>
      </w:r>
      <w:r>
        <w:rPr>
          <w:rFonts w:ascii="ITC Avant Garde" w:hAnsi="ITC Avant Garde"/>
          <w:b/>
        </w:rPr>
        <w:t xml:space="preserve"> </w:t>
      </w:r>
      <w:r w:rsidRPr="008A1002">
        <w:rPr>
          <w:rFonts w:ascii="ITC Avant Garde" w:hAnsi="ITC Avant Garde"/>
        </w:rPr>
        <w:t>Publíquese en la página de Internet del Instituto Federal de Telecomunicaciones.</w:t>
      </w:r>
    </w:p>
    <w:p w14:paraId="11172511" w14:textId="77777777" w:rsidR="00406E3C" w:rsidRDefault="00406E3C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3FF5AE08" w14:textId="77777777" w:rsidR="00406E3C" w:rsidRDefault="00406E3C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4F222CDE" w14:textId="77777777" w:rsidR="00406E3C" w:rsidRDefault="00406E3C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02322FC5" w14:textId="77777777" w:rsidR="00406E3C" w:rsidRDefault="00406E3C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5D583AD6" w14:textId="77777777" w:rsidR="0027328B" w:rsidRDefault="0027328B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5A5F4632" w14:textId="77777777" w:rsidR="00406E3C" w:rsidRDefault="00406E3C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44A59E74" w14:textId="77777777" w:rsidR="001E5FBE" w:rsidRDefault="001E5FBE" w:rsidP="001E5FBE">
      <w:pPr>
        <w:spacing w:after="0" w:line="240" w:lineRule="auto"/>
        <w:rPr>
          <w:rFonts w:ascii="ITC Avant Garde" w:hAnsi="ITC Avant Garde"/>
        </w:rPr>
      </w:pPr>
    </w:p>
    <w:p w14:paraId="20BCB3E4" w14:textId="77777777" w:rsidR="001E5FBE" w:rsidRDefault="001E5FBE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3E392E9B" w14:textId="77777777" w:rsidR="0027328B" w:rsidRDefault="0027328B" w:rsidP="00406E3C">
      <w:pPr>
        <w:spacing w:after="0" w:line="240" w:lineRule="auto"/>
        <w:jc w:val="center"/>
        <w:rPr>
          <w:rFonts w:ascii="ITC Avant Garde" w:hAnsi="ITC Avant Garde"/>
        </w:rPr>
      </w:pPr>
    </w:p>
    <w:p w14:paraId="5701A420" w14:textId="77777777" w:rsidR="00406E3C" w:rsidRP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/>
          <w:bCs/>
          <w:szCs w:val="20"/>
          <w:lang w:val="es-ES" w:eastAsia="es-ES"/>
        </w:rPr>
      </w:pPr>
      <w:r w:rsidRPr="00406E3C">
        <w:rPr>
          <w:rFonts w:ascii="ITC Avant Garde" w:eastAsia="Times New Roman" w:hAnsi="ITC Avant Garde"/>
          <w:b/>
          <w:bCs/>
          <w:szCs w:val="20"/>
          <w:lang w:val="es-ES" w:eastAsia="es-ES"/>
        </w:rPr>
        <w:t>Gabriel Oswaldo Contreras Saldívar</w:t>
      </w:r>
    </w:p>
    <w:p w14:paraId="75023FFB" w14:textId="77777777" w:rsidR="00406E3C" w:rsidRP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/>
          <w:bCs/>
          <w:szCs w:val="20"/>
          <w:lang w:val="es-ES" w:eastAsia="es-ES"/>
        </w:rPr>
      </w:pPr>
      <w:r w:rsidRPr="00406E3C">
        <w:rPr>
          <w:rFonts w:ascii="ITC Avant Garde" w:eastAsia="Times New Roman" w:hAnsi="ITC Avant Garde"/>
          <w:b/>
          <w:bCs/>
          <w:szCs w:val="20"/>
          <w:lang w:val="es-ES" w:eastAsia="es-ES"/>
        </w:rPr>
        <w:t>Comisionado Presidente</w:t>
      </w:r>
    </w:p>
    <w:p w14:paraId="725D70A6" w14:textId="77777777" w:rsidR="00406E3C" w:rsidRP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Cs/>
          <w:szCs w:val="20"/>
          <w:lang w:val="es-ES" w:eastAsia="es-ES"/>
        </w:rPr>
      </w:pPr>
    </w:p>
    <w:p w14:paraId="05B782E0" w14:textId="77777777" w:rsidR="00406E3C" w:rsidRP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Cs/>
          <w:szCs w:val="20"/>
          <w:lang w:val="es-ES" w:eastAsia="es-ES"/>
        </w:rPr>
      </w:pPr>
    </w:p>
    <w:p w14:paraId="6C247482" w14:textId="77777777" w:rsid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Cs/>
          <w:szCs w:val="20"/>
          <w:lang w:val="es-ES" w:eastAsia="es-ES"/>
        </w:rPr>
      </w:pPr>
    </w:p>
    <w:p w14:paraId="7D28A8BD" w14:textId="77777777" w:rsidR="0027328B" w:rsidRPr="00406E3C" w:rsidRDefault="0027328B" w:rsidP="00406E3C">
      <w:pPr>
        <w:spacing w:after="0" w:line="240" w:lineRule="auto"/>
        <w:jc w:val="center"/>
        <w:rPr>
          <w:rFonts w:ascii="ITC Avant Garde" w:eastAsia="Times New Roman" w:hAnsi="ITC Avant Garde"/>
          <w:bCs/>
          <w:szCs w:val="20"/>
          <w:lang w:val="es-ES" w:eastAsia="es-ES"/>
        </w:rPr>
      </w:pPr>
    </w:p>
    <w:p w14:paraId="4D9694B7" w14:textId="77777777" w:rsidR="00406E3C" w:rsidRPr="00406E3C" w:rsidRDefault="00406E3C" w:rsidP="00406E3C">
      <w:pPr>
        <w:spacing w:after="0" w:line="240" w:lineRule="auto"/>
        <w:jc w:val="center"/>
        <w:rPr>
          <w:rFonts w:ascii="ITC Avant Garde" w:eastAsia="Times New Roman" w:hAnsi="ITC Avant Garde"/>
          <w:bCs/>
          <w:szCs w:val="20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1864"/>
        <w:gridCol w:w="3590"/>
      </w:tblGrid>
      <w:tr w:rsidR="00406E3C" w:rsidRPr="00406E3C" w14:paraId="13E5A8CE" w14:textId="77777777" w:rsidTr="002D4A1B">
        <w:trPr>
          <w:trHeight w:val="1729"/>
        </w:trPr>
        <w:tc>
          <w:tcPr>
            <w:tcW w:w="2100" w:type="pct"/>
            <w:hideMark/>
          </w:tcPr>
          <w:p w14:paraId="24D4032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Adriana Sofía Labardini Inzunza</w:t>
            </w:r>
          </w:p>
          <w:p w14:paraId="7488C9E0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Comisionada</w:t>
            </w:r>
          </w:p>
          <w:p w14:paraId="3EB57BC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  <w:tc>
          <w:tcPr>
            <w:tcW w:w="991" w:type="pct"/>
          </w:tcPr>
          <w:p w14:paraId="53596BCF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  <w:tc>
          <w:tcPr>
            <w:tcW w:w="1909" w:type="pct"/>
          </w:tcPr>
          <w:p w14:paraId="2889D618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María Elena Estavillo Flores</w:t>
            </w:r>
          </w:p>
          <w:p w14:paraId="4AE70DCA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Comisionada</w:t>
            </w:r>
            <w:r w:rsidRPr="00406E3C"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  <w:t xml:space="preserve"> </w:t>
            </w:r>
          </w:p>
          <w:p w14:paraId="1D08EBA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7A4452E1" w14:textId="77777777" w:rsid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1BDE480F" w14:textId="77777777" w:rsidR="0027328B" w:rsidRPr="00406E3C" w:rsidRDefault="0027328B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2A2C8850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0976213C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</w:tr>
      <w:tr w:rsidR="00406E3C" w:rsidRPr="00406E3C" w14:paraId="7145123A" w14:textId="77777777" w:rsidTr="002D4A1B">
        <w:trPr>
          <w:trHeight w:val="1308"/>
        </w:trPr>
        <w:tc>
          <w:tcPr>
            <w:tcW w:w="2100" w:type="pct"/>
          </w:tcPr>
          <w:p w14:paraId="6C89AE8A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Mario Germán Fromow Rangel</w:t>
            </w:r>
          </w:p>
          <w:p w14:paraId="78F9DDD0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Comisionado</w:t>
            </w:r>
          </w:p>
          <w:p w14:paraId="24BF742B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  <w:tc>
          <w:tcPr>
            <w:tcW w:w="991" w:type="pct"/>
          </w:tcPr>
          <w:p w14:paraId="5FD855FC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  <w:tc>
          <w:tcPr>
            <w:tcW w:w="1909" w:type="pct"/>
          </w:tcPr>
          <w:p w14:paraId="09677F83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Adolfo Cuevas Teja</w:t>
            </w:r>
          </w:p>
          <w:p w14:paraId="62938BB2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Comisionado</w:t>
            </w:r>
            <w:r w:rsidRPr="00406E3C"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  <w:t xml:space="preserve"> </w:t>
            </w:r>
          </w:p>
          <w:p w14:paraId="516313F7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6101BE93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1AF8F10F" w14:textId="77777777" w:rsid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397F226B" w14:textId="77777777" w:rsidR="0027328B" w:rsidRPr="00406E3C" w:rsidRDefault="0027328B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  <w:p w14:paraId="5B44964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</w:tr>
      <w:tr w:rsidR="00406E3C" w:rsidRPr="00406E3C" w14:paraId="7D117C84" w14:textId="77777777" w:rsidTr="002D4A1B">
        <w:trPr>
          <w:trHeight w:val="369"/>
        </w:trPr>
        <w:tc>
          <w:tcPr>
            <w:tcW w:w="2100" w:type="pct"/>
          </w:tcPr>
          <w:p w14:paraId="01D93A6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Javier Juárez Mojica</w:t>
            </w:r>
          </w:p>
          <w:p w14:paraId="05A13FBB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Comisionado</w:t>
            </w:r>
          </w:p>
        </w:tc>
        <w:tc>
          <w:tcPr>
            <w:tcW w:w="991" w:type="pct"/>
          </w:tcPr>
          <w:p w14:paraId="1616AE06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</w:p>
        </w:tc>
        <w:tc>
          <w:tcPr>
            <w:tcW w:w="1909" w:type="pct"/>
          </w:tcPr>
          <w:p w14:paraId="7F1ED26A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Arturo Robles Rovalo</w:t>
            </w:r>
          </w:p>
          <w:p w14:paraId="5C7B30F1" w14:textId="77777777" w:rsidR="00406E3C" w:rsidRPr="00406E3C" w:rsidRDefault="00406E3C" w:rsidP="00406E3C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Cs w:val="20"/>
                <w:lang w:val="es-ES" w:eastAsia="es-ES"/>
              </w:rPr>
            </w:pPr>
            <w:r w:rsidRPr="00406E3C">
              <w:rPr>
                <w:rFonts w:ascii="ITC Avant Garde" w:eastAsia="Times New Roman" w:hAnsi="ITC Avant Garde"/>
                <w:b/>
                <w:bCs/>
                <w:szCs w:val="20"/>
                <w:lang w:val="es-ES" w:eastAsia="es-ES"/>
              </w:rPr>
              <w:t>Comisionado</w:t>
            </w:r>
          </w:p>
        </w:tc>
      </w:tr>
    </w:tbl>
    <w:p w14:paraId="22E2D488" w14:textId="77777777" w:rsidR="00406E3C" w:rsidRPr="00406E3C" w:rsidRDefault="00406E3C" w:rsidP="00406E3C">
      <w:pPr>
        <w:spacing w:after="0" w:line="240" w:lineRule="auto"/>
        <w:jc w:val="both"/>
        <w:rPr>
          <w:rFonts w:ascii="ITC Avant Garde" w:eastAsia="Times New Roman" w:hAnsi="ITC Avant Garde"/>
          <w:bCs/>
          <w:color w:val="000000"/>
          <w:lang w:eastAsia="es-MX"/>
        </w:rPr>
      </w:pPr>
    </w:p>
    <w:p w14:paraId="32BDD5D6" w14:textId="77777777" w:rsidR="0027328B" w:rsidRDefault="0027328B" w:rsidP="001E5FBE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</w:p>
    <w:p w14:paraId="37C1514D" w14:textId="77777777" w:rsidR="0027328B" w:rsidRDefault="0027328B" w:rsidP="001E5FBE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</w:p>
    <w:p w14:paraId="3489B1CE" w14:textId="272088C7" w:rsidR="001E5FBE" w:rsidRDefault="001E5FBE" w:rsidP="001E5FBE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  <w:r w:rsidRPr="001E5FBE">
        <w:rPr>
          <w:rFonts w:ascii="ITC Avant Garde" w:hAnsi="ITC Avant Garde"/>
          <w:sz w:val="14"/>
          <w:lang w:val="es-ES"/>
        </w:rPr>
        <w:t xml:space="preserve">El presente Acuerdo fue aprobado por el Pleno del Instituto Federal de Telecomunicaciones en su XXXIV Sesión Ordinaria celebrada el 23 de agosto de 2017, por </w:t>
      </w:r>
      <w:r w:rsidRPr="0027328B">
        <w:rPr>
          <w:rFonts w:ascii="ITC Avant Garde" w:hAnsi="ITC Avant Garde"/>
          <w:bCs/>
          <w:sz w:val="14"/>
          <w:lang w:val="es-ES"/>
        </w:rPr>
        <w:t>unanimidad</w:t>
      </w:r>
      <w:r w:rsidRPr="001E5FBE">
        <w:rPr>
          <w:rFonts w:ascii="ITC Avant Garde" w:hAnsi="ITC Avant Garde"/>
          <w:sz w:val="14"/>
          <w:lang w:val="es-ES"/>
        </w:rPr>
        <w:t xml:space="preserve"> de votos de los Comisionados Gabriel Oswaldo Contreras Saldívar, Adriana Sofía Labardini Inzunza,</w:t>
      </w:r>
      <w:r w:rsidRPr="001E5FBE">
        <w:rPr>
          <w:rFonts w:ascii="ITC Avant Garde" w:hAnsi="ITC Avant Garde"/>
          <w:b/>
          <w:bCs/>
          <w:sz w:val="14"/>
          <w:lang w:val="es-ES"/>
        </w:rPr>
        <w:t xml:space="preserve"> </w:t>
      </w:r>
      <w:r w:rsidRPr="001E5FBE">
        <w:rPr>
          <w:rFonts w:ascii="ITC Avant Garde" w:hAnsi="ITC Avant Garde"/>
          <w:sz w:val="14"/>
          <w:lang w:val="es-ES"/>
        </w:rPr>
        <w:t>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</w:t>
      </w:r>
      <w:r w:rsidRPr="001E5FBE">
        <w:rPr>
          <w:rFonts w:ascii="ITC Avant Garde" w:hAnsi="ITC Avant Garde"/>
          <w:sz w:val="14"/>
        </w:rPr>
        <w:t>;</w:t>
      </w:r>
      <w:r w:rsidRPr="001E5FBE">
        <w:rPr>
          <w:rFonts w:ascii="ITC Avant Garde" w:hAnsi="ITC Avant Garde"/>
          <w:sz w:val="14"/>
          <w:lang w:val="es-ES"/>
        </w:rPr>
        <w:t xml:space="preserve"> así como en los artículos 1, 7, 8 y 12 del Estatuto Orgánico del Instituto Federal de Telecomunicaciones, mediante Acuerdo P/IFT/230817/503.</w:t>
      </w:r>
    </w:p>
    <w:p w14:paraId="0E58D9A8" w14:textId="77777777" w:rsidR="0027328B" w:rsidRDefault="0027328B" w:rsidP="001E5FBE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</w:p>
    <w:p w14:paraId="01A2BDFA" w14:textId="77777777" w:rsidR="0027328B" w:rsidRDefault="0027328B" w:rsidP="001E5FBE">
      <w:pPr>
        <w:spacing w:after="0" w:line="240" w:lineRule="auto"/>
        <w:jc w:val="both"/>
        <w:rPr>
          <w:rFonts w:ascii="ITC Avant Garde" w:hAnsi="ITC Avant Garde"/>
          <w:sz w:val="14"/>
          <w:lang w:val="es-ES"/>
        </w:rPr>
      </w:pPr>
      <w:bookmarkStart w:id="0" w:name="_GoBack"/>
      <w:bookmarkEnd w:id="0"/>
    </w:p>
    <w:sectPr w:rsidR="0027328B" w:rsidSect="00406E3C">
      <w:headerReference w:type="even" r:id="rId10"/>
      <w:footerReference w:type="default" r:id="rId11"/>
      <w:headerReference w:type="first" r:id="rId12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1B801" w14:textId="77777777" w:rsidR="001B58B8" w:rsidRDefault="001B58B8">
      <w:pPr>
        <w:spacing w:after="0" w:line="240" w:lineRule="auto"/>
      </w:pPr>
      <w:r>
        <w:separator/>
      </w:r>
    </w:p>
  </w:endnote>
  <w:endnote w:type="continuationSeparator" w:id="0">
    <w:p w14:paraId="7C1DB621" w14:textId="77777777" w:rsidR="001B58B8" w:rsidRDefault="001B58B8">
      <w:pPr>
        <w:spacing w:after="0" w:line="240" w:lineRule="auto"/>
      </w:pPr>
      <w:r>
        <w:continuationSeparator/>
      </w:r>
    </w:p>
  </w:endnote>
  <w:endnote w:type="continuationNotice" w:id="1">
    <w:p w14:paraId="440F3DF7" w14:textId="77777777" w:rsidR="001B58B8" w:rsidRDefault="001B5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749415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p w14:paraId="59B51AD6" w14:textId="311E3341" w:rsidR="00406E3C" w:rsidRPr="00406E3C" w:rsidRDefault="00406E3C">
        <w:pPr>
          <w:pStyle w:val="Piedepgina"/>
          <w:jc w:val="right"/>
          <w:rPr>
            <w:rFonts w:ascii="ITC Avant Garde" w:hAnsi="ITC Avant Garde"/>
            <w:sz w:val="20"/>
          </w:rPr>
        </w:pPr>
        <w:r w:rsidRPr="00406E3C">
          <w:rPr>
            <w:rFonts w:ascii="ITC Avant Garde" w:hAnsi="ITC Avant Garde"/>
            <w:sz w:val="20"/>
          </w:rPr>
          <w:fldChar w:fldCharType="begin"/>
        </w:r>
        <w:r w:rsidRPr="00406E3C">
          <w:rPr>
            <w:rFonts w:ascii="ITC Avant Garde" w:hAnsi="ITC Avant Garde"/>
            <w:sz w:val="20"/>
          </w:rPr>
          <w:instrText>PAGE   \* MERGEFORMAT</w:instrText>
        </w:r>
        <w:r w:rsidRPr="00406E3C">
          <w:rPr>
            <w:rFonts w:ascii="ITC Avant Garde" w:hAnsi="ITC Avant Garde"/>
            <w:sz w:val="20"/>
          </w:rPr>
          <w:fldChar w:fldCharType="separate"/>
        </w:r>
        <w:r w:rsidR="007C446E" w:rsidRPr="007C446E">
          <w:rPr>
            <w:rFonts w:ascii="ITC Avant Garde" w:hAnsi="ITC Avant Garde"/>
            <w:noProof/>
            <w:sz w:val="20"/>
            <w:lang w:val="es-ES"/>
          </w:rPr>
          <w:t>5</w:t>
        </w:r>
        <w:r w:rsidRPr="00406E3C">
          <w:rPr>
            <w:rFonts w:ascii="ITC Avant Garde" w:hAnsi="ITC Avant Garde"/>
            <w:sz w:val="20"/>
          </w:rPr>
          <w:fldChar w:fldCharType="end"/>
        </w:r>
      </w:p>
    </w:sdtContent>
  </w:sdt>
  <w:p w14:paraId="559D4C9A" w14:textId="77777777" w:rsidR="001D4718" w:rsidRDefault="001D47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CE2F1" w14:textId="77777777" w:rsidR="001B58B8" w:rsidRDefault="001B58B8">
      <w:pPr>
        <w:spacing w:after="0" w:line="240" w:lineRule="auto"/>
      </w:pPr>
      <w:r>
        <w:separator/>
      </w:r>
    </w:p>
  </w:footnote>
  <w:footnote w:type="continuationSeparator" w:id="0">
    <w:p w14:paraId="66EBD6C9" w14:textId="77777777" w:rsidR="001B58B8" w:rsidRDefault="001B58B8">
      <w:pPr>
        <w:spacing w:after="0" w:line="240" w:lineRule="auto"/>
      </w:pPr>
      <w:r>
        <w:continuationSeparator/>
      </w:r>
    </w:p>
  </w:footnote>
  <w:footnote w:type="continuationNotice" w:id="1">
    <w:p w14:paraId="75FE6B53" w14:textId="77777777" w:rsidR="001B58B8" w:rsidRDefault="001B5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D977" w14:textId="77777777" w:rsidR="001D4718" w:rsidRDefault="007C446E">
    <w:pPr>
      <w:pStyle w:val="Encabezado"/>
    </w:pPr>
    <w:r>
      <w:rPr>
        <w:noProof/>
        <w:lang w:eastAsia="es-MX"/>
      </w:rPr>
      <w:pict w14:anchorId="42181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2" o:spid="_x0000_s2050" type="#_x0000_t75" style="position:absolute;margin-left:0;margin-top:0;width:612pt;height:11in;z-index:-251658239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5C8B" w14:textId="77777777" w:rsidR="001D4718" w:rsidRDefault="007C446E">
    <w:pPr>
      <w:pStyle w:val="Encabezado"/>
    </w:pPr>
    <w:r>
      <w:rPr>
        <w:noProof/>
        <w:lang w:eastAsia="es-MX"/>
      </w:rPr>
      <w:pict w14:anchorId="30CD4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7712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Edif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5B38"/>
    <w:multiLevelType w:val="hybridMultilevel"/>
    <w:tmpl w:val="99A851BC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4266B8"/>
    <w:multiLevelType w:val="hybridMultilevel"/>
    <w:tmpl w:val="C7B4C15A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0DA06E5"/>
    <w:multiLevelType w:val="hybridMultilevel"/>
    <w:tmpl w:val="327E6F76"/>
    <w:lvl w:ilvl="0" w:tplc="E5768C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506141"/>
    <w:multiLevelType w:val="hybridMultilevel"/>
    <w:tmpl w:val="ACCA6E0E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9013775"/>
    <w:multiLevelType w:val="hybridMultilevel"/>
    <w:tmpl w:val="8F74FC1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3763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AA1"/>
    <w:multiLevelType w:val="hybridMultilevel"/>
    <w:tmpl w:val="51B276C4"/>
    <w:lvl w:ilvl="0" w:tplc="CBC0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976E0"/>
    <w:multiLevelType w:val="hybridMultilevel"/>
    <w:tmpl w:val="7BD0685E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25F279D"/>
    <w:multiLevelType w:val="hybridMultilevel"/>
    <w:tmpl w:val="B5109392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8AF4B91"/>
    <w:multiLevelType w:val="hybridMultilevel"/>
    <w:tmpl w:val="0AC6CCF2"/>
    <w:lvl w:ilvl="0" w:tplc="722A2B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B6C5080"/>
    <w:multiLevelType w:val="hybridMultilevel"/>
    <w:tmpl w:val="21F06FAA"/>
    <w:lvl w:ilvl="0" w:tplc="080A0013">
      <w:start w:val="1"/>
      <w:numFmt w:val="upperRoman"/>
      <w:lvlText w:val="%1."/>
      <w:lvlJc w:val="righ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B90395E"/>
    <w:multiLevelType w:val="hybridMultilevel"/>
    <w:tmpl w:val="293E8992"/>
    <w:lvl w:ilvl="0" w:tplc="080A0017">
      <w:start w:val="1"/>
      <w:numFmt w:val="lowerLetter"/>
      <w:lvlText w:val="%1)"/>
      <w:lvlJc w:val="left"/>
      <w:pPr>
        <w:ind w:left="1211" w:hanging="360"/>
      </w:p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B170D8"/>
    <w:multiLevelType w:val="hybridMultilevel"/>
    <w:tmpl w:val="AD8C4F7A"/>
    <w:lvl w:ilvl="0" w:tplc="D542022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87F"/>
    <w:multiLevelType w:val="hybridMultilevel"/>
    <w:tmpl w:val="BA26DFAA"/>
    <w:lvl w:ilvl="0" w:tplc="E5768C9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BA0B62"/>
    <w:multiLevelType w:val="hybridMultilevel"/>
    <w:tmpl w:val="057EEFC6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F4306E8"/>
    <w:multiLevelType w:val="hybridMultilevel"/>
    <w:tmpl w:val="30BCE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320C9"/>
    <w:multiLevelType w:val="hybridMultilevel"/>
    <w:tmpl w:val="CC126610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6A65665"/>
    <w:multiLevelType w:val="hybridMultilevel"/>
    <w:tmpl w:val="1F78AAF2"/>
    <w:lvl w:ilvl="0" w:tplc="4AF06F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0A7183"/>
    <w:multiLevelType w:val="hybridMultilevel"/>
    <w:tmpl w:val="20A4BEBC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4BF2E42"/>
    <w:multiLevelType w:val="hybridMultilevel"/>
    <w:tmpl w:val="C5C47A10"/>
    <w:lvl w:ilvl="0" w:tplc="3ACADCCA">
      <w:start w:val="5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F58A4"/>
    <w:multiLevelType w:val="hybridMultilevel"/>
    <w:tmpl w:val="B486FD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0A5D"/>
    <w:multiLevelType w:val="hybridMultilevel"/>
    <w:tmpl w:val="7ECE0C44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AB20E2D"/>
    <w:multiLevelType w:val="hybridMultilevel"/>
    <w:tmpl w:val="70E8F468"/>
    <w:lvl w:ilvl="0" w:tplc="7F78BB78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D9B1000"/>
    <w:multiLevelType w:val="hybridMultilevel"/>
    <w:tmpl w:val="F020C20C"/>
    <w:lvl w:ilvl="0" w:tplc="DC7031B2">
      <w:start w:val="4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84ADD"/>
    <w:multiLevelType w:val="hybridMultilevel"/>
    <w:tmpl w:val="CC126610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1813AC2"/>
    <w:multiLevelType w:val="hybridMultilevel"/>
    <w:tmpl w:val="DB5E2462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58715E7"/>
    <w:multiLevelType w:val="hybridMultilevel"/>
    <w:tmpl w:val="5A4A658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2E00"/>
    <w:multiLevelType w:val="hybridMultilevel"/>
    <w:tmpl w:val="FD32F5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3D303D"/>
    <w:multiLevelType w:val="hybridMultilevel"/>
    <w:tmpl w:val="A2761118"/>
    <w:lvl w:ilvl="0" w:tplc="08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93D6CA0"/>
    <w:multiLevelType w:val="hybridMultilevel"/>
    <w:tmpl w:val="EB54805E"/>
    <w:lvl w:ilvl="0" w:tplc="B00AE1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FDF699C"/>
    <w:multiLevelType w:val="hybridMultilevel"/>
    <w:tmpl w:val="CA9E8CE6"/>
    <w:lvl w:ilvl="0" w:tplc="8DE40BE0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14"/>
  </w:num>
  <w:num w:numId="5">
    <w:abstractNumId w:val="4"/>
  </w:num>
  <w:num w:numId="6">
    <w:abstractNumId w:val="8"/>
  </w:num>
  <w:num w:numId="7">
    <w:abstractNumId w:val="27"/>
  </w:num>
  <w:num w:numId="8">
    <w:abstractNumId w:val="17"/>
  </w:num>
  <w:num w:numId="9">
    <w:abstractNumId w:val="26"/>
  </w:num>
  <w:num w:numId="10">
    <w:abstractNumId w:val="7"/>
  </w:num>
  <w:num w:numId="11">
    <w:abstractNumId w:val="13"/>
  </w:num>
  <w:num w:numId="12">
    <w:abstractNumId w:val="22"/>
  </w:num>
  <w:num w:numId="13">
    <w:abstractNumId w:val="9"/>
  </w:num>
  <w:num w:numId="14">
    <w:abstractNumId w:val="24"/>
  </w:num>
  <w:num w:numId="15">
    <w:abstractNumId w:val="3"/>
  </w:num>
  <w:num w:numId="16">
    <w:abstractNumId w:val="2"/>
  </w:num>
  <w:num w:numId="17">
    <w:abstractNumId w:val="12"/>
  </w:num>
  <w:num w:numId="18">
    <w:abstractNumId w:val="6"/>
  </w:num>
  <w:num w:numId="19">
    <w:abstractNumId w:val="11"/>
  </w:num>
  <w:num w:numId="20">
    <w:abstractNumId w:val="15"/>
  </w:num>
  <w:num w:numId="21">
    <w:abstractNumId w:val="20"/>
  </w:num>
  <w:num w:numId="22">
    <w:abstractNumId w:val="1"/>
  </w:num>
  <w:num w:numId="23">
    <w:abstractNumId w:val="16"/>
  </w:num>
  <w:num w:numId="24">
    <w:abstractNumId w:val="10"/>
  </w:num>
  <w:num w:numId="25">
    <w:abstractNumId w:val="29"/>
  </w:num>
  <w:num w:numId="26">
    <w:abstractNumId w:val="21"/>
  </w:num>
  <w:num w:numId="27">
    <w:abstractNumId w:val="28"/>
  </w:num>
  <w:num w:numId="28">
    <w:abstractNumId w:val="0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0"/>
    <w:rsid w:val="00004AD3"/>
    <w:rsid w:val="000151DA"/>
    <w:rsid w:val="00016DB4"/>
    <w:rsid w:val="00032D90"/>
    <w:rsid w:val="00041142"/>
    <w:rsid w:val="000468A2"/>
    <w:rsid w:val="000732D4"/>
    <w:rsid w:val="000814F8"/>
    <w:rsid w:val="00096DDB"/>
    <w:rsid w:val="00097B03"/>
    <w:rsid w:val="000A513B"/>
    <w:rsid w:val="000A6D54"/>
    <w:rsid w:val="000B5334"/>
    <w:rsid w:val="000E373D"/>
    <w:rsid w:val="000E75C5"/>
    <w:rsid w:val="00126506"/>
    <w:rsid w:val="0014429D"/>
    <w:rsid w:val="00144770"/>
    <w:rsid w:val="001675F8"/>
    <w:rsid w:val="00172846"/>
    <w:rsid w:val="001763D6"/>
    <w:rsid w:val="00195ABE"/>
    <w:rsid w:val="001A122B"/>
    <w:rsid w:val="001A124B"/>
    <w:rsid w:val="001B58B8"/>
    <w:rsid w:val="001C174C"/>
    <w:rsid w:val="001C69A1"/>
    <w:rsid w:val="001D4133"/>
    <w:rsid w:val="001D4718"/>
    <w:rsid w:val="001E5650"/>
    <w:rsid w:val="001E5E8A"/>
    <w:rsid w:val="001E5FBE"/>
    <w:rsid w:val="001F0CCC"/>
    <w:rsid w:val="00207D37"/>
    <w:rsid w:val="00215291"/>
    <w:rsid w:val="00240120"/>
    <w:rsid w:val="00260BD2"/>
    <w:rsid w:val="00261087"/>
    <w:rsid w:val="002622AF"/>
    <w:rsid w:val="002652A3"/>
    <w:rsid w:val="0027328B"/>
    <w:rsid w:val="00297132"/>
    <w:rsid w:val="002A2879"/>
    <w:rsid w:val="002C523E"/>
    <w:rsid w:val="002D0AEC"/>
    <w:rsid w:val="002D20E8"/>
    <w:rsid w:val="002F073D"/>
    <w:rsid w:val="002F76B7"/>
    <w:rsid w:val="003350DF"/>
    <w:rsid w:val="00340B83"/>
    <w:rsid w:val="0034211E"/>
    <w:rsid w:val="0034362F"/>
    <w:rsid w:val="00352FC2"/>
    <w:rsid w:val="003669F5"/>
    <w:rsid w:val="00372445"/>
    <w:rsid w:val="00397BF8"/>
    <w:rsid w:val="003A2B58"/>
    <w:rsid w:val="003E78C0"/>
    <w:rsid w:val="00406E3C"/>
    <w:rsid w:val="004077C3"/>
    <w:rsid w:val="004078DB"/>
    <w:rsid w:val="00415B1E"/>
    <w:rsid w:val="00421EC9"/>
    <w:rsid w:val="004272F8"/>
    <w:rsid w:val="00430307"/>
    <w:rsid w:val="00432BC3"/>
    <w:rsid w:val="004551D2"/>
    <w:rsid w:val="0046309B"/>
    <w:rsid w:val="00463C7B"/>
    <w:rsid w:val="004755B3"/>
    <w:rsid w:val="004A7311"/>
    <w:rsid w:val="004B1D08"/>
    <w:rsid w:val="004C0EF3"/>
    <w:rsid w:val="004E4AA8"/>
    <w:rsid w:val="00516910"/>
    <w:rsid w:val="0053490A"/>
    <w:rsid w:val="00535C82"/>
    <w:rsid w:val="00537BB6"/>
    <w:rsid w:val="00556A76"/>
    <w:rsid w:val="00561C75"/>
    <w:rsid w:val="005777CC"/>
    <w:rsid w:val="005C513A"/>
    <w:rsid w:val="005D1D3D"/>
    <w:rsid w:val="00605617"/>
    <w:rsid w:val="0063480C"/>
    <w:rsid w:val="00673F24"/>
    <w:rsid w:val="00677E03"/>
    <w:rsid w:val="006A7EF3"/>
    <w:rsid w:val="006C0D79"/>
    <w:rsid w:val="006C26AC"/>
    <w:rsid w:val="006D5A61"/>
    <w:rsid w:val="006F3F09"/>
    <w:rsid w:val="00712DFA"/>
    <w:rsid w:val="00747BBE"/>
    <w:rsid w:val="00761A7E"/>
    <w:rsid w:val="00786B79"/>
    <w:rsid w:val="00794A78"/>
    <w:rsid w:val="007A7CEE"/>
    <w:rsid w:val="007B3999"/>
    <w:rsid w:val="007C446E"/>
    <w:rsid w:val="007C5A50"/>
    <w:rsid w:val="007D2AAA"/>
    <w:rsid w:val="007D7B8B"/>
    <w:rsid w:val="007E6B2F"/>
    <w:rsid w:val="007F373E"/>
    <w:rsid w:val="00811A55"/>
    <w:rsid w:val="00812C0B"/>
    <w:rsid w:val="008159FD"/>
    <w:rsid w:val="0083446F"/>
    <w:rsid w:val="008444EC"/>
    <w:rsid w:val="0085620F"/>
    <w:rsid w:val="008718E1"/>
    <w:rsid w:val="008731D6"/>
    <w:rsid w:val="008821D5"/>
    <w:rsid w:val="008967C2"/>
    <w:rsid w:val="008A1002"/>
    <w:rsid w:val="008A66D4"/>
    <w:rsid w:val="008B1D1B"/>
    <w:rsid w:val="008E46A6"/>
    <w:rsid w:val="008E5418"/>
    <w:rsid w:val="0091320C"/>
    <w:rsid w:val="00924F92"/>
    <w:rsid w:val="00963906"/>
    <w:rsid w:val="00982D7D"/>
    <w:rsid w:val="009874A0"/>
    <w:rsid w:val="00992F96"/>
    <w:rsid w:val="00993BF2"/>
    <w:rsid w:val="009B7E4D"/>
    <w:rsid w:val="009E1D62"/>
    <w:rsid w:val="00A064C7"/>
    <w:rsid w:val="00A10D4D"/>
    <w:rsid w:val="00A175D4"/>
    <w:rsid w:val="00A513E5"/>
    <w:rsid w:val="00A96A2D"/>
    <w:rsid w:val="00AA6650"/>
    <w:rsid w:val="00AC0942"/>
    <w:rsid w:val="00AE0210"/>
    <w:rsid w:val="00AE3552"/>
    <w:rsid w:val="00B038EA"/>
    <w:rsid w:val="00B17C27"/>
    <w:rsid w:val="00B33DF1"/>
    <w:rsid w:val="00B40FBA"/>
    <w:rsid w:val="00B726A9"/>
    <w:rsid w:val="00B847EB"/>
    <w:rsid w:val="00B91ED9"/>
    <w:rsid w:val="00B978A7"/>
    <w:rsid w:val="00BA2A01"/>
    <w:rsid w:val="00BA2D18"/>
    <w:rsid w:val="00BD31B4"/>
    <w:rsid w:val="00BD52A8"/>
    <w:rsid w:val="00BF65BE"/>
    <w:rsid w:val="00C022F7"/>
    <w:rsid w:val="00C145DE"/>
    <w:rsid w:val="00C62E05"/>
    <w:rsid w:val="00C83111"/>
    <w:rsid w:val="00CA3678"/>
    <w:rsid w:val="00CB00CD"/>
    <w:rsid w:val="00CC1DFF"/>
    <w:rsid w:val="00CC330D"/>
    <w:rsid w:val="00CC4A25"/>
    <w:rsid w:val="00CF45F7"/>
    <w:rsid w:val="00CF6EB4"/>
    <w:rsid w:val="00D0043A"/>
    <w:rsid w:val="00D043D3"/>
    <w:rsid w:val="00D06947"/>
    <w:rsid w:val="00D103EE"/>
    <w:rsid w:val="00D13E72"/>
    <w:rsid w:val="00D21FF3"/>
    <w:rsid w:val="00D32B7D"/>
    <w:rsid w:val="00D34C4E"/>
    <w:rsid w:val="00D426C1"/>
    <w:rsid w:val="00D71117"/>
    <w:rsid w:val="00DA7E40"/>
    <w:rsid w:val="00DC1216"/>
    <w:rsid w:val="00DE0AE6"/>
    <w:rsid w:val="00DF6264"/>
    <w:rsid w:val="00E16335"/>
    <w:rsid w:val="00E367BF"/>
    <w:rsid w:val="00E472F3"/>
    <w:rsid w:val="00E51735"/>
    <w:rsid w:val="00E60EEE"/>
    <w:rsid w:val="00E74574"/>
    <w:rsid w:val="00E74A94"/>
    <w:rsid w:val="00E76B84"/>
    <w:rsid w:val="00E77EB5"/>
    <w:rsid w:val="00E959E1"/>
    <w:rsid w:val="00EA68DE"/>
    <w:rsid w:val="00EC0BD1"/>
    <w:rsid w:val="00EF180D"/>
    <w:rsid w:val="00F00E4E"/>
    <w:rsid w:val="00F0140D"/>
    <w:rsid w:val="00F17879"/>
    <w:rsid w:val="00F219C8"/>
    <w:rsid w:val="00F32006"/>
    <w:rsid w:val="00F85FED"/>
    <w:rsid w:val="00FA19B1"/>
    <w:rsid w:val="00F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9845BC"/>
  <w15:chartTrackingRefBased/>
  <w15:docId w15:val="{8DB12160-23C2-4462-9147-9344AB9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17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qFormat/>
    <w:rsid w:val="001E5E8A"/>
    <w:pPr>
      <w:keepNext/>
      <w:keepLines/>
      <w:spacing w:before="40" w:after="0" w:line="259" w:lineRule="auto"/>
      <w:outlineLvl w:val="4"/>
    </w:pPr>
    <w:rPr>
      <w:rFonts w:ascii="ITC Avant Garde" w:eastAsia="MS Gothic" w:hAnsi="ITC Avant Garde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4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87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4A0"/>
    <w:rPr>
      <w:rFonts w:ascii="Calibri" w:eastAsia="Calibri" w:hAnsi="Calibri" w:cs="Times New Roman"/>
    </w:rPr>
  </w:style>
  <w:style w:type="paragraph" w:customStyle="1" w:styleId="Default">
    <w:name w:val="Default"/>
    <w:rsid w:val="009874A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9874A0"/>
    <w:pPr>
      <w:ind w:left="720"/>
      <w:contextualSpacing/>
    </w:pPr>
    <w:rPr>
      <w:rFonts w:ascii="ITC Avant Garde" w:hAnsi="ITC Avant Garde" w:cs="Tahoma"/>
      <w:bCs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9874A0"/>
    <w:rPr>
      <w:rFonts w:ascii="ITC Avant Garde" w:eastAsia="Calibri" w:hAnsi="ITC Avant Garde" w:cs="Tahoma"/>
      <w:bCs/>
      <w:lang w:eastAsia="es-MX"/>
    </w:rPr>
  </w:style>
  <w:style w:type="table" w:styleId="Tablaconcuadrcula">
    <w:name w:val="Table Grid"/>
    <w:basedOn w:val="Tablanormal"/>
    <w:uiPriority w:val="39"/>
    <w:rsid w:val="009874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E5E8A"/>
    <w:rPr>
      <w:rFonts w:ascii="ITC Avant Garde" w:eastAsia="MS Gothic" w:hAnsi="ITC Avant Garde" w:cs="Times New Roman"/>
      <w:b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879"/>
    <w:rPr>
      <w:rFonts w:ascii="Segoe UI" w:eastAsia="Calibri" w:hAnsi="Segoe UI" w:cs="Segoe UI"/>
      <w:sz w:val="18"/>
      <w:szCs w:val="18"/>
    </w:rPr>
  </w:style>
  <w:style w:type="paragraph" w:customStyle="1" w:styleId="estilo30">
    <w:name w:val="estilo30"/>
    <w:basedOn w:val="Normal"/>
    <w:rsid w:val="00535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nhideWhenUsed/>
    <w:rsid w:val="00B33DF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33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33DF1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DF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17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vistosa-nfasis1Car">
    <w:name w:val="Lista vistosa - Énfasis 1 Car"/>
    <w:link w:val="Listavistosa-nfasis1"/>
    <w:uiPriority w:val="34"/>
    <w:locked/>
    <w:rsid w:val="00B847EB"/>
    <w:rPr>
      <w:rFonts w:ascii="ITC Avant Garde" w:eastAsia="Calibri" w:hAnsi="ITC Avant Garde" w:cs="Tahoma"/>
      <w:bCs/>
      <w:lang w:eastAsia="es-MX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B847EB"/>
    <w:pPr>
      <w:spacing w:after="0" w:line="240" w:lineRule="auto"/>
    </w:pPr>
    <w:rPr>
      <w:rFonts w:ascii="ITC Avant Garde" w:eastAsia="Calibri" w:hAnsi="ITC Avant Garde" w:cs="Tahoma"/>
      <w:bCs/>
      <w:lang w:eastAsia="es-MX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exto">
    <w:name w:val="Texto"/>
    <w:basedOn w:val="Normal"/>
    <w:link w:val="TextoCar"/>
    <w:rsid w:val="004B1D0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B1D0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FA19B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FA19B1"/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2C065CC618A4ABCED8889D3F4D0B8" ma:contentTypeVersion="0" ma:contentTypeDescription="Crear nuevo documento." ma:contentTypeScope="" ma:versionID="c3507e0ca3124203d480b164479d48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BCCC6-2EDF-4453-B3F2-34B452D02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C6DED-5CC0-404C-AE59-6D7CDA894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A1666-2F93-4900-8015-48A1C9FB3016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2060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Roberto Flores Navarrete</dc:creator>
  <cp:keywords/>
  <dc:description/>
  <cp:lastModifiedBy>Karen Beatriz Martinez Munguia</cp:lastModifiedBy>
  <cp:revision>5</cp:revision>
  <cp:lastPrinted>2017-09-01T17:39:00Z</cp:lastPrinted>
  <dcterms:created xsi:type="dcterms:W3CDTF">2017-08-31T21:53:00Z</dcterms:created>
  <dcterms:modified xsi:type="dcterms:W3CDTF">2017-09-01T17:39:00Z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0x0101001AC2C065CC618A4ABCED8889D3F4D0B8</vt:lpwstr>
  </property>
</Properties>
</file>