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DE" w:rsidRDefault="001A4ADE" w:rsidP="001A4ADE">
      <w:bookmarkStart w:id="0" w:name="_GoBack"/>
      <w:bookmarkEnd w:id="0"/>
    </w:p>
    <w:tbl>
      <w:tblPr>
        <w:tblpPr w:vertAnchor="page" w:horzAnchor="margin" w:tblpY="1135"/>
        <w:tblW w:w="6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3"/>
      </w:tblGrid>
      <w:tr w:rsidR="001A4ADE" w:rsidRPr="002B7EB1" w:rsidTr="00206FFD">
        <w:trPr>
          <w:cantSplit/>
        </w:trPr>
        <w:tc>
          <w:tcPr>
            <w:tcW w:w="6173" w:type="dxa"/>
          </w:tcPr>
          <w:p w:rsidR="001A4ADE" w:rsidRPr="002B7EB1" w:rsidRDefault="001A4ADE" w:rsidP="00EF0376">
            <w:pPr>
              <w:pStyle w:val="Draft"/>
            </w:pPr>
            <w:bookmarkStart w:id="1" w:name="BM_DocDraft" w:colFirst="0" w:colLast="0"/>
          </w:p>
        </w:tc>
      </w:tr>
    </w:tbl>
    <w:tbl>
      <w:tblPr>
        <w:tblpPr w:leftFromText="181" w:rightFromText="181" w:vertAnchor="page" w:tblpY="4367"/>
        <w:tblW w:w="5000" w:type="pct"/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7936"/>
      </w:tblGrid>
      <w:tr w:rsidR="001A4ADE" w:rsidTr="00AC51F7">
        <w:trPr>
          <w:cantSplit/>
          <w:trHeight w:val="1418"/>
        </w:trPr>
        <w:tc>
          <w:tcPr>
            <w:tcW w:w="5000" w:type="pct"/>
            <w:tcBorders>
              <w:bottom w:val="single" w:sz="12" w:space="0" w:color="E83F35" w:themeColor="accent1"/>
            </w:tcBorders>
            <w:vAlign w:val="bottom"/>
          </w:tcPr>
          <w:p w:rsidR="001A4ADE" w:rsidRDefault="00FB7AF1" w:rsidP="00AC51F7">
            <w:pPr>
              <w:pStyle w:val="DocTitle"/>
            </w:pPr>
            <w:bookmarkStart w:id="2" w:name="BM_DocTitle" w:colFirst="0" w:colLast="0"/>
            <w:bookmarkEnd w:id="1"/>
            <w:r>
              <w:t>MANUAL DEL MODELO DE REPLICABILIDAD</w:t>
            </w:r>
          </w:p>
        </w:tc>
      </w:tr>
      <w:tr w:rsidR="001A4ADE" w:rsidTr="00FD59A2">
        <w:trPr>
          <w:cantSplit/>
        </w:trPr>
        <w:tc>
          <w:tcPr>
            <w:tcW w:w="5000" w:type="pct"/>
            <w:tcBorders>
              <w:top w:val="single" w:sz="12" w:space="0" w:color="E83F35" w:themeColor="accent1"/>
            </w:tcBorders>
          </w:tcPr>
          <w:p w:rsidR="001A4ADE" w:rsidRPr="004A3151" w:rsidRDefault="00FB7AF1" w:rsidP="00CB75EC">
            <w:pPr>
              <w:pStyle w:val="DocSubTitle"/>
            </w:pPr>
            <w:bookmarkStart w:id="3" w:name="BM_DocSubTitle" w:colFirst="0" w:colLast="0"/>
            <w:bookmarkEnd w:id="2"/>
            <w:r>
              <w:t>Servicios minoristas de enlaces dedicados</w:t>
            </w:r>
          </w:p>
        </w:tc>
      </w:tr>
      <w:tr w:rsidR="005D462D" w:rsidRPr="004A3151" w:rsidTr="00AC51F7">
        <w:trPr>
          <w:cantSplit/>
          <w:trHeight w:hRule="exact" w:val="369"/>
        </w:trPr>
        <w:tc>
          <w:tcPr>
            <w:tcW w:w="5000" w:type="pct"/>
          </w:tcPr>
          <w:p w:rsidR="005D462D" w:rsidRPr="004A3151" w:rsidRDefault="0095426E" w:rsidP="002D63B9">
            <w:pPr>
              <w:pStyle w:val="DocDate"/>
            </w:pPr>
            <w:bookmarkStart w:id="4" w:name="BM_DocDate" w:colFirst="0" w:colLast="0"/>
            <w:bookmarkEnd w:id="3"/>
            <w:r>
              <w:t>Junio</w:t>
            </w:r>
            <w:r w:rsidR="00E2456D">
              <w:t> </w:t>
            </w:r>
            <w:r w:rsidR="00FB7AF1">
              <w:t>de 2017</w:t>
            </w:r>
          </w:p>
        </w:tc>
      </w:tr>
    </w:tbl>
    <w:tbl>
      <w:tblPr>
        <w:tblpPr w:horzAnchor="margin" w:tblpYSpec="bottom"/>
        <w:tblW w:w="66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</w:tblGrid>
      <w:tr w:rsidR="001A4ADE" w:rsidTr="00F40D7D">
        <w:trPr>
          <w:cantSplit/>
          <w:trHeight w:hRule="exact" w:val="2857"/>
        </w:trPr>
        <w:tc>
          <w:tcPr>
            <w:tcW w:w="6663" w:type="dxa"/>
            <w:vAlign w:val="bottom"/>
          </w:tcPr>
          <w:p w:rsidR="001A4ADE" w:rsidRDefault="0095426E" w:rsidP="006871AA">
            <w:pPr>
              <w:pStyle w:val="GraphicLeft"/>
              <w:jc w:val="both"/>
            </w:pPr>
            <w:bookmarkStart w:id="5" w:name="BM_DocClientLogo" w:colFirst="0" w:colLast="0"/>
            <w:bookmarkEnd w:id="4"/>
            <w:r w:rsidRPr="00346100">
              <w:t xml:space="preserve">Copyright </w:t>
            </w:r>
            <w:r>
              <w:rPr>
                <w:rFonts w:cstheme="minorHAnsi"/>
              </w:rPr>
              <w:t>©</w:t>
            </w:r>
            <w:r w:rsidRPr="00346100">
              <w:t xml:space="preserve"> 2017. Todo el material incluido en el presente documento se rige por el contrato entre Frontier Economics LTD y el Instituto Federal de Telecomunicaciones, y se utilizará solamente para los fines indicados en el contrato entre las partes</w:t>
            </w:r>
            <w:r w:rsidR="003F7F16">
              <w:t>.</w:t>
            </w:r>
          </w:p>
          <w:p w:rsidR="00F40D7D" w:rsidRDefault="00F40D7D" w:rsidP="006871AA">
            <w:pPr>
              <w:pStyle w:val="GraphicLeft"/>
              <w:jc w:val="both"/>
            </w:pPr>
          </w:p>
          <w:p w:rsidR="00F40D7D" w:rsidRDefault="00FC0BA0" w:rsidP="00FC0BA0">
            <w:pPr>
              <w:pStyle w:val="GraphicLeft"/>
              <w:jc w:val="both"/>
            </w:pPr>
            <w:r>
              <w:t>La información utilizada en el modelo es ficticia, salvo en aquellos casos referentes a los precios mayoristas provenientes de las Ofertas de Referencia, modelos de costos, convenios públicos o listados por el AEP.</w:t>
            </w:r>
          </w:p>
        </w:tc>
      </w:tr>
      <w:tr w:rsidR="001A4ADE" w:rsidTr="00F40D7D">
        <w:trPr>
          <w:cantSplit/>
          <w:trHeight w:val="487"/>
        </w:trPr>
        <w:tc>
          <w:tcPr>
            <w:tcW w:w="6663" w:type="dxa"/>
            <w:tcMar>
              <w:top w:w="284" w:type="dxa"/>
            </w:tcMar>
            <w:vAlign w:val="bottom"/>
          </w:tcPr>
          <w:p w:rsidR="001A4ADE" w:rsidRDefault="001A4ADE" w:rsidP="00AC51F7">
            <w:pPr>
              <w:pStyle w:val="Confidential"/>
            </w:pPr>
            <w:bookmarkStart w:id="6" w:name="BM_DocConfi" w:colFirst="0" w:colLast="0"/>
            <w:bookmarkEnd w:id="5"/>
          </w:p>
        </w:tc>
      </w:tr>
    </w:tbl>
    <w:bookmarkEnd w:id="6" w:displacedByCustomXml="next"/>
    <w:bookmarkStart w:id="7" w:name="BM_SecBreakTitle" w:displacedByCustomXml="next"/>
    <w:sdt>
      <w:sdtPr>
        <w:alias w:val="Locked Section Break"/>
        <w:tag w:val="Locked Section Break"/>
        <w:id w:val="757713686"/>
        <w:placeholder>
          <w:docPart w:val="D42C4352C4504E0A94E673B24F65EC17"/>
        </w:placeholder>
      </w:sdtPr>
      <w:sdtEndPr/>
      <w:sdtContent>
        <w:p w:rsidR="00A33787" w:rsidRDefault="001A4ADE" w:rsidP="003F7F16">
          <w:pPr>
            <w:pStyle w:val="GraphicLeft"/>
          </w:pP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7216" behindDoc="1" locked="1" layoutInCell="1" allowOverlap="1" wp14:anchorId="5B9BDAFE" wp14:editId="052D270E">
                    <wp:simplePos x="0" y="0"/>
                    <wp:positionH relativeFrom="page">
                      <wp:posOffset>-38100</wp:posOffset>
                    </wp:positionH>
                    <wp:positionV relativeFrom="page">
                      <wp:posOffset>1544320</wp:posOffset>
                    </wp:positionV>
                    <wp:extent cx="7649845" cy="10691495"/>
                    <wp:effectExtent l="0" t="0" r="0" b="0"/>
                    <wp:wrapNone/>
                    <wp:docPr id="1049" name="Swoosh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649845" cy="106914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546770" h="10693400">
                                  <a:moveTo>
                                    <a:pt x="7546770" y="9222821"/>
                                  </a:moveTo>
                                  <a:lnTo>
                                    <a:pt x="7546770" y="10693400"/>
                                  </a:lnTo>
                                  <a:lnTo>
                                    <a:pt x="6816008" y="1069340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546770" y="0"/>
                                  </a:lnTo>
                                  <a:lnTo>
                                    <a:pt x="7546770" y="9092316"/>
                                  </a:lnTo>
                                  <a:lnTo>
                                    <a:pt x="7244970" y="8560760"/>
                                  </a:lnTo>
                                  <a:cubicBezTo>
                                    <a:pt x="5878986" y="6376893"/>
                                    <a:pt x="3352833" y="4647207"/>
                                    <a:pt x="1" y="3919744"/>
                                  </a:cubicBezTo>
                                  <a:lnTo>
                                    <a:pt x="1" y="5101579"/>
                                  </a:lnTo>
                                  <a:cubicBezTo>
                                    <a:pt x="3051926" y="6187077"/>
                                    <a:pt x="5093910" y="8256193"/>
                                    <a:pt x="5911246" y="10693400"/>
                                  </a:cubicBezTo>
                                  <a:lnTo>
                                    <a:pt x="0" y="10693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7D31717" id="Swoosh" o:spid="_x0000_s1026" style="position:absolute;margin-left:-3pt;margin-top:121.6pt;width:602.35pt;height:841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46770,1069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" path="m7546770,9222821r,1470579l6816008,10693400,7546770,9222821xm,l7546770,r,9092316l7244970,8560760c5878986,6376893,3352833,4647207,1,3919744r,1181835c3051926,6187077,5093910,8256193,5911246,10693400l,10693400,,xe" fillcolor="white [3212]" stroked="f" strokeweight="1pt">
                    <v:stroke joinstyle="miter"/>
                    <v:path arrowok="t"/>
                    <w10:wrap anchorx="page" anchory="page"/>
                    <w10:anchorlock/>
                  </v:shape>
                </w:pict>
              </mc:Fallback>
            </mc:AlternateContent>
          </w:r>
        </w:p>
      </w:sdtContent>
    </w:sdt>
    <w:bookmarkEnd w:id="7"/>
    <w:p w:rsidR="00CE2B46" w:rsidRPr="002957CD" w:rsidRDefault="00954CF0" w:rsidP="002957CD">
      <w:pPr>
        <w:pStyle w:val="SecHeadNonToc"/>
      </w:pPr>
      <w:r>
        <w:lastRenderedPageBreak/>
        <w:t>Contenido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6"/>
      </w:tblGrid>
      <w:tr w:rsidR="00CE2B46" w:rsidTr="001A6720">
        <w:tc>
          <w:tcPr>
            <w:tcW w:w="5000" w:type="pct"/>
          </w:tcPr>
          <w:bookmarkStart w:id="8" w:name="BM_ToC" w:colFirst="0" w:colLast="0"/>
          <w:p w:rsidR="00C3196F" w:rsidRDefault="00CE2B46">
            <w:pPr>
              <w:pStyle w:val="TDC1"/>
              <w:rPr>
                <w:rFonts w:asciiTheme="minorHAnsi" w:hAnsiTheme="minorHAnsi" w:cstheme="minorBidi"/>
                <w:color w:val="auto"/>
                <w:sz w:val="22"/>
                <w:szCs w:val="22"/>
                <w:lang w:val="es-MX" w:eastAsia="es-MX"/>
              </w:rPr>
            </w:pPr>
            <w:r w:rsidRPr="00DF612F">
              <w:fldChar w:fldCharType="begin"/>
            </w:r>
            <w:r w:rsidR="0054473A">
              <w:instrText>TOC \h \t "~SectionHeading,1,~SubHea</w:instrText>
            </w:r>
            <w:r w:rsidR="005963B1">
              <w:instrText>ding,2,~ExecSumHead,5,~AnxHead,7</w:instrText>
            </w:r>
            <w:r w:rsidR="0054473A">
              <w:instrText xml:space="preserve">" </w:instrText>
            </w:r>
            <w:r w:rsidRPr="00DF612F">
              <w:fldChar w:fldCharType="separate"/>
            </w:r>
            <w:hyperlink w:anchor="_Toc485158205" w:history="1">
              <w:r w:rsidR="00C3196F" w:rsidRPr="00570F55">
                <w:rPr>
                  <w:rStyle w:val="Hipervnculo"/>
                </w:rPr>
                <w:t>1</w:t>
              </w:r>
              <w:r w:rsidR="00C3196F">
                <w:rPr>
                  <w:rFonts w:asciiTheme="minorHAnsi" w:hAnsiTheme="minorHAnsi" w:cstheme="minorBidi"/>
                  <w:color w:val="auto"/>
                  <w:sz w:val="22"/>
                  <w:szCs w:val="22"/>
                  <w:lang w:val="es-MX" w:eastAsia="es-MX"/>
                </w:rPr>
                <w:tab/>
              </w:r>
              <w:r w:rsidR="00C3196F" w:rsidRPr="00570F55">
                <w:rPr>
                  <w:rStyle w:val="Hipervnculo"/>
                </w:rPr>
                <w:t>Introducción</w:t>
              </w:r>
              <w:r w:rsidR="00C3196F">
                <w:tab/>
              </w:r>
              <w:r w:rsidR="00C3196F">
                <w:fldChar w:fldCharType="begin"/>
              </w:r>
              <w:r w:rsidR="00C3196F">
                <w:instrText xml:space="preserve"> PAGEREF _Toc485158205 \h </w:instrText>
              </w:r>
              <w:r w:rsidR="00C3196F">
                <w:fldChar w:fldCharType="separate"/>
              </w:r>
              <w:r w:rsidR="00C46710">
                <w:t>3</w:t>
              </w:r>
              <w:r w:rsidR="00C3196F">
                <w:fldChar w:fldCharType="end"/>
              </w:r>
            </w:hyperlink>
          </w:p>
          <w:p w:rsidR="00C3196F" w:rsidRDefault="003A3F36">
            <w:pPr>
              <w:pStyle w:val="TDC1"/>
              <w:rPr>
                <w:rFonts w:asciiTheme="minorHAnsi" w:hAnsiTheme="minorHAnsi" w:cstheme="minorBidi"/>
                <w:color w:val="auto"/>
                <w:sz w:val="22"/>
                <w:szCs w:val="22"/>
                <w:lang w:val="es-MX" w:eastAsia="es-MX"/>
              </w:rPr>
            </w:pPr>
            <w:hyperlink w:anchor="_Toc485158206" w:history="1">
              <w:r w:rsidR="00C3196F" w:rsidRPr="00570F55">
                <w:rPr>
                  <w:rStyle w:val="Hipervnculo"/>
                </w:rPr>
                <w:t>2</w:t>
              </w:r>
              <w:r w:rsidR="00C3196F">
                <w:rPr>
                  <w:rFonts w:asciiTheme="minorHAnsi" w:hAnsiTheme="minorHAnsi" w:cstheme="minorBidi"/>
                  <w:color w:val="auto"/>
                  <w:sz w:val="22"/>
                  <w:szCs w:val="22"/>
                  <w:lang w:val="es-MX" w:eastAsia="es-MX"/>
                </w:rPr>
                <w:tab/>
              </w:r>
              <w:r w:rsidR="00C3196F" w:rsidRPr="00570F55">
                <w:rPr>
                  <w:rStyle w:val="Hipervnculo"/>
                </w:rPr>
                <w:t>Estructura y funcionamiento del modelo</w:t>
              </w:r>
              <w:r w:rsidR="00C3196F">
                <w:tab/>
              </w:r>
              <w:r w:rsidR="00C3196F">
                <w:fldChar w:fldCharType="begin"/>
              </w:r>
              <w:r w:rsidR="00C3196F">
                <w:instrText xml:space="preserve"> PAGEREF _Toc485158206 \h </w:instrText>
              </w:r>
              <w:r w:rsidR="00C3196F">
                <w:fldChar w:fldCharType="separate"/>
              </w:r>
              <w:r w:rsidR="00C46710">
                <w:t>4</w:t>
              </w:r>
              <w:r w:rsidR="00C3196F">
                <w:fldChar w:fldCharType="end"/>
              </w:r>
            </w:hyperlink>
          </w:p>
          <w:p w:rsidR="00C3196F" w:rsidRDefault="003A3F36">
            <w:pPr>
              <w:pStyle w:val="TDC2"/>
              <w:rPr>
                <w:rFonts w:asciiTheme="minorHAnsi" w:hAnsiTheme="minorHAnsi" w:cstheme="minorBidi"/>
                <w:color w:val="auto"/>
                <w:sz w:val="22"/>
                <w:szCs w:val="22"/>
                <w:lang w:val="es-MX" w:eastAsia="es-MX"/>
              </w:rPr>
            </w:pPr>
            <w:hyperlink w:anchor="_Toc485158207" w:history="1">
              <w:r w:rsidR="00C3196F" w:rsidRPr="00570F55">
                <w:rPr>
                  <w:rStyle w:val="Hipervnculo"/>
                </w:rPr>
                <w:t>2.1</w:t>
              </w:r>
              <w:r w:rsidR="00C3196F">
                <w:rPr>
                  <w:rFonts w:asciiTheme="minorHAnsi" w:hAnsiTheme="minorHAnsi" w:cstheme="minorBidi"/>
                  <w:color w:val="auto"/>
                  <w:sz w:val="22"/>
                  <w:szCs w:val="22"/>
                  <w:lang w:val="es-MX" w:eastAsia="es-MX"/>
                </w:rPr>
                <w:tab/>
              </w:r>
              <w:r w:rsidR="00C3196F" w:rsidRPr="00570F55">
                <w:rPr>
                  <w:rStyle w:val="Hipervnculo"/>
                </w:rPr>
                <w:t>Módulo de resultados</w:t>
              </w:r>
              <w:r w:rsidR="00C3196F">
                <w:tab/>
              </w:r>
              <w:r w:rsidR="00C3196F">
                <w:fldChar w:fldCharType="begin"/>
              </w:r>
              <w:r w:rsidR="00C3196F">
                <w:instrText xml:space="preserve"> PAGEREF _Toc485158207 \h </w:instrText>
              </w:r>
              <w:r w:rsidR="00C3196F">
                <w:fldChar w:fldCharType="separate"/>
              </w:r>
              <w:r w:rsidR="00C46710">
                <w:t>6</w:t>
              </w:r>
              <w:r w:rsidR="00C3196F">
                <w:fldChar w:fldCharType="end"/>
              </w:r>
            </w:hyperlink>
          </w:p>
          <w:p w:rsidR="00C3196F" w:rsidRDefault="003A3F36">
            <w:pPr>
              <w:pStyle w:val="TDC2"/>
              <w:rPr>
                <w:rFonts w:asciiTheme="minorHAnsi" w:hAnsiTheme="minorHAnsi" w:cstheme="minorBidi"/>
                <w:color w:val="auto"/>
                <w:sz w:val="22"/>
                <w:szCs w:val="22"/>
                <w:lang w:val="es-MX" w:eastAsia="es-MX"/>
              </w:rPr>
            </w:pPr>
            <w:hyperlink w:anchor="_Toc485158208" w:history="1">
              <w:r w:rsidR="00C3196F" w:rsidRPr="00570F55">
                <w:rPr>
                  <w:rStyle w:val="Hipervnculo"/>
                </w:rPr>
                <w:t>2.2</w:t>
              </w:r>
              <w:r w:rsidR="00C3196F">
                <w:rPr>
                  <w:rFonts w:asciiTheme="minorHAnsi" w:hAnsiTheme="minorHAnsi" w:cstheme="minorBidi"/>
                  <w:color w:val="auto"/>
                  <w:sz w:val="22"/>
                  <w:szCs w:val="22"/>
                  <w:lang w:val="es-MX" w:eastAsia="es-MX"/>
                </w:rPr>
                <w:tab/>
              </w:r>
              <w:r w:rsidR="00C3196F" w:rsidRPr="00570F55">
                <w:rPr>
                  <w:rStyle w:val="Hipervnculo"/>
                </w:rPr>
                <w:t>Módulo de cálculos</w:t>
              </w:r>
              <w:r w:rsidR="00C3196F">
                <w:tab/>
              </w:r>
              <w:r w:rsidR="00C3196F">
                <w:fldChar w:fldCharType="begin"/>
              </w:r>
              <w:r w:rsidR="00C3196F">
                <w:instrText xml:space="preserve"> PAGEREF _Toc485158208 \h </w:instrText>
              </w:r>
              <w:r w:rsidR="00C3196F">
                <w:fldChar w:fldCharType="separate"/>
              </w:r>
              <w:r w:rsidR="00C46710">
                <w:t>7</w:t>
              </w:r>
              <w:r w:rsidR="00C3196F">
                <w:fldChar w:fldCharType="end"/>
              </w:r>
            </w:hyperlink>
          </w:p>
          <w:p w:rsidR="00C3196F" w:rsidRDefault="003A3F36">
            <w:pPr>
              <w:pStyle w:val="TDC2"/>
              <w:rPr>
                <w:rFonts w:asciiTheme="minorHAnsi" w:hAnsiTheme="minorHAnsi" w:cstheme="minorBidi"/>
                <w:color w:val="auto"/>
                <w:sz w:val="22"/>
                <w:szCs w:val="22"/>
                <w:lang w:val="es-MX" w:eastAsia="es-MX"/>
              </w:rPr>
            </w:pPr>
            <w:hyperlink w:anchor="_Toc485158209" w:history="1">
              <w:r w:rsidR="00C3196F" w:rsidRPr="00570F55">
                <w:rPr>
                  <w:rStyle w:val="Hipervnculo"/>
                </w:rPr>
                <w:t>2.3</w:t>
              </w:r>
              <w:r w:rsidR="00C3196F">
                <w:rPr>
                  <w:rFonts w:asciiTheme="minorHAnsi" w:hAnsiTheme="minorHAnsi" w:cstheme="minorBidi"/>
                  <w:color w:val="auto"/>
                  <w:sz w:val="22"/>
                  <w:szCs w:val="22"/>
                  <w:lang w:val="es-MX" w:eastAsia="es-MX"/>
                </w:rPr>
                <w:tab/>
              </w:r>
              <w:r w:rsidR="00C3196F" w:rsidRPr="00570F55">
                <w:rPr>
                  <w:rStyle w:val="Hipervnculo"/>
                </w:rPr>
                <w:t>Módulo de supuestos</w:t>
              </w:r>
              <w:r w:rsidR="00C3196F">
                <w:tab/>
              </w:r>
              <w:r w:rsidR="00C3196F">
                <w:fldChar w:fldCharType="begin"/>
              </w:r>
              <w:r w:rsidR="00C3196F">
                <w:instrText xml:space="preserve"> PAGEREF _Toc485158209 \h </w:instrText>
              </w:r>
              <w:r w:rsidR="00C3196F">
                <w:fldChar w:fldCharType="separate"/>
              </w:r>
              <w:r w:rsidR="00C46710">
                <w:t>8</w:t>
              </w:r>
              <w:r w:rsidR="00C3196F">
                <w:fldChar w:fldCharType="end"/>
              </w:r>
            </w:hyperlink>
          </w:p>
          <w:p w:rsidR="00C3196F" w:rsidRDefault="003A3F36">
            <w:pPr>
              <w:pStyle w:val="TDC1"/>
              <w:rPr>
                <w:rFonts w:asciiTheme="minorHAnsi" w:hAnsiTheme="minorHAnsi" w:cstheme="minorBidi"/>
                <w:color w:val="auto"/>
                <w:sz w:val="22"/>
                <w:szCs w:val="22"/>
                <w:lang w:val="es-MX" w:eastAsia="es-MX"/>
              </w:rPr>
            </w:pPr>
            <w:hyperlink w:anchor="_Toc485158210" w:history="1">
              <w:r w:rsidR="00C3196F" w:rsidRPr="00570F55">
                <w:rPr>
                  <w:rStyle w:val="Hipervnculo"/>
                </w:rPr>
                <w:t>3</w:t>
              </w:r>
              <w:r w:rsidR="00C3196F">
                <w:rPr>
                  <w:rFonts w:asciiTheme="minorHAnsi" w:hAnsiTheme="minorHAnsi" w:cstheme="minorBidi"/>
                  <w:color w:val="auto"/>
                  <w:sz w:val="22"/>
                  <w:szCs w:val="22"/>
                  <w:lang w:val="es-MX" w:eastAsia="es-MX"/>
                </w:rPr>
                <w:tab/>
              </w:r>
              <w:r w:rsidR="00C3196F" w:rsidRPr="00570F55">
                <w:rPr>
                  <w:rStyle w:val="Hipervnculo"/>
                </w:rPr>
                <w:t>Actualización del modelo</w:t>
              </w:r>
              <w:r w:rsidR="00C3196F">
                <w:tab/>
              </w:r>
              <w:r w:rsidR="00C3196F">
                <w:fldChar w:fldCharType="begin"/>
              </w:r>
              <w:r w:rsidR="00C3196F">
                <w:instrText xml:space="preserve"> PAGEREF _Toc485158210 \h </w:instrText>
              </w:r>
              <w:r w:rsidR="00C3196F">
                <w:fldChar w:fldCharType="separate"/>
              </w:r>
              <w:r w:rsidR="00C46710">
                <w:t>9</w:t>
              </w:r>
              <w:r w:rsidR="00C3196F">
                <w:fldChar w:fldCharType="end"/>
              </w:r>
            </w:hyperlink>
          </w:p>
          <w:p w:rsidR="00C3196F" w:rsidRDefault="003A3F36">
            <w:pPr>
              <w:pStyle w:val="TDC2"/>
              <w:rPr>
                <w:rFonts w:asciiTheme="minorHAnsi" w:hAnsiTheme="minorHAnsi" w:cstheme="minorBidi"/>
                <w:color w:val="auto"/>
                <w:sz w:val="22"/>
                <w:szCs w:val="22"/>
                <w:lang w:val="es-MX" w:eastAsia="es-MX"/>
              </w:rPr>
            </w:pPr>
            <w:hyperlink w:anchor="_Toc485158211" w:history="1">
              <w:r w:rsidR="00C3196F" w:rsidRPr="00570F55">
                <w:rPr>
                  <w:rStyle w:val="Hipervnculo"/>
                </w:rPr>
                <w:t>3.1</w:t>
              </w:r>
              <w:r w:rsidR="00C3196F">
                <w:rPr>
                  <w:rFonts w:asciiTheme="minorHAnsi" w:hAnsiTheme="minorHAnsi" w:cstheme="minorBidi"/>
                  <w:color w:val="auto"/>
                  <w:sz w:val="22"/>
                  <w:szCs w:val="22"/>
                  <w:lang w:val="es-MX" w:eastAsia="es-MX"/>
                </w:rPr>
                <w:tab/>
              </w:r>
              <w:r w:rsidR="00C3196F" w:rsidRPr="00570F55">
                <w:rPr>
                  <w:rStyle w:val="Hipervnculo"/>
                </w:rPr>
                <w:t>Información requerida</w:t>
              </w:r>
              <w:r w:rsidR="00C3196F">
                <w:tab/>
              </w:r>
              <w:r w:rsidR="00C3196F">
                <w:fldChar w:fldCharType="begin"/>
              </w:r>
              <w:r w:rsidR="00C3196F">
                <w:instrText xml:space="preserve"> PAGEREF _Toc485158211 \h </w:instrText>
              </w:r>
              <w:r w:rsidR="00C3196F">
                <w:fldChar w:fldCharType="separate"/>
              </w:r>
              <w:r w:rsidR="00C46710">
                <w:t>9</w:t>
              </w:r>
              <w:r w:rsidR="00C3196F">
                <w:fldChar w:fldCharType="end"/>
              </w:r>
            </w:hyperlink>
          </w:p>
          <w:p w:rsidR="00CE2B46" w:rsidRPr="00DF612F" w:rsidRDefault="00CE2B46" w:rsidP="00F25DFA">
            <w:pPr>
              <w:pStyle w:val="Spacer"/>
            </w:pPr>
            <w:r w:rsidRPr="00DF612F">
              <w:fldChar w:fldCharType="end"/>
            </w:r>
          </w:p>
        </w:tc>
      </w:tr>
      <w:tr w:rsidR="005646E5" w:rsidRPr="00DF612F" w:rsidTr="00DF612F">
        <w:tc>
          <w:tcPr>
            <w:tcW w:w="5000" w:type="pct"/>
            <w:tcMar>
              <w:top w:w="142" w:type="dxa"/>
            </w:tcMar>
          </w:tcPr>
          <w:p w:rsidR="005646E5" w:rsidRPr="005646E5" w:rsidRDefault="005646E5" w:rsidP="005646E5">
            <w:pPr>
              <w:pStyle w:val="Spacer"/>
            </w:pPr>
            <w:bookmarkStart w:id="9" w:name="BM_ToF" w:colFirst="0" w:colLast="0"/>
            <w:bookmarkEnd w:id="8"/>
          </w:p>
        </w:tc>
      </w:tr>
      <w:tr w:rsidR="005646E5" w:rsidRPr="00DF612F" w:rsidTr="00DF612F">
        <w:tc>
          <w:tcPr>
            <w:tcW w:w="5000" w:type="pct"/>
            <w:tcMar>
              <w:top w:w="142" w:type="dxa"/>
            </w:tcMar>
          </w:tcPr>
          <w:p w:rsidR="005646E5" w:rsidRPr="005646E5" w:rsidRDefault="005646E5" w:rsidP="005646E5">
            <w:pPr>
              <w:pStyle w:val="Spacer"/>
            </w:pPr>
            <w:bookmarkStart w:id="10" w:name="BM_ToT" w:colFirst="0" w:colLast="0"/>
            <w:bookmarkEnd w:id="9"/>
          </w:p>
        </w:tc>
      </w:tr>
      <w:tr w:rsidR="00E17173" w:rsidRPr="00DF612F" w:rsidTr="00DF612F">
        <w:tc>
          <w:tcPr>
            <w:tcW w:w="5000" w:type="pct"/>
            <w:tcMar>
              <w:top w:w="142" w:type="dxa"/>
            </w:tcMar>
          </w:tcPr>
          <w:p w:rsidR="00E95922" w:rsidRPr="005646E5" w:rsidRDefault="00E95922" w:rsidP="005646E5">
            <w:pPr>
              <w:pStyle w:val="Spacer"/>
            </w:pPr>
            <w:bookmarkStart w:id="11" w:name="BM_Exhibits" w:colFirst="0" w:colLast="0"/>
            <w:bookmarkEnd w:id="10"/>
          </w:p>
        </w:tc>
      </w:tr>
    </w:tbl>
    <w:bookmarkEnd w:id="11" w:displacedByCustomXml="next"/>
    <w:bookmarkStart w:id="12" w:name="BM_SecBreakToC" w:displacedByCustomXml="next"/>
    <w:sdt>
      <w:sdtPr>
        <w:alias w:val="Locked Section Break"/>
        <w:tag w:val="Locked Section Break"/>
        <w:id w:val="618500258"/>
        <w:lock w:val="contentLocked"/>
        <w:placeholder>
          <w:docPart w:val="DB3EC2439D6B475590EA538822C20D1E"/>
        </w:placeholder>
        <w:showingPlcHdr/>
      </w:sdtPr>
      <w:sdtEndPr/>
      <w:sdtContent>
        <w:p w:rsidR="00CE2B46" w:rsidRDefault="00CE2B46" w:rsidP="00CE2B46">
          <w:pPr>
            <w:sectPr w:rsidR="00CE2B46" w:rsidSect="00F0455F">
              <w:headerReference w:type="default" r:id="rId9"/>
              <w:footerReference w:type="default" r:id="rId10"/>
              <w:pgSz w:w="11906" w:h="16838" w:code="9"/>
              <w:pgMar w:top="1701" w:right="1985" w:bottom="1418" w:left="1985" w:header="709" w:footer="397" w:gutter="0"/>
              <w:cols w:space="708"/>
              <w:docGrid w:linePitch="360"/>
            </w:sectPr>
          </w:pPr>
          <w:r>
            <w:t xml:space="preserve"> </w:t>
          </w:r>
        </w:p>
      </w:sdtContent>
    </w:sdt>
    <w:p w:rsidR="001E633B" w:rsidRDefault="00E370D0" w:rsidP="00E370D0">
      <w:pPr>
        <w:pStyle w:val="Ttulo1"/>
      </w:pPr>
      <w:bookmarkStart w:id="13" w:name="_Toc485158205"/>
      <w:bookmarkStart w:id="14" w:name="_Toc405820911"/>
      <w:bookmarkEnd w:id="12"/>
      <w:r>
        <w:lastRenderedPageBreak/>
        <w:t>Introducción</w:t>
      </w:r>
      <w:bookmarkEnd w:id="13"/>
    </w:p>
    <w:p w:rsidR="00C8183A" w:rsidRDefault="00C8183A" w:rsidP="00C8183A">
      <w:r>
        <w:t xml:space="preserve">Frontier Economics ha sido contratado por el </w:t>
      </w:r>
      <w:r w:rsidR="008B22A5">
        <w:t>Instituto Federal de Telecomunicaciones (</w:t>
      </w:r>
      <w:r>
        <w:t>IFT</w:t>
      </w:r>
      <w:r w:rsidR="008B22A5">
        <w:t>)</w:t>
      </w:r>
      <w:r>
        <w:t xml:space="preserve"> para desarrollar la metodología y modelización para la evaluación de la replicabilidad de las tarifas al usuario final del Agente Económico Preponderante</w:t>
      </w:r>
      <w:r w:rsidR="00FB715B">
        <w:t xml:space="preserve"> en telecomunicaciones</w:t>
      </w:r>
      <w:r>
        <w:t xml:space="preserve"> (AEP), tal y como se prevé en las med</w:t>
      </w:r>
      <w:r w:rsidR="003F7F16">
        <w:t>idas de preponderancia</w:t>
      </w:r>
      <w:r>
        <w:t>.</w:t>
      </w:r>
      <w:r>
        <w:rPr>
          <w:rStyle w:val="Refdenotaalpie"/>
        </w:rPr>
        <w:footnoteReference w:id="2"/>
      </w:r>
    </w:p>
    <w:p w:rsidR="00C8183A" w:rsidRDefault="00C8183A" w:rsidP="00C8183A">
      <w:r>
        <w:t>Este documento hace referenci</w:t>
      </w:r>
      <w:r w:rsidR="003F7F16">
        <w:t>a a la prueba</w:t>
      </w:r>
      <w:r>
        <w:t xml:space="preserve"> de replicabilidad </w:t>
      </w:r>
      <w:r w:rsidR="0033191C">
        <w:t>económica para</w:t>
      </w:r>
      <w:r>
        <w:t xml:space="preserve"> los </w:t>
      </w:r>
      <w:r w:rsidRPr="002555A2">
        <w:rPr>
          <w:b/>
        </w:rPr>
        <w:t xml:space="preserve">servicios minoristas de </w:t>
      </w:r>
      <w:r w:rsidR="00CB75EC">
        <w:rPr>
          <w:b/>
        </w:rPr>
        <w:t xml:space="preserve">enlaces </w:t>
      </w:r>
      <w:r w:rsidR="008B22A5">
        <w:rPr>
          <w:b/>
        </w:rPr>
        <w:t>dedicados</w:t>
      </w:r>
      <w:r>
        <w:t xml:space="preserve">. El objetivo es evaluar si un operador alternativo que hace uso de los servicios mayoristas regulados puede replicar rentablemente la oferta minorista del AEP para el servicio analizado. </w:t>
      </w:r>
    </w:p>
    <w:p w:rsidR="00C8183A" w:rsidRDefault="0033191C" w:rsidP="00C8183A">
      <w:r>
        <w:t>L</w:t>
      </w:r>
      <w:r w:rsidR="00C8183A">
        <w:t xml:space="preserve">as </w:t>
      </w:r>
      <w:r w:rsidR="003F7F16">
        <w:t>principales dimensiones de la prueba</w:t>
      </w:r>
      <w:r w:rsidR="00C8183A">
        <w:t xml:space="preserve"> se resumen en la </w:t>
      </w:r>
      <w:r w:rsidR="00C8183A">
        <w:fldChar w:fldCharType="begin"/>
      </w:r>
      <w:r w:rsidR="00C8183A">
        <w:instrText xml:space="preserve"> REF _Ref482888419 \h </w:instrText>
      </w:r>
      <w:r w:rsidR="00C8183A">
        <w:fldChar w:fldCharType="separate"/>
      </w:r>
      <w:r w:rsidR="00262492">
        <w:t xml:space="preserve">Figura </w:t>
      </w:r>
      <w:r w:rsidR="00262492">
        <w:rPr>
          <w:noProof/>
        </w:rPr>
        <w:t>1</w:t>
      </w:r>
      <w:r w:rsidR="00C8183A">
        <w:fldChar w:fldCharType="end"/>
      </w:r>
      <w:r w:rsidR="00C8183A">
        <w:t>.</w:t>
      </w:r>
    </w:p>
    <w:p w:rsidR="00C8183A" w:rsidRDefault="00C8183A" w:rsidP="00C8183A">
      <w:pPr>
        <w:pStyle w:val="Descripcin"/>
      </w:pPr>
      <w:bookmarkStart w:id="15" w:name="_Ref482888419"/>
      <w:r>
        <w:lastRenderedPageBreak/>
        <w:t xml:space="preserve">Figura </w:t>
      </w:r>
      <w:r>
        <w:fldChar w:fldCharType="begin"/>
      </w:r>
      <w:r>
        <w:instrText xml:space="preserve"> SEQ Figura </w:instrText>
      </w:r>
      <w:r>
        <w:fldChar w:fldCharType="separate"/>
      </w:r>
      <w:r w:rsidR="00262492">
        <w:rPr>
          <w:noProof/>
        </w:rPr>
        <w:t>1</w:t>
      </w:r>
      <w:r>
        <w:rPr>
          <w:noProof/>
        </w:rPr>
        <w:fldChar w:fldCharType="end"/>
      </w:r>
      <w:bookmarkEnd w:id="15"/>
      <w:r w:rsidR="003F7F16">
        <w:tab/>
        <w:t>Dimensiones de la prueba</w:t>
      </w:r>
      <w:r>
        <w:t xml:space="preserve"> de </w:t>
      </w:r>
      <w:r w:rsidR="00CB75EC">
        <w:t xml:space="preserve">enlaces </w:t>
      </w:r>
      <w:r w:rsidR="008B22A5">
        <w:t>dedicados</w:t>
      </w:r>
    </w:p>
    <w:tbl>
      <w:tblPr>
        <w:tblStyle w:val="Frontier"/>
        <w:tblW w:w="7940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3957"/>
        <w:gridCol w:w="3983"/>
      </w:tblGrid>
      <w:tr w:rsidR="00C8183A" w:rsidRPr="00263104" w:rsidTr="00C81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2492" w:type="pct"/>
          </w:tcPr>
          <w:p w:rsidR="00C8183A" w:rsidRPr="00263104" w:rsidRDefault="00C8183A" w:rsidP="00C8183A">
            <w:pPr>
              <w:pStyle w:val="TableHeadingLeft"/>
            </w:pPr>
            <w:r>
              <w:t>Dimensión</w:t>
            </w:r>
          </w:p>
        </w:tc>
        <w:tc>
          <w:tcPr>
            <w:tcW w:w="2508" w:type="pct"/>
          </w:tcPr>
          <w:p w:rsidR="00C8183A" w:rsidRPr="00263104" w:rsidRDefault="00C8183A" w:rsidP="006C7FCC">
            <w:pPr>
              <w:pStyle w:val="TableHeadingRight"/>
              <w:jc w:val="both"/>
            </w:pPr>
            <w:r>
              <w:t>Especificación</w:t>
            </w:r>
          </w:p>
        </w:tc>
      </w:tr>
      <w:tr w:rsidR="00C8183A" w:rsidRPr="007F007E" w:rsidTr="00C81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492" w:type="pct"/>
          </w:tcPr>
          <w:p w:rsidR="00C8183A" w:rsidRPr="00771C5E" w:rsidRDefault="00C8183A" w:rsidP="00C8183A">
            <w:pPr>
              <w:pStyle w:val="TableTextLeft"/>
              <w:rPr>
                <w:b/>
              </w:rPr>
            </w:pPr>
            <w:r w:rsidRPr="00771C5E">
              <w:rPr>
                <w:b/>
              </w:rPr>
              <w:t>Implementación</w:t>
            </w:r>
          </w:p>
        </w:tc>
        <w:tc>
          <w:tcPr>
            <w:tcW w:w="2508" w:type="pct"/>
          </w:tcPr>
          <w:p w:rsidR="00C8183A" w:rsidRPr="007F007E" w:rsidRDefault="00CB75EC" w:rsidP="0033191C">
            <w:pPr>
              <w:pStyle w:val="TableTextRight"/>
              <w:jc w:val="left"/>
            </w:pPr>
            <w:r>
              <w:t>E</w:t>
            </w:r>
            <w:r w:rsidR="00C8183A">
              <w:t xml:space="preserve">x – post, cada </w:t>
            </w:r>
            <w:r w:rsidR="0033191C">
              <w:t xml:space="preserve">seis </w:t>
            </w:r>
            <w:r w:rsidR="00C8183A">
              <w:t>meses</w:t>
            </w:r>
          </w:p>
        </w:tc>
      </w:tr>
      <w:tr w:rsidR="00C8183A" w:rsidRPr="007F007E" w:rsidTr="00C8183A">
        <w:trPr>
          <w:trHeight w:val="20"/>
        </w:trPr>
        <w:tc>
          <w:tcPr>
            <w:tcW w:w="2492" w:type="pct"/>
          </w:tcPr>
          <w:p w:rsidR="00C8183A" w:rsidRPr="00771C5E" w:rsidRDefault="00C8183A" w:rsidP="00C8183A">
            <w:pPr>
              <w:pStyle w:val="TableTextLeft"/>
              <w:rPr>
                <w:b/>
              </w:rPr>
            </w:pPr>
            <w:r w:rsidRPr="00771C5E">
              <w:rPr>
                <w:b/>
              </w:rPr>
              <w:t>Nivel de eficiencia</w:t>
            </w:r>
          </w:p>
        </w:tc>
        <w:tc>
          <w:tcPr>
            <w:tcW w:w="2508" w:type="pct"/>
          </w:tcPr>
          <w:p w:rsidR="00C8183A" w:rsidRPr="007F007E" w:rsidRDefault="00C8183A" w:rsidP="00C8183A">
            <w:pPr>
              <w:pStyle w:val="TableTextRight"/>
              <w:jc w:val="left"/>
            </w:pPr>
            <w:r>
              <w:t>EEO</w:t>
            </w:r>
            <w:r w:rsidR="00C64669">
              <w:rPr>
                <w:rStyle w:val="Refdenotaalpie"/>
              </w:rPr>
              <w:footnoteReference w:id="3"/>
            </w:r>
          </w:p>
        </w:tc>
      </w:tr>
      <w:tr w:rsidR="00C8183A" w:rsidRPr="007F007E" w:rsidTr="00C81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492" w:type="pct"/>
          </w:tcPr>
          <w:p w:rsidR="00C8183A" w:rsidRPr="00771C5E" w:rsidRDefault="00C8183A" w:rsidP="00C8183A">
            <w:pPr>
              <w:pStyle w:val="TableTextLeft"/>
              <w:rPr>
                <w:b/>
              </w:rPr>
            </w:pPr>
            <w:r w:rsidRPr="00771C5E">
              <w:rPr>
                <w:b/>
              </w:rPr>
              <w:t>Nivel de agregación</w:t>
            </w:r>
          </w:p>
        </w:tc>
        <w:tc>
          <w:tcPr>
            <w:tcW w:w="2508" w:type="pct"/>
          </w:tcPr>
          <w:p w:rsidR="00C8183A" w:rsidRPr="007F007E" w:rsidRDefault="00CB75EC" w:rsidP="00C8183A">
            <w:pPr>
              <w:pStyle w:val="TableTextRight"/>
              <w:jc w:val="left"/>
            </w:pPr>
            <w:r>
              <w:t>Conjunto de las ofertas</w:t>
            </w:r>
          </w:p>
        </w:tc>
      </w:tr>
      <w:tr w:rsidR="00C8183A" w:rsidRPr="007F007E" w:rsidTr="00C8183A">
        <w:trPr>
          <w:trHeight w:val="20"/>
        </w:trPr>
        <w:tc>
          <w:tcPr>
            <w:tcW w:w="2492" w:type="pct"/>
          </w:tcPr>
          <w:p w:rsidR="00C8183A" w:rsidRPr="00771C5E" w:rsidRDefault="00C8183A" w:rsidP="00C8183A">
            <w:pPr>
              <w:pStyle w:val="TableTextLeft"/>
              <w:rPr>
                <w:b/>
              </w:rPr>
            </w:pPr>
            <w:r w:rsidRPr="00771C5E">
              <w:rPr>
                <w:b/>
              </w:rPr>
              <w:t>Estándar de costos</w:t>
            </w:r>
          </w:p>
        </w:tc>
        <w:tc>
          <w:tcPr>
            <w:tcW w:w="2508" w:type="pct"/>
          </w:tcPr>
          <w:p w:rsidR="00C8183A" w:rsidRPr="007F007E" w:rsidRDefault="00CB75EC" w:rsidP="00C64669">
            <w:pPr>
              <w:pStyle w:val="TableTextRight"/>
              <w:jc w:val="left"/>
            </w:pPr>
            <w:r>
              <w:t>LRIC+</w:t>
            </w:r>
            <w:r w:rsidR="00C64669">
              <w:rPr>
                <w:rStyle w:val="Refdenotaalpie"/>
              </w:rPr>
              <w:footnoteReference w:id="4"/>
            </w:r>
            <w:r w:rsidR="00C8183A">
              <w:t xml:space="preserve"> </w:t>
            </w:r>
            <w:r w:rsidR="0033191C">
              <w:t>(FAC</w:t>
            </w:r>
            <w:r w:rsidR="00C64669">
              <w:rPr>
                <w:rStyle w:val="Refdenotaalpie"/>
              </w:rPr>
              <w:footnoteReference w:id="5"/>
            </w:r>
            <w:r w:rsidR="0033191C">
              <w:t xml:space="preserve"> si LRIC+ no está disponible)</w:t>
            </w:r>
          </w:p>
        </w:tc>
      </w:tr>
      <w:tr w:rsidR="00C8183A" w:rsidRPr="007F007E" w:rsidTr="00C81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492" w:type="pct"/>
          </w:tcPr>
          <w:p w:rsidR="00C8183A" w:rsidRPr="00771C5E" w:rsidRDefault="00C8183A" w:rsidP="00C8183A">
            <w:pPr>
              <w:pStyle w:val="TableTextLeft"/>
              <w:rPr>
                <w:b/>
              </w:rPr>
            </w:pPr>
            <w:r w:rsidRPr="00771C5E">
              <w:rPr>
                <w:b/>
              </w:rPr>
              <w:t>Servicios mayoristas</w:t>
            </w:r>
          </w:p>
        </w:tc>
        <w:tc>
          <w:tcPr>
            <w:tcW w:w="2508" w:type="pct"/>
          </w:tcPr>
          <w:p w:rsidR="00C8183A" w:rsidRPr="007F007E" w:rsidRDefault="003F7F16" w:rsidP="00016743">
            <w:pPr>
              <w:pStyle w:val="TableTextRight"/>
              <w:jc w:val="left"/>
            </w:pPr>
            <w:r>
              <w:t>Pruebas separada</w:t>
            </w:r>
            <w:r w:rsidR="00CB75EC" w:rsidRPr="00CB75EC">
              <w:t xml:space="preserve">s para </w:t>
            </w:r>
            <w:r w:rsidR="00016743">
              <w:t>los enlaces</w:t>
            </w:r>
            <w:r w:rsidR="00CB75EC" w:rsidRPr="00CB75EC">
              <w:t xml:space="preserve"> dedicad</w:t>
            </w:r>
            <w:r w:rsidR="00016743">
              <w:t>o</w:t>
            </w:r>
            <w:r w:rsidR="00CB75EC" w:rsidRPr="00CB75EC">
              <w:t>s loc</w:t>
            </w:r>
            <w:r w:rsidR="00CB75EC">
              <w:t>ales, entre localidades e internacionales</w:t>
            </w:r>
          </w:p>
        </w:tc>
      </w:tr>
      <w:tr w:rsidR="00C8183A" w:rsidRPr="007F007E" w:rsidTr="00C8183A">
        <w:trPr>
          <w:trHeight w:val="20"/>
        </w:trPr>
        <w:tc>
          <w:tcPr>
            <w:tcW w:w="2492" w:type="pct"/>
          </w:tcPr>
          <w:p w:rsidR="00C8183A" w:rsidRPr="00771C5E" w:rsidRDefault="00C8183A" w:rsidP="00C8183A">
            <w:pPr>
              <w:pStyle w:val="TableTextLeft"/>
              <w:rPr>
                <w:b/>
              </w:rPr>
            </w:pPr>
            <w:r w:rsidRPr="00771C5E">
              <w:rPr>
                <w:b/>
              </w:rPr>
              <w:t>Precio de los insumos mayoristas</w:t>
            </w:r>
          </w:p>
        </w:tc>
        <w:tc>
          <w:tcPr>
            <w:tcW w:w="2508" w:type="pct"/>
          </w:tcPr>
          <w:p w:rsidR="00C8183A" w:rsidRPr="007F007E" w:rsidRDefault="00F85DFE" w:rsidP="00F85DFE">
            <w:pPr>
              <w:pStyle w:val="TableTextRight"/>
              <w:jc w:val="left"/>
            </w:pPr>
            <w:r>
              <w:t>Precios de catálogo (tarifas del modelo de costos de Enlaces Dedicados)</w:t>
            </w:r>
            <w:r w:rsidR="00C410E9">
              <w:rPr>
                <w:rStyle w:val="Refdenotaalpie"/>
              </w:rPr>
              <w:footnoteReference w:id="6"/>
            </w:r>
          </w:p>
        </w:tc>
      </w:tr>
      <w:tr w:rsidR="00C8183A" w:rsidRPr="00263104" w:rsidTr="00C81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492" w:type="pct"/>
          </w:tcPr>
          <w:p w:rsidR="00C8183A" w:rsidRPr="00771C5E" w:rsidRDefault="00C8183A" w:rsidP="00C8183A">
            <w:pPr>
              <w:pStyle w:val="TableTextLeft"/>
              <w:rPr>
                <w:b/>
              </w:rPr>
            </w:pPr>
            <w:r w:rsidRPr="00771C5E">
              <w:rPr>
                <w:b/>
              </w:rPr>
              <w:t xml:space="preserve">Evaluación de la rentabilidad </w:t>
            </w:r>
          </w:p>
        </w:tc>
        <w:tc>
          <w:tcPr>
            <w:tcW w:w="2508" w:type="pct"/>
          </w:tcPr>
          <w:p w:rsidR="00C8183A" w:rsidRPr="00263104" w:rsidRDefault="00CB75EC" w:rsidP="00C8183A">
            <w:pPr>
              <w:pStyle w:val="TableTextRight"/>
              <w:jc w:val="left"/>
            </w:pPr>
            <w:r>
              <w:t>Período a período</w:t>
            </w:r>
          </w:p>
        </w:tc>
      </w:tr>
    </w:tbl>
    <w:p w:rsidR="00C8183A" w:rsidRPr="001631D3" w:rsidRDefault="00C8183A" w:rsidP="00C8183A">
      <w:pPr>
        <w:pStyle w:val="Source"/>
      </w:pPr>
      <w:r>
        <w:t>Fuente</w:t>
      </w:r>
      <w:r w:rsidRPr="001631D3">
        <w:t xml:space="preserve">: </w:t>
      </w:r>
      <w:r>
        <w:tab/>
        <w:t>Frontier Economics.</w:t>
      </w:r>
    </w:p>
    <w:p w:rsidR="00C8183A" w:rsidRPr="00771C5E" w:rsidRDefault="00C8183A" w:rsidP="00C8183A">
      <w:pPr>
        <w:pStyle w:val="Source"/>
      </w:pPr>
      <w:r w:rsidRPr="00771C5E">
        <w:t>Nota:</w:t>
      </w:r>
      <w:r w:rsidRPr="00771C5E">
        <w:tab/>
      </w:r>
      <w:r>
        <w:t xml:space="preserve">Para más detalle véase el documento de consulta </w:t>
      </w:r>
      <w:r w:rsidR="007132C8">
        <w:t xml:space="preserve">MARCO </w:t>
      </w:r>
      <w:r w:rsidR="00EF5499">
        <w:t>METODOLGICO</w:t>
      </w:r>
      <w:r w:rsidR="007132C8">
        <w:t>.</w:t>
      </w:r>
    </w:p>
    <w:p w:rsidR="00C8183A" w:rsidRPr="00771C5E" w:rsidRDefault="00C8183A" w:rsidP="00C8183A"/>
    <w:p w:rsidR="00C8183A" w:rsidRDefault="00C8183A" w:rsidP="00C8183A">
      <w:r>
        <w:t>Este manual describe el modelo desarrollado con el objetivo de guiar en su implementación por parte del IFT.</w:t>
      </w:r>
    </w:p>
    <w:p w:rsidR="00C8183A" w:rsidRDefault="00C8183A" w:rsidP="00C8183A">
      <w:r>
        <w:lastRenderedPageBreak/>
        <w:t>El documento se estructura de la siguiente manera:</w:t>
      </w:r>
    </w:p>
    <w:p w:rsidR="00C8183A" w:rsidRDefault="00016743" w:rsidP="00C8183A">
      <w:pPr>
        <w:pStyle w:val="ListBullet1"/>
      </w:pPr>
      <w:r>
        <w:t>L</w:t>
      </w:r>
      <w:r w:rsidR="00C8183A">
        <w:t xml:space="preserve">a sección </w:t>
      </w:r>
      <w:r w:rsidR="008917F2">
        <w:t xml:space="preserve">2 </w:t>
      </w:r>
      <w:r w:rsidR="00C8183A">
        <w:t>explica la estructura y funcionamiento del modelo.</w:t>
      </w:r>
    </w:p>
    <w:p w:rsidR="00C8183A" w:rsidRDefault="00C8183A" w:rsidP="00C8183A">
      <w:pPr>
        <w:pStyle w:val="ListBullet1"/>
      </w:pPr>
      <w:r>
        <w:t xml:space="preserve">La sección </w:t>
      </w:r>
      <w:r w:rsidR="008917F2">
        <w:t xml:space="preserve">3 </w:t>
      </w:r>
      <w:r>
        <w:t xml:space="preserve">detalla la información requerida para poblarlo. </w:t>
      </w:r>
    </w:p>
    <w:p w:rsidR="00A375BB" w:rsidRDefault="002344E0" w:rsidP="002344E0">
      <w:pPr>
        <w:pStyle w:val="Ttulo1"/>
      </w:pPr>
      <w:bookmarkStart w:id="16" w:name="_Ref482972316"/>
      <w:bookmarkStart w:id="17" w:name="_Toc485158206"/>
      <w:r>
        <w:lastRenderedPageBreak/>
        <w:t>Estructura</w:t>
      </w:r>
      <w:r w:rsidR="00385933">
        <w:t xml:space="preserve"> y funcionamiento</w:t>
      </w:r>
      <w:r>
        <w:t xml:space="preserve"> de</w:t>
      </w:r>
      <w:r w:rsidR="00C74C61">
        <w:t>l</w:t>
      </w:r>
      <w:r w:rsidR="00E545EC">
        <w:t xml:space="preserve"> </w:t>
      </w:r>
      <w:bookmarkEnd w:id="16"/>
      <w:r w:rsidR="00C74C61">
        <w:t>modelo</w:t>
      </w:r>
      <w:bookmarkEnd w:id="17"/>
      <w:r>
        <w:t xml:space="preserve"> </w:t>
      </w:r>
    </w:p>
    <w:p w:rsidR="00540288" w:rsidRDefault="00540288" w:rsidP="00972BEE">
      <w:r>
        <w:t>El modelo evalúa</w:t>
      </w:r>
      <w:r w:rsidR="00E545EC">
        <w:t xml:space="preserve"> la r</w:t>
      </w:r>
      <w:r>
        <w:t xml:space="preserve">eplicabilidad a nivel agregado de los servicios minoristas de enlaces </w:t>
      </w:r>
      <w:r w:rsidR="00016743">
        <w:t>dedicados</w:t>
      </w:r>
      <w:r w:rsidR="007132C8">
        <w:t>. La prueba</w:t>
      </w:r>
      <w:r>
        <w:t xml:space="preserve"> se </w:t>
      </w:r>
      <w:r w:rsidR="00016743">
        <w:t>implementa</w:t>
      </w:r>
      <w:r w:rsidR="006B6674">
        <w:t xml:space="preserve"> cada </w:t>
      </w:r>
      <w:r w:rsidR="00016743">
        <w:t xml:space="preserve">seis </w:t>
      </w:r>
      <w:r w:rsidR="006B6674">
        <w:t>meses</w:t>
      </w:r>
      <w:r>
        <w:t xml:space="preserve"> para cada un</w:t>
      </w:r>
      <w:r w:rsidR="00016743">
        <w:t>o</w:t>
      </w:r>
      <w:r>
        <w:t xml:space="preserve"> de los siguientes servicios:</w:t>
      </w:r>
    </w:p>
    <w:p w:rsidR="00540288" w:rsidRDefault="00540288" w:rsidP="00540288">
      <w:pPr>
        <w:pStyle w:val="ParaBullet1"/>
      </w:pPr>
      <w:r>
        <w:t>Enlaces locales</w:t>
      </w:r>
      <w:r w:rsidR="006C7FCC">
        <w:t>;</w:t>
      </w:r>
    </w:p>
    <w:p w:rsidR="00540288" w:rsidRDefault="006B6674" w:rsidP="00540288">
      <w:pPr>
        <w:pStyle w:val="ParaBullet1"/>
      </w:pPr>
      <w:r>
        <w:t>Enlaces entre localidades</w:t>
      </w:r>
      <w:r w:rsidR="00A7003A">
        <w:t>,</w:t>
      </w:r>
      <w:r w:rsidR="006C7FCC">
        <w:t xml:space="preserve"> y</w:t>
      </w:r>
    </w:p>
    <w:p w:rsidR="006B6674" w:rsidRDefault="006B6674" w:rsidP="00540288">
      <w:pPr>
        <w:pStyle w:val="ParaBullet1"/>
      </w:pPr>
      <w:r>
        <w:t>Enlaces de larga distancia internacional</w:t>
      </w:r>
      <w:r w:rsidR="006C7FCC">
        <w:t>.</w:t>
      </w:r>
      <w:r w:rsidR="00016743">
        <w:t xml:space="preserve"> </w:t>
      </w:r>
    </w:p>
    <w:p w:rsidR="002E62B3" w:rsidRDefault="002E62B3" w:rsidP="002E62B3">
      <w:r>
        <w:t>En los tres casos se</w:t>
      </w:r>
      <w:r w:rsidR="00E545EC">
        <w:t xml:space="preserve"> </w:t>
      </w:r>
      <w:r>
        <w:t>reporta</w:t>
      </w:r>
      <w:r w:rsidR="00E545EC">
        <w:t xml:space="preserve"> </w:t>
      </w:r>
      <w:r>
        <w:t>el margen</w:t>
      </w:r>
      <w:r w:rsidR="00E545EC">
        <w:t>,</w:t>
      </w:r>
      <w:r w:rsidR="00E42C73">
        <w:t xml:space="preserve"> en términos porcentuales sobre los ingresos</w:t>
      </w:r>
      <w:r>
        <w:t xml:space="preserve"> obtenidos durante el período considerado. </w:t>
      </w:r>
    </w:p>
    <w:p w:rsidR="009C5B9A" w:rsidRDefault="009C5B9A" w:rsidP="002E62B3">
      <w:r w:rsidRPr="009C5B9A">
        <w:t xml:space="preserve">El margen se estima como la diferencia entre los ingresos reportados por el AEP en la provisión minorista de </w:t>
      </w:r>
      <w:r w:rsidR="009209D1">
        <w:t xml:space="preserve">enlaces </w:t>
      </w:r>
      <w:r w:rsidR="008B22A5">
        <w:t>dedicados</w:t>
      </w:r>
      <w:r w:rsidRPr="009C5B9A">
        <w:t>, los pagos mayoristas asociados al servicio mayorista y los costos minoristas que conlleva la comercialización minorista de los servicios.</w:t>
      </w:r>
    </w:p>
    <w:p w:rsidR="00D64608" w:rsidRDefault="00E45B9D" w:rsidP="00E42C73">
      <w:r>
        <w:t xml:space="preserve">Si el margen es positivo, el modelo indica la replicabilidad </w:t>
      </w:r>
      <w:r w:rsidR="005B7224">
        <w:t xml:space="preserve">del conjunto de las ofertas </w:t>
      </w:r>
      <w:r w:rsidR="00D64608">
        <w:t xml:space="preserve">según </w:t>
      </w:r>
      <w:r w:rsidR="005B7224">
        <w:t xml:space="preserve">el </w:t>
      </w:r>
      <w:r w:rsidR="00D64608">
        <w:t>tipo de enlace</w:t>
      </w:r>
      <w:r>
        <w:t xml:space="preserve">. </w:t>
      </w:r>
    </w:p>
    <w:p w:rsidR="009209D1" w:rsidRDefault="009209D1" w:rsidP="00E42C73">
      <w:r>
        <w:t>El modelo se compone de los siguientes módulos</w:t>
      </w:r>
      <w:r w:rsidR="00D64608">
        <w:t>:</w:t>
      </w:r>
    </w:p>
    <w:p w:rsidR="00F7110F" w:rsidRDefault="00F7110F" w:rsidP="00F7110F">
      <w:pPr>
        <w:pStyle w:val="ListBullet1"/>
      </w:pPr>
      <w:r>
        <w:lastRenderedPageBreak/>
        <w:t xml:space="preserve">El </w:t>
      </w:r>
      <w:r w:rsidRPr="002D4BCA">
        <w:rPr>
          <w:b/>
        </w:rPr>
        <w:t>módulo de resultados</w:t>
      </w:r>
      <w:r w:rsidR="00DA04F6">
        <w:t>.</w:t>
      </w:r>
      <w:r>
        <w:t xml:space="preserve"> </w:t>
      </w:r>
      <w:r w:rsidR="00DA04F6">
        <w:t>R</w:t>
      </w:r>
      <w:r w:rsidR="00574D66">
        <w:t xml:space="preserve">eporta </w:t>
      </w:r>
      <w:r>
        <w:t>el margen para el periodo considerado;</w:t>
      </w:r>
    </w:p>
    <w:p w:rsidR="00F7110F" w:rsidRDefault="00F7110F" w:rsidP="00F7110F">
      <w:pPr>
        <w:pStyle w:val="ListBullet1"/>
      </w:pPr>
      <w:r>
        <w:t xml:space="preserve">El </w:t>
      </w:r>
      <w:r w:rsidRPr="002D4BCA">
        <w:rPr>
          <w:b/>
        </w:rPr>
        <w:t>módulo de cálculos</w:t>
      </w:r>
      <w:r w:rsidR="00DA04F6">
        <w:t>.</w:t>
      </w:r>
      <w:r>
        <w:t xml:space="preserve"> </w:t>
      </w:r>
      <w:r w:rsidR="00DA04F6">
        <w:t>S</w:t>
      </w:r>
      <w:r>
        <w:t xml:space="preserve">e </w:t>
      </w:r>
      <w:r w:rsidR="00DA04F6">
        <w:t xml:space="preserve">estiman </w:t>
      </w:r>
      <w:r>
        <w:t>los ingresos</w:t>
      </w:r>
      <w:r w:rsidR="00DA04F6">
        <w:t>, los pagos mayoristas al AEP y los costos minoristas</w:t>
      </w:r>
      <w:r w:rsidR="00A7003A">
        <w:t>,</w:t>
      </w:r>
      <w:r w:rsidR="00DA04F6">
        <w:t xml:space="preserve"> y</w:t>
      </w:r>
    </w:p>
    <w:p w:rsidR="00F7110F" w:rsidRDefault="00F7110F" w:rsidP="00F7110F">
      <w:pPr>
        <w:pStyle w:val="ListBullet1"/>
      </w:pPr>
      <w:r>
        <w:t xml:space="preserve">El </w:t>
      </w:r>
      <w:r w:rsidRPr="002D4BCA">
        <w:rPr>
          <w:b/>
        </w:rPr>
        <w:t>módulo de insumos</w:t>
      </w:r>
      <w:r w:rsidR="00DA04F6">
        <w:t>. En este módulo contiene el requerimiento de información al AEP y especifica la información requerida de la oferta mayorista.</w:t>
      </w:r>
    </w:p>
    <w:p w:rsidR="00B20460" w:rsidRDefault="00B20460" w:rsidP="00B20460">
      <w:pPr>
        <w:pStyle w:val="ListBullet1"/>
      </w:pPr>
      <w:r>
        <w:t xml:space="preserve">El </w:t>
      </w:r>
      <w:r w:rsidRPr="002D4BCA">
        <w:rPr>
          <w:b/>
        </w:rPr>
        <w:t xml:space="preserve">módulo de </w:t>
      </w:r>
      <w:r>
        <w:rPr>
          <w:b/>
        </w:rPr>
        <w:t>supuestos</w:t>
      </w:r>
      <w:r>
        <w:t xml:space="preserve">. </w:t>
      </w:r>
    </w:p>
    <w:p w:rsidR="009209D1" w:rsidRDefault="009209D1" w:rsidP="00F7110F">
      <w:pPr>
        <w:pStyle w:val="ParaBullet1"/>
        <w:numPr>
          <w:ilvl w:val="0"/>
          <w:numId w:val="0"/>
        </w:numPr>
        <w:ind w:left="340"/>
      </w:pPr>
    </w:p>
    <w:p w:rsidR="005464B3" w:rsidRDefault="005464B3" w:rsidP="00E42C73"/>
    <w:tbl>
      <w:tblPr>
        <w:tblW w:w="7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0"/>
      </w:tblGrid>
      <w:tr w:rsidR="005464B3" w:rsidTr="00054812">
        <w:tc>
          <w:tcPr>
            <w:tcW w:w="5000" w:type="pct"/>
            <w:noWrap/>
          </w:tcPr>
          <w:p w:rsidR="005464B3" w:rsidRPr="00F52EB6" w:rsidRDefault="005464B3" w:rsidP="00D64608">
            <w:pPr>
              <w:pStyle w:val="Descripcin"/>
            </w:pPr>
            <w:r>
              <w:t xml:space="preserve">Figura </w:t>
            </w:r>
            <w:r>
              <w:fldChar w:fldCharType="begin"/>
            </w:r>
            <w:r>
              <w:instrText xml:space="preserve"> SEQ Figura </w:instrText>
            </w:r>
            <w:r>
              <w:fldChar w:fldCharType="separate"/>
            </w:r>
            <w:r w:rsidR="00262492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>
              <w:tab/>
              <w:t xml:space="preserve">Estructura del modelo para el análisis de las ofertas </w:t>
            </w:r>
            <w:r w:rsidR="00D64608">
              <w:t xml:space="preserve">de enlaces </w:t>
            </w:r>
            <w:r w:rsidR="008B22A5">
              <w:t>dedicados</w:t>
            </w:r>
            <w:r w:rsidR="00D64608">
              <w:t xml:space="preserve"> según tipología de enlace</w:t>
            </w:r>
          </w:p>
        </w:tc>
      </w:tr>
      <w:tr w:rsidR="005464B3" w:rsidRPr="005464B3" w:rsidTr="00054812">
        <w:tc>
          <w:tcPr>
            <w:tcW w:w="5000" w:type="pct"/>
            <w:noWrap/>
          </w:tcPr>
          <w:p w:rsidR="005464B3" w:rsidRPr="00E60D45" w:rsidRDefault="005464B3" w:rsidP="0055405C">
            <w:pPr>
              <w:pStyle w:val="GraphicLeft"/>
              <w:keepNext/>
            </w:pPr>
          </w:p>
          <w:p w:rsidR="0043041A" w:rsidRPr="00054812" w:rsidRDefault="0043041A" w:rsidP="0055405C">
            <w:pPr>
              <w:pStyle w:val="GraphicLeft"/>
              <w:keepNext/>
              <w:rPr>
                <w:lang w:val="en-GB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30400354" wp14:editId="22CC6CAF">
                  <wp:extent cx="4114800" cy="4055203"/>
                  <wp:effectExtent l="0" t="0" r="0" b="254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4055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4B3" w:rsidRPr="005464B3" w:rsidTr="00054812">
        <w:tc>
          <w:tcPr>
            <w:tcW w:w="5000" w:type="pct"/>
            <w:noWrap/>
          </w:tcPr>
          <w:p w:rsidR="005464B3" w:rsidRPr="005464B3" w:rsidRDefault="005464B3" w:rsidP="007132C8">
            <w:pPr>
              <w:pStyle w:val="Source"/>
            </w:pPr>
            <w:r w:rsidRPr="00A0617A">
              <w:t>Fuente:</w:t>
            </w:r>
            <w:r w:rsidRPr="00A0617A">
              <w:tab/>
            </w:r>
            <w:r w:rsidR="007132C8" w:rsidRPr="00A33787">
              <w:t>Prueba de Replicabilidad Enlaces Dedicados</w:t>
            </w:r>
            <w:r w:rsidR="007132C8">
              <w:t>.</w:t>
            </w:r>
          </w:p>
        </w:tc>
      </w:tr>
    </w:tbl>
    <w:p w:rsidR="005464B3" w:rsidRDefault="005464B3" w:rsidP="005464B3"/>
    <w:p w:rsidR="00424001" w:rsidRDefault="00424001" w:rsidP="00424001">
      <w:pPr>
        <w:pStyle w:val="Ttulo4"/>
      </w:pPr>
      <w:r>
        <w:lastRenderedPageBreak/>
        <w:t>Notación</w:t>
      </w:r>
    </w:p>
    <w:p w:rsidR="00424001" w:rsidRDefault="00424001" w:rsidP="00424001">
      <w:r>
        <w:t xml:space="preserve">Los distintos modelos emplean una notación </w:t>
      </w:r>
      <w:r w:rsidR="00FB715B">
        <w:t xml:space="preserve">homogénea </w:t>
      </w:r>
      <w:r>
        <w:t xml:space="preserve">para facilitar el entendimiento y uso de los mismos, tal y como se detalla en la </w:t>
      </w:r>
      <w:r w:rsidR="00391142">
        <w:fldChar w:fldCharType="begin"/>
      </w:r>
      <w:r w:rsidR="00391142">
        <w:instrText xml:space="preserve"> REF _Ref483386838 \h </w:instrText>
      </w:r>
      <w:r w:rsidR="00391142">
        <w:fldChar w:fldCharType="separate"/>
      </w:r>
      <w:r w:rsidR="00262492">
        <w:t xml:space="preserve">Figura </w:t>
      </w:r>
      <w:r w:rsidR="00262492">
        <w:rPr>
          <w:noProof/>
        </w:rPr>
        <w:t>3</w:t>
      </w:r>
      <w:r w:rsidR="00391142">
        <w:fldChar w:fldCharType="end"/>
      </w:r>
      <w:r>
        <w:t>.</w:t>
      </w:r>
    </w:p>
    <w:tbl>
      <w:tblPr>
        <w:tblW w:w="7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0"/>
      </w:tblGrid>
      <w:tr w:rsidR="00424001" w:rsidTr="0020743C">
        <w:tc>
          <w:tcPr>
            <w:tcW w:w="5000" w:type="pct"/>
            <w:noWrap/>
          </w:tcPr>
          <w:p w:rsidR="00424001" w:rsidRPr="00F52EB6" w:rsidRDefault="00424001" w:rsidP="0020743C">
            <w:pPr>
              <w:pStyle w:val="Descripcin"/>
            </w:pPr>
            <w:bookmarkStart w:id="18" w:name="_Ref483386838"/>
            <w:r>
              <w:t xml:space="preserve">Figura </w:t>
            </w:r>
            <w:r>
              <w:fldChar w:fldCharType="begin"/>
            </w:r>
            <w:r>
              <w:instrText xml:space="preserve"> SEQ Figura </w:instrText>
            </w:r>
            <w:r>
              <w:fldChar w:fldCharType="separate"/>
            </w:r>
            <w:r w:rsidR="00262492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  <w:bookmarkEnd w:id="18"/>
            <w:r>
              <w:tab/>
              <w:t>Notación empleada en el modelo</w:t>
            </w:r>
          </w:p>
        </w:tc>
      </w:tr>
      <w:tr w:rsidR="00424001" w:rsidRPr="00444002" w:rsidTr="0020743C">
        <w:tc>
          <w:tcPr>
            <w:tcW w:w="5000" w:type="pct"/>
            <w:noWrap/>
          </w:tcPr>
          <w:p w:rsidR="00424001" w:rsidRPr="00444002" w:rsidRDefault="00E2456D" w:rsidP="0020743C">
            <w:pPr>
              <w:pStyle w:val="GraphicLeft"/>
              <w:keepNext/>
              <w:rPr>
                <w:lang w:val="en-GB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17722DC6" wp14:editId="1252C140">
                  <wp:extent cx="5041900" cy="2095500"/>
                  <wp:effectExtent l="0" t="0" r="635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001" w:rsidRPr="00444002" w:rsidTr="0020743C">
        <w:tc>
          <w:tcPr>
            <w:tcW w:w="5000" w:type="pct"/>
            <w:noWrap/>
          </w:tcPr>
          <w:p w:rsidR="00424001" w:rsidRPr="00E60D45" w:rsidRDefault="00424001" w:rsidP="0020743C">
            <w:pPr>
              <w:pStyle w:val="Source"/>
            </w:pPr>
            <w:r w:rsidRPr="00E60D45">
              <w:t>Fuente:</w:t>
            </w:r>
            <w:r w:rsidRPr="00E60D45">
              <w:tab/>
            </w:r>
            <w:r w:rsidR="007132C8" w:rsidRPr="00A33787">
              <w:t>Prueba de Replicabilidad Enlaces Dedicados</w:t>
            </w:r>
            <w:r w:rsidR="007132C8">
              <w:t>.</w:t>
            </w:r>
          </w:p>
        </w:tc>
      </w:tr>
    </w:tbl>
    <w:p w:rsidR="00424001" w:rsidRDefault="00424001" w:rsidP="00424001">
      <w:pPr>
        <w:pStyle w:val="Ttulo2"/>
      </w:pPr>
      <w:bookmarkStart w:id="19" w:name="_Toc483299837"/>
      <w:bookmarkStart w:id="20" w:name="_Toc485158207"/>
      <w:r>
        <w:t>Módulo de resultados</w:t>
      </w:r>
      <w:bookmarkEnd w:id="19"/>
      <w:bookmarkEnd w:id="20"/>
    </w:p>
    <w:p w:rsidR="00424001" w:rsidRDefault="00424001" w:rsidP="00424001">
      <w:pPr>
        <w:rPr>
          <w:rFonts w:ascii="Arial" w:eastAsia="Arial" w:hAnsi="Arial"/>
          <w:color w:val="37424A"/>
        </w:rPr>
      </w:pPr>
      <w:r>
        <w:rPr>
          <w:rFonts w:ascii="Arial" w:eastAsia="Arial" w:hAnsi="Arial"/>
          <w:color w:val="37424A"/>
        </w:rPr>
        <w:t>E</w:t>
      </w:r>
      <w:r w:rsidRPr="005E311C">
        <w:rPr>
          <w:rFonts w:ascii="Arial" w:eastAsia="Arial" w:hAnsi="Arial"/>
          <w:color w:val="37424A"/>
        </w:rPr>
        <w:t>n la hoja “Resultados</w:t>
      </w:r>
      <w:r>
        <w:rPr>
          <w:rFonts w:ascii="Arial" w:eastAsia="Arial" w:hAnsi="Arial"/>
          <w:color w:val="37424A"/>
        </w:rPr>
        <w:t xml:space="preserve">” se muestran </w:t>
      </w:r>
      <w:r w:rsidR="007132C8">
        <w:rPr>
          <w:rFonts w:ascii="Arial" w:eastAsia="Arial" w:hAnsi="Arial"/>
          <w:color w:val="37424A"/>
        </w:rPr>
        <w:t>los resultados de la prueba</w:t>
      </w:r>
      <w:r w:rsidRPr="005E311C">
        <w:rPr>
          <w:rFonts w:ascii="Arial" w:eastAsia="Arial" w:hAnsi="Arial"/>
          <w:color w:val="37424A"/>
        </w:rPr>
        <w:t xml:space="preserve"> </w:t>
      </w:r>
      <w:r>
        <w:rPr>
          <w:rFonts w:ascii="Arial" w:eastAsia="Arial" w:hAnsi="Arial"/>
          <w:color w:val="37424A"/>
        </w:rPr>
        <w:t xml:space="preserve">en términos del margen porcentual sobre los ingresos minoristas para el </w:t>
      </w:r>
      <w:r w:rsidR="00D45514">
        <w:rPr>
          <w:rFonts w:ascii="Arial" w:eastAsia="Arial" w:hAnsi="Arial"/>
          <w:color w:val="37424A"/>
        </w:rPr>
        <w:t xml:space="preserve">periodo </w:t>
      </w:r>
      <w:r>
        <w:rPr>
          <w:rFonts w:ascii="Arial" w:eastAsia="Arial" w:hAnsi="Arial"/>
          <w:color w:val="37424A"/>
        </w:rPr>
        <w:t>considerado y para cada una de las distintas modalidades de enlace.</w:t>
      </w:r>
    </w:p>
    <w:p w:rsidR="00424001" w:rsidRPr="005E311C" w:rsidRDefault="00424001" w:rsidP="00424001">
      <w:pPr>
        <w:rPr>
          <w:rFonts w:ascii="Arial" w:eastAsia="Arial" w:hAnsi="Arial"/>
          <w:color w:val="37424A"/>
        </w:rPr>
      </w:pPr>
      <w:r>
        <w:rPr>
          <w:rFonts w:ascii="Arial" w:eastAsia="Arial" w:hAnsi="Arial"/>
          <w:color w:val="37424A"/>
        </w:rPr>
        <w:lastRenderedPageBreak/>
        <w:t>El margen se estima como la diferencia entre:</w:t>
      </w:r>
    </w:p>
    <w:p w:rsidR="00424001" w:rsidRPr="005E311C" w:rsidRDefault="00424001" w:rsidP="00424001">
      <w:pPr>
        <w:numPr>
          <w:ilvl w:val="0"/>
          <w:numId w:val="1"/>
        </w:numPr>
        <w:rPr>
          <w:rFonts w:ascii="Arial" w:eastAsia="Arial" w:hAnsi="Arial"/>
          <w:color w:val="37424A"/>
        </w:rPr>
      </w:pPr>
      <w:r w:rsidRPr="005E311C">
        <w:rPr>
          <w:rFonts w:ascii="Arial" w:eastAsia="Arial" w:hAnsi="Arial"/>
          <w:color w:val="37424A"/>
        </w:rPr>
        <w:t xml:space="preserve">Los ingresos </w:t>
      </w:r>
      <w:r>
        <w:rPr>
          <w:rFonts w:ascii="Arial" w:eastAsia="Arial" w:hAnsi="Arial"/>
          <w:color w:val="37424A"/>
        </w:rPr>
        <w:t>obtenidos por el AEP</w:t>
      </w:r>
      <w:r w:rsidRPr="005E311C">
        <w:rPr>
          <w:rFonts w:ascii="Arial" w:eastAsia="Arial" w:hAnsi="Arial"/>
          <w:color w:val="37424A"/>
        </w:rPr>
        <w:t xml:space="preserve"> durante el período</w:t>
      </w:r>
      <w:r>
        <w:rPr>
          <w:rFonts w:ascii="Arial" w:eastAsia="Arial" w:hAnsi="Arial"/>
          <w:color w:val="37424A"/>
        </w:rPr>
        <w:t xml:space="preserve"> (celda</w:t>
      </w:r>
      <w:r w:rsidR="00D45514">
        <w:rPr>
          <w:rFonts w:ascii="Arial" w:eastAsia="Arial" w:hAnsi="Arial"/>
          <w:color w:val="37424A"/>
        </w:rPr>
        <w:t>s</w:t>
      </w:r>
      <w:r>
        <w:rPr>
          <w:rFonts w:ascii="Arial" w:eastAsia="Arial" w:hAnsi="Arial"/>
          <w:color w:val="37424A"/>
        </w:rPr>
        <w:t xml:space="preserve"> C10, C22, C34); </w:t>
      </w:r>
    </w:p>
    <w:p w:rsidR="00424001" w:rsidRPr="005E311C" w:rsidRDefault="00424001" w:rsidP="00424001">
      <w:pPr>
        <w:numPr>
          <w:ilvl w:val="0"/>
          <w:numId w:val="1"/>
        </w:numPr>
        <w:rPr>
          <w:rFonts w:ascii="Arial" w:eastAsia="Arial" w:hAnsi="Arial"/>
          <w:color w:val="37424A"/>
        </w:rPr>
      </w:pPr>
      <w:r w:rsidRPr="005E311C">
        <w:rPr>
          <w:rFonts w:ascii="Arial" w:eastAsia="Arial" w:hAnsi="Arial"/>
          <w:color w:val="37424A"/>
        </w:rPr>
        <w:t xml:space="preserve">Los pagos mayoristas asociados </w:t>
      </w:r>
      <w:r>
        <w:rPr>
          <w:rFonts w:ascii="Arial" w:eastAsia="Arial" w:hAnsi="Arial"/>
          <w:color w:val="37424A"/>
        </w:rPr>
        <w:t>al uso del servicio mayorista durante el período (celdas C11, C23, C35)</w:t>
      </w:r>
      <w:r w:rsidR="00A7003A">
        <w:rPr>
          <w:rFonts w:ascii="Arial" w:eastAsia="Arial" w:hAnsi="Arial"/>
          <w:color w:val="37424A"/>
        </w:rPr>
        <w:t>,</w:t>
      </w:r>
      <w:r>
        <w:rPr>
          <w:rFonts w:ascii="Arial" w:eastAsia="Arial" w:hAnsi="Arial"/>
          <w:color w:val="37424A"/>
        </w:rPr>
        <w:t xml:space="preserve"> y </w:t>
      </w:r>
      <w:r w:rsidRPr="005E311C">
        <w:rPr>
          <w:rFonts w:ascii="Arial" w:eastAsia="Arial" w:hAnsi="Arial"/>
          <w:color w:val="37424A"/>
        </w:rPr>
        <w:t xml:space="preserve"> </w:t>
      </w:r>
    </w:p>
    <w:p w:rsidR="00424001" w:rsidRPr="005E311C" w:rsidRDefault="00424001" w:rsidP="00424001">
      <w:pPr>
        <w:numPr>
          <w:ilvl w:val="0"/>
          <w:numId w:val="1"/>
        </w:numPr>
        <w:rPr>
          <w:rFonts w:ascii="Arial" w:eastAsia="Arial" w:hAnsi="Arial"/>
          <w:color w:val="37424A"/>
        </w:rPr>
      </w:pPr>
      <w:r w:rsidRPr="005E311C">
        <w:rPr>
          <w:rFonts w:ascii="Arial" w:eastAsia="Arial" w:hAnsi="Arial"/>
          <w:color w:val="37424A"/>
        </w:rPr>
        <w:t xml:space="preserve">Los costos minoristas asociados a la </w:t>
      </w:r>
      <w:r>
        <w:rPr>
          <w:rFonts w:ascii="Arial" w:eastAsia="Arial" w:hAnsi="Arial"/>
          <w:color w:val="37424A"/>
        </w:rPr>
        <w:t xml:space="preserve">prestación de servicios minoristas </w:t>
      </w:r>
      <w:r w:rsidR="00D45514">
        <w:rPr>
          <w:rFonts w:ascii="Arial" w:eastAsia="Arial" w:hAnsi="Arial"/>
          <w:color w:val="37424A"/>
        </w:rPr>
        <w:t xml:space="preserve">de </w:t>
      </w:r>
      <w:r>
        <w:rPr>
          <w:rFonts w:ascii="Arial" w:eastAsia="Arial" w:hAnsi="Arial"/>
          <w:color w:val="37424A"/>
        </w:rPr>
        <w:t xml:space="preserve">enlaces </w:t>
      </w:r>
      <w:r w:rsidR="008B22A5">
        <w:rPr>
          <w:rFonts w:ascii="Arial" w:eastAsia="Arial" w:hAnsi="Arial"/>
          <w:color w:val="37424A"/>
        </w:rPr>
        <w:t>dedicados</w:t>
      </w:r>
      <w:r>
        <w:rPr>
          <w:rFonts w:ascii="Arial" w:eastAsia="Arial" w:hAnsi="Arial"/>
          <w:color w:val="37424A"/>
        </w:rPr>
        <w:t xml:space="preserve"> en el período (celdas C12, C24, C36)</w:t>
      </w:r>
      <w:r w:rsidRPr="005E311C">
        <w:rPr>
          <w:rFonts w:ascii="Arial" w:eastAsia="Arial" w:hAnsi="Arial"/>
          <w:color w:val="37424A"/>
        </w:rPr>
        <w:t>.</w:t>
      </w:r>
    </w:p>
    <w:p w:rsidR="00424001" w:rsidRDefault="00424001" w:rsidP="00424001">
      <w:pPr>
        <w:rPr>
          <w:rFonts w:ascii="Arial" w:eastAsia="Arial" w:hAnsi="Arial"/>
          <w:color w:val="37424A"/>
        </w:rPr>
      </w:pPr>
      <w:r>
        <w:rPr>
          <w:rFonts w:ascii="Arial" w:eastAsia="Arial" w:hAnsi="Arial"/>
          <w:color w:val="37424A"/>
        </w:rPr>
        <w:t xml:space="preserve">Si los ingresos obtenidos en el período superan los costos </w:t>
      </w:r>
      <w:r w:rsidR="00D70981">
        <w:rPr>
          <w:rFonts w:ascii="Arial" w:eastAsia="Arial" w:hAnsi="Arial"/>
          <w:color w:val="37424A"/>
        </w:rPr>
        <w:t>asociados se</w:t>
      </w:r>
      <w:r>
        <w:rPr>
          <w:rFonts w:ascii="Arial" w:eastAsia="Arial" w:hAnsi="Arial"/>
          <w:color w:val="37424A"/>
        </w:rPr>
        <w:t xml:space="preserve"> considera que las tarifas son replicables</w:t>
      </w:r>
      <w:r w:rsidRPr="005E311C">
        <w:rPr>
          <w:rFonts w:ascii="Arial" w:eastAsia="Arial" w:hAnsi="Arial"/>
          <w:color w:val="37424A"/>
        </w:rPr>
        <w:t xml:space="preserve">. </w:t>
      </w:r>
    </w:p>
    <w:tbl>
      <w:tblPr>
        <w:tblW w:w="7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0"/>
      </w:tblGrid>
      <w:tr w:rsidR="00424001" w:rsidTr="0020743C">
        <w:tc>
          <w:tcPr>
            <w:tcW w:w="5000" w:type="pct"/>
            <w:noWrap/>
          </w:tcPr>
          <w:p w:rsidR="00424001" w:rsidRPr="00F52EB6" w:rsidRDefault="00424001" w:rsidP="00424001">
            <w:pPr>
              <w:pStyle w:val="Descripcin"/>
            </w:pPr>
            <w:r>
              <w:t xml:space="preserve">Figura </w:t>
            </w:r>
            <w:r>
              <w:fldChar w:fldCharType="begin"/>
            </w:r>
            <w:r>
              <w:instrText xml:space="preserve"> SEQ Figura </w:instrText>
            </w:r>
            <w:r>
              <w:fldChar w:fldCharType="separate"/>
            </w:r>
            <w:r w:rsidR="00262492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  <w:r>
              <w:tab/>
              <w:t xml:space="preserve">Reporte de resultados del modelo de replicabilidad de enlaces </w:t>
            </w:r>
            <w:r w:rsidR="008B22A5">
              <w:t>dedicados</w:t>
            </w:r>
          </w:p>
        </w:tc>
      </w:tr>
      <w:tr w:rsidR="00424001" w:rsidRPr="00155FC0" w:rsidTr="0020743C">
        <w:tc>
          <w:tcPr>
            <w:tcW w:w="5000" w:type="pct"/>
            <w:noWrap/>
          </w:tcPr>
          <w:p w:rsidR="00424001" w:rsidRPr="00155FC0" w:rsidRDefault="007132C8" w:rsidP="0020743C">
            <w:pPr>
              <w:pStyle w:val="GraphicLeft"/>
              <w:keepNext/>
              <w:rPr>
                <w:lang w:val="en-GB"/>
              </w:rPr>
            </w:pPr>
            <w:r>
              <w:rPr>
                <w:noProof/>
                <w:lang w:val="es-MX" w:eastAsia="es-MX"/>
              </w:rPr>
              <w:lastRenderedPageBreak/>
              <w:drawing>
                <wp:inline distT="0" distB="0" distL="0" distR="0" wp14:anchorId="0BCC7032" wp14:editId="3CF8EDA1">
                  <wp:extent cx="3630100" cy="4846184"/>
                  <wp:effectExtent l="0" t="0" r="889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s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027" cy="4862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001" w:rsidRPr="005D731F" w:rsidTr="0020743C">
        <w:tc>
          <w:tcPr>
            <w:tcW w:w="5000" w:type="pct"/>
            <w:noWrap/>
          </w:tcPr>
          <w:p w:rsidR="00D45514" w:rsidRDefault="00424001" w:rsidP="00D45514">
            <w:pPr>
              <w:pStyle w:val="Source"/>
            </w:pPr>
            <w:r w:rsidRPr="00155FC0">
              <w:t>Fuente:</w:t>
            </w:r>
            <w:r w:rsidRPr="00155FC0">
              <w:tab/>
            </w:r>
            <w:r w:rsidR="00A33787" w:rsidRPr="00A33787">
              <w:t>Prueba de Replicabilidad Enlaces Dedicados</w:t>
            </w:r>
            <w:r w:rsidR="007132C8">
              <w:t>.</w:t>
            </w:r>
          </w:p>
          <w:p w:rsidR="00D45514" w:rsidRPr="00D45514" w:rsidRDefault="00D45514" w:rsidP="00D45514">
            <w:pPr>
              <w:pStyle w:val="Source"/>
            </w:pPr>
            <w:r>
              <w:t xml:space="preserve">Nota: los márgenes reportados por el modelo son hipotéticos al basarse en información </w:t>
            </w:r>
            <w:r w:rsidR="00D70981">
              <w:t>ficticios</w:t>
            </w:r>
            <w:r>
              <w:t xml:space="preserve">. </w:t>
            </w:r>
          </w:p>
        </w:tc>
      </w:tr>
    </w:tbl>
    <w:p w:rsidR="000F6134" w:rsidRDefault="008F77AC" w:rsidP="000F6134">
      <w:pPr>
        <w:pStyle w:val="Ttulo2"/>
      </w:pPr>
      <w:bookmarkStart w:id="21" w:name="_Toc485158208"/>
      <w:r>
        <w:lastRenderedPageBreak/>
        <w:t xml:space="preserve">Módulo de </w:t>
      </w:r>
      <w:r w:rsidR="00FE57E7">
        <w:t>c</w:t>
      </w:r>
      <w:r w:rsidR="000F6134">
        <w:t>álculos</w:t>
      </w:r>
      <w:bookmarkEnd w:id="21"/>
    </w:p>
    <w:p w:rsidR="000F6134" w:rsidRDefault="000F6134" w:rsidP="000F6134">
      <w:pPr>
        <w:pStyle w:val="Ttulo3"/>
      </w:pPr>
      <w:r>
        <w:t>Ingresos</w:t>
      </w:r>
    </w:p>
    <w:p w:rsidR="005820D5" w:rsidRPr="005E311C" w:rsidRDefault="005820D5" w:rsidP="005820D5">
      <w:r>
        <w:t>El modelo considera los ingresos de</w:t>
      </w:r>
      <w:r w:rsidR="00C76E99">
        <w:t>sglosados por modalidad de enla</w:t>
      </w:r>
      <w:r>
        <w:t xml:space="preserve">ce durante el período de referencia. </w:t>
      </w:r>
      <w:r w:rsidRPr="005E311C">
        <w:t xml:space="preserve">Los ingresos se nutren directamente del requerimiento de información al </w:t>
      </w:r>
      <w:r>
        <w:t>AEP y pueden verse de manera desglosada en la hoja “Ingresos minoristas_AEP”.</w:t>
      </w:r>
    </w:p>
    <w:p w:rsidR="000F6134" w:rsidRDefault="000F6134" w:rsidP="000F6134">
      <w:pPr>
        <w:pStyle w:val="Ttulo3"/>
      </w:pPr>
      <w:r>
        <w:t>Costos</w:t>
      </w:r>
    </w:p>
    <w:p w:rsidR="009209D1" w:rsidRDefault="009209D1" w:rsidP="009209D1">
      <w:r>
        <w:t>Los costos se componen de las siguientes categorías</w:t>
      </w:r>
      <w:r w:rsidR="00C858F1">
        <w:rPr>
          <w:rStyle w:val="Refdenotaalpie"/>
        </w:rPr>
        <w:footnoteReference w:id="7"/>
      </w:r>
      <w:r>
        <w:t>:</w:t>
      </w:r>
    </w:p>
    <w:p w:rsidR="009209D1" w:rsidRDefault="009209D1" w:rsidP="009209D1">
      <w:pPr>
        <w:pStyle w:val="ParaBullet1"/>
      </w:pPr>
      <w:r>
        <w:t>Los pagos mayoristas asociados a las ofertas activas durante el período, considerando los descuentos mayoristas según la modalidad de línea y período de contratación de los servicios.</w:t>
      </w:r>
      <w:r w:rsidR="00EF5499">
        <w:rPr>
          <w:rStyle w:val="Refdenotaalpie"/>
        </w:rPr>
        <w:footnoteReference w:id="8"/>
      </w:r>
    </w:p>
    <w:p w:rsidR="009209D1" w:rsidRDefault="009209D1" w:rsidP="009209D1">
      <w:pPr>
        <w:pStyle w:val="ParaBullet1"/>
      </w:pPr>
      <w:r>
        <w:t>Los costos minoristas relativos a la comercialización minorista de los servicios</w:t>
      </w:r>
      <w:r w:rsidR="00ED2847">
        <w:t xml:space="preserve"> de enlaces </w:t>
      </w:r>
      <w:r w:rsidR="008B22A5">
        <w:t>dedicados</w:t>
      </w:r>
      <w:r>
        <w:t xml:space="preserve">. </w:t>
      </w:r>
    </w:p>
    <w:p w:rsidR="000F6134" w:rsidRDefault="000F6134" w:rsidP="000F6134">
      <w:pPr>
        <w:pStyle w:val="Ttulo4"/>
      </w:pPr>
      <w:r>
        <w:lastRenderedPageBreak/>
        <w:t>Pagos mayoristas</w:t>
      </w:r>
    </w:p>
    <w:p w:rsidR="00ED2847" w:rsidRDefault="005820D5" w:rsidP="005820D5">
      <w:r>
        <w:t xml:space="preserve">Los pagos mayoristas </w:t>
      </w:r>
      <w:r w:rsidR="00ED2847">
        <w:t xml:space="preserve">para cada modalidad de enlace </w:t>
      </w:r>
      <w:r>
        <w:t>se encuentran resumidos en la hoja “Pagos mayoristas – re</w:t>
      </w:r>
      <w:r w:rsidR="00D45514">
        <w:t>s</w:t>
      </w:r>
      <w:r>
        <w:t>umen”</w:t>
      </w:r>
      <w:r w:rsidR="00344F20">
        <w:t>.</w:t>
      </w:r>
    </w:p>
    <w:p w:rsidR="00ED2847" w:rsidRDefault="005820D5" w:rsidP="0083269E">
      <w:r>
        <w:t>Los cálculos efectuados para su obtención pueden verse en la hoja “pagos mayoristas”.</w:t>
      </w:r>
      <w:r w:rsidR="00ED2847">
        <w:t xml:space="preserve"> Los pagos mayoristas consideran la demanda minorista </w:t>
      </w:r>
      <w:r w:rsidR="00D45514">
        <w:t xml:space="preserve">de enlaces dedicados del </w:t>
      </w:r>
      <w:r w:rsidR="00ED2847">
        <w:t xml:space="preserve">AEP (hoja “Demanda minorista_AEP”), y </w:t>
      </w:r>
      <w:r w:rsidR="00F55B52">
        <w:t xml:space="preserve">se </w:t>
      </w:r>
      <w:r w:rsidR="00ED2847">
        <w:t>aplica</w:t>
      </w:r>
      <w:r w:rsidR="00F55B52">
        <w:t>n</w:t>
      </w:r>
      <w:r w:rsidR="00ED2847">
        <w:t xml:space="preserve"> los precios mayoristas</w:t>
      </w:r>
      <w:r w:rsidR="00D45514">
        <w:t xml:space="preserve"> correspondientes</w:t>
      </w:r>
      <w:r w:rsidR="00ED2847">
        <w:t xml:space="preserve"> (hoja “Precios mayoristas”)</w:t>
      </w:r>
      <w:r w:rsidR="00D45514">
        <w:t>. Los pagos mayoristas tienen en cuenta los descuentos aplicados a los gastos de instalación y la renta mensual (véase la hoja “</w:t>
      </w:r>
      <w:r w:rsidR="00ED2847">
        <w:t>Descuentos mayoristas”)</w:t>
      </w:r>
      <w:r w:rsidR="00344F20">
        <w:t>.</w:t>
      </w:r>
      <w:r w:rsidR="00D45514">
        <w:t xml:space="preserve"> </w:t>
      </w:r>
    </w:p>
    <w:p w:rsidR="00ED2847" w:rsidRDefault="00ED2847" w:rsidP="00ED2847">
      <w:pPr>
        <w:pStyle w:val="Ttulo4"/>
      </w:pPr>
      <w:r>
        <w:t>Costos minoristas</w:t>
      </w:r>
    </w:p>
    <w:p w:rsidR="00D57C40" w:rsidRDefault="00ED2847" w:rsidP="00ED2847">
      <w:r>
        <w:t>El modelo toma la información</w:t>
      </w:r>
      <w:r w:rsidR="00D57C40">
        <w:t xml:space="preserve"> del AEP</w:t>
      </w:r>
      <w:r>
        <w:t xml:space="preserve"> relativa a los costos minoristas</w:t>
      </w:r>
      <w:r w:rsidR="00D57C40">
        <w:t xml:space="preserve"> asignados a cada modalidad de enlace. Esta información </w:t>
      </w:r>
      <w:r w:rsidR="004850D1">
        <w:t>se especifica</w:t>
      </w:r>
      <w:r w:rsidR="00D57C40">
        <w:t xml:space="preserve"> en la hoja “Costos minoristas_AEP”. </w:t>
      </w:r>
      <w:r w:rsidR="004850D1">
        <w:t>Se distinguen los siguientes componentes de costos:</w:t>
      </w:r>
    </w:p>
    <w:p w:rsidR="00D57C40" w:rsidRDefault="00ED2847" w:rsidP="00D57C40">
      <w:pPr>
        <w:pStyle w:val="ParaBullet1"/>
      </w:pPr>
      <w:r>
        <w:t xml:space="preserve"> </w:t>
      </w:r>
      <w:r w:rsidR="00D57C40">
        <w:t>Componentes no de red</w:t>
      </w:r>
      <w:r w:rsidR="000F6DEC">
        <w:t>:</w:t>
      </w:r>
    </w:p>
    <w:p w:rsidR="00D57C40" w:rsidRDefault="00D57C40" w:rsidP="00D57C40">
      <w:pPr>
        <w:pStyle w:val="ParaBullet2"/>
      </w:pPr>
      <w:r>
        <w:t>Comerciales</w:t>
      </w:r>
      <w:r w:rsidR="000F6DEC">
        <w:t>;</w:t>
      </w:r>
    </w:p>
    <w:p w:rsidR="00D57C40" w:rsidRDefault="00D57C40" w:rsidP="00D57C40">
      <w:pPr>
        <w:pStyle w:val="ParaBullet2"/>
      </w:pPr>
      <w:r>
        <w:t>Facturación</w:t>
      </w:r>
      <w:r w:rsidR="000F6DEC">
        <w:t>;</w:t>
      </w:r>
    </w:p>
    <w:p w:rsidR="00D57C40" w:rsidRDefault="00D57C40" w:rsidP="00D57C40">
      <w:pPr>
        <w:pStyle w:val="ParaBullet2"/>
      </w:pPr>
      <w:r>
        <w:t>Cobranza</w:t>
      </w:r>
      <w:r w:rsidR="000F6DEC">
        <w:t>;</w:t>
      </w:r>
    </w:p>
    <w:p w:rsidR="00D57C40" w:rsidRDefault="00D57C40" w:rsidP="00D57C40">
      <w:pPr>
        <w:pStyle w:val="ParaBullet2"/>
      </w:pPr>
      <w:r>
        <w:t>Tarificación</w:t>
      </w:r>
      <w:r w:rsidR="000F6DEC">
        <w:t>;</w:t>
      </w:r>
    </w:p>
    <w:p w:rsidR="00D57C40" w:rsidRDefault="00D57C40" w:rsidP="00D57C40">
      <w:pPr>
        <w:pStyle w:val="ParaBullet2"/>
      </w:pPr>
      <w:r>
        <w:lastRenderedPageBreak/>
        <w:t>Tasas</w:t>
      </w:r>
      <w:r w:rsidR="00A7003A">
        <w:t>,</w:t>
      </w:r>
      <w:r w:rsidR="000F6DEC">
        <w:t xml:space="preserve"> y</w:t>
      </w:r>
    </w:p>
    <w:p w:rsidR="00D57C40" w:rsidRDefault="00D57C40" w:rsidP="00D57C40">
      <w:pPr>
        <w:pStyle w:val="ParaBullet2"/>
      </w:pPr>
      <w:r>
        <w:t>Programas de fidelización</w:t>
      </w:r>
      <w:r w:rsidR="000F6DEC">
        <w:t>.</w:t>
      </w:r>
    </w:p>
    <w:p w:rsidR="00D57C40" w:rsidRDefault="00D57C40" w:rsidP="00D57C40">
      <w:pPr>
        <w:pStyle w:val="ParaBullet1"/>
      </w:pPr>
      <w:r>
        <w:t>Costos directos de ventas</w:t>
      </w:r>
      <w:r w:rsidR="000F6DEC">
        <w:t>:</w:t>
      </w:r>
    </w:p>
    <w:p w:rsidR="00D57C40" w:rsidRDefault="00D57C40" w:rsidP="00D57C40">
      <w:pPr>
        <w:pStyle w:val="ParaBullet2"/>
      </w:pPr>
      <w:r>
        <w:t>Provisiones</w:t>
      </w:r>
      <w:r w:rsidR="00A7003A">
        <w:t>,</w:t>
      </w:r>
      <w:r w:rsidR="000F6DEC">
        <w:t xml:space="preserve"> y</w:t>
      </w:r>
    </w:p>
    <w:p w:rsidR="00D57C40" w:rsidRDefault="00D57C40" w:rsidP="00D57C40">
      <w:pPr>
        <w:pStyle w:val="ParaBullet2"/>
      </w:pPr>
      <w:r>
        <w:t>Costos directos de la venta de terminales</w:t>
      </w:r>
      <w:r w:rsidR="000F6DEC">
        <w:t>.</w:t>
      </w:r>
    </w:p>
    <w:p w:rsidR="00D57C40" w:rsidRDefault="00D57C40" w:rsidP="00D57C40">
      <w:pPr>
        <w:pStyle w:val="ParaBullet1"/>
      </w:pPr>
      <w:r>
        <w:t>Costos comunes</w:t>
      </w:r>
      <w:r w:rsidR="000F6DEC">
        <w:t>:</w:t>
      </w:r>
    </w:p>
    <w:p w:rsidR="00D57C40" w:rsidRDefault="00D57C40" w:rsidP="00D57C40">
      <w:pPr>
        <w:pStyle w:val="ParaBullet2"/>
      </w:pPr>
      <w:r>
        <w:t>Servicios generales y de gestión – minoristas</w:t>
      </w:r>
      <w:r w:rsidR="000F6DEC">
        <w:t>;</w:t>
      </w:r>
    </w:p>
    <w:p w:rsidR="00D57C40" w:rsidRDefault="00D57C40" w:rsidP="00D57C40">
      <w:pPr>
        <w:pStyle w:val="ParaBullet2"/>
      </w:pPr>
      <w:r>
        <w:t>Servicios generales y de gestión – red</w:t>
      </w:r>
      <w:r w:rsidR="00181D53">
        <w:t>,</w:t>
      </w:r>
      <w:r w:rsidR="000F6DEC">
        <w:t xml:space="preserve"> y</w:t>
      </w:r>
    </w:p>
    <w:p w:rsidR="00D57C40" w:rsidRDefault="00D57C40" w:rsidP="00D57C40">
      <w:pPr>
        <w:pStyle w:val="ParaBullet2"/>
      </w:pPr>
      <w:r>
        <w:t>Servicios generales y de gestión – negocio</w:t>
      </w:r>
      <w:r w:rsidR="000F6DEC">
        <w:t>.</w:t>
      </w:r>
    </w:p>
    <w:p w:rsidR="00ED2847" w:rsidRDefault="004850D1" w:rsidP="002D4BCA">
      <w:r>
        <w:t>A ello se le añade el monto correspondiente al c</w:t>
      </w:r>
      <w:r w:rsidR="00D57C40">
        <w:t>osto del capital</w:t>
      </w:r>
      <w:r>
        <w:t xml:space="preserve">, entendido como la remuneración del capital empleado en las actividades aguas abajo. </w:t>
      </w:r>
    </w:p>
    <w:p w:rsidR="009A77C6" w:rsidRPr="00C14B40" w:rsidRDefault="009A77C6" w:rsidP="009A77C6">
      <w:r>
        <w:t xml:space="preserve">El “costo del capital” se estima como el producto del “capital empleado” en la provisión de los servicios minoristas considerados y el WACC del AEP.  Éste es un input a proveer por parte del AEP. </w:t>
      </w:r>
    </w:p>
    <w:p w:rsidR="009A3BE5" w:rsidRDefault="009A3BE5" w:rsidP="0083269E">
      <w:pPr>
        <w:pStyle w:val="Ttulo2"/>
      </w:pPr>
      <w:bookmarkStart w:id="22" w:name="_Toc485158209"/>
      <w:r>
        <w:lastRenderedPageBreak/>
        <w:t>Módulo de supuestos</w:t>
      </w:r>
      <w:bookmarkEnd w:id="22"/>
    </w:p>
    <w:p w:rsidR="0083269E" w:rsidRPr="008F2ADA" w:rsidRDefault="0083269E" w:rsidP="0083269E">
      <w:r>
        <w:t>En la hoja de “Supuestos” se especifica el horizonte temporal considerado en la prueba (6 meses). Debe</w:t>
      </w:r>
      <w:r w:rsidRPr="00066B7C">
        <w:t xml:space="preserve"> haber consistencia entre e</w:t>
      </w:r>
      <w:r>
        <w:t>ste</w:t>
      </w:r>
      <w:r w:rsidRPr="00066B7C">
        <w:t xml:space="preserve"> horizonte temporal y el período cubierto por la información provi</w:t>
      </w:r>
      <w:r>
        <w:t>sta.</w:t>
      </w:r>
    </w:p>
    <w:p w:rsidR="00ED2847" w:rsidRDefault="00ED2847" w:rsidP="005820D5"/>
    <w:p w:rsidR="00C8183A" w:rsidRDefault="00C8183A" w:rsidP="00C8183A">
      <w:pPr>
        <w:pStyle w:val="Ttulo1"/>
      </w:pPr>
      <w:bookmarkStart w:id="23" w:name="_Toc485158210"/>
      <w:r>
        <w:lastRenderedPageBreak/>
        <w:t>Actualización del modelo</w:t>
      </w:r>
      <w:bookmarkEnd w:id="23"/>
    </w:p>
    <w:p w:rsidR="00C8183A" w:rsidRDefault="00C8183A" w:rsidP="00C8183A">
      <w:pPr>
        <w:pStyle w:val="Ttulo2"/>
      </w:pPr>
      <w:bookmarkStart w:id="24" w:name="_Toc485158211"/>
      <w:r>
        <w:t>Información requerida</w:t>
      </w:r>
      <w:bookmarkEnd w:id="24"/>
    </w:p>
    <w:p w:rsidR="00C8183A" w:rsidRDefault="00C8183A" w:rsidP="00C8183A">
      <w:pPr>
        <w:pStyle w:val="Ttulo3"/>
      </w:pPr>
      <w:r>
        <w:t>Por parte del AEP</w:t>
      </w:r>
    </w:p>
    <w:p w:rsidR="00C8183A" w:rsidRDefault="00C76E99" w:rsidP="00C8183A">
      <w:pPr>
        <w:pStyle w:val="ParaBullet1"/>
        <w:numPr>
          <w:ilvl w:val="0"/>
          <w:numId w:val="0"/>
        </w:numPr>
      </w:pPr>
      <w:r>
        <w:t>El modelo hace uso de información requerida al AEP en relación a: ingresos</w:t>
      </w:r>
      <w:r w:rsidR="0083269E">
        <w:t>, demanda</w:t>
      </w:r>
      <w:r>
        <w:t xml:space="preserve"> minorista</w:t>
      </w:r>
      <w:r w:rsidR="00A25D83">
        <w:t xml:space="preserve"> y</w:t>
      </w:r>
      <w:r>
        <w:t xml:space="preserve"> costos minoristas. Esta información debe actualizarse </w:t>
      </w:r>
      <w:r w:rsidR="00A25D83">
        <w:t>cada seis meses, previo a la implement</w:t>
      </w:r>
      <w:r w:rsidR="0083269E">
        <w:t>ación de la prueba</w:t>
      </w:r>
      <w:r w:rsidR="00C349CA">
        <w:t>.</w:t>
      </w:r>
      <w:r>
        <w:t xml:space="preserve"> </w:t>
      </w:r>
    </w:p>
    <w:p w:rsidR="00C76E99" w:rsidRDefault="00C76E99" w:rsidP="00C76E99">
      <w:pPr>
        <w:pStyle w:val="Ttulo4"/>
      </w:pPr>
      <w:r>
        <w:t>Ingresos minoristas</w:t>
      </w:r>
    </w:p>
    <w:p w:rsidR="00C76E99" w:rsidRDefault="002A0229" w:rsidP="00C76E99">
      <w:r>
        <w:t>S</w:t>
      </w:r>
      <w:r w:rsidR="00C76E99">
        <w:t xml:space="preserve">e requiere de información agregada </w:t>
      </w:r>
      <w:r>
        <w:t xml:space="preserve">sobre los ingresos minoristas obtenidos </w:t>
      </w:r>
      <w:r w:rsidR="00C76E99">
        <w:t xml:space="preserve">durante el período de referencia para cada modalidad de </w:t>
      </w:r>
      <w:r>
        <w:t xml:space="preserve">enlace </w:t>
      </w:r>
      <w:r w:rsidR="00C76E99">
        <w:t>(hoja “Ingresos minoristas_AEP”</w:t>
      </w:r>
      <w:r>
        <w:t>)</w:t>
      </w:r>
      <w:r w:rsidR="00C76E99">
        <w:t>.</w:t>
      </w:r>
    </w:p>
    <w:p w:rsidR="00C76E99" w:rsidRDefault="00C76E99" w:rsidP="00C76E99">
      <w:pPr>
        <w:pStyle w:val="Ttulo4"/>
      </w:pPr>
      <w:r>
        <w:t>Demanda minorista</w:t>
      </w:r>
    </w:p>
    <w:p w:rsidR="00C76E99" w:rsidRDefault="00C76E99" w:rsidP="00C76E99">
      <w:r>
        <w:t xml:space="preserve">La demanda minorista es necesaria para el cálculo de los pagos mayoristas. </w:t>
      </w:r>
      <w:r w:rsidR="00E8341A">
        <w:t>E</w:t>
      </w:r>
      <w:r>
        <w:t>n el requerimiento de información al AEP se pide, para cada una de las velocidades en las distintas modalidades de enlace:</w:t>
      </w:r>
    </w:p>
    <w:p w:rsidR="00C76E99" w:rsidRDefault="00E8341A" w:rsidP="00C76E99">
      <w:pPr>
        <w:pStyle w:val="ParaBullet1"/>
      </w:pPr>
      <w:r>
        <w:t>El n</w:t>
      </w:r>
      <w:r w:rsidR="00C76E99">
        <w:t>úmero de altas nuevas según el plazo de contratación</w:t>
      </w:r>
      <w:r w:rsidR="000F6DEC">
        <w:t>;</w:t>
      </w:r>
    </w:p>
    <w:p w:rsidR="00C76E99" w:rsidRDefault="00E8341A" w:rsidP="00C76E99">
      <w:pPr>
        <w:pStyle w:val="ParaBullet1"/>
      </w:pPr>
      <w:r>
        <w:lastRenderedPageBreak/>
        <w:t>Los c</w:t>
      </w:r>
      <w:r w:rsidR="00C76E99">
        <w:t>lientes totales promedio durante el período</w:t>
      </w:r>
      <w:r w:rsidR="00181D53">
        <w:t>,</w:t>
      </w:r>
      <w:r>
        <w:t xml:space="preserve"> y</w:t>
      </w:r>
    </w:p>
    <w:p w:rsidR="00C76E99" w:rsidRPr="00C76E99" w:rsidRDefault="00E8341A" w:rsidP="00C76E99">
      <w:pPr>
        <w:pStyle w:val="ParaBullet1"/>
      </w:pPr>
      <w:r>
        <w:t>El n</w:t>
      </w:r>
      <w:r w:rsidR="00C76E99">
        <w:t>úmero de kilómetros totales contratados para cada tramo durante el período</w:t>
      </w:r>
      <w:r>
        <w:t>.</w:t>
      </w:r>
    </w:p>
    <w:p w:rsidR="00E8341A" w:rsidRDefault="00E8341A" w:rsidP="00344F20">
      <w:r>
        <w:t>La información ha de incluirse en la hoja “</w:t>
      </w:r>
      <w:r w:rsidRPr="00E8341A">
        <w:t>Demanda minorista_AEP</w:t>
      </w:r>
      <w:r>
        <w:t>”.</w:t>
      </w:r>
    </w:p>
    <w:p w:rsidR="00C76E99" w:rsidRDefault="00C76E99" w:rsidP="00C76E99">
      <w:pPr>
        <w:pStyle w:val="Ttulo4"/>
      </w:pPr>
      <w:r>
        <w:t>Costos minoristas</w:t>
      </w:r>
    </w:p>
    <w:p w:rsidR="00C76E99" w:rsidRDefault="00C76E99" w:rsidP="00C8183A">
      <w:pPr>
        <w:pStyle w:val="ParaBullet1"/>
        <w:numPr>
          <w:ilvl w:val="0"/>
          <w:numId w:val="0"/>
        </w:numPr>
      </w:pPr>
      <w:r>
        <w:t>El modelo hac</w:t>
      </w:r>
      <w:r w:rsidR="00F20E8A">
        <w:t>e uso de los costos minoristas descritos</w:t>
      </w:r>
      <w:r>
        <w:t xml:space="preserve"> previamente.</w:t>
      </w:r>
      <w:r w:rsidR="00E8341A">
        <w:t xml:space="preserve"> La información requerida de costos se especifica en la hoja “</w:t>
      </w:r>
      <w:r w:rsidR="00E8341A" w:rsidRPr="00E8341A">
        <w:t>Costos minoristas_AEP</w:t>
      </w:r>
      <w:r w:rsidR="00E8341A">
        <w:t>”.</w:t>
      </w:r>
    </w:p>
    <w:p w:rsidR="00C8183A" w:rsidRDefault="00C8183A" w:rsidP="00C8183A">
      <w:pPr>
        <w:pStyle w:val="Ttulo3"/>
      </w:pPr>
      <w:r>
        <w:t>P</w:t>
      </w:r>
      <w:r w:rsidR="00C349CA">
        <w:t>or parte del IFT</w:t>
      </w:r>
    </w:p>
    <w:p w:rsidR="00C349CA" w:rsidRDefault="00C8183A" w:rsidP="00C8183A">
      <w:r>
        <w:t xml:space="preserve">El modelo en su estado actual incorpora los </w:t>
      </w:r>
      <w:r w:rsidR="00C349CA">
        <w:t>actuales precios mayoristas (hoja “Precios mayoristas”) y descuentos mayoristas relativos a los gastos de instalación y la renta mensual</w:t>
      </w:r>
      <w:r w:rsidR="00A7003A">
        <w:rPr>
          <w:rStyle w:val="Refdenotaalpie"/>
        </w:rPr>
        <w:footnoteReference w:id="9"/>
      </w:r>
      <w:r w:rsidR="00C349CA">
        <w:t xml:space="preserve"> (hoja “Descuentos mayoristas”).</w:t>
      </w:r>
    </w:p>
    <w:p w:rsidR="00C349CA" w:rsidRDefault="00C349CA" w:rsidP="00C8183A">
      <w:r>
        <w:t>Adicionalmente, la hoja “Velocidades y tramos” contiene las velocidades disponibles según</w:t>
      </w:r>
      <w:r w:rsidR="00004C6F">
        <w:t xml:space="preserve"> el</w:t>
      </w:r>
      <w:r>
        <w:t xml:space="preserve"> tipo de instalación. Esta hoja nutre </w:t>
      </w:r>
      <w:r>
        <w:lastRenderedPageBreak/>
        <w:t>la categorización de las velocidades en el resto de</w:t>
      </w:r>
      <w:r w:rsidR="00004C6F">
        <w:t>l</w:t>
      </w:r>
      <w:r>
        <w:t xml:space="preserve"> </w:t>
      </w:r>
      <w:r w:rsidR="00004C6F">
        <w:t>modelo. E</w:t>
      </w:r>
      <w:r>
        <w:t xml:space="preserve">n el caso </w:t>
      </w:r>
      <w:r w:rsidR="00004C6F">
        <w:t xml:space="preserve">en </w:t>
      </w:r>
      <w:r>
        <w:t xml:space="preserve">que hubiera una modificación de las velocidades disponibles, el IFT debería proceder a su cambio en dicha hoja. </w:t>
      </w:r>
    </w:p>
    <w:p w:rsidR="007C06F1" w:rsidRDefault="00C8183A">
      <w:r>
        <w:t xml:space="preserve"> </w:t>
      </w:r>
      <w:bookmarkEnd w:id="14"/>
    </w:p>
    <w:sectPr w:rsidR="007C06F1" w:rsidSect="00F0455F">
      <w:headerReference w:type="default" r:id="rId14"/>
      <w:footerReference w:type="default" r:id="rId15"/>
      <w:pgSz w:w="11906" w:h="16838" w:code="9"/>
      <w:pgMar w:top="1701" w:right="1985" w:bottom="1418" w:left="1985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F36" w:rsidRDefault="003A3F36" w:rsidP="00BA3ADD">
      <w:pPr>
        <w:spacing w:line="240" w:lineRule="auto"/>
      </w:pPr>
      <w:r>
        <w:separator/>
      </w:r>
    </w:p>
  </w:endnote>
  <w:endnote w:type="continuationSeparator" w:id="0">
    <w:p w:rsidR="003A3F36" w:rsidRDefault="003A3F36" w:rsidP="00BA3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font440">
    <w:altName w:val="Times New Roman"/>
    <w:panose1 w:val="00000000000000000000"/>
    <w:charset w:val="00"/>
    <w:family w:val="auto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 Extrabold">
    <w:altName w:val="Segoe UI Semibold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206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1"/>
      <w:gridCol w:w="855"/>
    </w:tblGrid>
    <w:tr w:rsidR="009C5B9A" w:rsidRPr="00F57F90" w:rsidTr="00F0455F">
      <w:tc>
        <w:tcPr>
          <w:tcW w:w="9351" w:type="dxa"/>
        </w:tcPr>
        <w:p w:rsidR="009C5B9A" w:rsidRPr="00F57F90" w:rsidRDefault="009C5B9A" w:rsidP="00F0455F">
          <w:pPr>
            <w:pStyle w:val="Piedepgina"/>
            <w:rPr>
              <w:color w:val="C5C6C8" w:themeColor="text2" w:themeTint="66"/>
            </w:rPr>
          </w:pPr>
          <w:r w:rsidRPr="004E063E">
            <w:fldChar w:fldCharType="begin"/>
          </w:r>
          <w:r w:rsidRPr="004E063E">
            <w:instrText xml:space="preserve"> IF </w:instrText>
          </w:r>
          <w:r>
            <w:fldChar w:fldCharType="begin"/>
          </w:r>
          <w:r>
            <w:instrText xml:space="preserve"> STYLEREF  ~Confidential </w:instrText>
          </w:r>
          <w:r>
            <w:rPr>
              <w:noProof/>
            </w:rPr>
            <w:fldChar w:fldCharType="end"/>
          </w:r>
          <w:r>
            <w:instrText xml:space="preserve"> </w:instrText>
          </w:r>
          <w:r w:rsidRPr="004E063E">
            <w:instrText>=</w:instrText>
          </w:r>
          <w:r>
            <w:instrText xml:space="preserve"> </w:instrText>
          </w:r>
          <w:r w:rsidRPr="004E063E">
            <w:instrText>"" "" "  │  </w:instrText>
          </w:r>
          <w:r>
            <w:fldChar w:fldCharType="begin"/>
          </w:r>
          <w:r>
            <w:instrText xml:space="preserve"> STYLEREF  ~Confidential </w:instrText>
          </w:r>
          <w:r>
            <w:fldChar w:fldCharType="separate"/>
          </w:r>
          <w:r w:rsidR="003F7F16">
            <w:rPr>
              <w:b/>
              <w:bCs/>
              <w:noProof/>
              <w:lang w:val="es-ES"/>
            </w:rPr>
            <w:instrText>¡Error! No hay texto con el estilo especificado en el documento.</w:instrText>
          </w:r>
          <w:r>
            <w:rPr>
              <w:noProof/>
            </w:rPr>
            <w:fldChar w:fldCharType="end"/>
          </w:r>
          <w:r w:rsidRPr="004E063E">
            <w:instrText>"</w:instrText>
          </w:r>
          <w:r>
            <w:instrText xml:space="preserve"> </w:instrText>
          </w:r>
          <w:r w:rsidRPr="004E063E">
            <w:fldChar w:fldCharType="end"/>
          </w:r>
        </w:p>
      </w:tc>
      <w:tc>
        <w:tcPr>
          <w:tcW w:w="855" w:type="dxa"/>
        </w:tcPr>
        <w:p w:rsidR="009C5B9A" w:rsidRPr="00F57F90" w:rsidRDefault="009C5B9A" w:rsidP="00F0455F">
          <w:pPr>
            <w:pStyle w:val="Piedepgina"/>
            <w:rPr>
              <w:b/>
              <w:bCs/>
              <w:color w:val="C5C6C8" w:themeColor="text2" w:themeTint="66"/>
            </w:rPr>
          </w:pPr>
        </w:p>
      </w:tc>
    </w:tr>
  </w:tbl>
  <w:p w:rsidR="009C5B9A" w:rsidRPr="00437766" w:rsidRDefault="009C5B9A" w:rsidP="0043776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206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1"/>
      <w:gridCol w:w="855"/>
    </w:tblGrid>
    <w:tr w:rsidR="009C5B9A" w:rsidRPr="00B36984" w:rsidTr="00F0455F">
      <w:tc>
        <w:tcPr>
          <w:tcW w:w="9351" w:type="dxa"/>
        </w:tcPr>
        <w:p w:rsidR="009C5B9A" w:rsidRPr="00B36984" w:rsidRDefault="009C5B9A" w:rsidP="00F0455F">
          <w:pPr>
            <w:pStyle w:val="Piedepgina"/>
            <w:rPr>
              <w:color w:val="C5C6C8" w:themeColor="text2" w:themeTint="66"/>
            </w:rPr>
          </w:pPr>
          <w:r w:rsidRPr="004E063E">
            <w:fldChar w:fldCharType="begin"/>
          </w:r>
          <w:r w:rsidRPr="004E063E">
            <w:instrText xml:space="preserve"> IF </w:instrText>
          </w:r>
          <w:r>
            <w:fldChar w:fldCharType="begin"/>
          </w:r>
          <w:r>
            <w:instrText xml:space="preserve"> STYLEREF  ~Confidential </w:instrText>
          </w:r>
          <w:r>
            <w:rPr>
              <w:noProof/>
            </w:rPr>
            <w:fldChar w:fldCharType="end"/>
          </w:r>
          <w:r>
            <w:instrText xml:space="preserve"> </w:instrText>
          </w:r>
          <w:r w:rsidRPr="004E063E">
            <w:instrText>=</w:instrText>
          </w:r>
          <w:r>
            <w:instrText xml:space="preserve"> </w:instrText>
          </w:r>
          <w:r w:rsidRPr="004E063E">
            <w:instrText>"" "" "  │  </w:instrText>
          </w:r>
          <w:r>
            <w:fldChar w:fldCharType="begin"/>
          </w:r>
          <w:r>
            <w:instrText xml:space="preserve"> STYLEREF  ~Confidential </w:instrText>
          </w:r>
          <w:r>
            <w:fldChar w:fldCharType="separate"/>
          </w:r>
          <w:r w:rsidR="003F7F16">
            <w:rPr>
              <w:b/>
              <w:bCs/>
              <w:noProof/>
              <w:lang w:val="es-ES"/>
            </w:rPr>
            <w:instrText>¡Error! No hay texto con el estilo especificado en el documento.</w:instrText>
          </w:r>
          <w:r>
            <w:rPr>
              <w:noProof/>
            </w:rPr>
            <w:fldChar w:fldCharType="end"/>
          </w:r>
          <w:r w:rsidRPr="004E063E">
            <w:instrText>"</w:instrText>
          </w:r>
          <w:r>
            <w:instrText xml:space="preserve"> </w:instrText>
          </w:r>
          <w:r w:rsidRPr="004E063E">
            <w:fldChar w:fldCharType="end"/>
          </w:r>
        </w:p>
      </w:tc>
      <w:tc>
        <w:tcPr>
          <w:tcW w:w="855" w:type="dxa"/>
          <w:vAlign w:val="bottom"/>
        </w:tcPr>
        <w:p w:rsidR="009C5B9A" w:rsidRPr="00B36984" w:rsidRDefault="009C5B9A" w:rsidP="000A0D97">
          <w:pPr>
            <w:pStyle w:val="Piedepgina"/>
            <w:jc w:val="right"/>
          </w:pPr>
          <w:r w:rsidRPr="00B36984">
            <w:fldChar w:fldCharType="begin"/>
          </w:r>
          <w:r>
            <w:instrText xml:space="preserve"> </w:instrText>
          </w:r>
          <w:r w:rsidRPr="000A0D97">
            <w:instrText>PAGE</w:instrText>
          </w:r>
          <w:r>
            <w:instrText xml:space="preserve">  </w:instrText>
          </w:r>
          <w:r w:rsidRPr="00B36984">
            <w:instrText xml:space="preserve"> </w:instrText>
          </w:r>
          <w:r w:rsidRPr="00B36984">
            <w:fldChar w:fldCharType="separate"/>
          </w:r>
          <w:r w:rsidR="008826BC">
            <w:rPr>
              <w:noProof/>
            </w:rPr>
            <w:t>4</w:t>
          </w:r>
          <w:r w:rsidRPr="00B36984">
            <w:rPr>
              <w:noProof/>
            </w:rPr>
            <w:fldChar w:fldCharType="end"/>
          </w:r>
        </w:p>
      </w:tc>
    </w:tr>
  </w:tbl>
  <w:p w:rsidR="009C5B9A" w:rsidRDefault="009C5B9A" w:rsidP="00F045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tbl>
      <w:tblPr>
        <w:tblStyle w:val="Tablaconcuadrcula"/>
        <w:tblW w:w="7938" w:type="dxa"/>
        <w:tblBorders>
          <w:top w:val="none" w:sz="0" w:space="0" w:color="auto"/>
          <w:left w:val="none" w:sz="0" w:space="0" w:color="auto"/>
          <w:bottom w:val="single" w:sz="8" w:space="0" w:color="C5C6C8" w:themeColor="text2" w:themeTint="6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</w:tblGrid>
      <w:tr w:rsidR="003A3F36" w:rsidRPr="00823C7C" w:rsidTr="00CB3F34">
        <w:trPr>
          <w:trHeight w:hRule="exact" w:val="170"/>
        </w:trPr>
        <w:tc>
          <w:tcPr>
            <w:tcW w:w="7881" w:type="dxa"/>
          </w:tcPr>
          <w:p w:rsidR="003A3F36" w:rsidRPr="00823C7C" w:rsidRDefault="003A3F36" w:rsidP="00823C7C">
            <w:pPr>
              <w:spacing w:before="0" w:line="240" w:lineRule="auto"/>
              <w:rPr>
                <w:color w:val="C5C6C8" w:themeColor="text2" w:themeTint="66"/>
                <w:sz w:val="12"/>
                <w:szCs w:val="12"/>
              </w:rPr>
            </w:pPr>
          </w:p>
        </w:tc>
      </w:tr>
    </w:tbl>
    <w:p w:rsidR="003A3F36" w:rsidRPr="000F5519" w:rsidRDefault="003A3F36" w:rsidP="00F52EB6">
      <w:pPr>
        <w:pStyle w:val="Spacer"/>
      </w:pPr>
    </w:p>
  </w:footnote>
  <w:footnote w:type="continuationSeparator" w:id="0">
    <w:tbl>
      <w:tblPr>
        <w:tblStyle w:val="Tablaconcuadrcula"/>
        <w:tblW w:w="7938" w:type="dxa"/>
        <w:tblBorders>
          <w:top w:val="none" w:sz="0" w:space="0" w:color="auto"/>
          <w:left w:val="none" w:sz="0" w:space="0" w:color="auto"/>
          <w:bottom w:val="single" w:sz="8" w:space="0" w:color="C5C6C8" w:themeColor="text2" w:themeTint="6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</w:tblGrid>
      <w:tr w:rsidR="003A3F36" w:rsidTr="00CB3F34">
        <w:trPr>
          <w:trHeight w:hRule="exact" w:val="170"/>
        </w:trPr>
        <w:tc>
          <w:tcPr>
            <w:tcW w:w="7825" w:type="dxa"/>
          </w:tcPr>
          <w:p w:rsidR="003A3F36" w:rsidRDefault="003A3F36" w:rsidP="00823C7C">
            <w:pPr>
              <w:pStyle w:val="Piedepgina"/>
            </w:pPr>
          </w:p>
        </w:tc>
      </w:tr>
    </w:tbl>
    <w:p w:rsidR="003A3F36" w:rsidRPr="00823C7C" w:rsidRDefault="003A3F36" w:rsidP="00F52EB6">
      <w:pPr>
        <w:pStyle w:val="Spacer"/>
      </w:pPr>
    </w:p>
  </w:footnote>
  <w:footnote w:type="continuationNotice" w:id="1">
    <w:p w:rsidR="003A3F36" w:rsidRDefault="003A3F36" w:rsidP="00C82BD3">
      <w:pPr>
        <w:pStyle w:val="Spacer"/>
      </w:pPr>
    </w:p>
  </w:footnote>
  <w:footnote w:id="2">
    <w:p w:rsidR="002D32DE" w:rsidRDefault="009C5B9A" w:rsidP="00C3196F">
      <w:pPr>
        <w:pStyle w:val="Textonotapie"/>
        <w:ind w:left="0" w:firstLine="0"/>
      </w:pPr>
      <w:r>
        <w:rPr>
          <w:rStyle w:val="Refdenotaalpie"/>
        </w:rPr>
        <w:footnoteRef/>
      </w:r>
      <w:r>
        <w:t xml:space="preserve"> </w:t>
      </w:r>
      <w:r w:rsidR="002D32DE">
        <w:t>“</w:t>
      </w:r>
      <w:r w:rsidR="002D32DE" w:rsidRPr="002D32DE">
        <w:t>Resolución mediante la cual el Pleno del Instituto Federal de Telecomunicaciones suprime, modifica y adiciona las medidas impuestas al Agente Económico Preponderante en el Sector de Telecomunicaciones mediante Resolución de fecha 6 de marzo de 2014, aprobada mediante Acuerdo P/IFT/EXT/060314/76</w:t>
      </w:r>
      <w:r w:rsidR="002D32DE">
        <w:t xml:space="preserve">”. Disponible en: </w:t>
      </w:r>
      <w:hyperlink r:id="rId1" w:history="1">
        <w:r w:rsidR="002D32DE" w:rsidRPr="005951A2">
          <w:rPr>
            <w:rStyle w:val="Hipervnculo"/>
          </w:rPr>
          <w:t>http://www.ift.org.mx/sites/default/files/pitfext270217119verpub_1.pdf</w:t>
        </w:r>
      </w:hyperlink>
      <w:r w:rsidR="002D32DE">
        <w:t xml:space="preserve">. </w:t>
      </w:r>
    </w:p>
    <w:p w:rsidR="002D32DE" w:rsidRDefault="002D32DE" w:rsidP="00C3196F">
      <w:pPr>
        <w:pStyle w:val="Textonotapie"/>
        <w:ind w:left="0" w:firstLine="0"/>
      </w:pPr>
    </w:p>
  </w:footnote>
  <w:footnote w:id="3">
    <w:p w:rsidR="00C64669" w:rsidRPr="00FF7226" w:rsidRDefault="00C64669" w:rsidP="00C3196F">
      <w:pPr>
        <w:pStyle w:val="Textonotapie"/>
        <w:ind w:left="0" w:firstLine="0"/>
      </w:pPr>
      <w:r>
        <w:rPr>
          <w:rStyle w:val="Refdenotaalpie"/>
        </w:rPr>
        <w:footnoteRef/>
      </w:r>
      <w:r>
        <w:t xml:space="preserve"> EEO es el acrónimo de </w:t>
      </w:r>
      <w:r w:rsidRPr="008C7C5E">
        <w:rPr>
          <w:i/>
        </w:rPr>
        <w:t>Equally Efficient Operator</w:t>
      </w:r>
      <w:r>
        <w:t>.</w:t>
      </w:r>
      <w:r w:rsidR="00120D0B">
        <w:t xml:space="preserve"> (Operador Igualmente Eficiente).</w:t>
      </w:r>
    </w:p>
  </w:footnote>
  <w:footnote w:id="4">
    <w:p w:rsidR="00C64669" w:rsidRPr="009306AB" w:rsidRDefault="00C64669" w:rsidP="00C3196F">
      <w:pPr>
        <w:pStyle w:val="Textonotapie"/>
        <w:ind w:left="0" w:firstLine="0"/>
      </w:pPr>
      <w:r>
        <w:rPr>
          <w:rStyle w:val="Refdenotaalpie"/>
        </w:rPr>
        <w:footnoteRef/>
      </w:r>
      <w:r>
        <w:t xml:space="preserve"> LRIC es el acrónimo de </w:t>
      </w:r>
      <w:r w:rsidRPr="00FB5E8F">
        <w:rPr>
          <w:i/>
        </w:rPr>
        <w:t>Long Run Incremental Costs</w:t>
      </w:r>
      <w:r>
        <w:rPr>
          <w:i/>
        </w:rPr>
        <w:t xml:space="preserve"> Plus</w:t>
      </w:r>
      <w:r w:rsidR="00120D0B">
        <w:rPr>
          <w:i/>
        </w:rPr>
        <w:t xml:space="preserve"> (Costos Incrementales de Largo Plazo con </w:t>
      </w:r>
      <w:r w:rsidR="00120D0B" w:rsidRPr="00120D0B">
        <w:rPr>
          <w:i/>
        </w:rPr>
        <w:t xml:space="preserve">un </w:t>
      </w:r>
      <w:r w:rsidR="00120D0B">
        <w:rPr>
          <w:i/>
        </w:rPr>
        <w:t>M</w:t>
      </w:r>
      <w:r w:rsidR="00120D0B" w:rsidRPr="00120D0B">
        <w:rPr>
          <w:i/>
        </w:rPr>
        <w:t>argen</w:t>
      </w:r>
      <w:r w:rsidR="00120D0B">
        <w:rPr>
          <w:i/>
        </w:rPr>
        <w:t>).</w:t>
      </w:r>
    </w:p>
  </w:footnote>
  <w:footnote w:id="5">
    <w:p w:rsidR="00C64669" w:rsidRPr="009306AB" w:rsidRDefault="00C64669" w:rsidP="00C3196F">
      <w:pPr>
        <w:pStyle w:val="Textonotapie"/>
        <w:ind w:left="0" w:firstLine="0"/>
      </w:pPr>
      <w:r>
        <w:rPr>
          <w:rStyle w:val="Refdenotaalpie"/>
        </w:rPr>
        <w:footnoteRef/>
      </w:r>
      <w:r>
        <w:t xml:space="preserve"> FAC es el acrónimo de </w:t>
      </w:r>
      <w:r w:rsidRPr="00FB5E8F">
        <w:rPr>
          <w:i/>
        </w:rPr>
        <w:t>Fully Allocated Costs</w:t>
      </w:r>
      <w:r w:rsidR="00120D0B">
        <w:rPr>
          <w:i/>
        </w:rPr>
        <w:t xml:space="preserve"> (</w:t>
      </w:r>
      <w:r w:rsidR="00120D0B" w:rsidRPr="00120D0B">
        <w:rPr>
          <w:i/>
        </w:rPr>
        <w:t>Costos Completamente Distribuidos</w:t>
      </w:r>
      <w:r w:rsidR="00120D0B">
        <w:rPr>
          <w:i/>
        </w:rPr>
        <w:t>).</w:t>
      </w:r>
    </w:p>
  </w:footnote>
  <w:footnote w:id="6">
    <w:p w:rsidR="00C410E9" w:rsidRPr="004517E9" w:rsidRDefault="00C410E9" w:rsidP="00C3196F">
      <w:pPr>
        <w:pStyle w:val="Textonotapie"/>
        <w:ind w:left="0" w:firstLine="0"/>
        <w:rPr>
          <w:lang w:val="es-MX"/>
        </w:rPr>
      </w:pPr>
      <w:r>
        <w:rPr>
          <w:rStyle w:val="Refdenotaalpie"/>
        </w:rPr>
        <w:footnoteRef/>
      </w:r>
      <w:r>
        <w:t xml:space="preserve"> Al momento de la consulta, las tarifas mayoristas están planteados como porcentajes de descuento sobre tarifas base. A partir de la revisión de la Oferta de Referencia en 2017 se considerarán tarifas mayoristas basadas en costos, </w:t>
      </w:r>
      <w:r w:rsidR="00F41698">
        <w:t>en cuyo caso se aplicará el precio de catálogo con descuento fijo en 0%</w:t>
      </w:r>
      <w:r>
        <w:t>.</w:t>
      </w:r>
    </w:p>
  </w:footnote>
  <w:footnote w:id="7">
    <w:p w:rsidR="00C858F1" w:rsidRDefault="00C858F1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tab/>
        <w:t>El modelo no asigna un costo relativo al uso del espacio dado que hemos supuesto que el AEP se responsabiliza de su adecuación.</w:t>
      </w:r>
    </w:p>
  </w:footnote>
  <w:footnote w:id="8">
    <w:p w:rsidR="00EF5499" w:rsidRPr="004517E9" w:rsidRDefault="00EF5499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Al momento de la consulta, las tarifas mayoristas están planteados como porcentajes de descuento sobre tarifas base. A partir de la revisión de la Oferta de Referencia en 2017 se considerarán tarifas mayoristas basadas en costos, </w:t>
      </w:r>
      <w:r w:rsidR="00F41698">
        <w:t>en cuyo caso se aplicará el precio de catálogo con descuento fijo en 0%</w:t>
      </w:r>
    </w:p>
  </w:footnote>
  <w:footnote w:id="9">
    <w:p w:rsidR="00A7003A" w:rsidRPr="004517E9" w:rsidRDefault="00A7003A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A7003A">
        <w:t xml:space="preserve">Al momento de la consulta, las tarifas mayoristas están planteados como porcentajes de descuento sobre tarifas base. A partir de la revisión de la Oferta de Referencia en 2017 se considerarán tarifas mayoristas basadas en costos, </w:t>
      </w:r>
      <w:r w:rsidR="00F41698">
        <w:t>en cuyo caso se aplicará el precio de catálogo con descuento fijo en 0%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X="852" w:tblpY="852"/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44"/>
      <w:gridCol w:w="8162"/>
    </w:tblGrid>
    <w:tr w:rsidR="009C5B9A" w:rsidRPr="00F57F90" w:rsidTr="0021208F">
      <w:trPr>
        <w:trHeight w:hRule="exact" w:val="567"/>
      </w:trPr>
      <w:tc>
        <w:tcPr>
          <w:tcW w:w="2044" w:type="dxa"/>
        </w:tcPr>
        <w:p w:rsidR="009C5B9A" w:rsidRPr="000A0D97" w:rsidRDefault="009C5B9A" w:rsidP="000A0D97">
          <w:pPr>
            <w:pStyle w:val="DraftRef"/>
          </w:pPr>
          <w:r w:rsidRPr="000A0D97">
            <w:fldChar w:fldCharType="begin"/>
          </w:r>
          <w:r w:rsidRPr="000A0D97">
            <w:instrText xml:space="preserve"> STYLEREF  ~Draft </w:instrText>
          </w:r>
          <w:r w:rsidRPr="000A0D97">
            <w:fldChar w:fldCharType="end"/>
          </w:r>
        </w:p>
      </w:tc>
      <w:tc>
        <w:tcPr>
          <w:tcW w:w="8162" w:type="dxa"/>
        </w:tcPr>
        <w:p w:rsidR="009C5B9A" w:rsidRPr="00717597" w:rsidRDefault="009C5B9A" w:rsidP="00717597">
          <w:pPr>
            <w:pStyle w:val="Encabezado"/>
          </w:pPr>
          <w:r>
            <w:fldChar w:fldCharType="begin"/>
          </w:r>
          <w:r>
            <w:instrText xml:space="preserve"> STYLEREF  "~DocTitle" </w:instrText>
          </w:r>
          <w:r>
            <w:fldChar w:fldCharType="separate"/>
          </w:r>
          <w:r w:rsidR="008826BC">
            <w:rPr>
              <w:noProof/>
            </w:rPr>
            <w:t>MANUAL DEL MODELO DE REPLICABILIDAD</w:t>
          </w:r>
          <w:r>
            <w:rPr>
              <w:noProof/>
            </w:rPr>
            <w:fldChar w:fldCharType="end"/>
          </w:r>
        </w:p>
      </w:tc>
    </w:tr>
  </w:tbl>
  <w:p w:rsidR="009C5B9A" w:rsidRPr="00EB2C63" w:rsidRDefault="009C5B9A" w:rsidP="00EB2C6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X="852" w:tblpY="852"/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44"/>
      <w:gridCol w:w="8162"/>
    </w:tblGrid>
    <w:tr w:rsidR="009C5B9A" w:rsidRPr="00B36984" w:rsidTr="0021208F">
      <w:trPr>
        <w:trHeight w:hRule="exact" w:val="567"/>
      </w:trPr>
      <w:tc>
        <w:tcPr>
          <w:tcW w:w="2044" w:type="dxa"/>
        </w:tcPr>
        <w:p w:rsidR="009C5B9A" w:rsidRPr="00DC53CB" w:rsidRDefault="009C5B9A" w:rsidP="00717597">
          <w:pPr>
            <w:pStyle w:val="DraftRef"/>
            <w:rPr>
              <w:sz w:val="24"/>
            </w:rPr>
          </w:pPr>
          <w:r>
            <w:fldChar w:fldCharType="begin"/>
          </w:r>
          <w:r>
            <w:instrText xml:space="preserve"> STYLEREF  ~Draft </w:instrText>
          </w:r>
          <w:r>
            <w:rPr>
              <w:noProof/>
            </w:rPr>
            <w:fldChar w:fldCharType="end"/>
          </w:r>
        </w:p>
      </w:tc>
      <w:tc>
        <w:tcPr>
          <w:tcW w:w="8162" w:type="dxa"/>
        </w:tcPr>
        <w:p w:rsidR="009C5B9A" w:rsidRPr="00B36984" w:rsidRDefault="009C5B9A" w:rsidP="00717597">
          <w:pPr>
            <w:pStyle w:val="Encabezado"/>
          </w:pPr>
          <w:r>
            <w:fldChar w:fldCharType="begin"/>
          </w:r>
          <w:r>
            <w:instrText xml:space="preserve"> STYLEREF  "~DocTitle" </w:instrText>
          </w:r>
          <w:r>
            <w:fldChar w:fldCharType="separate"/>
          </w:r>
          <w:r w:rsidR="008826BC">
            <w:rPr>
              <w:noProof/>
            </w:rPr>
            <w:t>MANUAL DEL MODELO DE REPLICABILIDAD</w:t>
          </w:r>
          <w:r>
            <w:rPr>
              <w:noProof/>
            </w:rPr>
            <w:fldChar w:fldCharType="end"/>
          </w:r>
        </w:p>
      </w:tc>
    </w:tr>
  </w:tbl>
  <w:p w:rsidR="009C5B9A" w:rsidRPr="00580ADA" w:rsidRDefault="009C5B9A" w:rsidP="00717597">
    <w:pPr>
      <w:pStyle w:val="Piedep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0244"/>
    <w:multiLevelType w:val="multilevel"/>
    <w:tmpl w:val="0809001D"/>
    <w:name w:val="SecHead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4C52E5"/>
    <w:multiLevelType w:val="multilevel"/>
    <w:tmpl w:val="844A82D2"/>
    <w:name w:val="NumberedList3"/>
    <w:numStyleLink w:val="ListNumStyle"/>
  </w:abstractNum>
  <w:abstractNum w:abstractNumId="2" w15:restartNumberingAfterBreak="0">
    <w:nsid w:val="059679F8"/>
    <w:multiLevelType w:val="multilevel"/>
    <w:tmpl w:val="22D45FDC"/>
    <w:name w:val="ParaNumBulletList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E83F35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E83F35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E83F35" w:themeColor="accent1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" w15:restartNumberingAfterBreak="0">
    <w:nsid w:val="09787125"/>
    <w:multiLevelType w:val="multilevel"/>
    <w:tmpl w:val="8A4E6DC2"/>
    <w:name w:val="SecHeadList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8A5276"/>
    <w:multiLevelType w:val="multilevel"/>
    <w:tmpl w:val="0809001D"/>
    <w:name w:val="SecHeadList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B8A67C9"/>
    <w:multiLevelType w:val="multilevel"/>
    <w:tmpl w:val="4C70D716"/>
    <w:name w:val="ParaNumBulletList"/>
    <w:lvl w:ilvl="0">
      <w:start w:val="1"/>
      <w:numFmt w:val="none"/>
      <w:lvlText w:val=""/>
      <w:lvlJc w:val="left"/>
      <w:pPr>
        <w:ind w:left="340" w:hanging="340"/>
      </w:pPr>
      <w:rPr>
        <w:rFonts w:hint="default"/>
        <w:color w:val="E83F35" w:themeColor="accent1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  <w:color w:val="E83F35" w:themeColor="accent1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  <w:color w:val="E83F35" w:themeColor="accent1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12E058A9"/>
    <w:multiLevelType w:val="hybridMultilevel"/>
    <w:tmpl w:val="A66ABDC2"/>
    <w:lvl w:ilvl="0" w:tplc="576E8D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21A57"/>
    <w:multiLevelType w:val="multilevel"/>
    <w:tmpl w:val="C102EA5A"/>
    <w:name w:val="AppHeadList"/>
    <w:styleLink w:val="AppListStyle"/>
    <w:lvl w:ilvl="0">
      <w:start w:val="1"/>
      <w:numFmt w:val="upperLetter"/>
      <w:lvlRestart w:val="0"/>
      <w:pStyle w:val="AnxHead"/>
      <w:lvlText w:val="ANNEX %1"/>
      <w:lvlJc w:val="left"/>
      <w:pPr>
        <w:tabs>
          <w:tab w:val="num" w:pos="1559"/>
        </w:tabs>
        <w:ind w:left="1559" w:hanging="1559"/>
      </w:pPr>
      <w:rPr>
        <w:rFonts w:ascii="Arial" w:hAnsi="Arial" w:cs="Arial" w:hint="default"/>
        <w:b/>
        <w:bCs/>
        <w:i w:val="0"/>
        <w:color w:val="E83F35" w:themeColor="accent1"/>
        <w:sz w:val="40"/>
      </w:rPr>
    </w:lvl>
    <w:lvl w:ilvl="1">
      <w:start w:val="1"/>
      <w:numFmt w:val="decimal"/>
      <w:pStyle w:val="AnxSubHead"/>
      <w:lvlText w:val="%1.%2"/>
      <w:lvlJc w:val="right"/>
      <w:pPr>
        <w:tabs>
          <w:tab w:val="num" w:pos="709"/>
        </w:tabs>
        <w:ind w:left="709" w:hanging="198"/>
      </w:pPr>
      <w:rPr>
        <w:rFonts w:ascii="Arial" w:hAnsi="Arial" w:cs="Arial" w:hint="default"/>
        <w:b w:val="0"/>
        <w:i w:val="0"/>
        <w:color w:val="E83F35" w:themeColor="accent1"/>
        <w:sz w:val="36"/>
      </w:rPr>
    </w:lvl>
    <w:lvl w:ilvl="2">
      <w:start w:val="1"/>
      <w:numFmt w:val="decimal"/>
      <w:pStyle w:val="AnxMinorSubHead"/>
      <w:lvlText w:val="%1.%2.%3"/>
      <w:lvlJc w:val="right"/>
      <w:pPr>
        <w:tabs>
          <w:tab w:val="num" w:pos="709"/>
        </w:tabs>
        <w:ind w:left="709" w:hanging="198"/>
      </w:pPr>
      <w:rPr>
        <w:rFonts w:ascii="Arial" w:hAnsi="Arial" w:cs="Arial" w:hint="default"/>
        <w:b w:val="0"/>
        <w:i w:val="0"/>
        <w:color w:val="E83F35" w:themeColor="accent1"/>
        <w:sz w:val="30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8" w15:restartNumberingAfterBreak="0">
    <w:nsid w:val="14B63999"/>
    <w:multiLevelType w:val="multilevel"/>
    <w:tmpl w:val="C102EA5A"/>
    <w:name w:val="AppHeadList2"/>
    <w:numStyleLink w:val="AppListStyle"/>
  </w:abstractNum>
  <w:abstractNum w:abstractNumId="9" w15:restartNumberingAfterBreak="0">
    <w:nsid w:val="1B37531D"/>
    <w:multiLevelType w:val="multilevel"/>
    <w:tmpl w:val="844A82D2"/>
    <w:name w:val="NumberedList4"/>
    <w:numStyleLink w:val="ListNumStyle"/>
  </w:abstractNum>
  <w:abstractNum w:abstractNumId="10" w15:restartNumberingAfterBreak="0">
    <w:nsid w:val="1CB458B4"/>
    <w:multiLevelType w:val="multilevel"/>
    <w:tmpl w:val="113A5250"/>
    <w:name w:val="ListNumBulletList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E83F35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E83F35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E83F35" w:themeColor="accent1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1" w15:restartNumberingAfterBreak="0">
    <w:nsid w:val="268571AF"/>
    <w:multiLevelType w:val="multilevel"/>
    <w:tmpl w:val="8AE871F2"/>
    <w:name w:val="SecHeadList5"/>
    <w:numStyleLink w:val="SecListStyle"/>
  </w:abstractNum>
  <w:abstractNum w:abstractNumId="12" w15:restartNumberingAfterBreak="0">
    <w:nsid w:val="2A3E56FB"/>
    <w:multiLevelType w:val="multilevel"/>
    <w:tmpl w:val="AAB08E7C"/>
    <w:name w:val="SeqParaList2"/>
    <w:numStyleLink w:val="SeqParaListStyle"/>
  </w:abstractNum>
  <w:abstractNum w:abstractNumId="13" w15:restartNumberingAfterBreak="0">
    <w:nsid w:val="2D4F5981"/>
    <w:multiLevelType w:val="multilevel"/>
    <w:tmpl w:val="9B1ABCF4"/>
    <w:name w:val="ListBulletList"/>
    <w:lvl w:ilvl="0">
      <w:start w:val="1"/>
      <w:numFmt w:val="bullet"/>
      <w:pStyle w:val="ListBullet1"/>
      <w:lvlText w:val="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E83F35" w:themeColor="accent1"/>
      </w:rPr>
    </w:lvl>
    <w:lvl w:ilvl="1">
      <w:start w:val="1"/>
      <w:numFmt w:val="bullet"/>
      <w:pStyle w:val="ListBullet2"/>
      <w:lvlText w:val="□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color w:val="E83F35" w:themeColor="accent1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E83F35" w:themeColor="accent1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573" w:hanging="397"/>
      </w:pPr>
      <w:rPr>
        <w:rFonts w:ascii="Wingdings" w:hAnsi="Wingdings" w:hint="default"/>
      </w:rPr>
    </w:lvl>
  </w:abstractNum>
  <w:abstractNum w:abstractNumId="14" w15:restartNumberingAfterBreak="0">
    <w:nsid w:val="3454482C"/>
    <w:multiLevelType w:val="hybridMultilevel"/>
    <w:tmpl w:val="B1105EB4"/>
    <w:lvl w:ilvl="0" w:tplc="FE70B87A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67AB2"/>
    <w:multiLevelType w:val="multilevel"/>
    <w:tmpl w:val="844A82D2"/>
    <w:name w:val="NumberedList"/>
    <w:styleLink w:val="ListNumStyle"/>
    <w:lvl w:ilvl="0">
      <w:start w:val="1"/>
      <w:numFmt w:val="decimal"/>
      <w:pStyle w:val="ListNumBullet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7424A" w:themeColor="text1"/>
      </w:rPr>
    </w:lvl>
    <w:lvl w:ilvl="1">
      <w:start w:val="1"/>
      <w:numFmt w:val="lowerLetter"/>
      <w:pStyle w:val="ListNumBullet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7424A" w:themeColor="text1"/>
      </w:rPr>
    </w:lvl>
    <w:lvl w:ilvl="2">
      <w:start w:val="1"/>
      <w:numFmt w:val="lowerRoman"/>
      <w:pStyle w:val="ListNumBullet3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37424A" w:themeColor="tex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AF464B7"/>
    <w:multiLevelType w:val="hybridMultilevel"/>
    <w:tmpl w:val="092C37FA"/>
    <w:lvl w:ilvl="0" w:tplc="331E8154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C38EF"/>
    <w:multiLevelType w:val="multilevel"/>
    <w:tmpl w:val="AAB08E7C"/>
    <w:name w:val="ParaNumBulletListStyle2"/>
    <w:numStyleLink w:val="SeqParaListStyle"/>
  </w:abstractNum>
  <w:abstractNum w:abstractNumId="18" w15:restartNumberingAfterBreak="0">
    <w:nsid w:val="44F53080"/>
    <w:multiLevelType w:val="multilevel"/>
    <w:tmpl w:val="844A82D2"/>
    <w:name w:val="ParaNumBulletList32"/>
    <w:numStyleLink w:val="ListNumStyle"/>
  </w:abstractNum>
  <w:abstractNum w:abstractNumId="19" w15:restartNumberingAfterBreak="0">
    <w:nsid w:val="4A0744BE"/>
    <w:multiLevelType w:val="multilevel"/>
    <w:tmpl w:val="407056D8"/>
    <w:name w:val="ParaBulletList"/>
    <w:lvl w:ilvl="0">
      <w:start w:val="1"/>
      <w:numFmt w:val="bullet"/>
      <w:pStyle w:val="ParaBullet1"/>
      <w:lvlText w:val=""/>
      <w:lvlJc w:val="left"/>
      <w:pPr>
        <w:tabs>
          <w:tab w:val="num" w:pos="340"/>
        </w:tabs>
        <w:ind w:left="340" w:hanging="340"/>
      </w:pPr>
      <w:rPr>
        <w:rFonts w:ascii="Wingdings 2" w:hAnsi="Wingdings 2" w:cs="Wingdings 2" w:hint="default"/>
        <w:color w:val="E83F35" w:themeColor="accent1"/>
      </w:rPr>
    </w:lvl>
    <w:lvl w:ilvl="1">
      <w:start w:val="1"/>
      <w:numFmt w:val="bullet"/>
      <w:pStyle w:val="ParaBullet2"/>
      <w:lvlText w:val="□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color w:val="E83F35" w:themeColor="accent1"/>
      </w:rPr>
    </w:lvl>
    <w:lvl w:ilvl="2">
      <w:start w:val="1"/>
      <w:numFmt w:val="bullet"/>
      <w:pStyle w:val="Para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cs="(none)" w:hint="default"/>
        <w:color w:val="E83F35" w:themeColor="accent1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573" w:hanging="397"/>
      </w:pPr>
      <w:rPr>
        <w:rFonts w:ascii="Wingdings" w:hAnsi="Wingdings" w:hint="default"/>
      </w:rPr>
    </w:lvl>
  </w:abstractNum>
  <w:abstractNum w:abstractNumId="20" w15:restartNumberingAfterBreak="0">
    <w:nsid w:val="54656B87"/>
    <w:multiLevelType w:val="multilevel"/>
    <w:tmpl w:val="AAB08E7C"/>
    <w:name w:val="ParaNumBulletListStyle"/>
    <w:styleLink w:val="SeqParaListStyle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color w:val="auto"/>
        <w:sz w:val="22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b w:val="0"/>
        <w:i w:val="0"/>
        <w:color w:val="auto"/>
        <w:sz w:val="22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  <w:b w:val="0"/>
        <w:i w:val="0"/>
        <w:color w:val="E83F35" w:themeColor="accent1"/>
        <w:sz w:val="22"/>
      </w:rPr>
    </w:lvl>
    <w:lvl w:ilvl="4">
      <w:start w:val="1"/>
      <w:numFmt w:val="none"/>
      <w:suff w:val="nothing"/>
      <w:lvlText w:val=""/>
      <w:lvlJc w:val="left"/>
      <w:pPr>
        <w:ind w:left="198" w:firstLine="0"/>
      </w:pPr>
      <w:rPr>
        <w:rFonts w:hint="default"/>
        <w:b w:val="0"/>
        <w:i w:val="0"/>
        <w:color w:val="E83F35" w:themeColor="accent1"/>
        <w:sz w:val="22"/>
      </w:rPr>
    </w:lvl>
    <w:lvl w:ilvl="5">
      <w:start w:val="1"/>
      <w:numFmt w:val="none"/>
      <w:lvlText w:val=""/>
      <w:lvlJc w:val="left"/>
      <w:pPr>
        <w:ind w:left="198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9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98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98" w:firstLine="0"/>
      </w:pPr>
      <w:rPr>
        <w:rFonts w:hint="default"/>
      </w:rPr>
    </w:lvl>
  </w:abstractNum>
  <w:abstractNum w:abstractNumId="21" w15:restartNumberingAfterBreak="0">
    <w:nsid w:val="5CF87017"/>
    <w:multiLevelType w:val="multilevel"/>
    <w:tmpl w:val="9D42633E"/>
    <w:lvl w:ilvl="0">
      <w:start w:val="1"/>
      <w:numFmt w:val="decimal"/>
      <w:lvlRestart w:val="0"/>
      <w:lvlText w:val="%1"/>
      <w:lvlJc w:val="right"/>
      <w:pPr>
        <w:tabs>
          <w:tab w:val="num" w:pos="0"/>
        </w:tabs>
        <w:ind w:left="0" w:hanging="198"/>
      </w:pPr>
      <w:rPr>
        <w:rFonts w:ascii="Arial" w:hAnsi="Arial" w:cs="Arial" w:hint="default"/>
        <w:b w:val="0"/>
        <w:i w:val="0"/>
        <w:color w:val="auto"/>
        <w:sz w:val="22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538"/>
        </w:tabs>
        <w:ind w:left="538" w:hanging="340"/>
      </w:pPr>
      <w:rPr>
        <w:rFonts w:ascii="Arial" w:hAnsi="Arial" w:cs="Arial" w:hint="default"/>
        <w:b w:val="0"/>
        <w:i w:val="0"/>
        <w:color w:val="E83F35" w:themeColor="accent1"/>
        <w:sz w:val="22"/>
      </w:rPr>
    </w:lvl>
    <w:lvl w:ilvl="2">
      <w:start w:val="1"/>
      <w:numFmt w:val="lowerRoman"/>
      <w:lvlText w:val="%3."/>
      <w:lvlJc w:val="left"/>
      <w:pPr>
        <w:tabs>
          <w:tab w:val="num" w:pos="878"/>
        </w:tabs>
        <w:ind w:left="878" w:hanging="340"/>
      </w:pPr>
      <w:rPr>
        <w:rFonts w:ascii="Arial" w:hAnsi="Arial" w:cs="Arial" w:hint="default"/>
        <w:b w:val="0"/>
        <w:i w:val="0"/>
        <w:color w:val="E83F35" w:themeColor="accent1"/>
        <w:sz w:val="22"/>
      </w:rPr>
    </w:lvl>
    <w:lvl w:ilvl="3">
      <w:start w:val="1"/>
      <w:numFmt w:val="bullet"/>
      <w:lvlText w:val="–"/>
      <w:lvlJc w:val="left"/>
      <w:pPr>
        <w:tabs>
          <w:tab w:val="num" w:pos="1219"/>
        </w:tabs>
        <w:ind w:left="1219" w:hanging="341"/>
      </w:pPr>
      <w:rPr>
        <w:rFonts w:ascii="font440" w:hAnsi="font440" w:hint="default"/>
        <w:b w:val="0"/>
        <w:i w:val="0"/>
        <w:color w:val="E83F35" w:themeColor="accent1"/>
        <w:sz w:val="22"/>
      </w:rPr>
    </w:lvl>
    <w:lvl w:ilvl="4">
      <w:start w:val="1"/>
      <w:numFmt w:val="none"/>
      <w:suff w:val="nothing"/>
      <w:lvlText w:val=""/>
      <w:lvlJc w:val="left"/>
      <w:pPr>
        <w:ind w:left="198" w:firstLine="0"/>
      </w:pPr>
      <w:rPr>
        <w:rFonts w:hint="default"/>
        <w:b w:val="0"/>
        <w:i w:val="0"/>
        <w:color w:val="E83F35" w:themeColor="accent1"/>
        <w:sz w:val="22"/>
      </w:rPr>
    </w:lvl>
    <w:lvl w:ilvl="5">
      <w:start w:val="1"/>
      <w:numFmt w:val="none"/>
      <w:lvlText w:val=""/>
      <w:lvlJc w:val="left"/>
      <w:pPr>
        <w:ind w:left="198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9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98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98" w:firstLine="0"/>
      </w:pPr>
      <w:rPr>
        <w:rFonts w:hint="default"/>
      </w:rPr>
    </w:lvl>
  </w:abstractNum>
  <w:abstractNum w:abstractNumId="22" w15:restartNumberingAfterBreak="0">
    <w:nsid w:val="601D105A"/>
    <w:multiLevelType w:val="multilevel"/>
    <w:tmpl w:val="844A82D2"/>
    <w:name w:val="NumberedList2"/>
    <w:numStyleLink w:val="ListNumStyle"/>
  </w:abstractNum>
  <w:abstractNum w:abstractNumId="23" w15:restartNumberingAfterBreak="0">
    <w:nsid w:val="617E60E3"/>
    <w:multiLevelType w:val="multilevel"/>
    <w:tmpl w:val="8AE871F2"/>
    <w:name w:val="SecHeadList"/>
    <w:styleLink w:val="SecListStyle"/>
    <w:lvl w:ilvl="0">
      <w:start w:val="1"/>
      <w:numFmt w:val="decimal"/>
      <w:lvlRestart w:val="0"/>
      <w:pStyle w:val="Ttulo1"/>
      <w:isLgl/>
      <w:lvlText w:val="%1"/>
      <w:lvlJc w:val="right"/>
      <w:pPr>
        <w:tabs>
          <w:tab w:val="num" w:pos="0"/>
        </w:tabs>
        <w:ind w:left="0" w:hanging="198"/>
      </w:pPr>
      <w:rPr>
        <w:rFonts w:ascii="Arial" w:hAnsi="Arial" w:cs="Arial" w:hint="default"/>
        <w:b w:val="0"/>
        <w:i w:val="0"/>
        <w:color w:val="E83F35" w:themeColor="accent1"/>
        <w:sz w:val="40"/>
      </w:rPr>
    </w:lvl>
    <w:lvl w:ilvl="1">
      <w:start w:val="1"/>
      <w:numFmt w:val="decimal"/>
      <w:pStyle w:val="Ttulo2"/>
      <w:isLgl/>
      <w:lvlText w:val="%1.%2"/>
      <w:lvlJc w:val="right"/>
      <w:pPr>
        <w:tabs>
          <w:tab w:val="num" w:pos="0"/>
        </w:tabs>
        <w:ind w:left="0" w:hanging="198"/>
      </w:pPr>
      <w:rPr>
        <w:rFonts w:ascii="Arial" w:hAnsi="Arial" w:cs="Arial" w:hint="default"/>
        <w:b w:val="0"/>
        <w:i w:val="0"/>
        <w:color w:val="E83F35" w:themeColor="accent1"/>
        <w:sz w:val="36"/>
      </w:rPr>
    </w:lvl>
    <w:lvl w:ilvl="2">
      <w:start w:val="1"/>
      <w:numFmt w:val="decimal"/>
      <w:pStyle w:val="Ttulo3"/>
      <w:isLgl/>
      <w:lvlText w:val="%1.%2.%3"/>
      <w:lvlJc w:val="right"/>
      <w:pPr>
        <w:tabs>
          <w:tab w:val="num" w:pos="0"/>
        </w:tabs>
        <w:ind w:left="0" w:hanging="198"/>
      </w:pPr>
      <w:rPr>
        <w:rFonts w:ascii="Arial" w:hAnsi="Arial" w:cs="Arial" w:hint="default"/>
        <w:b w:val="0"/>
        <w:i w:val="0"/>
        <w:color w:val="E83F35" w:themeColor="accent1"/>
        <w:sz w:val="3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color w:val="66B0B7" w:themeColor="accent6"/>
        <w:sz w:val="24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2C201C7"/>
    <w:multiLevelType w:val="multilevel"/>
    <w:tmpl w:val="162E5130"/>
    <w:name w:val="ParaNumBulletListStyle3"/>
    <w:lvl w:ilvl="0">
      <w:start w:val="1"/>
      <w:numFmt w:val="decimal"/>
      <w:lvlRestart w:val="0"/>
      <w:pStyle w:val="ParaNumBullet1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color w:val="37424A" w:themeColor="text1"/>
        <w:sz w:val="22"/>
      </w:rPr>
    </w:lvl>
    <w:lvl w:ilvl="1">
      <w:start w:val="1"/>
      <w:numFmt w:val="lowerLetter"/>
      <w:lvlRestart w:val="0"/>
      <w:pStyle w:val="ParaNumBullet2"/>
      <w:lvlText w:val="%2.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b w:val="0"/>
        <w:i w:val="0"/>
        <w:color w:val="37424A" w:themeColor="text1"/>
        <w:sz w:val="22"/>
      </w:rPr>
    </w:lvl>
    <w:lvl w:ilvl="2">
      <w:start w:val="1"/>
      <w:numFmt w:val="lowerRoman"/>
      <w:pStyle w:val="ParaNumBullet3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  <w:color w:val="37424A" w:themeColor="text1"/>
        <w:sz w:val="2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  <w:b w:val="0"/>
        <w:i w:val="0"/>
        <w:color w:val="E83F35" w:themeColor="accent1"/>
        <w:sz w:val="22"/>
      </w:rPr>
    </w:lvl>
    <w:lvl w:ilvl="4">
      <w:start w:val="1"/>
      <w:numFmt w:val="none"/>
      <w:suff w:val="nothing"/>
      <w:lvlText w:val=""/>
      <w:lvlJc w:val="left"/>
      <w:pPr>
        <w:ind w:left="198" w:firstLine="0"/>
      </w:pPr>
      <w:rPr>
        <w:rFonts w:hint="default"/>
        <w:b w:val="0"/>
        <w:i w:val="0"/>
        <w:color w:val="E83F35" w:themeColor="accent1"/>
        <w:sz w:val="22"/>
      </w:rPr>
    </w:lvl>
    <w:lvl w:ilvl="5">
      <w:start w:val="1"/>
      <w:numFmt w:val="none"/>
      <w:lvlText w:val=""/>
      <w:lvlJc w:val="left"/>
      <w:pPr>
        <w:ind w:left="198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9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98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98" w:firstLine="0"/>
      </w:pPr>
      <w:rPr>
        <w:rFonts w:hint="default"/>
      </w:rPr>
    </w:lvl>
  </w:abstractNum>
  <w:abstractNum w:abstractNumId="25" w15:restartNumberingAfterBreak="0">
    <w:nsid w:val="63B275DD"/>
    <w:multiLevelType w:val="multilevel"/>
    <w:tmpl w:val="8AE871F2"/>
    <w:name w:val="SecHeadList4"/>
    <w:numStyleLink w:val="SecListStyle"/>
  </w:abstractNum>
  <w:abstractNum w:abstractNumId="26" w15:restartNumberingAfterBreak="0">
    <w:nsid w:val="687762B8"/>
    <w:multiLevelType w:val="multilevel"/>
    <w:tmpl w:val="113A5250"/>
    <w:name w:val="ParaNumBulletList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E83F35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E83F35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E83F35" w:themeColor="accent1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7" w15:restartNumberingAfterBreak="0">
    <w:nsid w:val="6E4821C5"/>
    <w:multiLevelType w:val="multilevel"/>
    <w:tmpl w:val="836A0AFE"/>
    <w:lvl w:ilvl="0">
      <w:start w:val="1"/>
      <w:numFmt w:val="decimal"/>
      <w:lvlRestart w:val="0"/>
      <w:isLgl/>
      <w:lvlText w:val="%1"/>
      <w:lvlJc w:val="right"/>
      <w:pPr>
        <w:tabs>
          <w:tab w:val="num" w:pos="0"/>
        </w:tabs>
        <w:ind w:left="0" w:hanging="198"/>
      </w:pPr>
      <w:rPr>
        <w:rFonts w:ascii="Arial" w:hAnsi="Arial" w:cs="Arial" w:hint="default"/>
        <w:b w:val="0"/>
        <w:i w:val="0"/>
        <w:color w:val="007B87" w:themeColor="accent3"/>
        <w:sz w:val="40"/>
      </w:rPr>
    </w:lvl>
    <w:lvl w:ilvl="1">
      <w:start w:val="1"/>
      <w:numFmt w:val="decimal"/>
      <w:isLgl/>
      <w:lvlText w:val="%1.%2"/>
      <w:lvlJc w:val="right"/>
      <w:pPr>
        <w:tabs>
          <w:tab w:val="num" w:pos="0"/>
        </w:tabs>
        <w:ind w:left="0" w:hanging="198"/>
      </w:pPr>
      <w:rPr>
        <w:rFonts w:ascii="Arial" w:hAnsi="Arial" w:cs="Arial" w:hint="default"/>
        <w:b w:val="0"/>
        <w:i w:val="0"/>
        <w:color w:val="007B87" w:themeColor="accent3"/>
        <w:sz w:val="36"/>
      </w:rPr>
    </w:lvl>
    <w:lvl w:ilvl="2">
      <w:start w:val="1"/>
      <w:numFmt w:val="decimal"/>
      <w:isLgl/>
      <w:lvlText w:val="%1.%2.%3"/>
      <w:lvlJc w:val="right"/>
      <w:pPr>
        <w:tabs>
          <w:tab w:val="num" w:pos="0"/>
        </w:tabs>
        <w:ind w:left="0" w:hanging="198"/>
      </w:pPr>
      <w:rPr>
        <w:rFonts w:ascii="Arial" w:hAnsi="Arial" w:cs="Arial" w:hint="default"/>
        <w:b w:val="0"/>
        <w:i w:val="0"/>
        <w:color w:val="66B0B7" w:themeColor="accent6"/>
        <w:sz w:val="30"/>
      </w:rPr>
    </w:lvl>
    <w:lvl w:ilvl="3">
      <w:start w:val="1"/>
      <w:numFmt w:val="decimal"/>
      <w:isLgl/>
      <w:lvlText w:val="%1.%2.%3.%4"/>
      <w:lvlJc w:val="right"/>
      <w:pPr>
        <w:tabs>
          <w:tab w:val="num" w:pos="0"/>
        </w:tabs>
        <w:ind w:left="0" w:hanging="198"/>
      </w:pPr>
      <w:rPr>
        <w:rFonts w:ascii="Arial" w:hAnsi="Arial" w:cs="Arial" w:hint="default"/>
        <w:b w:val="0"/>
        <w:i w:val="0"/>
        <w:color w:val="66B0B7" w:themeColor="accent6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EE3444F"/>
    <w:multiLevelType w:val="hybridMultilevel"/>
    <w:tmpl w:val="ED4AE9AE"/>
    <w:name w:val="TableBulletList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D5D3A"/>
    <w:multiLevelType w:val="multilevel"/>
    <w:tmpl w:val="D7F2D9E0"/>
    <w:name w:val="ListNumBulletList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E83F35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E83F35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E83F35" w:themeColor="accent1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0" w15:restartNumberingAfterBreak="0">
    <w:nsid w:val="796A3518"/>
    <w:multiLevelType w:val="multilevel"/>
    <w:tmpl w:val="113A5250"/>
    <w:name w:val="ListNumBulletList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E83F35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E83F35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E83F35" w:themeColor="accent1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1" w15:restartNumberingAfterBreak="0">
    <w:nsid w:val="7A736D7E"/>
    <w:multiLevelType w:val="multilevel"/>
    <w:tmpl w:val="8AE871F2"/>
    <w:name w:val="SecHeadList6"/>
    <w:numStyleLink w:val="SecListStyle"/>
  </w:abstractNum>
  <w:abstractNum w:abstractNumId="32" w15:restartNumberingAfterBreak="0">
    <w:nsid w:val="7F412206"/>
    <w:multiLevelType w:val="multilevel"/>
    <w:tmpl w:val="BCFEE74C"/>
    <w:name w:val="ParaNumBulletList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E83F35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E83F35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E83F35" w:themeColor="accent1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23"/>
  </w:num>
  <w:num w:numId="4">
    <w:abstractNumId w:val="13"/>
  </w:num>
  <w:num w:numId="5">
    <w:abstractNumId w:val="32"/>
  </w:num>
  <w:num w:numId="6">
    <w:abstractNumId w:val="11"/>
  </w:num>
  <w:num w:numId="7">
    <w:abstractNumId w:val="15"/>
  </w:num>
  <w:num w:numId="8">
    <w:abstractNumId w:val="18"/>
  </w:num>
  <w:num w:numId="9">
    <w:abstractNumId w:val="22"/>
  </w:num>
  <w:num w:numId="10">
    <w:abstractNumId w:val="27"/>
  </w:num>
  <w:num w:numId="11">
    <w:abstractNumId w:val="31"/>
  </w:num>
  <w:num w:numId="12">
    <w:abstractNumId w:val="8"/>
  </w:num>
  <w:num w:numId="13">
    <w:abstractNumId w:val="21"/>
  </w:num>
  <w:num w:numId="14">
    <w:abstractNumId w:val="21"/>
  </w:num>
  <w:num w:numId="15">
    <w:abstractNumId w:val="21"/>
  </w:num>
  <w:num w:numId="16">
    <w:abstractNumId w:val="21"/>
  </w:num>
  <w:num w:numId="17">
    <w:abstractNumId w:val="20"/>
  </w:num>
  <w:num w:numId="18">
    <w:abstractNumId w:val="1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7"/>
  </w:num>
  <w:num w:numId="22">
    <w:abstractNumId w:val="24"/>
  </w:num>
  <w:num w:numId="23">
    <w:abstractNumId w:val="9"/>
  </w:num>
  <w:num w:numId="24">
    <w:abstractNumId w:val="14"/>
  </w:num>
  <w:num w:numId="25">
    <w:abstractNumId w:val="19"/>
  </w:num>
  <w:num w:numId="26">
    <w:abstractNumId w:val="16"/>
  </w:num>
  <w:num w:numId="2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aptionOption" w:val="Figure"/>
    <w:docVar w:name="HasSeqParaNum" w:val="False"/>
    <w:docVar w:name="HeadingNum" w:val="HeadOnly"/>
    <w:docVar w:name="ParaNumbering" w:val="False"/>
  </w:docVars>
  <w:rsids>
    <w:rsidRoot w:val="00954CF0"/>
    <w:rsid w:val="00000484"/>
    <w:rsid w:val="000040E0"/>
    <w:rsid w:val="00004C6F"/>
    <w:rsid w:val="00005682"/>
    <w:rsid w:val="0000762C"/>
    <w:rsid w:val="00010D37"/>
    <w:rsid w:val="00010DB4"/>
    <w:rsid w:val="00010FCA"/>
    <w:rsid w:val="00013435"/>
    <w:rsid w:val="00014919"/>
    <w:rsid w:val="0001534A"/>
    <w:rsid w:val="000154AD"/>
    <w:rsid w:val="00016743"/>
    <w:rsid w:val="00024954"/>
    <w:rsid w:val="0002522A"/>
    <w:rsid w:val="00026CDD"/>
    <w:rsid w:val="00027018"/>
    <w:rsid w:val="0002768A"/>
    <w:rsid w:val="00030535"/>
    <w:rsid w:val="000307D9"/>
    <w:rsid w:val="0003095E"/>
    <w:rsid w:val="00031D92"/>
    <w:rsid w:val="000324CD"/>
    <w:rsid w:val="00032D63"/>
    <w:rsid w:val="00034208"/>
    <w:rsid w:val="0004067C"/>
    <w:rsid w:val="0004144B"/>
    <w:rsid w:val="000416FB"/>
    <w:rsid w:val="0004188F"/>
    <w:rsid w:val="000436A0"/>
    <w:rsid w:val="0004410B"/>
    <w:rsid w:val="00045A24"/>
    <w:rsid w:val="00045C6D"/>
    <w:rsid w:val="00046829"/>
    <w:rsid w:val="0005401B"/>
    <w:rsid w:val="0005464D"/>
    <w:rsid w:val="00054812"/>
    <w:rsid w:val="00055C64"/>
    <w:rsid w:val="00056A28"/>
    <w:rsid w:val="000576B8"/>
    <w:rsid w:val="00057AD3"/>
    <w:rsid w:val="00057EF6"/>
    <w:rsid w:val="00060FF5"/>
    <w:rsid w:val="000646B2"/>
    <w:rsid w:val="00070AF5"/>
    <w:rsid w:val="0007159B"/>
    <w:rsid w:val="00075B43"/>
    <w:rsid w:val="00077BE1"/>
    <w:rsid w:val="00081269"/>
    <w:rsid w:val="00082D33"/>
    <w:rsid w:val="00086816"/>
    <w:rsid w:val="00090871"/>
    <w:rsid w:val="00091DF3"/>
    <w:rsid w:val="00093758"/>
    <w:rsid w:val="0009437D"/>
    <w:rsid w:val="000945E0"/>
    <w:rsid w:val="0009462C"/>
    <w:rsid w:val="00095D11"/>
    <w:rsid w:val="0009625F"/>
    <w:rsid w:val="00096265"/>
    <w:rsid w:val="000A00BA"/>
    <w:rsid w:val="000A0D3F"/>
    <w:rsid w:val="000A0D97"/>
    <w:rsid w:val="000A3354"/>
    <w:rsid w:val="000A6730"/>
    <w:rsid w:val="000A6CEE"/>
    <w:rsid w:val="000B000A"/>
    <w:rsid w:val="000B0AC9"/>
    <w:rsid w:val="000B3580"/>
    <w:rsid w:val="000B5C71"/>
    <w:rsid w:val="000B6434"/>
    <w:rsid w:val="000B6668"/>
    <w:rsid w:val="000C0424"/>
    <w:rsid w:val="000C0930"/>
    <w:rsid w:val="000C0EAD"/>
    <w:rsid w:val="000C27BE"/>
    <w:rsid w:val="000C3FF8"/>
    <w:rsid w:val="000C4B6D"/>
    <w:rsid w:val="000C5D87"/>
    <w:rsid w:val="000C5E3C"/>
    <w:rsid w:val="000C76B5"/>
    <w:rsid w:val="000D00C4"/>
    <w:rsid w:val="000D060B"/>
    <w:rsid w:val="000D14F8"/>
    <w:rsid w:val="000D1870"/>
    <w:rsid w:val="000D26AD"/>
    <w:rsid w:val="000D4280"/>
    <w:rsid w:val="000D5C83"/>
    <w:rsid w:val="000E19A9"/>
    <w:rsid w:val="000E3902"/>
    <w:rsid w:val="000E4D92"/>
    <w:rsid w:val="000E4F6C"/>
    <w:rsid w:val="000E5083"/>
    <w:rsid w:val="000F0B51"/>
    <w:rsid w:val="000F37F7"/>
    <w:rsid w:val="000F3879"/>
    <w:rsid w:val="000F5519"/>
    <w:rsid w:val="000F6134"/>
    <w:rsid w:val="000F6BC1"/>
    <w:rsid w:val="000F6DEC"/>
    <w:rsid w:val="000F7553"/>
    <w:rsid w:val="000F75C5"/>
    <w:rsid w:val="00100914"/>
    <w:rsid w:val="00102256"/>
    <w:rsid w:val="00102A91"/>
    <w:rsid w:val="00106946"/>
    <w:rsid w:val="00110397"/>
    <w:rsid w:val="00110600"/>
    <w:rsid w:val="00111A6F"/>
    <w:rsid w:val="00113029"/>
    <w:rsid w:val="00114E05"/>
    <w:rsid w:val="00116E07"/>
    <w:rsid w:val="00120D0B"/>
    <w:rsid w:val="00121428"/>
    <w:rsid w:val="00122C70"/>
    <w:rsid w:val="001240B1"/>
    <w:rsid w:val="00131ED3"/>
    <w:rsid w:val="00132F28"/>
    <w:rsid w:val="00135656"/>
    <w:rsid w:val="00136A02"/>
    <w:rsid w:val="00137475"/>
    <w:rsid w:val="0014146A"/>
    <w:rsid w:val="0014189C"/>
    <w:rsid w:val="00142182"/>
    <w:rsid w:val="0014229E"/>
    <w:rsid w:val="00142715"/>
    <w:rsid w:val="00143924"/>
    <w:rsid w:val="00145133"/>
    <w:rsid w:val="00145C07"/>
    <w:rsid w:val="00154A9A"/>
    <w:rsid w:val="00155734"/>
    <w:rsid w:val="00157CF3"/>
    <w:rsid w:val="00157E92"/>
    <w:rsid w:val="00161540"/>
    <w:rsid w:val="00161CE8"/>
    <w:rsid w:val="0016210E"/>
    <w:rsid w:val="001623CA"/>
    <w:rsid w:val="001631D3"/>
    <w:rsid w:val="001655C8"/>
    <w:rsid w:val="001726DB"/>
    <w:rsid w:val="001732A3"/>
    <w:rsid w:val="001732FD"/>
    <w:rsid w:val="00173CC5"/>
    <w:rsid w:val="00174140"/>
    <w:rsid w:val="001744B6"/>
    <w:rsid w:val="00174D51"/>
    <w:rsid w:val="0017538E"/>
    <w:rsid w:val="00175F65"/>
    <w:rsid w:val="00181D53"/>
    <w:rsid w:val="0018282D"/>
    <w:rsid w:val="00183015"/>
    <w:rsid w:val="0018530D"/>
    <w:rsid w:val="00186416"/>
    <w:rsid w:val="001914A9"/>
    <w:rsid w:val="00191A3C"/>
    <w:rsid w:val="00195B3F"/>
    <w:rsid w:val="00196B98"/>
    <w:rsid w:val="001A074E"/>
    <w:rsid w:val="001A2E20"/>
    <w:rsid w:val="001A2F61"/>
    <w:rsid w:val="001A4195"/>
    <w:rsid w:val="001A4ADE"/>
    <w:rsid w:val="001A5097"/>
    <w:rsid w:val="001A51F3"/>
    <w:rsid w:val="001A648F"/>
    <w:rsid w:val="001A6534"/>
    <w:rsid w:val="001A6720"/>
    <w:rsid w:val="001B1F3D"/>
    <w:rsid w:val="001B29E8"/>
    <w:rsid w:val="001B37CB"/>
    <w:rsid w:val="001B4F54"/>
    <w:rsid w:val="001B50F4"/>
    <w:rsid w:val="001B5435"/>
    <w:rsid w:val="001B651F"/>
    <w:rsid w:val="001C088F"/>
    <w:rsid w:val="001C0CF3"/>
    <w:rsid w:val="001C2645"/>
    <w:rsid w:val="001C4302"/>
    <w:rsid w:val="001C5383"/>
    <w:rsid w:val="001C7364"/>
    <w:rsid w:val="001D0C26"/>
    <w:rsid w:val="001D1699"/>
    <w:rsid w:val="001D1AB5"/>
    <w:rsid w:val="001D45CC"/>
    <w:rsid w:val="001D5391"/>
    <w:rsid w:val="001D673D"/>
    <w:rsid w:val="001D7BC7"/>
    <w:rsid w:val="001E0FDD"/>
    <w:rsid w:val="001E1C05"/>
    <w:rsid w:val="001E49C0"/>
    <w:rsid w:val="001E556C"/>
    <w:rsid w:val="001E5AF2"/>
    <w:rsid w:val="001E5D9E"/>
    <w:rsid w:val="001E633B"/>
    <w:rsid w:val="001F00AF"/>
    <w:rsid w:val="001F10AB"/>
    <w:rsid w:val="001F10EF"/>
    <w:rsid w:val="001F371D"/>
    <w:rsid w:val="001F38AE"/>
    <w:rsid w:val="001F3BDC"/>
    <w:rsid w:val="001F5457"/>
    <w:rsid w:val="001F5A79"/>
    <w:rsid w:val="001F5E3A"/>
    <w:rsid w:val="001F662D"/>
    <w:rsid w:val="001F68D2"/>
    <w:rsid w:val="002001B0"/>
    <w:rsid w:val="0020129A"/>
    <w:rsid w:val="00201DF3"/>
    <w:rsid w:val="002044AF"/>
    <w:rsid w:val="0020559C"/>
    <w:rsid w:val="00206860"/>
    <w:rsid w:val="00206CBA"/>
    <w:rsid w:val="00206FFD"/>
    <w:rsid w:val="00210D17"/>
    <w:rsid w:val="0021208F"/>
    <w:rsid w:val="00212D9B"/>
    <w:rsid w:val="00216B4F"/>
    <w:rsid w:val="00216CC8"/>
    <w:rsid w:val="002215E0"/>
    <w:rsid w:val="00224163"/>
    <w:rsid w:val="00225E3A"/>
    <w:rsid w:val="00225EC2"/>
    <w:rsid w:val="002303B3"/>
    <w:rsid w:val="00234344"/>
    <w:rsid w:val="00234468"/>
    <w:rsid w:val="002344E0"/>
    <w:rsid w:val="00235AC2"/>
    <w:rsid w:val="00242E67"/>
    <w:rsid w:val="00243C2C"/>
    <w:rsid w:val="00244674"/>
    <w:rsid w:val="002455C3"/>
    <w:rsid w:val="002455C9"/>
    <w:rsid w:val="00246075"/>
    <w:rsid w:val="0025112F"/>
    <w:rsid w:val="00253843"/>
    <w:rsid w:val="002548E9"/>
    <w:rsid w:val="002600E1"/>
    <w:rsid w:val="002606FF"/>
    <w:rsid w:val="00260A22"/>
    <w:rsid w:val="00260B8A"/>
    <w:rsid w:val="002611A8"/>
    <w:rsid w:val="0026129E"/>
    <w:rsid w:val="0026157C"/>
    <w:rsid w:val="002620F5"/>
    <w:rsid w:val="002622E8"/>
    <w:rsid w:val="00262492"/>
    <w:rsid w:val="00263104"/>
    <w:rsid w:val="00264704"/>
    <w:rsid w:val="0026514D"/>
    <w:rsid w:val="0026564F"/>
    <w:rsid w:val="002665C2"/>
    <w:rsid w:val="0027112D"/>
    <w:rsid w:val="002716AC"/>
    <w:rsid w:val="00271755"/>
    <w:rsid w:val="00271B23"/>
    <w:rsid w:val="00271CAF"/>
    <w:rsid w:val="00273A92"/>
    <w:rsid w:val="002743FD"/>
    <w:rsid w:val="00274C4E"/>
    <w:rsid w:val="002750C6"/>
    <w:rsid w:val="002772E2"/>
    <w:rsid w:val="0027754F"/>
    <w:rsid w:val="00283E17"/>
    <w:rsid w:val="00287446"/>
    <w:rsid w:val="00290A28"/>
    <w:rsid w:val="00292A5F"/>
    <w:rsid w:val="002938AE"/>
    <w:rsid w:val="00294FCB"/>
    <w:rsid w:val="002957CD"/>
    <w:rsid w:val="00296736"/>
    <w:rsid w:val="002A0229"/>
    <w:rsid w:val="002A1841"/>
    <w:rsid w:val="002A1F81"/>
    <w:rsid w:val="002A3188"/>
    <w:rsid w:val="002A47D9"/>
    <w:rsid w:val="002A5B39"/>
    <w:rsid w:val="002A6042"/>
    <w:rsid w:val="002A7203"/>
    <w:rsid w:val="002A77F5"/>
    <w:rsid w:val="002A7E1D"/>
    <w:rsid w:val="002B5993"/>
    <w:rsid w:val="002B5A6E"/>
    <w:rsid w:val="002B6378"/>
    <w:rsid w:val="002B716D"/>
    <w:rsid w:val="002C0582"/>
    <w:rsid w:val="002C1483"/>
    <w:rsid w:val="002C3AE1"/>
    <w:rsid w:val="002C57DF"/>
    <w:rsid w:val="002C5D47"/>
    <w:rsid w:val="002C6545"/>
    <w:rsid w:val="002D1E75"/>
    <w:rsid w:val="002D32DE"/>
    <w:rsid w:val="002D4154"/>
    <w:rsid w:val="002D46EA"/>
    <w:rsid w:val="002D4BCA"/>
    <w:rsid w:val="002D5E43"/>
    <w:rsid w:val="002D63B9"/>
    <w:rsid w:val="002E1DDC"/>
    <w:rsid w:val="002E62B3"/>
    <w:rsid w:val="002F00C3"/>
    <w:rsid w:val="002F1849"/>
    <w:rsid w:val="002F1AB2"/>
    <w:rsid w:val="002F22C9"/>
    <w:rsid w:val="002F3B4E"/>
    <w:rsid w:val="002F4E18"/>
    <w:rsid w:val="002F6157"/>
    <w:rsid w:val="00302A9C"/>
    <w:rsid w:val="00302BF6"/>
    <w:rsid w:val="0030376B"/>
    <w:rsid w:val="00307284"/>
    <w:rsid w:val="00313B53"/>
    <w:rsid w:val="0031436A"/>
    <w:rsid w:val="0031654B"/>
    <w:rsid w:val="00324E60"/>
    <w:rsid w:val="00327CB8"/>
    <w:rsid w:val="00330D7D"/>
    <w:rsid w:val="0033122E"/>
    <w:rsid w:val="003316E7"/>
    <w:rsid w:val="0033191C"/>
    <w:rsid w:val="003326DC"/>
    <w:rsid w:val="0033629F"/>
    <w:rsid w:val="003362F5"/>
    <w:rsid w:val="003365B7"/>
    <w:rsid w:val="0034003C"/>
    <w:rsid w:val="0034098D"/>
    <w:rsid w:val="003428AE"/>
    <w:rsid w:val="00344F20"/>
    <w:rsid w:val="0034501E"/>
    <w:rsid w:val="003452AB"/>
    <w:rsid w:val="00345C31"/>
    <w:rsid w:val="00345F94"/>
    <w:rsid w:val="003464BF"/>
    <w:rsid w:val="00346E2C"/>
    <w:rsid w:val="00347B7E"/>
    <w:rsid w:val="00350346"/>
    <w:rsid w:val="00350EE2"/>
    <w:rsid w:val="0035246B"/>
    <w:rsid w:val="00353A61"/>
    <w:rsid w:val="00353D97"/>
    <w:rsid w:val="00353E87"/>
    <w:rsid w:val="0035486E"/>
    <w:rsid w:val="00356E9A"/>
    <w:rsid w:val="003601E8"/>
    <w:rsid w:val="00362BED"/>
    <w:rsid w:val="00365B1E"/>
    <w:rsid w:val="003712A0"/>
    <w:rsid w:val="003715D5"/>
    <w:rsid w:val="00372D3D"/>
    <w:rsid w:val="003747C5"/>
    <w:rsid w:val="00375522"/>
    <w:rsid w:val="0037581C"/>
    <w:rsid w:val="00376645"/>
    <w:rsid w:val="0038083E"/>
    <w:rsid w:val="00380BF9"/>
    <w:rsid w:val="003813B6"/>
    <w:rsid w:val="0038154C"/>
    <w:rsid w:val="00382A6E"/>
    <w:rsid w:val="00385933"/>
    <w:rsid w:val="0038690C"/>
    <w:rsid w:val="003876CA"/>
    <w:rsid w:val="00391142"/>
    <w:rsid w:val="003934D6"/>
    <w:rsid w:val="00396FE3"/>
    <w:rsid w:val="00397B4C"/>
    <w:rsid w:val="003A09D2"/>
    <w:rsid w:val="003A0BCC"/>
    <w:rsid w:val="003A2B6C"/>
    <w:rsid w:val="003A3F36"/>
    <w:rsid w:val="003A4D46"/>
    <w:rsid w:val="003A75AE"/>
    <w:rsid w:val="003B1AA4"/>
    <w:rsid w:val="003B5C33"/>
    <w:rsid w:val="003B773F"/>
    <w:rsid w:val="003C1D2E"/>
    <w:rsid w:val="003C4007"/>
    <w:rsid w:val="003C5D47"/>
    <w:rsid w:val="003C656B"/>
    <w:rsid w:val="003C68E9"/>
    <w:rsid w:val="003D1B19"/>
    <w:rsid w:val="003D1C23"/>
    <w:rsid w:val="003D3252"/>
    <w:rsid w:val="003D4767"/>
    <w:rsid w:val="003D4B79"/>
    <w:rsid w:val="003D59BA"/>
    <w:rsid w:val="003D66C6"/>
    <w:rsid w:val="003D6AB7"/>
    <w:rsid w:val="003D7E2C"/>
    <w:rsid w:val="003E0E58"/>
    <w:rsid w:val="003E1250"/>
    <w:rsid w:val="003E46EF"/>
    <w:rsid w:val="003E5420"/>
    <w:rsid w:val="003E5AB9"/>
    <w:rsid w:val="003E6AAF"/>
    <w:rsid w:val="003F2E8C"/>
    <w:rsid w:val="003F2EA4"/>
    <w:rsid w:val="003F373F"/>
    <w:rsid w:val="003F3DF5"/>
    <w:rsid w:val="003F4280"/>
    <w:rsid w:val="003F442C"/>
    <w:rsid w:val="003F68D4"/>
    <w:rsid w:val="003F6C63"/>
    <w:rsid w:val="003F75DB"/>
    <w:rsid w:val="003F7EE7"/>
    <w:rsid w:val="003F7F16"/>
    <w:rsid w:val="00400F97"/>
    <w:rsid w:val="004023AF"/>
    <w:rsid w:val="0040322F"/>
    <w:rsid w:val="00404B8E"/>
    <w:rsid w:val="00404D1B"/>
    <w:rsid w:val="00404F33"/>
    <w:rsid w:val="004073FE"/>
    <w:rsid w:val="00407556"/>
    <w:rsid w:val="00407DB1"/>
    <w:rsid w:val="00407FAE"/>
    <w:rsid w:val="00411105"/>
    <w:rsid w:val="0041224B"/>
    <w:rsid w:val="00413D8B"/>
    <w:rsid w:val="00414735"/>
    <w:rsid w:val="00414E24"/>
    <w:rsid w:val="00414F18"/>
    <w:rsid w:val="00415E97"/>
    <w:rsid w:val="00415F4F"/>
    <w:rsid w:val="00417777"/>
    <w:rsid w:val="0042060E"/>
    <w:rsid w:val="00421002"/>
    <w:rsid w:val="0042133E"/>
    <w:rsid w:val="00422E95"/>
    <w:rsid w:val="00424001"/>
    <w:rsid w:val="0042421C"/>
    <w:rsid w:val="004244FB"/>
    <w:rsid w:val="00424C08"/>
    <w:rsid w:val="0042596C"/>
    <w:rsid w:val="0043041A"/>
    <w:rsid w:val="00430B03"/>
    <w:rsid w:val="0043119D"/>
    <w:rsid w:val="00431C41"/>
    <w:rsid w:val="00434D31"/>
    <w:rsid w:val="004353D1"/>
    <w:rsid w:val="00435CB2"/>
    <w:rsid w:val="00435DEF"/>
    <w:rsid w:val="004364DD"/>
    <w:rsid w:val="00437766"/>
    <w:rsid w:val="004416D2"/>
    <w:rsid w:val="004421F0"/>
    <w:rsid w:val="0044451E"/>
    <w:rsid w:val="0044453C"/>
    <w:rsid w:val="00444649"/>
    <w:rsid w:val="004516E4"/>
    <w:rsid w:val="004517E9"/>
    <w:rsid w:val="004530BD"/>
    <w:rsid w:val="004564B5"/>
    <w:rsid w:val="00456921"/>
    <w:rsid w:val="0045713E"/>
    <w:rsid w:val="00457F4F"/>
    <w:rsid w:val="00460677"/>
    <w:rsid w:val="00464409"/>
    <w:rsid w:val="00464412"/>
    <w:rsid w:val="00465EC5"/>
    <w:rsid w:val="0047005B"/>
    <w:rsid w:val="0047119A"/>
    <w:rsid w:val="00471A31"/>
    <w:rsid w:val="00471F76"/>
    <w:rsid w:val="0047266A"/>
    <w:rsid w:val="004733B4"/>
    <w:rsid w:val="00473413"/>
    <w:rsid w:val="0047454F"/>
    <w:rsid w:val="00475174"/>
    <w:rsid w:val="0047543F"/>
    <w:rsid w:val="00475F5E"/>
    <w:rsid w:val="00480321"/>
    <w:rsid w:val="004808C7"/>
    <w:rsid w:val="00481913"/>
    <w:rsid w:val="004823F7"/>
    <w:rsid w:val="004832C2"/>
    <w:rsid w:val="0048351F"/>
    <w:rsid w:val="004837B3"/>
    <w:rsid w:val="004850D1"/>
    <w:rsid w:val="00485B13"/>
    <w:rsid w:val="00487EB6"/>
    <w:rsid w:val="00492404"/>
    <w:rsid w:val="0049381A"/>
    <w:rsid w:val="00494562"/>
    <w:rsid w:val="00494844"/>
    <w:rsid w:val="00494859"/>
    <w:rsid w:val="004957D0"/>
    <w:rsid w:val="00495DC7"/>
    <w:rsid w:val="00497C2B"/>
    <w:rsid w:val="004A022A"/>
    <w:rsid w:val="004A11A3"/>
    <w:rsid w:val="004A3299"/>
    <w:rsid w:val="004A37AB"/>
    <w:rsid w:val="004A42E5"/>
    <w:rsid w:val="004A6890"/>
    <w:rsid w:val="004B1331"/>
    <w:rsid w:val="004B1A8A"/>
    <w:rsid w:val="004B583B"/>
    <w:rsid w:val="004B5CE4"/>
    <w:rsid w:val="004B63DB"/>
    <w:rsid w:val="004C018B"/>
    <w:rsid w:val="004C1542"/>
    <w:rsid w:val="004C34AD"/>
    <w:rsid w:val="004C441A"/>
    <w:rsid w:val="004C49C9"/>
    <w:rsid w:val="004C55A6"/>
    <w:rsid w:val="004C7F58"/>
    <w:rsid w:val="004D1254"/>
    <w:rsid w:val="004D18F0"/>
    <w:rsid w:val="004D37D2"/>
    <w:rsid w:val="004D4485"/>
    <w:rsid w:val="004D4679"/>
    <w:rsid w:val="004D6D6A"/>
    <w:rsid w:val="004E1C29"/>
    <w:rsid w:val="004E2AED"/>
    <w:rsid w:val="004E4550"/>
    <w:rsid w:val="004F1FF2"/>
    <w:rsid w:val="004F239A"/>
    <w:rsid w:val="004F39E5"/>
    <w:rsid w:val="004F4E59"/>
    <w:rsid w:val="00501A1E"/>
    <w:rsid w:val="00502C04"/>
    <w:rsid w:val="005042F0"/>
    <w:rsid w:val="00504F62"/>
    <w:rsid w:val="00506209"/>
    <w:rsid w:val="00507E66"/>
    <w:rsid w:val="0051038F"/>
    <w:rsid w:val="00511EB1"/>
    <w:rsid w:val="00515BE1"/>
    <w:rsid w:val="00516428"/>
    <w:rsid w:val="00517898"/>
    <w:rsid w:val="00524E6E"/>
    <w:rsid w:val="00525ADC"/>
    <w:rsid w:val="00526C67"/>
    <w:rsid w:val="00526D74"/>
    <w:rsid w:val="005313B5"/>
    <w:rsid w:val="00533AF8"/>
    <w:rsid w:val="0053587A"/>
    <w:rsid w:val="00536F38"/>
    <w:rsid w:val="00537F9D"/>
    <w:rsid w:val="00540288"/>
    <w:rsid w:val="005412E8"/>
    <w:rsid w:val="00541403"/>
    <w:rsid w:val="005418AC"/>
    <w:rsid w:val="005424AC"/>
    <w:rsid w:val="005437C9"/>
    <w:rsid w:val="0054473A"/>
    <w:rsid w:val="00545671"/>
    <w:rsid w:val="00545BA7"/>
    <w:rsid w:val="00546376"/>
    <w:rsid w:val="005464B3"/>
    <w:rsid w:val="00550926"/>
    <w:rsid w:val="005511C1"/>
    <w:rsid w:val="00551545"/>
    <w:rsid w:val="005524DD"/>
    <w:rsid w:val="00553613"/>
    <w:rsid w:val="0055405C"/>
    <w:rsid w:val="0055565E"/>
    <w:rsid w:val="005567DA"/>
    <w:rsid w:val="00556A88"/>
    <w:rsid w:val="00557925"/>
    <w:rsid w:val="00557AA1"/>
    <w:rsid w:val="00560132"/>
    <w:rsid w:val="00562183"/>
    <w:rsid w:val="0056244B"/>
    <w:rsid w:val="00563FC0"/>
    <w:rsid w:val="0056410A"/>
    <w:rsid w:val="005643E4"/>
    <w:rsid w:val="00564437"/>
    <w:rsid w:val="005646E5"/>
    <w:rsid w:val="005649BC"/>
    <w:rsid w:val="00566077"/>
    <w:rsid w:val="00566D62"/>
    <w:rsid w:val="00567506"/>
    <w:rsid w:val="00570553"/>
    <w:rsid w:val="005708E6"/>
    <w:rsid w:val="00571FBE"/>
    <w:rsid w:val="00574A7B"/>
    <w:rsid w:val="00574D66"/>
    <w:rsid w:val="005765C7"/>
    <w:rsid w:val="00577609"/>
    <w:rsid w:val="00580ADA"/>
    <w:rsid w:val="00580C54"/>
    <w:rsid w:val="0058145D"/>
    <w:rsid w:val="005815DE"/>
    <w:rsid w:val="0058209A"/>
    <w:rsid w:val="005820D5"/>
    <w:rsid w:val="005854B5"/>
    <w:rsid w:val="00586A1E"/>
    <w:rsid w:val="005960ED"/>
    <w:rsid w:val="005963B1"/>
    <w:rsid w:val="0059677B"/>
    <w:rsid w:val="005A1028"/>
    <w:rsid w:val="005A3378"/>
    <w:rsid w:val="005A33CF"/>
    <w:rsid w:val="005A4B97"/>
    <w:rsid w:val="005A624D"/>
    <w:rsid w:val="005A68FB"/>
    <w:rsid w:val="005A7BA6"/>
    <w:rsid w:val="005B0485"/>
    <w:rsid w:val="005B23C6"/>
    <w:rsid w:val="005B6688"/>
    <w:rsid w:val="005B7224"/>
    <w:rsid w:val="005C0C23"/>
    <w:rsid w:val="005C2E41"/>
    <w:rsid w:val="005C3653"/>
    <w:rsid w:val="005C3C90"/>
    <w:rsid w:val="005C3E91"/>
    <w:rsid w:val="005C4347"/>
    <w:rsid w:val="005C43F1"/>
    <w:rsid w:val="005C4C6E"/>
    <w:rsid w:val="005C4CDB"/>
    <w:rsid w:val="005C6304"/>
    <w:rsid w:val="005D0AA6"/>
    <w:rsid w:val="005D2150"/>
    <w:rsid w:val="005D248D"/>
    <w:rsid w:val="005D2746"/>
    <w:rsid w:val="005D4089"/>
    <w:rsid w:val="005D462D"/>
    <w:rsid w:val="005D4C3B"/>
    <w:rsid w:val="005D7693"/>
    <w:rsid w:val="005E0E52"/>
    <w:rsid w:val="005E2AE2"/>
    <w:rsid w:val="005E3432"/>
    <w:rsid w:val="005E615E"/>
    <w:rsid w:val="005E6CF4"/>
    <w:rsid w:val="005E7450"/>
    <w:rsid w:val="005F36A3"/>
    <w:rsid w:val="005F4311"/>
    <w:rsid w:val="0060111F"/>
    <w:rsid w:val="0060354D"/>
    <w:rsid w:val="0060476B"/>
    <w:rsid w:val="006051C0"/>
    <w:rsid w:val="00605E8A"/>
    <w:rsid w:val="006077AF"/>
    <w:rsid w:val="00610B0F"/>
    <w:rsid w:val="00611153"/>
    <w:rsid w:val="006119DB"/>
    <w:rsid w:val="006157E5"/>
    <w:rsid w:val="00615AEF"/>
    <w:rsid w:val="00617D67"/>
    <w:rsid w:val="0062045A"/>
    <w:rsid w:val="00620C10"/>
    <w:rsid w:val="00621309"/>
    <w:rsid w:val="006216E8"/>
    <w:rsid w:val="00623562"/>
    <w:rsid w:val="006247E2"/>
    <w:rsid w:val="006248BE"/>
    <w:rsid w:val="00625C0F"/>
    <w:rsid w:val="00626A54"/>
    <w:rsid w:val="00627D50"/>
    <w:rsid w:val="006304EF"/>
    <w:rsid w:val="00630978"/>
    <w:rsid w:val="00631CD2"/>
    <w:rsid w:val="006322ED"/>
    <w:rsid w:val="006326BD"/>
    <w:rsid w:val="00632FA4"/>
    <w:rsid w:val="00635355"/>
    <w:rsid w:val="006407D2"/>
    <w:rsid w:val="00640BDE"/>
    <w:rsid w:val="00640C53"/>
    <w:rsid w:val="00641681"/>
    <w:rsid w:val="006436BA"/>
    <w:rsid w:val="0064381C"/>
    <w:rsid w:val="00643F19"/>
    <w:rsid w:val="00644069"/>
    <w:rsid w:val="0064409C"/>
    <w:rsid w:val="00644CAE"/>
    <w:rsid w:val="00646ED6"/>
    <w:rsid w:val="00650737"/>
    <w:rsid w:val="00652555"/>
    <w:rsid w:val="006535C7"/>
    <w:rsid w:val="006545FA"/>
    <w:rsid w:val="0065472B"/>
    <w:rsid w:val="0065503D"/>
    <w:rsid w:val="00656F4A"/>
    <w:rsid w:val="00660138"/>
    <w:rsid w:val="006604F9"/>
    <w:rsid w:val="00662152"/>
    <w:rsid w:val="00662538"/>
    <w:rsid w:val="00663BEE"/>
    <w:rsid w:val="00664490"/>
    <w:rsid w:val="00665576"/>
    <w:rsid w:val="00665601"/>
    <w:rsid w:val="00666FD8"/>
    <w:rsid w:val="0066737F"/>
    <w:rsid w:val="00667AF0"/>
    <w:rsid w:val="0067218F"/>
    <w:rsid w:val="00673813"/>
    <w:rsid w:val="00674CE6"/>
    <w:rsid w:val="00676C80"/>
    <w:rsid w:val="006774CB"/>
    <w:rsid w:val="00677A14"/>
    <w:rsid w:val="00685B24"/>
    <w:rsid w:val="006866BE"/>
    <w:rsid w:val="006871AA"/>
    <w:rsid w:val="00687462"/>
    <w:rsid w:val="00690642"/>
    <w:rsid w:val="006916BF"/>
    <w:rsid w:val="0069213B"/>
    <w:rsid w:val="006931D6"/>
    <w:rsid w:val="00694420"/>
    <w:rsid w:val="0069587E"/>
    <w:rsid w:val="006969BD"/>
    <w:rsid w:val="00697891"/>
    <w:rsid w:val="006A0425"/>
    <w:rsid w:val="006A1201"/>
    <w:rsid w:val="006A19FC"/>
    <w:rsid w:val="006A1DAE"/>
    <w:rsid w:val="006A1EDE"/>
    <w:rsid w:val="006A2083"/>
    <w:rsid w:val="006A282E"/>
    <w:rsid w:val="006B2056"/>
    <w:rsid w:val="006B6674"/>
    <w:rsid w:val="006C17CB"/>
    <w:rsid w:val="006C2C39"/>
    <w:rsid w:val="006C3971"/>
    <w:rsid w:val="006C4120"/>
    <w:rsid w:val="006C5F8A"/>
    <w:rsid w:val="006C75CE"/>
    <w:rsid w:val="006C7FCC"/>
    <w:rsid w:val="006D0186"/>
    <w:rsid w:val="006D0551"/>
    <w:rsid w:val="006D0B7A"/>
    <w:rsid w:val="006D1AEB"/>
    <w:rsid w:val="006D2428"/>
    <w:rsid w:val="006D3B57"/>
    <w:rsid w:val="006D63F4"/>
    <w:rsid w:val="006D6D7E"/>
    <w:rsid w:val="006E170A"/>
    <w:rsid w:val="006E382B"/>
    <w:rsid w:val="006E4ABA"/>
    <w:rsid w:val="006E5B22"/>
    <w:rsid w:val="006E5EC3"/>
    <w:rsid w:val="006E6708"/>
    <w:rsid w:val="006E6CCF"/>
    <w:rsid w:val="006E782A"/>
    <w:rsid w:val="006E7AC8"/>
    <w:rsid w:val="006F4DA4"/>
    <w:rsid w:val="006F72E6"/>
    <w:rsid w:val="006F7609"/>
    <w:rsid w:val="0070065E"/>
    <w:rsid w:val="0070150C"/>
    <w:rsid w:val="007026B1"/>
    <w:rsid w:val="00703280"/>
    <w:rsid w:val="00706C89"/>
    <w:rsid w:val="00712D7E"/>
    <w:rsid w:val="007132C8"/>
    <w:rsid w:val="007133F3"/>
    <w:rsid w:val="00713B70"/>
    <w:rsid w:val="00717597"/>
    <w:rsid w:val="007206C2"/>
    <w:rsid w:val="007232D4"/>
    <w:rsid w:val="00723446"/>
    <w:rsid w:val="00723574"/>
    <w:rsid w:val="007236D4"/>
    <w:rsid w:val="00730626"/>
    <w:rsid w:val="00732157"/>
    <w:rsid w:val="007326B0"/>
    <w:rsid w:val="00734569"/>
    <w:rsid w:val="0073508A"/>
    <w:rsid w:val="007366BE"/>
    <w:rsid w:val="00737683"/>
    <w:rsid w:val="0073783C"/>
    <w:rsid w:val="00740AFE"/>
    <w:rsid w:val="00740E56"/>
    <w:rsid w:val="00742739"/>
    <w:rsid w:val="00742AA4"/>
    <w:rsid w:val="0074373F"/>
    <w:rsid w:val="00743E7C"/>
    <w:rsid w:val="00746FC1"/>
    <w:rsid w:val="0074734F"/>
    <w:rsid w:val="0075004A"/>
    <w:rsid w:val="00750725"/>
    <w:rsid w:val="0075072C"/>
    <w:rsid w:val="00751A85"/>
    <w:rsid w:val="00751DBD"/>
    <w:rsid w:val="007520F9"/>
    <w:rsid w:val="0075264E"/>
    <w:rsid w:val="0075498A"/>
    <w:rsid w:val="00756F93"/>
    <w:rsid w:val="00757487"/>
    <w:rsid w:val="00760119"/>
    <w:rsid w:val="00760B46"/>
    <w:rsid w:val="007629B5"/>
    <w:rsid w:val="00763792"/>
    <w:rsid w:val="007658E9"/>
    <w:rsid w:val="00766BB0"/>
    <w:rsid w:val="00772A1E"/>
    <w:rsid w:val="00772E8D"/>
    <w:rsid w:val="007759CC"/>
    <w:rsid w:val="0077767E"/>
    <w:rsid w:val="007803CC"/>
    <w:rsid w:val="007804C3"/>
    <w:rsid w:val="00781DC7"/>
    <w:rsid w:val="00783D2F"/>
    <w:rsid w:val="00784601"/>
    <w:rsid w:val="00786187"/>
    <w:rsid w:val="00787432"/>
    <w:rsid w:val="00790261"/>
    <w:rsid w:val="00791481"/>
    <w:rsid w:val="007918A1"/>
    <w:rsid w:val="00791EB3"/>
    <w:rsid w:val="00792C9D"/>
    <w:rsid w:val="0079361E"/>
    <w:rsid w:val="00793965"/>
    <w:rsid w:val="00795E9C"/>
    <w:rsid w:val="0079756B"/>
    <w:rsid w:val="007A0EC6"/>
    <w:rsid w:val="007A2099"/>
    <w:rsid w:val="007A2A7D"/>
    <w:rsid w:val="007A3A60"/>
    <w:rsid w:val="007A41DC"/>
    <w:rsid w:val="007B24F2"/>
    <w:rsid w:val="007B6275"/>
    <w:rsid w:val="007B66A5"/>
    <w:rsid w:val="007B7D63"/>
    <w:rsid w:val="007C06F1"/>
    <w:rsid w:val="007C0972"/>
    <w:rsid w:val="007C11B7"/>
    <w:rsid w:val="007C1B68"/>
    <w:rsid w:val="007C3EFF"/>
    <w:rsid w:val="007C4844"/>
    <w:rsid w:val="007C64C3"/>
    <w:rsid w:val="007C6582"/>
    <w:rsid w:val="007D203E"/>
    <w:rsid w:val="007D2811"/>
    <w:rsid w:val="007D48AE"/>
    <w:rsid w:val="007D6596"/>
    <w:rsid w:val="007D6B43"/>
    <w:rsid w:val="007D6CB2"/>
    <w:rsid w:val="007D743E"/>
    <w:rsid w:val="007E16C6"/>
    <w:rsid w:val="007E37B0"/>
    <w:rsid w:val="007E450D"/>
    <w:rsid w:val="007E4BC6"/>
    <w:rsid w:val="007E567C"/>
    <w:rsid w:val="007E6097"/>
    <w:rsid w:val="007E60E5"/>
    <w:rsid w:val="007E7A3C"/>
    <w:rsid w:val="007E7BF1"/>
    <w:rsid w:val="007F007E"/>
    <w:rsid w:val="007F4550"/>
    <w:rsid w:val="007F467A"/>
    <w:rsid w:val="007F4D6D"/>
    <w:rsid w:val="007F5674"/>
    <w:rsid w:val="007F68AA"/>
    <w:rsid w:val="007F7941"/>
    <w:rsid w:val="008050E0"/>
    <w:rsid w:val="0080524D"/>
    <w:rsid w:val="00805422"/>
    <w:rsid w:val="00806340"/>
    <w:rsid w:val="008070B6"/>
    <w:rsid w:val="00810F27"/>
    <w:rsid w:val="00814BA6"/>
    <w:rsid w:val="00816132"/>
    <w:rsid w:val="008164D9"/>
    <w:rsid w:val="00817767"/>
    <w:rsid w:val="008179DE"/>
    <w:rsid w:val="008202B4"/>
    <w:rsid w:val="0082054E"/>
    <w:rsid w:val="00820F4A"/>
    <w:rsid w:val="00821627"/>
    <w:rsid w:val="0082256E"/>
    <w:rsid w:val="00822993"/>
    <w:rsid w:val="00822A92"/>
    <w:rsid w:val="0082368E"/>
    <w:rsid w:val="00823C7C"/>
    <w:rsid w:val="0082489C"/>
    <w:rsid w:val="00825EEE"/>
    <w:rsid w:val="00826586"/>
    <w:rsid w:val="00826CD7"/>
    <w:rsid w:val="00827335"/>
    <w:rsid w:val="0083269E"/>
    <w:rsid w:val="00833153"/>
    <w:rsid w:val="0083435C"/>
    <w:rsid w:val="00835032"/>
    <w:rsid w:val="0083511C"/>
    <w:rsid w:val="008353BB"/>
    <w:rsid w:val="008356D7"/>
    <w:rsid w:val="008364DC"/>
    <w:rsid w:val="0083657F"/>
    <w:rsid w:val="00837480"/>
    <w:rsid w:val="00840156"/>
    <w:rsid w:val="008406D5"/>
    <w:rsid w:val="00840730"/>
    <w:rsid w:val="00840A65"/>
    <w:rsid w:val="0084557B"/>
    <w:rsid w:val="00845B62"/>
    <w:rsid w:val="00847303"/>
    <w:rsid w:val="008475F6"/>
    <w:rsid w:val="00847EFC"/>
    <w:rsid w:val="00847FA8"/>
    <w:rsid w:val="008521D9"/>
    <w:rsid w:val="00852EF7"/>
    <w:rsid w:val="00856A55"/>
    <w:rsid w:val="00857EEC"/>
    <w:rsid w:val="00857FA8"/>
    <w:rsid w:val="008601FB"/>
    <w:rsid w:val="008607B7"/>
    <w:rsid w:val="0086255F"/>
    <w:rsid w:val="00862C1C"/>
    <w:rsid w:val="008635BE"/>
    <w:rsid w:val="0086553B"/>
    <w:rsid w:val="0086743F"/>
    <w:rsid w:val="00871B2A"/>
    <w:rsid w:val="0087294C"/>
    <w:rsid w:val="00872FF9"/>
    <w:rsid w:val="0087387C"/>
    <w:rsid w:val="00881CB3"/>
    <w:rsid w:val="00881D0B"/>
    <w:rsid w:val="00882237"/>
    <w:rsid w:val="008826BC"/>
    <w:rsid w:val="00882C38"/>
    <w:rsid w:val="00883450"/>
    <w:rsid w:val="008840E6"/>
    <w:rsid w:val="00886D95"/>
    <w:rsid w:val="00886DF3"/>
    <w:rsid w:val="00887447"/>
    <w:rsid w:val="00887B9A"/>
    <w:rsid w:val="008917F2"/>
    <w:rsid w:val="00891A99"/>
    <w:rsid w:val="00891C96"/>
    <w:rsid w:val="00893312"/>
    <w:rsid w:val="00893BFC"/>
    <w:rsid w:val="008A11B4"/>
    <w:rsid w:val="008A4123"/>
    <w:rsid w:val="008A706E"/>
    <w:rsid w:val="008A7D4D"/>
    <w:rsid w:val="008B0A1B"/>
    <w:rsid w:val="008B22A5"/>
    <w:rsid w:val="008B267E"/>
    <w:rsid w:val="008B3ED9"/>
    <w:rsid w:val="008B4E62"/>
    <w:rsid w:val="008B5A2B"/>
    <w:rsid w:val="008B5F64"/>
    <w:rsid w:val="008B7A84"/>
    <w:rsid w:val="008B7BDF"/>
    <w:rsid w:val="008C095D"/>
    <w:rsid w:val="008C14D7"/>
    <w:rsid w:val="008C2C1A"/>
    <w:rsid w:val="008C37E1"/>
    <w:rsid w:val="008C5806"/>
    <w:rsid w:val="008C6572"/>
    <w:rsid w:val="008C7EAD"/>
    <w:rsid w:val="008D0199"/>
    <w:rsid w:val="008D0375"/>
    <w:rsid w:val="008D0439"/>
    <w:rsid w:val="008D0691"/>
    <w:rsid w:val="008D2F46"/>
    <w:rsid w:val="008D2FAA"/>
    <w:rsid w:val="008D354D"/>
    <w:rsid w:val="008D37F4"/>
    <w:rsid w:val="008D59E3"/>
    <w:rsid w:val="008D726E"/>
    <w:rsid w:val="008E010D"/>
    <w:rsid w:val="008E1964"/>
    <w:rsid w:val="008E2E60"/>
    <w:rsid w:val="008E3C50"/>
    <w:rsid w:val="008E539C"/>
    <w:rsid w:val="008F0113"/>
    <w:rsid w:val="008F1716"/>
    <w:rsid w:val="008F2554"/>
    <w:rsid w:val="008F25EB"/>
    <w:rsid w:val="008F4181"/>
    <w:rsid w:val="008F77AC"/>
    <w:rsid w:val="009009F0"/>
    <w:rsid w:val="00903D3E"/>
    <w:rsid w:val="00904188"/>
    <w:rsid w:val="00906ADC"/>
    <w:rsid w:val="00910E09"/>
    <w:rsid w:val="00911D18"/>
    <w:rsid w:val="009126C5"/>
    <w:rsid w:val="00912A24"/>
    <w:rsid w:val="009132BD"/>
    <w:rsid w:val="0091403E"/>
    <w:rsid w:val="0091659B"/>
    <w:rsid w:val="00916D04"/>
    <w:rsid w:val="00920040"/>
    <w:rsid w:val="0092075B"/>
    <w:rsid w:val="009209D1"/>
    <w:rsid w:val="0092116A"/>
    <w:rsid w:val="00927274"/>
    <w:rsid w:val="009305CB"/>
    <w:rsid w:val="00931F17"/>
    <w:rsid w:val="00933218"/>
    <w:rsid w:val="00936B3F"/>
    <w:rsid w:val="00940B92"/>
    <w:rsid w:val="00940C9F"/>
    <w:rsid w:val="0094244C"/>
    <w:rsid w:val="0094451C"/>
    <w:rsid w:val="009456F1"/>
    <w:rsid w:val="00947341"/>
    <w:rsid w:val="009476BD"/>
    <w:rsid w:val="009511E3"/>
    <w:rsid w:val="00951A54"/>
    <w:rsid w:val="00952F1F"/>
    <w:rsid w:val="0095426E"/>
    <w:rsid w:val="00954CF0"/>
    <w:rsid w:val="009615D1"/>
    <w:rsid w:val="00962485"/>
    <w:rsid w:val="00962DBC"/>
    <w:rsid w:val="00963214"/>
    <w:rsid w:val="009674E1"/>
    <w:rsid w:val="00967AFC"/>
    <w:rsid w:val="00970127"/>
    <w:rsid w:val="00971775"/>
    <w:rsid w:val="00972BEE"/>
    <w:rsid w:val="00977DFD"/>
    <w:rsid w:val="0098079A"/>
    <w:rsid w:val="009816A6"/>
    <w:rsid w:val="00983A7B"/>
    <w:rsid w:val="00984E45"/>
    <w:rsid w:val="00985B45"/>
    <w:rsid w:val="00987985"/>
    <w:rsid w:val="0099258B"/>
    <w:rsid w:val="00992C1B"/>
    <w:rsid w:val="00992DA9"/>
    <w:rsid w:val="00993C74"/>
    <w:rsid w:val="0099626A"/>
    <w:rsid w:val="00997423"/>
    <w:rsid w:val="009A2CC1"/>
    <w:rsid w:val="009A3BE5"/>
    <w:rsid w:val="009A3F63"/>
    <w:rsid w:val="009A44F5"/>
    <w:rsid w:val="009A6EE6"/>
    <w:rsid w:val="009A7531"/>
    <w:rsid w:val="009A77C6"/>
    <w:rsid w:val="009B0067"/>
    <w:rsid w:val="009B20AE"/>
    <w:rsid w:val="009B3CEB"/>
    <w:rsid w:val="009B3E01"/>
    <w:rsid w:val="009B574A"/>
    <w:rsid w:val="009B60BF"/>
    <w:rsid w:val="009B6848"/>
    <w:rsid w:val="009B7178"/>
    <w:rsid w:val="009B7F60"/>
    <w:rsid w:val="009C1021"/>
    <w:rsid w:val="009C1B1C"/>
    <w:rsid w:val="009C2785"/>
    <w:rsid w:val="009C369B"/>
    <w:rsid w:val="009C4D29"/>
    <w:rsid w:val="009C5B9A"/>
    <w:rsid w:val="009C6553"/>
    <w:rsid w:val="009D2271"/>
    <w:rsid w:val="009D29BD"/>
    <w:rsid w:val="009D2BEC"/>
    <w:rsid w:val="009D2D4E"/>
    <w:rsid w:val="009D45DD"/>
    <w:rsid w:val="009D5662"/>
    <w:rsid w:val="009D59A9"/>
    <w:rsid w:val="009D74BD"/>
    <w:rsid w:val="009D7782"/>
    <w:rsid w:val="009E0123"/>
    <w:rsid w:val="009E27FA"/>
    <w:rsid w:val="009E31F1"/>
    <w:rsid w:val="009E4951"/>
    <w:rsid w:val="009E5AFC"/>
    <w:rsid w:val="009E612A"/>
    <w:rsid w:val="009E62E0"/>
    <w:rsid w:val="009E7C73"/>
    <w:rsid w:val="009F127A"/>
    <w:rsid w:val="009F37FC"/>
    <w:rsid w:val="009F607C"/>
    <w:rsid w:val="009F659C"/>
    <w:rsid w:val="009F69D6"/>
    <w:rsid w:val="00A015C1"/>
    <w:rsid w:val="00A01FAA"/>
    <w:rsid w:val="00A025BC"/>
    <w:rsid w:val="00A029E5"/>
    <w:rsid w:val="00A03AAB"/>
    <w:rsid w:val="00A06A8A"/>
    <w:rsid w:val="00A102C1"/>
    <w:rsid w:val="00A113CB"/>
    <w:rsid w:val="00A11D53"/>
    <w:rsid w:val="00A12611"/>
    <w:rsid w:val="00A14299"/>
    <w:rsid w:val="00A168E5"/>
    <w:rsid w:val="00A17E0A"/>
    <w:rsid w:val="00A200CC"/>
    <w:rsid w:val="00A207E4"/>
    <w:rsid w:val="00A20B62"/>
    <w:rsid w:val="00A226BC"/>
    <w:rsid w:val="00A23FEF"/>
    <w:rsid w:val="00A24BC2"/>
    <w:rsid w:val="00A25D83"/>
    <w:rsid w:val="00A26735"/>
    <w:rsid w:val="00A26DEF"/>
    <w:rsid w:val="00A2763B"/>
    <w:rsid w:val="00A27D4F"/>
    <w:rsid w:val="00A27EDE"/>
    <w:rsid w:val="00A32D99"/>
    <w:rsid w:val="00A33787"/>
    <w:rsid w:val="00A375BB"/>
    <w:rsid w:val="00A405F0"/>
    <w:rsid w:val="00A40C49"/>
    <w:rsid w:val="00A41B6A"/>
    <w:rsid w:val="00A42481"/>
    <w:rsid w:val="00A424B4"/>
    <w:rsid w:val="00A4325E"/>
    <w:rsid w:val="00A4412C"/>
    <w:rsid w:val="00A45CD2"/>
    <w:rsid w:val="00A46692"/>
    <w:rsid w:val="00A46D6E"/>
    <w:rsid w:val="00A479DB"/>
    <w:rsid w:val="00A50D20"/>
    <w:rsid w:val="00A525A4"/>
    <w:rsid w:val="00A53836"/>
    <w:rsid w:val="00A540FB"/>
    <w:rsid w:val="00A547EC"/>
    <w:rsid w:val="00A54CE0"/>
    <w:rsid w:val="00A56269"/>
    <w:rsid w:val="00A5697A"/>
    <w:rsid w:val="00A60B25"/>
    <w:rsid w:val="00A60F9A"/>
    <w:rsid w:val="00A61F8F"/>
    <w:rsid w:val="00A66048"/>
    <w:rsid w:val="00A7003A"/>
    <w:rsid w:val="00A704A5"/>
    <w:rsid w:val="00A7067A"/>
    <w:rsid w:val="00A7088C"/>
    <w:rsid w:val="00A721B7"/>
    <w:rsid w:val="00A7291C"/>
    <w:rsid w:val="00A73976"/>
    <w:rsid w:val="00A73ACE"/>
    <w:rsid w:val="00A746BD"/>
    <w:rsid w:val="00A802BB"/>
    <w:rsid w:val="00A81BF3"/>
    <w:rsid w:val="00A855CB"/>
    <w:rsid w:val="00A865AE"/>
    <w:rsid w:val="00A87F0A"/>
    <w:rsid w:val="00A9223D"/>
    <w:rsid w:val="00A92C1F"/>
    <w:rsid w:val="00A94EEB"/>
    <w:rsid w:val="00AA21BF"/>
    <w:rsid w:val="00AA2AA2"/>
    <w:rsid w:val="00AA40F8"/>
    <w:rsid w:val="00AB3407"/>
    <w:rsid w:val="00AB4AE2"/>
    <w:rsid w:val="00AB66B0"/>
    <w:rsid w:val="00AB6B7D"/>
    <w:rsid w:val="00AB7110"/>
    <w:rsid w:val="00AC51F7"/>
    <w:rsid w:val="00AD0473"/>
    <w:rsid w:val="00AD1963"/>
    <w:rsid w:val="00AD2147"/>
    <w:rsid w:val="00AD2941"/>
    <w:rsid w:val="00AD57BB"/>
    <w:rsid w:val="00AD78C6"/>
    <w:rsid w:val="00AE1B91"/>
    <w:rsid w:val="00AE2FEC"/>
    <w:rsid w:val="00AE479D"/>
    <w:rsid w:val="00AE5EE3"/>
    <w:rsid w:val="00AE6718"/>
    <w:rsid w:val="00AE6D07"/>
    <w:rsid w:val="00AF0F36"/>
    <w:rsid w:val="00AF20B9"/>
    <w:rsid w:val="00AF2389"/>
    <w:rsid w:val="00AF415B"/>
    <w:rsid w:val="00AF4796"/>
    <w:rsid w:val="00AF59C5"/>
    <w:rsid w:val="00AF5DA2"/>
    <w:rsid w:val="00AF63B9"/>
    <w:rsid w:val="00B015F4"/>
    <w:rsid w:val="00B0280B"/>
    <w:rsid w:val="00B03017"/>
    <w:rsid w:val="00B03C95"/>
    <w:rsid w:val="00B04735"/>
    <w:rsid w:val="00B04CD5"/>
    <w:rsid w:val="00B06657"/>
    <w:rsid w:val="00B071E2"/>
    <w:rsid w:val="00B12AE9"/>
    <w:rsid w:val="00B13097"/>
    <w:rsid w:val="00B134D3"/>
    <w:rsid w:val="00B13AAE"/>
    <w:rsid w:val="00B14D12"/>
    <w:rsid w:val="00B17214"/>
    <w:rsid w:val="00B20460"/>
    <w:rsid w:val="00B22CB0"/>
    <w:rsid w:val="00B23B9A"/>
    <w:rsid w:val="00B23F60"/>
    <w:rsid w:val="00B252D3"/>
    <w:rsid w:val="00B26B56"/>
    <w:rsid w:val="00B26E6A"/>
    <w:rsid w:val="00B27F67"/>
    <w:rsid w:val="00B32E05"/>
    <w:rsid w:val="00B34C39"/>
    <w:rsid w:val="00B34E8B"/>
    <w:rsid w:val="00B366F9"/>
    <w:rsid w:val="00B36984"/>
    <w:rsid w:val="00B373D7"/>
    <w:rsid w:val="00B40BCB"/>
    <w:rsid w:val="00B43C94"/>
    <w:rsid w:val="00B448D8"/>
    <w:rsid w:val="00B448F3"/>
    <w:rsid w:val="00B44AD9"/>
    <w:rsid w:val="00B4580A"/>
    <w:rsid w:val="00B465C5"/>
    <w:rsid w:val="00B466D8"/>
    <w:rsid w:val="00B46A99"/>
    <w:rsid w:val="00B477A0"/>
    <w:rsid w:val="00B47A3D"/>
    <w:rsid w:val="00B51919"/>
    <w:rsid w:val="00B5202C"/>
    <w:rsid w:val="00B52EB4"/>
    <w:rsid w:val="00B5306E"/>
    <w:rsid w:val="00B557CB"/>
    <w:rsid w:val="00B5656D"/>
    <w:rsid w:val="00B5679A"/>
    <w:rsid w:val="00B62844"/>
    <w:rsid w:val="00B66C62"/>
    <w:rsid w:val="00B70BBD"/>
    <w:rsid w:val="00B7412D"/>
    <w:rsid w:val="00B74F8E"/>
    <w:rsid w:val="00B755AC"/>
    <w:rsid w:val="00B76CF5"/>
    <w:rsid w:val="00B7774F"/>
    <w:rsid w:val="00B77A9F"/>
    <w:rsid w:val="00B82EA8"/>
    <w:rsid w:val="00B83E63"/>
    <w:rsid w:val="00B84529"/>
    <w:rsid w:val="00B8473C"/>
    <w:rsid w:val="00B857B5"/>
    <w:rsid w:val="00B86D22"/>
    <w:rsid w:val="00B87D3F"/>
    <w:rsid w:val="00B9452A"/>
    <w:rsid w:val="00BA1065"/>
    <w:rsid w:val="00BA15A2"/>
    <w:rsid w:val="00BA37DC"/>
    <w:rsid w:val="00BA3ADD"/>
    <w:rsid w:val="00BA5E33"/>
    <w:rsid w:val="00BA7820"/>
    <w:rsid w:val="00BB073D"/>
    <w:rsid w:val="00BB1A23"/>
    <w:rsid w:val="00BB1D55"/>
    <w:rsid w:val="00BB2A27"/>
    <w:rsid w:val="00BB5D45"/>
    <w:rsid w:val="00BB6382"/>
    <w:rsid w:val="00BB74A6"/>
    <w:rsid w:val="00BC1411"/>
    <w:rsid w:val="00BC29B6"/>
    <w:rsid w:val="00BC3E2E"/>
    <w:rsid w:val="00BC4A4F"/>
    <w:rsid w:val="00BC4C28"/>
    <w:rsid w:val="00BC5F61"/>
    <w:rsid w:val="00BC5FAC"/>
    <w:rsid w:val="00BC7BFE"/>
    <w:rsid w:val="00BD0AC7"/>
    <w:rsid w:val="00BE085B"/>
    <w:rsid w:val="00BE4E1C"/>
    <w:rsid w:val="00BE5C46"/>
    <w:rsid w:val="00BE5FDD"/>
    <w:rsid w:val="00BF056C"/>
    <w:rsid w:val="00BF1041"/>
    <w:rsid w:val="00BF143F"/>
    <w:rsid w:val="00BF162A"/>
    <w:rsid w:val="00BF2D2E"/>
    <w:rsid w:val="00BF2D72"/>
    <w:rsid w:val="00BF30F2"/>
    <w:rsid w:val="00BF3D59"/>
    <w:rsid w:val="00BF4FF9"/>
    <w:rsid w:val="00BF53E0"/>
    <w:rsid w:val="00C00B65"/>
    <w:rsid w:val="00C02DA1"/>
    <w:rsid w:val="00C02EEE"/>
    <w:rsid w:val="00C04050"/>
    <w:rsid w:val="00C063BF"/>
    <w:rsid w:val="00C07193"/>
    <w:rsid w:val="00C07709"/>
    <w:rsid w:val="00C1153B"/>
    <w:rsid w:val="00C13DC2"/>
    <w:rsid w:val="00C14A0E"/>
    <w:rsid w:val="00C151D1"/>
    <w:rsid w:val="00C15E13"/>
    <w:rsid w:val="00C16FBE"/>
    <w:rsid w:val="00C207B9"/>
    <w:rsid w:val="00C20D57"/>
    <w:rsid w:val="00C21570"/>
    <w:rsid w:val="00C22656"/>
    <w:rsid w:val="00C22A21"/>
    <w:rsid w:val="00C230A2"/>
    <w:rsid w:val="00C232DD"/>
    <w:rsid w:val="00C246C0"/>
    <w:rsid w:val="00C3134E"/>
    <w:rsid w:val="00C3196F"/>
    <w:rsid w:val="00C32E8E"/>
    <w:rsid w:val="00C349CA"/>
    <w:rsid w:val="00C36C83"/>
    <w:rsid w:val="00C373E1"/>
    <w:rsid w:val="00C37732"/>
    <w:rsid w:val="00C40E78"/>
    <w:rsid w:val="00C410E9"/>
    <w:rsid w:val="00C426D9"/>
    <w:rsid w:val="00C43922"/>
    <w:rsid w:val="00C464D6"/>
    <w:rsid w:val="00C46710"/>
    <w:rsid w:val="00C520F2"/>
    <w:rsid w:val="00C5342C"/>
    <w:rsid w:val="00C539B8"/>
    <w:rsid w:val="00C53D7D"/>
    <w:rsid w:val="00C56E00"/>
    <w:rsid w:val="00C6041C"/>
    <w:rsid w:val="00C61626"/>
    <w:rsid w:val="00C63289"/>
    <w:rsid w:val="00C6364E"/>
    <w:rsid w:val="00C64669"/>
    <w:rsid w:val="00C66625"/>
    <w:rsid w:val="00C672CF"/>
    <w:rsid w:val="00C73C9E"/>
    <w:rsid w:val="00C74C61"/>
    <w:rsid w:val="00C76C36"/>
    <w:rsid w:val="00C76CA2"/>
    <w:rsid w:val="00C76E99"/>
    <w:rsid w:val="00C775D9"/>
    <w:rsid w:val="00C776BD"/>
    <w:rsid w:val="00C77A82"/>
    <w:rsid w:val="00C80FB5"/>
    <w:rsid w:val="00C8183A"/>
    <w:rsid w:val="00C82BD3"/>
    <w:rsid w:val="00C858F1"/>
    <w:rsid w:val="00C858F3"/>
    <w:rsid w:val="00C86D56"/>
    <w:rsid w:val="00C92EB8"/>
    <w:rsid w:val="00C944B7"/>
    <w:rsid w:val="00C94E0B"/>
    <w:rsid w:val="00C95CDE"/>
    <w:rsid w:val="00C97C3E"/>
    <w:rsid w:val="00C97DCB"/>
    <w:rsid w:val="00CA114F"/>
    <w:rsid w:val="00CA1D43"/>
    <w:rsid w:val="00CA4730"/>
    <w:rsid w:val="00CB2F7F"/>
    <w:rsid w:val="00CB31AA"/>
    <w:rsid w:val="00CB389B"/>
    <w:rsid w:val="00CB3F34"/>
    <w:rsid w:val="00CB5C6F"/>
    <w:rsid w:val="00CB75EC"/>
    <w:rsid w:val="00CC0868"/>
    <w:rsid w:val="00CC1F07"/>
    <w:rsid w:val="00CC2B35"/>
    <w:rsid w:val="00CC5C6E"/>
    <w:rsid w:val="00CD0FCD"/>
    <w:rsid w:val="00CD1C6E"/>
    <w:rsid w:val="00CD1FFD"/>
    <w:rsid w:val="00CD2653"/>
    <w:rsid w:val="00CD37C6"/>
    <w:rsid w:val="00CD3DB3"/>
    <w:rsid w:val="00CD4DF9"/>
    <w:rsid w:val="00CD50B8"/>
    <w:rsid w:val="00CD556D"/>
    <w:rsid w:val="00CE2B46"/>
    <w:rsid w:val="00CE33AB"/>
    <w:rsid w:val="00CE4F4D"/>
    <w:rsid w:val="00CE5F1C"/>
    <w:rsid w:val="00CF0A75"/>
    <w:rsid w:val="00CF1603"/>
    <w:rsid w:val="00CF1CF0"/>
    <w:rsid w:val="00CF2CA8"/>
    <w:rsid w:val="00CF3CCD"/>
    <w:rsid w:val="00CF7982"/>
    <w:rsid w:val="00D05EF5"/>
    <w:rsid w:val="00D0690D"/>
    <w:rsid w:val="00D10BEF"/>
    <w:rsid w:val="00D11957"/>
    <w:rsid w:val="00D11D2A"/>
    <w:rsid w:val="00D11F4D"/>
    <w:rsid w:val="00D1272D"/>
    <w:rsid w:val="00D1424C"/>
    <w:rsid w:val="00D1498D"/>
    <w:rsid w:val="00D15374"/>
    <w:rsid w:val="00D1610B"/>
    <w:rsid w:val="00D16C54"/>
    <w:rsid w:val="00D212FC"/>
    <w:rsid w:val="00D22920"/>
    <w:rsid w:val="00D23A19"/>
    <w:rsid w:val="00D25F3F"/>
    <w:rsid w:val="00D27528"/>
    <w:rsid w:val="00D318E7"/>
    <w:rsid w:val="00D32555"/>
    <w:rsid w:val="00D36B26"/>
    <w:rsid w:val="00D40352"/>
    <w:rsid w:val="00D409AF"/>
    <w:rsid w:val="00D44087"/>
    <w:rsid w:val="00D44BF5"/>
    <w:rsid w:val="00D45514"/>
    <w:rsid w:val="00D45835"/>
    <w:rsid w:val="00D50BB5"/>
    <w:rsid w:val="00D516E4"/>
    <w:rsid w:val="00D521EB"/>
    <w:rsid w:val="00D52C55"/>
    <w:rsid w:val="00D54D15"/>
    <w:rsid w:val="00D55276"/>
    <w:rsid w:val="00D56877"/>
    <w:rsid w:val="00D57AAC"/>
    <w:rsid w:val="00D57C40"/>
    <w:rsid w:val="00D60EC9"/>
    <w:rsid w:val="00D60FAB"/>
    <w:rsid w:val="00D613D7"/>
    <w:rsid w:val="00D61C53"/>
    <w:rsid w:val="00D61D35"/>
    <w:rsid w:val="00D6217A"/>
    <w:rsid w:val="00D6230E"/>
    <w:rsid w:val="00D62688"/>
    <w:rsid w:val="00D64608"/>
    <w:rsid w:val="00D6482A"/>
    <w:rsid w:val="00D64FC9"/>
    <w:rsid w:val="00D6564E"/>
    <w:rsid w:val="00D66150"/>
    <w:rsid w:val="00D703E5"/>
    <w:rsid w:val="00D70981"/>
    <w:rsid w:val="00D72A60"/>
    <w:rsid w:val="00D745D1"/>
    <w:rsid w:val="00D80749"/>
    <w:rsid w:val="00D80970"/>
    <w:rsid w:val="00D809DE"/>
    <w:rsid w:val="00D81C17"/>
    <w:rsid w:val="00D82104"/>
    <w:rsid w:val="00D833CA"/>
    <w:rsid w:val="00D83B39"/>
    <w:rsid w:val="00D854A1"/>
    <w:rsid w:val="00D85F34"/>
    <w:rsid w:val="00D863C9"/>
    <w:rsid w:val="00D86960"/>
    <w:rsid w:val="00D90270"/>
    <w:rsid w:val="00D91D51"/>
    <w:rsid w:val="00D92CE3"/>
    <w:rsid w:val="00D9405C"/>
    <w:rsid w:val="00D952A6"/>
    <w:rsid w:val="00D966D3"/>
    <w:rsid w:val="00D97B27"/>
    <w:rsid w:val="00D97C8E"/>
    <w:rsid w:val="00DA04F6"/>
    <w:rsid w:val="00DA1032"/>
    <w:rsid w:val="00DA46B6"/>
    <w:rsid w:val="00DB1903"/>
    <w:rsid w:val="00DB35A5"/>
    <w:rsid w:val="00DB4B61"/>
    <w:rsid w:val="00DB4E06"/>
    <w:rsid w:val="00DB5235"/>
    <w:rsid w:val="00DB58DF"/>
    <w:rsid w:val="00DB60CF"/>
    <w:rsid w:val="00DB74D7"/>
    <w:rsid w:val="00DC0707"/>
    <w:rsid w:val="00DC15D4"/>
    <w:rsid w:val="00DC24DC"/>
    <w:rsid w:val="00DC268C"/>
    <w:rsid w:val="00DC2B83"/>
    <w:rsid w:val="00DC323D"/>
    <w:rsid w:val="00DC53CB"/>
    <w:rsid w:val="00DC6AA5"/>
    <w:rsid w:val="00DD072C"/>
    <w:rsid w:val="00DD0784"/>
    <w:rsid w:val="00DD457F"/>
    <w:rsid w:val="00DD6426"/>
    <w:rsid w:val="00DD7FF3"/>
    <w:rsid w:val="00DE0CDB"/>
    <w:rsid w:val="00DE0E66"/>
    <w:rsid w:val="00DE158C"/>
    <w:rsid w:val="00DE2214"/>
    <w:rsid w:val="00DE28D6"/>
    <w:rsid w:val="00DE48D6"/>
    <w:rsid w:val="00DE4BF8"/>
    <w:rsid w:val="00DE6791"/>
    <w:rsid w:val="00DE73C1"/>
    <w:rsid w:val="00DF025E"/>
    <w:rsid w:val="00DF208F"/>
    <w:rsid w:val="00DF4C26"/>
    <w:rsid w:val="00DF51FF"/>
    <w:rsid w:val="00DF612F"/>
    <w:rsid w:val="00E001C9"/>
    <w:rsid w:val="00E00F23"/>
    <w:rsid w:val="00E01343"/>
    <w:rsid w:val="00E021FC"/>
    <w:rsid w:val="00E04DE2"/>
    <w:rsid w:val="00E05E80"/>
    <w:rsid w:val="00E0758A"/>
    <w:rsid w:val="00E12C98"/>
    <w:rsid w:val="00E1304A"/>
    <w:rsid w:val="00E13DCC"/>
    <w:rsid w:val="00E14820"/>
    <w:rsid w:val="00E15803"/>
    <w:rsid w:val="00E16B31"/>
    <w:rsid w:val="00E17173"/>
    <w:rsid w:val="00E17A57"/>
    <w:rsid w:val="00E207E8"/>
    <w:rsid w:val="00E22734"/>
    <w:rsid w:val="00E22E4F"/>
    <w:rsid w:val="00E24052"/>
    <w:rsid w:val="00E2456D"/>
    <w:rsid w:val="00E26B9E"/>
    <w:rsid w:val="00E271CA"/>
    <w:rsid w:val="00E33732"/>
    <w:rsid w:val="00E338E3"/>
    <w:rsid w:val="00E33C72"/>
    <w:rsid w:val="00E33D07"/>
    <w:rsid w:val="00E33D17"/>
    <w:rsid w:val="00E33D8D"/>
    <w:rsid w:val="00E34DCF"/>
    <w:rsid w:val="00E353E7"/>
    <w:rsid w:val="00E35444"/>
    <w:rsid w:val="00E370D0"/>
    <w:rsid w:val="00E37C15"/>
    <w:rsid w:val="00E418AF"/>
    <w:rsid w:val="00E42C73"/>
    <w:rsid w:val="00E45B9D"/>
    <w:rsid w:val="00E463D1"/>
    <w:rsid w:val="00E53E70"/>
    <w:rsid w:val="00E545EC"/>
    <w:rsid w:val="00E55C43"/>
    <w:rsid w:val="00E57A4D"/>
    <w:rsid w:val="00E6039F"/>
    <w:rsid w:val="00E608C3"/>
    <w:rsid w:val="00E60D45"/>
    <w:rsid w:val="00E6218A"/>
    <w:rsid w:val="00E66044"/>
    <w:rsid w:val="00E66115"/>
    <w:rsid w:val="00E6649D"/>
    <w:rsid w:val="00E679F2"/>
    <w:rsid w:val="00E67EAC"/>
    <w:rsid w:val="00E7292D"/>
    <w:rsid w:val="00E72B86"/>
    <w:rsid w:val="00E72E90"/>
    <w:rsid w:val="00E73350"/>
    <w:rsid w:val="00E740B9"/>
    <w:rsid w:val="00E74C5E"/>
    <w:rsid w:val="00E75529"/>
    <w:rsid w:val="00E755CB"/>
    <w:rsid w:val="00E76910"/>
    <w:rsid w:val="00E81B89"/>
    <w:rsid w:val="00E8254A"/>
    <w:rsid w:val="00E8316B"/>
    <w:rsid w:val="00E8341A"/>
    <w:rsid w:val="00E85432"/>
    <w:rsid w:val="00E85B2A"/>
    <w:rsid w:val="00E86632"/>
    <w:rsid w:val="00E86D11"/>
    <w:rsid w:val="00E87063"/>
    <w:rsid w:val="00E913C3"/>
    <w:rsid w:val="00E914EB"/>
    <w:rsid w:val="00E92986"/>
    <w:rsid w:val="00E93510"/>
    <w:rsid w:val="00E93DE1"/>
    <w:rsid w:val="00E954B5"/>
    <w:rsid w:val="00E95922"/>
    <w:rsid w:val="00E96FE2"/>
    <w:rsid w:val="00EA0BE1"/>
    <w:rsid w:val="00EA0D0F"/>
    <w:rsid w:val="00EA1534"/>
    <w:rsid w:val="00EA1854"/>
    <w:rsid w:val="00EA438F"/>
    <w:rsid w:val="00EA6B3B"/>
    <w:rsid w:val="00EB1808"/>
    <w:rsid w:val="00EB2C63"/>
    <w:rsid w:val="00EB2EC8"/>
    <w:rsid w:val="00EB4B15"/>
    <w:rsid w:val="00EB6D4F"/>
    <w:rsid w:val="00EC1510"/>
    <w:rsid w:val="00EC5303"/>
    <w:rsid w:val="00EC7C0C"/>
    <w:rsid w:val="00ED0A34"/>
    <w:rsid w:val="00ED2847"/>
    <w:rsid w:val="00ED4169"/>
    <w:rsid w:val="00ED492B"/>
    <w:rsid w:val="00ED616D"/>
    <w:rsid w:val="00ED6C46"/>
    <w:rsid w:val="00EE1D40"/>
    <w:rsid w:val="00EE2BB2"/>
    <w:rsid w:val="00EE4DF4"/>
    <w:rsid w:val="00EE4FC4"/>
    <w:rsid w:val="00EE548A"/>
    <w:rsid w:val="00EE563B"/>
    <w:rsid w:val="00EE5CAF"/>
    <w:rsid w:val="00EE64AA"/>
    <w:rsid w:val="00EE6946"/>
    <w:rsid w:val="00EE7AAF"/>
    <w:rsid w:val="00EF0376"/>
    <w:rsid w:val="00EF03B0"/>
    <w:rsid w:val="00EF053E"/>
    <w:rsid w:val="00EF0E37"/>
    <w:rsid w:val="00EF34EA"/>
    <w:rsid w:val="00EF3571"/>
    <w:rsid w:val="00EF39D0"/>
    <w:rsid w:val="00EF5499"/>
    <w:rsid w:val="00EF7A6C"/>
    <w:rsid w:val="00F01095"/>
    <w:rsid w:val="00F01267"/>
    <w:rsid w:val="00F012DC"/>
    <w:rsid w:val="00F0181E"/>
    <w:rsid w:val="00F02873"/>
    <w:rsid w:val="00F0455F"/>
    <w:rsid w:val="00F04991"/>
    <w:rsid w:val="00F0532E"/>
    <w:rsid w:val="00F056C7"/>
    <w:rsid w:val="00F06093"/>
    <w:rsid w:val="00F078BE"/>
    <w:rsid w:val="00F1059C"/>
    <w:rsid w:val="00F11572"/>
    <w:rsid w:val="00F124D8"/>
    <w:rsid w:val="00F17E31"/>
    <w:rsid w:val="00F20E8A"/>
    <w:rsid w:val="00F21955"/>
    <w:rsid w:val="00F23067"/>
    <w:rsid w:val="00F236B2"/>
    <w:rsid w:val="00F23975"/>
    <w:rsid w:val="00F23EBD"/>
    <w:rsid w:val="00F24641"/>
    <w:rsid w:val="00F25DFA"/>
    <w:rsid w:val="00F271F8"/>
    <w:rsid w:val="00F277E6"/>
    <w:rsid w:val="00F27D16"/>
    <w:rsid w:val="00F30CD4"/>
    <w:rsid w:val="00F31F5B"/>
    <w:rsid w:val="00F32513"/>
    <w:rsid w:val="00F32750"/>
    <w:rsid w:val="00F32CE9"/>
    <w:rsid w:val="00F3305D"/>
    <w:rsid w:val="00F33726"/>
    <w:rsid w:val="00F34BCA"/>
    <w:rsid w:val="00F353B0"/>
    <w:rsid w:val="00F36F51"/>
    <w:rsid w:val="00F37F28"/>
    <w:rsid w:val="00F4093A"/>
    <w:rsid w:val="00F40D7D"/>
    <w:rsid w:val="00F41698"/>
    <w:rsid w:val="00F42DB3"/>
    <w:rsid w:val="00F42DE2"/>
    <w:rsid w:val="00F435CC"/>
    <w:rsid w:val="00F44F4F"/>
    <w:rsid w:val="00F46FF0"/>
    <w:rsid w:val="00F47AB1"/>
    <w:rsid w:val="00F504AF"/>
    <w:rsid w:val="00F518AA"/>
    <w:rsid w:val="00F52341"/>
    <w:rsid w:val="00F52A17"/>
    <w:rsid w:val="00F52EB6"/>
    <w:rsid w:val="00F55045"/>
    <w:rsid w:val="00F55B52"/>
    <w:rsid w:val="00F57926"/>
    <w:rsid w:val="00F57F90"/>
    <w:rsid w:val="00F6141B"/>
    <w:rsid w:val="00F622BE"/>
    <w:rsid w:val="00F63851"/>
    <w:rsid w:val="00F63E34"/>
    <w:rsid w:val="00F64F17"/>
    <w:rsid w:val="00F6504C"/>
    <w:rsid w:val="00F654A2"/>
    <w:rsid w:val="00F655FC"/>
    <w:rsid w:val="00F66E9D"/>
    <w:rsid w:val="00F7110F"/>
    <w:rsid w:val="00F71434"/>
    <w:rsid w:val="00F7162D"/>
    <w:rsid w:val="00F716D3"/>
    <w:rsid w:val="00F7201D"/>
    <w:rsid w:val="00F72709"/>
    <w:rsid w:val="00F73360"/>
    <w:rsid w:val="00F7755C"/>
    <w:rsid w:val="00F77A06"/>
    <w:rsid w:val="00F80792"/>
    <w:rsid w:val="00F81B13"/>
    <w:rsid w:val="00F81D74"/>
    <w:rsid w:val="00F8449D"/>
    <w:rsid w:val="00F85DFE"/>
    <w:rsid w:val="00F86DB4"/>
    <w:rsid w:val="00F86EDB"/>
    <w:rsid w:val="00F91248"/>
    <w:rsid w:val="00F9233C"/>
    <w:rsid w:val="00F945F0"/>
    <w:rsid w:val="00F94DD8"/>
    <w:rsid w:val="00F963E3"/>
    <w:rsid w:val="00FA0005"/>
    <w:rsid w:val="00FA156A"/>
    <w:rsid w:val="00FA7704"/>
    <w:rsid w:val="00FA7C7C"/>
    <w:rsid w:val="00FB07EF"/>
    <w:rsid w:val="00FB0EA7"/>
    <w:rsid w:val="00FB52CE"/>
    <w:rsid w:val="00FB5CC9"/>
    <w:rsid w:val="00FB624E"/>
    <w:rsid w:val="00FB6925"/>
    <w:rsid w:val="00FB7158"/>
    <w:rsid w:val="00FB715B"/>
    <w:rsid w:val="00FB7AF1"/>
    <w:rsid w:val="00FB7EAB"/>
    <w:rsid w:val="00FC0BA0"/>
    <w:rsid w:val="00FC1559"/>
    <w:rsid w:val="00FC232E"/>
    <w:rsid w:val="00FC63A4"/>
    <w:rsid w:val="00FD14E4"/>
    <w:rsid w:val="00FD174D"/>
    <w:rsid w:val="00FD2B5A"/>
    <w:rsid w:val="00FD36D3"/>
    <w:rsid w:val="00FD4C44"/>
    <w:rsid w:val="00FD59A2"/>
    <w:rsid w:val="00FD631C"/>
    <w:rsid w:val="00FD6B82"/>
    <w:rsid w:val="00FD78B5"/>
    <w:rsid w:val="00FD7C9B"/>
    <w:rsid w:val="00FE0A64"/>
    <w:rsid w:val="00FE3643"/>
    <w:rsid w:val="00FE3A70"/>
    <w:rsid w:val="00FE3E7E"/>
    <w:rsid w:val="00FE511F"/>
    <w:rsid w:val="00FE57E7"/>
    <w:rsid w:val="00FE611F"/>
    <w:rsid w:val="00FE6D03"/>
    <w:rsid w:val="00FF0905"/>
    <w:rsid w:val="00FF0FF9"/>
    <w:rsid w:val="00FF4357"/>
    <w:rsid w:val="00FF56F6"/>
    <w:rsid w:val="00FF5AE3"/>
    <w:rsid w:val="00FF5B28"/>
    <w:rsid w:val="00FF5E2E"/>
    <w:rsid w:val="00FF6C02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BD2D26-C519-4ADA-AA46-4C8B0FDD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Arial"/>
        <w:color w:val="37424A" w:themeColor="text1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9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1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19" w:qFormat="1"/>
    <w:lsdException w:name="Subtle Reference" w:uiPriority="19" w:qFormat="1"/>
    <w:lsdException w:name="Intense Reference" w:uiPriority="19" w:qFormat="1"/>
    <w:lsdException w:name="Book Title" w:uiPriority="19" w:qFormat="1"/>
    <w:lsdException w:name="Bibliography" w:semiHidden="1" w:uiPriority="19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~BodyText"/>
    <w:qFormat/>
    <w:rsid w:val="00D11D2A"/>
    <w:pPr>
      <w:spacing w:before="120" w:after="120" w:line="264" w:lineRule="auto"/>
      <w:jc w:val="both"/>
    </w:pPr>
    <w:rPr>
      <w:lang w:val="es-ES_tradnl"/>
    </w:rPr>
  </w:style>
  <w:style w:type="paragraph" w:styleId="Ttulo1">
    <w:name w:val="heading 1"/>
    <w:aliases w:val="~SectionHeading"/>
    <w:basedOn w:val="SecHeadNonToc"/>
    <w:next w:val="Normal"/>
    <w:link w:val="Ttulo1Car"/>
    <w:uiPriority w:val="1"/>
    <w:qFormat/>
    <w:rsid w:val="00A60B25"/>
    <w:pPr>
      <w:numPr>
        <w:numId w:val="11"/>
      </w:numPr>
      <w:outlineLvl w:val="0"/>
    </w:pPr>
    <w:rPr>
      <w:rFonts w:ascii="Arial" w:hAnsi="Arial" w:cs="Arial"/>
    </w:rPr>
  </w:style>
  <w:style w:type="paragraph" w:styleId="Ttulo2">
    <w:name w:val="heading 2"/>
    <w:aliases w:val="~SubHeading"/>
    <w:basedOn w:val="ExecSumSubHead"/>
    <w:next w:val="Normal"/>
    <w:link w:val="Ttulo2Car"/>
    <w:uiPriority w:val="1"/>
    <w:qFormat/>
    <w:rsid w:val="00A60B25"/>
    <w:pPr>
      <w:numPr>
        <w:ilvl w:val="1"/>
        <w:numId w:val="11"/>
      </w:numPr>
      <w:outlineLvl w:val="1"/>
    </w:pPr>
    <w:rPr>
      <w:rFonts w:ascii="Arial" w:hAnsi="Arial" w:cs="Arial"/>
      <w:szCs w:val="16"/>
    </w:rPr>
  </w:style>
  <w:style w:type="paragraph" w:styleId="Ttulo3">
    <w:name w:val="heading 3"/>
    <w:aliases w:val="~MinorSubHeading"/>
    <w:basedOn w:val="Ttulo2"/>
    <w:next w:val="Normal"/>
    <w:link w:val="Ttulo3Car"/>
    <w:uiPriority w:val="1"/>
    <w:qFormat/>
    <w:rsid w:val="00A60B25"/>
    <w:pPr>
      <w:numPr>
        <w:ilvl w:val="2"/>
      </w:numPr>
      <w:outlineLvl w:val="2"/>
    </w:pPr>
    <w:rPr>
      <w:sz w:val="30"/>
      <w:szCs w:val="14"/>
    </w:rPr>
  </w:style>
  <w:style w:type="paragraph" w:styleId="Ttulo4">
    <w:name w:val="heading 4"/>
    <w:aliases w:val="~Level4Heading"/>
    <w:basedOn w:val="Ttulo3"/>
    <w:next w:val="Normal"/>
    <w:link w:val="Ttulo4Car"/>
    <w:uiPriority w:val="1"/>
    <w:qFormat/>
    <w:rsid w:val="00743E7C"/>
    <w:pPr>
      <w:numPr>
        <w:ilvl w:val="0"/>
        <w:numId w:val="0"/>
      </w:numPr>
      <w:outlineLvl w:val="3"/>
    </w:pPr>
    <w:rPr>
      <w:color w:val="007B87" w:themeColor="accent3"/>
      <w:sz w:val="24"/>
    </w:rPr>
  </w:style>
  <w:style w:type="paragraph" w:styleId="Ttulo5">
    <w:name w:val="heading 5"/>
    <w:basedOn w:val="Normal"/>
    <w:next w:val="Normal"/>
    <w:link w:val="Ttulo5Car"/>
    <w:uiPriority w:val="19"/>
    <w:semiHidden/>
    <w:qFormat/>
    <w:rsid w:val="00A865AE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next w:val="Normal"/>
    <w:link w:val="Ttulo6Car"/>
    <w:uiPriority w:val="19"/>
    <w:semiHidden/>
    <w:qFormat/>
    <w:rsid w:val="00A865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Ttulo7">
    <w:name w:val="heading 7"/>
    <w:basedOn w:val="Normal"/>
    <w:next w:val="Normal"/>
    <w:link w:val="Ttulo7Car"/>
    <w:uiPriority w:val="19"/>
    <w:semiHidden/>
    <w:qFormat/>
    <w:rsid w:val="00A865A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19"/>
    <w:semiHidden/>
    <w:qFormat/>
    <w:rsid w:val="00A865AE"/>
    <w:pPr>
      <w:keepNext/>
      <w:keepLines/>
      <w:spacing w:before="200"/>
      <w:outlineLvl w:val="7"/>
    </w:pPr>
    <w:rPr>
      <w:rFonts w:asciiTheme="majorHAnsi" w:eastAsiaTheme="majorEastAsia" w:hAnsiTheme="majorHAnsi" w:cstheme="majorBidi"/>
    </w:rPr>
  </w:style>
  <w:style w:type="paragraph" w:styleId="Ttulo9">
    <w:name w:val="heading 9"/>
    <w:basedOn w:val="Normal"/>
    <w:next w:val="Normal"/>
    <w:link w:val="Ttulo9Car"/>
    <w:uiPriority w:val="19"/>
    <w:semiHidden/>
    <w:qFormat/>
    <w:rsid w:val="00A865A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~BaseStyle"/>
    <w:qFormat/>
    <w:rsid w:val="00EE64AA"/>
    <w:pPr>
      <w:spacing w:after="0" w:line="240" w:lineRule="auto"/>
    </w:pPr>
    <w:rPr>
      <w:lang w:val="es-ES_tradnl"/>
    </w:rPr>
  </w:style>
  <w:style w:type="paragraph" w:customStyle="1" w:styleId="SecHeadNonToc">
    <w:name w:val="~SecHeadNonToc"/>
    <w:basedOn w:val="Sinespaciado"/>
    <w:next w:val="Normal"/>
    <w:uiPriority w:val="19"/>
    <w:qFormat/>
    <w:rsid w:val="000C76B5"/>
    <w:pPr>
      <w:keepNext/>
      <w:pageBreakBefore/>
      <w:spacing w:before="400" w:after="240"/>
    </w:pPr>
    <w:rPr>
      <w:rFonts w:asciiTheme="majorHAnsi" w:hAnsiTheme="majorHAnsi" w:cstheme="minorBidi"/>
      <w:caps/>
      <w:color w:val="E83F35" w:themeColor="accent1"/>
      <w:sz w:val="40"/>
      <w:szCs w:val="180"/>
    </w:rPr>
  </w:style>
  <w:style w:type="paragraph" w:customStyle="1" w:styleId="AnnexDivider">
    <w:name w:val="~AnnexDivider"/>
    <w:basedOn w:val="SecHeadNonToc"/>
    <w:next w:val="Normal"/>
    <w:uiPriority w:val="2"/>
    <w:rsid w:val="00EE64AA"/>
    <w:pPr>
      <w:outlineLvl w:val="0"/>
    </w:pPr>
  </w:style>
  <w:style w:type="paragraph" w:customStyle="1" w:styleId="AnxHead">
    <w:name w:val="~AnxHead"/>
    <w:basedOn w:val="SecHeadNonToc"/>
    <w:next w:val="Normal"/>
    <w:uiPriority w:val="2"/>
    <w:qFormat/>
    <w:rsid w:val="007B6275"/>
    <w:pPr>
      <w:numPr>
        <w:numId w:val="12"/>
      </w:numPr>
      <w:tabs>
        <w:tab w:val="left" w:pos="1559"/>
      </w:tabs>
      <w:ind w:hanging="2268"/>
      <w:outlineLvl w:val="0"/>
    </w:pPr>
    <w:rPr>
      <w:rFonts w:ascii="Arial" w:hAnsi="Arial" w:cs="Arial"/>
    </w:rPr>
  </w:style>
  <w:style w:type="paragraph" w:customStyle="1" w:styleId="AnxSubHead">
    <w:name w:val="~AnxSubHead"/>
    <w:basedOn w:val="AnxHead"/>
    <w:next w:val="Normal"/>
    <w:uiPriority w:val="2"/>
    <w:qFormat/>
    <w:rsid w:val="00640C53"/>
    <w:pPr>
      <w:pageBreakBefore w:val="0"/>
      <w:numPr>
        <w:ilvl w:val="1"/>
      </w:numPr>
      <w:spacing w:before="240" w:after="0"/>
      <w:outlineLvl w:val="1"/>
    </w:pPr>
    <w:rPr>
      <w:caps w:val="0"/>
      <w:sz w:val="36"/>
      <w:szCs w:val="16"/>
    </w:rPr>
  </w:style>
  <w:style w:type="paragraph" w:customStyle="1" w:styleId="AnxMinorSubHead">
    <w:name w:val="~AnxMinorSubHead"/>
    <w:basedOn w:val="AnxSubHead"/>
    <w:next w:val="Normal"/>
    <w:uiPriority w:val="2"/>
    <w:qFormat/>
    <w:rsid w:val="00A60B25"/>
    <w:pPr>
      <w:numPr>
        <w:ilvl w:val="2"/>
      </w:numPr>
      <w:outlineLvl w:val="2"/>
    </w:pPr>
    <w:rPr>
      <w:iCs/>
      <w:sz w:val="30"/>
      <w:szCs w:val="14"/>
    </w:rPr>
  </w:style>
  <w:style w:type="paragraph" w:customStyle="1" w:styleId="BodyHeading">
    <w:name w:val="~BodyHeading"/>
    <w:basedOn w:val="Normal"/>
    <w:next w:val="Normal"/>
    <w:uiPriority w:val="1"/>
    <w:qFormat/>
    <w:rsid w:val="00045C6D"/>
    <w:pPr>
      <w:keepNext/>
      <w:spacing w:line="240" w:lineRule="auto"/>
    </w:pPr>
    <w:rPr>
      <w:b/>
      <w:color w:val="007B87" w:themeColor="accent3"/>
    </w:rPr>
  </w:style>
  <w:style w:type="paragraph" w:customStyle="1" w:styleId="BodyTextNum">
    <w:name w:val="~BodyTextNum"/>
    <w:basedOn w:val="Normal"/>
    <w:uiPriority w:val="3"/>
    <w:qFormat/>
    <w:rsid w:val="00857FA8"/>
    <w:rPr>
      <w:szCs w:val="20"/>
    </w:rPr>
  </w:style>
  <w:style w:type="paragraph" w:customStyle="1" w:styleId="ParaBullet1">
    <w:name w:val="~ParaBullet1"/>
    <w:basedOn w:val="Normal"/>
    <w:uiPriority w:val="3"/>
    <w:qFormat/>
    <w:rsid w:val="00142182"/>
    <w:pPr>
      <w:numPr>
        <w:numId w:val="1"/>
      </w:numPr>
    </w:pPr>
    <w:rPr>
      <w:rFonts w:eastAsia="Calibri"/>
    </w:rPr>
  </w:style>
  <w:style w:type="paragraph" w:customStyle="1" w:styleId="ParaBullet2">
    <w:name w:val="~ParaBullet2"/>
    <w:basedOn w:val="ParaBullet1"/>
    <w:uiPriority w:val="3"/>
    <w:qFormat/>
    <w:rsid w:val="00EE64AA"/>
    <w:pPr>
      <w:numPr>
        <w:ilvl w:val="1"/>
      </w:numPr>
    </w:pPr>
  </w:style>
  <w:style w:type="paragraph" w:customStyle="1" w:styleId="ParaBullet3">
    <w:name w:val="~ParaBullet3"/>
    <w:basedOn w:val="ParaBullet2"/>
    <w:uiPriority w:val="3"/>
    <w:qFormat/>
    <w:rsid w:val="00EE64AA"/>
    <w:pPr>
      <w:numPr>
        <w:ilvl w:val="2"/>
      </w:numPr>
    </w:pPr>
  </w:style>
  <w:style w:type="paragraph" w:styleId="Descripcin">
    <w:name w:val="caption"/>
    <w:aliases w:val="~Caption"/>
    <w:basedOn w:val="BodyHeading"/>
    <w:next w:val="Normal"/>
    <w:link w:val="DescripcinCar"/>
    <w:uiPriority w:val="2"/>
    <w:qFormat/>
    <w:rsid w:val="00C22A21"/>
    <w:pPr>
      <w:tabs>
        <w:tab w:val="left" w:pos="1276"/>
      </w:tabs>
      <w:spacing w:after="60"/>
      <w:ind w:left="1276" w:hanging="1276"/>
    </w:pPr>
    <w:rPr>
      <w:rFonts w:eastAsia="Calibri"/>
      <w:color w:val="37424A" w:themeColor="text1"/>
    </w:rPr>
  </w:style>
  <w:style w:type="character" w:customStyle="1" w:styleId="DescripcinCar">
    <w:name w:val="Descripción Car"/>
    <w:aliases w:val="~Caption Car"/>
    <w:basedOn w:val="Fuentedeprrafopredeter"/>
    <w:link w:val="Descripcin"/>
    <w:uiPriority w:val="2"/>
    <w:rsid w:val="00D11D2A"/>
    <w:rPr>
      <w:rFonts w:eastAsia="Calibri"/>
      <w:b/>
      <w:lang w:val="es-ES_tradnl"/>
    </w:rPr>
  </w:style>
  <w:style w:type="paragraph" w:customStyle="1" w:styleId="CaptionWide">
    <w:name w:val="~CaptionWide"/>
    <w:basedOn w:val="Descripcin"/>
    <w:next w:val="Normal"/>
    <w:uiPriority w:val="19"/>
    <w:qFormat/>
    <w:rsid w:val="008406D5"/>
    <w:pPr>
      <w:tabs>
        <w:tab w:val="clear" w:pos="1276"/>
        <w:tab w:val="left" w:pos="142"/>
      </w:tabs>
      <w:ind w:left="142"/>
    </w:pPr>
    <w:rPr>
      <w:bCs/>
    </w:rPr>
  </w:style>
  <w:style w:type="paragraph" w:customStyle="1" w:styleId="Confidential">
    <w:name w:val="~Confidential"/>
    <w:basedOn w:val="Sinespaciado"/>
    <w:uiPriority w:val="19"/>
    <w:rsid w:val="00644069"/>
    <w:rPr>
      <w:color w:val="707276" w:themeColor="text2"/>
    </w:rPr>
  </w:style>
  <w:style w:type="paragraph" w:customStyle="1" w:styleId="DocClient">
    <w:name w:val="~DocClient"/>
    <w:basedOn w:val="Sinespaciado"/>
    <w:uiPriority w:val="19"/>
    <w:semiHidden/>
    <w:qFormat/>
    <w:rsid w:val="00644069"/>
  </w:style>
  <w:style w:type="paragraph" w:customStyle="1" w:styleId="DocDate">
    <w:name w:val="~DocDate"/>
    <w:basedOn w:val="Sinespaciado"/>
    <w:uiPriority w:val="19"/>
    <w:rsid w:val="00644069"/>
    <w:rPr>
      <w:color w:val="707276" w:themeColor="text2"/>
      <w:sz w:val="24"/>
    </w:rPr>
  </w:style>
  <w:style w:type="paragraph" w:customStyle="1" w:styleId="DocSubTitle">
    <w:name w:val="~DocSubTitle"/>
    <w:basedOn w:val="Sinespaciado"/>
    <w:uiPriority w:val="19"/>
    <w:rsid w:val="00644069"/>
    <w:rPr>
      <w:color w:val="E83F35" w:themeColor="accent1"/>
      <w:sz w:val="48"/>
    </w:rPr>
  </w:style>
  <w:style w:type="paragraph" w:customStyle="1" w:styleId="DocTitle">
    <w:name w:val="~DocTitle"/>
    <w:basedOn w:val="Sinespaciado"/>
    <w:uiPriority w:val="19"/>
    <w:rsid w:val="00644069"/>
    <w:rPr>
      <w:caps/>
      <w:color w:val="707276" w:themeColor="text2"/>
      <w:sz w:val="64"/>
    </w:rPr>
  </w:style>
  <w:style w:type="paragraph" w:customStyle="1" w:styleId="DocType">
    <w:name w:val="~DocType"/>
    <w:basedOn w:val="Sinespaciado"/>
    <w:uiPriority w:val="19"/>
    <w:semiHidden/>
    <w:qFormat/>
    <w:rsid w:val="00644069"/>
  </w:style>
  <w:style w:type="paragraph" w:customStyle="1" w:styleId="Draft">
    <w:name w:val="~Draft"/>
    <w:basedOn w:val="Sinespaciado"/>
    <w:uiPriority w:val="19"/>
    <w:rsid w:val="00644069"/>
    <w:rPr>
      <w:caps/>
      <w:color w:val="E83F35" w:themeColor="accent1"/>
      <w:sz w:val="80"/>
    </w:rPr>
  </w:style>
  <w:style w:type="paragraph" w:customStyle="1" w:styleId="ExecSumHead">
    <w:name w:val="~ExecSumHead"/>
    <w:basedOn w:val="SecHeadNonToc"/>
    <w:next w:val="Normal"/>
    <w:uiPriority w:val="2"/>
    <w:qFormat/>
    <w:rsid w:val="00DE158C"/>
    <w:pPr>
      <w:outlineLvl w:val="0"/>
    </w:pPr>
  </w:style>
  <w:style w:type="paragraph" w:customStyle="1" w:styleId="ExecSumSubHead">
    <w:name w:val="~ExecSumSubHead"/>
    <w:basedOn w:val="ExecSumHead"/>
    <w:next w:val="Normal"/>
    <w:uiPriority w:val="2"/>
    <w:qFormat/>
    <w:rsid w:val="001A2F61"/>
    <w:pPr>
      <w:pageBreakBefore w:val="0"/>
      <w:spacing w:before="240"/>
    </w:pPr>
    <w:rPr>
      <w:caps w:val="0"/>
      <w:sz w:val="36"/>
      <w:szCs w:val="32"/>
    </w:rPr>
  </w:style>
  <w:style w:type="paragraph" w:customStyle="1" w:styleId="GraphicLeft">
    <w:name w:val="~GraphicLeft"/>
    <w:basedOn w:val="Sinespaciado"/>
    <w:uiPriority w:val="9"/>
    <w:rsid w:val="00142182"/>
    <w:rPr>
      <w:sz w:val="20"/>
    </w:rPr>
  </w:style>
  <w:style w:type="paragraph" w:customStyle="1" w:styleId="GraphicCentre">
    <w:name w:val="~GraphicCentre"/>
    <w:basedOn w:val="GraphicLeft"/>
    <w:uiPriority w:val="19"/>
    <w:rsid w:val="00EE64AA"/>
    <w:pPr>
      <w:jc w:val="center"/>
    </w:pPr>
  </w:style>
  <w:style w:type="paragraph" w:customStyle="1" w:styleId="GraphicRight">
    <w:name w:val="~GraphicRight"/>
    <w:basedOn w:val="GraphicLeft"/>
    <w:uiPriority w:val="19"/>
    <w:rsid w:val="00EE64AA"/>
    <w:pPr>
      <w:jc w:val="right"/>
    </w:pPr>
  </w:style>
  <w:style w:type="paragraph" w:customStyle="1" w:styleId="Hidden">
    <w:name w:val="~Hidden"/>
    <w:basedOn w:val="Sinespaciado"/>
    <w:uiPriority w:val="19"/>
    <w:semiHidden/>
    <w:qFormat/>
    <w:rsid w:val="00EE64AA"/>
    <w:pPr>
      <w:framePr w:wrap="around" w:vAnchor="page" w:hAnchor="page" w:xAlign="right" w:yAlign="bottom"/>
    </w:pPr>
    <w:rPr>
      <w:color w:val="C00000"/>
    </w:rPr>
  </w:style>
  <w:style w:type="paragraph" w:customStyle="1" w:styleId="IntroText">
    <w:name w:val="~IntroText"/>
    <w:basedOn w:val="Normal"/>
    <w:next w:val="Normal"/>
    <w:uiPriority w:val="5"/>
    <w:qFormat/>
    <w:rsid w:val="001A2F61"/>
    <w:rPr>
      <w:color w:val="707276" w:themeColor="text2"/>
      <w:sz w:val="28"/>
    </w:rPr>
  </w:style>
  <w:style w:type="paragraph" w:customStyle="1" w:styleId="TableBullet1">
    <w:name w:val="~TableBullet1"/>
    <w:basedOn w:val="KeyMsgBullet1"/>
    <w:uiPriority w:val="6"/>
    <w:qFormat/>
    <w:rsid w:val="003715D5"/>
    <w:pPr>
      <w:tabs>
        <w:tab w:val="clear" w:pos="369"/>
        <w:tab w:val="left" w:pos="284"/>
      </w:tabs>
      <w:spacing w:before="40" w:after="40" w:line="240" w:lineRule="auto"/>
      <w:ind w:left="284"/>
    </w:pPr>
    <w:rPr>
      <w:sz w:val="20"/>
    </w:rPr>
  </w:style>
  <w:style w:type="paragraph" w:customStyle="1" w:styleId="ParaNumBullet1">
    <w:name w:val="~ParaNumBullet1"/>
    <w:basedOn w:val="ParaBullet1"/>
    <w:uiPriority w:val="3"/>
    <w:qFormat/>
    <w:rsid w:val="0082368E"/>
    <w:pPr>
      <w:numPr>
        <w:numId w:val="22"/>
      </w:numPr>
    </w:pPr>
    <w:rPr>
      <w:szCs w:val="20"/>
    </w:rPr>
  </w:style>
  <w:style w:type="paragraph" w:customStyle="1" w:styleId="ParaNumBullet2">
    <w:name w:val="~ParaNumBullet2"/>
    <w:basedOn w:val="ParaNumBullet1"/>
    <w:uiPriority w:val="3"/>
    <w:qFormat/>
    <w:rsid w:val="0082368E"/>
    <w:pPr>
      <w:numPr>
        <w:ilvl w:val="1"/>
      </w:numPr>
    </w:pPr>
  </w:style>
  <w:style w:type="paragraph" w:customStyle="1" w:styleId="ParaNumBullet3">
    <w:name w:val="~ParaNumBullet3"/>
    <w:basedOn w:val="ParaNumBullet2"/>
    <w:uiPriority w:val="3"/>
    <w:qFormat/>
    <w:rsid w:val="0082368E"/>
    <w:pPr>
      <w:numPr>
        <w:ilvl w:val="2"/>
      </w:numPr>
    </w:pPr>
  </w:style>
  <w:style w:type="paragraph" w:customStyle="1" w:styleId="QuoteBoxText">
    <w:name w:val="~QuoteBoxText"/>
    <w:basedOn w:val="Normal"/>
    <w:uiPriority w:val="3"/>
    <w:qFormat/>
    <w:rsid w:val="009F69D6"/>
    <w:pPr>
      <w:spacing w:after="60"/>
      <w:jc w:val="left"/>
    </w:pPr>
    <w:rPr>
      <w:rFonts w:eastAsia="Times New Roman" w:cs="Times New Roman"/>
      <w:sz w:val="28"/>
    </w:rPr>
  </w:style>
  <w:style w:type="paragraph" w:customStyle="1" w:styleId="Source">
    <w:name w:val="~Source"/>
    <w:basedOn w:val="Normal"/>
    <w:next w:val="Normal"/>
    <w:uiPriority w:val="2"/>
    <w:qFormat/>
    <w:rsid w:val="008D0439"/>
    <w:pPr>
      <w:tabs>
        <w:tab w:val="left" w:pos="709"/>
      </w:tabs>
      <w:spacing w:before="60" w:after="60" w:line="240" w:lineRule="auto"/>
      <w:ind w:left="709" w:hanging="709"/>
      <w:jc w:val="left"/>
    </w:pPr>
    <w:rPr>
      <w:rFonts w:eastAsia="Calibri"/>
      <w:i/>
      <w:sz w:val="16"/>
    </w:rPr>
  </w:style>
  <w:style w:type="paragraph" w:customStyle="1" w:styleId="SourceWide">
    <w:name w:val="~SourceWide"/>
    <w:basedOn w:val="Source"/>
    <w:next w:val="Normal"/>
    <w:uiPriority w:val="19"/>
    <w:rsid w:val="008406D5"/>
    <w:pPr>
      <w:tabs>
        <w:tab w:val="clear" w:pos="709"/>
        <w:tab w:val="left" w:pos="-425"/>
      </w:tabs>
      <w:ind w:left="-425"/>
    </w:pPr>
  </w:style>
  <w:style w:type="paragraph" w:customStyle="1" w:styleId="Spacer">
    <w:name w:val="~Spacer"/>
    <w:basedOn w:val="Sinespaciado"/>
    <w:uiPriority w:val="19"/>
    <w:semiHidden/>
    <w:qFormat/>
    <w:rsid w:val="00EE64AA"/>
    <w:rPr>
      <w:rFonts w:ascii="Arial" w:hAnsi="Arial"/>
      <w:sz w:val="2"/>
    </w:rPr>
  </w:style>
  <w:style w:type="paragraph" w:customStyle="1" w:styleId="TableTextLeft">
    <w:name w:val="~TableTextLeft"/>
    <w:basedOn w:val="Normal"/>
    <w:qFormat/>
    <w:rsid w:val="00142182"/>
    <w:pPr>
      <w:spacing w:before="40" w:after="40" w:line="240" w:lineRule="auto"/>
      <w:jc w:val="left"/>
    </w:pPr>
    <w:rPr>
      <w:sz w:val="20"/>
    </w:rPr>
  </w:style>
  <w:style w:type="table" w:customStyle="1" w:styleId="TableClear">
    <w:name w:val="~TableClear"/>
    <w:basedOn w:val="Tablanormal"/>
    <w:uiPriority w:val="99"/>
    <w:rsid w:val="00EE64AA"/>
    <w:pPr>
      <w:spacing w:after="0" w:line="240" w:lineRule="auto"/>
    </w:pPr>
    <w:tblPr/>
  </w:style>
  <w:style w:type="paragraph" w:customStyle="1" w:styleId="TableHeadingLeft">
    <w:name w:val="~TableHeadingLeft"/>
    <w:basedOn w:val="TableTextLeft"/>
    <w:qFormat/>
    <w:rsid w:val="00F52EB6"/>
    <w:rPr>
      <w:b/>
      <w:bCs/>
      <w:color w:val="007B87" w:themeColor="accent3"/>
    </w:rPr>
  </w:style>
  <w:style w:type="paragraph" w:customStyle="1" w:styleId="TableHeadingCentre">
    <w:name w:val="~TableHeadingCentre"/>
    <w:basedOn w:val="TableHeadingLeft"/>
    <w:uiPriority w:val="6"/>
    <w:qFormat/>
    <w:rsid w:val="00F52EB6"/>
    <w:pPr>
      <w:jc w:val="center"/>
    </w:pPr>
  </w:style>
  <w:style w:type="paragraph" w:customStyle="1" w:styleId="TableHeadingRight">
    <w:name w:val="~TableHeadingRight"/>
    <w:basedOn w:val="TableHeadingLeft"/>
    <w:qFormat/>
    <w:rsid w:val="00F52EB6"/>
    <w:pPr>
      <w:jc w:val="right"/>
    </w:pPr>
  </w:style>
  <w:style w:type="table" w:customStyle="1" w:styleId="TableNormal">
    <w:name w:val="~TableNormal"/>
    <w:basedOn w:val="Tablanormal"/>
    <w:semiHidden/>
    <w:rsid w:val="00EE64AA"/>
    <w:pPr>
      <w:spacing w:after="0" w:line="240" w:lineRule="auto"/>
    </w:pPr>
    <w:tblPr/>
  </w:style>
  <w:style w:type="paragraph" w:customStyle="1" w:styleId="TableTextCentre">
    <w:name w:val="~TableTextCentre"/>
    <w:basedOn w:val="TableTextLeft"/>
    <w:uiPriority w:val="6"/>
    <w:qFormat/>
    <w:rsid w:val="00F52EB6"/>
    <w:pPr>
      <w:jc w:val="center"/>
    </w:pPr>
  </w:style>
  <w:style w:type="paragraph" w:customStyle="1" w:styleId="TableTextRight">
    <w:name w:val="~TableTextRight"/>
    <w:basedOn w:val="TableTextLeft"/>
    <w:qFormat/>
    <w:rsid w:val="00F52EB6"/>
    <w:pPr>
      <w:jc w:val="right"/>
    </w:pPr>
  </w:style>
  <w:style w:type="paragraph" w:customStyle="1" w:styleId="TableTotalLeft">
    <w:name w:val="~TableTotalLeft"/>
    <w:basedOn w:val="TableTextLeft"/>
    <w:uiPriority w:val="6"/>
    <w:qFormat/>
    <w:rsid w:val="00F52EB6"/>
    <w:rPr>
      <w:b/>
      <w:bCs/>
      <w:color w:val="007B87" w:themeColor="accent3"/>
    </w:rPr>
  </w:style>
  <w:style w:type="paragraph" w:customStyle="1" w:styleId="TableTotalCentre">
    <w:name w:val="~TableTotalCentre"/>
    <w:basedOn w:val="TableTotalLeft"/>
    <w:uiPriority w:val="6"/>
    <w:qFormat/>
    <w:rsid w:val="0082489C"/>
    <w:pPr>
      <w:jc w:val="center"/>
    </w:pPr>
  </w:style>
  <w:style w:type="paragraph" w:customStyle="1" w:styleId="TableTotalRight">
    <w:name w:val="~TableTotalRight"/>
    <w:basedOn w:val="TableTotalLeft"/>
    <w:uiPriority w:val="6"/>
    <w:qFormat/>
    <w:rsid w:val="0082489C"/>
    <w:pPr>
      <w:jc w:val="righ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E64AA"/>
    <w:pPr>
      <w:spacing w:line="240" w:lineRule="auto"/>
    </w:pPr>
    <w:rPr>
      <w:rFonts w:ascii="Tahoma" w:hAnsi="Tahoma" w:cs="Tahoma"/>
      <w:color w:val="808080" w:themeColor="background1" w:themeShade="80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64AA"/>
    <w:rPr>
      <w:rFonts w:ascii="Tahoma" w:hAnsi="Tahoma" w:cs="Tahoma"/>
      <w:color w:val="808080" w:themeColor="background1" w:themeShade="80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E64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64AA"/>
    <w:pPr>
      <w:spacing w:line="240" w:lineRule="auto"/>
    </w:pPr>
    <w:rPr>
      <w:rFonts w:ascii="Arial" w:hAnsi="Arial"/>
      <w:color w:val="aut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64AA"/>
    <w:rPr>
      <w:rFonts w:ascii="Arial" w:hAnsi="Arial"/>
      <w:color w:val="auto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64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64AA"/>
    <w:rPr>
      <w:rFonts w:ascii="Arial" w:hAnsi="Arial"/>
      <w:b/>
      <w:bCs/>
      <w:color w:val="auto"/>
      <w:sz w:val="20"/>
      <w:szCs w:val="20"/>
    </w:rPr>
  </w:style>
  <w:style w:type="character" w:styleId="Hipervnculovisitado">
    <w:name w:val="FollowedHyperlink"/>
    <w:aliases w:val="~FollowedHyperlink"/>
    <w:basedOn w:val="Fuentedeprrafopredeter"/>
    <w:uiPriority w:val="19"/>
    <w:semiHidden/>
    <w:rsid w:val="00887447"/>
    <w:rPr>
      <w:color w:val="8DD0D2" w:themeColor="accent2"/>
      <w:u w:val="single"/>
    </w:rPr>
  </w:style>
  <w:style w:type="paragraph" w:styleId="Piedepgina">
    <w:name w:val="footer"/>
    <w:aliases w:val="~Footer"/>
    <w:basedOn w:val="Sinespaciado"/>
    <w:link w:val="PiedepginaCar"/>
    <w:uiPriority w:val="19"/>
    <w:rsid w:val="000A0D97"/>
    <w:rPr>
      <w:color w:val="707276" w:themeColor="text2"/>
      <w:sz w:val="18"/>
    </w:rPr>
  </w:style>
  <w:style w:type="character" w:customStyle="1" w:styleId="PiedepginaCar">
    <w:name w:val="Pie de página Car"/>
    <w:aliases w:val="~Footer Car"/>
    <w:basedOn w:val="Fuentedeprrafopredeter"/>
    <w:link w:val="Piedepgina"/>
    <w:uiPriority w:val="19"/>
    <w:rsid w:val="00D11D2A"/>
    <w:rPr>
      <w:color w:val="707276" w:themeColor="text2"/>
      <w:sz w:val="18"/>
    </w:rPr>
  </w:style>
  <w:style w:type="character" w:styleId="Refdenotaalpie">
    <w:name w:val="footnote reference"/>
    <w:aliases w:val="~FootnoteRef"/>
    <w:basedOn w:val="Fuentedeprrafopredeter"/>
    <w:uiPriority w:val="19"/>
    <w:semiHidden/>
    <w:rsid w:val="000F5519"/>
    <w:rPr>
      <w:rFonts w:asciiTheme="minorHAnsi" w:hAnsiTheme="minorHAnsi"/>
      <w:color w:val="E83F35" w:themeColor="accent1"/>
      <w:vertAlign w:val="superscript"/>
    </w:rPr>
  </w:style>
  <w:style w:type="paragraph" w:styleId="Textonotapie">
    <w:name w:val="footnote text"/>
    <w:aliases w:val="~FootnoteText"/>
    <w:basedOn w:val="Sinespaciado"/>
    <w:uiPriority w:val="19"/>
    <w:semiHidden/>
    <w:rsid w:val="000F5519"/>
    <w:pPr>
      <w:spacing w:before="60"/>
      <w:ind w:left="284" w:hanging="284"/>
    </w:pPr>
    <w:rPr>
      <w:color w:val="707276" w:themeColor="text2"/>
      <w:sz w:val="16"/>
    </w:rPr>
  </w:style>
  <w:style w:type="paragraph" w:styleId="Encabezado">
    <w:name w:val="header"/>
    <w:aliases w:val="~Header"/>
    <w:basedOn w:val="Sinespaciado"/>
    <w:link w:val="EncabezadoCar"/>
    <w:uiPriority w:val="19"/>
    <w:rsid w:val="000A0D97"/>
    <w:pPr>
      <w:jc w:val="right"/>
    </w:pPr>
    <w:rPr>
      <w:color w:val="707276" w:themeColor="text2"/>
    </w:rPr>
  </w:style>
  <w:style w:type="character" w:customStyle="1" w:styleId="EncabezadoCar">
    <w:name w:val="Encabezado Car"/>
    <w:aliases w:val="~Header Car"/>
    <w:basedOn w:val="Fuentedeprrafopredeter"/>
    <w:link w:val="Encabezado"/>
    <w:uiPriority w:val="19"/>
    <w:rsid w:val="00D11D2A"/>
    <w:rPr>
      <w:color w:val="707276" w:themeColor="text2"/>
    </w:rPr>
  </w:style>
  <w:style w:type="character" w:customStyle="1" w:styleId="Ttulo1Car">
    <w:name w:val="Título 1 Car"/>
    <w:aliases w:val="~SectionHeading Car"/>
    <w:basedOn w:val="Fuentedeprrafopredeter"/>
    <w:link w:val="Ttulo1"/>
    <w:uiPriority w:val="1"/>
    <w:rsid w:val="00D11D2A"/>
    <w:rPr>
      <w:rFonts w:ascii="Arial" w:hAnsi="Arial"/>
      <w:caps/>
      <w:color w:val="E83F35" w:themeColor="accent1"/>
      <w:sz w:val="40"/>
      <w:szCs w:val="180"/>
    </w:rPr>
  </w:style>
  <w:style w:type="character" w:customStyle="1" w:styleId="Ttulo2Car">
    <w:name w:val="Título 2 Car"/>
    <w:aliases w:val="~SubHeading Car"/>
    <w:basedOn w:val="Fuentedeprrafopredeter"/>
    <w:link w:val="Ttulo2"/>
    <w:uiPriority w:val="1"/>
    <w:rsid w:val="00D11D2A"/>
    <w:rPr>
      <w:rFonts w:ascii="Arial" w:hAnsi="Arial"/>
      <w:color w:val="E83F35" w:themeColor="accent1"/>
      <w:sz w:val="36"/>
      <w:szCs w:val="16"/>
    </w:rPr>
  </w:style>
  <w:style w:type="character" w:customStyle="1" w:styleId="Ttulo3Car">
    <w:name w:val="Título 3 Car"/>
    <w:aliases w:val="~MinorSubHeading Car"/>
    <w:basedOn w:val="Fuentedeprrafopredeter"/>
    <w:link w:val="Ttulo3"/>
    <w:uiPriority w:val="1"/>
    <w:rsid w:val="00D11D2A"/>
    <w:rPr>
      <w:rFonts w:ascii="Arial" w:hAnsi="Arial"/>
      <w:color w:val="E83F35" w:themeColor="accent1"/>
      <w:sz w:val="30"/>
      <w:szCs w:val="14"/>
    </w:rPr>
  </w:style>
  <w:style w:type="character" w:customStyle="1" w:styleId="Ttulo4Car">
    <w:name w:val="Título 4 Car"/>
    <w:aliases w:val="~Level4Heading Car"/>
    <w:basedOn w:val="Fuentedeprrafopredeter"/>
    <w:link w:val="Ttulo4"/>
    <w:uiPriority w:val="1"/>
    <w:rsid w:val="00D11D2A"/>
    <w:rPr>
      <w:rFonts w:ascii="Arial" w:hAnsi="Arial"/>
      <w:color w:val="007B87" w:themeColor="accent3"/>
      <w:sz w:val="24"/>
      <w:szCs w:val="14"/>
    </w:rPr>
  </w:style>
  <w:style w:type="character" w:customStyle="1" w:styleId="Ttulo5Car">
    <w:name w:val="Título 5 Car"/>
    <w:basedOn w:val="Fuentedeprrafopredeter"/>
    <w:link w:val="Ttulo5"/>
    <w:uiPriority w:val="19"/>
    <w:semiHidden/>
    <w:rsid w:val="00D11D2A"/>
    <w:rPr>
      <w:rFonts w:asciiTheme="majorHAnsi" w:eastAsiaTheme="majorEastAsia" w:hAnsiTheme="majorHAnsi" w:cstheme="majorBidi"/>
    </w:rPr>
  </w:style>
  <w:style w:type="character" w:customStyle="1" w:styleId="Ttulo6Car">
    <w:name w:val="Título 6 Car"/>
    <w:basedOn w:val="Fuentedeprrafopredeter"/>
    <w:link w:val="Ttulo6"/>
    <w:uiPriority w:val="19"/>
    <w:semiHidden/>
    <w:rsid w:val="00D11D2A"/>
    <w:rPr>
      <w:rFonts w:asciiTheme="majorHAnsi" w:eastAsiaTheme="majorEastAsia" w:hAnsiTheme="majorHAnsi" w:cstheme="majorBidi"/>
      <w:i/>
      <w:iCs/>
    </w:rPr>
  </w:style>
  <w:style w:type="character" w:customStyle="1" w:styleId="Ttulo7Car">
    <w:name w:val="Título 7 Car"/>
    <w:basedOn w:val="Fuentedeprrafopredeter"/>
    <w:link w:val="Ttulo7"/>
    <w:uiPriority w:val="19"/>
    <w:semiHidden/>
    <w:rsid w:val="00D11D2A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19"/>
    <w:semiHidden/>
    <w:rsid w:val="00D11D2A"/>
    <w:rPr>
      <w:rFonts w:asciiTheme="majorHAnsi" w:eastAsiaTheme="majorEastAsia" w:hAnsiTheme="majorHAnsi" w:cstheme="majorBidi"/>
    </w:rPr>
  </w:style>
  <w:style w:type="character" w:customStyle="1" w:styleId="Ttulo9Car">
    <w:name w:val="Título 9 Car"/>
    <w:basedOn w:val="Fuentedeprrafopredeter"/>
    <w:link w:val="Ttulo9"/>
    <w:uiPriority w:val="19"/>
    <w:semiHidden/>
    <w:rsid w:val="00D11D2A"/>
    <w:rPr>
      <w:rFonts w:asciiTheme="majorHAnsi" w:eastAsiaTheme="majorEastAsia" w:hAnsiTheme="majorHAnsi" w:cstheme="majorBidi"/>
      <w:i/>
      <w:iCs/>
    </w:rPr>
  </w:style>
  <w:style w:type="character" w:styleId="Hipervnculo">
    <w:name w:val="Hyperlink"/>
    <w:aliases w:val="~HyperLink"/>
    <w:basedOn w:val="Fuentedeprrafopredeter"/>
    <w:uiPriority w:val="99"/>
    <w:rsid w:val="00887447"/>
    <w:rPr>
      <w:color w:val="007B87" w:themeColor="accent3"/>
      <w:u w:val="single"/>
    </w:rPr>
  </w:style>
  <w:style w:type="table" w:styleId="Sombreadomedio2-nfasis1">
    <w:name w:val="Medium Shading 2 Accent 1"/>
    <w:basedOn w:val="Tablanormal"/>
    <w:uiPriority w:val="64"/>
    <w:rsid w:val="00EE64AA"/>
    <w:pPr>
      <w:spacing w:after="0" w:line="240" w:lineRule="auto"/>
    </w:pPr>
    <w:rPr>
      <w:color w:val="808080" w:themeColor="background1" w:themeShade="8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3F3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3F3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3F3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EE64AA"/>
    <w:rPr>
      <w:color w:val="808080"/>
    </w:rPr>
  </w:style>
  <w:style w:type="table" w:styleId="Tablaconcuadrcula">
    <w:name w:val="Table Grid"/>
    <w:basedOn w:val="Tablanormal"/>
    <w:rsid w:val="00162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aliases w:val="~SectionHeadings"/>
    <w:basedOn w:val="Sinespaciado"/>
    <w:next w:val="Normal"/>
    <w:uiPriority w:val="39"/>
    <w:rsid w:val="00350346"/>
    <w:pPr>
      <w:tabs>
        <w:tab w:val="left" w:pos="482"/>
        <w:tab w:val="right" w:pos="7825"/>
      </w:tabs>
      <w:spacing w:before="240" w:after="20"/>
      <w:ind w:left="482" w:right="403" w:hanging="482"/>
    </w:pPr>
    <w:rPr>
      <w:rFonts w:asciiTheme="majorHAnsi" w:eastAsiaTheme="minorEastAsia" w:hAnsiTheme="majorHAnsi"/>
      <w:noProof/>
      <w:sz w:val="24"/>
      <w:szCs w:val="24"/>
      <w:lang w:eastAsia="en-GB"/>
    </w:rPr>
  </w:style>
  <w:style w:type="paragraph" w:styleId="TDC2">
    <w:name w:val="toc 2"/>
    <w:aliases w:val="~SubHeadings"/>
    <w:basedOn w:val="TDC1"/>
    <w:next w:val="Normal"/>
    <w:uiPriority w:val="39"/>
    <w:rsid w:val="00174D51"/>
    <w:pPr>
      <w:tabs>
        <w:tab w:val="clear" w:pos="482"/>
        <w:tab w:val="left" w:pos="992"/>
      </w:tabs>
      <w:spacing w:before="20"/>
      <w:ind w:left="992" w:hanging="510"/>
    </w:pPr>
    <w:rPr>
      <w:color w:val="707276" w:themeColor="text2"/>
      <w:sz w:val="20"/>
      <w:szCs w:val="20"/>
    </w:rPr>
  </w:style>
  <w:style w:type="paragraph" w:styleId="TDC3">
    <w:name w:val="toc 3"/>
    <w:aliases w:val="~MinorSubheadings"/>
    <w:basedOn w:val="TDC2"/>
    <w:next w:val="Normal"/>
    <w:uiPriority w:val="19"/>
    <w:rsid w:val="00DC268C"/>
    <w:pPr>
      <w:tabs>
        <w:tab w:val="clear" w:pos="992"/>
        <w:tab w:val="left" w:pos="1701"/>
      </w:tabs>
      <w:ind w:left="1701" w:hanging="737"/>
    </w:pPr>
    <w:rPr>
      <w:sz w:val="18"/>
    </w:rPr>
  </w:style>
  <w:style w:type="paragraph" w:styleId="TDC4">
    <w:name w:val="toc 4"/>
    <w:aliases w:val="~FourthHeadLevel"/>
    <w:basedOn w:val="TDC3"/>
    <w:next w:val="Normal"/>
    <w:uiPriority w:val="19"/>
    <w:rsid w:val="00174D51"/>
    <w:pPr>
      <w:tabs>
        <w:tab w:val="clear" w:pos="1701"/>
        <w:tab w:val="left" w:pos="2098"/>
      </w:tabs>
      <w:ind w:left="2098" w:hanging="794"/>
    </w:pPr>
  </w:style>
  <w:style w:type="paragraph" w:styleId="TDC5">
    <w:name w:val="toc 5"/>
    <w:aliases w:val="~ExecSumHeading"/>
    <w:basedOn w:val="TDC1"/>
    <w:next w:val="Normal"/>
    <w:uiPriority w:val="39"/>
    <w:rsid w:val="00350346"/>
    <w:pPr>
      <w:tabs>
        <w:tab w:val="clear" w:pos="482"/>
      </w:tabs>
      <w:ind w:left="0" w:firstLine="0"/>
    </w:pPr>
  </w:style>
  <w:style w:type="paragraph" w:styleId="TDC6">
    <w:name w:val="toc 6"/>
    <w:aliases w:val="~AppDivider"/>
    <w:basedOn w:val="Normal"/>
    <w:next w:val="Normal"/>
    <w:uiPriority w:val="19"/>
    <w:rsid w:val="0054473A"/>
    <w:pPr>
      <w:tabs>
        <w:tab w:val="left" w:pos="482"/>
        <w:tab w:val="right" w:pos="7881"/>
      </w:tabs>
      <w:spacing w:before="240" w:after="20" w:line="240" w:lineRule="auto"/>
      <w:ind w:left="482" w:right="403" w:hanging="482"/>
      <w:jc w:val="left"/>
    </w:pPr>
    <w:rPr>
      <w:rFonts w:asciiTheme="majorHAnsi" w:eastAsiaTheme="minorEastAsia" w:hAnsiTheme="majorHAnsi"/>
      <w:noProof/>
      <w:sz w:val="24"/>
      <w:szCs w:val="24"/>
      <w:lang w:eastAsia="en-GB"/>
    </w:rPr>
  </w:style>
  <w:style w:type="paragraph" w:styleId="TDC7">
    <w:name w:val="toc 7"/>
    <w:aliases w:val="~AppHeadings"/>
    <w:basedOn w:val="TDC1"/>
    <w:next w:val="Normal"/>
    <w:uiPriority w:val="19"/>
    <w:rsid w:val="00057EF6"/>
    <w:pPr>
      <w:tabs>
        <w:tab w:val="clear" w:pos="482"/>
        <w:tab w:val="left" w:pos="1276"/>
      </w:tabs>
      <w:ind w:left="1276" w:hanging="1276"/>
    </w:pPr>
    <w:rPr>
      <w:szCs w:val="20"/>
    </w:rPr>
  </w:style>
  <w:style w:type="paragraph" w:styleId="TDC8">
    <w:name w:val="toc 8"/>
    <w:aliases w:val="~AppSubHeadings"/>
    <w:basedOn w:val="TDC2"/>
    <w:next w:val="Normal"/>
    <w:uiPriority w:val="19"/>
    <w:rsid w:val="00174D51"/>
    <w:pPr>
      <w:tabs>
        <w:tab w:val="left" w:pos="850"/>
      </w:tabs>
      <w:ind w:left="850" w:hanging="425"/>
    </w:pPr>
  </w:style>
  <w:style w:type="paragraph" w:styleId="TDC9">
    <w:name w:val="toc 9"/>
    <w:basedOn w:val="Normal"/>
    <w:next w:val="Normal"/>
    <w:uiPriority w:val="19"/>
    <w:semiHidden/>
    <w:rsid w:val="00EE64AA"/>
    <w:pPr>
      <w:spacing w:after="100"/>
      <w:ind w:left="1600"/>
    </w:pPr>
    <w:rPr>
      <w:rFonts w:ascii="Arial" w:hAnsi="Arial"/>
    </w:rPr>
  </w:style>
  <w:style w:type="paragraph" w:styleId="TtulodeTDC">
    <w:name w:val="TOC Heading"/>
    <w:basedOn w:val="TDC6"/>
    <w:next w:val="Normal"/>
    <w:uiPriority w:val="19"/>
    <w:semiHidden/>
    <w:qFormat/>
    <w:rsid w:val="000E4F6C"/>
  </w:style>
  <w:style w:type="table" w:customStyle="1" w:styleId="PutClientName">
    <w:name w:val="~PutClientName"/>
    <w:basedOn w:val="Tablanormal"/>
    <w:uiPriority w:val="99"/>
    <w:rsid w:val="0016210E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styleId="Revisin">
    <w:name w:val="Revision"/>
    <w:hidden/>
    <w:uiPriority w:val="99"/>
    <w:semiHidden/>
    <w:rsid w:val="00EE64AA"/>
    <w:pPr>
      <w:spacing w:after="0" w:line="240" w:lineRule="auto"/>
    </w:pPr>
    <w:rPr>
      <w:color w:val="808080" w:themeColor="background1" w:themeShade="80"/>
    </w:rPr>
  </w:style>
  <w:style w:type="paragraph" w:styleId="Textoindependiente">
    <w:name w:val="Body Text"/>
    <w:basedOn w:val="Normal"/>
    <w:link w:val="TextoindependienteCar"/>
    <w:uiPriority w:val="19"/>
    <w:semiHidden/>
    <w:rsid w:val="00BA15A2"/>
    <w:rPr>
      <w:rFonts w:ascii="Garamond" w:eastAsia="Times" w:hAnsi="Garamond" w:cs="Times New Roman"/>
      <w:color w:val="auto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9"/>
    <w:semiHidden/>
    <w:rsid w:val="00D11D2A"/>
    <w:rPr>
      <w:rFonts w:ascii="Garamond" w:eastAsia="Times" w:hAnsi="Garamond" w:cs="Times New Roman"/>
      <w:color w:val="auto"/>
      <w:sz w:val="24"/>
    </w:rPr>
  </w:style>
  <w:style w:type="paragraph" w:customStyle="1" w:styleId="ParagraphBullet">
    <w:name w:val="Paragraph Bullet"/>
    <w:basedOn w:val="Normal"/>
    <w:uiPriority w:val="19"/>
    <w:semiHidden/>
    <w:rsid w:val="007F007E"/>
    <w:pPr>
      <w:tabs>
        <w:tab w:val="num" w:pos="425"/>
      </w:tabs>
      <w:ind w:left="425" w:hanging="425"/>
    </w:pPr>
    <w:rPr>
      <w:rFonts w:ascii="Garamond" w:eastAsia="Times" w:hAnsi="Garamond" w:cs="Times New Roman"/>
      <w:color w:val="auto"/>
      <w:sz w:val="24"/>
    </w:rPr>
  </w:style>
  <w:style w:type="paragraph" w:customStyle="1" w:styleId="SourceText">
    <w:name w:val="Source Text"/>
    <w:basedOn w:val="Ttulo5"/>
    <w:uiPriority w:val="19"/>
    <w:semiHidden/>
    <w:rsid w:val="007F007E"/>
    <w:pPr>
      <w:keepLines w:val="0"/>
      <w:spacing w:before="120" w:after="240"/>
    </w:pPr>
    <w:rPr>
      <w:rFonts w:ascii="Arial" w:eastAsia="Times" w:hAnsi="Arial" w:cs="Arial"/>
      <w:iCs/>
      <w:color w:val="auto"/>
      <w:sz w:val="16"/>
    </w:rPr>
  </w:style>
  <w:style w:type="paragraph" w:customStyle="1" w:styleId="TableText">
    <w:name w:val="Table Text"/>
    <w:basedOn w:val="Normal"/>
    <w:uiPriority w:val="19"/>
    <w:semiHidden/>
    <w:rsid w:val="007F007E"/>
    <w:pPr>
      <w:keepNext/>
      <w:jc w:val="center"/>
    </w:pPr>
    <w:rPr>
      <w:rFonts w:ascii="Arial" w:eastAsia="Times" w:hAnsi="Arial"/>
      <w:color w:val="auto"/>
    </w:rPr>
  </w:style>
  <w:style w:type="paragraph" w:customStyle="1" w:styleId="SecHeadNumber">
    <w:name w:val="~SecHeadNumber"/>
    <w:basedOn w:val="Normal"/>
    <w:uiPriority w:val="19"/>
    <w:semiHidden/>
    <w:qFormat/>
    <w:rsid w:val="005B0485"/>
    <w:pPr>
      <w:framePr w:wrap="around" w:vAnchor="page" w:hAnchor="page" w:x="852" w:y="852"/>
      <w:spacing w:before="0" w:line="192" w:lineRule="auto"/>
    </w:pPr>
    <w:rPr>
      <w:rFonts w:ascii="Arial" w:eastAsia="Arial" w:hAnsi="Arial" w:cs="Times New Roman"/>
      <w:b/>
      <w:outline/>
      <w:noProof/>
      <w:color w:val="8DD0D2" w:themeColor="accent2"/>
      <w:sz w:val="220"/>
      <w:szCs w:val="220"/>
      <w14:textOutline w14:w="12700" w14:cap="rnd" w14:cmpd="sng" w14:algn="ctr">
        <w14:solidFill>
          <w14:schemeClr w14:val="accent2"/>
        </w14:solidFill>
        <w14:prstDash w14:val="solid"/>
        <w14:bevel/>
      </w14:textOutline>
      <w14:textFill>
        <w14:noFill/>
      </w14:textFill>
    </w:rPr>
  </w:style>
  <w:style w:type="paragraph" w:styleId="Tabladeilustraciones">
    <w:name w:val="table of figures"/>
    <w:basedOn w:val="Normal"/>
    <w:next w:val="Normal"/>
    <w:uiPriority w:val="99"/>
    <w:rsid w:val="00145133"/>
    <w:pPr>
      <w:tabs>
        <w:tab w:val="left" w:pos="1134"/>
        <w:tab w:val="right" w:pos="7825"/>
      </w:tabs>
      <w:spacing w:before="20" w:after="20" w:line="240" w:lineRule="auto"/>
      <w:ind w:left="1134" w:right="403" w:hanging="1134"/>
    </w:pPr>
    <w:rPr>
      <w:noProof/>
      <w:color w:val="707276" w:themeColor="text2"/>
    </w:rPr>
  </w:style>
  <w:style w:type="paragraph" w:customStyle="1" w:styleId="IconText">
    <w:name w:val="~IconText"/>
    <w:uiPriority w:val="5"/>
    <w:rsid w:val="0060476B"/>
    <w:pPr>
      <w:spacing w:after="0" w:line="216" w:lineRule="auto"/>
      <w:jc w:val="center"/>
    </w:pPr>
    <w:rPr>
      <w:rFonts w:ascii="Open Sans Extrabold" w:eastAsia="Open Sans Extrabold" w:hAnsi="Open Sans Extrabold" w:cs="Open Sans Extrabold"/>
      <w:color w:val="FFFFFF" w:themeColor="background1"/>
      <w:kern w:val="24"/>
      <w:sz w:val="40"/>
      <w:szCs w:val="40"/>
    </w:rPr>
  </w:style>
  <w:style w:type="paragraph" w:styleId="Prrafodelista">
    <w:name w:val="List Paragraph"/>
    <w:basedOn w:val="Normal"/>
    <w:uiPriority w:val="19"/>
    <w:semiHidden/>
    <w:qFormat/>
    <w:rsid w:val="005D4C3B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23C7C"/>
    <w:pPr>
      <w:spacing w:before="0"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23C7C"/>
  </w:style>
  <w:style w:type="character" w:styleId="Refdenotaalfinal">
    <w:name w:val="endnote reference"/>
    <w:basedOn w:val="Fuentedeprrafopredeter"/>
    <w:uiPriority w:val="99"/>
    <w:semiHidden/>
    <w:unhideWhenUsed/>
    <w:rsid w:val="00823C7C"/>
    <w:rPr>
      <w:vertAlign w:val="superscript"/>
    </w:rPr>
  </w:style>
  <w:style w:type="paragraph" w:customStyle="1" w:styleId="AnxBodyTextNum">
    <w:name w:val="~AnxBodyTextNum"/>
    <w:basedOn w:val="Normal"/>
    <w:uiPriority w:val="3"/>
    <w:rsid w:val="00F34BCA"/>
    <w:rPr>
      <w:rFonts w:ascii="Arial" w:hAnsi="Arial"/>
    </w:rPr>
  </w:style>
  <w:style w:type="paragraph" w:customStyle="1" w:styleId="ContactName">
    <w:name w:val="~ContactName"/>
    <w:basedOn w:val="Normal"/>
    <w:uiPriority w:val="19"/>
    <w:rsid w:val="00CE4F4D"/>
    <w:pPr>
      <w:spacing w:before="180" w:after="0" w:line="288" w:lineRule="auto"/>
    </w:pPr>
    <w:rPr>
      <w:color w:val="E83F35" w:themeColor="accent1"/>
    </w:rPr>
  </w:style>
  <w:style w:type="paragraph" w:customStyle="1" w:styleId="ContactDetails">
    <w:name w:val="~ContactDetails"/>
    <w:basedOn w:val="Sinespaciado"/>
    <w:uiPriority w:val="19"/>
    <w:rsid w:val="00F77A06"/>
    <w:pPr>
      <w:spacing w:before="20" w:after="20"/>
    </w:pPr>
    <w:rPr>
      <w:sz w:val="16"/>
      <w:szCs w:val="16"/>
    </w:rPr>
  </w:style>
  <w:style w:type="paragraph" w:customStyle="1" w:styleId="Disclaimer">
    <w:name w:val="~Disclaimer"/>
    <w:basedOn w:val="Normal"/>
    <w:uiPriority w:val="19"/>
    <w:rsid w:val="00B5202C"/>
    <w:pPr>
      <w:spacing w:before="0" w:after="0" w:line="288" w:lineRule="auto"/>
    </w:pPr>
    <w:rPr>
      <w:sz w:val="16"/>
      <w:szCs w:val="16"/>
    </w:rPr>
  </w:style>
  <w:style w:type="paragraph" w:customStyle="1" w:styleId="DraftRef">
    <w:name w:val="~DraftRef"/>
    <w:basedOn w:val="Encabezado"/>
    <w:uiPriority w:val="19"/>
    <w:semiHidden/>
    <w:qFormat/>
    <w:rsid w:val="006D0186"/>
    <w:pPr>
      <w:jc w:val="left"/>
    </w:pPr>
    <w:rPr>
      <w:b/>
      <w:caps/>
      <w:color w:val="E83F35" w:themeColor="accent1"/>
    </w:rPr>
  </w:style>
  <w:style w:type="table" w:customStyle="1" w:styleId="Frontier">
    <w:name w:val="~Frontier"/>
    <w:basedOn w:val="Tablanormal"/>
    <w:uiPriority w:val="99"/>
    <w:rsid w:val="00E85432"/>
    <w:pPr>
      <w:keepNext/>
      <w:spacing w:after="0" w:line="240" w:lineRule="auto"/>
    </w:pPr>
    <w:tblPr>
      <w:tblStyleRowBandSize w:val="1"/>
      <w:tblBorders>
        <w:top w:val="single" w:sz="2" w:space="0" w:color="007B87" w:themeColor="accent3"/>
        <w:bottom w:val="single" w:sz="2" w:space="0" w:color="007B87" w:themeColor="accent3"/>
        <w:insideH w:val="single" w:sz="2" w:space="0" w:color="D1DBD2" w:themeColor="background2"/>
      </w:tblBorders>
    </w:tblPr>
    <w:trPr>
      <w:cantSplit/>
    </w:trPr>
    <w:tblStylePr w:type="firstRow">
      <w:tblPr/>
      <w:tcPr>
        <w:tcBorders>
          <w:top w:val="single" w:sz="2" w:space="0" w:color="007B87" w:themeColor="accent3"/>
          <w:left w:val="nil"/>
          <w:bottom w:val="single" w:sz="2" w:space="0" w:color="007B87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i w:val="0"/>
        <w:color w:val="007B87" w:themeColor="accent3"/>
      </w:rPr>
      <w:tblPr/>
      <w:tcPr>
        <w:tcBorders>
          <w:top w:val="single" w:sz="2" w:space="0" w:color="007B87" w:themeColor="accent3"/>
          <w:left w:val="nil"/>
          <w:bottom w:val="single" w:sz="2" w:space="0" w:color="007B87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644069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color w:val="auto"/>
      <w:sz w:val="24"/>
      <w:szCs w:val="24"/>
      <w:lang w:eastAsia="en-GB"/>
    </w:rPr>
  </w:style>
  <w:style w:type="paragraph" w:customStyle="1" w:styleId="HighlightBoxHead">
    <w:name w:val="~HighlightBoxHead"/>
    <w:basedOn w:val="Sinespaciado"/>
    <w:uiPriority w:val="5"/>
    <w:rsid w:val="005A4B97"/>
    <w:pPr>
      <w:keepNext/>
      <w:spacing w:before="80"/>
    </w:pPr>
    <w:rPr>
      <w:rFonts w:asciiTheme="majorHAnsi" w:hAnsiTheme="majorHAnsi" w:cstheme="majorHAnsi"/>
      <w:color w:val="007B87" w:themeColor="accent3"/>
      <w:sz w:val="32"/>
      <w:szCs w:val="32"/>
    </w:rPr>
  </w:style>
  <w:style w:type="paragraph" w:customStyle="1" w:styleId="HighlightBoxText">
    <w:name w:val="~HighlightBoxText"/>
    <w:basedOn w:val="Normal"/>
    <w:uiPriority w:val="5"/>
    <w:rsid w:val="00D1424C"/>
    <w:pPr>
      <w:spacing w:line="240" w:lineRule="auto"/>
      <w:jc w:val="left"/>
    </w:pPr>
    <w:rPr>
      <w:rFonts w:eastAsia="Times New Roman" w:cs="Times New Roman"/>
      <w:sz w:val="28"/>
    </w:rPr>
  </w:style>
  <w:style w:type="paragraph" w:customStyle="1" w:styleId="KeyMsgHead">
    <w:name w:val="~KeyMsgHead"/>
    <w:basedOn w:val="Normal"/>
    <w:uiPriority w:val="3"/>
    <w:qFormat/>
    <w:rsid w:val="00567506"/>
    <w:pPr>
      <w:keepNext/>
      <w:spacing w:line="240" w:lineRule="auto"/>
      <w:ind w:right="-215"/>
      <w:jc w:val="left"/>
    </w:pPr>
    <w:rPr>
      <w:rFonts w:eastAsia="Times New Roman" w:cs="Times New Roman"/>
      <w:b/>
      <w:bCs/>
      <w:caps/>
      <w:color w:val="007B87" w:themeColor="accent3"/>
    </w:rPr>
  </w:style>
  <w:style w:type="paragraph" w:customStyle="1" w:styleId="KeyMsgBoxText">
    <w:name w:val="~KeyMsgBoxText"/>
    <w:basedOn w:val="Normal"/>
    <w:uiPriority w:val="5"/>
    <w:qFormat/>
    <w:rsid w:val="0017538E"/>
    <w:pPr>
      <w:spacing w:after="0"/>
      <w:ind w:left="85" w:right="85"/>
      <w:jc w:val="left"/>
    </w:pPr>
  </w:style>
  <w:style w:type="paragraph" w:customStyle="1" w:styleId="KeyMsgBullet1">
    <w:name w:val="~KeyMsgBullet1"/>
    <w:basedOn w:val="ParaBullet1"/>
    <w:uiPriority w:val="5"/>
    <w:qFormat/>
    <w:rsid w:val="004D37D2"/>
    <w:pPr>
      <w:tabs>
        <w:tab w:val="clear" w:pos="340"/>
        <w:tab w:val="left" w:pos="369"/>
      </w:tabs>
      <w:spacing w:before="60" w:after="60" w:line="288" w:lineRule="auto"/>
      <w:ind w:left="369" w:right="85" w:hanging="284"/>
      <w:jc w:val="left"/>
    </w:pPr>
  </w:style>
  <w:style w:type="paragraph" w:customStyle="1" w:styleId="QuoteSource">
    <w:name w:val="~QuoteSource"/>
    <w:basedOn w:val="Source"/>
    <w:uiPriority w:val="3"/>
    <w:qFormat/>
    <w:rsid w:val="001E633B"/>
    <w:pPr>
      <w:tabs>
        <w:tab w:val="clear" w:pos="709"/>
      </w:tabs>
      <w:spacing w:after="120"/>
      <w:ind w:left="0" w:firstLine="0"/>
    </w:pPr>
    <w:rPr>
      <w:sz w:val="18"/>
    </w:rPr>
  </w:style>
  <w:style w:type="numbering" w:customStyle="1" w:styleId="SecListStyle0">
    <w:name w:val="~SecListStyle"/>
    <w:uiPriority w:val="99"/>
    <w:rsid w:val="00E608C3"/>
  </w:style>
  <w:style w:type="numbering" w:customStyle="1" w:styleId="AppListStyle">
    <w:name w:val="~AppListStyle"/>
    <w:uiPriority w:val="99"/>
    <w:rsid w:val="00A60B25"/>
    <w:pPr>
      <w:numPr>
        <w:numId w:val="2"/>
      </w:numPr>
    </w:pPr>
  </w:style>
  <w:style w:type="numbering" w:customStyle="1" w:styleId="SecListStyle">
    <w:name w:val="~SecListStyle"/>
    <w:next w:val="SecListStyle0"/>
    <w:uiPriority w:val="99"/>
    <w:rsid w:val="00A60B25"/>
    <w:pPr>
      <w:numPr>
        <w:numId w:val="3"/>
      </w:numPr>
    </w:pPr>
  </w:style>
  <w:style w:type="character" w:customStyle="1" w:styleId="Teal">
    <w:name w:val="~Teal"/>
    <w:basedOn w:val="Fuentedeprrafopredeter"/>
    <w:uiPriority w:val="5"/>
    <w:qFormat/>
    <w:rsid w:val="003F3DF5"/>
    <w:rPr>
      <w:color w:val="007B87" w:themeColor="accent3"/>
    </w:rPr>
  </w:style>
  <w:style w:type="character" w:customStyle="1" w:styleId="Red">
    <w:name w:val="~Red"/>
    <w:basedOn w:val="Teal"/>
    <w:uiPriority w:val="5"/>
    <w:qFormat/>
    <w:rsid w:val="003F3DF5"/>
    <w:rPr>
      <w:color w:val="E83F35" w:themeColor="accent1"/>
    </w:rPr>
  </w:style>
  <w:style w:type="paragraph" w:customStyle="1" w:styleId="HighlightIconBoxHead">
    <w:name w:val="~HighlightIconBoxHead"/>
    <w:basedOn w:val="Normal"/>
    <w:uiPriority w:val="5"/>
    <w:qFormat/>
    <w:rsid w:val="003D1B19"/>
    <w:pPr>
      <w:spacing w:before="0" w:after="0" w:line="288" w:lineRule="auto"/>
      <w:jc w:val="left"/>
    </w:pPr>
    <w:rPr>
      <w:rFonts w:asciiTheme="majorHAnsi" w:hAnsiTheme="majorHAnsi" w:cstheme="majorHAnsi"/>
      <w:color w:val="007B87" w:themeColor="accent3"/>
      <w:sz w:val="36"/>
      <w:szCs w:val="36"/>
    </w:rPr>
  </w:style>
  <w:style w:type="paragraph" w:customStyle="1" w:styleId="CVName">
    <w:name w:val="~CVName"/>
    <w:basedOn w:val="Sinespaciado"/>
    <w:uiPriority w:val="4"/>
    <w:qFormat/>
    <w:rsid w:val="009E31F1"/>
    <w:pPr>
      <w:keepNext/>
    </w:pPr>
    <w:rPr>
      <w:color w:val="007B87" w:themeColor="accent3"/>
      <w:sz w:val="40"/>
      <w:szCs w:val="40"/>
    </w:rPr>
  </w:style>
  <w:style w:type="paragraph" w:customStyle="1" w:styleId="CVRole">
    <w:name w:val="~CVRole"/>
    <w:basedOn w:val="Normal"/>
    <w:next w:val="CVContact"/>
    <w:uiPriority w:val="4"/>
    <w:qFormat/>
    <w:rsid w:val="00B5202C"/>
    <w:pPr>
      <w:spacing w:before="240" w:after="0" w:line="240" w:lineRule="auto"/>
      <w:ind w:left="142"/>
    </w:pPr>
    <w:rPr>
      <w:color w:val="FFFFFF" w:themeColor="background1"/>
      <w:sz w:val="24"/>
      <w:szCs w:val="24"/>
    </w:rPr>
  </w:style>
  <w:style w:type="paragraph" w:customStyle="1" w:styleId="CVContact">
    <w:name w:val="~CVContact"/>
    <w:basedOn w:val="Normal"/>
    <w:uiPriority w:val="4"/>
    <w:qFormat/>
    <w:rsid w:val="00CE4F4D"/>
    <w:pPr>
      <w:spacing w:before="180" w:after="0" w:line="240" w:lineRule="auto"/>
      <w:ind w:left="142"/>
      <w:jc w:val="left"/>
    </w:pPr>
    <w:rPr>
      <w:color w:val="FFFFFF" w:themeColor="background1"/>
      <w:sz w:val="16"/>
      <w:szCs w:val="16"/>
    </w:rPr>
  </w:style>
  <w:style w:type="paragraph" w:customStyle="1" w:styleId="CVIntro">
    <w:name w:val="~CVIntro"/>
    <w:basedOn w:val="Normal"/>
    <w:next w:val="CVText"/>
    <w:uiPriority w:val="4"/>
    <w:qFormat/>
    <w:rsid w:val="00E74C5E"/>
    <w:pPr>
      <w:ind w:left="28"/>
    </w:pPr>
    <w:rPr>
      <w:color w:val="707276" w:themeColor="text2"/>
      <w:sz w:val="28"/>
    </w:rPr>
  </w:style>
  <w:style w:type="paragraph" w:customStyle="1" w:styleId="CVHead">
    <w:name w:val="~CVHead"/>
    <w:basedOn w:val="Sinespaciado"/>
    <w:next w:val="CVText"/>
    <w:uiPriority w:val="4"/>
    <w:qFormat/>
    <w:rsid w:val="003D1B19"/>
    <w:pPr>
      <w:spacing w:before="240"/>
    </w:pPr>
    <w:rPr>
      <w:color w:val="E83F35" w:themeColor="accent1"/>
      <w:sz w:val="30"/>
    </w:rPr>
  </w:style>
  <w:style w:type="paragraph" w:customStyle="1" w:styleId="CVText">
    <w:name w:val="~CVText"/>
    <w:basedOn w:val="Normal"/>
    <w:uiPriority w:val="4"/>
    <w:qFormat/>
    <w:rsid w:val="00E74C5E"/>
  </w:style>
  <w:style w:type="paragraph" w:customStyle="1" w:styleId="CVSubHead">
    <w:name w:val="~CVSubHead"/>
    <w:basedOn w:val="Normal"/>
    <w:next w:val="Normal"/>
    <w:uiPriority w:val="4"/>
    <w:qFormat/>
    <w:rsid w:val="00B5202C"/>
    <w:pPr>
      <w:spacing w:after="0" w:line="240" w:lineRule="auto"/>
      <w:jc w:val="left"/>
    </w:pPr>
    <w:rPr>
      <w:b/>
      <w:color w:val="66B0B7" w:themeColor="accent6"/>
    </w:rPr>
  </w:style>
  <w:style w:type="paragraph" w:customStyle="1" w:styleId="CSHead">
    <w:name w:val="~CSHead"/>
    <w:basedOn w:val="Normal"/>
    <w:next w:val="CVText"/>
    <w:uiPriority w:val="4"/>
    <w:qFormat/>
    <w:rsid w:val="003D1B19"/>
    <w:pPr>
      <w:spacing w:before="180" w:after="0" w:line="288" w:lineRule="auto"/>
      <w:jc w:val="left"/>
    </w:pPr>
    <w:rPr>
      <w:color w:val="E83F35" w:themeColor="accent1"/>
      <w:sz w:val="44"/>
      <w:szCs w:val="44"/>
    </w:rPr>
  </w:style>
  <w:style w:type="paragraph" w:customStyle="1" w:styleId="CSSubHead">
    <w:name w:val="~CSSubHead"/>
    <w:basedOn w:val="Normal"/>
    <w:uiPriority w:val="4"/>
    <w:qFormat/>
    <w:rsid w:val="003D1B19"/>
    <w:pPr>
      <w:spacing w:after="0" w:line="240" w:lineRule="auto"/>
    </w:pPr>
    <w:rPr>
      <w:rFonts w:asciiTheme="majorHAnsi" w:hAnsiTheme="majorHAnsi" w:cstheme="minorBidi"/>
      <w:color w:val="E83F35" w:themeColor="accent1"/>
      <w:sz w:val="36"/>
      <w:szCs w:val="16"/>
    </w:rPr>
  </w:style>
  <w:style w:type="character" w:customStyle="1" w:styleId="Yellow">
    <w:name w:val="~Yellow"/>
    <w:basedOn w:val="Fuentedeprrafopredeter"/>
    <w:uiPriority w:val="5"/>
    <w:qFormat/>
    <w:rsid w:val="00057AD3"/>
    <w:rPr>
      <w:color w:val="EBC000" w:themeColor="accent4"/>
    </w:rPr>
  </w:style>
  <w:style w:type="paragraph" w:customStyle="1" w:styleId="ListBullet1">
    <w:name w:val="~ListBullet1"/>
    <w:basedOn w:val="Normal"/>
    <w:uiPriority w:val="3"/>
    <w:qFormat/>
    <w:rsid w:val="000B0AC9"/>
    <w:pPr>
      <w:numPr>
        <w:numId w:val="4"/>
      </w:numPr>
      <w:spacing w:before="60" w:after="60"/>
    </w:pPr>
  </w:style>
  <w:style w:type="paragraph" w:customStyle="1" w:styleId="ListBullet2">
    <w:name w:val="~ListBullet2"/>
    <w:basedOn w:val="ListBullet1"/>
    <w:uiPriority w:val="3"/>
    <w:qFormat/>
    <w:rsid w:val="000B0AC9"/>
    <w:pPr>
      <w:numPr>
        <w:ilvl w:val="1"/>
      </w:numPr>
    </w:pPr>
  </w:style>
  <w:style w:type="paragraph" w:customStyle="1" w:styleId="ListBullet3">
    <w:name w:val="~ListBullet3"/>
    <w:basedOn w:val="ListBullet2"/>
    <w:uiPriority w:val="3"/>
    <w:qFormat/>
    <w:rsid w:val="000B0AC9"/>
    <w:pPr>
      <w:numPr>
        <w:ilvl w:val="2"/>
      </w:numPr>
    </w:pPr>
  </w:style>
  <w:style w:type="paragraph" w:customStyle="1" w:styleId="ListNumBullet1">
    <w:name w:val="~ListNumBullet1"/>
    <w:basedOn w:val="ListBullet1"/>
    <w:uiPriority w:val="3"/>
    <w:qFormat/>
    <w:rsid w:val="00D11D2A"/>
    <w:pPr>
      <w:numPr>
        <w:numId w:val="23"/>
      </w:numPr>
    </w:pPr>
  </w:style>
  <w:style w:type="paragraph" w:customStyle="1" w:styleId="ListNumBullet2">
    <w:name w:val="~ListNumBullet2"/>
    <w:basedOn w:val="ListNumBullet1"/>
    <w:uiPriority w:val="3"/>
    <w:qFormat/>
    <w:rsid w:val="00A40C49"/>
    <w:pPr>
      <w:numPr>
        <w:ilvl w:val="1"/>
      </w:numPr>
    </w:pPr>
  </w:style>
  <w:style w:type="paragraph" w:customStyle="1" w:styleId="ListNumBullet3">
    <w:name w:val="~ListNumBullet3"/>
    <w:basedOn w:val="ListNumBullet2"/>
    <w:uiPriority w:val="3"/>
    <w:qFormat/>
    <w:rsid w:val="00A40C49"/>
    <w:pPr>
      <w:numPr>
        <w:ilvl w:val="2"/>
      </w:numPr>
    </w:pPr>
  </w:style>
  <w:style w:type="paragraph" w:customStyle="1" w:styleId="AnxParaNumBullet1">
    <w:name w:val="~AnxParaNumBullet1"/>
    <w:basedOn w:val="Normal"/>
    <w:uiPriority w:val="3"/>
    <w:qFormat/>
    <w:rsid w:val="0060111F"/>
  </w:style>
  <w:style w:type="paragraph" w:customStyle="1" w:styleId="AnxParaNumBullet2">
    <w:name w:val="~AnxParaNumBullet2"/>
    <w:basedOn w:val="Normal"/>
    <w:uiPriority w:val="3"/>
    <w:qFormat/>
    <w:rsid w:val="0060111F"/>
  </w:style>
  <w:style w:type="paragraph" w:customStyle="1" w:styleId="AnxParaNumBullet3">
    <w:name w:val="~AnxParaNumBullet3"/>
    <w:basedOn w:val="Normal"/>
    <w:uiPriority w:val="3"/>
    <w:qFormat/>
    <w:rsid w:val="0060111F"/>
  </w:style>
  <w:style w:type="numbering" w:customStyle="1" w:styleId="ListNumStyle">
    <w:name w:val="~ListNumStyle"/>
    <w:uiPriority w:val="99"/>
    <w:rsid w:val="00D11D2A"/>
    <w:pPr>
      <w:numPr>
        <w:numId w:val="7"/>
      </w:numPr>
    </w:pPr>
  </w:style>
  <w:style w:type="paragraph" w:customStyle="1" w:styleId="CSText">
    <w:name w:val="~CSText"/>
    <w:basedOn w:val="CVText"/>
    <w:uiPriority w:val="4"/>
    <w:qFormat/>
    <w:rsid w:val="003F75DB"/>
  </w:style>
  <w:style w:type="paragraph" w:customStyle="1" w:styleId="KeyMsgText">
    <w:name w:val="~KeyMsgText"/>
    <w:basedOn w:val="Normal"/>
    <w:uiPriority w:val="5"/>
    <w:qFormat/>
    <w:rsid w:val="00FD14E4"/>
    <w:pPr>
      <w:spacing w:after="0"/>
      <w:ind w:left="85" w:right="85"/>
      <w:jc w:val="left"/>
    </w:pPr>
    <w:rPr>
      <w:szCs w:val="20"/>
    </w:rPr>
  </w:style>
  <w:style w:type="paragraph" w:customStyle="1" w:styleId="Quote">
    <w:name w:val="~Quote"/>
    <w:basedOn w:val="Normal"/>
    <w:uiPriority w:val="3"/>
    <w:qFormat/>
    <w:rsid w:val="009476BD"/>
    <w:pPr>
      <w:spacing w:after="60"/>
      <w:ind w:left="1134" w:right="1134"/>
      <w:jc w:val="left"/>
    </w:pPr>
    <w:rPr>
      <w:rFonts w:eastAsia="Times New Roman" w:cs="Times New Roman"/>
      <w:i/>
      <w:sz w:val="20"/>
      <w:szCs w:val="20"/>
    </w:rPr>
  </w:style>
  <w:style w:type="numbering" w:customStyle="1" w:styleId="SeqParaListStyle">
    <w:name w:val="~SeqParaListStyle"/>
    <w:next w:val="SecListStyle"/>
    <w:uiPriority w:val="99"/>
    <w:rsid w:val="0082368E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t.org.mx/sites/default/files/pitfext270217119verpub_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rontier\Templates\Frontier%20Economics%20Standard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2C4352C4504E0A94E673B24F65E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64FB9-B7AE-4352-A1AE-AA91B4FAE367}"/>
      </w:docPartPr>
      <w:docPartBody>
        <w:p w:rsidR="009C448A" w:rsidRDefault="00013897">
          <w:pPr>
            <w:pStyle w:val="D42C4352C4504E0A94E673B24F65EC17"/>
          </w:pPr>
          <w:r w:rsidRPr="00D84319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B3EC2439D6B475590EA538822C20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351F8-E1F4-4B51-BFEE-7644E37301D0}"/>
      </w:docPartPr>
      <w:docPartBody>
        <w:p w:rsidR="009C448A" w:rsidRDefault="00013897">
          <w:pPr>
            <w:pStyle w:val="DB3EC2439D6B475590EA538822C20D1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font440">
    <w:altName w:val="Times New Roman"/>
    <w:panose1 w:val="00000000000000000000"/>
    <w:charset w:val="00"/>
    <w:family w:val="auto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 Extra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97"/>
    <w:rsid w:val="00013897"/>
    <w:rsid w:val="00026C52"/>
    <w:rsid w:val="000356F4"/>
    <w:rsid w:val="00070C7D"/>
    <w:rsid w:val="00140E07"/>
    <w:rsid w:val="00173851"/>
    <w:rsid w:val="002B3284"/>
    <w:rsid w:val="003301C4"/>
    <w:rsid w:val="003F6CA3"/>
    <w:rsid w:val="00446596"/>
    <w:rsid w:val="00515FCA"/>
    <w:rsid w:val="0052500B"/>
    <w:rsid w:val="00661230"/>
    <w:rsid w:val="007572F2"/>
    <w:rsid w:val="007C204D"/>
    <w:rsid w:val="00806F4F"/>
    <w:rsid w:val="00865754"/>
    <w:rsid w:val="008B20A0"/>
    <w:rsid w:val="008E3FF0"/>
    <w:rsid w:val="008F1A64"/>
    <w:rsid w:val="009B5D4F"/>
    <w:rsid w:val="009C3CCD"/>
    <w:rsid w:val="009C448A"/>
    <w:rsid w:val="00B80B6C"/>
    <w:rsid w:val="00C57D17"/>
    <w:rsid w:val="00C72184"/>
    <w:rsid w:val="00CA4828"/>
    <w:rsid w:val="00D31CE4"/>
    <w:rsid w:val="00E619DC"/>
    <w:rsid w:val="00E95986"/>
    <w:rsid w:val="00EA50F7"/>
    <w:rsid w:val="00F07B98"/>
    <w:rsid w:val="00F1204E"/>
    <w:rsid w:val="00FB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customStyle="1" w:styleId="D42C4352C4504E0A94E673B24F65EC17">
    <w:name w:val="D42C4352C4504E0A94E673B24F65EC17"/>
  </w:style>
  <w:style w:type="paragraph" w:customStyle="1" w:styleId="873F224A08544FC5AD311C89720F5B4A">
    <w:name w:val="873F224A08544FC5AD311C89720F5B4A"/>
  </w:style>
  <w:style w:type="paragraph" w:customStyle="1" w:styleId="DB3EC2439D6B475590EA538822C20D1E">
    <w:name w:val="DB3EC2439D6B475590EA538822C20D1E"/>
  </w:style>
  <w:style w:type="paragraph" w:customStyle="1" w:styleId="E3D490D5AE7447E3845FE69D9E67CEDE">
    <w:name w:val="E3D490D5AE7447E3845FE69D9E67CE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rontier">
      <a:dk1>
        <a:srgbClr val="37424A"/>
      </a:dk1>
      <a:lt1>
        <a:sysClr val="window" lastClr="FFFFFF"/>
      </a:lt1>
      <a:dk2>
        <a:srgbClr val="707276"/>
      </a:dk2>
      <a:lt2>
        <a:srgbClr val="D1DBD2"/>
      </a:lt2>
      <a:accent1>
        <a:srgbClr val="E83F35"/>
      </a:accent1>
      <a:accent2>
        <a:srgbClr val="8DD0D2"/>
      </a:accent2>
      <a:accent3>
        <a:srgbClr val="007B87"/>
      </a:accent3>
      <a:accent4>
        <a:srgbClr val="EBC000"/>
      </a:accent4>
      <a:accent5>
        <a:srgbClr val="683C5B"/>
      </a:accent5>
      <a:accent6>
        <a:srgbClr val="66B0B7"/>
      </a:accent6>
      <a:hlink>
        <a:srgbClr val="007B87"/>
      </a:hlink>
      <a:folHlink>
        <a:srgbClr val="007B87"/>
      </a:folHlink>
    </a:clrScheme>
    <a:fontScheme name="Custom 4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Stranslations>
  <language>
    <ID>1034</ID>
    <Contents>Contenido</Contents>
    <Annex>Anexo</Annex>
    <Annexes>Anexos</Annexes>
    <Figure>Figura</Figure>
    <Table>Tabla</Table>
    <Figures>Figuras</Figures>
    <Tables>Tablas</Tables>
    <Source>Fuente</Source>
    <Note>Nota</Note>
    <Draft>BORRADOR</Draft>
    <DTF>dd de mmmm de yyyy</DTF>
    <AllFigures>,Figure,Figure,Abbildung,Figura,Figure</AllFigures>
    <AllTables>,Table,Table,Tabelle,Tabla,Tableau</AllTables>
  </language>
  <confidentiality>
    <item1>Confidencial</item1>
    <item2>Estrictamente confidencial</item2>
    <item3>Legalmente privilegiado</item3>
    <item4>Preparado a petición de abogados externos</item4>
  </confidentiality>
</CTStrans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7D849-01E1-4A65-A460-1D6DE77E0D72}">
  <ds:schemaRefs/>
</ds:datastoreItem>
</file>

<file path=customXml/itemProps2.xml><?xml version="1.0" encoding="utf-8"?>
<ds:datastoreItem xmlns:ds="http://schemas.openxmlformats.org/officeDocument/2006/customXml" ds:itemID="{1FD6CF0B-3ABD-41A4-B200-7DB3A8BF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 Economics Standard Template</Template>
  <TotalTime>0</TotalTime>
  <Pages>18</Pages>
  <Words>1486</Words>
  <Characters>8173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MANUAL DEL MODELO DE REPLICABILIDAD</vt:lpstr>
      <vt:lpstr>MANUAL DEL MODELO DE REPLICABILIDAD</vt:lpstr>
    </vt:vector>
  </TitlesOfParts>
  <Company>Frontier Economics</Company>
  <LinksUpToDate>false</LinksUpToDate>
  <CharactersWithSpaces>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DEL MODELO DE REPLICABILIDAD</dc:title>
  <dc:creator>Instituto Federal de Telecomunicaciones</dc:creator>
  <cp:lastModifiedBy>Josue Teoyotl Calderon</cp:lastModifiedBy>
  <cp:revision>2</cp:revision>
  <cp:lastPrinted>2017-05-31T19:51:00Z</cp:lastPrinted>
  <dcterms:created xsi:type="dcterms:W3CDTF">2017-06-16T19:25:00Z</dcterms:created>
  <dcterms:modified xsi:type="dcterms:W3CDTF">2017-06-16T19:25:00Z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2.05</vt:lpwstr>
  </property>
  <property fmtid="{D5CDD505-2E9C-101B-9397-08002B2CF9AE}" pid="3" name="Date">
    <vt:lpwstr>31 August 2016</vt:lpwstr>
  </property>
</Properties>
</file>