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09C4" w14:textId="77777777" w:rsidR="001A4ADE" w:rsidRDefault="001A4ADE" w:rsidP="001A4ADE">
      <w:bookmarkStart w:id="0" w:name="_GoBack"/>
      <w:bookmarkEnd w:id="0"/>
    </w:p>
    <w:tbl>
      <w:tblPr>
        <w:tblpPr w:vertAnchor="page" w:horzAnchor="margin" w:tblpY="1135"/>
        <w:tblW w:w="6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</w:tblGrid>
      <w:tr w:rsidR="001A4ADE" w:rsidRPr="002B7EB1" w14:paraId="467F98F0" w14:textId="77777777" w:rsidTr="00206FFD">
        <w:trPr>
          <w:cantSplit/>
        </w:trPr>
        <w:tc>
          <w:tcPr>
            <w:tcW w:w="6173" w:type="dxa"/>
          </w:tcPr>
          <w:p w14:paraId="76EB9352" w14:textId="77777777" w:rsidR="001A4ADE" w:rsidRPr="002B7EB1" w:rsidRDefault="001A4ADE" w:rsidP="00EF0376">
            <w:pPr>
              <w:pStyle w:val="Draft"/>
            </w:pPr>
            <w:bookmarkStart w:id="1" w:name="BM_DocDraft" w:colFirst="0" w:colLast="0"/>
          </w:p>
        </w:tc>
      </w:tr>
    </w:tbl>
    <w:tbl>
      <w:tblPr>
        <w:tblpPr w:leftFromText="181" w:rightFromText="181" w:vertAnchor="page" w:tblpY="4367"/>
        <w:tblW w:w="5270" w:type="pct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</w:tblGrid>
      <w:tr w:rsidR="001A4ADE" w14:paraId="32FF0325" w14:textId="77777777" w:rsidTr="00520F4A">
        <w:trPr>
          <w:cantSplit/>
          <w:trHeight w:val="1418"/>
        </w:trPr>
        <w:tc>
          <w:tcPr>
            <w:tcW w:w="5000" w:type="pct"/>
            <w:tcBorders>
              <w:bottom w:val="single" w:sz="12" w:space="0" w:color="E83F35" w:themeColor="accent1"/>
            </w:tcBorders>
            <w:vAlign w:val="bottom"/>
          </w:tcPr>
          <w:p w14:paraId="281B1B9C" w14:textId="77777777" w:rsidR="001A4ADE" w:rsidRDefault="006D51FA" w:rsidP="00520F4A">
            <w:pPr>
              <w:pStyle w:val="DocTitle"/>
              <w:ind w:right="1132"/>
            </w:pPr>
            <w:bookmarkStart w:id="2" w:name="BM_DocTitle" w:colFirst="0" w:colLast="0"/>
            <w:bookmarkEnd w:id="1"/>
            <w:r>
              <w:t>MANUAL DEL MODELO DE REPLICABILIDAD</w:t>
            </w:r>
          </w:p>
        </w:tc>
      </w:tr>
      <w:tr w:rsidR="001A4ADE" w14:paraId="34749306" w14:textId="77777777" w:rsidTr="00520F4A">
        <w:trPr>
          <w:cantSplit/>
        </w:trPr>
        <w:tc>
          <w:tcPr>
            <w:tcW w:w="5000" w:type="pct"/>
            <w:tcBorders>
              <w:top w:val="single" w:sz="12" w:space="0" w:color="E83F35" w:themeColor="accent1"/>
            </w:tcBorders>
          </w:tcPr>
          <w:p w14:paraId="7C286340" w14:textId="77777777" w:rsidR="001A4ADE" w:rsidRPr="004A3151" w:rsidRDefault="006D51FA" w:rsidP="00520F4A">
            <w:pPr>
              <w:pStyle w:val="DocSubTitle"/>
              <w:ind w:right="1132"/>
            </w:pPr>
            <w:bookmarkStart w:id="3" w:name="BM_DocSubTitle" w:colFirst="0" w:colLast="0"/>
            <w:bookmarkEnd w:id="2"/>
            <w:r>
              <w:t>Servicios minoristas móviles</w:t>
            </w:r>
          </w:p>
        </w:tc>
      </w:tr>
      <w:tr w:rsidR="005D462D" w:rsidRPr="004A3151" w14:paraId="65D74548" w14:textId="77777777" w:rsidTr="00520F4A">
        <w:trPr>
          <w:cantSplit/>
          <w:trHeight w:hRule="exact" w:val="369"/>
        </w:trPr>
        <w:tc>
          <w:tcPr>
            <w:tcW w:w="5000" w:type="pct"/>
          </w:tcPr>
          <w:p w14:paraId="773921EC" w14:textId="77777777" w:rsidR="005D462D" w:rsidRPr="004A3151" w:rsidRDefault="00272C63" w:rsidP="00520F4A">
            <w:pPr>
              <w:pStyle w:val="DocDate"/>
              <w:ind w:right="1132"/>
            </w:pPr>
            <w:bookmarkStart w:id="4" w:name="BM_DocDate" w:colFirst="0" w:colLast="0"/>
            <w:bookmarkEnd w:id="3"/>
            <w:r>
              <w:t>J</w:t>
            </w:r>
            <w:r w:rsidR="00BE04A4">
              <w:t>unio</w:t>
            </w:r>
            <w:r w:rsidR="006D51FA">
              <w:t xml:space="preserve"> de 2017</w:t>
            </w:r>
          </w:p>
        </w:tc>
      </w:tr>
    </w:tbl>
    <w:tbl>
      <w:tblPr>
        <w:tblpPr w:horzAnchor="margin" w:tblpYSpec="bottom"/>
        <w:tblW w:w="7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6"/>
      </w:tblGrid>
      <w:tr w:rsidR="001A4ADE" w14:paraId="4BC19B67" w14:textId="77777777" w:rsidTr="009E23C0">
        <w:trPr>
          <w:cantSplit/>
          <w:trHeight w:hRule="exact" w:val="1702"/>
        </w:trPr>
        <w:tc>
          <w:tcPr>
            <w:tcW w:w="7876" w:type="dxa"/>
            <w:vAlign w:val="bottom"/>
          </w:tcPr>
          <w:p w14:paraId="0E89C063" w14:textId="77777777" w:rsidR="001A4ADE" w:rsidRDefault="00BE04A4" w:rsidP="00520F4A">
            <w:pPr>
              <w:pStyle w:val="GraphicLeft"/>
              <w:jc w:val="both"/>
            </w:pPr>
            <w:bookmarkStart w:id="5" w:name="BM_DocClientLogo" w:colFirst="0" w:colLast="0"/>
            <w:bookmarkEnd w:id="4"/>
            <w:r w:rsidRPr="00346100">
              <w:t xml:space="preserve">Copyright </w:t>
            </w:r>
            <w:r>
              <w:rPr>
                <w:rFonts w:cstheme="minorHAnsi"/>
              </w:rPr>
              <w:t>©</w:t>
            </w:r>
            <w:r w:rsidRPr="00346100">
              <w:t xml:space="preserve"> 2017. Todo el material incluido en el presente documento se rige por el contrato entre Frontier Economics LTD y el Instituto Federal de Telecomunicaciones, y se utilizará solamente para los fines indicados en el contrato entre las partes.</w:t>
            </w:r>
          </w:p>
          <w:p w14:paraId="55A658A6" w14:textId="77777777" w:rsidR="00962D59" w:rsidRDefault="00962D59" w:rsidP="00520F4A">
            <w:pPr>
              <w:pStyle w:val="GraphicLeft"/>
              <w:jc w:val="both"/>
            </w:pPr>
          </w:p>
          <w:p w14:paraId="69A3CB78" w14:textId="77777777" w:rsidR="00962D59" w:rsidRDefault="00975D8C" w:rsidP="00962D59">
            <w:pPr>
              <w:pStyle w:val="GraphicLeft"/>
              <w:jc w:val="both"/>
            </w:pPr>
            <w:r w:rsidRPr="00975D8C">
              <w:t>La información utilizada en el modelo es ficticia, salvo en aquellos casos referentes a los precios mayoristas provenientes de las Ofertas de Referencia, modelos de costos, convenios públicos o listados por el AEP.</w:t>
            </w:r>
          </w:p>
        </w:tc>
      </w:tr>
      <w:tr w:rsidR="001A4ADE" w14:paraId="34CD82DC" w14:textId="77777777" w:rsidTr="00520F4A">
        <w:trPr>
          <w:cantSplit/>
          <w:trHeight w:val="221"/>
        </w:trPr>
        <w:tc>
          <w:tcPr>
            <w:tcW w:w="7876" w:type="dxa"/>
            <w:tcMar>
              <w:top w:w="284" w:type="dxa"/>
            </w:tcMar>
            <w:vAlign w:val="bottom"/>
          </w:tcPr>
          <w:p w14:paraId="5D738BF8" w14:textId="77777777" w:rsidR="001A4ADE" w:rsidRDefault="001A4ADE" w:rsidP="00AC51F7">
            <w:pPr>
              <w:pStyle w:val="Confidential"/>
            </w:pPr>
            <w:bookmarkStart w:id="6" w:name="BM_DocConfi" w:colFirst="0" w:colLast="0"/>
            <w:bookmarkEnd w:id="5"/>
          </w:p>
        </w:tc>
      </w:tr>
    </w:tbl>
    <w:bookmarkEnd w:id="6" w:displacedByCustomXml="next"/>
    <w:bookmarkStart w:id="7" w:name="BM_SecBreakTitle" w:displacedByCustomXml="next"/>
    <w:sdt>
      <w:sdtPr>
        <w:alias w:val="Locked Section Break"/>
        <w:tag w:val="Locked Section Break"/>
        <w:id w:val="757713686"/>
        <w:placeholder>
          <w:docPart w:val="D42C4352C4504E0A94E673B24F65EC17"/>
        </w:placeholder>
      </w:sdtPr>
      <w:sdtEndPr/>
      <w:sdtContent>
        <w:p w14:paraId="4B21FCA0" w14:textId="77777777" w:rsidR="00BE04A4" w:rsidRDefault="001A4ADE" w:rsidP="001A4ADE">
          <w:pPr>
            <w:pStyle w:val="GraphicLeft"/>
          </w:pPr>
          <w:r w:rsidRPr="005E0E52">
            <w:t xml:space="preserve"> </w:t>
          </w:r>
        </w:p>
      </w:sdtContent>
    </w:sdt>
    <w:p w14:paraId="71E563A2" w14:textId="77777777" w:rsidR="00BE04A4" w:rsidRPr="00520F4A" w:rsidRDefault="00BE04A4" w:rsidP="00520F4A"/>
    <w:p w14:paraId="082C3212" w14:textId="77777777" w:rsidR="00BE04A4" w:rsidRPr="00520F4A" w:rsidRDefault="00BE04A4" w:rsidP="00520F4A"/>
    <w:p w14:paraId="22898587" w14:textId="77777777" w:rsidR="00BE04A4" w:rsidRPr="00520F4A" w:rsidRDefault="00BE04A4" w:rsidP="00520F4A"/>
    <w:p w14:paraId="10D44D3C" w14:textId="77777777" w:rsidR="00BE04A4" w:rsidRPr="00520F4A" w:rsidRDefault="00BE04A4" w:rsidP="00520F4A"/>
    <w:bookmarkEnd w:id="7"/>
    <w:p w14:paraId="3BA3AB52" w14:textId="77777777" w:rsidR="00CE2B46" w:rsidRPr="002957CD" w:rsidRDefault="00954CF0" w:rsidP="002957CD">
      <w:pPr>
        <w:pStyle w:val="SecHeadNonToc"/>
      </w:pPr>
      <w:r>
        <w:lastRenderedPageBreak/>
        <w:t>Contenido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</w:tblGrid>
      <w:tr w:rsidR="00CE2B46" w14:paraId="5AE6B9C2" w14:textId="77777777" w:rsidTr="001A6720">
        <w:tc>
          <w:tcPr>
            <w:tcW w:w="5000" w:type="pct"/>
          </w:tcPr>
          <w:bookmarkStart w:id="8" w:name="BM_ToC" w:colFirst="0" w:colLast="0"/>
          <w:p w14:paraId="45968835" w14:textId="77777777" w:rsidR="001E604D" w:rsidRDefault="00CE2B46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r w:rsidRPr="00DF612F">
              <w:fldChar w:fldCharType="begin"/>
            </w:r>
            <w:r w:rsidR="0054473A">
              <w:instrText>TOC \h \t "~SectionHeading,1,~SubHea</w:instrText>
            </w:r>
            <w:r w:rsidR="005963B1">
              <w:instrText>ding,2,~ExecSumHead,5,~AnxHead,7</w:instrText>
            </w:r>
            <w:r w:rsidR="0054473A">
              <w:instrText xml:space="preserve">" </w:instrText>
            </w:r>
            <w:r w:rsidRPr="00DF612F">
              <w:fldChar w:fldCharType="separate"/>
            </w:r>
            <w:hyperlink w:anchor="_Toc485153877" w:history="1">
              <w:r w:rsidR="001E604D" w:rsidRPr="00657924">
                <w:rPr>
                  <w:rStyle w:val="Hipervnculo"/>
                </w:rPr>
                <w:t>1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Introducción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_Toc485153877 \h </w:instrText>
              </w:r>
              <w:r w:rsidR="001E604D">
                <w:fldChar w:fldCharType="separate"/>
              </w:r>
              <w:r w:rsidR="009E23C0">
                <w:t>3</w:t>
              </w:r>
              <w:r w:rsidR="001E604D">
                <w:fldChar w:fldCharType="end"/>
              </w:r>
            </w:hyperlink>
          </w:p>
          <w:p w14:paraId="3AF43A70" w14:textId="77777777" w:rsidR="001E604D" w:rsidRDefault="00B3771E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78" w:history="1">
              <w:r w:rsidR="001E604D" w:rsidRPr="00657924">
                <w:rPr>
                  <w:rStyle w:val="Hipervnculo"/>
                </w:rPr>
                <w:t>2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Estructura y funcionamiento del modelo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_Toc485153878 \h </w:instrText>
              </w:r>
              <w:r w:rsidR="001E604D">
                <w:fldChar w:fldCharType="separate"/>
              </w:r>
              <w:r w:rsidR="009E23C0">
                <w:t>4</w:t>
              </w:r>
              <w:r w:rsidR="001E604D">
                <w:fldChar w:fldCharType="end"/>
              </w:r>
            </w:hyperlink>
          </w:p>
          <w:p w14:paraId="4672A4B7" w14:textId="77777777" w:rsidR="001E604D" w:rsidRDefault="00B3771E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79" w:history="1">
              <w:r w:rsidR="001E604D" w:rsidRPr="00657924">
                <w:rPr>
                  <w:rStyle w:val="Hipervnculo"/>
                </w:rPr>
                <w:t>2.1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Módulo de resultados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_Toc485153879 \h </w:instrText>
              </w:r>
              <w:r w:rsidR="001E604D">
                <w:fldChar w:fldCharType="separate"/>
              </w:r>
              <w:r w:rsidR="009E23C0">
                <w:t>5</w:t>
              </w:r>
              <w:r w:rsidR="001E604D">
                <w:fldChar w:fldCharType="end"/>
              </w:r>
            </w:hyperlink>
          </w:p>
          <w:p w14:paraId="3725EC01" w14:textId="77777777" w:rsidR="001E604D" w:rsidRDefault="00B3771E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80" w:history="1">
              <w:r w:rsidR="001E604D" w:rsidRPr="00657924">
                <w:rPr>
                  <w:rStyle w:val="Hipervnculo"/>
                </w:rPr>
                <w:t>2.2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Módulo de cálculos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_Toc485153880 \h </w:instrText>
              </w:r>
              <w:r w:rsidR="001E604D">
                <w:fldChar w:fldCharType="separate"/>
              </w:r>
              <w:r w:rsidR="009E23C0">
                <w:t>6</w:t>
              </w:r>
              <w:r w:rsidR="001E604D">
                <w:fldChar w:fldCharType="end"/>
              </w:r>
            </w:hyperlink>
          </w:p>
          <w:p w14:paraId="44DBAEF1" w14:textId="77777777" w:rsidR="001E604D" w:rsidRDefault="00B3771E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81" w:history="1">
              <w:r w:rsidR="001E604D" w:rsidRPr="00657924">
                <w:rPr>
                  <w:rStyle w:val="Hipervnculo"/>
                </w:rPr>
                <w:t>2.3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Módulo de supuestos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_Toc485153881 \h </w:instrText>
              </w:r>
              <w:r w:rsidR="001E604D">
                <w:fldChar w:fldCharType="separate"/>
              </w:r>
              <w:r w:rsidR="009E23C0">
                <w:t>7</w:t>
              </w:r>
              <w:r w:rsidR="001E604D">
                <w:fldChar w:fldCharType="end"/>
              </w:r>
            </w:hyperlink>
          </w:p>
          <w:p w14:paraId="3AD31F74" w14:textId="77777777" w:rsidR="001E604D" w:rsidRDefault="00B3771E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82" w:history="1">
              <w:r w:rsidR="001E604D" w:rsidRPr="00657924">
                <w:rPr>
                  <w:rStyle w:val="Hipervnculo"/>
                </w:rPr>
                <w:t>3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Actualización del modelo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_Toc485153882 \h </w:instrText>
              </w:r>
              <w:r w:rsidR="001E604D">
                <w:fldChar w:fldCharType="separate"/>
              </w:r>
              <w:r w:rsidR="009E23C0">
                <w:t>8</w:t>
              </w:r>
              <w:r w:rsidR="001E604D">
                <w:fldChar w:fldCharType="end"/>
              </w:r>
            </w:hyperlink>
          </w:p>
          <w:p w14:paraId="506A7F0E" w14:textId="77777777" w:rsidR="001E604D" w:rsidRDefault="00B3771E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3883" w:history="1">
              <w:r w:rsidR="001E604D" w:rsidRPr="00657924">
                <w:rPr>
                  <w:rStyle w:val="Hipervnculo"/>
                </w:rPr>
                <w:t>3.1</w:t>
              </w:r>
              <w:r w:rsidR="001E604D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1E604D" w:rsidRPr="00657924">
                <w:rPr>
                  <w:rStyle w:val="Hipervnculo"/>
                </w:rPr>
                <w:t>Información requerida</w:t>
              </w:r>
              <w:r w:rsidR="001E604D">
                <w:tab/>
              </w:r>
              <w:r w:rsidR="001E604D">
                <w:fldChar w:fldCharType="begin"/>
              </w:r>
              <w:r w:rsidR="001E604D">
                <w:instrText xml:space="preserve"> PAGEREF _Toc485153883 \h </w:instrText>
              </w:r>
              <w:r w:rsidR="001E604D">
                <w:fldChar w:fldCharType="separate"/>
              </w:r>
              <w:r w:rsidR="009E23C0">
                <w:t>8</w:t>
              </w:r>
              <w:r w:rsidR="001E604D">
                <w:fldChar w:fldCharType="end"/>
              </w:r>
            </w:hyperlink>
          </w:p>
          <w:p w14:paraId="19C2A2A8" w14:textId="77777777" w:rsidR="00CE2B46" w:rsidRPr="00DF612F" w:rsidRDefault="00CE2B46" w:rsidP="00F25DFA">
            <w:pPr>
              <w:pStyle w:val="Spacer"/>
            </w:pPr>
            <w:r w:rsidRPr="00DF612F">
              <w:fldChar w:fldCharType="end"/>
            </w:r>
          </w:p>
        </w:tc>
      </w:tr>
      <w:tr w:rsidR="005646E5" w:rsidRPr="00DF612F" w14:paraId="6EECD409" w14:textId="77777777" w:rsidTr="00DF612F">
        <w:tc>
          <w:tcPr>
            <w:tcW w:w="5000" w:type="pct"/>
            <w:tcMar>
              <w:top w:w="142" w:type="dxa"/>
            </w:tcMar>
          </w:tcPr>
          <w:p w14:paraId="60712031" w14:textId="77777777" w:rsidR="005646E5" w:rsidRPr="005646E5" w:rsidRDefault="005646E5" w:rsidP="005646E5">
            <w:pPr>
              <w:pStyle w:val="Spacer"/>
            </w:pPr>
            <w:bookmarkStart w:id="9" w:name="BM_ToF" w:colFirst="0" w:colLast="0"/>
            <w:bookmarkEnd w:id="8"/>
          </w:p>
        </w:tc>
      </w:tr>
      <w:tr w:rsidR="005646E5" w:rsidRPr="00DF612F" w14:paraId="2AB4774B" w14:textId="77777777" w:rsidTr="00DF612F">
        <w:tc>
          <w:tcPr>
            <w:tcW w:w="5000" w:type="pct"/>
            <w:tcMar>
              <w:top w:w="142" w:type="dxa"/>
            </w:tcMar>
          </w:tcPr>
          <w:p w14:paraId="0E8F4E1D" w14:textId="77777777" w:rsidR="005646E5" w:rsidRPr="005646E5" w:rsidRDefault="005646E5" w:rsidP="005646E5">
            <w:pPr>
              <w:pStyle w:val="Spacer"/>
            </w:pPr>
            <w:bookmarkStart w:id="10" w:name="BM_ToT" w:colFirst="0" w:colLast="0"/>
            <w:bookmarkEnd w:id="9"/>
          </w:p>
        </w:tc>
      </w:tr>
      <w:tr w:rsidR="00E17173" w:rsidRPr="00DF612F" w14:paraId="0F2C312E" w14:textId="77777777" w:rsidTr="00DF612F">
        <w:tc>
          <w:tcPr>
            <w:tcW w:w="5000" w:type="pct"/>
            <w:tcMar>
              <w:top w:w="142" w:type="dxa"/>
            </w:tcMar>
          </w:tcPr>
          <w:p w14:paraId="68513A08" w14:textId="77777777" w:rsidR="00E95922" w:rsidRPr="005646E5" w:rsidRDefault="00E95922" w:rsidP="005646E5">
            <w:pPr>
              <w:pStyle w:val="Spacer"/>
            </w:pPr>
            <w:bookmarkStart w:id="11" w:name="BM_Exhibits" w:colFirst="0" w:colLast="0"/>
            <w:bookmarkEnd w:id="10"/>
          </w:p>
        </w:tc>
      </w:tr>
    </w:tbl>
    <w:bookmarkEnd w:id="11" w:displacedByCustomXml="next"/>
    <w:bookmarkStart w:id="12" w:name="BM_SecBreakToC" w:displacedByCustomXml="next"/>
    <w:sdt>
      <w:sdtPr>
        <w:alias w:val="Locked Section Break"/>
        <w:tag w:val="Locked Section Break"/>
        <w:id w:val="618500258"/>
        <w:lock w:val="contentLocked"/>
        <w:placeholder>
          <w:docPart w:val="DB3EC2439D6B475590EA538822C20D1E"/>
        </w:placeholder>
        <w:showingPlcHdr/>
      </w:sdtPr>
      <w:sdtEndPr/>
      <w:sdtContent>
        <w:p w14:paraId="2D67773F" w14:textId="77777777" w:rsidR="00CE2B46" w:rsidRDefault="00CE2B46" w:rsidP="00CE2B46">
          <w:pPr>
            <w:sectPr w:rsidR="00CE2B46" w:rsidSect="00F0455F">
              <w:headerReference w:type="default" r:id="rId9"/>
              <w:footerReference w:type="default" r:id="rId10"/>
              <w:pgSz w:w="11906" w:h="16838" w:code="9"/>
              <w:pgMar w:top="1701" w:right="1985" w:bottom="1418" w:left="1985" w:header="709" w:footer="397" w:gutter="0"/>
              <w:cols w:space="708"/>
              <w:docGrid w:linePitch="360"/>
            </w:sectPr>
          </w:pPr>
          <w:r>
            <w:t xml:space="preserve"> </w:t>
          </w:r>
        </w:p>
      </w:sdtContent>
    </w:sdt>
    <w:p w14:paraId="755674F0" w14:textId="77777777" w:rsidR="001E633B" w:rsidRDefault="00E370D0" w:rsidP="00E370D0">
      <w:pPr>
        <w:pStyle w:val="Ttulo1"/>
      </w:pPr>
      <w:bookmarkStart w:id="13" w:name="_Toc485153877"/>
      <w:bookmarkStart w:id="14" w:name="_Toc405820911"/>
      <w:bookmarkEnd w:id="12"/>
      <w:r>
        <w:lastRenderedPageBreak/>
        <w:t>Introducción</w:t>
      </w:r>
      <w:bookmarkEnd w:id="13"/>
    </w:p>
    <w:p w14:paraId="10D11F37" w14:textId="051B6E02" w:rsidR="00E370D0" w:rsidRDefault="00E370D0" w:rsidP="00E370D0">
      <w:r>
        <w:t>Frontier Economics h</w:t>
      </w:r>
      <w:r w:rsidR="00414014">
        <w:t>a sido contratado por el</w:t>
      </w:r>
      <w:r w:rsidR="008301AB">
        <w:t xml:space="preserve"> Instituto Federal de Telecomunicaciones (</w:t>
      </w:r>
      <w:r w:rsidR="00414014">
        <w:t>IFT</w:t>
      </w:r>
      <w:r w:rsidR="008301AB">
        <w:t>)</w:t>
      </w:r>
      <w:r w:rsidR="00414014">
        <w:t xml:space="preserve"> para desarrollar la metodología y modelización para la evaluación de la replicabilidad de las tarifas al usuario final del Agente Económico Preponderante </w:t>
      </w:r>
      <w:r w:rsidR="00AB5694">
        <w:t xml:space="preserve">en telecomunicaciones </w:t>
      </w:r>
      <w:r w:rsidR="00414014">
        <w:t>(AEP), tal y como se prevé en las med</w:t>
      </w:r>
      <w:r w:rsidR="006D35E1">
        <w:t>idas de preponderancia</w:t>
      </w:r>
      <w:r w:rsidR="00414014">
        <w:t>.</w:t>
      </w:r>
      <w:r w:rsidR="00414014">
        <w:rPr>
          <w:rStyle w:val="Refdenotaalpie"/>
        </w:rPr>
        <w:footnoteReference w:id="2"/>
      </w:r>
    </w:p>
    <w:p w14:paraId="41A7368E" w14:textId="77777777" w:rsidR="002555A2" w:rsidRDefault="002555A2" w:rsidP="00E370D0">
      <w:r>
        <w:t>Este documento hace referencia a</w:t>
      </w:r>
      <w:r w:rsidR="004B4821">
        <w:t xml:space="preserve"> </w:t>
      </w:r>
      <w:r>
        <w:t>l</w:t>
      </w:r>
      <w:r w:rsidR="004B4821">
        <w:t>a</w:t>
      </w:r>
      <w:r>
        <w:t xml:space="preserve"> </w:t>
      </w:r>
      <w:r w:rsidR="000F1FE3">
        <w:t>prueba</w:t>
      </w:r>
      <w:r>
        <w:t xml:space="preserve"> de replicabilidad </w:t>
      </w:r>
      <w:r w:rsidR="00DC3D0D">
        <w:t xml:space="preserve">económica </w:t>
      </w:r>
      <w:r>
        <w:t xml:space="preserve">a aplicar a los </w:t>
      </w:r>
      <w:r w:rsidRPr="002555A2">
        <w:rPr>
          <w:b/>
        </w:rPr>
        <w:t xml:space="preserve">servicios minoristas </w:t>
      </w:r>
      <w:r w:rsidR="00D60B80">
        <w:rPr>
          <w:b/>
        </w:rPr>
        <w:t>móviles</w:t>
      </w:r>
      <w:r>
        <w:t xml:space="preserve">. </w:t>
      </w:r>
      <w:r w:rsidR="00E370D0">
        <w:t>El objetivo de</w:t>
      </w:r>
      <w:r w:rsidR="004B4821">
        <w:t xml:space="preserve"> </w:t>
      </w:r>
      <w:r w:rsidR="00A375BB">
        <w:t>l</w:t>
      </w:r>
      <w:r w:rsidR="004B4821">
        <w:t>a</w:t>
      </w:r>
      <w:r w:rsidR="00A375BB">
        <w:t xml:space="preserve"> </w:t>
      </w:r>
      <w:r w:rsidR="000F1FE3">
        <w:t>prueba</w:t>
      </w:r>
      <w:r w:rsidR="00A375BB">
        <w:t xml:space="preserve"> es </w:t>
      </w:r>
      <w:r>
        <w:t>eva</w:t>
      </w:r>
      <w:r w:rsidR="00D60B80">
        <w:t xml:space="preserve">luar si un operador móvil virtual (OMV) revendedor </w:t>
      </w:r>
      <w:r>
        <w:t>que hace uso de los servicios mayoristas regulados puede replicar la oferta minorista del AEP para el servicio analizado</w:t>
      </w:r>
      <w:r w:rsidR="00A375BB">
        <w:t xml:space="preserve">. </w:t>
      </w:r>
    </w:p>
    <w:p w14:paraId="46E4BA8E" w14:textId="77777777" w:rsidR="002555A2" w:rsidRDefault="002555A2" w:rsidP="00E370D0">
      <w:r>
        <w:t xml:space="preserve">En el caso de los servicios </w:t>
      </w:r>
      <w:r w:rsidR="00D60B80">
        <w:t>móviles</w:t>
      </w:r>
      <w:r>
        <w:t>, las principales dimensiones de</w:t>
      </w:r>
      <w:r w:rsidR="004B4821">
        <w:t xml:space="preserve"> la prueba</w:t>
      </w:r>
      <w:r>
        <w:t xml:space="preserve"> se resumen en la </w:t>
      </w:r>
      <w:r>
        <w:fldChar w:fldCharType="begin"/>
      </w:r>
      <w:r>
        <w:instrText xml:space="preserve"> REF _Ref482888419 \h </w:instrText>
      </w:r>
      <w:r>
        <w:fldChar w:fldCharType="separate"/>
      </w:r>
      <w:r w:rsidR="00C451E3">
        <w:t xml:space="preserve">Figura </w:t>
      </w:r>
      <w:r w:rsidR="00C451E3">
        <w:rPr>
          <w:noProof/>
        </w:rPr>
        <w:t>1</w:t>
      </w:r>
      <w:r>
        <w:fldChar w:fldCharType="end"/>
      </w:r>
      <w:r>
        <w:t>.</w:t>
      </w:r>
    </w:p>
    <w:p w14:paraId="4FD5B2AD" w14:textId="77777777" w:rsidR="002555A2" w:rsidRDefault="002555A2" w:rsidP="002555A2">
      <w:pPr>
        <w:pStyle w:val="Descripcin"/>
      </w:pPr>
      <w:bookmarkStart w:id="15" w:name="_Ref482888419"/>
      <w:r>
        <w:lastRenderedPageBreak/>
        <w:t xml:space="preserve">Figura </w:t>
      </w:r>
      <w:r>
        <w:fldChar w:fldCharType="begin"/>
      </w:r>
      <w:r>
        <w:instrText xml:space="preserve"> SEQ Figura </w:instrText>
      </w:r>
      <w:r>
        <w:fldChar w:fldCharType="separate"/>
      </w:r>
      <w:r w:rsidR="00C451E3">
        <w:rPr>
          <w:noProof/>
        </w:rPr>
        <w:t>1</w:t>
      </w:r>
      <w:r>
        <w:rPr>
          <w:noProof/>
        </w:rPr>
        <w:fldChar w:fldCharType="end"/>
      </w:r>
      <w:bookmarkEnd w:id="15"/>
      <w:r>
        <w:tab/>
        <w:t>Dimens</w:t>
      </w:r>
      <w:r w:rsidR="00026739">
        <w:t>iones d</w:t>
      </w:r>
      <w:r w:rsidR="004B4821">
        <w:t>e la prueba</w:t>
      </w:r>
      <w:r w:rsidR="00026739">
        <w:t xml:space="preserve"> de replicabilidad para servicios móviles</w:t>
      </w:r>
    </w:p>
    <w:tbl>
      <w:tblPr>
        <w:tblStyle w:val="Frontier"/>
        <w:tblW w:w="7940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957"/>
        <w:gridCol w:w="3983"/>
      </w:tblGrid>
      <w:tr w:rsidR="002555A2" w:rsidRPr="00263104" w14:paraId="3762C2B4" w14:textId="77777777" w:rsidTr="00255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492" w:type="pct"/>
          </w:tcPr>
          <w:p w14:paraId="54346F90" w14:textId="77777777" w:rsidR="002555A2" w:rsidRPr="00263104" w:rsidRDefault="002555A2" w:rsidP="00920153">
            <w:pPr>
              <w:pStyle w:val="TableHeadingLeft"/>
            </w:pPr>
            <w:r>
              <w:t>Dimensión</w:t>
            </w:r>
          </w:p>
        </w:tc>
        <w:tc>
          <w:tcPr>
            <w:tcW w:w="2508" w:type="pct"/>
          </w:tcPr>
          <w:p w14:paraId="7AA8C38C" w14:textId="77777777" w:rsidR="002555A2" w:rsidRPr="00263104" w:rsidRDefault="00771C5E" w:rsidP="00520F4A">
            <w:pPr>
              <w:pStyle w:val="TableHeadingRight"/>
              <w:jc w:val="left"/>
            </w:pPr>
            <w:r>
              <w:t>Especificación</w:t>
            </w:r>
          </w:p>
        </w:tc>
      </w:tr>
      <w:tr w:rsidR="002555A2" w:rsidRPr="007F007E" w14:paraId="3AD87021" w14:textId="77777777" w:rsidTr="0025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14:paraId="62D43C25" w14:textId="77777777" w:rsidR="002555A2" w:rsidRPr="00771C5E" w:rsidRDefault="002555A2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Implementación</w:t>
            </w:r>
          </w:p>
        </w:tc>
        <w:tc>
          <w:tcPr>
            <w:tcW w:w="2508" w:type="pct"/>
          </w:tcPr>
          <w:p w14:paraId="03143F99" w14:textId="77777777" w:rsidR="002555A2" w:rsidRPr="007F007E" w:rsidRDefault="00771C5E" w:rsidP="00DC3D0D">
            <w:pPr>
              <w:pStyle w:val="TableTextRight"/>
              <w:jc w:val="left"/>
            </w:pPr>
            <w:r>
              <w:t xml:space="preserve">Ex – post, cada </w:t>
            </w:r>
            <w:r w:rsidR="00DC3D0D">
              <w:t>seis</w:t>
            </w:r>
            <w:r>
              <w:t xml:space="preserve"> meses</w:t>
            </w:r>
          </w:p>
        </w:tc>
      </w:tr>
      <w:tr w:rsidR="002555A2" w:rsidRPr="007F007E" w14:paraId="4617AA41" w14:textId="77777777" w:rsidTr="002555A2">
        <w:trPr>
          <w:trHeight w:val="20"/>
        </w:trPr>
        <w:tc>
          <w:tcPr>
            <w:tcW w:w="2492" w:type="pct"/>
          </w:tcPr>
          <w:p w14:paraId="1C526787" w14:textId="77777777" w:rsidR="002555A2" w:rsidRPr="00771C5E" w:rsidRDefault="002555A2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Nivel de eficiencia</w:t>
            </w:r>
          </w:p>
        </w:tc>
        <w:tc>
          <w:tcPr>
            <w:tcW w:w="2508" w:type="pct"/>
          </w:tcPr>
          <w:p w14:paraId="205A5FBD" w14:textId="77777777" w:rsidR="002555A2" w:rsidRPr="007F007E" w:rsidRDefault="00771C5E" w:rsidP="00771C5E">
            <w:pPr>
              <w:pStyle w:val="TableTextRight"/>
              <w:jc w:val="left"/>
            </w:pPr>
            <w:r>
              <w:t>EEO</w:t>
            </w:r>
            <w:r w:rsidR="00101326">
              <w:rPr>
                <w:rStyle w:val="Refdenotaalpie"/>
              </w:rPr>
              <w:footnoteReference w:id="3"/>
            </w:r>
          </w:p>
        </w:tc>
      </w:tr>
      <w:tr w:rsidR="002555A2" w:rsidRPr="007F007E" w14:paraId="7561BAE7" w14:textId="77777777" w:rsidTr="0025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14:paraId="14EB5C3A" w14:textId="77777777" w:rsidR="002555A2" w:rsidRPr="00771C5E" w:rsidRDefault="002555A2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Nivel de agregación</w:t>
            </w:r>
          </w:p>
        </w:tc>
        <w:tc>
          <w:tcPr>
            <w:tcW w:w="2508" w:type="pct"/>
          </w:tcPr>
          <w:p w14:paraId="243DE408" w14:textId="77777777" w:rsidR="002555A2" w:rsidRPr="007F007E" w:rsidRDefault="00771C5E" w:rsidP="00771C5E">
            <w:pPr>
              <w:pStyle w:val="TableTextRight"/>
              <w:jc w:val="left"/>
            </w:pPr>
            <w:r>
              <w:t>Cartera de productos</w:t>
            </w:r>
          </w:p>
        </w:tc>
      </w:tr>
      <w:tr w:rsidR="002555A2" w:rsidRPr="007F007E" w14:paraId="489180CE" w14:textId="77777777" w:rsidTr="002555A2">
        <w:trPr>
          <w:trHeight w:val="20"/>
        </w:trPr>
        <w:tc>
          <w:tcPr>
            <w:tcW w:w="2492" w:type="pct"/>
          </w:tcPr>
          <w:p w14:paraId="414C325E" w14:textId="77777777" w:rsidR="002555A2" w:rsidRPr="00771C5E" w:rsidRDefault="002555A2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Estándar de costos</w:t>
            </w:r>
          </w:p>
        </w:tc>
        <w:tc>
          <w:tcPr>
            <w:tcW w:w="2508" w:type="pct"/>
          </w:tcPr>
          <w:p w14:paraId="23352321" w14:textId="77777777" w:rsidR="002555A2" w:rsidRPr="007F007E" w:rsidRDefault="00D60B80" w:rsidP="00DC3D0D">
            <w:pPr>
              <w:pStyle w:val="TableTextRight"/>
              <w:jc w:val="left"/>
            </w:pPr>
            <w:r>
              <w:t>LRIC</w:t>
            </w:r>
            <w:r w:rsidR="00101326">
              <w:rPr>
                <w:rStyle w:val="Refdenotaalpie"/>
              </w:rPr>
              <w:footnoteReference w:id="4"/>
            </w:r>
            <w:r w:rsidR="00771C5E">
              <w:t xml:space="preserve"> (FAC</w:t>
            </w:r>
            <w:r w:rsidR="00101326">
              <w:rPr>
                <w:rStyle w:val="Refdenotaalpie"/>
              </w:rPr>
              <w:footnoteReference w:id="5"/>
            </w:r>
            <w:r w:rsidR="00771C5E">
              <w:t xml:space="preserve"> </w:t>
            </w:r>
            <w:r w:rsidR="00DC3D0D">
              <w:t>si LRIC no está disponible</w:t>
            </w:r>
            <w:r w:rsidR="00771C5E">
              <w:t>)</w:t>
            </w:r>
          </w:p>
        </w:tc>
      </w:tr>
      <w:tr w:rsidR="002555A2" w:rsidRPr="007F007E" w14:paraId="5AE9F444" w14:textId="77777777" w:rsidTr="0025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14:paraId="1107342F" w14:textId="77777777" w:rsidR="002555A2" w:rsidRPr="00771C5E" w:rsidRDefault="00EA665E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Tratamiento del segmento empresarial</w:t>
            </w:r>
          </w:p>
        </w:tc>
        <w:tc>
          <w:tcPr>
            <w:tcW w:w="2508" w:type="pct"/>
          </w:tcPr>
          <w:p w14:paraId="5C699E47" w14:textId="77777777" w:rsidR="002555A2" w:rsidRPr="007F007E" w:rsidRDefault="00771C5E" w:rsidP="00771C5E">
            <w:pPr>
              <w:pStyle w:val="TableTextRight"/>
              <w:jc w:val="left"/>
            </w:pPr>
            <w:r>
              <w:t>Incluidas las ofertas empresariales</w:t>
            </w:r>
          </w:p>
        </w:tc>
      </w:tr>
      <w:tr w:rsidR="002555A2" w:rsidRPr="007F007E" w14:paraId="6948CAC7" w14:textId="77777777" w:rsidTr="002555A2">
        <w:trPr>
          <w:trHeight w:val="20"/>
        </w:trPr>
        <w:tc>
          <w:tcPr>
            <w:tcW w:w="2492" w:type="pct"/>
          </w:tcPr>
          <w:p w14:paraId="5C4CB2D0" w14:textId="77777777" w:rsidR="002555A2" w:rsidRPr="00771C5E" w:rsidRDefault="00EA665E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Servicios mayoristas</w:t>
            </w:r>
          </w:p>
        </w:tc>
        <w:tc>
          <w:tcPr>
            <w:tcW w:w="2508" w:type="pct"/>
          </w:tcPr>
          <w:p w14:paraId="0574B4CD" w14:textId="77777777" w:rsidR="002555A2" w:rsidRPr="007F007E" w:rsidRDefault="00771C5E" w:rsidP="00D60B80">
            <w:pPr>
              <w:pStyle w:val="TableTextRight"/>
              <w:jc w:val="left"/>
            </w:pPr>
            <w:r>
              <w:t xml:space="preserve">Servicio mayorista </w:t>
            </w:r>
            <w:r w:rsidR="00D60B80">
              <w:t>prestado a los OMV revendedores</w:t>
            </w:r>
          </w:p>
        </w:tc>
      </w:tr>
      <w:tr w:rsidR="002555A2" w:rsidRPr="007F007E" w14:paraId="2CC6855B" w14:textId="77777777" w:rsidTr="0025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14:paraId="289817E0" w14:textId="77777777" w:rsidR="002555A2" w:rsidRPr="00771C5E" w:rsidRDefault="00EA665E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Precio de los insumos mayoristas</w:t>
            </w:r>
          </w:p>
        </w:tc>
        <w:tc>
          <w:tcPr>
            <w:tcW w:w="2508" w:type="pct"/>
          </w:tcPr>
          <w:p w14:paraId="6DD8AF35" w14:textId="77777777" w:rsidR="002555A2" w:rsidRPr="007F007E" w:rsidRDefault="0014645F" w:rsidP="00D60B80">
            <w:pPr>
              <w:pStyle w:val="TableTextRight"/>
              <w:jc w:val="left"/>
            </w:pPr>
            <w:r>
              <w:t>Precios de catálogo</w:t>
            </w:r>
            <w:r w:rsidR="00771C5E">
              <w:t xml:space="preserve"> </w:t>
            </w:r>
            <w:r>
              <w:t>establecido</w:t>
            </w:r>
            <w:r w:rsidR="00D60B80">
              <w:t>s para el OMV revendedor</w:t>
            </w:r>
          </w:p>
        </w:tc>
      </w:tr>
      <w:tr w:rsidR="002555A2" w:rsidRPr="007F007E" w14:paraId="0BD26636" w14:textId="77777777" w:rsidTr="002555A2">
        <w:trPr>
          <w:trHeight w:val="20"/>
        </w:trPr>
        <w:tc>
          <w:tcPr>
            <w:tcW w:w="2492" w:type="pct"/>
          </w:tcPr>
          <w:p w14:paraId="56F6CCB3" w14:textId="77777777" w:rsidR="002555A2" w:rsidRPr="00771C5E" w:rsidRDefault="00EA665E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Tratamiento de las promociones</w:t>
            </w:r>
          </w:p>
        </w:tc>
        <w:tc>
          <w:tcPr>
            <w:tcW w:w="2508" w:type="pct"/>
          </w:tcPr>
          <w:p w14:paraId="5517C44B" w14:textId="77777777" w:rsidR="002555A2" w:rsidRPr="007F007E" w:rsidRDefault="00771C5E" w:rsidP="00771C5E">
            <w:pPr>
              <w:pStyle w:val="TableTextRight"/>
              <w:jc w:val="left"/>
            </w:pPr>
            <w:r>
              <w:t>Incluidas en el análisis</w:t>
            </w:r>
          </w:p>
        </w:tc>
      </w:tr>
      <w:tr w:rsidR="002555A2" w:rsidRPr="00263104" w14:paraId="70FD4C6E" w14:textId="77777777" w:rsidTr="0025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14:paraId="21A7EDDA" w14:textId="77777777" w:rsidR="002555A2" w:rsidRPr="00771C5E" w:rsidRDefault="00EA665E" w:rsidP="00920153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 xml:space="preserve">Evaluación de la rentabilidad </w:t>
            </w:r>
          </w:p>
        </w:tc>
        <w:tc>
          <w:tcPr>
            <w:tcW w:w="2508" w:type="pct"/>
          </w:tcPr>
          <w:p w14:paraId="425C7B91" w14:textId="77777777" w:rsidR="002555A2" w:rsidRPr="00263104" w:rsidRDefault="00771C5E" w:rsidP="00771C5E">
            <w:pPr>
              <w:pStyle w:val="TableTextRight"/>
              <w:jc w:val="left"/>
            </w:pPr>
            <w:r>
              <w:t>Período a período</w:t>
            </w:r>
          </w:p>
        </w:tc>
      </w:tr>
    </w:tbl>
    <w:p w14:paraId="406A013C" w14:textId="77777777" w:rsidR="002555A2" w:rsidRPr="001631D3" w:rsidRDefault="002555A2" w:rsidP="002C69DA">
      <w:pPr>
        <w:pStyle w:val="Source"/>
      </w:pPr>
      <w:r>
        <w:t>Fuente</w:t>
      </w:r>
      <w:r w:rsidRPr="001631D3">
        <w:t xml:space="preserve">: </w:t>
      </w:r>
      <w:r>
        <w:tab/>
      </w:r>
      <w:r w:rsidR="00771C5E">
        <w:t>Frontier Economics.</w:t>
      </w:r>
    </w:p>
    <w:p w14:paraId="3DBE3C94" w14:textId="77777777" w:rsidR="002555A2" w:rsidRPr="00771C5E" w:rsidRDefault="002555A2" w:rsidP="002C69DA">
      <w:pPr>
        <w:pStyle w:val="Source"/>
      </w:pPr>
      <w:r w:rsidRPr="00771C5E">
        <w:t>Nota:</w:t>
      </w:r>
      <w:r w:rsidRPr="00771C5E">
        <w:tab/>
      </w:r>
      <w:r w:rsidR="00771C5E">
        <w:t>Para más detalle véase el documento de consulta</w:t>
      </w:r>
      <w:r w:rsidR="00513750">
        <w:t xml:space="preserve"> MARCO METODOLÓGICO.</w:t>
      </w:r>
    </w:p>
    <w:p w14:paraId="5ACD1043" w14:textId="77777777" w:rsidR="00E370D0" w:rsidRDefault="00E370D0" w:rsidP="00E370D0">
      <w:r>
        <w:lastRenderedPageBreak/>
        <w:t xml:space="preserve">Este manual describe el modelo </w:t>
      </w:r>
      <w:r w:rsidR="007E0E49">
        <w:t>desarrollado</w:t>
      </w:r>
      <w:r>
        <w:t xml:space="preserve"> con el objetivo de guiar </w:t>
      </w:r>
      <w:r w:rsidR="0098644A">
        <w:t>la implementación</w:t>
      </w:r>
      <w:r w:rsidR="000F2C56">
        <w:t xml:space="preserve"> de la prueba de replicabilidad económica</w:t>
      </w:r>
      <w:r>
        <w:t>.</w:t>
      </w:r>
    </w:p>
    <w:p w14:paraId="07F5D048" w14:textId="77777777" w:rsidR="00E370D0" w:rsidRDefault="00E370D0" w:rsidP="00E370D0">
      <w:r>
        <w:t xml:space="preserve">El documento se estructura </w:t>
      </w:r>
      <w:r w:rsidR="007E0E49">
        <w:t>de la siguiente manera:</w:t>
      </w:r>
    </w:p>
    <w:p w14:paraId="7C4409E2" w14:textId="77777777" w:rsidR="007E0E49" w:rsidRDefault="00A0617A" w:rsidP="007E0E49">
      <w:pPr>
        <w:pStyle w:val="ListBullet1"/>
      </w:pPr>
      <w:r>
        <w:t xml:space="preserve">En la sección </w:t>
      </w:r>
      <w:r>
        <w:fldChar w:fldCharType="begin"/>
      </w:r>
      <w:r>
        <w:instrText xml:space="preserve"> REF _Ref482890326 \r \h </w:instrText>
      </w:r>
      <w:r>
        <w:fldChar w:fldCharType="separate"/>
      </w:r>
      <w:r w:rsidR="00C451E3">
        <w:t>2</w:t>
      </w:r>
      <w:r>
        <w:fldChar w:fldCharType="end"/>
      </w:r>
      <w:r>
        <w:t xml:space="preserve"> se explica la estructura y funcionamiento del modelo.</w:t>
      </w:r>
    </w:p>
    <w:p w14:paraId="593C17FD" w14:textId="77777777" w:rsidR="00A0617A" w:rsidRDefault="00A0617A" w:rsidP="007E0E49">
      <w:pPr>
        <w:pStyle w:val="ListBullet1"/>
      </w:pPr>
      <w:r>
        <w:t xml:space="preserve">La sección </w:t>
      </w:r>
      <w:r>
        <w:fldChar w:fldCharType="begin"/>
      </w:r>
      <w:r>
        <w:instrText xml:space="preserve"> REF _Ref482890349 \r \h </w:instrText>
      </w:r>
      <w:r>
        <w:fldChar w:fldCharType="separate"/>
      </w:r>
      <w:r w:rsidR="00C451E3">
        <w:t>3</w:t>
      </w:r>
      <w:r>
        <w:fldChar w:fldCharType="end"/>
      </w:r>
      <w:r>
        <w:t xml:space="preserve"> detalla la información requerida para poblarlo. </w:t>
      </w:r>
    </w:p>
    <w:p w14:paraId="71712C89" w14:textId="77777777" w:rsidR="00A375BB" w:rsidRDefault="002344E0" w:rsidP="002344E0">
      <w:pPr>
        <w:pStyle w:val="Ttulo1"/>
      </w:pPr>
      <w:bookmarkStart w:id="16" w:name="_Ref482890326"/>
      <w:bookmarkStart w:id="17" w:name="_Toc485153878"/>
      <w:r>
        <w:lastRenderedPageBreak/>
        <w:t>Estructura</w:t>
      </w:r>
      <w:r w:rsidR="00385933">
        <w:t xml:space="preserve"> y funcionamiento</w:t>
      </w:r>
      <w:r>
        <w:t xml:space="preserve"> del modelo</w:t>
      </w:r>
      <w:bookmarkEnd w:id="16"/>
      <w:bookmarkEnd w:id="17"/>
      <w:r>
        <w:t xml:space="preserve"> </w:t>
      </w:r>
    </w:p>
    <w:p w14:paraId="1DC665A1" w14:textId="77777777" w:rsidR="00E42C73" w:rsidRDefault="00E42C73" w:rsidP="00E42C73">
      <w:r>
        <w:t>El modelo está preparado para estimar los márgenes</w:t>
      </w:r>
      <w:r w:rsidR="00A0617A">
        <w:t xml:space="preserve"> (en términos porcentuales sobre los ingresos)</w:t>
      </w:r>
      <w:r>
        <w:t xml:space="preserve"> </w:t>
      </w:r>
      <w:r w:rsidR="00A0617A">
        <w:t xml:space="preserve">asociados a la provisión </w:t>
      </w:r>
      <w:r w:rsidR="00184D8D">
        <w:t>de servicios minoristas móviles</w:t>
      </w:r>
      <w:r w:rsidR="00A0617A">
        <w:t xml:space="preserve"> por parte de un </w:t>
      </w:r>
      <w:r w:rsidR="00184D8D">
        <w:t>OMV</w:t>
      </w:r>
      <w:r w:rsidR="00A0617A">
        <w:t xml:space="preserve"> que se basa en el servicio mayorista de reventa</w:t>
      </w:r>
      <w:r w:rsidR="00184D8D">
        <w:t xml:space="preserve">. El modelo considera un horizonte temporal de </w:t>
      </w:r>
      <w:r w:rsidR="00DC3D0D">
        <w:t>seis</w:t>
      </w:r>
      <w:r w:rsidR="00A0617A">
        <w:t xml:space="preserve"> meses</w:t>
      </w:r>
      <w:r>
        <w:t xml:space="preserve">. </w:t>
      </w:r>
    </w:p>
    <w:p w14:paraId="5F358DA7" w14:textId="77777777" w:rsidR="00CF1603" w:rsidRDefault="00CF1603" w:rsidP="00E42C73">
      <w:r>
        <w:t>El margen se estima como la diferencia entre los ingresos reportados por el AE</w:t>
      </w:r>
      <w:r w:rsidR="00184D8D">
        <w:t xml:space="preserve">P en la provisión minorista de </w:t>
      </w:r>
      <w:r>
        <w:t xml:space="preserve">servicios </w:t>
      </w:r>
      <w:r w:rsidR="00184D8D">
        <w:t>móviles</w:t>
      </w:r>
      <w:r>
        <w:t>, los pagos mayo</w:t>
      </w:r>
      <w:r w:rsidR="00184D8D">
        <w:t xml:space="preserve">ristas asociados al servicio mayorista para OMV </w:t>
      </w:r>
      <w:r>
        <w:t>reven</w:t>
      </w:r>
      <w:r w:rsidR="00184D8D">
        <w:t>dedores</w:t>
      </w:r>
      <w:r>
        <w:t xml:space="preserve"> y los costos </w:t>
      </w:r>
      <w:r w:rsidR="00DC3D0D">
        <w:t>aguas abajo</w:t>
      </w:r>
      <w:r>
        <w:t xml:space="preserve"> que conlleva la comercialización minorista de los servicios. </w:t>
      </w:r>
    </w:p>
    <w:p w14:paraId="24883A67" w14:textId="77777777" w:rsidR="00CD2D72" w:rsidRDefault="00CD2D72" w:rsidP="00E42C73">
      <w:r>
        <w:t>S</w:t>
      </w:r>
      <w:r w:rsidR="00A34218" w:rsidRPr="00A34218">
        <w:t xml:space="preserve">i el margen es positivo, el modelo indica la replicabilidad de </w:t>
      </w:r>
      <w:r w:rsidR="00A0617A">
        <w:t xml:space="preserve">la oferta minorista de servicios </w:t>
      </w:r>
      <w:r w:rsidR="00184D8D">
        <w:t>móviles</w:t>
      </w:r>
      <w:r w:rsidR="00A0617A">
        <w:t xml:space="preserve"> del AEP</w:t>
      </w:r>
      <w:r w:rsidR="00A34218" w:rsidRPr="00A34218">
        <w:t>.</w:t>
      </w:r>
      <w:r w:rsidR="00A0617A">
        <w:t xml:space="preserve"> En caso contrario, el resultado estaría indicando que un </w:t>
      </w:r>
      <w:r w:rsidR="00184D8D">
        <w:t>OMV revendedor</w:t>
      </w:r>
      <w:r w:rsidR="00A0617A">
        <w:t xml:space="preserve"> no podría replicar de forma rentable la cartera de servicios minoristas </w:t>
      </w:r>
      <w:r w:rsidR="00184D8D">
        <w:t>ofrecidos por el AEP</w:t>
      </w:r>
      <w:r w:rsidR="00A0617A">
        <w:t xml:space="preserve">. </w:t>
      </w:r>
    </w:p>
    <w:p w14:paraId="19354921" w14:textId="77777777" w:rsidR="000C48CD" w:rsidRDefault="000C48CD" w:rsidP="00E42C73">
      <w:r>
        <w:t>El modelo se compone de 4 grandes módulos:</w:t>
      </w:r>
    </w:p>
    <w:p w14:paraId="2C4323F2" w14:textId="77777777" w:rsidR="000C48CD" w:rsidRDefault="000C48CD" w:rsidP="000C48CD">
      <w:pPr>
        <w:pStyle w:val="ListBullet1"/>
      </w:pPr>
      <w:r>
        <w:lastRenderedPageBreak/>
        <w:t>El módulo de resultados, reportando el margen para el periodo considerado;</w:t>
      </w:r>
    </w:p>
    <w:p w14:paraId="26C6D428" w14:textId="77777777" w:rsidR="000C48CD" w:rsidRDefault="000C48CD" w:rsidP="000C48CD">
      <w:pPr>
        <w:pStyle w:val="ListBullet1"/>
      </w:pPr>
      <w:r>
        <w:t>El módulo de cálculos, de ingresos y costos, incluyendo los pagos mayoristas al AEP;</w:t>
      </w:r>
    </w:p>
    <w:p w14:paraId="34C5C2D2" w14:textId="77777777" w:rsidR="000C48CD" w:rsidRDefault="000C48CD" w:rsidP="000C48CD">
      <w:pPr>
        <w:pStyle w:val="ListBullet1"/>
      </w:pPr>
      <w:r>
        <w:t xml:space="preserve">El módulo de información, tanto requerida al AEP como relativa a la oferta mayorista; y </w:t>
      </w:r>
    </w:p>
    <w:p w14:paraId="21CFC649" w14:textId="77777777" w:rsidR="000C48CD" w:rsidRDefault="000C48CD" w:rsidP="000C48CD">
      <w:pPr>
        <w:pStyle w:val="ListBullet1"/>
      </w:pPr>
      <w:r>
        <w:t xml:space="preserve">El módulo de </w:t>
      </w:r>
      <w:r w:rsidR="00026739">
        <w:t>supuestos</w:t>
      </w:r>
      <w:r w:rsidR="00B64777">
        <w:t xml:space="preserve">. </w:t>
      </w:r>
      <w:r>
        <w:t xml:space="preserve"> 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A0617A" w14:paraId="23DAEC50" w14:textId="77777777" w:rsidTr="00A0617A">
        <w:tc>
          <w:tcPr>
            <w:tcW w:w="5000" w:type="pct"/>
            <w:noWrap/>
          </w:tcPr>
          <w:p w14:paraId="3AF6A9C0" w14:textId="77777777" w:rsidR="00A0617A" w:rsidRPr="00F52EB6" w:rsidRDefault="00A0617A" w:rsidP="00A0617A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C451E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ab/>
              <w:t xml:space="preserve">Estructura del modelo de </w:t>
            </w:r>
            <w:r w:rsidR="00026739">
              <w:t>replicabilidad de servicios móviles</w:t>
            </w:r>
          </w:p>
        </w:tc>
      </w:tr>
      <w:tr w:rsidR="00A0617A" w:rsidRPr="00A0617A" w14:paraId="7DB99DDB" w14:textId="77777777" w:rsidTr="00A0617A">
        <w:tc>
          <w:tcPr>
            <w:tcW w:w="5000" w:type="pct"/>
            <w:noWrap/>
          </w:tcPr>
          <w:p w14:paraId="20A8906E" w14:textId="77777777" w:rsidR="00A0617A" w:rsidRPr="00A0617A" w:rsidRDefault="00DC3D0D" w:rsidP="002C69DA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F05970B" wp14:editId="748057E9">
                  <wp:extent cx="4666615" cy="265684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5" cy="26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17A" w:rsidRPr="00A0617A" w14:paraId="27CB3B6C" w14:textId="77777777" w:rsidTr="00A0617A">
        <w:tc>
          <w:tcPr>
            <w:tcW w:w="5000" w:type="pct"/>
            <w:noWrap/>
          </w:tcPr>
          <w:p w14:paraId="54E9C8DA" w14:textId="77777777" w:rsidR="00A0617A" w:rsidRPr="00A0617A" w:rsidRDefault="00A0617A" w:rsidP="00DF7667">
            <w:pPr>
              <w:pStyle w:val="Source"/>
            </w:pPr>
            <w:r w:rsidRPr="00A0617A">
              <w:t>Fuente:</w:t>
            </w:r>
            <w:r w:rsidRPr="00A0617A">
              <w:tab/>
            </w:r>
            <w:r w:rsidR="00DF7667">
              <w:t>Prueba de Replicabilidad Móvil.</w:t>
            </w:r>
            <w:r>
              <w:t xml:space="preserve"> </w:t>
            </w:r>
          </w:p>
        </w:tc>
      </w:tr>
    </w:tbl>
    <w:p w14:paraId="3AB36B1D" w14:textId="77777777" w:rsidR="00A34218" w:rsidRDefault="00444002" w:rsidP="00E42C73">
      <w:r>
        <w:t>A continuación</w:t>
      </w:r>
      <w:r w:rsidR="004A4590">
        <w:t>,</w:t>
      </w:r>
      <w:r w:rsidR="00A34218" w:rsidRPr="00A34218">
        <w:t xml:space="preserve"> se presenta una guía de apoyo </w:t>
      </w:r>
      <w:r w:rsidR="000C48CD">
        <w:t>describiendo cada uno de estos módulos</w:t>
      </w:r>
      <w:r w:rsidR="00A34218" w:rsidRPr="00A34218">
        <w:t xml:space="preserve">.  </w:t>
      </w:r>
    </w:p>
    <w:p w14:paraId="1020F8F3" w14:textId="77777777" w:rsidR="00444002" w:rsidRDefault="00444002" w:rsidP="00444002">
      <w:pPr>
        <w:pStyle w:val="Ttulo4"/>
      </w:pPr>
      <w:r>
        <w:lastRenderedPageBreak/>
        <w:t>Notación</w:t>
      </w:r>
    </w:p>
    <w:p w14:paraId="5BFB4BB5" w14:textId="5F85E4D7" w:rsidR="00444002" w:rsidRDefault="00444002" w:rsidP="00444002">
      <w:r>
        <w:t xml:space="preserve">Los distintos modelos emplean una notación </w:t>
      </w:r>
      <w:r w:rsidR="00AB5694">
        <w:t>homogénea</w:t>
      </w:r>
      <w:r>
        <w:t xml:space="preserve"> para facilitar el entendimiento y uso de los mismos, tal y como se detalla en la figura abajo.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444002" w14:paraId="1B577060" w14:textId="77777777" w:rsidTr="00444002">
        <w:tc>
          <w:tcPr>
            <w:tcW w:w="5000" w:type="pct"/>
            <w:noWrap/>
          </w:tcPr>
          <w:p w14:paraId="529438E4" w14:textId="77777777" w:rsidR="00444002" w:rsidRPr="00F52EB6" w:rsidRDefault="00444002" w:rsidP="00444002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C451E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ab/>
              <w:t>Notación empleada en el modelo</w:t>
            </w:r>
          </w:p>
        </w:tc>
      </w:tr>
      <w:tr w:rsidR="00444002" w:rsidRPr="00444002" w14:paraId="11C25762" w14:textId="77777777" w:rsidTr="00444002">
        <w:tc>
          <w:tcPr>
            <w:tcW w:w="5000" w:type="pct"/>
            <w:noWrap/>
          </w:tcPr>
          <w:p w14:paraId="047EDBC9" w14:textId="77777777" w:rsidR="00444002" w:rsidRPr="00444002" w:rsidRDefault="00DD10EE" w:rsidP="002C69DA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AB97A74" wp14:editId="389BBB3D">
                  <wp:extent cx="5041900" cy="20955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002" w:rsidRPr="00444002" w14:paraId="5B0D0559" w14:textId="77777777" w:rsidTr="00444002">
        <w:tc>
          <w:tcPr>
            <w:tcW w:w="5000" w:type="pct"/>
            <w:noWrap/>
          </w:tcPr>
          <w:p w14:paraId="679F0844" w14:textId="77777777" w:rsidR="00444002" w:rsidRPr="004B007F" w:rsidRDefault="00444002" w:rsidP="00444002">
            <w:pPr>
              <w:pStyle w:val="Source"/>
            </w:pPr>
            <w:r w:rsidRPr="004B007F">
              <w:t>Fuente:</w:t>
            </w:r>
            <w:r w:rsidRPr="004B007F">
              <w:tab/>
            </w:r>
            <w:r w:rsidR="00DF7667">
              <w:t>Prueba de Replicabilidad Móvil.</w:t>
            </w:r>
          </w:p>
        </w:tc>
      </w:tr>
    </w:tbl>
    <w:p w14:paraId="1D930FB6" w14:textId="77777777" w:rsidR="002344E0" w:rsidRDefault="000C48CD" w:rsidP="000F6134">
      <w:pPr>
        <w:pStyle w:val="Ttulo2"/>
      </w:pPr>
      <w:bookmarkStart w:id="18" w:name="_Toc485153879"/>
      <w:r>
        <w:t>Módulo de r</w:t>
      </w:r>
      <w:r w:rsidR="000F6134">
        <w:t>esultados</w:t>
      </w:r>
      <w:bookmarkEnd w:id="18"/>
    </w:p>
    <w:p w14:paraId="2DCE6D92" w14:textId="77777777" w:rsidR="006B7D89" w:rsidRDefault="006B7D89" w:rsidP="005E311C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t>E</w:t>
      </w:r>
      <w:r w:rsidRPr="005E311C">
        <w:rPr>
          <w:rFonts w:ascii="Arial" w:eastAsia="Arial" w:hAnsi="Arial"/>
          <w:color w:val="37424A"/>
        </w:rPr>
        <w:t>n la hoja “Resultados</w:t>
      </w:r>
      <w:r w:rsidR="000C48CD">
        <w:rPr>
          <w:rFonts w:ascii="Arial" w:eastAsia="Arial" w:hAnsi="Arial"/>
          <w:color w:val="37424A"/>
        </w:rPr>
        <w:t>”</w:t>
      </w:r>
      <w:r>
        <w:rPr>
          <w:rFonts w:ascii="Arial" w:eastAsia="Arial" w:hAnsi="Arial"/>
          <w:color w:val="37424A"/>
        </w:rPr>
        <w:t xml:space="preserve"> se muestran </w:t>
      </w:r>
      <w:r w:rsidR="005E311C" w:rsidRPr="005E311C">
        <w:rPr>
          <w:rFonts w:ascii="Arial" w:eastAsia="Arial" w:hAnsi="Arial"/>
          <w:color w:val="37424A"/>
        </w:rPr>
        <w:t>los resultados de</w:t>
      </w:r>
      <w:r w:rsidR="004B4821">
        <w:rPr>
          <w:rFonts w:ascii="Arial" w:eastAsia="Arial" w:hAnsi="Arial"/>
          <w:color w:val="37424A"/>
        </w:rPr>
        <w:t xml:space="preserve"> la prueba</w:t>
      </w:r>
      <w:r w:rsidR="005E311C" w:rsidRPr="005E311C">
        <w:rPr>
          <w:rFonts w:ascii="Arial" w:eastAsia="Arial" w:hAnsi="Arial"/>
          <w:color w:val="37424A"/>
        </w:rPr>
        <w:t xml:space="preserve"> </w:t>
      </w:r>
      <w:r w:rsidR="000C48CD">
        <w:rPr>
          <w:rFonts w:ascii="Arial" w:eastAsia="Arial" w:hAnsi="Arial"/>
          <w:color w:val="37424A"/>
        </w:rPr>
        <w:t xml:space="preserve">en términos del margen porcentual sobre los ingresos minoristas para los 6 meses considerados en el modelo. </w:t>
      </w:r>
    </w:p>
    <w:p w14:paraId="634E3335" w14:textId="77777777" w:rsidR="005E311C" w:rsidRPr="005E311C" w:rsidRDefault="000C48CD" w:rsidP="005E311C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t>El margen se estima como la diferencia entre:</w:t>
      </w:r>
    </w:p>
    <w:p w14:paraId="4A0F68CC" w14:textId="77777777" w:rsidR="005E311C" w:rsidRPr="005E311C" w:rsidRDefault="005E311C" w:rsidP="005E311C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lastRenderedPageBreak/>
        <w:t xml:space="preserve">Los ingresos </w:t>
      </w:r>
      <w:r w:rsidR="000C48CD">
        <w:rPr>
          <w:rFonts w:ascii="Arial" w:eastAsia="Arial" w:hAnsi="Arial"/>
          <w:color w:val="37424A"/>
        </w:rPr>
        <w:t>obtenidos por el AEP</w:t>
      </w:r>
      <w:r w:rsidRPr="005E311C">
        <w:rPr>
          <w:rFonts w:ascii="Arial" w:eastAsia="Arial" w:hAnsi="Arial"/>
          <w:color w:val="37424A"/>
        </w:rPr>
        <w:t xml:space="preserve"> durante el período</w:t>
      </w:r>
      <w:r w:rsidR="008B7A2D">
        <w:rPr>
          <w:rFonts w:ascii="Arial" w:eastAsia="Arial" w:hAnsi="Arial"/>
          <w:color w:val="37424A"/>
        </w:rPr>
        <w:t xml:space="preserve"> (celda C11</w:t>
      </w:r>
      <w:r w:rsidR="000C48CD">
        <w:rPr>
          <w:rFonts w:ascii="Arial" w:eastAsia="Arial" w:hAnsi="Arial"/>
          <w:color w:val="37424A"/>
        </w:rPr>
        <w:t xml:space="preserve">); </w:t>
      </w:r>
    </w:p>
    <w:p w14:paraId="4C342D34" w14:textId="2EA904D1" w:rsidR="005E311C" w:rsidRPr="005E311C" w:rsidRDefault="005E311C" w:rsidP="005E311C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t xml:space="preserve">Los pagos asociados </w:t>
      </w:r>
      <w:r w:rsidR="00B64777">
        <w:rPr>
          <w:rFonts w:ascii="Arial" w:eastAsia="Arial" w:hAnsi="Arial"/>
          <w:color w:val="37424A"/>
        </w:rPr>
        <w:t>al uso del servicio mayorista para OMV</w:t>
      </w:r>
      <w:r w:rsidR="004B4821">
        <w:rPr>
          <w:rFonts w:ascii="Arial" w:eastAsia="Arial" w:hAnsi="Arial"/>
          <w:color w:val="37424A"/>
        </w:rPr>
        <w:t xml:space="preserve"> </w:t>
      </w:r>
      <w:r w:rsidR="00B64777">
        <w:rPr>
          <w:rFonts w:ascii="Arial" w:eastAsia="Arial" w:hAnsi="Arial"/>
          <w:color w:val="37424A"/>
        </w:rPr>
        <w:t xml:space="preserve">revendedores </w:t>
      </w:r>
      <w:r w:rsidR="00DC3D0D">
        <w:rPr>
          <w:rFonts w:ascii="Arial" w:eastAsia="Arial" w:hAnsi="Arial"/>
          <w:color w:val="37424A"/>
        </w:rPr>
        <w:t>(celda C48</w:t>
      </w:r>
      <w:r w:rsidR="000C48CD">
        <w:rPr>
          <w:rFonts w:ascii="Arial" w:eastAsia="Arial" w:hAnsi="Arial"/>
          <w:color w:val="37424A"/>
        </w:rPr>
        <w:t xml:space="preserve">); y </w:t>
      </w:r>
      <w:r w:rsidRPr="005E311C">
        <w:rPr>
          <w:rFonts w:ascii="Arial" w:eastAsia="Arial" w:hAnsi="Arial"/>
          <w:color w:val="37424A"/>
        </w:rPr>
        <w:t xml:space="preserve"> </w:t>
      </w:r>
    </w:p>
    <w:p w14:paraId="08B70E98" w14:textId="252A914E" w:rsidR="005E311C" w:rsidRPr="005E311C" w:rsidRDefault="005E311C" w:rsidP="005E311C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t xml:space="preserve">Los costos </w:t>
      </w:r>
      <w:r w:rsidR="00DC3D0D">
        <w:rPr>
          <w:rFonts w:ascii="Arial" w:eastAsia="Arial" w:hAnsi="Arial"/>
          <w:color w:val="37424A"/>
        </w:rPr>
        <w:t>aguas abajo</w:t>
      </w:r>
      <w:r w:rsidRPr="005E311C">
        <w:rPr>
          <w:rFonts w:ascii="Arial" w:eastAsia="Arial" w:hAnsi="Arial"/>
          <w:color w:val="37424A"/>
        </w:rPr>
        <w:t xml:space="preserve"> asociados a la </w:t>
      </w:r>
      <w:r w:rsidR="000C48CD">
        <w:rPr>
          <w:rFonts w:ascii="Arial" w:eastAsia="Arial" w:hAnsi="Arial"/>
          <w:color w:val="37424A"/>
        </w:rPr>
        <w:t xml:space="preserve">prestación </w:t>
      </w:r>
      <w:r w:rsidR="00B64777">
        <w:rPr>
          <w:rFonts w:ascii="Arial" w:eastAsia="Arial" w:hAnsi="Arial"/>
          <w:color w:val="37424A"/>
        </w:rPr>
        <w:t>de los servicios minoristas móviles</w:t>
      </w:r>
      <w:r w:rsidR="000C48CD">
        <w:rPr>
          <w:rFonts w:ascii="Arial" w:eastAsia="Arial" w:hAnsi="Arial"/>
          <w:color w:val="37424A"/>
        </w:rPr>
        <w:t xml:space="preserve"> en el período (celda </w:t>
      </w:r>
      <w:r w:rsidR="00DC3D0D">
        <w:rPr>
          <w:rFonts w:ascii="Arial" w:eastAsia="Arial" w:hAnsi="Arial"/>
          <w:color w:val="37424A"/>
        </w:rPr>
        <w:t>C68</w:t>
      </w:r>
      <w:r w:rsidR="000C48CD">
        <w:rPr>
          <w:rFonts w:ascii="Arial" w:eastAsia="Arial" w:hAnsi="Arial"/>
          <w:color w:val="37424A"/>
        </w:rPr>
        <w:t>)</w:t>
      </w:r>
      <w:r w:rsidRPr="005E311C">
        <w:rPr>
          <w:rFonts w:ascii="Arial" w:eastAsia="Arial" w:hAnsi="Arial"/>
          <w:color w:val="37424A"/>
        </w:rPr>
        <w:t>.</w:t>
      </w:r>
    </w:p>
    <w:p w14:paraId="71B78381" w14:textId="77777777" w:rsidR="005E311C" w:rsidRDefault="00155FC0" w:rsidP="005E311C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t xml:space="preserve">Si los ingresos obtenidos en el período superan los costos asociados </w:t>
      </w:r>
      <w:r w:rsidR="005D731F">
        <w:rPr>
          <w:rFonts w:ascii="Arial" w:eastAsia="Arial" w:hAnsi="Arial"/>
          <w:color w:val="37424A"/>
        </w:rPr>
        <w:t>se considera que las tarifas son replicables</w:t>
      </w:r>
      <w:r w:rsidR="005E311C" w:rsidRPr="005E311C">
        <w:rPr>
          <w:rFonts w:ascii="Arial" w:eastAsia="Arial" w:hAnsi="Arial"/>
          <w:color w:val="37424A"/>
        </w:rPr>
        <w:t xml:space="preserve">. 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155FC0" w14:paraId="432DC606" w14:textId="77777777" w:rsidTr="00155FC0">
        <w:tc>
          <w:tcPr>
            <w:tcW w:w="5000" w:type="pct"/>
            <w:noWrap/>
          </w:tcPr>
          <w:p w14:paraId="283CE519" w14:textId="77777777" w:rsidR="00155FC0" w:rsidRPr="00F52EB6" w:rsidRDefault="00155FC0" w:rsidP="00155FC0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C451E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ab/>
              <w:t xml:space="preserve">Reporte de resultados del modelo de </w:t>
            </w:r>
            <w:r w:rsidR="008F7E21">
              <w:t>replicabilidad de servicios móviles</w:t>
            </w:r>
          </w:p>
        </w:tc>
      </w:tr>
      <w:tr w:rsidR="00155FC0" w:rsidRPr="00155FC0" w14:paraId="3FA1D0DB" w14:textId="77777777" w:rsidTr="00155FC0">
        <w:tc>
          <w:tcPr>
            <w:tcW w:w="5000" w:type="pct"/>
            <w:noWrap/>
          </w:tcPr>
          <w:p w14:paraId="4E12BB21" w14:textId="77777777" w:rsidR="00155FC0" w:rsidRPr="00155FC0" w:rsidRDefault="00CA540B" w:rsidP="002C69DA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96AD9D1" wp14:editId="23330BC8">
                  <wp:extent cx="2713544" cy="139446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097" cy="139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FC0" w:rsidRPr="005D731F" w14:paraId="5FC85D2E" w14:textId="77777777" w:rsidTr="00155FC0">
        <w:tc>
          <w:tcPr>
            <w:tcW w:w="5000" w:type="pct"/>
            <w:noWrap/>
          </w:tcPr>
          <w:p w14:paraId="3DD642AB" w14:textId="77777777" w:rsidR="00155FC0" w:rsidRPr="005D731F" w:rsidRDefault="00155FC0" w:rsidP="00A87169">
            <w:pPr>
              <w:pStyle w:val="Source"/>
            </w:pPr>
            <w:r w:rsidRPr="00155FC0">
              <w:t>Fuente:</w:t>
            </w:r>
            <w:r w:rsidRPr="00155FC0">
              <w:tab/>
            </w:r>
            <w:r w:rsidR="00A87169">
              <w:t xml:space="preserve">Prueba de </w:t>
            </w:r>
            <w:r w:rsidR="00B64777">
              <w:t>Replicabilidad Móvil</w:t>
            </w:r>
            <w:r>
              <w:t>.</w:t>
            </w:r>
          </w:p>
        </w:tc>
      </w:tr>
      <w:tr w:rsidR="00B72DC7" w:rsidRPr="005D731F" w14:paraId="66C07842" w14:textId="77777777" w:rsidTr="00155FC0">
        <w:tc>
          <w:tcPr>
            <w:tcW w:w="5000" w:type="pct"/>
            <w:noWrap/>
          </w:tcPr>
          <w:p w14:paraId="24AB9D5B" w14:textId="77777777" w:rsidR="00B72DC7" w:rsidRPr="00155FC0" w:rsidRDefault="00B72DC7" w:rsidP="005D731F">
            <w:pPr>
              <w:pStyle w:val="Source"/>
            </w:pPr>
          </w:p>
        </w:tc>
      </w:tr>
    </w:tbl>
    <w:p w14:paraId="00D271C5" w14:textId="77777777" w:rsidR="000F6134" w:rsidRDefault="00444002" w:rsidP="000F6134">
      <w:pPr>
        <w:pStyle w:val="Ttulo2"/>
      </w:pPr>
      <w:bookmarkStart w:id="19" w:name="_Toc485153880"/>
      <w:r>
        <w:lastRenderedPageBreak/>
        <w:t>Módulo de c</w:t>
      </w:r>
      <w:r w:rsidR="000F6134">
        <w:t>álculos</w:t>
      </w:r>
      <w:bookmarkEnd w:id="19"/>
    </w:p>
    <w:p w14:paraId="2463345C" w14:textId="77777777" w:rsidR="000F6134" w:rsidRDefault="000F6134" w:rsidP="000F6134">
      <w:pPr>
        <w:pStyle w:val="Ttulo3"/>
      </w:pPr>
      <w:r>
        <w:t>Ingresos</w:t>
      </w:r>
    </w:p>
    <w:p w14:paraId="0CDC8432" w14:textId="77777777" w:rsidR="005E311C" w:rsidRDefault="00415365" w:rsidP="00B96201">
      <w:r>
        <w:t xml:space="preserve">El modelo presenta el valor de los ingresos del AEP asociados a la </w:t>
      </w:r>
      <w:r w:rsidR="00B96201">
        <w:t>cartera</w:t>
      </w:r>
      <w:r>
        <w:t xml:space="preserve"> </w:t>
      </w:r>
      <w:r w:rsidR="005D731F">
        <w:t xml:space="preserve">minorista de </w:t>
      </w:r>
      <w:r w:rsidR="00B96201">
        <w:t>servicios móviles</w:t>
      </w:r>
      <w:r w:rsidR="005D731F">
        <w:t xml:space="preserve"> en los </w:t>
      </w:r>
      <w:r w:rsidR="00C74D2B">
        <w:t>seis</w:t>
      </w:r>
      <w:r w:rsidR="005D731F">
        <w:t xml:space="preserve"> meses considerados</w:t>
      </w:r>
      <w:r>
        <w:t xml:space="preserve">. </w:t>
      </w:r>
      <w:r w:rsidR="009F5F23" w:rsidRPr="005E311C">
        <w:t xml:space="preserve">Los ingresos se nutren directamente del requerimiento de información al </w:t>
      </w:r>
      <w:r w:rsidR="005D731F">
        <w:t>AEP</w:t>
      </w:r>
      <w:r w:rsidR="009F5F23">
        <w:t xml:space="preserve"> y</w:t>
      </w:r>
      <w:r>
        <w:t xml:space="preserve"> pueden verse de manera desglosada en la hoj</w:t>
      </w:r>
      <w:r w:rsidR="00C74D2B">
        <w:t>a “Ingresos”. Se distinguen las siguientes categorías:</w:t>
      </w:r>
    </w:p>
    <w:p w14:paraId="02C817D2" w14:textId="77777777" w:rsidR="004F07D5" w:rsidRDefault="004F07D5" w:rsidP="004F07D5">
      <w:pPr>
        <w:pStyle w:val="ParaBullet1"/>
      </w:pPr>
      <w:r>
        <w:t>Pago recurrente</w:t>
      </w:r>
      <w:r w:rsidR="00567658">
        <w:t>;</w:t>
      </w:r>
    </w:p>
    <w:p w14:paraId="51467E1C" w14:textId="77777777" w:rsidR="004F07D5" w:rsidRDefault="004F07D5" w:rsidP="004F07D5">
      <w:pPr>
        <w:pStyle w:val="ParaBullet1"/>
      </w:pPr>
      <w:r>
        <w:t xml:space="preserve">Servicio de Telefonía Móvil </w:t>
      </w:r>
      <w:r w:rsidR="00567658">
        <w:t>–</w:t>
      </w:r>
      <w:r>
        <w:t xml:space="preserve"> voz</w:t>
      </w:r>
      <w:r w:rsidR="00567658">
        <w:t>;</w:t>
      </w:r>
    </w:p>
    <w:p w14:paraId="1860DDD1" w14:textId="77777777" w:rsidR="004F07D5" w:rsidRDefault="004F07D5" w:rsidP="004F07D5">
      <w:pPr>
        <w:pStyle w:val="ParaBullet1"/>
      </w:pPr>
      <w:r>
        <w:t>Servicio de Acceso a Internet Móvil</w:t>
      </w:r>
      <w:r w:rsidR="00567658">
        <w:t>;</w:t>
      </w:r>
    </w:p>
    <w:p w14:paraId="572A615B" w14:textId="77777777" w:rsidR="004F07D5" w:rsidRDefault="004F07D5" w:rsidP="004F07D5">
      <w:pPr>
        <w:pStyle w:val="ParaBullet1"/>
      </w:pPr>
      <w:r>
        <w:t xml:space="preserve">Servicio de Telefonía Móvil </w:t>
      </w:r>
      <w:r w:rsidR="00567658">
        <w:t>–</w:t>
      </w:r>
      <w:r>
        <w:t xml:space="preserve"> mensajes</w:t>
      </w:r>
      <w:r w:rsidR="00567658">
        <w:t>;</w:t>
      </w:r>
    </w:p>
    <w:p w14:paraId="0FE5D660" w14:textId="77777777" w:rsidR="004F07D5" w:rsidRDefault="004F07D5" w:rsidP="004F07D5">
      <w:pPr>
        <w:pStyle w:val="ParaBullet1"/>
      </w:pPr>
      <w:r>
        <w:t>Servicios OTT de vídeo</w:t>
      </w:r>
      <w:r w:rsidR="00567658">
        <w:t>;</w:t>
      </w:r>
    </w:p>
    <w:p w14:paraId="7F5DCD14" w14:textId="77777777" w:rsidR="004F07D5" w:rsidRDefault="004F07D5" w:rsidP="004F07D5">
      <w:pPr>
        <w:pStyle w:val="ParaBullet1"/>
      </w:pPr>
      <w:r>
        <w:t>Servicios OTT de audio</w:t>
      </w:r>
      <w:r w:rsidR="00567658">
        <w:t>;</w:t>
      </w:r>
    </w:p>
    <w:p w14:paraId="4C917EE9" w14:textId="77777777" w:rsidR="004F07D5" w:rsidRDefault="004F07D5" w:rsidP="004F07D5">
      <w:pPr>
        <w:pStyle w:val="ParaBullet1"/>
      </w:pPr>
      <w:r>
        <w:t>Venta de equipos terminales</w:t>
      </w:r>
      <w:r w:rsidR="00567658">
        <w:t>; y</w:t>
      </w:r>
    </w:p>
    <w:p w14:paraId="04BE9A39" w14:textId="77777777" w:rsidR="00082A07" w:rsidRPr="005E311C" w:rsidRDefault="004F07D5" w:rsidP="00082A07">
      <w:pPr>
        <w:pStyle w:val="ParaBullet1"/>
      </w:pPr>
      <w:r>
        <w:t>Otros servicios minoristas</w:t>
      </w:r>
      <w:r w:rsidR="00082A07">
        <w:t>.</w:t>
      </w:r>
    </w:p>
    <w:p w14:paraId="1F2F2D90" w14:textId="77777777" w:rsidR="000F6134" w:rsidRDefault="000F6134" w:rsidP="000F6134">
      <w:pPr>
        <w:pStyle w:val="Ttulo3"/>
      </w:pPr>
      <w:r>
        <w:lastRenderedPageBreak/>
        <w:t>Costos</w:t>
      </w:r>
    </w:p>
    <w:p w14:paraId="6FF3B145" w14:textId="77777777" w:rsidR="000F6134" w:rsidRDefault="000F6134" w:rsidP="000F6134">
      <w:pPr>
        <w:pStyle w:val="Ttulo4"/>
      </w:pPr>
      <w:r>
        <w:t>Pagos mayoristas</w:t>
      </w:r>
    </w:p>
    <w:p w14:paraId="72E49A9A" w14:textId="77777777" w:rsidR="00773081" w:rsidRDefault="00773081" w:rsidP="005E311C">
      <w:r>
        <w:t xml:space="preserve">Los pagos mayoristas </w:t>
      </w:r>
      <w:r w:rsidR="005943B5" w:rsidRPr="005943B5">
        <w:t xml:space="preserve">se </w:t>
      </w:r>
      <w:r w:rsidR="005943B5">
        <w:t>muestran en la hoja “Costos”</w:t>
      </w:r>
      <w:r w:rsidR="008132DD">
        <w:t xml:space="preserve"> (celdas C5:C10</w:t>
      </w:r>
      <w:r w:rsidR="008F2ADA">
        <w:t>) y su cálculo se detalla en la hoja “Pagos mayoristas”</w:t>
      </w:r>
      <w:r w:rsidR="005943B5">
        <w:t xml:space="preserve">. Estos pagos se </w:t>
      </w:r>
      <w:r w:rsidR="005943B5" w:rsidRPr="005943B5">
        <w:t xml:space="preserve">estiman </w:t>
      </w:r>
      <w:r w:rsidR="005943B5">
        <w:t>basándose en</w:t>
      </w:r>
      <w:r w:rsidR="005943B5" w:rsidRPr="005943B5">
        <w:t xml:space="preserve"> la información de la </w:t>
      </w:r>
      <w:r w:rsidR="00CF7BAB">
        <w:t>oferta mayorista para OMV revendedores y</w:t>
      </w:r>
      <w:r w:rsidR="005943B5" w:rsidRPr="005943B5">
        <w:t xml:space="preserve"> la información provista por el </w:t>
      </w:r>
      <w:r w:rsidR="00CF7BAB">
        <w:t>AEP sobre la demanda minorista (usuarios y tráfico para los distintos servicios ofrecidos)</w:t>
      </w:r>
      <w:r w:rsidR="008F2ADA">
        <w:t xml:space="preserve">. </w:t>
      </w:r>
    </w:p>
    <w:p w14:paraId="470BED92" w14:textId="2ACAF60A" w:rsidR="000C3ED4" w:rsidRDefault="000C3ED4" w:rsidP="005E311C">
      <w:r>
        <w:t>Se distinguen los siguientes tipos de pagos</w:t>
      </w:r>
      <w:r w:rsidR="009F4A3C">
        <w:t xml:space="preserve"> </w:t>
      </w:r>
      <w:r>
        <w:t>mayoristas:</w:t>
      </w:r>
    </w:p>
    <w:p w14:paraId="2FA5DBF9" w14:textId="77777777" w:rsidR="000C3ED4" w:rsidRDefault="00347DD3" w:rsidP="000C3ED4">
      <w:pPr>
        <w:pStyle w:val="ParaBullet1"/>
      </w:pPr>
      <w:r>
        <w:t>Pagos por originació</w:t>
      </w:r>
      <w:r w:rsidR="000C3ED4">
        <w:t xml:space="preserve">n de tráfico. Aquí también se incluyen los pagos </w:t>
      </w:r>
      <w:r w:rsidR="004A4590">
        <w:t>por el tráfico de datos móviles;</w:t>
      </w:r>
    </w:p>
    <w:p w14:paraId="08F4A272" w14:textId="77777777" w:rsidR="000C3ED4" w:rsidRDefault="008132DD" w:rsidP="000C3ED4">
      <w:pPr>
        <w:pStyle w:val="ParaBullet1"/>
      </w:pPr>
      <w:r>
        <w:t>Pagos por trá</w:t>
      </w:r>
      <w:r w:rsidR="000C3ED4">
        <w:t>nsito</w:t>
      </w:r>
      <w:r>
        <w:t>, cuando e</w:t>
      </w:r>
      <w:r w:rsidR="004A4590">
        <w:t>l AEP se enfrente a este costo;</w:t>
      </w:r>
    </w:p>
    <w:p w14:paraId="2C08B1BA" w14:textId="77777777" w:rsidR="00FD6675" w:rsidRDefault="00FD6675" w:rsidP="000C3ED4">
      <w:pPr>
        <w:pStyle w:val="ParaBullet1"/>
      </w:pPr>
      <w:r>
        <w:t>Pagos por terminación</w:t>
      </w:r>
      <w:r w:rsidR="008132DD">
        <w:t xml:space="preserve"> en otras redes</w:t>
      </w:r>
      <w:r w:rsidR="004A4590">
        <w:t>;</w:t>
      </w:r>
    </w:p>
    <w:p w14:paraId="6496FCE4" w14:textId="77777777" w:rsidR="00FD6675" w:rsidRDefault="00FD6675" w:rsidP="000C3ED4">
      <w:pPr>
        <w:pStyle w:val="ParaBullet1"/>
      </w:pPr>
      <w:r>
        <w:t>Pagos recurrentes mensuales asociados a la administración de los distintos tipos de usuarios</w:t>
      </w:r>
      <w:r w:rsidR="008132DD">
        <w:t xml:space="preserve"> y a la activación de servicios de valor añadido básicos</w:t>
      </w:r>
      <w:r w:rsidR="004A4590">
        <w:t>; y</w:t>
      </w:r>
    </w:p>
    <w:p w14:paraId="0F70AC3E" w14:textId="77777777" w:rsidR="00FD6675" w:rsidRDefault="00FD6675" w:rsidP="000C3ED4">
      <w:pPr>
        <w:pStyle w:val="ParaBullet1"/>
      </w:pPr>
      <w:r>
        <w:t>Pagos fijos, as</w:t>
      </w:r>
      <w:r w:rsidR="004A4590">
        <w:t>ociados al inicio del contrato.</w:t>
      </w:r>
    </w:p>
    <w:p w14:paraId="708C9233" w14:textId="6065DCDD" w:rsidR="000F6134" w:rsidRDefault="000F6134" w:rsidP="000F6134">
      <w:pPr>
        <w:pStyle w:val="Ttulo4"/>
      </w:pPr>
      <w:r>
        <w:lastRenderedPageBreak/>
        <w:t xml:space="preserve">Costos </w:t>
      </w:r>
      <w:r w:rsidR="009D7C75">
        <w:t>aguas abajo</w:t>
      </w:r>
    </w:p>
    <w:p w14:paraId="5BD199E6" w14:textId="474DB047" w:rsidR="00773081" w:rsidRDefault="00773081" w:rsidP="005E311C">
      <w:r>
        <w:t xml:space="preserve">El modelo muestra </w:t>
      </w:r>
      <w:r w:rsidRPr="00773081">
        <w:t xml:space="preserve">el valor de los costos </w:t>
      </w:r>
      <w:r w:rsidR="00D72238">
        <w:t>downstream</w:t>
      </w:r>
      <w:r w:rsidRPr="00773081">
        <w:t xml:space="preserve"> </w:t>
      </w:r>
      <w:r w:rsidR="00A87169">
        <w:t xml:space="preserve">(aguas abajo) </w:t>
      </w:r>
      <w:r>
        <w:t>durante el periodo escogido</w:t>
      </w:r>
      <w:r w:rsidR="009D7C75">
        <w:t xml:space="preserve"> en la hoja “Costos” (celdas C36:C42) y su cálculo se detalla</w:t>
      </w:r>
      <w:r>
        <w:t xml:space="preserve"> </w:t>
      </w:r>
      <w:r w:rsidRPr="00773081">
        <w:t>en la hoja “</w:t>
      </w:r>
      <w:r>
        <w:t>C</w:t>
      </w:r>
      <w:r w:rsidRPr="00773081">
        <w:t>ostos</w:t>
      </w:r>
      <w:r w:rsidR="00347DD3">
        <w:t xml:space="preserve"> downstream</w:t>
      </w:r>
      <w:r w:rsidRPr="00773081">
        <w:t>”</w:t>
      </w:r>
      <w:r w:rsidR="00C451E3">
        <w:t>, celdas C3:C15</w:t>
      </w:r>
      <w:r>
        <w:t>.</w:t>
      </w:r>
      <w:r w:rsidRPr="00773081">
        <w:t xml:space="preserve"> Los </w:t>
      </w:r>
      <w:r w:rsidR="00EA5AD6">
        <w:t>costos</w:t>
      </w:r>
      <w:r w:rsidRPr="00773081">
        <w:t xml:space="preserve"> se nutren directamente del requerimiento de información al operador preponderante. </w:t>
      </w:r>
      <w:r w:rsidR="008F2ADA">
        <w:t>Se distingue entre los siguientes componentes de costos</w:t>
      </w:r>
      <w:r w:rsidRPr="00773081">
        <w:t>:</w:t>
      </w:r>
    </w:p>
    <w:p w14:paraId="1309F1A3" w14:textId="77777777" w:rsidR="00C74D2B" w:rsidRDefault="00C74D2B" w:rsidP="00C74D2B">
      <w:pPr>
        <w:pStyle w:val="ParaBullet1"/>
      </w:pPr>
      <w:r>
        <w:t>Asociados a la prestación de servicios móviles OTT</w:t>
      </w:r>
      <w:r w:rsidR="00727549">
        <w:t>;</w:t>
      </w:r>
    </w:p>
    <w:p w14:paraId="7F87AEF6" w14:textId="77777777" w:rsidR="00C74D2B" w:rsidRDefault="00C74D2B" w:rsidP="00C74D2B">
      <w:pPr>
        <w:pStyle w:val="ParaBullet1"/>
      </w:pPr>
      <w:r>
        <w:t>Comerciales</w:t>
      </w:r>
      <w:r w:rsidR="00727549">
        <w:t>;</w:t>
      </w:r>
    </w:p>
    <w:p w14:paraId="13500EC7" w14:textId="77777777" w:rsidR="00C74D2B" w:rsidRDefault="00C74D2B" w:rsidP="00C74D2B">
      <w:pPr>
        <w:pStyle w:val="ParaBullet1"/>
      </w:pPr>
      <w:r>
        <w:t>Facturación</w:t>
      </w:r>
      <w:r w:rsidR="00727549">
        <w:t>;</w:t>
      </w:r>
    </w:p>
    <w:p w14:paraId="0153A211" w14:textId="77777777" w:rsidR="00C74D2B" w:rsidRDefault="00C74D2B" w:rsidP="00C74D2B">
      <w:pPr>
        <w:pStyle w:val="ParaBullet1"/>
      </w:pPr>
      <w:r>
        <w:t>Cobranza</w:t>
      </w:r>
      <w:r w:rsidR="00727549">
        <w:t>;</w:t>
      </w:r>
    </w:p>
    <w:p w14:paraId="007D1B61" w14:textId="77777777" w:rsidR="009236F0" w:rsidRDefault="009236F0" w:rsidP="00C74D2B">
      <w:pPr>
        <w:pStyle w:val="ParaBullet1"/>
      </w:pPr>
      <w:r>
        <w:t>Tasas e impuestos;</w:t>
      </w:r>
    </w:p>
    <w:p w14:paraId="5A900A5D" w14:textId="77777777" w:rsidR="00C74D2B" w:rsidRDefault="00C74D2B" w:rsidP="00C74D2B">
      <w:pPr>
        <w:pStyle w:val="ParaBullet1"/>
      </w:pPr>
      <w:r>
        <w:t>Programas de fidelización</w:t>
      </w:r>
      <w:r w:rsidR="00727549">
        <w:t>;</w:t>
      </w:r>
    </w:p>
    <w:p w14:paraId="62EA8AFA" w14:textId="77777777" w:rsidR="00C74D2B" w:rsidRDefault="00C74D2B" w:rsidP="00C74D2B">
      <w:pPr>
        <w:pStyle w:val="ParaBullet1"/>
      </w:pPr>
      <w:r>
        <w:t>Acceso internet internacional</w:t>
      </w:r>
      <w:r w:rsidR="00727549">
        <w:t>;</w:t>
      </w:r>
    </w:p>
    <w:p w14:paraId="5AE28DB5" w14:textId="77777777" w:rsidR="00C74D2B" w:rsidRDefault="00C74D2B" w:rsidP="00C74D2B">
      <w:pPr>
        <w:pStyle w:val="ParaBullet1"/>
      </w:pPr>
      <w:r>
        <w:t>Roaming nacional</w:t>
      </w:r>
      <w:r w:rsidR="00727549">
        <w:t>;</w:t>
      </w:r>
    </w:p>
    <w:p w14:paraId="40634061" w14:textId="77777777" w:rsidR="00C74D2B" w:rsidRDefault="00C74D2B" w:rsidP="00C74D2B">
      <w:pPr>
        <w:pStyle w:val="ParaBullet1"/>
      </w:pPr>
      <w:r>
        <w:t>Roaming internacional</w:t>
      </w:r>
      <w:r w:rsidR="00727549">
        <w:t>;</w:t>
      </w:r>
    </w:p>
    <w:p w14:paraId="3AA9AB18" w14:textId="77777777" w:rsidR="008C7E58" w:rsidRDefault="00C74D2B" w:rsidP="00C74D2B">
      <w:pPr>
        <w:pStyle w:val="ParaBullet1"/>
      </w:pPr>
      <w:r>
        <w:t>Provisiones</w:t>
      </w:r>
      <w:r w:rsidR="00E4328F">
        <w:t xml:space="preserve"> (gestión de las provisiones por insolvencias)</w:t>
      </w:r>
      <w:r w:rsidR="00727549">
        <w:t xml:space="preserve">; </w:t>
      </w:r>
    </w:p>
    <w:p w14:paraId="1A159A1A" w14:textId="77777777" w:rsidR="00C74D2B" w:rsidRDefault="008C7E58" w:rsidP="00C74D2B">
      <w:pPr>
        <w:pStyle w:val="ParaBullet1"/>
      </w:pPr>
      <w:r>
        <w:t xml:space="preserve">Costos directos de la venta de terminales; </w:t>
      </w:r>
      <w:r w:rsidR="00727549">
        <w:t>y</w:t>
      </w:r>
    </w:p>
    <w:p w14:paraId="49C59DE1" w14:textId="77777777" w:rsidR="00C74D2B" w:rsidRDefault="00C74D2B" w:rsidP="00C74D2B">
      <w:pPr>
        <w:pStyle w:val="ParaBullet1"/>
      </w:pPr>
      <w:r>
        <w:t>Costo del Capital</w:t>
      </w:r>
      <w:r w:rsidR="00727549">
        <w:t>.</w:t>
      </w:r>
    </w:p>
    <w:p w14:paraId="3D4690B0" w14:textId="3ED7034B" w:rsidR="00D72238" w:rsidRDefault="00D72238" w:rsidP="00D72238">
      <w:r>
        <w:lastRenderedPageBreak/>
        <w:t xml:space="preserve">Estas categorías de costos están alineadas con las directrices de la separación contable a implementar por el AEP. El único costo adicional que se incluye en el modelo es el “Costo del capital”, entendido como el costo asociado a la remuneración del capital empleado para la prestación de los servicios </w:t>
      </w:r>
      <w:r w:rsidR="00E864E2">
        <w:t>móvil</w:t>
      </w:r>
      <w:r w:rsidR="00945F96">
        <w:t>es</w:t>
      </w:r>
      <w:r>
        <w:t xml:space="preserve">. </w:t>
      </w:r>
    </w:p>
    <w:p w14:paraId="57298282" w14:textId="77777777" w:rsidR="00444002" w:rsidRDefault="00444002" w:rsidP="00347DD3">
      <w:pPr>
        <w:pStyle w:val="Ttulo2"/>
      </w:pPr>
      <w:bookmarkStart w:id="20" w:name="_Toc485153881"/>
      <w:r>
        <w:t xml:space="preserve">Módulo de </w:t>
      </w:r>
      <w:r w:rsidR="00347DD3">
        <w:t>supuestos</w:t>
      </w:r>
      <w:bookmarkEnd w:id="20"/>
    </w:p>
    <w:p w14:paraId="6E809582" w14:textId="77777777" w:rsidR="000C1BE3" w:rsidRDefault="008877A3" w:rsidP="008F2ADA">
      <w:r>
        <w:t xml:space="preserve">En la hoja de “Supuestos” se </w:t>
      </w:r>
      <w:r w:rsidR="000C1BE3">
        <w:t>incluye:</w:t>
      </w:r>
    </w:p>
    <w:p w14:paraId="55F485B9" w14:textId="77777777" w:rsidR="000C1BE3" w:rsidRDefault="000C1BE3" w:rsidP="000C1BE3">
      <w:pPr>
        <w:pStyle w:val="ParaBullet1"/>
      </w:pPr>
      <w:r>
        <w:t>La categorización de servicios móviles, n</w:t>
      </w:r>
      <w:r w:rsidR="00985FDD">
        <w:t xml:space="preserve">ecesaria para estimar los pagos </w:t>
      </w:r>
      <w:r>
        <w:t>mayorista</w:t>
      </w:r>
      <w:r w:rsidR="00985FDD">
        <w:t>s</w:t>
      </w:r>
      <w:r>
        <w:t xml:space="preserve"> (celdas B7:B38);</w:t>
      </w:r>
    </w:p>
    <w:p w14:paraId="20BB00D2" w14:textId="77777777" w:rsidR="000C1BE3" w:rsidRDefault="000C1BE3" w:rsidP="000C1BE3">
      <w:pPr>
        <w:pStyle w:val="ParaBullet1"/>
      </w:pPr>
      <w:r>
        <w:t xml:space="preserve">El período de amortización de los cargos fijos (celda F5); </w:t>
      </w:r>
    </w:p>
    <w:p w14:paraId="411B405F" w14:textId="77777777" w:rsidR="008F2ADA" w:rsidRDefault="000C1BE3" w:rsidP="000C1BE3">
      <w:pPr>
        <w:pStyle w:val="ParaBullet1"/>
      </w:pPr>
      <w:r>
        <w:t xml:space="preserve">El número de </w:t>
      </w:r>
      <w:r w:rsidR="00C72A34">
        <w:t xml:space="preserve">usuarios del OMV (celda I5); </w:t>
      </w:r>
      <w:r w:rsidR="00B72DC7">
        <w:t>y</w:t>
      </w:r>
    </w:p>
    <w:p w14:paraId="4D814C4F" w14:textId="77777777" w:rsidR="00C72A34" w:rsidRPr="008F2ADA" w:rsidRDefault="00C72A34" w:rsidP="000C1BE3">
      <w:pPr>
        <w:pStyle w:val="ParaBullet1"/>
      </w:pPr>
      <w:r>
        <w:t xml:space="preserve">El período de referencia (celda K5). </w:t>
      </w:r>
    </w:p>
    <w:p w14:paraId="74595DB2" w14:textId="77777777" w:rsidR="000F6134" w:rsidRDefault="00C31872" w:rsidP="000F6134">
      <w:pPr>
        <w:pStyle w:val="Ttulo1"/>
      </w:pPr>
      <w:bookmarkStart w:id="21" w:name="_Ref482890349"/>
      <w:bookmarkStart w:id="22" w:name="_Toc485153882"/>
      <w:r>
        <w:lastRenderedPageBreak/>
        <w:t>A</w:t>
      </w:r>
      <w:r w:rsidR="00385933">
        <w:t>ctualización del modelo</w:t>
      </w:r>
      <w:bookmarkEnd w:id="21"/>
      <w:bookmarkEnd w:id="22"/>
    </w:p>
    <w:p w14:paraId="236C5E31" w14:textId="77777777" w:rsidR="00CD2D72" w:rsidRDefault="009D7ADD" w:rsidP="00CD2D72">
      <w:pPr>
        <w:pStyle w:val="Ttulo2"/>
      </w:pPr>
      <w:bookmarkStart w:id="23" w:name="_Toc485153883"/>
      <w:r>
        <w:t>Información requerida</w:t>
      </w:r>
      <w:bookmarkEnd w:id="23"/>
      <w:r>
        <w:t xml:space="preserve"> </w:t>
      </w:r>
    </w:p>
    <w:p w14:paraId="0F664044" w14:textId="77777777" w:rsidR="0002692D" w:rsidRPr="0002692D" w:rsidRDefault="0002692D" w:rsidP="0002692D">
      <w:pPr>
        <w:pStyle w:val="Ttulo3"/>
      </w:pPr>
      <w:r>
        <w:t>Por parte del AEP</w:t>
      </w:r>
    </w:p>
    <w:p w14:paraId="60BC2899" w14:textId="77777777" w:rsidR="00A85AEF" w:rsidRDefault="006B7D89" w:rsidP="00A85AEF">
      <w:r>
        <w:t xml:space="preserve">Para la ejecución del modelo se necesita que el </w:t>
      </w:r>
      <w:r w:rsidR="0002692D">
        <w:t>AEP</w:t>
      </w:r>
      <w:r>
        <w:t xml:space="preserve"> propo</w:t>
      </w:r>
      <w:r w:rsidR="0002692D">
        <w:t>rcione la siguiente información</w:t>
      </w:r>
      <w:r w:rsidR="00AE1DCE">
        <w:t xml:space="preserve"> (el requerimiento se incluye en la hoja “Req. de información AEP”)</w:t>
      </w:r>
      <w:r w:rsidR="0002692D">
        <w:t>:</w:t>
      </w:r>
    </w:p>
    <w:p w14:paraId="2D6E62C1" w14:textId="0E432BAE" w:rsidR="000C1BE3" w:rsidRDefault="00D5583F" w:rsidP="00A85AEF">
      <w:pPr>
        <w:pStyle w:val="ParaBullet1"/>
      </w:pPr>
      <w:r>
        <w:t>Ingresos minoristas para las siguientes categorías:</w:t>
      </w:r>
    </w:p>
    <w:p w14:paraId="7ECF5289" w14:textId="77777777" w:rsidR="00B303FE" w:rsidRDefault="00B303FE" w:rsidP="00B303FE">
      <w:pPr>
        <w:pStyle w:val="ParaBullet2"/>
      </w:pPr>
      <w:r>
        <w:t>Pago recurrente</w:t>
      </w:r>
    </w:p>
    <w:p w14:paraId="729E5C76" w14:textId="77777777" w:rsidR="00B303FE" w:rsidRDefault="00B303FE" w:rsidP="00B303FE">
      <w:pPr>
        <w:pStyle w:val="ParaBullet2"/>
      </w:pPr>
      <w:r>
        <w:t>Servicio de Telefonía Móvil - voz</w:t>
      </w:r>
    </w:p>
    <w:p w14:paraId="404DFD19" w14:textId="77777777" w:rsidR="00B303FE" w:rsidRDefault="00B303FE" w:rsidP="00B303FE">
      <w:pPr>
        <w:pStyle w:val="ParaBullet2"/>
      </w:pPr>
      <w:r>
        <w:t>Servicio de Acceso a Internet Móvil</w:t>
      </w:r>
    </w:p>
    <w:p w14:paraId="0AF38705" w14:textId="77777777" w:rsidR="00B303FE" w:rsidRDefault="00B303FE" w:rsidP="00B303FE">
      <w:pPr>
        <w:pStyle w:val="ParaBullet2"/>
      </w:pPr>
      <w:r>
        <w:t>Servicio de Telefonía Móvil - mensajes</w:t>
      </w:r>
    </w:p>
    <w:p w14:paraId="3B8F839D" w14:textId="77777777" w:rsidR="00B303FE" w:rsidRDefault="00B303FE" w:rsidP="00B303FE">
      <w:pPr>
        <w:pStyle w:val="ParaBullet2"/>
      </w:pPr>
      <w:r>
        <w:t>Servicios OTT de vídeo</w:t>
      </w:r>
    </w:p>
    <w:p w14:paraId="0BB8EBBD" w14:textId="77777777" w:rsidR="00B303FE" w:rsidRDefault="00B303FE" w:rsidP="00B303FE">
      <w:pPr>
        <w:pStyle w:val="ParaBullet2"/>
      </w:pPr>
      <w:r>
        <w:t>Servicios OTT de audio</w:t>
      </w:r>
    </w:p>
    <w:p w14:paraId="503872FF" w14:textId="77777777" w:rsidR="00B303FE" w:rsidRDefault="00B303FE" w:rsidP="00B303FE">
      <w:pPr>
        <w:pStyle w:val="ParaBullet2"/>
      </w:pPr>
      <w:r>
        <w:t>Venta de equipos terminales</w:t>
      </w:r>
    </w:p>
    <w:p w14:paraId="20A08977" w14:textId="77777777" w:rsidR="00D5583F" w:rsidRDefault="00B303FE" w:rsidP="00D5583F">
      <w:pPr>
        <w:pStyle w:val="ParaBullet2"/>
      </w:pPr>
      <w:r>
        <w:t>Otros servicios minoristas</w:t>
      </w:r>
      <w:r w:rsidR="00727549">
        <w:t>.</w:t>
      </w:r>
    </w:p>
    <w:p w14:paraId="49C65220" w14:textId="77777777" w:rsidR="000C1BE3" w:rsidRDefault="000C1BE3" w:rsidP="00A85AEF">
      <w:pPr>
        <w:pStyle w:val="ParaBullet1"/>
      </w:pPr>
      <w:r>
        <w:t>Usuarios minoristas, desagregando los usuarios que demandan servicios de valor agregado básicos;</w:t>
      </w:r>
    </w:p>
    <w:p w14:paraId="584982CB" w14:textId="77777777" w:rsidR="000C1BE3" w:rsidRDefault="000C1BE3" w:rsidP="00A85AEF">
      <w:pPr>
        <w:pStyle w:val="ParaBullet1"/>
      </w:pPr>
      <w:r>
        <w:lastRenderedPageBreak/>
        <w:t>Tráfico asociado a los distintos servicios de:</w:t>
      </w:r>
    </w:p>
    <w:p w14:paraId="172B988A" w14:textId="77777777" w:rsidR="000C1BE3" w:rsidRDefault="000C1BE3" w:rsidP="000C1BE3">
      <w:pPr>
        <w:pStyle w:val="ParaBullet2"/>
      </w:pPr>
      <w:r>
        <w:t>Voz</w:t>
      </w:r>
      <w:r w:rsidR="00727549">
        <w:t>;</w:t>
      </w:r>
    </w:p>
    <w:p w14:paraId="7E87A418" w14:textId="77777777" w:rsidR="000C1BE3" w:rsidRDefault="000C1BE3" w:rsidP="000C1BE3">
      <w:pPr>
        <w:pStyle w:val="ParaBullet2"/>
      </w:pPr>
      <w:r>
        <w:t>Datos</w:t>
      </w:r>
      <w:r w:rsidR="00727549">
        <w:t>;</w:t>
      </w:r>
    </w:p>
    <w:p w14:paraId="34AF353D" w14:textId="77777777" w:rsidR="000C1BE3" w:rsidRDefault="000C1BE3" w:rsidP="000C1BE3">
      <w:pPr>
        <w:pStyle w:val="ParaBullet2"/>
      </w:pPr>
      <w:r>
        <w:t>SMS</w:t>
      </w:r>
      <w:r w:rsidR="00727549">
        <w:t>;</w:t>
      </w:r>
      <w:r>
        <w:t xml:space="preserve"> y</w:t>
      </w:r>
    </w:p>
    <w:p w14:paraId="409A3D34" w14:textId="59A63B7F" w:rsidR="000C1BE3" w:rsidRDefault="000C1BE3" w:rsidP="000C1BE3">
      <w:pPr>
        <w:pStyle w:val="ParaBullet2"/>
      </w:pPr>
      <w:r>
        <w:t xml:space="preserve">Otros servicios de valor </w:t>
      </w:r>
      <w:r w:rsidR="009D7C75">
        <w:t>agregado</w:t>
      </w:r>
      <w:r>
        <w:t xml:space="preserve">. </w:t>
      </w:r>
    </w:p>
    <w:p w14:paraId="782AB7C6" w14:textId="77777777" w:rsidR="00AE1DCE" w:rsidRDefault="00AE1DCE" w:rsidP="00AE1DCE">
      <w:pPr>
        <w:pStyle w:val="ParaBullet1"/>
        <w:numPr>
          <w:ilvl w:val="0"/>
          <w:numId w:val="0"/>
        </w:numPr>
        <w:ind w:left="340"/>
      </w:pPr>
      <w:r>
        <w:t>Las celdas D</w:t>
      </w:r>
      <w:r w:rsidR="0068717F">
        <w:t>69:D87</w:t>
      </w:r>
      <w:r>
        <w:t xml:space="preserve"> contienen una categorización más detallada. </w:t>
      </w:r>
    </w:p>
    <w:p w14:paraId="19D91680" w14:textId="59455C83" w:rsidR="00A85AEF" w:rsidRDefault="00A85AEF" w:rsidP="00A85AEF">
      <w:pPr>
        <w:pStyle w:val="ParaBullet1"/>
      </w:pPr>
      <w:r>
        <w:t xml:space="preserve">Montos de </w:t>
      </w:r>
      <w:r w:rsidR="0002692D">
        <w:t xml:space="preserve">los </w:t>
      </w:r>
      <w:r>
        <w:t xml:space="preserve">costos </w:t>
      </w:r>
      <w:r w:rsidR="00051AC0">
        <w:t>downstream</w:t>
      </w:r>
      <w:r>
        <w:t xml:space="preserve"> desglosados en los siguientes</w:t>
      </w:r>
      <w:r w:rsidR="009D7C75">
        <w:t xml:space="preserve"> elementos</w:t>
      </w:r>
      <w:r>
        <w:t>:</w:t>
      </w:r>
    </w:p>
    <w:p w14:paraId="3840F1CF" w14:textId="77777777" w:rsidR="00D5583F" w:rsidRDefault="00D5583F" w:rsidP="00D5583F">
      <w:pPr>
        <w:pStyle w:val="ParaBullet2"/>
      </w:pPr>
      <w:r>
        <w:t>Asociados a la prestación de servicios móviles OTT</w:t>
      </w:r>
      <w:r w:rsidR="00727549">
        <w:t>;</w:t>
      </w:r>
    </w:p>
    <w:p w14:paraId="2E896CB7" w14:textId="77777777" w:rsidR="00D5583F" w:rsidRDefault="00D5583F" w:rsidP="00D5583F">
      <w:pPr>
        <w:pStyle w:val="ParaBullet2"/>
      </w:pPr>
      <w:r>
        <w:t>Comerciales</w:t>
      </w:r>
      <w:r w:rsidR="00727549">
        <w:t>;</w:t>
      </w:r>
    </w:p>
    <w:p w14:paraId="691C6C23" w14:textId="77777777" w:rsidR="00D5583F" w:rsidRDefault="00D5583F" w:rsidP="00D5583F">
      <w:pPr>
        <w:pStyle w:val="ParaBullet2"/>
      </w:pPr>
      <w:r>
        <w:t>Facturación</w:t>
      </w:r>
      <w:r w:rsidR="00727549">
        <w:t>;</w:t>
      </w:r>
    </w:p>
    <w:p w14:paraId="026D7BBF" w14:textId="77777777" w:rsidR="00D5583F" w:rsidRDefault="00D5583F" w:rsidP="00D5583F">
      <w:pPr>
        <w:pStyle w:val="ParaBullet2"/>
      </w:pPr>
      <w:r>
        <w:t>Cobranza</w:t>
      </w:r>
      <w:r w:rsidR="00727549">
        <w:t>;</w:t>
      </w:r>
    </w:p>
    <w:p w14:paraId="3D30F99F" w14:textId="77777777" w:rsidR="009236F0" w:rsidRDefault="009236F0" w:rsidP="00D5583F">
      <w:pPr>
        <w:pStyle w:val="ParaBullet2"/>
      </w:pPr>
      <w:r>
        <w:t>Tasas e impuestos;</w:t>
      </w:r>
    </w:p>
    <w:p w14:paraId="1AE51B30" w14:textId="77777777" w:rsidR="00D5583F" w:rsidRDefault="00D5583F" w:rsidP="00D5583F">
      <w:pPr>
        <w:pStyle w:val="ParaBullet2"/>
      </w:pPr>
      <w:r>
        <w:t>Programas de fidelización</w:t>
      </w:r>
      <w:r w:rsidR="00727549">
        <w:t>;</w:t>
      </w:r>
    </w:p>
    <w:p w14:paraId="6250C36C" w14:textId="77777777" w:rsidR="00D5583F" w:rsidRDefault="00D5583F" w:rsidP="00D5583F">
      <w:pPr>
        <w:pStyle w:val="ParaBullet2"/>
      </w:pPr>
      <w:r>
        <w:t>Acceso internet internacional</w:t>
      </w:r>
      <w:r w:rsidR="00727549">
        <w:t>;</w:t>
      </w:r>
    </w:p>
    <w:p w14:paraId="4F65EEE9" w14:textId="77777777" w:rsidR="00D5583F" w:rsidRDefault="00D5583F" w:rsidP="00D5583F">
      <w:pPr>
        <w:pStyle w:val="ParaBullet2"/>
      </w:pPr>
      <w:r>
        <w:t>Roaming nacional</w:t>
      </w:r>
      <w:r w:rsidR="00727549">
        <w:t>;</w:t>
      </w:r>
    </w:p>
    <w:p w14:paraId="148B30F8" w14:textId="77777777" w:rsidR="00D5583F" w:rsidRDefault="00D5583F" w:rsidP="00D5583F">
      <w:pPr>
        <w:pStyle w:val="ParaBullet2"/>
      </w:pPr>
      <w:r>
        <w:t>Roaming internacional</w:t>
      </w:r>
      <w:r w:rsidR="00727549">
        <w:t>;</w:t>
      </w:r>
    </w:p>
    <w:p w14:paraId="3AE26925" w14:textId="77777777" w:rsidR="007A489C" w:rsidRDefault="00D5583F" w:rsidP="00D5583F">
      <w:pPr>
        <w:pStyle w:val="ParaBullet2"/>
      </w:pPr>
      <w:r>
        <w:lastRenderedPageBreak/>
        <w:t>Provisiones</w:t>
      </w:r>
      <w:r w:rsidR="007A489C">
        <w:t xml:space="preserve"> (gestión de las provisiones por insolvencias)</w:t>
      </w:r>
      <w:r w:rsidR="00727549">
        <w:t xml:space="preserve">; </w:t>
      </w:r>
    </w:p>
    <w:p w14:paraId="1AE87C1F" w14:textId="77777777" w:rsidR="00D5583F" w:rsidRDefault="007A489C" w:rsidP="00D5583F">
      <w:pPr>
        <w:pStyle w:val="ParaBullet2"/>
      </w:pPr>
      <w:r>
        <w:t>Costos directos de la venta de terminales</w:t>
      </w:r>
      <w:r w:rsidR="003D67BF">
        <w:t>;</w:t>
      </w:r>
      <w:r>
        <w:t xml:space="preserve"> </w:t>
      </w:r>
      <w:r w:rsidR="00727549">
        <w:t xml:space="preserve">y </w:t>
      </w:r>
    </w:p>
    <w:p w14:paraId="63EE7645" w14:textId="77777777" w:rsidR="00A85AEF" w:rsidRDefault="00D5583F" w:rsidP="00A85AEF">
      <w:pPr>
        <w:pStyle w:val="ParaBullet2"/>
      </w:pPr>
      <w:r>
        <w:t>Costo del Capital</w:t>
      </w:r>
      <w:r w:rsidR="00727549">
        <w:t>.</w:t>
      </w:r>
    </w:p>
    <w:p w14:paraId="4E3C1A12" w14:textId="77777777" w:rsidR="00A742BD" w:rsidRDefault="00A742BD" w:rsidP="00A742BD">
      <w:pPr>
        <w:pStyle w:val="ParaBullet1"/>
      </w:pPr>
      <w:r>
        <w:t xml:space="preserve">Para cada tipología de llamada, porcentaje del tráfico en tránsito. </w:t>
      </w:r>
    </w:p>
    <w:p w14:paraId="72C0F8AE" w14:textId="77777777" w:rsidR="00CD2D72" w:rsidRDefault="0002692D" w:rsidP="0002692D">
      <w:pPr>
        <w:pStyle w:val="Ttulo3"/>
      </w:pPr>
      <w:r>
        <w:t>Precios mayoristas</w:t>
      </w:r>
    </w:p>
    <w:p w14:paraId="70112ABC" w14:textId="77777777" w:rsidR="00973323" w:rsidRDefault="0002692D" w:rsidP="0002692D">
      <w:r>
        <w:t>El modelo en su estado actual incor</w:t>
      </w:r>
      <w:r w:rsidR="00AE1DCE">
        <w:t xml:space="preserve">pora los precios asociados a </w:t>
      </w:r>
      <w:r w:rsidR="0052616C">
        <w:t xml:space="preserve">un acuerdo que suscribió Telcel con un OMV, </w:t>
      </w:r>
      <w:r w:rsidR="00AE1DCE">
        <w:t>en junio de 2016. Estos precios se incluyen en la hoja “Precios mayoristas”.</w:t>
      </w:r>
      <w:r>
        <w:t xml:space="preserve"> </w:t>
      </w:r>
    </w:p>
    <w:p w14:paraId="5DA1747E" w14:textId="0A707B0C" w:rsidR="00732C4C" w:rsidRDefault="00732C4C" w:rsidP="0002692D">
      <w:r>
        <w:t>Se distinguen los siguientes tipos de pagos</w:t>
      </w:r>
      <w:r w:rsidR="009F4A3C">
        <w:t xml:space="preserve"> </w:t>
      </w:r>
      <w:r>
        <w:t>mayoristas:</w:t>
      </w:r>
    </w:p>
    <w:p w14:paraId="15FEEBE7" w14:textId="77777777" w:rsidR="00732C4C" w:rsidRDefault="00732C4C" w:rsidP="00732C4C">
      <w:pPr>
        <w:pStyle w:val="ParaBullet1"/>
      </w:pPr>
      <w:r>
        <w:t xml:space="preserve">Los </w:t>
      </w:r>
      <w:r w:rsidR="00294E5D">
        <w:t xml:space="preserve">pagos fijos </w:t>
      </w:r>
      <w:r>
        <w:t>no recurrentes en los que incurriría el OMV por e</w:t>
      </w:r>
      <w:r w:rsidR="003E23C0">
        <w:t>l inicio del contrato (celda C22</w:t>
      </w:r>
      <w:r>
        <w:t>). En la versión actual del modelo estos pagos son $0</w:t>
      </w:r>
      <w:r w:rsidR="003D67BF">
        <w:t>;</w:t>
      </w:r>
    </w:p>
    <w:p w14:paraId="6FACC67F" w14:textId="77777777" w:rsidR="00732C4C" w:rsidRDefault="00732C4C" w:rsidP="00732C4C">
      <w:pPr>
        <w:pStyle w:val="ParaBullet1"/>
      </w:pPr>
      <w:r>
        <w:t>Los pagos recurrentes mensuales, asociados a la administración de los usuarios y a la activación de servicios de valor agregado básicos. Estos pagos se encuentran</w:t>
      </w:r>
      <w:r w:rsidR="003E23C0">
        <w:t xml:space="preserve"> recogidos en las celdas C15:D18</w:t>
      </w:r>
      <w:r w:rsidR="003D67BF">
        <w:t>;</w:t>
      </w:r>
    </w:p>
    <w:p w14:paraId="5247DE36" w14:textId="77777777" w:rsidR="00732C4C" w:rsidRDefault="00294E5D" w:rsidP="00732C4C">
      <w:pPr>
        <w:pStyle w:val="ParaBullet1"/>
      </w:pPr>
      <w:r>
        <w:t>Los pagos asociados al uso de los distintos servicios de tráfico, recogidos en las celdas C8:C10; y</w:t>
      </w:r>
    </w:p>
    <w:p w14:paraId="2A24A2FF" w14:textId="77777777" w:rsidR="00294E5D" w:rsidRDefault="00294E5D" w:rsidP="00732C4C">
      <w:pPr>
        <w:pStyle w:val="ParaBullet1"/>
      </w:pPr>
      <w:r>
        <w:lastRenderedPageBreak/>
        <w:t>Los costos asociados a terminación</w:t>
      </w:r>
      <w:r w:rsidR="00091606">
        <w:t xml:space="preserve"> y tránsito</w:t>
      </w:r>
      <w:r>
        <w:t xml:space="preserve"> en otras redes </w:t>
      </w:r>
      <w:r w:rsidR="00091606">
        <w:t xml:space="preserve">en los que incurra el AEP. </w:t>
      </w:r>
    </w:p>
    <w:p w14:paraId="5A8DE142" w14:textId="77777777" w:rsidR="00E2766E" w:rsidRDefault="00E2766E" w:rsidP="00E2766E">
      <w:pPr>
        <w:pStyle w:val="ParaBullet2"/>
      </w:pPr>
      <w:r>
        <w:t>Los precios asociados a la terminaci</w:t>
      </w:r>
      <w:r w:rsidR="003E23C0">
        <w:t>ón se incluyen en las celdas C26:C57</w:t>
      </w:r>
      <w:r>
        <w:t>; y</w:t>
      </w:r>
    </w:p>
    <w:p w14:paraId="10078BE7" w14:textId="3CEB6653" w:rsidR="00E2766E" w:rsidRPr="0002692D" w:rsidRDefault="00E2766E" w:rsidP="00E2766E">
      <w:pPr>
        <w:pStyle w:val="ParaBullet2"/>
      </w:pPr>
      <w:r>
        <w:t>El precio asociado al servicio de trá</w:t>
      </w:r>
      <w:r w:rsidR="003E23C0">
        <w:t>nsito se incluye en la celda C8</w:t>
      </w:r>
      <w:r w:rsidR="009D7C75">
        <w:t>5</w:t>
      </w:r>
      <w:r>
        <w:t>.</w:t>
      </w:r>
    </w:p>
    <w:bookmarkEnd w:id="14"/>
    <w:p w14:paraId="0C8ED81D" w14:textId="77777777" w:rsidR="007C06F1" w:rsidRDefault="005C3E91" w:rsidP="00294FC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7857BDDC" wp14:editId="591BA8B1">
                <wp:simplePos x="155275" y="86264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0" b="0"/>
                <wp:wrapNone/>
                <wp:docPr id="9" name="White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BB8D0" id="WhiteShape" o:spid="_x0000_s1026" style="position:absolute;margin-left:0;margin-top:0;width:595.3pt;height:841.9pt;z-index:-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rDkgIAAIUFAAAOAAAAZHJzL2Uyb0RvYy54bWysVE1v2zAMvQ/YfxB0X20H/ViCOkXQosOA&#10;oi3WDj0rshQLkEVNUuJkv36UZDtdV+wwLAdFNMlH8onk5dW+02QnnFdgalqdlJQIw6FRZlPT78+3&#10;nz5T4gMzDdNgRE0PwtOr5ccPl71diBm0oBvhCIIYv+htTdsQ7KIoPG9Fx/wJWGFQKcF1LKDoNkXj&#10;WI/onS5mZXle9OAa64AL7/HrTVbSZcKXUvDwIKUXgeiaYm4hnS6d63gWy0u22DhmW8WHNNg/ZNEx&#10;ZTDoBHXDAiNbp/6A6hR34EGGEw5dAVIqLlINWE1VvqnmqWVWpFqQHG8nmvz/g+X3u0dHVFPTOSWG&#10;dfhEL60KIodGdnrrF2j0ZB/dIHm8xlL30nXxH4sg+8ToYWJU7APh+PHi7LzEHyUcdVV5Psc3S6QX&#10;R3/rfPgioCPxUlOHb5aoZLs7HzAmmo4mMZwHrZpbpXUSYp+Ia+3IjuELrzdVfFH0+M1Km2hrIHpl&#10;dfxSxNJyMekWDlpEO22+CYmUYPqzlEhqxmMQxrkwocqqljUixz5LhQ7Rx7RSLgkwIkuMP2EPAKNl&#10;BhmxM8xgH11F6uXJufxbYtl58kiRwYTJuVMG3HsAGqsaImf7kaRMTWRpDc0BG8ZBniRv+a3CZ7tj&#10;Pjwyh6ODb43rIDzgITX0NYXhRkkL7ud736M9djRqKelxFGvqf2yZE5TorwZ7fV6dnsbZTcLp2cUM&#10;Bfdas36tMdvuGrAXKlw8lqdrtA96vEoH3QtujVWMiipmOMauKQ9uFK5DXhG4d7hYrZIZzqtl4c48&#10;WR7BI6uxLZ/3L8zZoXcD9v09jGPLFm9aONtGTwOrbQCpUn8feR34xllPjTPspbhMXsvJ6rg9l78A&#10;AAD//wMAUEsDBBQABgAIAAAAIQBgYwZT3gAAAAcBAAAPAAAAZHJzL2Rvd25yZXYueG1sTI9BS8Qw&#10;EIXvgv8hjOBFdtM1UGq36aKC4MWD6yIes83YhG0mpcm2XX+9WS/uZXjDG977ptrMrmMjDsF6krBa&#10;ZsCQGq8ttRJ2Hy+LAliIirTqPKGEEwbY1NdXlSq1n+gdx21sWQqhUCoJJsa+5Dw0Bp0KS98jJe/b&#10;D07FtA4t14OaUrjr+H2W5dwpS6nBqB6fDTaH7dFJeDsJ8TreicO0s6K1P/zr6dN4KW9v5sc1sIhz&#10;/D+GM35Chzox7f2RdGCdhPRI/Jtnb/WQ5cD2SeWFKIDXFb/kr38BAAD//wMAUEsBAi0AFAAGAAgA&#10;AAAhALaDOJL+AAAA4QEAABMAAAAAAAAAAAAAAAAAAAAAAFtDb250ZW50X1R5cGVzXS54bWxQSwEC&#10;LQAUAAYACAAAACEAOP0h/9YAAACUAQAACwAAAAAAAAAAAAAAAAAvAQAAX3JlbHMvLnJlbHNQSwEC&#10;LQAUAAYACAAAACEA1qmqw5ICAACFBQAADgAAAAAAAAAAAAAAAAAuAgAAZHJzL2Uyb0RvYy54bWxQ&#10;SwECLQAUAAYACAAAACEAYGMGU94AAAAHAQAADwAAAAAAAAAAAAAAAADsBAAAZHJzL2Rvd25yZXYu&#10;eG1sUEsFBgAAAAAEAAQA8wAAAPcFAAAAAA==&#10;" fillcolor="white [3212]" stroked="f" strokeweight="1pt">
                <w10:wrap anchorx="page" anchory="page"/>
                <w10:anchorlock/>
              </v:rect>
            </w:pict>
          </mc:Fallback>
        </mc:AlternateContent>
      </w:r>
    </w:p>
    <w:sectPr w:rsidR="007C06F1" w:rsidSect="00F0455F">
      <w:headerReference w:type="default" r:id="rId14"/>
      <w:footerReference w:type="default" r:id="rId15"/>
      <w:pgSz w:w="11906" w:h="16838" w:code="9"/>
      <w:pgMar w:top="1701" w:right="1985" w:bottom="1418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31A4" w14:textId="77777777" w:rsidR="00B3771E" w:rsidRDefault="00B3771E" w:rsidP="00BA3ADD">
      <w:pPr>
        <w:spacing w:line="240" w:lineRule="auto"/>
      </w:pPr>
      <w:r>
        <w:separator/>
      </w:r>
    </w:p>
  </w:endnote>
  <w:endnote w:type="continuationSeparator" w:id="0">
    <w:p w14:paraId="212D4ADD" w14:textId="77777777" w:rsidR="00B3771E" w:rsidRDefault="00B3771E" w:rsidP="00BA3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40">
    <w:altName w:val="Times New Roman"/>
    <w:panose1 w:val="00000000000000000000"/>
    <w:charset w:val="00"/>
    <w:family w:val="auto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1"/>
      <w:gridCol w:w="855"/>
    </w:tblGrid>
    <w:tr w:rsidR="007236D4" w:rsidRPr="00F57F90" w14:paraId="0B61196C" w14:textId="77777777" w:rsidTr="00F0455F">
      <w:tc>
        <w:tcPr>
          <w:tcW w:w="9351" w:type="dxa"/>
        </w:tcPr>
        <w:p w14:paraId="53A5567C" w14:textId="77777777" w:rsidR="007236D4" w:rsidRPr="00F57F90" w:rsidRDefault="007236D4" w:rsidP="00F0455F">
          <w:pPr>
            <w:pStyle w:val="Piedepgina"/>
            <w:rPr>
              <w:color w:val="C5C6C8" w:themeColor="text2" w:themeTint="66"/>
            </w:rPr>
          </w:pPr>
          <w:r w:rsidRPr="004E063E">
            <w:fldChar w:fldCharType="begin"/>
          </w:r>
          <w:r w:rsidRPr="004E063E">
            <w:instrText xml:space="preserve"> IF </w:instrText>
          </w:r>
          <w:r>
            <w:fldChar w:fldCharType="begin"/>
          </w:r>
          <w:r>
            <w:instrText xml:space="preserve"> STYLEREF  ~Confidential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 w:rsidRPr="004E063E">
            <w:instrText>=</w:instrText>
          </w:r>
          <w:r>
            <w:instrText xml:space="preserve"> </w:instrText>
          </w:r>
          <w:r w:rsidRPr="004E063E">
            <w:instrText>"" "" "  │  </w:instrText>
          </w:r>
          <w:r>
            <w:fldChar w:fldCharType="begin"/>
          </w:r>
          <w:r>
            <w:instrText xml:space="preserve"> STYLEREF  ~Confidential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 w:rsidRPr="004E063E">
            <w:instrText>"</w:instrText>
          </w:r>
          <w:r>
            <w:instrText xml:space="preserve"> </w:instrText>
          </w:r>
          <w:r w:rsidRPr="004E063E">
            <w:fldChar w:fldCharType="end"/>
          </w:r>
        </w:p>
      </w:tc>
      <w:tc>
        <w:tcPr>
          <w:tcW w:w="855" w:type="dxa"/>
        </w:tcPr>
        <w:p w14:paraId="08F3C88A" w14:textId="77777777" w:rsidR="007236D4" w:rsidRPr="00F57F90" w:rsidRDefault="007236D4" w:rsidP="00F0455F">
          <w:pPr>
            <w:pStyle w:val="Piedepgina"/>
            <w:rPr>
              <w:b/>
              <w:bCs/>
              <w:color w:val="C5C6C8" w:themeColor="text2" w:themeTint="66"/>
            </w:rPr>
          </w:pPr>
        </w:p>
      </w:tc>
    </w:tr>
  </w:tbl>
  <w:p w14:paraId="2718FC0F" w14:textId="77777777" w:rsidR="007236D4" w:rsidRPr="00437766" w:rsidRDefault="007236D4" w:rsidP="004377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1"/>
      <w:gridCol w:w="855"/>
    </w:tblGrid>
    <w:tr w:rsidR="007236D4" w:rsidRPr="00B36984" w14:paraId="2B81AC1E" w14:textId="77777777" w:rsidTr="00F0455F">
      <w:tc>
        <w:tcPr>
          <w:tcW w:w="9351" w:type="dxa"/>
        </w:tcPr>
        <w:p w14:paraId="45FAD6E0" w14:textId="77777777" w:rsidR="007236D4" w:rsidRPr="00B36984" w:rsidRDefault="007236D4" w:rsidP="00F0455F">
          <w:pPr>
            <w:pStyle w:val="Piedepgina"/>
            <w:rPr>
              <w:color w:val="C5C6C8" w:themeColor="text2" w:themeTint="66"/>
            </w:rPr>
          </w:pPr>
          <w:r w:rsidRPr="004E063E">
            <w:fldChar w:fldCharType="begin"/>
          </w:r>
          <w:r w:rsidRPr="004E063E">
            <w:instrText xml:space="preserve"> IF </w:instrText>
          </w:r>
          <w:r>
            <w:fldChar w:fldCharType="begin"/>
          </w:r>
          <w:r>
            <w:instrText xml:space="preserve"> STYLEREF  ~Confidential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 w:rsidRPr="004E063E">
            <w:instrText>=</w:instrText>
          </w:r>
          <w:r>
            <w:instrText xml:space="preserve"> </w:instrText>
          </w:r>
          <w:r w:rsidRPr="004E063E">
            <w:instrText>"" "" "  │  </w:instrText>
          </w:r>
          <w:r>
            <w:fldChar w:fldCharType="begin"/>
          </w:r>
          <w:r>
            <w:instrText xml:space="preserve"> STYLEREF  ~Confidential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 w:rsidRPr="004E063E">
            <w:instrText>"</w:instrText>
          </w:r>
          <w:r>
            <w:instrText xml:space="preserve"> </w:instrText>
          </w:r>
          <w:r w:rsidRPr="004E063E">
            <w:fldChar w:fldCharType="end"/>
          </w:r>
        </w:p>
      </w:tc>
      <w:tc>
        <w:tcPr>
          <w:tcW w:w="855" w:type="dxa"/>
          <w:vAlign w:val="bottom"/>
        </w:tcPr>
        <w:p w14:paraId="43122E29" w14:textId="77777777" w:rsidR="007236D4" w:rsidRPr="00B36984" w:rsidRDefault="007236D4" w:rsidP="000A0D97">
          <w:pPr>
            <w:pStyle w:val="Piedepgina"/>
            <w:jc w:val="right"/>
          </w:pPr>
          <w:r w:rsidRPr="00B36984">
            <w:fldChar w:fldCharType="begin"/>
          </w:r>
          <w:r>
            <w:instrText xml:space="preserve"> </w:instrText>
          </w:r>
          <w:r w:rsidRPr="000A0D97">
            <w:instrText>PAGE</w:instrText>
          </w:r>
          <w:r>
            <w:instrText xml:space="preserve">  </w:instrText>
          </w:r>
          <w:r w:rsidRPr="00B36984">
            <w:instrText xml:space="preserve"> </w:instrText>
          </w:r>
          <w:r w:rsidRPr="00B36984">
            <w:fldChar w:fldCharType="separate"/>
          </w:r>
          <w:r w:rsidR="00EF05F9">
            <w:rPr>
              <w:noProof/>
            </w:rPr>
            <w:t>4</w:t>
          </w:r>
          <w:r w:rsidRPr="00B36984">
            <w:rPr>
              <w:noProof/>
            </w:rPr>
            <w:fldChar w:fldCharType="end"/>
          </w:r>
        </w:p>
      </w:tc>
    </w:tr>
  </w:tbl>
  <w:p w14:paraId="28B4D0D8" w14:textId="77777777" w:rsidR="007236D4" w:rsidRDefault="007236D4" w:rsidP="00F04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single" w:sz="8" w:space="0" w:color="C5C6C8" w:themeColor="text2" w:themeTint="6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B3771E" w:rsidRPr="00823C7C" w14:paraId="77937980" w14:textId="77777777" w:rsidTr="00CB3F34">
        <w:trPr>
          <w:trHeight w:hRule="exact" w:val="170"/>
        </w:trPr>
        <w:tc>
          <w:tcPr>
            <w:tcW w:w="7881" w:type="dxa"/>
          </w:tcPr>
          <w:p w14:paraId="1D985221" w14:textId="77777777" w:rsidR="00B3771E" w:rsidRPr="00823C7C" w:rsidRDefault="00B3771E" w:rsidP="00823C7C">
            <w:pPr>
              <w:spacing w:before="0" w:line="240" w:lineRule="auto"/>
              <w:rPr>
                <w:color w:val="C5C6C8" w:themeColor="text2" w:themeTint="66"/>
                <w:sz w:val="12"/>
                <w:szCs w:val="12"/>
              </w:rPr>
            </w:pPr>
          </w:p>
        </w:tc>
      </w:tr>
    </w:tbl>
    <w:p w14:paraId="6FA92892" w14:textId="77777777" w:rsidR="00B3771E" w:rsidRPr="000F5519" w:rsidRDefault="00B3771E" w:rsidP="00F52EB6">
      <w:pPr>
        <w:pStyle w:val="Spacer"/>
      </w:pPr>
    </w:p>
  </w:footnote>
  <w:footnote w:type="continuationSeparator" w:id="0"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single" w:sz="8" w:space="0" w:color="C5C6C8" w:themeColor="text2" w:themeTint="6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B3771E" w14:paraId="5C1ECB2A" w14:textId="77777777" w:rsidTr="00CB3F34">
        <w:trPr>
          <w:trHeight w:hRule="exact" w:val="170"/>
        </w:trPr>
        <w:tc>
          <w:tcPr>
            <w:tcW w:w="7825" w:type="dxa"/>
          </w:tcPr>
          <w:p w14:paraId="082A5C2C" w14:textId="77777777" w:rsidR="00B3771E" w:rsidRDefault="00B3771E" w:rsidP="00823C7C">
            <w:pPr>
              <w:pStyle w:val="Piedepgina"/>
            </w:pPr>
          </w:p>
        </w:tc>
      </w:tr>
    </w:tbl>
    <w:p w14:paraId="2464F987" w14:textId="77777777" w:rsidR="00B3771E" w:rsidRPr="00823C7C" w:rsidRDefault="00B3771E" w:rsidP="00F52EB6">
      <w:pPr>
        <w:pStyle w:val="Spacer"/>
      </w:pPr>
    </w:p>
  </w:footnote>
  <w:footnote w:type="continuationNotice" w:id="1">
    <w:p w14:paraId="43C3663C" w14:textId="77777777" w:rsidR="00B3771E" w:rsidRDefault="00B3771E" w:rsidP="00C82BD3">
      <w:pPr>
        <w:pStyle w:val="Spacer"/>
      </w:pPr>
    </w:p>
  </w:footnote>
  <w:footnote w:id="2">
    <w:p w14:paraId="702FC0BF" w14:textId="4928DC77" w:rsidR="00414014" w:rsidRDefault="00414014" w:rsidP="00A604D5">
      <w:pPr>
        <w:pStyle w:val="Textonotapie"/>
        <w:ind w:left="0" w:firstLine="0"/>
        <w:jc w:val="both"/>
      </w:pPr>
      <w:r>
        <w:rPr>
          <w:rStyle w:val="Refdenotaalpie"/>
        </w:rPr>
        <w:footnoteRef/>
      </w:r>
      <w:r w:rsidR="00A604D5">
        <w:t xml:space="preserve"> “</w:t>
      </w:r>
      <w:r w:rsidR="00B12E4C" w:rsidRPr="002D32DE">
        <w:t>Resolución mediante la cual el Pleno del Instituto Federal de Telecomunicaciones suprime, modifica y adiciona las medidas impuestas al Agente Económico Preponderante en el Sector de Telecomunicaciones mediante Resolución de fecha 6 de marzo de 2014, aprobada mediante Acuerdo P/IFT/EXT/060314/76</w:t>
      </w:r>
      <w:r w:rsidR="00B12E4C">
        <w:t xml:space="preserve">”. Disponible en: </w:t>
      </w:r>
      <w:hyperlink r:id="rId1" w:history="1">
        <w:r w:rsidR="00B12E4C" w:rsidRPr="005951A2">
          <w:rPr>
            <w:rStyle w:val="Hipervnculo"/>
          </w:rPr>
          <w:t>http://www.ift.org.mx/sites/default/files/pitfext270217119verpub_1.pdf</w:t>
        </w:r>
      </w:hyperlink>
      <w:r w:rsidR="00B12E4C">
        <w:t>.</w:t>
      </w:r>
    </w:p>
  </w:footnote>
  <w:footnote w:id="3">
    <w:p w14:paraId="730248CF" w14:textId="2F80EF1B" w:rsidR="00101326" w:rsidRPr="002E0589" w:rsidRDefault="00101326" w:rsidP="00A604D5">
      <w:r w:rsidRPr="001E604D">
        <w:rPr>
          <w:rStyle w:val="Refdenotaalpie"/>
          <w:sz w:val="16"/>
        </w:rPr>
        <w:footnoteRef/>
      </w:r>
      <w:r w:rsidR="00A604D5">
        <w:rPr>
          <w:rStyle w:val="Refdenotaalpie"/>
          <w:sz w:val="16"/>
        </w:rPr>
        <w:t xml:space="preserve"> </w:t>
      </w:r>
      <w:r w:rsidRPr="001E604D">
        <w:rPr>
          <w:rStyle w:val="Refdenotaalpie"/>
          <w:sz w:val="16"/>
        </w:rPr>
        <w:t xml:space="preserve"> </w:t>
      </w:r>
      <w:r w:rsidRPr="00101326">
        <w:rPr>
          <w:color w:val="707276" w:themeColor="text2"/>
          <w:sz w:val="16"/>
        </w:rPr>
        <w:t xml:space="preserve">EEO es el acrónimo en inglés de </w:t>
      </w:r>
      <w:r w:rsidRPr="00A604D5">
        <w:rPr>
          <w:color w:val="707276" w:themeColor="text2"/>
          <w:sz w:val="16"/>
        </w:rPr>
        <w:t>Equally Efficient Operator</w:t>
      </w:r>
      <w:r w:rsidR="002E0589" w:rsidRPr="00A604D5">
        <w:rPr>
          <w:color w:val="707276" w:themeColor="text2"/>
          <w:sz w:val="16"/>
        </w:rPr>
        <w:t xml:space="preserve"> </w:t>
      </w:r>
      <w:r w:rsidR="002E0589" w:rsidRPr="002E0589">
        <w:rPr>
          <w:color w:val="707276" w:themeColor="text2"/>
          <w:sz w:val="16"/>
        </w:rPr>
        <w:t>(Operador Igualmente E</w:t>
      </w:r>
      <w:r w:rsidR="002E0589" w:rsidRPr="008E7D33">
        <w:rPr>
          <w:color w:val="707276" w:themeColor="text2"/>
          <w:sz w:val="16"/>
        </w:rPr>
        <w:t>ficiente)</w:t>
      </w:r>
      <w:r w:rsidR="002E0589">
        <w:rPr>
          <w:color w:val="707276" w:themeColor="text2"/>
          <w:sz w:val="16"/>
        </w:rPr>
        <w:t>.</w:t>
      </w:r>
    </w:p>
  </w:footnote>
  <w:footnote w:id="4">
    <w:p w14:paraId="39B01CEB" w14:textId="1F87958C" w:rsidR="00101326" w:rsidRPr="002E0589" w:rsidRDefault="00101326" w:rsidP="00A604D5">
      <w:r w:rsidRPr="001E604D">
        <w:rPr>
          <w:rStyle w:val="Refdenotaalpie"/>
          <w:sz w:val="16"/>
        </w:rPr>
        <w:footnoteRef/>
      </w:r>
      <w:r w:rsidR="00A604D5">
        <w:rPr>
          <w:color w:val="707276" w:themeColor="text2"/>
          <w:sz w:val="16"/>
        </w:rPr>
        <w:t xml:space="preserve"> </w:t>
      </w:r>
      <w:r w:rsidRPr="00101326">
        <w:rPr>
          <w:color w:val="707276" w:themeColor="text2"/>
          <w:sz w:val="16"/>
        </w:rPr>
        <w:t xml:space="preserve">LRIC es el acrónimo en inglés de </w:t>
      </w:r>
      <w:r w:rsidRPr="008E7D33">
        <w:rPr>
          <w:i/>
          <w:color w:val="707276" w:themeColor="text2"/>
          <w:sz w:val="16"/>
        </w:rPr>
        <w:t>Long Run Incremental Costs</w:t>
      </w:r>
      <w:r w:rsidR="002E0589">
        <w:rPr>
          <w:i/>
          <w:color w:val="707276" w:themeColor="text2"/>
          <w:sz w:val="16"/>
        </w:rPr>
        <w:t xml:space="preserve"> </w:t>
      </w:r>
      <w:r w:rsidR="002E0589" w:rsidRPr="008E7D33">
        <w:rPr>
          <w:color w:val="707276" w:themeColor="text2"/>
          <w:sz w:val="16"/>
        </w:rPr>
        <w:t>(Costos Incrementales de Largo Plazo)</w:t>
      </w:r>
      <w:r w:rsidR="002E0589">
        <w:rPr>
          <w:color w:val="707276" w:themeColor="text2"/>
          <w:sz w:val="16"/>
        </w:rPr>
        <w:t>.</w:t>
      </w:r>
    </w:p>
  </w:footnote>
  <w:footnote w:id="5">
    <w:p w14:paraId="3452369E" w14:textId="4906A8D3" w:rsidR="00101326" w:rsidRPr="002E0589" w:rsidRDefault="00101326" w:rsidP="00A604D5">
      <w:r w:rsidRPr="001E604D">
        <w:rPr>
          <w:rStyle w:val="Refdenotaalpie"/>
          <w:sz w:val="16"/>
        </w:rPr>
        <w:footnoteRef/>
      </w:r>
      <w:r w:rsidR="00A604D5">
        <w:t xml:space="preserve"> </w:t>
      </w:r>
      <w:r w:rsidRPr="008E7D33">
        <w:rPr>
          <w:color w:val="707276" w:themeColor="text2"/>
          <w:sz w:val="16"/>
        </w:rPr>
        <w:t>FAC es el acrónimo en inglés de</w:t>
      </w:r>
      <w:r w:rsidRPr="008E7D33">
        <w:rPr>
          <w:i/>
          <w:color w:val="707276" w:themeColor="text2"/>
          <w:sz w:val="16"/>
        </w:rPr>
        <w:t xml:space="preserve"> Fully Allocated Costs</w:t>
      </w:r>
      <w:r>
        <w:rPr>
          <w:i/>
          <w:color w:val="707276" w:themeColor="text2"/>
          <w:sz w:val="16"/>
        </w:rPr>
        <w:t>.</w:t>
      </w:r>
      <w:r w:rsidR="002E0589">
        <w:rPr>
          <w:i/>
          <w:color w:val="707276" w:themeColor="text2"/>
          <w:sz w:val="16"/>
        </w:rPr>
        <w:t xml:space="preserve"> </w:t>
      </w:r>
      <w:r w:rsidR="002E0589" w:rsidRPr="008E7D33">
        <w:rPr>
          <w:color w:val="707276" w:themeColor="text2"/>
          <w:sz w:val="16"/>
        </w:rPr>
        <w:t>(</w:t>
      </w:r>
      <w:r w:rsidR="002E0589" w:rsidRPr="001E604D">
        <w:rPr>
          <w:color w:val="707276" w:themeColor="text2"/>
          <w:sz w:val="16"/>
        </w:rPr>
        <w:t>Costos Completamente Distribuidos)</w:t>
      </w:r>
      <w:r w:rsidR="002E0589">
        <w:rPr>
          <w:b/>
          <w:color w:val="707276" w:themeColor="text2"/>
          <w:sz w:val="16"/>
        </w:rPr>
        <w:t>.</w:t>
      </w:r>
    </w:p>
    <w:p w14:paraId="51061DAB" w14:textId="77777777" w:rsidR="00101326" w:rsidRPr="008E7D33" w:rsidRDefault="00101326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4"/>
      <w:gridCol w:w="8162"/>
    </w:tblGrid>
    <w:tr w:rsidR="007236D4" w:rsidRPr="00F57F90" w14:paraId="5FDE8E1C" w14:textId="77777777" w:rsidTr="0021208F">
      <w:trPr>
        <w:trHeight w:hRule="exact" w:val="567"/>
      </w:trPr>
      <w:tc>
        <w:tcPr>
          <w:tcW w:w="2044" w:type="dxa"/>
        </w:tcPr>
        <w:p w14:paraId="7312777B" w14:textId="77777777" w:rsidR="007236D4" w:rsidRPr="000A0D97" w:rsidRDefault="007236D4" w:rsidP="000A0D97">
          <w:pPr>
            <w:pStyle w:val="DraftRef"/>
          </w:pPr>
          <w:r w:rsidRPr="000A0D97">
            <w:fldChar w:fldCharType="begin"/>
          </w:r>
          <w:r w:rsidRPr="000A0D97">
            <w:instrText xml:space="preserve"> STYLEREF  ~Draft </w:instrText>
          </w:r>
          <w:r w:rsidRPr="000A0D97">
            <w:fldChar w:fldCharType="end"/>
          </w:r>
        </w:p>
      </w:tc>
      <w:tc>
        <w:tcPr>
          <w:tcW w:w="8162" w:type="dxa"/>
        </w:tcPr>
        <w:p w14:paraId="267E8C71" w14:textId="77777777" w:rsidR="007236D4" w:rsidRPr="00717597" w:rsidRDefault="007236D4" w:rsidP="00717597">
          <w:pPr>
            <w:pStyle w:val="Encabezado"/>
          </w:pPr>
          <w:r>
            <w:fldChar w:fldCharType="begin"/>
          </w:r>
          <w:r>
            <w:instrText xml:space="preserve"> STYLEREF  "~DocTitle" </w:instrText>
          </w:r>
          <w:r>
            <w:fldChar w:fldCharType="separate"/>
          </w:r>
          <w:r w:rsidR="00EF05F9">
            <w:rPr>
              <w:noProof/>
            </w:rPr>
            <w:t>MANUAL DEL MODELO DE REPLICABILIDAD</w:t>
          </w:r>
          <w:r>
            <w:rPr>
              <w:noProof/>
            </w:rPr>
            <w:fldChar w:fldCharType="end"/>
          </w:r>
        </w:p>
      </w:tc>
    </w:tr>
  </w:tbl>
  <w:p w14:paraId="77FEB7D0" w14:textId="77777777" w:rsidR="007236D4" w:rsidRPr="00EB2C63" w:rsidRDefault="007236D4" w:rsidP="00EB2C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4"/>
      <w:gridCol w:w="8162"/>
    </w:tblGrid>
    <w:tr w:rsidR="007236D4" w:rsidRPr="00B36984" w14:paraId="79918FAF" w14:textId="77777777" w:rsidTr="0021208F">
      <w:trPr>
        <w:trHeight w:hRule="exact" w:val="567"/>
      </w:trPr>
      <w:tc>
        <w:tcPr>
          <w:tcW w:w="2044" w:type="dxa"/>
        </w:tcPr>
        <w:p w14:paraId="520E666E" w14:textId="77777777" w:rsidR="007236D4" w:rsidRPr="00DC53CB" w:rsidRDefault="007236D4" w:rsidP="00717597">
          <w:pPr>
            <w:pStyle w:val="DraftRef"/>
            <w:rPr>
              <w:sz w:val="24"/>
            </w:rPr>
          </w:pPr>
          <w:r>
            <w:fldChar w:fldCharType="begin"/>
          </w:r>
          <w:r>
            <w:instrText xml:space="preserve"> STYLEREF  ~Draft </w:instrText>
          </w:r>
          <w:r>
            <w:rPr>
              <w:noProof/>
            </w:rPr>
            <w:fldChar w:fldCharType="end"/>
          </w:r>
        </w:p>
      </w:tc>
      <w:tc>
        <w:tcPr>
          <w:tcW w:w="8162" w:type="dxa"/>
        </w:tcPr>
        <w:p w14:paraId="0D7C6DEB" w14:textId="77777777" w:rsidR="007236D4" w:rsidRPr="00B36984" w:rsidRDefault="007236D4" w:rsidP="00717597">
          <w:pPr>
            <w:pStyle w:val="Encabezado"/>
          </w:pPr>
          <w:r>
            <w:fldChar w:fldCharType="begin"/>
          </w:r>
          <w:r>
            <w:instrText xml:space="preserve"> STYLEREF  "~DocTitle" </w:instrText>
          </w:r>
          <w:r>
            <w:fldChar w:fldCharType="separate"/>
          </w:r>
          <w:r w:rsidR="00EF05F9">
            <w:rPr>
              <w:noProof/>
            </w:rPr>
            <w:t>MANUAL DEL MODELO DE REPLICABILIDAD</w:t>
          </w:r>
          <w:r>
            <w:rPr>
              <w:noProof/>
            </w:rPr>
            <w:fldChar w:fldCharType="end"/>
          </w:r>
        </w:p>
      </w:tc>
    </w:tr>
  </w:tbl>
  <w:p w14:paraId="60421912" w14:textId="77777777" w:rsidR="007236D4" w:rsidRPr="00580ADA" w:rsidRDefault="007236D4" w:rsidP="00717597">
    <w:pPr>
      <w:pStyle w:val="Piedep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244"/>
    <w:multiLevelType w:val="multilevel"/>
    <w:tmpl w:val="0809001D"/>
    <w:name w:val="SecHead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4C52E5"/>
    <w:multiLevelType w:val="multilevel"/>
    <w:tmpl w:val="844A82D2"/>
    <w:name w:val="NumberedList3"/>
    <w:numStyleLink w:val="ListNumStyle"/>
  </w:abstractNum>
  <w:abstractNum w:abstractNumId="2" w15:restartNumberingAfterBreak="0">
    <w:nsid w:val="059679F8"/>
    <w:multiLevelType w:val="multilevel"/>
    <w:tmpl w:val="22D45FDC"/>
    <w:name w:val="ParaNumBulletList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9787125"/>
    <w:multiLevelType w:val="multilevel"/>
    <w:tmpl w:val="8A4E6DC2"/>
    <w:name w:val="SecHeadList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A5276"/>
    <w:multiLevelType w:val="multilevel"/>
    <w:tmpl w:val="0809001D"/>
    <w:name w:val="SecHeadList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A67C9"/>
    <w:multiLevelType w:val="multilevel"/>
    <w:tmpl w:val="4C70D716"/>
    <w:name w:val="ParaNumBulletList"/>
    <w:lvl w:ilvl="0">
      <w:start w:val="1"/>
      <w:numFmt w:val="none"/>
      <w:lvlText w:val=""/>
      <w:lvlJc w:val="left"/>
      <w:pPr>
        <w:ind w:left="340" w:hanging="340"/>
      </w:pPr>
      <w:rPr>
        <w:rFonts w:hint="default"/>
        <w:color w:val="E83F35" w:themeColor="accent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color w:val="E83F35" w:themeColor="accent1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14B21A57"/>
    <w:multiLevelType w:val="multilevel"/>
    <w:tmpl w:val="C102EA5A"/>
    <w:name w:val="AppHeadList"/>
    <w:styleLink w:val="AppListStyle"/>
    <w:lvl w:ilvl="0">
      <w:start w:val="1"/>
      <w:numFmt w:val="upperLetter"/>
      <w:lvlRestart w:val="0"/>
      <w:pStyle w:val="AnxHead"/>
      <w:lvlText w:val="ANNEX %1"/>
      <w:lvlJc w:val="left"/>
      <w:pPr>
        <w:tabs>
          <w:tab w:val="num" w:pos="1559"/>
        </w:tabs>
        <w:ind w:left="1559" w:hanging="1559"/>
      </w:pPr>
      <w:rPr>
        <w:rFonts w:ascii="Arial" w:hAnsi="Arial" w:cs="Arial" w:hint="default"/>
        <w:b/>
        <w:bCs/>
        <w:i w:val="0"/>
        <w:color w:val="E83F35" w:themeColor="accent1"/>
        <w:sz w:val="40"/>
      </w:rPr>
    </w:lvl>
    <w:lvl w:ilvl="1">
      <w:start w:val="1"/>
      <w:numFmt w:val="decimal"/>
      <w:pStyle w:val="AnxSubHead"/>
      <w:lvlText w:val="%1.%2"/>
      <w:lvlJc w:val="right"/>
      <w:pPr>
        <w:tabs>
          <w:tab w:val="num" w:pos="709"/>
        </w:tabs>
        <w:ind w:left="709" w:hanging="198"/>
      </w:pPr>
      <w:rPr>
        <w:rFonts w:ascii="Arial" w:hAnsi="Arial" w:cs="Arial" w:hint="default"/>
        <w:b w:val="0"/>
        <w:i w:val="0"/>
        <w:color w:val="E83F35" w:themeColor="accent1"/>
        <w:sz w:val="36"/>
      </w:rPr>
    </w:lvl>
    <w:lvl w:ilvl="2">
      <w:start w:val="1"/>
      <w:numFmt w:val="decimal"/>
      <w:pStyle w:val="AnxMinorSubHead"/>
      <w:lvlText w:val="%1.%2.%3"/>
      <w:lvlJc w:val="right"/>
      <w:pPr>
        <w:tabs>
          <w:tab w:val="num" w:pos="709"/>
        </w:tabs>
        <w:ind w:left="709" w:hanging="198"/>
      </w:pPr>
      <w:rPr>
        <w:rFonts w:ascii="Arial" w:hAnsi="Arial" w:cs="Arial" w:hint="default"/>
        <w:b w:val="0"/>
        <w:i w:val="0"/>
        <w:color w:val="E83F35" w:themeColor="accent1"/>
        <w:sz w:val="30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4B63999"/>
    <w:multiLevelType w:val="multilevel"/>
    <w:tmpl w:val="C102EA5A"/>
    <w:name w:val="AppHeadList2"/>
    <w:numStyleLink w:val="AppListStyle"/>
  </w:abstractNum>
  <w:abstractNum w:abstractNumId="8" w15:restartNumberingAfterBreak="0">
    <w:nsid w:val="1B37531D"/>
    <w:multiLevelType w:val="multilevel"/>
    <w:tmpl w:val="844A82D2"/>
    <w:name w:val="NumberedList4"/>
    <w:numStyleLink w:val="ListNumStyle"/>
  </w:abstractNum>
  <w:abstractNum w:abstractNumId="9" w15:restartNumberingAfterBreak="0">
    <w:nsid w:val="1CB458B4"/>
    <w:multiLevelType w:val="multilevel"/>
    <w:tmpl w:val="113A5250"/>
    <w:name w:val="ListNumBulletList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68571AF"/>
    <w:multiLevelType w:val="multilevel"/>
    <w:tmpl w:val="8AE871F2"/>
    <w:name w:val="SecHeadList5"/>
    <w:numStyleLink w:val="SecListStyle"/>
  </w:abstractNum>
  <w:abstractNum w:abstractNumId="11" w15:restartNumberingAfterBreak="0">
    <w:nsid w:val="2A3E56FB"/>
    <w:multiLevelType w:val="multilevel"/>
    <w:tmpl w:val="AAB08E7C"/>
    <w:name w:val="SeqParaList2"/>
    <w:numStyleLink w:val="SeqParaListStyle"/>
  </w:abstractNum>
  <w:abstractNum w:abstractNumId="12" w15:restartNumberingAfterBreak="0">
    <w:nsid w:val="2D4F5981"/>
    <w:multiLevelType w:val="multilevel"/>
    <w:tmpl w:val="9B1ABCF4"/>
    <w:name w:val="ListBulletList"/>
    <w:lvl w:ilvl="0">
      <w:start w:val="1"/>
      <w:numFmt w:val="bullet"/>
      <w:pStyle w:val="ListBullet1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E83F35" w:themeColor="accent1"/>
      </w:rPr>
    </w:lvl>
    <w:lvl w:ilvl="1">
      <w:start w:val="1"/>
      <w:numFmt w:val="bullet"/>
      <w:pStyle w:val="ListBullet2"/>
      <w:lvlText w:val="□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E83F35" w:themeColor="accent1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E83F35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35E67AB2"/>
    <w:multiLevelType w:val="multilevel"/>
    <w:tmpl w:val="844A82D2"/>
    <w:name w:val="NumberedList"/>
    <w:styleLink w:val="ListNumStyle"/>
    <w:lvl w:ilvl="0">
      <w:start w:val="1"/>
      <w:numFmt w:val="decimal"/>
      <w:pStyle w:val="List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7424A" w:themeColor="text1"/>
      </w:rPr>
    </w:lvl>
    <w:lvl w:ilvl="1">
      <w:start w:val="1"/>
      <w:numFmt w:val="lowerLetter"/>
      <w:pStyle w:val="List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7424A" w:themeColor="text1"/>
      </w:rPr>
    </w:lvl>
    <w:lvl w:ilvl="2">
      <w:start w:val="1"/>
      <w:numFmt w:val="lowerRoman"/>
      <w:pStyle w:val="List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37424A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0C38EF"/>
    <w:multiLevelType w:val="multilevel"/>
    <w:tmpl w:val="AAB08E7C"/>
    <w:name w:val="ParaNumBulletListStyle2"/>
    <w:numStyleLink w:val="SeqParaListStyle"/>
  </w:abstractNum>
  <w:abstractNum w:abstractNumId="15" w15:restartNumberingAfterBreak="0">
    <w:nsid w:val="44F53080"/>
    <w:multiLevelType w:val="multilevel"/>
    <w:tmpl w:val="844A82D2"/>
    <w:name w:val="ParaNumBulletList32"/>
    <w:numStyleLink w:val="ListNumStyle"/>
  </w:abstractNum>
  <w:abstractNum w:abstractNumId="16" w15:restartNumberingAfterBreak="0">
    <w:nsid w:val="4A0744BE"/>
    <w:multiLevelType w:val="multilevel"/>
    <w:tmpl w:val="407056D8"/>
    <w:name w:val="ParaBulletList"/>
    <w:lvl w:ilvl="0">
      <w:start w:val="1"/>
      <w:numFmt w:val="bullet"/>
      <w:pStyle w:val="ParaBullet1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color w:val="E83F35" w:themeColor="accent1"/>
      </w:rPr>
    </w:lvl>
    <w:lvl w:ilvl="1">
      <w:start w:val="1"/>
      <w:numFmt w:val="bullet"/>
      <w:pStyle w:val="ParaBullet2"/>
      <w:lvlText w:val="□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E83F35" w:themeColor="accent1"/>
      </w:rPr>
    </w:lvl>
    <w:lvl w:ilvl="2">
      <w:start w:val="1"/>
      <w:numFmt w:val="bullet"/>
      <w:pStyle w:val="Para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cs="(none)" w:hint="default"/>
        <w:color w:val="E83F35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4656B87"/>
    <w:multiLevelType w:val="multilevel"/>
    <w:tmpl w:val="AAB08E7C"/>
    <w:name w:val="ParaNumBulletListStyle"/>
    <w:styleLink w:val="SeqParaListStyle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18" w15:restartNumberingAfterBreak="0">
    <w:nsid w:val="5CF87017"/>
    <w:multiLevelType w:val="multilevel"/>
    <w:tmpl w:val="9D42633E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38"/>
        </w:tabs>
        <w:ind w:left="538" w:hanging="340"/>
      </w:pPr>
      <w:rPr>
        <w:rFonts w:ascii="Arial" w:hAnsi="Arial" w:cs="Arial" w:hint="default"/>
        <w:b w:val="0"/>
        <w:i w:val="0"/>
        <w:color w:val="E83F35" w:themeColor="accent1"/>
        <w:sz w:val="22"/>
      </w:rPr>
    </w:lvl>
    <w:lvl w:ilvl="2">
      <w:start w:val="1"/>
      <w:numFmt w:val="lowerRoman"/>
      <w:lvlText w:val="%3."/>
      <w:lvlJc w:val="left"/>
      <w:pPr>
        <w:tabs>
          <w:tab w:val="num" w:pos="878"/>
        </w:tabs>
        <w:ind w:left="878" w:hanging="340"/>
      </w:pPr>
      <w:rPr>
        <w:rFonts w:ascii="Arial" w:hAnsi="Arial" w:cs="Arial" w:hint="default"/>
        <w:b w:val="0"/>
        <w:i w:val="0"/>
        <w:color w:val="E83F35" w:themeColor="accent1"/>
        <w:sz w:val="22"/>
      </w:rPr>
    </w:lvl>
    <w:lvl w:ilvl="3">
      <w:start w:val="1"/>
      <w:numFmt w:val="bullet"/>
      <w:lvlText w:val="–"/>
      <w:lvlJc w:val="left"/>
      <w:pPr>
        <w:tabs>
          <w:tab w:val="num" w:pos="1219"/>
        </w:tabs>
        <w:ind w:left="1219" w:hanging="341"/>
      </w:pPr>
      <w:rPr>
        <w:rFonts w:ascii="font440" w:hAnsi="font440"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19" w15:restartNumberingAfterBreak="0">
    <w:nsid w:val="601D105A"/>
    <w:multiLevelType w:val="multilevel"/>
    <w:tmpl w:val="844A82D2"/>
    <w:name w:val="NumberedList2"/>
    <w:numStyleLink w:val="ListNumStyle"/>
  </w:abstractNum>
  <w:abstractNum w:abstractNumId="20" w15:restartNumberingAfterBreak="0">
    <w:nsid w:val="617E60E3"/>
    <w:multiLevelType w:val="multilevel"/>
    <w:tmpl w:val="8AE871F2"/>
    <w:name w:val="SecHeadList"/>
    <w:styleLink w:val="SecListStyle"/>
    <w:lvl w:ilvl="0">
      <w:start w:val="1"/>
      <w:numFmt w:val="decimal"/>
      <w:lvlRestart w:val="0"/>
      <w:pStyle w:val="Ttulo1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40"/>
      </w:rPr>
    </w:lvl>
    <w:lvl w:ilvl="1">
      <w:start w:val="1"/>
      <w:numFmt w:val="decimal"/>
      <w:pStyle w:val="Ttulo2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36"/>
      </w:rPr>
    </w:lvl>
    <w:lvl w:ilvl="2">
      <w:start w:val="1"/>
      <w:numFmt w:val="decimal"/>
      <w:pStyle w:val="Ttulo3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3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66B0B7" w:themeColor="accent6"/>
        <w:sz w:val="24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2C201C7"/>
    <w:multiLevelType w:val="multilevel"/>
    <w:tmpl w:val="162E5130"/>
    <w:name w:val="ParaNumBulletListStyle3"/>
    <w:lvl w:ilvl="0">
      <w:start w:val="1"/>
      <w:numFmt w:val="decimal"/>
      <w:lvlRestart w:val="0"/>
      <w:pStyle w:val="ParaNumBullet1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37424A" w:themeColor="text1"/>
        <w:sz w:val="22"/>
      </w:rPr>
    </w:lvl>
    <w:lvl w:ilvl="1">
      <w:start w:val="1"/>
      <w:numFmt w:val="lowerLetter"/>
      <w:lvlRestart w:val="0"/>
      <w:pStyle w:val="ParaNumBullet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color w:val="37424A" w:themeColor="text1"/>
        <w:sz w:val="22"/>
      </w:rPr>
    </w:lvl>
    <w:lvl w:ilvl="2">
      <w:start w:val="1"/>
      <w:numFmt w:val="lowerRoman"/>
      <w:pStyle w:val="Par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37424A" w:themeColor="text1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22" w15:restartNumberingAfterBreak="0">
    <w:nsid w:val="63B275DD"/>
    <w:multiLevelType w:val="multilevel"/>
    <w:tmpl w:val="8AE871F2"/>
    <w:name w:val="SecHeadList4"/>
    <w:numStyleLink w:val="SecListStyle"/>
  </w:abstractNum>
  <w:abstractNum w:abstractNumId="23" w15:restartNumberingAfterBreak="0">
    <w:nsid w:val="687762B8"/>
    <w:multiLevelType w:val="multilevel"/>
    <w:tmpl w:val="113A5250"/>
    <w:name w:val="Para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6E4821C5"/>
    <w:multiLevelType w:val="multilevel"/>
    <w:tmpl w:val="836A0AF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007B87" w:themeColor="accent3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007B87" w:themeColor="accent3"/>
        <w:sz w:val="36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66B0B7" w:themeColor="accent6"/>
        <w:sz w:val="30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66B0B7" w:themeColor="accent6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EE3444F"/>
    <w:multiLevelType w:val="hybridMultilevel"/>
    <w:tmpl w:val="ED4AE9AE"/>
    <w:name w:val="TableBulletList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D5D3A"/>
    <w:multiLevelType w:val="multilevel"/>
    <w:tmpl w:val="D7F2D9E0"/>
    <w:name w:val="List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96A3518"/>
    <w:multiLevelType w:val="multilevel"/>
    <w:tmpl w:val="113A5250"/>
    <w:name w:val="List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A736D7E"/>
    <w:multiLevelType w:val="multilevel"/>
    <w:tmpl w:val="8AE871F2"/>
    <w:name w:val="SecHeadList6"/>
    <w:numStyleLink w:val="SecListStyle"/>
  </w:abstractNum>
  <w:abstractNum w:abstractNumId="29" w15:restartNumberingAfterBreak="0">
    <w:nsid w:val="7F412206"/>
    <w:multiLevelType w:val="multilevel"/>
    <w:tmpl w:val="BCFEE74C"/>
    <w:name w:val="ParaNumBulletList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2"/>
  </w:num>
  <w:num w:numId="5">
    <w:abstractNumId w:val="29"/>
  </w:num>
  <w:num w:numId="6">
    <w:abstractNumId w:val="10"/>
  </w:num>
  <w:num w:numId="7">
    <w:abstractNumId w:val="13"/>
  </w:num>
  <w:num w:numId="8">
    <w:abstractNumId w:val="15"/>
  </w:num>
  <w:num w:numId="9">
    <w:abstractNumId w:val="19"/>
  </w:num>
  <w:num w:numId="10">
    <w:abstractNumId w:val="24"/>
  </w:num>
  <w:num w:numId="11">
    <w:abstractNumId w:val="28"/>
  </w:num>
  <w:num w:numId="12">
    <w:abstractNumId w:val="7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7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21"/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ptionOption" w:val="Figure"/>
    <w:docVar w:name="HasSeqParaNum" w:val="False"/>
    <w:docVar w:name="HeadingNum" w:val="HeadOnly"/>
    <w:docVar w:name="ParaNumbering" w:val="False"/>
  </w:docVars>
  <w:rsids>
    <w:rsidRoot w:val="00954CF0"/>
    <w:rsid w:val="00000484"/>
    <w:rsid w:val="00005682"/>
    <w:rsid w:val="0000762C"/>
    <w:rsid w:val="00010D37"/>
    <w:rsid w:val="00010DB4"/>
    <w:rsid w:val="00010FCA"/>
    <w:rsid w:val="00013435"/>
    <w:rsid w:val="00014919"/>
    <w:rsid w:val="0001534A"/>
    <w:rsid w:val="000154AD"/>
    <w:rsid w:val="00024954"/>
    <w:rsid w:val="0002522A"/>
    <w:rsid w:val="00026739"/>
    <w:rsid w:val="0002692D"/>
    <w:rsid w:val="00026CDD"/>
    <w:rsid w:val="0002768A"/>
    <w:rsid w:val="00030535"/>
    <w:rsid w:val="000307D9"/>
    <w:rsid w:val="00031D92"/>
    <w:rsid w:val="000324CD"/>
    <w:rsid w:val="00032D63"/>
    <w:rsid w:val="00032DFF"/>
    <w:rsid w:val="00034208"/>
    <w:rsid w:val="00040492"/>
    <w:rsid w:val="000405C0"/>
    <w:rsid w:val="0004067C"/>
    <w:rsid w:val="00040D4F"/>
    <w:rsid w:val="0004144B"/>
    <w:rsid w:val="000416FB"/>
    <w:rsid w:val="0004188F"/>
    <w:rsid w:val="000436A0"/>
    <w:rsid w:val="0004410B"/>
    <w:rsid w:val="00045A24"/>
    <w:rsid w:val="00045C6D"/>
    <w:rsid w:val="00046829"/>
    <w:rsid w:val="000509EA"/>
    <w:rsid w:val="00051AC0"/>
    <w:rsid w:val="0005401B"/>
    <w:rsid w:val="0005464D"/>
    <w:rsid w:val="00055C64"/>
    <w:rsid w:val="00056A28"/>
    <w:rsid w:val="000576B8"/>
    <w:rsid w:val="00057AD3"/>
    <w:rsid w:val="00057EF6"/>
    <w:rsid w:val="00060FF5"/>
    <w:rsid w:val="000646B2"/>
    <w:rsid w:val="00065C90"/>
    <w:rsid w:val="0007159B"/>
    <w:rsid w:val="00075B43"/>
    <w:rsid w:val="00077BE1"/>
    <w:rsid w:val="00081269"/>
    <w:rsid w:val="00082A07"/>
    <w:rsid w:val="00082D33"/>
    <w:rsid w:val="00086816"/>
    <w:rsid w:val="00090871"/>
    <w:rsid w:val="00091606"/>
    <w:rsid w:val="00091DF3"/>
    <w:rsid w:val="00093758"/>
    <w:rsid w:val="0009437D"/>
    <w:rsid w:val="000945E0"/>
    <w:rsid w:val="00095D11"/>
    <w:rsid w:val="0009625F"/>
    <w:rsid w:val="00096265"/>
    <w:rsid w:val="000A00BA"/>
    <w:rsid w:val="000A0D3F"/>
    <w:rsid w:val="000A0D97"/>
    <w:rsid w:val="000A3354"/>
    <w:rsid w:val="000A6730"/>
    <w:rsid w:val="000A6CEE"/>
    <w:rsid w:val="000B000A"/>
    <w:rsid w:val="000B0AC9"/>
    <w:rsid w:val="000B3580"/>
    <w:rsid w:val="000B5C71"/>
    <w:rsid w:val="000B6434"/>
    <w:rsid w:val="000C0424"/>
    <w:rsid w:val="000C0930"/>
    <w:rsid w:val="000C0EAD"/>
    <w:rsid w:val="000C1BE3"/>
    <w:rsid w:val="000C27BE"/>
    <w:rsid w:val="000C3ED4"/>
    <w:rsid w:val="000C3FF8"/>
    <w:rsid w:val="000C48CD"/>
    <w:rsid w:val="000C4B6D"/>
    <w:rsid w:val="000C5D87"/>
    <w:rsid w:val="000C5E3C"/>
    <w:rsid w:val="000C76B5"/>
    <w:rsid w:val="000D00C4"/>
    <w:rsid w:val="000D060B"/>
    <w:rsid w:val="000D14F8"/>
    <w:rsid w:val="000D1870"/>
    <w:rsid w:val="000D26AD"/>
    <w:rsid w:val="000D4280"/>
    <w:rsid w:val="000D5C83"/>
    <w:rsid w:val="000E19A9"/>
    <w:rsid w:val="000E3902"/>
    <w:rsid w:val="000E4D92"/>
    <w:rsid w:val="000E4F6C"/>
    <w:rsid w:val="000E5083"/>
    <w:rsid w:val="000F0B51"/>
    <w:rsid w:val="000F1FE3"/>
    <w:rsid w:val="000F2C56"/>
    <w:rsid w:val="000F37F7"/>
    <w:rsid w:val="000F3879"/>
    <w:rsid w:val="000F5519"/>
    <w:rsid w:val="000F6134"/>
    <w:rsid w:val="000F6BC1"/>
    <w:rsid w:val="000F7553"/>
    <w:rsid w:val="000F75C5"/>
    <w:rsid w:val="00100914"/>
    <w:rsid w:val="00101326"/>
    <w:rsid w:val="00102A91"/>
    <w:rsid w:val="00110397"/>
    <w:rsid w:val="00110600"/>
    <w:rsid w:val="00111A6F"/>
    <w:rsid w:val="00113029"/>
    <w:rsid w:val="00114E05"/>
    <w:rsid w:val="00116E07"/>
    <w:rsid w:val="00121428"/>
    <w:rsid w:val="00122C70"/>
    <w:rsid w:val="001240B1"/>
    <w:rsid w:val="00131ED3"/>
    <w:rsid w:val="00132F28"/>
    <w:rsid w:val="001333BA"/>
    <w:rsid w:val="00135656"/>
    <w:rsid w:val="00136A02"/>
    <w:rsid w:val="00137475"/>
    <w:rsid w:val="0014146A"/>
    <w:rsid w:val="0014189C"/>
    <w:rsid w:val="00142182"/>
    <w:rsid w:val="0014229E"/>
    <w:rsid w:val="00142715"/>
    <w:rsid w:val="00143924"/>
    <w:rsid w:val="00145133"/>
    <w:rsid w:val="00145C07"/>
    <w:rsid w:val="0014645F"/>
    <w:rsid w:val="00155734"/>
    <w:rsid w:val="00155FC0"/>
    <w:rsid w:val="00157CF3"/>
    <w:rsid w:val="00157E92"/>
    <w:rsid w:val="00161540"/>
    <w:rsid w:val="00161CE8"/>
    <w:rsid w:val="0016210E"/>
    <w:rsid w:val="001631D3"/>
    <w:rsid w:val="001655C8"/>
    <w:rsid w:val="001732A3"/>
    <w:rsid w:val="001732FD"/>
    <w:rsid w:val="00173CC5"/>
    <w:rsid w:val="00174140"/>
    <w:rsid w:val="001744B6"/>
    <w:rsid w:val="00174D51"/>
    <w:rsid w:val="0017538E"/>
    <w:rsid w:val="00175F65"/>
    <w:rsid w:val="0018282D"/>
    <w:rsid w:val="00183015"/>
    <w:rsid w:val="00184D8D"/>
    <w:rsid w:val="0018530D"/>
    <w:rsid w:val="00186416"/>
    <w:rsid w:val="001914A9"/>
    <w:rsid w:val="00191A3C"/>
    <w:rsid w:val="00196B98"/>
    <w:rsid w:val="001A074E"/>
    <w:rsid w:val="001A2E20"/>
    <w:rsid w:val="001A2F61"/>
    <w:rsid w:val="001A4195"/>
    <w:rsid w:val="001A4ADE"/>
    <w:rsid w:val="001A5097"/>
    <w:rsid w:val="001A51F3"/>
    <w:rsid w:val="001A6534"/>
    <w:rsid w:val="001A6720"/>
    <w:rsid w:val="001B29E8"/>
    <w:rsid w:val="001B37CB"/>
    <w:rsid w:val="001B42CD"/>
    <w:rsid w:val="001B4F54"/>
    <w:rsid w:val="001B50F4"/>
    <w:rsid w:val="001B60FF"/>
    <w:rsid w:val="001C088F"/>
    <w:rsid w:val="001C0CF3"/>
    <w:rsid w:val="001C4302"/>
    <w:rsid w:val="001C5383"/>
    <w:rsid w:val="001C7364"/>
    <w:rsid w:val="001D0C26"/>
    <w:rsid w:val="001D1699"/>
    <w:rsid w:val="001D1AB5"/>
    <w:rsid w:val="001D45CC"/>
    <w:rsid w:val="001D5391"/>
    <w:rsid w:val="001D673D"/>
    <w:rsid w:val="001D7BC7"/>
    <w:rsid w:val="001E0FDD"/>
    <w:rsid w:val="001E1C05"/>
    <w:rsid w:val="001E556C"/>
    <w:rsid w:val="001E5AF2"/>
    <w:rsid w:val="001E604D"/>
    <w:rsid w:val="001E633B"/>
    <w:rsid w:val="001E6632"/>
    <w:rsid w:val="001F00AF"/>
    <w:rsid w:val="001F10AB"/>
    <w:rsid w:val="001F10EF"/>
    <w:rsid w:val="001F371D"/>
    <w:rsid w:val="001F38AE"/>
    <w:rsid w:val="001F3BDC"/>
    <w:rsid w:val="001F5457"/>
    <w:rsid w:val="001F5A79"/>
    <w:rsid w:val="001F5E3A"/>
    <w:rsid w:val="001F662D"/>
    <w:rsid w:val="001F68D2"/>
    <w:rsid w:val="002001B0"/>
    <w:rsid w:val="0020129A"/>
    <w:rsid w:val="00201DF3"/>
    <w:rsid w:val="002044AF"/>
    <w:rsid w:val="0020559C"/>
    <w:rsid w:val="00206860"/>
    <w:rsid w:val="00206CBA"/>
    <w:rsid w:val="00206FFD"/>
    <w:rsid w:val="00210D17"/>
    <w:rsid w:val="0021208F"/>
    <w:rsid w:val="00216CC8"/>
    <w:rsid w:val="002215E0"/>
    <w:rsid w:val="00224163"/>
    <w:rsid w:val="00225E3A"/>
    <w:rsid w:val="00225EC2"/>
    <w:rsid w:val="002303B3"/>
    <w:rsid w:val="00234344"/>
    <w:rsid w:val="00234468"/>
    <w:rsid w:val="002344E0"/>
    <w:rsid w:val="00235AC2"/>
    <w:rsid w:val="00243C2C"/>
    <w:rsid w:val="00244674"/>
    <w:rsid w:val="002455C3"/>
    <w:rsid w:val="002455C9"/>
    <w:rsid w:val="00246075"/>
    <w:rsid w:val="0025112F"/>
    <w:rsid w:val="00252D18"/>
    <w:rsid w:val="00253843"/>
    <w:rsid w:val="002548E9"/>
    <w:rsid w:val="002555A2"/>
    <w:rsid w:val="002600E1"/>
    <w:rsid w:val="00260A22"/>
    <w:rsid w:val="00260B8A"/>
    <w:rsid w:val="002611A8"/>
    <w:rsid w:val="0026129E"/>
    <w:rsid w:val="0026157C"/>
    <w:rsid w:val="002620F5"/>
    <w:rsid w:val="002622E8"/>
    <w:rsid w:val="00263104"/>
    <w:rsid w:val="00264704"/>
    <w:rsid w:val="0026514D"/>
    <w:rsid w:val="0026564F"/>
    <w:rsid w:val="0027112D"/>
    <w:rsid w:val="00271B23"/>
    <w:rsid w:val="00271CAF"/>
    <w:rsid w:val="00272C63"/>
    <w:rsid w:val="00273A92"/>
    <w:rsid w:val="002743FD"/>
    <w:rsid w:val="00274C4E"/>
    <w:rsid w:val="002750C6"/>
    <w:rsid w:val="0027754F"/>
    <w:rsid w:val="00283E17"/>
    <w:rsid w:val="00287446"/>
    <w:rsid w:val="00290805"/>
    <w:rsid w:val="00290A28"/>
    <w:rsid w:val="00292A5F"/>
    <w:rsid w:val="002938AE"/>
    <w:rsid w:val="00294E5D"/>
    <w:rsid w:val="00294FCB"/>
    <w:rsid w:val="002957CD"/>
    <w:rsid w:val="00296736"/>
    <w:rsid w:val="002A1841"/>
    <w:rsid w:val="002A3188"/>
    <w:rsid w:val="002A47D9"/>
    <w:rsid w:val="002A6042"/>
    <w:rsid w:val="002A7203"/>
    <w:rsid w:val="002A77F5"/>
    <w:rsid w:val="002A7E1D"/>
    <w:rsid w:val="002B5993"/>
    <w:rsid w:val="002B5A6E"/>
    <w:rsid w:val="002B6378"/>
    <w:rsid w:val="002B716D"/>
    <w:rsid w:val="002C0582"/>
    <w:rsid w:val="002C1483"/>
    <w:rsid w:val="002C57DF"/>
    <w:rsid w:val="002C5D47"/>
    <w:rsid w:val="002C6545"/>
    <w:rsid w:val="002D1E75"/>
    <w:rsid w:val="002D4154"/>
    <w:rsid w:val="002D46EA"/>
    <w:rsid w:val="002D673D"/>
    <w:rsid w:val="002E0589"/>
    <w:rsid w:val="002E1CAE"/>
    <w:rsid w:val="002E1DDC"/>
    <w:rsid w:val="002F00C3"/>
    <w:rsid w:val="002F1849"/>
    <w:rsid w:val="002F1AB2"/>
    <w:rsid w:val="002F22C9"/>
    <w:rsid w:val="002F3B4E"/>
    <w:rsid w:val="002F4E18"/>
    <w:rsid w:val="00302A9C"/>
    <w:rsid w:val="00302BF6"/>
    <w:rsid w:val="00307022"/>
    <w:rsid w:val="00307284"/>
    <w:rsid w:val="00313902"/>
    <w:rsid w:val="00313B53"/>
    <w:rsid w:val="0031436A"/>
    <w:rsid w:val="0031654B"/>
    <w:rsid w:val="003176ED"/>
    <w:rsid w:val="003178A2"/>
    <w:rsid w:val="00324E60"/>
    <w:rsid w:val="003268CA"/>
    <w:rsid w:val="00327CB8"/>
    <w:rsid w:val="00330D7D"/>
    <w:rsid w:val="0033122E"/>
    <w:rsid w:val="003316E7"/>
    <w:rsid w:val="003326DC"/>
    <w:rsid w:val="00333297"/>
    <w:rsid w:val="0033629F"/>
    <w:rsid w:val="003362F5"/>
    <w:rsid w:val="003365B7"/>
    <w:rsid w:val="00337CE0"/>
    <w:rsid w:val="0034003C"/>
    <w:rsid w:val="0034098D"/>
    <w:rsid w:val="003428AE"/>
    <w:rsid w:val="0034501E"/>
    <w:rsid w:val="003452AB"/>
    <w:rsid w:val="00345C31"/>
    <w:rsid w:val="00345F94"/>
    <w:rsid w:val="00346395"/>
    <w:rsid w:val="003464BF"/>
    <w:rsid w:val="00346E2C"/>
    <w:rsid w:val="00347B7E"/>
    <w:rsid w:val="00347DD3"/>
    <w:rsid w:val="00350346"/>
    <w:rsid w:val="0035246B"/>
    <w:rsid w:val="00353D97"/>
    <w:rsid w:val="00353E87"/>
    <w:rsid w:val="0035486E"/>
    <w:rsid w:val="003601E8"/>
    <w:rsid w:val="00362BED"/>
    <w:rsid w:val="00365B1E"/>
    <w:rsid w:val="003712A0"/>
    <w:rsid w:val="003715D5"/>
    <w:rsid w:val="00372D3D"/>
    <w:rsid w:val="003747C5"/>
    <w:rsid w:val="0037581C"/>
    <w:rsid w:val="00376645"/>
    <w:rsid w:val="0038083E"/>
    <w:rsid w:val="00380BF9"/>
    <w:rsid w:val="003813B6"/>
    <w:rsid w:val="0038154C"/>
    <w:rsid w:val="00382A6E"/>
    <w:rsid w:val="00385933"/>
    <w:rsid w:val="0038690C"/>
    <w:rsid w:val="003876CA"/>
    <w:rsid w:val="00395952"/>
    <w:rsid w:val="00396FE3"/>
    <w:rsid w:val="00397B4C"/>
    <w:rsid w:val="003A09D2"/>
    <w:rsid w:val="003A0BCC"/>
    <w:rsid w:val="003A2B6C"/>
    <w:rsid w:val="003A4D46"/>
    <w:rsid w:val="003A75AE"/>
    <w:rsid w:val="003B1AA4"/>
    <w:rsid w:val="003B5C33"/>
    <w:rsid w:val="003C1D2E"/>
    <w:rsid w:val="003C4007"/>
    <w:rsid w:val="003C5D47"/>
    <w:rsid w:val="003C656B"/>
    <w:rsid w:val="003C68E9"/>
    <w:rsid w:val="003C72B9"/>
    <w:rsid w:val="003D1B19"/>
    <w:rsid w:val="003D1C23"/>
    <w:rsid w:val="003D3137"/>
    <w:rsid w:val="003D4767"/>
    <w:rsid w:val="003D4B79"/>
    <w:rsid w:val="003D59BA"/>
    <w:rsid w:val="003D66C6"/>
    <w:rsid w:val="003D67BF"/>
    <w:rsid w:val="003D6AB7"/>
    <w:rsid w:val="003D7E2C"/>
    <w:rsid w:val="003E08AA"/>
    <w:rsid w:val="003E0E58"/>
    <w:rsid w:val="003E1250"/>
    <w:rsid w:val="003E23C0"/>
    <w:rsid w:val="003E46EF"/>
    <w:rsid w:val="003E5420"/>
    <w:rsid w:val="003E5AB9"/>
    <w:rsid w:val="003E6AAF"/>
    <w:rsid w:val="003E6FD8"/>
    <w:rsid w:val="003F2E8C"/>
    <w:rsid w:val="003F2EA4"/>
    <w:rsid w:val="003F373F"/>
    <w:rsid w:val="003F3DF5"/>
    <w:rsid w:val="003F4280"/>
    <w:rsid w:val="003F442C"/>
    <w:rsid w:val="003F68D4"/>
    <w:rsid w:val="003F75DB"/>
    <w:rsid w:val="003F7EE7"/>
    <w:rsid w:val="00400F97"/>
    <w:rsid w:val="004023AF"/>
    <w:rsid w:val="0040322F"/>
    <w:rsid w:val="00404B8E"/>
    <w:rsid w:val="00404D1B"/>
    <w:rsid w:val="00404F33"/>
    <w:rsid w:val="004073FE"/>
    <w:rsid w:val="00407DB1"/>
    <w:rsid w:val="00407FAE"/>
    <w:rsid w:val="00411105"/>
    <w:rsid w:val="0041224B"/>
    <w:rsid w:val="00413D8B"/>
    <w:rsid w:val="00414014"/>
    <w:rsid w:val="00414735"/>
    <w:rsid w:val="00414E24"/>
    <w:rsid w:val="00414F18"/>
    <w:rsid w:val="00415365"/>
    <w:rsid w:val="00415E97"/>
    <w:rsid w:val="00415F4F"/>
    <w:rsid w:val="00417777"/>
    <w:rsid w:val="0042060E"/>
    <w:rsid w:val="00421002"/>
    <w:rsid w:val="00422E95"/>
    <w:rsid w:val="0042421C"/>
    <w:rsid w:val="004244FB"/>
    <w:rsid w:val="00424C08"/>
    <w:rsid w:val="004257D6"/>
    <w:rsid w:val="00430B03"/>
    <w:rsid w:val="00431C41"/>
    <w:rsid w:val="00434D31"/>
    <w:rsid w:val="004353D1"/>
    <w:rsid w:val="00435CB2"/>
    <w:rsid w:val="00435DEF"/>
    <w:rsid w:val="004364DD"/>
    <w:rsid w:val="00437766"/>
    <w:rsid w:val="00437E3E"/>
    <w:rsid w:val="004416D2"/>
    <w:rsid w:val="00441E03"/>
    <w:rsid w:val="00444002"/>
    <w:rsid w:val="0044451E"/>
    <w:rsid w:val="0044453C"/>
    <w:rsid w:val="00444649"/>
    <w:rsid w:val="004516E4"/>
    <w:rsid w:val="004530BD"/>
    <w:rsid w:val="004564B5"/>
    <w:rsid w:val="00456921"/>
    <w:rsid w:val="00456EC3"/>
    <w:rsid w:val="00460677"/>
    <w:rsid w:val="00464409"/>
    <w:rsid w:val="00464412"/>
    <w:rsid w:val="0047005B"/>
    <w:rsid w:val="0047119A"/>
    <w:rsid w:val="00471F76"/>
    <w:rsid w:val="0047266A"/>
    <w:rsid w:val="004733B4"/>
    <w:rsid w:val="00473413"/>
    <w:rsid w:val="0047454F"/>
    <w:rsid w:val="00475174"/>
    <w:rsid w:val="0047543F"/>
    <w:rsid w:val="00476AB9"/>
    <w:rsid w:val="00480321"/>
    <w:rsid w:val="004808C7"/>
    <w:rsid w:val="00481913"/>
    <w:rsid w:val="004823F7"/>
    <w:rsid w:val="004832C2"/>
    <w:rsid w:val="0048351F"/>
    <w:rsid w:val="00485B13"/>
    <w:rsid w:val="00487EB6"/>
    <w:rsid w:val="00492404"/>
    <w:rsid w:val="00494562"/>
    <w:rsid w:val="00494844"/>
    <w:rsid w:val="004957D0"/>
    <w:rsid w:val="00495DC7"/>
    <w:rsid w:val="00497C2B"/>
    <w:rsid w:val="004A11A3"/>
    <w:rsid w:val="004A3299"/>
    <w:rsid w:val="004A37AB"/>
    <w:rsid w:val="004A42E5"/>
    <w:rsid w:val="004A4590"/>
    <w:rsid w:val="004A6890"/>
    <w:rsid w:val="004B007F"/>
    <w:rsid w:val="004B1331"/>
    <w:rsid w:val="004B1A8A"/>
    <w:rsid w:val="004B4821"/>
    <w:rsid w:val="004B5CE4"/>
    <w:rsid w:val="004B63DB"/>
    <w:rsid w:val="004C018B"/>
    <w:rsid w:val="004C1542"/>
    <w:rsid w:val="004C34AD"/>
    <w:rsid w:val="004C441A"/>
    <w:rsid w:val="004C49C9"/>
    <w:rsid w:val="004C55A6"/>
    <w:rsid w:val="004C7F58"/>
    <w:rsid w:val="004D1254"/>
    <w:rsid w:val="004D37D2"/>
    <w:rsid w:val="004D4485"/>
    <w:rsid w:val="004D4679"/>
    <w:rsid w:val="004D6B09"/>
    <w:rsid w:val="004D6D6A"/>
    <w:rsid w:val="004E1C29"/>
    <w:rsid w:val="004E2AED"/>
    <w:rsid w:val="004E4550"/>
    <w:rsid w:val="004F07D5"/>
    <w:rsid w:val="004F1FF2"/>
    <w:rsid w:val="004F239A"/>
    <w:rsid w:val="004F39E5"/>
    <w:rsid w:val="004F46F9"/>
    <w:rsid w:val="004F4E59"/>
    <w:rsid w:val="00501A1E"/>
    <w:rsid w:val="00502C04"/>
    <w:rsid w:val="005042F0"/>
    <w:rsid w:val="00504F62"/>
    <w:rsid w:val="00506209"/>
    <w:rsid w:val="00507E66"/>
    <w:rsid w:val="0051038F"/>
    <w:rsid w:val="00511EB1"/>
    <w:rsid w:val="005120DA"/>
    <w:rsid w:val="00513750"/>
    <w:rsid w:val="00515BE1"/>
    <w:rsid w:val="00516428"/>
    <w:rsid w:val="00517898"/>
    <w:rsid w:val="00520F4A"/>
    <w:rsid w:val="00524E6E"/>
    <w:rsid w:val="00525ADC"/>
    <w:rsid w:val="0052616C"/>
    <w:rsid w:val="00526C67"/>
    <w:rsid w:val="00526D74"/>
    <w:rsid w:val="005313B5"/>
    <w:rsid w:val="00531DF4"/>
    <w:rsid w:val="00533AF8"/>
    <w:rsid w:val="0053587A"/>
    <w:rsid w:val="00536F38"/>
    <w:rsid w:val="005412E8"/>
    <w:rsid w:val="00541403"/>
    <w:rsid w:val="005418AC"/>
    <w:rsid w:val="005424AC"/>
    <w:rsid w:val="005437C9"/>
    <w:rsid w:val="0054473A"/>
    <w:rsid w:val="00545671"/>
    <w:rsid w:val="00545BA7"/>
    <w:rsid w:val="005462F7"/>
    <w:rsid w:val="00546376"/>
    <w:rsid w:val="00550926"/>
    <w:rsid w:val="00550AF9"/>
    <w:rsid w:val="005511C1"/>
    <w:rsid w:val="00551545"/>
    <w:rsid w:val="005524DD"/>
    <w:rsid w:val="00553613"/>
    <w:rsid w:val="005567DA"/>
    <w:rsid w:val="00556A88"/>
    <w:rsid w:val="00557925"/>
    <w:rsid w:val="00560132"/>
    <w:rsid w:val="0056410A"/>
    <w:rsid w:val="005646E5"/>
    <w:rsid w:val="005649BC"/>
    <w:rsid w:val="00566077"/>
    <w:rsid w:val="00566D62"/>
    <w:rsid w:val="00567506"/>
    <w:rsid w:val="00567658"/>
    <w:rsid w:val="00570553"/>
    <w:rsid w:val="005708E6"/>
    <w:rsid w:val="00571FBE"/>
    <w:rsid w:val="00573360"/>
    <w:rsid w:val="00574A7B"/>
    <w:rsid w:val="005765C7"/>
    <w:rsid w:val="00577609"/>
    <w:rsid w:val="00580ADA"/>
    <w:rsid w:val="00580C54"/>
    <w:rsid w:val="0058145D"/>
    <w:rsid w:val="005815DE"/>
    <w:rsid w:val="0058209A"/>
    <w:rsid w:val="005854B5"/>
    <w:rsid w:val="00586A1E"/>
    <w:rsid w:val="005943B5"/>
    <w:rsid w:val="005960ED"/>
    <w:rsid w:val="005963B1"/>
    <w:rsid w:val="0059677B"/>
    <w:rsid w:val="005A1028"/>
    <w:rsid w:val="005A3378"/>
    <w:rsid w:val="005A33CF"/>
    <w:rsid w:val="005A4B97"/>
    <w:rsid w:val="005A624D"/>
    <w:rsid w:val="005A68FB"/>
    <w:rsid w:val="005A7BA6"/>
    <w:rsid w:val="005B0485"/>
    <w:rsid w:val="005B23C6"/>
    <w:rsid w:val="005B6688"/>
    <w:rsid w:val="005B71B4"/>
    <w:rsid w:val="005C0C23"/>
    <w:rsid w:val="005C2E41"/>
    <w:rsid w:val="005C3C90"/>
    <w:rsid w:val="005C3E91"/>
    <w:rsid w:val="005C4347"/>
    <w:rsid w:val="005C43F1"/>
    <w:rsid w:val="005C4C6E"/>
    <w:rsid w:val="005C4CDB"/>
    <w:rsid w:val="005C6304"/>
    <w:rsid w:val="005D0AA6"/>
    <w:rsid w:val="005D248D"/>
    <w:rsid w:val="005D2746"/>
    <w:rsid w:val="005D4089"/>
    <w:rsid w:val="005D462D"/>
    <w:rsid w:val="005D4C3B"/>
    <w:rsid w:val="005D731F"/>
    <w:rsid w:val="005D7693"/>
    <w:rsid w:val="005E0668"/>
    <w:rsid w:val="005E0E52"/>
    <w:rsid w:val="005E1079"/>
    <w:rsid w:val="005E1722"/>
    <w:rsid w:val="005E2AE2"/>
    <w:rsid w:val="005E311C"/>
    <w:rsid w:val="005E615E"/>
    <w:rsid w:val="005E6CF4"/>
    <w:rsid w:val="005E7450"/>
    <w:rsid w:val="005F36A3"/>
    <w:rsid w:val="005F4311"/>
    <w:rsid w:val="0060111F"/>
    <w:rsid w:val="0060354D"/>
    <w:rsid w:val="0060476B"/>
    <w:rsid w:val="006051C0"/>
    <w:rsid w:val="00605E8A"/>
    <w:rsid w:val="006077AF"/>
    <w:rsid w:val="00611153"/>
    <w:rsid w:val="006119DB"/>
    <w:rsid w:val="006157E5"/>
    <w:rsid w:val="00615AEF"/>
    <w:rsid w:val="00617D67"/>
    <w:rsid w:val="0062045A"/>
    <w:rsid w:val="00620C10"/>
    <w:rsid w:val="00621309"/>
    <w:rsid w:val="006216E8"/>
    <w:rsid w:val="006247E2"/>
    <w:rsid w:val="006248BE"/>
    <w:rsid w:val="006255BA"/>
    <w:rsid w:val="00625C0F"/>
    <w:rsid w:val="00626A54"/>
    <w:rsid w:val="00627D50"/>
    <w:rsid w:val="00630978"/>
    <w:rsid w:val="00631CD2"/>
    <w:rsid w:val="006322ED"/>
    <w:rsid w:val="006326BD"/>
    <w:rsid w:val="00632FA4"/>
    <w:rsid w:val="00635355"/>
    <w:rsid w:val="006407D2"/>
    <w:rsid w:val="00640BDE"/>
    <w:rsid w:val="00640C53"/>
    <w:rsid w:val="00641681"/>
    <w:rsid w:val="006436BA"/>
    <w:rsid w:val="0064381C"/>
    <w:rsid w:val="00643F19"/>
    <w:rsid w:val="00644069"/>
    <w:rsid w:val="0064409C"/>
    <w:rsid w:val="00644CAE"/>
    <w:rsid w:val="00646ED6"/>
    <w:rsid w:val="00650737"/>
    <w:rsid w:val="00652555"/>
    <w:rsid w:val="006535C7"/>
    <w:rsid w:val="006545FA"/>
    <w:rsid w:val="0065472B"/>
    <w:rsid w:val="0065503D"/>
    <w:rsid w:val="00656F4A"/>
    <w:rsid w:val="00660138"/>
    <w:rsid w:val="006604F9"/>
    <w:rsid w:val="00662538"/>
    <w:rsid w:val="00663BEE"/>
    <w:rsid w:val="00664490"/>
    <w:rsid w:val="00665601"/>
    <w:rsid w:val="00666FD8"/>
    <w:rsid w:val="0066737F"/>
    <w:rsid w:val="00667AF0"/>
    <w:rsid w:val="0067218F"/>
    <w:rsid w:val="00673813"/>
    <w:rsid w:val="00674CE6"/>
    <w:rsid w:val="00676C80"/>
    <w:rsid w:val="006774CB"/>
    <w:rsid w:val="00677A14"/>
    <w:rsid w:val="00685B24"/>
    <w:rsid w:val="006866BE"/>
    <w:rsid w:val="0068717F"/>
    <w:rsid w:val="00687462"/>
    <w:rsid w:val="00690642"/>
    <w:rsid w:val="006916BF"/>
    <w:rsid w:val="0069213B"/>
    <w:rsid w:val="006931D6"/>
    <w:rsid w:val="00694420"/>
    <w:rsid w:val="0069587E"/>
    <w:rsid w:val="00697891"/>
    <w:rsid w:val="006A0425"/>
    <w:rsid w:val="006A19FC"/>
    <w:rsid w:val="006A1DAE"/>
    <w:rsid w:val="006A1EDE"/>
    <w:rsid w:val="006A2083"/>
    <w:rsid w:val="006A282E"/>
    <w:rsid w:val="006B2056"/>
    <w:rsid w:val="006B6BAF"/>
    <w:rsid w:val="006B7D89"/>
    <w:rsid w:val="006C17CB"/>
    <w:rsid w:val="006C2C39"/>
    <w:rsid w:val="006C3971"/>
    <w:rsid w:val="006C4120"/>
    <w:rsid w:val="006C5F8A"/>
    <w:rsid w:val="006C5FBE"/>
    <w:rsid w:val="006C75CE"/>
    <w:rsid w:val="006D0186"/>
    <w:rsid w:val="006D0551"/>
    <w:rsid w:val="006D0B7A"/>
    <w:rsid w:val="006D1AEB"/>
    <w:rsid w:val="006D2428"/>
    <w:rsid w:val="006D2B13"/>
    <w:rsid w:val="006D35E1"/>
    <w:rsid w:val="006D3B57"/>
    <w:rsid w:val="006D51FA"/>
    <w:rsid w:val="006D63F4"/>
    <w:rsid w:val="006D6D7E"/>
    <w:rsid w:val="006E0E94"/>
    <w:rsid w:val="006E170A"/>
    <w:rsid w:val="006E382B"/>
    <w:rsid w:val="006E4ABA"/>
    <w:rsid w:val="006E5B22"/>
    <w:rsid w:val="006E5EC3"/>
    <w:rsid w:val="006E6CCF"/>
    <w:rsid w:val="006E72BA"/>
    <w:rsid w:val="006E782A"/>
    <w:rsid w:val="006E7AC8"/>
    <w:rsid w:val="006F4DA4"/>
    <w:rsid w:val="006F72E6"/>
    <w:rsid w:val="006F7609"/>
    <w:rsid w:val="0070065E"/>
    <w:rsid w:val="0070150C"/>
    <w:rsid w:val="007026B1"/>
    <w:rsid w:val="00703280"/>
    <w:rsid w:val="00706C89"/>
    <w:rsid w:val="00712D7E"/>
    <w:rsid w:val="00713B70"/>
    <w:rsid w:val="00717597"/>
    <w:rsid w:val="007206C2"/>
    <w:rsid w:val="007232D4"/>
    <w:rsid w:val="00723446"/>
    <w:rsid w:val="00723574"/>
    <w:rsid w:val="007236D4"/>
    <w:rsid w:val="00727549"/>
    <w:rsid w:val="00730626"/>
    <w:rsid w:val="00732157"/>
    <w:rsid w:val="007326B0"/>
    <w:rsid w:val="00732C4C"/>
    <w:rsid w:val="00734569"/>
    <w:rsid w:val="0073508A"/>
    <w:rsid w:val="007366BE"/>
    <w:rsid w:val="00737683"/>
    <w:rsid w:val="0073783C"/>
    <w:rsid w:val="00740AFE"/>
    <w:rsid w:val="00740E56"/>
    <w:rsid w:val="007424B6"/>
    <w:rsid w:val="00742739"/>
    <w:rsid w:val="00742AA4"/>
    <w:rsid w:val="0074373F"/>
    <w:rsid w:val="00743E7C"/>
    <w:rsid w:val="00746FC1"/>
    <w:rsid w:val="0074734F"/>
    <w:rsid w:val="00747442"/>
    <w:rsid w:val="0075004A"/>
    <w:rsid w:val="00750725"/>
    <w:rsid w:val="0075072C"/>
    <w:rsid w:val="00751A85"/>
    <w:rsid w:val="00751DBD"/>
    <w:rsid w:val="007520F9"/>
    <w:rsid w:val="0075498A"/>
    <w:rsid w:val="00756F93"/>
    <w:rsid w:val="00757487"/>
    <w:rsid w:val="00760119"/>
    <w:rsid w:val="00760B46"/>
    <w:rsid w:val="007629B5"/>
    <w:rsid w:val="00763792"/>
    <w:rsid w:val="007658E9"/>
    <w:rsid w:val="00766BB0"/>
    <w:rsid w:val="00771C5E"/>
    <w:rsid w:val="00772A1E"/>
    <w:rsid w:val="00773081"/>
    <w:rsid w:val="007759CC"/>
    <w:rsid w:val="0077767E"/>
    <w:rsid w:val="007804C3"/>
    <w:rsid w:val="00781DC7"/>
    <w:rsid w:val="00783D2F"/>
    <w:rsid w:val="00784601"/>
    <w:rsid w:val="00786187"/>
    <w:rsid w:val="00787432"/>
    <w:rsid w:val="00790261"/>
    <w:rsid w:val="00791481"/>
    <w:rsid w:val="007918A1"/>
    <w:rsid w:val="00791EB3"/>
    <w:rsid w:val="00792C9D"/>
    <w:rsid w:val="0079361E"/>
    <w:rsid w:val="00795E9C"/>
    <w:rsid w:val="0079756B"/>
    <w:rsid w:val="007A0EC6"/>
    <w:rsid w:val="007A2099"/>
    <w:rsid w:val="007A3A60"/>
    <w:rsid w:val="007A41DC"/>
    <w:rsid w:val="007A489C"/>
    <w:rsid w:val="007B24F2"/>
    <w:rsid w:val="007B6275"/>
    <w:rsid w:val="007B66A5"/>
    <w:rsid w:val="007C06F1"/>
    <w:rsid w:val="007C0972"/>
    <w:rsid w:val="007C3EFF"/>
    <w:rsid w:val="007C4844"/>
    <w:rsid w:val="007C64C3"/>
    <w:rsid w:val="007C655E"/>
    <w:rsid w:val="007C6582"/>
    <w:rsid w:val="007D203E"/>
    <w:rsid w:val="007D2811"/>
    <w:rsid w:val="007D48AE"/>
    <w:rsid w:val="007D6596"/>
    <w:rsid w:val="007D6B43"/>
    <w:rsid w:val="007D6CB2"/>
    <w:rsid w:val="007D743E"/>
    <w:rsid w:val="007E0E49"/>
    <w:rsid w:val="007E16C6"/>
    <w:rsid w:val="007E37B0"/>
    <w:rsid w:val="007E450D"/>
    <w:rsid w:val="007E4BC6"/>
    <w:rsid w:val="007E6097"/>
    <w:rsid w:val="007E60E5"/>
    <w:rsid w:val="007E7A3C"/>
    <w:rsid w:val="007F007E"/>
    <w:rsid w:val="007F4550"/>
    <w:rsid w:val="007F4D6D"/>
    <w:rsid w:val="007F5674"/>
    <w:rsid w:val="008050E0"/>
    <w:rsid w:val="0080524D"/>
    <w:rsid w:val="00805422"/>
    <w:rsid w:val="00806340"/>
    <w:rsid w:val="00810F27"/>
    <w:rsid w:val="008132DD"/>
    <w:rsid w:val="00814BA6"/>
    <w:rsid w:val="00815BDA"/>
    <w:rsid w:val="00816132"/>
    <w:rsid w:val="008164D9"/>
    <w:rsid w:val="008179DE"/>
    <w:rsid w:val="008202B4"/>
    <w:rsid w:val="0082054E"/>
    <w:rsid w:val="00820F4A"/>
    <w:rsid w:val="00821627"/>
    <w:rsid w:val="0082256E"/>
    <w:rsid w:val="00822993"/>
    <w:rsid w:val="00822A92"/>
    <w:rsid w:val="0082368E"/>
    <w:rsid w:val="00823C7C"/>
    <w:rsid w:val="0082489C"/>
    <w:rsid w:val="00825EEE"/>
    <w:rsid w:val="00826586"/>
    <w:rsid w:val="00826CD7"/>
    <w:rsid w:val="00827335"/>
    <w:rsid w:val="008301AB"/>
    <w:rsid w:val="00833153"/>
    <w:rsid w:val="0083435C"/>
    <w:rsid w:val="00835032"/>
    <w:rsid w:val="0083511C"/>
    <w:rsid w:val="008353BB"/>
    <w:rsid w:val="008356D7"/>
    <w:rsid w:val="008364DC"/>
    <w:rsid w:val="0083657F"/>
    <w:rsid w:val="00837480"/>
    <w:rsid w:val="00840156"/>
    <w:rsid w:val="008406D5"/>
    <w:rsid w:val="00840A65"/>
    <w:rsid w:val="0084557B"/>
    <w:rsid w:val="00845B62"/>
    <w:rsid w:val="00847303"/>
    <w:rsid w:val="008475F6"/>
    <w:rsid w:val="00847EFC"/>
    <w:rsid w:val="00847FA8"/>
    <w:rsid w:val="008521D9"/>
    <w:rsid w:val="008529BA"/>
    <w:rsid w:val="00852EF7"/>
    <w:rsid w:val="00854CA5"/>
    <w:rsid w:val="00856A55"/>
    <w:rsid w:val="00857EEC"/>
    <w:rsid w:val="00857FA8"/>
    <w:rsid w:val="008601FB"/>
    <w:rsid w:val="008607B7"/>
    <w:rsid w:val="0086255F"/>
    <w:rsid w:val="00862C1C"/>
    <w:rsid w:val="00863DAF"/>
    <w:rsid w:val="0086553B"/>
    <w:rsid w:val="0086743F"/>
    <w:rsid w:val="00867DDD"/>
    <w:rsid w:val="00871B2A"/>
    <w:rsid w:val="0087294C"/>
    <w:rsid w:val="00872FF9"/>
    <w:rsid w:val="0087387C"/>
    <w:rsid w:val="00881CB3"/>
    <w:rsid w:val="00881D0B"/>
    <w:rsid w:val="00882A7B"/>
    <w:rsid w:val="00882C38"/>
    <w:rsid w:val="00883450"/>
    <w:rsid w:val="008840E6"/>
    <w:rsid w:val="00886D95"/>
    <w:rsid w:val="00886DF3"/>
    <w:rsid w:val="00887447"/>
    <w:rsid w:val="008877A3"/>
    <w:rsid w:val="00887B9A"/>
    <w:rsid w:val="00891A99"/>
    <w:rsid w:val="00891C96"/>
    <w:rsid w:val="00893312"/>
    <w:rsid w:val="00893BFC"/>
    <w:rsid w:val="00894D81"/>
    <w:rsid w:val="008A11B4"/>
    <w:rsid w:val="008A4123"/>
    <w:rsid w:val="008A706E"/>
    <w:rsid w:val="008A7D4D"/>
    <w:rsid w:val="008B0A1B"/>
    <w:rsid w:val="008B267E"/>
    <w:rsid w:val="008B3ED9"/>
    <w:rsid w:val="008B4E62"/>
    <w:rsid w:val="008B5A2B"/>
    <w:rsid w:val="008B5F64"/>
    <w:rsid w:val="008B7A2D"/>
    <w:rsid w:val="008B7A84"/>
    <w:rsid w:val="008C14D7"/>
    <w:rsid w:val="008C37E1"/>
    <w:rsid w:val="008C5806"/>
    <w:rsid w:val="008C6572"/>
    <w:rsid w:val="008C7E58"/>
    <w:rsid w:val="008C7EAD"/>
    <w:rsid w:val="008D0199"/>
    <w:rsid w:val="008D0375"/>
    <w:rsid w:val="008D0439"/>
    <w:rsid w:val="008D0691"/>
    <w:rsid w:val="008D2F46"/>
    <w:rsid w:val="008D2FAA"/>
    <w:rsid w:val="008D354D"/>
    <w:rsid w:val="008D37F4"/>
    <w:rsid w:val="008D59E3"/>
    <w:rsid w:val="008D726E"/>
    <w:rsid w:val="008E010D"/>
    <w:rsid w:val="008E1964"/>
    <w:rsid w:val="008E2E60"/>
    <w:rsid w:val="008E3C50"/>
    <w:rsid w:val="008E539C"/>
    <w:rsid w:val="008E769C"/>
    <w:rsid w:val="008E7D33"/>
    <w:rsid w:val="008F0113"/>
    <w:rsid w:val="008F1716"/>
    <w:rsid w:val="008F2554"/>
    <w:rsid w:val="008F25EB"/>
    <w:rsid w:val="008F2ADA"/>
    <w:rsid w:val="008F4181"/>
    <w:rsid w:val="008F75F6"/>
    <w:rsid w:val="008F7E21"/>
    <w:rsid w:val="009009F0"/>
    <w:rsid w:val="0090268D"/>
    <w:rsid w:val="00903D3E"/>
    <w:rsid w:val="00904188"/>
    <w:rsid w:val="00906ADC"/>
    <w:rsid w:val="00910E09"/>
    <w:rsid w:val="00911D18"/>
    <w:rsid w:val="009126C5"/>
    <w:rsid w:val="00912A24"/>
    <w:rsid w:val="0091403E"/>
    <w:rsid w:val="0091412F"/>
    <w:rsid w:val="0091659B"/>
    <w:rsid w:val="00916D04"/>
    <w:rsid w:val="0092075B"/>
    <w:rsid w:val="0092116A"/>
    <w:rsid w:val="009236F0"/>
    <w:rsid w:val="00927274"/>
    <w:rsid w:val="009305CB"/>
    <w:rsid w:val="00930A7B"/>
    <w:rsid w:val="00931F17"/>
    <w:rsid w:val="00933218"/>
    <w:rsid w:val="00936B3F"/>
    <w:rsid w:val="00940B92"/>
    <w:rsid w:val="00940C9F"/>
    <w:rsid w:val="00941333"/>
    <w:rsid w:val="0094244C"/>
    <w:rsid w:val="0094248E"/>
    <w:rsid w:val="0094451C"/>
    <w:rsid w:val="009456F1"/>
    <w:rsid w:val="00945B7B"/>
    <w:rsid w:val="00945F96"/>
    <w:rsid w:val="00947341"/>
    <w:rsid w:val="009476BD"/>
    <w:rsid w:val="009511E3"/>
    <w:rsid w:val="00951A54"/>
    <w:rsid w:val="00952F1F"/>
    <w:rsid w:val="00954CF0"/>
    <w:rsid w:val="0096098F"/>
    <w:rsid w:val="009615D1"/>
    <w:rsid w:val="00962D59"/>
    <w:rsid w:val="00962DBC"/>
    <w:rsid w:val="00963214"/>
    <w:rsid w:val="009674E1"/>
    <w:rsid w:val="00967AFC"/>
    <w:rsid w:val="00970127"/>
    <w:rsid w:val="00971775"/>
    <w:rsid w:val="00973323"/>
    <w:rsid w:val="00975D8C"/>
    <w:rsid w:val="00977DFD"/>
    <w:rsid w:val="0098079A"/>
    <w:rsid w:val="009816A6"/>
    <w:rsid w:val="00983A7B"/>
    <w:rsid w:val="0098408F"/>
    <w:rsid w:val="00984E45"/>
    <w:rsid w:val="00985B45"/>
    <w:rsid w:val="00985FDD"/>
    <w:rsid w:val="0098644A"/>
    <w:rsid w:val="00987985"/>
    <w:rsid w:val="0099258B"/>
    <w:rsid w:val="00992C1B"/>
    <w:rsid w:val="00992DA9"/>
    <w:rsid w:val="00993C74"/>
    <w:rsid w:val="0099626A"/>
    <w:rsid w:val="00997423"/>
    <w:rsid w:val="009A2892"/>
    <w:rsid w:val="009A2CC1"/>
    <w:rsid w:val="009A44F5"/>
    <w:rsid w:val="009A6EE6"/>
    <w:rsid w:val="009A7531"/>
    <w:rsid w:val="009B0067"/>
    <w:rsid w:val="009B20AE"/>
    <w:rsid w:val="009B3CEB"/>
    <w:rsid w:val="009B3E01"/>
    <w:rsid w:val="009B574A"/>
    <w:rsid w:val="009B60BF"/>
    <w:rsid w:val="009B6848"/>
    <w:rsid w:val="009B7178"/>
    <w:rsid w:val="009B7F60"/>
    <w:rsid w:val="009C1021"/>
    <w:rsid w:val="009C1B1C"/>
    <w:rsid w:val="009C2785"/>
    <w:rsid w:val="009C369B"/>
    <w:rsid w:val="009C4D29"/>
    <w:rsid w:val="009C6553"/>
    <w:rsid w:val="009D2271"/>
    <w:rsid w:val="009D29BD"/>
    <w:rsid w:val="009D2BEC"/>
    <w:rsid w:val="009D2D4E"/>
    <w:rsid w:val="009D45DD"/>
    <w:rsid w:val="009D5662"/>
    <w:rsid w:val="009D59A9"/>
    <w:rsid w:val="009D74BD"/>
    <w:rsid w:val="009D7782"/>
    <w:rsid w:val="009D7ADD"/>
    <w:rsid w:val="009D7C75"/>
    <w:rsid w:val="009E0123"/>
    <w:rsid w:val="009E23C0"/>
    <w:rsid w:val="009E31F1"/>
    <w:rsid w:val="009E4951"/>
    <w:rsid w:val="009E5AFC"/>
    <w:rsid w:val="009E612A"/>
    <w:rsid w:val="009E62E0"/>
    <w:rsid w:val="009E641A"/>
    <w:rsid w:val="009E7C73"/>
    <w:rsid w:val="009F127A"/>
    <w:rsid w:val="009F37FC"/>
    <w:rsid w:val="009F4A3C"/>
    <w:rsid w:val="009F526A"/>
    <w:rsid w:val="009F5F23"/>
    <w:rsid w:val="009F607C"/>
    <w:rsid w:val="009F659C"/>
    <w:rsid w:val="009F69D6"/>
    <w:rsid w:val="00A015C1"/>
    <w:rsid w:val="00A01FAA"/>
    <w:rsid w:val="00A025BC"/>
    <w:rsid w:val="00A03AAB"/>
    <w:rsid w:val="00A0617A"/>
    <w:rsid w:val="00A102C1"/>
    <w:rsid w:val="00A11D53"/>
    <w:rsid w:val="00A12611"/>
    <w:rsid w:val="00A14299"/>
    <w:rsid w:val="00A168E5"/>
    <w:rsid w:val="00A17E0A"/>
    <w:rsid w:val="00A200CC"/>
    <w:rsid w:val="00A207E4"/>
    <w:rsid w:val="00A20B62"/>
    <w:rsid w:val="00A226BC"/>
    <w:rsid w:val="00A24BC2"/>
    <w:rsid w:val="00A26735"/>
    <w:rsid w:val="00A26DEF"/>
    <w:rsid w:val="00A2763B"/>
    <w:rsid w:val="00A27D4F"/>
    <w:rsid w:val="00A27EDE"/>
    <w:rsid w:val="00A27F03"/>
    <w:rsid w:val="00A32D99"/>
    <w:rsid w:val="00A34218"/>
    <w:rsid w:val="00A375BB"/>
    <w:rsid w:val="00A405B3"/>
    <w:rsid w:val="00A405F0"/>
    <w:rsid w:val="00A40B0D"/>
    <w:rsid w:val="00A40C49"/>
    <w:rsid w:val="00A41B6A"/>
    <w:rsid w:val="00A42481"/>
    <w:rsid w:val="00A424B4"/>
    <w:rsid w:val="00A4412C"/>
    <w:rsid w:val="00A45CD2"/>
    <w:rsid w:val="00A46692"/>
    <w:rsid w:val="00A46D6E"/>
    <w:rsid w:val="00A479DB"/>
    <w:rsid w:val="00A50D20"/>
    <w:rsid w:val="00A525A4"/>
    <w:rsid w:val="00A53836"/>
    <w:rsid w:val="00A540FB"/>
    <w:rsid w:val="00A547EC"/>
    <w:rsid w:val="00A54CE0"/>
    <w:rsid w:val="00A5697A"/>
    <w:rsid w:val="00A604D5"/>
    <w:rsid w:val="00A60B25"/>
    <w:rsid w:val="00A60F9A"/>
    <w:rsid w:val="00A61F8F"/>
    <w:rsid w:val="00A66048"/>
    <w:rsid w:val="00A704A5"/>
    <w:rsid w:val="00A7067A"/>
    <w:rsid w:val="00A7088C"/>
    <w:rsid w:val="00A721B7"/>
    <w:rsid w:val="00A7291C"/>
    <w:rsid w:val="00A73976"/>
    <w:rsid w:val="00A73ACE"/>
    <w:rsid w:val="00A742BD"/>
    <w:rsid w:val="00A746BD"/>
    <w:rsid w:val="00A802BB"/>
    <w:rsid w:val="00A81BF3"/>
    <w:rsid w:val="00A855CB"/>
    <w:rsid w:val="00A85AEF"/>
    <w:rsid w:val="00A865AE"/>
    <w:rsid w:val="00A86B00"/>
    <w:rsid w:val="00A87169"/>
    <w:rsid w:val="00A87F0A"/>
    <w:rsid w:val="00A9223D"/>
    <w:rsid w:val="00A92C1F"/>
    <w:rsid w:val="00A94EEB"/>
    <w:rsid w:val="00AA21BF"/>
    <w:rsid w:val="00AA2AA2"/>
    <w:rsid w:val="00AA3EB3"/>
    <w:rsid w:val="00AA40F8"/>
    <w:rsid w:val="00AB4AE2"/>
    <w:rsid w:val="00AB5694"/>
    <w:rsid w:val="00AB66B0"/>
    <w:rsid w:val="00AB6B7D"/>
    <w:rsid w:val="00AB7110"/>
    <w:rsid w:val="00AC09A7"/>
    <w:rsid w:val="00AC39E9"/>
    <w:rsid w:val="00AC51F7"/>
    <w:rsid w:val="00AD0473"/>
    <w:rsid w:val="00AD1963"/>
    <w:rsid w:val="00AD2147"/>
    <w:rsid w:val="00AD2941"/>
    <w:rsid w:val="00AD57BB"/>
    <w:rsid w:val="00AD78C6"/>
    <w:rsid w:val="00AE1B91"/>
    <w:rsid w:val="00AE1DCE"/>
    <w:rsid w:val="00AE2FEC"/>
    <w:rsid w:val="00AE479D"/>
    <w:rsid w:val="00AE5EE3"/>
    <w:rsid w:val="00AE6718"/>
    <w:rsid w:val="00AE6D07"/>
    <w:rsid w:val="00AF0F36"/>
    <w:rsid w:val="00AF20B9"/>
    <w:rsid w:val="00AF2389"/>
    <w:rsid w:val="00AF415B"/>
    <w:rsid w:val="00AF4796"/>
    <w:rsid w:val="00AF59C5"/>
    <w:rsid w:val="00AF5DA2"/>
    <w:rsid w:val="00AF63B9"/>
    <w:rsid w:val="00B015F4"/>
    <w:rsid w:val="00B03017"/>
    <w:rsid w:val="00B03C95"/>
    <w:rsid w:val="00B04735"/>
    <w:rsid w:val="00B04CD5"/>
    <w:rsid w:val="00B05AF2"/>
    <w:rsid w:val="00B071E2"/>
    <w:rsid w:val="00B12AE9"/>
    <w:rsid w:val="00B12E4C"/>
    <w:rsid w:val="00B134D3"/>
    <w:rsid w:val="00B13AAE"/>
    <w:rsid w:val="00B14D12"/>
    <w:rsid w:val="00B22CB0"/>
    <w:rsid w:val="00B23F60"/>
    <w:rsid w:val="00B252D3"/>
    <w:rsid w:val="00B26B56"/>
    <w:rsid w:val="00B26E6A"/>
    <w:rsid w:val="00B27F67"/>
    <w:rsid w:val="00B303FE"/>
    <w:rsid w:val="00B34C39"/>
    <w:rsid w:val="00B3671E"/>
    <w:rsid w:val="00B36984"/>
    <w:rsid w:val="00B373D7"/>
    <w:rsid w:val="00B3771E"/>
    <w:rsid w:val="00B40BCB"/>
    <w:rsid w:val="00B43C94"/>
    <w:rsid w:val="00B44AD9"/>
    <w:rsid w:val="00B4580A"/>
    <w:rsid w:val="00B465C5"/>
    <w:rsid w:val="00B466D8"/>
    <w:rsid w:val="00B46A99"/>
    <w:rsid w:val="00B477A0"/>
    <w:rsid w:val="00B47A3D"/>
    <w:rsid w:val="00B51919"/>
    <w:rsid w:val="00B5202C"/>
    <w:rsid w:val="00B5306E"/>
    <w:rsid w:val="00B557CB"/>
    <w:rsid w:val="00B5656D"/>
    <w:rsid w:val="00B5679A"/>
    <w:rsid w:val="00B62844"/>
    <w:rsid w:val="00B63C9C"/>
    <w:rsid w:val="00B64777"/>
    <w:rsid w:val="00B66C62"/>
    <w:rsid w:val="00B70BBD"/>
    <w:rsid w:val="00B72DC7"/>
    <w:rsid w:val="00B7412D"/>
    <w:rsid w:val="00B74F8E"/>
    <w:rsid w:val="00B755AC"/>
    <w:rsid w:val="00B76CF5"/>
    <w:rsid w:val="00B771D9"/>
    <w:rsid w:val="00B7774F"/>
    <w:rsid w:val="00B77A9F"/>
    <w:rsid w:val="00B77B16"/>
    <w:rsid w:val="00B82EA8"/>
    <w:rsid w:val="00B83E63"/>
    <w:rsid w:val="00B8473C"/>
    <w:rsid w:val="00B857B5"/>
    <w:rsid w:val="00B86D22"/>
    <w:rsid w:val="00B87D3F"/>
    <w:rsid w:val="00B9452A"/>
    <w:rsid w:val="00B96201"/>
    <w:rsid w:val="00BA1065"/>
    <w:rsid w:val="00BA15A2"/>
    <w:rsid w:val="00BA37DC"/>
    <w:rsid w:val="00BA3ADD"/>
    <w:rsid w:val="00BA5E33"/>
    <w:rsid w:val="00BA7820"/>
    <w:rsid w:val="00BB073D"/>
    <w:rsid w:val="00BB1A23"/>
    <w:rsid w:val="00BB1D55"/>
    <w:rsid w:val="00BB2A27"/>
    <w:rsid w:val="00BB5D45"/>
    <w:rsid w:val="00BB6382"/>
    <w:rsid w:val="00BB74A6"/>
    <w:rsid w:val="00BC1411"/>
    <w:rsid w:val="00BC29B6"/>
    <w:rsid w:val="00BC3E2E"/>
    <w:rsid w:val="00BC4A4F"/>
    <w:rsid w:val="00BC4C28"/>
    <w:rsid w:val="00BC5F61"/>
    <w:rsid w:val="00BC5FAC"/>
    <w:rsid w:val="00BE039A"/>
    <w:rsid w:val="00BE04A4"/>
    <w:rsid w:val="00BE085B"/>
    <w:rsid w:val="00BE4E1C"/>
    <w:rsid w:val="00BE5C46"/>
    <w:rsid w:val="00BE5FDD"/>
    <w:rsid w:val="00BF0500"/>
    <w:rsid w:val="00BF056C"/>
    <w:rsid w:val="00BF1041"/>
    <w:rsid w:val="00BF143F"/>
    <w:rsid w:val="00BF2D2E"/>
    <w:rsid w:val="00BF2D72"/>
    <w:rsid w:val="00BF30F2"/>
    <w:rsid w:val="00BF3D59"/>
    <w:rsid w:val="00BF4FF9"/>
    <w:rsid w:val="00BF53E0"/>
    <w:rsid w:val="00C00B65"/>
    <w:rsid w:val="00C02DA1"/>
    <w:rsid w:val="00C02EEE"/>
    <w:rsid w:val="00C04050"/>
    <w:rsid w:val="00C063BF"/>
    <w:rsid w:val="00C07193"/>
    <w:rsid w:val="00C07709"/>
    <w:rsid w:val="00C13DC2"/>
    <w:rsid w:val="00C151D1"/>
    <w:rsid w:val="00C15E13"/>
    <w:rsid w:val="00C16FBE"/>
    <w:rsid w:val="00C20D57"/>
    <w:rsid w:val="00C21570"/>
    <w:rsid w:val="00C22656"/>
    <w:rsid w:val="00C22A21"/>
    <w:rsid w:val="00C230A2"/>
    <w:rsid w:val="00C232DD"/>
    <w:rsid w:val="00C246C0"/>
    <w:rsid w:val="00C26B36"/>
    <w:rsid w:val="00C3134E"/>
    <w:rsid w:val="00C31872"/>
    <w:rsid w:val="00C32E8E"/>
    <w:rsid w:val="00C33CFF"/>
    <w:rsid w:val="00C36C83"/>
    <w:rsid w:val="00C373E1"/>
    <w:rsid w:val="00C426D9"/>
    <w:rsid w:val="00C428D7"/>
    <w:rsid w:val="00C43922"/>
    <w:rsid w:val="00C451E3"/>
    <w:rsid w:val="00C464D6"/>
    <w:rsid w:val="00C520F2"/>
    <w:rsid w:val="00C5342C"/>
    <w:rsid w:val="00C539B8"/>
    <w:rsid w:val="00C53D7D"/>
    <w:rsid w:val="00C56E00"/>
    <w:rsid w:val="00C6041C"/>
    <w:rsid w:val="00C61626"/>
    <w:rsid w:val="00C6364E"/>
    <w:rsid w:val="00C663C1"/>
    <w:rsid w:val="00C66625"/>
    <w:rsid w:val="00C672CF"/>
    <w:rsid w:val="00C72A34"/>
    <w:rsid w:val="00C73C9E"/>
    <w:rsid w:val="00C74D2B"/>
    <w:rsid w:val="00C76C36"/>
    <w:rsid w:val="00C76CA2"/>
    <w:rsid w:val="00C775D9"/>
    <w:rsid w:val="00C776BD"/>
    <w:rsid w:val="00C77A82"/>
    <w:rsid w:val="00C80FB5"/>
    <w:rsid w:val="00C82BD3"/>
    <w:rsid w:val="00C858F3"/>
    <w:rsid w:val="00C86D56"/>
    <w:rsid w:val="00C92EB8"/>
    <w:rsid w:val="00C944B7"/>
    <w:rsid w:val="00C94E0B"/>
    <w:rsid w:val="00C95CDE"/>
    <w:rsid w:val="00CA114F"/>
    <w:rsid w:val="00CA1D43"/>
    <w:rsid w:val="00CA4730"/>
    <w:rsid w:val="00CA540B"/>
    <w:rsid w:val="00CB2F7F"/>
    <w:rsid w:val="00CB31AA"/>
    <w:rsid w:val="00CB389B"/>
    <w:rsid w:val="00CB3F34"/>
    <w:rsid w:val="00CB5C6F"/>
    <w:rsid w:val="00CC0868"/>
    <w:rsid w:val="00CC1F07"/>
    <w:rsid w:val="00CC2B35"/>
    <w:rsid w:val="00CC5C6E"/>
    <w:rsid w:val="00CC63F5"/>
    <w:rsid w:val="00CD0FCD"/>
    <w:rsid w:val="00CD1C6E"/>
    <w:rsid w:val="00CD1FFD"/>
    <w:rsid w:val="00CD2653"/>
    <w:rsid w:val="00CD2D72"/>
    <w:rsid w:val="00CD37C6"/>
    <w:rsid w:val="00CD3DB3"/>
    <w:rsid w:val="00CD4DF9"/>
    <w:rsid w:val="00CD50B8"/>
    <w:rsid w:val="00CD556D"/>
    <w:rsid w:val="00CE29E8"/>
    <w:rsid w:val="00CE2B46"/>
    <w:rsid w:val="00CE33AB"/>
    <w:rsid w:val="00CE4F4D"/>
    <w:rsid w:val="00CE5F1C"/>
    <w:rsid w:val="00CF0A75"/>
    <w:rsid w:val="00CF1603"/>
    <w:rsid w:val="00CF1CF0"/>
    <w:rsid w:val="00CF3CCD"/>
    <w:rsid w:val="00CF7982"/>
    <w:rsid w:val="00CF7BAB"/>
    <w:rsid w:val="00D05EF5"/>
    <w:rsid w:val="00D0690D"/>
    <w:rsid w:val="00D11D2A"/>
    <w:rsid w:val="00D11F4D"/>
    <w:rsid w:val="00D1272D"/>
    <w:rsid w:val="00D1424C"/>
    <w:rsid w:val="00D1498D"/>
    <w:rsid w:val="00D15374"/>
    <w:rsid w:val="00D1610B"/>
    <w:rsid w:val="00D16C54"/>
    <w:rsid w:val="00D212FC"/>
    <w:rsid w:val="00D22920"/>
    <w:rsid w:val="00D25F3F"/>
    <w:rsid w:val="00D318E7"/>
    <w:rsid w:val="00D32555"/>
    <w:rsid w:val="00D36B26"/>
    <w:rsid w:val="00D40352"/>
    <w:rsid w:val="00D409AF"/>
    <w:rsid w:val="00D44087"/>
    <w:rsid w:val="00D44BF5"/>
    <w:rsid w:val="00D45835"/>
    <w:rsid w:val="00D50BB5"/>
    <w:rsid w:val="00D50D43"/>
    <w:rsid w:val="00D516E4"/>
    <w:rsid w:val="00D521EB"/>
    <w:rsid w:val="00D52C55"/>
    <w:rsid w:val="00D54D15"/>
    <w:rsid w:val="00D55276"/>
    <w:rsid w:val="00D5583F"/>
    <w:rsid w:val="00D56877"/>
    <w:rsid w:val="00D57AAC"/>
    <w:rsid w:val="00D60B80"/>
    <w:rsid w:val="00D60EC9"/>
    <w:rsid w:val="00D60FAB"/>
    <w:rsid w:val="00D613D7"/>
    <w:rsid w:val="00D61C53"/>
    <w:rsid w:val="00D61D35"/>
    <w:rsid w:val="00D6217A"/>
    <w:rsid w:val="00D6230E"/>
    <w:rsid w:val="00D62688"/>
    <w:rsid w:val="00D6482A"/>
    <w:rsid w:val="00D64FC9"/>
    <w:rsid w:val="00D6564E"/>
    <w:rsid w:val="00D66150"/>
    <w:rsid w:val="00D703E5"/>
    <w:rsid w:val="00D72238"/>
    <w:rsid w:val="00D72A60"/>
    <w:rsid w:val="00D745D1"/>
    <w:rsid w:val="00D80749"/>
    <w:rsid w:val="00D809DE"/>
    <w:rsid w:val="00D81C17"/>
    <w:rsid w:val="00D82104"/>
    <w:rsid w:val="00D833CA"/>
    <w:rsid w:val="00D854A1"/>
    <w:rsid w:val="00D85F34"/>
    <w:rsid w:val="00D863C9"/>
    <w:rsid w:val="00D86960"/>
    <w:rsid w:val="00D91D51"/>
    <w:rsid w:val="00D92CE3"/>
    <w:rsid w:val="00D9405C"/>
    <w:rsid w:val="00D941F5"/>
    <w:rsid w:val="00D966D3"/>
    <w:rsid w:val="00D97B27"/>
    <w:rsid w:val="00D97C8E"/>
    <w:rsid w:val="00DA01BE"/>
    <w:rsid w:val="00DA1032"/>
    <w:rsid w:val="00DA46B6"/>
    <w:rsid w:val="00DB1903"/>
    <w:rsid w:val="00DB35A5"/>
    <w:rsid w:val="00DB4B61"/>
    <w:rsid w:val="00DB5235"/>
    <w:rsid w:val="00DB58DF"/>
    <w:rsid w:val="00DB74D7"/>
    <w:rsid w:val="00DB7C30"/>
    <w:rsid w:val="00DC0707"/>
    <w:rsid w:val="00DC15D4"/>
    <w:rsid w:val="00DC24DC"/>
    <w:rsid w:val="00DC268C"/>
    <w:rsid w:val="00DC2B83"/>
    <w:rsid w:val="00DC323D"/>
    <w:rsid w:val="00DC3D0D"/>
    <w:rsid w:val="00DC53CB"/>
    <w:rsid w:val="00DC6AA5"/>
    <w:rsid w:val="00DD072C"/>
    <w:rsid w:val="00DD0784"/>
    <w:rsid w:val="00DD10EE"/>
    <w:rsid w:val="00DD457F"/>
    <w:rsid w:val="00DD6426"/>
    <w:rsid w:val="00DD7FF3"/>
    <w:rsid w:val="00DE0CDB"/>
    <w:rsid w:val="00DE158C"/>
    <w:rsid w:val="00DE2214"/>
    <w:rsid w:val="00DE48D6"/>
    <w:rsid w:val="00DE4BF8"/>
    <w:rsid w:val="00DE6791"/>
    <w:rsid w:val="00DF025E"/>
    <w:rsid w:val="00DF09F5"/>
    <w:rsid w:val="00DF208F"/>
    <w:rsid w:val="00DF4C26"/>
    <w:rsid w:val="00DF51FF"/>
    <w:rsid w:val="00DF612F"/>
    <w:rsid w:val="00DF7667"/>
    <w:rsid w:val="00E001C9"/>
    <w:rsid w:val="00E00F23"/>
    <w:rsid w:val="00E01343"/>
    <w:rsid w:val="00E021FC"/>
    <w:rsid w:val="00E05E80"/>
    <w:rsid w:val="00E0758A"/>
    <w:rsid w:val="00E12C98"/>
    <w:rsid w:val="00E1304A"/>
    <w:rsid w:val="00E13DCC"/>
    <w:rsid w:val="00E147CA"/>
    <w:rsid w:val="00E14820"/>
    <w:rsid w:val="00E15803"/>
    <w:rsid w:val="00E16B31"/>
    <w:rsid w:val="00E17173"/>
    <w:rsid w:val="00E17A57"/>
    <w:rsid w:val="00E201D6"/>
    <w:rsid w:val="00E22734"/>
    <w:rsid w:val="00E22E4F"/>
    <w:rsid w:val="00E24052"/>
    <w:rsid w:val="00E26B9E"/>
    <w:rsid w:val="00E271CA"/>
    <w:rsid w:val="00E2766E"/>
    <w:rsid w:val="00E33732"/>
    <w:rsid w:val="00E338E3"/>
    <w:rsid w:val="00E33C72"/>
    <w:rsid w:val="00E33D07"/>
    <w:rsid w:val="00E33D17"/>
    <w:rsid w:val="00E33D8D"/>
    <w:rsid w:val="00E34DCF"/>
    <w:rsid w:val="00E353E7"/>
    <w:rsid w:val="00E35444"/>
    <w:rsid w:val="00E35FF4"/>
    <w:rsid w:val="00E370D0"/>
    <w:rsid w:val="00E37C15"/>
    <w:rsid w:val="00E40587"/>
    <w:rsid w:val="00E418AF"/>
    <w:rsid w:val="00E42C73"/>
    <w:rsid w:val="00E4328F"/>
    <w:rsid w:val="00E463D1"/>
    <w:rsid w:val="00E53E70"/>
    <w:rsid w:val="00E55C43"/>
    <w:rsid w:val="00E57A4D"/>
    <w:rsid w:val="00E6039F"/>
    <w:rsid w:val="00E608C3"/>
    <w:rsid w:val="00E66044"/>
    <w:rsid w:val="00E66115"/>
    <w:rsid w:val="00E6649D"/>
    <w:rsid w:val="00E679F2"/>
    <w:rsid w:val="00E67C35"/>
    <w:rsid w:val="00E67EAC"/>
    <w:rsid w:val="00E7292D"/>
    <w:rsid w:val="00E72B86"/>
    <w:rsid w:val="00E72E90"/>
    <w:rsid w:val="00E73350"/>
    <w:rsid w:val="00E740B9"/>
    <w:rsid w:val="00E74C5E"/>
    <w:rsid w:val="00E75529"/>
    <w:rsid w:val="00E76910"/>
    <w:rsid w:val="00E81B89"/>
    <w:rsid w:val="00E8254A"/>
    <w:rsid w:val="00E8316B"/>
    <w:rsid w:val="00E85432"/>
    <w:rsid w:val="00E85B2A"/>
    <w:rsid w:val="00E864E2"/>
    <w:rsid w:val="00E86632"/>
    <w:rsid w:val="00E86D11"/>
    <w:rsid w:val="00E87063"/>
    <w:rsid w:val="00E913C3"/>
    <w:rsid w:val="00E914EB"/>
    <w:rsid w:val="00E92986"/>
    <w:rsid w:val="00E93510"/>
    <w:rsid w:val="00E93DE1"/>
    <w:rsid w:val="00E95922"/>
    <w:rsid w:val="00E96FE2"/>
    <w:rsid w:val="00EA0BE1"/>
    <w:rsid w:val="00EA0D0F"/>
    <w:rsid w:val="00EA1534"/>
    <w:rsid w:val="00EA1854"/>
    <w:rsid w:val="00EA438F"/>
    <w:rsid w:val="00EA5AD6"/>
    <w:rsid w:val="00EA665E"/>
    <w:rsid w:val="00EA6B3B"/>
    <w:rsid w:val="00EB1808"/>
    <w:rsid w:val="00EB2C63"/>
    <w:rsid w:val="00EB4B15"/>
    <w:rsid w:val="00EB6D4F"/>
    <w:rsid w:val="00EC15C4"/>
    <w:rsid w:val="00EC5303"/>
    <w:rsid w:val="00EC7C0C"/>
    <w:rsid w:val="00ED0A34"/>
    <w:rsid w:val="00ED4169"/>
    <w:rsid w:val="00ED616D"/>
    <w:rsid w:val="00EE2BB2"/>
    <w:rsid w:val="00EE3E12"/>
    <w:rsid w:val="00EE4DF4"/>
    <w:rsid w:val="00EE4FC4"/>
    <w:rsid w:val="00EE548A"/>
    <w:rsid w:val="00EE5CAF"/>
    <w:rsid w:val="00EE64AA"/>
    <w:rsid w:val="00EE6946"/>
    <w:rsid w:val="00EE7AAF"/>
    <w:rsid w:val="00EF0376"/>
    <w:rsid w:val="00EF03B0"/>
    <w:rsid w:val="00EF053E"/>
    <w:rsid w:val="00EF05F9"/>
    <w:rsid w:val="00EF0E37"/>
    <w:rsid w:val="00EF34EA"/>
    <w:rsid w:val="00EF3571"/>
    <w:rsid w:val="00EF39D0"/>
    <w:rsid w:val="00EF7A6C"/>
    <w:rsid w:val="00F01095"/>
    <w:rsid w:val="00F01267"/>
    <w:rsid w:val="00F012DC"/>
    <w:rsid w:val="00F0181E"/>
    <w:rsid w:val="00F02873"/>
    <w:rsid w:val="00F03358"/>
    <w:rsid w:val="00F0455F"/>
    <w:rsid w:val="00F04991"/>
    <w:rsid w:val="00F0532E"/>
    <w:rsid w:val="00F056C7"/>
    <w:rsid w:val="00F06093"/>
    <w:rsid w:val="00F0658D"/>
    <w:rsid w:val="00F078BE"/>
    <w:rsid w:val="00F1059C"/>
    <w:rsid w:val="00F11572"/>
    <w:rsid w:val="00F124D8"/>
    <w:rsid w:val="00F17E31"/>
    <w:rsid w:val="00F21955"/>
    <w:rsid w:val="00F23067"/>
    <w:rsid w:val="00F23975"/>
    <w:rsid w:val="00F23EBD"/>
    <w:rsid w:val="00F25DFA"/>
    <w:rsid w:val="00F271F8"/>
    <w:rsid w:val="00F2761D"/>
    <w:rsid w:val="00F277E6"/>
    <w:rsid w:val="00F27D16"/>
    <w:rsid w:val="00F30CD4"/>
    <w:rsid w:val="00F31F5B"/>
    <w:rsid w:val="00F32513"/>
    <w:rsid w:val="00F32750"/>
    <w:rsid w:val="00F3305D"/>
    <w:rsid w:val="00F33726"/>
    <w:rsid w:val="00F34BCA"/>
    <w:rsid w:val="00F353B0"/>
    <w:rsid w:val="00F36F51"/>
    <w:rsid w:val="00F42DB3"/>
    <w:rsid w:val="00F435CC"/>
    <w:rsid w:val="00F44F4F"/>
    <w:rsid w:val="00F46FF0"/>
    <w:rsid w:val="00F504AF"/>
    <w:rsid w:val="00F52341"/>
    <w:rsid w:val="00F52A17"/>
    <w:rsid w:val="00F52EB6"/>
    <w:rsid w:val="00F55045"/>
    <w:rsid w:val="00F57926"/>
    <w:rsid w:val="00F57F90"/>
    <w:rsid w:val="00F60500"/>
    <w:rsid w:val="00F60AED"/>
    <w:rsid w:val="00F6141B"/>
    <w:rsid w:val="00F6211C"/>
    <w:rsid w:val="00F622BE"/>
    <w:rsid w:val="00F622C6"/>
    <w:rsid w:val="00F63851"/>
    <w:rsid w:val="00F63E34"/>
    <w:rsid w:val="00F64F17"/>
    <w:rsid w:val="00F6504C"/>
    <w:rsid w:val="00F654A2"/>
    <w:rsid w:val="00F655FC"/>
    <w:rsid w:val="00F66E9D"/>
    <w:rsid w:val="00F7162D"/>
    <w:rsid w:val="00F716D3"/>
    <w:rsid w:val="00F72709"/>
    <w:rsid w:val="00F72B00"/>
    <w:rsid w:val="00F730E4"/>
    <w:rsid w:val="00F73360"/>
    <w:rsid w:val="00F75BB9"/>
    <w:rsid w:val="00F76BE6"/>
    <w:rsid w:val="00F7755C"/>
    <w:rsid w:val="00F77A06"/>
    <w:rsid w:val="00F80792"/>
    <w:rsid w:val="00F81B13"/>
    <w:rsid w:val="00F81D74"/>
    <w:rsid w:val="00F81E6F"/>
    <w:rsid w:val="00F8449D"/>
    <w:rsid w:val="00F86DB4"/>
    <w:rsid w:val="00F86EDB"/>
    <w:rsid w:val="00F91248"/>
    <w:rsid w:val="00F9233C"/>
    <w:rsid w:val="00F934F4"/>
    <w:rsid w:val="00F945F0"/>
    <w:rsid w:val="00F94DD8"/>
    <w:rsid w:val="00F963E3"/>
    <w:rsid w:val="00FA04D9"/>
    <w:rsid w:val="00FA156A"/>
    <w:rsid w:val="00FA3A5F"/>
    <w:rsid w:val="00FA7704"/>
    <w:rsid w:val="00FA7C7C"/>
    <w:rsid w:val="00FB07EF"/>
    <w:rsid w:val="00FB52CE"/>
    <w:rsid w:val="00FB5CC9"/>
    <w:rsid w:val="00FB624E"/>
    <w:rsid w:val="00FB6925"/>
    <w:rsid w:val="00FB7158"/>
    <w:rsid w:val="00FB7EAB"/>
    <w:rsid w:val="00FC1559"/>
    <w:rsid w:val="00FC232E"/>
    <w:rsid w:val="00FC63A4"/>
    <w:rsid w:val="00FD14E4"/>
    <w:rsid w:val="00FD174D"/>
    <w:rsid w:val="00FD2B5A"/>
    <w:rsid w:val="00FD36D3"/>
    <w:rsid w:val="00FD45D8"/>
    <w:rsid w:val="00FD4C44"/>
    <w:rsid w:val="00FD59A2"/>
    <w:rsid w:val="00FD631C"/>
    <w:rsid w:val="00FD6675"/>
    <w:rsid w:val="00FD6B82"/>
    <w:rsid w:val="00FD7346"/>
    <w:rsid w:val="00FD78B5"/>
    <w:rsid w:val="00FE0A64"/>
    <w:rsid w:val="00FE3643"/>
    <w:rsid w:val="00FE3A70"/>
    <w:rsid w:val="00FE3E7E"/>
    <w:rsid w:val="00FE511F"/>
    <w:rsid w:val="00FE6D03"/>
    <w:rsid w:val="00FF0905"/>
    <w:rsid w:val="00FF4357"/>
    <w:rsid w:val="00FF56F6"/>
    <w:rsid w:val="00FF5AE3"/>
    <w:rsid w:val="00FF5B28"/>
    <w:rsid w:val="00FF6C0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EF94F"/>
  <w15:docId w15:val="{497B4E88-835A-436B-AC1E-5E58AAC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color w:val="37424A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9" w:qFormat="1"/>
    <w:lsdException w:name="Subtle Reference" w:uiPriority="19" w:qFormat="1"/>
    <w:lsdException w:name="Intense Reference" w:uiPriority="19" w:qFormat="1"/>
    <w:lsdException w:name="Book Title" w:uiPriority="19" w:qFormat="1"/>
    <w:lsdException w:name="Bibliography" w:semiHidden="1" w:uiPriority="1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D11D2A"/>
    <w:pPr>
      <w:spacing w:before="120" w:after="120" w:line="264" w:lineRule="auto"/>
      <w:jc w:val="both"/>
    </w:pPr>
    <w:rPr>
      <w:lang w:val="es-ES_tradnl"/>
    </w:rPr>
  </w:style>
  <w:style w:type="paragraph" w:styleId="Ttulo1">
    <w:name w:val="heading 1"/>
    <w:aliases w:val="~SectionHeading"/>
    <w:basedOn w:val="SecHeadNonToc"/>
    <w:next w:val="Normal"/>
    <w:link w:val="Ttulo1Car"/>
    <w:uiPriority w:val="1"/>
    <w:qFormat/>
    <w:rsid w:val="00A60B25"/>
    <w:pPr>
      <w:numPr>
        <w:numId w:val="11"/>
      </w:numPr>
      <w:outlineLvl w:val="0"/>
    </w:pPr>
    <w:rPr>
      <w:rFonts w:ascii="Arial" w:hAnsi="Arial" w:cs="Arial"/>
    </w:rPr>
  </w:style>
  <w:style w:type="paragraph" w:styleId="Ttulo2">
    <w:name w:val="heading 2"/>
    <w:aliases w:val="~SubHeading"/>
    <w:basedOn w:val="ExecSumSubHead"/>
    <w:next w:val="Normal"/>
    <w:link w:val="Ttulo2Car"/>
    <w:uiPriority w:val="1"/>
    <w:qFormat/>
    <w:rsid w:val="00A60B25"/>
    <w:pPr>
      <w:numPr>
        <w:ilvl w:val="1"/>
        <w:numId w:val="11"/>
      </w:numPr>
      <w:outlineLvl w:val="1"/>
    </w:pPr>
    <w:rPr>
      <w:rFonts w:ascii="Arial" w:hAnsi="Arial" w:cs="Arial"/>
      <w:szCs w:val="16"/>
    </w:rPr>
  </w:style>
  <w:style w:type="paragraph" w:styleId="Ttulo3">
    <w:name w:val="heading 3"/>
    <w:aliases w:val="~MinorSubHeading"/>
    <w:basedOn w:val="Ttulo2"/>
    <w:next w:val="Normal"/>
    <w:link w:val="Ttulo3Car"/>
    <w:uiPriority w:val="1"/>
    <w:qFormat/>
    <w:rsid w:val="00A60B25"/>
    <w:pPr>
      <w:numPr>
        <w:ilvl w:val="2"/>
      </w:numPr>
      <w:outlineLvl w:val="2"/>
    </w:pPr>
    <w:rPr>
      <w:sz w:val="30"/>
      <w:szCs w:val="14"/>
    </w:rPr>
  </w:style>
  <w:style w:type="paragraph" w:styleId="Ttulo4">
    <w:name w:val="heading 4"/>
    <w:aliases w:val="~Level4Heading"/>
    <w:basedOn w:val="Ttulo3"/>
    <w:next w:val="Normal"/>
    <w:link w:val="Ttulo4Car"/>
    <w:uiPriority w:val="1"/>
    <w:qFormat/>
    <w:rsid w:val="00743E7C"/>
    <w:pPr>
      <w:numPr>
        <w:ilvl w:val="0"/>
        <w:numId w:val="0"/>
      </w:numPr>
      <w:outlineLvl w:val="3"/>
    </w:pPr>
    <w:rPr>
      <w:color w:val="007B87" w:themeColor="accent3"/>
      <w:sz w:val="24"/>
    </w:rPr>
  </w:style>
  <w:style w:type="paragraph" w:styleId="Ttulo5">
    <w:name w:val="heading 5"/>
    <w:basedOn w:val="Normal"/>
    <w:next w:val="Normal"/>
    <w:link w:val="Ttulo5Car"/>
    <w:uiPriority w:val="19"/>
    <w:semiHidden/>
    <w:qFormat/>
    <w:rsid w:val="00A865A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19"/>
    <w:semiHidden/>
    <w:qFormat/>
    <w:rsid w:val="00A865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19"/>
    <w:semiHidden/>
    <w:qFormat/>
    <w:rsid w:val="00A865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19"/>
    <w:semiHidden/>
    <w:qFormat/>
    <w:rsid w:val="00A865AE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Ttulo9">
    <w:name w:val="heading 9"/>
    <w:basedOn w:val="Normal"/>
    <w:next w:val="Normal"/>
    <w:link w:val="Ttulo9Car"/>
    <w:uiPriority w:val="19"/>
    <w:semiHidden/>
    <w:qFormat/>
    <w:rsid w:val="00A865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~BaseStyle"/>
    <w:qFormat/>
    <w:rsid w:val="00EE64AA"/>
    <w:pPr>
      <w:spacing w:after="0" w:line="240" w:lineRule="auto"/>
    </w:pPr>
    <w:rPr>
      <w:lang w:val="es-ES_tradnl"/>
    </w:rPr>
  </w:style>
  <w:style w:type="paragraph" w:customStyle="1" w:styleId="SecHeadNonToc">
    <w:name w:val="~SecHeadNonToc"/>
    <w:basedOn w:val="Sinespaciado"/>
    <w:next w:val="Normal"/>
    <w:uiPriority w:val="19"/>
    <w:qFormat/>
    <w:rsid w:val="000C76B5"/>
    <w:pPr>
      <w:keepNext/>
      <w:pageBreakBefore/>
      <w:spacing w:before="400" w:after="240"/>
    </w:pPr>
    <w:rPr>
      <w:rFonts w:asciiTheme="majorHAnsi" w:hAnsiTheme="majorHAnsi" w:cstheme="minorBidi"/>
      <w:caps/>
      <w:color w:val="E83F35" w:themeColor="accent1"/>
      <w:sz w:val="40"/>
      <w:szCs w:val="180"/>
    </w:rPr>
  </w:style>
  <w:style w:type="paragraph" w:customStyle="1" w:styleId="AnnexDivider">
    <w:name w:val="~AnnexDivider"/>
    <w:basedOn w:val="SecHeadNonToc"/>
    <w:next w:val="Normal"/>
    <w:uiPriority w:val="2"/>
    <w:rsid w:val="00EE64AA"/>
    <w:pPr>
      <w:outlineLvl w:val="0"/>
    </w:pPr>
  </w:style>
  <w:style w:type="paragraph" w:customStyle="1" w:styleId="AnxHead">
    <w:name w:val="~AnxHead"/>
    <w:basedOn w:val="SecHeadNonToc"/>
    <w:next w:val="Normal"/>
    <w:uiPriority w:val="2"/>
    <w:qFormat/>
    <w:rsid w:val="007B6275"/>
    <w:pPr>
      <w:numPr>
        <w:numId w:val="12"/>
      </w:numPr>
      <w:tabs>
        <w:tab w:val="left" w:pos="1559"/>
      </w:tabs>
      <w:ind w:hanging="2268"/>
      <w:outlineLvl w:val="0"/>
    </w:pPr>
    <w:rPr>
      <w:rFonts w:ascii="Arial" w:hAnsi="Arial" w:cs="Arial"/>
    </w:rPr>
  </w:style>
  <w:style w:type="paragraph" w:customStyle="1" w:styleId="AnxSubHead">
    <w:name w:val="~AnxSubHead"/>
    <w:basedOn w:val="AnxHead"/>
    <w:next w:val="Normal"/>
    <w:uiPriority w:val="2"/>
    <w:qFormat/>
    <w:rsid w:val="00640C53"/>
    <w:pPr>
      <w:pageBreakBefore w:val="0"/>
      <w:numPr>
        <w:ilvl w:val="1"/>
      </w:numPr>
      <w:spacing w:before="240" w:after="0"/>
      <w:outlineLvl w:val="1"/>
    </w:pPr>
    <w:rPr>
      <w:caps w:val="0"/>
      <w:sz w:val="36"/>
      <w:szCs w:val="16"/>
    </w:rPr>
  </w:style>
  <w:style w:type="paragraph" w:customStyle="1" w:styleId="AnxMinorSubHead">
    <w:name w:val="~AnxMinorSubHead"/>
    <w:basedOn w:val="AnxSubHead"/>
    <w:next w:val="Normal"/>
    <w:uiPriority w:val="2"/>
    <w:qFormat/>
    <w:rsid w:val="00A60B25"/>
    <w:pPr>
      <w:numPr>
        <w:ilvl w:val="2"/>
      </w:numPr>
      <w:outlineLvl w:val="2"/>
    </w:pPr>
    <w:rPr>
      <w:iCs/>
      <w:sz w:val="30"/>
      <w:szCs w:val="14"/>
    </w:rPr>
  </w:style>
  <w:style w:type="paragraph" w:customStyle="1" w:styleId="BodyHeading">
    <w:name w:val="~BodyHeading"/>
    <w:basedOn w:val="Normal"/>
    <w:next w:val="Normal"/>
    <w:uiPriority w:val="1"/>
    <w:qFormat/>
    <w:rsid w:val="00045C6D"/>
    <w:pPr>
      <w:keepNext/>
      <w:spacing w:line="240" w:lineRule="auto"/>
    </w:pPr>
    <w:rPr>
      <w:b/>
      <w:color w:val="007B87" w:themeColor="accent3"/>
    </w:rPr>
  </w:style>
  <w:style w:type="paragraph" w:customStyle="1" w:styleId="BodyTextNum">
    <w:name w:val="~BodyTextNum"/>
    <w:basedOn w:val="Normal"/>
    <w:uiPriority w:val="3"/>
    <w:qFormat/>
    <w:rsid w:val="00857FA8"/>
    <w:rPr>
      <w:szCs w:val="20"/>
    </w:rPr>
  </w:style>
  <w:style w:type="paragraph" w:customStyle="1" w:styleId="ParaBullet1">
    <w:name w:val="~ParaBullet1"/>
    <w:basedOn w:val="Normal"/>
    <w:uiPriority w:val="3"/>
    <w:qFormat/>
    <w:rsid w:val="00142182"/>
    <w:pPr>
      <w:numPr>
        <w:numId w:val="1"/>
      </w:numPr>
    </w:pPr>
    <w:rPr>
      <w:rFonts w:eastAsia="Calibri"/>
    </w:rPr>
  </w:style>
  <w:style w:type="paragraph" w:customStyle="1" w:styleId="ParaBullet2">
    <w:name w:val="~ParaBullet2"/>
    <w:basedOn w:val="ParaBullet1"/>
    <w:uiPriority w:val="3"/>
    <w:qFormat/>
    <w:rsid w:val="00EE64AA"/>
    <w:pPr>
      <w:numPr>
        <w:ilvl w:val="1"/>
      </w:numPr>
    </w:pPr>
  </w:style>
  <w:style w:type="paragraph" w:customStyle="1" w:styleId="ParaBullet3">
    <w:name w:val="~ParaBullet3"/>
    <w:basedOn w:val="ParaBullet2"/>
    <w:uiPriority w:val="3"/>
    <w:qFormat/>
    <w:rsid w:val="00EE64AA"/>
    <w:pPr>
      <w:numPr>
        <w:ilvl w:val="2"/>
      </w:numPr>
    </w:pPr>
  </w:style>
  <w:style w:type="paragraph" w:styleId="Descripcin">
    <w:name w:val="caption"/>
    <w:aliases w:val="~Caption"/>
    <w:basedOn w:val="BodyHeading"/>
    <w:next w:val="Normal"/>
    <w:link w:val="DescripcinCar"/>
    <w:uiPriority w:val="2"/>
    <w:qFormat/>
    <w:rsid w:val="00C22A21"/>
    <w:pPr>
      <w:tabs>
        <w:tab w:val="left" w:pos="1276"/>
      </w:tabs>
      <w:spacing w:after="60"/>
      <w:ind w:left="1276" w:hanging="1276"/>
    </w:pPr>
    <w:rPr>
      <w:rFonts w:eastAsia="Calibri"/>
      <w:color w:val="37424A" w:themeColor="text1"/>
    </w:rPr>
  </w:style>
  <w:style w:type="character" w:customStyle="1" w:styleId="DescripcinCar">
    <w:name w:val="Descripción Car"/>
    <w:aliases w:val="~Caption Car"/>
    <w:basedOn w:val="Fuentedeprrafopredeter"/>
    <w:link w:val="Descripcin"/>
    <w:uiPriority w:val="2"/>
    <w:rsid w:val="00D11D2A"/>
    <w:rPr>
      <w:rFonts w:eastAsia="Calibri"/>
      <w:b/>
      <w:lang w:val="es-ES_tradnl"/>
    </w:rPr>
  </w:style>
  <w:style w:type="paragraph" w:customStyle="1" w:styleId="CaptionWide">
    <w:name w:val="~CaptionWide"/>
    <w:basedOn w:val="Descripcin"/>
    <w:next w:val="Normal"/>
    <w:uiPriority w:val="19"/>
    <w:qFormat/>
    <w:rsid w:val="008406D5"/>
    <w:pPr>
      <w:tabs>
        <w:tab w:val="clear" w:pos="1276"/>
        <w:tab w:val="left" w:pos="142"/>
      </w:tabs>
      <w:ind w:left="142"/>
    </w:pPr>
    <w:rPr>
      <w:bCs/>
    </w:rPr>
  </w:style>
  <w:style w:type="paragraph" w:customStyle="1" w:styleId="Confidential">
    <w:name w:val="~Confidential"/>
    <w:basedOn w:val="Sinespaciado"/>
    <w:uiPriority w:val="19"/>
    <w:rsid w:val="00644069"/>
    <w:rPr>
      <w:color w:val="707276" w:themeColor="text2"/>
    </w:rPr>
  </w:style>
  <w:style w:type="paragraph" w:customStyle="1" w:styleId="DocClient">
    <w:name w:val="~DocClient"/>
    <w:basedOn w:val="Sinespaciado"/>
    <w:uiPriority w:val="19"/>
    <w:semiHidden/>
    <w:qFormat/>
    <w:rsid w:val="00644069"/>
  </w:style>
  <w:style w:type="paragraph" w:customStyle="1" w:styleId="DocDate">
    <w:name w:val="~DocDate"/>
    <w:basedOn w:val="Sinespaciado"/>
    <w:uiPriority w:val="19"/>
    <w:rsid w:val="00644069"/>
    <w:rPr>
      <w:color w:val="707276" w:themeColor="text2"/>
      <w:sz w:val="24"/>
    </w:rPr>
  </w:style>
  <w:style w:type="paragraph" w:customStyle="1" w:styleId="DocSubTitle">
    <w:name w:val="~DocSubTitle"/>
    <w:basedOn w:val="Sinespaciado"/>
    <w:uiPriority w:val="19"/>
    <w:rsid w:val="00644069"/>
    <w:rPr>
      <w:color w:val="E83F35" w:themeColor="accent1"/>
      <w:sz w:val="48"/>
    </w:rPr>
  </w:style>
  <w:style w:type="paragraph" w:customStyle="1" w:styleId="DocTitle">
    <w:name w:val="~DocTitle"/>
    <w:basedOn w:val="Sinespaciado"/>
    <w:uiPriority w:val="19"/>
    <w:rsid w:val="00644069"/>
    <w:rPr>
      <w:caps/>
      <w:color w:val="707276" w:themeColor="text2"/>
      <w:sz w:val="64"/>
    </w:rPr>
  </w:style>
  <w:style w:type="paragraph" w:customStyle="1" w:styleId="DocType">
    <w:name w:val="~DocType"/>
    <w:basedOn w:val="Sinespaciado"/>
    <w:uiPriority w:val="19"/>
    <w:semiHidden/>
    <w:qFormat/>
    <w:rsid w:val="00644069"/>
  </w:style>
  <w:style w:type="paragraph" w:customStyle="1" w:styleId="Draft">
    <w:name w:val="~Draft"/>
    <w:basedOn w:val="Sinespaciado"/>
    <w:uiPriority w:val="19"/>
    <w:rsid w:val="00644069"/>
    <w:rPr>
      <w:caps/>
      <w:color w:val="E83F35" w:themeColor="accent1"/>
      <w:sz w:val="80"/>
    </w:rPr>
  </w:style>
  <w:style w:type="paragraph" w:customStyle="1" w:styleId="ExecSumHead">
    <w:name w:val="~ExecSumHead"/>
    <w:basedOn w:val="SecHeadNonToc"/>
    <w:next w:val="Normal"/>
    <w:uiPriority w:val="2"/>
    <w:qFormat/>
    <w:rsid w:val="00DE158C"/>
    <w:pPr>
      <w:outlineLvl w:val="0"/>
    </w:pPr>
  </w:style>
  <w:style w:type="paragraph" w:customStyle="1" w:styleId="ExecSumSubHead">
    <w:name w:val="~ExecSumSubHead"/>
    <w:basedOn w:val="ExecSumHead"/>
    <w:next w:val="Normal"/>
    <w:uiPriority w:val="2"/>
    <w:qFormat/>
    <w:rsid w:val="001A2F61"/>
    <w:pPr>
      <w:pageBreakBefore w:val="0"/>
      <w:spacing w:before="240"/>
    </w:pPr>
    <w:rPr>
      <w:caps w:val="0"/>
      <w:sz w:val="36"/>
      <w:szCs w:val="32"/>
    </w:rPr>
  </w:style>
  <w:style w:type="paragraph" w:customStyle="1" w:styleId="GraphicLeft">
    <w:name w:val="~GraphicLeft"/>
    <w:basedOn w:val="Sinespaciado"/>
    <w:uiPriority w:val="9"/>
    <w:rsid w:val="00142182"/>
    <w:rPr>
      <w:sz w:val="20"/>
    </w:rPr>
  </w:style>
  <w:style w:type="paragraph" w:customStyle="1" w:styleId="GraphicCentre">
    <w:name w:val="~GraphicCentre"/>
    <w:basedOn w:val="GraphicLeft"/>
    <w:uiPriority w:val="19"/>
    <w:rsid w:val="00EE64AA"/>
    <w:pPr>
      <w:jc w:val="center"/>
    </w:pPr>
  </w:style>
  <w:style w:type="paragraph" w:customStyle="1" w:styleId="GraphicRight">
    <w:name w:val="~GraphicRight"/>
    <w:basedOn w:val="GraphicLeft"/>
    <w:uiPriority w:val="19"/>
    <w:rsid w:val="00EE64AA"/>
    <w:pPr>
      <w:jc w:val="right"/>
    </w:pPr>
  </w:style>
  <w:style w:type="paragraph" w:customStyle="1" w:styleId="Hidden">
    <w:name w:val="~Hidden"/>
    <w:basedOn w:val="Sinespaciado"/>
    <w:uiPriority w:val="19"/>
    <w:semiHidden/>
    <w:qFormat/>
    <w:rsid w:val="00EE64AA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5"/>
    <w:qFormat/>
    <w:rsid w:val="001A2F61"/>
    <w:rPr>
      <w:color w:val="707276" w:themeColor="text2"/>
      <w:sz w:val="28"/>
    </w:rPr>
  </w:style>
  <w:style w:type="paragraph" w:customStyle="1" w:styleId="TableBullet1">
    <w:name w:val="~TableBullet1"/>
    <w:basedOn w:val="KeyMsgBullet1"/>
    <w:uiPriority w:val="6"/>
    <w:qFormat/>
    <w:rsid w:val="003715D5"/>
    <w:pPr>
      <w:tabs>
        <w:tab w:val="clear" w:pos="369"/>
        <w:tab w:val="left" w:pos="284"/>
      </w:tabs>
      <w:spacing w:before="40" w:after="40" w:line="240" w:lineRule="auto"/>
      <w:ind w:left="284"/>
    </w:pPr>
    <w:rPr>
      <w:sz w:val="20"/>
    </w:rPr>
  </w:style>
  <w:style w:type="paragraph" w:customStyle="1" w:styleId="ParaNumBullet1">
    <w:name w:val="~ParaNumBullet1"/>
    <w:basedOn w:val="ParaBullet1"/>
    <w:uiPriority w:val="3"/>
    <w:qFormat/>
    <w:rsid w:val="0082368E"/>
    <w:pPr>
      <w:numPr>
        <w:numId w:val="22"/>
      </w:numPr>
    </w:pPr>
    <w:rPr>
      <w:szCs w:val="20"/>
    </w:rPr>
  </w:style>
  <w:style w:type="paragraph" w:customStyle="1" w:styleId="ParaNumBullet2">
    <w:name w:val="~ParaNumBullet2"/>
    <w:basedOn w:val="ParaNumBullet1"/>
    <w:uiPriority w:val="3"/>
    <w:qFormat/>
    <w:rsid w:val="0082368E"/>
    <w:pPr>
      <w:numPr>
        <w:ilvl w:val="1"/>
      </w:numPr>
    </w:pPr>
  </w:style>
  <w:style w:type="paragraph" w:customStyle="1" w:styleId="ParaNumBullet3">
    <w:name w:val="~ParaNumBullet3"/>
    <w:basedOn w:val="ParaNumBullet2"/>
    <w:uiPriority w:val="3"/>
    <w:qFormat/>
    <w:rsid w:val="0082368E"/>
    <w:pPr>
      <w:numPr>
        <w:ilvl w:val="2"/>
      </w:numPr>
    </w:pPr>
  </w:style>
  <w:style w:type="paragraph" w:customStyle="1" w:styleId="QuoteBoxText">
    <w:name w:val="~QuoteBoxText"/>
    <w:basedOn w:val="Normal"/>
    <w:uiPriority w:val="3"/>
    <w:qFormat/>
    <w:rsid w:val="009F69D6"/>
    <w:pPr>
      <w:spacing w:after="60"/>
      <w:jc w:val="left"/>
    </w:pPr>
    <w:rPr>
      <w:rFonts w:eastAsia="Times New Roman" w:cs="Times New Roman"/>
      <w:sz w:val="28"/>
    </w:rPr>
  </w:style>
  <w:style w:type="paragraph" w:customStyle="1" w:styleId="Source">
    <w:name w:val="~Source"/>
    <w:basedOn w:val="Normal"/>
    <w:next w:val="Normal"/>
    <w:uiPriority w:val="2"/>
    <w:qFormat/>
    <w:rsid w:val="008D0439"/>
    <w:pPr>
      <w:tabs>
        <w:tab w:val="left" w:pos="709"/>
      </w:tabs>
      <w:spacing w:before="60" w:after="60" w:line="240" w:lineRule="auto"/>
      <w:ind w:left="709" w:hanging="709"/>
      <w:jc w:val="left"/>
    </w:pPr>
    <w:rPr>
      <w:rFonts w:eastAsia="Calibri"/>
      <w:i/>
      <w:sz w:val="16"/>
    </w:rPr>
  </w:style>
  <w:style w:type="paragraph" w:customStyle="1" w:styleId="SourceWide">
    <w:name w:val="~SourceWide"/>
    <w:basedOn w:val="Source"/>
    <w:next w:val="Normal"/>
    <w:uiPriority w:val="19"/>
    <w:rsid w:val="008406D5"/>
    <w:pPr>
      <w:tabs>
        <w:tab w:val="clear" w:pos="709"/>
        <w:tab w:val="left" w:pos="-425"/>
      </w:tabs>
      <w:ind w:left="-425"/>
    </w:pPr>
  </w:style>
  <w:style w:type="paragraph" w:customStyle="1" w:styleId="Spacer">
    <w:name w:val="~Spacer"/>
    <w:basedOn w:val="Sinespaciado"/>
    <w:uiPriority w:val="19"/>
    <w:semiHidden/>
    <w:qFormat/>
    <w:rsid w:val="00EE64AA"/>
    <w:rPr>
      <w:rFonts w:ascii="Arial" w:hAnsi="Arial"/>
      <w:sz w:val="2"/>
    </w:rPr>
  </w:style>
  <w:style w:type="paragraph" w:customStyle="1" w:styleId="TableTextLeft">
    <w:name w:val="~TableTextLeft"/>
    <w:basedOn w:val="Normal"/>
    <w:qFormat/>
    <w:rsid w:val="00142182"/>
    <w:pPr>
      <w:spacing w:before="40" w:after="40" w:line="240" w:lineRule="auto"/>
      <w:jc w:val="left"/>
    </w:pPr>
    <w:rPr>
      <w:sz w:val="20"/>
    </w:rPr>
  </w:style>
  <w:style w:type="table" w:customStyle="1" w:styleId="TableClear">
    <w:name w:val="~TableClear"/>
    <w:basedOn w:val="Tablanormal"/>
    <w:uiPriority w:val="99"/>
    <w:rsid w:val="00EE64AA"/>
    <w:pPr>
      <w:spacing w:after="0" w:line="240" w:lineRule="auto"/>
    </w:pPr>
    <w:tblPr/>
  </w:style>
  <w:style w:type="paragraph" w:customStyle="1" w:styleId="TableHeadingLeft">
    <w:name w:val="~TableHeadingLeft"/>
    <w:basedOn w:val="TableTextLeft"/>
    <w:qFormat/>
    <w:rsid w:val="00F52EB6"/>
    <w:rPr>
      <w:b/>
      <w:bCs/>
      <w:color w:val="007B87" w:themeColor="accent3"/>
    </w:rPr>
  </w:style>
  <w:style w:type="paragraph" w:customStyle="1" w:styleId="TableHeadingCentre">
    <w:name w:val="~TableHeadingCentre"/>
    <w:basedOn w:val="TableHeadingLeft"/>
    <w:uiPriority w:val="6"/>
    <w:qFormat/>
    <w:rsid w:val="00F52EB6"/>
    <w:pPr>
      <w:jc w:val="center"/>
    </w:pPr>
  </w:style>
  <w:style w:type="paragraph" w:customStyle="1" w:styleId="TableHeadingRight">
    <w:name w:val="~TableHeadingRight"/>
    <w:basedOn w:val="TableHeadingLeft"/>
    <w:qFormat/>
    <w:rsid w:val="00F52EB6"/>
    <w:pPr>
      <w:jc w:val="right"/>
    </w:pPr>
  </w:style>
  <w:style w:type="table" w:customStyle="1" w:styleId="TableNormal">
    <w:name w:val="~TableNormal"/>
    <w:basedOn w:val="Tablanormal"/>
    <w:semiHidden/>
    <w:rsid w:val="00EE64AA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6"/>
    <w:qFormat/>
    <w:rsid w:val="00F52EB6"/>
    <w:pPr>
      <w:jc w:val="center"/>
    </w:pPr>
  </w:style>
  <w:style w:type="paragraph" w:customStyle="1" w:styleId="TableTextRight">
    <w:name w:val="~TableTextRight"/>
    <w:basedOn w:val="TableTextLeft"/>
    <w:qFormat/>
    <w:rsid w:val="00F52EB6"/>
    <w:pPr>
      <w:jc w:val="right"/>
    </w:pPr>
  </w:style>
  <w:style w:type="paragraph" w:customStyle="1" w:styleId="TableTotalLeft">
    <w:name w:val="~TableTotalLeft"/>
    <w:basedOn w:val="TableTextLeft"/>
    <w:uiPriority w:val="6"/>
    <w:qFormat/>
    <w:rsid w:val="00F52EB6"/>
    <w:rPr>
      <w:b/>
      <w:bCs/>
      <w:color w:val="007B87" w:themeColor="accent3"/>
    </w:rPr>
  </w:style>
  <w:style w:type="paragraph" w:customStyle="1" w:styleId="TableTotalCentre">
    <w:name w:val="~TableTotalCentre"/>
    <w:basedOn w:val="TableTotalLeft"/>
    <w:uiPriority w:val="6"/>
    <w:qFormat/>
    <w:rsid w:val="0082489C"/>
    <w:pPr>
      <w:jc w:val="center"/>
    </w:pPr>
  </w:style>
  <w:style w:type="paragraph" w:customStyle="1" w:styleId="TableTotalRight">
    <w:name w:val="~TableTotalRight"/>
    <w:basedOn w:val="TableTotalLeft"/>
    <w:uiPriority w:val="6"/>
    <w:qFormat/>
    <w:rsid w:val="0082489C"/>
    <w:pPr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4AA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4AA"/>
    <w:rPr>
      <w:rFonts w:ascii="Tahoma" w:hAnsi="Tahoma" w:cs="Tahoma"/>
      <w:color w:val="808080" w:themeColor="background1" w:themeShade="8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E64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64AA"/>
    <w:pPr>
      <w:spacing w:line="240" w:lineRule="auto"/>
    </w:pPr>
    <w:rPr>
      <w:rFonts w:ascii="Arial" w:hAnsi="Arial"/>
      <w:color w:val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64AA"/>
    <w:rPr>
      <w:rFonts w:ascii="Arial" w:hAnsi="Arial"/>
      <w:color w:val="auto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64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64AA"/>
    <w:rPr>
      <w:rFonts w:ascii="Arial" w:hAnsi="Arial"/>
      <w:b/>
      <w:bCs/>
      <w:color w:val="auto"/>
      <w:sz w:val="20"/>
      <w:szCs w:val="20"/>
    </w:rPr>
  </w:style>
  <w:style w:type="character" w:styleId="Hipervnculovisitado">
    <w:name w:val="FollowedHyperlink"/>
    <w:aliases w:val="~FollowedHyperlink"/>
    <w:basedOn w:val="Fuentedeprrafopredeter"/>
    <w:uiPriority w:val="19"/>
    <w:semiHidden/>
    <w:rsid w:val="00887447"/>
    <w:rPr>
      <w:color w:val="8DD0D2" w:themeColor="accent2"/>
      <w:u w:val="single"/>
    </w:rPr>
  </w:style>
  <w:style w:type="paragraph" w:styleId="Piedepgina">
    <w:name w:val="footer"/>
    <w:aliases w:val="~Footer"/>
    <w:basedOn w:val="Sinespaciado"/>
    <w:link w:val="PiedepginaCar"/>
    <w:uiPriority w:val="19"/>
    <w:rsid w:val="000A0D97"/>
    <w:rPr>
      <w:color w:val="707276" w:themeColor="text2"/>
      <w:sz w:val="18"/>
    </w:rPr>
  </w:style>
  <w:style w:type="character" w:customStyle="1" w:styleId="PiedepginaCar">
    <w:name w:val="Pie de página Car"/>
    <w:aliases w:val="~Footer Car"/>
    <w:basedOn w:val="Fuentedeprrafopredeter"/>
    <w:link w:val="Piedepgina"/>
    <w:uiPriority w:val="19"/>
    <w:rsid w:val="00D11D2A"/>
    <w:rPr>
      <w:color w:val="707276" w:themeColor="text2"/>
      <w:sz w:val="18"/>
    </w:rPr>
  </w:style>
  <w:style w:type="character" w:styleId="Refdenotaalpie">
    <w:name w:val="footnote reference"/>
    <w:aliases w:val="~FootnoteRef"/>
    <w:basedOn w:val="Fuentedeprrafopredeter"/>
    <w:uiPriority w:val="19"/>
    <w:semiHidden/>
    <w:rsid w:val="000F5519"/>
    <w:rPr>
      <w:rFonts w:asciiTheme="minorHAnsi" w:hAnsiTheme="minorHAnsi"/>
      <w:color w:val="E83F35" w:themeColor="accent1"/>
      <w:vertAlign w:val="superscript"/>
    </w:rPr>
  </w:style>
  <w:style w:type="paragraph" w:styleId="Textonotapie">
    <w:name w:val="footnote text"/>
    <w:aliases w:val="~FootnoteText"/>
    <w:basedOn w:val="Sinespaciado"/>
    <w:uiPriority w:val="19"/>
    <w:semiHidden/>
    <w:rsid w:val="000F5519"/>
    <w:pPr>
      <w:spacing w:before="60"/>
      <w:ind w:left="284" w:hanging="284"/>
    </w:pPr>
    <w:rPr>
      <w:color w:val="707276" w:themeColor="text2"/>
      <w:sz w:val="16"/>
    </w:rPr>
  </w:style>
  <w:style w:type="paragraph" w:styleId="Encabezado">
    <w:name w:val="header"/>
    <w:aliases w:val="~Header"/>
    <w:basedOn w:val="Sinespaciado"/>
    <w:link w:val="EncabezadoCar"/>
    <w:uiPriority w:val="19"/>
    <w:rsid w:val="000A0D97"/>
    <w:pPr>
      <w:jc w:val="right"/>
    </w:pPr>
    <w:rPr>
      <w:color w:val="707276" w:themeColor="text2"/>
    </w:rPr>
  </w:style>
  <w:style w:type="character" w:customStyle="1" w:styleId="EncabezadoCar">
    <w:name w:val="Encabezado Car"/>
    <w:aliases w:val="~Header Car"/>
    <w:basedOn w:val="Fuentedeprrafopredeter"/>
    <w:link w:val="Encabezado"/>
    <w:uiPriority w:val="19"/>
    <w:rsid w:val="00D11D2A"/>
    <w:rPr>
      <w:color w:val="707276" w:themeColor="text2"/>
    </w:rPr>
  </w:style>
  <w:style w:type="character" w:customStyle="1" w:styleId="Ttulo1Car">
    <w:name w:val="Título 1 Car"/>
    <w:aliases w:val="~SectionHeading Car"/>
    <w:basedOn w:val="Fuentedeprrafopredeter"/>
    <w:link w:val="Ttulo1"/>
    <w:uiPriority w:val="1"/>
    <w:rsid w:val="00D11D2A"/>
    <w:rPr>
      <w:rFonts w:ascii="Arial" w:hAnsi="Arial"/>
      <w:caps/>
      <w:color w:val="E83F35" w:themeColor="accent1"/>
      <w:sz w:val="40"/>
      <w:szCs w:val="180"/>
    </w:rPr>
  </w:style>
  <w:style w:type="character" w:customStyle="1" w:styleId="Ttulo2Car">
    <w:name w:val="Título 2 Car"/>
    <w:aliases w:val="~SubHeading Car"/>
    <w:basedOn w:val="Fuentedeprrafopredeter"/>
    <w:link w:val="Ttulo2"/>
    <w:uiPriority w:val="1"/>
    <w:rsid w:val="00D11D2A"/>
    <w:rPr>
      <w:rFonts w:ascii="Arial" w:hAnsi="Arial"/>
      <w:color w:val="E83F35" w:themeColor="accent1"/>
      <w:sz w:val="36"/>
      <w:szCs w:val="16"/>
    </w:rPr>
  </w:style>
  <w:style w:type="character" w:customStyle="1" w:styleId="Ttulo3Car">
    <w:name w:val="Título 3 Car"/>
    <w:aliases w:val="~MinorSubHeading Car"/>
    <w:basedOn w:val="Fuentedeprrafopredeter"/>
    <w:link w:val="Ttulo3"/>
    <w:uiPriority w:val="1"/>
    <w:rsid w:val="00D11D2A"/>
    <w:rPr>
      <w:rFonts w:ascii="Arial" w:hAnsi="Arial"/>
      <w:color w:val="E83F35" w:themeColor="accent1"/>
      <w:sz w:val="30"/>
      <w:szCs w:val="14"/>
    </w:rPr>
  </w:style>
  <w:style w:type="character" w:customStyle="1" w:styleId="Ttulo4Car">
    <w:name w:val="Título 4 Car"/>
    <w:aliases w:val="~Level4Heading Car"/>
    <w:basedOn w:val="Fuentedeprrafopredeter"/>
    <w:link w:val="Ttulo4"/>
    <w:uiPriority w:val="1"/>
    <w:rsid w:val="00D11D2A"/>
    <w:rPr>
      <w:rFonts w:ascii="Arial" w:hAnsi="Arial"/>
      <w:color w:val="007B87" w:themeColor="accent3"/>
      <w:sz w:val="24"/>
      <w:szCs w:val="1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D11D2A"/>
    <w:rPr>
      <w:rFonts w:asciiTheme="majorHAnsi" w:eastAsiaTheme="majorEastAsia" w:hAnsiTheme="majorHAnsi" w:cstheme="majorBidi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D11D2A"/>
    <w:rPr>
      <w:rFonts w:asciiTheme="majorHAnsi" w:eastAsiaTheme="majorEastAsia" w:hAnsiTheme="majorHAnsi" w:cstheme="majorBidi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styleId="Hipervnculo">
    <w:name w:val="Hyperlink"/>
    <w:aliases w:val="~HyperLink"/>
    <w:basedOn w:val="Fuentedeprrafopredeter"/>
    <w:uiPriority w:val="99"/>
    <w:rsid w:val="00887447"/>
    <w:rPr>
      <w:color w:val="007B87" w:themeColor="accent3"/>
      <w:u w:val="single"/>
    </w:rPr>
  </w:style>
  <w:style w:type="table" w:styleId="Sombreadomedio2-nfasis1">
    <w:name w:val="Medium Shading 2 Accent 1"/>
    <w:basedOn w:val="Tablanormal"/>
    <w:uiPriority w:val="64"/>
    <w:rsid w:val="00EE64AA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3F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3F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3F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64AA"/>
    <w:rPr>
      <w:color w:val="808080"/>
    </w:rPr>
  </w:style>
  <w:style w:type="table" w:styleId="Tablaconcuadrcula">
    <w:name w:val="Table Grid"/>
    <w:basedOn w:val="Tablanormal"/>
    <w:rsid w:val="001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aliases w:val="~SectionHeadings"/>
    <w:basedOn w:val="Sinespaciado"/>
    <w:next w:val="Normal"/>
    <w:uiPriority w:val="39"/>
    <w:rsid w:val="00350346"/>
    <w:pPr>
      <w:tabs>
        <w:tab w:val="left" w:pos="482"/>
        <w:tab w:val="right" w:pos="7825"/>
      </w:tabs>
      <w:spacing w:before="240" w:after="20"/>
      <w:ind w:left="482" w:right="403" w:hanging="482"/>
    </w:pPr>
    <w:rPr>
      <w:rFonts w:asciiTheme="majorHAnsi" w:eastAsiaTheme="minorEastAsia" w:hAnsiTheme="majorHAnsi"/>
      <w:noProof/>
      <w:sz w:val="24"/>
      <w:szCs w:val="24"/>
      <w:lang w:eastAsia="en-GB"/>
    </w:rPr>
  </w:style>
  <w:style w:type="paragraph" w:styleId="TDC2">
    <w:name w:val="toc 2"/>
    <w:aliases w:val="~SubHeadings"/>
    <w:basedOn w:val="TDC1"/>
    <w:next w:val="Normal"/>
    <w:uiPriority w:val="39"/>
    <w:rsid w:val="00174D51"/>
    <w:pPr>
      <w:tabs>
        <w:tab w:val="clear" w:pos="482"/>
        <w:tab w:val="left" w:pos="992"/>
      </w:tabs>
      <w:spacing w:before="20"/>
      <w:ind w:left="992" w:hanging="510"/>
    </w:pPr>
    <w:rPr>
      <w:color w:val="707276" w:themeColor="text2"/>
      <w:sz w:val="20"/>
      <w:szCs w:val="20"/>
    </w:rPr>
  </w:style>
  <w:style w:type="paragraph" w:styleId="TDC3">
    <w:name w:val="toc 3"/>
    <w:aliases w:val="~MinorSubheadings"/>
    <w:basedOn w:val="TDC2"/>
    <w:next w:val="Normal"/>
    <w:uiPriority w:val="19"/>
    <w:rsid w:val="00DC268C"/>
    <w:pPr>
      <w:tabs>
        <w:tab w:val="clear" w:pos="992"/>
        <w:tab w:val="left" w:pos="1701"/>
      </w:tabs>
      <w:ind w:left="1701" w:hanging="737"/>
    </w:pPr>
    <w:rPr>
      <w:sz w:val="18"/>
    </w:rPr>
  </w:style>
  <w:style w:type="paragraph" w:styleId="TDC4">
    <w:name w:val="toc 4"/>
    <w:aliases w:val="~FourthHeadLevel"/>
    <w:basedOn w:val="TDC3"/>
    <w:next w:val="Normal"/>
    <w:uiPriority w:val="19"/>
    <w:rsid w:val="00174D51"/>
    <w:pPr>
      <w:tabs>
        <w:tab w:val="clear" w:pos="1701"/>
        <w:tab w:val="left" w:pos="2098"/>
      </w:tabs>
      <w:ind w:left="2098" w:hanging="794"/>
    </w:pPr>
  </w:style>
  <w:style w:type="paragraph" w:styleId="TDC5">
    <w:name w:val="toc 5"/>
    <w:aliases w:val="~ExecSumHeading"/>
    <w:basedOn w:val="TDC1"/>
    <w:next w:val="Normal"/>
    <w:uiPriority w:val="39"/>
    <w:rsid w:val="00350346"/>
    <w:pPr>
      <w:tabs>
        <w:tab w:val="clear" w:pos="482"/>
      </w:tabs>
      <w:ind w:left="0" w:firstLine="0"/>
    </w:pPr>
  </w:style>
  <w:style w:type="paragraph" w:styleId="TDC6">
    <w:name w:val="toc 6"/>
    <w:aliases w:val="~AppDivider"/>
    <w:basedOn w:val="Normal"/>
    <w:next w:val="Normal"/>
    <w:uiPriority w:val="19"/>
    <w:rsid w:val="0054473A"/>
    <w:pPr>
      <w:tabs>
        <w:tab w:val="left" w:pos="482"/>
        <w:tab w:val="right" w:pos="7881"/>
      </w:tabs>
      <w:spacing w:before="240" w:after="20" w:line="240" w:lineRule="auto"/>
      <w:ind w:left="482" w:right="403" w:hanging="482"/>
      <w:jc w:val="left"/>
    </w:pPr>
    <w:rPr>
      <w:rFonts w:asciiTheme="majorHAnsi" w:eastAsiaTheme="minorEastAsia" w:hAnsiTheme="majorHAnsi"/>
      <w:noProof/>
      <w:sz w:val="24"/>
      <w:szCs w:val="24"/>
      <w:lang w:eastAsia="en-GB"/>
    </w:rPr>
  </w:style>
  <w:style w:type="paragraph" w:styleId="TDC7">
    <w:name w:val="toc 7"/>
    <w:aliases w:val="~AppHeadings"/>
    <w:basedOn w:val="TDC1"/>
    <w:next w:val="Normal"/>
    <w:uiPriority w:val="19"/>
    <w:rsid w:val="00057EF6"/>
    <w:pPr>
      <w:tabs>
        <w:tab w:val="clear" w:pos="482"/>
        <w:tab w:val="left" w:pos="1276"/>
      </w:tabs>
      <w:ind w:left="1276" w:hanging="1276"/>
    </w:pPr>
    <w:rPr>
      <w:szCs w:val="20"/>
    </w:rPr>
  </w:style>
  <w:style w:type="paragraph" w:styleId="TDC8">
    <w:name w:val="toc 8"/>
    <w:aliases w:val="~AppSubHeadings"/>
    <w:basedOn w:val="TDC2"/>
    <w:next w:val="Normal"/>
    <w:uiPriority w:val="19"/>
    <w:rsid w:val="00174D51"/>
    <w:pPr>
      <w:tabs>
        <w:tab w:val="left" w:pos="850"/>
      </w:tabs>
      <w:ind w:left="850" w:hanging="425"/>
    </w:pPr>
  </w:style>
  <w:style w:type="paragraph" w:styleId="TDC9">
    <w:name w:val="toc 9"/>
    <w:basedOn w:val="Normal"/>
    <w:next w:val="Normal"/>
    <w:uiPriority w:val="19"/>
    <w:semiHidden/>
    <w:rsid w:val="00EE64AA"/>
    <w:pPr>
      <w:spacing w:after="100"/>
      <w:ind w:left="1600"/>
    </w:pPr>
    <w:rPr>
      <w:rFonts w:ascii="Arial" w:hAnsi="Arial"/>
    </w:rPr>
  </w:style>
  <w:style w:type="paragraph" w:styleId="TtulodeTDC">
    <w:name w:val="TOC Heading"/>
    <w:basedOn w:val="TDC6"/>
    <w:next w:val="Normal"/>
    <w:uiPriority w:val="19"/>
    <w:semiHidden/>
    <w:qFormat/>
    <w:rsid w:val="000E4F6C"/>
  </w:style>
  <w:style w:type="table" w:customStyle="1" w:styleId="PutClientName">
    <w:name w:val="~PutClientName"/>
    <w:basedOn w:val="Tablanormal"/>
    <w:uiPriority w:val="99"/>
    <w:rsid w:val="0016210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Revisi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extoindependiente">
    <w:name w:val="Body Text"/>
    <w:basedOn w:val="Normal"/>
    <w:link w:val="TextoindependienteCar"/>
    <w:uiPriority w:val="19"/>
    <w:semiHidden/>
    <w:rsid w:val="00BA15A2"/>
    <w:rPr>
      <w:rFonts w:ascii="Garamond" w:eastAsia="Times" w:hAnsi="Garamond" w:cs="Times New Roman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9"/>
    <w:semiHidden/>
    <w:rsid w:val="00D11D2A"/>
    <w:rPr>
      <w:rFonts w:ascii="Garamond" w:eastAsia="Times" w:hAnsi="Garamond" w:cs="Times New Roman"/>
      <w:color w:val="auto"/>
      <w:sz w:val="24"/>
    </w:rPr>
  </w:style>
  <w:style w:type="paragraph" w:customStyle="1" w:styleId="ParagraphBullet">
    <w:name w:val="Paragraph Bullet"/>
    <w:basedOn w:val="Normal"/>
    <w:uiPriority w:val="19"/>
    <w:semiHidden/>
    <w:rsid w:val="007F007E"/>
    <w:pPr>
      <w:tabs>
        <w:tab w:val="num" w:pos="425"/>
      </w:tabs>
      <w:ind w:left="425" w:hanging="425"/>
    </w:pPr>
    <w:rPr>
      <w:rFonts w:ascii="Garamond" w:eastAsia="Times" w:hAnsi="Garamond" w:cs="Times New Roman"/>
      <w:color w:val="auto"/>
      <w:sz w:val="24"/>
    </w:rPr>
  </w:style>
  <w:style w:type="paragraph" w:customStyle="1" w:styleId="SourceText">
    <w:name w:val="Source Text"/>
    <w:basedOn w:val="Ttulo5"/>
    <w:uiPriority w:val="19"/>
    <w:semiHidden/>
    <w:rsid w:val="007F007E"/>
    <w:pPr>
      <w:keepLines w:val="0"/>
      <w:spacing w:before="120" w:after="240"/>
    </w:pPr>
    <w:rPr>
      <w:rFonts w:ascii="Arial" w:eastAsia="Times" w:hAnsi="Arial" w:cs="Arial"/>
      <w:iCs/>
      <w:color w:val="auto"/>
      <w:sz w:val="16"/>
    </w:rPr>
  </w:style>
  <w:style w:type="paragraph" w:customStyle="1" w:styleId="TableText">
    <w:name w:val="Table Text"/>
    <w:basedOn w:val="Normal"/>
    <w:uiPriority w:val="19"/>
    <w:semiHidden/>
    <w:rsid w:val="007F007E"/>
    <w:pPr>
      <w:keepNext/>
      <w:jc w:val="center"/>
    </w:pPr>
    <w:rPr>
      <w:rFonts w:ascii="Arial" w:eastAsia="Times" w:hAnsi="Arial"/>
      <w:color w:val="auto"/>
    </w:rPr>
  </w:style>
  <w:style w:type="paragraph" w:customStyle="1" w:styleId="SecHeadNumber">
    <w:name w:val="~SecHeadNumber"/>
    <w:basedOn w:val="Normal"/>
    <w:uiPriority w:val="19"/>
    <w:semiHidden/>
    <w:qFormat/>
    <w:rsid w:val="005B0485"/>
    <w:pPr>
      <w:framePr w:wrap="around" w:vAnchor="page" w:hAnchor="page" w:x="852" w:y="852"/>
      <w:spacing w:before="0" w:line="192" w:lineRule="auto"/>
    </w:pPr>
    <w:rPr>
      <w:rFonts w:ascii="Arial" w:eastAsia="Arial" w:hAnsi="Arial" w:cs="Times New Roman"/>
      <w:b/>
      <w:outline/>
      <w:noProof/>
      <w:color w:val="8DD0D2" w:themeColor="accent2"/>
      <w:sz w:val="220"/>
      <w:szCs w:val="220"/>
      <w14:textOutline w14:w="12700" w14:cap="rnd" w14:cmpd="sng" w14:algn="ctr">
        <w14:solidFill>
          <w14:schemeClr w14:val="accent2"/>
        </w14:solidFill>
        <w14:prstDash w14:val="solid"/>
        <w14:bevel/>
      </w14:textOutline>
      <w14:textFill>
        <w14:noFill/>
      </w14:textFill>
    </w:rPr>
  </w:style>
  <w:style w:type="paragraph" w:styleId="Tabladeilustraciones">
    <w:name w:val="table of figures"/>
    <w:basedOn w:val="Normal"/>
    <w:next w:val="Normal"/>
    <w:uiPriority w:val="99"/>
    <w:rsid w:val="00145133"/>
    <w:pPr>
      <w:tabs>
        <w:tab w:val="left" w:pos="1134"/>
        <w:tab w:val="right" w:pos="7825"/>
      </w:tabs>
      <w:spacing w:before="20" w:after="20" w:line="240" w:lineRule="auto"/>
      <w:ind w:left="1134" w:right="403" w:hanging="1134"/>
    </w:pPr>
    <w:rPr>
      <w:noProof/>
      <w:color w:val="707276" w:themeColor="text2"/>
    </w:rPr>
  </w:style>
  <w:style w:type="paragraph" w:customStyle="1" w:styleId="IconText">
    <w:name w:val="~IconText"/>
    <w:uiPriority w:val="5"/>
    <w:rsid w:val="0060476B"/>
    <w:pPr>
      <w:spacing w:after="0" w:line="216" w:lineRule="auto"/>
      <w:jc w:val="center"/>
    </w:pPr>
    <w:rPr>
      <w:rFonts w:ascii="Open Sans Extrabold" w:eastAsia="Open Sans Extrabold" w:hAnsi="Open Sans Extrabold" w:cs="Open Sans Extrabold"/>
      <w:color w:val="FFFFFF" w:themeColor="background1"/>
      <w:kern w:val="24"/>
      <w:sz w:val="40"/>
      <w:szCs w:val="40"/>
    </w:rPr>
  </w:style>
  <w:style w:type="paragraph" w:styleId="Prrafodelista">
    <w:name w:val="List Paragraph"/>
    <w:basedOn w:val="Normal"/>
    <w:uiPriority w:val="19"/>
    <w:semiHidden/>
    <w:qFormat/>
    <w:rsid w:val="005D4C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3C7C"/>
    <w:pPr>
      <w:spacing w:before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3C7C"/>
  </w:style>
  <w:style w:type="character" w:styleId="Refdenotaalfinal">
    <w:name w:val="endnote reference"/>
    <w:basedOn w:val="Fuentedeprrafopredeter"/>
    <w:uiPriority w:val="99"/>
    <w:semiHidden/>
    <w:unhideWhenUsed/>
    <w:rsid w:val="00823C7C"/>
    <w:rPr>
      <w:vertAlign w:val="superscript"/>
    </w:rPr>
  </w:style>
  <w:style w:type="paragraph" w:customStyle="1" w:styleId="AnxBodyTextNum">
    <w:name w:val="~AnxBodyTextNum"/>
    <w:basedOn w:val="Normal"/>
    <w:uiPriority w:val="3"/>
    <w:rsid w:val="00F34BCA"/>
    <w:rPr>
      <w:rFonts w:ascii="Arial" w:hAnsi="Arial"/>
    </w:rPr>
  </w:style>
  <w:style w:type="paragraph" w:customStyle="1" w:styleId="ContactName">
    <w:name w:val="~ContactName"/>
    <w:basedOn w:val="Normal"/>
    <w:uiPriority w:val="19"/>
    <w:rsid w:val="00CE4F4D"/>
    <w:pPr>
      <w:spacing w:before="180" w:after="0" w:line="288" w:lineRule="auto"/>
    </w:pPr>
    <w:rPr>
      <w:color w:val="E83F35" w:themeColor="accent1"/>
    </w:rPr>
  </w:style>
  <w:style w:type="paragraph" w:customStyle="1" w:styleId="ContactDetails">
    <w:name w:val="~ContactDetails"/>
    <w:basedOn w:val="Sinespaciado"/>
    <w:uiPriority w:val="19"/>
    <w:rsid w:val="00F77A06"/>
    <w:pPr>
      <w:spacing w:before="20" w:after="20"/>
    </w:pPr>
    <w:rPr>
      <w:sz w:val="16"/>
      <w:szCs w:val="16"/>
    </w:rPr>
  </w:style>
  <w:style w:type="paragraph" w:customStyle="1" w:styleId="Disclaimer">
    <w:name w:val="~Disclaimer"/>
    <w:basedOn w:val="Normal"/>
    <w:uiPriority w:val="19"/>
    <w:rsid w:val="00B5202C"/>
    <w:pPr>
      <w:spacing w:before="0" w:after="0" w:line="288" w:lineRule="auto"/>
    </w:pPr>
    <w:rPr>
      <w:sz w:val="16"/>
      <w:szCs w:val="16"/>
    </w:rPr>
  </w:style>
  <w:style w:type="paragraph" w:customStyle="1" w:styleId="DraftRef">
    <w:name w:val="~DraftRef"/>
    <w:basedOn w:val="Encabezado"/>
    <w:uiPriority w:val="19"/>
    <w:semiHidden/>
    <w:qFormat/>
    <w:rsid w:val="006D0186"/>
    <w:pPr>
      <w:jc w:val="left"/>
    </w:pPr>
    <w:rPr>
      <w:b/>
      <w:caps/>
      <w:color w:val="E83F35" w:themeColor="accent1"/>
    </w:rPr>
  </w:style>
  <w:style w:type="table" w:customStyle="1" w:styleId="Frontier">
    <w:name w:val="~Frontier"/>
    <w:basedOn w:val="Tablanormal"/>
    <w:uiPriority w:val="99"/>
    <w:rsid w:val="00E85432"/>
    <w:pPr>
      <w:keepNext/>
      <w:spacing w:after="0" w:line="240" w:lineRule="auto"/>
    </w:pPr>
    <w:tblPr>
      <w:tblStyleRowBandSize w:val="1"/>
      <w:tblBorders>
        <w:top w:val="single" w:sz="2" w:space="0" w:color="007B87" w:themeColor="accent3"/>
        <w:bottom w:val="single" w:sz="2" w:space="0" w:color="007B87" w:themeColor="accent3"/>
        <w:insideH w:val="single" w:sz="2" w:space="0" w:color="D1DBD2" w:themeColor="background2"/>
      </w:tblBorders>
    </w:tblPr>
    <w:trPr>
      <w:cantSplit/>
    </w:trPr>
    <w:tblStylePr w:type="firstRow">
      <w:tblPr/>
      <w:tcPr>
        <w:tcBorders>
          <w:top w:val="single" w:sz="2" w:space="0" w:color="007B87" w:themeColor="accent3"/>
          <w:left w:val="nil"/>
          <w:bottom w:val="single" w:sz="2" w:space="0" w:color="007B87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  <w:color w:val="007B87" w:themeColor="accent3"/>
      </w:rPr>
      <w:tblPr/>
      <w:tcPr>
        <w:tcBorders>
          <w:top w:val="single" w:sz="2" w:space="0" w:color="007B87" w:themeColor="accent3"/>
          <w:left w:val="nil"/>
          <w:bottom w:val="single" w:sz="2" w:space="0" w:color="007B87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4406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paragraph" w:customStyle="1" w:styleId="HighlightBoxHead">
    <w:name w:val="~HighlightBoxHead"/>
    <w:basedOn w:val="Sinespaciado"/>
    <w:uiPriority w:val="5"/>
    <w:rsid w:val="005A4B97"/>
    <w:pPr>
      <w:keepNext/>
      <w:spacing w:before="80"/>
    </w:pPr>
    <w:rPr>
      <w:rFonts w:asciiTheme="majorHAnsi" w:hAnsiTheme="majorHAnsi" w:cstheme="majorHAnsi"/>
      <w:color w:val="007B87" w:themeColor="accent3"/>
      <w:sz w:val="32"/>
      <w:szCs w:val="32"/>
    </w:rPr>
  </w:style>
  <w:style w:type="paragraph" w:customStyle="1" w:styleId="HighlightBoxText">
    <w:name w:val="~HighlightBoxText"/>
    <w:basedOn w:val="Normal"/>
    <w:uiPriority w:val="5"/>
    <w:rsid w:val="00D1424C"/>
    <w:pPr>
      <w:spacing w:line="240" w:lineRule="auto"/>
      <w:jc w:val="left"/>
    </w:pPr>
    <w:rPr>
      <w:rFonts w:eastAsia="Times New Roman" w:cs="Times New Roman"/>
      <w:sz w:val="28"/>
    </w:rPr>
  </w:style>
  <w:style w:type="paragraph" w:customStyle="1" w:styleId="KeyMsgHead">
    <w:name w:val="~KeyMsgHead"/>
    <w:basedOn w:val="Normal"/>
    <w:uiPriority w:val="3"/>
    <w:qFormat/>
    <w:rsid w:val="00567506"/>
    <w:pPr>
      <w:keepNext/>
      <w:spacing w:line="240" w:lineRule="auto"/>
      <w:ind w:right="-215"/>
      <w:jc w:val="left"/>
    </w:pPr>
    <w:rPr>
      <w:rFonts w:eastAsia="Times New Roman" w:cs="Times New Roman"/>
      <w:b/>
      <w:bCs/>
      <w:caps/>
      <w:color w:val="007B87" w:themeColor="accent3"/>
    </w:rPr>
  </w:style>
  <w:style w:type="paragraph" w:customStyle="1" w:styleId="KeyMsgBoxText">
    <w:name w:val="~KeyMsgBoxText"/>
    <w:basedOn w:val="Normal"/>
    <w:uiPriority w:val="5"/>
    <w:qFormat/>
    <w:rsid w:val="0017538E"/>
    <w:pPr>
      <w:spacing w:after="0"/>
      <w:ind w:left="85" w:right="85"/>
      <w:jc w:val="left"/>
    </w:pPr>
  </w:style>
  <w:style w:type="paragraph" w:customStyle="1" w:styleId="KeyMsgBullet1">
    <w:name w:val="~KeyMsgBullet1"/>
    <w:basedOn w:val="ParaBullet1"/>
    <w:uiPriority w:val="5"/>
    <w:qFormat/>
    <w:rsid w:val="004D37D2"/>
    <w:pPr>
      <w:tabs>
        <w:tab w:val="clear" w:pos="340"/>
        <w:tab w:val="left" w:pos="369"/>
      </w:tabs>
      <w:spacing w:before="60" w:after="60" w:line="288" w:lineRule="auto"/>
      <w:ind w:left="369" w:right="85" w:hanging="284"/>
      <w:jc w:val="left"/>
    </w:pPr>
  </w:style>
  <w:style w:type="paragraph" w:customStyle="1" w:styleId="QuoteSource">
    <w:name w:val="~QuoteSource"/>
    <w:basedOn w:val="Source"/>
    <w:uiPriority w:val="3"/>
    <w:qFormat/>
    <w:rsid w:val="001E633B"/>
    <w:pPr>
      <w:tabs>
        <w:tab w:val="clear" w:pos="709"/>
      </w:tabs>
      <w:spacing w:after="120"/>
      <w:ind w:left="0" w:firstLine="0"/>
    </w:pPr>
    <w:rPr>
      <w:sz w:val="18"/>
    </w:rPr>
  </w:style>
  <w:style w:type="numbering" w:customStyle="1" w:styleId="SecListStyle0">
    <w:name w:val="~SecListStyle"/>
    <w:uiPriority w:val="99"/>
    <w:rsid w:val="00E608C3"/>
  </w:style>
  <w:style w:type="numbering" w:customStyle="1" w:styleId="AppListStyle">
    <w:name w:val="~AppListStyle"/>
    <w:uiPriority w:val="99"/>
    <w:rsid w:val="00A60B25"/>
    <w:pPr>
      <w:numPr>
        <w:numId w:val="2"/>
      </w:numPr>
    </w:pPr>
  </w:style>
  <w:style w:type="numbering" w:customStyle="1" w:styleId="SecListStyle">
    <w:name w:val="~SecListStyle"/>
    <w:next w:val="SecListStyle0"/>
    <w:uiPriority w:val="99"/>
    <w:rsid w:val="00A60B25"/>
    <w:pPr>
      <w:numPr>
        <w:numId w:val="3"/>
      </w:numPr>
    </w:pPr>
  </w:style>
  <w:style w:type="character" w:customStyle="1" w:styleId="Teal">
    <w:name w:val="~Teal"/>
    <w:basedOn w:val="Fuentedeprrafopredeter"/>
    <w:uiPriority w:val="5"/>
    <w:qFormat/>
    <w:rsid w:val="003F3DF5"/>
    <w:rPr>
      <w:color w:val="007B87" w:themeColor="accent3"/>
    </w:rPr>
  </w:style>
  <w:style w:type="character" w:customStyle="1" w:styleId="Red">
    <w:name w:val="~Red"/>
    <w:basedOn w:val="Teal"/>
    <w:uiPriority w:val="5"/>
    <w:qFormat/>
    <w:rsid w:val="003F3DF5"/>
    <w:rPr>
      <w:color w:val="E83F35" w:themeColor="accent1"/>
    </w:rPr>
  </w:style>
  <w:style w:type="paragraph" w:customStyle="1" w:styleId="HighlightIconBoxHead">
    <w:name w:val="~HighlightIconBoxHead"/>
    <w:basedOn w:val="Normal"/>
    <w:uiPriority w:val="5"/>
    <w:qFormat/>
    <w:rsid w:val="003D1B19"/>
    <w:pPr>
      <w:spacing w:before="0" w:after="0" w:line="288" w:lineRule="auto"/>
      <w:jc w:val="left"/>
    </w:pPr>
    <w:rPr>
      <w:rFonts w:asciiTheme="majorHAnsi" w:hAnsiTheme="majorHAnsi" w:cstheme="majorHAnsi"/>
      <w:color w:val="007B87" w:themeColor="accent3"/>
      <w:sz w:val="36"/>
      <w:szCs w:val="36"/>
    </w:rPr>
  </w:style>
  <w:style w:type="paragraph" w:customStyle="1" w:styleId="CVName">
    <w:name w:val="~CVName"/>
    <w:basedOn w:val="Sinespaciado"/>
    <w:uiPriority w:val="4"/>
    <w:qFormat/>
    <w:rsid w:val="009E31F1"/>
    <w:pPr>
      <w:keepNext/>
    </w:pPr>
    <w:rPr>
      <w:color w:val="007B87" w:themeColor="accent3"/>
      <w:sz w:val="40"/>
      <w:szCs w:val="40"/>
    </w:rPr>
  </w:style>
  <w:style w:type="paragraph" w:customStyle="1" w:styleId="CVRole">
    <w:name w:val="~CVRole"/>
    <w:basedOn w:val="Normal"/>
    <w:next w:val="CVContact"/>
    <w:uiPriority w:val="4"/>
    <w:qFormat/>
    <w:rsid w:val="00B5202C"/>
    <w:pPr>
      <w:spacing w:before="240" w:after="0" w:line="240" w:lineRule="auto"/>
      <w:ind w:left="142"/>
    </w:pPr>
    <w:rPr>
      <w:color w:val="FFFFFF" w:themeColor="background1"/>
      <w:sz w:val="24"/>
      <w:szCs w:val="24"/>
    </w:rPr>
  </w:style>
  <w:style w:type="paragraph" w:customStyle="1" w:styleId="CVContact">
    <w:name w:val="~CVContact"/>
    <w:basedOn w:val="Normal"/>
    <w:uiPriority w:val="4"/>
    <w:qFormat/>
    <w:rsid w:val="00CE4F4D"/>
    <w:pPr>
      <w:spacing w:before="180" w:after="0" w:line="240" w:lineRule="auto"/>
      <w:ind w:left="142"/>
      <w:jc w:val="left"/>
    </w:pPr>
    <w:rPr>
      <w:color w:val="FFFFFF" w:themeColor="background1"/>
      <w:sz w:val="16"/>
      <w:szCs w:val="16"/>
    </w:rPr>
  </w:style>
  <w:style w:type="paragraph" w:customStyle="1" w:styleId="CVIntro">
    <w:name w:val="~CVIntro"/>
    <w:basedOn w:val="Normal"/>
    <w:next w:val="CVText"/>
    <w:uiPriority w:val="4"/>
    <w:qFormat/>
    <w:rsid w:val="00E74C5E"/>
    <w:pPr>
      <w:ind w:left="28"/>
    </w:pPr>
    <w:rPr>
      <w:color w:val="707276" w:themeColor="text2"/>
      <w:sz w:val="28"/>
    </w:rPr>
  </w:style>
  <w:style w:type="paragraph" w:customStyle="1" w:styleId="CVHead">
    <w:name w:val="~CVHead"/>
    <w:basedOn w:val="Sinespaciado"/>
    <w:next w:val="CVText"/>
    <w:uiPriority w:val="4"/>
    <w:qFormat/>
    <w:rsid w:val="003D1B19"/>
    <w:pPr>
      <w:spacing w:before="240"/>
    </w:pPr>
    <w:rPr>
      <w:color w:val="E83F35" w:themeColor="accent1"/>
      <w:sz w:val="30"/>
    </w:rPr>
  </w:style>
  <w:style w:type="paragraph" w:customStyle="1" w:styleId="CVText">
    <w:name w:val="~CVText"/>
    <w:basedOn w:val="Normal"/>
    <w:uiPriority w:val="4"/>
    <w:qFormat/>
    <w:rsid w:val="00E74C5E"/>
  </w:style>
  <w:style w:type="paragraph" w:customStyle="1" w:styleId="CVSubHead">
    <w:name w:val="~CVSubHead"/>
    <w:basedOn w:val="Normal"/>
    <w:next w:val="Normal"/>
    <w:uiPriority w:val="4"/>
    <w:qFormat/>
    <w:rsid w:val="00B5202C"/>
    <w:pPr>
      <w:spacing w:after="0" w:line="240" w:lineRule="auto"/>
      <w:jc w:val="left"/>
    </w:pPr>
    <w:rPr>
      <w:b/>
      <w:color w:val="66B0B7" w:themeColor="accent6"/>
    </w:rPr>
  </w:style>
  <w:style w:type="paragraph" w:customStyle="1" w:styleId="CSHead">
    <w:name w:val="~CSHead"/>
    <w:basedOn w:val="Normal"/>
    <w:next w:val="CVText"/>
    <w:uiPriority w:val="4"/>
    <w:qFormat/>
    <w:rsid w:val="003D1B19"/>
    <w:pPr>
      <w:spacing w:before="180" w:after="0" w:line="288" w:lineRule="auto"/>
      <w:jc w:val="left"/>
    </w:pPr>
    <w:rPr>
      <w:color w:val="E83F35" w:themeColor="accent1"/>
      <w:sz w:val="44"/>
      <w:szCs w:val="44"/>
    </w:rPr>
  </w:style>
  <w:style w:type="paragraph" w:customStyle="1" w:styleId="CSSubHead">
    <w:name w:val="~CSSubHead"/>
    <w:basedOn w:val="Normal"/>
    <w:uiPriority w:val="4"/>
    <w:qFormat/>
    <w:rsid w:val="003D1B19"/>
    <w:pPr>
      <w:spacing w:after="0" w:line="240" w:lineRule="auto"/>
    </w:pPr>
    <w:rPr>
      <w:rFonts w:asciiTheme="majorHAnsi" w:hAnsiTheme="majorHAnsi" w:cstheme="minorBidi"/>
      <w:color w:val="E83F35" w:themeColor="accent1"/>
      <w:sz w:val="36"/>
      <w:szCs w:val="16"/>
    </w:rPr>
  </w:style>
  <w:style w:type="character" w:customStyle="1" w:styleId="Yellow">
    <w:name w:val="~Yellow"/>
    <w:basedOn w:val="Fuentedeprrafopredeter"/>
    <w:uiPriority w:val="5"/>
    <w:qFormat/>
    <w:rsid w:val="00057AD3"/>
    <w:rPr>
      <w:color w:val="EBC000" w:themeColor="accent4"/>
    </w:rPr>
  </w:style>
  <w:style w:type="paragraph" w:customStyle="1" w:styleId="ListBullet1">
    <w:name w:val="~ListBullet1"/>
    <w:basedOn w:val="Normal"/>
    <w:uiPriority w:val="3"/>
    <w:qFormat/>
    <w:rsid w:val="000B0AC9"/>
    <w:pPr>
      <w:numPr>
        <w:numId w:val="4"/>
      </w:numPr>
      <w:spacing w:before="60" w:after="60"/>
    </w:pPr>
  </w:style>
  <w:style w:type="paragraph" w:customStyle="1" w:styleId="ListBullet2">
    <w:name w:val="~ListBullet2"/>
    <w:basedOn w:val="ListBullet1"/>
    <w:uiPriority w:val="3"/>
    <w:qFormat/>
    <w:rsid w:val="000B0AC9"/>
    <w:pPr>
      <w:numPr>
        <w:ilvl w:val="1"/>
      </w:numPr>
    </w:pPr>
  </w:style>
  <w:style w:type="paragraph" w:customStyle="1" w:styleId="ListBullet3">
    <w:name w:val="~ListBullet3"/>
    <w:basedOn w:val="ListBullet2"/>
    <w:uiPriority w:val="3"/>
    <w:qFormat/>
    <w:rsid w:val="000B0AC9"/>
    <w:pPr>
      <w:numPr>
        <w:ilvl w:val="2"/>
      </w:numPr>
    </w:pPr>
  </w:style>
  <w:style w:type="paragraph" w:customStyle="1" w:styleId="ListNumBullet1">
    <w:name w:val="~ListNumBullet1"/>
    <w:basedOn w:val="ListBullet1"/>
    <w:uiPriority w:val="3"/>
    <w:qFormat/>
    <w:rsid w:val="00D11D2A"/>
    <w:pPr>
      <w:numPr>
        <w:numId w:val="23"/>
      </w:numPr>
    </w:pPr>
  </w:style>
  <w:style w:type="paragraph" w:customStyle="1" w:styleId="ListNumBullet2">
    <w:name w:val="~ListNumBullet2"/>
    <w:basedOn w:val="ListNumBullet1"/>
    <w:uiPriority w:val="3"/>
    <w:qFormat/>
    <w:rsid w:val="00A40C49"/>
    <w:pPr>
      <w:numPr>
        <w:ilvl w:val="1"/>
      </w:numPr>
    </w:pPr>
  </w:style>
  <w:style w:type="paragraph" w:customStyle="1" w:styleId="ListNumBullet3">
    <w:name w:val="~ListNumBullet3"/>
    <w:basedOn w:val="ListNumBullet2"/>
    <w:uiPriority w:val="3"/>
    <w:qFormat/>
    <w:rsid w:val="00A40C49"/>
    <w:pPr>
      <w:numPr>
        <w:ilvl w:val="2"/>
      </w:numPr>
    </w:pPr>
  </w:style>
  <w:style w:type="paragraph" w:customStyle="1" w:styleId="AnxParaNumBullet1">
    <w:name w:val="~AnxParaNumBullet1"/>
    <w:basedOn w:val="Normal"/>
    <w:uiPriority w:val="3"/>
    <w:qFormat/>
    <w:rsid w:val="0060111F"/>
  </w:style>
  <w:style w:type="paragraph" w:customStyle="1" w:styleId="AnxParaNumBullet2">
    <w:name w:val="~AnxParaNumBullet2"/>
    <w:basedOn w:val="Normal"/>
    <w:uiPriority w:val="3"/>
    <w:qFormat/>
    <w:rsid w:val="0060111F"/>
  </w:style>
  <w:style w:type="paragraph" w:customStyle="1" w:styleId="AnxParaNumBullet3">
    <w:name w:val="~AnxParaNumBullet3"/>
    <w:basedOn w:val="Normal"/>
    <w:uiPriority w:val="3"/>
    <w:qFormat/>
    <w:rsid w:val="0060111F"/>
  </w:style>
  <w:style w:type="numbering" w:customStyle="1" w:styleId="ListNumStyle">
    <w:name w:val="~ListNumStyle"/>
    <w:uiPriority w:val="99"/>
    <w:rsid w:val="00D11D2A"/>
    <w:pPr>
      <w:numPr>
        <w:numId w:val="7"/>
      </w:numPr>
    </w:pPr>
  </w:style>
  <w:style w:type="paragraph" w:customStyle="1" w:styleId="CSText">
    <w:name w:val="~CSText"/>
    <w:basedOn w:val="CVText"/>
    <w:uiPriority w:val="4"/>
    <w:qFormat/>
    <w:rsid w:val="003F75DB"/>
  </w:style>
  <w:style w:type="paragraph" w:customStyle="1" w:styleId="KeyMsgText">
    <w:name w:val="~KeyMsgText"/>
    <w:basedOn w:val="Normal"/>
    <w:uiPriority w:val="5"/>
    <w:qFormat/>
    <w:rsid w:val="00FD14E4"/>
    <w:pPr>
      <w:spacing w:after="0"/>
      <w:ind w:left="85" w:right="85"/>
      <w:jc w:val="left"/>
    </w:pPr>
    <w:rPr>
      <w:szCs w:val="20"/>
    </w:rPr>
  </w:style>
  <w:style w:type="paragraph" w:customStyle="1" w:styleId="Quote">
    <w:name w:val="~Quote"/>
    <w:basedOn w:val="Normal"/>
    <w:uiPriority w:val="3"/>
    <w:qFormat/>
    <w:rsid w:val="009476BD"/>
    <w:pPr>
      <w:spacing w:after="60"/>
      <w:ind w:left="1134" w:right="1134"/>
      <w:jc w:val="left"/>
    </w:pPr>
    <w:rPr>
      <w:rFonts w:eastAsia="Times New Roman" w:cs="Times New Roman"/>
      <w:i/>
      <w:sz w:val="20"/>
      <w:szCs w:val="20"/>
    </w:rPr>
  </w:style>
  <w:style w:type="numbering" w:customStyle="1" w:styleId="SeqParaListStyle">
    <w:name w:val="~SeqParaListStyle"/>
    <w:next w:val="SecListStyle"/>
    <w:uiPriority w:val="99"/>
    <w:rsid w:val="0082368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.org.mx/sites/default/files/pitfext270217119verpub_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tier\Templates\Frontier%20Economics%20Standa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C4352C4504E0A94E673B24F65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4FB9-B7AE-4352-A1AE-AA91B4FAE367}"/>
      </w:docPartPr>
      <w:docPartBody>
        <w:p w:rsidR="009C448A" w:rsidRDefault="00013897">
          <w:pPr>
            <w:pStyle w:val="D42C4352C4504E0A94E673B24F65EC17"/>
          </w:pPr>
          <w:r w:rsidRPr="00D84319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3EC2439D6B475590EA538822C2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51F8-E1F4-4B51-BFEE-7644E37301D0}"/>
      </w:docPartPr>
      <w:docPartBody>
        <w:p w:rsidR="009C448A" w:rsidRDefault="00013897">
          <w:pPr>
            <w:pStyle w:val="DB3EC2439D6B475590EA538822C20D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40">
    <w:altName w:val="Times New Roman"/>
    <w:panose1 w:val="00000000000000000000"/>
    <w:charset w:val="00"/>
    <w:family w:val="auto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7"/>
    <w:rsid w:val="00013897"/>
    <w:rsid w:val="000E5B9B"/>
    <w:rsid w:val="00145382"/>
    <w:rsid w:val="00165907"/>
    <w:rsid w:val="002167BF"/>
    <w:rsid w:val="002852D1"/>
    <w:rsid w:val="003E0916"/>
    <w:rsid w:val="004632AC"/>
    <w:rsid w:val="00573EFB"/>
    <w:rsid w:val="005931D6"/>
    <w:rsid w:val="005B7982"/>
    <w:rsid w:val="00664B55"/>
    <w:rsid w:val="006912AB"/>
    <w:rsid w:val="006A50FA"/>
    <w:rsid w:val="006C5B31"/>
    <w:rsid w:val="007C5073"/>
    <w:rsid w:val="00820CC3"/>
    <w:rsid w:val="0086200A"/>
    <w:rsid w:val="008918E9"/>
    <w:rsid w:val="008B1CC2"/>
    <w:rsid w:val="00972E94"/>
    <w:rsid w:val="0099308E"/>
    <w:rsid w:val="009A6025"/>
    <w:rsid w:val="009C448A"/>
    <w:rsid w:val="009C5C0C"/>
    <w:rsid w:val="00A2148E"/>
    <w:rsid w:val="00A8784B"/>
    <w:rsid w:val="00B81F23"/>
    <w:rsid w:val="00C55CEF"/>
    <w:rsid w:val="00C83585"/>
    <w:rsid w:val="00C95C82"/>
    <w:rsid w:val="00CE4C04"/>
    <w:rsid w:val="00D228EC"/>
    <w:rsid w:val="00D44540"/>
    <w:rsid w:val="00D7083E"/>
    <w:rsid w:val="00E30A49"/>
    <w:rsid w:val="00E337F6"/>
    <w:rsid w:val="00E52695"/>
    <w:rsid w:val="00EA3BAB"/>
    <w:rsid w:val="00EE47AB"/>
    <w:rsid w:val="00EF2D40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D42C4352C4504E0A94E673B24F65EC17">
    <w:name w:val="D42C4352C4504E0A94E673B24F65EC17"/>
  </w:style>
  <w:style w:type="paragraph" w:customStyle="1" w:styleId="873F224A08544FC5AD311C89720F5B4A">
    <w:name w:val="873F224A08544FC5AD311C89720F5B4A"/>
  </w:style>
  <w:style w:type="paragraph" w:customStyle="1" w:styleId="DB3EC2439D6B475590EA538822C20D1E">
    <w:name w:val="DB3EC2439D6B475590EA538822C20D1E"/>
  </w:style>
  <w:style w:type="paragraph" w:customStyle="1" w:styleId="E3D490D5AE7447E3845FE69D9E67CEDE">
    <w:name w:val="E3D490D5AE7447E3845FE69D9E67C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rontier">
      <a:dk1>
        <a:srgbClr val="37424A"/>
      </a:dk1>
      <a:lt1>
        <a:sysClr val="window" lastClr="FFFFFF"/>
      </a:lt1>
      <a:dk2>
        <a:srgbClr val="707276"/>
      </a:dk2>
      <a:lt2>
        <a:srgbClr val="D1DBD2"/>
      </a:lt2>
      <a:accent1>
        <a:srgbClr val="E83F35"/>
      </a:accent1>
      <a:accent2>
        <a:srgbClr val="8DD0D2"/>
      </a:accent2>
      <a:accent3>
        <a:srgbClr val="007B87"/>
      </a:accent3>
      <a:accent4>
        <a:srgbClr val="EBC000"/>
      </a:accent4>
      <a:accent5>
        <a:srgbClr val="683C5B"/>
      </a:accent5>
      <a:accent6>
        <a:srgbClr val="66B0B7"/>
      </a:accent6>
      <a:hlink>
        <a:srgbClr val="007B87"/>
      </a:hlink>
      <a:folHlink>
        <a:srgbClr val="007B87"/>
      </a:folHlink>
    </a:clrScheme>
    <a:fontScheme name="Custom 4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Stranslations>
  <language>
    <ID>1034</ID>
    <Contents>Contenido</Contents>
    <Annex>Anexo</Annex>
    <Annexes>Anexos</Annexes>
    <Figure>Figura</Figure>
    <Table>Tabla</Table>
    <Figures>Figuras</Figures>
    <Tables>Tablas</Tables>
    <Source>Fuente</Source>
    <Note>Nota</Note>
    <Draft>BORRADOR</Draft>
    <DTF>dd de mmmm de yyyy</DTF>
    <AllFigures>,Figure,Figure,Abbildung,Figura,Figure</AllFigures>
    <AllTables>,Table,Table,Tabelle,Tabla,Tableau</AllTables>
  </language>
  <confidentiality>
    <item1>Confidencial</item1>
    <item2>Estrictamente confidencial</item2>
    <item3>Legalmente privilegiado</item3>
    <item4>Preparado a petición de abogados externos</item4>
  </confidentiality>
</CTStrans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D849-01E1-4A65-A460-1D6DE77E0D72}">
  <ds:schemaRefs/>
</ds:datastoreItem>
</file>

<file path=customXml/itemProps2.xml><?xml version="1.0" encoding="utf-8"?>
<ds:datastoreItem xmlns:ds="http://schemas.openxmlformats.org/officeDocument/2006/customXml" ds:itemID="{832B9EBC-8488-47B8-8E94-FD8EF0D1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 Economics Standard Template</Template>
  <TotalTime>1</TotalTime>
  <Pages>17</Pages>
  <Words>1623</Words>
  <Characters>8927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DEL MODELO DE REPLICABILIDAD</vt:lpstr>
      <vt:lpstr>MANUAL DEL MODELO DE REPLICABILIDAD</vt:lpstr>
    </vt:vector>
  </TitlesOfParts>
  <Company>Frontier Economics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MODELO DE REPLICABILIDAD</dc:title>
  <dc:creator>Instituto Federal de Telecomunicaciones</dc:creator>
  <cp:lastModifiedBy>Josue Teoyotl Calderon</cp:lastModifiedBy>
  <cp:revision>2</cp:revision>
  <cp:lastPrinted>2017-05-31T19:56:00Z</cp:lastPrinted>
  <dcterms:created xsi:type="dcterms:W3CDTF">2017-06-16T19:20:00Z</dcterms:created>
  <dcterms:modified xsi:type="dcterms:W3CDTF">2017-06-16T19:20:00Z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2.05</vt:lpwstr>
  </property>
  <property fmtid="{D5CDD505-2E9C-101B-9397-08002B2CF9AE}" pid="3" name="Date">
    <vt:lpwstr>31 August 2016</vt:lpwstr>
  </property>
</Properties>
</file>