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59BE0" w14:textId="6BE9109C" w:rsidR="0041214B" w:rsidRDefault="0041214B" w:rsidP="00463D71">
      <w:pPr>
        <w:pStyle w:val="Ttulo1"/>
        <w:spacing w:line="276" w:lineRule="auto"/>
      </w:pPr>
      <w:r w:rsidRPr="007B2D8F">
        <w:t xml:space="preserve">ACUERDO MEDIANTE EL CUAL EL PLENO DEL INSTITUTO FEDERAL DE TELECOMUNICACIONES </w:t>
      </w:r>
      <w:r w:rsidR="00BC6EFD">
        <w:t xml:space="preserve">DETERMINA EL INICIO DE LA CONSULTA PÚBLICA </w:t>
      </w:r>
      <w:r w:rsidR="00014FC8">
        <w:t xml:space="preserve">DE </w:t>
      </w:r>
      <w:r w:rsidR="006135A9">
        <w:t xml:space="preserve">LA </w:t>
      </w:r>
      <w:r w:rsidR="006E67FC">
        <w:t>METODOLOGÍA</w:t>
      </w:r>
      <w:r w:rsidR="006E67FC" w:rsidRPr="00014FC8">
        <w:t xml:space="preserve"> </w:t>
      </w:r>
      <w:r w:rsidR="00014FC8" w:rsidRPr="00014FC8">
        <w:t>DE REPLICABILIDAD ECONÓMICA APLICABLE A LOS SERVICIOS DEL AGENTE ECONÓMICO PREPONDERANTE EN TELECOMUNICACIONES</w:t>
      </w:r>
      <w:r w:rsidR="0098595C">
        <w:t>.</w:t>
      </w:r>
    </w:p>
    <w:p w14:paraId="66378CFE" w14:textId="77777777" w:rsidR="0098595C" w:rsidRPr="0098595C" w:rsidRDefault="0098595C" w:rsidP="0098595C">
      <w:pPr>
        <w:rPr>
          <w:lang w:val="es-ES_tradnl"/>
        </w:rPr>
      </w:pPr>
    </w:p>
    <w:p w14:paraId="1F798A69" w14:textId="77777777" w:rsidR="0041214B" w:rsidRDefault="0041214B" w:rsidP="0098595C">
      <w:pPr>
        <w:pStyle w:val="Ttulo2"/>
        <w:spacing w:line="276" w:lineRule="auto"/>
      </w:pPr>
      <w:r w:rsidRPr="0098595C">
        <w:t>ANTECEDENTES</w:t>
      </w:r>
    </w:p>
    <w:p w14:paraId="68607E0B" w14:textId="77777777" w:rsidR="007C65E1" w:rsidRPr="007C65E1" w:rsidRDefault="007C65E1" w:rsidP="007C65E1">
      <w:pPr>
        <w:rPr>
          <w:lang w:val="es-ES_tradnl"/>
        </w:rPr>
      </w:pPr>
    </w:p>
    <w:p w14:paraId="14BFB42A" w14:textId="77777777" w:rsidR="0041214B" w:rsidRPr="0098595C" w:rsidRDefault="0041214B" w:rsidP="0098595C">
      <w:pPr>
        <w:pStyle w:val="Prrafodelista"/>
        <w:spacing w:line="276" w:lineRule="auto"/>
      </w:pPr>
      <w:r w:rsidRPr="0098595C">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196F76D1" w14:textId="77777777" w:rsidR="0041214B" w:rsidRPr="0098595C" w:rsidRDefault="0041214B" w:rsidP="0098595C">
      <w:pPr>
        <w:pStyle w:val="Prrafodelista"/>
        <w:numPr>
          <w:ilvl w:val="0"/>
          <w:numId w:val="0"/>
        </w:numPr>
        <w:spacing w:line="276" w:lineRule="auto"/>
        <w:ind w:left="717"/>
      </w:pPr>
    </w:p>
    <w:p w14:paraId="642DF54F" w14:textId="77777777" w:rsidR="0041214B" w:rsidRDefault="0041214B" w:rsidP="0098595C">
      <w:pPr>
        <w:pStyle w:val="Prrafodelista"/>
        <w:spacing w:line="276" w:lineRule="auto"/>
      </w:pPr>
      <w:r w:rsidRPr="0098595C">
        <w:t>El 6 de marzo de 2014, el Pleno del Instituto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w:t>
      </w:r>
      <w:r w:rsidR="00360644" w:rsidRPr="0098595C">
        <w:t xml:space="preserve"> </w:t>
      </w:r>
      <w:r w:rsidRPr="0098595C">
        <w:t>Y LE IMPONE LAS MEDIDAS NECESARIAS PARA EVITAR QUE SE AFECTE LA COMPETENCIA Y LA LIBRE CONCURRENCIA”</w:t>
      </w:r>
      <w:r w:rsidR="00014FC8" w:rsidRPr="0098595C">
        <w:t xml:space="preserve"> </w:t>
      </w:r>
      <w:r w:rsidRPr="0098595C">
        <w:t xml:space="preserve">(sic) (en lo sucesivo, la “Resolución de AEP”), </w:t>
      </w:r>
      <w:r w:rsidR="00FA1145" w:rsidRPr="0098595C">
        <w:t>en la cual</w:t>
      </w:r>
      <w:r w:rsidRPr="0098595C">
        <w:t xml:space="preserve"> se emitieron los Anexos siguiente</w:t>
      </w:r>
      <w:r w:rsidR="00FA1145" w:rsidRPr="0098595C">
        <w:t>s</w:t>
      </w:r>
      <w:r w:rsidRPr="0098595C">
        <w:t>:</w:t>
      </w:r>
    </w:p>
    <w:p w14:paraId="58D04BAE" w14:textId="77777777" w:rsidR="007C65E1" w:rsidRPr="0098595C" w:rsidRDefault="007C65E1" w:rsidP="007C65E1">
      <w:pPr>
        <w:spacing w:line="276" w:lineRule="auto"/>
        <w:ind w:left="360"/>
      </w:pPr>
    </w:p>
    <w:p w14:paraId="7F54FF9C" w14:textId="77777777" w:rsidR="0041214B" w:rsidRDefault="0041214B" w:rsidP="0098595C">
      <w:pPr>
        <w:pStyle w:val="Cita"/>
      </w:pPr>
      <w:r w:rsidRPr="0098595C">
        <w:t>Anexo 1,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w:t>
      </w:r>
    </w:p>
    <w:p w14:paraId="6ABC35A9" w14:textId="77777777" w:rsidR="007C65E1" w:rsidRDefault="007C65E1" w:rsidP="007C65E1"/>
    <w:p w14:paraId="516377AC" w14:textId="77777777" w:rsidR="007C65E1" w:rsidRPr="007C65E1" w:rsidRDefault="007C65E1" w:rsidP="007C65E1"/>
    <w:p w14:paraId="7ADF0512" w14:textId="77777777" w:rsidR="0041214B" w:rsidRPr="0098595C" w:rsidRDefault="0041214B" w:rsidP="0098595C">
      <w:pPr>
        <w:pStyle w:val="Cita"/>
      </w:pPr>
      <w:r w:rsidRPr="0098595C">
        <w:lastRenderedPageBreak/>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p w14:paraId="58D2780D" w14:textId="77777777" w:rsidR="0041214B" w:rsidRPr="0098595C" w:rsidRDefault="0041214B" w:rsidP="0098595C">
      <w:pPr>
        <w:pStyle w:val="Cita"/>
      </w:pPr>
      <w:r w:rsidRPr="0098595C">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p w14:paraId="1D5475F3" w14:textId="77777777" w:rsidR="0041214B" w:rsidRPr="0098595C" w:rsidRDefault="0041214B" w:rsidP="0098595C">
      <w:pPr>
        <w:pStyle w:val="Cita"/>
      </w:pPr>
      <w:r w:rsidRPr="0098595C">
        <w:t>Anexo 4, MEDIDAS EN MATERIA DE CONTENIDOS AUDIOVISUALES QUE SE ESTABLECERÁN AL AGENTE ECONÓMICO PREPONDERANTE EN TELECOMUNICACIONES.</w:t>
      </w:r>
    </w:p>
    <w:p w14:paraId="4C3D9BFB" w14:textId="77777777" w:rsidR="0041214B" w:rsidRDefault="0041214B" w:rsidP="0098595C">
      <w:pPr>
        <w:pStyle w:val="Cita"/>
      </w:pPr>
      <w:r w:rsidRPr="0098595C">
        <w:t>Anexo 5, CONVENIO MARCO DE INTERCONEXIÓN ENTRE LAS REDES DE [RAZÓN SOCIAL DEL INTEGRANTE DEL AGENTE ECONÓMICO PREPONDERANTE] CON LA RED PÚBLICA DE TELECOMUNICACIONES DE [RAZÓN SOCIAL DEL CONCESIONARIO].</w:t>
      </w:r>
    </w:p>
    <w:p w14:paraId="6FF2F52C" w14:textId="77777777" w:rsidR="007C65E1" w:rsidRPr="007C65E1" w:rsidRDefault="007C65E1" w:rsidP="007C65E1"/>
    <w:p w14:paraId="7295C891" w14:textId="77777777" w:rsidR="0041214B" w:rsidRPr="0098595C" w:rsidRDefault="0041214B" w:rsidP="0098595C">
      <w:pPr>
        <w:pStyle w:val="Prrafodelista"/>
        <w:spacing w:line="276" w:lineRule="auto"/>
        <w:rPr>
          <w:lang w:val="es-ES_tradnl"/>
        </w:rPr>
      </w:pPr>
      <w:r w:rsidRPr="0098595C">
        <w:rPr>
          <w:lang w:val="es-ES_tradn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la “</w:t>
      </w:r>
      <w:r w:rsidR="00FA1145" w:rsidRPr="0098595C">
        <w:rPr>
          <w:lang w:val="es-ES_tradnl"/>
        </w:rPr>
        <w:t>LFTR</w:t>
      </w:r>
      <w:r w:rsidRPr="0098595C">
        <w:rPr>
          <w:lang w:val="es-ES_tradnl"/>
        </w:rPr>
        <w:t>”) el 13 de agosto de 2014.</w:t>
      </w:r>
    </w:p>
    <w:p w14:paraId="773C6174" w14:textId="77777777" w:rsidR="0041214B" w:rsidRPr="0098595C" w:rsidRDefault="0041214B" w:rsidP="0098595C">
      <w:pPr>
        <w:pStyle w:val="Prrafodelista"/>
        <w:numPr>
          <w:ilvl w:val="0"/>
          <w:numId w:val="0"/>
        </w:numPr>
        <w:spacing w:line="276" w:lineRule="auto"/>
        <w:ind w:left="717"/>
        <w:rPr>
          <w:lang w:val="es-ES_tradnl"/>
        </w:rPr>
      </w:pPr>
    </w:p>
    <w:p w14:paraId="627385DE" w14:textId="77777777" w:rsidR="0041214B" w:rsidRPr="0098595C" w:rsidRDefault="0041214B" w:rsidP="0098595C">
      <w:pPr>
        <w:pStyle w:val="Prrafodelista"/>
        <w:spacing w:line="276" w:lineRule="auto"/>
        <w:rPr>
          <w:lang w:val="es-ES_tradnl"/>
        </w:rPr>
      </w:pPr>
      <w:r w:rsidRPr="0098595C">
        <w:rPr>
          <w:lang w:val="es-ES_tradnl"/>
        </w:rPr>
        <w:t>El 4 de septiembre de 2014 se publicó en el DOF el “Estatuto Orgánico del Instituto Federal de Telecomunicaciones” (en lo sucesivo, el “Estatuto Orgánico”), el cual entró en vigor el 26 de septiembre de 2014, y fue modificado mediante publicaciones en el medio de difusión citado, el 17 de octubre de 2014 y el 17 de octubre de 2016.</w:t>
      </w:r>
    </w:p>
    <w:p w14:paraId="04E370B1" w14:textId="77777777" w:rsidR="0041214B" w:rsidRPr="0098595C" w:rsidRDefault="0041214B" w:rsidP="0098595C">
      <w:pPr>
        <w:pStyle w:val="Prrafodelista"/>
        <w:numPr>
          <w:ilvl w:val="0"/>
          <w:numId w:val="0"/>
        </w:numPr>
        <w:spacing w:line="276" w:lineRule="auto"/>
        <w:ind w:left="717"/>
        <w:rPr>
          <w:lang w:val="es-ES_tradnl"/>
        </w:rPr>
      </w:pPr>
    </w:p>
    <w:p w14:paraId="2466DE04" w14:textId="77777777" w:rsidR="0041214B" w:rsidRPr="0098595C" w:rsidRDefault="0041214B" w:rsidP="0098595C">
      <w:pPr>
        <w:pStyle w:val="Prrafodelista"/>
        <w:spacing w:line="276" w:lineRule="auto"/>
        <w:rPr>
          <w:lang w:val="es-ES_tradnl"/>
        </w:rPr>
      </w:pPr>
      <w:r w:rsidRPr="0098595C">
        <w:rPr>
          <w:lang w:val="es-ES_tradnl"/>
        </w:rPr>
        <w:t>El 27 de febrero de 2017, el Pleno del Instituto emitió el Acuerdo P/IFT/EXT/270217/119 denominado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“Resolución Bienal”).</w:t>
      </w:r>
    </w:p>
    <w:p w14:paraId="1284144A" w14:textId="77777777" w:rsidR="0041214B" w:rsidRDefault="0041214B" w:rsidP="0098595C">
      <w:pPr>
        <w:spacing w:before="120" w:line="276" w:lineRule="auto"/>
        <w:rPr>
          <w:rFonts w:eastAsia="Arial" w:cs="Arial"/>
          <w:lang w:val="es-ES_tradnl"/>
        </w:rPr>
      </w:pPr>
      <w:r w:rsidRPr="0098595C">
        <w:rPr>
          <w:rFonts w:eastAsia="Arial" w:cs="Arial"/>
          <w:lang w:val="es-ES_tradnl"/>
        </w:rPr>
        <w:lastRenderedPageBreak/>
        <w:t>En virtud de los Antecedentes señalados y,</w:t>
      </w:r>
    </w:p>
    <w:p w14:paraId="56B48435" w14:textId="77777777" w:rsidR="007C65E1" w:rsidRPr="0098595C" w:rsidRDefault="007C65E1" w:rsidP="0098595C">
      <w:pPr>
        <w:spacing w:before="120" w:line="276" w:lineRule="auto"/>
        <w:rPr>
          <w:rFonts w:eastAsia="Arial" w:cs="Arial"/>
          <w:lang w:val="es-ES_tradnl"/>
        </w:rPr>
      </w:pPr>
    </w:p>
    <w:p w14:paraId="7424263A" w14:textId="77777777" w:rsidR="0041214B" w:rsidRDefault="0041214B" w:rsidP="0098595C">
      <w:pPr>
        <w:pStyle w:val="Ttulo2"/>
        <w:spacing w:line="276" w:lineRule="auto"/>
      </w:pPr>
      <w:r w:rsidRPr="0098595C">
        <w:t>CONSIDERANDO</w:t>
      </w:r>
    </w:p>
    <w:p w14:paraId="6640BC65" w14:textId="77777777" w:rsidR="007C65E1" w:rsidRPr="007C65E1" w:rsidRDefault="007C65E1" w:rsidP="007C65E1">
      <w:pPr>
        <w:rPr>
          <w:lang w:val="es-ES_tradnl"/>
        </w:rPr>
      </w:pPr>
    </w:p>
    <w:p w14:paraId="29DB7E13" w14:textId="77777777" w:rsidR="00360644" w:rsidRPr="0098595C" w:rsidRDefault="00AB49DE" w:rsidP="0098595C">
      <w:pPr>
        <w:spacing w:after="0" w:line="276" w:lineRule="auto"/>
        <w:rPr>
          <w:rFonts w:cs="Arial"/>
          <w:bCs/>
        </w:rPr>
      </w:pPr>
      <w:r w:rsidRPr="0098595C">
        <w:rPr>
          <w:rFonts w:eastAsia="Arial Unicode MS" w:cs="Courier New"/>
          <w:b/>
          <w:lang w:eastAsia="es-ES"/>
        </w:rPr>
        <w:t xml:space="preserve">PRIMERO.- </w:t>
      </w:r>
      <w:r w:rsidR="0041214B" w:rsidRPr="0098595C">
        <w:rPr>
          <w:rFonts w:eastAsia="Arial" w:cs="Arial"/>
          <w:b/>
          <w:lang w:val="es-ES_tradnl"/>
        </w:rPr>
        <w:t>Competencia del Instituto.</w:t>
      </w:r>
      <w:r w:rsidR="0041214B" w:rsidRPr="0098595C">
        <w:rPr>
          <w:rFonts w:eastAsia="Arial" w:cs="Arial"/>
          <w:lang w:val="es-ES_tradnl"/>
        </w:rPr>
        <w:t xml:space="preserve"> </w:t>
      </w:r>
      <w:r w:rsidR="00360644" w:rsidRPr="0098595C">
        <w:rPr>
          <w:rFonts w:cs="Arial"/>
          <w:bCs/>
        </w:rPr>
        <w:t>De conformidad con el artículo 28, párrafos</w:t>
      </w:r>
      <w:r w:rsidR="00014FC8" w:rsidRPr="0098595C">
        <w:rPr>
          <w:rFonts w:cs="Arial"/>
          <w:bCs/>
        </w:rPr>
        <w:t>,</w:t>
      </w:r>
      <w:r w:rsidR="00360644" w:rsidRPr="0098595C">
        <w:rPr>
          <w:rFonts w:cs="Arial"/>
          <w:bCs/>
        </w:rPr>
        <w:t xml:space="preserve">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p>
    <w:p w14:paraId="6480743E" w14:textId="77777777" w:rsidR="00360644" w:rsidRPr="0098595C" w:rsidRDefault="00360644" w:rsidP="0098595C">
      <w:pPr>
        <w:spacing w:before="120" w:line="276" w:lineRule="auto"/>
        <w:rPr>
          <w:rFonts w:eastAsia="Arial" w:cs="Arial"/>
        </w:rPr>
      </w:pPr>
      <w:r w:rsidRPr="0098595C">
        <w:rPr>
          <w:rFonts w:eastAsia="Arial" w:cs="Arial"/>
        </w:rPr>
        <w:t>Asimismo, es autoridad en materia de competencia económica de los sectores de radiodifusión y telecomunicaciones, por lo que en éstos regulará de forma asimétrica a los participantes,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7C28E19C" w14:textId="1772974B" w:rsidR="0098595C" w:rsidRDefault="00360644" w:rsidP="0098595C">
      <w:pPr>
        <w:spacing w:before="120" w:line="276" w:lineRule="auto"/>
        <w:rPr>
          <w:rFonts w:eastAsia="Arial" w:cs="Arial"/>
        </w:rPr>
      </w:pPr>
      <w:r w:rsidRPr="0098595C">
        <w:rPr>
          <w:rFonts w:eastAsia="Arial" w:cs="Arial"/>
        </w:rPr>
        <w:t xml:space="preserve">De igual forma, el Pleno del Instituto, conforme a lo establecido </w:t>
      </w:r>
      <w:r w:rsidR="00FA7BC5" w:rsidRPr="0098595C">
        <w:rPr>
          <w:rFonts w:eastAsia="Arial" w:cs="Arial"/>
        </w:rPr>
        <w:t xml:space="preserve">en el artículo </w:t>
      </w:r>
      <w:r w:rsidRPr="0098595C">
        <w:rPr>
          <w:rFonts w:eastAsia="Arial" w:cs="Arial"/>
        </w:rPr>
        <w:t>6, fracción VI del Estatuto Orgánico, tiene la atribución de regular de forma asimétrica a los participantes en los mercados de radiodifusión y telecomunicaciones con el objeto de eliminar eficazmente las barreras a la competencia y libre concurrencia, así como demás disposiciones para el cumpli</w:t>
      </w:r>
      <w:r w:rsidR="001C34FB" w:rsidRPr="0098595C">
        <w:rPr>
          <w:rFonts w:eastAsia="Arial" w:cs="Arial"/>
        </w:rPr>
        <w:t>miento de lo dispuesto en la LFTR</w:t>
      </w:r>
      <w:r w:rsidR="00014FC8" w:rsidRPr="0098595C">
        <w:rPr>
          <w:rFonts w:eastAsia="Arial" w:cs="Arial"/>
        </w:rPr>
        <w:t>.</w:t>
      </w:r>
    </w:p>
    <w:p w14:paraId="5C88520B" w14:textId="77777777" w:rsidR="007C65E1" w:rsidRPr="0098595C" w:rsidRDefault="007C65E1" w:rsidP="0098595C">
      <w:pPr>
        <w:spacing w:before="120" w:line="276" w:lineRule="auto"/>
        <w:rPr>
          <w:rFonts w:eastAsia="Arial" w:cs="Arial"/>
        </w:rPr>
      </w:pPr>
    </w:p>
    <w:p w14:paraId="536C26E2" w14:textId="77777777" w:rsidR="00EE570C" w:rsidRPr="0098595C" w:rsidRDefault="0041214B" w:rsidP="00EE570C">
      <w:pPr>
        <w:spacing w:line="276" w:lineRule="auto"/>
      </w:pPr>
      <w:r w:rsidRPr="0098595C">
        <w:rPr>
          <w:rFonts w:eastAsia="Arial" w:cs="Arial"/>
          <w:b/>
          <w:lang w:val="es-ES_tradnl"/>
        </w:rPr>
        <w:t>SEGUNDO.</w:t>
      </w:r>
      <w:r w:rsidR="00AB49DE" w:rsidRPr="0098595C">
        <w:rPr>
          <w:rFonts w:eastAsia="Arial" w:cs="Arial"/>
          <w:b/>
          <w:lang w:val="es-ES_tradnl"/>
        </w:rPr>
        <w:t xml:space="preserve">- </w:t>
      </w:r>
      <w:proofErr w:type="spellStart"/>
      <w:r w:rsidR="006135A9" w:rsidRPr="0098595C">
        <w:rPr>
          <w:rFonts w:eastAsia="Arial" w:cs="Arial"/>
          <w:b/>
          <w:lang w:val="es-ES_tradnl"/>
        </w:rPr>
        <w:t>Replicabilidad</w:t>
      </w:r>
      <w:proofErr w:type="spellEnd"/>
      <w:r w:rsidR="006135A9" w:rsidRPr="0098595C">
        <w:rPr>
          <w:rFonts w:eastAsia="Arial" w:cs="Arial"/>
          <w:b/>
          <w:lang w:val="es-ES_tradnl"/>
        </w:rPr>
        <w:t xml:space="preserve"> Económica. </w:t>
      </w:r>
      <w:r w:rsidR="00A473B5" w:rsidRPr="0098595C">
        <w:rPr>
          <w:rFonts w:eastAsia="Arial" w:cs="Arial"/>
          <w:lang w:val="es-ES_tradnl"/>
        </w:rPr>
        <w:t xml:space="preserve">La Resolución Bienal ordenó la implementación de </w:t>
      </w:r>
      <w:r w:rsidR="001709C7" w:rsidRPr="0098595C">
        <w:rPr>
          <w:rFonts w:eastAsia="Arial" w:cs="Arial"/>
          <w:lang w:val="es-ES_tradnl"/>
        </w:rPr>
        <w:t xml:space="preserve">pruebas de </w:t>
      </w:r>
      <w:proofErr w:type="spellStart"/>
      <w:r w:rsidR="00A473B5" w:rsidRPr="0098595C">
        <w:rPr>
          <w:rFonts w:eastAsia="Arial" w:cs="Arial"/>
          <w:lang w:val="es-ES_tradnl"/>
        </w:rPr>
        <w:t>replicabilidad</w:t>
      </w:r>
      <w:proofErr w:type="spellEnd"/>
      <w:r w:rsidR="00A473B5" w:rsidRPr="0098595C">
        <w:rPr>
          <w:rFonts w:eastAsia="Arial" w:cs="Arial"/>
          <w:lang w:val="es-ES_tradnl"/>
        </w:rPr>
        <w:t xml:space="preserve"> econ</w:t>
      </w:r>
      <w:r w:rsidR="00C505B6" w:rsidRPr="0098595C">
        <w:rPr>
          <w:rFonts w:eastAsia="Arial" w:cs="Arial"/>
          <w:lang w:val="es-ES_tradnl"/>
        </w:rPr>
        <w:t>ómica, con el fin de evitar el estrechamiento de márgenes por parte del</w:t>
      </w:r>
      <w:r w:rsidR="001709C7" w:rsidRPr="0098595C">
        <w:rPr>
          <w:rFonts w:eastAsia="Arial" w:cs="Arial"/>
          <w:lang w:val="es-ES_tradnl"/>
        </w:rPr>
        <w:t xml:space="preserve"> Agente Económico Preponderante </w:t>
      </w:r>
      <w:r w:rsidR="001709C7" w:rsidRPr="0098595C">
        <w:t>(en lo sucesivo, “AEP”)</w:t>
      </w:r>
      <w:r w:rsidR="00A473B5" w:rsidRPr="0098595C">
        <w:t xml:space="preserve">. El </w:t>
      </w:r>
      <w:r w:rsidR="00DB303D" w:rsidRPr="0098595C">
        <w:t xml:space="preserve">estrechamiento de márgenes </w:t>
      </w:r>
      <w:r w:rsidR="00A473B5" w:rsidRPr="0098595C">
        <w:t>se produce cuando la diferencia entre el precio mi</w:t>
      </w:r>
      <w:r w:rsidR="00DB303D" w:rsidRPr="0098595C">
        <w:t>norista fijado por el operador verticalmente</w:t>
      </w:r>
      <w:r w:rsidR="00A473B5" w:rsidRPr="0098595C">
        <w:t xml:space="preserve"> </w:t>
      </w:r>
      <w:r w:rsidR="00DB303D" w:rsidRPr="0098595C">
        <w:t xml:space="preserve">integrado </w:t>
      </w:r>
      <w:r w:rsidR="00A473B5" w:rsidRPr="0098595C">
        <w:t xml:space="preserve">y el precio de los servicios mayoristas necesarios para competir en el servicio final no es suficiente para recuperar los costos de las actividades de red y minoristas (costos </w:t>
      </w:r>
      <w:r w:rsidR="00DB303D" w:rsidRPr="0098595C">
        <w:t xml:space="preserve">minoristas) necesarios para prestar </w:t>
      </w:r>
      <w:r w:rsidR="00A473B5" w:rsidRPr="0098595C">
        <w:t xml:space="preserve">dicho servicio. </w:t>
      </w:r>
      <w:r w:rsidR="00F46876" w:rsidRPr="0098595C">
        <w:t xml:space="preserve">Dicha práctica derivaría en daños a la competencia en el </w:t>
      </w:r>
      <w:r w:rsidR="00C71F2A" w:rsidRPr="0098595C">
        <w:t>mediano y largo plazo, pues</w:t>
      </w:r>
      <w:r w:rsidR="00F46876" w:rsidRPr="0098595C">
        <w:t xml:space="preserve"> los operadores al no poder competir con el AEP haciendo uso de sus insumos se verían obligados a salir del mercado o imposibilitados para atender ciertos segmentos de usuarios.</w:t>
      </w:r>
      <w:r w:rsidR="00C71F2A" w:rsidRPr="0098595C">
        <w:t xml:space="preserve"> </w:t>
      </w:r>
      <w:r w:rsidR="00EE570C">
        <w:t xml:space="preserve">La consecuencia de esta reducción en </w:t>
      </w:r>
      <w:r w:rsidR="00EE570C" w:rsidRPr="00D2452D">
        <w:t xml:space="preserve">la competencia </w:t>
      </w:r>
      <w:r w:rsidR="00EE570C">
        <w:t xml:space="preserve">sería un menor </w:t>
      </w:r>
      <w:r w:rsidR="00EE570C">
        <w:lastRenderedPageBreak/>
        <w:t xml:space="preserve">bienestar para </w:t>
      </w:r>
      <w:r w:rsidR="00EE570C" w:rsidRPr="00D2452D">
        <w:t xml:space="preserve">los consumidores </w:t>
      </w:r>
      <w:r w:rsidR="00EE570C">
        <w:t xml:space="preserve">pues podrían enfrentar </w:t>
      </w:r>
      <w:r w:rsidR="00EE570C" w:rsidRPr="00D2452D">
        <w:t>mayores precios</w:t>
      </w:r>
      <w:r w:rsidR="00EE570C">
        <w:t xml:space="preserve"> y menor abasto</w:t>
      </w:r>
      <w:r w:rsidR="00EE570C" w:rsidRPr="00D2452D">
        <w:t xml:space="preserve"> o calidad</w:t>
      </w:r>
      <w:r w:rsidR="00EE570C">
        <w:t xml:space="preserve">. La consecuencia de esta reducción en </w:t>
      </w:r>
      <w:r w:rsidR="00EE570C" w:rsidRPr="00D2452D">
        <w:t xml:space="preserve">la competencia </w:t>
      </w:r>
      <w:r w:rsidR="00EE570C">
        <w:t xml:space="preserve">sería un menor bienestar para </w:t>
      </w:r>
      <w:r w:rsidR="00EE570C" w:rsidRPr="00D2452D">
        <w:t xml:space="preserve">los consumidores </w:t>
      </w:r>
      <w:r w:rsidR="00EE570C">
        <w:t xml:space="preserve">pues podrían enfrentar </w:t>
      </w:r>
      <w:r w:rsidR="00EE570C" w:rsidRPr="00D2452D">
        <w:t>mayores precios</w:t>
      </w:r>
      <w:r w:rsidR="00EE570C">
        <w:t xml:space="preserve"> y menor abasto</w:t>
      </w:r>
      <w:r w:rsidR="00EE570C" w:rsidRPr="00D2452D">
        <w:t xml:space="preserve"> o calidad</w:t>
      </w:r>
      <w:r w:rsidR="00EE570C">
        <w:t>.</w:t>
      </w:r>
    </w:p>
    <w:p w14:paraId="51BB3B25" w14:textId="77777777" w:rsidR="006135A9" w:rsidRDefault="00F46876" w:rsidP="0098595C">
      <w:pPr>
        <w:spacing w:before="120" w:line="276" w:lineRule="auto"/>
        <w:rPr>
          <w:lang w:eastAsia="es-ES"/>
        </w:rPr>
      </w:pPr>
      <w:r w:rsidRPr="0098595C">
        <w:rPr>
          <w:rFonts w:eastAsia="Arial" w:cs="Arial"/>
        </w:rPr>
        <w:t>Para abordar dicha problemática</w:t>
      </w:r>
      <w:r w:rsidR="00C505B6" w:rsidRPr="0098595C">
        <w:rPr>
          <w:rFonts w:eastAsia="Arial" w:cs="Arial"/>
        </w:rPr>
        <w:t xml:space="preserve">, en las medidas </w:t>
      </w:r>
      <w:r w:rsidR="00C505B6" w:rsidRPr="0098595C">
        <w:rPr>
          <w:lang w:eastAsia="es-ES"/>
        </w:rPr>
        <w:t>Sexagésima Cuarta y Cuarta Transitoria del Anexo 1</w:t>
      </w:r>
      <w:r w:rsidR="00314CF0" w:rsidRPr="0098595C">
        <w:rPr>
          <w:lang w:eastAsia="es-ES"/>
        </w:rPr>
        <w:t xml:space="preserve"> de la Resolución Bienal</w:t>
      </w:r>
      <w:r w:rsidR="00C505B6" w:rsidRPr="0098595C">
        <w:rPr>
          <w:lang w:eastAsia="es-ES"/>
        </w:rPr>
        <w:t xml:space="preserve">, </w:t>
      </w:r>
      <w:r w:rsidR="00314CF0" w:rsidRPr="0098595C">
        <w:rPr>
          <w:lang w:eastAsia="es-ES"/>
        </w:rPr>
        <w:t xml:space="preserve">se estableció </w:t>
      </w:r>
      <w:r w:rsidR="00C505B6" w:rsidRPr="0098595C">
        <w:rPr>
          <w:lang w:eastAsia="es-ES"/>
        </w:rPr>
        <w:t>lo</w:t>
      </w:r>
      <w:r w:rsidR="00314CF0" w:rsidRPr="0098595C">
        <w:rPr>
          <w:lang w:eastAsia="es-ES"/>
        </w:rPr>
        <w:t xml:space="preserve"> </w:t>
      </w:r>
      <w:r w:rsidR="00C505B6" w:rsidRPr="0098595C">
        <w:rPr>
          <w:lang w:eastAsia="es-ES"/>
        </w:rPr>
        <w:t xml:space="preserve">siguiente: </w:t>
      </w:r>
    </w:p>
    <w:p w14:paraId="74C06AA7" w14:textId="77777777" w:rsidR="007C65E1" w:rsidRPr="0098595C" w:rsidRDefault="007C65E1" w:rsidP="0098595C">
      <w:pPr>
        <w:spacing w:before="120" w:line="276" w:lineRule="auto"/>
        <w:rPr>
          <w:lang w:eastAsia="es-ES"/>
        </w:rPr>
      </w:pPr>
    </w:p>
    <w:p w14:paraId="16D8D9AE" w14:textId="77777777" w:rsidR="00C505B6" w:rsidRPr="0098595C" w:rsidRDefault="00C505B6" w:rsidP="0098595C">
      <w:pPr>
        <w:pStyle w:val="7CitaTextual"/>
        <w:rPr>
          <w:lang w:eastAsia="es-ES"/>
        </w:rPr>
      </w:pPr>
      <w:r w:rsidRPr="0098595C">
        <w:rPr>
          <w:lang w:eastAsia="es-ES"/>
        </w:rPr>
        <w:t>“</w:t>
      </w:r>
      <w:r w:rsidRPr="0098595C">
        <w:rPr>
          <w:b/>
          <w:lang w:eastAsia="es-ES"/>
        </w:rPr>
        <w:t>SEXAGÉSIMA CUARTA</w:t>
      </w:r>
      <w:r w:rsidRPr="0098595C">
        <w:rPr>
          <w:lang w:eastAsia="es-ES"/>
        </w:rPr>
        <w:t xml:space="preserve">.- El Agente Económico Preponderante deberá presentar para la autorización del Instituto las tarifas que aplica a los servicios que presta al público, previo a su comercialización. </w:t>
      </w:r>
    </w:p>
    <w:p w14:paraId="18239685" w14:textId="77777777" w:rsidR="00C505B6" w:rsidRPr="0098595C" w:rsidRDefault="00C505B6" w:rsidP="0098595C">
      <w:pPr>
        <w:pStyle w:val="7CitaTextual"/>
        <w:rPr>
          <w:lang w:eastAsia="es-ES"/>
        </w:rPr>
      </w:pPr>
      <w:r w:rsidRPr="0098595C">
        <w:rPr>
          <w:lang w:eastAsia="es-ES"/>
        </w:rPr>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28522989" w14:textId="77777777" w:rsidR="00C505B6" w:rsidRPr="0098595C" w:rsidRDefault="00C505B6" w:rsidP="0098595C">
      <w:pPr>
        <w:pStyle w:val="7CitaTextual"/>
        <w:rPr>
          <w:rFonts w:eastAsia="Times New Roman" w:cs="Arial"/>
          <w:bCs/>
          <w:color w:val="000000"/>
          <w:lang w:val="es-ES_tradnl" w:eastAsia="es-ES"/>
        </w:rPr>
      </w:pPr>
      <w:r w:rsidRPr="0098595C">
        <w:rPr>
          <w:rFonts w:eastAsia="Times New Roman" w:cs="Arial"/>
          <w:bCs/>
          <w:color w:val="000000"/>
          <w:lang w:val="es-ES_tradnl" w:eastAsia="es-ES"/>
        </w:rPr>
        <w:t xml:space="preserve">A efecto de garantizar que las tarifas al público puedan ser replicables por los Operadores Móviles Virtuales, cuyo servicio esté activo al amparo de la Oferta de Referencia del Servicio Mayorista de Comercialización o Reventa de Servicios, dadas las tarifas de los servicios mayoristas regulados, el Instituto validará de manera ex post la </w:t>
      </w:r>
      <w:proofErr w:type="spellStart"/>
      <w:r w:rsidRPr="0098595C">
        <w:rPr>
          <w:rFonts w:eastAsia="Times New Roman" w:cs="Arial"/>
          <w:bCs/>
          <w:color w:val="000000"/>
          <w:lang w:val="es-ES_tradnl" w:eastAsia="es-ES"/>
        </w:rPr>
        <w:t>replicabilidad</w:t>
      </w:r>
      <w:proofErr w:type="spellEnd"/>
      <w:r w:rsidRPr="0098595C">
        <w:rPr>
          <w:rFonts w:eastAsia="Times New Roman" w:cs="Arial"/>
          <w:bCs/>
          <w:color w:val="000000"/>
          <w:lang w:val="es-ES_tradnl" w:eastAsia="es-ES"/>
        </w:rPr>
        <w:t xml:space="preserve"> económica de las mismas con base en la metodología, términos y condiciones que establezca el Instituto. En caso de que las tarifas al público no pasen la prueba de </w:t>
      </w:r>
      <w:proofErr w:type="spellStart"/>
      <w:r w:rsidRPr="0098595C">
        <w:rPr>
          <w:rFonts w:eastAsia="Times New Roman" w:cs="Arial"/>
          <w:bCs/>
          <w:color w:val="000000"/>
          <w:lang w:val="es-ES_tradnl" w:eastAsia="es-ES"/>
        </w:rPr>
        <w:t>replicabilidad</w:t>
      </w:r>
      <w:proofErr w:type="spellEnd"/>
      <w:r w:rsidRPr="0098595C">
        <w:rPr>
          <w:rFonts w:eastAsia="Times New Roman" w:cs="Arial"/>
          <w:bCs/>
          <w:color w:val="000000"/>
          <w:lang w:val="es-ES_tradnl" w:eastAsia="es-ES"/>
        </w:rPr>
        <w:t xml:space="preserve"> económica,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w:t>
      </w:r>
      <w:proofErr w:type="spellStart"/>
      <w:r w:rsidRPr="0098595C">
        <w:rPr>
          <w:rFonts w:eastAsia="Times New Roman" w:cs="Arial"/>
          <w:bCs/>
          <w:color w:val="000000"/>
          <w:lang w:val="es-ES_tradnl" w:eastAsia="es-ES"/>
        </w:rPr>
        <w:t>replicabilidad</w:t>
      </w:r>
      <w:proofErr w:type="spellEnd"/>
      <w:r w:rsidRPr="0098595C">
        <w:rPr>
          <w:rFonts w:eastAsia="Times New Roman" w:cs="Arial"/>
          <w:bCs/>
          <w:color w:val="000000"/>
          <w:lang w:val="es-ES_tradnl" w:eastAsia="es-ES"/>
        </w:rPr>
        <w:t>.</w:t>
      </w:r>
    </w:p>
    <w:p w14:paraId="73102F9A" w14:textId="77777777" w:rsidR="00C505B6" w:rsidRPr="0098595C" w:rsidRDefault="00C505B6" w:rsidP="0098595C">
      <w:pPr>
        <w:pStyle w:val="7CitaTextual"/>
        <w:rPr>
          <w:rFonts w:eastAsia="Times New Roman" w:cs="Arial"/>
          <w:bCs/>
          <w:color w:val="000000"/>
          <w:lang w:val="es-ES_tradnl" w:eastAsia="es-ES"/>
        </w:rPr>
      </w:pPr>
      <w:r w:rsidRPr="0098595C">
        <w:rPr>
          <w:rFonts w:eastAsia="Times New Roman" w:cs="Arial"/>
          <w:bCs/>
          <w:color w:val="000000"/>
          <w:lang w:val="es-ES_tradnl" w:eastAsia="es-ES"/>
        </w:rPr>
        <w:t>Durante dicho plazo el Instituto podrá ordenar al Agente Económico Preponderante suspender la comercialización de las tarifas al Usuario final que el Instituto determine.”</w:t>
      </w:r>
    </w:p>
    <w:p w14:paraId="4EFF280C" w14:textId="77777777" w:rsidR="00C505B6" w:rsidRPr="0098595C" w:rsidRDefault="00C505B6" w:rsidP="0098595C">
      <w:pPr>
        <w:pStyle w:val="7CitaTextual"/>
        <w:rPr>
          <w:lang w:eastAsia="es-ES"/>
        </w:rPr>
      </w:pPr>
      <w:r w:rsidRPr="0098595C">
        <w:rPr>
          <w:lang w:eastAsia="es-ES"/>
        </w:rPr>
        <w:t>“</w:t>
      </w:r>
      <w:r w:rsidRPr="0098595C">
        <w:rPr>
          <w:b/>
          <w:lang w:eastAsia="es-ES"/>
        </w:rPr>
        <w:t>CUARTA.-</w:t>
      </w:r>
      <w:r w:rsidRPr="0098595C">
        <w:rPr>
          <w:lang w:eastAsia="es-ES"/>
        </w:rPr>
        <w:t xml:space="preserve"> El Instituto publicará la metodología de </w:t>
      </w:r>
      <w:proofErr w:type="spellStart"/>
      <w:r w:rsidRPr="0098595C">
        <w:rPr>
          <w:lang w:eastAsia="es-ES"/>
        </w:rPr>
        <w:t>replicabilidad</w:t>
      </w:r>
      <w:proofErr w:type="spellEnd"/>
      <w:r w:rsidRPr="0098595C">
        <w:rPr>
          <w:lang w:eastAsia="es-ES"/>
        </w:rPr>
        <w:t xml:space="preserve"> económica, dentro de los 120 días hábiles posteriores a que surtan efectos las presentes modificaciones, supresiones y adiciones.</w:t>
      </w:r>
    </w:p>
    <w:p w14:paraId="2DB02D00" w14:textId="77777777" w:rsidR="00C505B6" w:rsidRDefault="00C505B6" w:rsidP="0098595C">
      <w:pPr>
        <w:pStyle w:val="7CitaTextual"/>
        <w:rPr>
          <w:lang w:eastAsia="es-ES"/>
        </w:rPr>
      </w:pPr>
      <w:r w:rsidRPr="0098595C">
        <w:rPr>
          <w:lang w:eastAsia="es-ES"/>
        </w:rPr>
        <w:t xml:space="preserve">Con base en dicha metodología, el Instituto aplicará la prueba de </w:t>
      </w:r>
      <w:proofErr w:type="spellStart"/>
      <w:r w:rsidRPr="0098595C">
        <w:rPr>
          <w:lang w:eastAsia="es-ES"/>
        </w:rPr>
        <w:t>replicabilidad</w:t>
      </w:r>
      <w:proofErr w:type="spellEnd"/>
      <w:r w:rsidRPr="0098595C">
        <w:rPr>
          <w:lang w:eastAsia="es-ES"/>
        </w:rPr>
        <w:t xml:space="preserve"> económica a las tarifas del Agente Económico Preponderante, con el fin de detectar si éstas son replicables por terceros. En caso de que no pase la prueba, el Agente Económico Preponderante deberá sujetarse a lo establecido en la medida Sexagésima Cuarta.”</w:t>
      </w:r>
    </w:p>
    <w:p w14:paraId="14C86FC6" w14:textId="77777777" w:rsidR="007C65E1" w:rsidRPr="0098595C" w:rsidRDefault="007C65E1" w:rsidP="0098595C">
      <w:pPr>
        <w:pStyle w:val="7CitaTextual"/>
        <w:rPr>
          <w:rFonts w:eastAsia="Arial" w:cs="Arial"/>
        </w:rPr>
      </w:pPr>
    </w:p>
    <w:p w14:paraId="5ABB2E44" w14:textId="77777777" w:rsidR="00C505B6" w:rsidRDefault="00C505B6" w:rsidP="0098595C">
      <w:pPr>
        <w:spacing w:before="120" w:line="276" w:lineRule="auto"/>
      </w:pPr>
      <w:r w:rsidRPr="0098595C">
        <w:rPr>
          <w:lang w:val="es-ES" w:eastAsia="es-ES"/>
        </w:rPr>
        <w:t xml:space="preserve">Asimismo, las medidas Sexagésima Séptima y Quinta Transitoria del Anexo 2 </w:t>
      </w:r>
      <w:r w:rsidR="00314CF0" w:rsidRPr="0098595C">
        <w:t>de la misma Resolución</w:t>
      </w:r>
      <w:r w:rsidRPr="0098595C">
        <w:t>, señalan lo siguiente:</w:t>
      </w:r>
    </w:p>
    <w:p w14:paraId="6874B001" w14:textId="77777777" w:rsidR="007C65E1" w:rsidRPr="0098595C" w:rsidRDefault="007C65E1" w:rsidP="0098595C">
      <w:pPr>
        <w:spacing w:before="120" w:line="276" w:lineRule="auto"/>
      </w:pPr>
    </w:p>
    <w:p w14:paraId="59EADBAA" w14:textId="77777777" w:rsidR="00C505B6" w:rsidRPr="0098595C" w:rsidRDefault="00C505B6" w:rsidP="0098595C">
      <w:pPr>
        <w:pStyle w:val="7CitaTextual"/>
        <w:rPr>
          <w:lang w:val="es-ES" w:eastAsia="es-ES"/>
        </w:rPr>
      </w:pPr>
      <w:r w:rsidRPr="0098595C">
        <w:rPr>
          <w:lang w:val="es-ES" w:eastAsia="es-ES"/>
        </w:rPr>
        <w:lastRenderedPageBreak/>
        <w:t>“</w:t>
      </w:r>
      <w:r w:rsidR="00CE0383" w:rsidRPr="0098595C">
        <w:rPr>
          <w:b/>
          <w:lang w:val="es-ES" w:eastAsia="es-ES"/>
        </w:rPr>
        <w:t>Sexagésima Séptima.-</w:t>
      </w:r>
      <w:r w:rsidR="00CE0383" w:rsidRPr="0098595C">
        <w:rPr>
          <w:lang w:val="es-ES" w:eastAsia="es-ES"/>
        </w:rPr>
        <w:t xml:space="preserve"> </w:t>
      </w:r>
      <w:r w:rsidRPr="0098595C">
        <w:rPr>
          <w:lang w:val="es-ES" w:eastAsia="es-ES"/>
        </w:rPr>
        <w:t>El Agente Económico Preponderante deberá presentar para la autorización del Instituto las tarifas que aplica a los servicios que presta al público, previo a su comercialización.</w:t>
      </w:r>
    </w:p>
    <w:p w14:paraId="21F9F75B" w14:textId="77777777" w:rsidR="00C505B6" w:rsidRPr="0098595C" w:rsidRDefault="00C505B6" w:rsidP="0098595C">
      <w:pPr>
        <w:pStyle w:val="7CitaTextual"/>
        <w:rPr>
          <w:lang w:val="es-ES" w:eastAsia="es-ES"/>
        </w:rPr>
      </w:pPr>
      <w:r w:rsidRPr="0098595C">
        <w:rPr>
          <w:lang w:val="es-ES" w:eastAsia="es-ES"/>
        </w:rPr>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0D93156F" w14:textId="77777777" w:rsidR="00C505B6" w:rsidRPr="0098595C" w:rsidRDefault="00C505B6" w:rsidP="0098595C">
      <w:pPr>
        <w:pStyle w:val="7CitaTextual"/>
        <w:rPr>
          <w:lang w:val="es-ES" w:eastAsia="es-ES"/>
        </w:rPr>
      </w:pPr>
      <w:r w:rsidRPr="0098595C">
        <w:rPr>
          <w:lang w:val="es-ES" w:eastAsia="es-ES"/>
        </w:rPr>
        <w:t xml:space="preserve">A efecto de garantizar que las tarifas al público puedan ser replicables, dadas las tarifas de los servicios mayoristas regulados, las tarifas minoristas del Agente Económico Preponderante estarán sujetas a una prueba de </w:t>
      </w:r>
      <w:proofErr w:type="spellStart"/>
      <w:r w:rsidRPr="0098595C">
        <w:rPr>
          <w:lang w:val="es-ES" w:eastAsia="es-ES"/>
        </w:rPr>
        <w:t>replicabilidad</w:t>
      </w:r>
      <w:proofErr w:type="spellEnd"/>
      <w:r w:rsidRPr="0098595C">
        <w:rPr>
          <w:lang w:val="es-ES" w:eastAsia="es-ES"/>
        </w:rPr>
        <w:t xml:space="preserve"> económica. Para tal efecto, el Instituto podrá validar la </w:t>
      </w:r>
      <w:proofErr w:type="spellStart"/>
      <w:r w:rsidRPr="0098595C">
        <w:rPr>
          <w:lang w:val="es-ES" w:eastAsia="es-ES"/>
        </w:rPr>
        <w:t>replicabilidad</w:t>
      </w:r>
      <w:proofErr w:type="spellEnd"/>
      <w:r w:rsidRPr="0098595C">
        <w:rPr>
          <w:lang w:val="es-ES" w:eastAsia="es-ES"/>
        </w:rPr>
        <w:t xml:space="preserve"> de las tarifas de manera ex ante o ex post a la comercialización de los servicios asociados a las mismas, con base en la metodología, términos y condiciones que establezca el Instituto.</w:t>
      </w:r>
    </w:p>
    <w:p w14:paraId="5EA9FFB7" w14:textId="77777777" w:rsidR="00C505B6" w:rsidRPr="0098595C" w:rsidRDefault="00C505B6" w:rsidP="0098595C">
      <w:pPr>
        <w:pStyle w:val="7CitaTextual"/>
        <w:rPr>
          <w:lang w:val="es-ES" w:eastAsia="es-ES"/>
        </w:rPr>
      </w:pPr>
      <w:r w:rsidRPr="0098595C">
        <w:rPr>
          <w:lang w:val="es-ES" w:eastAsia="es-ES"/>
        </w:rPr>
        <w:t xml:space="preserve">En el caso de que las tarifas al público no pasen la prueba de </w:t>
      </w:r>
      <w:proofErr w:type="spellStart"/>
      <w:r w:rsidRPr="0098595C">
        <w:rPr>
          <w:lang w:val="es-ES" w:eastAsia="es-ES"/>
        </w:rPr>
        <w:t>replicabilidad</w:t>
      </w:r>
      <w:proofErr w:type="spellEnd"/>
      <w:r w:rsidRPr="0098595C">
        <w:rPr>
          <w:lang w:val="es-ES" w:eastAsia="es-ES"/>
        </w:rPr>
        <w:t xml:space="preserve"> económica aplicada de manera ex ante, el Agente Económico Preponderante no podrá comercializar los servicios asociados a ellas.</w:t>
      </w:r>
    </w:p>
    <w:p w14:paraId="3AC3F8C1" w14:textId="77777777" w:rsidR="00C505B6" w:rsidRPr="0098595C" w:rsidRDefault="00C505B6" w:rsidP="0098595C">
      <w:pPr>
        <w:pStyle w:val="7CitaTextual"/>
        <w:rPr>
          <w:lang w:eastAsia="es-ES"/>
        </w:rPr>
      </w:pPr>
      <w:r w:rsidRPr="0098595C">
        <w:rPr>
          <w:lang w:val="es-ES" w:eastAsia="es-ES"/>
        </w:rPr>
        <w:t xml:space="preserve">En el caso de que las tarifas al público no pasen la prueba de </w:t>
      </w:r>
      <w:proofErr w:type="spellStart"/>
      <w:r w:rsidRPr="0098595C">
        <w:rPr>
          <w:lang w:val="es-ES" w:eastAsia="es-ES"/>
        </w:rPr>
        <w:t>replicabilidad</w:t>
      </w:r>
      <w:proofErr w:type="spellEnd"/>
      <w:r w:rsidRPr="0098595C">
        <w:rPr>
          <w:lang w:val="es-ES" w:eastAsia="es-ES"/>
        </w:rPr>
        <w:t xml:space="preserve"> económica aplicada de manera ex post,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w:t>
      </w:r>
      <w:proofErr w:type="spellStart"/>
      <w:r w:rsidRPr="0098595C">
        <w:rPr>
          <w:lang w:val="es-ES" w:eastAsia="es-ES"/>
        </w:rPr>
        <w:t>replicabilidad</w:t>
      </w:r>
      <w:proofErr w:type="spellEnd"/>
      <w:r w:rsidRPr="0098595C">
        <w:rPr>
          <w:lang w:val="es-ES" w:eastAsia="es-ES"/>
        </w:rPr>
        <w:t>. Durante dicho plazo el Instituto podrá ordenar al Agente Económico Preponderante suspender la comercialización de las tarifas al Usuario final que el Instituto determine.</w:t>
      </w:r>
      <w:r w:rsidRPr="0098595C">
        <w:rPr>
          <w:lang w:eastAsia="es-ES"/>
        </w:rPr>
        <w:t>”</w:t>
      </w:r>
    </w:p>
    <w:p w14:paraId="0B2AE5D3" w14:textId="77777777" w:rsidR="00CE0383" w:rsidRPr="0098595C" w:rsidRDefault="00CE0383" w:rsidP="0098595C">
      <w:pPr>
        <w:pStyle w:val="7CitaTextual"/>
        <w:rPr>
          <w:lang w:val="es-ES" w:eastAsia="es-ES"/>
        </w:rPr>
      </w:pPr>
      <w:r w:rsidRPr="0098595C">
        <w:rPr>
          <w:lang w:val="es-ES" w:eastAsia="es-ES"/>
        </w:rPr>
        <w:t>“</w:t>
      </w:r>
      <w:r w:rsidRPr="0098595C">
        <w:rPr>
          <w:b/>
          <w:lang w:val="es-ES" w:eastAsia="es-ES"/>
        </w:rPr>
        <w:t xml:space="preserve">QUINTA.- </w:t>
      </w:r>
      <w:r w:rsidRPr="0098595C">
        <w:rPr>
          <w:lang w:val="es-ES" w:eastAsia="es-ES"/>
        </w:rPr>
        <w:t xml:space="preserve">El Instituto publicará la metodología de </w:t>
      </w:r>
      <w:proofErr w:type="spellStart"/>
      <w:r w:rsidRPr="0098595C">
        <w:rPr>
          <w:lang w:val="es-ES" w:eastAsia="es-ES"/>
        </w:rPr>
        <w:t>replicabilidad</w:t>
      </w:r>
      <w:proofErr w:type="spellEnd"/>
      <w:r w:rsidRPr="0098595C">
        <w:rPr>
          <w:lang w:val="es-ES" w:eastAsia="es-ES"/>
        </w:rPr>
        <w:t xml:space="preserve"> económica, dentro de los 120 días hábiles posteriores a que surtan efectos las presentes modificaciones, supresiones y adiciones.</w:t>
      </w:r>
    </w:p>
    <w:p w14:paraId="07BF7DBD" w14:textId="77777777" w:rsidR="00CE0383" w:rsidRDefault="00CE0383" w:rsidP="0098595C">
      <w:pPr>
        <w:pStyle w:val="7CitaTextual"/>
        <w:rPr>
          <w:lang w:val="es-ES" w:eastAsia="es-ES"/>
        </w:rPr>
      </w:pPr>
      <w:r w:rsidRPr="0098595C">
        <w:rPr>
          <w:lang w:val="es-ES" w:eastAsia="es-ES"/>
        </w:rPr>
        <w:t xml:space="preserve">Con base en dicha metodología, el Instituto aplicará la prueba de </w:t>
      </w:r>
      <w:proofErr w:type="spellStart"/>
      <w:r w:rsidRPr="0098595C">
        <w:rPr>
          <w:lang w:val="es-ES" w:eastAsia="es-ES"/>
        </w:rPr>
        <w:t>replicabilidad</w:t>
      </w:r>
      <w:proofErr w:type="spellEnd"/>
      <w:r w:rsidRPr="0098595C">
        <w:rPr>
          <w:lang w:val="es-ES" w:eastAsia="es-ES"/>
        </w:rPr>
        <w:t xml:space="preserve"> económica a las tarifas del Agente Económico Preponderante, con el fin de detectar si éstas son replicables por terceros. En caso de que no pasen la prueba, el Agente Económico Preponderante deberá sujetarse a lo establecido en la medida Sexagésima Séptima.”</w:t>
      </w:r>
    </w:p>
    <w:p w14:paraId="5F911597" w14:textId="77777777" w:rsidR="007C65E1" w:rsidRPr="0098595C" w:rsidRDefault="007C65E1" w:rsidP="0098595C">
      <w:pPr>
        <w:pStyle w:val="7CitaTextual"/>
        <w:rPr>
          <w:lang w:val="es-ES" w:eastAsia="es-ES"/>
        </w:rPr>
      </w:pPr>
    </w:p>
    <w:p w14:paraId="584763F8" w14:textId="77777777" w:rsidR="00A021AA" w:rsidRDefault="00A021AA" w:rsidP="0098595C">
      <w:pPr>
        <w:spacing w:before="120" w:line="276" w:lineRule="auto"/>
      </w:pPr>
      <w:r w:rsidRPr="0098595C">
        <w:rPr>
          <w:lang w:val="es-ES" w:eastAsia="es-ES"/>
        </w:rPr>
        <w:t xml:space="preserve">De igual forma, las medidas </w:t>
      </w:r>
      <w:r w:rsidRPr="0098595C">
        <w:rPr>
          <w:lang w:eastAsia="es-ES"/>
        </w:rPr>
        <w:t>Cuadragésima Novena</w:t>
      </w:r>
      <w:r w:rsidRPr="0098595C">
        <w:t xml:space="preserve"> y Quinta Transitoria del Anexo 3 de la misma Resolución, señalan lo siguiente:</w:t>
      </w:r>
    </w:p>
    <w:p w14:paraId="5BF62C07" w14:textId="77777777" w:rsidR="007C65E1" w:rsidRPr="0098595C" w:rsidRDefault="007C65E1" w:rsidP="0098595C">
      <w:pPr>
        <w:spacing w:before="120" w:line="276" w:lineRule="auto"/>
      </w:pPr>
    </w:p>
    <w:p w14:paraId="45D316A8" w14:textId="77777777" w:rsidR="00CE0383" w:rsidRDefault="00CE0383" w:rsidP="0098595C">
      <w:pPr>
        <w:pStyle w:val="7CitaTextual"/>
      </w:pPr>
      <w:r w:rsidRPr="0098595C">
        <w:rPr>
          <w:b/>
        </w:rPr>
        <w:t>“CUADRAGÉSIMA NOVENA.-</w:t>
      </w:r>
      <w:r w:rsidRPr="0098595C">
        <w:t xml:space="preserve"> El Agente Económico Preponderante deberá presentar para la autorización del Instituto las tarifas que aplica a los servicios que presta al público, previamente a su comercialización.</w:t>
      </w:r>
    </w:p>
    <w:p w14:paraId="0E03F125" w14:textId="77777777" w:rsidR="007C65E1" w:rsidRPr="0098595C" w:rsidRDefault="007C65E1" w:rsidP="0098595C">
      <w:pPr>
        <w:pStyle w:val="7CitaTextual"/>
      </w:pPr>
    </w:p>
    <w:p w14:paraId="4E1904A5" w14:textId="77777777" w:rsidR="00CE0383" w:rsidRPr="0098595C" w:rsidRDefault="00CE0383" w:rsidP="0098595C">
      <w:pPr>
        <w:pStyle w:val="7CitaTextual"/>
      </w:pPr>
      <w:r w:rsidRPr="0098595C">
        <w:lastRenderedPageBreak/>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14:paraId="30D41113" w14:textId="77777777" w:rsidR="00CE0383" w:rsidRPr="0098595C" w:rsidRDefault="00CE0383" w:rsidP="0098595C">
      <w:pPr>
        <w:pStyle w:val="7CitaTextual"/>
      </w:pPr>
      <w:r w:rsidRPr="0098595C">
        <w:t xml:space="preserve">A efecto de garantizar que las tarifas al público puedan ser replicables, dadas las tarifas de los servicios mayoristas regulados, las tarifas minoristas del Agente Económico Preponderante estarán sujetas a una prueba de </w:t>
      </w:r>
      <w:proofErr w:type="spellStart"/>
      <w:r w:rsidRPr="0098595C">
        <w:t>replicabilidad</w:t>
      </w:r>
      <w:proofErr w:type="spellEnd"/>
      <w:r w:rsidRPr="0098595C">
        <w:t xml:space="preserve"> económica. Para tal efecto, el Instituto podrá validar la </w:t>
      </w:r>
      <w:proofErr w:type="spellStart"/>
      <w:r w:rsidRPr="0098595C">
        <w:t>replicabilidad</w:t>
      </w:r>
      <w:proofErr w:type="spellEnd"/>
      <w:r w:rsidRPr="0098595C">
        <w:t xml:space="preserve"> de las tarifas de manera ex ante o ex post a la comercialización de los servicios asociados a las mismas, con base en la metodología, términos y condiciones que establezca el Instituto.</w:t>
      </w:r>
    </w:p>
    <w:p w14:paraId="529FC54A" w14:textId="77777777" w:rsidR="00CE0383" w:rsidRPr="0098595C" w:rsidRDefault="00CE0383" w:rsidP="0098595C">
      <w:pPr>
        <w:pStyle w:val="7CitaTextual"/>
      </w:pPr>
      <w:r w:rsidRPr="0098595C">
        <w:t xml:space="preserve">En el caso de que las tarifas al público no pasen la prueba de </w:t>
      </w:r>
      <w:proofErr w:type="spellStart"/>
      <w:r w:rsidRPr="0098595C">
        <w:t>replicabilidad</w:t>
      </w:r>
      <w:proofErr w:type="spellEnd"/>
      <w:r w:rsidRPr="0098595C">
        <w:t xml:space="preserve"> económica aplicada de manera ex ante, el Agente Económico Preponderante no podrá comercializar los servicios asociados a ellas. </w:t>
      </w:r>
    </w:p>
    <w:p w14:paraId="56609B59" w14:textId="77777777" w:rsidR="00CE0383" w:rsidRPr="0098595C" w:rsidRDefault="00CE0383" w:rsidP="0098595C">
      <w:pPr>
        <w:pStyle w:val="7CitaTextual"/>
      </w:pPr>
      <w:r w:rsidRPr="0098595C">
        <w:t xml:space="preserve">En el caso de que las tarifas al público no pasen la prueba de </w:t>
      </w:r>
      <w:proofErr w:type="spellStart"/>
      <w:r w:rsidRPr="0098595C">
        <w:t>replicabilidad</w:t>
      </w:r>
      <w:proofErr w:type="spellEnd"/>
      <w:r w:rsidRPr="0098595C">
        <w:t xml:space="preserve"> económica aplicada de manera ex post,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w:t>
      </w:r>
      <w:proofErr w:type="spellStart"/>
      <w:r w:rsidRPr="0098595C">
        <w:t>replicabilidad</w:t>
      </w:r>
      <w:proofErr w:type="spellEnd"/>
      <w:r w:rsidRPr="0098595C">
        <w:t>. Durante dicho plazo el Instituto podrá ordenar al Agente Económico Preponderante suspender la comercialización de las tarifas al usuario final que el Instituto determine.”</w:t>
      </w:r>
    </w:p>
    <w:p w14:paraId="53347BA6" w14:textId="77777777" w:rsidR="00AB49DE" w:rsidRPr="0098595C" w:rsidRDefault="00CE0383" w:rsidP="0098595C">
      <w:pPr>
        <w:pStyle w:val="7CitaTextual"/>
        <w:rPr>
          <w:lang w:val="es-ES" w:eastAsia="es-ES"/>
        </w:rPr>
      </w:pPr>
      <w:r w:rsidRPr="0098595C">
        <w:rPr>
          <w:lang w:val="es-ES" w:eastAsia="es-ES"/>
        </w:rPr>
        <w:t xml:space="preserve"> </w:t>
      </w:r>
      <w:r w:rsidR="00AB49DE" w:rsidRPr="0098595C">
        <w:rPr>
          <w:lang w:val="es-ES" w:eastAsia="es-ES"/>
        </w:rPr>
        <w:t>“</w:t>
      </w:r>
      <w:r w:rsidR="00AB49DE" w:rsidRPr="0098595C">
        <w:rPr>
          <w:b/>
          <w:lang w:val="es-ES" w:eastAsia="es-ES"/>
        </w:rPr>
        <w:t>QUINTA.-</w:t>
      </w:r>
      <w:r w:rsidR="00AB49DE" w:rsidRPr="0098595C">
        <w:rPr>
          <w:lang w:val="es-ES" w:eastAsia="es-ES"/>
        </w:rPr>
        <w:t xml:space="preserve"> El Instituto publicará la metodología de </w:t>
      </w:r>
      <w:proofErr w:type="spellStart"/>
      <w:r w:rsidR="00AB49DE" w:rsidRPr="0098595C">
        <w:rPr>
          <w:lang w:val="es-ES" w:eastAsia="es-ES"/>
        </w:rPr>
        <w:t>replicabilidad</w:t>
      </w:r>
      <w:proofErr w:type="spellEnd"/>
      <w:r w:rsidR="00AB49DE" w:rsidRPr="0098595C">
        <w:rPr>
          <w:lang w:val="es-ES" w:eastAsia="es-ES"/>
        </w:rPr>
        <w:t xml:space="preserve"> económica en un plazo máximo de 120 días hábiles posteriores a que surtan sus efectos las presentes modificaciones, supresiones y adiciones.</w:t>
      </w:r>
    </w:p>
    <w:p w14:paraId="476408BF" w14:textId="3ECB4714" w:rsidR="0098595C" w:rsidRDefault="00AB49DE" w:rsidP="0098595C">
      <w:pPr>
        <w:pStyle w:val="7CitaTextual"/>
        <w:rPr>
          <w:lang w:val="es-ES" w:eastAsia="es-ES"/>
        </w:rPr>
      </w:pPr>
      <w:r w:rsidRPr="0098595C">
        <w:rPr>
          <w:lang w:val="es-ES" w:eastAsia="es-ES"/>
        </w:rPr>
        <w:t xml:space="preserve">Con base en dicha metodología, el Instituto aplicará la prueba de </w:t>
      </w:r>
      <w:proofErr w:type="spellStart"/>
      <w:r w:rsidRPr="0098595C">
        <w:rPr>
          <w:lang w:val="es-ES" w:eastAsia="es-ES"/>
        </w:rPr>
        <w:t>replicabilidad</w:t>
      </w:r>
      <w:proofErr w:type="spellEnd"/>
      <w:r w:rsidRPr="0098595C">
        <w:rPr>
          <w:lang w:val="es-ES" w:eastAsia="es-ES"/>
        </w:rPr>
        <w:t xml:space="preserve"> económica a las tarifas del Agente Económico Preponderante, con el fin de detectar si éstas son replicables por terceros. En caso de que no pasen la prueba, el Agente Económico Preponderante deberá sujetarse a lo establecido en la medida Cuadragésima Novena.”</w:t>
      </w:r>
    </w:p>
    <w:p w14:paraId="4846E1CC" w14:textId="77777777" w:rsidR="007C65E1" w:rsidRPr="0098595C" w:rsidRDefault="007C65E1" w:rsidP="0098595C">
      <w:pPr>
        <w:pStyle w:val="7CitaTextual"/>
        <w:rPr>
          <w:lang w:val="es-ES" w:eastAsia="es-ES"/>
        </w:rPr>
      </w:pPr>
    </w:p>
    <w:p w14:paraId="6AD6718F" w14:textId="731A04A2" w:rsidR="00960F28" w:rsidRDefault="00AB49DE" w:rsidP="0098595C">
      <w:pPr>
        <w:spacing w:line="276" w:lineRule="auto"/>
      </w:pPr>
      <w:r w:rsidRPr="0098595C">
        <w:rPr>
          <w:rFonts w:eastAsia="Arial" w:cs="Arial"/>
          <w:b/>
          <w:lang w:val="es-ES_tradnl"/>
        </w:rPr>
        <w:t>TERCERO.-</w:t>
      </w:r>
      <w:r w:rsidR="00A02D1C" w:rsidRPr="0098595C">
        <w:rPr>
          <w:rFonts w:eastAsia="Arial" w:cs="Arial"/>
          <w:b/>
          <w:lang w:val="es-ES_tradnl"/>
        </w:rPr>
        <w:t xml:space="preserve"> </w:t>
      </w:r>
      <w:r w:rsidRPr="0098595C">
        <w:rPr>
          <w:rFonts w:eastAsia="Arial" w:cs="Arial"/>
          <w:b/>
          <w:lang w:val="es-ES_tradnl"/>
        </w:rPr>
        <w:t xml:space="preserve">De la metodología de </w:t>
      </w:r>
      <w:proofErr w:type="spellStart"/>
      <w:r w:rsidRPr="0098595C">
        <w:rPr>
          <w:rFonts w:eastAsia="Arial" w:cs="Arial"/>
          <w:b/>
          <w:lang w:val="es-ES_tradnl"/>
        </w:rPr>
        <w:t>replicabilidad</w:t>
      </w:r>
      <w:proofErr w:type="spellEnd"/>
      <w:r w:rsidRPr="0098595C">
        <w:rPr>
          <w:rFonts w:eastAsia="Arial" w:cs="Arial"/>
          <w:b/>
          <w:lang w:val="es-ES_tradnl"/>
        </w:rPr>
        <w:t xml:space="preserve"> económica. </w:t>
      </w:r>
      <w:r w:rsidR="00CE0383" w:rsidRPr="0098595C">
        <w:rPr>
          <w:rFonts w:eastAsia="Arial" w:cs="Arial"/>
          <w:lang w:val="es-ES_tradnl"/>
        </w:rPr>
        <w:t>Teniendo en consideración los efectos negativos a la competencia que podrían surgir como resultado del estrechamiento de márgenes y a</w:t>
      </w:r>
      <w:r w:rsidR="00A021AA" w:rsidRPr="0098595C">
        <w:rPr>
          <w:rFonts w:eastAsia="Arial" w:cs="Arial"/>
          <w:lang w:val="es-ES_tradnl"/>
        </w:rPr>
        <w:t xml:space="preserve"> e</w:t>
      </w:r>
      <w:r w:rsidR="00CE0383" w:rsidRPr="0098595C">
        <w:rPr>
          <w:rFonts w:eastAsia="Arial" w:cs="Arial"/>
          <w:lang w:val="es-ES_tradnl"/>
        </w:rPr>
        <w:t>fecto de dar cumplimiento a lo establecido en la Resolución Bienal</w:t>
      </w:r>
      <w:r w:rsidR="00960F28" w:rsidRPr="0098595C">
        <w:rPr>
          <w:rFonts w:eastAsia="Arial" w:cs="Arial"/>
          <w:lang w:val="es-ES_tradnl"/>
        </w:rPr>
        <w:t>,</w:t>
      </w:r>
      <w:r w:rsidR="00CE0383" w:rsidRPr="0098595C">
        <w:rPr>
          <w:rFonts w:eastAsia="Arial" w:cs="Arial"/>
          <w:lang w:val="es-ES_tradnl"/>
        </w:rPr>
        <w:t xml:space="preserve"> </w:t>
      </w:r>
      <w:r w:rsidR="00960F28" w:rsidRPr="0098595C">
        <w:rPr>
          <w:rFonts w:eastAsia="Arial" w:cs="Arial"/>
          <w:lang w:val="es-ES_tradnl"/>
        </w:rPr>
        <w:t>el Instituto está desarrollando la</w:t>
      </w:r>
      <w:r w:rsidR="003A33A0">
        <w:rPr>
          <w:rFonts w:eastAsia="Arial" w:cs="Arial"/>
          <w:lang w:val="es-ES_tradnl"/>
        </w:rPr>
        <w:t xml:space="preserve"> metodología</w:t>
      </w:r>
      <w:r w:rsidR="00CE0383" w:rsidRPr="0098595C">
        <w:rPr>
          <w:rFonts w:eastAsia="Arial" w:cs="Arial"/>
          <w:lang w:val="es-ES_tradnl"/>
        </w:rPr>
        <w:t xml:space="preserve"> de </w:t>
      </w:r>
      <w:proofErr w:type="spellStart"/>
      <w:r w:rsidR="00CE0383" w:rsidRPr="0098595C">
        <w:rPr>
          <w:rFonts w:eastAsia="Arial" w:cs="Arial"/>
          <w:lang w:val="es-ES_tradnl"/>
        </w:rPr>
        <w:t>replicabilidad</w:t>
      </w:r>
      <w:proofErr w:type="spellEnd"/>
      <w:r w:rsidR="00CE0383" w:rsidRPr="0098595C">
        <w:rPr>
          <w:rFonts w:eastAsia="Arial" w:cs="Arial"/>
          <w:lang w:val="es-ES_tradnl"/>
        </w:rPr>
        <w:t xml:space="preserve"> económica </w:t>
      </w:r>
      <w:r w:rsidR="003A33A0">
        <w:rPr>
          <w:rFonts w:eastAsia="Arial" w:cs="Arial"/>
          <w:lang w:val="es-ES_tradnl"/>
        </w:rPr>
        <w:t xml:space="preserve">que ha de implementarse </w:t>
      </w:r>
      <w:r w:rsidR="00CE0383" w:rsidRPr="0098595C">
        <w:rPr>
          <w:rFonts w:eastAsia="Arial" w:cs="Arial"/>
          <w:lang w:val="es-ES_tradnl"/>
        </w:rPr>
        <w:t xml:space="preserve">para los servicios </w:t>
      </w:r>
      <w:r w:rsidR="00A021AA" w:rsidRPr="0098595C">
        <w:rPr>
          <w:rFonts w:eastAsia="Arial" w:cs="Arial"/>
          <w:lang w:val="es-ES_tradnl"/>
        </w:rPr>
        <w:t>de telecomunicaciones que ofrece el AEP</w:t>
      </w:r>
      <w:r w:rsidR="00CE0383" w:rsidRPr="0098595C">
        <w:rPr>
          <w:rFonts w:eastAsia="Arial" w:cs="Arial"/>
          <w:lang w:val="es-ES_tradnl"/>
        </w:rPr>
        <w:t>.</w:t>
      </w:r>
      <w:r w:rsidR="00491390" w:rsidRPr="0098595C">
        <w:t xml:space="preserve"> </w:t>
      </w:r>
      <w:r w:rsidR="00A021AA" w:rsidRPr="0098595C">
        <w:t>En ese sentido,</w:t>
      </w:r>
      <w:r w:rsidR="00D56977" w:rsidRPr="0098595C">
        <w:t xml:space="preserve"> lo</w:t>
      </w:r>
      <w:r w:rsidR="00960F28" w:rsidRPr="0098595C">
        <w:t xml:space="preserve">s </w:t>
      </w:r>
      <w:r w:rsidR="00D56977" w:rsidRPr="0098595C">
        <w:t>criterios clave que se toman en consideración para diseñar las pruebas</w:t>
      </w:r>
      <w:r w:rsidR="003A33A0">
        <w:t xml:space="preserve"> de </w:t>
      </w:r>
      <w:proofErr w:type="spellStart"/>
      <w:r w:rsidR="003A33A0">
        <w:t>replicabilidad</w:t>
      </w:r>
      <w:proofErr w:type="spellEnd"/>
      <w:r w:rsidR="003A33A0">
        <w:t xml:space="preserve"> económica por servicio</w:t>
      </w:r>
      <w:r w:rsidR="00D56977" w:rsidRPr="0098595C">
        <w:t xml:space="preserve"> son</w:t>
      </w:r>
      <w:r w:rsidR="00960F28" w:rsidRPr="0098595C">
        <w:t xml:space="preserve"> </w:t>
      </w:r>
      <w:r w:rsidR="00A021AA" w:rsidRPr="0098595C">
        <w:t>los siguientes:</w:t>
      </w:r>
    </w:p>
    <w:p w14:paraId="4248682F" w14:textId="77777777" w:rsidR="007C65E1" w:rsidRDefault="007C65E1" w:rsidP="0098595C">
      <w:pPr>
        <w:spacing w:line="276" w:lineRule="auto"/>
      </w:pPr>
    </w:p>
    <w:p w14:paraId="6ED1A93D" w14:textId="77777777" w:rsidR="007C65E1" w:rsidRDefault="007C65E1" w:rsidP="0098595C">
      <w:pPr>
        <w:spacing w:line="276" w:lineRule="auto"/>
      </w:pPr>
    </w:p>
    <w:p w14:paraId="7C568503" w14:textId="77777777" w:rsidR="007C65E1" w:rsidRPr="0098595C" w:rsidRDefault="007C65E1" w:rsidP="0098595C">
      <w:pPr>
        <w:spacing w:line="276" w:lineRule="auto"/>
      </w:pPr>
    </w:p>
    <w:p w14:paraId="3FCF5DEE" w14:textId="3012ABD0" w:rsidR="00960F28" w:rsidRPr="0098595C" w:rsidRDefault="00960F28" w:rsidP="0098595C">
      <w:pPr>
        <w:pStyle w:val="ParaBullet1"/>
        <w:spacing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Salvaguarda de la competencia</w:t>
      </w:r>
      <w:r w:rsidRPr="0098595C">
        <w:rPr>
          <w:rFonts w:ascii="ITC Avant Garde" w:eastAsiaTheme="minorEastAsia" w:hAnsi="ITC Avant Garde" w:cstheme="minorBidi"/>
          <w:color w:val="auto"/>
          <w:lang w:val="es-MX"/>
        </w:rPr>
        <w:t xml:space="preserve">, para </w:t>
      </w:r>
      <w:r w:rsidR="003E678C" w:rsidRPr="0098595C">
        <w:rPr>
          <w:rFonts w:ascii="ITC Avant Garde" w:eastAsiaTheme="minorEastAsia" w:hAnsi="ITC Avant Garde" w:cstheme="minorBidi"/>
          <w:color w:val="auto"/>
          <w:lang w:val="es-MX"/>
        </w:rPr>
        <w:t xml:space="preserve">prevenir </w:t>
      </w:r>
      <w:r w:rsidRPr="0098595C">
        <w:rPr>
          <w:rFonts w:ascii="ITC Avant Garde" w:eastAsiaTheme="minorEastAsia" w:hAnsi="ITC Avant Garde" w:cstheme="minorBidi"/>
          <w:color w:val="auto"/>
          <w:lang w:val="es-MX"/>
        </w:rPr>
        <w:t>comportamientos anticompetitivos</w:t>
      </w:r>
      <w:r w:rsidR="00EE570C">
        <w:rPr>
          <w:rFonts w:ascii="ITC Avant Garde" w:eastAsiaTheme="minorEastAsia" w:hAnsi="ITC Avant Garde" w:cstheme="minorBidi"/>
          <w:color w:val="auto"/>
          <w:lang w:val="es-MX"/>
        </w:rPr>
        <w:t xml:space="preserve"> en la forma de estrechamiento de márgenes</w:t>
      </w:r>
      <w:r w:rsidRPr="0098595C">
        <w:rPr>
          <w:rFonts w:ascii="ITC Avant Garde" w:eastAsiaTheme="minorEastAsia" w:hAnsi="ITC Avant Garde" w:cstheme="minorBidi"/>
          <w:color w:val="auto"/>
          <w:lang w:val="es-MX"/>
        </w:rPr>
        <w:t xml:space="preserve"> por parte del operador verticalmente integrado, lo cual redunda en un beneficio para </w:t>
      </w:r>
      <w:r w:rsidR="00EE570C">
        <w:rPr>
          <w:rFonts w:ascii="ITC Avant Garde" w:eastAsiaTheme="minorEastAsia" w:hAnsi="ITC Avant Garde" w:cstheme="minorBidi"/>
          <w:color w:val="auto"/>
          <w:lang w:val="es-MX"/>
        </w:rPr>
        <w:t>el proceso de</w:t>
      </w:r>
      <w:r w:rsidRPr="0098595C">
        <w:rPr>
          <w:rFonts w:ascii="ITC Avant Garde" w:eastAsiaTheme="minorEastAsia" w:hAnsi="ITC Avant Garde" w:cstheme="minorBidi"/>
          <w:color w:val="auto"/>
          <w:lang w:val="es-MX"/>
        </w:rPr>
        <w:t xml:space="preserve"> competencia y el consumidor.</w:t>
      </w:r>
    </w:p>
    <w:p w14:paraId="11534B5B" w14:textId="7E254148" w:rsidR="00EE773C" w:rsidRPr="0098595C" w:rsidRDefault="00A021AA" w:rsidP="0098595C">
      <w:pPr>
        <w:pStyle w:val="ParaBullet1"/>
        <w:spacing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T</w:t>
      </w:r>
      <w:r w:rsidR="00960F28" w:rsidRPr="0098595C">
        <w:rPr>
          <w:rFonts w:ascii="ITC Avant Garde" w:eastAsiaTheme="minorEastAsia" w:hAnsi="ITC Avant Garde" w:cstheme="minorBidi"/>
          <w:b/>
          <w:color w:val="auto"/>
          <w:lang w:val="es-MX"/>
        </w:rPr>
        <w:t>ransparencia y certid</w:t>
      </w:r>
      <w:r w:rsidR="003E678C" w:rsidRPr="0098595C">
        <w:rPr>
          <w:rFonts w:ascii="ITC Avant Garde" w:eastAsiaTheme="minorEastAsia" w:hAnsi="ITC Avant Garde" w:cstheme="minorBidi"/>
          <w:b/>
          <w:color w:val="auto"/>
          <w:lang w:val="es-MX"/>
        </w:rPr>
        <w:t>umbre a los agentes del mercado</w:t>
      </w:r>
      <w:r w:rsidR="003E678C" w:rsidRPr="0098595C">
        <w:rPr>
          <w:rFonts w:ascii="ITC Avant Garde" w:eastAsiaTheme="minorEastAsia" w:hAnsi="ITC Avant Garde" w:cstheme="minorBidi"/>
          <w:color w:val="auto"/>
          <w:lang w:val="es-MX"/>
        </w:rPr>
        <w:t xml:space="preserve">, </w:t>
      </w:r>
      <w:r w:rsidR="00AA4FA4" w:rsidRPr="0098595C">
        <w:rPr>
          <w:rFonts w:ascii="ITC Avant Garde" w:eastAsiaTheme="minorEastAsia" w:hAnsi="ITC Avant Garde" w:cstheme="minorBidi"/>
          <w:color w:val="auto"/>
          <w:lang w:val="es-MX"/>
        </w:rPr>
        <w:t>a fin de</w:t>
      </w:r>
      <w:r w:rsidR="00EE773C" w:rsidRPr="0098595C">
        <w:rPr>
          <w:rFonts w:ascii="ITC Avant Garde" w:eastAsiaTheme="minorEastAsia" w:hAnsi="ITC Avant Garde" w:cstheme="minorBidi"/>
          <w:color w:val="auto"/>
          <w:lang w:val="es-MX"/>
        </w:rPr>
        <w:t xml:space="preserve"> proporcionar certeza </w:t>
      </w:r>
      <w:r w:rsidR="00AA5FE9" w:rsidRPr="0098595C">
        <w:rPr>
          <w:rFonts w:ascii="ITC Avant Garde" w:eastAsiaTheme="minorEastAsia" w:hAnsi="ITC Avant Garde" w:cstheme="minorBidi"/>
          <w:color w:val="auto"/>
          <w:lang w:val="es-MX"/>
        </w:rPr>
        <w:t>tanto al AEP como a sus competidores</w:t>
      </w:r>
      <w:r w:rsidR="001E5AE9">
        <w:rPr>
          <w:rFonts w:ascii="ITC Avant Garde" w:eastAsiaTheme="minorEastAsia" w:hAnsi="ITC Avant Garde" w:cstheme="minorBidi"/>
          <w:color w:val="auto"/>
          <w:lang w:val="es-MX"/>
        </w:rPr>
        <w:t>, al conocer la</w:t>
      </w:r>
      <w:r w:rsidR="001E5AE9" w:rsidRPr="0098595C">
        <w:rPr>
          <w:rFonts w:ascii="ITC Avant Garde" w:eastAsiaTheme="minorEastAsia" w:hAnsi="ITC Avant Garde" w:cstheme="minorBidi"/>
          <w:color w:val="auto"/>
          <w:lang w:val="es-MX"/>
        </w:rPr>
        <w:t xml:space="preserve"> estructura </w:t>
      </w:r>
      <w:r w:rsidR="001E5AE9">
        <w:rPr>
          <w:rFonts w:ascii="ITC Avant Garde" w:eastAsiaTheme="minorEastAsia" w:hAnsi="ITC Avant Garde" w:cstheme="minorBidi"/>
          <w:color w:val="auto"/>
          <w:lang w:val="es-MX"/>
        </w:rPr>
        <w:t>y la</w:t>
      </w:r>
      <w:r w:rsidR="001E5AE9" w:rsidRPr="0098595C">
        <w:rPr>
          <w:rFonts w:ascii="ITC Avant Garde" w:eastAsiaTheme="minorEastAsia" w:hAnsi="ITC Avant Garde" w:cstheme="minorBidi"/>
          <w:color w:val="auto"/>
          <w:lang w:val="es-MX"/>
        </w:rPr>
        <w:t xml:space="preserve"> información a utilizarse para implementar las pruebas de </w:t>
      </w:r>
      <w:proofErr w:type="spellStart"/>
      <w:r w:rsidR="001E5AE9" w:rsidRPr="0098595C">
        <w:rPr>
          <w:rFonts w:ascii="ITC Avant Garde" w:eastAsiaTheme="minorEastAsia" w:hAnsi="ITC Avant Garde" w:cstheme="minorBidi"/>
          <w:color w:val="auto"/>
          <w:lang w:val="es-MX"/>
        </w:rPr>
        <w:t>replicabilidad</w:t>
      </w:r>
      <w:proofErr w:type="spellEnd"/>
      <w:r w:rsidR="001E5AE9">
        <w:rPr>
          <w:rFonts w:ascii="ITC Avant Garde" w:eastAsiaTheme="minorEastAsia" w:hAnsi="ITC Avant Garde" w:cstheme="minorBidi"/>
          <w:color w:val="auto"/>
          <w:lang w:val="es-MX"/>
        </w:rPr>
        <w:t>,</w:t>
      </w:r>
      <w:r w:rsidR="00E76AE8">
        <w:rPr>
          <w:rFonts w:ascii="ITC Avant Garde" w:eastAsiaTheme="minorEastAsia" w:hAnsi="ITC Avant Garde" w:cstheme="minorBidi"/>
          <w:color w:val="auto"/>
          <w:lang w:val="es-MX"/>
        </w:rPr>
        <w:t xml:space="preserve"> </w:t>
      </w:r>
      <w:r w:rsidR="00EE570C">
        <w:rPr>
          <w:rFonts w:ascii="ITC Avant Garde" w:eastAsiaTheme="minorEastAsia" w:hAnsi="ITC Avant Garde" w:cstheme="minorBidi"/>
          <w:color w:val="auto"/>
          <w:lang w:val="es-MX"/>
        </w:rPr>
        <w:t>de</w:t>
      </w:r>
      <w:r w:rsidR="00EE773C" w:rsidRPr="0098595C">
        <w:rPr>
          <w:rFonts w:ascii="ITC Avant Garde" w:eastAsiaTheme="minorEastAsia" w:hAnsi="ITC Avant Garde" w:cstheme="minorBidi"/>
          <w:color w:val="auto"/>
          <w:lang w:val="es-MX"/>
        </w:rPr>
        <w:t xml:space="preserve"> que las ofertas minoristas del AEP </w:t>
      </w:r>
      <w:r w:rsidR="00FA7BC5" w:rsidRPr="0098595C">
        <w:rPr>
          <w:rFonts w:ascii="ITC Avant Garde" w:eastAsiaTheme="minorEastAsia" w:hAnsi="ITC Avant Garde" w:cstheme="minorBidi"/>
          <w:color w:val="auto"/>
          <w:lang w:val="es-MX"/>
        </w:rPr>
        <w:t>pueda</w:t>
      </w:r>
      <w:r w:rsidR="00EE773C" w:rsidRPr="0098595C">
        <w:rPr>
          <w:rFonts w:ascii="ITC Avant Garde" w:eastAsiaTheme="minorEastAsia" w:hAnsi="ITC Avant Garde" w:cstheme="minorBidi"/>
          <w:color w:val="auto"/>
          <w:lang w:val="es-MX"/>
        </w:rPr>
        <w:t>n ser replicables por c</w:t>
      </w:r>
      <w:r w:rsidR="00AA5FE9" w:rsidRPr="0098595C">
        <w:rPr>
          <w:rFonts w:ascii="ITC Avant Garde" w:eastAsiaTheme="minorEastAsia" w:hAnsi="ITC Avant Garde" w:cstheme="minorBidi"/>
          <w:color w:val="auto"/>
          <w:lang w:val="es-MX"/>
        </w:rPr>
        <w:t>ualquier operador que utilice su</w:t>
      </w:r>
      <w:r w:rsidR="00EE773C" w:rsidRPr="0098595C">
        <w:rPr>
          <w:rFonts w:ascii="ITC Avant Garde" w:eastAsiaTheme="minorEastAsia" w:hAnsi="ITC Avant Garde" w:cstheme="minorBidi"/>
          <w:color w:val="auto"/>
          <w:lang w:val="es-MX"/>
        </w:rPr>
        <w:t>s servicios mayoristas</w:t>
      </w:r>
      <w:r w:rsidR="00AA5FE9" w:rsidRPr="0098595C">
        <w:rPr>
          <w:rFonts w:ascii="ITC Avant Garde" w:eastAsiaTheme="minorEastAsia" w:hAnsi="ITC Avant Garde" w:cstheme="minorBidi"/>
          <w:color w:val="auto"/>
          <w:lang w:val="es-MX"/>
        </w:rPr>
        <w:t xml:space="preserve"> regulados</w:t>
      </w:r>
      <w:r w:rsidR="00FA7BC5" w:rsidRPr="0098595C">
        <w:rPr>
          <w:rFonts w:ascii="ITC Avant Garde" w:eastAsiaTheme="minorEastAsia" w:hAnsi="ITC Avant Garde" w:cstheme="minorBidi"/>
          <w:color w:val="auto"/>
          <w:lang w:val="es-MX"/>
        </w:rPr>
        <w:t xml:space="preserve">. </w:t>
      </w:r>
    </w:p>
    <w:p w14:paraId="6A9A562C" w14:textId="03BDBF99" w:rsidR="00960F28" w:rsidRPr="0098595C" w:rsidRDefault="00A021AA" w:rsidP="0098595C">
      <w:pPr>
        <w:pStyle w:val="ParaBullet1"/>
        <w:spacing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F</w:t>
      </w:r>
      <w:r w:rsidR="00960F28" w:rsidRPr="0098595C">
        <w:rPr>
          <w:rFonts w:ascii="ITC Avant Garde" w:eastAsiaTheme="minorEastAsia" w:hAnsi="ITC Avant Garde" w:cstheme="minorBidi"/>
          <w:b/>
          <w:color w:val="auto"/>
          <w:lang w:val="es-MX"/>
        </w:rPr>
        <w:t>lexibilidad al operador verticalmente integrado para competir en el mercado minorista</w:t>
      </w:r>
      <w:r w:rsidR="003E678C" w:rsidRPr="0098595C">
        <w:rPr>
          <w:rFonts w:ascii="ITC Avant Garde" w:eastAsiaTheme="minorEastAsia" w:hAnsi="ITC Avant Garde" w:cstheme="minorBidi"/>
          <w:color w:val="auto"/>
          <w:lang w:val="es-MX"/>
        </w:rPr>
        <w:t xml:space="preserve">, a fin de mitigar las limitaciones </w:t>
      </w:r>
      <w:r w:rsidR="00AA4FA4" w:rsidRPr="0098595C">
        <w:rPr>
          <w:rFonts w:ascii="ITC Avant Garde" w:eastAsiaTheme="minorEastAsia" w:hAnsi="ITC Avant Garde" w:cstheme="minorBidi"/>
          <w:color w:val="auto"/>
          <w:lang w:val="es-MX"/>
        </w:rPr>
        <w:t>en materia de dinámica comercial</w:t>
      </w:r>
      <w:r w:rsidR="00840682" w:rsidRPr="0098595C">
        <w:rPr>
          <w:rFonts w:ascii="ITC Avant Garde" w:eastAsiaTheme="minorEastAsia" w:hAnsi="ITC Avant Garde" w:cstheme="minorBidi"/>
          <w:color w:val="auto"/>
          <w:lang w:val="es-MX"/>
        </w:rPr>
        <w:t xml:space="preserve"> que puedan surgir de la implementación de pruebas de </w:t>
      </w:r>
      <w:proofErr w:type="spellStart"/>
      <w:r w:rsidR="00840682" w:rsidRPr="0098595C">
        <w:rPr>
          <w:rFonts w:ascii="ITC Avant Garde" w:eastAsiaTheme="minorEastAsia" w:hAnsi="ITC Avant Garde" w:cstheme="minorBidi"/>
          <w:color w:val="auto"/>
          <w:lang w:val="es-MX"/>
        </w:rPr>
        <w:t>replicabilidad</w:t>
      </w:r>
      <w:proofErr w:type="spellEnd"/>
      <w:r w:rsidR="00840682" w:rsidRPr="0098595C">
        <w:rPr>
          <w:rFonts w:ascii="ITC Avant Garde" w:eastAsiaTheme="minorEastAsia" w:hAnsi="ITC Avant Garde" w:cstheme="minorBidi"/>
          <w:color w:val="auto"/>
          <w:lang w:val="es-MX"/>
        </w:rPr>
        <w:t xml:space="preserve"> económica</w:t>
      </w:r>
      <w:r w:rsidR="00AA4FA4" w:rsidRPr="0098595C">
        <w:rPr>
          <w:rFonts w:ascii="ITC Avant Garde" w:eastAsiaTheme="minorEastAsia" w:hAnsi="ITC Avant Garde" w:cstheme="minorBidi"/>
          <w:color w:val="auto"/>
          <w:lang w:val="es-MX"/>
        </w:rPr>
        <w:t>, esto es</w:t>
      </w:r>
      <w:r w:rsidR="00AA5FE9" w:rsidRPr="0098595C">
        <w:rPr>
          <w:rFonts w:ascii="ITC Avant Garde" w:eastAsiaTheme="minorEastAsia" w:hAnsi="ITC Avant Garde" w:cstheme="minorBidi"/>
          <w:color w:val="auto"/>
          <w:lang w:val="es-MX"/>
        </w:rPr>
        <w:t>,</w:t>
      </w:r>
      <w:r w:rsidR="00AA4FA4" w:rsidRPr="0098595C">
        <w:rPr>
          <w:rFonts w:ascii="ITC Avant Garde" w:eastAsiaTheme="minorEastAsia" w:hAnsi="ITC Avant Garde" w:cstheme="minorBidi"/>
          <w:color w:val="auto"/>
          <w:lang w:val="es-MX"/>
        </w:rPr>
        <w:t xml:space="preserve"> que el operador verticalmente integrado no pueda introducir una nueva oferta debido a que primero debe asegurarse de </w:t>
      </w:r>
      <w:r w:rsidR="00AA5FE9" w:rsidRPr="0098595C">
        <w:rPr>
          <w:rFonts w:ascii="ITC Avant Garde" w:eastAsiaTheme="minorEastAsia" w:hAnsi="ITC Avant Garde" w:cstheme="minorBidi"/>
          <w:color w:val="auto"/>
          <w:lang w:val="es-MX"/>
        </w:rPr>
        <w:t>que ésta</w:t>
      </w:r>
      <w:r w:rsidR="00AA4FA4" w:rsidRPr="0098595C">
        <w:rPr>
          <w:rFonts w:ascii="ITC Avant Garde" w:eastAsiaTheme="minorEastAsia" w:hAnsi="ITC Avant Garde" w:cstheme="minorBidi"/>
          <w:color w:val="auto"/>
          <w:lang w:val="es-MX"/>
        </w:rPr>
        <w:t xml:space="preserve"> sea replicable por otros operadores</w:t>
      </w:r>
      <w:r w:rsidR="00840682" w:rsidRPr="0098595C">
        <w:rPr>
          <w:rFonts w:ascii="ITC Avant Garde" w:eastAsiaTheme="minorEastAsia" w:hAnsi="ITC Avant Garde" w:cstheme="minorBidi"/>
          <w:color w:val="auto"/>
          <w:lang w:val="es-MX"/>
        </w:rPr>
        <w:t xml:space="preserve">. </w:t>
      </w:r>
      <w:r w:rsidR="0085221C" w:rsidRPr="0098595C">
        <w:rPr>
          <w:rFonts w:ascii="ITC Avant Garde" w:eastAsiaTheme="minorEastAsia" w:hAnsi="ITC Avant Garde" w:cstheme="minorBidi"/>
          <w:color w:val="auto"/>
          <w:lang w:val="es-MX"/>
        </w:rPr>
        <w:t xml:space="preserve">Es así que una prueba muy estricta podría </w:t>
      </w:r>
      <w:r w:rsidR="00960F28" w:rsidRPr="0098595C">
        <w:rPr>
          <w:rFonts w:ascii="ITC Avant Garde" w:eastAsiaTheme="minorEastAsia" w:hAnsi="ITC Avant Garde" w:cstheme="minorBidi"/>
          <w:color w:val="auto"/>
          <w:lang w:val="es-MX"/>
        </w:rPr>
        <w:t>suponer un perjuicio para la competencia y los consumidores</w:t>
      </w:r>
      <w:r w:rsidR="00F07FF1">
        <w:rPr>
          <w:rFonts w:ascii="ITC Avant Garde" w:eastAsiaTheme="minorEastAsia" w:hAnsi="ITC Avant Garde" w:cstheme="minorBidi"/>
          <w:color w:val="auto"/>
          <w:lang w:val="es-MX"/>
        </w:rPr>
        <w:t>,</w:t>
      </w:r>
      <w:r w:rsidR="00EE570C">
        <w:rPr>
          <w:rFonts w:ascii="ITC Avant Garde" w:eastAsiaTheme="minorEastAsia" w:hAnsi="ITC Avant Garde" w:cstheme="minorBidi"/>
          <w:color w:val="auto"/>
          <w:lang w:val="es-MX"/>
        </w:rPr>
        <w:t xml:space="preserve"> pues </w:t>
      </w:r>
      <w:r w:rsidR="00F07FF1">
        <w:rPr>
          <w:rFonts w:ascii="ITC Avant Garde" w:eastAsiaTheme="minorEastAsia" w:hAnsi="ITC Avant Garde" w:cstheme="minorBidi"/>
          <w:color w:val="auto"/>
          <w:lang w:val="es-MX"/>
        </w:rPr>
        <w:t>limitaría la innovación de ofertas comerciales</w:t>
      </w:r>
      <w:r w:rsidR="0085221C" w:rsidRPr="0098595C">
        <w:rPr>
          <w:rFonts w:ascii="ITC Avant Garde" w:eastAsiaTheme="minorEastAsia" w:hAnsi="ITC Avant Garde" w:cstheme="minorBidi"/>
          <w:color w:val="auto"/>
          <w:lang w:val="es-MX"/>
        </w:rPr>
        <w:t>, p</w:t>
      </w:r>
      <w:r w:rsidR="00960F28" w:rsidRPr="0098595C">
        <w:rPr>
          <w:rFonts w:ascii="ITC Avant Garde" w:eastAsiaTheme="minorEastAsia" w:hAnsi="ITC Avant Garde" w:cstheme="minorBidi"/>
          <w:color w:val="auto"/>
          <w:lang w:val="es-MX"/>
        </w:rPr>
        <w:t>or lo</w:t>
      </w:r>
      <w:r w:rsidR="0085221C" w:rsidRPr="0098595C">
        <w:rPr>
          <w:rFonts w:ascii="ITC Avant Garde" w:eastAsiaTheme="minorEastAsia" w:hAnsi="ITC Avant Garde" w:cstheme="minorBidi"/>
          <w:color w:val="auto"/>
          <w:lang w:val="es-MX"/>
        </w:rPr>
        <w:t xml:space="preserve"> que debe buscarse un equilibrio</w:t>
      </w:r>
      <w:r w:rsidR="00960F28" w:rsidRPr="0098595C">
        <w:rPr>
          <w:rFonts w:ascii="ITC Avant Garde" w:eastAsiaTheme="minorEastAsia" w:hAnsi="ITC Avant Garde" w:cstheme="minorBidi"/>
          <w:color w:val="auto"/>
          <w:lang w:val="es-MX"/>
        </w:rPr>
        <w:t>.</w:t>
      </w:r>
    </w:p>
    <w:p w14:paraId="3DE8C0D5" w14:textId="1F2E2992" w:rsidR="00960F28" w:rsidRPr="0098595C" w:rsidRDefault="00A021AA" w:rsidP="0098595C">
      <w:pPr>
        <w:pStyle w:val="ParaBullet1"/>
        <w:spacing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Maximización de</w:t>
      </w:r>
      <w:r w:rsidR="003E678C" w:rsidRPr="0098595C">
        <w:rPr>
          <w:rFonts w:ascii="ITC Avant Garde" w:eastAsiaTheme="minorEastAsia" w:hAnsi="ITC Avant Garde" w:cstheme="minorBidi"/>
          <w:b/>
          <w:color w:val="auto"/>
          <w:lang w:val="es-MX"/>
        </w:rPr>
        <w:t xml:space="preserve"> la eficiencia</w:t>
      </w:r>
      <w:r w:rsidR="009E4106" w:rsidRPr="0098595C">
        <w:rPr>
          <w:rFonts w:ascii="ITC Avant Garde" w:eastAsiaTheme="minorEastAsia" w:hAnsi="ITC Avant Garde" w:cstheme="minorBidi"/>
          <w:color w:val="auto"/>
          <w:lang w:val="es-MX"/>
        </w:rPr>
        <w:t>,</w:t>
      </w:r>
      <w:r w:rsidR="0085221C" w:rsidRPr="0098595C">
        <w:rPr>
          <w:rFonts w:ascii="ITC Avant Garde" w:eastAsiaTheme="minorEastAsia" w:hAnsi="ITC Avant Garde" w:cstheme="minorBidi"/>
          <w:color w:val="auto"/>
          <w:lang w:val="es-MX"/>
        </w:rPr>
        <w:t xml:space="preserve"> tanto productiva como </w:t>
      </w:r>
      <w:proofErr w:type="spellStart"/>
      <w:r w:rsidR="0085221C" w:rsidRPr="0098595C">
        <w:rPr>
          <w:rFonts w:ascii="ITC Avant Garde" w:eastAsiaTheme="minorEastAsia" w:hAnsi="ITC Avant Garde" w:cstheme="minorBidi"/>
          <w:color w:val="auto"/>
          <w:lang w:val="es-MX"/>
        </w:rPr>
        <w:t>asi</w:t>
      </w:r>
      <w:r w:rsidR="00163A81" w:rsidRPr="0098595C">
        <w:rPr>
          <w:rFonts w:ascii="ITC Avant Garde" w:eastAsiaTheme="minorEastAsia" w:hAnsi="ITC Avant Garde" w:cstheme="minorBidi"/>
          <w:color w:val="auto"/>
          <w:lang w:val="es-MX"/>
        </w:rPr>
        <w:t>gnativa</w:t>
      </w:r>
      <w:proofErr w:type="spellEnd"/>
      <w:r w:rsidR="0085221C" w:rsidRPr="0098595C">
        <w:rPr>
          <w:rFonts w:ascii="ITC Avant Garde" w:eastAsiaTheme="minorEastAsia" w:hAnsi="ITC Avant Garde" w:cstheme="minorBidi"/>
          <w:color w:val="auto"/>
          <w:lang w:val="es-MX"/>
        </w:rPr>
        <w:t xml:space="preserve">. La eficiencia productiva se alcanza al incentivar que la prestación de servicios al usuario final se dé al mínimo costo (mitigando el sobreprecio de los servicios mayoristas) y la eficiencia </w:t>
      </w:r>
      <w:proofErr w:type="spellStart"/>
      <w:r w:rsidR="0085221C" w:rsidRPr="0098595C">
        <w:rPr>
          <w:rFonts w:ascii="ITC Avant Garde" w:eastAsiaTheme="minorEastAsia" w:hAnsi="ITC Avant Garde" w:cstheme="minorBidi"/>
          <w:color w:val="auto"/>
          <w:lang w:val="es-MX"/>
        </w:rPr>
        <w:t>asignativa</w:t>
      </w:r>
      <w:proofErr w:type="spellEnd"/>
      <w:r w:rsidR="0085221C" w:rsidRPr="0098595C">
        <w:rPr>
          <w:rFonts w:ascii="ITC Avant Garde" w:eastAsiaTheme="minorEastAsia" w:hAnsi="ITC Avant Garde" w:cstheme="minorBidi"/>
          <w:color w:val="auto"/>
          <w:lang w:val="es-MX"/>
        </w:rPr>
        <w:t xml:space="preserve"> al fomentar la entrada y permanencia de los competidores, lo que redundará en menores precios al usuario final.</w:t>
      </w:r>
    </w:p>
    <w:p w14:paraId="253A85F8" w14:textId="332A5327" w:rsidR="003E678C" w:rsidRPr="007C65E1" w:rsidRDefault="00A021AA" w:rsidP="0098595C">
      <w:pPr>
        <w:pStyle w:val="ParaBullet1"/>
        <w:spacing w:line="276" w:lineRule="auto"/>
        <w:rPr>
          <w:rFonts w:ascii="ITC Avant Garde" w:hAnsi="ITC Avant Garde"/>
        </w:rPr>
      </w:pPr>
      <w:r w:rsidRPr="0098595C">
        <w:rPr>
          <w:rFonts w:ascii="ITC Avant Garde" w:eastAsiaTheme="minorEastAsia" w:hAnsi="ITC Avant Garde" w:cstheme="minorBidi"/>
          <w:b/>
          <w:color w:val="auto"/>
          <w:lang w:val="es-MX"/>
        </w:rPr>
        <w:t>Minimización de</w:t>
      </w:r>
      <w:r w:rsidR="003E678C" w:rsidRPr="0098595C">
        <w:rPr>
          <w:rFonts w:ascii="ITC Avant Garde" w:eastAsiaTheme="minorEastAsia" w:hAnsi="ITC Avant Garde" w:cstheme="minorBidi"/>
          <w:b/>
          <w:color w:val="auto"/>
          <w:lang w:val="es-MX"/>
        </w:rPr>
        <w:t xml:space="preserve"> la carga regulatoria</w:t>
      </w:r>
      <w:r w:rsidR="003E678C" w:rsidRPr="0098595C">
        <w:rPr>
          <w:rFonts w:ascii="ITC Avant Garde" w:eastAsiaTheme="minorEastAsia" w:hAnsi="ITC Avant Garde" w:cstheme="minorBidi"/>
          <w:color w:val="auto"/>
          <w:lang w:val="es-MX"/>
        </w:rPr>
        <w:t>,</w:t>
      </w:r>
      <w:r w:rsidR="003E678C" w:rsidRPr="0098595C">
        <w:rPr>
          <w:rFonts w:ascii="ITC Avant Garde" w:hAnsi="ITC Avant Garde"/>
        </w:rPr>
        <w:t xml:space="preserve"> </w:t>
      </w:r>
      <w:r w:rsidR="003E678C" w:rsidRPr="0098595C">
        <w:rPr>
          <w:rFonts w:ascii="ITC Avant Garde" w:eastAsiaTheme="minorEastAsia" w:hAnsi="ITC Avant Garde" w:cstheme="minorBidi"/>
          <w:color w:val="auto"/>
          <w:lang w:val="es-MX"/>
        </w:rPr>
        <w:t>a fin</w:t>
      </w:r>
      <w:r w:rsidRPr="0098595C">
        <w:rPr>
          <w:rFonts w:ascii="ITC Avant Garde" w:eastAsiaTheme="minorEastAsia" w:hAnsi="ITC Avant Garde" w:cstheme="minorBidi"/>
          <w:color w:val="auto"/>
          <w:lang w:val="es-MX"/>
        </w:rPr>
        <w:t xml:space="preserve"> de garantizar que se cumplan lo</w:t>
      </w:r>
      <w:r w:rsidR="003E678C" w:rsidRPr="0098595C">
        <w:rPr>
          <w:rFonts w:ascii="ITC Avant Garde" w:eastAsiaTheme="minorEastAsia" w:hAnsi="ITC Avant Garde" w:cstheme="minorBidi"/>
          <w:color w:val="auto"/>
          <w:lang w:val="es-MX"/>
        </w:rPr>
        <w:t xml:space="preserve">s </w:t>
      </w:r>
      <w:r w:rsidRPr="0098595C">
        <w:rPr>
          <w:rFonts w:ascii="ITC Avant Garde" w:eastAsiaTheme="minorEastAsia" w:hAnsi="ITC Avant Garde" w:cstheme="minorBidi"/>
          <w:color w:val="auto"/>
          <w:lang w:val="es-MX"/>
        </w:rPr>
        <w:t>objetivos</w:t>
      </w:r>
      <w:r w:rsidR="00840682" w:rsidRPr="0098595C">
        <w:rPr>
          <w:rFonts w:ascii="ITC Avant Garde" w:eastAsiaTheme="minorEastAsia" w:hAnsi="ITC Avant Garde" w:cstheme="minorBidi"/>
          <w:color w:val="auto"/>
          <w:lang w:val="es-MX"/>
        </w:rPr>
        <w:t xml:space="preserve"> </w:t>
      </w:r>
      <w:r w:rsidR="003E678C" w:rsidRPr="0098595C">
        <w:rPr>
          <w:rFonts w:ascii="ITC Avant Garde" w:eastAsiaTheme="minorEastAsia" w:hAnsi="ITC Avant Garde" w:cstheme="minorBidi"/>
          <w:color w:val="auto"/>
          <w:lang w:val="es-MX"/>
        </w:rPr>
        <w:t>regulatorias con el menor costo posible, tanto para el agente regulado como para el regulador.</w:t>
      </w:r>
    </w:p>
    <w:p w14:paraId="1E39CE09" w14:textId="77777777" w:rsidR="007C65E1" w:rsidRPr="0098595C" w:rsidRDefault="007C65E1" w:rsidP="007C65E1">
      <w:pPr>
        <w:pStyle w:val="ParaBullet1"/>
        <w:numPr>
          <w:ilvl w:val="0"/>
          <w:numId w:val="0"/>
        </w:numPr>
        <w:spacing w:line="276" w:lineRule="auto"/>
        <w:rPr>
          <w:rFonts w:ascii="ITC Avant Garde" w:hAnsi="ITC Avant Garde"/>
        </w:rPr>
      </w:pPr>
    </w:p>
    <w:p w14:paraId="63B05097" w14:textId="48FD8C9F" w:rsidR="0098595C" w:rsidRDefault="003E678C" w:rsidP="0098595C">
      <w:pPr>
        <w:spacing w:line="276" w:lineRule="auto"/>
      </w:pPr>
      <w:r w:rsidRPr="0098595C">
        <w:t xml:space="preserve">Con base en dichos </w:t>
      </w:r>
      <w:r w:rsidR="00D56977" w:rsidRPr="0098595C">
        <w:t>criterios</w:t>
      </w:r>
      <w:r w:rsidR="006E0059" w:rsidRPr="0098595C">
        <w:t xml:space="preserve"> y considerando variables como el tipo de servicio, los competidores, la madurez del mercado, la eficiencia de los operadores, entre otros, es que se definirá el tipo de prueba de </w:t>
      </w:r>
      <w:proofErr w:type="spellStart"/>
      <w:r w:rsidR="006E0059" w:rsidRPr="0098595C">
        <w:t>replicabilidad</w:t>
      </w:r>
      <w:proofErr w:type="spellEnd"/>
      <w:r w:rsidR="006E0059" w:rsidRPr="0098595C">
        <w:t xml:space="preserve"> aplicable a </w:t>
      </w:r>
      <w:r w:rsidR="00EE570C">
        <w:t>los</w:t>
      </w:r>
      <w:r w:rsidR="006E0059" w:rsidRPr="0098595C">
        <w:t xml:space="preserve"> servicio</w:t>
      </w:r>
      <w:r w:rsidR="00EE570C">
        <w:t>s</w:t>
      </w:r>
      <w:r w:rsidR="006E0059" w:rsidRPr="0098595C">
        <w:t xml:space="preserve"> de telecomunicaciones</w:t>
      </w:r>
      <w:r w:rsidR="00EE570C">
        <w:t xml:space="preserve"> provistos por el AEP</w:t>
      </w:r>
      <w:r w:rsidR="006E0059" w:rsidRPr="0098595C">
        <w:t xml:space="preserve">. </w:t>
      </w:r>
    </w:p>
    <w:p w14:paraId="2881FE4D" w14:textId="77777777" w:rsidR="007C65E1" w:rsidRPr="0098595C" w:rsidRDefault="007C65E1" w:rsidP="0098595C">
      <w:pPr>
        <w:spacing w:line="276" w:lineRule="auto"/>
      </w:pPr>
    </w:p>
    <w:p w14:paraId="10A9A0C1" w14:textId="6A7CECB2" w:rsidR="00AB49DE" w:rsidRPr="0098595C" w:rsidRDefault="00AB49DE" w:rsidP="0098595C">
      <w:pPr>
        <w:spacing w:line="276" w:lineRule="auto"/>
      </w:pPr>
      <w:r w:rsidRPr="0098595C">
        <w:rPr>
          <w:b/>
        </w:rPr>
        <w:t>CUARTO.-</w:t>
      </w:r>
      <w:r w:rsidR="00A02D1C" w:rsidRPr="0098595C">
        <w:rPr>
          <w:b/>
        </w:rPr>
        <w:t xml:space="preserve"> </w:t>
      </w:r>
      <w:r w:rsidRPr="0098595C">
        <w:rPr>
          <w:b/>
        </w:rPr>
        <w:t xml:space="preserve">De la consulta pública. </w:t>
      </w:r>
      <w:r w:rsidRPr="0098595C">
        <w:t>La consulta pública tiene por objeto cumplir con los principios de transparencia y participación ciudadana, con la finalidad de recabar propuestas de la industria, de especialistas en la materia y del público en general, para se</w:t>
      </w:r>
      <w:r w:rsidR="005B4BF1" w:rsidRPr="0098595C">
        <w:t>r analizadas por este Instituto</w:t>
      </w:r>
      <w:r w:rsidRPr="0098595C">
        <w:t xml:space="preserve"> y</w:t>
      </w:r>
      <w:r w:rsidR="005B4BF1" w:rsidRPr="0098595C">
        <w:t xml:space="preserve">, </w:t>
      </w:r>
      <w:r w:rsidRPr="0098595C">
        <w:t>de resultar procedente, con ellas fortalecer sus determinaciones</w:t>
      </w:r>
      <w:r w:rsidR="00EE570C">
        <w:t xml:space="preserve"> en beneficio </w:t>
      </w:r>
      <w:r w:rsidR="00EE570C">
        <w:tab/>
        <w:t>del interés público</w:t>
      </w:r>
      <w:r w:rsidRPr="0098595C">
        <w:t xml:space="preserve">. </w:t>
      </w:r>
    </w:p>
    <w:p w14:paraId="5688B7B8" w14:textId="77777777" w:rsidR="00AB49DE" w:rsidRDefault="00AB49DE" w:rsidP="0098595C">
      <w:pPr>
        <w:spacing w:line="276" w:lineRule="auto"/>
      </w:pPr>
      <w:r w:rsidRPr="0098595C">
        <w:t>En ese sentido, de conformid</w:t>
      </w:r>
      <w:r w:rsidR="001709C7" w:rsidRPr="0098595C">
        <w:t>ad con el artículo 51 de la LFT</w:t>
      </w:r>
      <w:r w:rsidRPr="0098595C">
        <w:t>R, el Pleno del Instituto podrá realizar consultas públicas en cualquier caso que así lo determine, y ésta</w:t>
      </w:r>
      <w:r w:rsidR="005312E8" w:rsidRPr="0098595C">
        <w:t>s</w:t>
      </w:r>
      <w:r w:rsidRPr="0098595C">
        <w:t xml:space="preserve"> deberá</w:t>
      </w:r>
      <w:r w:rsidR="008B7FCE" w:rsidRPr="0098595C">
        <w:t>n</w:t>
      </w:r>
      <w:r w:rsidRPr="0098595C">
        <w:t xml:space="preserve"> llevarse a cabo bajo los principios de transparencia y participación ciudadana.</w:t>
      </w:r>
    </w:p>
    <w:p w14:paraId="1E05A23F" w14:textId="77777777" w:rsidR="007C65E1" w:rsidRPr="0098595C" w:rsidRDefault="007C65E1" w:rsidP="0098595C">
      <w:pPr>
        <w:spacing w:line="276" w:lineRule="auto"/>
      </w:pPr>
    </w:p>
    <w:p w14:paraId="55FD031B" w14:textId="6ADF9EE2" w:rsidR="00AB49DE" w:rsidRDefault="005312E8" w:rsidP="0098595C">
      <w:pPr>
        <w:spacing w:line="276" w:lineRule="auto"/>
      </w:pPr>
      <w:r w:rsidRPr="0098595C">
        <w:t xml:space="preserve">Es así que se considera necesario que el Instituto tenga </w:t>
      </w:r>
      <w:r w:rsidR="00AB49DE" w:rsidRPr="0098595C">
        <w:t xml:space="preserve">conocimiento de las opiniones de los integrantes de la industria derivado de que son ellos quienes intervienen en el sector de las telecomunicaciones; ello sin perder de vista que ante la diversidad de intereses comerciales prevalecientes en la industria, es el órgano regulador quien, en última instancia, determinará las condiciones bajo las cuales se deberán </w:t>
      </w:r>
      <w:r w:rsidR="00EE570C">
        <w:t>realizar</w:t>
      </w:r>
      <w:r w:rsidR="00A72241" w:rsidRPr="0098595C">
        <w:t xml:space="preserve">las pruebas de </w:t>
      </w:r>
      <w:proofErr w:type="spellStart"/>
      <w:r w:rsidR="00A72241" w:rsidRPr="0098595C">
        <w:t>replicabilidad</w:t>
      </w:r>
      <w:proofErr w:type="spellEnd"/>
      <w:r w:rsidR="00A72241" w:rsidRPr="0098595C">
        <w:t xml:space="preserve"> económica </w:t>
      </w:r>
      <w:r w:rsidR="00EE570C">
        <w:t>aplicable</w:t>
      </w:r>
      <w:r w:rsidR="00F07FF1">
        <w:t>s</w:t>
      </w:r>
      <w:r w:rsidR="00EE570C">
        <w:t xml:space="preserve"> </w:t>
      </w:r>
      <w:r w:rsidR="00A72241" w:rsidRPr="0098595C">
        <w:t>a</w:t>
      </w:r>
      <w:r w:rsidR="00AB49DE" w:rsidRPr="0098595C">
        <w:t xml:space="preserve"> los servicios de telecomunicaciones, evitando que se afecte la competencia y la libre concurrencia.</w:t>
      </w:r>
    </w:p>
    <w:p w14:paraId="7780CD50" w14:textId="77777777" w:rsidR="007C65E1" w:rsidRPr="0098595C" w:rsidRDefault="007C65E1" w:rsidP="0098595C">
      <w:pPr>
        <w:spacing w:line="276" w:lineRule="auto"/>
      </w:pPr>
    </w:p>
    <w:p w14:paraId="666D06E9" w14:textId="36DDE035" w:rsidR="0041214B" w:rsidRDefault="003216F2" w:rsidP="0098595C">
      <w:pPr>
        <w:spacing w:line="276" w:lineRule="auto"/>
      </w:pPr>
      <w:r w:rsidRPr="0098595C">
        <w:t>Por lo antes expuesto y con fundamento en los artículos 28 párrafos décimo quinto y décimo sexto de la Constitución Política de los Estados Unidos Mexicanos; 1, 2, 7, 15 fracción XL y LXIII, y 51 de la Ley Federal de Telecomunicaciones y Radiodifusión; 1, 4 fracción I, y 6 fracción XXXVII del Estatuto Orgánico del Instituto Federal de Telecomunicaciones, el Pleno de este Instituto Federal Telecomunicaciones emite el siguiente:</w:t>
      </w:r>
    </w:p>
    <w:p w14:paraId="592E0F4C" w14:textId="77777777" w:rsidR="007C65E1" w:rsidRPr="0098595C" w:rsidRDefault="007C65E1" w:rsidP="0098595C">
      <w:pPr>
        <w:spacing w:line="276" w:lineRule="auto"/>
      </w:pPr>
    </w:p>
    <w:p w14:paraId="7FAF0C41" w14:textId="77777777" w:rsidR="0041214B" w:rsidRDefault="0041214B" w:rsidP="0098595C">
      <w:pPr>
        <w:pStyle w:val="Ttulo2"/>
        <w:spacing w:line="276" w:lineRule="auto"/>
      </w:pPr>
      <w:r w:rsidRPr="0098595C">
        <w:t>ACUERDO</w:t>
      </w:r>
    </w:p>
    <w:p w14:paraId="570DAA3A" w14:textId="77777777" w:rsidR="007C65E1" w:rsidRPr="007C65E1" w:rsidRDefault="007C65E1" w:rsidP="007C65E1">
      <w:pPr>
        <w:rPr>
          <w:lang w:val="es-ES_tradnl"/>
        </w:rPr>
      </w:pPr>
    </w:p>
    <w:p w14:paraId="7976243A" w14:textId="5DE3910A" w:rsidR="005E230A" w:rsidRDefault="00E15445" w:rsidP="0098595C">
      <w:pPr>
        <w:spacing w:line="276" w:lineRule="auto"/>
      </w:pPr>
      <w:r w:rsidRPr="0098595C">
        <w:rPr>
          <w:b/>
        </w:rPr>
        <w:t>PRIMERO.-</w:t>
      </w:r>
      <w:r w:rsidRPr="0098595C">
        <w:t xml:space="preserve"> Se determina someter a consulta pú</w:t>
      </w:r>
      <w:r w:rsidR="00A147D2" w:rsidRPr="0098595C">
        <w:t>blica por un plazo de 20 (veinte</w:t>
      </w:r>
      <w:r w:rsidRPr="0098595C">
        <w:t>) días</w:t>
      </w:r>
      <w:r w:rsidR="00A147D2" w:rsidRPr="0098595C">
        <w:t xml:space="preserve"> hábiles improrrogables</w:t>
      </w:r>
      <w:r w:rsidRPr="0098595C">
        <w:t xml:space="preserve"> contados a partir del día siguiente a su publicación en el portal de Internet del Instituto, la metodología de </w:t>
      </w:r>
      <w:proofErr w:type="spellStart"/>
      <w:r w:rsidRPr="0098595C">
        <w:t>replicabilidad</w:t>
      </w:r>
      <w:proofErr w:type="spellEnd"/>
      <w:r w:rsidRPr="0098595C">
        <w:t xml:space="preserve"> económica </w:t>
      </w:r>
      <w:r w:rsidR="0041214B" w:rsidRPr="0098595C">
        <w:t xml:space="preserve">a que se refieren las medidas </w:t>
      </w:r>
      <w:r w:rsidRPr="0098595C">
        <w:t xml:space="preserve">Sexagésima Cuarta y Cuarta Transitoria del Anexo 1, Sexagésima Séptima y Quinta Transitoria del Anexo 2 y Cuadragésima Novena y Quinta Transitoria del Anexo 3 </w:t>
      </w:r>
      <w:r w:rsidR="00A147D2" w:rsidRPr="0098595C">
        <w:t>de la Resolución Bienal.</w:t>
      </w:r>
    </w:p>
    <w:p w14:paraId="23516B1A" w14:textId="77777777" w:rsidR="007C65E1" w:rsidRPr="0098595C" w:rsidRDefault="007C65E1" w:rsidP="0098595C">
      <w:pPr>
        <w:spacing w:line="276" w:lineRule="auto"/>
      </w:pPr>
    </w:p>
    <w:p w14:paraId="4458C6C5" w14:textId="77777777" w:rsidR="00E15445" w:rsidRDefault="00E15445" w:rsidP="0098595C">
      <w:pPr>
        <w:spacing w:line="276" w:lineRule="auto"/>
      </w:pPr>
      <w:r w:rsidRPr="0098595C">
        <w:rPr>
          <w:b/>
        </w:rPr>
        <w:t>SEGUNDO.-</w:t>
      </w:r>
      <w:r w:rsidRPr="0098595C">
        <w:t xml:space="preserve"> Se instruye a la Unidad de Política Regulatoria para que, por conducto de la Dirección General de Desarrollo de las Telecomunicaciones y la Radiodifusión, reciba y dé </w:t>
      </w:r>
      <w:r w:rsidR="003E2070" w:rsidRPr="0098595C">
        <w:t>l</w:t>
      </w:r>
      <w:r w:rsidRPr="0098595C">
        <w:t>a atención que corresponda a las opiniones que se formulen con motivo de la consulta pública.</w:t>
      </w:r>
    </w:p>
    <w:p w14:paraId="058693CC" w14:textId="77777777" w:rsidR="007C65E1" w:rsidRPr="0098595C" w:rsidRDefault="007C65E1" w:rsidP="0098595C">
      <w:pPr>
        <w:spacing w:line="276" w:lineRule="auto"/>
      </w:pPr>
    </w:p>
    <w:p w14:paraId="1CCE5D98" w14:textId="77777777" w:rsidR="00E15445" w:rsidRPr="0098595C" w:rsidRDefault="00E15445" w:rsidP="0098595C">
      <w:pPr>
        <w:spacing w:line="276" w:lineRule="auto"/>
      </w:pPr>
      <w:r w:rsidRPr="0098595C">
        <w:rPr>
          <w:b/>
        </w:rPr>
        <w:t>TERCERO.-</w:t>
      </w:r>
      <w:r w:rsidRPr="0098595C">
        <w:t xml:space="preserve"> Publíquese en el portal de Internet del Instituto Federal de Telecomunicaciones.</w:t>
      </w:r>
    </w:p>
    <w:p w14:paraId="161BEC8E" w14:textId="77777777" w:rsidR="007C65E1" w:rsidRPr="009320D9" w:rsidRDefault="007C65E1" w:rsidP="007C65E1">
      <w:pPr>
        <w:spacing w:after="0" w:line="240" w:lineRule="auto"/>
        <w:jc w:val="center"/>
        <w:rPr>
          <w:rFonts w:cs="Arial"/>
          <w:b/>
          <w:bCs/>
        </w:rPr>
      </w:pPr>
    </w:p>
    <w:p w14:paraId="484EB989" w14:textId="77777777" w:rsidR="007C65E1" w:rsidRDefault="007C65E1" w:rsidP="007C65E1">
      <w:pPr>
        <w:spacing w:after="0" w:line="240" w:lineRule="auto"/>
        <w:jc w:val="center"/>
        <w:rPr>
          <w:rFonts w:cs="Arial"/>
          <w:b/>
          <w:bCs/>
        </w:rPr>
      </w:pPr>
    </w:p>
    <w:p w14:paraId="0F308E38" w14:textId="77777777" w:rsidR="007C65E1" w:rsidRDefault="007C65E1" w:rsidP="007C65E1">
      <w:pPr>
        <w:spacing w:after="0" w:line="240" w:lineRule="auto"/>
        <w:jc w:val="center"/>
        <w:rPr>
          <w:rFonts w:cs="Arial"/>
          <w:b/>
          <w:bCs/>
        </w:rPr>
      </w:pPr>
    </w:p>
    <w:p w14:paraId="54CCBED4" w14:textId="77777777" w:rsidR="007C65E1" w:rsidRDefault="007C65E1" w:rsidP="007C65E1">
      <w:pPr>
        <w:spacing w:after="0" w:line="240" w:lineRule="auto"/>
        <w:jc w:val="center"/>
        <w:rPr>
          <w:rFonts w:cs="Arial"/>
          <w:b/>
          <w:bCs/>
        </w:rPr>
      </w:pPr>
    </w:p>
    <w:p w14:paraId="4DC1A59A" w14:textId="77777777" w:rsidR="007C65E1" w:rsidRDefault="007C65E1" w:rsidP="007C65E1">
      <w:pPr>
        <w:spacing w:after="0" w:line="240" w:lineRule="auto"/>
        <w:jc w:val="center"/>
        <w:rPr>
          <w:rFonts w:cs="Arial"/>
          <w:b/>
          <w:bCs/>
        </w:rPr>
      </w:pPr>
    </w:p>
    <w:p w14:paraId="18FAF5F1" w14:textId="77777777" w:rsidR="007C65E1" w:rsidRDefault="007C65E1" w:rsidP="007C65E1">
      <w:pPr>
        <w:spacing w:after="0" w:line="240" w:lineRule="auto"/>
        <w:jc w:val="center"/>
        <w:rPr>
          <w:rFonts w:cs="Arial"/>
          <w:b/>
          <w:bCs/>
        </w:rPr>
      </w:pPr>
    </w:p>
    <w:p w14:paraId="6EB9CEBA" w14:textId="77777777" w:rsidR="007C65E1" w:rsidRDefault="007C65E1" w:rsidP="007C65E1">
      <w:pPr>
        <w:spacing w:after="0" w:line="240" w:lineRule="auto"/>
        <w:jc w:val="center"/>
        <w:rPr>
          <w:rFonts w:cs="Arial"/>
          <w:b/>
          <w:bCs/>
        </w:rPr>
      </w:pPr>
    </w:p>
    <w:p w14:paraId="693CADE7" w14:textId="77777777" w:rsidR="007C65E1" w:rsidRDefault="007C65E1" w:rsidP="007C65E1">
      <w:pPr>
        <w:spacing w:after="0" w:line="240" w:lineRule="auto"/>
        <w:jc w:val="center"/>
        <w:rPr>
          <w:rFonts w:cs="Arial"/>
          <w:b/>
          <w:bCs/>
        </w:rPr>
      </w:pPr>
    </w:p>
    <w:p w14:paraId="6FD3C889" w14:textId="77777777" w:rsidR="007C65E1" w:rsidRPr="009320D9" w:rsidRDefault="007C65E1" w:rsidP="007C65E1">
      <w:pPr>
        <w:spacing w:after="0" w:line="240" w:lineRule="auto"/>
        <w:jc w:val="center"/>
        <w:rPr>
          <w:rFonts w:cs="Arial"/>
          <w:b/>
          <w:bCs/>
        </w:rPr>
      </w:pPr>
    </w:p>
    <w:p w14:paraId="57E86C54" w14:textId="77777777" w:rsidR="007C65E1" w:rsidRDefault="007C65E1" w:rsidP="007C65E1">
      <w:pPr>
        <w:spacing w:after="0" w:line="240" w:lineRule="auto"/>
        <w:jc w:val="center"/>
        <w:rPr>
          <w:rFonts w:cs="Arial"/>
          <w:b/>
          <w:bCs/>
        </w:rPr>
      </w:pPr>
    </w:p>
    <w:p w14:paraId="0A90C48F" w14:textId="77777777" w:rsidR="007C65E1" w:rsidRPr="009320D9" w:rsidRDefault="007C65E1" w:rsidP="007C65E1">
      <w:pPr>
        <w:spacing w:after="0" w:line="240" w:lineRule="auto"/>
        <w:jc w:val="center"/>
        <w:rPr>
          <w:rFonts w:cs="Arial"/>
          <w:b/>
          <w:bCs/>
        </w:rPr>
      </w:pPr>
    </w:p>
    <w:p w14:paraId="6ED166F5" w14:textId="77777777" w:rsidR="007C65E1" w:rsidRPr="009320D9" w:rsidRDefault="007C65E1" w:rsidP="007C65E1">
      <w:pPr>
        <w:spacing w:after="0" w:line="240" w:lineRule="auto"/>
        <w:jc w:val="center"/>
        <w:rPr>
          <w:rFonts w:cs="Arial"/>
          <w:b/>
          <w:bCs/>
        </w:rPr>
      </w:pPr>
    </w:p>
    <w:p w14:paraId="7267AA01" w14:textId="77777777" w:rsidR="007C65E1" w:rsidRPr="009320D9" w:rsidRDefault="007C65E1" w:rsidP="007C65E1">
      <w:pPr>
        <w:spacing w:after="0" w:line="240" w:lineRule="auto"/>
        <w:jc w:val="center"/>
        <w:rPr>
          <w:b/>
          <w:bCs/>
          <w:szCs w:val="20"/>
        </w:rPr>
      </w:pPr>
      <w:r w:rsidRPr="009320D9">
        <w:rPr>
          <w:b/>
          <w:bCs/>
          <w:szCs w:val="20"/>
        </w:rPr>
        <w:t>Gabriel Oswaldo Contreras Saldívar</w:t>
      </w:r>
    </w:p>
    <w:p w14:paraId="0DF1E2E0" w14:textId="77777777" w:rsidR="007C65E1" w:rsidRPr="009320D9" w:rsidRDefault="007C65E1" w:rsidP="007C65E1">
      <w:pPr>
        <w:spacing w:after="0" w:line="240" w:lineRule="auto"/>
        <w:jc w:val="center"/>
        <w:rPr>
          <w:b/>
          <w:bCs/>
          <w:szCs w:val="20"/>
        </w:rPr>
      </w:pPr>
      <w:r w:rsidRPr="009320D9">
        <w:rPr>
          <w:b/>
          <w:bCs/>
          <w:szCs w:val="20"/>
        </w:rPr>
        <w:t>Comisionado Presidente</w:t>
      </w:r>
    </w:p>
    <w:p w14:paraId="13995E41" w14:textId="77777777" w:rsidR="007C65E1" w:rsidRPr="009320D9" w:rsidRDefault="007C65E1" w:rsidP="007C65E1">
      <w:pPr>
        <w:spacing w:after="0" w:line="240" w:lineRule="auto"/>
        <w:jc w:val="center"/>
        <w:rPr>
          <w:bCs/>
          <w:szCs w:val="20"/>
        </w:rPr>
      </w:pPr>
    </w:p>
    <w:p w14:paraId="7DC1A3E6" w14:textId="77777777" w:rsidR="007C65E1" w:rsidRPr="009320D9" w:rsidRDefault="007C65E1" w:rsidP="007C65E1">
      <w:pPr>
        <w:spacing w:after="0" w:line="240" w:lineRule="auto"/>
        <w:jc w:val="center"/>
        <w:rPr>
          <w:bCs/>
          <w:szCs w:val="20"/>
        </w:rPr>
      </w:pPr>
    </w:p>
    <w:p w14:paraId="08B9A8EB" w14:textId="77777777" w:rsidR="007C65E1" w:rsidRPr="009320D9" w:rsidRDefault="007C65E1" w:rsidP="007C65E1">
      <w:pPr>
        <w:spacing w:after="0" w:line="240" w:lineRule="auto"/>
        <w:jc w:val="center"/>
        <w:rPr>
          <w:bCs/>
          <w:szCs w:val="20"/>
        </w:rPr>
      </w:pPr>
    </w:p>
    <w:p w14:paraId="5591E44F" w14:textId="77777777" w:rsidR="007C65E1" w:rsidRPr="009320D9" w:rsidRDefault="007C65E1" w:rsidP="007C65E1">
      <w:pPr>
        <w:spacing w:line="240" w:lineRule="auto"/>
        <w:jc w:val="center"/>
        <w:rPr>
          <w:bCs/>
          <w:szCs w:val="20"/>
        </w:rPr>
      </w:pPr>
    </w:p>
    <w:tbl>
      <w:tblPr>
        <w:tblW w:w="5000" w:type="pct"/>
        <w:tblCellMar>
          <w:left w:w="70" w:type="dxa"/>
          <w:right w:w="70" w:type="dxa"/>
        </w:tblCellMar>
        <w:tblLook w:val="04A0" w:firstRow="1" w:lastRow="0" w:firstColumn="1" w:lastColumn="0" w:noHBand="0" w:noVBand="1"/>
      </w:tblPr>
      <w:tblGrid>
        <w:gridCol w:w="3950"/>
        <w:gridCol w:w="1864"/>
        <w:gridCol w:w="3590"/>
      </w:tblGrid>
      <w:tr w:rsidR="007C65E1" w:rsidRPr="009320D9" w14:paraId="767F416D" w14:textId="77777777" w:rsidTr="00C07BE4">
        <w:trPr>
          <w:trHeight w:val="1461"/>
        </w:trPr>
        <w:tc>
          <w:tcPr>
            <w:tcW w:w="2100" w:type="pct"/>
            <w:hideMark/>
          </w:tcPr>
          <w:p w14:paraId="58F09998" w14:textId="77777777" w:rsidR="007C65E1" w:rsidRPr="009320D9" w:rsidRDefault="007C65E1" w:rsidP="00C07BE4">
            <w:pPr>
              <w:spacing w:after="0" w:line="240" w:lineRule="auto"/>
              <w:jc w:val="center"/>
              <w:rPr>
                <w:b/>
                <w:bCs/>
                <w:szCs w:val="20"/>
              </w:rPr>
            </w:pPr>
            <w:r w:rsidRPr="009320D9">
              <w:rPr>
                <w:b/>
                <w:bCs/>
                <w:szCs w:val="20"/>
              </w:rPr>
              <w:t>Adriana Sofía Labardini Inzunza</w:t>
            </w:r>
          </w:p>
          <w:p w14:paraId="21412F77" w14:textId="77777777" w:rsidR="007C65E1" w:rsidRPr="009320D9" w:rsidRDefault="007C65E1" w:rsidP="00C07BE4">
            <w:pPr>
              <w:spacing w:after="0" w:line="240" w:lineRule="auto"/>
              <w:jc w:val="center"/>
              <w:rPr>
                <w:b/>
                <w:bCs/>
                <w:szCs w:val="20"/>
              </w:rPr>
            </w:pPr>
            <w:r w:rsidRPr="009320D9">
              <w:rPr>
                <w:b/>
                <w:bCs/>
                <w:szCs w:val="20"/>
              </w:rPr>
              <w:t>Comisionada</w:t>
            </w:r>
          </w:p>
        </w:tc>
        <w:tc>
          <w:tcPr>
            <w:tcW w:w="991" w:type="pct"/>
          </w:tcPr>
          <w:p w14:paraId="5CC6BA80" w14:textId="77777777" w:rsidR="007C65E1" w:rsidRPr="009320D9" w:rsidRDefault="007C65E1" w:rsidP="00C07BE4">
            <w:pPr>
              <w:spacing w:after="0" w:line="240" w:lineRule="auto"/>
              <w:jc w:val="center"/>
              <w:rPr>
                <w:bCs/>
                <w:szCs w:val="20"/>
              </w:rPr>
            </w:pPr>
          </w:p>
        </w:tc>
        <w:tc>
          <w:tcPr>
            <w:tcW w:w="1909" w:type="pct"/>
          </w:tcPr>
          <w:p w14:paraId="4EEDAB46" w14:textId="77777777" w:rsidR="007C65E1" w:rsidRPr="009320D9" w:rsidRDefault="007C65E1" w:rsidP="00C07BE4">
            <w:pPr>
              <w:spacing w:after="0" w:line="240" w:lineRule="auto"/>
              <w:jc w:val="center"/>
              <w:rPr>
                <w:b/>
                <w:bCs/>
                <w:szCs w:val="20"/>
              </w:rPr>
            </w:pPr>
            <w:r w:rsidRPr="009320D9">
              <w:rPr>
                <w:b/>
                <w:bCs/>
                <w:szCs w:val="20"/>
              </w:rPr>
              <w:t>María Elena Estavillo Flores</w:t>
            </w:r>
          </w:p>
          <w:p w14:paraId="0ED0700E" w14:textId="77777777" w:rsidR="007C65E1" w:rsidRPr="009320D9" w:rsidRDefault="007C65E1" w:rsidP="00C07BE4">
            <w:pPr>
              <w:spacing w:after="0" w:line="240" w:lineRule="auto"/>
              <w:jc w:val="center"/>
              <w:rPr>
                <w:bCs/>
                <w:szCs w:val="20"/>
              </w:rPr>
            </w:pPr>
            <w:r w:rsidRPr="009320D9">
              <w:rPr>
                <w:b/>
                <w:bCs/>
                <w:szCs w:val="20"/>
              </w:rPr>
              <w:t>Comisionada</w:t>
            </w:r>
            <w:r w:rsidRPr="009320D9">
              <w:rPr>
                <w:bCs/>
                <w:szCs w:val="20"/>
              </w:rPr>
              <w:t xml:space="preserve"> </w:t>
            </w:r>
          </w:p>
          <w:p w14:paraId="6D677178" w14:textId="77777777" w:rsidR="007C65E1" w:rsidRPr="009320D9" w:rsidRDefault="007C65E1" w:rsidP="00C07BE4">
            <w:pPr>
              <w:spacing w:after="0" w:line="240" w:lineRule="auto"/>
              <w:jc w:val="center"/>
              <w:rPr>
                <w:bCs/>
                <w:szCs w:val="20"/>
              </w:rPr>
            </w:pPr>
          </w:p>
          <w:p w14:paraId="34790520" w14:textId="77777777" w:rsidR="007C65E1" w:rsidRDefault="007C65E1" w:rsidP="00C07BE4">
            <w:pPr>
              <w:spacing w:after="0" w:line="240" w:lineRule="auto"/>
              <w:jc w:val="center"/>
              <w:rPr>
                <w:bCs/>
                <w:szCs w:val="20"/>
              </w:rPr>
            </w:pPr>
          </w:p>
          <w:p w14:paraId="21C67245" w14:textId="77777777" w:rsidR="007C65E1" w:rsidRPr="009320D9" w:rsidRDefault="007C65E1" w:rsidP="00C07BE4">
            <w:pPr>
              <w:spacing w:after="0" w:line="240" w:lineRule="auto"/>
              <w:jc w:val="center"/>
              <w:rPr>
                <w:bCs/>
                <w:szCs w:val="20"/>
              </w:rPr>
            </w:pPr>
          </w:p>
          <w:p w14:paraId="551A8C25" w14:textId="77777777" w:rsidR="007C65E1" w:rsidRPr="009320D9" w:rsidRDefault="007C65E1" w:rsidP="00C07BE4">
            <w:pPr>
              <w:spacing w:after="0" w:line="240" w:lineRule="auto"/>
              <w:jc w:val="center"/>
              <w:rPr>
                <w:bCs/>
                <w:szCs w:val="20"/>
              </w:rPr>
            </w:pPr>
          </w:p>
        </w:tc>
      </w:tr>
      <w:tr w:rsidR="007C65E1" w:rsidRPr="009320D9" w14:paraId="6B6E3D64" w14:textId="77777777" w:rsidTr="00C07BE4">
        <w:trPr>
          <w:trHeight w:val="1308"/>
        </w:trPr>
        <w:tc>
          <w:tcPr>
            <w:tcW w:w="2100" w:type="pct"/>
          </w:tcPr>
          <w:p w14:paraId="0AFDF893" w14:textId="77777777" w:rsidR="007C65E1" w:rsidRPr="009320D9" w:rsidRDefault="007C65E1" w:rsidP="00C07BE4">
            <w:pPr>
              <w:spacing w:after="0" w:line="240" w:lineRule="auto"/>
              <w:jc w:val="center"/>
              <w:rPr>
                <w:b/>
                <w:bCs/>
                <w:szCs w:val="20"/>
              </w:rPr>
            </w:pPr>
            <w:r w:rsidRPr="009320D9">
              <w:rPr>
                <w:b/>
                <w:bCs/>
                <w:szCs w:val="20"/>
              </w:rPr>
              <w:t>Mario Germán Fromow Rangel</w:t>
            </w:r>
          </w:p>
          <w:p w14:paraId="4C35CA30" w14:textId="77777777" w:rsidR="007C65E1" w:rsidRPr="009320D9" w:rsidRDefault="007C65E1" w:rsidP="00C07BE4">
            <w:pPr>
              <w:spacing w:after="0" w:line="240" w:lineRule="auto"/>
              <w:jc w:val="center"/>
              <w:rPr>
                <w:b/>
                <w:bCs/>
                <w:szCs w:val="20"/>
              </w:rPr>
            </w:pPr>
            <w:r w:rsidRPr="009320D9">
              <w:rPr>
                <w:b/>
                <w:bCs/>
                <w:szCs w:val="20"/>
              </w:rPr>
              <w:t>Comisionado</w:t>
            </w:r>
          </w:p>
          <w:p w14:paraId="469A6269" w14:textId="77777777" w:rsidR="007C65E1" w:rsidRPr="009320D9" w:rsidRDefault="007C65E1" w:rsidP="00C07BE4">
            <w:pPr>
              <w:spacing w:after="0" w:line="240" w:lineRule="auto"/>
              <w:jc w:val="center"/>
              <w:rPr>
                <w:bCs/>
                <w:szCs w:val="20"/>
              </w:rPr>
            </w:pPr>
          </w:p>
        </w:tc>
        <w:tc>
          <w:tcPr>
            <w:tcW w:w="991" w:type="pct"/>
          </w:tcPr>
          <w:p w14:paraId="2BBE4138" w14:textId="77777777" w:rsidR="007C65E1" w:rsidRPr="009320D9" w:rsidRDefault="007C65E1" w:rsidP="00C07BE4">
            <w:pPr>
              <w:spacing w:after="0" w:line="240" w:lineRule="auto"/>
              <w:jc w:val="center"/>
              <w:rPr>
                <w:bCs/>
                <w:szCs w:val="20"/>
              </w:rPr>
            </w:pPr>
          </w:p>
        </w:tc>
        <w:tc>
          <w:tcPr>
            <w:tcW w:w="1909" w:type="pct"/>
          </w:tcPr>
          <w:p w14:paraId="3CD8CA79" w14:textId="77777777" w:rsidR="007C65E1" w:rsidRPr="009320D9" w:rsidRDefault="007C65E1" w:rsidP="00C07BE4">
            <w:pPr>
              <w:spacing w:after="0" w:line="240" w:lineRule="auto"/>
              <w:jc w:val="center"/>
              <w:rPr>
                <w:b/>
                <w:bCs/>
                <w:szCs w:val="20"/>
              </w:rPr>
            </w:pPr>
            <w:r w:rsidRPr="009320D9">
              <w:rPr>
                <w:b/>
                <w:bCs/>
                <w:szCs w:val="20"/>
              </w:rPr>
              <w:t>Adolfo Cuevas Teja</w:t>
            </w:r>
          </w:p>
          <w:p w14:paraId="63DC6895" w14:textId="77777777" w:rsidR="007C65E1" w:rsidRPr="009320D9" w:rsidRDefault="007C65E1" w:rsidP="00C07BE4">
            <w:pPr>
              <w:spacing w:after="0" w:line="240" w:lineRule="auto"/>
              <w:jc w:val="center"/>
              <w:rPr>
                <w:bCs/>
                <w:szCs w:val="20"/>
              </w:rPr>
            </w:pPr>
            <w:r w:rsidRPr="009320D9">
              <w:rPr>
                <w:b/>
                <w:bCs/>
                <w:szCs w:val="20"/>
              </w:rPr>
              <w:t>Comisionado</w:t>
            </w:r>
            <w:r w:rsidRPr="009320D9">
              <w:rPr>
                <w:bCs/>
                <w:szCs w:val="20"/>
              </w:rPr>
              <w:t xml:space="preserve"> </w:t>
            </w:r>
          </w:p>
          <w:p w14:paraId="19A51A29" w14:textId="77777777" w:rsidR="007C65E1" w:rsidRDefault="007C65E1" w:rsidP="00C07BE4">
            <w:pPr>
              <w:spacing w:after="0" w:line="240" w:lineRule="auto"/>
              <w:jc w:val="center"/>
              <w:rPr>
                <w:bCs/>
                <w:szCs w:val="20"/>
              </w:rPr>
            </w:pPr>
          </w:p>
          <w:p w14:paraId="6DE95E4C" w14:textId="77777777" w:rsidR="007C65E1" w:rsidRPr="009320D9" w:rsidRDefault="007C65E1" w:rsidP="00C07BE4">
            <w:pPr>
              <w:spacing w:after="0" w:line="240" w:lineRule="auto"/>
              <w:jc w:val="center"/>
              <w:rPr>
                <w:bCs/>
                <w:szCs w:val="20"/>
              </w:rPr>
            </w:pPr>
          </w:p>
          <w:p w14:paraId="2CD38DC9" w14:textId="77777777" w:rsidR="007C65E1" w:rsidRPr="009320D9" w:rsidRDefault="007C65E1" w:rsidP="00C07BE4">
            <w:pPr>
              <w:spacing w:after="0" w:line="240" w:lineRule="auto"/>
              <w:jc w:val="center"/>
              <w:rPr>
                <w:bCs/>
                <w:szCs w:val="20"/>
              </w:rPr>
            </w:pPr>
          </w:p>
          <w:p w14:paraId="4AF31B61" w14:textId="77777777" w:rsidR="007C65E1" w:rsidRPr="009320D9" w:rsidRDefault="007C65E1" w:rsidP="00C07BE4">
            <w:pPr>
              <w:spacing w:after="0" w:line="240" w:lineRule="auto"/>
              <w:jc w:val="center"/>
              <w:rPr>
                <w:bCs/>
                <w:szCs w:val="20"/>
              </w:rPr>
            </w:pPr>
          </w:p>
        </w:tc>
      </w:tr>
      <w:tr w:rsidR="007C65E1" w:rsidRPr="009320D9" w14:paraId="49D4AB18" w14:textId="77777777" w:rsidTr="00C07BE4">
        <w:trPr>
          <w:trHeight w:val="369"/>
        </w:trPr>
        <w:tc>
          <w:tcPr>
            <w:tcW w:w="2100" w:type="pct"/>
            <w:hideMark/>
          </w:tcPr>
          <w:p w14:paraId="7F360768" w14:textId="77777777" w:rsidR="007C65E1" w:rsidRPr="009320D9" w:rsidRDefault="007C65E1" w:rsidP="00C07BE4">
            <w:pPr>
              <w:spacing w:after="0" w:line="256" w:lineRule="auto"/>
              <w:jc w:val="center"/>
              <w:rPr>
                <w:b/>
                <w:bCs/>
                <w:szCs w:val="20"/>
              </w:rPr>
            </w:pPr>
            <w:r w:rsidRPr="009320D9">
              <w:rPr>
                <w:b/>
                <w:bCs/>
                <w:szCs w:val="20"/>
              </w:rPr>
              <w:t>Javier Juárez Mojica</w:t>
            </w:r>
          </w:p>
          <w:p w14:paraId="56C71824" w14:textId="77777777" w:rsidR="007C65E1" w:rsidRPr="009320D9" w:rsidRDefault="007C65E1" w:rsidP="00C07BE4">
            <w:pPr>
              <w:spacing w:after="0" w:line="256" w:lineRule="auto"/>
              <w:jc w:val="center"/>
              <w:rPr>
                <w:bCs/>
                <w:szCs w:val="20"/>
              </w:rPr>
            </w:pPr>
            <w:r w:rsidRPr="009320D9">
              <w:rPr>
                <w:b/>
                <w:bCs/>
                <w:szCs w:val="20"/>
              </w:rPr>
              <w:t>Comisionado</w:t>
            </w:r>
          </w:p>
        </w:tc>
        <w:tc>
          <w:tcPr>
            <w:tcW w:w="991" w:type="pct"/>
          </w:tcPr>
          <w:p w14:paraId="2EF6048E" w14:textId="77777777" w:rsidR="007C65E1" w:rsidRPr="009320D9" w:rsidRDefault="007C65E1" w:rsidP="00C07BE4">
            <w:pPr>
              <w:spacing w:after="0" w:line="256" w:lineRule="auto"/>
              <w:jc w:val="center"/>
              <w:rPr>
                <w:bCs/>
                <w:szCs w:val="20"/>
              </w:rPr>
            </w:pPr>
          </w:p>
        </w:tc>
        <w:tc>
          <w:tcPr>
            <w:tcW w:w="1909" w:type="pct"/>
            <w:hideMark/>
          </w:tcPr>
          <w:p w14:paraId="2F198F82" w14:textId="77777777" w:rsidR="007C65E1" w:rsidRPr="009320D9" w:rsidRDefault="007C65E1" w:rsidP="00C07BE4">
            <w:pPr>
              <w:spacing w:after="0" w:line="256" w:lineRule="auto"/>
              <w:jc w:val="center"/>
              <w:rPr>
                <w:b/>
                <w:bCs/>
                <w:szCs w:val="20"/>
              </w:rPr>
            </w:pPr>
            <w:r w:rsidRPr="009320D9">
              <w:rPr>
                <w:b/>
                <w:bCs/>
                <w:szCs w:val="20"/>
              </w:rPr>
              <w:t>Arturo Robles Rovalo</w:t>
            </w:r>
          </w:p>
          <w:p w14:paraId="02A3327E" w14:textId="77777777" w:rsidR="007C65E1" w:rsidRPr="009320D9" w:rsidRDefault="007C65E1" w:rsidP="00C07BE4">
            <w:pPr>
              <w:spacing w:after="0" w:line="256" w:lineRule="auto"/>
              <w:jc w:val="center"/>
              <w:rPr>
                <w:bCs/>
                <w:szCs w:val="20"/>
              </w:rPr>
            </w:pPr>
            <w:r w:rsidRPr="009320D9">
              <w:rPr>
                <w:b/>
                <w:bCs/>
                <w:szCs w:val="20"/>
              </w:rPr>
              <w:t>Comisionado</w:t>
            </w:r>
          </w:p>
        </w:tc>
      </w:tr>
    </w:tbl>
    <w:p w14:paraId="7EB48EB6" w14:textId="77777777" w:rsidR="007C65E1" w:rsidRDefault="007C65E1" w:rsidP="007C65E1">
      <w:pPr>
        <w:autoSpaceDE w:val="0"/>
        <w:autoSpaceDN w:val="0"/>
        <w:adjustRightInd w:val="0"/>
        <w:spacing w:after="0" w:line="240" w:lineRule="auto"/>
        <w:rPr>
          <w:bCs/>
          <w:sz w:val="20"/>
          <w:szCs w:val="20"/>
        </w:rPr>
      </w:pPr>
    </w:p>
    <w:p w14:paraId="3AB95371" w14:textId="77777777" w:rsidR="0073258A" w:rsidRPr="00897DD4" w:rsidRDefault="0073258A" w:rsidP="00897DD4">
      <w:pPr>
        <w:spacing w:after="0" w:line="240" w:lineRule="auto"/>
        <w:rPr>
          <w:sz w:val="14"/>
          <w:szCs w:val="14"/>
        </w:rPr>
      </w:pPr>
    </w:p>
    <w:p w14:paraId="472283B8" w14:textId="77777777" w:rsidR="00897DD4" w:rsidRDefault="00897DD4" w:rsidP="00897DD4">
      <w:pPr>
        <w:spacing w:after="0" w:line="240" w:lineRule="auto"/>
        <w:rPr>
          <w:sz w:val="14"/>
          <w:szCs w:val="14"/>
        </w:rPr>
      </w:pPr>
    </w:p>
    <w:p w14:paraId="10C4749E" w14:textId="77777777" w:rsidR="00897DD4" w:rsidRDefault="00897DD4" w:rsidP="00897DD4">
      <w:pPr>
        <w:spacing w:after="0" w:line="240" w:lineRule="auto"/>
        <w:rPr>
          <w:sz w:val="14"/>
          <w:szCs w:val="14"/>
        </w:rPr>
      </w:pPr>
      <w:r w:rsidRPr="00897DD4">
        <w:rPr>
          <w:sz w:val="14"/>
          <w:szCs w:val="14"/>
        </w:rPr>
        <w:t xml:space="preserve">El presente Acuerdo fue aprobado por el Pleno del Instituto Federal de Telecomunicaciones en su XXIII Sesión Ordinaria celebrada el 14 de junio de 2017, </w:t>
      </w:r>
      <w:r w:rsidRPr="00897DD4">
        <w:rPr>
          <w:bCs/>
          <w:sz w:val="14"/>
          <w:szCs w:val="14"/>
        </w:rPr>
        <w:t xml:space="preserve">por unanimidad </w:t>
      </w:r>
      <w:r w:rsidRPr="00897DD4">
        <w:rPr>
          <w:sz w:val="14"/>
          <w:szCs w:val="14"/>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P/IFT/140617/323.</w:t>
      </w:r>
    </w:p>
    <w:p w14:paraId="397B3810" w14:textId="77777777" w:rsidR="00897DD4" w:rsidRPr="00897DD4" w:rsidRDefault="00897DD4" w:rsidP="00897DD4">
      <w:pPr>
        <w:spacing w:after="0" w:line="240" w:lineRule="auto"/>
        <w:rPr>
          <w:sz w:val="14"/>
          <w:szCs w:val="14"/>
        </w:rPr>
      </w:pPr>
    </w:p>
    <w:p w14:paraId="0387EE0F" w14:textId="37228D09" w:rsidR="00897DD4" w:rsidRDefault="00897DD4" w:rsidP="00897DD4">
      <w:pPr>
        <w:pStyle w:val="Prrafodelista"/>
        <w:numPr>
          <w:ilvl w:val="0"/>
          <w:numId w:val="0"/>
        </w:numPr>
        <w:spacing w:before="0" w:after="0" w:line="240" w:lineRule="auto"/>
      </w:pPr>
      <w:r w:rsidRPr="00897DD4">
        <w:rPr>
          <w:sz w:val="14"/>
          <w:szCs w:val="14"/>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897DD4" w:rsidSect="007C65E1">
      <w:footerReference w:type="default" r:id="rId8"/>
      <w:headerReference w:type="first" r:id="rId9"/>
      <w:footerReference w:type="first" r:id="rId10"/>
      <w:pgSz w:w="12240" w:h="15840" w:code="1"/>
      <w:pgMar w:top="1985" w:right="1418"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904EF" w14:textId="77777777" w:rsidR="000B132A" w:rsidRDefault="000B132A">
      <w:pPr>
        <w:spacing w:after="0" w:line="240" w:lineRule="auto"/>
      </w:pPr>
      <w:r>
        <w:separator/>
      </w:r>
    </w:p>
  </w:endnote>
  <w:endnote w:type="continuationSeparator" w:id="0">
    <w:p w14:paraId="73B1F54E" w14:textId="77777777" w:rsidR="000B132A" w:rsidRDefault="000B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636652"/>
      <w:docPartObj>
        <w:docPartGallery w:val="Page Numbers (Bottom of Page)"/>
        <w:docPartUnique/>
      </w:docPartObj>
    </w:sdtPr>
    <w:sdtEndPr>
      <w:rPr>
        <w:sz w:val="20"/>
        <w:szCs w:val="20"/>
      </w:rPr>
    </w:sdtEndPr>
    <w:sdtContent>
      <w:p w14:paraId="13C83EEF" w14:textId="4F4EFDA5" w:rsidR="006A563D" w:rsidRPr="006A563D" w:rsidRDefault="006A563D">
        <w:pPr>
          <w:pStyle w:val="Piedepgina0"/>
          <w:jc w:val="right"/>
          <w:rPr>
            <w:sz w:val="20"/>
            <w:szCs w:val="20"/>
          </w:rPr>
        </w:pPr>
        <w:r w:rsidRPr="006A563D">
          <w:rPr>
            <w:sz w:val="20"/>
            <w:szCs w:val="20"/>
          </w:rPr>
          <w:fldChar w:fldCharType="begin"/>
        </w:r>
        <w:r w:rsidRPr="006A563D">
          <w:rPr>
            <w:sz w:val="20"/>
            <w:szCs w:val="20"/>
          </w:rPr>
          <w:instrText>PAGE   \* MERGEFORMAT</w:instrText>
        </w:r>
        <w:r w:rsidRPr="006A563D">
          <w:rPr>
            <w:sz w:val="20"/>
            <w:szCs w:val="20"/>
          </w:rPr>
          <w:fldChar w:fldCharType="separate"/>
        </w:r>
        <w:r w:rsidR="00897DD4" w:rsidRPr="00897DD4">
          <w:rPr>
            <w:noProof/>
            <w:sz w:val="20"/>
            <w:szCs w:val="20"/>
            <w:lang w:val="es-ES"/>
          </w:rPr>
          <w:t>9</w:t>
        </w:r>
        <w:r w:rsidRPr="006A563D">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4D6817" w:rsidRPr="00702608" w14:paraId="314A6C95" w14:textId="77777777" w:rsidTr="009255E8">
      <w:tc>
        <w:tcPr>
          <w:tcW w:w="9351" w:type="dxa"/>
        </w:tcPr>
        <w:p w14:paraId="4F7E930E" w14:textId="77777777" w:rsidR="004D6817" w:rsidRPr="00702608" w:rsidRDefault="00897DD4" w:rsidP="003A6AA7">
          <w:pPr>
            <w:pStyle w:val="Piedepgina0"/>
          </w:pPr>
        </w:p>
      </w:tc>
      <w:tc>
        <w:tcPr>
          <w:tcW w:w="855" w:type="dxa"/>
          <w:vAlign w:val="bottom"/>
        </w:tcPr>
        <w:p w14:paraId="45DC58E0" w14:textId="77777777" w:rsidR="004D6817" w:rsidRPr="00702608" w:rsidRDefault="001A262F" w:rsidP="00E20513">
          <w:pPr>
            <w:pStyle w:val="Piedepgina0"/>
            <w:jc w:val="right"/>
          </w:pPr>
          <w:r w:rsidRPr="00702608">
            <w:fldChar w:fldCharType="begin"/>
          </w:r>
          <w:r w:rsidRPr="00702608">
            <w:instrText xml:space="preserve"> PAGE   </w:instrText>
          </w:r>
          <w:r w:rsidRPr="00702608">
            <w:fldChar w:fldCharType="separate"/>
          </w:r>
          <w:r>
            <w:rPr>
              <w:noProof/>
            </w:rPr>
            <w:t>1</w:t>
          </w:r>
          <w:r w:rsidRPr="00702608">
            <w:fldChar w:fldCharType="end"/>
          </w:r>
        </w:p>
      </w:tc>
    </w:tr>
  </w:tbl>
  <w:p w14:paraId="0F34567D" w14:textId="77777777" w:rsidR="004D6817" w:rsidRDefault="00897DD4">
    <w:pPr>
      <w:pStyle w:val="Piedepgin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7EBF8" w14:textId="77777777" w:rsidR="000B132A" w:rsidRDefault="000B132A">
      <w:pPr>
        <w:spacing w:after="0" w:line="240" w:lineRule="auto"/>
      </w:pPr>
      <w:r>
        <w:separator/>
      </w:r>
    </w:p>
  </w:footnote>
  <w:footnote w:type="continuationSeparator" w:id="0">
    <w:p w14:paraId="3D29185C" w14:textId="77777777" w:rsidR="000B132A" w:rsidRDefault="000B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03DDE" w14:textId="77777777" w:rsidR="004D6817" w:rsidRDefault="00897DD4" w:rsidP="00741DB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1B223032"/>
    <w:lvl w:ilvl="0">
      <w:start w:val="1"/>
      <w:numFmt w:val="decimal"/>
      <w:lvlText w:val="%1."/>
      <w:lvlJc w:val="left"/>
      <w:pPr>
        <w:ind w:left="360" w:hanging="360"/>
      </w:pPr>
    </w:lvl>
    <w:lvl w:ilvl="1">
      <w:start w:val="1"/>
      <w:numFmt w:val="decimal"/>
      <w:lvlText w:val="%1.%2"/>
      <w:lvlJc w:val="left"/>
      <w:pPr>
        <w:ind w:left="3837" w:hanging="576"/>
      </w:p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09A0C46"/>
    <w:multiLevelType w:val="multilevel"/>
    <w:tmpl w:val="E79AA7C4"/>
    <w:name w:val="NumberedList4"/>
    <w:numStyleLink w:val="ListNumStyle"/>
  </w:abstractNum>
  <w:abstractNum w:abstractNumId="3" w15:restartNumberingAfterBreak="0">
    <w:nsid w:val="4A0744BE"/>
    <w:multiLevelType w:val="multilevel"/>
    <w:tmpl w:val="2CBA58FA"/>
    <w:name w:val="ParaBulletList"/>
    <w:lvl w:ilvl="0">
      <w:start w:val="1"/>
      <w:numFmt w:val="bullet"/>
      <w:pStyle w:val="ParaBullet1"/>
      <w:lvlText w:val=""/>
      <w:lvlJc w:val="left"/>
      <w:pPr>
        <w:tabs>
          <w:tab w:val="num" w:pos="340"/>
        </w:tabs>
        <w:ind w:left="340" w:hanging="340"/>
      </w:pPr>
      <w:rPr>
        <w:rFonts w:ascii="Symbol" w:hAnsi="Symbol" w:hint="default"/>
        <w:color w:val="auto"/>
      </w:rPr>
    </w:lvl>
    <w:lvl w:ilvl="1">
      <w:start w:val="1"/>
      <w:numFmt w:val="bullet"/>
      <w:pStyle w:val="ParaBullet2"/>
      <w:lvlText w:val="□"/>
      <w:lvlJc w:val="left"/>
      <w:pPr>
        <w:tabs>
          <w:tab w:val="num" w:pos="680"/>
        </w:tabs>
        <w:ind w:left="680" w:hanging="340"/>
      </w:pPr>
      <w:rPr>
        <w:rFonts w:ascii="Calibri" w:hAnsi="Calibri" w:hint="default"/>
        <w:color w:val="5B9BD5" w:themeColor="accent1"/>
      </w:rPr>
    </w:lvl>
    <w:lvl w:ilvl="2">
      <w:start w:val="1"/>
      <w:numFmt w:val="bullet"/>
      <w:pStyle w:val="ParaBullet3"/>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 w15:restartNumberingAfterBreak="0">
    <w:nsid w:val="527F2B6A"/>
    <w:multiLevelType w:val="hybridMultilevel"/>
    <w:tmpl w:val="C1BE1542"/>
    <w:lvl w:ilvl="0" w:tplc="D87C927A">
      <w:start w:val="1"/>
      <w:numFmt w:val="upperRoman"/>
      <w:pStyle w:val="Prrafodelista"/>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2"/>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B"/>
    <w:rsid w:val="00014FC8"/>
    <w:rsid w:val="00045ADE"/>
    <w:rsid w:val="0004786F"/>
    <w:rsid w:val="00057942"/>
    <w:rsid w:val="0007350D"/>
    <w:rsid w:val="000B132A"/>
    <w:rsid w:val="000C317B"/>
    <w:rsid w:val="000E11C9"/>
    <w:rsid w:val="000E5E59"/>
    <w:rsid w:val="000F0D09"/>
    <w:rsid w:val="00132612"/>
    <w:rsid w:val="00163A81"/>
    <w:rsid w:val="001709C7"/>
    <w:rsid w:val="00175334"/>
    <w:rsid w:val="001A262F"/>
    <w:rsid w:val="001C34FB"/>
    <w:rsid w:val="001E5AE9"/>
    <w:rsid w:val="00205DE0"/>
    <w:rsid w:val="0023750A"/>
    <w:rsid w:val="00265170"/>
    <w:rsid w:val="002B03A9"/>
    <w:rsid w:val="00314CF0"/>
    <w:rsid w:val="00321200"/>
    <w:rsid w:val="003216F2"/>
    <w:rsid w:val="00360644"/>
    <w:rsid w:val="003A33A0"/>
    <w:rsid w:val="003B1336"/>
    <w:rsid w:val="003C4647"/>
    <w:rsid w:val="003C5C69"/>
    <w:rsid w:val="003E2070"/>
    <w:rsid w:val="003E678C"/>
    <w:rsid w:val="0041214B"/>
    <w:rsid w:val="00413EE4"/>
    <w:rsid w:val="00463D71"/>
    <w:rsid w:val="00491390"/>
    <w:rsid w:val="004A0E59"/>
    <w:rsid w:val="004B5C55"/>
    <w:rsid w:val="004D14D1"/>
    <w:rsid w:val="005312E8"/>
    <w:rsid w:val="0055571C"/>
    <w:rsid w:val="005B4BF1"/>
    <w:rsid w:val="005B5E94"/>
    <w:rsid w:val="005C13B5"/>
    <w:rsid w:val="005E230A"/>
    <w:rsid w:val="005F1332"/>
    <w:rsid w:val="005F6C95"/>
    <w:rsid w:val="00603369"/>
    <w:rsid w:val="006135A9"/>
    <w:rsid w:val="00642EE5"/>
    <w:rsid w:val="00645FAF"/>
    <w:rsid w:val="006A563D"/>
    <w:rsid w:val="006E0059"/>
    <w:rsid w:val="006E67FC"/>
    <w:rsid w:val="006F5020"/>
    <w:rsid w:val="00704BBD"/>
    <w:rsid w:val="00723A2F"/>
    <w:rsid w:val="0073258A"/>
    <w:rsid w:val="00742976"/>
    <w:rsid w:val="00762725"/>
    <w:rsid w:val="007942D7"/>
    <w:rsid w:val="007B2D8F"/>
    <w:rsid w:val="007C65E1"/>
    <w:rsid w:val="007F0CFD"/>
    <w:rsid w:val="00840682"/>
    <w:rsid w:val="00842A3D"/>
    <w:rsid w:val="0085221C"/>
    <w:rsid w:val="00897DD4"/>
    <w:rsid w:val="008B7FCE"/>
    <w:rsid w:val="00960F28"/>
    <w:rsid w:val="0098595C"/>
    <w:rsid w:val="009C36D0"/>
    <w:rsid w:val="009D4C88"/>
    <w:rsid w:val="009E4106"/>
    <w:rsid w:val="00A021AA"/>
    <w:rsid w:val="00A02D1C"/>
    <w:rsid w:val="00A147D2"/>
    <w:rsid w:val="00A473B5"/>
    <w:rsid w:val="00A65106"/>
    <w:rsid w:val="00A72241"/>
    <w:rsid w:val="00AA4FA4"/>
    <w:rsid w:val="00AA5FE9"/>
    <w:rsid w:val="00AB49DE"/>
    <w:rsid w:val="00BC6EFD"/>
    <w:rsid w:val="00BC7F78"/>
    <w:rsid w:val="00C30D47"/>
    <w:rsid w:val="00C32FC9"/>
    <w:rsid w:val="00C455A6"/>
    <w:rsid w:val="00C505B6"/>
    <w:rsid w:val="00C613F0"/>
    <w:rsid w:val="00C66622"/>
    <w:rsid w:val="00C71F2A"/>
    <w:rsid w:val="00C7465E"/>
    <w:rsid w:val="00CA29F7"/>
    <w:rsid w:val="00CB3D87"/>
    <w:rsid w:val="00CE0383"/>
    <w:rsid w:val="00D56977"/>
    <w:rsid w:val="00D76A48"/>
    <w:rsid w:val="00DB00B7"/>
    <w:rsid w:val="00DB303D"/>
    <w:rsid w:val="00DB7A39"/>
    <w:rsid w:val="00E15445"/>
    <w:rsid w:val="00E76AE8"/>
    <w:rsid w:val="00E93865"/>
    <w:rsid w:val="00EE570C"/>
    <w:rsid w:val="00EE773C"/>
    <w:rsid w:val="00F07FF1"/>
    <w:rsid w:val="00F46876"/>
    <w:rsid w:val="00F70A91"/>
    <w:rsid w:val="00F816A6"/>
    <w:rsid w:val="00FA1145"/>
    <w:rsid w:val="00FA7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475B4"/>
  <w15:chartTrackingRefBased/>
  <w15:docId w15:val="{523ECF6C-B2DA-4DA2-801D-9BF91295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59"/>
    <w:pPr>
      <w:spacing w:after="120" w:line="300" w:lineRule="auto"/>
      <w:jc w:val="both"/>
    </w:pPr>
    <w:rPr>
      <w:rFonts w:eastAsiaTheme="minorEastAsia"/>
    </w:rPr>
  </w:style>
  <w:style w:type="paragraph" w:styleId="Ttulo1">
    <w:name w:val="heading 1"/>
    <w:basedOn w:val="Normal"/>
    <w:next w:val="Normal"/>
    <w:link w:val="Ttulo1Car"/>
    <w:uiPriority w:val="9"/>
    <w:qFormat/>
    <w:rsid w:val="007B2D8F"/>
    <w:pPr>
      <w:keepNext/>
      <w:spacing w:before="240" w:line="264" w:lineRule="auto"/>
      <w:outlineLvl w:val="0"/>
    </w:pPr>
    <w:rPr>
      <w:rFonts w:eastAsia="Arial" w:cs="Arial"/>
      <w:b/>
      <w:smallCaps/>
      <w:sz w:val="24"/>
      <w:szCs w:val="16"/>
      <w:lang w:val="es-ES_tradnl"/>
    </w:rPr>
  </w:style>
  <w:style w:type="paragraph" w:styleId="Ttulo2">
    <w:name w:val="heading 2"/>
    <w:basedOn w:val="Normal"/>
    <w:next w:val="Normal"/>
    <w:link w:val="Ttulo2Car"/>
    <w:uiPriority w:val="9"/>
    <w:unhideWhenUsed/>
    <w:qFormat/>
    <w:rsid w:val="007B2D8F"/>
    <w:pPr>
      <w:spacing w:before="160" w:after="160" w:line="259" w:lineRule="auto"/>
      <w:jc w:val="center"/>
      <w:outlineLvl w:val="1"/>
    </w:pPr>
    <w:rPr>
      <w:rFonts w:eastAsia="Arial" w:cs="Arial"/>
      <w:b/>
      <w:szCs w:val="14"/>
      <w:lang w:val="es-ES_tradnl"/>
    </w:rPr>
  </w:style>
  <w:style w:type="paragraph" w:styleId="Ttulo3">
    <w:name w:val="heading 3"/>
    <w:basedOn w:val="Normal"/>
    <w:next w:val="Normal"/>
    <w:link w:val="Ttulo3Car"/>
    <w:uiPriority w:val="9"/>
    <w:unhideWhenUsed/>
    <w:qFormat/>
    <w:rsid w:val="000E5E59"/>
    <w:pPr>
      <w:keepNext/>
      <w:keepLines/>
      <w:numPr>
        <w:ilvl w:val="2"/>
        <w:numId w:val="7"/>
      </w:numPr>
      <w:spacing w:before="200" w:after="0"/>
      <w:outlineLvl w:val="2"/>
    </w:pPr>
    <w:rPr>
      <w:rFonts w:asciiTheme="majorHAnsi" w:eastAsiaTheme="majorEastAsia" w:hAnsiTheme="majorHAnsi" w:cstheme="majorBidi"/>
      <w:b/>
      <w:bCs/>
      <w:color w:val="5B9BD5" w:themeColor="accent1"/>
      <w:sz w:val="24"/>
    </w:rPr>
  </w:style>
  <w:style w:type="paragraph" w:styleId="Ttulo4">
    <w:name w:val="heading 4"/>
    <w:basedOn w:val="Normal"/>
    <w:next w:val="Normal"/>
    <w:link w:val="Ttulo4Car"/>
    <w:uiPriority w:val="9"/>
    <w:unhideWhenUsed/>
    <w:qFormat/>
    <w:rsid w:val="000E5E59"/>
    <w:pPr>
      <w:keepNext/>
      <w:keepLines/>
      <w:numPr>
        <w:ilvl w:val="3"/>
        <w:numId w:val="7"/>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Ttulo4"/>
    <w:next w:val="Normal"/>
    <w:link w:val="Ttulo5Car"/>
    <w:uiPriority w:val="9"/>
    <w:unhideWhenUsed/>
    <w:qFormat/>
    <w:rsid w:val="000E5E59"/>
    <w:pPr>
      <w:numPr>
        <w:ilvl w:val="0"/>
        <w:numId w:val="0"/>
      </w:numPr>
      <w:outlineLvl w:val="4"/>
    </w:pPr>
  </w:style>
  <w:style w:type="paragraph" w:styleId="Ttulo6">
    <w:name w:val="heading 6"/>
    <w:basedOn w:val="Normal"/>
    <w:next w:val="Normal"/>
    <w:link w:val="Ttulo6Car"/>
    <w:uiPriority w:val="9"/>
    <w:unhideWhenUsed/>
    <w:qFormat/>
    <w:rsid w:val="000E5E5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0E5E5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F70A91"/>
    <w:pPr>
      <w:pBdr>
        <w:bottom w:val="double" w:sz="4" w:space="1" w:color="auto"/>
      </w:pBdr>
    </w:pPr>
  </w:style>
  <w:style w:type="character" w:customStyle="1" w:styleId="Estilo1Car">
    <w:name w:val="Estilo1 Car"/>
    <w:basedOn w:val="Fuentedeprrafopredeter"/>
    <w:link w:val="Estilo1"/>
    <w:rsid w:val="00F70A91"/>
    <w:rPr>
      <w:rFonts w:ascii="ITC Avant Garde" w:hAnsi="ITC Avant Garde"/>
    </w:rPr>
  </w:style>
  <w:style w:type="character" w:customStyle="1" w:styleId="Ttulo1Car">
    <w:name w:val="Título 1 Car"/>
    <w:basedOn w:val="Fuentedeprrafopredeter"/>
    <w:link w:val="Ttulo1"/>
    <w:uiPriority w:val="9"/>
    <w:rsid w:val="007B2D8F"/>
    <w:rPr>
      <w:rFonts w:eastAsia="Arial" w:cs="Arial"/>
      <w:b/>
      <w:smallCaps/>
      <w:sz w:val="24"/>
      <w:szCs w:val="16"/>
      <w:lang w:val="es-ES_tradnl"/>
    </w:rPr>
  </w:style>
  <w:style w:type="character" w:customStyle="1" w:styleId="Ttulo2Car">
    <w:name w:val="Título 2 Car"/>
    <w:basedOn w:val="Fuentedeprrafopredeter"/>
    <w:link w:val="Ttulo2"/>
    <w:uiPriority w:val="9"/>
    <w:rsid w:val="007B2D8F"/>
    <w:rPr>
      <w:rFonts w:eastAsia="Arial" w:cs="Arial"/>
      <w:b/>
      <w:szCs w:val="14"/>
      <w:lang w:val="es-ES_tradnl"/>
    </w:rPr>
  </w:style>
  <w:style w:type="character" w:customStyle="1" w:styleId="Ttulo3Car">
    <w:name w:val="Título 3 Car"/>
    <w:basedOn w:val="Fuentedeprrafopredeter"/>
    <w:link w:val="Ttulo3"/>
    <w:uiPriority w:val="9"/>
    <w:rsid w:val="000E5E59"/>
    <w:rPr>
      <w:rFonts w:asciiTheme="majorHAnsi" w:eastAsiaTheme="majorEastAsia" w:hAnsiTheme="majorHAnsi" w:cstheme="majorBidi"/>
      <w:b/>
      <w:bCs/>
      <w:color w:val="5B9BD5" w:themeColor="accent1"/>
      <w:sz w:val="24"/>
    </w:rPr>
  </w:style>
  <w:style w:type="character" w:customStyle="1" w:styleId="Ttulo4Car">
    <w:name w:val="Título 4 Car"/>
    <w:basedOn w:val="Fuentedeprrafopredeter"/>
    <w:link w:val="Ttulo4"/>
    <w:uiPriority w:val="9"/>
    <w:rsid w:val="000E5E59"/>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0E5E59"/>
    <w:rPr>
      <w:rFonts w:asciiTheme="majorHAnsi" w:eastAsiaTheme="majorEastAsia" w:hAnsiTheme="majorHAnsi" w:cstheme="majorBidi"/>
      <w:b/>
      <w:bCs/>
      <w:i/>
      <w:iCs/>
      <w:color w:val="000000" w:themeColor="text1"/>
    </w:rPr>
  </w:style>
  <w:style w:type="character" w:customStyle="1" w:styleId="Ttulo6Car">
    <w:name w:val="Título 6 Car"/>
    <w:basedOn w:val="Fuentedeprrafopredeter"/>
    <w:link w:val="Ttulo6"/>
    <w:uiPriority w:val="9"/>
    <w:rsid w:val="000E5E59"/>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0E5E59"/>
    <w:rPr>
      <w:rFonts w:asciiTheme="majorHAnsi" w:eastAsiaTheme="majorEastAsia" w:hAnsiTheme="majorHAnsi" w:cstheme="majorBidi"/>
      <w:i/>
      <w:iCs/>
      <w:color w:val="404040" w:themeColor="text1" w:themeTint="BF"/>
    </w:rPr>
  </w:style>
  <w:style w:type="paragraph" w:customStyle="1" w:styleId="PiedePgina">
    <w:name w:val="Pie de Página"/>
    <w:basedOn w:val="Sinespaciado"/>
    <w:link w:val="PiedePginaCar"/>
    <w:qFormat/>
    <w:rsid w:val="000E5E59"/>
    <w:pPr>
      <w:spacing w:line="160" w:lineRule="atLeast"/>
    </w:pPr>
    <w:rPr>
      <w:bCs/>
      <w:sz w:val="16"/>
      <w:szCs w:val="16"/>
    </w:rPr>
  </w:style>
  <w:style w:type="character" w:customStyle="1" w:styleId="PiedePginaCar">
    <w:name w:val="Pie de Página Car"/>
    <w:basedOn w:val="Fuentedeprrafopredeter"/>
    <w:link w:val="PiedePgina"/>
    <w:rsid w:val="000E5E59"/>
    <w:rPr>
      <w:bCs/>
      <w:sz w:val="16"/>
      <w:szCs w:val="16"/>
    </w:rPr>
  </w:style>
  <w:style w:type="paragraph" w:styleId="Sinespaciado">
    <w:name w:val="No Spacing"/>
    <w:link w:val="SinespaciadoCar"/>
    <w:uiPriority w:val="1"/>
    <w:qFormat/>
    <w:rsid w:val="000E5E59"/>
    <w:pPr>
      <w:spacing w:after="0" w:line="240" w:lineRule="auto"/>
    </w:pPr>
  </w:style>
  <w:style w:type="paragraph" w:customStyle="1" w:styleId="Titulos">
    <w:name w:val="Titulos"/>
    <w:basedOn w:val="Normal"/>
    <w:link w:val="TitulosCar"/>
    <w:qFormat/>
    <w:rsid w:val="000E5E59"/>
    <w:pPr>
      <w:spacing w:after="0" w:line="240" w:lineRule="auto"/>
    </w:pPr>
    <w:rPr>
      <w:rFonts w:eastAsiaTheme="minorHAnsi"/>
      <w:b/>
      <w:color w:val="44546A" w:themeColor="text2"/>
    </w:rPr>
  </w:style>
  <w:style w:type="character" w:customStyle="1" w:styleId="TitulosCar">
    <w:name w:val="Titulos Car"/>
    <w:basedOn w:val="Fuentedeprrafopredeter"/>
    <w:link w:val="Titulos"/>
    <w:rsid w:val="000E5E59"/>
    <w:rPr>
      <w:b/>
      <w:color w:val="44546A" w:themeColor="text2"/>
    </w:rPr>
  </w:style>
  <w:style w:type="character" w:customStyle="1" w:styleId="SinespaciadoCar">
    <w:name w:val="Sin espaciado Car"/>
    <w:basedOn w:val="Fuentedeprrafopredeter"/>
    <w:link w:val="Sinespaciado"/>
    <w:uiPriority w:val="1"/>
    <w:rsid w:val="000E5E59"/>
  </w:style>
  <w:style w:type="paragraph" w:styleId="Piedepgina0">
    <w:name w:val="footer"/>
    <w:basedOn w:val="Normal"/>
    <w:link w:val="PiedepginaCar0"/>
    <w:uiPriority w:val="99"/>
    <w:unhideWhenUsed/>
    <w:rsid w:val="0041214B"/>
    <w:pPr>
      <w:tabs>
        <w:tab w:val="center" w:pos="4419"/>
        <w:tab w:val="right" w:pos="8838"/>
      </w:tabs>
      <w:spacing w:after="0" w:line="240" w:lineRule="auto"/>
    </w:pPr>
  </w:style>
  <w:style w:type="character" w:customStyle="1" w:styleId="PiedepginaCar0">
    <w:name w:val="Pie de página Car"/>
    <w:basedOn w:val="Fuentedeprrafopredeter"/>
    <w:link w:val="Piedepgina0"/>
    <w:uiPriority w:val="99"/>
    <w:rsid w:val="0041214B"/>
    <w:rPr>
      <w:rFonts w:eastAsiaTheme="minorEastAsia"/>
    </w:rPr>
  </w:style>
  <w:style w:type="paragraph" w:styleId="Encabezado">
    <w:name w:val="header"/>
    <w:basedOn w:val="Normal"/>
    <w:link w:val="EncabezadoCar"/>
    <w:uiPriority w:val="99"/>
    <w:unhideWhenUsed/>
    <w:rsid w:val="00412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14B"/>
    <w:rPr>
      <w:rFonts w:eastAsiaTheme="minorEastAsia"/>
    </w:rPr>
  </w:style>
  <w:style w:type="table" w:styleId="Tablaconcuadrcula">
    <w:name w:val="Table Grid"/>
    <w:basedOn w:val="Tablanormal"/>
    <w:rsid w:val="0041214B"/>
    <w:pPr>
      <w:spacing w:after="0" w:line="240" w:lineRule="auto"/>
    </w:pPr>
    <w:rPr>
      <w:rFonts w:ascii="Arial" w:hAnsi="Arial" w:cs="Arial"/>
      <w:color w:val="37424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ullet1">
    <w:name w:val="~ListNumBullet1"/>
    <w:basedOn w:val="Normal"/>
    <w:next w:val="Normal"/>
    <w:uiPriority w:val="3"/>
    <w:qFormat/>
    <w:rsid w:val="0041214B"/>
    <w:pPr>
      <w:numPr>
        <w:numId w:val="9"/>
      </w:numPr>
      <w:tabs>
        <w:tab w:val="clear" w:pos="340"/>
        <w:tab w:val="num" w:pos="360"/>
      </w:tabs>
      <w:spacing w:before="60" w:after="60" w:line="264" w:lineRule="auto"/>
      <w:ind w:left="0" w:firstLine="0"/>
    </w:pPr>
    <w:rPr>
      <w:rFonts w:eastAsia="Arial" w:cs="Arial"/>
      <w:lang w:val="es-ES_tradnl"/>
    </w:rPr>
  </w:style>
  <w:style w:type="numbering" w:customStyle="1" w:styleId="ListNumStyle">
    <w:name w:val="~ListNumStyle"/>
    <w:uiPriority w:val="99"/>
    <w:rsid w:val="0041214B"/>
    <w:pPr>
      <w:numPr>
        <w:numId w:val="8"/>
      </w:numPr>
    </w:pPr>
  </w:style>
  <w:style w:type="table" w:customStyle="1" w:styleId="Tablaconcuadrcula1">
    <w:name w:val="Tabla con cuadrícula1"/>
    <w:basedOn w:val="Tablanormal"/>
    <w:next w:val="Tablaconcuadrcula"/>
    <w:uiPriority w:val="39"/>
    <w:rsid w:val="0041214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omano"/>
    <w:basedOn w:val="Normal"/>
    <w:link w:val="PrrafodelistaCar"/>
    <w:uiPriority w:val="34"/>
    <w:qFormat/>
    <w:rsid w:val="0041214B"/>
    <w:pPr>
      <w:numPr>
        <w:numId w:val="10"/>
      </w:numPr>
      <w:spacing w:before="120" w:line="264" w:lineRule="auto"/>
      <w:contextualSpacing/>
    </w:pPr>
    <w:rPr>
      <w:rFonts w:eastAsia="Arial" w:cs="Arial"/>
    </w:rPr>
  </w:style>
  <w:style w:type="paragraph" w:styleId="Cita">
    <w:name w:val="Quote"/>
    <w:basedOn w:val="Normal"/>
    <w:next w:val="Normal"/>
    <w:link w:val="CitaCar"/>
    <w:uiPriority w:val="29"/>
    <w:qFormat/>
    <w:rsid w:val="0041214B"/>
    <w:pPr>
      <w:spacing w:before="40" w:after="200" w:line="276" w:lineRule="auto"/>
      <w:ind w:left="1416" w:right="567"/>
    </w:pPr>
    <w:rPr>
      <w:rFonts w:eastAsia="Arial" w:cs="Arial"/>
      <w:i/>
      <w:sz w:val="18"/>
    </w:rPr>
  </w:style>
  <w:style w:type="character" w:customStyle="1" w:styleId="CitaCar">
    <w:name w:val="Cita Car"/>
    <w:basedOn w:val="Fuentedeprrafopredeter"/>
    <w:link w:val="Cita"/>
    <w:uiPriority w:val="29"/>
    <w:rsid w:val="0041214B"/>
    <w:rPr>
      <w:rFonts w:eastAsia="Arial" w:cs="Arial"/>
      <w:i/>
      <w:sz w:val="18"/>
    </w:rPr>
  </w:style>
  <w:style w:type="character" w:styleId="Refdenotaalpie">
    <w:name w:val="footnote reference"/>
    <w:aliases w:val="~FootnoteRef"/>
    <w:basedOn w:val="Fuentedeprrafopredeter"/>
    <w:uiPriority w:val="19"/>
    <w:semiHidden/>
    <w:rsid w:val="00A473B5"/>
    <w:rPr>
      <w:rFonts w:asciiTheme="minorHAnsi" w:hAnsiTheme="minorHAnsi"/>
      <w:color w:val="5B9BD5" w:themeColor="accent1"/>
      <w:vertAlign w:val="superscript"/>
    </w:rPr>
  </w:style>
  <w:style w:type="paragraph" w:styleId="Textonotapie">
    <w:name w:val="footnote text"/>
    <w:aliases w:val="~FootnoteText"/>
    <w:basedOn w:val="Sinespaciado"/>
    <w:link w:val="TextonotapieCar"/>
    <w:uiPriority w:val="19"/>
    <w:semiHidden/>
    <w:rsid w:val="00A473B5"/>
    <w:pPr>
      <w:spacing w:before="60"/>
      <w:ind w:left="284" w:hanging="284"/>
    </w:pPr>
    <w:rPr>
      <w:rFonts w:asciiTheme="minorHAnsi" w:hAnsiTheme="minorHAnsi" w:cs="Arial"/>
      <w:color w:val="44546A" w:themeColor="text2"/>
      <w:sz w:val="16"/>
      <w:lang w:val="es-ES_tradnl"/>
    </w:rPr>
  </w:style>
  <w:style w:type="character" w:customStyle="1" w:styleId="TextonotapieCar">
    <w:name w:val="Texto nota pie Car"/>
    <w:aliases w:val="~FootnoteText Car"/>
    <w:basedOn w:val="Fuentedeprrafopredeter"/>
    <w:link w:val="Textonotapie"/>
    <w:uiPriority w:val="19"/>
    <w:semiHidden/>
    <w:rsid w:val="00A473B5"/>
    <w:rPr>
      <w:rFonts w:asciiTheme="minorHAnsi" w:hAnsiTheme="minorHAnsi" w:cs="Arial"/>
      <w:color w:val="44546A" w:themeColor="text2"/>
      <w:sz w:val="16"/>
      <w:lang w:val="es-ES_tradnl"/>
    </w:rPr>
  </w:style>
  <w:style w:type="paragraph" w:customStyle="1" w:styleId="7CitaTextual">
    <w:name w:val="7 Cita Textual"/>
    <w:basedOn w:val="Normal"/>
    <w:link w:val="7CitaTextualCar"/>
    <w:qFormat/>
    <w:rsid w:val="00C505B6"/>
    <w:pPr>
      <w:spacing w:before="40" w:after="200" w:line="276" w:lineRule="auto"/>
      <w:ind w:left="567" w:right="567"/>
    </w:pPr>
    <w:rPr>
      <w:rFonts w:eastAsiaTheme="minorHAnsi"/>
      <w:i/>
      <w:sz w:val="18"/>
    </w:rPr>
  </w:style>
  <w:style w:type="character" w:customStyle="1" w:styleId="7CitaTextualCar">
    <w:name w:val="7 Cita Textual Car"/>
    <w:basedOn w:val="Fuentedeprrafopredeter"/>
    <w:link w:val="7CitaTextual"/>
    <w:rsid w:val="00C505B6"/>
    <w:rPr>
      <w:i/>
      <w:sz w:val="18"/>
    </w:rPr>
  </w:style>
  <w:style w:type="paragraph" w:customStyle="1" w:styleId="ParaNumBullet1">
    <w:name w:val="~ParaNumBullet1"/>
    <w:basedOn w:val="Normal"/>
    <w:uiPriority w:val="3"/>
    <w:rsid w:val="00C505B6"/>
    <w:pPr>
      <w:numPr>
        <w:numId w:val="11"/>
      </w:numPr>
      <w:spacing w:before="120" w:line="276" w:lineRule="auto"/>
    </w:pPr>
    <w:rPr>
      <w:rFonts w:eastAsia="Calibri" w:cs="Arial"/>
      <w:lang w:val="en-GB"/>
    </w:rPr>
  </w:style>
  <w:style w:type="paragraph" w:customStyle="1" w:styleId="ParaNumBullet2">
    <w:name w:val="~ParaNumBullet2"/>
    <w:basedOn w:val="ParaNumBullet1"/>
    <w:uiPriority w:val="3"/>
    <w:rsid w:val="00C505B6"/>
    <w:pPr>
      <w:numPr>
        <w:ilvl w:val="1"/>
      </w:numPr>
    </w:pPr>
  </w:style>
  <w:style w:type="paragraph" w:customStyle="1" w:styleId="ParaNumBullet3">
    <w:name w:val="~ParaNumBullet3"/>
    <w:basedOn w:val="ParaNumBullet2"/>
    <w:uiPriority w:val="3"/>
    <w:rsid w:val="00C505B6"/>
    <w:pPr>
      <w:numPr>
        <w:ilvl w:val="2"/>
      </w:numPr>
    </w:pPr>
  </w:style>
  <w:style w:type="character" w:styleId="Refdecomentario">
    <w:name w:val="annotation reference"/>
    <w:basedOn w:val="Fuentedeprrafopredeter"/>
    <w:uiPriority w:val="99"/>
    <w:semiHidden/>
    <w:unhideWhenUsed/>
    <w:rsid w:val="00314CF0"/>
    <w:rPr>
      <w:sz w:val="16"/>
      <w:szCs w:val="16"/>
    </w:rPr>
  </w:style>
  <w:style w:type="paragraph" w:styleId="Textocomentario">
    <w:name w:val="annotation text"/>
    <w:basedOn w:val="Normal"/>
    <w:link w:val="TextocomentarioCar"/>
    <w:uiPriority w:val="99"/>
    <w:semiHidden/>
    <w:unhideWhenUsed/>
    <w:rsid w:val="00314C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4CF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14CF0"/>
    <w:rPr>
      <w:b/>
      <w:bCs/>
    </w:rPr>
  </w:style>
  <w:style w:type="character" w:customStyle="1" w:styleId="AsuntodelcomentarioCar">
    <w:name w:val="Asunto del comentario Car"/>
    <w:basedOn w:val="TextocomentarioCar"/>
    <w:link w:val="Asuntodelcomentario"/>
    <w:uiPriority w:val="99"/>
    <w:semiHidden/>
    <w:rsid w:val="00314CF0"/>
    <w:rPr>
      <w:rFonts w:eastAsiaTheme="minorEastAsia"/>
      <w:b/>
      <w:bCs/>
      <w:sz w:val="20"/>
      <w:szCs w:val="20"/>
    </w:rPr>
  </w:style>
  <w:style w:type="paragraph" w:styleId="Textodeglobo">
    <w:name w:val="Balloon Text"/>
    <w:basedOn w:val="Normal"/>
    <w:link w:val="TextodegloboCar"/>
    <w:uiPriority w:val="99"/>
    <w:semiHidden/>
    <w:unhideWhenUsed/>
    <w:rsid w:val="00314C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CF0"/>
    <w:rPr>
      <w:rFonts w:ascii="Segoe UI" w:eastAsiaTheme="minorEastAsia" w:hAnsi="Segoe UI" w:cs="Segoe UI"/>
      <w:sz w:val="18"/>
      <w:szCs w:val="18"/>
    </w:rPr>
  </w:style>
  <w:style w:type="character" w:styleId="Hipervnculo">
    <w:name w:val="Hyperlink"/>
    <w:basedOn w:val="Fuentedeprrafopredeter"/>
    <w:uiPriority w:val="99"/>
    <w:unhideWhenUsed/>
    <w:rsid w:val="00057942"/>
    <w:rPr>
      <w:color w:val="0563C1" w:themeColor="hyperlink"/>
      <w:u w:val="single"/>
    </w:rPr>
  </w:style>
  <w:style w:type="paragraph" w:customStyle="1" w:styleId="ParaBullet1">
    <w:name w:val="~ParaBullet1"/>
    <w:basedOn w:val="Normal"/>
    <w:uiPriority w:val="3"/>
    <w:qFormat/>
    <w:rsid w:val="004D14D1"/>
    <w:pPr>
      <w:numPr>
        <w:numId w:val="12"/>
      </w:numPr>
      <w:spacing w:before="120" w:line="264" w:lineRule="auto"/>
    </w:pPr>
    <w:rPr>
      <w:rFonts w:asciiTheme="minorHAnsi" w:eastAsia="Calibri" w:hAnsiTheme="minorHAnsi" w:cs="Arial"/>
      <w:color w:val="000000" w:themeColor="text1"/>
      <w:lang w:val="es-ES_tradnl"/>
    </w:rPr>
  </w:style>
  <w:style w:type="paragraph" w:customStyle="1" w:styleId="ParaBullet2">
    <w:name w:val="~ParaBullet2"/>
    <w:basedOn w:val="ParaBullet1"/>
    <w:uiPriority w:val="3"/>
    <w:qFormat/>
    <w:rsid w:val="004D14D1"/>
    <w:pPr>
      <w:numPr>
        <w:ilvl w:val="1"/>
      </w:numPr>
    </w:pPr>
  </w:style>
  <w:style w:type="paragraph" w:customStyle="1" w:styleId="ParaBullet3">
    <w:name w:val="~ParaBullet3"/>
    <w:basedOn w:val="ParaBullet2"/>
    <w:uiPriority w:val="3"/>
    <w:qFormat/>
    <w:rsid w:val="004D14D1"/>
    <w:pPr>
      <w:numPr>
        <w:ilvl w:val="2"/>
      </w:numPr>
    </w:pPr>
  </w:style>
  <w:style w:type="character" w:customStyle="1" w:styleId="PrrafodelistaCar">
    <w:name w:val="Párrafo de lista Car"/>
    <w:basedOn w:val="Fuentedeprrafopredeter"/>
    <w:link w:val="Prrafodelista"/>
    <w:uiPriority w:val="34"/>
    <w:locked/>
    <w:rsid w:val="00897DD4"/>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BB75-EC0D-4646-AA19-FE5348AF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3213</Words>
  <Characters>17676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Karen Beatriz Martinez Munguia</cp:lastModifiedBy>
  <cp:revision>3</cp:revision>
  <cp:lastPrinted>2017-06-01T15:18:00Z</cp:lastPrinted>
  <dcterms:created xsi:type="dcterms:W3CDTF">2017-06-15T18:17:00Z</dcterms:created>
  <dcterms:modified xsi:type="dcterms:W3CDTF">2017-06-15T18:22:00Z</dcterms:modified>
</cp:coreProperties>
</file>