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6EC" w:rsidRPr="00F82BE7" w:rsidRDefault="002D75CC" w:rsidP="0033377C">
      <w:pPr>
        <w:spacing w:line="276" w:lineRule="auto"/>
        <w:jc w:val="both"/>
        <w:rPr>
          <w:rFonts w:ascii="ITC Avant Garde" w:hAnsi="ITC Avant Garde" w:cs="Arial"/>
          <w:b/>
        </w:rPr>
      </w:pPr>
      <w:bookmarkStart w:id="0" w:name="_GoBack"/>
      <w:bookmarkEnd w:id="0"/>
      <w:r w:rsidRPr="00E64F81">
        <w:rPr>
          <w:rFonts w:ascii="ITC Avant Garde" w:hAnsi="ITC Avant Garde" w:cs="Arial"/>
          <w:b/>
        </w:rPr>
        <w:t>RESPUESTAS DEL INSTITUTO FEDERAL DE TELECOMUNICACIONES A LAS MANIFESTACIONES, OPINIONES, COMENTARIOS Y PROPUESTAS CONCRETAS, PRESENTADAS DURANTE LA CONSULTA PÚBLICA SOBRE EL</w:t>
      </w:r>
      <w:r w:rsidDel="002D75CC">
        <w:rPr>
          <w:rFonts w:ascii="ITC Avant Garde" w:hAnsi="ITC Avant Garde" w:cs="Arial"/>
          <w:b/>
        </w:rPr>
        <w:t xml:space="preserve"> </w:t>
      </w:r>
      <w:r w:rsidR="009846EC">
        <w:rPr>
          <w:rFonts w:ascii="ITC Avant Garde" w:hAnsi="ITC Avant Garde" w:cs="Arial"/>
          <w:b/>
        </w:rPr>
        <w:t>“</w:t>
      </w:r>
      <w:r w:rsidR="009846EC" w:rsidRPr="009846EC">
        <w:rPr>
          <w:rFonts w:ascii="ITC Avant Garde" w:hAnsi="ITC Avant Garde" w:cs="Arial"/>
          <w:b/>
        </w:rPr>
        <w:t>ANTEPROYECTO DE ACUERDO MEDIANTE EL CUAL EL PLENO DEL INSTITUTO FEDERAL DE TELECOMUNICACIONES EXPIDE LA METODOLOGÍA DE SEPARACIÓN CONTABLE APLICABLE A LOS AGENTES ECONÓMICOS PREPONDERANTES, AGENTES DECLARADOS CON PODER SUSTANCIAL DE MERCADO Y REDES COMPARTIDAS</w:t>
      </w:r>
      <w:r w:rsidR="009846EC">
        <w:rPr>
          <w:rFonts w:ascii="ITC Avant Garde" w:hAnsi="ITC Avant Garde" w:cs="Arial"/>
          <w:b/>
        </w:rPr>
        <w:t>”</w:t>
      </w:r>
      <w:r w:rsidR="009271E3">
        <w:rPr>
          <w:rFonts w:ascii="ITC Avant Garde" w:hAnsi="ITC Avant Garde" w:cs="Arial"/>
          <w:b/>
        </w:rPr>
        <w:t xml:space="preserve"> (en lo sucesivo el “Anteproyecto”)</w:t>
      </w:r>
      <w:r w:rsidR="00285661">
        <w:rPr>
          <w:rFonts w:ascii="ITC Avant Garde" w:hAnsi="ITC Avant Garde" w:cs="Arial"/>
          <w:b/>
        </w:rPr>
        <w:t>.</w:t>
      </w:r>
    </w:p>
    <w:p w:rsidR="009271E3" w:rsidRPr="00E64F81" w:rsidRDefault="002D75CC" w:rsidP="0033377C">
      <w:pPr>
        <w:spacing w:line="276" w:lineRule="auto"/>
        <w:jc w:val="both"/>
        <w:rPr>
          <w:rFonts w:ascii="ITC Avant Garde" w:hAnsi="ITC Avant Garde" w:cs="Arial"/>
        </w:rPr>
      </w:pPr>
      <w:r w:rsidRPr="00E64F81">
        <w:rPr>
          <w:rFonts w:ascii="ITC Avant Garde" w:hAnsi="ITC Avant Garde" w:cs="Arial"/>
          <w:b/>
        </w:rPr>
        <w:t>Descripción de la consulta pública:</w:t>
      </w:r>
      <w:r w:rsidRPr="00E64F81">
        <w:rPr>
          <w:rFonts w:ascii="ITC Avant Garde" w:hAnsi="ITC Avant Garde" w:cs="Arial"/>
        </w:rPr>
        <w:t xml:space="preserve"> </w:t>
      </w:r>
      <w:r w:rsidR="009271E3">
        <w:rPr>
          <w:rFonts w:ascii="ITC Avant Garde" w:hAnsi="ITC Avant Garde" w:cs="Arial"/>
        </w:rPr>
        <w:t>e</w:t>
      </w:r>
      <w:r w:rsidR="009271E3" w:rsidRPr="00E64F81">
        <w:rPr>
          <w:rFonts w:ascii="ITC Avant Garde" w:hAnsi="ITC Avant Garde" w:cs="Arial"/>
        </w:rPr>
        <w:t xml:space="preserve">l </w:t>
      </w:r>
      <w:r w:rsidR="009271E3" w:rsidRPr="00697A80">
        <w:rPr>
          <w:rFonts w:ascii="ITC Avant Garde" w:hAnsi="ITC Avant Garde" w:cs="Arial"/>
        </w:rPr>
        <w:t>Anteproyecto</w:t>
      </w:r>
      <w:r w:rsidR="009271E3" w:rsidRPr="00E64F81">
        <w:rPr>
          <w:rFonts w:ascii="ITC Avant Garde" w:hAnsi="ITC Avant Garde" w:cs="Arial"/>
        </w:rPr>
        <w:t xml:space="preserve"> fue puesto a un proceso de consulta pública por un período de </w:t>
      </w:r>
      <w:r w:rsidR="009271E3">
        <w:rPr>
          <w:rFonts w:ascii="ITC Avant Garde" w:hAnsi="ITC Avant Garde" w:cs="Arial"/>
        </w:rPr>
        <w:t>30</w:t>
      </w:r>
      <w:r w:rsidR="009271E3" w:rsidRPr="00E64F81">
        <w:rPr>
          <w:rFonts w:ascii="ITC Avant Garde" w:hAnsi="ITC Avant Garde" w:cs="Arial"/>
        </w:rPr>
        <w:t xml:space="preserve"> días </w:t>
      </w:r>
      <w:r w:rsidR="009271E3">
        <w:rPr>
          <w:rFonts w:ascii="ITC Avant Garde" w:hAnsi="ITC Avant Garde" w:cs="Arial"/>
        </w:rPr>
        <w:t xml:space="preserve">hábiles </w:t>
      </w:r>
      <w:r w:rsidR="009271E3" w:rsidRPr="00E64F81">
        <w:rPr>
          <w:rFonts w:ascii="ITC Avant Garde" w:hAnsi="ITC Avant Garde" w:cs="Arial"/>
        </w:rPr>
        <w:t>(</w:t>
      </w:r>
      <w:r w:rsidR="009271E3" w:rsidRPr="00F82BE7">
        <w:rPr>
          <w:rFonts w:ascii="ITC Avant Garde" w:hAnsi="ITC Avant Garde" w:cs="Arial"/>
        </w:rPr>
        <w:t>del 7 de junio al 1</w:t>
      </w:r>
      <w:r w:rsidR="009271E3">
        <w:rPr>
          <w:rFonts w:ascii="ITC Avant Garde" w:hAnsi="ITC Avant Garde" w:cs="Arial"/>
        </w:rPr>
        <w:t>°</w:t>
      </w:r>
      <w:r w:rsidR="009271E3" w:rsidRPr="00F82BE7">
        <w:rPr>
          <w:rFonts w:ascii="ITC Avant Garde" w:hAnsi="ITC Avant Garde" w:cs="Arial"/>
        </w:rPr>
        <w:t xml:space="preserve"> de agosto </w:t>
      </w:r>
      <w:r w:rsidR="009271E3" w:rsidRPr="00F82BE7">
        <w:rPr>
          <w:rFonts w:ascii="ITC Avant Garde" w:hAnsi="ITC Avant Garde" w:cs="Arial"/>
          <w:color w:val="000000"/>
        </w:rPr>
        <w:t>de 2017</w:t>
      </w:r>
      <w:r w:rsidR="009271E3" w:rsidRPr="00E64F81">
        <w:rPr>
          <w:rFonts w:ascii="ITC Avant Garde" w:hAnsi="ITC Avant Garde" w:cs="Arial"/>
        </w:rPr>
        <w:t xml:space="preserve">) a fin de transparentar y promover la participación ciudadana en los procesos de emisión de disposiciones de carácter general que emite el Instituto, </w:t>
      </w:r>
      <w:r w:rsidR="009271E3">
        <w:rPr>
          <w:rFonts w:ascii="ITC Avant Garde" w:hAnsi="ITC Avant Garde" w:cs="Arial"/>
        </w:rPr>
        <w:t>así como</w:t>
      </w:r>
      <w:r w:rsidR="009271E3" w:rsidRPr="00E64F81">
        <w:rPr>
          <w:rFonts w:ascii="ITC Avant Garde" w:hAnsi="ITC Avant Garde" w:cs="Arial"/>
        </w:rPr>
        <w:t xml:space="preserve"> de dar cumplimiento a lo establecido en el artículo 51 de la L</w:t>
      </w:r>
      <w:r w:rsidR="009271E3">
        <w:rPr>
          <w:rFonts w:ascii="ITC Avant Garde" w:hAnsi="ITC Avant Garde" w:cs="Arial"/>
        </w:rPr>
        <w:t xml:space="preserve">ey </w:t>
      </w:r>
      <w:r w:rsidR="009271E3" w:rsidRPr="00E64F81">
        <w:rPr>
          <w:rFonts w:ascii="ITC Avant Garde" w:hAnsi="ITC Avant Garde" w:cs="Arial"/>
        </w:rPr>
        <w:t>F</w:t>
      </w:r>
      <w:r w:rsidR="009271E3">
        <w:rPr>
          <w:rFonts w:ascii="ITC Avant Garde" w:hAnsi="ITC Avant Garde" w:cs="Arial"/>
        </w:rPr>
        <w:t xml:space="preserve">ederal de </w:t>
      </w:r>
      <w:r w:rsidR="009271E3" w:rsidRPr="00E64F81">
        <w:rPr>
          <w:rFonts w:ascii="ITC Avant Garde" w:hAnsi="ITC Avant Garde" w:cs="Arial"/>
        </w:rPr>
        <w:t>T</w:t>
      </w:r>
      <w:r w:rsidR="009271E3">
        <w:rPr>
          <w:rFonts w:ascii="ITC Avant Garde" w:hAnsi="ITC Avant Garde" w:cs="Arial"/>
        </w:rPr>
        <w:t xml:space="preserve">elecomunicaciones y </w:t>
      </w:r>
      <w:r w:rsidR="009271E3" w:rsidRPr="00E64F81">
        <w:rPr>
          <w:rFonts w:ascii="ITC Avant Garde" w:hAnsi="ITC Avant Garde" w:cs="Arial"/>
        </w:rPr>
        <w:t>R</w:t>
      </w:r>
      <w:r w:rsidR="009271E3">
        <w:rPr>
          <w:rFonts w:ascii="ITC Avant Garde" w:hAnsi="ITC Avant Garde" w:cs="Arial"/>
        </w:rPr>
        <w:t>adiodifusión</w:t>
      </w:r>
      <w:r w:rsidR="009271E3" w:rsidRPr="00E64F81">
        <w:rPr>
          <w:rFonts w:ascii="ITC Avant Garde" w:hAnsi="ITC Avant Garde" w:cs="Arial"/>
        </w:rPr>
        <w:t>.</w:t>
      </w:r>
    </w:p>
    <w:p w:rsidR="002D75CC" w:rsidRPr="00E64F81" w:rsidRDefault="002D75CC" w:rsidP="0033377C">
      <w:pPr>
        <w:spacing w:line="276" w:lineRule="auto"/>
        <w:jc w:val="both"/>
        <w:rPr>
          <w:rFonts w:ascii="ITC Avant Garde" w:hAnsi="ITC Avant Garde" w:cs="Arial"/>
          <w:b/>
        </w:rPr>
      </w:pPr>
      <w:r w:rsidRPr="00697A80">
        <w:rPr>
          <w:rFonts w:ascii="ITC Avant Garde" w:hAnsi="ITC Avant Garde" w:cs="Arial"/>
          <w:b/>
        </w:rPr>
        <w:t>Objetivos de la consulta pública:</w:t>
      </w:r>
      <w:r>
        <w:rPr>
          <w:rFonts w:ascii="ITC Avant Garde" w:hAnsi="ITC Avant Garde" w:cs="Arial"/>
          <w:b/>
        </w:rPr>
        <w:t xml:space="preserve"> </w:t>
      </w:r>
      <w:r>
        <w:rPr>
          <w:rFonts w:ascii="ITC Avant Garde" w:hAnsi="ITC Avant Garde" w:cs="Arial"/>
        </w:rPr>
        <w:t xml:space="preserve">la </w:t>
      </w:r>
      <w:r w:rsidRPr="00697A80">
        <w:rPr>
          <w:rFonts w:ascii="ITC Avant Garde" w:hAnsi="ITC Avant Garde" w:cs="Arial"/>
        </w:rPr>
        <w:t>consulta pública tiene por objeto cumplir con los principios de transparencia y participación ciudadana por parte del Instituto, con la finalidad de recabar comentarios de la industria, de especialistas en la materia, y del público en general, que contribuyan a un mejor diseño y fortalecimiento de la propuesta de modificación que se pretende</w:t>
      </w:r>
      <w:r>
        <w:rPr>
          <w:rFonts w:ascii="ITC Avant Garde" w:hAnsi="ITC Avant Garde" w:cs="Arial"/>
        </w:rPr>
        <w:t xml:space="preserve"> implementar</w:t>
      </w:r>
      <w:r w:rsidRPr="00697A80">
        <w:rPr>
          <w:rFonts w:ascii="ITC Avant Garde" w:hAnsi="ITC Avant Garde" w:cs="Arial"/>
        </w:rPr>
        <w:t>.</w:t>
      </w:r>
    </w:p>
    <w:p w:rsidR="002D75CC" w:rsidRPr="009271E3" w:rsidRDefault="002D75CC" w:rsidP="0033377C">
      <w:pPr>
        <w:spacing w:line="276" w:lineRule="auto"/>
        <w:jc w:val="both"/>
        <w:rPr>
          <w:rFonts w:ascii="ITC Avant Garde" w:hAnsi="ITC Avant Garde" w:cs="Arial"/>
          <w:b/>
        </w:rPr>
      </w:pPr>
      <w:r w:rsidRPr="00E64F81">
        <w:rPr>
          <w:rFonts w:ascii="ITC Avant Garde" w:hAnsi="ITC Avant Garde" w:cs="Arial"/>
          <w:b/>
        </w:rPr>
        <w:t>Descripción de los participantes en la consulta pública</w:t>
      </w:r>
      <w:r>
        <w:rPr>
          <w:rFonts w:ascii="ITC Avant Garde" w:hAnsi="ITC Avant Garde" w:cs="Arial"/>
          <w:b/>
        </w:rPr>
        <w:t>:</w:t>
      </w:r>
      <w:r w:rsidRPr="00E64F81">
        <w:rPr>
          <w:rFonts w:ascii="ITC Avant Garde" w:hAnsi="ITC Avant Garde" w:cs="Arial"/>
          <w:b/>
        </w:rPr>
        <w:t xml:space="preserve"> </w:t>
      </w:r>
      <w:r w:rsidR="00481187">
        <w:rPr>
          <w:rFonts w:ascii="ITC Avant Garde" w:hAnsi="ITC Avant Garde" w:cs="Arial"/>
        </w:rPr>
        <w:t>c</w:t>
      </w:r>
      <w:r w:rsidR="00481187" w:rsidRPr="00E64F81">
        <w:rPr>
          <w:rFonts w:ascii="ITC Avant Garde" w:hAnsi="ITC Avant Garde" w:cs="Arial"/>
        </w:rPr>
        <w:t>on relación a las manifestaciones, opiniones, comentarios y propuestas recibidas</w:t>
      </w:r>
      <w:r w:rsidR="00481187" w:rsidRPr="00E64F81">
        <w:rPr>
          <w:rFonts w:ascii="ITC Avant Garde" w:hAnsi="ITC Avant Garde" w:cs="Arial"/>
          <w:color w:val="000000"/>
        </w:rPr>
        <w:t>, respecto al Anteproyecto materia de la consulta pública de mérito, se informa que el Instituto Federal de Telecomunicaciones (</w:t>
      </w:r>
      <w:r w:rsidR="00481187">
        <w:rPr>
          <w:rFonts w:ascii="ITC Avant Garde" w:hAnsi="ITC Avant Garde" w:cs="Arial"/>
          <w:color w:val="000000"/>
        </w:rPr>
        <w:t xml:space="preserve">en lo sucesivo, el “Instituto”) </w:t>
      </w:r>
      <w:r w:rsidRPr="00F82BE7">
        <w:rPr>
          <w:rFonts w:ascii="ITC Avant Garde" w:hAnsi="ITC Avant Garde" w:cs="Arial"/>
          <w:color w:val="000000"/>
        </w:rPr>
        <w:t>identificó diversos temas, por lo que</w:t>
      </w:r>
      <w:r w:rsidR="00481187">
        <w:rPr>
          <w:rFonts w:ascii="ITC Avant Garde" w:hAnsi="ITC Avant Garde" w:cs="Arial"/>
          <w:color w:val="000000"/>
        </w:rPr>
        <w:t>,</w:t>
      </w:r>
      <w:r w:rsidRPr="00F82BE7">
        <w:rPr>
          <w:rFonts w:ascii="ITC Avant Garde" w:hAnsi="ITC Avant Garde" w:cs="Arial"/>
          <w:color w:val="000000"/>
        </w:rPr>
        <w:t xml:space="preserve"> para </w:t>
      </w:r>
      <w:r w:rsidR="00481187">
        <w:rPr>
          <w:rFonts w:ascii="ITC Avant Garde" w:hAnsi="ITC Avant Garde" w:cs="Arial"/>
          <w:color w:val="000000"/>
        </w:rPr>
        <w:t xml:space="preserve">efectos de su atención, </w:t>
      </w:r>
      <w:r w:rsidR="00481187" w:rsidRPr="00E64F81">
        <w:rPr>
          <w:rFonts w:ascii="ITC Avant Garde" w:hAnsi="ITC Avant Garde" w:cs="Arial"/>
          <w:color w:val="000000"/>
        </w:rPr>
        <w:t>estos han sido resumidos y agrupados de manera genérica para su mejor identificación</w:t>
      </w:r>
      <w:r w:rsidRPr="00F82BE7">
        <w:rPr>
          <w:rFonts w:ascii="ITC Avant Garde" w:hAnsi="ITC Avant Garde" w:cs="Arial"/>
          <w:color w:val="000000"/>
        </w:rPr>
        <w:t xml:space="preserve">. Asimismo, se señala que todos los </w:t>
      </w:r>
      <w:r w:rsidRPr="00F82BE7">
        <w:rPr>
          <w:rFonts w:ascii="ITC Avant Garde" w:hAnsi="ITC Avant Garde" w:cs="Arial"/>
        </w:rPr>
        <w:t xml:space="preserve">comentarios, opiniones y </w:t>
      </w:r>
      <w:r>
        <w:rPr>
          <w:rFonts w:ascii="ITC Avant Garde" w:hAnsi="ITC Avant Garde" w:cs="Arial"/>
        </w:rPr>
        <w:t>manifestaciones</w:t>
      </w:r>
      <w:r w:rsidRPr="00F82BE7">
        <w:rPr>
          <w:rFonts w:ascii="ITC Avant Garde" w:hAnsi="ITC Avant Garde" w:cs="Arial"/>
        </w:rPr>
        <w:t xml:space="preserve"> </w:t>
      </w:r>
      <w:r w:rsidRPr="00F82BE7">
        <w:rPr>
          <w:rFonts w:ascii="ITC Avant Garde" w:hAnsi="ITC Avant Garde" w:cs="Arial"/>
          <w:color w:val="000000"/>
        </w:rPr>
        <w:t>recibidos se encuentran disponibles para su consulta en el portal de Internet del Instituto.</w:t>
      </w:r>
    </w:p>
    <w:p w:rsidR="00616344" w:rsidRPr="00F82BE7" w:rsidRDefault="002D75CC" w:rsidP="0033377C">
      <w:pPr>
        <w:spacing w:line="276" w:lineRule="auto"/>
        <w:jc w:val="both"/>
        <w:rPr>
          <w:rFonts w:ascii="ITC Avant Garde" w:hAnsi="ITC Avant Garde" w:cs="Arial"/>
          <w:color w:val="000000"/>
        </w:rPr>
      </w:pPr>
      <w:r w:rsidRPr="00E64F81">
        <w:rPr>
          <w:rFonts w:ascii="ITC Avant Garde" w:hAnsi="ITC Avant Garde" w:cs="Arial"/>
          <w:color w:val="000000"/>
        </w:rPr>
        <w:t xml:space="preserve">Una vez concluido el plazo de consulta respectivo, se publicaron en el portal del Instituto todos y cada uno de los comentarios, opiniones y propuestas concretas recibidas. Con relación a lo anterior, se menciona que </w:t>
      </w:r>
      <w:r w:rsidR="009846EC" w:rsidRPr="003662AA">
        <w:rPr>
          <w:rFonts w:ascii="ITC Avant Garde" w:hAnsi="ITC Avant Garde" w:cs="Arial"/>
          <w:color w:val="000000"/>
        </w:rPr>
        <w:t>se recibieron</w:t>
      </w:r>
      <w:r w:rsidR="00DF7AC6" w:rsidRPr="00F82BE7">
        <w:rPr>
          <w:rFonts w:ascii="ITC Avant Garde" w:hAnsi="ITC Avant Garde" w:cs="Arial"/>
          <w:color w:val="000000"/>
        </w:rPr>
        <w:t xml:space="preserve"> </w:t>
      </w:r>
      <w:r w:rsidR="0029762F" w:rsidRPr="00F82BE7">
        <w:rPr>
          <w:rFonts w:ascii="ITC Avant Garde" w:hAnsi="ITC Avant Garde" w:cs="Arial"/>
          <w:color w:val="000000"/>
        </w:rPr>
        <w:t>9</w:t>
      </w:r>
      <w:r w:rsidR="00616344" w:rsidRPr="00F82BE7">
        <w:rPr>
          <w:rFonts w:ascii="ITC Avant Garde" w:hAnsi="ITC Avant Garde" w:cs="Arial"/>
          <w:color w:val="000000"/>
        </w:rPr>
        <w:t xml:space="preserve"> (</w:t>
      </w:r>
      <w:r w:rsidR="0029762F" w:rsidRPr="00F82BE7">
        <w:rPr>
          <w:rFonts w:ascii="ITC Avant Garde" w:hAnsi="ITC Avant Garde" w:cs="Arial"/>
          <w:color w:val="000000"/>
        </w:rPr>
        <w:t>nueve</w:t>
      </w:r>
      <w:r w:rsidR="00616344" w:rsidRPr="00F82BE7">
        <w:rPr>
          <w:rFonts w:ascii="ITC Avant Garde" w:hAnsi="ITC Avant Garde" w:cs="Arial"/>
          <w:color w:val="000000"/>
        </w:rPr>
        <w:t xml:space="preserve">) </w:t>
      </w:r>
      <w:r w:rsidR="00F6048B" w:rsidRPr="00F82BE7">
        <w:rPr>
          <w:rFonts w:ascii="ITC Avant Garde" w:hAnsi="ITC Avant Garde" w:cs="Arial"/>
          <w:color w:val="000000"/>
        </w:rPr>
        <w:t>participa</w:t>
      </w:r>
      <w:r w:rsidR="009846EC">
        <w:rPr>
          <w:rFonts w:ascii="ITC Avant Garde" w:hAnsi="ITC Avant Garde" w:cs="Arial"/>
          <w:color w:val="000000"/>
        </w:rPr>
        <w:t xml:space="preserve">ciones de personas morales </w:t>
      </w:r>
      <w:r w:rsidR="00F6048B" w:rsidRPr="00F82BE7">
        <w:rPr>
          <w:rFonts w:ascii="ITC Avant Garde" w:hAnsi="ITC Avant Garde" w:cs="Arial"/>
          <w:color w:val="000000"/>
        </w:rPr>
        <w:t>que a continuación se listan</w:t>
      </w:r>
      <w:r w:rsidR="00616344" w:rsidRPr="00F82BE7">
        <w:rPr>
          <w:rFonts w:ascii="ITC Avant Garde" w:hAnsi="ITC Avant Garde" w:cs="Arial"/>
          <w:color w:val="000000"/>
        </w:rPr>
        <w:t>:</w:t>
      </w:r>
    </w:p>
    <w:p w:rsidR="0029762F" w:rsidRPr="00F82BE7" w:rsidRDefault="0029762F" w:rsidP="0033377C">
      <w:pPr>
        <w:pStyle w:val="Prrafodelista"/>
        <w:numPr>
          <w:ilvl w:val="0"/>
          <w:numId w:val="1"/>
        </w:numPr>
        <w:spacing w:line="276" w:lineRule="auto"/>
        <w:jc w:val="both"/>
        <w:rPr>
          <w:rFonts w:ascii="ITC Avant Garde" w:hAnsi="ITC Avant Garde" w:cs="Arial"/>
          <w:color w:val="000000"/>
        </w:rPr>
      </w:pPr>
      <w:r w:rsidRPr="00F82BE7">
        <w:rPr>
          <w:rFonts w:ascii="ITC Avant Garde" w:hAnsi="ITC Avant Garde" w:cs="Arial"/>
          <w:color w:val="000000"/>
        </w:rPr>
        <w:t>Telecomunicaciones de México</w:t>
      </w:r>
      <w:r w:rsidR="001D50A3" w:rsidRPr="00F82BE7">
        <w:rPr>
          <w:rFonts w:ascii="ITC Avant Garde" w:hAnsi="ITC Avant Garde" w:cs="Arial"/>
          <w:color w:val="000000"/>
        </w:rPr>
        <w:t xml:space="preserve"> (en lo sucesivo, “Telecomm”).</w:t>
      </w:r>
    </w:p>
    <w:p w:rsidR="0029762F" w:rsidRPr="00F82BE7" w:rsidRDefault="0029762F" w:rsidP="0033377C">
      <w:pPr>
        <w:pStyle w:val="Prrafodelista"/>
        <w:numPr>
          <w:ilvl w:val="0"/>
          <w:numId w:val="1"/>
        </w:numPr>
        <w:spacing w:line="276" w:lineRule="auto"/>
        <w:jc w:val="both"/>
        <w:rPr>
          <w:rFonts w:ascii="ITC Avant Garde" w:hAnsi="ITC Avant Garde" w:cs="Arial"/>
          <w:color w:val="000000"/>
        </w:rPr>
      </w:pPr>
      <w:r w:rsidRPr="00F82BE7">
        <w:rPr>
          <w:rFonts w:ascii="ITC Avant Garde" w:hAnsi="ITC Avant Garde" w:cs="Arial"/>
          <w:color w:val="000000"/>
        </w:rPr>
        <w:t>AXTEL, S.A.B. de C.V.</w:t>
      </w:r>
      <w:r w:rsidR="001D50A3" w:rsidRPr="00F82BE7">
        <w:rPr>
          <w:rFonts w:ascii="ITC Avant Garde" w:hAnsi="ITC Avant Garde" w:cs="Arial"/>
          <w:color w:val="000000"/>
        </w:rPr>
        <w:t xml:space="preserve"> (en lo sucesivo, “AXTEL”).</w:t>
      </w:r>
    </w:p>
    <w:p w:rsidR="0029762F" w:rsidRPr="00F82BE7" w:rsidRDefault="001D50A3" w:rsidP="0033377C">
      <w:pPr>
        <w:pStyle w:val="Prrafodelista"/>
        <w:numPr>
          <w:ilvl w:val="0"/>
          <w:numId w:val="1"/>
        </w:numPr>
        <w:spacing w:line="276" w:lineRule="auto"/>
        <w:jc w:val="both"/>
        <w:rPr>
          <w:rFonts w:ascii="ITC Avant Garde" w:hAnsi="ITC Avant Garde" w:cs="Arial"/>
          <w:color w:val="000000"/>
        </w:rPr>
      </w:pPr>
      <w:r w:rsidRPr="00F82BE7">
        <w:rPr>
          <w:rFonts w:ascii="ITC Avant Garde" w:hAnsi="ITC Avant Garde" w:cs="Arial"/>
          <w:color w:val="000000"/>
        </w:rPr>
        <w:t xml:space="preserve">Altán </w:t>
      </w:r>
      <w:r w:rsidR="0029762F" w:rsidRPr="00F82BE7">
        <w:rPr>
          <w:rFonts w:ascii="ITC Avant Garde" w:hAnsi="ITC Avant Garde" w:cs="Arial"/>
          <w:color w:val="000000"/>
        </w:rPr>
        <w:t>Redes, S.A.P.I. de C.V.</w:t>
      </w:r>
      <w:r w:rsidRPr="00F82BE7">
        <w:rPr>
          <w:rFonts w:ascii="ITC Avant Garde" w:hAnsi="ITC Avant Garde" w:cs="Arial"/>
          <w:color w:val="000000"/>
        </w:rPr>
        <w:t xml:space="preserve"> (en lo sucesivo, “Altán Redes”).</w:t>
      </w:r>
    </w:p>
    <w:p w:rsidR="0029762F" w:rsidRPr="00F82BE7" w:rsidRDefault="0029762F" w:rsidP="0033377C">
      <w:pPr>
        <w:pStyle w:val="Prrafodelista"/>
        <w:numPr>
          <w:ilvl w:val="0"/>
          <w:numId w:val="1"/>
        </w:numPr>
        <w:spacing w:line="276" w:lineRule="auto"/>
        <w:jc w:val="both"/>
        <w:rPr>
          <w:rFonts w:ascii="ITC Avant Garde" w:hAnsi="ITC Avant Garde" w:cs="Arial"/>
          <w:color w:val="000000"/>
        </w:rPr>
      </w:pPr>
      <w:r w:rsidRPr="00F82BE7">
        <w:rPr>
          <w:rFonts w:ascii="ITC Avant Garde" w:hAnsi="ITC Avant Garde" w:cs="Arial"/>
          <w:color w:val="000000"/>
        </w:rPr>
        <w:t>AT&amp;T Comunicaciones Digitales, S. de R.L. de C.V., Grupo AT&amp;T Celullar, S. de R.L. de C.V., AT&amp;T Norte, S. de R.L. de C.V., AT&amp;T Comercialización Móvil, S. de R.L. de C.V. y AT&amp;T Desarrollo en Comunicaciones de México, S. de R.L. de C.V.</w:t>
      </w:r>
      <w:r w:rsidR="001D50A3" w:rsidRPr="00F82BE7">
        <w:rPr>
          <w:rFonts w:ascii="ITC Avant Garde" w:hAnsi="ITC Avant Garde" w:cs="Arial"/>
          <w:color w:val="000000"/>
        </w:rPr>
        <w:t xml:space="preserve"> (en lo sucesivo, “AT&amp;T”).</w:t>
      </w:r>
    </w:p>
    <w:p w:rsidR="0029762F" w:rsidRPr="00F82BE7" w:rsidRDefault="0029762F" w:rsidP="0033377C">
      <w:pPr>
        <w:pStyle w:val="Prrafodelista"/>
        <w:numPr>
          <w:ilvl w:val="0"/>
          <w:numId w:val="1"/>
        </w:numPr>
        <w:spacing w:line="276" w:lineRule="auto"/>
        <w:jc w:val="both"/>
        <w:rPr>
          <w:rFonts w:ascii="ITC Avant Garde" w:hAnsi="ITC Avant Garde" w:cs="Arial"/>
          <w:color w:val="000000"/>
        </w:rPr>
      </w:pPr>
      <w:r w:rsidRPr="00F82BE7">
        <w:rPr>
          <w:rFonts w:ascii="ITC Avant Garde" w:hAnsi="ITC Avant Garde" w:cs="Arial"/>
          <w:color w:val="000000"/>
        </w:rPr>
        <w:lastRenderedPageBreak/>
        <w:t>Organismo Promotor de I</w:t>
      </w:r>
      <w:r w:rsidR="001D50A3" w:rsidRPr="00F82BE7">
        <w:rPr>
          <w:rFonts w:ascii="ITC Avant Garde" w:hAnsi="ITC Avant Garde" w:cs="Arial"/>
          <w:color w:val="000000"/>
        </w:rPr>
        <w:t xml:space="preserve">nversiones </w:t>
      </w:r>
      <w:r w:rsidR="00D55B2E" w:rsidRPr="00F82BE7">
        <w:rPr>
          <w:rFonts w:ascii="ITC Avant Garde" w:hAnsi="ITC Avant Garde" w:cs="Arial"/>
          <w:color w:val="000000"/>
        </w:rPr>
        <w:t>en</w:t>
      </w:r>
      <w:r w:rsidR="001D50A3" w:rsidRPr="00F82BE7">
        <w:rPr>
          <w:rFonts w:ascii="ITC Avant Garde" w:hAnsi="ITC Avant Garde" w:cs="Arial"/>
          <w:color w:val="000000"/>
        </w:rPr>
        <w:t xml:space="preserve"> Telecomunicaciones (en lo sucesivo, “PROMTEL”).</w:t>
      </w:r>
    </w:p>
    <w:p w:rsidR="0029762F" w:rsidRPr="00F82BE7" w:rsidRDefault="0029762F" w:rsidP="0033377C">
      <w:pPr>
        <w:pStyle w:val="Prrafodelista"/>
        <w:numPr>
          <w:ilvl w:val="0"/>
          <w:numId w:val="1"/>
        </w:numPr>
        <w:spacing w:line="276" w:lineRule="auto"/>
        <w:jc w:val="both"/>
        <w:rPr>
          <w:rFonts w:ascii="ITC Avant Garde" w:hAnsi="ITC Avant Garde" w:cs="Arial"/>
          <w:color w:val="000000"/>
        </w:rPr>
      </w:pPr>
      <w:r w:rsidRPr="00F82BE7">
        <w:rPr>
          <w:rFonts w:ascii="ITC Avant Garde" w:hAnsi="ITC Avant Garde" w:cs="Arial"/>
          <w:color w:val="000000"/>
        </w:rPr>
        <w:t>Corporación de Radio y Televisión del Norte de México, S. de R.L. de C.V.</w:t>
      </w:r>
      <w:r w:rsidR="001D50A3" w:rsidRPr="00F82BE7">
        <w:rPr>
          <w:rFonts w:ascii="ITC Avant Garde" w:hAnsi="ITC Avant Garde" w:cs="Arial"/>
          <w:color w:val="000000"/>
        </w:rPr>
        <w:t xml:space="preserve"> (en lo sucesivo, “Corporación de Radio y Televisión del Norte de México”).</w:t>
      </w:r>
    </w:p>
    <w:p w:rsidR="0029762F" w:rsidRPr="00F82BE7" w:rsidRDefault="0029762F" w:rsidP="0033377C">
      <w:pPr>
        <w:pStyle w:val="Prrafodelista"/>
        <w:numPr>
          <w:ilvl w:val="0"/>
          <w:numId w:val="1"/>
        </w:numPr>
        <w:spacing w:line="276" w:lineRule="auto"/>
        <w:jc w:val="both"/>
        <w:rPr>
          <w:rFonts w:ascii="ITC Avant Garde" w:hAnsi="ITC Avant Garde" w:cs="Arial"/>
          <w:color w:val="000000"/>
        </w:rPr>
      </w:pPr>
      <w:r w:rsidRPr="00F82BE7">
        <w:rPr>
          <w:rFonts w:ascii="ITC Avant Garde" w:hAnsi="ITC Avant Garde" w:cs="Arial"/>
          <w:color w:val="000000"/>
        </w:rPr>
        <w:t>Bestphone, S.A. de C.V., Operbes, S.A. de C.V., Cablevisión, S.A. de C.V., Cable y Comunicación de Campeche, S.A. de C.V., Cablemás Telecomunicaciones, S.A. de C.V., Cablevisión Red, S.A. de C.V., Tele Azteca, S.A. de C.V., Televisión lnternacional, S.A. de C.V., México Red de Telecomunicaciones, S. de R.L. de C.V. y TV Cable de Oriente S.A. de C.V.</w:t>
      </w:r>
      <w:r w:rsidR="001D50A3" w:rsidRPr="00F82BE7">
        <w:rPr>
          <w:rFonts w:ascii="ITC Avant Garde" w:hAnsi="ITC Avant Garde" w:cs="Arial"/>
          <w:color w:val="000000"/>
        </w:rPr>
        <w:t xml:space="preserve"> (en lo sucesivo, “Bestphone”).</w:t>
      </w:r>
    </w:p>
    <w:p w:rsidR="0029762F" w:rsidRPr="00F82BE7" w:rsidRDefault="001D50A3" w:rsidP="0033377C">
      <w:pPr>
        <w:pStyle w:val="Prrafodelista"/>
        <w:numPr>
          <w:ilvl w:val="0"/>
          <w:numId w:val="1"/>
        </w:numPr>
        <w:spacing w:line="276" w:lineRule="auto"/>
        <w:jc w:val="both"/>
        <w:rPr>
          <w:rFonts w:ascii="ITC Avant Garde" w:hAnsi="ITC Avant Garde" w:cs="Arial"/>
          <w:color w:val="000000"/>
        </w:rPr>
      </w:pPr>
      <w:r w:rsidRPr="00F82BE7">
        <w:rPr>
          <w:rFonts w:ascii="ITC Avant Garde" w:hAnsi="ITC Avant Garde" w:cs="Arial"/>
          <w:color w:val="000000"/>
        </w:rPr>
        <w:t>MEGA CABLE, S.A. de C.V. (en lo sucesivo, “MEGA CABLE”).</w:t>
      </w:r>
    </w:p>
    <w:p w:rsidR="0029762F" w:rsidRPr="00F82BE7" w:rsidRDefault="0029762F" w:rsidP="0033377C">
      <w:pPr>
        <w:pStyle w:val="Prrafodelista"/>
        <w:numPr>
          <w:ilvl w:val="0"/>
          <w:numId w:val="1"/>
        </w:numPr>
        <w:spacing w:line="276" w:lineRule="auto"/>
        <w:jc w:val="both"/>
        <w:rPr>
          <w:rFonts w:ascii="ITC Avant Garde" w:hAnsi="ITC Avant Garde" w:cs="Arial"/>
          <w:color w:val="000000"/>
        </w:rPr>
      </w:pPr>
      <w:r w:rsidRPr="00F82BE7">
        <w:rPr>
          <w:rFonts w:ascii="ITC Avant Garde" w:hAnsi="ITC Avant Garde" w:cs="Arial"/>
          <w:color w:val="000000"/>
        </w:rPr>
        <w:t>Televimex, S.A. de C.V.</w:t>
      </w:r>
      <w:r w:rsidR="001D50A3" w:rsidRPr="00F82BE7">
        <w:rPr>
          <w:rFonts w:ascii="ITC Avant Garde" w:hAnsi="ITC Avant Garde" w:cs="Arial"/>
          <w:color w:val="000000"/>
        </w:rPr>
        <w:t xml:space="preserve"> (en lo sucesivo, “Televimex”).</w:t>
      </w:r>
    </w:p>
    <w:p w:rsidR="006C0576" w:rsidRPr="00F82BE7" w:rsidRDefault="0080171F" w:rsidP="0033377C">
      <w:pPr>
        <w:spacing w:line="276" w:lineRule="auto"/>
        <w:jc w:val="both"/>
        <w:rPr>
          <w:rFonts w:ascii="ITC Avant Garde" w:hAnsi="ITC Avant Garde" w:cs="Arial"/>
          <w:color w:val="000000"/>
        </w:rPr>
      </w:pPr>
      <w:r>
        <w:rPr>
          <w:rFonts w:ascii="ITC Avant Garde" w:hAnsi="ITC Avant Garde" w:cs="Arial"/>
          <w:color w:val="000000"/>
        </w:rPr>
        <w:t xml:space="preserve">Los temas coincidentes y reiterados se clasificaron </w:t>
      </w:r>
      <w:r w:rsidR="006C0576" w:rsidRPr="00F82BE7">
        <w:rPr>
          <w:rFonts w:ascii="ITC Avant Garde" w:hAnsi="ITC Avant Garde" w:cs="Arial"/>
          <w:color w:val="000000"/>
        </w:rPr>
        <w:t xml:space="preserve">de acuerdo a </w:t>
      </w:r>
      <w:r w:rsidR="00F6048B" w:rsidRPr="00F82BE7">
        <w:rPr>
          <w:rFonts w:ascii="ITC Avant Garde" w:hAnsi="ITC Avant Garde" w:cs="Arial"/>
          <w:color w:val="000000"/>
        </w:rPr>
        <w:t>lo siguiente</w:t>
      </w:r>
      <w:r w:rsidR="006C0576" w:rsidRPr="00F82BE7">
        <w:rPr>
          <w:rFonts w:ascii="ITC Avant Garde" w:hAnsi="ITC Avant Garde" w:cs="Arial"/>
          <w:color w:val="000000"/>
        </w:rPr>
        <w:t>:</w:t>
      </w:r>
    </w:p>
    <w:p w:rsidR="00BC43FF" w:rsidRPr="00F82BE7" w:rsidRDefault="00BC43FF" w:rsidP="0033377C">
      <w:pPr>
        <w:pStyle w:val="Prrafodelista"/>
        <w:numPr>
          <w:ilvl w:val="0"/>
          <w:numId w:val="3"/>
        </w:numPr>
        <w:spacing w:line="276" w:lineRule="auto"/>
        <w:jc w:val="both"/>
        <w:rPr>
          <w:rFonts w:ascii="ITC Avant Garde" w:hAnsi="ITC Avant Garde" w:cs="Arial"/>
          <w:color w:val="000000"/>
        </w:rPr>
      </w:pPr>
      <w:r w:rsidRPr="00F82BE7">
        <w:rPr>
          <w:rFonts w:ascii="ITC Avant Garde" w:hAnsi="ITC Avant Garde" w:cs="Arial"/>
          <w:color w:val="000000"/>
        </w:rPr>
        <w:t>Información financiera de cuenta pública</w:t>
      </w:r>
      <w:r w:rsidR="0080171F">
        <w:rPr>
          <w:rFonts w:ascii="ITC Avant Garde" w:hAnsi="ITC Avant Garde" w:cs="Arial"/>
          <w:color w:val="000000"/>
        </w:rPr>
        <w:t>;</w:t>
      </w:r>
    </w:p>
    <w:p w:rsidR="008A7575" w:rsidRPr="00F82BE7" w:rsidRDefault="008A7575" w:rsidP="0033377C">
      <w:pPr>
        <w:pStyle w:val="Prrafodelista"/>
        <w:numPr>
          <w:ilvl w:val="0"/>
          <w:numId w:val="3"/>
        </w:numPr>
        <w:spacing w:line="276" w:lineRule="auto"/>
        <w:jc w:val="both"/>
        <w:rPr>
          <w:rFonts w:ascii="ITC Avant Garde" w:hAnsi="ITC Avant Garde" w:cs="Arial"/>
          <w:color w:val="000000"/>
        </w:rPr>
      </w:pPr>
      <w:r w:rsidRPr="00F82BE7">
        <w:rPr>
          <w:rFonts w:ascii="ITC Avant Garde" w:hAnsi="ITC Avant Garde" w:cs="Arial"/>
          <w:color w:val="000000"/>
        </w:rPr>
        <w:t>Información auditada</w:t>
      </w:r>
      <w:r w:rsidR="0080171F">
        <w:rPr>
          <w:rFonts w:ascii="ITC Avant Garde" w:hAnsi="ITC Avant Garde" w:cs="Arial"/>
          <w:color w:val="000000"/>
        </w:rPr>
        <w:t>;</w:t>
      </w:r>
    </w:p>
    <w:p w:rsidR="00DD3E3A" w:rsidRPr="00F82BE7" w:rsidRDefault="00DD3E3A" w:rsidP="0033377C">
      <w:pPr>
        <w:pStyle w:val="Prrafodelista"/>
        <w:numPr>
          <w:ilvl w:val="0"/>
          <w:numId w:val="3"/>
        </w:numPr>
        <w:spacing w:line="276" w:lineRule="auto"/>
        <w:jc w:val="both"/>
        <w:rPr>
          <w:rFonts w:ascii="ITC Avant Garde" w:hAnsi="ITC Avant Garde" w:cs="Arial"/>
          <w:color w:val="000000"/>
        </w:rPr>
      </w:pPr>
      <w:r w:rsidRPr="00F82BE7">
        <w:rPr>
          <w:rFonts w:ascii="ITC Avant Garde" w:hAnsi="ITC Avant Garde" w:cs="Arial"/>
          <w:color w:val="000000"/>
        </w:rPr>
        <w:t>Valoración de activos</w:t>
      </w:r>
      <w:r w:rsidR="0080171F">
        <w:rPr>
          <w:rFonts w:ascii="ITC Avant Garde" w:hAnsi="ITC Avant Garde" w:cs="Arial"/>
          <w:color w:val="000000"/>
        </w:rPr>
        <w:t>;</w:t>
      </w:r>
    </w:p>
    <w:p w:rsidR="006C0576" w:rsidRPr="00F82BE7" w:rsidRDefault="00CA77F2" w:rsidP="0033377C">
      <w:pPr>
        <w:pStyle w:val="Prrafodelista"/>
        <w:numPr>
          <w:ilvl w:val="0"/>
          <w:numId w:val="3"/>
        </w:numPr>
        <w:spacing w:line="276" w:lineRule="auto"/>
        <w:jc w:val="both"/>
        <w:rPr>
          <w:rFonts w:ascii="ITC Avant Garde" w:hAnsi="ITC Avant Garde" w:cs="Arial"/>
          <w:color w:val="000000"/>
        </w:rPr>
      </w:pPr>
      <w:r w:rsidRPr="00F82BE7">
        <w:rPr>
          <w:rFonts w:ascii="ITC Avant Garde" w:hAnsi="ITC Avant Garde" w:cs="Arial"/>
          <w:color w:val="000000"/>
        </w:rPr>
        <w:t>M</w:t>
      </w:r>
      <w:r w:rsidR="005762C2" w:rsidRPr="00F82BE7">
        <w:rPr>
          <w:rFonts w:ascii="ITC Avant Garde" w:hAnsi="ITC Avant Garde" w:cs="Arial"/>
          <w:color w:val="000000"/>
        </w:rPr>
        <w:t>ayor nivel de desagregación</w:t>
      </w:r>
      <w:r w:rsidR="0080171F">
        <w:rPr>
          <w:rFonts w:ascii="ITC Avant Garde" w:hAnsi="ITC Avant Garde" w:cs="Arial"/>
          <w:color w:val="000000"/>
        </w:rPr>
        <w:t>;</w:t>
      </w:r>
    </w:p>
    <w:p w:rsidR="00CA77F2" w:rsidRPr="00F82BE7" w:rsidRDefault="005013DA" w:rsidP="0033377C">
      <w:pPr>
        <w:pStyle w:val="Prrafodelista"/>
        <w:numPr>
          <w:ilvl w:val="0"/>
          <w:numId w:val="3"/>
        </w:numPr>
        <w:spacing w:line="276" w:lineRule="auto"/>
        <w:jc w:val="both"/>
        <w:rPr>
          <w:rFonts w:ascii="ITC Avant Garde" w:hAnsi="ITC Avant Garde" w:cs="Arial"/>
          <w:color w:val="000000"/>
        </w:rPr>
      </w:pPr>
      <w:r w:rsidRPr="00F82BE7">
        <w:rPr>
          <w:rFonts w:ascii="ITC Avant Garde" w:hAnsi="ITC Avant Garde" w:cs="Arial"/>
          <w:color w:val="000000"/>
        </w:rPr>
        <w:t>Límite del 10% para la distribución de los costos generales</w:t>
      </w:r>
      <w:r w:rsidR="0080171F">
        <w:rPr>
          <w:rFonts w:ascii="ITC Avant Garde" w:hAnsi="ITC Avant Garde" w:cs="Arial"/>
          <w:color w:val="000000"/>
        </w:rPr>
        <w:t>;</w:t>
      </w:r>
    </w:p>
    <w:p w:rsidR="00CF3B49" w:rsidRPr="00F82BE7" w:rsidRDefault="005013DA" w:rsidP="0033377C">
      <w:pPr>
        <w:pStyle w:val="Prrafodelista"/>
        <w:numPr>
          <w:ilvl w:val="0"/>
          <w:numId w:val="3"/>
        </w:numPr>
        <w:spacing w:line="276" w:lineRule="auto"/>
        <w:jc w:val="both"/>
        <w:rPr>
          <w:rFonts w:ascii="ITC Avant Garde" w:hAnsi="ITC Avant Garde" w:cs="Arial"/>
          <w:color w:val="000000"/>
        </w:rPr>
      </w:pPr>
      <w:r w:rsidRPr="00F82BE7">
        <w:rPr>
          <w:rFonts w:ascii="ITC Avant Garde" w:hAnsi="ITC Avant Garde" w:cs="Arial"/>
          <w:color w:val="000000"/>
        </w:rPr>
        <w:t>Principios de la separación contable</w:t>
      </w:r>
      <w:r w:rsidR="0080171F">
        <w:rPr>
          <w:rFonts w:ascii="ITC Avant Garde" w:hAnsi="ITC Avant Garde" w:cs="Arial"/>
          <w:color w:val="000000"/>
        </w:rPr>
        <w:t>;</w:t>
      </w:r>
    </w:p>
    <w:p w:rsidR="00682A83" w:rsidRPr="00F82BE7" w:rsidRDefault="00682A83" w:rsidP="0033377C">
      <w:pPr>
        <w:pStyle w:val="Prrafodelista"/>
        <w:numPr>
          <w:ilvl w:val="0"/>
          <w:numId w:val="3"/>
        </w:numPr>
        <w:spacing w:line="276" w:lineRule="auto"/>
        <w:jc w:val="both"/>
        <w:rPr>
          <w:rFonts w:ascii="ITC Avant Garde" w:hAnsi="ITC Avant Garde" w:cs="Arial"/>
          <w:color w:val="000000"/>
        </w:rPr>
      </w:pPr>
      <w:r w:rsidRPr="00F82BE7">
        <w:rPr>
          <w:rFonts w:ascii="ITC Avant Garde" w:hAnsi="ITC Avant Garde" w:cs="Arial"/>
          <w:color w:val="000000"/>
        </w:rPr>
        <w:t xml:space="preserve">Mayor detalle en </w:t>
      </w:r>
      <w:r w:rsidR="00FC0E55">
        <w:rPr>
          <w:rFonts w:ascii="ITC Avant Garde" w:hAnsi="ITC Avant Garde" w:cs="Arial"/>
          <w:color w:val="000000"/>
        </w:rPr>
        <w:t>la</w:t>
      </w:r>
      <w:r w:rsidRPr="00F82BE7">
        <w:rPr>
          <w:rFonts w:ascii="ITC Avant Garde" w:hAnsi="ITC Avant Garde" w:cs="Arial"/>
          <w:color w:val="000000"/>
        </w:rPr>
        <w:t xml:space="preserve"> atribución de costos, cargos de transferencia, estudios de soporte a la separación contable, Anexo 5</w:t>
      </w:r>
      <w:r w:rsidR="00C90132">
        <w:rPr>
          <w:rFonts w:ascii="ITC Avant Garde" w:hAnsi="ITC Avant Garde" w:cs="Arial"/>
          <w:color w:val="000000"/>
        </w:rPr>
        <w:t xml:space="preserve"> y </w:t>
      </w:r>
      <w:r w:rsidRPr="00F82BE7">
        <w:rPr>
          <w:rFonts w:ascii="ITC Avant Garde" w:hAnsi="ITC Avant Garde" w:cs="Arial"/>
          <w:color w:val="000000"/>
        </w:rPr>
        <w:t>Anexo 7</w:t>
      </w:r>
      <w:r w:rsidR="0080171F">
        <w:rPr>
          <w:rFonts w:ascii="ITC Avant Garde" w:hAnsi="ITC Avant Garde" w:cs="Arial"/>
          <w:color w:val="000000"/>
        </w:rPr>
        <w:t>;</w:t>
      </w:r>
    </w:p>
    <w:p w:rsidR="00A60C00" w:rsidRPr="00F82BE7" w:rsidRDefault="00A60C00" w:rsidP="0033377C">
      <w:pPr>
        <w:pStyle w:val="Prrafodelista"/>
        <w:numPr>
          <w:ilvl w:val="0"/>
          <w:numId w:val="3"/>
        </w:numPr>
        <w:spacing w:line="276" w:lineRule="auto"/>
        <w:jc w:val="both"/>
        <w:rPr>
          <w:rFonts w:ascii="ITC Avant Garde" w:hAnsi="ITC Avant Garde" w:cs="Arial"/>
          <w:color w:val="000000"/>
        </w:rPr>
      </w:pPr>
      <w:r w:rsidRPr="00F82BE7">
        <w:rPr>
          <w:rFonts w:ascii="ITC Avant Garde" w:hAnsi="ITC Avant Garde" w:cs="Arial"/>
          <w:color w:val="000000"/>
        </w:rPr>
        <w:t>Descuentos por volumen</w:t>
      </w:r>
      <w:r w:rsidR="0080171F">
        <w:rPr>
          <w:rFonts w:ascii="ITC Avant Garde" w:hAnsi="ITC Avant Garde" w:cs="Arial"/>
          <w:color w:val="000000"/>
        </w:rPr>
        <w:t>;</w:t>
      </w:r>
    </w:p>
    <w:p w:rsidR="00A60C00" w:rsidRPr="00F82BE7" w:rsidRDefault="00A60C00" w:rsidP="0033377C">
      <w:pPr>
        <w:pStyle w:val="Prrafodelista"/>
        <w:numPr>
          <w:ilvl w:val="0"/>
          <w:numId w:val="3"/>
        </w:numPr>
        <w:spacing w:line="276" w:lineRule="auto"/>
        <w:jc w:val="both"/>
        <w:rPr>
          <w:rFonts w:ascii="ITC Avant Garde" w:hAnsi="ITC Avant Garde" w:cs="Arial"/>
          <w:color w:val="000000"/>
        </w:rPr>
      </w:pPr>
      <w:r w:rsidRPr="00F82BE7">
        <w:rPr>
          <w:rFonts w:ascii="ITC Avant Garde" w:hAnsi="ITC Avant Garde" w:cs="Arial"/>
          <w:color w:val="000000"/>
        </w:rPr>
        <w:t>Formatos de redes compartidas</w:t>
      </w:r>
      <w:r w:rsidR="0080171F">
        <w:rPr>
          <w:rFonts w:ascii="ITC Avant Garde" w:hAnsi="ITC Avant Garde" w:cs="Arial"/>
          <w:color w:val="000000"/>
        </w:rPr>
        <w:t>;</w:t>
      </w:r>
    </w:p>
    <w:p w:rsidR="00125789" w:rsidRPr="00F82BE7" w:rsidRDefault="00125789" w:rsidP="0033377C">
      <w:pPr>
        <w:pStyle w:val="Prrafodelista"/>
        <w:numPr>
          <w:ilvl w:val="0"/>
          <w:numId w:val="3"/>
        </w:numPr>
        <w:spacing w:line="276" w:lineRule="auto"/>
        <w:rPr>
          <w:rFonts w:ascii="ITC Avant Garde" w:hAnsi="ITC Avant Garde" w:cs="Arial"/>
          <w:color w:val="000000"/>
        </w:rPr>
      </w:pPr>
      <w:r w:rsidRPr="00F82BE7">
        <w:rPr>
          <w:rFonts w:ascii="ITC Avant Garde" w:hAnsi="ITC Avant Garde" w:cs="Arial"/>
          <w:color w:val="000000"/>
        </w:rPr>
        <w:t xml:space="preserve">Periodicidad </w:t>
      </w:r>
      <w:r w:rsidR="00ED316D" w:rsidRPr="00F82BE7">
        <w:rPr>
          <w:rFonts w:ascii="ITC Avant Garde" w:hAnsi="ITC Avant Garde" w:cs="Arial"/>
          <w:color w:val="000000"/>
        </w:rPr>
        <w:t>de</w:t>
      </w:r>
      <w:r w:rsidRPr="00F82BE7">
        <w:rPr>
          <w:rFonts w:ascii="ITC Avant Garde" w:hAnsi="ITC Avant Garde" w:cs="Arial"/>
          <w:color w:val="000000"/>
        </w:rPr>
        <w:t xml:space="preserve"> la entrega de información</w:t>
      </w:r>
      <w:r w:rsidR="0080171F">
        <w:rPr>
          <w:rFonts w:ascii="ITC Avant Garde" w:hAnsi="ITC Avant Garde" w:cs="Arial"/>
          <w:color w:val="000000"/>
        </w:rPr>
        <w:t>;</w:t>
      </w:r>
    </w:p>
    <w:p w:rsidR="00E43C67" w:rsidRPr="00F82BE7" w:rsidRDefault="00DF0C34" w:rsidP="0033377C">
      <w:pPr>
        <w:pStyle w:val="Prrafodelista"/>
        <w:numPr>
          <w:ilvl w:val="0"/>
          <w:numId w:val="3"/>
        </w:numPr>
        <w:spacing w:line="276" w:lineRule="auto"/>
        <w:jc w:val="both"/>
        <w:rPr>
          <w:rFonts w:ascii="ITC Avant Garde" w:hAnsi="ITC Avant Garde" w:cs="Arial"/>
          <w:color w:val="000000"/>
        </w:rPr>
      </w:pPr>
      <w:r w:rsidRPr="00F82BE7">
        <w:rPr>
          <w:rFonts w:ascii="ITC Avant Garde" w:hAnsi="ITC Avant Garde" w:cs="Arial"/>
          <w:color w:val="000000"/>
        </w:rPr>
        <w:t xml:space="preserve">Retroactividad </w:t>
      </w:r>
      <w:r w:rsidR="00E43C67" w:rsidRPr="00F82BE7">
        <w:rPr>
          <w:rFonts w:ascii="ITC Avant Garde" w:hAnsi="ITC Avant Garde" w:cs="Arial"/>
          <w:color w:val="000000"/>
        </w:rPr>
        <w:t>de la separación contable</w:t>
      </w:r>
      <w:r w:rsidR="0080171F">
        <w:rPr>
          <w:rFonts w:ascii="ITC Avant Garde" w:hAnsi="ITC Avant Garde" w:cs="Arial"/>
          <w:color w:val="000000"/>
        </w:rPr>
        <w:t>;</w:t>
      </w:r>
    </w:p>
    <w:p w:rsidR="00FD0C10" w:rsidRPr="00F82BE7" w:rsidRDefault="00FD0C10" w:rsidP="0033377C">
      <w:pPr>
        <w:pStyle w:val="Prrafodelista"/>
        <w:numPr>
          <w:ilvl w:val="0"/>
          <w:numId w:val="3"/>
        </w:numPr>
        <w:spacing w:line="276" w:lineRule="auto"/>
        <w:jc w:val="both"/>
        <w:rPr>
          <w:rFonts w:ascii="ITC Avant Garde" w:hAnsi="ITC Avant Garde" w:cs="Arial"/>
          <w:color w:val="000000"/>
        </w:rPr>
      </w:pPr>
      <w:r w:rsidRPr="00F82BE7">
        <w:rPr>
          <w:rFonts w:ascii="ITC Avant Garde" w:hAnsi="ITC Avant Garde" w:cs="Arial"/>
          <w:color w:val="000000"/>
        </w:rPr>
        <w:t>Programa de Implementaci</w:t>
      </w:r>
      <w:r w:rsidR="00F33830" w:rsidRPr="00F82BE7">
        <w:rPr>
          <w:rFonts w:ascii="ITC Avant Garde" w:hAnsi="ITC Avant Garde" w:cs="Arial"/>
          <w:color w:val="000000"/>
        </w:rPr>
        <w:t>ón</w:t>
      </w:r>
      <w:r w:rsidR="0080171F">
        <w:rPr>
          <w:rFonts w:ascii="ITC Avant Garde" w:hAnsi="ITC Avant Garde" w:cs="Arial"/>
          <w:color w:val="000000"/>
        </w:rPr>
        <w:t>;</w:t>
      </w:r>
    </w:p>
    <w:p w:rsidR="00F33830" w:rsidRPr="00F82BE7" w:rsidRDefault="00F33830" w:rsidP="0033377C">
      <w:pPr>
        <w:pStyle w:val="Prrafodelista"/>
        <w:numPr>
          <w:ilvl w:val="0"/>
          <w:numId w:val="3"/>
        </w:numPr>
        <w:spacing w:line="276" w:lineRule="auto"/>
        <w:jc w:val="both"/>
        <w:rPr>
          <w:rFonts w:ascii="ITC Avant Garde" w:hAnsi="ITC Avant Garde" w:cs="Arial"/>
          <w:color w:val="000000"/>
        </w:rPr>
      </w:pPr>
      <w:r w:rsidRPr="00F82BE7">
        <w:rPr>
          <w:rFonts w:ascii="ITC Avant Garde" w:hAnsi="ITC Avant Garde" w:cs="Arial"/>
          <w:color w:val="000000"/>
        </w:rPr>
        <w:t>Proce</w:t>
      </w:r>
      <w:r w:rsidR="00691511" w:rsidRPr="00F82BE7">
        <w:rPr>
          <w:rFonts w:ascii="ITC Avant Garde" w:hAnsi="ITC Avant Garde" w:cs="Arial"/>
          <w:color w:val="000000"/>
        </w:rPr>
        <w:t>so de revisión e implementación</w:t>
      </w:r>
      <w:r w:rsidR="0080171F">
        <w:rPr>
          <w:rFonts w:ascii="ITC Avant Garde" w:hAnsi="ITC Avant Garde" w:cs="Arial"/>
          <w:color w:val="000000"/>
        </w:rPr>
        <w:t>;</w:t>
      </w:r>
    </w:p>
    <w:p w:rsidR="00DE1099" w:rsidRPr="00F82BE7" w:rsidRDefault="00DE1099" w:rsidP="0033377C">
      <w:pPr>
        <w:pStyle w:val="Prrafodelista"/>
        <w:numPr>
          <w:ilvl w:val="0"/>
          <w:numId w:val="3"/>
        </w:numPr>
        <w:spacing w:line="276" w:lineRule="auto"/>
        <w:jc w:val="both"/>
        <w:rPr>
          <w:rFonts w:ascii="ITC Avant Garde" w:hAnsi="ITC Avant Garde" w:cs="Arial"/>
          <w:color w:val="000000"/>
        </w:rPr>
      </w:pPr>
      <w:r w:rsidRPr="00F82BE7">
        <w:rPr>
          <w:rFonts w:ascii="ITC Avant Garde" w:hAnsi="ITC Avant Garde" w:cs="Arial"/>
          <w:color w:val="000000"/>
        </w:rPr>
        <w:t>Formatos de separación contable</w:t>
      </w:r>
      <w:r w:rsidR="0080171F">
        <w:rPr>
          <w:rFonts w:ascii="ITC Avant Garde" w:hAnsi="ITC Avant Garde" w:cs="Arial"/>
          <w:color w:val="000000"/>
        </w:rPr>
        <w:t>;</w:t>
      </w:r>
    </w:p>
    <w:p w:rsidR="00145DAA" w:rsidRPr="00F82BE7" w:rsidRDefault="00F643D1" w:rsidP="0033377C">
      <w:pPr>
        <w:pStyle w:val="Prrafodelista"/>
        <w:numPr>
          <w:ilvl w:val="0"/>
          <w:numId w:val="3"/>
        </w:numPr>
        <w:spacing w:line="276" w:lineRule="auto"/>
        <w:jc w:val="both"/>
        <w:rPr>
          <w:rFonts w:ascii="ITC Avant Garde" w:hAnsi="ITC Avant Garde" w:cs="Arial"/>
          <w:color w:val="000000"/>
        </w:rPr>
      </w:pPr>
      <w:r w:rsidRPr="00F82BE7">
        <w:rPr>
          <w:rFonts w:ascii="ITC Avant Garde" w:hAnsi="ITC Avant Garde" w:cs="Arial"/>
          <w:color w:val="000000"/>
        </w:rPr>
        <w:t>Mantenimiento de capital y el cálculo de su depreciación</w:t>
      </w:r>
      <w:r w:rsidR="0080171F">
        <w:rPr>
          <w:rFonts w:ascii="ITC Avant Garde" w:hAnsi="ITC Avant Garde" w:cs="Arial"/>
          <w:color w:val="000000"/>
        </w:rPr>
        <w:t>;</w:t>
      </w:r>
    </w:p>
    <w:p w:rsidR="00410C95" w:rsidRPr="00F82BE7" w:rsidRDefault="00410C95" w:rsidP="0033377C">
      <w:pPr>
        <w:pStyle w:val="Prrafodelista"/>
        <w:numPr>
          <w:ilvl w:val="0"/>
          <w:numId w:val="3"/>
        </w:numPr>
        <w:spacing w:line="276" w:lineRule="auto"/>
        <w:jc w:val="both"/>
        <w:rPr>
          <w:rFonts w:ascii="ITC Avant Garde" w:hAnsi="ITC Avant Garde" w:cs="Arial"/>
          <w:color w:val="000000"/>
        </w:rPr>
      </w:pPr>
      <w:r w:rsidRPr="00F82BE7">
        <w:rPr>
          <w:rFonts w:ascii="ITC Avant Garde" w:hAnsi="ITC Avant Garde" w:cs="Arial"/>
          <w:color w:val="000000"/>
        </w:rPr>
        <w:t>Informe de Precios de Transferencia</w:t>
      </w:r>
      <w:r w:rsidR="0080171F">
        <w:rPr>
          <w:rFonts w:ascii="ITC Avant Garde" w:hAnsi="ITC Avant Garde" w:cs="Arial"/>
          <w:color w:val="000000"/>
        </w:rPr>
        <w:t>;</w:t>
      </w:r>
    </w:p>
    <w:p w:rsidR="0024627A" w:rsidRPr="00F82BE7" w:rsidRDefault="0024627A" w:rsidP="0033377C">
      <w:pPr>
        <w:pStyle w:val="Prrafodelista"/>
        <w:numPr>
          <w:ilvl w:val="0"/>
          <w:numId w:val="3"/>
        </w:numPr>
        <w:spacing w:line="276" w:lineRule="auto"/>
        <w:jc w:val="both"/>
        <w:rPr>
          <w:rFonts w:ascii="ITC Avant Garde" w:hAnsi="ITC Avant Garde" w:cs="Arial"/>
          <w:color w:val="000000"/>
        </w:rPr>
      </w:pPr>
      <w:r w:rsidRPr="00F82BE7">
        <w:rPr>
          <w:rFonts w:ascii="ITC Avant Garde" w:hAnsi="ITC Avant Garde" w:cs="Arial"/>
          <w:color w:val="000000"/>
        </w:rPr>
        <w:t>Acceso a la información de separación contable</w:t>
      </w:r>
      <w:r w:rsidR="0080171F">
        <w:rPr>
          <w:rFonts w:ascii="ITC Avant Garde" w:hAnsi="ITC Avant Garde" w:cs="Arial"/>
          <w:color w:val="000000"/>
        </w:rPr>
        <w:t>;</w:t>
      </w:r>
    </w:p>
    <w:p w:rsidR="00300D3E" w:rsidRPr="00F82BE7" w:rsidRDefault="00300D3E" w:rsidP="0033377C">
      <w:pPr>
        <w:pStyle w:val="Prrafodelista"/>
        <w:numPr>
          <w:ilvl w:val="0"/>
          <w:numId w:val="3"/>
        </w:numPr>
        <w:spacing w:line="276" w:lineRule="auto"/>
        <w:jc w:val="both"/>
        <w:rPr>
          <w:rFonts w:ascii="ITC Avant Garde" w:hAnsi="ITC Avant Garde" w:cs="Arial"/>
          <w:color w:val="000000"/>
        </w:rPr>
      </w:pPr>
      <w:r w:rsidRPr="00F82BE7">
        <w:rPr>
          <w:rFonts w:ascii="ITC Avant Garde" w:hAnsi="ITC Avant Garde" w:cs="Arial"/>
          <w:color w:val="000000"/>
        </w:rPr>
        <w:t>Sistemas para el manejo de la información</w:t>
      </w:r>
      <w:r w:rsidR="0080171F">
        <w:rPr>
          <w:rFonts w:ascii="ITC Avant Garde" w:hAnsi="ITC Avant Garde" w:cs="Arial"/>
          <w:color w:val="000000"/>
        </w:rPr>
        <w:t>;</w:t>
      </w:r>
    </w:p>
    <w:p w:rsidR="00AF5443" w:rsidRPr="00F82BE7" w:rsidRDefault="00AF5443" w:rsidP="0033377C">
      <w:pPr>
        <w:pStyle w:val="Prrafodelista"/>
        <w:numPr>
          <w:ilvl w:val="0"/>
          <w:numId w:val="3"/>
        </w:numPr>
        <w:spacing w:line="276" w:lineRule="auto"/>
        <w:jc w:val="both"/>
        <w:rPr>
          <w:rFonts w:ascii="ITC Avant Garde" w:hAnsi="ITC Avant Garde" w:cs="Arial"/>
          <w:color w:val="000000"/>
        </w:rPr>
      </w:pPr>
      <w:r w:rsidRPr="00F82BE7">
        <w:rPr>
          <w:rFonts w:ascii="ITC Avant Garde" w:hAnsi="ITC Avant Garde" w:cs="Arial"/>
          <w:color w:val="000000"/>
        </w:rPr>
        <w:t>Costo promedio ponderado de capital empleado</w:t>
      </w:r>
      <w:r w:rsidR="0080171F">
        <w:rPr>
          <w:rFonts w:ascii="ITC Avant Garde" w:hAnsi="ITC Avant Garde" w:cs="Arial"/>
          <w:color w:val="000000"/>
        </w:rPr>
        <w:t>;</w:t>
      </w:r>
    </w:p>
    <w:p w:rsidR="00B1548A" w:rsidRPr="00F82BE7" w:rsidRDefault="00B1548A" w:rsidP="0033377C">
      <w:pPr>
        <w:pStyle w:val="Prrafodelista"/>
        <w:numPr>
          <w:ilvl w:val="0"/>
          <w:numId w:val="3"/>
        </w:numPr>
        <w:spacing w:line="276" w:lineRule="auto"/>
        <w:jc w:val="both"/>
        <w:rPr>
          <w:rFonts w:ascii="ITC Avant Garde" w:hAnsi="ITC Avant Garde" w:cs="Arial"/>
          <w:color w:val="000000"/>
        </w:rPr>
      </w:pPr>
      <w:r w:rsidRPr="00F82BE7">
        <w:rPr>
          <w:rFonts w:ascii="ITC Avant Garde" w:hAnsi="ITC Avant Garde" w:cs="Arial"/>
          <w:color w:val="000000"/>
        </w:rPr>
        <w:t>Diferencias entre cargos de transferencia y precios de transferencia</w:t>
      </w:r>
      <w:r w:rsidR="0080171F">
        <w:rPr>
          <w:rFonts w:ascii="ITC Avant Garde" w:hAnsi="ITC Avant Garde" w:cs="Arial"/>
          <w:color w:val="000000"/>
        </w:rPr>
        <w:t>;</w:t>
      </w:r>
    </w:p>
    <w:p w:rsidR="008037CF" w:rsidRPr="00F82BE7" w:rsidRDefault="008037CF" w:rsidP="0033377C">
      <w:pPr>
        <w:pStyle w:val="Prrafodelista"/>
        <w:numPr>
          <w:ilvl w:val="0"/>
          <w:numId w:val="3"/>
        </w:numPr>
        <w:spacing w:line="276" w:lineRule="auto"/>
        <w:jc w:val="both"/>
        <w:rPr>
          <w:rFonts w:ascii="ITC Avant Garde" w:hAnsi="ITC Avant Garde" w:cs="Arial"/>
          <w:color w:val="000000"/>
        </w:rPr>
      </w:pPr>
      <w:r w:rsidRPr="00F82BE7">
        <w:rPr>
          <w:rFonts w:ascii="ITC Avant Garde" w:hAnsi="ITC Avant Garde" w:cs="Arial"/>
          <w:color w:val="000000"/>
        </w:rPr>
        <w:t>Estudios de soporte</w:t>
      </w:r>
      <w:r w:rsidR="0080171F">
        <w:rPr>
          <w:rFonts w:ascii="ITC Avant Garde" w:hAnsi="ITC Avant Garde" w:cs="Arial"/>
          <w:color w:val="000000"/>
        </w:rPr>
        <w:t>;</w:t>
      </w:r>
    </w:p>
    <w:p w:rsidR="00691511" w:rsidRPr="00F82BE7" w:rsidRDefault="00691511" w:rsidP="0033377C">
      <w:pPr>
        <w:pStyle w:val="Prrafodelista"/>
        <w:numPr>
          <w:ilvl w:val="0"/>
          <w:numId w:val="3"/>
        </w:numPr>
        <w:spacing w:line="276" w:lineRule="auto"/>
        <w:jc w:val="both"/>
        <w:rPr>
          <w:rFonts w:ascii="ITC Avant Garde" w:hAnsi="ITC Avant Garde" w:cs="Arial"/>
          <w:color w:val="000000"/>
        </w:rPr>
      </w:pPr>
      <w:r w:rsidRPr="00F82BE7">
        <w:rPr>
          <w:rFonts w:ascii="ITC Avant Garde" w:hAnsi="ITC Avant Garde" w:cs="Arial"/>
          <w:color w:val="000000"/>
        </w:rPr>
        <w:t>Alineación entre medidas de preponderancia y la metodología de separación contable</w:t>
      </w:r>
      <w:r w:rsidR="0080171F">
        <w:rPr>
          <w:rFonts w:ascii="ITC Avant Garde" w:hAnsi="ITC Avant Garde" w:cs="Arial"/>
          <w:color w:val="000000"/>
        </w:rPr>
        <w:t>;</w:t>
      </w:r>
    </w:p>
    <w:p w:rsidR="00EB26BA" w:rsidRPr="00F82BE7" w:rsidRDefault="00EB26BA" w:rsidP="0033377C">
      <w:pPr>
        <w:pStyle w:val="Prrafodelista"/>
        <w:numPr>
          <w:ilvl w:val="0"/>
          <w:numId w:val="3"/>
        </w:numPr>
        <w:spacing w:line="276" w:lineRule="auto"/>
        <w:jc w:val="both"/>
        <w:rPr>
          <w:rFonts w:ascii="ITC Avant Garde" w:hAnsi="ITC Avant Garde" w:cs="Arial"/>
          <w:color w:val="000000"/>
        </w:rPr>
      </w:pPr>
      <w:r w:rsidRPr="00F82BE7">
        <w:rPr>
          <w:rFonts w:ascii="ITC Avant Garde" w:hAnsi="ITC Avant Garde" w:cs="Arial"/>
          <w:color w:val="000000"/>
        </w:rPr>
        <w:t>Gradualidad en la aplicación de la separación contable</w:t>
      </w:r>
      <w:r w:rsidR="0080171F">
        <w:rPr>
          <w:rFonts w:ascii="ITC Avant Garde" w:hAnsi="ITC Avant Garde" w:cs="Arial"/>
          <w:color w:val="000000"/>
        </w:rPr>
        <w:t>;</w:t>
      </w:r>
    </w:p>
    <w:p w:rsidR="004867C4" w:rsidRPr="00F82BE7" w:rsidRDefault="004867C4" w:rsidP="0033377C">
      <w:pPr>
        <w:pStyle w:val="Prrafodelista"/>
        <w:numPr>
          <w:ilvl w:val="0"/>
          <w:numId w:val="3"/>
        </w:numPr>
        <w:spacing w:line="276" w:lineRule="auto"/>
        <w:jc w:val="both"/>
        <w:rPr>
          <w:rFonts w:ascii="ITC Avant Garde" w:hAnsi="ITC Avant Garde" w:cs="Arial"/>
          <w:color w:val="000000"/>
        </w:rPr>
      </w:pPr>
      <w:r w:rsidRPr="00F82BE7">
        <w:rPr>
          <w:rFonts w:ascii="ITC Avant Garde" w:hAnsi="ITC Avant Garde" w:cs="Arial"/>
          <w:color w:val="000000"/>
        </w:rPr>
        <w:lastRenderedPageBreak/>
        <w:t>Realización de un análisis de mercado para imponer la medida de separación contable</w:t>
      </w:r>
      <w:r w:rsidR="0080171F">
        <w:rPr>
          <w:rFonts w:ascii="ITC Avant Garde" w:hAnsi="ITC Avant Garde" w:cs="Arial"/>
          <w:color w:val="000000"/>
        </w:rPr>
        <w:t>;</w:t>
      </w:r>
    </w:p>
    <w:p w:rsidR="003C07FB" w:rsidRPr="00F82BE7" w:rsidRDefault="003C07FB" w:rsidP="0033377C">
      <w:pPr>
        <w:pStyle w:val="Prrafodelista"/>
        <w:numPr>
          <w:ilvl w:val="0"/>
          <w:numId w:val="3"/>
        </w:numPr>
        <w:spacing w:line="276" w:lineRule="auto"/>
        <w:jc w:val="both"/>
        <w:rPr>
          <w:rFonts w:ascii="ITC Avant Garde" w:hAnsi="ITC Avant Garde" w:cs="Arial"/>
          <w:color w:val="000000"/>
        </w:rPr>
      </w:pPr>
      <w:r w:rsidRPr="00F82BE7">
        <w:rPr>
          <w:rFonts w:ascii="ITC Avant Garde" w:hAnsi="ITC Avant Garde" w:cs="Arial"/>
          <w:color w:val="000000"/>
        </w:rPr>
        <w:t>Replicabilidad económica</w:t>
      </w:r>
      <w:r w:rsidR="0080171F">
        <w:rPr>
          <w:rFonts w:ascii="ITC Avant Garde" w:hAnsi="ITC Avant Garde" w:cs="Arial"/>
          <w:color w:val="000000"/>
        </w:rPr>
        <w:t>;</w:t>
      </w:r>
    </w:p>
    <w:p w:rsidR="00D75D40" w:rsidRPr="00F82BE7" w:rsidRDefault="00D75D40" w:rsidP="0033377C">
      <w:pPr>
        <w:pStyle w:val="Prrafodelista"/>
        <w:numPr>
          <w:ilvl w:val="0"/>
          <w:numId w:val="3"/>
        </w:numPr>
        <w:spacing w:line="276" w:lineRule="auto"/>
        <w:jc w:val="both"/>
        <w:rPr>
          <w:rFonts w:ascii="ITC Avant Garde" w:hAnsi="ITC Avant Garde" w:cs="Arial"/>
          <w:color w:val="000000"/>
        </w:rPr>
      </w:pPr>
      <w:r w:rsidRPr="00F82BE7">
        <w:rPr>
          <w:rFonts w:ascii="ITC Avant Garde" w:hAnsi="ITC Avant Garde" w:cs="Arial"/>
          <w:color w:val="000000"/>
        </w:rPr>
        <w:t>Servicios regulados y no regulados</w:t>
      </w:r>
      <w:r w:rsidR="0080171F">
        <w:rPr>
          <w:rFonts w:ascii="ITC Avant Garde" w:hAnsi="ITC Avant Garde" w:cs="Arial"/>
          <w:color w:val="000000"/>
        </w:rPr>
        <w:t>, y</w:t>
      </w:r>
    </w:p>
    <w:p w:rsidR="00EE7A66" w:rsidRPr="00F82BE7" w:rsidRDefault="00EE7A66" w:rsidP="0033377C">
      <w:pPr>
        <w:pStyle w:val="Prrafodelista"/>
        <w:numPr>
          <w:ilvl w:val="0"/>
          <w:numId w:val="3"/>
        </w:numPr>
        <w:spacing w:line="276" w:lineRule="auto"/>
        <w:jc w:val="both"/>
        <w:rPr>
          <w:rFonts w:ascii="ITC Avant Garde" w:hAnsi="ITC Avant Garde" w:cs="Arial"/>
          <w:color w:val="000000"/>
        </w:rPr>
      </w:pPr>
      <w:r w:rsidRPr="00F82BE7">
        <w:rPr>
          <w:rFonts w:ascii="ITC Avant Garde" w:hAnsi="ITC Avant Garde" w:cs="Arial"/>
          <w:color w:val="000000"/>
        </w:rPr>
        <w:t>Otros</w:t>
      </w:r>
      <w:r w:rsidR="0080171F">
        <w:rPr>
          <w:rFonts w:ascii="ITC Avant Garde" w:hAnsi="ITC Avant Garde" w:cs="Arial"/>
          <w:color w:val="000000"/>
        </w:rPr>
        <w:t>.</w:t>
      </w:r>
    </w:p>
    <w:p w:rsidR="00774055" w:rsidRPr="00F82BE7" w:rsidRDefault="001502B1" w:rsidP="0033377C">
      <w:pPr>
        <w:spacing w:line="276" w:lineRule="auto"/>
        <w:jc w:val="both"/>
        <w:rPr>
          <w:rFonts w:ascii="ITC Avant Garde" w:hAnsi="ITC Avant Garde" w:cs="Arial"/>
          <w:color w:val="000000"/>
        </w:rPr>
      </w:pPr>
      <w:r>
        <w:rPr>
          <w:rFonts w:ascii="ITC Avant Garde" w:hAnsi="ITC Avant Garde" w:cs="Arial"/>
          <w:color w:val="000000"/>
        </w:rPr>
        <w:t>Cabe señalar que e</w:t>
      </w:r>
      <w:r w:rsidR="00774055" w:rsidRPr="00F82BE7">
        <w:rPr>
          <w:rFonts w:ascii="ITC Avant Garde" w:hAnsi="ITC Avant Garde" w:cs="Arial"/>
          <w:color w:val="000000"/>
        </w:rPr>
        <w:t>l 19 de diciembre de 2017, el Pleno del Instituto aprobó el “</w:t>
      </w:r>
      <w:r>
        <w:rPr>
          <w:rFonts w:ascii="ITC Avant Garde" w:hAnsi="ITC Avant Garde" w:cs="Arial"/>
          <w:color w:val="000000"/>
        </w:rPr>
        <w:t>Acuerdo</w:t>
      </w:r>
      <w:r w:rsidRPr="001502B1">
        <w:rPr>
          <w:rFonts w:ascii="ITC Avant Garde" w:hAnsi="ITC Avant Garde" w:cs="Arial"/>
          <w:color w:val="000000"/>
        </w:rPr>
        <w:t xml:space="preserve"> mediante el cual el Pleno del Instituto Federal de Telecomunicaciones expide la metodología de separación contable aplicable a los agentes económicos preponderantes, agentes declarados con poder sustancial de mercado y redes compartidas mayoristas</w:t>
      </w:r>
      <w:r w:rsidR="00774055" w:rsidRPr="00F82BE7">
        <w:rPr>
          <w:rFonts w:ascii="ITC Avant Garde" w:hAnsi="ITC Avant Garde" w:cs="Arial"/>
          <w:color w:val="000000"/>
        </w:rPr>
        <w:t>” (en lo sucesivo, el “Acuerdo”)</w:t>
      </w:r>
      <w:r>
        <w:rPr>
          <w:rFonts w:ascii="ITC Avant Garde" w:hAnsi="ITC Avant Garde" w:cs="Arial"/>
          <w:color w:val="000000"/>
        </w:rPr>
        <w:t xml:space="preserve"> </w:t>
      </w:r>
      <w:r w:rsidR="00774055" w:rsidRPr="00F82BE7">
        <w:rPr>
          <w:rFonts w:ascii="ITC Avant Garde" w:hAnsi="ITC Avant Garde" w:cs="Arial"/>
          <w:color w:val="000000"/>
        </w:rPr>
        <w:t>y se abrogó la “</w:t>
      </w:r>
      <w:r w:rsidRPr="001502B1">
        <w:rPr>
          <w:rFonts w:ascii="ITC Avant Garde" w:hAnsi="ITC Avant Garde" w:cs="Arial"/>
          <w:color w:val="000000"/>
        </w:rPr>
        <w:t>Resolución por la que el Pleno de la Comisión Federal de Telecomunicaciones expide el Manual que provee los criterios y metodología de separación contable por servicio, aplicable a los concesionarios de redes públicas de telecomunicaciones</w:t>
      </w:r>
      <w:r w:rsidR="00774055" w:rsidRPr="00F82BE7">
        <w:rPr>
          <w:rFonts w:ascii="ITC Avant Garde" w:hAnsi="ITC Avant Garde" w:cs="Arial"/>
          <w:color w:val="000000"/>
        </w:rPr>
        <w:t>”, publicada el 22 de marzo de 2013 en el Diario Oficial de la Federación.</w:t>
      </w:r>
    </w:p>
    <w:p w:rsidR="00595A2D" w:rsidRDefault="00595A2D" w:rsidP="0033377C">
      <w:pPr>
        <w:spacing w:line="276" w:lineRule="auto"/>
        <w:jc w:val="both"/>
        <w:rPr>
          <w:rFonts w:ascii="ITC Avant Garde" w:hAnsi="ITC Avant Garde" w:cs="Arial"/>
          <w:color w:val="000000"/>
        </w:rPr>
      </w:pPr>
      <w:r w:rsidRPr="00F82BE7">
        <w:rPr>
          <w:rFonts w:ascii="ITC Avant Garde" w:hAnsi="ITC Avant Garde" w:cs="Arial"/>
          <w:color w:val="000000"/>
        </w:rPr>
        <w:t>Considerando lo anterior, el Instituto emite las siguientes respuestas y consideraciones para cada una de las participaciones recibidas</w:t>
      </w:r>
      <w:r w:rsidR="001502B1">
        <w:rPr>
          <w:rFonts w:ascii="ITC Avant Garde" w:hAnsi="ITC Avant Garde" w:cs="Arial"/>
          <w:color w:val="000000"/>
        </w:rPr>
        <w:t>.</w:t>
      </w:r>
    </w:p>
    <w:p w:rsidR="001502B1" w:rsidRPr="00F82BE7" w:rsidRDefault="001502B1" w:rsidP="0033377C">
      <w:pPr>
        <w:spacing w:line="276" w:lineRule="auto"/>
        <w:jc w:val="both"/>
        <w:rPr>
          <w:rFonts w:ascii="ITC Avant Garde" w:hAnsi="ITC Avant Garde" w:cs="Arial"/>
          <w:color w:val="000000"/>
        </w:rPr>
      </w:pPr>
    </w:p>
    <w:p w:rsidR="00D55B2E" w:rsidRPr="00F82BE7" w:rsidRDefault="00D55B2E" w:rsidP="0033377C">
      <w:pPr>
        <w:pStyle w:val="Prrafodelista"/>
        <w:numPr>
          <w:ilvl w:val="0"/>
          <w:numId w:val="4"/>
        </w:numPr>
        <w:spacing w:line="276" w:lineRule="auto"/>
        <w:jc w:val="both"/>
        <w:rPr>
          <w:rFonts w:ascii="ITC Avant Garde" w:hAnsi="ITC Avant Garde" w:cs="Arial"/>
          <w:b/>
          <w:color w:val="000000"/>
        </w:rPr>
      </w:pPr>
      <w:r w:rsidRPr="00F82BE7">
        <w:rPr>
          <w:rFonts w:ascii="ITC Avant Garde" w:hAnsi="ITC Avant Garde" w:cs="Arial"/>
          <w:b/>
          <w:color w:val="000000"/>
        </w:rPr>
        <w:t>Información financiera de cuenta pública</w:t>
      </w:r>
    </w:p>
    <w:p w:rsidR="00D55B2E" w:rsidRPr="00F82BE7" w:rsidRDefault="00D55B2E" w:rsidP="0033377C">
      <w:pPr>
        <w:spacing w:line="276" w:lineRule="auto"/>
        <w:jc w:val="both"/>
        <w:rPr>
          <w:rFonts w:ascii="ITC Avant Garde" w:hAnsi="ITC Avant Garde" w:cs="Arial"/>
          <w:i/>
          <w:color w:val="000000"/>
        </w:rPr>
      </w:pPr>
      <w:r w:rsidRPr="00F82BE7">
        <w:rPr>
          <w:rFonts w:ascii="ITC Avant Garde" w:hAnsi="ITC Avant Garde" w:cs="Arial"/>
          <w:i/>
          <w:color w:val="000000"/>
        </w:rPr>
        <w:t>Comentarios</w:t>
      </w:r>
    </w:p>
    <w:p w:rsidR="00D55B2E" w:rsidRPr="00F82BE7" w:rsidRDefault="00D55B2E" w:rsidP="0033377C">
      <w:pPr>
        <w:spacing w:line="276" w:lineRule="auto"/>
        <w:jc w:val="both"/>
        <w:rPr>
          <w:rFonts w:ascii="ITC Avant Garde" w:hAnsi="ITC Avant Garde" w:cs="Arial"/>
          <w:color w:val="000000"/>
        </w:rPr>
      </w:pPr>
      <w:r w:rsidRPr="00F82BE7">
        <w:rPr>
          <w:rFonts w:ascii="ITC Avant Garde" w:hAnsi="ITC Avant Garde" w:cs="Arial"/>
          <w:color w:val="000000"/>
        </w:rPr>
        <w:t>Un participante (Telecomm) solicitó que en lo relativo a la información financiera se acepte</w:t>
      </w:r>
      <w:r w:rsidR="00105036" w:rsidRPr="00F82BE7">
        <w:rPr>
          <w:rFonts w:ascii="ITC Avant Garde" w:hAnsi="ITC Avant Garde" w:cs="Arial"/>
          <w:color w:val="000000"/>
        </w:rPr>
        <w:t>n</w:t>
      </w:r>
      <w:r w:rsidRPr="00F82BE7">
        <w:rPr>
          <w:rFonts w:ascii="ITC Avant Garde" w:hAnsi="ITC Avant Garde" w:cs="Arial"/>
          <w:color w:val="000000"/>
        </w:rPr>
        <w:t xml:space="preserve"> los estados financieros, tal cual se auditan como cuenta pública en formatos establecidos por la Secretaría de Hacienda.</w:t>
      </w:r>
    </w:p>
    <w:p w:rsidR="00D55B2E" w:rsidRPr="00F82BE7" w:rsidRDefault="00F96956" w:rsidP="0033377C">
      <w:pPr>
        <w:spacing w:line="276" w:lineRule="auto"/>
        <w:jc w:val="both"/>
        <w:rPr>
          <w:rFonts w:ascii="ITC Avant Garde" w:hAnsi="ITC Avant Garde" w:cs="Arial"/>
          <w:i/>
          <w:color w:val="000000"/>
        </w:rPr>
      </w:pPr>
      <w:r>
        <w:rPr>
          <w:rFonts w:ascii="ITC Avant Garde" w:hAnsi="ITC Avant Garde" w:cs="Arial"/>
          <w:i/>
          <w:color w:val="000000"/>
        </w:rPr>
        <w:t>Consideraciones</w:t>
      </w:r>
      <w:r w:rsidRPr="00F82BE7">
        <w:rPr>
          <w:rFonts w:ascii="ITC Avant Garde" w:hAnsi="ITC Avant Garde" w:cs="Arial"/>
          <w:i/>
          <w:color w:val="000000"/>
        </w:rPr>
        <w:t xml:space="preserve"> </w:t>
      </w:r>
      <w:r w:rsidR="00D55B2E" w:rsidRPr="00F82BE7">
        <w:rPr>
          <w:rFonts w:ascii="ITC Avant Garde" w:hAnsi="ITC Avant Garde" w:cs="Arial"/>
          <w:i/>
          <w:color w:val="000000"/>
        </w:rPr>
        <w:t>del Instituto</w:t>
      </w:r>
    </w:p>
    <w:p w:rsidR="00230D59" w:rsidRDefault="00D55B2E"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El </w:t>
      </w:r>
      <w:r w:rsidR="00A339EF">
        <w:rPr>
          <w:rFonts w:ascii="ITC Avant Garde" w:hAnsi="ITC Avant Garde" w:cs="Arial"/>
          <w:color w:val="000000"/>
        </w:rPr>
        <w:t>Anteproyecto</w:t>
      </w:r>
      <w:r w:rsidR="00A339EF" w:rsidRPr="00F82BE7">
        <w:rPr>
          <w:rFonts w:ascii="ITC Avant Garde" w:hAnsi="ITC Avant Garde" w:cs="Arial"/>
          <w:color w:val="000000"/>
        </w:rPr>
        <w:t xml:space="preserve"> </w:t>
      </w:r>
      <w:r w:rsidRPr="00F82BE7">
        <w:rPr>
          <w:rFonts w:ascii="ITC Avant Garde" w:hAnsi="ITC Avant Garde" w:cs="Arial"/>
          <w:color w:val="000000"/>
        </w:rPr>
        <w:t xml:space="preserve">presenta objetivos regulatorios específicos </w:t>
      </w:r>
      <w:r w:rsidR="0022532A">
        <w:rPr>
          <w:rFonts w:ascii="ITC Avant Garde" w:hAnsi="ITC Avant Garde" w:cs="Arial"/>
          <w:color w:val="000000"/>
        </w:rPr>
        <w:t xml:space="preserve">para los agentes regulados </w:t>
      </w:r>
      <w:r w:rsidRPr="00F82BE7">
        <w:rPr>
          <w:rFonts w:ascii="ITC Avant Garde" w:hAnsi="ITC Avant Garde" w:cs="Arial"/>
          <w:color w:val="000000"/>
        </w:rPr>
        <w:t xml:space="preserve">y al efecto se han definido formatos e información específica que </w:t>
      </w:r>
      <w:r w:rsidR="0022532A">
        <w:rPr>
          <w:rFonts w:ascii="ITC Avant Garde" w:hAnsi="ITC Avant Garde" w:cs="Arial"/>
          <w:color w:val="000000"/>
        </w:rPr>
        <w:t xml:space="preserve">se </w:t>
      </w:r>
      <w:r w:rsidRPr="00F82BE7">
        <w:rPr>
          <w:rFonts w:ascii="ITC Avant Garde" w:hAnsi="ITC Avant Garde" w:cs="Arial"/>
          <w:color w:val="000000"/>
        </w:rPr>
        <w:t xml:space="preserve">deberá entregar </w:t>
      </w:r>
      <w:r w:rsidR="00004CAF">
        <w:rPr>
          <w:rFonts w:ascii="ITC Avant Garde" w:hAnsi="ITC Avant Garde" w:cs="Arial"/>
          <w:color w:val="000000"/>
        </w:rPr>
        <w:t>para</w:t>
      </w:r>
      <w:r w:rsidRPr="00F82BE7">
        <w:rPr>
          <w:rFonts w:ascii="ITC Avant Garde" w:hAnsi="ITC Avant Garde" w:cs="Arial"/>
          <w:color w:val="000000"/>
        </w:rPr>
        <w:t xml:space="preserve"> lograr dichos </w:t>
      </w:r>
      <w:r w:rsidR="00004CAF">
        <w:rPr>
          <w:rFonts w:ascii="ITC Avant Garde" w:hAnsi="ITC Avant Garde" w:cs="Arial"/>
          <w:color w:val="000000"/>
        </w:rPr>
        <w:t>objetivos</w:t>
      </w:r>
      <w:r w:rsidRPr="00F82BE7">
        <w:rPr>
          <w:rFonts w:ascii="ITC Avant Garde" w:hAnsi="ITC Avant Garde" w:cs="Arial"/>
          <w:color w:val="000000"/>
        </w:rPr>
        <w:t xml:space="preserve">. Si bien existen obligaciones fiscales solicitadas por otras entidades, se advierte que estas podrían no atender los requerimientos específicos del </w:t>
      </w:r>
      <w:r w:rsidR="00A339EF">
        <w:rPr>
          <w:rFonts w:ascii="ITC Avant Garde" w:hAnsi="ITC Avant Garde" w:cs="Arial"/>
          <w:color w:val="000000"/>
        </w:rPr>
        <w:t>Anteproyecto</w:t>
      </w:r>
      <w:r w:rsidR="00A339EF" w:rsidRPr="00F82BE7">
        <w:rPr>
          <w:rFonts w:ascii="ITC Avant Garde" w:hAnsi="ITC Avant Garde" w:cs="Arial"/>
          <w:color w:val="000000"/>
        </w:rPr>
        <w:t xml:space="preserve"> </w:t>
      </w:r>
      <w:r w:rsidRPr="00F82BE7">
        <w:rPr>
          <w:rFonts w:ascii="ITC Avant Garde" w:hAnsi="ITC Avant Garde" w:cs="Arial"/>
          <w:color w:val="000000"/>
        </w:rPr>
        <w:t>existiendo el riesgo de no lograr los objetivos regulatorios</w:t>
      </w:r>
      <w:r w:rsidR="00256170">
        <w:rPr>
          <w:rFonts w:ascii="ITC Avant Garde" w:hAnsi="ITC Avant Garde" w:cs="Arial"/>
          <w:color w:val="000000"/>
        </w:rPr>
        <w:t xml:space="preserve"> definidos para la separación contable</w:t>
      </w:r>
      <w:r w:rsidRPr="00F82BE7">
        <w:rPr>
          <w:rFonts w:ascii="ITC Avant Garde" w:hAnsi="ITC Avant Garde" w:cs="Arial"/>
          <w:color w:val="000000"/>
        </w:rPr>
        <w:t xml:space="preserve">. </w:t>
      </w:r>
    </w:p>
    <w:p w:rsidR="00167384" w:rsidRDefault="00D55B2E"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En este sentido, la información a presentar por los agentes regulados debe ser la especificada en el </w:t>
      </w:r>
      <w:r w:rsidR="006C04C8" w:rsidRPr="00F82BE7">
        <w:rPr>
          <w:rFonts w:ascii="ITC Avant Garde" w:hAnsi="ITC Avant Garde" w:cs="Arial"/>
          <w:color w:val="000000"/>
        </w:rPr>
        <w:t>Acuerdo</w:t>
      </w:r>
      <w:r w:rsidRPr="00F82BE7">
        <w:rPr>
          <w:rFonts w:ascii="ITC Avant Garde" w:hAnsi="ITC Avant Garde" w:cs="Arial"/>
          <w:color w:val="000000"/>
        </w:rPr>
        <w:t xml:space="preserve">, por lo cual no se aceptaría información distinta toda vez que podría resultar insuficiente para alcanzar los propósitos regulatorios. </w:t>
      </w:r>
      <w:r w:rsidR="00167384" w:rsidRPr="005308AF">
        <w:rPr>
          <w:rFonts w:ascii="ITC Avant Garde" w:hAnsi="ITC Avant Garde" w:cs="Arial"/>
          <w:color w:val="000000"/>
        </w:rPr>
        <w:t>La importancia de la separación contable para los organismos reguladores radica en la obtención de</w:t>
      </w:r>
      <w:r w:rsidR="005346AA">
        <w:rPr>
          <w:rFonts w:ascii="ITC Avant Garde" w:hAnsi="ITC Avant Garde" w:cs="Arial"/>
          <w:color w:val="000000"/>
        </w:rPr>
        <w:t xml:space="preserve"> </w:t>
      </w:r>
      <w:r w:rsidR="00167384" w:rsidRPr="005308AF">
        <w:rPr>
          <w:rFonts w:ascii="ITC Avant Garde" w:hAnsi="ITC Avant Garde" w:cs="Arial"/>
          <w:color w:val="000000"/>
        </w:rPr>
        <w:t>información asociada a la prestación de los diferentes servicios que proveen los operadores, lo cual ayuda a</w:t>
      </w:r>
      <w:r w:rsidR="005346AA">
        <w:rPr>
          <w:rFonts w:ascii="ITC Avant Garde" w:hAnsi="ITC Avant Garde" w:cs="Arial"/>
          <w:color w:val="000000"/>
        </w:rPr>
        <w:t xml:space="preserve"> </w:t>
      </w:r>
      <w:r w:rsidR="00167384" w:rsidRPr="005308AF">
        <w:rPr>
          <w:rFonts w:ascii="ITC Avant Garde" w:hAnsi="ITC Avant Garde" w:cs="Arial"/>
          <w:color w:val="000000"/>
        </w:rPr>
        <w:t xml:space="preserve">reducir las asimetrías de información </w:t>
      </w:r>
      <w:r w:rsidR="00167384" w:rsidRPr="005308AF">
        <w:rPr>
          <w:rFonts w:ascii="ITC Avant Garde" w:hAnsi="ITC Avant Garde" w:cs="Arial"/>
          <w:color w:val="000000"/>
        </w:rPr>
        <w:lastRenderedPageBreak/>
        <w:t>existentes entre el regulador y los operadores, lo que resulta en una identificación de los costos de operación, ingresos, inversiones y otros términos asociados a los servicios.</w:t>
      </w:r>
    </w:p>
    <w:p w:rsidR="00167384" w:rsidRPr="00F82BE7" w:rsidRDefault="00D55B2E" w:rsidP="0033377C">
      <w:pPr>
        <w:spacing w:line="276" w:lineRule="auto"/>
        <w:jc w:val="both"/>
        <w:rPr>
          <w:rFonts w:ascii="ITC Avant Garde" w:hAnsi="ITC Avant Garde" w:cs="Arial"/>
          <w:color w:val="000000"/>
        </w:rPr>
      </w:pPr>
      <w:r w:rsidRPr="00F82BE7">
        <w:rPr>
          <w:rFonts w:ascii="ITC Avant Garde" w:hAnsi="ITC Avant Garde" w:cs="Arial"/>
          <w:color w:val="000000"/>
        </w:rPr>
        <w:t>En el caso de las redes compartidas mayoristas</w:t>
      </w:r>
      <w:r w:rsidR="00DF7196">
        <w:rPr>
          <w:rFonts w:ascii="ITC Avant Garde" w:hAnsi="ITC Avant Garde" w:cs="Arial"/>
          <w:color w:val="000000"/>
        </w:rPr>
        <w:t xml:space="preserve">, la importancia de la separación contable radica </w:t>
      </w:r>
      <w:r w:rsidR="00195726">
        <w:rPr>
          <w:rFonts w:ascii="ITC Avant Garde" w:hAnsi="ITC Avant Garde" w:cs="Arial"/>
          <w:color w:val="000000"/>
        </w:rPr>
        <w:t xml:space="preserve">en </w:t>
      </w:r>
      <w:r w:rsidR="00DF7196">
        <w:rPr>
          <w:rFonts w:ascii="ITC Avant Garde" w:hAnsi="ITC Avant Garde" w:cs="Arial"/>
          <w:color w:val="000000"/>
        </w:rPr>
        <w:t>que sin esta</w:t>
      </w:r>
      <w:r w:rsidRPr="00F82BE7">
        <w:rPr>
          <w:rFonts w:ascii="ITC Avant Garde" w:hAnsi="ITC Avant Garde" w:cs="Arial"/>
          <w:color w:val="000000"/>
        </w:rPr>
        <w:t xml:space="preserve"> no se podría</w:t>
      </w:r>
      <w:r w:rsidR="00903DEB" w:rsidRPr="00F82BE7">
        <w:rPr>
          <w:rFonts w:ascii="ITC Avant Garde" w:hAnsi="ITC Avant Garde" w:cs="Arial"/>
          <w:color w:val="000000"/>
        </w:rPr>
        <w:t>n</w:t>
      </w:r>
      <w:r w:rsidRPr="00F82BE7">
        <w:rPr>
          <w:rFonts w:ascii="ITC Avant Garde" w:hAnsi="ITC Avant Garde" w:cs="Arial"/>
          <w:color w:val="000000"/>
        </w:rPr>
        <w:t xml:space="preserve"> </w:t>
      </w:r>
      <w:r w:rsidR="00903DEB" w:rsidRPr="00F82BE7">
        <w:rPr>
          <w:rFonts w:ascii="ITC Avant Garde" w:hAnsi="ITC Avant Garde" w:cs="Arial"/>
          <w:color w:val="000000"/>
        </w:rPr>
        <w:t xml:space="preserve">identificar posibles conductas contrarias </w:t>
      </w:r>
      <w:r w:rsidR="00882518" w:rsidRPr="00F82BE7">
        <w:rPr>
          <w:rFonts w:ascii="ITC Avant Garde" w:hAnsi="ITC Avant Garde" w:cs="Arial"/>
          <w:color w:val="000000"/>
        </w:rPr>
        <w:t>a</w:t>
      </w:r>
      <w:r w:rsidRPr="00F82BE7">
        <w:rPr>
          <w:rFonts w:ascii="ITC Avant Garde" w:hAnsi="ITC Avant Garde" w:cs="Arial"/>
          <w:color w:val="000000"/>
        </w:rPr>
        <w:t>l principio de neutralidad a la competencia</w:t>
      </w:r>
      <w:r w:rsidR="00195726">
        <w:rPr>
          <w:rFonts w:ascii="ITC Avant Garde" w:hAnsi="ITC Avant Garde" w:cs="Arial"/>
          <w:color w:val="000000"/>
        </w:rPr>
        <w:t>.</w:t>
      </w:r>
      <w:r w:rsidR="00167384">
        <w:rPr>
          <w:rFonts w:ascii="ITC Avant Garde" w:hAnsi="ITC Avant Garde" w:cs="Arial"/>
          <w:color w:val="000000"/>
        </w:rPr>
        <w:t xml:space="preserve"> </w:t>
      </w:r>
      <w:r w:rsidR="00195726">
        <w:rPr>
          <w:rFonts w:ascii="ITC Avant Garde" w:hAnsi="ITC Avant Garde" w:cs="Arial"/>
          <w:color w:val="000000"/>
        </w:rPr>
        <w:t>D</w:t>
      </w:r>
      <w:r w:rsidR="00167384" w:rsidRPr="00F82BE7">
        <w:rPr>
          <w:rFonts w:ascii="ITC Avant Garde" w:hAnsi="ITC Avant Garde" w:cs="Arial"/>
          <w:color w:val="000000"/>
        </w:rPr>
        <w:t xml:space="preserve">e acuerdo </w:t>
      </w:r>
      <w:r w:rsidR="00BB170F">
        <w:rPr>
          <w:rFonts w:ascii="ITC Avant Garde" w:hAnsi="ITC Avant Garde" w:cs="Arial"/>
          <w:color w:val="000000"/>
        </w:rPr>
        <w:t>con</w:t>
      </w:r>
      <w:r w:rsidR="00167384" w:rsidRPr="00F82BE7">
        <w:rPr>
          <w:rFonts w:ascii="ITC Avant Garde" w:hAnsi="ITC Avant Garde" w:cs="Arial"/>
          <w:color w:val="000000"/>
        </w:rPr>
        <w:t xml:space="preserve"> la </w:t>
      </w:r>
      <w:r w:rsidR="00D3179E">
        <w:rPr>
          <w:rFonts w:ascii="ITC Avant Garde" w:hAnsi="ITC Avant Garde" w:cs="Arial"/>
          <w:color w:val="000000"/>
        </w:rPr>
        <w:t>Le</w:t>
      </w:r>
      <w:r w:rsidR="00BA7EA5">
        <w:rPr>
          <w:rFonts w:ascii="ITC Avant Garde" w:hAnsi="ITC Avant Garde" w:cs="Arial"/>
          <w:color w:val="000000"/>
        </w:rPr>
        <w:t>y Federal de Telecomunicaciones y Radiodifusión (en lo sucesivo, la “</w:t>
      </w:r>
      <w:r w:rsidR="00167384" w:rsidRPr="00F82BE7">
        <w:rPr>
          <w:rFonts w:ascii="ITC Avant Garde" w:hAnsi="ITC Avant Garde" w:cs="Arial"/>
          <w:color w:val="000000"/>
        </w:rPr>
        <w:t>LFTR</w:t>
      </w:r>
      <w:r w:rsidR="00BA7EA5">
        <w:rPr>
          <w:rFonts w:ascii="ITC Avant Garde" w:hAnsi="ITC Avant Garde" w:cs="Arial"/>
          <w:color w:val="000000"/>
        </w:rPr>
        <w:t>”)</w:t>
      </w:r>
      <w:r w:rsidR="00167384" w:rsidRPr="00F82BE7">
        <w:rPr>
          <w:rFonts w:ascii="ITC Avant Garde" w:hAnsi="ITC Avant Garde" w:cs="Arial"/>
          <w:color w:val="000000"/>
        </w:rPr>
        <w:t xml:space="preserve">, dicho principio establece lo siguiente: </w:t>
      </w:r>
    </w:p>
    <w:p w:rsidR="006C04C8" w:rsidRPr="005308AF" w:rsidRDefault="00167384" w:rsidP="0033377C">
      <w:pPr>
        <w:pStyle w:val="Cita"/>
        <w:spacing w:line="276" w:lineRule="auto"/>
        <w:jc w:val="both"/>
        <w:rPr>
          <w:rFonts w:ascii="ITC Avant Garde" w:hAnsi="ITC Avant Garde"/>
          <w:color w:val="auto"/>
          <w:sz w:val="20"/>
        </w:rPr>
      </w:pPr>
      <w:r w:rsidRPr="005308AF">
        <w:rPr>
          <w:rFonts w:ascii="ITC Avant Garde" w:hAnsi="ITC Avant Garde"/>
          <w:color w:val="auto"/>
          <w:sz w:val="20"/>
        </w:rPr>
        <w:t>“</w:t>
      </w:r>
      <w:r w:rsidRPr="005308AF">
        <w:rPr>
          <w:rFonts w:ascii="ITC Avant Garde" w:hAnsi="ITC Avant Garde"/>
          <w:b/>
          <w:color w:val="auto"/>
          <w:sz w:val="20"/>
        </w:rPr>
        <w:t>Neutralidad a la competencia:</w:t>
      </w:r>
      <w:r w:rsidRPr="005308AF">
        <w:rPr>
          <w:rFonts w:ascii="ITC Avant Garde" w:hAnsi="ITC Avant Garde"/>
          <w:color w:val="auto"/>
          <w:sz w:val="20"/>
        </w:rPr>
        <w:t xml:space="preserve"> Obligación del Estado de no generar distorsiones al mercado como consecuencia de la propiedad pública;”</w:t>
      </w:r>
    </w:p>
    <w:p w:rsidR="00230D59" w:rsidRPr="005308AF" w:rsidRDefault="00230D59" w:rsidP="0033377C">
      <w:pPr>
        <w:spacing w:line="276" w:lineRule="auto"/>
        <w:jc w:val="both"/>
        <w:rPr>
          <w:rFonts w:ascii="ITC Avant Garde" w:hAnsi="ITC Avant Garde"/>
        </w:rPr>
      </w:pPr>
      <w:r w:rsidRPr="00230D59">
        <w:rPr>
          <w:rFonts w:ascii="ITC Avant Garde" w:hAnsi="ITC Avant Garde"/>
        </w:rPr>
        <w:t xml:space="preserve">Por lo anterior, </w:t>
      </w:r>
      <w:r w:rsidR="00ED28A3" w:rsidRPr="00171D71">
        <w:rPr>
          <w:rFonts w:ascii="ITC Avant Garde" w:hAnsi="ITC Avant Garde" w:cs="Arial"/>
          <w:color w:val="000000"/>
        </w:rPr>
        <w:t xml:space="preserve">no se realizaron ajustes al </w:t>
      </w:r>
      <w:r w:rsidR="00ED28A3" w:rsidRPr="00C371EF">
        <w:rPr>
          <w:rFonts w:ascii="ITC Avant Garde" w:hAnsi="ITC Avant Garde" w:cs="Arial"/>
          <w:color w:val="000000"/>
        </w:rPr>
        <w:t>Anteproyecto</w:t>
      </w:r>
      <w:r w:rsidR="00ED28A3">
        <w:rPr>
          <w:rFonts w:ascii="ITC Avant Garde" w:hAnsi="ITC Avant Garde" w:cs="Arial"/>
          <w:color w:val="000000"/>
        </w:rPr>
        <w:t xml:space="preserve"> </w:t>
      </w:r>
      <w:r w:rsidRPr="00230D59">
        <w:rPr>
          <w:rFonts w:ascii="ITC Avant Garde" w:hAnsi="ITC Avant Garde"/>
        </w:rPr>
        <w:t>en los términos señalados por el participante</w:t>
      </w:r>
      <w:r w:rsidR="0083701E">
        <w:rPr>
          <w:rFonts w:ascii="ITC Avant Garde" w:hAnsi="ITC Avant Garde"/>
        </w:rPr>
        <w:t>.</w:t>
      </w:r>
    </w:p>
    <w:p w:rsidR="00D55B2E" w:rsidRPr="00F82BE7" w:rsidRDefault="00D55B2E" w:rsidP="0033377C">
      <w:pPr>
        <w:pStyle w:val="Prrafodelista"/>
        <w:numPr>
          <w:ilvl w:val="0"/>
          <w:numId w:val="4"/>
        </w:numPr>
        <w:spacing w:line="276" w:lineRule="auto"/>
        <w:jc w:val="both"/>
        <w:rPr>
          <w:rFonts w:ascii="ITC Avant Garde" w:hAnsi="ITC Avant Garde" w:cs="Arial"/>
          <w:b/>
          <w:color w:val="000000"/>
        </w:rPr>
      </w:pPr>
      <w:r w:rsidRPr="00F82BE7">
        <w:rPr>
          <w:rFonts w:ascii="ITC Avant Garde" w:hAnsi="ITC Avant Garde" w:cs="Arial"/>
          <w:b/>
          <w:color w:val="000000"/>
        </w:rPr>
        <w:t>Información auditada</w:t>
      </w:r>
    </w:p>
    <w:p w:rsidR="00D55B2E" w:rsidRPr="00F82BE7" w:rsidRDefault="00D55B2E" w:rsidP="0033377C">
      <w:pPr>
        <w:spacing w:line="276" w:lineRule="auto"/>
        <w:jc w:val="both"/>
        <w:rPr>
          <w:rFonts w:ascii="ITC Avant Garde" w:hAnsi="ITC Avant Garde" w:cs="Arial"/>
          <w:i/>
          <w:color w:val="000000"/>
        </w:rPr>
      </w:pPr>
      <w:r w:rsidRPr="00F82BE7">
        <w:rPr>
          <w:rFonts w:ascii="ITC Avant Garde" w:hAnsi="ITC Avant Garde" w:cs="Arial"/>
          <w:i/>
          <w:color w:val="000000"/>
        </w:rPr>
        <w:t>Comentarios</w:t>
      </w:r>
    </w:p>
    <w:p w:rsidR="00D55B2E" w:rsidRPr="00F82BE7" w:rsidRDefault="00D55B2E"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Un participante (Telecomm) señaló que </w:t>
      </w:r>
      <w:r w:rsidR="00A81CDD">
        <w:rPr>
          <w:rFonts w:ascii="ITC Avant Garde" w:hAnsi="ITC Avant Garde" w:cs="Arial"/>
          <w:color w:val="000000"/>
        </w:rPr>
        <w:t xml:space="preserve">ya </w:t>
      </w:r>
      <w:r w:rsidR="00A81CDD" w:rsidRPr="00A81CDD">
        <w:rPr>
          <w:rFonts w:ascii="ITC Avant Garde" w:hAnsi="ITC Avant Garde" w:cs="Arial"/>
          <w:color w:val="000000"/>
        </w:rPr>
        <w:t>presenta</w:t>
      </w:r>
      <w:r w:rsidR="00A81CDD">
        <w:rPr>
          <w:rFonts w:ascii="ITC Avant Garde" w:hAnsi="ITC Avant Garde" w:cs="Arial"/>
          <w:color w:val="000000"/>
        </w:rPr>
        <w:t xml:space="preserve"> un </w:t>
      </w:r>
      <w:r w:rsidR="00A81CDD" w:rsidRPr="00A81CDD">
        <w:rPr>
          <w:rFonts w:ascii="ITC Avant Garde" w:hAnsi="ITC Avant Garde" w:cs="Arial"/>
          <w:color w:val="000000"/>
        </w:rPr>
        <w:t xml:space="preserve">reporte </w:t>
      </w:r>
      <w:r w:rsidR="000A6B22">
        <w:rPr>
          <w:rFonts w:ascii="ITC Avant Garde" w:hAnsi="ITC Avant Garde" w:cs="Arial"/>
          <w:color w:val="000000"/>
        </w:rPr>
        <w:t>auditado como</w:t>
      </w:r>
      <w:r w:rsidR="00A81CDD" w:rsidRPr="00A81CDD">
        <w:rPr>
          <w:rFonts w:ascii="ITC Avant Garde" w:hAnsi="ITC Avant Garde" w:cs="Arial"/>
          <w:color w:val="000000"/>
        </w:rPr>
        <w:t xml:space="preserve"> </w:t>
      </w:r>
      <w:r w:rsidR="00A81CDD">
        <w:rPr>
          <w:rFonts w:ascii="ITC Avant Garde" w:hAnsi="ITC Avant Garde" w:cs="Arial"/>
          <w:color w:val="000000"/>
        </w:rPr>
        <w:t>c</w:t>
      </w:r>
      <w:r w:rsidR="00A81CDD" w:rsidRPr="00A81CDD">
        <w:rPr>
          <w:rFonts w:ascii="ITC Avant Garde" w:hAnsi="ITC Avant Garde" w:cs="Arial"/>
          <w:color w:val="000000"/>
        </w:rPr>
        <w:t xml:space="preserve">uenta </w:t>
      </w:r>
      <w:r w:rsidR="00A81CDD">
        <w:rPr>
          <w:rFonts w:ascii="ITC Avant Garde" w:hAnsi="ITC Avant Garde" w:cs="Arial"/>
          <w:color w:val="000000"/>
        </w:rPr>
        <w:t>p</w:t>
      </w:r>
      <w:r w:rsidR="00A81CDD" w:rsidRPr="00A81CDD">
        <w:rPr>
          <w:rFonts w:ascii="ITC Avant Garde" w:hAnsi="ITC Avant Garde" w:cs="Arial"/>
          <w:color w:val="000000"/>
        </w:rPr>
        <w:t>ública en formatos establecidos por la Unidad de Contabilidad Gubernament</w:t>
      </w:r>
      <w:r w:rsidR="00A81CDD">
        <w:rPr>
          <w:rFonts w:ascii="ITC Avant Garde" w:hAnsi="ITC Avant Garde" w:cs="Arial"/>
          <w:color w:val="000000"/>
        </w:rPr>
        <w:t>al de la Secretaría de Hacienda</w:t>
      </w:r>
      <w:r w:rsidR="00067E9C">
        <w:rPr>
          <w:rFonts w:ascii="ITC Avant Garde" w:hAnsi="ITC Avant Garde" w:cs="Arial"/>
          <w:color w:val="000000"/>
        </w:rPr>
        <w:t xml:space="preserve">. En este sentido, agregó que </w:t>
      </w:r>
      <w:r w:rsidRPr="00F82BE7">
        <w:rPr>
          <w:rFonts w:ascii="ITC Avant Garde" w:hAnsi="ITC Avant Garde" w:cs="Arial"/>
          <w:color w:val="000000"/>
        </w:rPr>
        <w:t xml:space="preserve">es factible presentar detalles de la información </w:t>
      </w:r>
      <w:r w:rsidR="00004CAF">
        <w:rPr>
          <w:rFonts w:ascii="ITC Avant Garde" w:hAnsi="ITC Avant Garde" w:cs="Arial"/>
          <w:color w:val="000000"/>
        </w:rPr>
        <w:t>d</w:t>
      </w:r>
      <w:r w:rsidRPr="00F82BE7">
        <w:rPr>
          <w:rFonts w:ascii="ITC Avant Garde" w:hAnsi="ITC Avant Garde" w:cs="Arial"/>
          <w:color w:val="000000"/>
        </w:rPr>
        <w:t>e separación contable</w:t>
      </w:r>
      <w:r w:rsidR="00A34D5A">
        <w:rPr>
          <w:rFonts w:ascii="ITC Avant Garde" w:hAnsi="ITC Avant Garde" w:cs="Arial"/>
          <w:color w:val="000000"/>
        </w:rPr>
        <w:t>,</w:t>
      </w:r>
      <w:r w:rsidRPr="00F82BE7">
        <w:rPr>
          <w:rFonts w:ascii="ITC Avant Garde" w:hAnsi="ITC Avant Garde" w:cs="Arial"/>
          <w:color w:val="000000"/>
        </w:rPr>
        <w:t xml:space="preserve"> pero como informes operativos no auditados, </w:t>
      </w:r>
      <w:r w:rsidR="00011936" w:rsidRPr="00F82BE7">
        <w:rPr>
          <w:rFonts w:ascii="ITC Avant Garde" w:hAnsi="ITC Avant Garde" w:cs="Arial"/>
          <w:color w:val="000000"/>
        </w:rPr>
        <w:t>ya que,</w:t>
      </w:r>
      <w:r w:rsidRPr="00F82BE7">
        <w:rPr>
          <w:rFonts w:ascii="ITC Avant Garde" w:hAnsi="ITC Avant Garde" w:cs="Arial"/>
          <w:color w:val="000000"/>
        </w:rPr>
        <w:t xml:space="preserve"> si se requieren firmados por un auditor, esto representaría un costo adicional a la auditor</w:t>
      </w:r>
      <w:r w:rsidR="00903DEB" w:rsidRPr="00F82BE7">
        <w:rPr>
          <w:rFonts w:ascii="ITC Avant Garde" w:hAnsi="ITC Avant Garde" w:cs="Arial"/>
          <w:color w:val="000000"/>
        </w:rPr>
        <w:t>í</w:t>
      </w:r>
      <w:r w:rsidRPr="00F82BE7">
        <w:rPr>
          <w:rFonts w:ascii="ITC Avant Garde" w:hAnsi="ITC Avant Garde" w:cs="Arial"/>
          <w:color w:val="000000"/>
        </w:rPr>
        <w:t>a</w:t>
      </w:r>
      <w:r w:rsidR="004B20E1">
        <w:rPr>
          <w:rFonts w:ascii="ITC Avant Garde" w:hAnsi="ITC Avant Garde" w:cs="Arial"/>
          <w:color w:val="000000"/>
        </w:rPr>
        <w:t xml:space="preserve"> que ya realiza</w:t>
      </w:r>
      <w:r w:rsidRPr="00F82BE7">
        <w:rPr>
          <w:rFonts w:ascii="ITC Avant Garde" w:hAnsi="ITC Avant Garde" w:cs="Arial"/>
          <w:color w:val="000000"/>
        </w:rPr>
        <w:t xml:space="preserve">. Además, señaló que a los operadores privados no se les exige una doble auditoría, por lo que en este caso no se estaría en igualdad de condiciones. </w:t>
      </w:r>
    </w:p>
    <w:p w:rsidR="00D55B2E" w:rsidRPr="00F82BE7" w:rsidRDefault="00D55B2E" w:rsidP="0033377C">
      <w:pPr>
        <w:spacing w:line="276" w:lineRule="auto"/>
        <w:jc w:val="both"/>
        <w:rPr>
          <w:rFonts w:ascii="ITC Avant Garde" w:hAnsi="ITC Avant Garde" w:cs="Arial"/>
          <w:color w:val="000000"/>
        </w:rPr>
      </w:pPr>
      <w:r w:rsidRPr="00F82BE7">
        <w:rPr>
          <w:rFonts w:ascii="ITC Avant Garde" w:hAnsi="ITC Avant Garde" w:cs="Arial"/>
          <w:color w:val="000000"/>
        </w:rPr>
        <w:t>Por otro lado, un participante (MEGA CABLE) sugirió incorporar como parte del procedimiento un proceso de auditoría formal por parte del propio Instituto</w:t>
      </w:r>
      <w:r w:rsidR="00AB1030">
        <w:rPr>
          <w:rFonts w:ascii="ITC Avant Garde" w:hAnsi="ITC Avant Garde" w:cs="Arial"/>
          <w:color w:val="000000"/>
        </w:rPr>
        <w:t>,</w:t>
      </w:r>
      <w:r w:rsidRPr="00F82BE7">
        <w:rPr>
          <w:rFonts w:ascii="ITC Avant Garde" w:hAnsi="ITC Avant Garde" w:cs="Arial"/>
          <w:color w:val="000000"/>
        </w:rPr>
        <w:t xml:space="preserve"> o bien, por un equipo experto en contabilidad financiera y economía que sea designado por el propio Instituto.</w:t>
      </w:r>
    </w:p>
    <w:p w:rsidR="00D55B2E" w:rsidRPr="00F82BE7" w:rsidRDefault="00F96956" w:rsidP="0033377C">
      <w:pPr>
        <w:spacing w:line="276" w:lineRule="auto"/>
        <w:jc w:val="both"/>
        <w:rPr>
          <w:rFonts w:ascii="ITC Avant Garde" w:hAnsi="ITC Avant Garde" w:cs="Arial"/>
          <w:i/>
          <w:color w:val="000000"/>
        </w:rPr>
      </w:pPr>
      <w:r>
        <w:rPr>
          <w:rFonts w:ascii="ITC Avant Garde" w:hAnsi="ITC Avant Garde" w:cs="Arial"/>
          <w:i/>
          <w:color w:val="000000"/>
        </w:rPr>
        <w:t>Consideraciones</w:t>
      </w:r>
      <w:r w:rsidRPr="00F82BE7" w:rsidDel="00F96956">
        <w:rPr>
          <w:rFonts w:ascii="ITC Avant Garde" w:hAnsi="ITC Avant Garde" w:cs="Arial"/>
          <w:i/>
          <w:color w:val="000000"/>
        </w:rPr>
        <w:t xml:space="preserve"> </w:t>
      </w:r>
      <w:r w:rsidR="00D55B2E" w:rsidRPr="00F82BE7">
        <w:rPr>
          <w:rFonts w:ascii="ITC Avant Garde" w:hAnsi="ITC Avant Garde" w:cs="Arial"/>
          <w:i/>
          <w:color w:val="000000"/>
        </w:rPr>
        <w:t>del Instituto</w:t>
      </w:r>
    </w:p>
    <w:p w:rsidR="00D55B2E" w:rsidRDefault="00D55B2E"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La información que se solicita a los agentes regulados mediante </w:t>
      </w:r>
      <w:r w:rsidR="00C571B7">
        <w:rPr>
          <w:rFonts w:ascii="ITC Avant Garde" w:hAnsi="ITC Avant Garde" w:cs="Arial"/>
          <w:color w:val="000000"/>
        </w:rPr>
        <w:t>la separación contable</w:t>
      </w:r>
      <w:r w:rsidR="006C04C8" w:rsidRPr="00F82BE7">
        <w:rPr>
          <w:rFonts w:ascii="ITC Avant Garde" w:hAnsi="ITC Avant Garde" w:cs="Arial"/>
          <w:color w:val="000000"/>
        </w:rPr>
        <w:t xml:space="preserve"> </w:t>
      </w:r>
      <w:r w:rsidRPr="00F82BE7">
        <w:rPr>
          <w:rFonts w:ascii="ITC Avant Garde" w:hAnsi="ITC Avant Garde" w:cs="Arial"/>
          <w:color w:val="000000"/>
        </w:rPr>
        <w:t>es independiente de cualquier otra información a la que estén obligados toda vez que en la separación contable se busca</w:t>
      </w:r>
      <w:r w:rsidR="00B715C2">
        <w:rPr>
          <w:rFonts w:ascii="ITC Avant Garde" w:hAnsi="ITC Avant Garde" w:cs="Arial"/>
          <w:color w:val="000000"/>
        </w:rPr>
        <w:t>n</w:t>
      </w:r>
      <w:r w:rsidRPr="00F82BE7">
        <w:rPr>
          <w:rFonts w:ascii="ITC Avant Garde" w:hAnsi="ITC Avant Garde" w:cs="Arial"/>
          <w:color w:val="000000"/>
        </w:rPr>
        <w:t xml:space="preserve"> alcanzar objetivos regulatorios específicos. En este sentido, el </w:t>
      </w:r>
      <w:r w:rsidR="008E4730">
        <w:rPr>
          <w:rFonts w:ascii="ITC Avant Garde" w:hAnsi="ITC Avant Garde" w:cs="Arial"/>
          <w:color w:val="000000"/>
        </w:rPr>
        <w:t>Anteproyecto</w:t>
      </w:r>
      <w:r w:rsidR="008E4730" w:rsidRPr="00F82BE7">
        <w:rPr>
          <w:rFonts w:ascii="ITC Avant Garde" w:hAnsi="ITC Avant Garde" w:cs="Arial"/>
          <w:color w:val="000000"/>
        </w:rPr>
        <w:t xml:space="preserve"> </w:t>
      </w:r>
      <w:r w:rsidRPr="00F82BE7">
        <w:rPr>
          <w:rFonts w:ascii="ITC Avant Garde" w:hAnsi="ITC Avant Garde" w:cs="Arial"/>
          <w:color w:val="000000"/>
        </w:rPr>
        <w:t xml:space="preserve">contempla que en la implementación se deberán respetar determinados principios que permitan asegurar la robustez, credibilidad y fiabilidad de la separación contable, </w:t>
      </w:r>
      <w:r w:rsidR="00905648">
        <w:rPr>
          <w:rFonts w:ascii="ITC Avant Garde" w:hAnsi="ITC Avant Garde" w:cs="Arial"/>
          <w:color w:val="000000"/>
        </w:rPr>
        <w:t xml:space="preserve">como es </w:t>
      </w:r>
      <w:r w:rsidRPr="00F82BE7">
        <w:rPr>
          <w:rFonts w:ascii="ITC Avant Garde" w:hAnsi="ITC Avant Garde" w:cs="Arial"/>
          <w:color w:val="000000"/>
        </w:rPr>
        <w:t xml:space="preserve">el principio de auditabilidad. </w:t>
      </w:r>
      <w:r w:rsidR="008E4730">
        <w:rPr>
          <w:rFonts w:ascii="ITC Avant Garde" w:hAnsi="ITC Avant Garde" w:cs="Arial"/>
          <w:color w:val="000000"/>
        </w:rPr>
        <w:t>En este sentido</w:t>
      </w:r>
      <w:r w:rsidRPr="00F82BE7">
        <w:rPr>
          <w:rFonts w:ascii="ITC Avant Garde" w:hAnsi="ITC Avant Garde" w:cs="Arial"/>
          <w:color w:val="000000"/>
        </w:rPr>
        <w:t>, la información entregada por los agentes regulados debe estar auditada con el propósito de que la información pueda ser rastreada y conciliada con las fuentes empleadas además de otorgarle validez.</w:t>
      </w:r>
      <w:r w:rsidR="006C04C8" w:rsidRPr="00F82BE7">
        <w:rPr>
          <w:rFonts w:ascii="ITC Avant Garde" w:hAnsi="ITC Avant Garde" w:cs="Arial"/>
          <w:color w:val="000000"/>
        </w:rPr>
        <w:t xml:space="preserve"> </w:t>
      </w:r>
      <w:r w:rsidR="004B6A8D">
        <w:rPr>
          <w:rFonts w:ascii="ITC Avant Garde" w:hAnsi="ITC Avant Garde" w:cs="Arial"/>
          <w:color w:val="000000"/>
        </w:rPr>
        <w:t>No obstante</w:t>
      </w:r>
      <w:r w:rsidR="00905648">
        <w:rPr>
          <w:rFonts w:ascii="ITC Avant Garde" w:hAnsi="ITC Avant Garde" w:cs="Arial"/>
          <w:color w:val="000000"/>
        </w:rPr>
        <w:t>,</w:t>
      </w:r>
      <w:r w:rsidR="004B6A8D">
        <w:rPr>
          <w:rFonts w:ascii="ITC Avant Garde" w:hAnsi="ITC Avant Garde" w:cs="Arial"/>
          <w:color w:val="000000"/>
        </w:rPr>
        <w:t xml:space="preserve"> </w:t>
      </w:r>
      <w:r w:rsidR="00C17103" w:rsidRPr="00F82BE7">
        <w:rPr>
          <w:rFonts w:ascii="ITC Avant Garde" w:hAnsi="ITC Avant Garde" w:cs="Arial"/>
          <w:color w:val="000000"/>
        </w:rPr>
        <w:lastRenderedPageBreak/>
        <w:t>en el caso de</w:t>
      </w:r>
      <w:r w:rsidR="0096749E" w:rsidRPr="005308AF">
        <w:rPr>
          <w:rFonts w:ascii="ITC Avant Garde" w:hAnsi="ITC Avant Garde" w:cs="Arial"/>
          <w:color w:val="000000"/>
        </w:rPr>
        <w:t xml:space="preserve"> los</w:t>
      </w:r>
      <w:r w:rsidR="0096749E">
        <w:t xml:space="preserve"> </w:t>
      </w:r>
      <w:r w:rsidR="0096749E">
        <w:rPr>
          <w:rFonts w:ascii="ITC Avant Garde" w:hAnsi="ITC Avant Garde" w:cs="Arial"/>
          <w:color w:val="000000"/>
        </w:rPr>
        <w:t xml:space="preserve">entes públicos que tengan el </w:t>
      </w:r>
      <w:r w:rsidR="0096749E" w:rsidRPr="0096749E">
        <w:rPr>
          <w:rFonts w:ascii="ITC Avant Garde" w:hAnsi="ITC Avant Garde" w:cs="Arial"/>
          <w:color w:val="000000"/>
        </w:rPr>
        <w:t>carácter de red compartida mayorista</w:t>
      </w:r>
      <w:r w:rsidR="00C17103" w:rsidRPr="0096749E">
        <w:rPr>
          <w:rFonts w:ascii="ITC Avant Garde" w:hAnsi="ITC Avant Garde" w:cs="Arial"/>
          <w:color w:val="000000"/>
        </w:rPr>
        <w:t>,</w:t>
      </w:r>
      <w:r w:rsidR="00C17103" w:rsidRPr="00F82BE7">
        <w:rPr>
          <w:rFonts w:ascii="ITC Avant Garde" w:hAnsi="ITC Avant Garde" w:cs="Arial"/>
          <w:color w:val="000000"/>
        </w:rPr>
        <w:t xml:space="preserve"> </w:t>
      </w:r>
      <w:r w:rsidR="0096749E">
        <w:rPr>
          <w:rFonts w:ascii="ITC Avant Garde" w:hAnsi="ITC Avant Garde" w:cs="Arial"/>
          <w:color w:val="000000"/>
        </w:rPr>
        <w:t xml:space="preserve">podrían </w:t>
      </w:r>
      <w:r w:rsidR="00C17103" w:rsidRPr="00F82BE7">
        <w:rPr>
          <w:rFonts w:ascii="ITC Avant Garde" w:hAnsi="ITC Avant Garde" w:cs="Arial"/>
          <w:color w:val="000000"/>
        </w:rPr>
        <w:t>c</w:t>
      </w:r>
      <w:r w:rsidR="0096749E">
        <w:rPr>
          <w:rFonts w:ascii="ITC Avant Garde" w:hAnsi="ITC Avant Garde" w:cs="Arial"/>
          <w:color w:val="000000"/>
        </w:rPr>
        <w:t>ontar</w:t>
      </w:r>
      <w:r w:rsidR="00C17103" w:rsidRPr="00F82BE7">
        <w:rPr>
          <w:rFonts w:ascii="ITC Avant Garde" w:hAnsi="ITC Avant Garde" w:cs="Arial"/>
          <w:color w:val="000000"/>
        </w:rPr>
        <w:t xml:space="preserve"> con la obligación de presentar reportes de cuenta pública</w:t>
      </w:r>
      <w:r w:rsidR="0096749E">
        <w:rPr>
          <w:rFonts w:ascii="ITC Avant Garde" w:hAnsi="ITC Avant Garde" w:cs="Arial"/>
          <w:color w:val="000000"/>
        </w:rPr>
        <w:t xml:space="preserve"> ya </w:t>
      </w:r>
      <w:r w:rsidR="00C17103" w:rsidRPr="00F82BE7">
        <w:rPr>
          <w:rFonts w:ascii="ITC Avant Garde" w:hAnsi="ITC Avant Garde" w:cs="Arial"/>
          <w:color w:val="000000"/>
        </w:rPr>
        <w:t xml:space="preserve">auditados por lo que </w:t>
      </w:r>
      <w:r w:rsidR="00004CAF">
        <w:rPr>
          <w:rFonts w:ascii="ITC Avant Garde" w:hAnsi="ITC Avant Garde" w:cs="Arial"/>
          <w:color w:val="000000"/>
        </w:rPr>
        <w:t xml:space="preserve">se </w:t>
      </w:r>
      <w:r w:rsidR="00C571B7">
        <w:rPr>
          <w:rFonts w:ascii="ITC Avant Garde" w:hAnsi="ITC Avant Garde" w:cs="Arial"/>
          <w:color w:val="000000"/>
        </w:rPr>
        <w:t xml:space="preserve">considera viable </w:t>
      </w:r>
      <w:r w:rsidR="00C17103" w:rsidRPr="00F82BE7">
        <w:rPr>
          <w:rFonts w:ascii="ITC Avant Garde" w:hAnsi="ITC Avant Garde" w:cs="Arial"/>
          <w:color w:val="000000"/>
        </w:rPr>
        <w:t>exenta</w:t>
      </w:r>
      <w:r w:rsidR="00C571B7">
        <w:rPr>
          <w:rFonts w:ascii="ITC Avant Garde" w:hAnsi="ITC Avant Garde" w:cs="Arial"/>
          <w:color w:val="000000"/>
        </w:rPr>
        <w:t>rlos</w:t>
      </w:r>
      <w:r w:rsidR="00C17103" w:rsidRPr="00F82BE7">
        <w:rPr>
          <w:rFonts w:ascii="ITC Avant Garde" w:hAnsi="ITC Avant Garde" w:cs="Arial"/>
          <w:color w:val="000000"/>
        </w:rPr>
        <w:t xml:space="preserve"> de cumplir con el principio de auditabilidad</w:t>
      </w:r>
      <w:r w:rsidR="00F52F78">
        <w:rPr>
          <w:rFonts w:ascii="ITC Avant Garde" w:hAnsi="ITC Avant Garde" w:cs="Arial"/>
          <w:color w:val="000000"/>
        </w:rPr>
        <w:t xml:space="preserve"> para efectos de la separación contable</w:t>
      </w:r>
      <w:r w:rsidR="00C17103" w:rsidRPr="00F82BE7">
        <w:rPr>
          <w:rFonts w:ascii="ITC Avant Garde" w:hAnsi="ITC Avant Garde" w:cs="Arial"/>
          <w:color w:val="000000"/>
        </w:rPr>
        <w:t>.</w:t>
      </w:r>
    </w:p>
    <w:p w:rsidR="0083701E" w:rsidRDefault="0083701E" w:rsidP="0033377C">
      <w:pPr>
        <w:spacing w:line="276" w:lineRule="auto"/>
        <w:jc w:val="both"/>
        <w:rPr>
          <w:rFonts w:ascii="ITC Avant Garde" w:hAnsi="ITC Avant Garde"/>
        </w:rPr>
      </w:pPr>
      <w:r w:rsidRPr="00230D59">
        <w:rPr>
          <w:rFonts w:ascii="ITC Avant Garde" w:hAnsi="ITC Avant Garde"/>
        </w:rPr>
        <w:t>Por lo anterior, e</w:t>
      </w:r>
      <w:r w:rsidR="001077B9">
        <w:rPr>
          <w:rFonts w:ascii="ITC Avant Garde" w:hAnsi="ITC Avant Garde"/>
        </w:rPr>
        <w:t>n el último párrafo de la disposición CUARTA del</w:t>
      </w:r>
      <w:r w:rsidRPr="00230D59">
        <w:rPr>
          <w:rFonts w:ascii="ITC Avant Garde" w:hAnsi="ITC Avant Garde"/>
        </w:rPr>
        <w:t xml:space="preserve"> Acuerdo</w:t>
      </w:r>
      <w:r w:rsidR="001077B9">
        <w:rPr>
          <w:rFonts w:ascii="ITC Avant Garde" w:hAnsi="ITC Avant Garde"/>
        </w:rPr>
        <w:t xml:space="preserve"> se disp</w:t>
      </w:r>
      <w:r w:rsidR="00B715C2">
        <w:rPr>
          <w:rFonts w:ascii="ITC Avant Garde" w:hAnsi="ITC Avant Garde"/>
        </w:rPr>
        <w:t>uso</w:t>
      </w:r>
      <w:r w:rsidR="001077B9">
        <w:rPr>
          <w:rFonts w:ascii="ITC Avant Garde" w:hAnsi="ITC Avant Garde"/>
        </w:rPr>
        <w:t xml:space="preserve"> que l</w:t>
      </w:r>
      <w:r w:rsidR="001077B9" w:rsidRPr="001077B9">
        <w:rPr>
          <w:rFonts w:ascii="ITC Avant Garde" w:hAnsi="ITC Avant Garde"/>
        </w:rPr>
        <w:t>os entes públicos con carácter de red compartida mayorista estarán exentos de cumplir con el principio de auditabilidad</w:t>
      </w:r>
      <w:r w:rsidR="001077B9">
        <w:rPr>
          <w:rFonts w:ascii="ITC Avant Garde" w:hAnsi="ITC Avant Garde"/>
        </w:rPr>
        <w:t xml:space="preserve">, ya que </w:t>
      </w:r>
      <w:r w:rsidR="001077B9" w:rsidRPr="001077B9">
        <w:rPr>
          <w:rFonts w:ascii="ITC Avant Garde" w:hAnsi="ITC Avant Garde"/>
        </w:rPr>
        <w:t>resultaría ineficiente solicitar la entrega de la información de separación contable</w:t>
      </w:r>
      <w:r w:rsidR="001077B9">
        <w:rPr>
          <w:rFonts w:ascii="ITC Avant Garde" w:hAnsi="ITC Avant Garde"/>
        </w:rPr>
        <w:t xml:space="preserve"> bajo dicho principio</w:t>
      </w:r>
      <w:r w:rsidR="008E4730">
        <w:rPr>
          <w:rFonts w:ascii="ITC Avant Garde" w:hAnsi="ITC Avant Garde"/>
        </w:rPr>
        <w:t xml:space="preserve"> a estos agentes</w:t>
      </w:r>
      <w:r>
        <w:rPr>
          <w:rFonts w:ascii="ITC Avant Garde" w:hAnsi="ITC Avant Garde"/>
        </w:rPr>
        <w:t>.</w:t>
      </w:r>
    </w:p>
    <w:p w:rsidR="004B6A8D" w:rsidRPr="00E154C2" w:rsidRDefault="004B6A8D" w:rsidP="0033377C">
      <w:pPr>
        <w:spacing w:line="276" w:lineRule="auto"/>
        <w:jc w:val="both"/>
        <w:rPr>
          <w:rFonts w:ascii="ITC Avant Garde" w:hAnsi="ITC Avant Garde"/>
        </w:rPr>
      </w:pPr>
      <w:r>
        <w:rPr>
          <w:rFonts w:ascii="ITC Avant Garde" w:hAnsi="ITC Avant Garde"/>
        </w:rPr>
        <w:t xml:space="preserve">Respecto al comentario de </w:t>
      </w:r>
      <w:r w:rsidRPr="00F82BE7">
        <w:rPr>
          <w:rFonts w:ascii="ITC Avant Garde" w:hAnsi="ITC Avant Garde" w:cs="Arial"/>
          <w:color w:val="000000"/>
        </w:rPr>
        <w:t>incorporar un proceso de auditoría formal por parte del propio Instituto</w:t>
      </w:r>
      <w:r w:rsidR="00AB1030">
        <w:rPr>
          <w:rFonts w:ascii="ITC Avant Garde" w:hAnsi="ITC Avant Garde" w:cs="Arial"/>
          <w:color w:val="000000"/>
        </w:rPr>
        <w:t>,</w:t>
      </w:r>
      <w:r w:rsidRPr="00F82BE7">
        <w:rPr>
          <w:rFonts w:ascii="ITC Avant Garde" w:hAnsi="ITC Avant Garde" w:cs="Arial"/>
          <w:color w:val="000000"/>
        </w:rPr>
        <w:t xml:space="preserve"> o bien, por un equipo experto designado por el Instituto</w:t>
      </w:r>
      <w:r>
        <w:rPr>
          <w:rFonts w:ascii="ITC Avant Garde" w:hAnsi="ITC Avant Garde" w:cs="Arial"/>
          <w:color w:val="000000"/>
        </w:rPr>
        <w:t xml:space="preserve">, se advierte que </w:t>
      </w:r>
      <w:r w:rsidR="00B868FC">
        <w:rPr>
          <w:rFonts w:ascii="ITC Avant Garde" w:hAnsi="ITC Avant Garde" w:cs="Arial"/>
          <w:color w:val="000000"/>
        </w:rPr>
        <w:t xml:space="preserve">en </w:t>
      </w:r>
      <w:r>
        <w:rPr>
          <w:rFonts w:ascii="ITC Avant Garde" w:hAnsi="ITC Avant Garde" w:cs="Arial"/>
          <w:color w:val="000000"/>
        </w:rPr>
        <w:t>el A</w:t>
      </w:r>
      <w:r w:rsidR="00B715C2">
        <w:rPr>
          <w:rFonts w:ascii="ITC Avant Garde" w:hAnsi="ITC Avant Garde" w:cs="Arial"/>
          <w:color w:val="000000"/>
        </w:rPr>
        <w:t>nteproyecto</w:t>
      </w:r>
      <w:r>
        <w:rPr>
          <w:rFonts w:ascii="ITC Avant Garde" w:hAnsi="ITC Avant Garde" w:cs="Arial"/>
          <w:color w:val="000000"/>
        </w:rPr>
        <w:t xml:space="preserve"> </w:t>
      </w:r>
      <w:r w:rsidR="00B868FC">
        <w:rPr>
          <w:rFonts w:ascii="ITC Avant Garde" w:hAnsi="ITC Avant Garde" w:cs="Arial"/>
          <w:color w:val="000000"/>
        </w:rPr>
        <w:t>se</w:t>
      </w:r>
      <w:r>
        <w:rPr>
          <w:rFonts w:ascii="ITC Avant Garde" w:hAnsi="ITC Avant Garde" w:cs="Arial"/>
          <w:color w:val="000000"/>
        </w:rPr>
        <w:t xml:space="preserve"> establec</w:t>
      </w:r>
      <w:r w:rsidR="00B868FC">
        <w:rPr>
          <w:rFonts w:ascii="ITC Avant Garde" w:hAnsi="ITC Avant Garde" w:cs="Arial"/>
          <w:color w:val="000000"/>
        </w:rPr>
        <w:t>ió que la información entregada por los sujetos regulados debe incluir la opinión de auditores externos a dichos agentes</w:t>
      </w:r>
      <w:r>
        <w:rPr>
          <w:rFonts w:ascii="ITC Avant Garde" w:hAnsi="ITC Avant Garde" w:cs="Arial"/>
          <w:color w:val="000000"/>
        </w:rPr>
        <w:t xml:space="preserve">, por lo que no es necesario un procedimiento adicional </w:t>
      </w:r>
      <w:r w:rsidR="00B868FC">
        <w:rPr>
          <w:rFonts w:ascii="ITC Avant Garde" w:hAnsi="ITC Avant Garde" w:cs="Arial"/>
          <w:color w:val="000000"/>
        </w:rPr>
        <w:t>de auditor</w:t>
      </w:r>
      <w:r w:rsidR="00BB170F">
        <w:rPr>
          <w:rFonts w:ascii="ITC Avant Garde" w:hAnsi="ITC Avant Garde" w:cs="Arial"/>
          <w:color w:val="000000"/>
        </w:rPr>
        <w:t>í</w:t>
      </w:r>
      <w:r w:rsidR="00B868FC">
        <w:rPr>
          <w:rFonts w:ascii="ITC Avant Garde" w:hAnsi="ITC Avant Garde" w:cs="Arial"/>
          <w:color w:val="000000"/>
        </w:rPr>
        <w:t xml:space="preserve">a </w:t>
      </w:r>
      <w:r>
        <w:rPr>
          <w:rFonts w:ascii="ITC Avant Garde" w:hAnsi="ITC Avant Garde" w:cs="Arial"/>
          <w:color w:val="000000"/>
        </w:rPr>
        <w:t xml:space="preserve">realizado por el </w:t>
      </w:r>
      <w:r w:rsidR="00AB1030">
        <w:rPr>
          <w:rFonts w:ascii="ITC Avant Garde" w:hAnsi="ITC Avant Garde" w:cs="Arial"/>
          <w:color w:val="000000"/>
        </w:rPr>
        <w:t>I</w:t>
      </w:r>
      <w:r>
        <w:rPr>
          <w:rFonts w:ascii="ITC Avant Garde" w:hAnsi="ITC Avant Garde" w:cs="Arial"/>
          <w:color w:val="000000"/>
        </w:rPr>
        <w:t>nstituto.</w:t>
      </w:r>
      <w:r w:rsidR="00FB7EF5">
        <w:rPr>
          <w:rFonts w:ascii="ITC Avant Garde" w:hAnsi="ITC Avant Garde" w:cs="Arial"/>
          <w:color w:val="000000"/>
        </w:rPr>
        <w:t xml:space="preserve"> </w:t>
      </w:r>
      <w:r w:rsidRPr="00230D59">
        <w:rPr>
          <w:rFonts w:ascii="ITC Avant Garde" w:hAnsi="ITC Avant Garde"/>
        </w:rPr>
        <w:t xml:space="preserve">Por lo anterior, el </w:t>
      </w:r>
      <w:r w:rsidRPr="00C371EF">
        <w:rPr>
          <w:rFonts w:ascii="ITC Avant Garde" w:hAnsi="ITC Avant Garde"/>
        </w:rPr>
        <w:t>Acuerdo</w:t>
      </w:r>
      <w:r w:rsidRPr="00230D59">
        <w:rPr>
          <w:rFonts w:ascii="ITC Avant Garde" w:hAnsi="ITC Avant Garde"/>
        </w:rPr>
        <w:t xml:space="preserve"> no contiene modificaciones en los términos señalados por el participante</w:t>
      </w:r>
      <w:r>
        <w:rPr>
          <w:rFonts w:ascii="ITC Avant Garde" w:hAnsi="ITC Avant Garde"/>
        </w:rPr>
        <w:t>.</w:t>
      </w:r>
    </w:p>
    <w:p w:rsidR="00D55B2E" w:rsidRPr="00F82BE7" w:rsidRDefault="00D55B2E" w:rsidP="0033377C">
      <w:pPr>
        <w:pStyle w:val="Prrafodelista"/>
        <w:numPr>
          <w:ilvl w:val="0"/>
          <w:numId w:val="4"/>
        </w:numPr>
        <w:spacing w:line="276" w:lineRule="auto"/>
        <w:jc w:val="both"/>
        <w:rPr>
          <w:rFonts w:ascii="ITC Avant Garde" w:hAnsi="ITC Avant Garde" w:cs="Arial"/>
          <w:b/>
          <w:color w:val="000000"/>
        </w:rPr>
      </w:pPr>
      <w:r w:rsidRPr="00F82BE7">
        <w:rPr>
          <w:rFonts w:ascii="ITC Avant Garde" w:hAnsi="ITC Avant Garde" w:cs="Arial"/>
          <w:b/>
          <w:color w:val="000000"/>
        </w:rPr>
        <w:t>Valoración de activos</w:t>
      </w:r>
    </w:p>
    <w:p w:rsidR="00D55B2E" w:rsidRPr="00F82BE7" w:rsidRDefault="00D55B2E" w:rsidP="0033377C">
      <w:pPr>
        <w:spacing w:line="276" w:lineRule="auto"/>
        <w:jc w:val="both"/>
        <w:rPr>
          <w:rFonts w:ascii="ITC Avant Garde" w:hAnsi="ITC Avant Garde" w:cs="Arial"/>
          <w:i/>
          <w:color w:val="000000"/>
        </w:rPr>
      </w:pPr>
      <w:r w:rsidRPr="00F82BE7">
        <w:rPr>
          <w:rFonts w:ascii="ITC Avant Garde" w:hAnsi="ITC Avant Garde" w:cs="Arial"/>
          <w:i/>
          <w:color w:val="000000"/>
        </w:rPr>
        <w:t>Comentarios</w:t>
      </w:r>
    </w:p>
    <w:p w:rsidR="00D55B2E" w:rsidRPr="00F82BE7" w:rsidRDefault="00D55B2E" w:rsidP="0033377C">
      <w:pPr>
        <w:spacing w:line="276" w:lineRule="auto"/>
        <w:jc w:val="both"/>
        <w:rPr>
          <w:rFonts w:ascii="ITC Avant Garde" w:hAnsi="ITC Avant Garde" w:cs="Arial"/>
          <w:color w:val="000000"/>
        </w:rPr>
      </w:pPr>
      <w:r w:rsidRPr="00F82BE7">
        <w:rPr>
          <w:rFonts w:ascii="ITC Avant Garde" w:hAnsi="ITC Avant Garde" w:cs="Arial"/>
          <w:color w:val="000000"/>
        </w:rPr>
        <w:t>Un participante (Telecom</w:t>
      </w:r>
      <w:r w:rsidR="00E81863" w:rsidRPr="00F82BE7">
        <w:rPr>
          <w:rFonts w:ascii="ITC Avant Garde" w:hAnsi="ITC Avant Garde" w:cs="Arial"/>
          <w:color w:val="000000"/>
        </w:rPr>
        <w:t>m</w:t>
      </w:r>
      <w:r w:rsidRPr="00F82BE7">
        <w:rPr>
          <w:rFonts w:ascii="ITC Avant Garde" w:hAnsi="ITC Avant Garde" w:cs="Arial"/>
          <w:color w:val="000000"/>
        </w:rPr>
        <w:t>) señaló que sería muy costoso contratar asesoría para definir el valor de los activos para cada año.</w:t>
      </w:r>
    </w:p>
    <w:p w:rsidR="00D55B2E" w:rsidRPr="00F82BE7" w:rsidRDefault="00D55B2E" w:rsidP="0033377C">
      <w:pPr>
        <w:spacing w:line="276" w:lineRule="auto"/>
        <w:jc w:val="both"/>
        <w:rPr>
          <w:rFonts w:ascii="ITC Avant Garde" w:hAnsi="ITC Avant Garde" w:cs="Arial"/>
          <w:color w:val="000000"/>
        </w:rPr>
      </w:pPr>
      <w:r w:rsidRPr="00F82BE7">
        <w:rPr>
          <w:rFonts w:ascii="ITC Avant Garde" w:hAnsi="ITC Avant Garde" w:cs="Arial"/>
          <w:color w:val="000000"/>
        </w:rPr>
        <w:t>Por su parte, otros participantes (AT&amp;T, MEGA CABLE) recomendaron siempre utilizar la metodología Activo Moderno Equivalente y no permitir como alternativa otros métodos, como los métodos de valoración absoluta o indexación, ya que podrían generar información distorsionada o alejada de la realidad. No obstante, también señalaron que hace falta mayor precisión y detalle sobre las metodologías propuestas de revalorización de activos.</w:t>
      </w:r>
    </w:p>
    <w:p w:rsidR="00D55B2E" w:rsidRPr="00F82BE7" w:rsidRDefault="00F96956" w:rsidP="0033377C">
      <w:pPr>
        <w:spacing w:line="276" w:lineRule="auto"/>
        <w:jc w:val="both"/>
        <w:rPr>
          <w:rFonts w:ascii="ITC Avant Garde" w:hAnsi="ITC Avant Garde" w:cs="Arial"/>
          <w:i/>
          <w:color w:val="000000"/>
        </w:rPr>
      </w:pPr>
      <w:r>
        <w:rPr>
          <w:rFonts w:ascii="ITC Avant Garde" w:hAnsi="ITC Avant Garde" w:cs="Arial"/>
          <w:i/>
          <w:color w:val="000000"/>
        </w:rPr>
        <w:t>Consideraciones</w:t>
      </w:r>
      <w:r w:rsidRPr="00F82BE7" w:rsidDel="00F96956">
        <w:rPr>
          <w:rFonts w:ascii="ITC Avant Garde" w:hAnsi="ITC Avant Garde" w:cs="Arial"/>
          <w:i/>
          <w:color w:val="000000"/>
        </w:rPr>
        <w:t xml:space="preserve"> </w:t>
      </w:r>
      <w:r w:rsidR="00D55B2E" w:rsidRPr="00F82BE7">
        <w:rPr>
          <w:rFonts w:ascii="ITC Avant Garde" w:hAnsi="ITC Avant Garde" w:cs="Arial"/>
          <w:i/>
          <w:color w:val="000000"/>
        </w:rPr>
        <w:t>del Instituto</w:t>
      </w:r>
    </w:p>
    <w:p w:rsidR="00B9082D" w:rsidRPr="00F82BE7" w:rsidRDefault="00B9082D" w:rsidP="0033377C">
      <w:pPr>
        <w:spacing w:line="276" w:lineRule="auto"/>
        <w:jc w:val="both"/>
        <w:rPr>
          <w:rFonts w:ascii="ITC Avant Garde" w:hAnsi="ITC Avant Garde" w:cs="Arial"/>
          <w:color w:val="000000"/>
        </w:rPr>
      </w:pPr>
      <w:r w:rsidRPr="00F82BE7">
        <w:rPr>
          <w:rFonts w:ascii="ITC Avant Garde" w:hAnsi="ITC Avant Garde" w:cs="Arial"/>
          <w:color w:val="000000"/>
        </w:rPr>
        <w:t>En lo que hace a</w:t>
      </w:r>
      <w:r w:rsidR="002853E4">
        <w:rPr>
          <w:rFonts w:ascii="ITC Avant Garde" w:hAnsi="ITC Avant Garde" w:cs="Arial"/>
          <w:color w:val="000000"/>
        </w:rPr>
        <w:t>l comentario sobre</w:t>
      </w:r>
      <w:r w:rsidRPr="00F82BE7">
        <w:rPr>
          <w:rFonts w:ascii="ITC Avant Garde" w:hAnsi="ITC Avant Garde" w:cs="Arial"/>
          <w:color w:val="000000"/>
        </w:rPr>
        <w:t xml:space="preserve"> los costos de contratar asesoría para definir el valor de los activos para cada año, se señala </w:t>
      </w:r>
      <w:r w:rsidR="00BE2F4F" w:rsidRPr="00F82BE7">
        <w:rPr>
          <w:rFonts w:ascii="ITC Avant Garde" w:hAnsi="ITC Avant Garde" w:cs="Arial"/>
          <w:color w:val="000000"/>
        </w:rPr>
        <w:t>que</w:t>
      </w:r>
      <w:r w:rsidR="002853E4">
        <w:rPr>
          <w:rFonts w:ascii="ITC Avant Garde" w:hAnsi="ITC Avant Garde" w:cs="Arial"/>
          <w:color w:val="000000"/>
        </w:rPr>
        <w:t xml:space="preserve"> la obligación únicamente es aplicable a los agentes económicos preponderantes y con poder sustancial de mercado</w:t>
      </w:r>
      <w:r w:rsidRPr="00F82BE7">
        <w:rPr>
          <w:rFonts w:ascii="ITC Avant Garde" w:hAnsi="ITC Avant Garde" w:cs="Arial"/>
          <w:color w:val="000000"/>
        </w:rPr>
        <w:t>.</w:t>
      </w:r>
      <w:r w:rsidR="00A841A2">
        <w:rPr>
          <w:rFonts w:ascii="ITC Avant Garde" w:hAnsi="ITC Avant Garde" w:cs="Arial"/>
          <w:color w:val="000000"/>
        </w:rPr>
        <w:t xml:space="preserve"> </w:t>
      </w:r>
      <w:r w:rsidR="00A841A2" w:rsidRPr="00A841A2">
        <w:rPr>
          <w:rFonts w:ascii="ITC Avant Garde" w:hAnsi="ITC Avant Garde" w:cs="Arial"/>
          <w:color w:val="000000"/>
        </w:rPr>
        <w:t xml:space="preserve">Por lo anterior, no se realizaron ajustes al Anteproyecto </w:t>
      </w:r>
      <w:r w:rsidR="00A841A2">
        <w:rPr>
          <w:rFonts w:ascii="ITC Avant Garde" w:hAnsi="ITC Avant Garde" w:cs="Arial"/>
          <w:color w:val="000000"/>
        </w:rPr>
        <w:t>al respecto</w:t>
      </w:r>
      <w:r w:rsidR="00A841A2" w:rsidRPr="00A841A2">
        <w:rPr>
          <w:rFonts w:ascii="ITC Avant Garde" w:hAnsi="ITC Avant Garde" w:cs="Arial"/>
          <w:color w:val="000000"/>
        </w:rPr>
        <w:t>.</w:t>
      </w:r>
    </w:p>
    <w:p w:rsidR="00D55B2E" w:rsidRPr="00F82BE7" w:rsidRDefault="00D55B2E"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Respecto al uso de diversas metodologías para la valuación de activos, se señala que la Contabilidad de Costos Actuales (CCA) hace referencia a la revalorización de los activos con el objetivo de reflejar el costo que un nuevo concesionario entrante en el mercado debería afrontar en la actualidad para construir una red equivalente a la del concesionario sobre el que recae la obligación de separación </w:t>
      </w:r>
      <w:r w:rsidRPr="00F82BE7">
        <w:rPr>
          <w:rFonts w:ascii="ITC Avant Garde" w:hAnsi="ITC Avant Garde" w:cs="Arial"/>
          <w:color w:val="000000"/>
        </w:rPr>
        <w:lastRenderedPageBreak/>
        <w:t xml:space="preserve">contable. En virtud de lo anterior, y dado que la naturaleza de los activos de </w:t>
      </w:r>
      <w:r w:rsidR="00E9746B" w:rsidRPr="00F82BE7">
        <w:rPr>
          <w:rFonts w:ascii="ITC Avant Garde" w:hAnsi="ITC Avant Garde" w:cs="Arial"/>
          <w:color w:val="000000"/>
        </w:rPr>
        <w:t>l</w:t>
      </w:r>
      <w:r w:rsidR="00E9746B">
        <w:rPr>
          <w:rFonts w:ascii="ITC Avant Garde" w:hAnsi="ITC Avant Garde" w:cs="Arial"/>
          <w:color w:val="000000"/>
        </w:rPr>
        <w:t>o</w:t>
      </w:r>
      <w:r w:rsidR="00E9746B" w:rsidRPr="00F82BE7">
        <w:rPr>
          <w:rFonts w:ascii="ITC Avant Garde" w:hAnsi="ITC Avant Garde" w:cs="Arial"/>
          <w:color w:val="000000"/>
        </w:rPr>
        <w:t xml:space="preserve">s </w:t>
      </w:r>
      <w:r w:rsidR="00E9746B">
        <w:rPr>
          <w:rFonts w:ascii="ITC Avant Garde" w:hAnsi="ITC Avant Garde" w:cs="Arial"/>
          <w:color w:val="000000"/>
        </w:rPr>
        <w:t>operadores</w:t>
      </w:r>
      <w:r w:rsidR="00E9746B" w:rsidRPr="00F82BE7">
        <w:rPr>
          <w:rFonts w:ascii="ITC Avant Garde" w:hAnsi="ITC Avant Garde" w:cs="Arial"/>
          <w:color w:val="000000"/>
        </w:rPr>
        <w:t xml:space="preserve"> </w:t>
      </w:r>
      <w:r w:rsidRPr="00F82BE7">
        <w:rPr>
          <w:rFonts w:ascii="ITC Avant Garde" w:hAnsi="ITC Avant Garde" w:cs="Arial"/>
          <w:color w:val="000000"/>
        </w:rPr>
        <w:t>puede presentar amplias diferencias</w:t>
      </w:r>
      <w:r w:rsidR="00AB1030">
        <w:rPr>
          <w:rFonts w:ascii="ITC Avant Garde" w:hAnsi="ITC Avant Garde" w:cs="Arial"/>
          <w:color w:val="000000"/>
        </w:rPr>
        <w:t>,</w:t>
      </w:r>
      <w:r w:rsidRPr="00F82BE7">
        <w:rPr>
          <w:rFonts w:ascii="ITC Avant Garde" w:hAnsi="ITC Avant Garde" w:cs="Arial"/>
          <w:color w:val="000000"/>
        </w:rPr>
        <w:t xml:space="preserve"> se otorga flexibilidad a partir de varias alternativas de revalorización con la finalidad de que los activos resulten con un valor adecuado.</w:t>
      </w:r>
    </w:p>
    <w:p w:rsidR="00D55B2E" w:rsidRPr="00F82BE7" w:rsidRDefault="00E9746B" w:rsidP="0033377C">
      <w:pPr>
        <w:spacing w:line="276" w:lineRule="auto"/>
        <w:jc w:val="both"/>
        <w:rPr>
          <w:rFonts w:ascii="ITC Avant Garde" w:hAnsi="ITC Avant Garde"/>
        </w:rPr>
      </w:pPr>
      <w:r>
        <w:rPr>
          <w:rFonts w:ascii="ITC Avant Garde" w:hAnsi="ITC Avant Garde"/>
        </w:rPr>
        <w:t>El Instituto considera que l</w:t>
      </w:r>
      <w:r w:rsidR="00D55B2E" w:rsidRPr="00F82BE7">
        <w:rPr>
          <w:rFonts w:ascii="ITC Avant Garde" w:hAnsi="ITC Avant Garde"/>
        </w:rPr>
        <w:t>os sujetos regulados deben contar con flexibilidad para elegir la metodología de revaloración de activos, lo cual está alineado con la práctica internacional. Una metodología única no significa que sea la mejor para todos los activos</w:t>
      </w:r>
      <w:r w:rsidR="00AB1030">
        <w:rPr>
          <w:rFonts w:ascii="ITC Avant Garde" w:hAnsi="ITC Avant Garde"/>
        </w:rPr>
        <w:t>.</w:t>
      </w:r>
      <w:r w:rsidR="00D55B2E" w:rsidRPr="00F82BE7">
        <w:rPr>
          <w:rFonts w:ascii="ITC Avant Garde" w:hAnsi="ITC Avant Garde"/>
        </w:rPr>
        <w:t xml:space="preserve"> </w:t>
      </w:r>
      <w:r w:rsidR="00AB1030">
        <w:rPr>
          <w:rFonts w:ascii="ITC Avant Garde" w:hAnsi="ITC Avant Garde"/>
        </w:rPr>
        <w:t>D</w:t>
      </w:r>
      <w:r w:rsidR="00D55B2E" w:rsidRPr="00F82BE7">
        <w:rPr>
          <w:rFonts w:ascii="ITC Avant Garde" w:hAnsi="ITC Avant Garde"/>
        </w:rPr>
        <w:t>ada su naturaleza, por ejemplo, una metodología para revalorar los edificios, no necesariamente es la mejor para los activos de redes o infraestructura pasiva</w:t>
      </w:r>
      <w:r w:rsidR="00861037">
        <w:rPr>
          <w:rFonts w:ascii="ITC Avant Garde" w:hAnsi="ITC Avant Garde"/>
        </w:rPr>
        <w:t xml:space="preserve"> y</w:t>
      </w:r>
      <w:r w:rsidR="00D55B2E" w:rsidRPr="00F82BE7">
        <w:rPr>
          <w:rFonts w:ascii="ITC Avant Garde" w:hAnsi="ITC Avant Garde"/>
        </w:rPr>
        <w:t xml:space="preserve"> para los bienes muebles. Por lo tanto, se debe reconocer la naturaleza distinta de los activos ya que pueden tener otras metodologías que permitan una mejor revalorización.</w:t>
      </w:r>
    </w:p>
    <w:p w:rsidR="00D55B2E" w:rsidRPr="00F82BE7" w:rsidRDefault="00D55B2E" w:rsidP="0033377C">
      <w:pPr>
        <w:spacing w:line="276" w:lineRule="auto"/>
        <w:jc w:val="both"/>
        <w:rPr>
          <w:rFonts w:ascii="ITC Avant Garde" w:hAnsi="ITC Avant Garde"/>
        </w:rPr>
      </w:pPr>
      <w:r w:rsidRPr="00F82BE7">
        <w:rPr>
          <w:rFonts w:ascii="ITC Avant Garde" w:hAnsi="ITC Avant Garde"/>
        </w:rPr>
        <w:t>No obstante, no significa que se limite el perfeccionamiento de la revaloración de activos a través de las revisiones posteriores de la metodología de separación contable. A medida que avance y madure la implementación de la separación contable se mejorará la metodología. En ejercicios posteriores, los sujetos obligados podrían homologar las metodologías de revalorización para ciertos tipos de activos</w:t>
      </w:r>
      <w:r w:rsidR="00B9082D" w:rsidRPr="00F82BE7">
        <w:rPr>
          <w:rFonts w:ascii="ITC Avant Garde" w:hAnsi="ITC Avant Garde"/>
        </w:rPr>
        <w:t>.</w:t>
      </w:r>
    </w:p>
    <w:p w:rsidR="00D55B2E" w:rsidRPr="00F82BE7" w:rsidRDefault="00861037" w:rsidP="0033377C">
      <w:pPr>
        <w:spacing w:line="276" w:lineRule="auto"/>
        <w:jc w:val="both"/>
        <w:rPr>
          <w:rFonts w:ascii="ITC Avant Garde" w:hAnsi="ITC Avant Garde"/>
        </w:rPr>
      </w:pPr>
      <w:r>
        <w:rPr>
          <w:rFonts w:ascii="ITC Avant Garde" w:hAnsi="ITC Avant Garde"/>
        </w:rPr>
        <w:t>Por otro lado, e</w:t>
      </w:r>
      <w:r w:rsidR="009E2B03">
        <w:rPr>
          <w:rFonts w:ascii="ITC Avant Garde" w:hAnsi="ITC Avant Garde"/>
        </w:rPr>
        <w:t>s necesario señalar que m</w:t>
      </w:r>
      <w:r w:rsidR="00D55B2E" w:rsidRPr="00F82BE7">
        <w:rPr>
          <w:rFonts w:ascii="ITC Avant Garde" w:hAnsi="ITC Avant Garde"/>
        </w:rPr>
        <w:t xml:space="preserve">ientras el Instituto diseña la metodología de separación contable con un margen de flexibilidad, es responsabilidad de los sujetos obligados implementar la metodología de separación contable </w:t>
      </w:r>
      <w:r>
        <w:rPr>
          <w:rFonts w:ascii="ITC Avant Garde" w:hAnsi="ITC Avant Garde"/>
        </w:rPr>
        <w:t xml:space="preserve">de manera consistente y </w:t>
      </w:r>
      <w:r w:rsidR="00D55B2E" w:rsidRPr="00F82BE7">
        <w:rPr>
          <w:rFonts w:ascii="ITC Avant Garde" w:hAnsi="ITC Avant Garde"/>
        </w:rPr>
        <w:t>en los términos establecidos.</w:t>
      </w:r>
    </w:p>
    <w:p w:rsidR="00D55B2E" w:rsidRPr="00F82BE7" w:rsidRDefault="00D55B2E" w:rsidP="0033377C">
      <w:pPr>
        <w:spacing w:line="276" w:lineRule="auto"/>
        <w:jc w:val="both"/>
        <w:rPr>
          <w:rFonts w:ascii="ITC Avant Garde" w:hAnsi="ITC Avant Garde"/>
        </w:rPr>
      </w:pPr>
      <w:r w:rsidRPr="00F82BE7">
        <w:rPr>
          <w:rFonts w:ascii="ITC Avant Garde" w:hAnsi="ITC Avant Garde"/>
        </w:rPr>
        <w:t xml:space="preserve">Lo anterior está en línea con la práctica internacional, toda vez que no se define una estructura rígida de metodologías para la separación contable, sino </w:t>
      </w:r>
      <w:r w:rsidR="00861037">
        <w:rPr>
          <w:rFonts w:ascii="ITC Avant Garde" w:hAnsi="ITC Avant Garde"/>
        </w:rPr>
        <w:t>que es</w:t>
      </w:r>
      <w:r w:rsidR="00861037" w:rsidRPr="00F82BE7">
        <w:rPr>
          <w:rFonts w:ascii="ITC Avant Garde" w:hAnsi="ITC Avant Garde"/>
        </w:rPr>
        <w:t xml:space="preserve"> </w:t>
      </w:r>
      <w:r w:rsidRPr="00F82BE7">
        <w:rPr>
          <w:rFonts w:ascii="ITC Avant Garde" w:hAnsi="ITC Avant Garde"/>
        </w:rPr>
        <w:t xml:space="preserve">a través de revisiones y perfeccionamientos </w:t>
      </w:r>
      <w:r w:rsidR="00B9082D" w:rsidRPr="00F82BE7">
        <w:rPr>
          <w:rFonts w:ascii="ITC Avant Garde" w:hAnsi="ITC Avant Garde"/>
        </w:rPr>
        <w:t xml:space="preserve">sistemáticos y </w:t>
      </w:r>
      <w:r w:rsidRPr="00F82BE7">
        <w:rPr>
          <w:rFonts w:ascii="ITC Avant Garde" w:hAnsi="ITC Avant Garde"/>
        </w:rPr>
        <w:t>graduales</w:t>
      </w:r>
      <w:r w:rsidR="00861037">
        <w:rPr>
          <w:rFonts w:ascii="ITC Avant Garde" w:hAnsi="ITC Avant Garde"/>
        </w:rPr>
        <w:t xml:space="preserve"> que</w:t>
      </w:r>
      <w:r w:rsidRPr="00F82BE7">
        <w:rPr>
          <w:rFonts w:ascii="ITC Avant Garde" w:hAnsi="ITC Avant Garde"/>
        </w:rPr>
        <w:t xml:space="preserve"> las metodologías se </w:t>
      </w:r>
      <w:r w:rsidR="00861037">
        <w:rPr>
          <w:rFonts w:ascii="ITC Avant Garde" w:hAnsi="ITC Avant Garde"/>
        </w:rPr>
        <w:t>irán</w:t>
      </w:r>
      <w:r w:rsidR="00861037" w:rsidRPr="00F82BE7">
        <w:rPr>
          <w:rFonts w:ascii="ITC Avant Garde" w:hAnsi="ITC Avant Garde"/>
        </w:rPr>
        <w:t xml:space="preserve"> </w:t>
      </w:r>
      <w:r w:rsidRPr="00F82BE7">
        <w:rPr>
          <w:rFonts w:ascii="ITC Avant Garde" w:hAnsi="ITC Avant Garde"/>
        </w:rPr>
        <w:t>adecuando.</w:t>
      </w:r>
    </w:p>
    <w:p w:rsidR="00A316EA" w:rsidRDefault="00A316EA" w:rsidP="0033377C">
      <w:pPr>
        <w:spacing w:line="276" w:lineRule="auto"/>
        <w:jc w:val="both"/>
        <w:rPr>
          <w:rFonts w:ascii="ITC Avant Garde" w:hAnsi="ITC Avant Garde"/>
        </w:rPr>
      </w:pPr>
      <w:r w:rsidRPr="00230D59">
        <w:rPr>
          <w:rFonts w:ascii="ITC Avant Garde" w:hAnsi="ITC Avant Garde"/>
        </w:rPr>
        <w:t xml:space="preserve">Por lo anterior, </w:t>
      </w:r>
      <w:r w:rsidR="000F507D" w:rsidRPr="000F507D">
        <w:rPr>
          <w:rFonts w:ascii="ITC Avant Garde" w:hAnsi="ITC Avant Garde"/>
        </w:rPr>
        <w:t xml:space="preserve">no se realizaron ajustes al Anteproyecto en los términos señalados por </w:t>
      </w:r>
      <w:r w:rsidR="000F507D">
        <w:rPr>
          <w:rFonts w:ascii="ITC Avant Garde" w:hAnsi="ITC Avant Garde"/>
        </w:rPr>
        <w:t>los</w:t>
      </w:r>
      <w:r w:rsidR="000F507D" w:rsidRPr="000F507D">
        <w:rPr>
          <w:rFonts w:ascii="ITC Avant Garde" w:hAnsi="ITC Avant Garde"/>
        </w:rPr>
        <w:t xml:space="preserve"> participante</w:t>
      </w:r>
      <w:r w:rsidR="000F507D">
        <w:rPr>
          <w:rFonts w:ascii="ITC Avant Garde" w:hAnsi="ITC Avant Garde"/>
        </w:rPr>
        <w:t>s</w:t>
      </w:r>
      <w:r>
        <w:rPr>
          <w:rFonts w:ascii="ITC Avant Garde" w:hAnsi="ITC Avant Garde"/>
        </w:rPr>
        <w:t>.</w:t>
      </w:r>
    </w:p>
    <w:p w:rsidR="00D55B2E" w:rsidRPr="00F82BE7" w:rsidRDefault="00D55B2E" w:rsidP="0033377C">
      <w:pPr>
        <w:pStyle w:val="Prrafodelista"/>
        <w:numPr>
          <w:ilvl w:val="0"/>
          <w:numId w:val="4"/>
        </w:numPr>
        <w:spacing w:line="276" w:lineRule="auto"/>
        <w:rPr>
          <w:rFonts w:ascii="ITC Avant Garde" w:hAnsi="ITC Avant Garde" w:cs="Arial"/>
          <w:color w:val="000000"/>
        </w:rPr>
      </w:pPr>
      <w:r w:rsidRPr="00F82BE7">
        <w:rPr>
          <w:rFonts w:ascii="ITC Avant Garde" w:hAnsi="ITC Avant Garde" w:cs="Arial"/>
          <w:b/>
          <w:color w:val="000000"/>
        </w:rPr>
        <w:t>Mayor nivel de desagregación</w:t>
      </w:r>
    </w:p>
    <w:p w:rsidR="00D55B2E" w:rsidRPr="00F82BE7" w:rsidRDefault="00D55B2E" w:rsidP="0033377C">
      <w:pPr>
        <w:spacing w:line="276" w:lineRule="auto"/>
        <w:jc w:val="both"/>
        <w:rPr>
          <w:rFonts w:ascii="ITC Avant Garde" w:hAnsi="ITC Avant Garde" w:cs="Arial"/>
          <w:i/>
          <w:color w:val="000000"/>
        </w:rPr>
      </w:pPr>
      <w:r w:rsidRPr="00F82BE7">
        <w:rPr>
          <w:rFonts w:ascii="ITC Avant Garde" w:hAnsi="ITC Avant Garde" w:cs="Arial"/>
          <w:i/>
          <w:color w:val="000000"/>
        </w:rPr>
        <w:t>Comentarios</w:t>
      </w:r>
    </w:p>
    <w:p w:rsidR="00D55B2E" w:rsidRPr="00F82BE7" w:rsidRDefault="00D55B2E" w:rsidP="0033377C">
      <w:pPr>
        <w:spacing w:line="276" w:lineRule="auto"/>
        <w:jc w:val="both"/>
        <w:rPr>
          <w:rFonts w:ascii="ITC Avant Garde" w:hAnsi="ITC Avant Garde" w:cs="Arial"/>
          <w:color w:val="000000"/>
        </w:rPr>
      </w:pPr>
      <w:r w:rsidRPr="00F82BE7">
        <w:rPr>
          <w:rFonts w:ascii="ITC Avant Garde" w:hAnsi="ITC Avant Garde" w:cs="Arial"/>
          <w:color w:val="000000"/>
        </w:rPr>
        <w:t>Diversos participantes (AXTEL, AT&amp;T, MEGA CABLE,) coincidieron en que es necesario un mayor nivel de desagregación de la información de separación contable, ya que con el nivel propuesto no es posible cumplir con los objetivos regulatorios que se plantean.</w:t>
      </w:r>
    </w:p>
    <w:p w:rsidR="00D55B2E" w:rsidRPr="00F82BE7" w:rsidRDefault="00D55B2E" w:rsidP="0033377C">
      <w:pPr>
        <w:spacing w:line="276" w:lineRule="auto"/>
        <w:jc w:val="both"/>
        <w:rPr>
          <w:rFonts w:ascii="ITC Avant Garde" w:hAnsi="ITC Avant Garde" w:cs="Arial"/>
          <w:color w:val="000000"/>
        </w:rPr>
      </w:pPr>
      <w:r w:rsidRPr="00F82BE7">
        <w:rPr>
          <w:rFonts w:ascii="ITC Avant Garde" w:hAnsi="ITC Avant Garde" w:cs="Arial"/>
          <w:color w:val="000000"/>
        </w:rPr>
        <w:t>Adicionalmente, otros participantes (Corporación de Radio y Televisión del Norte de México y Bestphone) señalaron</w:t>
      </w:r>
      <w:r w:rsidR="00430DDD">
        <w:rPr>
          <w:rFonts w:ascii="ITC Avant Garde" w:hAnsi="ITC Avant Garde" w:cs="Arial"/>
          <w:color w:val="000000"/>
        </w:rPr>
        <w:t xml:space="preserve"> que</w:t>
      </w:r>
      <w:r w:rsidRPr="00F82BE7">
        <w:rPr>
          <w:rFonts w:ascii="ITC Avant Garde" w:hAnsi="ITC Avant Garde" w:cs="Arial"/>
          <w:color w:val="000000"/>
        </w:rPr>
        <w:t xml:space="preserve">, de acuerdo </w:t>
      </w:r>
      <w:r w:rsidR="00F420CA">
        <w:rPr>
          <w:rFonts w:ascii="ITC Avant Garde" w:hAnsi="ITC Avant Garde" w:cs="Arial"/>
          <w:color w:val="000000"/>
        </w:rPr>
        <w:t>con</w:t>
      </w:r>
      <w:r w:rsidRPr="00F82BE7">
        <w:rPr>
          <w:rFonts w:ascii="ITC Avant Garde" w:hAnsi="ITC Avant Garde" w:cs="Arial"/>
          <w:color w:val="000000"/>
        </w:rPr>
        <w:t xml:space="preserve"> la experiencia </w:t>
      </w:r>
      <w:r w:rsidRPr="00F82BE7">
        <w:rPr>
          <w:rFonts w:ascii="ITC Avant Garde" w:hAnsi="ITC Avant Garde" w:cs="Arial"/>
          <w:color w:val="000000"/>
        </w:rPr>
        <w:lastRenderedPageBreak/>
        <w:t xml:space="preserve">internacional, cuando se aplica la separación contable a un operador incumbente (o dominante sectorial) se exige un mayor nivel de detalle o desglose en la mayoría de los servicios. Por </w:t>
      </w:r>
      <w:r w:rsidR="00F420CA">
        <w:rPr>
          <w:rFonts w:ascii="ITC Avant Garde" w:hAnsi="ITC Avant Garde" w:cs="Arial"/>
          <w:color w:val="000000"/>
        </w:rPr>
        <w:t>otro lado</w:t>
      </w:r>
      <w:r w:rsidRPr="00F82BE7">
        <w:rPr>
          <w:rFonts w:ascii="ITC Avant Garde" w:hAnsi="ITC Avant Garde" w:cs="Arial"/>
          <w:color w:val="000000"/>
        </w:rPr>
        <w:t xml:space="preserve">, </w:t>
      </w:r>
      <w:r w:rsidR="00F420CA">
        <w:rPr>
          <w:rFonts w:ascii="ITC Avant Garde" w:hAnsi="ITC Avant Garde" w:cs="Arial"/>
          <w:color w:val="000000"/>
        </w:rPr>
        <w:t>señala</w:t>
      </w:r>
      <w:r w:rsidR="00430DDD">
        <w:rPr>
          <w:rFonts w:ascii="ITC Avant Garde" w:hAnsi="ITC Avant Garde" w:cs="Arial"/>
          <w:color w:val="000000"/>
        </w:rPr>
        <w:t>ron</w:t>
      </w:r>
      <w:r w:rsidR="00F420CA">
        <w:rPr>
          <w:rFonts w:ascii="ITC Avant Garde" w:hAnsi="ITC Avant Garde" w:cs="Arial"/>
          <w:color w:val="000000"/>
        </w:rPr>
        <w:t xml:space="preserve"> que </w:t>
      </w:r>
      <w:r w:rsidRPr="00F82BE7">
        <w:rPr>
          <w:rFonts w:ascii="ITC Avant Garde" w:hAnsi="ITC Avant Garde" w:cs="Arial"/>
          <w:color w:val="000000"/>
        </w:rPr>
        <w:t xml:space="preserve">cuando se impone la obligación de presentar cuentas separadas a operadores que no son dominantes sectoriales, la separación contable suele permitir la presentación de la información de manera mucho más agregada y simplificada. </w:t>
      </w:r>
      <w:r w:rsidR="00430DDD">
        <w:rPr>
          <w:rFonts w:ascii="ITC Avant Garde" w:hAnsi="ITC Avant Garde" w:cs="Arial"/>
          <w:color w:val="000000"/>
        </w:rPr>
        <w:t>Al respecto, p</w:t>
      </w:r>
      <w:r w:rsidRPr="00F82BE7">
        <w:rPr>
          <w:rFonts w:ascii="ITC Avant Garde" w:hAnsi="ITC Avant Garde" w:cs="Arial"/>
          <w:color w:val="000000"/>
        </w:rPr>
        <w:t>rop</w:t>
      </w:r>
      <w:r w:rsidR="0021573C">
        <w:rPr>
          <w:rFonts w:ascii="ITC Avant Garde" w:hAnsi="ITC Avant Garde" w:cs="Arial"/>
          <w:color w:val="000000"/>
        </w:rPr>
        <w:t>usieron</w:t>
      </w:r>
      <w:r w:rsidRPr="00F82BE7">
        <w:rPr>
          <w:rFonts w:ascii="ITC Avant Garde" w:hAnsi="ITC Avant Garde" w:cs="Arial"/>
          <w:color w:val="000000"/>
        </w:rPr>
        <w:t xml:space="preserve"> un mayor nivel de detalle</w:t>
      </w:r>
      <w:r w:rsidR="00430DDD">
        <w:rPr>
          <w:rFonts w:ascii="ITC Avant Garde" w:hAnsi="ITC Avant Garde" w:cs="Arial"/>
          <w:color w:val="000000"/>
        </w:rPr>
        <w:t xml:space="preserve"> en la información del </w:t>
      </w:r>
      <w:r w:rsidR="00430DDD" w:rsidRPr="00F82BE7">
        <w:rPr>
          <w:rFonts w:ascii="ITC Avant Garde" w:hAnsi="ITC Avant Garde" w:cs="Arial"/>
          <w:color w:val="000000"/>
        </w:rPr>
        <w:t>Agente Económico Preponderante (AEP)</w:t>
      </w:r>
      <w:r w:rsidR="00430DDD">
        <w:rPr>
          <w:rFonts w:ascii="ITC Avant Garde" w:hAnsi="ITC Avant Garde" w:cs="Arial"/>
          <w:color w:val="000000"/>
        </w:rPr>
        <w:t xml:space="preserve"> </w:t>
      </w:r>
      <w:r w:rsidR="00CD1A03">
        <w:rPr>
          <w:rFonts w:ascii="ITC Avant Garde" w:hAnsi="ITC Avant Garde" w:cs="Arial"/>
          <w:color w:val="000000"/>
        </w:rPr>
        <w:t xml:space="preserve">en telecomunicaciones </w:t>
      </w:r>
      <w:r w:rsidR="00430DDD">
        <w:rPr>
          <w:rFonts w:ascii="ITC Avant Garde" w:hAnsi="ITC Avant Garde" w:cs="Arial"/>
          <w:color w:val="000000"/>
        </w:rPr>
        <w:t xml:space="preserve">para los </w:t>
      </w:r>
      <w:r w:rsidRPr="00F82BE7">
        <w:rPr>
          <w:rFonts w:ascii="ITC Avant Garde" w:hAnsi="ITC Avant Garde" w:cs="Arial"/>
          <w:color w:val="000000"/>
        </w:rPr>
        <w:t xml:space="preserve">servicios mayoristas de desagregación, servicios de interconexión, enlaces dedicados mayoristas, para servicios fijos de voz saliente, banda ancha, servicios </w:t>
      </w:r>
      <w:r w:rsidRPr="00F82BE7">
        <w:rPr>
          <w:rFonts w:ascii="ITC Avant Garde" w:hAnsi="ITC Avant Garde" w:cs="Arial"/>
          <w:i/>
          <w:color w:val="000000"/>
        </w:rPr>
        <w:t>Over the Top</w:t>
      </w:r>
      <w:r w:rsidRPr="00F82BE7">
        <w:rPr>
          <w:rFonts w:ascii="ITC Avant Garde" w:hAnsi="ITC Avant Garde" w:cs="Arial"/>
          <w:color w:val="000000"/>
        </w:rPr>
        <w:t xml:space="preserve"> (OTT), enlaces dedicados minoristas, servicios prestados a corporativos y entidades gubernamentales.</w:t>
      </w:r>
    </w:p>
    <w:p w:rsidR="00D55B2E" w:rsidRPr="00F82BE7" w:rsidRDefault="00F96956" w:rsidP="0033377C">
      <w:pPr>
        <w:spacing w:line="276" w:lineRule="auto"/>
        <w:jc w:val="both"/>
        <w:rPr>
          <w:rFonts w:ascii="ITC Avant Garde" w:hAnsi="ITC Avant Garde" w:cs="Arial"/>
          <w:i/>
          <w:color w:val="000000"/>
        </w:rPr>
      </w:pPr>
      <w:r>
        <w:rPr>
          <w:rFonts w:ascii="ITC Avant Garde" w:hAnsi="ITC Avant Garde" w:cs="Arial"/>
          <w:i/>
          <w:color w:val="000000"/>
        </w:rPr>
        <w:t>Consideraciones</w:t>
      </w:r>
      <w:r w:rsidRPr="00F82BE7" w:rsidDel="00F96956">
        <w:rPr>
          <w:rFonts w:ascii="ITC Avant Garde" w:hAnsi="ITC Avant Garde" w:cs="Arial"/>
          <w:i/>
          <w:color w:val="000000"/>
        </w:rPr>
        <w:t xml:space="preserve"> </w:t>
      </w:r>
      <w:r w:rsidR="00D55B2E" w:rsidRPr="00F82BE7">
        <w:rPr>
          <w:rFonts w:ascii="ITC Avant Garde" w:hAnsi="ITC Avant Garde" w:cs="Arial"/>
          <w:i/>
          <w:color w:val="000000"/>
        </w:rPr>
        <w:t>del Instituto</w:t>
      </w:r>
    </w:p>
    <w:p w:rsidR="0021011B" w:rsidRDefault="00D7333F" w:rsidP="0033377C">
      <w:pPr>
        <w:spacing w:line="276" w:lineRule="auto"/>
        <w:jc w:val="both"/>
        <w:rPr>
          <w:rFonts w:ascii="ITC Avant Garde" w:hAnsi="ITC Avant Garde"/>
        </w:rPr>
      </w:pPr>
      <w:r>
        <w:rPr>
          <w:rFonts w:ascii="ITC Avant Garde" w:hAnsi="ITC Avant Garde"/>
        </w:rPr>
        <w:t xml:space="preserve">Sobre el comentario relativo a que </w:t>
      </w:r>
      <w:r w:rsidRPr="00F82BE7">
        <w:rPr>
          <w:rFonts w:ascii="ITC Avant Garde" w:hAnsi="ITC Avant Garde" w:cs="Arial"/>
          <w:color w:val="000000"/>
        </w:rPr>
        <w:t>es necesario un mayor nivel de desagregación de la información de separación contable</w:t>
      </w:r>
      <w:r>
        <w:rPr>
          <w:rFonts w:ascii="ITC Avant Garde" w:hAnsi="ITC Avant Garde" w:cs="Arial"/>
          <w:color w:val="000000"/>
        </w:rPr>
        <w:t xml:space="preserve">, </w:t>
      </w:r>
      <w:r>
        <w:rPr>
          <w:rFonts w:ascii="ITC Avant Garde" w:hAnsi="ITC Avant Garde"/>
        </w:rPr>
        <w:t>se señala que</w:t>
      </w:r>
      <w:r w:rsidR="00D55B2E" w:rsidRPr="00F82BE7">
        <w:rPr>
          <w:rFonts w:ascii="ITC Avant Garde" w:hAnsi="ITC Avant Garde"/>
        </w:rPr>
        <w:t xml:space="preserve"> </w:t>
      </w:r>
      <w:r w:rsidR="0021011B">
        <w:rPr>
          <w:rFonts w:ascii="ITC Avant Garde" w:hAnsi="ITC Avant Garde"/>
        </w:rPr>
        <w:t xml:space="preserve">las cuentas incluidas en el </w:t>
      </w:r>
      <w:r w:rsidR="00430DDD">
        <w:rPr>
          <w:rFonts w:ascii="ITC Avant Garde" w:hAnsi="ITC Avant Garde"/>
        </w:rPr>
        <w:t>Anteproyecto</w:t>
      </w:r>
      <w:r w:rsidR="0021011B">
        <w:rPr>
          <w:rFonts w:ascii="ITC Avant Garde" w:hAnsi="ITC Avant Garde"/>
        </w:rPr>
        <w:t xml:space="preserve"> </w:t>
      </w:r>
      <w:r w:rsidR="002E263A">
        <w:rPr>
          <w:rFonts w:ascii="ITC Avant Garde" w:hAnsi="ITC Avant Garde"/>
        </w:rPr>
        <w:t>se trata</w:t>
      </w:r>
      <w:r w:rsidR="0021011B">
        <w:rPr>
          <w:rFonts w:ascii="ITC Avant Garde" w:hAnsi="ITC Avant Garde"/>
        </w:rPr>
        <w:t>n</w:t>
      </w:r>
      <w:r w:rsidR="002E263A">
        <w:rPr>
          <w:rFonts w:ascii="ITC Avant Garde" w:hAnsi="ITC Avant Garde"/>
        </w:rPr>
        <w:t xml:space="preserve"> de un listado mínimo, por lo que dicho listado debe ser tomado como </w:t>
      </w:r>
      <w:r w:rsidR="002E263A" w:rsidRPr="002E263A">
        <w:rPr>
          <w:rFonts w:ascii="ITC Avant Garde" w:hAnsi="ITC Avant Garde"/>
        </w:rPr>
        <w:t xml:space="preserve">base </w:t>
      </w:r>
      <w:r w:rsidR="002E263A">
        <w:rPr>
          <w:rFonts w:ascii="ITC Avant Garde" w:hAnsi="ITC Avant Garde"/>
        </w:rPr>
        <w:t xml:space="preserve">por los operadores. Asimismo, se advierte que las cuentas desagregadas </w:t>
      </w:r>
      <w:r w:rsidR="002E263A" w:rsidRPr="002E263A">
        <w:rPr>
          <w:rFonts w:ascii="ITC Avant Garde" w:hAnsi="ITC Avant Garde"/>
        </w:rPr>
        <w:t xml:space="preserve">podrán ser adaptadas durante el proceso de autorización del programa de implementación a efecto de que se adecuen a las </w:t>
      </w:r>
      <w:r w:rsidR="002E263A">
        <w:rPr>
          <w:rFonts w:ascii="ITC Avant Garde" w:hAnsi="ITC Avant Garde"/>
        </w:rPr>
        <w:t xml:space="preserve">necesidades de información </w:t>
      </w:r>
      <w:r w:rsidR="002E263A" w:rsidRPr="002E263A">
        <w:rPr>
          <w:rFonts w:ascii="ITC Avant Garde" w:hAnsi="ITC Avant Garde"/>
        </w:rPr>
        <w:t>del Instituto</w:t>
      </w:r>
      <w:r w:rsidR="00C66D18">
        <w:rPr>
          <w:rFonts w:ascii="ITC Avant Garde" w:hAnsi="ITC Avant Garde"/>
        </w:rPr>
        <w:t xml:space="preserve"> y a la operación de los concesionarios y/o autorizados</w:t>
      </w:r>
      <w:r w:rsidR="002E263A" w:rsidRPr="002E263A">
        <w:rPr>
          <w:rFonts w:ascii="ITC Avant Garde" w:hAnsi="ITC Avant Garde"/>
        </w:rPr>
        <w:t>.</w:t>
      </w:r>
    </w:p>
    <w:p w:rsidR="00124A03" w:rsidRDefault="00D55B2E" w:rsidP="0033377C">
      <w:pPr>
        <w:spacing w:line="276" w:lineRule="auto"/>
        <w:jc w:val="both"/>
        <w:rPr>
          <w:rFonts w:ascii="ITC Avant Garde" w:hAnsi="ITC Avant Garde" w:cs="Arial"/>
          <w:color w:val="000000"/>
        </w:rPr>
      </w:pPr>
      <w:r w:rsidRPr="00F82BE7">
        <w:rPr>
          <w:rFonts w:ascii="ITC Avant Garde" w:hAnsi="ITC Avant Garde"/>
        </w:rPr>
        <w:t xml:space="preserve">Respecto al comentario de exigir un mayor nivel de desagregación para los </w:t>
      </w:r>
      <w:r w:rsidRPr="00F82BE7">
        <w:rPr>
          <w:rFonts w:ascii="ITC Avant Garde" w:hAnsi="ITC Avant Garde" w:cs="Arial"/>
          <w:color w:val="000000"/>
        </w:rPr>
        <w:t xml:space="preserve">agentes económicos preponderantes </w:t>
      </w:r>
      <w:r w:rsidRPr="00F82BE7">
        <w:rPr>
          <w:rFonts w:ascii="ITC Avant Garde" w:hAnsi="ITC Avant Garde"/>
        </w:rPr>
        <w:t xml:space="preserve">y un menor nivel de detalle a los agentes con poder sustancial de mercado, </w:t>
      </w:r>
      <w:r w:rsidR="008C0BB5">
        <w:rPr>
          <w:rFonts w:ascii="ITC Avant Garde" w:hAnsi="ITC Avant Garde"/>
        </w:rPr>
        <w:t xml:space="preserve">se advierte que las cuentas desagregadas </w:t>
      </w:r>
      <w:r w:rsidR="008C0BB5" w:rsidRPr="002E263A">
        <w:rPr>
          <w:rFonts w:ascii="ITC Avant Garde" w:hAnsi="ITC Avant Garde"/>
        </w:rPr>
        <w:t xml:space="preserve">podrán ser adaptadas durante el proceso de autorización del programa de implementación a efecto de que se adecuen a las </w:t>
      </w:r>
      <w:r w:rsidR="008C0BB5">
        <w:rPr>
          <w:rFonts w:ascii="ITC Avant Garde" w:hAnsi="ITC Avant Garde"/>
        </w:rPr>
        <w:t xml:space="preserve">necesidades de información </w:t>
      </w:r>
      <w:r w:rsidR="008C0BB5" w:rsidRPr="002E263A">
        <w:rPr>
          <w:rFonts w:ascii="ITC Avant Garde" w:hAnsi="ITC Avant Garde"/>
        </w:rPr>
        <w:t>del Instituto</w:t>
      </w:r>
      <w:r w:rsidR="00C3700E">
        <w:rPr>
          <w:rFonts w:ascii="ITC Avant Garde" w:hAnsi="ITC Avant Garde"/>
        </w:rPr>
        <w:t xml:space="preserve"> y a la operación de los concesionarios y/o autorizados</w:t>
      </w:r>
      <w:r w:rsidR="00124A03" w:rsidRPr="00F82BE7">
        <w:rPr>
          <w:rFonts w:ascii="ITC Avant Garde" w:hAnsi="ITC Avant Garde" w:cs="Arial"/>
          <w:color w:val="000000"/>
        </w:rPr>
        <w:t xml:space="preserve">. En este sentido, </w:t>
      </w:r>
      <w:r w:rsidR="008C0BB5">
        <w:rPr>
          <w:rFonts w:ascii="ITC Avant Garde" w:hAnsi="ITC Avant Garde" w:cs="Arial"/>
          <w:color w:val="000000"/>
        </w:rPr>
        <w:t>durante la revisión de los programas de implementación por parte del Instituto se valorará el</w:t>
      </w:r>
      <w:r w:rsidR="008C0BB5" w:rsidRPr="00F82BE7">
        <w:rPr>
          <w:rFonts w:ascii="ITC Avant Garde" w:hAnsi="ITC Avant Garde" w:cs="Arial"/>
          <w:color w:val="000000"/>
        </w:rPr>
        <w:t xml:space="preserve"> </w:t>
      </w:r>
      <w:r w:rsidR="00124A03" w:rsidRPr="00F82BE7">
        <w:rPr>
          <w:rFonts w:ascii="ITC Avant Garde" w:hAnsi="ITC Avant Garde" w:cs="Arial"/>
          <w:color w:val="000000"/>
        </w:rPr>
        <w:t xml:space="preserve">nivel de desagregación </w:t>
      </w:r>
      <w:r w:rsidR="008C0BB5">
        <w:rPr>
          <w:rFonts w:ascii="ITC Avant Garde" w:hAnsi="ITC Avant Garde" w:cs="Arial"/>
          <w:color w:val="000000"/>
        </w:rPr>
        <w:t>dependiendo de las</w:t>
      </w:r>
      <w:r w:rsidR="00124A03" w:rsidRPr="00F82BE7">
        <w:rPr>
          <w:rFonts w:ascii="ITC Avant Garde" w:hAnsi="ITC Avant Garde" w:cs="Arial"/>
          <w:color w:val="000000"/>
        </w:rPr>
        <w:t xml:space="preserve"> características específicas de cada figura. Lo anterior, debido a que cada sujeto obligado deberá apegarse a los formatos de separación contable de acuerdo a los servicios que preste, así como a su naturaleza.</w:t>
      </w:r>
      <w:r w:rsidR="001D183B">
        <w:rPr>
          <w:rFonts w:ascii="ITC Avant Garde" w:hAnsi="ITC Avant Garde" w:cs="Arial"/>
          <w:color w:val="000000"/>
        </w:rPr>
        <w:t xml:space="preserve"> Si el nivel de desagregación propuesto no satisface las necesidades de información del Instituto, se podrán solicitar modificaciones a fin de lograr los objetivos </w:t>
      </w:r>
      <w:r w:rsidR="00C3700E">
        <w:rPr>
          <w:rFonts w:ascii="ITC Avant Garde" w:hAnsi="ITC Avant Garde" w:cs="Arial"/>
          <w:color w:val="000000"/>
        </w:rPr>
        <w:t>regulatorios definidos para la separación contable</w:t>
      </w:r>
      <w:r w:rsidR="001D183B">
        <w:rPr>
          <w:rFonts w:ascii="ITC Avant Garde" w:hAnsi="ITC Avant Garde" w:cs="Arial"/>
          <w:color w:val="000000"/>
        </w:rPr>
        <w:t>.</w:t>
      </w:r>
    </w:p>
    <w:p w:rsidR="00A316EA" w:rsidRDefault="00A316EA" w:rsidP="0033377C">
      <w:pPr>
        <w:spacing w:line="276" w:lineRule="auto"/>
        <w:jc w:val="both"/>
        <w:rPr>
          <w:rFonts w:ascii="ITC Avant Garde" w:hAnsi="ITC Avant Garde"/>
        </w:rPr>
      </w:pPr>
      <w:r w:rsidRPr="00F82BE7">
        <w:rPr>
          <w:rFonts w:ascii="ITC Avant Garde" w:hAnsi="ITC Avant Garde"/>
        </w:rPr>
        <w:t xml:space="preserve">Por lo anterior, </w:t>
      </w:r>
      <w:r w:rsidR="006B71E8" w:rsidRPr="006B71E8">
        <w:rPr>
          <w:rFonts w:ascii="ITC Avant Garde" w:hAnsi="ITC Avant Garde"/>
        </w:rPr>
        <w:t xml:space="preserve">no se realizaron ajustes al Anteproyecto en los términos señalados por </w:t>
      </w:r>
      <w:r w:rsidR="006B71E8">
        <w:rPr>
          <w:rFonts w:ascii="ITC Avant Garde" w:hAnsi="ITC Avant Garde"/>
        </w:rPr>
        <w:t>los</w:t>
      </w:r>
      <w:r w:rsidR="006B71E8" w:rsidRPr="006B71E8">
        <w:rPr>
          <w:rFonts w:ascii="ITC Avant Garde" w:hAnsi="ITC Avant Garde"/>
        </w:rPr>
        <w:t xml:space="preserve"> participante</w:t>
      </w:r>
      <w:r w:rsidR="006B71E8">
        <w:rPr>
          <w:rFonts w:ascii="ITC Avant Garde" w:hAnsi="ITC Avant Garde"/>
        </w:rPr>
        <w:t>s</w:t>
      </w:r>
      <w:r w:rsidRPr="00F82BE7">
        <w:rPr>
          <w:rFonts w:ascii="ITC Avant Garde" w:hAnsi="ITC Avant Garde"/>
        </w:rPr>
        <w:t>.</w:t>
      </w:r>
    </w:p>
    <w:p w:rsidR="0033377C" w:rsidRDefault="0033377C" w:rsidP="0033377C">
      <w:pPr>
        <w:spacing w:line="276" w:lineRule="auto"/>
        <w:jc w:val="both"/>
        <w:rPr>
          <w:rFonts w:ascii="ITC Avant Garde" w:hAnsi="ITC Avant Garde"/>
        </w:rPr>
      </w:pPr>
    </w:p>
    <w:p w:rsidR="0033377C" w:rsidRDefault="0033377C" w:rsidP="0033377C">
      <w:pPr>
        <w:spacing w:line="276" w:lineRule="auto"/>
        <w:jc w:val="both"/>
        <w:rPr>
          <w:rFonts w:ascii="ITC Avant Garde" w:hAnsi="ITC Avant Garde"/>
        </w:rPr>
      </w:pPr>
    </w:p>
    <w:p w:rsidR="0033377C" w:rsidRPr="00F82BE7" w:rsidRDefault="0033377C" w:rsidP="0033377C">
      <w:pPr>
        <w:spacing w:line="276" w:lineRule="auto"/>
        <w:jc w:val="both"/>
        <w:rPr>
          <w:rFonts w:ascii="ITC Avant Garde" w:hAnsi="ITC Avant Garde" w:cs="Arial"/>
          <w:color w:val="000000"/>
        </w:rPr>
      </w:pPr>
    </w:p>
    <w:p w:rsidR="00D55B2E" w:rsidRPr="00F82BE7" w:rsidRDefault="00D55B2E" w:rsidP="0033377C">
      <w:pPr>
        <w:pStyle w:val="Prrafodelista"/>
        <w:numPr>
          <w:ilvl w:val="0"/>
          <w:numId w:val="4"/>
        </w:numPr>
        <w:spacing w:line="276" w:lineRule="auto"/>
        <w:rPr>
          <w:rFonts w:ascii="ITC Avant Garde" w:hAnsi="ITC Avant Garde" w:cs="Arial"/>
          <w:b/>
          <w:color w:val="000000"/>
        </w:rPr>
      </w:pPr>
      <w:r w:rsidRPr="00F82BE7">
        <w:rPr>
          <w:rFonts w:ascii="ITC Avant Garde" w:hAnsi="ITC Avant Garde" w:cs="Arial"/>
          <w:b/>
          <w:color w:val="000000"/>
        </w:rPr>
        <w:lastRenderedPageBreak/>
        <w:t>Límite del 10% para la distribución de los costos generales</w:t>
      </w:r>
    </w:p>
    <w:p w:rsidR="00D55B2E" w:rsidRPr="00F82BE7" w:rsidRDefault="00D55B2E" w:rsidP="0033377C">
      <w:pPr>
        <w:spacing w:line="276" w:lineRule="auto"/>
        <w:jc w:val="both"/>
        <w:rPr>
          <w:rFonts w:ascii="ITC Avant Garde" w:hAnsi="ITC Avant Garde" w:cs="Arial"/>
          <w:i/>
          <w:color w:val="000000"/>
        </w:rPr>
      </w:pPr>
      <w:r w:rsidRPr="00F82BE7">
        <w:rPr>
          <w:rFonts w:ascii="ITC Avant Garde" w:hAnsi="ITC Avant Garde" w:cs="Arial"/>
          <w:i/>
          <w:color w:val="000000"/>
        </w:rPr>
        <w:t>Comentarios</w:t>
      </w:r>
    </w:p>
    <w:p w:rsidR="00D55B2E" w:rsidRPr="00F82BE7" w:rsidRDefault="00510186"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Un </w:t>
      </w:r>
      <w:r w:rsidR="00D55B2E" w:rsidRPr="00F82BE7">
        <w:rPr>
          <w:rFonts w:ascii="ITC Avant Garde" w:hAnsi="ITC Avant Garde" w:cs="Arial"/>
          <w:color w:val="000000"/>
        </w:rPr>
        <w:t xml:space="preserve">participante (AXTEL) </w:t>
      </w:r>
      <w:r w:rsidR="008E6B3F">
        <w:rPr>
          <w:rFonts w:ascii="ITC Avant Garde" w:hAnsi="ITC Avant Garde" w:cs="Arial"/>
          <w:color w:val="000000"/>
        </w:rPr>
        <w:t xml:space="preserve">comentó sobre </w:t>
      </w:r>
      <w:r w:rsidR="00D55B2E" w:rsidRPr="00F82BE7">
        <w:rPr>
          <w:rFonts w:ascii="ITC Avant Garde" w:hAnsi="ITC Avant Garde" w:cs="Arial"/>
          <w:color w:val="000000"/>
        </w:rPr>
        <w:t xml:space="preserve">la importancia </w:t>
      </w:r>
      <w:r w:rsidR="004D763B" w:rsidRPr="00F82BE7">
        <w:rPr>
          <w:rFonts w:ascii="ITC Avant Garde" w:hAnsi="ITC Avant Garde" w:cs="Arial"/>
          <w:color w:val="000000"/>
        </w:rPr>
        <w:t xml:space="preserve">de </w:t>
      </w:r>
      <w:r w:rsidR="00D55B2E" w:rsidRPr="00F82BE7">
        <w:rPr>
          <w:rFonts w:ascii="ITC Avant Garde" w:hAnsi="ITC Avant Garde" w:cs="Arial"/>
          <w:color w:val="000000"/>
        </w:rPr>
        <w:t xml:space="preserve">tomar en cuenta el porcentaje </w:t>
      </w:r>
      <w:r w:rsidRPr="00F82BE7">
        <w:rPr>
          <w:rFonts w:ascii="ITC Avant Garde" w:hAnsi="ITC Avant Garde" w:cs="Arial"/>
          <w:color w:val="000000"/>
        </w:rPr>
        <w:t xml:space="preserve">del 10% para la distribución de los costos generales </w:t>
      </w:r>
      <w:r w:rsidR="00D55B2E" w:rsidRPr="00F82BE7">
        <w:rPr>
          <w:rFonts w:ascii="ITC Avant Garde" w:hAnsi="ITC Avant Garde" w:cs="Arial"/>
          <w:color w:val="000000"/>
        </w:rPr>
        <w:t>utilizado en la experiencia internacional.</w:t>
      </w:r>
    </w:p>
    <w:p w:rsidR="00D55B2E" w:rsidRPr="00F82BE7" w:rsidRDefault="00D55B2E"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Otro participante (MEGA CABLE) sugirió aclarar que el límite del 10% en la totalidad de costos distribuidos mediante márgenes se refiera a costos comunes que resulten pertinentes </w:t>
      </w:r>
      <w:r w:rsidR="00ED0E33" w:rsidRPr="00F82BE7">
        <w:rPr>
          <w:rFonts w:ascii="ITC Avant Garde" w:hAnsi="ITC Avant Garde" w:cs="Arial"/>
          <w:color w:val="000000"/>
        </w:rPr>
        <w:t>par</w:t>
      </w:r>
      <w:r w:rsidRPr="00F82BE7">
        <w:rPr>
          <w:rFonts w:ascii="ITC Avant Garde" w:hAnsi="ITC Avant Garde" w:cs="Arial"/>
          <w:color w:val="000000"/>
        </w:rPr>
        <w:t>a la operación del AEP y no “costos generales”, ya que resulta más ambiguo y equívoco este último concepto, con independencia de que aparentemente se utilizan de manera intercambiable. También señaló que el límite se considera demasiado elevado, pues no debería ser mayor al 6%.</w:t>
      </w:r>
    </w:p>
    <w:p w:rsidR="00D55B2E" w:rsidRPr="00F82BE7" w:rsidRDefault="00F96956" w:rsidP="0033377C">
      <w:pPr>
        <w:spacing w:line="276" w:lineRule="auto"/>
        <w:jc w:val="both"/>
        <w:rPr>
          <w:rFonts w:ascii="ITC Avant Garde" w:hAnsi="ITC Avant Garde" w:cs="Arial"/>
          <w:i/>
          <w:color w:val="000000"/>
        </w:rPr>
      </w:pPr>
      <w:r>
        <w:rPr>
          <w:rFonts w:ascii="ITC Avant Garde" w:hAnsi="ITC Avant Garde" w:cs="Arial"/>
          <w:i/>
          <w:color w:val="000000"/>
        </w:rPr>
        <w:t>Consideraciones</w:t>
      </w:r>
      <w:r w:rsidRPr="00F82BE7" w:rsidDel="00F96956">
        <w:rPr>
          <w:rFonts w:ascii="ITC Avant Garde" w:hAnsi="ITC Avant Garde" w:cs="Arial"/>
          <w:i/>
          <w:color w:val="000000"/>
        </w:rPr>
        <w:t xml:space="preserve"> </w:t>
      </w:r>
      <w:r w:rsidR="00D55B2E" w:rsidRPr="00F82BE7">
        <w:rPr>
          <w:rFonts w:ascii="ITC Avant Garde" w:hAnsi="ITC Avant Garde" w:cs="Arial"/>
          <w:i/>
          <w:color w:val="000000"/>
        </w:rPr>
        <w:t>del Instituto</w:t>
      </w:r>
    </w:p>
    <w:p w:rsidR="00C1715D" w:rsidRDefault="00C1715D" w:rsidP="0033377C">
      <w:pPr>
        <w:spacing w:line="276" w:lineRule="auto"/>
        <w:jc w:val="both"/>
        <w:rPr>
          <w:rFonts w:ascii="ITC Avant Garde" w:hAnsi="ITC Avant Garde" w:cs="Arial"/>
          <w:color w:val="000000"/>
        </w:rPr>
      </w:pPr>
      <w:r>
        <w:rPr>
          <w:rFonts w:ascii="ITC Avant Garde" w:hAnsi="ITC Avant Garde" w:cs="Arial"/>
          <w:color w:val="000000"/>
        </w:rPr>
        <w:t xml:space="preserve">Respecto al comentario de que </w:t>
      </w:r>
      <w:r w:rsidR="00074E1F">
        <w:rPr>
          <w:rFonts w:ascii="ITC Avant Garde" w:hAnsi="ITC Avant Garde" w:cs="Arial"/>
          <w:color w:val="000000"/>
        </w:rPr>
        <w:t xml:space="preserve">se tome en cuenta </w:t>
      </w:r>
      <w:r w:rsidR="00074E1F" w:rsidRPr="00F82BE7">
        <w:rPr>
          <w:rFonts w:ascii="ITC Avant Garde" w:hAnsi="ITC Avant Garde" w:cs="Arial"/>
          <w:color w:val="000000"/>
        </w:rPr>
        <w:t>el porcentaje del 10% para la distribución de los costos generales</w:t>
      </w:r>
      <w:r w:rsidR="00074E1F">
        <w:rPr>
          <w:rFonts w:ascii="ITC Avant Garde" w:hAnsi="ITC Avant Garde" w:cs="Arial"/>
          <w:color w:val="000000"/>
        </w:rPr>
        <w:t xml:space="preserve">, se señala que </w:t>
      </w:r>
      <w:r w:rsidR="003F5981">
        <w:rPr>
          <w:rFonts w:ascii="ITC Avant Garde" w:hAnsi="ITC Avant Garde" w:cs="Arial"/>
          <w:color w:val="000000"/>
        </w:rPr>
        <w:t xml:space="preserve">el Anteproyecto </w:t>
      </w:r>
      <w:r w:rsidR="00BE3DF3">
        <w:rPr>
          <w:rFonts w:ascii="ITC Avant Garde" w:hAnsi="ITC Avant Garde" w:cs="Arial"/>
          <w:color w:val="000000"/>
        </w:rPr>
        <w:t>contempla</w:t>
      </w:r>
      <w:r w:rsidR="003F5981">
        <w:rPr>
          <w:rFonts w:ascii="ITC Avant Garde" w:hAnsi="ITC Avant Garde" w:cs="Arial"/>
          <w:color w:val="000000"/>
        </w:rPr>
        <w:t xml:space="preserve"> </w:t>
      </w:r>
      <w:r w:rsidR="00074E1F">
        <w:rPr>
          <w:rFonts w:ascii="ITC Avant Garde" w:hAnsi="ITC Avant Garde" w:cs="Arial"/>
          <w:color w:val="000000"/>
        </w:rPr>
        <w:t>dicho porcentaje</w:t>
      </w:r>
      <w:r w:rsidR="003F5981">
        <w:rPr>
          <w:rFonts w:ascii="ITC Avant Garde" w:hAnsi="ITC Avant Garde" w:cs="Arial"/>
          <w:color w:val="000000"/>
        </w:rPr>
        <w:t xml:space="preserve">, </w:t>
      </w:r>
      <w:r w:rsidR="00BE3DF3">
        <w:rPr>
          <w:rFonts w:ascii="ITC Avant Garde" w:hAnsi="ITC Avant Garde" w:cs="Arial"/>
          <w:color w:val="000000"/>
        </w:rPr>
        <w:t>en línea con el</w:t>
      </w:r>
      <w:r w:rsidR="003F5981">
        <w:rPr>
          <w:rFonts w:ascii="ITC Avant Garde" w:hAnsi="ITC Avant Garde" w:cs="Arial"/>
          <w:color w:val="000000"/>
        </w:rPr>
        <w:t xml:space="preserve"> que es utilizado en</w:t>
      </w:r>
      <w:r w:rsidR="00074E1F">
        <w:rPr>
          <w:rFonts w:ascii="ITC Avant Garde" w:hAnsi="ITC Avant Garde" w:cs="Arial"/>
          <w:color w:val="000000"/>
        </w:rPr>
        <w:t xml:space="preserve"> la práctica internacional.</w:t>
      </w:r>
    </w:p>
    <w:p w:rsidR="00012382" w:rsidRDefault="00EA6136" w:rsidP="0033377C">
      <w:pPr>
        <w:spacing w:line="276" w:lineRule="auto"/>
        <w:jc w:val="both"/>
        <w:rPr>
          <w:rFonts w:ascii="ITC Avant Garde" w:hAnsi="ITC Avant Garde" w:cs="Arial"/>
          <w:color w:val="000000"/>
        </w:rPr>
      </w:pPr>
      <w:r>
        <w:rPr>
          <w:rFonts w:ascii="ITC Avant Garde" w:hAnsi="ITC Avant Garde" w:cs="Arial"/>
          <w:color w:val="000000"/>
        </w:rPr>
        <w:t>S</w:t>
      </w:r>
      <w:r w:rsidR="0019190F" w:rsidRPr="00F82BE7">
        <w:rPr>
          <w:rFonts w:ascii="ITC Avant Garde" w:hAnsi="ITC Avant Garde" w:cs="Arial"/>
          <w:color w:val="000000"/>
        </w:rPr>
        <w:t xml:space="preserve">obre </w:t>
      </w:r>
      <w:r w:rsidR="00C1715D">
        <w:rPr>
          <w:rFonts w:ascii="ITC Avant Garde" w:hAnsi="ITC Avant Garde" w:cs="Arial"/>
          <w:color w:val="000000"/>
        </w:rPr>
        <w:t>el comentario relativo a que el término de</w:t>
      </w:r>
      <w:r w:rsidR="0019190F" w:rsidRPr="00F82BE7">
        <w:rPr>
          <w:rFonts w:ascii="ITC Avant Garde" w:hAnsi="ITC Avant Garde" w:cs="Arial"/>
          <w:color w:val="000000"/>
        </w:rPr>
        <w:t xml:space="preserve"> </w:t>
      </w:r>
      <w:r w:rsidR="00C1715D">
        <w:rPr>
          <w:rFonts w:ascii="ITC Avant Garde" w:hAnsi="ITC Avant Garde" w:cs="Arial"/>
          <w:color w:val="000000"/>
        </w:rPr>
        <w:t>“</w:t>
      </w:r>
      <w:r w:rsidR="0019190F" w:rsidRPr="00F82BE7">
        <w:rPr>
          <w:rFonts w:ascii="ITC Avant Garde" w:hAnsi="ITC Avant Garde" w:cs="Arial"/>
          <w:color w:val="000000"/>
        </w:rPr>
        <w:t>costos generales</w:t>
      </w:r>
      <w:r w:rsidR="00554795">
        <w:rPr>
          <w:rFonts w:ascii="ITC Avant Garde" w:hAnsi="ITC Avant Garde" w:cs="Arial"/>
          <w:color w:val="000000"/>
        </w:rPr>
        <w:t>”</w:t>
      </w:r>
      <w:r w:rsidR="00C1715D">
        <w:rPr>
          <w:rFonts w:ascii="ITC Avant Garde" w:hAnsi="ITC Avant Garde" w:cs="Arial"/>
          <w:color w:val="000000"/>
        </w:rPr>
        <w:t xml:space="preserve"> resulta ambiguo</w:t>
      </w:r>
      <w:r w:rsidR="0019190F" w:rsidRPr="00F82BE7">
        <w:rPr>
          <w:rFonts w:ascii="ITC Avant Garde" w:hAnsi="ITC Avant Garde" w:cs="Arial"/>
          <w:color w:val="000000"/>
        </w:rPr>
        <w:t>, se señala que</w:t>
      </w:r>
      <w:r w:rsidR="0021573C">
        <w:rPr>
          <w:rFonts w:ascii="ITC Avant Garde" w:hAnsi="ITC Avant Garde" w:cs="Arial"/>
          <w:color w:val="000000"/>
        </w:rPr>
        <w:t xml:space="preserve"> en</w:t>
      </w:r>
      <w:r w:rsidR="0019190F" w:rsidRPr="00F82BE7">
        <w:rPr>
          <w:rFonts w:ascii="ITC Avant Garde" w:hAnsi="ITC Avant Garde" w:cs="Arial"/>
          <w:color w:val="000000"/>
        </w:rPr>
        <w:t xml:space="preserve"> el </w:t>
      </w:r>
      <w:r w:rsidR="00057037">
        <w:rPr>
          <w:rFonts w:ascii="ITC Avant Garde" w:hAnsi="ITC Avant Garde" w:cs="Arial"/>
          <w:color w:val="000000"/>
        </w:rPr>
        <w:t>Acuerdo</w:t>
      </w:r>
      <w:r w:rsidR="00057037" w:rsidRPr="00F82BE7">
        <w:rPr>
          <w:rFonts w:ascii="ITC Avant Garde" w:hAnsi="ITC Avant Garde" w:cs="Arial"/>
          <w:color w:val="000000"/>
        </w:rPr>
        <w:t xml:space="preserve"> </w:t>
      </w:r>
      <w:r w:rsidR="0021573C">
        <w:rPr>
          <w:rFonts w:ascii="ITC Avant Garde" w:hAnsi="ITC Avant Garde" w:cs="Arial"/>
          <w:color w:val="000000"/>
        </w:rPr>
        <w:t xml:space="preserve">se </w:t>
      </w:r>
      <w:r w:rsidR="00057037">
        <w:rPr>
          <w:rFonts w:ascii="ITC Avant Garde" w:hAnsi="ITC Avant Garde" w:cs="Arial"/>
          <w:color w:val="000000"/>
        </w:rPr>
        <w:t>defin</w:t>
      </w:r>
      <w:r w:rsidR="0021573C">
        <w:rPr>
          <w:rFonts w:ascii="ITC Avant Garde" w:hAnsi="ITC Avant Garde" w:cs="Arial"/>
          <w:color w:val="000000"/>
        </w:rPr>
        <w:t>ió</w:t>
      </w:r>
      <w:r w:rsidR="00057037">
        <w:rPr>
          <w:rFonts w:ascii="ITC Avant Garde" w:hAnsi="ITC Avant Garde" w:cs="Arial"/>
          <w:color w:val="000000"/>
        </w:rPr>
        <w:t xml:space="preserve"> claramente</w:t>
      </w:r>
      <w:r w:rsidR="00012382">
        <w:rPr>
          <w:rFonts w:ascii="ITC Avant Garde" w:hAnsi="ITC Avant Garde" w:cs="Arial"/>
          <w:color w:val="000000"/>
        </w:rPr>
        <w:t xml:space="preserve"> </w:t>
      </w:r>
      <w:r w:rsidR="00C1715D">
        <w:rPr>
          <w:rFonts w:ascii="ITC Avant Garde" w:hAnsi="ITC Avant Garde" w:cs="Arial"/>
          <w:color w:val="000000"/>
        </w:rPr>
        <w:t xml:space="preserve">el término </w:t>
      </w:r>
      <w:r w:rsidR="00012382">
        <w:rPr>
          <w:rFonts w:ascii="ITC Avant Garde" w:hAnsi="ITC Avant Garde" w:cs="Arial"/>
          <w:color w:val="000000"/>
        </w:rPr>
        <w:t xml:space="preserve">en </w:t>
      </w:r>
      <w:r w:rsidR="00012382" w:rsidRPr="00275D90">
        <w:rPr>
          <w:rFonts w:ascii="ITC Avant Garde" w:hAnsi="ITC Avant Garde" w:cs="Arial"/>
          <w:color w:val="000000"/>
        </w:rPr>
        <w:t>la</w:t>
      </w:r>
      <w:r w:rsidR="00C1715D">
        <w:rPr>
          <w:rFonts w:ascii="ITC Avant Garde" w:hAnsi="ITC Avant Garde"/>
        </w:rPr>
        <w:t xml:space="preserve"> disposición NOVENA</w:t>
      </w:r>
      <w:r w:rsidR="00012382">
        <w:rPr>
          <w:rFonts w:ascii="ITC Avant Garde" w:hAnsi="ITC Avant Garde" w:cs="Arial"/>
          <w:color w:val="000000"/>
        </w:rPr>
        <w:t xml:space="preserve"> que a la letra dice:</w:t>
      </w:r>
    </w:p>
    <w:p w:rsidR="00C1715D" w:rsidRPr="00A844CC" w:rsidRDefault="00012382" w:rsidP="0033377C">
      <w:pPr>
        <w:pStyle w:val="Cita"/>
        <w:spacing w:line="276" w:lineRule="auto"/>
        <w:jc w:val="both"/>
        <w:rPr>
          <w:rFonts w:ascii="ITC Avant Garde" w:hAnsi="ITC Avant Garde"/>
          <w:color w:val="auto"/>
          <w:sz w:val="20"/>
        </w:rPr>
      </w:pPr>
      <w:r w:rsidRPr="00A844CC">
        <w:rPr>
          <w:rFonts w:ascii="ITC Avant Garde" w:hAnsi="ITC Avant Garde"/>
          <w:color w:val="auto"/>
          <w:sz w:val="20"/>
          <w:shd w:val="clear" w:color="auto" w:fill="FFFFFF"/>
        </w:rPr>
        <w:t>“</w:t>
      </w:r>
      <w:r w:rsidRPr="00A844CC">
        <w:rPr>
          <w:rFonts w:ascii="ITC Avant Garde" w:hAnsi="ITC Avant Garde"/>
          <w:color w:val="auto"/>
          <w:sz w:val="20"/>
        </w:rPr>
        <w:t>Costos generales:</w:t>
      </w:r>
      <w:r w:rsidR="00C1715D" w:rsidRPr="00A844CC">
        <w:rPr>
          <w:rFonts w:ascii="ITC Avant Garde" w:hAnsi="ITC Avant Garde"/>
          <w:color w:val="auto"/>
          <w:sz w:val="20"/>
        </w:rPr>
        <w:t xml:space="preserve"> </w:t>
      </w:r>
      <w:r w:rsidR="00C1715D" w:rsidRPr="00037A25">
        <w:rPr>
          <w:rFonts w:ascii="ITC Avant Garde" w:hAnsi="ITC Avant Garde"/>
          <w:color w:val="auto"/>
          <w:sz w:val="20"/>
        </w:rPr>
        <w:t>son aquellos par</w:t>
      </w:r>
      <w:r w:rsidR="00C1715D" w:rsidRPr="003D5A6C">
        <w:rPr>
          <w:rFonts w:ascii="ITC Avant Garde" w:hAnsi="ITC Avant Garde"/>
          <w:color w:val="auto"/>
          <w:sz w:val="20"/>
        </w:rPr>
        <w:t>a los que no se identifican criterios de reparto que permitan una distribución causal a servicios y para los cuales es necesario emplear márgenes equiproporcionales para su reparto en etapas posteriores de la separación contable.</w:t>
      </w:r>
    </w:p>
    <w:p w:rsidR="00012382" w:rsidRPr="00A844CC" w:rsidRDefault="00C1715D" w:rsidP="0033377C">
      <w:pPr>
        <w:pStyle w:val="Cita"/>
        <w:spacing w:line="276" w:lineRule="auto"/>
        <w:jc w:val="both"/>
        <w:rPr>
          <w:rFonts w:ascii="ITC Avant Garde" w:hAnsi="ITC Avant Garde"/>
          <w:color w:val="auto"/>
          <w:sz w:val="20"/>
        </w:rPr>
      </w:pPr>
      <w:r w:rsidRPr="00A844CC">
        <w:rPr>
          <w:rFonts w:ascii="ITC Avant Garde" w:hAnsi="ITC Avant Garde"/>
          <w:color w:val="auto"/>
          <w:sz w:val="20"/>
        </w:rPr>
        <w:t>Para la distribución de los costos generales, éstos no deberán representar un porcentaje superior al 10% en cualquiera de las etapas o niveles de la separación contable.</w:t>
      </w:r>
      <w:r w:rsidR="00012382" w:rsidRPr="00A844CC">
        <w:rPr>
          <w:rFonts w:ascii="ITC Avant Garde" w:hAnsi="ITC Avant Garde"/>
          <w:color w:val="auto"/>
          <w:sz w:val="20"/>
        </w:rPr>
        <w:t>”</w:t>
      </w:r>
    </w:p>
    <w:p w:rsidR="0019190F" w:rsidRDefault="00554795" w:rsidP="0033377C">
      <w:pPr>
        <w:spacing w:line="276" w:lineRule="auto"/>
        <w:jc w:val="both"/>
        <w:rPr>
          <w:rFonts w:ascii="ITC Avant Garde" w:hAnsi="ITC Avant Garde" w:cs="Arial"/>
          <w:color w:val="000000"/>
        </w:rPr>
      </w:pPr>
      <w:r>
        <w:rPr>
          <w:rFonts w:ascii="ITC Avant Garde" w:hAnsi="ITC Avant Garde" w:cs="Arial"/>
          <w:color w:val="000000"/>
        </w:rPr>
        <w:t>Con ello se aclara</w:t>
      </w:r>
      <w:r w:rsidR="00012382">
        <w:rPr>
          <w:rFonts w:ascii="ITC Avant Garde" w:hAnsi="ITC Avant Garde" w:cs="Arial"/>
          <w:color w:val="000000"/>
        </w:rPr>
        <w:t xml:space="preserve"> que</w:t>
      </w:r>
      <w:r w:rsidR="0019190F" w:rsidRPr="00F82BE7">
        <w:rPr>
          <w:rFonts w:ascii="ITC Avant Garde" w:hAnsi="ITC Avant Garde" w:cs="Arial"/>
          <w:color w:val="000000"/>
        </w:rPr>
        <w:t xml:space="preserve"> </w:t>
      </w:r>
      <w:r w:rsidR="00C1715D">
        <w:rPr>
          <w:rFonts w:ascii="ITC Avant Garde" w:hAnsi="ITC Avant Garde" w:cs="Arial"/>
          <w:color w:val="000000"/>
        </w:rPr>
        <w:t xml:space="preserve">los “costos generales” son </w:t>
      </w:r>
      <w:r w:rsidR="0019190F" w:rsidRPr="00F82BE7">
        <w:rPr>
          <w:rFonts w:ascii="ITC Avant Garde" w:hAnsi="ITC Avant Garde" w:cs="Arial"/>
          <w:color w:val="000000"/>
        </w:rPr>
        <w:t>aquellos costos para los que no se identifican criterios de reparto que permitan una distribución causal a servicios y para los cuales es necesario emplear márgenes equiproporcionales para su reparto a etapas posteriores de la separación contable.</w:t>
      </w:r>
    </w:p>
    <w:p w:rsidR="004D763B" w:rsidRPr="00F82BE7" w:rsidRDefault="00C1715D" w:rsidP="0033377C">
      <w:pPr>
        <w:spacing w:line="276" w:lineRule="auto"/>
        <w:jc w:val="both"/>
        <w:rPr>
          <w:rFonts w:ascii="ITC Avant Garde" w:hAnsi="ITC Avant Garde" w:cs="Arial"/>
          <w:color w:val="000000"/>
        </w:rPr>
      </w:pPr>
      <w:r>
        <w:rPr>
          <w:rFonts w:ascii="ITC Avant Garde" w:hAnsi="ITC Avant Garde" w:cs="Arial"/>
          <w:color w:val="000000"/>
        </w:rPr>
        <w:t xml:space="preserve">Finalmente, en lo que respecta </w:t>
      </w:r>
      <w:r w:rsidR="00074E1F">
        <w:rPr>
          <w:rFonts w:ascii="ITC Avant Garde" w:hAnsi="ITC Avant Garde" w:cs="Arial"/>
          <w:color w:val="000000"/>
        </w:rPr>
        <w:t xml:space="preserve">al comentario de </w:t>
      </w:r>
      <w:r>
        <w:rPr>
          <w:rFonts w:ascii="ITC Avant Garde" w:hAnsi="ITC Avant Garde" w:cs="Arial"/>
          <w:color w:val="000000"/>
        </w:rPr>
        <w:t xml:space="preserve">que </w:t>
      </w:r>
      <w:r w:rsidR="00074E1F">
        <w:rPr>
          <w:rFonts w:ascii="ITC Avant Garde" w:hAnsi="ITC Avant Garde" w:cs="Arial"/>
          <w:color w:val="000000"/>
        </w:rPr>
        <w:t xml:space="preserve">el porcentaje del </w:t>
      </w:r>
      <w:r w:rsidR="00074E1F" w:rsidRPr="00F82BE7">
        <w:rPr>
          <w:rFonts w:ascii="ITC Avant Garde" w:hAnsi="ITC Avant Garde" w:cs="Arial"/>
          <w:color w:val="000000"/>
        </w:rPr>
        <w:t>10% en la totalidad de costos distribuidos mediante márgenes</w:t>
      </w:r>
      <w:r w:rsidR="00074E1F">
        <w:rPr>
          <w:rFonts w:ascii="ITC Avant Garde" w:hAnsi="ITC Avant Garde" w:cs="Arial"/>
          <w:color w:val="000000"/>
        </w:rPr>
        <w:t xml:space="preserve"> es demasiado elevado, se señala </w:t>
      </w:r>
      <w:r w:rsidR="00011936">
        <w:rPr>
          <w:rFonts w:ascii="ITC Avant Garde" w:hAnsi="ITC Avant Garde" w:cs="Arial"/>
          <w:color w:val="000000"/>
        </w:rPr>
        <w:t>que,</w:t>
      </w:r>
      <w:r w:rsidR="00074E1F">
        <w:rPr>
          <w:rFonts w:ascii="ITC Avant Garde" w:hAnsi="ITC Avant Garde" w:cs="Arial"/>
          <w:color w:val="000000"/>
        </w:rPr>
        <w:t xml:space="preserve"> c</w:t>
      </w:r>
      <w:r w:rsidR="00074E1F" w:rsidRPr="00F82BE7">
        <w:rPr>
          <w:rFonts w:ascii="ITC Avant Garde" w:hAnsi="ITC Avant Garde" w:cs="Arial"/>
          <w:color w:val="000000"/>
        </w:rPr>
        <w:t xml:space="preserve">onforme a la práctica internacional, en la metodología de separación contable </w:t>
      </w:r>
      <w:r w:rsidR="0021573C">
        <w:rPr>
          <w:rFonts w:ascii="ITC Avant Garde" w:hAnsi="ITC Avant Garde" w:cs="Arial"/>
          <w:color w:val="000000"/>
        </w:rPr>
        <w:t xml:space="preserve">del Anteproyecto </w:t>
      </w:r>
      <w:r w:rsidR="00074E1F" w:rsidRPr="00F82BE7">
        <w:rPr>
          <w:rFonts w:ascii="ITC Avant Garde" w:hAnsi="ITC Avant Garde" w:cs="Arial"/>
          <w:color w:val="000000"/>
        </w:rPr>
        <w:t>se establec</w:t>
      </w:r>
      <w:r w:rsidR="0021573C">
        <w:rPr>
          <w:rFonts w:ascii="ITC Avant Garde" w:hAnsi="ITC Avant Garde" w:cs="Arial"/>
          <w:color w:val="000000"/>
        </w:rPr>
        <w:t>ió</w:t>
      </w:r>
      <w:r w:rsidR="00074E1F" w:rsidRPr="00F82BE7">
        <w:rPr>
          <w:rFonts w:ascii="ITC Avant Garde" w:hAnsi="ITC Avant Garde" w:cs="Arial"/>
          <w:color w:val="000000"/>
        </w:rPr>
        <w:t xml:space="preserve"> que la distribución de costos generales no debe representar un porcentaje superior al 10% en cualquiera de las etapas o niveles de la separación contable con el objetivo de que el reparto sea </w:t>
      </w:r>
      <w:r w:rsidR="00074E1F" w:rsidRPr="00F82BE7">
        <w:rPr>
          <w:rFonts w:ascii="ITC Avant Garde" w:hAnsi="ITC Avant Garde" w:cs="Arial"/>
          <w:color w:val="000000"/>
        </w:rPr>
        <w:lastRenderedPageBreak/>
        <w:t xml:space="preserve">lo más causal posible. </w:t>
      </w:r>
      <w:r w:rsidR="004D763B" w:rsidRPr="00F82BE7">
        <w:rPr>
          <w:rFonts w:ascii="ITC Avant Garde" w:hAnsi="ITC Avant Garde"/>
        </w:rPr>
        <w:t xml:space="preserve">En virtud de lo anterior, </w:t>
      </w:r>
      <w:r w:rsidR="001E0F2E" w:rsidRPr="001E0F2E">
        <w:rPr>
          <w:rFonts w:ascii="ITC Avant Garde" w:hAnsi="ITC Avant Garde"/>
        </w:rPr>
        <w:t>no se realizaron ajustes al Anteproyecto en los términos señalados por el participante</w:t>
      </w:r>
      <w:r w:rsidR="00774A22" w:rsidRPr="00F82BE7">
        <w:rPr>
          <w:rFonts w:ascii="ITC Avant Garde" w:hAnsi="ITC Avant Garde"/>
        </w:rPr>
        <w:t>.</w:t>
      </w:r>
      <w:r w:rsidR="00513F8D">
        <w:rPr>
          <w:rFonts w:ascii="ITC Avant Garde" w:hAnsi="ITC Avant Garde"/>
        </w:rPr>
        <w:t xml:space="preserve"> </w:t>
      </w:r>
    </w:p>
    <w:p w:rsidR="00D55B2E" w:rsidRPr="00F82BE7" w:rsidRDefault="00D55B2E" w:rsidP="0033377C">
      <w:pPr>
        <w:pStyle w:val="Prrafodelista"/>
        <w:numPr>
          <w:ilvl w:val="0"/>
          <w:numId w:val="4"/>
        </w:numPr>
        <w:spacing w:line="276" w:lineRule="auto"/>
        <w:rPr>
          <w:rFonts w:ascii="ITC Avant Garde" w:hAnsi="ITC Avant Garde" w:cs="Arial"/>
          <w:b/>
          <w:color w:val="000000"/>
        </w:rPr>
      </w:pPr>
      <w:r w:rsidRPr="00F82BE7">
        <w:rPr>
          <w:rFonts w:ascii="ITC Avant Garde" w:hAnsi="ITC Avant Garde" w:cs="Arial"/>
          <w:b/>
          <w:color w:val="000000"/>
        </w:rPr>
        <w:t>Principios de la separación contable</w:t>
      </w:r>
    </w:p>
    <w:p w:rsidR="00D55B2E" w:rsidRPr="00F82BE7" w:rsidRDefault="00D55B2E" w:rsidP="0033377C">
      <w:pPr>
        <w:spacing w:line="276" w:lineRule="auto"/>
        <w:jc w:val="both"/>
        <w:rPr>
          <w:rFonts w:ascii="ITC Avant Garde" w:hAnsi="ITC Avant Garde" w:cs="Arial"/>
          <w:i/>
          <w:color w:val="000000"/>
        </w:rPr>
      </w:pPr>
      <w:r w:rsidRPr="00F82BE7">
        <w:rPr>
          <w:rFonts w:ascii="ITC Avant Garde" w:hAnsi="ITC Avant Garde" w:cs="Arial"/>
          <w:i/>
          <w:color w:val="000000"/>
        </w:rPr>
        <w:t>Comentarios</w:t>
      </w:r>
    </w:p>
    <w:p w:rsidR="00D55B2E" w:rsidRPr="00F82BE7" w:rsidRDefault="00D55B2E" w:rsidP="0033377C">
      <w:pPr>
        <w:spacing w:line="276" w:lineRule="auto"/>
        <w:jc w:val="both"/>
        <w:rPr>
          <w:rFonts w:ascii="ITC Avant Garde" w:hAnsi="ITC Avant Garde" w:cs="Arial"/>
          <w:color w:val="000000"/>
        </w:rPr>
      </w:pPr>
      <w:r w:rsidRPr="00F82BE7">
        <w:rPr>
          <w:rFonts w:ascii="ITC Avant Garde" w:hAnsi="ITC Avant Garde" w:cs="Arial"/>
          <w:color w:val="000000"/>
        </w:rPr>
        <w:t>Un participante (AXTEL) señaló que los principios de desagregabilidad y neutralidad no debieron ser descartados para la separación contable, ya que son clave para el cumplimiento de los objetivos del Instituto y son planteados en la LFTR.</w:t>
      </w:r>
    </w:p>
    <w:p w:rsidR="00D55B2E" w:rsidRPr="00F82BE7" w:rsidRDefault="00D55B2E"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Otro participante (MEGA CABLE) sugirió incluir dentro de los principios generales aplicables a la separación contable, el </w:t>
      </w:r>
      <w:r w:rsidR="00763660">
        <w:rPr>
          <w:rFonts w:ascii="ITC Avant Garde" w:hAnsi="ITC Avant Garde" w:cs="Arial"/>
          <w:color w:val="000000"/>
        </w:rPr>
        <w:t>p</w:t>
      </w:r>
      <w:r w:rsidRPr="00F82BE7">
        <w:rPr>
          <w:rFonts w:ascii="ITC Avant Garde" w:hAnsi="ITC Avant Garde" w:cs="Arial"/>
          <w:color w:val="000000"/>
        </w:rPr>
        <w:t xml:space="preserve">rincipio de </w:t>
      </w:r>
      <w:r w:rsidR="00763660">
        <w:rPr>
          <w:rFonts w:ascii="ITC Avant Garde" w:hAnsi="ITC Avant Garde" w:cs="Arial"/>
          <w:color w:val="000000"/>
        </w:rPr>
        <w:t>n</w:t>
      </w:r>
      <w:r w:rsidRPr="00F82BE7">
        <w:rPr>
          <w:rFonts w:ascii="ITC Avant Garde" w:hAnsi="ITC Avant Garde" w:cs="Arial"/>
          <w:color w:val="000000"/>
        </w:rPr>
        <w:t>eutralidad</w:t>
      </w:r>
      <w:r w:rsidR="00763660">
        <w:rPr>
          <w:rFonts w:ascii="ITC Avant Garde" w:hAnsi="ITC Avant Garde" w:cs="Arial"/>
          <w:color w:val="000000"/>
        </w:rPr>
        <w:t>,</w:t>
      </w:r>
      <w:r w:rsidRPr="00F82BE7">
        <w:rPr>
          <w:rFonts w:ascii="ITC Avant Garde" w:hAnsi="ITC Avant Garde" w:cs="Arial"/>
          <w:color w:val="000000"/>
        </w:rPr>
        <w:t xml:space="preserve"> el cual busca que la contabilidad basada en costos muestre aquellos costos de transferencia interna en las cuentas separadas, con el objetivo </w:t>
      </w:r>
      <w:r w:rsidR="00763660">
        <w:rPr>
          <w:rFonts w:ascii="ITC Avant Garde" w:hAnsi="ITC Avant Garde" w:cs="Arial"/>
          <w:color w:val="000000"/>
        </w:rPr>
        <w:t xml:space="preserve">de </w:t>
      </w:r>
      <w:r w:rsidRPr="00F82BE7">
        <w:rPr>
          <w:rFonts w:ascii="ITC Avant Garde" w:hAnsi="ITC Avant Garde" w:cs="Arial"/>
          <w:color w:val="000000"/>
        </w:rPr>
        <w:t>que e</w:t>
      </w:r>
      <w:r w:rsidR="00763660">
        <w:rPr>
          <w:rFonts w:ascii="ITC Avant Garde" w:hAnsi="ITC Avant Garde" w:cs="Arial"/>
          <w:color w:val="000000"/>
        </w:rPr>
        <w:t>l</w:t>
      </w:r>
      <w:r w:rsidRPr="00F82BE7">
        <w:rPr>
          <w:rFonts w:ascii="ITC Avant Garde" w:hAnsi="ITC Avant Garde" w:cs="Arial"/>
          <w:color w:val="000000"/>
        </w:rPr>
        <w:t xml:space="preserve"> Instituto pueda distinguirlos y así comparar los márgenes obtenidos por las ventas a otros operadores frente a las ventas efectuadas a empresas del mismo grupo. También sugirió incluir dentro del principio de </w:t>
      </w:r>
      <w:r w:rsidR="00774A22" w:rsidRPr="00F82BE7">
        <w:rPr>
          <w:rFonts w:ascii="ITC Avant Garde" w:hAnsi="ITC Avant Garde" w:cs="Arial"/>
          <w:color w:val="000000"/>
        </w:rPr>
        <w:t>a</w:t>
      </w:r>
      <w:r w:rsidRPr="00F82BE7">
        <w:rPr>
          <w:rFonts w:ascii="ITC Avant Garde" w:hAnsi="ITC Avant Garde" w:cs="Arial"/>
          <w:color w:val="000000"/>
        </w:rPr>
        <w:t>uditabilidad</w:t>
      </w:r>
      <w:r w:rsidR="00724005">
        <w:rPr>
          <w:rFonts w:ascii="ITC Avant Garde" w:hAnsi="ITC Avant Garde" w:cs="Arial"/>
          <w:color w:val="000000"/>
        </w:rPr>
        <w:t>,</w:t>
      </w:r>
      <w:r w:rsidRPr="00F82BE7">
        <w:rPr>
          <w:rFonts w:ascii="ITC Avant Garde" w:hAnsi="ITC Avant Garde" w:cs="Arial"/>
          <w:color w:val="000000"/>
        </w:rPr>
        <w:t xml:space="preserve"> en adición a lo ya establecido, que los datos entregados por los AEP deben ser presentados de tal forma que puedan ser conciliados con la información financiera y operativa, además de basarse en sistemas específicos e informes internos que sustenten sus resultados. </w:t>
      </w:r>
    </w:p>
    <w:p w:rsidR="00D55B2E" w:rsidRPr="00F82BE7" w:rsidRDefault="00F96956" w:rsidP="0033377C">
      <w:pPr>
        <w:spacing w:line="276" w:lineRule="auto"/>
        <w:jc w:val="both"/>
        <w:rPr>
          <w:rFonts w:ascii="ITC Avant Garde" w:hAnsi="ITC Avant Garde" w:cs="Arial"/>
          <w:i/>
          <w:color w:val="000000"/>
        </w:rPr>
      </w:pPr>
      <w:r>
        <w:rPr>
          <w:rFonts w:ascii="ITC Avant Garde" w:hAnsi="ITC Avant Garde" w:cs="Arial"/>
          <w:i/>
          <w:color w:val="000000"/>
        </w:rPr>
        <w:t>Consideraciones</w:t>
      </w:r>
      <w:r w:rsidRPr="00F82BE7" w:rsidDel="00F96956">
        <w:rPr>
          <w:rFonts w:ascii="ITC Avant Garde" w:hAnsi="ITC Avant Garde" w:cs="Arial"/>
          <w:i/>
          <w:color w:val="000000"/>
        </w:rPr>
        <w:t xml:space="preserve"> </w:t>
      </w:r>
      <w:r w:rsidR="00D55B2E" w:rsidRPr="00F82BE7">
        <w:rPr>
          <w:rFonts w:ascii="ITC Avant Garde" w:hAnsi="ITC Avant Garde" w:cs="Arial"/>
          <w:i/>
          <w:color w:val="000000"/>
        </w:rPr>
        <w:t>del Instituto</w:t>
      </w:r>
    </w:p>
    <w:p w:rsidR="00D865BF" w:rsidRPr="00D865BF" w:rsidRDefault="00EA0856" w:rsidP="0033377C">
      <w:pPr>
        <w:spacing w:line="276" w:lineRule="auto"/>
        <w:jc w:val="both"/>
        <w:rPr>
          <w:rFonts w:ascii="ITC Avant Garde" w:hAnsi="ITC Avant Garde" w:cs="Arial"/>
          <w:color w:val="000000"/>
        </w:rPr>
      </w:pPr>
      <w:r w:rsidRPr="00F82BE7">
        <w:rPr>
          <w:rFonts w:ascii="ITC Avant Garde" w:hAnsi="ITC Avant Garde" w:cs="Arial"/>
          <w:color w:val="000000"/>
        </w:rPr>
        <w:t>Respecto al principio de desagregabilidad se señala que no es muy utilizado en la práctica internacional, por lo que no se consider</w:t>
      </w:r>
      <w:r w:rsidR="00774A22" w:rsidRPr="00F82BE7">
        <w:rPr>
          <w:rFonts w:ascii="ITC Avant Garde" w:hAnsi="ITC Avant Garde" w:cs="Arial"/>
          <w:color w:val="000000"/>
        </w:rPr>
        <w:t>ó</w:t>
      </w:r>
      <w:r w:rsidRPr="00F82BE7">
        <w:rPr>
          <w:rFonts w:ascii="ITC Avant Garde" w:hAnsi="ITC Avant Garde" w:cs="Arial"/>
          <w:color w:val="000000"/>
        </w:rPr>
        <w:t xml:space="preserve"> relevante incluirlo en el </w:t>
      </w:r>
      <w:r w:rsidR="00774A22" w:rsidRPr="00F82BE7">
        <w:rPr>
          <w:rFonts w:ascii="ITC Avant Garde" w:hAnsi="ITC Avant Garde" w:cs="Arial"/>
          <w:color w:val="000000"/>
        </w:rPr>
        <w:t>A</w:t>
      </w:r>
      <w:r w:rsidR="00943423">
        <w:rPr>
          <w:rFonts w:ascii="ITC Avant Garde" w:hAnsi="ITC Avant Garde" w:cs="Arial"/>
          <w:color w:val="000000"/>
        </w:rPr>
        <w:t>nteproyecto</w:t>
      </w:r>
      <w:r w:rsidRPr="00F82BE7">
        <w:rPr>
          <w:rFonts w:ascii="ITC Avant Garde" w:hAnsi="ITC Avant Garde" w:cs="Arial"/>
          <w:color w:val="000000"/>
        </w:rPr>
        <w:t xml:space="preserve">. No obstante, se señala que </w:t>
      </w:r>
      <w:r w:rsidR="00763660">
        <w:rPr>
          <w:rFonts w:ascii="ITC Avant Garde" w:hAnsi="ITC Avant Garde" w:cs="Arial"/>
          <w:color w:val="000000"/>
        </w:rPr>
        <w:t>los diferentes niveles de la arquitectura</w:t>
      </w:r>
      <w:r w:rsidR="00763660" w:rsidRPr="00F82BE7">
        <w:rPr>
          <w:rFonts w:ascii="ITC Avant Garde" w:hAnsi="ITC Avant Garde" w:cs="Arial"/>
          <w:color w:val="000000"/>
        </w:rPr>
        <w:t xml:space="preserve"> </w:t>
      </w:r>
      <w:r w:rsidRPr="00F82BE7">
        <w:rPr>
          <w:rFonts w:ascii="ITC Avant Garde" w:hAnsi="ITC Avant Garde" w:cs="Arial"/>
          <w:color w:val="000000"/>
        </w:rPr>
        <w:t>de separación contable de</w:t>
      </w:r>
      <w:r w:rsidR="00985862">
        <w:rPr>
          <w:rFonts w:ascii="ITC Avant Garde" w:hAnsi="ITC Avant Garde" w:cs="Arial"/>
          <w:color w:val="000000"/>
        </w:rPr>
        <w:t>finidos en el</w:t>
      </w:r>
      <w:r w:rsidRPr="00F82BE7">
        <w:rPr>
          <w:rFonts w:ascii="ITC Avant Garde" w:hAnsi="ITC Avant Garde" w:cs="Arial"/>
          <w:color w:val="000000"/>
        </w:rPr>
        <w:t xml:space="preserve"> </w:t>
      </w:r>
      <w:r w:rsidR="00774A22" w:rsidRPr="00F82BE7">
        <w:rPr>
          <w:rFonts w:ascii="ITC Avant Garde" w:hAnsi="ITC Avant Garde" w:cs="Arial"/>
          <w:color w:val="000000"/>
        </w:rPr>
        <w:t>A</w:t>
      </w:r>
      <w:r w:rsidR="00985862">
        <w:rPr>
          <w:rFonts w:ascii="ITC Avant Garde" w:hAnsi="ITC Avant Garde" w:cs="Arial"/>
          <w:color w:val="000000"/>
        </w:rPr>
        <w:t>nteproyecto</w:t>
      </w:r>
      <w:r w:rsidR="00774A22" w:rsidRPr="00F82BE7">
        <w:rPr>
          <w:rFonts w:ascii="ITC Avant Garde" w:hAnsi="ITC Avant Garde" w:cs="Arial"/>
          <w:color w:val="000000"/>
        </w:rPr>
        <w:t xml:space="preserve"> </w:t>
      </w:r>
      <w:r w:rsidRPr="00F82BE7">
        <w:rPr>
          <w:rFonts w:ascii="ITC Avant Garde" w:hAnsi="ITC Avant Garde" w:cs="Arial"/>
          <w:color w:val="000000"/>
        </w:rPr>
        <w:t>permitirá</w:t>
      </w:r>
      <w:r w:rsidR="00763660">
        <w:rPr>
          <w:rFonts w:ascii="ITC Avant Garde" w:hAnsi="ITC Avant Garde" w:cs="Arial"/>
          <w:color w:val="000000"/>
        </w:rPr>
        <w:t>n</w:t>
      </w:r>
      <w:r w:rsidRPr="00F82BE7">
        <w:rPr>
          <w:rFonts w:ascii="ITC Avant Garde" w:hAnsi="ITC Avant Garde" w:cs="Arial"/>
          <w:color w:val="000000"/>
        </w:rPr>
        <w:t xml:space="preserve"> al Instituto disponer de información de utilidad para los objetivos planteados, por lo que se considera que se cumple </w:t>
      </w:r>
      <w:r w:rsidR="00763660">
        <w:rPr>
          <w:rFonts w:ascii="ITC Avant Garde" w:hAnsi="ITC Avant Garde" w:cs="Arial"/>
          <w:color w:val="000000"/>
        </w:rPr>
        <w:t>el</w:t>
      </w:r>
      <w:r w:rsidRPr="00F82BE7">
        <w:rPr>
          <w:rFonts w:ascii="ITC Avant Garde" w:hAnsi="ITC Avant Garde" w:cs="Arial"/>
          <w:color w:val="000000"/>
        </w:rPr>
        <w:t xml:space="preserve"> principio</w:t>
      </w:r>
      <w:r w:rsidR="00763660">
        <w:rPr>
          <w:rFonts w:ascii="ITC Avant Garde" w:hAnsi="ITC Avant Garde" w:cs="Arial"/>
          <w:color w:val="000000"/>
        </w:rPr>
        <w:t xml:space="preserve"> propuesto</w:t>
      </w:r>
      <w:r w:rsidRPr="00F82BE7">
        <w:rPr>
          <w:rFonts w:ascii="ITC Avant Garde" w:hAnsi="ITC Avant Garde" w:cs="Arial"/>
          <w:color w:val="000000"/>
        </w:rPr>
        <w:t xml:space="preserve">. </w:t>
      </w:r>
      <w:r w:rsidR="00D865BF" w:rsidRPr="00230D59">
        <w:rPr>
          <w:rFonts w:ascii="ITC Avant Garde" w:hAnsi="ITC Avant Garde"/>
        </w:rPr>
        <w:t xml:space="preserve">Por lo anterior, </w:t>
      </w:r>
      <w:r w:rsidR="000A481B" w:rsidRPr="000A481B">
        <w:rPr>
          <w:rFonts w:ascii="ITC Avant Garde" w:hAnsi="ITC Avant Garde"/>
        </w:rPr>
        <w:t>no se realizaron ajustes al Anteproyecto en los términos señalados por el participante</w:t>
      </w:r>
      <w:r w:rsidR="00D865BF">
        <w:rPr>
          <w:rFonts w:ascii="ITC Avant Garde" w:hAnsi="ITC Avant Garde"/>
        </w:rPr>
        <w:t>.</w:t>
      </w:r>
    </w:p>
    <w:p w:rsidR="00D865BF" w:rsidRDefault="00EA0856"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En relación con el principio de neutralidad, se </w:t>
      </w:r>
      <w:r w:rsidR="004525EB">
        <w:rPr>
          <w:rFonts w:ascii="ITC Avant Garde" w:hAnsi="ITC Avant Garde" w:cs="Arial"/>
          <w:color w:val="000000"/>
        </w:rPr>
        <w:t>consideró</w:t>
      </w:r>
      <w:r w:rsidR="004525EB" w:rsidRPr="00F82BE7">
        <w:rPr>
          <w:rFonts w:ascii="ITC Avant Garde" w:hAnsi="ITC Avant Garde" w:cs="Arial"/>
          <w:color w:val="000000"/>
        </w:rPr>
        <w:t xml:space="preserve"> </w:t>
      </w:r>
      <w:r w:rsidRPr="00F82BE7">
        <w:rPr>
          <w:rFonts w:ascii="ITC Avant Garde" w:hAnsi="ITC Avant Garde" w:cs="Arial"/>
          <w:color w:val="000000"/>
        </w:rPr>
        <w:t xml:space="preserve">adecuada su incorporación en el </w:t>
      </w:r>
      <w:r w:rsidR="00774A22" w:rsidRPr="00F82BE7">
        <w:rPr>
          <w:rFonts w:ascii="ITC Avant Garde" w:hAnsi="ITC Avant Garde" w:cs="Arial"/>
          <w:color w:val="000000"/>
        </w:rPr>
        <w:t>A</w:t>
      </w:r>
      <w:r w:rsidR="00133931">
        <w:rPr>
          <w:rFonts w:ascii="ITC Avant Garde" w:hAnsi="ITC Avant Garde" w:cs="Arial"/>
          <w:color w:val="000000"/>
        </w:rPr>
        <w:t>nteproyecto</w:t>
      </w:r>
      <w:r w:rsidRPr="00F82BE7">
        <w:rPr>
          <w:rFonts w:ascii="ITC Avant Garde" w:hAnsi="ITC Avant Garde" w:cs="Arial"/>
          <w:color w:val="000000"/>
        </w:rPr>
        <w:t>, a fin de que la información de separación contable incorpore los costos de transferencia interna de los sujetos obliga</w:t>
      </w:r>
      <w:r w:rsidR="002879AC" w:rsidRPr="00F82BE7">
        <w:rPr>
          <w:rFonts w:ascii="ITC Avant Garde" w:hAnsi="ITC Avant Garde" w:cs="Arial"/>
          <w:color w:val="000000"/>
        </w:rPr>
        <w:t>d</w:t>
      </w:r>
      <w:r w:rsidRPr="00F82BE7">
        <w:rPr>
          <w:rFonts w:ascii="ITC Avant Garde" w:hAnsi="ITC Avant Garde" w:cs="Arial"/>
          <w:color w:val="000000"/>
        </w:rPr>
        <w:t>os en cuentas separadas.</w:t>
      </w:r>
      <w:r w:rsidR="00D865BF" w:rsidRPr="00D865BF">
        <w:rPr>
          <w:rFonts w:ascii="ITC Avant Garde" w:hAnsi="ITC Avant Garde"/>
        </w:rPr>
        <w:t xml:space="preserve"> </w:t>
      </w:r>
      <w:r w:rsidR="00D865BF">
        <w:rPr>
          <w:rFonts w:ascii="ITC Avant Garde" w:hAnsi="ITC Avant Garde"/>
        </w:rPr>
        <w:t xml:space="preserve">Por lo anterior, </w:t>
      </w:r>
      <w:r w:rsidR="00C1127E">
        <w:rPr>
          <w:rFonts w:ascii="ITC Avant Garde" w:hAnsi="ITC Avant Garde"/>
        </w:rPr>
        <w:t xml:space="preserve">en </w:t>
      </w:r>
      <w:r w:rsidR="00D865BF">
        <w:rPr>
          <w:rFonts w:ascii="ITC Avant Garde" w:hAnsi="ITC Avant Garde"/>
        </w:rPr>
        <w:t>el Acuerdo</w:t>
      </w:r>
      <w:r w:rsidR="00D865BF" w:rsidRPr="00230D59">
        <w:rPr>
          <w:rFonts w:ascii="ITC Avant Garde" w:hAnsi="ITC Avant Garde"/>
        </w:rPr>
        <w:t xml:space="preserve"> </w:t>
      </w:r>
      <w:r w:rsidR="00C1127E">
        <w:rPr>
          <w:rFonts w:ascii="ITC Avant Garde" w:hAnsi="ITC Avant Garde"/>
        </w:rPr>
        <w:t>se incluye el</w:t>
      </w:r>
      <w:r w:rsidR="00D865BF">
        <w:rPr>
          <w:rFonts w:ascii="ITC Avant Garde" w:hAnsi="ITC Avant Garde"/>
        </w:rPr>
        <w:t xml:space="preserve"> principio de neutralidad</w:t>
      </w:r>
      <w:r w:rsidR="00647C26">
        <w:rPr>
          <w:rFonts w:ascii="ITC Avant Garde" w:hAnsi="ITC Avant Garde"/>
        </w:rPr>
        <w:t xml:space="preserve"> </w:t>
      </w:r>
      <w:r w:rsidR="00647C26">
        <w:rPr>
          <w:rFonts w:ascii="ITC Avant Garde" w:hAnsi="ITC Avant Garde" w:cs="Arial"/>
          <w:color w:val="000000"/>
        </w:rPr>
        <w:t xml:space="preserve">en </w:t>
      </w:r>
      <w:r w:rsidR="00647C26" w:rsidRPr="00275D90">
        <w:rPr>
          <w:rFonts w:ascii="ITC Avant Garde" w:hAnsi="ITC Avant Garde" w:cs="Arial"/>
          <w:color w:val="000000"/>
        </w:rPr>
        <w:t>la</w:t>
      </w:r>
      <w:r w:rsidR="00647C26">
        <w:rPr>
          <w:rFonts w:ascii="ITC Avant Garde" w:hAnsi="ITC Avant Garde"/>
        </w:rPr>
        <w:t xml:space="preserve"> disposición CUARTA</w:t>
      </w:r>
      <w:r w:rsidR="00C1127E">
        <w:rPr>
          <w:rFonts w:ascii="ITC Avant Garde" w:hAnsi="ITC Avant Garde"/>
        </w:rPr>
        <w:t>, en los siguientes términos</w:t>
      </w:r>
      <w:r w:rsidR="00647C26">
        <w:rPr>
          <w:rFonts w:ascii="ITC Avant Garde" w:hAnsi="ITC Avant Garde" w:cs="Arial"/>
          <w:color w:val="000000"/>
        </w:rPr>
        <w:t>:</w:t>
      </w:r>
      <w:r w:rsidR="00867161" w:rsidRPr="00F82BE7">
        <w:rPr>
          <w:rFonts w:ascii="ITC Avant Garde" w:hAnsi="ITC Avant Garde" w:cs="Arial"/>
          <w:color w:val="000000"/>
        </w:rPr>
        <w:t xml:space="preserve"> </w:t>
      </w:r>
    </w:p>
    <w:p w:rsidR="00647C26" w:rsidRPr="005308AF" w:rsidRDefault="00647C26" w:rsidP="0033377C">
      <w:pPr>
        <w:pStyle w:val="Cita"/>
        <w:spacing w:line="276" w:lineRule="auto"/>
        <w:jc w:val="both"/>
        <w:rPr>
          <w:rFonts w:ascii="ITC Avant Garde" w:hAnsi="ITC Avant Garde"/>
          <w:color w:val="auto"/>
          <w:sz w:val="20"/>
        </w:rPr>
      </w:pPr>
      <w:r w:rsidRPr="005308AF">
        <w:rPr>
          <w:rFonts w:ascii="ITC Avant Garde" w:hAnsi="ITC Avant Garde"/>
          <w:color w:val="auto"/>
          <w:sz w:val="20"/>
        </w:rPr>
        <w:t>“</w:t>
      </w:r>
      <w:r w:rsidRPr="005308AF">
        <w:rPr>
          <w:rFonts w:ascii="ITC Avant Garde" w:hAnsi="ITC Avant Garde"/>
          <w:b/>
          <w:color w:val="auto"/>
          <w:sz w:val="20"/>
        </w:rPr>
        <w:t>Neutralidad.</w:t>
      </w:r>
      <w:r w:rsidR="00A34D5A">
        <w:rPr>
          <w:rFonts w:ascii="ITC Avant Garde" w:hAnsi="ITC Avant Garde"/>
          <w:color w:val="auto"/>
          <w:sz w:val="20"/>
        </w:rPr>
        <w:t xml:space="preserve"> </w:t>
      </w:r>
      <w:r w:rsidRPr="005308AF">
        <w:rPr>
          <w:rFonts w:ascii="ITC Avant Garde" w:hAnsi="ITC Avant Garde"/>
          <w:color w:val="auto"/>
          <w:sz w:val="20"/>
        </w:rPr>
        <w:t>La información de separación contable debe señalar los costos de transferencia</w:t>
      </w:r>
      <w:r w:rsidR="00A34D5A">
        <w:rPr>
          <w:rFonts w:ascii="ITC Avant Garde" w:hAnsi="ITC Avant Garde"/>
          <w:color w:val="auto"/>
          <w:sz w:val="20"/>
        </w:rPr>
        <w:t xml:space="preserve"> </w:t>
      </w:r>
      <w:r w:rsidRPr="005308AF">
        <w:rPr>
          <w:rFonts w:ascii="ITC Avant Garde" w:hAnsi="ITC Avant Garde"/>
          <w:color w:val="auto"/>
          <w:sz w:val="20"/>
        </w:rPr>
        <w:t>interna del concesionario y/o autorizado en cuentas separadas, a fin de distinguir cuando el</w:t>
      </w:r>
      <w:r w:rsidR="00A34D5A">
        <w:rPr>
          <w:rFonts w:ascii="ITC Avant Garde" w:hAnsi="ITC Avant Garde"/>
          <w:color w:val="auto"/>
          <w:sz w:val="20"/>
        </w:rPr>
        <w:t xml:space="preserve"> </w:t>
      </w:r>
      <w:r w:rsidRPr="005308AF">
        <w:rPr>
          <w:rFonts w:ascii="ITC Avant Garde" w:hAnsi="ITC Avant Garde"/>
          <w:color w:val="auto"/>
          <w:sz w:val="20"/>
        </w:rPr>
        <w:t>concesionario y/o autorizado presta servicios a otras empresas y los márgenes obtenidos cuando la</w:t>
      </w:r>
      <w:r w:rsidR="00A34D5A">
        <w:rPr>
          <w:rFonts w:ascii="ITC Avant Garde" w:hAnsi="ITC Avant Garde"/>
          <w:color w:val="auto"/>
          <w:sz w:val="20"/>
        </w:rPr>
        <w:t xml:space="preserve"> </w:t>
      </w:r>
      <w:r w:rsidRPr="005308AF">
        <w:rPr>
          <w:rFonts w:ascii="ITC Avant Garde" w:hAnsi="ITC Avant Garde"/>
          <w:color w:val="auto"/>
          <w:sz w:val="20"/>
        </w:rPr>
        <w:t>prestación de servicios se realice entre empresas del mismo grupo;”</w:t>
      </w:r>
    </w:p>
    <w:p w:rsidR="00D865BF" w:rsidRDefault="008259EA" w:rsidP="0033377C">
      <w:pPr>
        <w:spacing w:line="276" w:lineRule="auto"/>
        <w:jc w:val="both"/>
        <w:rPr>
          <w:rFonts w:ascii="ITC Avant Garde" w:hAnsi="ITC Avant Garde" w:cs="Arial"/>
          <w:color w:val="000000"/>
        </w:rPr>
      </w:pPr>
      <w:r>
        <w:rPr>
          <w:rFonts w:ascii="ITC Avant Garde" w:hAnsi="ITC Avant Garde" w:cs="Arial"/>
          <w:color w:val="000000"/>
        </w:rPr>
        <w:lastRenderedPageBreak/>
        <w:t>Sobre</w:t>
      </w:r>
      <w:r w:rsidR="00867161" w:rsidRPr="00F82BE7">
        <w:rPr>
          <w:rFonts w:ascii="ITC Avant Garde" w:hAnsi="ITC Avant Garde" w:cs="Arial"/>
          <w:color w:val="000000"/>
        </w:rPr>
        <w:t xml:space="preserve"> el principio de auditabilidad, se señala que su finalidad es que la información de los sujetos obligados esté auditada, </w:t>
      </w:r>
      <w:r w:rsidR="007D3C42" w:rsidRPr="00F82BE7">
        <w:rPr>
          <w:rFonts w:ascii="ITC Avant Garde" w:hAnsi="ITC Avant Garde" w:cs="Arial"/>
          <w:color w:val="000000"/>
        </w:rPr>
        <w:t>además de que ya se prevé que la información pueda ser rastreada y conciliada con las fuentes empleadas</w:t>
      </w:r>
      <w:r w:rsidR="00647C26" w:rsidRPr="00F82BE7">
        <w:rPr>
          <w:rFonts w:ascii="ITC Avant Garde" w:hAnsi="ITC Avant Garde" w:cs="Arial"/>
          <w:color w:val="000000"/>
        </w:rPr>
        <w:t>.</w:t>
      </w:r>
      <w:r w:rsidR="00647C26">
        <w:rPr>
          <w:rFonts w:ascii="ITC Avant Garde" w:hAnsi="ITC Avant Garde" w:cs="Arial"/>
          <w:color w:val="000000"/>
        </w:rPr>
        <w:t xml:space="preserve"> </w:t>
      </w:r>
      <w:r w:rsidR="00647C26">
        <w:rPr>
          <w:rFonts w:ascii="ITC Avant Garde" w:hAnsi="ITC Avant Garde"/>
        </w:rPr>
        <w:t>Por</w:t>
      </w:r>
      <w:r w:rsidR="00D865BF">
        <w:rPr>
          <w:rFonts w:ascii="ITC Avant Garde" w:hAnsi="ITC Avant Garde"/>
        </w:rPr>
        <w:t xml:space="preserve"> lo anterior, </w:t>
      </w:r>
      <w:r w:rsidR="00B82B48" w:rsidRPr="00B82B48">
        <w:rPr>
          <w:rFonts w:ascii="ITC Avant Garde" w:hAnsi="ITC Avant Garde"/>
        </w:rPr>
        <w:t>no se realizaron ajustes al Anteproyecto en los términos señalados por el participante</w:t>
      </w:r>
      <w:r w:rsidR="00C1127E">
        <w:rPr>
          <w:rFonts w:ascii="ITC Avant Garde" w:hAnsi="ITC Avant Garde"/>
        </w:rPr>
        <w:t>.</w:t>
      </w:r>
    </w:p>
    <w:p w:rsidR="00D55B2E" w:rsidRPr="00F82BE7" w:rsidRDefault="00D55B2E" w:rsidP="0033377C">
      <w:pPr>
        <w:pStyle w:val="Prrafodelista"/>
        <w:numPr>
          <w:ilvl w:val="0"/>
          <w:numId w:val="4"/>
        </w:numPr>
        <w:spacing w:line="276" w:lineRule="auto"/>
        <w:jc w:val="both"/>
        <w:rPr>
          <w:rFonts w:ascii="ITC Avant Garde" w:hAnsi="ITC Avant Garde" w:cs="Arial"/>
          <w:b/>
          <w:color w:val="000000"/>
        </w:rPr>
      </w:pPr>
      <w:r w:rsidRPr="00F82BE7">
        <w:rPr>
          <w:rFonts w:ascii="ITC Avant Garde" w:hAnsi="ITC Avant Garde" w:cs="Arial"/>
          <w:b/>
          <w:color w:val="000000"/>
        </w:rPr>
        <w:t xml:space="preserve">Mayor detalle en </w:t>
      </w:r>
      <w:r w:rsidR="00FC0E55">
        <w:rPr>
          <w:rFonts w:ascii="ITC Avant Garde" w:hAnsi="ITC Avant Garde" w:cs="Arial"/>
          <w:b/>
          <w:color w:val="000000"/>
        </w:rPr>
        <w:t>la</w:t>
      </w:r>
      <w:r w:rsidRPr="00F82BE7">
        <w:rPr>
          <w:rFonts w:ascii="ITC Avant Garde" w:hAnsi="ITC Avant Garde" w:cs="Arial"/>
          <w:b/>
          <w:color w:val="000000"/>
        </w:rPr>
        <w:t xml:space="preserve"> atribución de costos, cargos de transferencia, estudios de soporte a la separación contable, Anexo 5</w:t>
      </w:r>
      <w:r w:rsidR="00C90132">
        <w:rPr>
          <w:rFonts w:ascii="ITC Avant Garde" w:hAnsi="ITC Avant Garde" w:cs="Arial"/>
          <w:b/>
          <w:color w:val="000000"/>
        </w:rPr>
        <w:t xml:space="preserve"> y</w:t>
      </w:r>
      <w:r w:rsidRPr="00F82BE7">
        <w:rPr>
          <w:rFonts w:ascii="ITC Avant Garde" w:hAnsi="ITC Avant Garde" w:cs="Arial"/>
          <w:b/>
          <w:color w:val="000000"/>
        </w:rPr>
        <w:t xml:space="preserve"> Anexo 7</w:t>
      </w:r>
      <w:r w:rsidR="002D342A">
        <w:rPr>
          <w:rFonts w:ascii="ITC Avant Garde" w:hAnsi="ITC Avant Garde" w:cs="Arial"/>
          <w:b/>
          <w:color w:val="000000"/>
        </w:rPr>
        <w:t xml:space="preserve"> del Anteproyecto</w:t>
      </w:r>
    </w:p>
    <w:p w:rsidR="00D55B2E" w:rsidRPr="00F82BE7" w:rsidRDefault="00D55B2E" w:rsidP="0033377C">
      <w:pPr>
        <w:spacing w:line="276" w:lineRule="auto"/>
        <w:jc w:val="both"/>
        <w:rPr>
          <w:rFonts w:ascii="ITC Avant Garde" w:hAnsi="ITC Avant Garde" w:cs="Arial"/>
          <w:i/>
          <w:color w:val="000000"/>
        </w:rPr>
      </w:pPr>
      <w:r w:rsidRPr="00F82BE7">
        <w:rPr>
          <w:rFonts w:ascii="ITC Avant Garde" w:hAnsi="ITC Avant Garde" w:cs="Arial"/>
          <w:i/>
          <w:color w:val="000000"/>
        </w:rPr>
        <w:t>Comentarios</w:t>
      </w:r>
    </w:p>
    <w:p w:rsidR="00D55B2E" w:rsidRPr="00F82BE7" w:rsidRDefault="00E5359E" w:rsidP="0033377C">
      <w:pPr>
        <w:spacing w:line="276" w:lineRule="auto"/>
        <w:jc w:val="both"/>
        <w:rPr>
          <w:rFonts w:ascii="ITC Avant Garde" w:hAnsi="ITC Avant Garde" w:cs="Arial"/>
          <w:color w:val="000000"/>
        </w:rPr>
      </w:pPr>
      <w:r>
        <w:rPr>
          <w:rFonts w:ascii="ITC Avant Garde" w:hAnsi="ITC Avant Garde" w:cs="Arial"/>
          <w:color w:val="000000"/>
        </w:rPr>
        <w:t>Algunos</w:t>
      </w:r>
      <w:r w:rsidR="00D55B2E" w:rsidRPr="00F82BE7">
        <w:rPr>
          <w:rFonts w:ascii="ITC Avant Garde" w:hAnsi="ITC Avant Garde" w:cs="Arial"/>
          <w:color w:val="000000"/>
        </w:rPr>
        <w:t xml:space="preserve"> participantes (AT&amp;T, MEGA CABLE) recomendaron establecer de manera más específica y detallada qué partidas y conceptos de costos son susceptibles de considerarse como costos directos, indirectos y comunes. Lo anterior, a fin de brindar mayor claridad y facilidad para el ejercicio de separación contable a los AEP y agentes con poder sustancial, y limitar la posibilidad de incurrir en interpretaciones erróneas sobre la naturaleza de ciertos costos.</w:t>
      </w:r>
    </w:p>
    <w:p w:rsidR="00D55B2E" w:rsidRPr="00F82BE7" w:rsidRDefault="00E81863" w:rsidP="0033377C">
      <w:pPr>
        <w:spacing w:line="276" w:lineRule="auto"/>
        <w:jc w:val="both"/>
        <w:rPr>
          <w:rFonts w:ascii="ITC Avant Garde" w:hAnsi="ITC Avant Garde" w:cs="Arial"/>
          <w:color w:val="000000"/>
        </w:rPr>
      </w:pPr>
      <w:r w:rsidRPr="00F82BE7">
        <w:rPr>
          <w:rFonts w:ascii="ITC Avant Garde" w:hAnsi="ITC Avant Garde" w:cs="Arial"/>
          <w:color w:val="000000"/>
        </w:rPr>
        <w:t>Además,</w:t>
      </w:r>
      <w:r w:rsidR="00D55B2E" w:rsidRPr="00F82BE7">
        <w:rPr>
          <w:rFonts w:ascii="ITC Avant Garde" w:hAnsi="ITC Avant Garde" w:cs="Arial"/>
          <w:color w:val="000000"/>
        </w:rPr>
        <w:t xml:space="preserve"> consideraron que se requiere de mucha mayor precisión y detalle sobre los cargos de transferencia, debido al grado de integración vertical del AEP del sector de telecomunicaciones y al impacto que dicha situación tiene en el proceso de competencia. </w:t>
      </w:r>
      <w:r w:rsidRPr="00F82BE7">
        <w:rPr>
          <w:rFonts w:ascii="ITC Avant Garde" w:hAnsi="ITC Avant Garde" w:cs="Arial"/>
          <w:color w:val="000000"/>
        </w:rPr>
        <w:t>Comentaron que r</w:t>
      </w:r>
      <w:r w:rsidR="00D55B2E" w:rsidRPr="00F82BE7">
        <w:rPr>
          <w:rFonts w:ascii="ITC Avant Garde" w:hAnsi="ITC Avant Garde" w:cs="Arial"/>
          <w:color w:val="000000"/>
        </w:rPr>
        <w:t>esulta esencial definir y evaluar de manera precisa y rigurosa los cargos de transferencia o imputaciones de costos y márgenes que se haga a sí mismo el AEP.</w:t>
      </w:r>
    </w:p>
    <w:p w:rsidR="00D55B2E" w:rsidRPr="00F82BE7" w:rsidRDefault="00D55B2E" w:rsidP="0033377C">
      <w:pPr>
        <w:spacing w:line="276" w:lineRule="auto"/>
        <w:jc w:val="both"/>
        <w:rPr>
          <w:rFonts w:ascii="ITC Avant Garde" w:hAnsi="ITC Avant Garde" w:cs="Arial"/>
          <w:color w:val="000000"/>
        </w:rPr>
      </w:pPr>
      <w:r w:rsidRPr="00F82BE7">
        <w:rPr>
          <w:rFonts w:ascii="ITC Avant Garde" w:hAnsi="ITC Avant Garde" w:cs="Arial"/>
          <w:color w:val="000000"/>
        </w:rPr>
        <w:t>También expresaron que se requiere un mayor grado de detalle y especificación de los criterios para presentar los estudios de soporte a la separación contable.</w:t>
      </w:r>
    </w:p>
    <w:p w:rsidR="00520DBD" w:rsidRPr="00F82BE7" w:rsidRDefault="00520DBD" w:rsidP="0033377C">
      <w:pPr>
        <w:spacing w:line="276" w:lineRule="auto"/>
        <w:jc w:val="both"/>
        <w:rPr>
          <w:rFonts w:ascii="ITC Avant Garde" w:hAnsi="ITC Avant Garde" w:cs="Arial"/>
          <w:color w:val="000000"/>
        </w:rPr>
      </w:pPr>
      <w:r>
        <w:rPr>
          <w:rFonts w:ascii="ITC Avant Garde" w:hAnsi="ITC Avant Garde" w:cs="Arial"/>
          <w:color w:val="000000"/>
        </w:rPr>
        <w:t>Finalmente,</w:t>
      </w:r>
      <w:r w:rsidRPr="00F82BE7">
        <w:rPr>
          <w:rFonts w:ascii="ITC Avant Garde" w:hAnsi="ITC Avant Garde" w:cs="Arial"/>
          <w:color w:val="000000"/>
        </w:rPr>
        <w:t xml:space="preserve"> señalaron que el Anexo 7 carece del nivel de especificación necesario, además de que establece libertad y flexibilidad en las imputaciones que podrían ser peligrosas para la idoneidad de la información presentada.</w:t>
      </w:r>
    </w:p>
    <w:p w:rsidR="00D55B2E" w:rsidRPr="00F82BE7" w:rsidRDefault="00D55B2E"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Otro participante (AT&amp;T) consideró que el Anexo 5 del </w:t>
      </w:r>
      <w:r w:rsidR="00F8483A">
        <w:rPr>
          <w:rFonts w:ascii="ITC Avant Garde" w:hAnsi="ITC Avant Garde" w:cs="Arial"/>
          <w:color w:val="000000"/>
        </w:rPr>
        <w:t>a</w:t>
      </w:r>
      <w:r w:rsidRPr="00F82BE7">
        <w:rPr>
          <w:rFonts w:ascii="ITC Avant Garde" w:hAnsi="ITC Avant Garde" w:cs="Arial"/>
          <w:color w:val="000000"/>
        </w:rPr>
        <w:t>nteproyecto requiere mayor detalle sobre las características de presentación, candados, revisión de errores, responsables</w:t>
      </w:r>
      <w:r w:rsidR="00C86DB8">
        <w:rPr>
          <w:rFonts w:ascii="ITC Avant Garde" w:hAnsi="ITC Avant Garde" w:cs="Arial"/>
          <w:color w:val="000000"/>
        </w:rPr>
        <w:t xml:space="preserve"> y</w:t>
      </w:r>
      <w:r w:rsidRPr="00F82BE7">
        <w:rPr>
          <w:rFonts w:ascii="ITC Avant Garde" w:hAnsi="ITC Avant Garde" w:cs="Arial"/>
          <w:color w:val="000000"/>
        </w:rPr>
        <w:t xml:space="preserve"> calendarización de entrega, </w:t>
      </w:r>
      <w:r w:rsidR="00C86DB8">
        <w:rPr>
          <w:rFonts w:ascii="ITC Avant Garde" w:hAnsi="ITC Avant Garde" w:cs="Arial"/>
          <w:color w:val="000000"/>
        </w:rPr>
        <w:t>entre otros</w:t>
      </w:r>
      <w:r w:rsidRPr="00F82BE7">
        <w:rPr>
          <w:rFonts w:ascii="ITC Avant Garde" w:hAnsi="ITC Avant Garde" w:cs="Arial"/>
          <w:color w:val="000000"/>
        </w:rPr>
        <w:t>, que deben tener los reportes, formatos, formularios, guías y matrices para presentar la separación contable.</w:t>
      </w:r>
    </w:p>
    <w:p w:rsidR="00D55B2E" w:rsidRPr="00F82BE7" w:rsidRDefault="00F96956" w:rsidP="0033377C">
      <w:pPr>
        <w:spacing w:line="276" w:lineRule="auto"/>
        <w:jc w:val="both"/>
        <w:rPr>
          <w:rFonts w:ascii="ITC Avant Garde" w:hAnsi="ITC Avant Garde" w:cs="Arial"/>
          <w:i/>
          <w:color w:val="000000"/>
        </w:rPr>
      </w:pPr>
      <w:r>
        <w:rPr>
          <w:rFonts w:ascii="ITC Avant Garde" w:hAnsi="ITC Avant Garde" w:cs="Arial"/>
          <w:i/>
          <w:color w:val="000000"/>
        </w:rPr>
        <w:t>Consideraciones</w:t>
      </w:r>
      <w:r w:rsidRPr="00F82BE7" w:rsidDel="00F96956">
        <w:rPr>
          <w:rFonts w:ascii="ITC Avant Garde" w:hAnsi="ITC Avant Garde" w:cs="Arial"/>
          <w:i/>
          <w:color w:val="000000"/>
        </w:rPr>
        <w:t xml:space="preserve"> </w:t>
      </w:r>
      <w:r w:rsidR="00D55B2E" w:rsidRPr="00F82BE7">
        <w:rPr>
          <w:rFonts w:ascii="ITC Avant Garde" w:hAnsi="ITC Avant Garde" w:cs="Arial"/>
          <w:i/>
          <w:color w:val="000000"/>
        </w:rPr>
        <w:t>del Instituto</w:t>
      </w:r>
    </w:p>
    <w:p w:rsidR="00D55B2E" w:rsidRDefault="00D55B2E" w:rsidP="0033377C">
      <w:pPr>
        <w:spacing w:line="276" w:lineRule="auto"/>
        <w:jc w:val="both"/>
        <w:rPr>
          <w:rFonts w:ascii="ITC Avant Garde" w:hAnsi="ITC Avant Garde"/>
        </w:rPr>
      </w:pPr>
      <w:r w:rsidRPr="00F82BE7">
        <w:rPr>
          <w:rFonts w:ascii="ITC Avant Garde" w:hAnsi="ITC Avant Garde"/>
        </w:rPr>
        <w:t xml:space="preserve">Sobre </w:t>
      </w:r>
      <w:r w:rsidR="003E1C5A">
        <w:rPr>
          <w:rFonts w:ascii="ITC Avant Garde" w:hAnsi="ITC Avant Garde"/>
        </w:rPr>
        <w:t>los</w:t>
      </w:r>
      <w:r w:rsidRPr="00F82BE7">
        <w:rPr>
          <w:rFonts w:ascii="ITC Avant Garde" w:hAnsi="ITC Avant Garde"/>
        </w:rPr>
        <w:t xml:space="preserve"> comentario</w:t>
      </w:r>
      <w:r w:rsidR="003E1C5A">
        <w:rPr>
          <w:rFonts w:ascii="ITC Avant Garde" w:hAnsi="ITC Avant Garde"/>
        </w:rPr>
        <w:t>s</w:t>
      </w:r>
      <w:r w:rsidRPr="00F82BE7">
        <w:rPr>
          <w:rFonts w:ascii="ITC Avant Garde" w:hAnsi="ITC Avant Garde"/>
        </w:rPr>
        <w:t xml:space="preserve"> </w:t>
      </w:r>
      <w:r w:rsidR="00FB076E">
        <w:rPr>
          <w:rFonts w:ascii="ITC Avant Garde" w:hAnsi="ITC Avant Garde"/>
        </w:rPr>
        <w:t>relativos a</w:t>
      </w:r>
      <w:r w:rsidR="00FB076E" w:rsidRPr="00F82BE7">
        <w:rPr>
          <w:rFonts w:ascii="ITC Avant Garde" w:hAnsi="ITC Avant Garde"/>
        </w:rPr>
        <w:t xml:space="preserve"> </w:t>
      </w:r>
      <w:r w:rsidRPr="00F82BE7">
        <w:rPr>
          <w:rFonts w:ascii="ITC Avant Garde" w:hAnsi="ITC Avant Garde"/>
        </w:rPr>
        <w:t xml:space="preserve">que es necesario un mayor detalle </w:t>
      </w:r>
      <w:r w:rsidR="00F60F74" w:rsidRPr="00F82BE7">
        <w:rPr>
          <w:rFonts w:ascii="ITC Avant Garde" w:hAnsi="ITC Avant Garde" w:cs="Arial"/>
          <w:color w:val="000000"/>
        </w:rPr>
        <w:t xml:space="preserve">sobre </w:t>
      </w:r>
      <w:r w:rsidRPr="00F82BE7">
        <w:rPr>
          <w:rFonts w:ascii="ITC Avant Garde" w:hAnsi="ITC Avant Garde"/>
        </w:rPr>
        <w:t>la atribución de costos, cargos de trasferencia, estudios de soporte a la separación contable, Anexo 5</w:t>
      </w:r>
      <w:r w:rsidR="00653999">
        <w:rPr>
          <w:rFonts w:ascii="ITC Avant Garde" w:hAnsi="ITC Avant Garde"/>
        </w:rPr>
        <w:t xml:space="preserve"> y</w:t>
      </w:r>
      <w:r w:rsidRPr="00F82BE7">
        <w:rPr>
          <w:rFonts w:ascii="ITC Avant Garde" w:hAnsi="ITC Avant Garde"/>
        </w:rPr>
        <w:t xml:space="preserve"> Anexo 7</w:t>
      </w:r>
      <w:r w:rsidR="00FB076E">
        <w:rPr>
          <w:rFonts w:ascii="ITC Avant Garde" w:hAnsi="ITC Avant Garde"/>
        </w:rPr>
        <w:t xml:space="preserve"> del Anteproyecto</w:t>
      </w:r>
      <w:r w:rsidRPr="00F82BE7">
        <w:rPr>
          <w:rFonts w:ascii="ITC Avant Garde" w:hAnsi="ITC Avant Garde"/>
        </w:rPr>
        <w:t xml:space="preserve">, se señala que </w:t>
      </w:r>
      <w:r w:rsidR="00E81863" w:rsidRPr="00F82BE7">
        <w:rPr>
          <w:rFonts w:ascii="ITC Avant Garde" w:hAnsi="ITC Avant Garde"/>
        </w:rPr>
        <w:t xml:space="preserve">el </w:t>
      </w:r>
      <w:r w:rsidR="00F60F74">
        <w:rPr>
          <w:rFonts w:ascii="ITC Avant Garde" w:hAnsi="ITC Avant Garde"/>
        </w:rPr>
        <w:t>nivel de descripción y detalle de los rubros anteriores</w:t>
      </w:r>
      <w:r w:rsidRPr="00F82BE7">
        <w:rPr>
          <w:rFonts w:ascii="ITC Avant Garde" w:hAnsi="ITC Avant Garde"/>
        </w:rPr>
        <w:t xml:space="preserve"> </w:t>
      </w:r>
      <w:r w:rsidR="00F60F74">
        <w:rPr>
          <w:rFonts w:ascii="ITC Avant Garde" w:hAnsi="ITC Avant Garde"/>
        </w:rPr>
        <w:t>se considera adecuado, toda vez que la función</w:t>
      </w:r>
      <w:r w:rsidRPr="00F82BE7">
        <w:rPr>
          <w:rFonts w:ascii="ITC Avant Garde" w:hAnsi="ITC Avant Garde"/>
        </w:rPr>
        <w:t xml:space="preserve"> del regulador en el diseño de la separación contable debe orientarse a </w:t>
      </w:r>
      <w:r w:rsidRPr="00F82BE7">
        <w:rPr>
          <w:rFonts w:ascii="ITC Avant Garde" w:hAnsi="ITC Avant Garde"/>
        </w:rPr>
        <w:lastRenderedPageBreak/>
        <w:t>lineamientos</w:t>
      </w:r>
      <w:r w:rsidR="00F60F74">
        <w:rPr>
          <w:rFonts w:ascii="ITC Avant Garde" w:hAnsi="ITC Avant Garde"/>
        </w:rPr>
        <w:t>, criterios, metodologías, parámetros</w:t>
      </w:r>
      <w:r w:rsidRPr="00F82BE7">
        <w:rPr>
          <w:rFonts w:ascii="ITC Avant Garde" w:hAnsi="ITC Avant Garde"/>
        </w:rPr>
        <w:t xml:space="preserve"> y principios generales</w:t>
      </w:r>
      <w:r w:rsidR="00E81863" w:rsidRPr="00F82BE7">
        <w:rPr>
          <w:rFonts w:ascii="ITC Avant Garde" w:hAnsi="ITC Avant Garde"/>
        </w:rPr>
        <w:t xml:space="preserve"> a fin de otorgar flexibilidad en la implementación de la separación contable a los sujetos obligados y con ello reducir los costos regulatorios</w:t>
      </w:r>
      <w:r w:rsidRPr="00F82BE7">
        <w:rPr>
          <w:rFonts w:ascii="ITC Avant Garde" w:hAnsi="ITC Avant Garde"/>
        </w:rPr>
        <w:t xml:space="preserve">, lo cual es consistente con la práctica internacional. </w:t>
      </w:r>
      <w:r w:rsidR="00653999">
        <w:rPr>
          <w:rFonts w:ascii="ITC Avant Garde" w:hAnsi="ITC Avant Garde"/>
        </w:rPr>
        <w:t xml:space="preserve">Además, la práctica internacional sugiere que la metodología de separación contable conlleva un proceso de perfeccionamiento en el tiempo, a través de las revisiones periódicas que se realicen de la información entregada. </w:t>
      </w:r>
      <w:r w:rsidR="00756C1B">
        <w:rPr>
          <w:rFonts w:ascii="ITC Avant Garde" w:hAnsi="ITC Avant Garde"/>
        </w:rPr>
        <w:t xml:space="preserve">Adicionalmente, se advierte que hay una amplia revisión y retroalimentación de la implementación de la separación contable, a través de la incorporación de los programas de implementación, la posibilidad de modificar el programa de implementación y las revisiones periódicas de la información de separación contable entregada. </w:t>
      </w:r>
      <w:r w:rsidR="005D3D73" w:rsidRPr="00F82BE7" w:rsidDel="00A75424">
        <w:rPr>
          <w:rFonts w:ascii="ITC Avant Garde" w:hAnsi="ITC Avant Garde"/>
        </w:rPr>
        <w:t xml:space="preserve">En virtud de lo anterior, </w:t>
      </w:r>
      <w:r w:rsidR="00FB076E" w:rsidRPr="00FB076E">
        <w:rPr>
          <w:rFonts w:ascii="ITC Avant Garde" w:hAnsi="ITC Avant Garde"/>
        </w:rPr>
        <w:t xml:space="preserve">no se realizaron ajustes al Anteproyecto en los términos señalados por </w:t>
      </w:r>
      <w:r w:rsidR="00FB076E">
        <w:rPr>
          <w:rFonts w:ascii="ITC Avant Garde" w:hAnsi="ITC Avant Garde"/>
        </w:rPr>
        <w:t>los</w:t>
      </w:r>
      <w:r w:rsidR="00FB076E" w:rsidRPr="00FB076E">
        <w:rPr>
          <w:rFonts w:ascii="ITC Avant Garde" w:hAnsi="ITC Avant Garde"/>
        </w:rPr>
        <w:t xml:space="preserve"> participante</w:t>
      </w:r>
      <w:r w:rsidR="00FB076E">
        <w:rPr>
          <w:rFonts w:ascii="ITC Avant Garde" w:hAnsi="ITC Avant Garde"/>
        </w:rPr>
        <w:t>s</w:t>
      </w:r>
      <w:r w:rsidR="005D3D73" w:rsidRPr="00F82BE7" w:rsidDel="00A75424">
        <w:rPr>
          <w:rFonts w:ascii="ITC Avant Garde" w:hAnsi="ITC Avant Garde"/>
        </w:rPr>
        <w:t>.</w:t>
      </w:r>
    </w:p>
    <w:p w:rsidR="00D55B2E" w:rsidRPr="00F82BE7" w:rsidRDefault="00D55B2E" w:rsidP="0033377C">
      <w:pPr>
        <w:pStyle w:val="Prrafodelista"/>
        <w:numPr>
          <w:ilvl w:val="0"/>
          <w:numId w:val="4"/>
        </w:numPr>
        <w:spacing w:line="276" w:lineRule="auto"/>
        <w:jc w:val="both"/>
        <w:rPr>
          <w:rFonts w:ascii="ITC Avant Garde" w:hAnsi="ITC Avant Garde" w:cs="Arial"/>
          <w:b/>
          <w:color w:val="000000"/>
        </w:rPr>
      </w:pPr>
      <w:r w:rsidRPr="00F82BE7">
        <w:rPr>
          <w:rFonts w:ascii="ITC Avant Garde" w:hAnsi="ITC Avant Garde" w:cs="Arial"/>
          <w:b/>
          <w:color w:val="000000"/>
        </w:rPr>
        <w:t>Descuentos por volumen</w:t>
      </w:r>
    </w:p>
    <w:p w:rsidR="00D55B2E" w:rsidRPr="00F82BE7" w:rsidRDefault="00D55B2E" w:rsidP="0033377C">
      <w:pPr>
        <w:spacing w:line="276" w:lineRule="auto"/>
        <w:jc w:val="both"/>
        <w:rPr>
          <w:rFonts w:ascii="ITC Avant Garde" w:hAnsi="ITC Avant Garde" w:cs="Arial"/>
          <w:i/>
          <w:color w:val="000000"/>
        </w:rPr>
      </w:pPr>
      <w:r w:rsidRPr="00F82BE7">
        <w:rPr>
          <w:rFonts w:ascii="ITC Avant Garde" w:hAnsi="ITC Avant Garde" w:cs="Arial"/>
          <w:i/>
          <w:color w:val="000000"/>
        </w:rPr>
        <w:t>Comentarios</w:t>
      </w:r>
    </w:p>
    <w:p w:rsidR="00D55B2E" w:rsidRPr="00F82BE7" w:rsidRDefault="00D55B2E" w:rsidP="0033377C">
      <w:pPr>
        <w:spacing w:line="276" w:lineRule="auto"/>
        <w:jc w:val="both"/>
        <w:rPr>
          <w:rFonts w:ascii="ITC Avant Garde" w:hAnsi="ITC Avant Garde" w:cs="Arial"/>
          <w:color w:val="000000"/>
        </w:rPr>
      </w:pPr>
      <w:r w:rsidRPr="00F82BE7">
        <w:rPr>
          <w:rFonts w:ascii="ITC Avant Garde" w:hAnsi="ITC Avant Garde" w:cs="Arial"/>
          <w:color w:val="000000"/>
        </w:rPr>
        <w:t>Un participante (AXTEL) señaló que no se deben incluir descuentos por volumen para los servicios mayoristas del AEP, ya que solo se establecen en la oferta de enlaces y son por periodo de contratación.</w:t>
      </w:r>
    </w:p>
    <w:p w:rsidR="00D55B2E" w:rsidRPr="00F82BE7" w:rsidRDefault="00F96956" w:rsidP="0033377C">
      <w:pPr>
        <w:spacing w:line="276" w:lineRule="auto"/>
        <w:jc w:val="both"/>
        <w:rPr>
          <w:rFonts w:ascii="ITC Avant Garde" w:hAnsi="ITC Avant Garde" w:cs="Arial"/>
          <w:i/>
          <w:color w:val="000000"/>
        </w:rPr>
      </w:pPr>
      <w:r>
        <w:rPr>
          <w:rFonts w:ascii="ITC Avant Garde" w:hAnsi="ITC Avant Garde" w:cs="Arial"/>
          <w:i/>
          <w:color w:val="000000"/>
        </w:rPr>
        <w:t>Consideraciones</w:t>
      </w:r>
      <w:r w:rsidRPr="00F82BE7" w:rsidDel="00F96956">
        <w:rPr>
          <w:rFonts w:ascii="ITC Avant Garde" w:hAnsi="ITC Avant Garde" w:cs="Arial"/>
          <w:i/>
          <w:color w:val="000000"/>
        </w:rPr>
        <w:t xml:space="preserve"> </w:t>
      </w:r>
      <w:r w:rsidR="00D55B2E" w:rsidRPr="00F82BE7">
        <w:rPr>
          <w:rFonts w:ascii="ITC Avant Garde" w:hAnsi="ITC Avant Garde" w:cs="Arial"/>
          <w:i/>
          <w:color w:val="000000"/>
        </w:rPr>
        <w:t>del Instituto</w:t>
      </w:r>
    </w:p>
    <w:p w:rsidR="00D55B2E" w:rsidRPr="00F82BE7" w:rsidRDefault="009C6F8E" w:rsidP="0033377C">
      <w:pPr>
        <w:spacing w:line="276" w:lineRule="auto"/>
        <w:jc w:val="both"/>
        <w:rPr>
          <w:rFonts w:ascii="ITC Avant Garde" w:hAnsi="ITC Avant Garde" w:cs="Arial"/>
          <w:color w:val="000000"/>
        </w:rPr>
      </w:pPr>
      <w:r w:rsidRPr="00F82BE7">
        <w:rPr>
          <w:rFonts w:ascii="ITC Avant Garde" w:hAnsi="ITC Avant Garde" w:cs="Arial"/>
          <w:color w:val="000000"/>
        </w:rPr>
        <w:t>Se considera que la incorporación de los descuentos por volumen es pertinente cuando así est</w:t>
      </w:r>
      <w:r w:rsidR="00EF559A">
        <w:rPr>
          <w:rFonts w:ascii="ITC Avant Garde" w:hAnsi="ITC Avant Garde" w:cs="Arial"/>
          <w:color w:val="000000"/>
        </w:rPr>
        <w:t>é</w:t>
      </w:r>
      <w:r w:rsidRPr="00F82BE7">
        <w:rPr>
          <w:rFonts w:ascii="ITC Avant Garde" w:hAnsi="ITC Avant Garde" w:cs="Arial"/>
          <w:color w:val="000000"/>
        </w:rPr>
        <w:t xml:space="preserve"> previsto en la prestación de servicios</w:t>
      </w:r>
      <w:r w:rsidR="0052179E">
        <w:rPr>
          <w:rFonts w:ascii="ITC Avant Garde" w:hAnsi="ITC Avant Garde" w:cs="Arial"/>
          <w:color w:val="000000"/>
        </w:rPr>
        <w:t xml:space="preserve"> del agente sujeto a la obligación de separación contable</w:t>
      </w:r>
      <w:r w:rsidR="0073232E">
        <w:rPr>
          <w:rFonts w:ascii="ITC Avant Garde" w:hAnsi="ITC Avant Garde" w:cs="Arial"/>
          <w:color w:val="000000"/>
        </w:rPr>
        <w:t xml:space="preserve">, a fin de reflejar adecuadamente las operaciones que </w:t>
      </w:r>
      <w:r w:rsidR="0052179E">
        <w:rPr>
          <w:rFonts w:ascii="ITC Avant Garde" w:hAnsi="ITC Avant Garde" w:cs="Arial"/>
          <w:color w:val="000000"/>
        </w:rPr>
        <w:t xml:space="preserve">se </w:t>
      </w:r>
      <w:r w:rsidR="0073232E">
        <w:rPr>
          <w:rFonts w:ascii="ITC Avant Garde" w:hAnsi="ITC Avant Garde" w:cs="Arial"/>
          <w:color w:val="000000"/>
        </w:rPr>
        <w:t xml:space="preserve">realizan </w:t>
      </w:r>
      <w:r w:rsidR="00F421F1">
        <w:rPr>
          <w:rFonts w:ascii="ITC Avant Garde" w:hAnsi="ITC Avant Garde" w:cs="Arial"/>
          <w:color w:val="000000"/>
        </w:rPr>
        <w:t>en la prestación de servicios mayoristas</w:t>
      </w:r>
      <w:r w:rsidRPr="00F82BE7">
        <w:rPr>
          <w:rFonts w:ascii="ITC Avant Garde" w:hAnsi="ITC Avant Garde" w:cs="Arial"/>
          <w:color w:val="000000"/>
        </w:rPr>
        <w:t xml:space="preserve">. </w:t>
      </w:r>
      <w:r w:rsidR="00524035" w:rsidRPr="00F82BE7">
        <w:rPr>
          <w:rFonts w:ascii="ITC Avant Garde" w:hAnsi="ITC Avant Garde" w:cs="Arial"/>
          <w:color w:val="000000"/>
        </w:rPr>
        <w:t xml:space="preserve">Al respecto, </w:t>
      </w:r>
      <w:r w:rsidR="00813475" w:rsidRPr="00813475">
        <w:rPr>
          <w:rFonts w:ascii="ITC Avant Garde" w:hAnsi="ITC Avant Garde" w:cs="Arial"/>
          <w:color w:val="000000"/>
        </w:rPr>
        <w:t>no se realizaron ajustes al Anteproyecto en los términos señalados por el participante</w:t>
      </w:r>
      <w:r w:rsidR="00524035" w:rsidRPr="00F82BE7">
        <w:rPr>
          <w:rFonts w:ascii="ITC Avant Garde" w:hAnsi="ITC Avant Garde" w:cs="Arial"/>
          <w:color w:val="000000"/>
        </w:rPr>
        <w:t>.</w:t>
      </w:r>
    </w:p>
    <w:p w:rsidR="00D55B2E" w:rsidRPr="00F82BE7" w:rsidRDefault="00D55B2E" w:rsidP="0033377C">
      <w:pPr>
        <w:pStyle w:val="Prrafodelista"/>
        <w:numPr>
          <w:ilvl w:val="0"/>
          <w:numId w:val="4"/>
        </w:numPr>
        <w:spacing w:line="276" w:lineRule="auto"/>
        <w:jc w:val="both"/>
        <w:rPr>
          <w:rFonts w:ascii="ITC Avant Garde" w:hAnsi="ITC Avant Garde" w:cs="Arial"/>
          <w:b/>
          <w:color w:val="000000"/>
        </w:rPr>
      </w:pPr>
      <w:r w:rsidRPr="00F82BE7">
        <w:rPr>
          <w:rFonts w:ascii="ITC Avant Garde" w:hAnsi="ITC Avant Garde" w:cs="Arial"/>
          <w:b/>
          <w:color w:val="000000"/>
        </w:rPr>
        <w:t>Formatos de redes compartidas</w:t>
      </w:r>
    </w:p>
    <w:p w:rsidR="00D55B2E" w:rsidRPr="00F82BE7" w:rsidRDefault="00D55B2E" w:rsidP="0033377C">
      <w:pPr>
        <w:spacing w:line="276" w:lineRule="auto"/>
        <w:jc w:val="both"/>
        <w:rPr>
          <w:rFonts w:ascii="ITC Avant Garde" w:hAnsi="ITC Avant Garde" w:cs="Arial"/>
          <w:i/>
          <w:color w:val="000000"/>
        </w:rPr>
      </w:pPr>
      <w:r w:rsidRPr="00F82BE7">
        <w:rPr>
          <w:rFonts w:ascii="ITC Avant Garde" w:hAnsi="ITC Avant Garde" w:cs="Arial"/>
          <w:i/>
          <w:color w:val="000000"/>
        </w:rPr>
        <w:t>Comentarios</w:t>
      </w:r>
    </w:p>
    <w:p w:rsidR="00D55B2E" w:rsidRPr="00F82BE7" w:rsidRDefault="00D55B2E" w:rsidP="0033377C">
      <w:pPr>
        <w:spacing w:line="276" w:lineRule="auto"/>
        <w:jc w:val="both"/>
        <w:rPr>
          <w:rFonts w:ascii="ITC Avant Garde" w:hAnsi="ITC Avant Garde" w:cs="Arial"/>
          <w:color w:val="000000"/>
        </w:rPr>
      </w:pPr>
      <w:r w:rsidRPr="00F82BE7">
        <w:rPr>
          <w:rFonts w:ascii="ITC Avant Garde" w:hAnsi="ITC Avant Garde" w:cs="Arial"/>
          <w:color w:val="000000"/>
        </w:rPr>
        <w:t>Un participante (AXTEL) solicitó que se aclare si los formatos requeridos a las redes compartidas deben apegarse a principios de contabilidad y si deberían ser firmados por auditores externos.</w:t>
      </w:r>
    </w:p>
    <w:p w:rsidR="00D55B2E" w:rsidRPr="00F82BE7" w:rsidRDefault="00D55B2E" w:rsidP="0033377C">
      <w:pPr>
        <w:spacing w:line="276" w:lineRule="auto"/>
        <w:jc w:val="both"/>
        <w:rPr>
          <w:rFonts w:ascii="ITC Avant Garde" w:hAnsi="ITC Avant Garde" w:cs="Arial"/>
          <w:color w:val="000000"/>
        </w:rPr>
      </w:pPr>
      <w:r w:rsidRPr="00F82BE7">
        <w:rPr>
          <w:rFonts w:ascii="ITC Avant Garde" w:hAnsi="ITC Avant Garde" w:cs="Arial"/>
          <w:color w:val="000000"/>
        </w:rPr>
        <w:t>Otro participante (AT&amp;T) sugirió que el concesionario de la red compartida entregue además de los formatos y reportes señalados para dichas redes, aquellos señalados en el Anexo 5 aplicables a los AEP o agentes económicos con poder sustancial con la finalidad de permitir la comparación de información entre unos y otros, y de uniformidad en la presentación de la información.</w:t>
      </w:r>
    </w:p>
    <w:p w:rsidR="00D55B2E" w:rsidRPr="00F82BE7" w:rsidRDefault="00EF559A" w:rsidP="0033377C">
      <w:pPr>
        <w:spacing w:line="276" w:lineRule="auto"/>
        <w:jc w:val="both"/>
        <w:rPr>
          <w:rFonts w:ascii="ITC Avant Garde" w:hAnsi="ITC Avant Garde" w:cs="Arial"/>
          <w:color w:val="000000"/>
        </w:rPr>
      </w:pPr>
      <w:r>
        <w:rPr>
          <w:rFonts w:ascii="ITC Avant Garde" w:hAnsi="ITC Avant Garde" w:cs="Arial"/>
          <w:color w:val="000000"/>
        </w:rPr>
        <w:lastRenderedPageBreak/>
        <w:t>Un</w:t>
      </w:r>
      <w:r w:rsidRPr="00F82BE7">
        <w:rPr>
          <w:rFonts w:ascii="ITC Avant Garde" w:hAnsi="ITC Avant Garde" w:cs="Arial"/>
          <w:color w:val="000000"/>
        </w:rPr>
        <w:t xml:space="preserve"> </w:t>
      </w:r>
      <w:r w:rsidR="00D55B2E" w:rsidRPr="00F82BE7">
        <w:rPr>
          <w:rFonts w:ascii="ITC Avant Garde" w:hAnsi="ITC Avant Garde" w:cs="Arial"/>
          <w:color w:val="000000"/>
        </w:rPr>
        <w:t>participante (MEGA CABLE) consideró que no es procedente imponer a los concesionarios de una red mayorista compartida, en particular a</w:t>
      </w:r>
      <w:r w:rsidR="00143C0B">
        <w:rPr>
          <w:rFonts w:ascii="ITC Avant Garde" w:hAnsi="ITC Avant Garde" w:cs="Arial"/>
          <w:color w:val="000000"/>
        </w:rPr>
        <w:t>l concesionario</w:t>
      </w:r>
      <w:r w:rsidR="00D55B2E" w:rsidRPr="00F82BE7">
        <w:rPr>
          <w:rFonts w:ascii="ITC Avant Garde" w:hAnsi="ITC Avant Garde" w:cs="Arial"/>
          <w:color w:val="000000"/>
        </w:rPr>
        <w:t xml:space="preserve"> Altán</w:t>
      </w:r>
      <w:r w:rsidR="00F8015B">
        <w:rPr>
          <w:rFonts w:ascii="ITC Avant Garde" w:hAnsi="ITC Avant Garde" w:cs="Arial"/>
          <w:color w:val="000000"/>
        </w:rPr>
        <w:t xml:space="preserve"> Redes</w:t>
      </w:r>
      <w:r w:rsidR="00D55B2E" w:rsidRPr="00F82BE7">
        <w:rPr>
          <w:rFonts w:ascii="ITC Avant Garde" w:hAnsi="ITC Avant Garde" w:cs="Arial"/>
          <w:color w:val="000000"/>
        </w:rPr>
        <w:t>, la obligación de separación contable por lo siguiente:</w:t>
      </w:r>
    </w:p>
    <w:p w:rsidR="00D55B2E" w:rsidRPr="00F82BE7" w:rsidRDefault="00D55B2E" w:rsidP="0033377C">
      <w:pPr>
        <w:pStyle w:val="Prrafodelista"/>
        <w:numPr>
          <w:ilvl w:val="0"/>
          <w:numId w:val="8"/>
        </w:numPr>
        <w:spacing w:line="276" w:lineRule="auto"/>
        <w:jc w:val="both"/>
        <w:rPr>
          <w:rFonts w:ascii="ITC Avant Garde" w:hAnsi="ITC Avant Garde" w:cs="Arial"/>
          <w:color w:val="000000"/>
        </w:rPr>
      </w:pPr>
      <w:r w:rsidRPr="00F82BE7">
        <w:rPr>
          <w:rFonts w:ascii="ITC Avant Garde" w:hAnsi="ITC Avant Garde" w:cs="Arial"/>
          <w:color w:val="000000"/>
        </w:rPr>
        <w:t>No cuenta, ni contará con poder sustancial o será AEP de algún sector; no se le puede equiparar a los agentes económicos que caen en tales supuestos.</w:t>
      </w:r>
    </w:p>
    <w:p w:rsidR="00D55B2E" w:rsidRPr="00F82BE7" w:rsidRDefault="00D55B2E" w:rsidP="0033377C">
      <w:pPr>
        <w:pStyle w:val="Prrafodelista"/>
        <w:numPr>
          <w:ilvl w:val="0"/>
          <w:numId w:val="8"/>
        </w:numPr>
        <w:spacing w:line="276" w:lineRule="auto"/>
        <w:jc w:val="both"/>
        <w:rPr>
          <w:rFonts w:ascii="ITC Avant Garde" w:hAnsi="ITC Avant Garde" w:cs="Arial"/>
          <w:color w:val="000000"/>
        </w:rPr>
      </w:pPr>
      <w:r w:rsidRPr="00F82BE7">
        <w:rPr>
          <w:rFonts w:ascii="ITC Avant Garde" w:hAnsi="ITC Avant Garde" w:cs="Arial"/>
          <w:color w:val="000000"/>
        </w:rPr>
        <w:t>No participará en la provisión de servicios minoristas, por lo cual no tiene incentivos ni interés en desplazar o afectar a algún agente económico en particular o para actuar de manera distinta a una de neutralidad a la competencia.</w:t>
      </w:r>
    </w:p>
    <w:p w:rsidR="00D55B2E" w:rsidRPr="00F82BE7" w:rsidRDefault="00D55B2E" w:rsidP="0033377C">
      <w:pPr>
        <w:pStyle w:val="Prrafodelista"/>
        <w:numPr>
          <w:ilvl w:val="0"/>
          <w:numId w:val="8"/>
        </w:numPr>
        <w:spacing w:line="276" w:lineRule="auto"/>
        <w:jc w:val="both"/>
        <w:rPr>
          <w:rFonts w:ascii="ITC Avant Garde" w:hAnsi="ITC Avant Garde" w:cs="Arial"/>
          <w:color w:val="000000"/>
        </w:rPr>
      </w:pPr>
      <w:r w:rsidRPr="00F82BE7">
        <w:rPr>
          <w:rFonts w:ascii="ITC Avant Garde" w:hAnsi="ITC Avant Garde" w:cs="Arial"/>
          <w:color w:val="000000"/>
        </w:rPr>
        <w:t>Es un nuevo entrante al mercado y como tal carece de sentido establecerle estas medidas contables que, al menos en los primeros años, no proporcionarán información útil, pero que representarán una carga regulatoria adicional para el operador de la red compartida.</w:t>
      </w:r>
    </w:p>
    <w:p w:rsidR="00D55B2E" w:rsidRPr="00F82BE7" w:rsidRDefault="00D55B2E" w:rsidP="0033377C">
      <w:pPr>
        <w:pStyle w:val="Prrafodelista"/>
        <w:numPr>
          <w:ilvl w:val="0"/>
          <w:numId w:val="8"/>
        </w:numPr>
        <w:spacing w:line="276" w:lineRule="auto"/>
        <w:jc w:val="both"/>
        <w:rPr>
          <w:rFonts w:ascii="ITC Avant Garde" w:hAnsi="ITC Avant Garde" w:cs="Arial"/>
          <w:color w:val="000000"/>
        </w:rPr>
      </w:pPr>
      <w:r w:rsidRPr="00F82BE7">
        <w:rPr>
          <w:rFonts w:ascii="ITC Avant Garde" w:hAnsi="ITC Avant Garde" w:cs="Arial"/>
          <w:color w:val="000000"/>
        </w:rPr>
        <w:t>El hecho de que se trate de una asociación público-privada o de que participe en alguna medida una entidad pública no se considera una razón válida para aplicar la obligación señalada.</w:t>
      </w:r>
    </w:p>
    <w:p w:rsidR="00D55B2E" w:rsidRPr="00F82BE7" w:rsidRDefault="00D55B2E" w:rsidP="0033377C">
      <w:pPr>
        <w:spacing w:line="276" w:lineRule="auto"/>
        <w:jc w:val="both"/>
        <w:rPr>
          <w:rFonts w:ascii="ITC Avant Garde" w:hAnsi="ITC Avant Garde" w:cs="Arial"/>
          <w:color w:val="000000"/>
        </w:rPr>
      </w:pPr>
      <w:r w:rsidRPr="00F82BE7">
        <w:rPr>
          <w:rFonts w:ascii="ITC Avant Garde" w:hAnsi="ITC Avant Garde" w:cs="Arial"/>
          <w:color w:val="000000"/>
        </w:rPr>
        <w:t>Además, otro participante (A</w:t>
      </w:r>
      <w:r w:rsidR="004207D8">
        <w:rPr>
          <w:rFonts w:ascii="ITC Avant Garde" w:hAnsi="ITC Avant Garde" w:cs="Arial"/>
          <w:color w:val="000000"/>
        </w:rPr>
        <w:t>ltán</w:t>
      </w:r>
      <w:r w:rsidRPr="00F82BE7">
        <w:rPr>
          <w:rFonts w:ascii="ITC Avant Garde" w:hAnsi="ITC Avant Garde" w:cs="Arial"/>
          <w:color w:val="000000"/>
        </w:rPr>
        <w:t xml:space="preserve"> Redes)</w:t>
      </w:r>
      <w:r w:rsidR="005C739B" w:rsidRPr="00F82BE7">
        <w:rPr>
          <w:rFonts w:ascii="ITC Avant Garde" w:hAnsi="ITC Avant Garde" w:cs="Arial"/>
          <w:color w:val="000000"/>
        </w:rPr>
        <w:t xml:space="preserve"> </w:t>
      </w:r>
      <w:r w:rsidRPr="00F82BE7">
        <w:rPr>
          <w:rFonts w:ascii="ITC Avant Garde" w:hAnsi="ITC Avant Garde" w:cs="Arial"/>
          <w:color w:val="000000"/>
        </w:rPr>
        <w:t>comentó que no le es aplicable la metodología de separación debido a lo siguiente:</w:t>
      </w:r>
    </w:p>
    <w:p w:rsidR="00D55B2E" w:rsidRPr="00F82BE7" w:rsidRDefault="00D55B2E" w:rsidP="0033377C">
      <w:pPr>
        <w:pStyle w:val="Prrafodelista"/>
        <w:numPr>
          <w:ilvl w:val="0"/>
          <w:numId w:val="8"/>
        </w:numPr>
        <w:spacing w:line="276" w:lineRule="auto"/>
        <w:jc w:val="both"/>
        <w:rPr>
          <w:rFonts w:ascii="ITC Avant Garde" w:hAnsi="ITC Avant Garde" w:cs="Arial"/>
          <w:color w:val="000000"/>
        </w:rPr>
      </w:pPr>
      <w:r w:rsidRPr="00F82BE7">
        <w:rPr>
          <w:rFonts w:ascii="ITC Avant Garde" w:hAnsi="ITC Avant Garde" w:cs="Arial"/>
          <w:color w:val="000000"/>
        </w:rPr>
        <w:t>No cuenta con poder sustancial de mercado.</w:t>
      </w:r>
    </w:p>
    <w:p w:rsidR="00D55B2E" w:rsidRPr="00F82BE7" w:rsidRDefault="00D55B2E" w:rsidP="0033377C">
      <w:pPr>
        <w:pStyle w:val="Prrafodelista"/>
        <w:numPr>
          <w:ilvl w:val="0"/>
          <w:numId w:val="8"/>
        </w:numPr>
        <w:spacing w:line="276" w:lineRule="auto"/>
        <w:jc w:val="both"/>
        <w:rPr>
          <w:rFonts w:ascii="ITC Avant Garde" w:hAnsi="ITC Avant Garde" w:cs="Arial"/>
          <w:color w:val="000000"/>
        </w:rPr>
      </w:pPr>
      <w:r w:rsidRPr="00F82BE7">
        <w:rPr>
          <w:rFonts w:ascii="ITC Avant Garde" w:hAnsi="ITC Avant Garde" w:cs="Arial"/>
          <w:color w:val="000000"/>
        </w:rPr>
        <w:t>Es una empresa privada que no tiene dentro de su capital participación pública. Además, no es una entidad púb</w:t>
      </w:r>
      <w:r w:rsidR="004207D8">
        <w:rPr>
          <w:rFonts w:ascii="ITC Avant Garde" w:hAnsi="ITC Avant Garde" w:cs="Arial"/>
          <w:color w:val="000000"/>
        </w:rPr>
        <w:t>l</w:t>
      </w:r>
      <w:r w:rsidRPr="00F82BE7">
        <w:rPr>
          <w:rFonts w:ascii="ITC Avant Garde" w:hAnsi="ITC Avant Garde" w:cs="Arial"/>
          <w:color w:val="000000"/>
        </w:rPr>
        <w:t>ica.</w:t>
      </w:r>
    </w:p>
    <w:p w:rsidR="00D55B2E" w:rsidRPr="00F82BE7" w:rsidRDefault="00D55B2E" w:rsidP="0033377C">
      <w:pPr>
        <w:pStyle w:val="Prrafodelista"/>
        <w:numPr>
          <w:ilvl w:val="0"/>
          <w:numId w:val="8"/>
        </w:numPr>
        <w:spacing w:line="276" w:lineRule="auto"/>
        <w:jc w:val="both"/>
        <w:rPr>
          <w:rFonts w:ascii="ITC Avant Garde" w:hAnsi="ITC Avant Garde" w:cs="Arial"/>
          <w:color w:val="000000"/>
        </w:rPr>
      </w:pPr>
      <w:r w:rsidRPr="00F82BE7">
        <w:rPr>
          <w:rFonts w:ascii="ITC Avant Garde" w:hAnsi="ITC Avant Garde" w:cs="Arial"/>
          <w:color w:val="000000"/>
        </w:rPr>
        <w:t xml:space="preserve">Los objetivos de no discriminación y neutralidad competitiva se logran sin necesidad de imponer obligaciones regulatorias adicionales diseñadas para propósitos distintos. </w:t>
      </w:r>
    </w:p>
    <w:p w:rsidR="00D55B2E" w:rsidRPr="00F82BE7" w:rsidRDefault="00D55B2E" w:rsidP="0033377C">
      <w:pPr>
        <w:pStyle w:val="Prrafodelista"/>
        <w:numPr>
          <w:ilvl w:val="0"/>
          <w:numId w:val="8"/>
        </w:numPr>
        <w:spacing w:line="276" w:lineRule="auto"/>
        <w:jc w:val="both"/>
        <w:rPr>
          <w:rFonts w:ascii="ITC Avant Garde" w:hAnsi="ITC Avant Garde" w:cs="Arial"/>
          <w:color w:val="000000"/>
        </w:rPr>
      </w:pPr>
      <w:r w:rsidRPr="00F82BE7">
        <w:rPr>
          <w:rFonts w:ascii="ITC Avant Garde" w:hAnsi="ITC Avant Garde" w:cs="Arial"/>
          <w:color w:val="000000"/>
        </w:rPr>
        <w:t>El nuevo marco regulatorio ya impone diversas obligaciones para que se cumplan las obligaciones de no discriminación y neutralidad competitiva, particularmente a través del título de concesión de red compartida mayorista.</w:t>
      </w:r>
    </w:p>
    <w:p w:rsidR="00D55B2E" w:rsidRPr="00F82BE7" w:rsidRDefault="00D55B2E" w:rsidP="0033377C">
      <w:pPr>
        <w:pStyle w:val="Prrafodelista"/>
        <w:numPr>
          <w:ilvl w:val="0"/>
          <w:numId w:val="8"/>
        </w:numPr>
        <w:spacing w:line="276" w:lineRule="auto"/>
        <w:jc w:val="both"/>
        <w:rPr>
          <w:rFonts w:ascii="ITC Avant Garde" w:hAnsi="ITC Avant Garde" w:cs="Arial"/>
          <w:color w:val="000000"/>
        </w:rPr>
      </w:pPr>
      <w:r w:rsidRPr="00F82BE7">
        <w:rPr>
          <w:rFonts w:ascii="ITC Avant Garde" w:hAnsi="ITC Avant Garde" w:cs="Arial"/>
          <w:color w:val="000000"/>
        </w:rPr>
        <w:t>Ya se cumple</w:t>
      </w:r>
      <w:r w:rsidR="00EF559A">
        <w:rPr>
          <w:rFonts w:ascii="ITC Avant Garde" w:hAnsi="ITC Avant Garde" w:cs="Arial"/>
          <w:color w:val="000000"/>
        </w:rPr>
        <w:t xml:space="preserve"> con</w:t>
      </w:r>
      <w:r w:rsidRPr="00F82BE7">
        <w:rPr>
          <w:rFonts w:ascii="ITC Avant Garde" w:hAnsi="ITC Avant Garde" w:cs="Arial"/>
          <w:color w:val="000000"/>
        </w:rPr>
        <w:t xml:space="preserve"> los estándares definidos por la </w:t>
      </w:r>
      <w:r w:rsidR="001B6386" w:rsidRPr="00F82BE7">
        <w:rPr>
          <w:rFonts w:ascii="ITC Avant Garde" w:hAnsi="ITC Avant Garde" w:cs="Arial"/>
          <w:color w:val="000000"/>
        </w:rPr>
        <w:t>Organización para la Cooperación y el Desarrollo Económicos (</w:t>
      </w:r>
      <w:r w:rsidRPr="00F82BE7">
        <w:rPr>
          <w:rFonts w:ascii="ITC Avant Garde" w:hAnsi="ITC Avant Garde" w:cs="Arial"/>
          <w:color w:val="000000"/>
        </w:rPr>
        <w:t>OCDE</w:t>
      </w:r>
      <w:r w:rsidR="001B6386" w:rsidRPr="00F82BE7">
        <w:rPr>
          <w:rFonts w:ascii="ITC Avant Garde" w:hAnsi="ITC Avant Garde" w:cs="Arial"/>
          <w:color w:val="000000"/>
        </w:rPr>
        <w:t>)</w:t>
      </w:r>
      <w:r w:rsidRPr="00F82BE7">
        <w:rPr>
          <w:rFonts w:ascii="ITC Avant Garde" w:hAnsi="ITC Avant Garde" w:cs="Arial"/>
          <w:color w:val="000000"/>
        </w:rPr>
        <w:t xml:space="preserve"> en materia de neutralidad a la competencia, por lo que no existe riesgo de que se viole el principio de neutralidad competitiva.</w:t>
      </w:r>
    </w:p>
    <w:p w:rsidR="00D55B2E" w:rsidRPr="00F82BE7" w:rsidRDefault="00D55B2E" w:rsidP="0033377C">
      <w:pPr>
        <w:pStyle w:val="Prrafodelista"/>
        <w:numPr>
          <w:ilvl w:val="0"/>
          <w:numId w:val="8"/>
        </w:numPr>
        <w:spacing w:line="276" w:lineRule="auto"/>
        <w:jc w:val="both"/>
        <w:rPr>
          <w:rFonts w:ascii="ITC Avant Garde" w:hAnsi="ITC Avant Garde" w:cs="Arial"/>
          <w:color w:val="000000"/>
        </w:rPr>
      </w:pPr>
      <w:r w:rsidRPr="00F82BE7">
        <w:rPr>
          <w:rFonts w:ascii="ITC Avant Garde" w:hAnsi="ITC Avant Garde" w:cs="Arial"/>
          <w:color w:val="000000"/>
        </w:rPr>
        <w:t>Los objetivos que persigue la separación contable no le son aplicables, aun como concesionario de red compartida mayorista.</w:t>
      </w:r>
    </w:p>
    <w:p w:rsidR="00D55B2E" w:rsidRPr="00F82BE7" w:rsidRDefault="00D55B2E" w:rsidP="0033377C">
      <w:pPr>
        <w:pStyle w:val="Prrafodelista"/>
        <w:numPr>
          <w:ilvl w:val="0"/>
          <w:numId w:val="8"/>
        </w:numPr>
        <w:spacing w:line="276" w:lineRule="auto"/>
        <w:jc w:val="both"/>
        <w:rPr>
          <w:rFonts w:ascii="ITC Avant Garde" w:hAnsi="ITC Avant Garde" w:cs="Arial"/>
          <w:color w:val="000000"/>
        </w:rPr>
      </w:pPr>
      <w:r w:rsidRPr="00F82BE7">
        <w:rPr>
          <w:rFonts w:ascii="ITC Avant Garde" w:hAnsi="ITC Avant Garde" w:cs="Arial"/>
          <w:color w:val="000000"/>
        </w:rPr>
        <w:t>No se identifican casos en el mundo donde se imponga la separación contable a un operador específico no declarado con poder sustancial de mercado y menos con un propósito de neutralidad competitiva.</w:t>
      </w:r>
    </w:p>
    <w:p w:rsidR="00D55B2E" w:rsidRPr="00F82BE7" w:rsidRDefault="00D55B2E" w:rsidP="0033377C">
      <w:pPr>
        <w:spacing w:line="276" w:lineRule="auto"/>
        <w:jc w:val="both"/>
        <w:rPr>
          <w:rFonts w:ascii="ITC Avant Garde" w:hAnsi="ITC Avant Garde" w:cs="Arial"/>
          <w:color w:val="000000"/>
        </w:rPr>
      </w:pPr>
      <w:r w:rsidRPr="00F82BE7">
        <w:rPr>
          <w:rFonts w:ascii="ITC Avant Garde" w:hAnsi="ITC Avant Garde" w:cs="Arial"/>
          <w:color w:val="000000"/>
        </w:rPr>
        <w:lastRenderedPageBreak/>
        <w:t xml:space="preserve">También el participante </w:t>
      </w:r>
      <w:r w:rsidR="002705EA" w:rsidRPr="00F82BE7">
        <w:rPr>
          <w:rFonts w:ascii="ITC Avant Garde" w:hAnsi="ITC Avant Garde" w:cs="Arial"/>
          <w:color w:val="000000"/>
        </w:rPr>
        <w:t>(</w:t>
      </w:r>
      <w:r w:rsidRPr="00F82BE7">
        <w:rPr>
          <w:rFonts w:ascii="ITC Avant Garde" w:hAnsi="ITC Avant Garde" w:cs="Arial"/>
          <w:color w:val="000000"/>
        </w:rPr>
        <w:t>A</w:t>
      </w:r>
      <w:r w:rsidR="005175B7">
        <w:rPr>
          <w:rFonts w:ascii="ITC Avant Garde" w:hAnsi="ITC Avant Garde" w:cs="Arial"/>
          <w:color w:val="000000"/>
        </w:rPr>
        <w:t>ltán</w:t>
      </w:r>
      <w:r w:rsidRPr="00F82BE7">
        <w:rPr>
          <w:rFonts w:ascii="ITC Avant Garde" w:hAnsi="ITC Avant Garde" w:cs="Arial"/>
          <w:color w:val="000000"/>
        </w:rPr>
        <w:t xml:space="preserve"> Redes</w:t>
      </w:r>
      <w:r w:rsidR="002705EA" w:rsidRPr="00F82BE7">
        <w:rPr>
          <w:rFonts w:ascii="ITC Avant Garde" w:hAnsi="ITC Avant Garde" w:cs="Arial"/>
          <w:color w:val="000000"/>
        </w:rPr>
        <w:t>)</w:t>
      </w:r>
      <w:r w:rsidR="005C739B" w:rsidRPr="00F82BE7">
        <w:rPr>
          <w:rFonts w:ascii="ITC Avant Garde" w:hAnsi="ITC Avant Garde" w:cs="Arial"/>
          <w:color w:val="000000"/>
        </w:rPr>
        <w:t xml:space="preserve"> </w:t>
      </w:r>
      <w:r w:rsidRPr="00F82BE7">
        <w:rPr>
          <w:rFonts w:ascii="ITC Avant Garde" w:hAnsi="ITC Avant Garde" w:cs="Arial"/>
          <w:color w:val="000000"/>
        </w:rPr>
        <w:t>comentó que al emitir la nueva regulación sobre contabilidad separada el Instituto debe considerar su impacto regulatorio de acuerdo con la mejor práctica internacional</w:t>
      </w:r>
      <w:r w:rsidR="00C53D68">
        <w:rPr>
          <w:rFonts w:ascii="ITC Avant Garde" w:hAnsi="ITC Avant Garde" w:cs="Arial"/>
          <w:color w:val="000000"/>
        </w:rPr>
        <w:t>.</w:t>
      </w:r>
      <w:r w:rsidR="00AB3B45">
        <w:rPr>
          <w:rFonts w:ascii="ITC Avant Garde" w:hAnsi="ITC Avant Garde" w:cs="Arial"/>
          <w:color w:val="000000"/>
        </w:rPr>
        <w:t xml:space="preserve"> Al respecto, señaló</w:t>
      </w:r>
      <w:r w:rsidR="00C53D68">
        <w:rPr>
          <w:rFonts w:ascii="ITC Avant Garde" w:hAnsi="ITC Avant Garde" w:cs="Arial"/>
          <w:color w:val="000000"/>
        </w:rPr>
        <w:t xml:space="preserve"> que </w:t>
      </w:r>
      <w:r w:rsidR="00C53D68" w:rsidRPr="00C53D68">
        <w:rPr>
          <w:rFonts w:ascii="ITC Avant Garde" w:hAnsi="ITC Avant Garde" w:cs="Arial"/>
          <w:color w:val="000000"/>
        </w:rPr>
        <w:t>la Unión Internacional de Telecomunicaciones</w:t>
      </w:r>
      <w:r w:rsidR="000B5AE5">
        <w:rPr>
          <w:rFonts w:ascii="ITC Avant Garde" w:hAnsi="ITC Avant Garde" w:cs="Arial"/>
          <w:color w:val="000000"/>
        </w:rPr>
        <w:t xml:space="preserve"> (ITU, pos sus siglas en inglés)</w:t>
      </w:r>
      <w:r w:rsidR="00C53D68" w:rsidRPr="00C53D68">
        <w:rPr>
          <w:rFonts w:ascii="ITC Avant Garde" w:hAnsi="ITC Avant Garde" w:cs="Arial"/>
          <w:color w:val="000000"/>
        </w:rPr>
        <w:t xml:space="preserve"> recomienda que al imponer obligaciones de contabilidad separada se “…deberán indicar claramente los criterios aplicables para evaluar y determinar si las obligaciones de contabilidad de costos y de separación contable están equilibradas y se ajustan a la situación”</w:t>
      </w:r>
      <w:r w:rsidR="00C53D68">
        <w:rPr>
          <w:rFonts w:ascii="ITC Avant Garde" w:hAnsi="ITC Avant Garde" w:cs="Arial"/>
          <w:color w:val="000000"/>
        </w:rPr>
        <w:t xml:space="preserve"> </w:t>
      </w:r>
      <w:r w:rsidR="000B5AE5">
        <w:rPr>
          <w:rFonts w:ascii="ITC Avant Garde" w:hAnsi="ITC Avant Garde" w:cs="Arial"/>
          <w:color w:val="000000"/>
        </w:rPr>
        <w:t>(ITU, 2009,</w:t>
      </w:r>
      <w:r w:rsidR="00C53D68" w:rsidRPr="00C53D68">
        <w:rPr>
          <w:rFonts w:ascii="ITC Avant Garde" w:hAnsi="ITC Avant Garde" w:cs="Arial"/>
          <w:color w:val="000000"/>
        </w:rPr>
        <w:t xml:space="preserve"> “Guía de Contabilidad Regulatoria”)</w:t>
      </w:r>
      <w:r w:rsidR="00AB3B45">
        <w:rPr>
          <w:rFonts w:ascii="ITC Avant Garde" w:hAnsi="ITC Avant Garde" w:cs="Arial"/>
          <w:color w:val="000000"/>
        </w:rPr>
        <w:t>. Por otra parte, agregó</w:t>
      </w:r>
      <w:r w:rsidR="00C53D68">
        <w:rPr>
          <w:rFonts w:ascii="ITC Avant Garde" w:hAnsi="ITC Avant Garde" w:cs="Arial"/>
          <w:color w:val="000000"/>
        </w:rPr>
        <w:t xml:space="preserve"> que </w:t>
      </w:r>
      <w:r w:rsidR="00C53D68" w:rsidRPr="00C53D68">
        <w:rPr>
          <w:rFonts w:ascii="ITC Avant Garde" w:hAnsi="ITC Avant Garde" w:cs="Arial"/>
          <w:color w:val="000000"/>
        </w:rPr>
        <w:t xml:space="preserve">la OCDE recomienda que al proponer nuevas normas se debe “Identificar claramente los objetivos de las políticas y evaluar </w:t>
      </w:r>
      <w:r w:rsidR="00C53D68">
        <w:rPr>
          <w:rFonts w:ascii="ITC Avant Garde" w:hAnsi="ITC Avant Garde" w:cs="Arial"/>
          <w:color w:val="000000"/>
        </w:rPr>
        <w:t xml:space="preserve">si </w:t>
      </w:r>
      <w:r w:rsidR="00C53D68" w:rsidRPr="00C53D68">
        <w:rPr>
          <w:rFonts w:ascii="ITC Avant Garde" w:hAnsi="ITC Avant Garde" w:cs="Arial"/>
          <w:color w:val="000000"/>
        </w:rPr>
        <w:t xml:space="preserve">la regulación es necesaria y cómo puede ser más eficaz y eficiente para la consecución de estas metas” (OCDE, 2012. “Revisiones de la OCDE sobre Reforma Regulatoria. México: Hacia una perspectiva de gobierno entero para la mejora regulatoria. Informe de </w:t>
      </w:r>
      <w:r w:rsidR="00C53D68">
        <w:rPr>
          <w:rFonts w:ascii="ITC Avant Garde" w:hAnsi="ITC Avant Garde" w:cs="Arial"/>
          <w:color w:val="000000"/>
        </w:rPr>
        <w:t xml:space="preserve">las principales conclusiones”). En </w:t>
      </w:r>
      <w:r w:rsidR="00AB3B45">
        <w:rPr>
          <w:rFonts w:ascii="ITC Avant Garde" w:hAnsi="ITC Avant Garde" w:cs="Arial"/>
          <w:color w:val="000000"/>
        </w:rPr>
        <w:t>este sentido, advirtió</w:t>
      </w:r>
      <w:r w:rsidR="00C53D68">
        <w:rPr>
          <w:rFonts w:ascii="ITC Avant Garde" w:hAnsi="ITC Avant Garde" w:cs="Arial"/>
          <w:color w:val="000000"/>
        </w:rPr>
        <w:t xml:space="preserve"> que </w:t>
      </w:r>
      <w:r w:rsidRPr="00F82BE7">
        <w:rPr>
          <w:rFonts w:ascii="ITC Avant Garde" w:hAnsi="ITC Avant Garde" w:cs="Arial"/>
          <w:color w:val="000000"/>
        </w:rPr>
        <w:t xml:space="preserve">la aplicación de </w:t>
      </w:r>
      <w:r w:rsidR="00C53D68">
        <w:rPr>
          <w:rFonts w:ascii="ITC Avant Garde" w:hAnsi="ITC Avant Garde" w:cs="Arial"/>
          <w:color w:val="000000"/>
        </w:rPr>
        <w:t>la</w:t>
      </w:r>
      <w:r w:rsidRPr="00F82BE7">
        <w:rPr>
          <w:rFonts w:ascii="ITC Avant Garde" w:hAnsi="ITC Avant Garde" w:cs="Arial"/>
          <w:color w:val="000000"/>
        </w:rPr>
        <w:t xml:space="preserve"> metodología </w:t>
      </w:r>
      <w:r w:rsidR="00C53D68">
        <w:rPr>
          <w:rFonts w:ascii="ITC Avant Garde" w:hAnsi="ITC Avant Garde" w:cs="Arial"/>
          <w:color w:val="000000"/>
        </w:rPr>
        <w:t xml:space="preserve">de separación contable </w:t>
      </w:r>
      <w:r w:rsidRPr="00F82BE7">
        <w:rPr>
          <w:rFonts w:ascii="ITC Avant Garde" w:hAnsi="ITC Avant Garde" w:cs="Arial"/>
          <w:color w:val="000000"/>
        </w:rPr>
        <w:t>al caso de Altán Redes resultaría costosa para la empresa, además de innecesaria, ineficaz e ineficiente para los objetivos de dicha regulación.</w:t>
      </w:r>
    </w:p>
    <w:p w:rsidR="00D55B2E" w:rsidRPr="00F82BE7" w:rsidRDefault="00D55B2E"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Adicionalmente, el participante </w:t>
      </w:r>
      <w:r w:rsidR="002705EA" w:rsidRPr="00F82BE7">
        <w:rPr>
          <w:rFonts w:ascii="ITC Avant Garde" w:hAnsi="ITC Avant Garde" w:cs="Arial"/>
          <w:color w:val="000000"/>
        </w:rPr>
        <w:t>(</w:t>
      </w:r>
      <w:r w:rsidRPr="00F82BE7">
        <w:rPr>
          <w:rFonts w:ascii="ITC Avant Garde" w:hAnsi="ITC Avant Garde" w:cs="Arial"/>
          <w:color w:val="000000"/>
        </w:rPr>
        <w:t>A</w:t>
      </w:r>
      <w:r w:rsidR="00E37012">
        <w:rPr>
          <w:rFonts w:ascii="ITC Avant Garde" w:hAnsi="ITC Avant Garde" w:cs="Arial"/>
          <w:color w:val="000000"/>
        </w:rPr>
        <w:t>ltán</w:t>
      </w:r>
      <w:r w:rsidRPr="00F82BE7">
        <w:rPr>
          <w:rFonts w:ascii="ITC Avant Garde" w:hAnsi="ITC Avant Garde" w:cs="Arial"/>
          <w:color w:val="000000"/>
        </w:rPr>
        <w:t xml:space="preserve"> Redes</w:t>
      </w:r>
      <w:r w:rsidR="002705EA" w:rsidRPr="00F82BE7">
        <w:rPr>
          <w:rFonts w:ascii="ITC Avant Garde" w:hAnsi="ITC Avant Garde" w:cs="Arial"/>
          <w:color w:val="000000"/>
        </w:rPr>
        <w:t>)</w:t>
      </w:r>
      <w:r w:rsidR="005C739B" w:rsidRPr="00F82BE7">
        <w:rPr>
          <w:rFonts w:ascii="ITC Avant Garde" w:hAnsi="ITC Avant Garde" w:cs="Arial"/>
          <w:color w:val="000000"/>
        </w:rPr>
        <w:t xml:space="preserve"> </w:t>
      </w:r>
      <w:r w:rsidRPr="00F82BE7">
        <w:rPr>
          <w:rFonts w:ascii="ITC Avant Garde" w:hAnsi="ITC Avant Garde" w:cs="Arial"/>
          <w:color w:val="000000"/>
        </w:rPr>
        <w:t>comentó que si se considera necesario la aplicación de la separación contable a Altán Redes se debería tomar en cuenta lo siguiente:</w:t>
      </w:r>
    </w:p>
    <w:p w:rsidR="00D55B2E" w:rsidRPr="00F82BE7" w:rsidRDefault="00D55B2E" w:rsidP="0033377C">
      <w:pPr>
        <w:pStyle w:val="Prrafodelista"/>
        <w:numPr>
          <w:ilvl w:val="0"/>
          <w:numId w:val="8"/>
        </w:numPr>
        <w:spacing w:line="276" w:lineRule="auto"/>
        <w:jc w:val="both"/>
        <w:rPr>
          <w:rFonts w:ascii="ITC Avant Garde" w:hAnsi="ITC Avant Garde" w:cs="Arial"/>
          <w:color w:val="000000"/>
        </w:rPr>
      </w:pPr>
      <w:r w:rsidRPr="00F82BE7">
        <w:rPr>
          <w:rFonts w:ascii="ITC Avant Garde" w:hAnsi="ITC Avant Garde" w:cs="Arial"/>
          <w:color w:val="000000"/>
        </w:rPr>
        <w:t>El objetivo debería quedar separado completamente de los objetivos que se aplican al AEP o a operadores con poder sustancial de mercado.</w:t>
      </w:r>
    </w:p>
    <w:p w:rsidR="00D55B2E" w:rsidRPr="00F82BE7" w:rsidRDefault="00D55B2E" w:rsidP="0033377C">
      <w:pPr>
        <w:pStyle w:val="Prrafodelista"/>
        <w:numPr>
          <w:ilvl w:val="0"/>
          <w:numId w:val="8"/>
        </w:numPr>
        <w:spacing w:line="276" w:lineRule="auto"/>
        <w:jc w:val="both"/>
        <w:rPr>
          <w:rFonts w:ascii="ITC Avant Garde" w:hAnsi="ITC Avant Garde" w:cs="Arial"/>
          <w:color w:val="000000"/>
        </w:rPr>
      </w:pPr>
      <w:r w:rsidRPr="00F82BE7">
        <w:rPr>
          <w:rFonts w:ascii="ITC Avant Garde" w:hAnsi="ITC Avant Garde" w:cs="Arial"/>
          <w:color w:val="000000"/>
        </w:rPr>
        <w:t xml:space="preserve">Debería restringirse exclusivamente al ámbito de neutralidad competitiva en las relaciones con la Administración. </w:t>
      </w:r>
    </w:p>
    <w:p w:rsidR="00D55B2E" w:rsidRPr="00F82BE7" w:rsidRDefault="00D55B2E" w:rsidP="0033377C">
      <w:pPr>
        <w:pStyle w:val="Prrafodelista"/>
        <w:numPr>
          <w:ilvl w:val="0"/>
          <w:numId w:val="8"/>
        </w:numPr>
        <w:spacing w:line="276" w:lineRule="auto"/>
        <w:jc w:val="both"/>
        <w:rPr>
          <w:rFonts w:ascii="ITC Avant Garde" w:hAnsi="ITC Avant Garde" w:cs="Arial"/>
          <w:color w:val="000000"/>
        </w:rPr>
      </w:pPr>
      <w:r w:rsidRPr="00F82BE7">
        <w:rPr>
          <w:rFonts w:ascii="ITC Avant Garde" w:hAnsi="ITC Avant Garde" w:cs="Arial"/>
          <w:color w:val="000000"/>
        </w:rPr>
        <w:t>El contenido de la información necesaria a suministrar al Instituto sería exclusivamente la información relativa a contratación con la Administración Pública en el caso que ésta se produjera, de manera que el Instituto pudiera comprobar la neutralidad.</w:t>
      </w:r>
    </w:p>
    <w:p w:rsidR="00D55B2E" w:rsidRPr="00F82BE7" w:rsidRDefault="00D55B2E" w:rsidP="0033377C">
      <w:pPr>
        <w:spacing w:line="276" w:lineRule="auto"/>
        <w:jc w:val="both"/>
        <w:rPr>
          <w:rFonts w:ascii="ITC Avant Garde" w:hAnsi="ITC Avant Garde" w:cs="Arial"/>
          <w:color w:val="000000"/>
        </w:rPr>
      </w:pPr>
      <w:r w:rsidRPr="00F82BE7">
        <w:rPr>
          <w:rFonts w:ascii="ITC Avant Garde" w:hAnsi="ITC Avant Garde" w:cs="Arial"/>
          <w:color w:val="000000"/>
        </w:rPr>
        <w:t>Otro participante (PROMTEL) señaló que la separación contable podría generar costos que afecten el desarrollo y correcto desenvolvimiento del proyecto de la red compartida. También comentó que en el proyecto de separación contable se integra bajo un mismo análisis a las redes compartidas, los agentes económicos preponderantes y aqu</w:t>
      </w:r>
      <w:r w:rsidR="00EF559A">
        <w:rPr>
          <w:rFonts w:ascii="ITC Avant Garde" w:hAnsi="ITC Avant Garde" w:cs="Arial"/>
          <w:color w:val="000000"/>
        </w:rPr>
        <w:t>e</w:t>
      </w:r>
      <w:r w:rsidRPr="00F82BE7">
        <w:rPr>
          <w:rFonts w:ascii="ITC Avant Garde" w:hAnsi="ITC Avant Garde" w:cs="Arial"/>
          <w:color w:val="000000"/>
        </w:rPr>
        <w:t>llos declarados con poder sustancial, aún y cuando cada agente económico mantiene una calidad jurídica y características distintas.</w:t>
      </w:r>
      <w:r w:rsidR="00E37012">
        <w:rPr>
          <w:rFonts w:ascii="ITC Avant Garde" w:hAnsi="ITC Avant Garde" w:cs="Arial"/>
          <w:color w:val="000000"/>
        </w:rPr>
        <w:t xml:space="preserve"> </w:t>
      </w:r>
    </w:p>
    <w:p w:rsidR="00D55B2E" w:rsidRPr="00F82BE7" w:rsidRDefault="00D55B2E"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Además, </w:t>
      </w:r>
      <w:r w:rsidR="002705EA" w:rsidRPr="00F82BE7">
        <w:rPr>
          <w:rFonts w:ascii="ITC Avant Garde" w:hAnsi="ITC Avant Garde" w:cs="Arial"/>
          <w:color w:val="000000"/>
        </w:rPr>
        <w:t>el participante (</w:t>
      </w:r>
      <w:r w:rsidRPr="00F82BE7">
        <w:rPr>
          <w:rFonts w:ascii="ITC Avant Garde" w:hAnsi="ITC Avant Garde" w:cs="Arial"/>
          <w:color w:val="000000"/>
        </w:rPr>
        <w:t>PROMTEL</w:t>
      </w:r>
      <w:r w:rsidR="002705EA" w:rsidRPr="00F82BE7">
        <w:rPr>
          <w:rFonts w:ascii="ITC Avant Garde" w:hAnsi="ITC Avant Garde" w:cs="Arial"/>
          <w:color w:val="000000"/>
        </w:rPr>
        <w:t>)</w:t>
      </w:r>
      <w:r w:rsidRPr="00F82BE7">
        <w:rPr>
          <w:rFonts w:ascii="ITC Avant Garde" w:hAnsi="ITC Avant Garde" w:cs="Arial"/>
          <w:color w:val="000000"/>
        </w:rPr>
        <w:t xml:space="preserve"> señaló que la obligación establecida en el artículo 141 de la LFTR no es aplicable al proyecto de la red compartida, ya que tal motivación es insuficiente para justificar la imposición de la medida. </w:t>
      </w:r>
      <w:r w:rsidR="00E37012">
        <w:rPr>
          <w:rFonts w:ascii="ITC Avant Garde" w:hAnsi="ITC Avant Garde" w:cs="Arial"/>
          <w:color w:val="000000"/>
        </w:rPr>
        <w:t>Señaló que d</w:t>
      </w:r>
      <w:r w:rsidRPr="00F82BE7">
        <w:rPr>
          <w:rFonts w:ascii="ITC Avant Garde" w:hAnsi="ITC Avant Garde" w:cs="Arial"/>
          <w:color w:val="000000"/>
        </w:rPr>
        <w:t xml:space="preserve">icho artículo atribuye de forma específica la obligación a los concesionarios con </w:t>
      </w:r>
      <w:r w:rsidRPr="00F82BE7">
        <w:rPr>
          <w:rFonts w:ascii="ITC Avant Garde" w:hAnsi="ITC Avant Garde" w:cs="Arial"/>
          <w:color w:val="000000"/>
        </w:rPr>
        <w:lastRenderedPageBreak/>
        <w:t xml:space="preserve">participación pública. En este sentido, </w:t>
      </w:r>
      <w:r w:rsidR="00E37012">
        <w:rPr>
          <w:rFonts w:ascii="ITC Avant Garde" w:hAnsi="ITC Avant Garde" w:cs="Arial"/>
          <w:color w:val="000000"/>
        </w:rPr>
        <w:t>comentó</w:t>
      </w:r>
      <w:r w:rsidRPr="00F82BE7">
        <w:rPr>
          <w:rFonts w:ascii="ITC Avant Garde" w:hAnsi="ITC Avant Garde" w:cs="Arial"/>
          <w:color w:val="000000"/>
        </w:rPr>
        <w:t xml:space="preserve"> que la relación entre Altán Redes y PROMTEL es puramente contractual, a través del contrato de Asociación Público-Privada (APP), y conforme a este no se le otorga a PROMTEL ningún tipo de participación en la toma de decisiones para la operación o desarrollo de la red compartida. Por lo tanto, el proyecto de la red compartida se desarrolla de forma privada por Altán Redes quien establece su esquema de negocios de forma independiente; PROMTEL tampoco es capaz de tomar decisiones administrativas, ya que no tiene ninguna injerencia en la sociedad de Altán Redes. Aunado a lo anterior, coment</w:t>
      </w:r>
      <w:r w:rsidR="00E37012">
        <w:rPr>
          <w:rFonts w:ascii="ITC Avant Garde" w:hAnsi="ITC Avant Garde" w:cs="Arial"/>
          <w:color w:val="000000"/>
        </w:rPr>
        <w:t>ó</w:t>
      </w:r>
      <w:r w:rsidRPr="00F82BE7">
        <w:rPr>
          <w:rFonts w:ascii="ITC Avant Garde" w:hAnsi="ITC Avant Garde" w:cs="Arial"/>
          <w:color w:val="000000"/>
        </w:rPr>
        <w:t xml:space="preserve"> que el mismo contrato de APP establece de forma clara que el riesgo, la financiación y en general la responsabilidad de concretar el proyecto de la red compartida pertenece de forma exclusiva a Altán Redes.</w:t>
      </w:r>
    </w:p>
    <w:p w:rsidR="00D55B2E" w:rsidRPr="00F82BE7" w:rsidRDefault="00D55B2E"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De la misma forma, </w:t>
      </w:r>
      <w:r w:rsidR="002705EA" w:rsidRPr="00F82BE7">
        <w:rPr>
          <w:rFonts w:ascii="ITC Avant Garde" w:hAnsi="ITC Avant Garde" w:cs="Arial"/>
          <w:color w:val="000000"/>
        </w:rPr>
        <w:t>el participante (</w:t>
      </w:r>
      <w:r w:rsidRPr="00F82BE7">
        <w:rPr>
          <w:rFonts w:ascii="ITC Avant Garde" w:hAnsi="ITC Avant Garde" w:cs="Arial"/>
          <w:color w:val="000000"/>
        </w:rPr>
        <w:t>PROMTEL</w:t>
      </w:r>
      <w:r w:rsidR="002705EA" w:rsidRPr="00F82BE7">
        <w:rPr>
          <w:rFonts w:ascii="ITC Avant Garde" w:hAnsi="ITC Avant Garde" w:cs="Arial"/>
          <w:color w:val="000000"/>
        </w:rPr>
        <w:t>)</w:t>
      </w:r>
      <w:r w:rsidRPr="00F82BE7">
        <w:rPr>
          <w:rFonts w:ascii="ITC Avant Garde" w:hAnsi="ITC Avant Garde" w:cs="Arial"/>
          <w:color w:val="000000"/>
        </w:rPr>
        <w:t xml:space="preserve"> indicó que Altán Redes, a través de su título de concesión, ya cuenta con la obligación de tener cuentas separadas en la condición 18.2 de su título de concesión.</w:t>
      </w:r>
    </w:p>
    <w:p w:rsidR="00D55B2E" w:rsidRPr="00F82BE7" w:rsidRDefault="00D55B2E"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Por otro lado, </w:t>
      </w:r>
      <w:r w:rsidR="002705EA" w:rsidRPr="00F82BE7">
        <w:rPr>
          <w:rFonts w:ascii="ITC Avant Garde" w:hAnsi="ITC Avant Garde" w:cs="Arial"/>
          <w:color w:val="000000"/>
        </w:rPr>
        <w:t>el participante (</w:t>
      </w:r>
      <w:r w:rsidRPr="00F82BE7">
        <w:rPr>
          <w:rFonts w:ascii="ITC Avant Garde" w:hAnsi="ITC Avant Garde" w:cs="Arial"/>
          <w:color w:val="000000"/>
        </w:rPr>
        <w:t>PROMTEL</w:t>
      </w:r>
      <w:r w:rsidR="002705EA" w:rsidRPr="00F82BE7">
        <w:rPr>
          <w:rFonts w:ascii="ITC Avant Garde" w:hAnsi="ITC Avant Garde" w:cs="Arial"/>
          <w:color w:val="000000"/>
        </w:rPr>
        <w:t>)</w:t>
      </w:r>
      <w:r w:rsidRPr="00F82BE7">
        <w:rPr>
          <w:rFonts w:ascii="ITC Avant Garde" w:hAnsi="ITC Avant Garde" w:cs="Arial"/>
          <w:color w:val="000000"/>
        </w:rPr>
        <w:t xml:space="preserve"> señaló que la APP conformada entre Altán Redes y PROMTEL no representa un riesgo a la neutralidad y </w:t>
      </w:r>
      <w:r w:rsidR="00EF559A">
        <w:rPr>
          <w:rFonts w:ascii="ITC Avant Garde" w:hAnsi="ITC Avant Garde" w:cs="Arial"/>
          <w:color w:val="000000"/>
        </w:rPr>
        <w:t xml:space="preserve">que </w:t>
      </w:r>
      <w:r w:rsidRPr="00F82BE7">
        <w:rPr>
          <w:rFonts w:ascii="ITC Avant Garde" w:hAnsi="ITC Avant Garde" w:cs="Arial"/>
          <w:color w:val="000000"/>
        </w:rPr>
        <w:t xml:space="preserve">la regulación a dicho principio ya ha sido establecida por el Instituto mediante el título de concesión. </w:t>
      </w:r>
      <w:r w:rsidR="00011936">
        <w:rPr>
          <w:rFonts w:ascii="ITC Avant Garde" w:hAnsi="ITC Avant Garde" w:cs="Arial"/>
          <w:color w:val="000000"/>
        </w:rPr>
        <w:t>Asimismo,</w:t>
      </w:r>
      <w:r w:rsidR="008F1274">
        <w:rPr>
          <w:rFonts w:ascii="ITC Avant Garde" w:hAnsi="ITC Avant Garde" w:cs="Arial"/>
          <w:color w:val="000000"/>
        </w:rPr>
        <w:t xml:space="preserve"> s</w:t>
      </w:r>
      <w:r w:rsidRPr="00F82BE7">
        <w:rPr>
          <w:rFonts w:ascii="ITC Avant Garde" w:hAnsi="ITC Avant Garde" w:cs="Arial"/>
          <w:color w:val="000000"/>
        </w:rPr>
        <w:t>eñal</w:t>
      </w:r>
      <w:r w:rsidR="00CF18D6">
        <w:rPr>
          <w:rFonts w:ascii="ITC Avant Garde" w:hAnsi="ITC Avant Garde" w:cs="Arial"/>
          <w:color w:val="000000"/>
        </w:rPr>
        <w:t>ó</w:t>
      </w:r>
      <w:r w:rsidRPr="00F82BE7">
        <w:rPr>
          <w:rFonts w:ascii="ITC Avant Garde" w:hAnsi="ITC Avant Garde" w:cs="Arial"/>
          <w:color w:val="000000"/>
        </w:rPr>
        <w:t xml:space="preserve"> que para asegurar la neutralidad competitiva de empresas públicas, algunas veces es posible que se impongan obligaciones de contabilidad separada, con la finalidad de contabilizar los subsidios cruzados de manera adecuada, entre otros, lo cual no tiene sentido para una empresa privada como Altán</w:t>
      </w:r>
      <w:r w:rsidR="002705EA" w:rsidRPr="00F82BE7">
        <w:rPr>
          <w:rFonts w:ascii="ITC Avant Garde" w:hAnsi="ITC Avant Garde" w:cs="Arial"/>
          <w:color w:val="000000"/>
        </w:rPr>
        <w:t xml:space="preserve"> Redes</w:t>
      </w:r>
      <w:r w:rsidRPr="00F82BE7">
        <w:rPr>
          <w:rFonts w:ascii="ITC Avant Garde" w:hAnsi="ITC Avant Garde" w:cs="Arial"/>
          <w:color w:val="000000"/>
        </w:rPr>
        <w:t xml:space="preserve"> que no tiene poder sustancial de mercado y no es beneficiario de subsidios públicos de ningún tipo.</w:t>
      </w:r>
    </w:p>
    <w:p w:rsidR="00D55B2E" w:rsidRPr="00F82BE7" w:rsidRDefault="008841A3" w:rsidP="0033377C">
      <w:pPr>
        <w:spacing w:line="276" w:lineRule="auto"/>
        <w:jc w:val="both"/>
        <w:rPr>
          <w:rFonts w:ascii="ITC Avant Garde" w:hAnsi="ITC Avant Garde" w:cs="Arial"/>
          <w:color w:val="000000"/>
        </w:rPr>
      </w:pPr>
      <w:r>
        <w:rPr>
          <w:rFonts w:ascii="ITC Avant Garde" w:hAnsi="ITC Avant Garde" w:cs="Arial"/>
          <w:color w:val="000000"/>
        </w:rPr>
        <w:t>El participante (</w:t>
      </w:r>
      <w:r w:rsidR="00D55B2E" w:rsidRPr="00F82BE7">
        <w:rPr>
          <w:rFonts w:ascii="ITC Avant Garde" w:hAnsi="ITC Avant Garde" w:cs="Arial"/>
          <w:color w:val="000000"/>
        </w:rPr>
        <w:t>PROMTEL</w:t>
      </w:r>
      <w:r>
        <w:rPr>
          <w:rFonts w:ascii="ITC Avant Garde" w:hAnsi="ITC Avant Garde" w:cs="Arial"/>
          <w:color w:val="000000"/>
        </w:rPr>
        <w:t>)</w:t>
      </w:r>
      <w:r w:rsidR="00D55B2E" w:rsidRPr="00F82BE7">
        <w:rPr>
          <w:rFonts w:ascii="ITC Avant Garde" w:hAnsi="ITC Avant Garde" w:cs="Arial"/>
          <w:color w:val="000000"/>
        </w:rPr>
        <w:t xml:space="preserve"> también comentó que el </w:t>
      </w:r>
      <w:r w:rsidR="00B62228">
        <w:rPr>
          <w:rFonts w:ascii="ITC Avant Garde" w:hAnsi="ITC Avant Garde" w:cs="Arial"/>
          <w:color w:val="000000"/>
        </w:rPr>
        <w:t>A</w:t>
      </w:r>
      <w:r w:rsidR="00D55B2E" w:rsidRPr="00F82BE7">
        <w:rPr>
          <w:rFonts w:ascii="ITC Avant Garde" w:hAnsi="ITC Avant Garde" w:cs="Arial"/>
          <w:color w:val="000000"/>
        </w:rPr>
        <w:t xml:space="preserve">nteproyecto, en los términos en los que </w:t>
      </w:r>
      <w:r>
        <w:rPr>
          <w:rFonts w:ascii="ITC Avant Garde" w:hAnsi="ITC Avant Garde" w:cs="Arial"/>
          <w:color w:val="000000"/>
        </w:rPr>
        <w:t>fue</w:t>
      </w:r>
      <w:r w:rsidR="00D55B2E" w:rsidRPr="00F82BE7">
        <w:rPr>
          <w:rFonts w:ascii="ITC Avant Garde" w:hAnsi="ITC Avant Garde" w:cs="Arial"/>
          <w:color w:val="000000"/>
        </w:rPr>
        <w:t xml:space="preserve"> planteado, es contrario a las condiciones bajo las cuales se desarrolló el concurso de APP</w:t>
      </w:r>
      <w:r>
        <w:rPr>
          <w:rFonts w:ascii="ITC Avant Garde" w:hAnsi="ITC Avant Garde" w:cs="Arial"/>
          <w:color w:val="000000"/>
        </w:rPr>
        <w:t xml:space="preserve"> de la red compartida,</w:t>
      </w:r>
      <w:r w:rsidR="00D55B2E" w:rsidRPr="00F82BE7">
        <w:rPr>
          <w:rFonts w:ascii="ITC Avant Garde" w:hAnsi="ITC Avant Garde" w:cs="Arial"/>
          <w:color w:val="000000"/>
        </w:rPr>
        <w:t xml:space="preserve"> y crea incertidumbre sobre la regulación que deberá ser aplicable a</w:t>
      </w:r>
      <w:r>
        <w:rPr>
          <w:rFonts w:ascii="ITC Avant Garde" w:hAnsi="ITC Avant Garde" w:cs="Arial"/>
          <w:color w:val="000000"/>
        </w:rPr>
        <w:t xml:space="preserve"> dicho</w:t>
      </w:r>
      <w:r w:rsidR="00D55B2E" w:rsidRPr="00F82BE7">
        <w:rPr>
          <w:rFonts w:ascii="ITC Avant Garde" w:hAnsi="ITC Avant Garde" w:cs="Arial"/>
          <w:color w:val="000000"/>
        </w:rPr>
        <w:t xml:space="preserve"> proyecto en materia de neutralidad a la competencia. Además, señaló que el anteproyecto de separación contable generaría una carga regulatoria adicional redundante que no pudo ser prevista por Altán Redes en el momento de participar en el proceso del concurso de la red compartida.</w:t>
      </w:r>
    </w:p>
    <w:p w:rsidR="00D55B2E" w:rsidRPr="00F82BE7" w:rsidRDefault="00D55B2E"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Adicionalmente, </w:t>
      </w:r>
      <w:r w:rsidR="009635D0">
        <w:rPr>
          <w:rFonts w:ascii="ITC Avant Garde" w:hAnsi="ITC Avant Garde" w:cs="Arial"/>
          <w:color w:val="000000"/>
        </w:rPr>
        <w:t>el participante (</w:t>
      </w:r>
      <w:r w:rsidRPr="00F82BE7">
        <w:rPr>
          <w:rFonts w:ascii="ITC Avant Garde" w:hAnsi="ITC Avant Garde" w:cs="Arial"/>
          <w:color w:val="000000"/>
        </w:rPr>
        <w:t>PROMTEL</w:t>
      </w:r>
      <w:r w:rsidR="009635D0">
        <w:rPr>
          <w:rFonts w:ascii="ITC Avant Garde" w:hAnsi="ITC Avant Garde" w:cs="Arial"/>
          <w:color w:val="000000"/>
        </w:rPr>
        <w:t>)</w:t>
      </w:r>
      <w:r w:rsidRPr="00F82BE7">
        <w:rPr>
          <w:rFonts w:ascii="ITC Avant Garde" w:hAnsi="ITC Avant Garde" w:cs="Arial"/>
          <w:color w:val="000000"/>
        </w:rPr>
        <w:t xml:space="preserve"> señaló que el anteproyecto de separación contable debe establecer supuestos de excepción dependiendo de la naturaleza y características de otras redes compartidas distintas al proyecto de la red compartida que surjan en el mercado con base en las mejores prácticas internacionales, a fin de decidir si la regulación de separación contable debe aplicarse a una red compartida mayorista en particular y con ello identificar si la red compartida mayorista de que se trate tiene la capacidad o los incentivos para </w:t>
      </w:r>
      <w:r w:rsidRPr="00F82BE7">
        <w:rPr>
          <w:rFonts w:ascii="ITC Avant Garde" w:hAnsi="ITC Avant Garde" w:cs="Arial"/>
          <w:color w:val="000000"/>
        </w:rPr>
        <w:lastRenderedPageBreak/>
        <w:t>afectar el principio de neutralidad, o bien si se justifica la imposición de la obligación de contabilidad separada.</w:t>
      </w:r>
    </w:p>
    <w:p w:rsidR="00D55B2E" w:rsidRPr="00F82BE7" w:rsidRDefault="00F96956" w:rsidP="0033377C">
      <w:pPr>
        <w:spacing w:line="276" w:lineRule="auto"/>
        <w:jc w:val="both"/>
        <w:rPr>
          <w:rFonts w:ascii="ITC Avant Garde" w:hAnsi="ITC Avant Garde" w:cs="Arial"/>
          <w:i/>
          <w:color w:val="000000"/>
        </w:rPr>
      </w:pPr>
      <w:r>
        <w:rPr>
          <w:rFonts w:ascii="ITC Avant Garde" w:hAnsi="ITC Avant Garde" w:cs="Arial"/>
          <w:i/>
          <w:color w:val="000000"/>
        </w:rPr>
        <w:t>Consideraciones</w:t>
      </w:r>
      <w:r w:rsidRPr="00F82BE7" w:rsidDel="00F96956">
        <w:rPr>
          <w:rFonts w:ascii="ITC Avant Garde" w:hAnsi="ITC Avant Garde" w:cs="Arial"/>
          <w:i/>
          <w:color w:val="000000"/>
        </w:rPr>
        <w:t xml:space="preserve"> </w:t>
      </w:r>
      <w:r w:rsidR="00D55B2E" w:rsidRPr="00F82BE7">
        <w:rPr>
          <w:rFonts w:ascii="ITC Avant Garde" w:hAnsi="ITC Avant Garde" w:cs="Arial"/>
          <w:i/>
          <w:color w:val="000000"/>
        </w:rPr>
        <w:t>del Instituto</w:t>
      </w:r>
    </w:p>
    <w:p w:rsidR="001D5726" w:rsidRPr="007C3E4F" w:rsidRDefault="00D55B2E"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Sobre la </w:t>
      </w:r>
      <w:r w:rsidR="00876C9D">
        <w:rPr>
          <w:rFonts w:ascii="ITC Avant Garde" w:hAnsi="ITC Avant Garde" w:cs="Arial"/>
          <w:color w:val="000000"/>
        </w:rPr>
        <w:t xml:space="preserve">solicitud de aclarar </w:t>
      </w:r>
      <w:r w:rsidR="00876C9D" w:rsidRPr="00F82BE7">
        <w:rPr>
          <w:rFonts w:ascii="ITC Avant Garde" w:hAnsi="ITC Avant Garde" w:cs="Arial"/>
          <w:color w:val="000000"/>
        </w:rPr>
        <w:t>si los formatos requeridos a las redes compartidas deben apegarse a principios de contabilidad y si deberían ser firmados por auditores externos</w:t>
      </w:r>
      <w:r w:rsidR="00876C9D">
        <w:rPr>
          <w:rFonts w:ascii="ITC Avant Garde" w:hAnsi="ITC Avant Garde" w:cs="Arial"/>
          <w:color w:val="000000"/>
        </w:rPr>
        <w:t xml:space="preserve">, se señala que </w:t>
      </w:r>
      <w:r w:rsidR="00695BA7">
        <w:rPr>
          <w:rFonts w:ascii="ITC Avant Garde" w:hAnsi="ITC Avant Garde" w:cs="Arial"/>
          <w:color w:val="000000"/>
        </w:rPr>
        <w:t xml:space="preserve">se realizaron adecuaciones al Anteproyecto </w:t>
      </w:r>
      <w:r w:rsidR="001D5726">
        <w:rPr>
          <w:rFonts w:ascii="ITC Avant Garde" w:hAnsi="ITC Avant Garde" w:cs="Arial"/>
          <w:color w:val="000000"/>
        </w:rPr>
        <w:t>a fin de dar mayor claridad sobre los principios</w:t>
      </w:r>
      <w:r w:rsidR="00E256BB">
        <w:rPr>
          <w:rFonts w:ascii="ITC Avant Garde" w:hAnsi="ITC Avant Garde" w:cs="Arial"/>
          <w:color w:val="000000"/>
        </w:rPr>
        <w:t xml:space="preserve"> aplicables</w:t>
      </w:r>
      <w:r w:rsidR="00695BA7">
        <w:rPr>
          <w:rFonts w:ascii="ITC Avant Garde" w:hAnsi="ITC Avant Garde" w:cs="Arial"/>
          <w:color w:val="000000"/>
        </w:rPr>
        <w:t xml:space="preserve">. De esta manera, </w:t>
      </w:r>
      <w:r w:rsidR="001D5726">
        <w:rPr>
          <w:rFonts w:ascii="ITC Avant Garde" w:hAnsi="ITC Avant Garde" w:cs="Arial"/>
          <w:color w:val="000000"/>
        </w:rPr>
        <w:t xml:space="preserve">en la disposición CUARTA del Acuerdo se establecieron los principios </w:t>
      </w:r>
      <w:r w:rsidR="00E256BB">
        <w:rPr>
          <w:rFonts w:ascii="ITC Avant Garde" w:hAnsi="ITC Avant Garde" w:cs="Arial"/>
          <w:color w:val="000000"/>
        </w:rPr>
        <w:t xml:space="preserve">que se deben cumplir </w:t>
      </w:r>
      <w:r w:rsidR="001D5726">
        <w:rPr>
          <w:rFonts w:ascii="ITC Avant Garde" w:hAnsi="ITC Avant Garde" w:cs="Arial"/>
          <w:color w:val="000000"/>
        </w:rPr>
        <w:t xml:space="preserve">en la implementación de la separación contable. Los principios </w:t>
      </w:r>
      <w:r w:rsidR="00E256BB">
        <w:rPr>
          <w:rFonts w:ascii="ITC Avant Garde" w:hAnsi="ITC Avant Garde" w:cs="Arial"/>
          <w:color w:val="000000"/>
        </w:rPr>
        <w:t>establecidos fueron los siguientes</w:t>
      </w:r>
      <w:r w:rsidRPr="00F82BE7">
        <w:rPr>
          <w:rFonts w:ascii="ITC Avant Garde" w:hAnsi="ITC Avant Garde" w:cs="Arial"/>
          <w:color w:val="000000"/>
        </w:rPr>
        <w:t xml:space="preserve">: </w:t>
      </w:r>
      <w:r w:rsidR="00876C9D" w:rsidRPr="00F82BE7">
        <w:rPr>
          <w:rFonts w:ascii="ITC Avant Garde" w:hAnsi="ITC Avant Garde" w:cs="Arial"/>
          <w:color w:val="000000"/>
        </w:rPr>
        <w:t>auditabilidad</w:t>
      </w:r>
      <w:r w:rsidR="00876C9D">
        <w:rPr>
          <w:rFonts w:ascii="ITC Avant Garde" w:hAnsi="ITC Avant Garde" w:cs="Arial"/>
          <w:color w:val="000000"/>
        </w:rPr>
        <w:t xml:space="preserve">, </w:t>
      </w:r>
      <w:r w:rsidRPr="00F82BE7">
        <w:rPr>
          <w:rFonts w:ascii="ITC Avant Garde" w:hAnsi="ITC Avant Garde" w:cs="Arial"/>
          <w:color w:val="000000"/>
        </w:rPr>
        <w:t xml:space="preserve">causalidad, </w:t>
      </w:r>
      <w:r w:rsidR="00876C9D" w:rsidRPr="00F82BE7">
        <w:rPr>
          <w:rFonts w:ascii="ITC Avant Garde" w:hAnsi="ITC Avant Garde" w:cs="Arial"/>
          <w:color w:val="000000"/>
        </w:rPr>
        <w:t>conciliación</w:t>
      </w:r>
      <w:r w:rsidR="00876C9D">
        <w:rPr>
          <w:rFonts w:ascii="ITC Avant Garde" w:hAnsi="ITC Avant Garde" w:cs="Arial"/>
          <w:color w:val="000000"/>
        </w:rPr>
        <w:t xml:space="preserve">, </w:t>
      </w:r>
      <w:r w:rsidR="00876C9D" w:rsidRPr="00F82BE7">
        <w:rPr>
          <w:rFonts w:ascii="ITC Avant Garde" w:hAnsi="ITC Avant Garde" w:cs="Arial"/>
          <w:color w:val="000000"/>
        </w:rPr>
        <w:t>consistencia</w:t>
      </w:r>
      <w:r w:rsidR="00876C9D">
        <w:rPr>
          <w:rFonts w:ascii="ITC Avant Garde" w:hAnsi="ITC Avant Garde" w:cs="Arial"/>
          <w:color w:val="000000"/>
        </w:rPr>
        <w:t xml:space="preserve">, </w:t>
      </w:r>
      <w:r w:rsidR="00876C9D" w:rsidRPr="00F82BE7">
        <w:rPr>
          <w:rFonts w:ascii="ITC Avant Garde" w:hAnsi="ITC Avant Garde" w:cs="Arial"/>
          <w:color w:val="000000"/>
        </w:rPr>
        <w:t>materialidad</w:t>
      </w:r>
      <w:r w:rsidR="00876C9D">
        <w:rPr>
          <w:rFonts w:ascii="ITC Avant Garde" w:hAnsi="ITC Avant Garde" w:cs="Arial"/>
          <w:color w:val="000000"/>
        </w:rPr>
        <w:t xml:space="preserve">, neutralidad, </w:t>
      </w:r>
      <w:r w:rsidR="00876C9D" w:rsidRPr="00F82BE7">
        <w:rPr>
          <w:rFonts w:ascii="ITC Avant Garde" w:hAnsi="ITC Avant Garde" w:cs="Arial"/>
          <w:color w:val="000000"/>
        </w:rPr>
        <w:t>no compensación</w:t>
      </w:r>
      <w:r w:rsidR="00876C9D">
        <w:rPr>
          <w:rFonts w:ascii="ITC Avant Garde" w:hAnsi="ITC Avant Garde" w:cs="Arial"/>
          <w:color w:val="000000"/>
        </w:rPr>
        <w:t xml:space="preserve">, </w:t>
      </w:r>
      <w:r w:rsidR="00876C9D" w:rsidRPr="00F82BE7">
        <w:rPr>
          <w:rFonts w:ascii="ITC Avant Garde" w:hAnsi="ITC Avant Garde" w:cs="Arial"/>
          <w:color w:val="000000"/>
        </w:rPr>
        <w:t>no discriminación</w:t>
      </w:r>
      <w:r w:rsidR="00876C9D">
        <w:rPr>
          <w:rFonts w:ascii="ITC Avant Garde" w:hAnsi="ITC Avant Garde" w:cs="Arial"/>
          <w:color w:val="000000"/>
        </w:rPr>
        <w:t xml:space="preserve">, </w:t>
      </w:r>
      <w:r w:rsidR="00876C9D" w:rsidRPr="00F82BE7">
        <w:rPr>
          <w:rFonts w:ascii="ITC Avant Garde" w:hAnsi="ITC Avant Garde" w:cs="Arial"/>
          <w:color w:val="000000"/>
        </w:rPr>
        <w:t>objetividad</w:t>
      </w:r>
      <w:r w:rsidR="00876C9D">
        <w:rPr>
          <w:rFonts w:ascii="ITC Avant Garde" w:hAnsi="ITC Avant Garde" w:cs="Arial"/>
          <w:color w:val="000000"/>
        </w:rPr>
        <w:t xml:space="preserve">, </w:t>
      </w:r>
      <w:r w:rsidRPr="00F82BE7">
        <w:rPr>
          <w:rFonts w:ascii="ITC Avant Garde" w:hAnsi="ITC Avant Garde" w:cs="Arial"/>
          <w:color w:val="000000"/>
        </w:rPr>
        <w:t>relevancia</w:t>
      </w:r>
      <w:r w:rsidR="00876C9D">
        <w:rPr>
          <w:rFonts w:ascii="ITC Avant Garde" w:hAnsi="ITC Avant Garde" w:cs="Arial"/>
          <w:color w:val="000000"/>
        </w:rPr>
        <w:t xml:space="preserve">, suficiencia y </w:t>
      </w:r>
      <w:r w:rsidR="00876C9D" w:rsidRPr="00F82BE7">
        <w:rPr>
          <w:rFonts w:ascii="ITC Avant Garde" w:hAnsi="ITC Avant Garde" w:cs="Arial"/>
          <w:color w:val="000000"/>
        </w:rPr>
        <w:t>transparencia</w:t>
      </w:r>
      <w:r w:rsidRPr="00F82BE7">
        <w:rPr>
          <w:rFonts w:ascii="ITC Avant Garde" w:hAnsi="ITC Avant Garde" w:cs="Arial"/>
          <w:color w:val="000000"/>
        </w:rPr>
        <w:t xml:space="preserve">. </w:t>
      </w:r>
      <w:r w:rsidR="00876C9D">
        <w:rPr>
          <w:rFonts w:ascii="ITC Avant Garde" w:hAnsi="ITC Avant Garde" w:cs="Arial"/>
          <w:color w:val="000000"/>
        </w:rPr>
        <w:t xml:space="preserve">Cabe resaltar que </w:t>
      </w:r>
      <w:r w:rsidR="00854C88">
        <w:rPr>
          <w:rFonts w:ascii="ITC Avant Garde" w:hAnsi="ITC Avant Garde" w:cs="Arial"/>
          <w:color w:val="000000"/>
        </w:rPr>
        <w:t>derivado de los comentarios recibidos en la consulta pública,</w:t>
      </w:r>
      <w:r w:rsidR="00A759BA">
        <w:rPr>
          <w:rFonts w:ascii="ITC Avant Garde" w:hAnsi="ITC Avant Garde" w:cs="Arial"/>
          <w:color w:val="000000"/>
        </w:rPr>
        <w:t xml:space="preserve"> se realizaron adecuaciones al A</w:t>
      </w:r>
      <w:r w:rsidR="00854C88">
        <w:rPr>
          <w:rFonts w:ascii="ITC Avant Garde" w:hAnsi="ITC Avant Garde" w:cs="Arial"/>
          <w:color w:val="000000"/>
        </w:rPr>
        <w:t>nteproyecto</w:t>
      </w:r>
      <w:r w:rsidR="00A759BA">
        <w:rPr>
          <w:rFonts w:ascii="ITC Avant Garde" w:hAnsi="ITC Avant Garde" w:cs="Arial"/>
          <w:color w:val="000000"/>
        </w:rPr>
        <w:t xml:space="preserve"> en lo que respecta al alcance del principio de auditabilidad. De esta manera</w:t>
      </w:r>
      <w:r w:rsidR="00854C88">
        <w:rPr>
          <w:rFonts w:ascii="ITC Avant Garde" w:hAnsi="ITC Avant Garde" w:cs="Arial"/>
          <w:color w:val="000000"/>
        </w:rPr>
        <w:t xml:space="preserve">, </w:t>
      </w:r>
      <w:r w:rsidR="00876C9D">
        <w:rPr>
          <w:rFonts w:ascii="ITC Avant Garde" w:hAnsi="ITC Avant Garde" w:cs="Arial"/>
          <w:color w:val="000000"/>
        </w:rPr>
        <w:t>los</w:t>
      </w:r>
      <w:r w:rsidR="00876C9D" w:rsidRPr="00876C9D">
        <w:rPr>
          <w:rFonts w:ascii="ITC Avant Garde" w:hAnsi="ITC Avant Garde" w:cs="Arial"/>
          <w:color w:val="000000"/>
        </w:rPr>
        <w:t xml:space="preserve"> entes públicos con carácter de red compartida mayorista </w:t>
      </w:r>
      <w:r w:rsidR="00A759BA">
        <w:rPr>
          <w:rFonts w:ascii="ITC Avant Garde" w:hAnsi="ITC Avant Garde" w:cs="Arial"/>
          <w:color w:val="000000"/>
        </w:rPr>
        <w:t>quedaron</w:t>
      </w:r>
      <w:r w:rsidR="001D5726">
        <w:rPr>
          <w:rFonts w:ascii="ITC Avant Garde" w:hAnsi="ITC Avant Garde" w:cs="Arial"/>
          <w:color w:val="000000"/>
        </w:rPr>
        <w:t xml:space="preserve"> </w:t>
      </w:r>
      <w:r w:rsidR="00876C9D" w:rsidRPr="00876C9D">
        <w:rPr>
          <w:rFonts w:ascii="ITC Avant Garde" w:hAnsi="ITC Avant Garde" w:cs="Arial"/>
          <w:color w:val="000000"/>
        </w:rPr>
        <w:t>exent</w:t>
      </w:r>
      <w:r w:rsidR="001D5726">
        <w:rPr>
          <w:rFonts w:ascii="ITC Avant Garde" w:hAnsi="ITC Avant Garde" w:cs="Arial"/>
          <w:color w:val="000000"/>
        </w:rPr>
        <w:t>os</w:t>
      </w:r>
      <w:r w:rsidR="00876C9D" w:rsidRPr="00876C9D">
        <w:rPr>
          <w:rFonts w:ascii="ITC Avant Garde" w:hAnsi="ITC Avant Garde" w:cs="Arial"/>
          <w:color w:val="000000"/>
        </w:rPr>
        <w:t xml:space="preserve"> de cumplir con el principio de auditabilidad</w:t>
      </w:r>
      <w:r w:rsidR="00876C9D">
        <w:rPr>
          <w:rFonts w:ascii="ITC Avant Garde" w:hAnsi="ITC Avant Garde" w:cs="Arial"/>
          <w:color w:val="000000"/>
        </w:rPr>
        <w:t>, en virtud de que ya entregan información de cuenta pública auditada, lo cual permitirá reducir costos regulatorios.</w:t>
      </w:r>
      <w:r w:rsidR="001048BF">
        <w:rPr>
          <w:rFonts w:ascii="ITC Avant Garde" w:hAnsi="ITC Avant Garde" w:cs="Arial"/>
          <w:color w:val="000000"/>
        </w:rPr>
        <w:t xml:space="preserve"> </w:t>
      </w:r>
    </w:p>
    <w:p w:rsidR="004F30B1" w:rsidRDefault="00D55B2E"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Sobre el comentario de que las redes compartidas deben entregar la información </w:t>
      </w:r>
      <w:r w:rsidR="00C03BA8" w:rsidRPr="00F82BE7">
        <w:rPr>
          <w:rFonts w:ascii="ITC Avant Garde" w:hAnsi="ITC Avant Garde" w:cs="Arial"/>
          <w:color w:val="000000"/>
        </w:rPr>
        <w:t>aplicable a los AEP o agentes económicos con poder sustancial</w:t>
      </w:r>
      <w:r w:rsidRPr="00F82BE7">
        <w:rPr>
          <w:rFonts w:ascii="ITC Avant Garde" w:hAnsi="ITC Avant Garde" w:cs="Arial"/>
          <w:color w:val="000000"/>
        </w:rPr>
        <w:t xml:space="preserve">, se señala que en virtud de que las redes compartidas no son </w:t>
      </w:r>
      <w:r w:rsidR="004E7D1A" w:rsidRPr="00F82BE7">
        <w:rPr>
          <w:rFonts w:ascii="ITC Avant Garde" w:hAnsi="ITC Avant Garde" w:cs="Arial"/>
          <w:color w:val="000000"/>
        </w:rPr>
        <w:t xml:space="preserve">agentes económicos preponderantes </w:t>
      </w:r>
      <w:r w:rsidRPr="00F82BE7">
        <w:rPr>
          <w:rFonts w:ascii="ITC Avant Garde" w:hAnsi="ITC Avant Garde" w:cs="Arial"/>
          <w:color w:val="000000"/>
        </w:rPr>
        <w:t xml:space="preserve">o agentes con poder sustancial de mercado, no es necesario requerirles información adicional a la establecida en el </w:t>
      </w:r>
      <w:r w:rsidR="00D6607A">
        <w:rPr>
          <w:rFonts w:ascii="ITC Avant Garde" w:hAnsi="ITC Avant Garde" w:cs="Arial"/>
          <w:color w:val="000000"/>
        </w:rPr>
        <w:t>Anteproyecto</w:t>
      </w:r>
      <w:r w:rsidRPr="00F82BE7">
        <w:rPr>
          <w:rFonts w:ascii="ITC Avant Garde" w:hAnsi="ITC Avant Garde" w:cs="Arial"/>
          <w:color w:val="000000"/>
        </w:rPr>
        <w:t xml:space="preserve">, debido a que la separación contable para </w:t>
      </w:r>
      <w:r w:rsidR="00D6607A">
        <w:rPr>
          <w:rFonts w:ascii="ITC Avant Garde" w:hAnsi="ITC Avant Garde" w:cs="Arial"/>
          <w:color w:val="000000"/>
        </w:rPr>
        <w:t>las redes compartidas mayoristas</w:t>
      </w:r>
      <w:r w:rsidRPr="00F82BE7">
        <w:rPr>
          <w:rFonts w:ascii="ITC Avant Garde" w:hAnsi="ITC Avant Garde" w:cs="Arial"/>
          <w:color w:val="000000"/>
        </w:rPr>
        <w:t xml:space="preserve"> tiene la finalidad de identificar que se sujetan al </w:t>
      </w:r>
      <w:r w:rsidRPr="005308AF">
        <w:rPr>
          <w:rFonts w:ascii="ITC Avant Garde" w:hAnsi="ITC Avant Garde" w:cs="Arial"/>
          <w:color w:val="000000"/>
        </w:rPr>
        <w:t>principio de neutralidad a la competencia</w:t>
      </w:r>
      <w:r w:rsidR="00020BFD" w:rsidRPr="000B412D">
        <w:rPr>
          <w:rFonts w:ascii="ITC Avant Garde" w:hAnsi="ITC Avant Garde" w:cs="Arial"/>
          <w:color w:val="000000"/>
        </w:rPr>
        <w:t xml:space="preserve">. </w:t>
      </w:r>
      <w:r w:rsidR="00D6607A">
        <w:rPr>
          <w:rFonts w:ascii="ITC Avant Garde" w:hAnsi="ITC Avant Garde" w:cs="Arial"/>
          <w:color w:val="000000"/>
        </w:rPr>
        <w:t>No obstante</w:t>
      </w:r>
      <w:r w:rsidR="005B6ADF" w:rsidRPr="00F82BE7">
        <w:rPr>
          <w:rFonts w:ascii="ITC Avant Garde" w:hAnsi="ITC Avant Garde" w:cs="Arial"/>
          <w:color w:val="000000"/>
        </w:rPr>
        <w:t xml:space="preserve">, </w:t>
      </w:r>
      <w:r w:rsidR="00D6607A">
        <w:rPr>
          <w:rFonts w:ascii="ITC Avant Garde" w:hAnsi="ITC Avant Garde" w:cs="Arial"/>
          <w:color w:val="000000"/>
        </w:rPr>
        <w:t>se realizaron adecuaciones al Anteproyecto</w:t>
      </w:r>
      <w:r w:rsidR="000D5F91">
        <w:rPr>
          <w:rFonts w:ascii="ITC Avant Garde" w:hAnsi="ITC Avant Garde" w:cs="Arial"/>
          <w:color w:val="000000"/>
        </w:rPr>
        <w:t xml:space="preserve"> </w:t>
      </w:r>
      <w:r w:rsidR="00D6607A">
        <w:rPr>
          <w:rFonts w:ascii="ITC Avant Garde" w:hAnsi="ITC Avant Garde" w:cs="Arial"/>
          <w:color w:val="000000"/>
        </w:rPr>
        <w:t>para</w:t>
      </w:r>
      <w:r w:rsidR="000D5F91">
        <w:rPr>
          <w:rFonts w:ascii="ITC Avant Garde" w:hAnsi="ITC Avant Garde" w:cs="Arial"/>
          <w:color w:val="000000"/>
        </w:rPr>
        <w:t xml:space="preserve"> </w:t>
      </w:r>
      <w:r w:rsidR="009A14D5">
        <w:rPr>
          <w:rFonts w:ascii="ITC Avant Garde" w:hAnsi="ITC Avant Garde" w:cs="Arial"/>
          <w:color w:val="000000"/>
        </w:rPr>
        <w:t xml:space="preserve">señalar claramente </w:t>
      </w:r>
      <w:r w:rsidR="000D5F91">
        <w:rPr>
          <w:rFonts w:ascii="ITC Avant Garde" w:hAnsi="ITC Avant Garde" w:cs="Arial"/>
          <w:color w:val="000000"/>
        </w:rPr>
        <w:t xml:space="preserve">los </w:t>
      </w:r>
      <w:r w:rsidR="004F30B1">
        <w:rPr>
          <w:rFonts w:ascii="ITC Avant Garde" w:hAnsi="ITC Avant Garde" w:cs="Arial"/>
          <w:color w:val="000000"/>
        </w:rPr>
        <w:t>formatos aplicables a las redes compartidas mayoristas</w:t>
      </w:r>
      <w:r w:rsidR="000D5F91">
        <w:rPr>
          <w:rFonts w:ascii="ITC Avant Garde" w:hAnsi="ITC Avant Garde" w:cs="Arial"/>
          <w:color w:val="000000"/>
        </w:rPr>
        <w:t>, los cuales se</w:t>
      </w:r>
      <w:r w:rsidR="004F30B1">
        <w:rPr>
          <w:rFonts w:ascii="ITC Avant Garde" w:hAnsi="ITC Avant Garde" w:cs="Arial"/>
          <w:color w:val="000000"/>
        </w:rPr>
        <w:t xml:space="preserve"> incluye</w:t>
      </w:r>
      <w:r w:rsidR="000D5F91">
        <w:rPr>
          <w:rFonts w:ascii="ITC Avant Garde" w:hAnsi="ITC Avant Garde" w:cs="Arial"/>
          <w:color w:val="000000"/>
        </w:rPr>
        <w:t>ron</w:t>
      </w:r>
      <w:r w:rsidR="004F30B1">
        <w:rPr>
          <w:rFonts w:ascii="ITC Avant Garde" w:hAnsi="ITC Avant Garde" w:cs="Arial"/>
          <w:color w:val="000000"/>
        </w:rPr>
        <w:t xml:space="preserve"> en el </w:t>
      </w:r>
      <w:r w:rsidR="004F30B1" w:rsidRPr="00F82BE7">
        <w:rPr>
          <w:rFonts w:ascii="ITC Avant Garde" w:hAnsi="ITC Avant Garde" w:cs="Arial"/>
          <w:color w:val="000000"/>
        </w:rPr>
        <w:t>APARTADO IV del Acuerdo</w:t>
      </w:r>
      <w:r w:rsidR="000D5F91">
        <w:rPr>
          <w:rFonts w:ascii="ITC Avant Garde" w:hAnsi="ITC Avant Garde" w:cs="Arial"/>
          <w:color w:val="000000"/>
        </w:rPr>
        <w:t xml:space="preserve">: </w:t>
      </w:r>
    </w:p>
    <w:p w:rsidR="009A14D5" w:rsidRPr="000D5F91" w:rsidRDefault="009A14D5" w:rsidP="0033377C">
      <w:pPr>
        <w:pStyle w:val="Prrafodelista"/>
        <w:numPr>
          <w:ilvl w:val="0"/>
          <w:numId w:val="23"/>
        </w:numPr>
        <w:spacing w:line="276" w:lineRule="auto"/>
        <w:jc w:val="both"/>
        <w:rPr>
          <w:rFonts w:ascii="ITC Avant Garde" w:hAnsi="ITC Avant Garde" w:cs="Arial"/>
          <w:color w:val="000000"/>
        </w:rPr>
      </w:pPr>
      <w:r w:rsidRPr="000D5F91">
        <w:rPr>
          <w:rFonts w:ascii="ITC Avant Garde" w:hAnsi="ITC Avant Garde" w:cs="Arial"/>
          <w:color w:val="000000"/>
        </w:rPr>
        <w:t>Estado de pérdidas y ganancias;</w:t>
      </w:r>
    </w:p>
    <w:p w:rsidR="009A14D5" w:rsidRPr="000D5F91" w:rsidRDefault="009A14D5" w:rsidP="0033377C">
      <w:pPr>
        <w:pStyle w:val="Prrafodelista"/>
        <w:numPr>
          <w:ilvl w:val="0"/>
          <w:numId w:val="23"/>
        </w:numPr>
        <w:spacing w:line="276" w:lineRule="auto"/>
        <w:jc w:val="both"/>
        <w:rPr>
          <w:rFonts w:ascii="ITC Avant Garde" w:hAnsi="ITC Avant Garde" w:cs="Arial"/>
          <w:color w:val="000000"/>
        </w:rPr>
      </w:pPr>
      <w:r w:rsidRPr="000D5F91">
        <w:rPr>
          <w:rFonts w:ascii="ITC Avant Garde" w:hAnsi="ITC Avant Garde" w:cs="Arial"/>
          <w:color w:val="000000"/>
        </w:rPr>
        <w:t>Balanza de activos y pasivos;</w:t>
      </w:r>
    </w:p>
    <w:p w:rsidR="009A14D5" w:rsidRPr="000D5F91" w:rsidRDefault="009A14D5" w:rsidP="0033377C">
      <w:pPr>
        <w:pStyle w:val="Prrafodelista"/>
        <w:numPr>
          <w:ilvl w:val="0"/>
          <w:numId w:val="23"/>
        </w:numPr>
        <w:spacing w:line="276" w:lineRule="auto"/>
        <w:jc w:val="both"/>
        <w:rPr>
          <w:rFonts w:ascii="ITC Avant Garde" w:hAnsi="ITC Avant Garde" w:cs="Arial"/>
          <w:color w:val="000000"/>
        </w:rPr>
      </w:pPr>
      <w:r w:rsidRPr="000D5F91">
        <w:rPr>
          <w:rFonts w:ascii="ITC Avant Garde" w:hAnsi="ITC Avant Garde" w:cs="Arial"/>
          <w:color w:val="000000"/>
        </w:rPr>
        <w:t>Estado de Flujos de Efectivo, y</w:t>
      </w:r>
    </w:p>
    <w:p w:rsidR="009A14D5" w:rsidRPr="000D5F91" w:rsidRDefault="009A14D5" w:rsidP="0033377C">
      <w:pPr>
        <w:pStyle w:val="Prrafodelista"/>
        <w:numPr>
          <w:ilvl w:val="0"/>
          <w:numId w:val="23"/>
        </w:numPr>
        <w:spacing w:line="276" w:lineRule="auto"/>
        <w:jc w:val="both"/>
        <w:rPr>
          <w:rFonts w:ascii="ITC Avant Garde" w:hAnsi="ITC Avant Garde" w:cs="Arial"/>
          <w:color w:val="000000"/>
        </w:rPr>
      </w:pPr>
      <w:r w:rsidRPr="000D5F91">
        <w:rPr>
          <w:rFonts w:ascii="ITC Avant Garde" w:hAnsi="ITC Avant Garde" w:cs="Arial"/>
          <w:color w:val="000000"/>
        </w:rPr>
        <w:t>Estudio de precios de transferencia.</w:t>
      </w:r>
    </w:p>
    <w:p w:rsidR="00FF2A5C" w:rsidRPr="005308AF" w:rsidRDefault="00D55B2E" w:rsidP="0033377C">
      <w:pPr>
        <w:spacing w:line="276" w:lineRule="auto"/>
        <w:jc w:val="both"/>
        <w:rPr>
          <w:rFonts w:ascii="ITC Avant Garde" w:hAnsi="ITC Avant Garde"/>
          <w:sz w:val="20"/>
        </w:rPr>
      </w:pPr>
      <w:r w:rsidRPr="00F82BE7">
        <w:rPr>
          <w:rFonts w:ascii="ITC Avant Garde" w:hAnsi="ITC Avant Garde" w:cs="Arial"/>
          <w:color w:val="000000"/>
        </w:rPr>
        <w:t xml:space="preserve">Respecto al comentario de que la red compartida no cuenta con poder sustancial de mercado o es un </w:t>
      </w:r>
      <w:r w:rsidR="00B01154" w:rsidRPr="00F82BE7">
        <w:rPr>
          <w:rFonts w:ascii="ITC Avant Garde" w:hAnsi="ITC Avant Garde" w:cs="Arial"/>
          <w:color w:val="000000"/>
        </w:rPr>
        <w:t>agente económico preponderante</w:t>
      </w:r>
      <w:r w:rsidRPr="00F82BE7">
        <w:rPr>
          <w:rFonts w:ascii="ITC Avant Garde" w:hAnsi="ITC Avant Garde" w:cs="Arial"/>
          <w:color w:val="000000"/>
        </w:rPr>
        <w:t xml:space="preserve"> y que se integra en un análisis con dichos agentes, </w:t>
      </w:r>
      <w:r w:rsidR="00F23696">
        <w:rPr>
          <w:rFonts w:ascii="ITC Avant Garde" w:hAnsi="ITC Avant Garde" w:cs="Arial"/>
          <w:color w:val="000000"/>
        </w:rPr>
        <w:t>se señala que se realizaron adecuaciones al Anteproyecto para identificar de manera</w:t>
      </w:r>
      <w:r w:rsidR="000248F9">
        <w:rPr>
          <w:rFonts w:ascii="ITC Avant Garde" w:hAnsi="ITC Avant Garde" w:cs="Arial"/>
          <w:color w:val="000000"/>
        </w:rPr>
        <w:t xml:space="preserve"> más clar</w:t>
      </w:r>
      <w:r w:rsidR="00814C02">
        <w:rPr>
          <w:rFonts w:ascii="ITC Avant Garde" w:hAnsi="ITC Avant Garde" w:cs="Arial"/>
          <w:color w:val="000000"/>
        </w:rPr>
        <w:t>a</w:t>
      </w:r>
      <w:r w:rsidR="000248F9">
        <w:rPr>
          <w:rFonts w:ascii="ITC Avant Garde" w:hAnsi="ITC Avant Garde" w:cs="Arial"/>
          <w:color w:val="000000"/>
        </w:rPr>
        <w:t xml:space="preserve"> l</w:t>
      </w:r>
      <w:r w:rsidR="00814C02">
        <w:rPr>
          <w:rFonts w:ascii="ITC Avant Garde" w:hAnsi="ITC Avant Garde" w:cs="Arial"/>
          <w:color w:val="000000"/>
        </w:rPr>
        <w:t>a informaci</w:t>
      </w:r>
      <w:r w:rsidR="00EE54F2">
        <w:rPr>
          <w:rFonts w:ascii="ITC Avant Garde" w:hAnsi="ITC Avant Garde" w:cs="Arial"/>
          <w:color w:val="000000"/>
        </w:rPr>
        <w:t xml:space="preserve">ón que deben </w:t>
      </w:r>
      <w:r w:rsidR="00814C02">
        <w:rPr>
          <w:rFonts w:ascii="ITC Avant Garde" w:hAnsi="ITC Avant Garde" w:cs="Arial"/>
          <w:color w:val="000000"/>
        </w:rPr>
        <w:t>entregar</w:t>
      </w:r>
      <w:r w:rsidR="00EE54F2">
        <w:rPr>
          <w:rFonts w:ascii="ITC Avant Garde" w:hAnsi="ITC Avant Garde" w:cs="Arial"/>
          <w:color w:val="000000"/>
        </w:rPr>
        <w:t xml:space="preserve"> los sujetos regulados atendiendo a su naturaleza</w:t>
      </w:r>
      <w:r w:rsidR="000248F9">
        <w:rPr>
          <w:rFonts w:ascii="ITC Avant Garde" w:hAnsi="ITC Avant Garde" w:cs="Arial"/>
          <w:color w:val="000000"/>
        </w:rPr>
        <w:t xml:space="preserve">. En este sentido, se advierte que las redes compartidas mayoristas </w:t>
      </w:r>
      <w:r w:rsidRPr="00F82BE7">
        <w:rPr>
          <w:rFonts w:ascii="ITC Avant Garde" w:hAnsi="ITC Avant Garde" w:cs="Arial"/>
          <w:color w:val="000000"/>
        </w:rPr>
        <w:t xml:space="preserve">solo se </w:t>
      </w:r>
      <w:r w:rsidR="000248F9">
        <w:rPr>
          <w:rFonts w:ascii="ITC Avant Garde" w:hAnsi="ITC Avant Garde" w:cs="Arial"/>
          <w:color w:val="000000"/>
        </w:rPr>
        <w:t xml:space="preserve">encuentran </w:t>
      </w:r>
      <w:r w:rsidRPr="00F82BE7">
        <w:rPr>
          <w:rFonts w:ascii="ITC Avant Garde" w:hAnsi="ITC Avant Garde" w:cs="Arial"/>
          <w:color w:val="000000"/>
        </w:rPr>
        <w:t>obliga</w:t>
      </w:r>
      <w:r w:rsidR="000248F9">
        <w:rPr>
          <w:rFonts w:ascii="ITC Avant Garde" w:hAnsi="ITC Avant Garde" w:cs="Arial"/>
          <w:color w:val="000000"/>
        </w:rPr>
        <w:t>das</w:t>
      </w:r>
      <w:r w:rsidRPr="00F82BE7">
        <w:rPr>
          <w:rFonts w:ascii="ITC Avant Garde" w:hAnsi="ITC Avant Garde" w:cs="Arial"/>
          <w:color w:val="000000"/>
        </w:rPr>
        <w:t xml:space="preserve"> a </w:t>
      </w:r>
      <w:r w:rsidRPr="00F82BE7">
        <w:rPr>
          <w:rFonts w:ascii="ITC Avant Garde" w:hAnsi="ITC Avant Garde" w:cs="Arial"/>
          <w:color w:val="000000"/>
        </w:rPr>
        <w:lastRenderedPageBreak/>
        <w:t>presentar algunos formatos de la metodología de separación contable</w:t>
      </w:r>
      <w:r w:rsidR="009F3EF7">
        <w:rPr>
          <w:rFonts w:ascii="ITC Avant Garde" w:hAnsi="ITC Avant Garde" w:cs="Arial"/>
          <w:color w:val="000000"/>
        </w:rPr>
        <w:t xml:space="preserve"> (formatos del APARTADO IV del Acuerdo)</w:t>
      </w:r>
      <w:r w:rsidRPr="00F82BE7">
        <w:rPr>
          <w:rFonts w:ascii="ITC Avant Garde" w:hAnsi="ITC Avant Garde" w:cs="Arial"/>
          <w:color w:val="000000"/>
        </w:rPr>
        <w:t xml:space="preserve">, y no la totalidad de </w:t>
      </w:r>
      <w:r w:rsidR="00FF2A5C">
        <w:rPr>
          <w:rFonts w:ascii="ITC Avant Garde" w:hAnsi="ITC Avant Garde" w:cs="Arial"/>
          <w:color w:val="000000"/>
        </w:rPr>
        <w:t>los aplicables a los agentes económicos preponderantes o con poder sustancial de mercado</w:t>
      </w:r>
      <w:r w:rsidRPr="00F82BE7">
        <w:rPr>
          <w:rFonts w:ascii="ITC Avant Garde" w:hAnsi="ITC Avant Garde" w:cs="Arial"/>
          <w:color w:val="000000"/>
        </w:rPr>
        <w:t xml:space="preserve">. Además, </w:t>
      </w:r>
      <w:r w:rsidR="00AB3B45">
        <w:rPr>
          <w:rFonts w:ascii="ITC Avant Garde" w:hAnsi="ITC Avant Garde" w:cs="Arial"/>
          <w:color w:val="000000"/>
        </w:rPr>
        <w:t xml:space="preserve">se </w:t>
      </w:r>
      <w:r w:rsidR="00BB6E92">
        <w:rPr>
          <w:rFonts w:ascii="ITC Avant Garde" w:hAnsi="ITC Avant Garde" w:cs="Arial"/>
          <w:color w:val="000000"/>
        </w:rPr>
        <w:t>hicieron</w:t>
      </w:r>
      <w:r w:rsidR="004320D5">
        <w:rPr>
          <w:rFonts w:ascii="ITC Avant Garde" w:hAnsi="ITC Avant Garde" w:cs="Arial"/>
          <w:color w:val="000000"/>
        </w:rPr>
        <w:t xml:space="preserve"> más explícito</w:t>
      </w:r>
      <w:r w:rsidR="00BB6E92">
        <w:rPr>
          <w:rFonts w:ascii="ITC Avant Garde" w:hAnsi="ITC Avant Garde" w:cs="Arial"/>
          <w:color w:val="000000"/>
        </w:rPr>
        <w:t>s</w:t>
      </w:r>
      <w:r w:rsidR="004320D5">
        <w:rPr>
          <w:rFonts w:ascii="ITC Avant Garde" w:hAnsi="ITC Avant Garde" w:cs="Arial"/>
          <w:color w:val="000000"/>
        </w:rPr>
        <w:t xml:space="preserve"> </w:t>
      </w:r>
      <w:r w:rsidRPr="00F82BE7">
        <w:rPr>
          <w:rFonts w:ascii="ITC Avant Garde" w:hAnsi="ITC Avant Garde" w:cs="Arial"/>
          <w:color w:val="000000"/>
        </w:rPr>
        <w:t>los objetivos que se tienen, en el caso de la</w:t>
      </w:r>
      <w:r w:rsidR="005B6ADF" w:rsidRPr="00F82BE7">
        <w:rPr>
          <w:rFonts w:ascii="ITC Avant Garde" w:hAnsi="ITC Avant Garde" w:cs="Arial"/>
          <w:color w:val="000000"/>
        </w:rPr>
        <w:t>s</w:t>
      </w:r>
      <w:r w:rsidRPr="00F82BE7">
        <w:rPr>
          <w:rFonts w:ascii="ITC Avant Garde" w:hAnsi="ITC Avant Garde" w:cs="Arial"/>
          <w:color w:val="000000"/>
        </w:rPr>
        <w:t xml:space="preserve"> red</w:t>
      </w:r>
      <w:r w:rsidR="005B6ADF" w:rsidRPr="00F82BE7">
        <w:rPr>
          <w:rFonts w:ascii="ITC Avant Garde" w:hAnsi="ITC Avant Garde" w:cs="Arial"/>
          <w:color w:val="000000"/>
        </w:rPr>
        <w:t>es</w:t>
      </w:r>
      <w:r w:rsidRPr="00F82BE7">
        <w:rPr>
          <w:rFonts w:ascii="ITC Avant Garde" w:hAnsi="ITC Avant Garde" w:cs="Arial"/>
          <w:color w:val="000000"/>
        </w:rPr>
        <w:t xml:space="preserve"> compartida</w:t>
      </w:r>
      <w:r w:rsidR="005B6ADF" w:rsidRPr="00F82BE7">
        <w:rPr>
          <w:rFonts w:ascii="ITC Avant Garde" w:hAnsi="ITC Avant Garde" w:cs="Arial"/>
          <w:color w:val="000000"/>
        </w:rPr>
        <w:t>s</w:t>
      </w:r>
      <w:r w:rsidRPr="00F82BE7">
        <w:rPr>
          <w:rFonts w:ascii="ITC Avant Garde" w:hAnsi="ITC Avant Garde" w:cs="Arial"/>
          <w:color w:val="000000"/>
        </w:rPr>
        <w:t xml:space="preserve"> mayorista</w:t>
      </w:r>
      <w:r w:rsidR="005B6ADF" w:rsidRPr="00F82BE7">
        <w:rPr>
          <w:rFonts w:ascii="ITC Avant Garde" w:hAnsi="ITC Avant Garde" w:cs="Arial"/>
          <w:color w:val="000000"/>
        </w:rPr>
        <w:t>s</w:t>
      </w:r>
      <w:r w:rsidR="00BC7B5D">
        <w:rPr>
          <w:rFonts w:ascii="ITC Avant Garde" w:hAnsi="ITC Avant Garde" w:cs="Arial"/>
          <w:color w:val="000000"/>
        </w:rPr>
        <w:t>,</w:t>
      </w:r>
      <w:r w:rsidRPr="00F82BE7">
        <w:rPr>
          <w:rFonts w:ascii="ITC Avant Garde" w:hAnsi="ITC Avant Garde" w:cs="Arial"/>
          <w:color w:val="000000"/>
        </w:rPr>
        <w:t xml:space="preserve"> se refieren a identificar que se sujetan al principio de neutralidad a la competencia.</w:t>
      </w:r>
      <w:r w:rsidR="005B6ADF" w:rsidRPr="00F82BE7">
        <w:rPr>
          <w:rFonts w:ascii="ITC Avant Garde" w:hAnsi="ITC Avant Garde" w:cs="Arial"/>
          <w:color w:val="000000"/>
        </w:rPr>
        <w:t xml:space="preserve"> Por lo anterior, el Acuerdo</w:t>
      </w:r>
      <w:r w:rsidR="00D22431">
        <w:rPr>
          <w:rFonts w:ascii="ITC Avant Garde" w:hAnsi="ITC Avant Garde" w:cs="Arial"/>
          <w:color w:val="000000"/>
        </w:rPr>
        <w:t xml:space="preserve"> contiene una división más clara sobre los objetivos que se buscan para cada sujeto obligado, atendiendo a su naturaleza jurídica y sus características</w:t>
      </w:r>
      <w:r w:rsidR="00FF2A5C">
        <w:rPr>
          <w:rFonts w:ascii="ITC Avant Garde" w:hAnsi="ITC Avant Garde" w:cs="Arial"/>
          <w:color w:val="000000"/>
        </w:rPr>
        <w:t xml:space="preserve">, es por ello </w:t>
      </w:r>
      <w:r w:rsidR="00F54F3A">
        <w:rPr>
          <w:rFonts w:ascii="ITC Avant Garde" w:hAnsi="ITC Avant Garde" w:cs="Arial"/>
          <w:color w:val="000000"/>
        </w:rPr>
        <w:t xml:space="preserve">que </w:t>
      </w:r>
      <w:r w:rsidR="00FF2A5C">
        <w:rPr>
          <w:rFonts w:ascii="ITC Avant Garde" w:hAnsi="ITC Avant Garde" w:cs="Arial"/>
          <w:color w:val="000000"/>
        </w:rPr>
        <w:t xml:space="preserve">la información de separación contable para las redes compartidas mayoristas (APARTADO IV del Acuerdo) resulta menor a la requerida a los demás sujetos obligados </w:t>
      </w:r>
      <w:r w:rsidR="00502C5F">
        <w:rPr>
          <w:rFonts w:ascii="ITC Avant Garde" w:hAnsi="ITC Avant Garde" w:cs="Arial"/>
          <w:color w:val="000000"/>
        </w:rPr>
        <w:t xml:space="preserve">a la separación contable </w:t>
      </w:r>
      <w:r w:rsidR="00FF2A5C">
        <w:rPr>
          <w:rFonts w:ascii="ITC Avant Garde" w:hAnsi="ITC Avant Garde" w:cs="Arial"/>
          <w:color w:val="000000"/>
        </w:rPr>
        <w:t>(</w:t>
      </w:r>
      <w:r w:rsidR="00FF2A5C" w:rsidRPr="00A24E82">
        <w:rPr>
          <w:rFonts w:ascii="ITC Avant Garde" w:hAnsi="ITC Avant Garde" w:cs="Arial"/>
          <w:color w:val="000000"/>
        </w:rPr>
        <w:t>A</w:t>
      </w:r>
      <w:r w:rsidR="00F54F3A" w:rsidRPr="00A24E82">
        <w:rPr>
          <w:rFonts w:ascii="ITC Avant Garde" w:hAnsi="ITC Avant Garde" w:cs="Arial"/>
          <w:color w:val="000000"/>
        </w:rPr>
        <w:t xml:space="preserve">PARTADOS I, II, </w:t>
      </w:r>
      <w:r w:rsidR="00FF2A5C" w:rsidRPr="00A24E82">
        <w:rPr>
          <w:rFonts w:ascii="ITC Avant Garde" w:hAnsi="ITC Avant Garde" w:cs="Arial"/>
          <w:color w:val="000000"/>
        </w:rPr>
        <w:t>III</w:t>
      </w:r>
      <w:r w:rsidR="00F54F3A" w:rsidRPr="00A24E82">
        <w:rPr>
          <w:rFonts w:ascii="ITC Avant Garde" w:hAnsi="ITC Avant Garde" w:cs="Arial"/>
          <w:color w:val="000000"/>
        </w:rPr>
        <w:t xml:space="preserve"> y V</w:t>
      </w:r>
      <w:r w:rsidR="00333BF4" w:rsidRPr="00A24E82">
        <w:rPr>
          <w:rFonts w:ascii="ITC Avant Garde" w:hAnsi="ITC Avant Garde" w:cs="Arial"/>
          <w:color w:val="000000"/>
        </w:rPr>
        <w:t xml:space="preserve"> del Acuerdo</w:t>
      </w:r>
      <w:r w:rsidR="00FF2A5C">
        <w:rPr>
          <w:rFonts w:ascii="ITC Avant Garde" w:hAnsi="ITC Avant Garde" w:cs="Arial"/>
          <w:color w:val="000000"/>
        </w:rPr>
        <w:t>)</w:t>
      </w:r>
      <w:r w:rsidR="00F23696">
        <w:rPr>
          <w:rFonts w:ascii="ITC Avant Garde" w:hAnsi="ITC Avant Garde" w:cs="Arial"/>
          <w:color w:val="000000"/>
        </w:rPr>
        <w:t>.</w:t>
      </w:r>
    </w:p>
    <w:p w:rsidR="00D55B2E" w:rsidRPr="00F82BE7" w:rsidRDefault="00D55B2E"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De la misma manera, respecto a los comentarios de que la red compartida no tiene incentivos de desplazar o afectar a algún agente, </w:t>
      </w:r>
      <w:r w:rsidR="007C5700">
        <w:rPr>
          <w:rFonts w:ascii="ITC Avant Garde" w:hAnsi="ITC Avant Garde" w:cs="Arial"/>
          <w:color w:val="000000"/>
        </w:rPr>
        <w:t xml:space="preserve">que </w:t>
      </w:r>
      <w:r w:rsidR="007C5700" w:rsidRPr="00F82BE7">
        <w:rPr>
          <w:rFonts w:ascii="ITC Avant Garde" w:hAnsi="ITC Avant Garde" w:cs="Arial"/>
          <w:color w:val="000000"/>
        </w:rPr>
        <w:t xml:space="preserve">es un nuevo entrante, que le generará </w:t>
      </w:r>
      <w:r w:rsidR="007C5700" w:rsidRPr="001E2BB6">
        <w:rPr>
          <w:rFonts w:ascii="ITC Avant Garde" w:hAnsi="ITC Avant Garde" w:cs="Arial"/>
          <w:color w:val="000000"/>
        </w:rPr>
        <w:t xml:space="preserve">una carga regulatoria, </w:t>
      </w:r>
      <w:r w:rsidRPr="00F82BE7">
        <w:rPr>
          <w:rFonts w:ascii="ITC Avant Garde" w:hAnsi="ITC Avant Garde" w:cs="Arial"/>
          <w:color w:val="000000"/>
        </w:rPr>
        <w:t xml:space="preserve">y que se deben establecer supuestos de excepción en la aplicación de la separación contable dependiendo de la naturaleza y características las redes compartidas mayoristas, se señala que la utilidad de la separación contable para los concesionarios de redes compartidas mayoristas es para identificar </w:t>
      </w:r>
      <w:r w:rsidR="007C5700">
        <w:rPr>
          <w:rFonts w:ascii="ITC Avant Garde" w:hAnsi="ITC Avant Garde" w:cs="Arial"/>
          <w:color w:val="000000"/>
        </w:rPr>
        <w:t>que</w:t>
      </w:r>
      <w:r w:rsidR="007C5700" w:rsidRPr="00F82BE7">
        <w:rPr>
          <w:rFonts w:ascii="ITC Avant Garde" w:hAnsi="ITC Avant Garde" w:cs="Arial"/>
          <w:color w:val="000000"/>
        </w:rPr>
        <w:t xml:space="preserve"> </w:t>
      </w:r>
      <w:r w:rsidRPr="00F82BE7">
        <w:rPr>
          <w:rFonts w:ascii="ITC Avant Garde" w:hAnsi="ITC Avant Garde" w:cs="Arial"/>
          <w:color w:val="000000"/>
        </w:rPr>
        <w:t xml:space="preserve">se </w:t>
      </w:r>
      <w:r w:rsidR="007C5700">
        <w:rPr>
          <w:rFonts w:ascii="ITC Avant Garde" w:hAnsi="ITC Avant Garde" w:cs="Arial"/>
          <w:color w:val="000000"/>
        </w:rPr>
        <w:t>sujeten</w:t>
      </w:r>
      <w:r w:rsidRPr="001E2BB6">
        <w:rPr>
          <w:rFonts w:ascii="ITC Avant Garde" w:hAnsi="ITC Avant Garde" w:cs="Arial"/>
          <w:color w:val="000000"/>
        </w:rPr>
        <w:t xml:space="preserve"> al principio de neutralidad a la competencia, por lo cual no se le</w:t>
      </w:r>
      <w:r w:rsidRPr="00406C7B">
        <w:rPr>
          <w:rFonts w:ascii="ITC Avant Garde" w:hAnsi="ITC Avant Garde" w:cs="Arial"/>
          <w:color w:val="000000"/>
        </w:rPr>
        <w:t xml:space="preserve"> piden todos los formatos establecidos en</w:t>
      </w:r>
      <w:r w:rsidRPr="00F82BE7">
        <w:rPr>
          <w:rFonts w:ascii="ITC Avant Garde" w:hAnsi="ITC Avant Garde" w:cs="Arial"/>
          <w:color w:val="000000"/>
        </w:rPr>
        <w:t xml:space="preserve"> la metodología de separación contable</w:t>
      </w:r>
      <w:r w:rsidR="005B6ADF" w:rsidRPr="00F82BE7">
        <w:rPr>
          <w:rFonts w:ascii="ITC Avant Garde" w:hAnsi="ITC Avant Garde" w:cs="Arial"/>
          <w:color w:val="000000"/>
        </w:rPr>
        <w:t xml:space="preserve">, </w:t>
      </w:r>
      <w:r w:rsidR="007C5700">
        <w:rPr>
          <w:rFonts w:ascii="ITC Avant Garde" w:hAnsi="ITC Avant Garde" w:cs="Arial"/>
          <w:color w:val="000000"/>
        </w:rPr>
        <w:t xml:space="preserve">lo que implica bajos costos regulatorios, </w:t>
      </w:r>
      <w:r w:rsidR="005B6ADF" w:rsidRPr="00F82BE7">
        <w:rPr>
          <w:rFonts w:ascii="ITC Avant Garde" w:hAnsi="ITC Avant Garde" w:cs="Arial"/>
          <w:color w:val="000000"/>
        </w:rPr>
        <w:t>por lo que el Acuerdo</w:t>
      </w:r>
      <w:r w:rsidR="005A3F4F">
        <w:rPr>
          <w:rFonts w:ascii="ITC Avant Garde" w:hAnsi="ITC Avant Garde" w:cs="Arial"/>
          <w:color w:val="000000"/>
        </w:rPr>
        <w:t xml:space="preserve"> </w:t>
      </w:r>
      <w:r w:rsidR="005A3F4F" w:rsidRPr="005A3F4F">
        <w:rPr>
          <w:rFonts w:ascii="ITC Avant Garde" w:hAnsi="ITC Avant Garde" w:cs="Arial"/>
          <w:color w:val="000000"/>
        </w:rPr>
        <w:t xml:space="preserve">contiene una división más clara sobre los objetivos </w:t>
      </w:r>
      <w:r w:rsidR="005A3F4F">
        <w:rPr>
          <w:rFonts w:ascii="ITC Avant Garde" w:hAnsi="ITC Avant Garde" w:cs="Arial"/>
          <w:color w:val="000000"/>
        </w:rPr>
        <w:t xml:space="preserve">e información requerida </w:t>
      </w:r>
      <w:r w:rsidR="005A3F4F" w:rsidRPr="005A3F4F">
        <w:rPr>
          <w:rFonts w:ascii="ITC Avant Garde" w:hAnsi="ITC Avant Garde" w:cs="Arial"/>
          <w:color w:val="000000"/>
        </w:rPr>
        <w:t>para cada sujeto obligado, atendiendo a su naturaleza jurídica y sus características</w:t>
      </w:r>
      <w:r w:rsidRPr="00F82BE7">
        <w:rPr>
          <w:rFonts w:ascii="ITC Avant Garde" w:hAnsi="ITC Avant Garde" w:cs="Arial"/>
          <w:color w:val="000000"/>
        </w:rPr>
        <w:t>.</w:t>
      </w:r>
    </w:p>
    <w:p w:rsidR="00BF6818" w:rsidRPr="00F82BE7" w:rsidRDefault="00D55B2E"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En relación con </w:t>
      </w:r>
      <w:r w:rsidR="00C70AEE">
        <w:rPr>
          <w:rFonts w:ascii="ITC Avant Garde" w:hAnsi="ITC Avant Garde" w:cs="Arial"/>
          <w:color w:val="000000"/>
        </w:rPr>
        <w:t>los</w:t>
      </w:r>
      <w:r w:rsidRPr="00F82BE7">
        <w:rPr>
          <w:rFonts w:ascii="ITC Avant Garde" w:hAnsi="ITC Avant Garde" w:cs="Arial"/>
          <w:color w:val="000000"/>
        </w:rPr>
        <w:t xml:space="preserve"> comentario</w:t>
      </w:r>
      <w:r w:rsidR="00C70AEE">
        <w:rPr>
          <w:rFonts w:ascii="ITC Avant Garde" w:hAnsi="ITC Avant Garde" w:cs="Arial"/>
          <w:color w:val="000000"/>
        </w:rPr>
        <w:t>s</w:t>
      </w:r>
      <w:r w:rsidRPr="00F82BE7">
        <w:rPr>
          <w:rFonts w:ascii="ITC Avant Garde" w:hAnsi="ITC Avant Garde" w:cs="Arial"/>
          <w:color w:val="000000"/>
        </w:rPr>
        <w:t xml:space="preserve"> de que</w:t>
      </w:r>
      <w:r w:rsidR="00BF6818">
        <w:rPr>
          <w:rFonts w:ascii="ITC Avant Garde" w:hAnsi="ITC Avant Garde" w:cs="Arial"/>
          <w:color w:val="000000"/>
        </w:rPr>
        <w:t xml:space="preserve"> </w:t>
      </w:r>
      <w:r w:rsidR="00BF6818" w:rsidRPr="00BF6818">
        <w:rPr>
          <w:rFonts w:ascii="ITC Avant Garde" w:hAnsi="ITC Avant Garde" w:cs="Arial"/>
          <w:color w:val="000000"/>
        </w:rPr>
        <w:t xml:space="preserve">la obligación establecida en el artículo 141 de la LFTR no es aplicable al proyecto de la red compartida </w:t>
      </w:r>
      <w:r w:rsidR="00BF6818">
        <w:rPr>
          <w:rFonts w:ascii="ITC Avant Garde" w:hAnsi="ITC Avant Garde" w:cs="Arial"/>
          <w:color w:val="000000"/>
        </w:rPr>
        <w:t>ya que esta</w:t>
      </w:r>
      <w:r w:rsidRPr="00F82BE7">
        <w:rPr>
          <w:rFonts w:ascii="ITC Avant Garde" w:hAnsi="ITC Avant Garde" w:cs="Arial"/>
          <w:color w:val="000000"/>
        </w:rPr>
        <w:t xml:space="preserve"> no tiene participación en alguna entidad pública, </w:t>
      </w:r>
      <w:r w:rsidR="00C70AEE" w:rsidRPr="00F82BE7">
        <w:rPr>
          <w:rFonts w:ascii="ITC Avant Garde" w:hAnsi="ITC Avant Garde" w:cs="Arial"/>
          <w:color w:val="000000"/>
        </w:rPr>
        <w:t>que los objetivos que persigue la separación contable no le son aplicables, aun como concesionario de red compartida mayorista, que no se identifican casos en el mundo donde se imponga la separación contable a un operador específico no declarado con poder sustancial de mercado, que el proyecto de separación contable es contrario a las condiciones bajo las cuales s</w:t>
      </w:r>
      <w:r w:rsidR="00243207">
        <w:rPr>
          <w:rFonts w:ascii="ITC Avant Garde" w:hAnsi="ITC Avant Garde" w:cs="Arial"/>
          <w:color w:val="000000"/>
        </w:rPr>
        <w:t>e desarrolló el concurso de APP,</w:t>
      </w:r>
      <w:r w:rsidR="00C70AEE" w:rsidRPr="00F82BE7">
        <w:rPr>
          <w:rFonts w:ascii="ITC Avant Garde" w:hAnsi="ITC Avant Garde" w:cs="Arial"/>
          <w:color w:val="000000"/>
        </w:rPr>
        <w:t xml:space="preserve"> y que crea incertidumbre sobre la regulación aplicable a</w:t>
      </w:r>
      <w:r w:rsidR="005E2AFB">
        <w:rPr>
          <w:rFonts w:ascii="ITC Avant Garde" w:hAnsi="ITC Avant Garde" w:cs="Arial"/>
          <w:color w:val="000000"/>
        </w:rPr>
        <w:t>l proyecto de</w:t>
      </w:r>
      <w:r w:rsidR="00C70AEE" w:rsidRPr="00F82BE7">
        <w:rPr>
          <w:rFonts w:ascii="ITC Avant Garde" w:hAnsi="ITC Avant Garde" w:cs="Arial"/>
          <w:color w:val="000000"/>
        </w:rPr>
        <w:t xml:space="preserve"> la red compartida</w:t>
      </w:r>
      <w:r w:rsidR="00C70AEE">
        <w:rPr>
          <w:rFonts w:ascii="ITC Avant Garde" w:hAnsi="ITC Avant Garde" w:cs="Arial"/>
          <w:color w:val="000000"/>
        </w:rPr>
        <w:t xml:space="preserve">, </w:t>
      </w:r>
      <w:r w:rsidR="00BF6818" w:rsidRPr="001E2BB6">
        <w:rPr>
          <w:rFonts w:ascii="ITC Avant Garde" w:hAnsi="ITC Avant Garde" w:cs="Arial"/>
          <w:color w:val="000000"/>
        </w:rPr>
        <w:t xml:space="preserve">se advierte que es necesario identificar si los concesionarios </w:t>
      </w:r>
      <w:r w:rsidR="00BF6818">
        <w:rPr>
          <w:rFonts w:ascii="ITC Avant Garde" w:hAnsi="ITC Avant Garde" w:cs="Arial"/>
          <w:color w:val="000000"/>
        </w:rPr>
        <w:t xml:space="preserve">de una red compartida mayorista </w:t>
      </w:r>
      <w:r w:rsidR="00BF6818" w:rsidRPr="001E2BB6">
        <w:rPr>
          <w:rFonts w:ascii="ITC Avant Garde" w:hAnsi="ITC Avant Garde" w:cs="Arial"/>
          <w:color w:val="000000"/>
        </w:rPr>
        <w:t>se sujetan al principio de neutralidad a la competencia</w:t>
      </w:r>
      <w:r w:rsidR="00C70AEE">
        <w:rPr>
          <w:rFonts w:ascii="ITC Avant Garde" w:hAnsi="ITC Avant Garde" w:cs="Arial"/>
          <w:color w:val="000000"/>
        </w:rPr>
        <w:t xml:space="preserve"> conforme lo establece la LFTR</w:t>
      </w:r>
      <w:r w:rsidR="00BF6818" w:rsidRPr="001E2BB6">
        <w:rPr>
          <w:rFonts w:ascii="ITC Avant Garde" w:hAnsi="ITC Avant Garde" w:cs="Arial"/>
          <w:color w:val="000000"/>
        </w:rPr>
        <w:t>. En el caso del</w:t>
      </w:r>
      <w:r w:rsidR="00C70AEE">
        <w:rPr>
          <w:rFonts w:ascii="ITC Avant Garde" w:hAnsi="ITC Avant Garde" w:cs="Arial"/>
          <w:color w:val="000000"/>
        </w:rPr>
        <w:t xml:space="preserve"> proyecto de l</w:t>
      </w:r>
      <w:r w:rsidR="00BF6818" w:rsidRPr="001E2BB6">
        <w:rPr>
          <w:rFonts w:ascii="ITC Avant Garde" w:hAnsi="ITC Avant Garde" w:cs="Arial"/>
          <w:color w:val="000000"/>
        </w:rPr>
        <w:t>a r</w:t>
      </w:r>
      <w:r w:rsidR="00BF6818" w:rsidRPr="00406C7B">
        <w:rPr>
          <w:rFonts w:ascii="ITC Avant Garde" w:hAnsi="ITC Avant Garde" w:cs="Arial"/>
          <w:color w:val="000000"/>
        </w:rPr>
        <w:t>ed compartida, se señala que puede tener activos del Estado, dado que</w:t>
      </w:r>
      <w:r w:rsidR="00BF6818" w:rsidRPr="00F82BE7">
        <w:rPr>
          <w:rFonts w:ascii="ITC Avant Garde" w:hAnsi="ITC Avant Garde" w:cs="Arial"/>
          <w:color w:val="000000"/>
        </w:rPr>
        <w:t xml:space="preserve"> para dicho proyecto se estableció un contrato de </w:t>
      </w:r>
      <w:r w:rsidR="00BF6818">
        <w:rPr>
          <w:rFonts w:ascii="ITC Avant Garde" w:hAnsi="ITC Avant Garde" w:cs="Arial"/>
          <w:color w:val="000000"/>
        </w:rPr>
        <w:t>APP</w:t>
      </w:r>
      <w:r w:rsidR="00BF6818" w:rsidRPr="00F82BE7">
        <w:rPr>
          <w:rFonts w:ascii="ITC Avant Garde" w:hAnsi="ITC Avant Garde" w:cs="Arial"/>
          <w:color w:val="000000"/>
        </w:rPr>
        <w:t xml:space="preserve"> entre </w:t>
      </w:r>
      <w:r w:rsidR="00BF6818">
        <w:rPr>
          <w:rFonts w:ascii="ITC Avant Garde" w:hAnsi="ITC Avant Garde" w:cs="Arial"/>
          <w:color w:val="000000"/>
        </w:rPr>
        <w:t xml:space="preserve">PROMTEL </w:t>
      </w:r>
      <w:r w:rsidR="00BF6818" w:rsidRPr="00F82BE7">
        <w:rPr>
          <w:rFonts w:ascii="ITC Avant Garde" w:hAnsi="ITC Avant Garde" w:cs="Arial"/>
          <w:color w:val="000000"/>
        </w:rPr>
        <w:t>(organismo descentralizado de la Secretar</w:t>
      </w:r>
      <w:r w:rsidR="00BC7B5D">
        <w:rPr>
          <w:rFonts w:ascii="ITC Avant Garde" w:hAnsi="ITC Avant Garde" w:cs="Arial"/>
          <w:color w:val="000000"/>
        </w:rPr>
        <w:t>í</w:t>
      </w:r>
      <w:r w:rsidR="00BF6818" w:rsidRPr="00F82BE7">
        <w:rPr>
          <w:rFonts w:ascii="ITC Avant Garde" w:hAnsi="ITC Avant Garde" w:cs="Arial"/>
          <w:color w:val="000000"/>
        </w:rPr>
        <w:t xml:space="preserve">a de Comunicaciones y Transportes), </w:t>
      </w:r>
      <w:r w:rsidR="00BF6818">
        <w:rPr>
          <w:rFonts w:ascii="ITC Avant Garde" w:hAnsi="ITC Avant Garde" w:cs="Arial"/>
          <w:color w:val="000000"/>
        </w:rPr>
        <w:t>Telecomm</w:t>
      </w:r>
      <w:r w:rsidR="00BF6818" w:rsidRPr="00F82BE7">
        <w:rPr>
          <w:rFonts w:ascii="ITC Avant Garde" w:hAnsi="ITC Avant Garde" w:cs="Arial"/>
          <w:color w:val="000000"/>
        </w:rPr>
        <w:t xml:space="preserve"> y Altán Redes. En este sentido, </w:t>
      </w:r>
      <w:r w:rsidR="000D2EF6" w:rsidRPr="000D2EF6">
        <w:rPr>
          <w:rFonts w:ascii="ITC Avant Garde" w:hAnsi="ITC Avant Garde" w:cs="Arial"/>
          <w:color w:val="000000"/>
        </w:rPr>
        <w:t xml:space="preserve">no se realizaron ajustes al Anteproyecto en los términos señalados por </w:t>
      </w:r>
      <w:r w:rsidR="000D2EF6">
        <w:rPr>
          <w:rFonts w:ascii="ITC Avant Garde" w:hAnsi="ITC Avant Garde" w:cs="Arial"/>
          <w:color w:val="000000"/>
        </w:rPr>
        <w:t>los</w:t>
      </w:r>
      <w:r w:rsidR="000D2EF6" w:rsidRPr="000D2EF6">
        <w:rPr>
          <w:rFonts w:ascii="ITC Avant Garde" w:hAnsi="ITC Avant Garde" w:cs="Arial"/>
          <w:color w:val="000000"/>
        </w:rPr>
        <w:t xml:space="preserve"> participante</w:t>
      </w:r>
      <w:r w:rsidR="000D2EF6">
        <w:rPr>
          <w:rFonts w:ascii="ITC Avant Garde" w:hAnsi="ITC Avant Garde" w:cs="Arial"/>
          <w:color w:val="000000"/>
        </w:rPr>
        <w:t>s</w:t>
      </w:r>
      <w:r w:rsidR="00BF6818" w:rsidRPr="00F82BE7">
        <w:rPr>
          <w:rFonts w:ascii="ITC Avant Garde" w:hAnsi="ITC Avant Garde" w:cs="Arial"/>
          <w:color w:val="000000"/>
        </w:rPr>
        <w:t>.</w:t>
      </w:r>
    </w:p>
    <w:p w:rsidR="00D55B2E" w:rsidRPr="00F82BE7" w:rsidRDefault="00D55B2E" w:rsidP="0033377C">
      <w:pPr>
        <w:spacing w:line="276" w:lineRule="auto"/>
        <w:jc w:val="both"/>
        <w:rPr>
          <w:rFonts w:ascii="ITC Avant Garde" w:hAnsi="ITC Avant Garde" w:cs="Arial"/>
          <w:color w:val="000000"/>
        </w:rPr>
      </w:pPr>
      <w:r w:rsidRPr="00F82BE7">
        <w:rPr>
          <w:rFonts w:ascii="ITC Avant Garde" w:hAnsi="ITC Avant Garde" w:cs="Arial"/>
          <w:color w:val="000000"/>
        </w:rPr>
        <w:lastRenderedPageBreak/>
        <w:t>Respecto al comentario de que los objetivos de no discriminación y neutralidad competitiva se logran sin necesidad de imponer obligaciones adicionales, que actualmente ya se cumple con dicho principio para la red compartida mayorista a través del título de concesión,</w:t>
      </w:r>
      <w:r w:rsidR="00C70AEE">
        <w:rPr>
          <w:rFonts w:ascii="ITC Avant Garde" w:hAnsi="ITC Avant Garde" w:cs="Arial"/>
          <w:color w:val="000000"/>
        </w:rPr>
        <w:t xml:space="preserve"> y</w:t>
      </w:r>
      <w:r w:rsidRPr="00F82BE7">
        <w:rPr>
          <w:rFonts w:ascii="ITC Avant Garde" w:hAnsi="ITC Avant Garde" w:cs="Arial"/>
          <w:color w:val="000000"/>
        </w:rPr>
        <w:t xml:space="preserve"> que ya se cumple</w:t>
      </w:r>
      <w:r w:rsidR="001B6386" w:rsidRPr="00F82BE7">
        <w:rPr>
          <w:rFonts w:ascii="ITC Avant Garde" w:hAnsi="ITC Avant Garde" w:cs="Arial"/>
          <w:color w:val="000000"/>
        </w:rPr>
        <w:t>n</w:t>
      </w:r>
      <w:r w:rsidRPr="00F82BE7">
        <w:rPr>
          <w:rFonts w:ascii="ITC Avant Garde" w:hAnsi="ITC Avant Garde" w:cs="Arial"/>
          <w:color w:val="000000"/>
        </w:rPr>
        <w:t xml:space="preserve"> los estándares definidos por la OCDE en materia de neutralidad a la competencia, se hace notar que </w:t>
      </w:r>
      <w:r w:rsidR="00317229">
        <w:rPr>
          <w:rFonts w:ascii="ITC Avant Garde" w:hAnsi="ITC Avant Garde" w:cs="Arial"/>
          <w:color w:val="000000"/>
        </w:rPr>
        <w:t xml:space="preserve">la regulación </w:t>
      </w:r>
      <w:r w:rsidR="00CF7CAE">
        <w:rPr>
          <w:rFonts w:ascii="ITC Avant Garde" w:hAnsi="ITC Avant Garde" w:cs="Arial"/>
          <w:color w:val="000000"/>
        </w:rPr>
        <w:t xml:space="preserve">en materia de separación contable </w:t>
      </w:r>
      <w:r w:rsidR="00317229">
        <w:rPr>
          <w:rFonts w:ascii="ITC Avant Garde" w:hAnsi="ITC Avant Garde" w:cs="Arial"/>
          <w:color w:val="000000"/>
        </w:rPr>
        <w:t xml:space="preserve">establecida en el Acuerdo es de utilidad para dar certidumbre </w:t>
      </w:r>
      <w:r w:rsidR="00CF7CAE">
        <w:rPr>
          <w:rFonts w:ascii="ITC Avant Garde" w:hAnsi="ITC Avant Garde" w:cs="Arial"/>
          <w:color w:val="000000"/>
        </w:rPr>
        <w:t xml:space="preserve">a los concesionarios y/o autorizados </w:t>
      </w:r>
      <w:r w:rsidR="00317229">
        <w:rPr>
          <w:rFonts w:ascii="ITC Avant Garde" w:hAnsi="ITC Avant Garde" w:cs="Arial"/>
          <w:color w:val="000000"/>
        </w:rPr>
        <w:t>sobre c</w:t>
      </w:r>
      <w:r w:rsidR="00E04E1C">
        <w:rPr>
          <w:rFonts w:ascii="ITC Avant Garde" w:hAnsi="ITC Avant Garde" w:cs="Arial"/>
          <w:color w:val="000000"/>
        </w:rPr>
        <w:t xml:space="preserve">ómo cumplir con </w:t>
      </w:r>
      <w:r w:rsidRPr="00F82BE7">
        <w:rPr>
          <w:rFonts w:ascii="ITC Avant Garde" w:hAnsi="ITC Avant Garde" w:cs="Arial"/>
          <w:color w:val="000000"/>
        </w:rPr>
        <w:t xml:space="preserve">las disposiciones establecidas en los títulos de concesión y otras disposiciones legales vigentes. </w:t>
      </w:r>
      <w:r w:rsidR="00C93C3F" w:rsidRPr="00C93C3F">
        <w:rPr>
          <w:rFonts w:ascii="ITC Avant Garde" w:hAnsi="ITC Avant Garde" w:cs="Arial"/>
          <w:color w:val="000000"/>
        </w:rPr>
        <w:t>Por lo anterior, no se realizaron ajustes al Anteproyecto en los términos señalados por el participante.</w:t>
      </w:r>
      <w:r w:rsidR="00C93C3F" w:rsidRPr="00C93C3F" w:rsidDel="00F27A91">
        <w:rPr>
          <w:rFonts w:ascii="ITC Avant Garde" w:hAnsi="ITC Avant Garde" w:cs="Arial"/>
          <w:color w:val="000000"/>
        </w:rPr>
        <w:t xml:space="preserve"> </w:t>
      </w:r>
    </w:p>
    <w:p w:rsidR="00D55B2E" w:rsidRPr="00F82BE7" w:rsidRDefault="00D55B2E"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En relación </w:t>
      </w:r>
      <w:r w:rsidR="003E4593">
        <w:rPr>
          <w:rFonts w:ascii="ITC Avant Garde" w:hAnsi="ITC Avant Garde" w:cs="Arial"/>
          <w:color w:val="000000"/>
        </w:rPr>
        <w:t>con</w:t>
      </w:r>
      <w:r w:rsidRPr="00F82BE7">
        <w:rPr>
          <w:rFonts w:ascii="ITC Avant Garde" w:hAnsi="ITC Avant Garde" w:cs="Arial"/>
          <w:color w:val="000000"/>
        </w:rPr>
        <w:t xml:space="preserve"> </w:t>
      </w:r>
      <w:r w:rsidR="003E4593">
        <w:rPr>
          <w:rFonts w:ascii="ITC Avant Garde" w:hAnsi="ITC Avant Garde" w:cs="Arial"/>
          <w:color w:val="000000"/>
        </w:rPr>
        <w:t xml:space="preserve">el </w:t>
      </w:r>
      <w:r w:rsidRPr="00F82BE7">
        <w:rPr>
          <w:rFonts w:ascii="ITC Avant Garde" w:hAnsi="ITC Avant Garde" w:cs="Arial"/>
          <w:color w:val="000000"/>
        </w:rPr>
        <w:t xml:space="preserve">comentario de que se debe considerar el impacto regulatorio </w:t>
      </w:r>
      <w:r w:rsidR="00171ADA">
        <w:rPr>
          <w:rFonts w:ascii="ITC Avant Garde" w:hAnsi="ITC Avant Garde" w:cs="Arial"/>
          <w:color w:val="000000"/>
        </w:rPr>
        <w:t xml:space="preserve">de la separación contable </w:t>
      </w:r>
      <w:r w:rsidRPr="00F82BE7">
        <w:rPr>
          <w:rFonts w:ascii="ITC Avant Garde" w:hAnsi="ITC Avant Garde" w:cs="Arial"/>
          <w:color w:val="000000"/>
        </w:rPr>
        <w:t>de acuerdo con la mejor práctica internacional ya que resultaría costos</w:t>
      </w:r>
      <w:r w:rsidR="00F27A91">
        <w:rPr>
          <w:rFonts w:ascii="ITC Avant Garde" w:hAnsi="ITC Avant Garde" w:cs="Arial"/>
          <w:color w:val="000000"/>
        </w:rPr>
        <w:t>o</w:t>
      </w:r>
      <w:r w:rsidRPr="00F82BE7">
        <w:rPr>
          <w:rFonts w:ascii="ITC Avant Garde" w:hAnsi="ITC Avant Garde" w:cs="Arial"/>
          <w:color w:val="000000"/>
        </w:rPr>
        <w:t xml:space="preserve"> para Altán Redes, y en general para el proyecto de la red compartida, se señala que la separación contable presenta objetivos regulatorios específicos que han sido considerados en el diseño de la regulación. </w:t>
      </w:r>
      <w:r w:rsidR="00C7526E">
        <w:rPr>
          <w:rFonts w:ascii="ITC Avant Garde" w:hAnsi="ITC Avant Garde" w:cs="Arial"/>
          <w:color w:val="000000"/>
        </w:rPr>
        <w:t>S</w:t>
      </w:r>
      <w:r w:rsidRPr="00F82BE7">
        <w:rPr>
          <w:rFonts w:ascii="ITC Avant Garde" w:hAnsi="ITC Avant Garde" w:cs="Arial"/>
          <w:color w:val="000000"/>
        </w:rPr>
        <w:t xml:space="preserve">i bien el </w:t>
      </w:r>
      <w:r w:rsidR="0098709B">
        <w:rPr>
          <w:rFonts w:ascii="ITC Avant Garde" w:hAnsi="ITC Avant Garde" w:cs="Arial"/>
          <w:color w:val="000000"/>
        </w:rPr>
        <w:t>Acuerdo</w:t>
      </w:r>
      <w:r w:rsidR="0098709B" w:rsidRPr="00F82BE7">
        <w:rPr>
          <w:rFonts w:ascii="ITC Avant Garde" w:hAnsi="ITC Avant Garde" w:cs="Arial"/>
          <w:color w:val="000000"/>
        </w:rPr>
        <w:t xml:space="preserve"> </w:t>
      </w:r>
      <w:r w:rsidRPr="00F82BE7">
        <w:rPr>
          <w:rFonts w:ascii="ITC Avant Garde" w:hAnsi="ITC Avant Garde" w:cs="Arial"/>
          <w:color w:val="000000"/>
        </w:rPr>
        <w:t xml:space="preserve">es aplicable a los agentes económicos preponderantes, agentes con poder sustancial y redes compartidas mayoristas, </w:t>
      </w:r>
      <w:r w:rsidR="00BB2618">
        <w:rPr>
          <w:rFonts w:ascii="ITC Avant Garde" w:hAnsi="ITC Avant Garde" w:cs="Arial"/>
          <w:color w:val="000000"/>
        </w:rPr>
        <w:t>se</w:t>
      </w:r>
      <w:r w:rsidR="0098709B">
        <w:rPr>
          <w:rFonts w:ascii="ITC Avant Garde" w:hAnsi="ITC Avant Garde" w:cs="Arial"/>
          <w:color w:val="000000"/>
        </w:rPr>
        <w:t xml:space="preserve"> </w:t>
      </w:r>
      <w:r w:rsidRPr="00F82BE7">
        <w:rPr>
          <w:rFonts w:ascii="ITC Avant Garde" w:hAnsi="ITC Avant Garde" w:cs="Arial"/>
          <w:color w:val="000000"/>
        </w:rPr>
        <w:t xml:space="preserve">establece </w:t>
      </w:r>
      <w:r w:rsidR="0098709B">
        <w:rPr>
          <w:rFonts w:ascii="ITC Avant Garde" w:hAnsi="ITC Avant Garde" w:cs="Arial"/>
          <w:color w:val="000000"/>
        </w:rPr>
        <w:t xml:space="preserve">claramente </w:t>
      </w:r>
      <w:r w:rsidRPr="00F82BE7">
        <w:rPr>
          <w:rFonts w:ascii="ITC Avant Garde" w:hAnsi="ITC Avant Garde" w:cs="Arial"/>
          <w:color w:val="000000"/>
        </w:rPr>
        <w:t>la información específica que deberá entregar cada agente conforme a su naturaleza</w:t>
      </w:r>
      <w:r w:rsidR="0098709B">
        <w:rPr>
          <w:rFonts w:ascii="ITC Avant Garde" w:hAnsi="ITC Avant Garde" w:cs="Arial"/>
          <w:color w:val="000000"/>
        </w:rPr>
        <w:t xml:space="preserve"> jurídica y sus características</w:t>
      </w:r>
      <w:r w:rsidRPr="00F82BE7">
        <w:rPr>
          <w:rFonts w:ascii="ITC Avant Garde" w:hAnsi="ITC Avant Garde" w:cs="Arial"/>
          <w:color w:val="000000"/>
        </w:rPr>
        <w:t>, de manera que el nivel de exhaustividad es diferente atendiendo al objetivo específico</w:t>
      </w:r>
      <w:r w:rsidR="00FB6BF4" w:rsidRPr="00F82BE7">
        <w:rPr>
          <w:rFonts w:ascii="ITC Avant Garde" w:hAnsi="ITC Avant Garde" w:cs="Arial"/>
          <w:color w:val="000000"/>
        </w:rPr>
        <w:t>,</w:t>
      </w:r>
      <w:r w:rsidRPr="00F82BE7">
        <w:rPr>
          <w:rFonts w:ascii="ITC Avant Garde" w:hAnsi="ITC Avant Garde" w:cs="Arial"/>
          <w:color w:val="000000"/>
        </w:rPr>
        <w:t xml:space="preserve"> </w:t>
      </w:r>
      <w:r w:rsidR="00F27A91">
        <w:rPr>
          <w:rFonts w:ascii="ITC Avant Garde" w:hAnsi="ITC Avant Garde" w:cs="Arial"/>
          <w:color w:val="000000"/>
        </w:rPr>
        <w:t>lo</w:t>
      </w:r>
      <w:r w:rsidRPr="00F82BE7">
        <w:rPr>
          <w:rFonts w:ascii="ITC Avant Garde" w:hAnsi="ITC Avant Garde" w:cs="Arial"/>
          <w:color w:val="000000"/>
        </w:rPr>
        <w:t xml:space="preserve"> que en el caso de las redes compartidas mayoristas </w:t>
      </w:r>
      <w:r w:rsidR="00FB6BF4" w:rsidRPr="00F82BE7">
        <w:rPr>
          <w:rFonts w:ascii="ITC Avant Garde" w:hAnsi="ITC Avant Garde" w:cs="Arial"/>
          <w:color w:val="000000"/>
        </w:rPr>
        <w:t xml:space="preserve">se </w:t>
      </w:r>
      <w:r w:rsidRPr="00F82BE7">
        <w:rPr>
          <w:rFonts w:ascii="ITC Avant Garde" w:hAnsi="ITC Avant Garde" w:cs="Arial"/>
          <w:color w:val="000000"/>
        </w:rPr>
        <w:t xml:space="preserve">refiere a identificar que se sujeten al principio de neutralidad a la competencia. </w:t>
      </w:r>
      <w:r w:rsidR="00E06C14" w:rsidRPr="00F82BE7">
        <w:rPr>
          <w:rFonts w:ascii="ITC Avant Garde" w:hAnsi="ITC Avant Garde" w:cs="Arial"/>
          <w:color w:val="000000"/>
        </w:rPr>
        <w:t xml:space="preserve">Por lo anterior, el Acuerdo </w:t>
      </w:r>
      <w:r w:rsidR="0098709B" w:rsidRPr="0098709B">
        <w:rPr>
          <w:rFonts w:ascii="ITC Avant Garde" w:hAnsi="ITC Avant Garde" w:cs="Arial"/>
          <w:color w:val="000000"/>
        </w:rPr>
        <w:t xml:space="preserve">contiene una división más clara sobre los objetivos </w:t>
      </w:r>
      <w:r w:rsidR="0098709B">
        <w:rPr>
          <w:rFonts w:ascii="ITC Avant Garde" w:hAnsi="ITC Avant Garde" w:cs="Arial"/>
          <w:color w:val="000000"/>
        </w:rPr>
        <w:t xml:space="preserve">e información </w:t>
      </w:r>
      <w:r w:rsidR="0098709B" w:rsidRPr="0098709B">
        <w:rPr>
          <w:rFonts w:ascii="ITC Avant Garde" w:hAnsi="ITC Avant Garde" w:cs="Arial"/>
          <w:color w:val="000000"/>
        </w:rPr>
        <w:t>para cada sujeto obligado, atendiendo a su naturaleza jurídica y sus características</w:t>
      </w:r>
      <w:r w:rsidR="00E06C14" w:rsidRPr="00F82BE7">
        <w:rPr>
          <w:rFonts w:ascii="ITC Avant Garde" w:hAnsi="ITC Avant Garde" w:cs="Arial"/>
          <w:color w:val="000000"/>
        </w:rPr>
        <w:t>.</w:t>
      </w:r>
    </w:p>
    <w:p w:rsidR="00D55B2E" w:rsidRPr="00F82BE7" w:rsidRDefault="00D55B2E" w:rsidP="0033377C">
      <w:pPr>
        <w:spacing w:line="276" w:lineRule="auto"/>
        <w:jc w:val="both"/>
        <w:rPr>
          <w:rFonts w:ascii="ITC Avant Garde" w:hAnsi="ITC Avant Garde" w:cs="Arial"/>
          <w:color w:val="000000"/>
        </w:rPr>
      </w:pPr>
      <w:r w:rsidRPr="00F82BE7">
        <w:rPr>
          <w:rFonts w:ascii="ITC Avant Garde" w:hAnsi="ITC Avant Garde" w:cs="Arial"/>
          <w:color w:val="000000"/>
        </w:rPr>
        <w:t>Respecto al comentario de que el objetivo de la separación contable debería quedar separado completamente de los objetivos que se aplican al AEP o a operadores con poder sustancial de mercado, se señala que se realizar</w:t>
      </w:r>
      <w:r w:rsidR="00EC7DBF" w:rsidRPr="00F82BE7">
        <w:rPr>
          <w:rFonts w:ascii="ITC Avant Garde" w:hAnsi="ITC Avant Garde" w:cs="Arial"/>
          <w:color w:val="000000"/>
        </w:rPr>
        <w:t>o</w:t>
      </w:r>
      <w:r w:rsidRPr="00F82BE7">
        <w:rPr>
          <w:rFonts w:ascii="ITC Avant Garde" w:hAnsi="ITC Avant Garde" w:cs="Arial"/>
          <w:color w:val="000000"/>
        </w:rPr>
        <w:t xml:space="preserve">n adecuaciones al </w:t>
      </w:r>
      <w:r w:rsidR="00AF7D7D">
        <w:rPr>
          <w:rFonts w:ascii="ITC Avant Garde" w:hAnsi="ITC Avant Garde" w:cs="Arial"/>
          <w:color w:val="000000"/>
        </w:rPr>
        <w:t>Ante</w:t>
      </w:r>
      <w:r w:rsidRPr="00F82BE7">
        <w:rPr>
          <w:rFonts w:ascii="ITC Avant Garde" w:hAnsi="ITC Avant Garde" w:cs="Arial"/>
          <w:color w:val="000000"/>
        </w:rPr>
        <w:t xml:space="preserve">proyecto, </w:t>
      </w:r>
      <w:r w:rsidR="00EC7DBF" w:rsidRPr="00F82BE7">
        <w:rPr>
          <w:rFonts w:ascii="ITC Avant Garde" w:hAnsi="ITC Avant Garde" w:cs="Arial"/>
          <w:color w:val="000000"/>
        </w:rPr>
        <w:t>por lo que el Acuerdo define</w:t>
      </w:r>
      <w:r w:rsidRPr="00F82BE7">
        <w:rPr>
          <w:rFonts w:ascii="ITC Avant Garde" w:hAnsi="ITC Avant Garde" w:cs="Arial"/>
          <w:color w:val="000000"/>
        </w:rPr>
        <w:t xml:space="preserve"> claramente los objetivos regulatorios para cada </w:t>
      </w:r>
      <w:r w:rsidR="000C494E">
        <w:rPr>
          <w:rFonts w:ascii="ITC Avant Garde" w:hAnsi="ITC Avant Garde" w:cs="Arial"/>
          <w:color w:val="000000"/>
        </w:rPr>
        <w:t xml:space="preserve">tipo de </w:t>
      </w:r>
      <w:r w:rsidRPr="00F82BE7">
        <w:rPr>
          <w:rFonts w:ascii="ITC Avant Garde" w:hAnsi="ITC Avant Garde" w:cs="Arial"/>
          <w:color w:val="000000"/>
        </w:rPr>
        <w:t>agente regulado.</w:t>
      </w:r>
    </w:p>
    <w:p w:rsidR="00D55B2E" w:rsidRPr="00F82BE7" w:rsidRDefault="00D55B2E"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En relación con el comentario de restringir </w:t>
      </w:r>
      <w:r w:rsidR="003B1FB5">
        <w:rPr>
          <w:rFonts w:ascii="ITC Avant Garde" w:hAnsi="ITC Avant Garde" w:cs="Arial"/>
          <w:color w:val="000000"/>
        </w:rPr>
        <w:t xml:space="preserve">la separación contable </w:t>
      </w:r>
      <w:r w:rsidRPr="00F82BE7">
        <w:rPr>
          <w:rFonts w:ascii="ITC Avant Garde" w:hAnsi="ITC Avant Garde" w:cs="Arial"/>
          <w:color w:val="000000"/>
        </w:rPr>
        <w:t xml:space="preserve">exclusivamente al ámbito de neutralidad competitiva en las relaciones con la Administración Pública y que el contenido de la información necesaria a suministrar debería ser exclusivamente la información relativa a contratación con la Administración Pública, se señala que para efectos de </w:t>
      </w:r>
      <w:r w:rsidR="00567AE6">
        <w:rPr>
          <w:rFonts w:ascii="ITC Avant Garde" w:hAnsi="ITC Avant Garde" w:cs="Arial"/>
          <w:color w:val="000000"/>
        </w:rPr>
        <w:t xml:space="preserve">garantizar una </w:t>
      </w:r>
      <w:r w:rsidR="008D00DF">
        <w:rPr>
          <w:rFonts w:ascii="ITC Avant Garde" w:hAnsi="ITC Avant Garde" w:cs="Arial"/>
          <w:color w:val="000000"/>
        </w:rPr>
        <w:t xml:space="preserve">revisión </w:t>
      </w:r>
      <w:r w:rsidR="00567AE6">
        <w:rPr>
          <w:rFonts w:ascii="ITC Avant Garde" w:hAnsi="ITC Avant Garde" w:cs="Arial"/>
          <w:color w:val="000000"/>
        </w:rPr>
        <w:t xml:space="preserve">adecuada </w:t>
      </w:r>
      <w:r w:rsidR="008D00DF">
        <w:rPr>
          <w:rFonts w:ascii="ITC Avant Garde" w:hAnsi="ITC Avant Garde" w:cs="Arial"/>
          <w:color w:val="000000"/>
        </w:rPr>
        <w:t xml:space="preserve">de la información de separación contable </w:t>
      </w:r>
      <w:r w:rsidR="00DE4D55">
        <w:rPr>
          <w:rFonts w:ascii="ITC Avant Garde" w:hAnsi="ITC Avant Garde" w:cs="Arial"/>
          <w:color w:val="000000"/>
        </w:rPr>
        <w:t xml:space="preserve">y asegurar que las redes compartidas se sujetan </w:t>
      </w:r>
      <w:r w:rsidR="00DE4D55" w:rsidRPr="00F82BE7">
        <w:rPr>
          <w:rFonts w:ascii="ITC Avant Garde" w:hAnsi="ITC Avant Garde" w:cs="Arial"/>
          <w:color w:val="000000"/>
        </w:rPr>
        <w:t>al principio de neutralidad a la competencia</w:t>
      </w:r>
      <w:r w:rsidR="00DE4D55">
        <w:rPr>
          <w:rFonts w:ascii="ITC Avant Garde" w:hAnsi="ITC Avant Garde" w:cs="Arial"/>
          <w:color w:val="000000"/>
        </w:rPr>
        <w:t xml:space="preserve">, </w:t>
      </w:r>
      <w:r w:rsidR="008D00DF">
        <w:rPr>
          <w:rFonts w:ascii="ITC Avant Garde" w:hAnsi="ITC Avant Garde" w:cs="Arial"/>
          <w:color w:val="000000"/>
        </w:rPr>
        <w:t xml:space="preserve">se requiere </w:t>
      </w:r>
      <w:r w:rsidRPr="00F82BE7">
        <w:rPr>
          <w:rFonts w:ascii="ITC Avant Garde" w:hAnsi="ITC Avant Garde" w:cs="Arial"/>
          <w:color w:val="000000"/>
        </w:rPr>
        <w:t>contar con información completa y consistente</w:t>
      </w:r>
      <w:r w:rsidR="00567AE6">
        <w:rPr>
          <w:rFonts w:ascii="ITC Avant Garde" w:hAnsi="ITC Avant Garde" w:cs="Arial"/>
          <w:color w:val="000000"/>
        </w:rPr>
        <w:t xml:space="preserve"> </w:t>
      </w:r>
      <w:r w:rsidR="003066FE">
        <w:rPr>
          <w:rFonts w:ascii="ITC Avant Garde" w:hAnsi="ITC Avant Garde" w:cs="Arial"/>
          <w:color w:val="000000"/>
        </w:rPr>
        <w:t>de los sujetos regulados</w:t>
      </w:r>
      <w:r w:rsidRPr="00F82BE7">
        <w:rPr>
          <w:rFonts w:ascii="ITC Avant Garde" w:hAnsi="ITC Avant Garde" w:cs="Arial"/>
          <w:color w:val="000000"/>
        </w:rPr>
        <w:t xml:space="preserve">. </w:t>
      </w:r>
      <w:r w:rsidR="00DF60C6" w:rsidRPr="00F82BE7">
        <w:rPr>
          <w:rFonts w:ascii="ITC Avant Garde" w:hAnsi="ITC Avant Garde" w:cs="Arial"/>
          <w:color w:val="000000"/>
        </w:rPr>
        <w:t xml:space="preserve">Por lo anterior, </w:t>
      </w:r>
      <w:r w:rsidR="003066FE" w:rsidRPr="003066FE">
        <w:rPr>
          <w:rFonts w:ascii="ITC Avant Garde" w:hAnsi="ITC Avant Garde" w:cs="Arial"/>
          <w:color w:val="000000"/>
        </w:rPr>
        <w:t>no se realizaron ajustes al Anteproyecto en los términos señalados por el participante</w:t>
      </w:r>
      <w:r w:rsidR="00DF60C6" w:rsidRPr="00F82BE7">
        <w:rPr>
          <w:rFonts w:ascii="ITC Avant Garde" w:hAnsi="ITC Avant Garde" w:cs="Arial"/>
          <w:color w:val="000000"/>
        </w:rPr>
        <w:t>.</w:t>
      </w:r>
    </w:p>
    <w:p w:rsidR="0086006E" w:rsidRPr="00F82BE7" w:rsidRDefault="004409B9" w:rsidP="0033377C">
      <w:pPr>
        <w:pStyle w:val="Prrafodelista"/>
        <w:numPr>
          <w:ilvl w:val="0"/>
          <w:numId w:val="4"/>
        </w:numPr>
        <w:spacing w:line="276" w:lineRule="auto"/>
        <w:jc w:val="both"/>
        <w:rPr>
          <w:rFonts w:ascii="ITC Avant Garde" w:hAnsi="ITC Avant Garde" w:cs="Arial"/>
          <w:b/>
          <w:color w:val="000000"/>
        </w:rPr>
      </w:pPr>
      <w:r w:rsidRPr="00F82BE7">
        <w:rPr>
          <w:rFonts w:ascii="ITC Avant Garde" w:hAnsi="ITC Avant Garde" w:cs="Arial"/>
          <w:b/>
          <w:color w:val="000000"/>
        </w:rPr>
        <w:lastRenderedPageBreak/>
        <w:t>Periodicid</w:t>
      </w:r>
      <w:r w:rsidR="00721225" w:rsidRPr="00F82BE7">
        <w:rPr>
          <w:rFonts w:ascii="ITC Avant Garde" w:hAnsi="ITC Avant Garde" w:cs="Arial"/>
          <w:b/>
          <w:color w:val="000000"/>
        </w:rPr>
        <w:t xml:space="preserve">ad </w:t>
      </w:r>
      <w:r w:rsidR="00ED316D" w:rsidRPr="00F82BE7">
        <w:rPr>
          <w:rFonts w:ascii="ITC Avant Garde" w:hAnsi="ITC Avant Garde" w:cs="Arial"/>
          <w:b/>
          <w:color w:val="000000"/>
        </w:rPr>
        <w:t xml:space="preserve">de </w:t>
      </w:r>
      <w:r w:rsidR="00885F10" w:rsidRPr="00F82BE7">
        <w:rPr>
          <w:rFonts w:ascii="ITC Avant Garde" w:hAnsi="ITC Avant Garde" w:cs="Arial"/>
          <w:b/>
          <w:color w:val="000000"/>
        </w:rPr>
        <w:t xml:space="preserve">la </w:t>
      </w:r>
      <w:r w:rsidR="00721225" w:rsidRPr="00F82BE7">
        <w:rPr>
          <w:rFonts w:ascii="ITC Avant Garde" w:hAnsi="ITC Avant Garde" w:cs="Arial"/>
          <w:b/>
          <w:color w:val="000000"/>
        </w:rPr>
        <w:t>entrega de información</w:t>
      </w:r>
    </w:p>
    <w:p w:rsidR="003403FF" w:rsidRPr="00F82BE7" w:rsidRDefault="003403FF" w:rsidP="0033377C">
      <w:pPr>
        <w:spacing w:line="276" w:lineRule="auto"/>
        <w:jc w:val="both"/>
        <w:rPr>
          <w:rFonts w:ascii="ITC Avant Garde" w:hAnsi="ITC Avant Garde" w:cs="Arial"/>
          <w:i/>
          <w:color w:val="000000"/>
        </w:rPr>
      </w:pPr>
      <w:r w:rsidRPr="00F82BE7">
        <w:rPr>
          <w:rFonts w:ascii="ITC Avant Garde" w:hAnsi="ITC Avant Garde" w:cs="Arial"/>
          <w:i/>
          <w:color w:val="000000"/>
        </w:rPr>
        <w:t>Comentarios</w:t>
      </w:r>
    </w:p>
    <w:p w:rsidR="0086006E" w:rsidRDefault="004409B9"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Uno de los participantes (AT&amp;T) sugirió establecer una periodicidad semestral para presentar la información de separación contable, ya que </w:t>
      </w:r>
      <w:r w:rsidR="007316E7" w:rsidRPr="00F82BE7">
        <w:rPr>
          <w:rFonts w:ascii="ITC Avant Garde" w:hAnsi="ITC Avant Garde" w:cs="Arial"/>
          <w:color w:val="000000"/>
        </w:rPr>
        <w:t xml:space="preserve">consideró que la </w:t>
      </w:r>
      <w:r w:rsidRPr="00F82BE7">
        <w:rPr>
          <w:rFonts w:ascii="ITC Avant Garde" w:hAnsi="ITC Avant Garde" w:cs="Arial"/>
          <w:color w:val="000000"/>
        </w:rPr>
        <w:t>información anual que puede ser presentada a mitad del año siguiente pierde efectividad y oportunidad como instrumento de información para los fines establecidos.</w:t>
      </w:r>
    </w:p>
    <w:p w:rsidR="00775976" w:rsidRPr="00F82BE7" w:rsidRDefault="00F96956" w:rsidP="0033377C">
      <w:pPr>
        <w:spacing w:line="276" w:lineRule="auto"/>
        <w:jc w:val="both"/>
        <w:rPr>
          <w:rFonts w:ascii="ITC Avant Garde" w:hAnsi="ITC Avant Garde" w:cs="Arial"/>
          <w:i/>
          <w:color w:val="000000"/>
        </w:rPr>
      </w:pPr>
      <w:r>
        <w:rPr>
          <w:rFonts w:ascii="ITC Avant Garde" w:hAnsi="ITC Avant Garde" w:cs="Arial"/>
          <w:i/>
          <w:color w:val="000000"/>
        </w:rPr>
        <w:t>Consideraciones</w:t>
      </w:r>
      <w:r w:rsidRPr="00F82BE7" w:rsidDel="00F96956">
        <w:rPr>
          <w:rFonts w:ascii="ITC Avant Garde" w:hAnsi="ITC Avant Garde" w:cs="Arial"/>
          <w:i/>
          <w:color w:val="000000"/>
        </w:rPr>
        <w:t xml:space="preserve"> </w:t>
      </w:r>
      <w:r w:rsidR="00775976" w:rsidRPr="00F82BE7">
        <w:rPr>
          <w:rFonts w:ascii="ITC Avant Garde" w:hAnsi="ITC Avant Garde" w:cs="Arial"/>
          <w:i/>
          <w:color w:val="000000"/>
        </w:rPr>
        <w:t>del Instituto</w:t>
      </w:r>
    </w:p>
    <w:p w:rsidR="00320EEC" w:rsidRPr="00F82BE7" w:rsidRDefault="00320EEC"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Debido a que la información de separación contable </w:t>
      </w:r>
      <w:r w:rsidR="007316E7" w:rsidRPr="00F82BE7">
        <w:rPr>
          <w:rFonts w:ascii="ITC Avant Garde" w:hAnsi="ITC Avant Garde" w:cs="Arial"/>
          <w:color w:val="000000"/>
        </w:rPr>
        <w:t xml:space="preserve">puede </w:t>
      </w:r>
      <w:r w:rsidRPr="00F82BE7">
        <w:rPr>
          <w:rFonts w:ascii="ITC Avant Garde" w:hAnsi="ITC Avant Garde" w:cs="Arial"/>
          <w:color w:val="000000"/>
        </w:rPr>
        <w:t>requer</w:t>
      </w:r>
      <w:r w:rsidR="007316E7" w:rsidRPr="00F82BE7">
        <w:rPr>
          <w:rFonts w:ascii="ITC Avant Garde" w:hAnsi="ITC Avant Garde" w:cs="Arial"/>
          <w:color w:val="000000"/>
        </w:rPr>
        <w:t>ir</w:t>
      </w:r>
      <w:r w:rsidRPr="00F82BE7">
        <w:rPr>
          <w:rFonts w:ascii="ITC Avant Garde" w:hAnsi="ITC Avant Garde" w:cs="Arial"/>
          <w:color w:val="000000"/>
        </w:rPr>
        <w:t xml:space="preserve"> de insumos que son generados de manera anual por las empresas, tales como informes financieros y contables auditados, entre otros, es pertinente realizar una alineación de la regulación en materia de telecomunicaciones </w:t>
      </w:r>
      <w:r w:rsidR="008C5F0B">
        <w:rPr>
          <w:rFonts w:ascii="ITC Avant Garde" w:hAnsi="ITC Avant Garde" w:cs="Arial"/>
          <w:color w:val="000000"/>
        </w:rPr>
        <w:t xml:space="preserve">y radiodifusión </w:t>
      </w:r>
      <w:r w:rsidRPr="00F82BE7">
        <w:rPr>
          <w:rFonts w:ascii="ITC Avant Garde" w:hAnsi="ITC Avant Garde" w:cs="Arial"/>
          <w:color w:val="000000"/>
        </w:rPr>
        <w:t>con dichos periodos que corresponden a años fiscales, los cuales abarcan del 1</w:t>
      </w:r>
      <w:r w:rsidR="008C5F0B">
        <w:rPr>
          <w:rFonts w:ascii="ITC Avant Garde" w:hAnsi="ITC Avant Garde" w:cs="Arial"/>
          <w:color w:val="000000"/>
        </w:rPr>
        <w:t>°</w:t>
      </w:r>
      <w:r w:rsidRPr="00F82BE7">
        <w:rPr>
          <w:rFonts w:ascii="ITC Avant Garde" w:hAnsi="ITC Avant Garde" w:cs="Arial"/>
          <w:color w:val="000000"/>
        </w:rPr>
        <w:t xml:space="preserve"> de enero al 31 de diciembre del año correspondiente</w:t>
      </w:r>
      <w:r w:rsidR="007316E7" w:rsidRPr="00F82BE7">
        <w:rPr>
          <w:rFonts w:ascii="ITC Avant Garde" w:hAnsi="ITC Avant Garde" w:cs="Arial"/>
          <w:color w:val="000000"/>
        </w:rPr>
        <w:t xml:space="preserve">, con </w:t>
      </w:r>
      <w:r w:rsidR="00F13C7C">
        <w:rPr>
          <w:rFonts w:ascii="ITC Avant Garde" w:hAnsi="ITC Avant Garde" w:cs="Arial"/>
          <w:color w:val="000000"/>
        </w:rPr>
        <w:t>lo que</w:t>
      </w:r>
      <w:r w:rsidR="00F13C7C" w:rsidRPr="00F82BE7">
        <w:rPr>
          <w:rFonts w:ascii="ITC Avant Garde" w:hAnsi="ITC Avant Garde" w:cs="Arial"/>
          <w:color w:val="000000"/>
        </w:rPr>
        <w:t xml:space="preserve"> </w:t>
      </w:r>
      <w:r w:rsidR="007316E7" w:rsidRPr="00F82BE7">
        <w:rPr>
          <w:rFonts w:ascii="ITC Avant Garde" w:hAnsi="ITC Avant Garde" w:cs="Arial"/>
          <w:color w:val="000000"/>
        </w:rPr>
        <w:t>se pueden reducir los costos regulatorios de los sujeto</w:t>
      </w:r>
      <w:r w:rsidR="00290AE3" w:rsidRPr="00F82BE7">
        <w:rPr>
          <w:rFonts w:ascii="ITC Avant Garde" w:hAnsi="ITC Avant Garde" w:cs="Arial"/>
          <w:color w:val="000000"/>
        </w:rPr>
        <w:t>s</w:t>
      </w:r>
      <w:r w:rsidR="007316E7" w:rsidRPr="00F82BE7">
        <w:rPr>
          <w:rFonts w:ascii="ITC Avant Garde" w:hAnsi="ITC Avant Garde" w:cs="Arial"/>
          <w:color w:val="000000"/>
        </w:rPr>
        <w:t xml:space="preserve"> obligados</w:t>
      </w:r>
      <w:r w:rsidRPr="00F82BE7">
        <w:rPr>
          <w:rFonts w:ascii="ITC Avant Garde" w:hAnsi="ITC Avant Garde" w:cs="Arial"/>
          <w:color w:val="000000"/>
        </w:rPr>
        <w:t>.</w:t>
      </w:r>
      <w:r w:rsidR="00290AE3" w:rsidRPr="00F82BE7">
        <w:rPr>
          <w:rFonts w:ascii="ITC Avant Garde" w:hAnsi="ITC Avant Garde" w:cs="Arial"/>
          <w:color w:val="000000"/>
        </w:rPr>
        <w:t xml:space="preserve"> En virtud de lo anterior, </w:t>
      </w:r>
      <w:r w:rsidR="00031C9A" w:rsidRPr="00031C9A">
        <w:rPr>
          <w:rFonts w:ascii="ITC Avant Garde" w:hAnsi="ITC Avant Garde" w:cs="Arial"/>
          <w:color w:val="000000"/>
        </w:rPr>
        <w:t>no se realizaron ajustes al Anteproyecto en los términos señalados por el participante</w:t>
      </w:r>
      <w:r w:rsidR="00290AE3" w:rsidRPr="00F82BE7">
        <w:rPr>
          <w:rFonts w:ascii="ITC Avant Garde" w:hAnsi="ITC Avant Garde" w:cs="Arial"/>
          <w:color w:val="000000"/>
        </w:rPr>
        <w:t>.</w:t>
      </w:r>
    </w:p>
    <w:p w:rsidR="002F404B" w:rsidRPr="00F82BE7" w:rsidRDefault="00DF0C34" w:rsidP="0033377C">
      <w:pPr>
        <w:pStyle w:val="Prrafodelista"/>
        <w:numPr>
          <w:ilvl w:val="0"/>
          <w:numId w:val="4"/>
        </w:numPr>
        <w:spacing w:line="276" w:lineRule="auto"/>
        <w:jc w:val="both"/>
        <w:rPr>
          <w:rFonts w:ascii="ITC Avant Garde" w:hAnsi="ITC Avant Garde" w:cs="Arial"/>
          <w:b/>
          <w:color w:val="000000"/>
        </w:rPr>
      </w:pPr>
      <w:r w:rsidRPr="00F82BE7">
        <w:rPr>
          <w:rFonts w:ascii="ITC Avant Garde" w:hAnsi="ITC Avant Garde" w:cs="Arial"/>
          <w:b/>
          <w:color w:val="000000"/>
        </w:rPr>
        <w:t>Retroactividad</w:t>
      </w:r>
      <w:r w:rsidR="002F404B" w:rsidRPr="00F82BE7">
        <w:rPr>
          <w:rFonts w:ascii="ITC Avant Garde" w:hAnsi="ITC Avant Garde" w:cs="Arial"/>
          <w:b/>
          <w:color w:val="000000"/>
        </w:rPr>
        <w:t xml:space="preserve"> de la </w:t>
      </w:r>
      <w:r w:rsidRPr="00F82BE7">
        <w:rPr>
          <w:rFonts w:ascii="ITC Avant Garde" w:hAnsi="ITC Avant Garde" w:cs="Arial"/>
          <w:b/>
          <w:color w:val="000000"/>
        </w:rPr>
        <w:t xml:space="preserve">información de </w:t>
      </w:r>
      <w:r w:rsidR="002F404B" w:rsidRPr="00F82BE7">
        <w:rPr>
          <w:rFonts w:ascii="ITC Avant Garde" w:hAnsi="ITC Avant Garde" w:cs="Arial"/>
          <w:b/>
          <w:color w:val="000000"/>
        </w:rPr>
        <w:t>separación contable</w:t>
      </w:r>
    </w:p>
    <w:p w:rsidR="003403FF" w:rsidRPr="00F82BE7" w:rsidRDefault="003403FF" w:rsidP="0033377C">
      <w:pPr>
        <w:spacing w:line="276" w:lineRule="auto"/>
        <w:jc w:val="both"/>
        <w:rPr>
          <w:rFonts w:ascii="ITC Avant Garde" w:hAnsi="ITC Avant Garde" w:cs="Arial"/>
          <w:i/>
          <w:color w:val="000000"/>
        </w:rPr>
      </w:pPr>
      <w:r w:rsidRPr="00F82BE7">
        <w:rPr>
          <w:rFonts w:ascii="ITC Avant Garde" w:hAnsi="ITC Avant Garde" w:cs="Arial"/>
          <w:i/>
          <w:color w:val="000000"/>
        </w:rPr>
        <w:t>Comentarios</w:t>
      </w:r>
    </w:p>
    <w:p w:rsidR="007C00D0" w:rsidRPr="00F82BE7" w:rsidRDefault="007C00D0"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Un participante (AT&amp;T) recomendó que se presente por primera y única vez la separación contable re-expresada para los últimos cinco años fiscales, con </w:t>
      </w:r>
      <w:r w:rsidR="0047211C" w:rsidRPr="00F82BE7">
        <w:rPr>
          <w:rFonts w:ascii="ITC Avant Garde" w:hAnsi="ITC Avant Garde" w:cs="Arial"/>
          <w:color w:val="000000"/>
        </w:rPr>
        <w:t xml:space="preserve">el </w:t>
      </w:r>
      <w:r w:rsidRPr="00F82BE7">
        <w:rPr>
          <w:rFonts w:ascii="ITC Avant Garde" w:hAnsi="ITC Avant Garde" w:cs="Arial"/>
          <w:color w:val="000000"/>
        </w:rPr>
        <w:t>fin de permitir el análisis de la evolución de los costos y márgenes de los servicios en los últimos años.</w:t>
      </w:r>
    </w:p>
    <w:p w:rsidR="00854CDD" w:rsidRPr="00F82BE7" w:rsidRDefault="00854CDD"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Otro participante (MEGA CABLE) sugirió que al menos en el primer reporte que se presente con </w:t>
      </w:r>
      <w:r w:rsidR="0047211C" w:rsidRPr="00F82BE7">
        <w:rPr>
          <w:rFonts w:ascii="ITC Avant Garde" w:hAnsi="ITC Avant Garde" w:cs="Arial"/>
          <w:color w:val="000000"/>
        </w:rPr>
        <w:t xml:space="preserve">los </w:t>
      </w:r>
      <w:r w:rsidRPr="00F82BE7">
        <w:rPr>
          <w:rFonts w:ascii="ITC Avant Garde" w:hAnsi="ITC Avant Garde" w:cs="Arial"/>
          <w:color w:val="000000"/>
        </w:rPr>
        <w:t>resultados de la contabilidad separada se incluyan los resultados de los últimos tres años, para efectos de contar con mayor información para los objetivos regulatorios.</w:t>
      </w:r>
    </w:p>
    <w:p w:rsidR="00B92351" w:rsidRPr="00F82BE7" w:rsidRDefault="00F96956" w:rsidP="0033377C">
      <w:pPr>
        <w:spacing w:line="276" w:lineRule="auto"/>
        <w:jc w:val="both"/>
        <w:rPr>
          <w:rFonts w:ascii="ITC Avant Garde" w:hAnsi="ITC Avant Garde" w:cs="Arial"/>
          <w:i/>
          <w:color w:val="000000"/>
        </w:rPr>
      </w:pPr>
      <w:r>
        <w:rPr>
          <w:rFonts w:ascii="ITC Avant Garde" w:hAnsi="ITC Avant Garde" w:cs="Arial"/>
          <w:i/>
          <w:color w:val="000000"/>
        </w:rPr>
        <w:t>Consideraciones</w:t>
      </w:r>
      <w:r w:rsidRPr="00F82BE7" w:rsidDel="00F96956">
        <w:rPr>
          <w:rFonts w:ascii="ITC Avant Garde" w:hAnsi="ITC Avant Garde" w:cs="Arial"/>
          <w:i/>
          <w:color w:val="000000"/>
        </w:rPr>
        <w:t xml:space="preserve"> </w:t>
      </w:r>
      <w:r w:rsidR="00B92351" w:rsidRPr="00F82BE7">
        <w:rPr>
          <w:rFonts w:ascii="ITC Avant Garde" w:hAnsi="ITC Avant Garde" w:cs="Arial"/>
          <w:i/>
          <w:color w:val="000000"/>
        </w:rPr>
        <w:t>del Instituto</w:t>
      </w:r>
    </w:p>
    <w:p w:rsidR="007C00D0" w:rsidRDefault="00AF76D3"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En virtud de que los sujetos obligados </w:t>
      </w:r>
      <w:r w:rsidR="004F28CC">
        <w:rPr>
          <w:rFonts w:ascii="ITC Avant Garde" w:hAnsi="ITC Avant Garde" w:cs="Arial"/>
          <w:color w:val="000000"/>
        </w:rPr>
        <w:t xml:space="preserve">a la separación contable requerirían </w:t>
      </w:r>
      <w:r w:rsidR="0047211C" w:rsidRPr="00F82BE7">
        <w:rPr>
          <w:rFonts w:ascii="ITC Avant Garde" w:hAnsi="ITC Avant Garde" w:cs="Arial"/>
          <w:color w:val="000000"/>
        </w:rPr>
        <w:t xml:space="preserve">realizar ajustes a la información </w:t>
      </w:r>
      <w:r w:rsidR="004F28CC">
        <w:rPr>
          <w:rFonts w:ascii="ITC Avant Garde" w:hAnsi="ITC Avant Garde" w:cs="Arial"/>
          <w:color w:val="000000"/>
        </w:rPr>
        <w:t xml:space="preserve">de varios años anteriores </w:t>
      </w:r>
      <w:r w:rsidR="0047211C" w:rsidRPr="00F82BE7">
        <w:rPr>
          <w:rFonts w:ascii="ITC Avant Garde" w:hAnsi="ITC Avant Garde" w:cs="Arial"/>
          <w:color w:val="000000"/>
        </w:rPr>
        <w:t>con base en los criterios, metodologías y parámetros establecidos en la metodología</w:t>
      </w:r>
      <w:r w:rsidR="007C088B">
        <w:rPr>
          <w:rFonts w:ascii="ITC Avant Garde" w:hAnsi="ITC Avant Garde" w:cs="Arial"/>
          <w:color w:val="000000"/>
        </w:rPr>
        <w:t xml:space="preserve"> del </w:t>
      </w:r>
      <w:r w:rsidR="004F28CC">
        <w:rPr>
          <w:rFonts w:ascii="ITC Avant Garde" w:hAnsi="ITC Avant Garde" w:cs="Arial"/>
          <w:color w:val="000000"/>
        </w:rPr>
        <w:t>Anteproyecto, resultaría muy costoso y complejo llevar a cabo dichas actividades, inclusive, podría comprometer el adecuado cumplimiento de la entrega de información de separación contable por parte de los sujetos obligados</w:t>
      </w:r>
      <w:r w:rsidRPr="00F82BE7">
        <w:rPr>
          <w:rFonts w:ascii="ITC Avant Garde" w:hAnsi="ITC Avant Garde" w:cs="Arial"/>
          <w:color w:val="000000"/>
        </w:rPr>
        <w:t>.</w:t>
      </w:r>
      <w:r w:rsidR="00010808">
        <w:rPr>
          <w:rFonts w:ascii="ITC Avant Garde" w:hAnsi="ITC Avant Garde" w:cs="Arial"/>
          <w:color w:val="000000"/>
        </w:rPr>
        <w:t xml:space="preserve"> </w:t>
      </w:r>
      <w:r w:rsidR="007C088B">
        <w:rPr>
          <w:rFonts w:ascii="ITC Avant Garde" w:hAnsi="ITC Avant Garde" w:cs="Arial"/>
          <w:color w:val="000000"/>
        </w:rPr>
        <w:t>P</w:t>
      </w:r>
      <w:r w:rsidR="00290AE3" w:rsidRPr="00F82BE7">
        <w:rPr>
          <w:rFonts w:ascii="ITC Avant Garde" w:hAnsi="ITC Avant Garde" w:cs="Arial"/>
          <w:color w:val="000000"/>
        </w:rPr>
        <w:t>or lo anterior</w:t>
      </w:r>
      <w:r w:rsidR="007C088B">
        <w:rPr>
          <w:rFonts w:ascii="ITC Avant Garde" w:hAnsi="ITC Avant Garde" w:cs="Arial"/>
          <w:color w:val="000000"/>
        </w:rPr>
        <w:t xml:space="preserve">, </w:t>
      </w:r>
      <w:r w:rsidR="004F28CC">
        <w:rPr>
          <w:rFonts w:ascii="ITC Avant Garde" w:hAnsi="ITC Avant Garde" w:cs="Arial"/>
          <w:color w:val="000000"/>
        </w:rPr>
        <w:t>n</w:t>
      </w:r>
      <w:r w:rsidR="00010808" w:rsidRPr="00010808">
        <w:rPr>
          <w:rFonts w:ascii="ITC Avant Garde" w:hAnsi="ITC Avant Garde" w:cs="Arial"/>
          <w:color w:val="000000"/>
        </w:rPr>
        <w:t>o se realizaron ajustes al Anteproyecto en los términos señalados por</w:t>
      </w:r>
      <w:r w:rsidR="00010808">
        <w:rPr>
          <w:rFonts w:ascii="ITC Avant Garde" w:hAnsi="ITC Avant Garde" w:cs="Arial"/>
          <w:color w:val="000000"/>
        </w:rPr>
        <w:t xml:space="preserve"> los </w:t>
      </w:r>
      <w:r w:rsidR="00010808" w:rsidRPr="00010808">
        <w:rPr>
          <w:rFonts w:ascii="ITC Avant Garde" w:hAnsi="ITC Avant Garde" w:cs="Arial"/>
          <w:color w:val="000000"/>
        </w:rPr>
        <w:t>participante</w:t>
      </w:r>
      <w:r w:rsidR="00010808">
        <w:rPr>
          <w:rFonts w:ascii="ITC Avant Garde" w:hAnsi="ITC Avant Garde" w:cs="Arial"/>
          <w:color w:val="000000"/>
        </w:rPr>
        <w:t>s</w:t>
      </w:r>
      <w:r w:rsidR="00290AE3" w:rsidRPr="00F82BE7">
        <w:rPr>
          <w:rFonts w:ascii="ITC Avant Garde" w:hAnsi="ITC Avant Garde" w:cs="Arial"/>
          <w:color w:val="000000"/>
        </w:rPr>
        <w:t>.</w:t>
      </w:r>
    </w:p>
    <w:p w:rsidR="0033377C" w:rsidRPr="00F82BE7" w:rsidRDefault="0033377C" w:rsidP="0033377C">
      <w:pPr>
        <w:spacing w:line="276" w:lineRule="auto"/>
        <w:jc w:val="both"/>
        <w:rPr>
          <w:rFonts w:ascii="ITC Avant Garde" w:hAnsi="ITC Avant Garde" w:cs="Arial"/>
          <w:color w:val="000000"/>
        </w:rPr>
      </w:pPr>
    </w:p>
    <w:p w:rsidR="00C35EA8" w:rsidRPr="00F82BE7" w:rsidRDefault="00C35EA8" w:rsidP="0033377C">
      <w:pPr>
        <w:pStyle w:val="Prrafodelista"/>
        <w:numPr>
          <w:ilvl w:val="0"/>
          <w:numId w:val="4"/>
        </w:numPr>
        <w:spacing w:line="276" w:lineRule="auto"/>
        <w:jc w:val="both"/>
        <w:rPr>
          <w:rFonts w:ascii="ITC Avant Garde" w:hAnsi="ITC Avant Garde" w:cs="Arial"/>
          <w:b/>
          <w:color w:val="000000"/>
        </w:rPr>
      </w:pPr>
      <w:r w:rsidRPr="00F82BE7">
        <w:rPr>
          <w:rFonts w:ascii="ITC Avant Garde" w:hAnsi="ITC Avant Garde" w:cs="Arial"/>
          <w:b/>
          <w:color w:val="000000"/>
        </w:rPr>
        <w:lastRenderedPageBreak/>
        <w:t>Programa de implementación</w:t>
      </w:r>
    </w:p>
    <w:p w:rsidR="003403FF" w:rsidRPr="00F82BE7" w:rsidRDefault="003403FF" w:rsidP="0033377C">
      <w:pPr>
        <w:spacing w:line="276" w:lineRule="auto"/>
        <w:jc w:val="both"/>
        <w:rPr>
          <w:rFonts w:ascii="ITC Avant Garde" w:hAnsi="ITC Avant Garde" w:cs="Arial"/>
          <w:i/>
          <w:color w:val="000000"/>
        </w:rPr>
      </w:pPr>
      <w:r w:rsidRPr="00F82BE7">
        <w:rPr>
          <w:rFonts w:ascii="ITC Avant Garde" w:hAnsi="ITC Avant Garde" w:cs="Arial"/>
          <w:i/>
          <w:color w:val="000000"/>
        </w:rPr>
        <w:t>Comentarios</w:t>
      </w:r>
    </w:p>
    <w:p w:rsidR="008A7AB9" w:rsidRPr="00F82BE7" w:rsidRDefault="00496876"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Algunos </w:t>
      </w:r>
      <w:r w:rsidR="007628BF" w:rsidRPr="00F82BE7">
        <w:rPr>
          <w:rFonts w:ascii="ITC Avant Garde" w:hAnsi="ITC Avant Garde" w:cs="Arial"/>
          <w:color w:val="000000"/>
        </w:rPr>
        <w:t xml:space="preserve">participantes </w:t>
      </w:r>
      <w:r w:rsidR="001D0FD1" w:rsidRPr="00F82BE7">
        <w:rPr>
          <w:rFonts w:ascii="ITC Avant Garde" w:hAnsi="ITC Avant Garde" w:cs="Arial"/>
          <w:color w:val="000000"/>
        </w:rPr>
        <w:t>(AT&amp;T</w:t>
      </w:r>
      <w:r w:rsidRPr="00F82BE7">
        <w:rPr>
          <w:rFonts w:ascii="ITC Avant Garde" w:hAnsi="ITC Avant Garde" w:cs="Arial"/>
          <w:color w:val="000000"/>
        </w:rPr>
        <w:t xml:space="preserve"> y</w:t>
      </w:r>
      <w:r w:rsidR="00D327E1" w:rsidRPr="00F82BE7">
        <w:rPr>
          <w:rFonts w:ascii="ITC Avant Garde" w:hAnsi="ITC Avant Garde" w:cs="Arial"/>
          <w:color w:val="000000"/>
        </w:rPr>
        <w:t xml:space="preserve"> MEGA CABLE</w:t>
      </w:r>
      <w:r w:rsidR="001D0FD1" w:rsidRPr="00F82BE7">
        <w:rPr>
          <w:rFonts w:ascii="ITC Avant Garde" w:hAnsi="ITC Avant Garde" w:cs="Arial"/>
          <w:color w:val="000000"/>
        </w:rPr>
        <w:t xml:space="preserve">) </w:t>
      </w:r>
      <w:r w:rsidR="007628BF" w:rsidRPr="00F82BE7">
        <w:rPr>
          <w:rFonts w:ascii="ITC Avant Garde" w:hAnsi="ITC Avant Garde" w:cs="Arial"/>
          <w:color w:val="000000"/>
        </w:rPr>
        <w:t xml:space="preserve">señalaron </w:t>
      </w:r>
      <w:r w:rsidR="004F0E25">
        <w:rPr>
          <w:rFonts w:ascii="ITC Avant Garde" w:hAnsi="ITC Avant Garde" w:cs="Arial"/>
          <w:color w:val="000000"/>
        </w:rPr>
        <w:t xml:space="preserve">que se requiere </w:t>
      </w:r>
      <w:r w:rsidR="007628BF" w:rsidRPr="00F82BE7">
        <w:rPr>
          <w:rFonts w:ascii="ITC Avant Garde" w:hAnsi="ITC Avant Garde" w:cs="Arial"/>
          <w:color w:val="000000"/>
        </w:rPr>
        <w:t>mayor precisión y detalle en los requisitos para la presentación de</w:t>
      </w:r>
      <w:r w:rsidR="00E73813" w:rsidRPr="00F82BE7">
        <w:rPr>
          <w:rFonts w:ascii="ITC Avant Garde" w:hAnsi="ITC Avant Garde" w:cs="Arial"/>
          <w:color w:val="000000"/>
        </w:rPr>
        <w:t xml:space="preserve">l </w:t>
      </w:r>
      <w:r w:rsidR="004F0E25">
        <w:rPr>
          <w:rFonts w:ascii="ITC Avant Garde" w:hAnsi="ITC Avant Garde" w:cs="Arial"/>
          <w:color w:val="000000"/>
        </w:rPr>
        <w:t>p</w:t>
      </w:r>
      <w:r w:rsidR="00E73813" w:rsidRPr="00F82BE7">
        <w:rPr>
          <w:rFonts w:ascii="ITC Avant Garde" w:hAnsi="ITC Avant Garde" w:cs="Arial"/>
          <w:color w:val="000000"/>
        </w:rPr>
        <w:t xml:space="preserve">rograma de </w:t>
      </w:r>
      <w:r w:rsidR="004F0E25">
        <w:rPr>
          <w:rFonts w:ascii="ITC Avant Garde" w:hAnsi="ITC Avant Garde" w:cs="Arial"/>
          <w:color w:val="000000"/>
        </w:rPr>
        <w:t>i</w:t>
      </w:r>
      <w:r w:rsidR="00E73813" w:rsidRPr="00F82BE7">
        <w:rPr>
          <w:rFonts w:ascii="ITC Avant Garde" w:hAnsi="ITC Avant Garde" w:cs="Arial"/>
          <w:color w:val="000000"/>
        </w:rPr>
        <w:t>mplementación de la separación contable.</w:t>
      </w:r>
      <w:r w:rsidR="00D327E1" w:rsidRPr="00F82BE7">
        <w:rPr>
          <w:rFonts w:ascii="ITC Avant Garde" w:hAnsi="ITC Avant Garde" w:cs="Arial"/>
          <w:color w:val="000000"/>
        </w:rPr>
        <w:t xml:space="preserve"> Además, sugirieron algunas precisiones ya que consideraron insuficiente la información para sus propósitos.</w:t>
      </w:r>
    </w:p>
    <w:p w:rsidR="002762FC" w:rsidRPr="00F82BE7" w:rsidRDefault="002762FC"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Otro participante (MEGA CABLE) sugirió que antes de aprobar el </w:t>
      </w:r>
      <w:r w:rsidR="004F0E25">
        <w:rPr>
          <w:rFonts w:ascii="ITC Avant Garde" w:hAnsi="ITC Avant Garde" w:cs="Arial"/>
          <w:color w:val="000000"/>
        </w:rPr>
        <w:t>p</w:t>
      </w:r>
      <w:r w:rsidRPr="00F82BE7">
        <w:rPr>
          <w:rFonts w:ascii="ITC Avant Garde" w:hAnsi="ITC Avant Garde" w:cs="Arial"/>
          <w:color w:val="000000"/>
        </w:rPr>
        <w:t xml:space="preserve">rograma de </w:t>
      </w:r>
      <w:r w:rsidR="004F0E25">
        <w:rPr>
          <w:rFonts w:ascii="ITC Avant Garde" w:hAnsi="ITC Avant Garde" w:cs="Arial"/>
          <w:color w:val="000000"/>
        </w:rPr>
        <w:t>i</w:t>
      </w:r>
      <w:r w:rsidRPr="00F82BE7">
        <w:rPr>
          <w:rFonts w:ascii="ITC Avant Garde" w:hAnsi="ITC Avant Garde" w:cs="Arial"/>
          <w:color w:val="000000"/>
        </w:rPr>
        <w:t xml:space="preserve">mplementación y una vez contando con la metodología e información inicial proporcionada por los </w:t>
      </w:r>
      <w:r w:rsidR="00376BB5" w:rsidRPr="00F82BE7">
        <w:rPr>
          <w:rFonts w:ascii="ITC Avant Garde" w:hAnsi="ITC Avant Garde" w:cs="Arial"/>
          <w:color w:val="000000"/>
        </w:rPr>
        <w:t>agentes económicos preponderantes</w:t>
      </w:r>
      <w:r w:rsidRPr="00F82BE7">
        <w:rPr>
          <w:rFonts w:ascii="ITC Avant Garde" w:hAnsi="ITC Avant Garde" w:cs="Arial"/>
          <w:color w:val="000000"/>
        </w:rPr>
        <w:t>, el Instituto realice una nueva consulta sobre aspectos más específicos y prácticos de la metodología y el procedimiento de implementación de la obligación de separación contable.</w:t>
      </w:r>
    </w:p>
    <w:p w:rsidR="00BC0C1F" w:rsidRPr="00F82BE7" w:rsidRDefault="00BC0C1F" w:rsidP="0033377C">
      <w:pPr>
        <w:spacing w:line="276" w:lineRule="auto"/>
        <w:jc w:val="both"/>
        <w:rPr>
          <w:rFonts w:ascii="ITC Avant Garde" w:hAnsi="ITC Avant Garde" w:cs="Arial"/>
          <w:color w:val="000000"/>
        </w:rPr>
      </w:pPr>
      <w:r w:rsidRPr="00F82BE7">
        <w:rPr>
          <w:rFonts w:ascii="ITC Avant Garde" w:hAnsi="ITC Avant Garde" w:cs="Arial"/>
          <w:color w:val="000000"/>
        </w:rPr>
        <w:t>Otros participantes (Corporación de Radio y Televisión del Norte de México</w:t>
      </w:r>
      <w:r w:rsidR="004F0E25">
        <w:rPr>
          <w:rFonts w:ascii="ITC Avant Garde" w:hAnsi="ITC Avant Garde" w:cs="Arial"/>
          <w:color w:val="000000"/>
        </w:rPr>
        <w:t xml:space="preserve">, </w:t>
      </w:r>
      <w:r w:rsidRPr="00F82BE7">
        <w:rPr>
          <w:rFonts w:ascii="ITC Avant Garde" w:hAnsi="ITC Avant Garde" w:cs="Arial"/>
          <w:color w:val="000000"/>
        </w:rPr>
        <w:t>Bestphone</w:t>
      </w:r>
      <w:r w:rsidR="000E4791" w:rsidRPr="00F82BE7">
        <w:rPr>
          <w:rFonts w:ascii="ITC Avant Garde" w:hAnsi="ITC Avant Garde" w:cs="Arial"/>
          <w:color w:val="000000"/>
        </w:rPr>
        <w:t xml:space="preserve"> y Televimex</w:t>
      </w:r>
      <w:r w:rsidRPr="00F82BE7">
        <w:rPr>
          <w:rFonts w:ascii="ITC Avant Garde" w:hAnsi="ITC Avant Garde" w:cs="Arial"/>
          <w:color w:val="000000"/>
        </w:rPr>
        <w:t>) recomendaron que el Instituto apruebe o comunique modificaciones al programa de implementación antes del 31 de enero de 2018 (o del año correspondiente) o bien, en caso de que realizara modificaciones a los planes de implementación, que estas modificaciones sean consideradas en el ejercicio de 2019 (o en el ejercicio contable del año posterior), dando un margen de tiempo razonable para que las modificaciones realizadas por el Instituto puedan ser implementadas.</w:t>
      </w:r>
    </w:p>
    <w:p w:rsidR="00E73813" w:rsidRPr="00F82BE7" w:rsidRDefault="00F96956" w:rsidP="0033377C">
      <w:pPr>
        <w:spacing w:line="276" w:lineRule="auto"/>
        <w:jc w:val="both"/>
        <w:rPr>
          <w:rFonts w:ascii="ITC Avant Garde" w:hAnsi="ITC Avant Garde" w:cs="Arial"/>
          <w:i/>
          <w:color w:val="000000"/>
        </w:rPr>
      </w:pPr>
      <w:r>
        <w:rPr>
          <w:rFonts w:ascii="ITC Avant Garde" w:hAnsi="ITC Avant Garde" w:cs="Arial"/>
          <w:i/>
          <w:color w:val="000000"/>
        </w:rPr>
        <w:t>Consideraciones</w:t>
      </w:r>
      <w:r w:rsidRPr="00F82BE7" w:rsidDel="00F96956">
        <w:rPr>
          <w:rFonts w:ascii="ITC Avant Garde" w:hAnsi="ITC Avant Garde" w:cs="Arial"/>
          <w:i/>
          <w:color w:val="000000"/>
        </w:rPr>
        <w:t xml:space="preserve"> </w:t>
      </w:r>
      <w:r w:rsidR="00E73813" w:rsidRPr="00F82BE7">
        <w:rPr>
          <w:rFonts w:ascii="ITC Avant Garde" w:hAnsi="ITC Avant Garde" w:cs="Arial"/>
          <w:i/>
          <w:color w:val="000000"/>
        </w:rPr>
        <w:t>del Instituto</w:t>
      </w:r>
    </w:p>
    <w:p w:rsidR="00AA0C14" w:rsidRPr="00F82BE7" w:rsidRDefault="00AA0C14" w:rsidP="0033377C">
      <w:pPr>
        <w:spacing w:line="276" w:lineRule="auto"/>
        <w:jc w:val="both"/>
        <w:rPr>
          <w:rFonts w:ascii="ITC Avant Garde" w:hAnsi="ITC Avant Garde" w:cs="Arial"/>
          <w:color w:val="000000"/>
        </w:rPr>
      </w:pPr>
      <w:r>
        <w:rPr>
          <w:rFonts w:ascii="ITC Avant Garde" w:hAnsi="ITC Avant Garde" w:cs="Arial"/>
          <w:color w:val="000000"/>
        </w:rPr>
        <w:t xml:space="preserve">Respecto al comentario de que se requiere </w:t>
      </w:r>
      <w:r w:rsidRPr="00F82BE7">
        <w:rPr>
          <w:rFonts w:ascii="ITC Avant Garde" w:hAnsi="ITC Avant Garde" w:cs="Arial"/>
          <w:color w:val="000000"/>
        </w:rPr>
        <w:t xml:space="preserve">mayor precisión y detalle en los requisitos para la presentación del </w:t>
      </w:r>
      <w:r>
        <w:rPr>
          <w:rFonts w:ascii="ITC Avant Garde" w:hAnsi="ITC Avant Garde" w:cs="Arial"/>
          <w:color w:val="000000"/>
        </w:rPr>
        <w:t>p</w:t>
      </w:r>
      <w:r w:rsidRPr="00F82BE7">
        <w:rPr>
          <w:rFonts w:ascii="ITC Avant Garde" w:hAnsi="ITC Avant Garde" w:cs="Arial"/>
          <w:color w:val="000000"/>
        </w:rPr>
        <w:t xml:space="preserve">rograma de </w:t>
      </w:r>
      <w:r>
        <w:rPr>
          <w:rFonts w:ascii="ITC Avant Garde" w:hAnsi="ITC Avant Garde" w:cs="Arial"/>
          <w:color w:val="000000"/>
        </w:rPr>
        <w:t>i</w:t>
      </w:r>
      <w:r w:rsidRPr="00F82BE7">
        <w:rPr>
          <w:rFonts w:ascii="ITC Avant Garde" w:hAnsi="ITC Avant Garde" w:cs="Arial"/>
          <w:color w:val="000000"/>
        </w:rPr>
        <w:t>mplementación de la separación contable</w:t>
      </w:r>
      <w:r>
        <w:rPr>
          <w:rFonts w:ascii="ITC Avant Garde" w:hAnsi="ITC Avant Garde" w:cs="Arial"/>
          <w:color w:val="000000"/>
        </w:rPr>
        <w:t>, se señala que el programa de implementación será revisado por el Instituto a fin de corroborar que se sujeta a los principios, criterios, parámetros y metodologías de separación contable</w:t>
      </w:r>
      <w:r w:rsidR="003B5568">
        <w:rPr>
          <w:rFonts w:ascii="ITC Avant Garde" w:hAnsi="ITC Avant Garde" w:cs="Arial"/>
          <w:color w:val="000000"/>
        </w:rPr>
        <w:t xml:space="preserve"> del Acuerdo</w:t>
      </w:r>
      <w:r>
        <w:rPr>
          <w:rFonts w:ascii="ITC Avant Garde" w:hAnsi="ITC Avant Garde" w:cs="Arial"/>
          <w:color w:val="000000"/>
        </w:rPr>
        <w:t xml:space="preserve">. En este sentido, el Instituto podrá solicitar modificaciones al programa de implementación a fin de reducir las </w:t>
      </w:r>
      <w:r w:rsidR="00717A3A">
        <w:rPr>
          <w:rFonts w:ascii="ITC Avant Garde" w:hAnsi="ITC Avant Garde" w:cs="Arial"/>
          <w:color w:val="000000"/>
        </w:rPr>
        <w:t xml:space="preserve">posibles </w:t>
      </w:r>
      <w:r>
        <w:rPr>
          <w:rFonts w:ascii="ITC Avant Garde" w:hAnsi="ITC Avant Garde" w:cs="Arial"/>
          <w:color w:val="000000"/>
        </w:rPr>
        <w:t>desviaciones a lo dispuesto en la metodología de separación contable.</w:t>
      </w:r>
      <w:r w:rsidRPr="00AA0C14">
        <w:rPr>
          <w:rFonts w:ascii="ITC Avant Garde" w:hAnsi="ITC Avant Garde" w:cs="Arial"/>
          <w:color w:val="000000"/>
        </w:rPr>
        <w:t xml:space="preserve"> </w:t>
      </w:r>
      <w:r>
        <w:rPr>
          <w:rFonts w:ascii="ITC Avant Garde" w:hAnsi="ITC Avant Garde" w:cs="Arial"/>
          <w:color w:val="000000"/>
        </w:rPr>
        <w:t>P</w:t>
      </w:r>
      <w:r w:rsidRPr="00F82BE7">
        <w:rPr>
          <w:rFonts w:ascii="ITC Avant Garde" w:hAnsi="ITC Avant Garde" w:cs="Arial"/>
          <w:color w:val="000000"/>
        </w:rPr>
        <w:t>or lo anterior</w:t>
      </w:r>
      <w:r>
        <w:rPr>
          <w:rFonts w:ascii="ITC Avant Garde" w:hAnsi="ITC Avant Garde" w:cs="Arial"/>
          <w:color w:val="000000"/>
        </w:rPr>
        <w:t xml:space="preserve">, </w:t>
      </w:r>
      <w:r w:rsidR="00717A3A" w:rsidRPr="00717A3A">
        <w:rPr>
          <w:rFonts w:ascii="ITC Avant Garde" w:hAnsi="ITC Avant Garde" w:cs="Arial"/>
          <w:color w:val="000000"/>
        </w:rPr>
        <w:t xml:space="preserve">no se realizaron ajustes al Anteproyecto en los términos señalados por </w:t>
      </w:r>
      <w:r w:rsidR="00162109">
        <w:rPr>
          <w:rFonts w:ascii="ITC Avant Garde" w:hAnsi="ITC Avant Garde" w:cs="Arial"/>
          <w:color w:val="000000"/>
        </w:rPr>
        <w:t>los</w:t>
      </w:r>
      <w:r w:rsidR="00717A3A" w:rsidRPr="00717A3A">
        <w:rPr>
          <w:rFonts w:ascii="ITC Avant Garde" w:hAnsi="ITC Avant Garde" w:cs="Arial"/>
          <w:color w:val="000000"/>
        </w:rPr>
        <w:t xml:space="preserve"> participante</w:t>
      </w:r>
      <w:r w:rsidR="00162109">
        <w:rPr>
          <w:rFonts w:ascii="ITC Avant Garde" w:hAnsi="ITC Avant Garde" w:cs="Arial"/>
          <w:color w:val="000000"/>
        </w:rPr>
        <w:t>s</w:t>
      </w:r>
      <w:r w:rsidRPr="00F82BE7">
        <w:rPr>
          <w:rFonts w:ascii="ITC Avant Garde" w:hAnsi="ITC Avant Garde" w:cs="Arial"/>
          <w:color w:val="000000"/>
        </w:rPr>
        <w:t>.</w:t>
      </w:r>
    </w:p>
    <w:p w:rsidR="0019385A" w:rsidRPr="00F82BE7" w:rsidRDefault="002762FC"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Sobre la posibilidad de realizar una nueva consulta sobre el </w:t>
      </w:r>
      <w:r w:rsidR="00C66183">
        <w:rPr>
          <w:rFonts w:ascii="ITC Avant Garde" w:hAnsi="ITC Avant Garde" w:cs="Arial"/>
          <w:color w:val="000000"/>
        </w:rPr>
        <w:t>p</w:t>
      </w:r>
      <w:r w:rsidRPr="00F82BE7">
        <w:rPr>
          <w:rFonts w:ascii="ITC Avant Garde" w:hAnsi="ITC Avant Garde" w:cs="Arial"/>
          <w:color w:val="000000"/>
        </w:rPr>
        <w:t xml:space="preserve">rograma de </w:t>
      </w:r>
      <w:r w:rsidR="00C66183">
        <w:rPr>
          <w:rFonts w:ascii="ITC Avant Garde" w:hAnsi="ITC Avant Garde" w:cs="Arial"/>
          <w:color w:val="000000"/>
        </w:rPr>
        <w:t>i</w:t>
      </w:r>
      <w:r w:rsidRPr="00F82BE7">
        <w:rPr>
          <w:rFonts w:ascii="ITC Avant Garde" w:hAnsi="ITC Avant Garde" w:cs="Arial"/>
          <w:color w:val="000000"/>
        </w:rPr>
        <w:t xml:space="preserve">mplementación del AEP, se señala que no resulta factible, toda vez que </w:t>
      </w:r>
      <w:r w:rsidR="00FF6117" w:rsidRPr="00F82BE7">
        <w:rPr>
          <w:rFonts w:ascii="ITC Avant Garde" w:hAnsi="ITC Avant Garde" w:cs="Arial"/>
          <w:color w:val="000000"/>
        </w:rPr>
        <w:t xml:space="preserve">la </w:t>
      </w:r>
      <w:r w:rsidR="0037328A" w:rsidRPr="00F82BE7">
        <w:rPr>
          <w:rFonts w:ascii="ITC Avant Garde" w:hAnsi="ITC Avant Garde" w:cs="Arial"/>
          <w:color w:val="000000"/>
        </w:rPr>
        <w:t xml:space="preserve">revisión de </w:t>
      </w:r>
      <w:r w:rsidRPr="00F82BE7">
        <w:rPr>
          <w:rFonts w:ascii="ITC Avant Garde" w:hAnsi="ITC Avant Garde" w:cs="Arial"/>
          <w:color w:val="000000"/>
        </w:rPr>
        <w:t xml:space="preserve">la información </w:t>
      </w:r>
      <w:r w:rsidR="00EA7776" w:rsidRPr="00F82BE7">
        <w:rPr>
          <w:rFonts w:ascii="ITC Avant Garde" w:hAnsi="ITC Avant Garde" w:cs="Arial"/>
          <w:color w:val="000000"/>
        </w:rPr>
        <w:t xml:space="preserve">específica requerida en los </w:t>
      </w:r>
      <w:r w:rsidR="00C66183">
        <w:rPr>
          <w:rFonts w:ascii="ITC Avant Garde" w:hAnsi="ITC Avant Garde" w:cs="Arial"/>
          <w:color w:val="000000"/>
        </w:rPr>
        <w:t>p</w:t>
      </w:r>
      <w:r w:rsidR="00EA7776" w:rsidRPr="00F82BE7">
        <w:rPr>
          <w:rFonts w:ascii="ITC Avant Garde" w:hAnsi="ITC Avant Garde" w:cs="Arial"/>
          <w:color w:val="000000"/>
        </w:rPr>
        <w:t xml:space="preserve">rogramas de </w:t>
      </w:r>
      <w:r w:rsidR="00C66183">
        <w:rPr>
          <w:rFonts w:ascii="ITC Avant Garde" w:hAnsi="ITC Avant Garde" w:cs="Arial"/>
          <w:color w:val="000000"/>
        </w:rPr>
        <w:t>i</w:t>
      </w:r>
      <w:r w:rsidR="00EA7776" w:rsidRPr="00F82BE7">
        <w:rPr>
          <w:rFonts w:ascii="ITC Avant Garde" w:hAnsi="ITC Avant Garde" w:cs="Arial"/>
          <w:color w:val="000000"/>
        </w:rPr>
        <w:t xml:space="preserve">mplementación </w:t>
      </w:r>
      <w:r w:rsidRPr="00F82BE7">
        <w:rPr>
          <w:rFonts w:ascii="ITC Avant Garde" w:hAnsi="ITC Avant Garde" w:cs="Arial"/>
          <w:color w:val="000000"/>
        </w:rPr>
        <w:t>compete únicamente al Instituto</w:t>
      </w:r>
      <w:r w:rsidR="00FF6117" w:rsidRPr="00F82BE7">
        <w:rPr>
          <w:rFonts w:ascii="ITC Avant Garde" w:hAnsi="ITC Avant Garde" w:cs="Arial"/>
          <w:color w:val="000000"/>
        </w:rPr>
        <w:t xml:space="preserve">. </w:t>
      </w:r>
      <w:r w:rsidR="003872AB">
        <w:rPr>
          <w:rFonts w:ascii="ITC Avant Garde" w:hAnsi="ITC Avant Garde" w:cs="Arial"/>
          <w:color w:val="000000"/>
        </w:rPr>
        <w:t>Además</w:t>
      </w:r>
      <w:r w:rsidR="00FF6117" w:rsidRPr="00F82BE7">
        <w:rPr>
          <w:rFonts w:ascii="ITC Avant Garde" w:hAnsi="ITC Avant Garde" w:cs="Arial"/>
          <w:color w:val="000000"/>
        </w:rPr>
        <w:t xml:space="preserve">, se advierte que se incrementarían considerablemente los tiempos de entrega de la información de separación </w:t>
      </w:r>
      <w:r w:rsidR="0019385A" w:rsidRPr="00F82BE7">
        <w:rPr>
          <w:rFonts w:ascii="ITC Avant Garde" w:hAnsi="ITC Avant Garde" w:cs="Arial"/>
          <w:color w:val="000000"/>
        </w:rPr>
        <w:t xml:space="preserve">contable en caso de realizar dicha consulta. En virtud de lo anterior, </w:t>
      </w:r>
      <w:r w:rsidR="003872AB" w:rsidRPr="003872AB">
        <w:rPr>
          <w:rFonts w:ascii="ITC Avant Garde" w:hAnsi="ITC Avant Garde" w:cs="Arial"/>
          <w:color w:val="000000"/>
        </w:rPr>
        <w:t>no se realizaron ajustes al Anteproyecto en los términos señalados por el participante</w:t>
      </w:r>
      <w:r w:rsidR="0019385A" w:rsidRPr="00F82BE7">
        <w:rPr>
          <w:rFonts w:ascii="ITC Avant Garde" w:hAnsi="ITC Avant Garde" w:cs="Arial"/>
          <w:color w:val="000000"/>
        </w:rPr>
        <w:t>.</w:t>
      </w:r>
    </w:p>
    <w:p w:rsidR="00A00403" w:rsidRDefault="001C22F5" w:rsidP="0033377C">
      <w:pPr>
        <w:spacing w:line="276" w:lineRule="auto"/>
        <w:jc w:val="both"/>
        <w:rPr>
          <w:rFonts w:ascii="ITC Avant Garde" w:hAnsi="ITC Avant Garde" w:cs="Arial"/>
          <w:color w:val="000000"/>
        </w:rPr>
      </w:pPr>
      <w:r w:rsidRPr="00F82BE7">
        <w:rPr>
          <w:rFonts w:ascii="ITC Avant Garde" w:hAnsi="ITC Avant Garde" w:cs="Arial"/>
          <w:color w:val="000000"/>
        </w:rPr>
        <w:lastRenderedPageBreak/>
        <w:t xml:space="preserve">Respecto a la modificación de los plazos para la presentación del </w:t>
      </w:r>
      <w:r w:rsidR="00C66183">
        <w:rPr>
          <w:rFonts w:ascii="ITC Avant Garde" w:hAnsi="ITC Avant Garde" w:cs="Arial"/>
          <w:color w:val="000000"/>
        </w:rPr>
        <w:t>p</w:t>
      </w:r>
      <w:r w:rsidRPr="00F82BE7">
        <w:rPr>
          <w:rFonts w:ascii="ITC Avant Garde" w:hAnsi="ITC Avant Garde" w:cs="Arial"/>
          <w:color w:val="000000"/>
        </w:rPr>
        <w:t xml:space="preserve">rograma de </w:t>
      </w:r>
      <w:r w:rsidR="00C66183">
        <w:rPr>
          <w:rFonts w:ascii="ITC Avant Garde" w:hAnsi="ITC Avant Garde" w:cs="Arial"/>
          <w:color w:val="000000"/>
        </w:rPr>
        <w:t>i</w:t>
      </w:r>
      <w:r w:rsidRPr="00F82BE7">
        <w:rPr>
          <w:rFonts w:ascii="ITC Avant Garde" w:hAnsi="ITC Avant Garde" w:cs="Arial"/>
          <w:color w:val="000000"/>
        </w:rPr>
        <w:t xml:space="preserve">mplementación, </w:t>
      </w:r>
      <w:r w:rsidR="00C66183">
        <w:rPr>
          <w:rFonts w:ascii="ITC Avant Garde" w:hAnsi="ITC Avant Garde" w:cs="Arial"/>
          <w:color w:val="000000"/>
        </w:rPr>
        <w:t xml:space="preserve">el Instituto </w:t>
      </w:r>
      <w:r w:rsidR="0019385A" w:rsidRPr="00F82BE7">
        <w:rPr>
          <w:rFonts w:ascii="ITC Avant Garde" w:hAnsi="ITC Avant Garde" w:cs="Arial"/>
          <w:color w:val="000000"/>
        </w:rPr>
        <w:t>consider</w:t>
      </w:r>
      <w:r w:rsidR="00A00403">
        <w:rPr>
          <w:rFonts w:ascii="ITC Avant Garde" w:hAnsi="ITC Avant Garde" w:cs="Arial"/>
          <w:color w:val="000000"/>
        </w:rPr>
        <w:t xml:space="preserve">a que los plazos para su presentación y, en su caso, atención a las modificaciones solicitadas, son razonables, en virtud de que el programa de implementación consiste en </w:t>
      </w:r>
      <w:r w:rsidR="00A00403" w:rsidRPr="00A00403">
        <w:rPr>
          <w:rFonts w:ascii="ITC Avant Garde" w:hAnsi="ITC Avant Garde" w:cs="Arial"/>
          <w:color w:val="000000"/>
        </w:rPr>
        <w:t>una estructura preliminar sobre cómo se va entregar la información de separación contable por parte de los agentes obligados</w:t>
      </w:r>
      <w:r w:rsidR="00351CC9">
        <w:rPr>
          <w:rFonts w:ascii="ITC Avant Garde" w:hAnsi="ITC Avant Garde" w:cs="Arial"/>
          <w:color w:val="000000"/>
        </w:rPr>
        <w:t>, y sobre ciertos rubros mínimos de información</w:t>
      </w:r>
      <w:r w:rsidRPr="00F82BE7">
        <w:rPr>
          <w:rFonts w:ascii="ITC Avant Garde" w:hAnsi="ITC Avant Garde" w:cs="Arial"/>
          <w:color w:val="000000"/>
        </w:rPr>
        <w:t>.</w:t>
      </w:r>
      <w:r w:rsidR="00A00403">
        <w:rPr>
          <w:rFonts w:ascii="ITC Avant Garde" w:hAnsi="ITC Avant Garde" w:cs="Arial"/>
          <w:color w:val="000000"/>
        </w:rPr>
        <w:t xml:space="preserve"> </w:t>
      </w:r>
      <w:r w:rsidR="00A00403" w:rsidRPr="00F82BE7">
        <w:rPr>
          <w:rFonts w:ascii="ITC Avant Garde" w:hAnsi="ITC Avant Garde" w:cs="Arial"/>
          <w:color w:val="000000"/>
        </w:rPr>
        <w:t>E</w:t>
      </w:r>
      <w:r w:rsidR="00A00403">
        <w:rPr>
          <w:rFonts w:ascii="ITC Avant Garde" w:hAnsi="ITC Avant Garde" w:cs="Arial"/>
          <w:color w:val="000000"/>
        </w:rPr>
        <w:t>n este sentido</w:t>
      </w:r>
      <w:r w:rsidR="00A00403" w:rsidRPr="00F82BE7">
        <w:rPr>
          <w:rFonts w:ascii="ITC Avant Garde" w:hAnsi="ITC Avant Garde" w:cs="Arial"/>
          <w:color w:val="000000"/>
        </w:rPr>
        <w:t xml:space="preserve">, </w:t>
      </w:r>
      <w:r w:rsidR="00131B99" w:rsidRPr="00131B99">
        <w:rPr>
          <w:rFonts w:ascii="ITC Avant Garde" w:hAnsi="ITC Avant Garde" w:cs="Arial"/>
          <w:color w:val="000000"/>
        </w:rPr>
        <w:t xml:space="preserve">no se realizaron ajustes al Anteproyecto en los términos señalados por </w:t>
      </w:r>
      <w:r w:rsidR="00162109">
        <w:rPr>
          <w:rFonts w:ascii="ITC Avant Garde" w:hAnsi="ITC Avant Garde" w:cs="Arial"/>
          <w:color w:val="000000"/>
        </w:rPr>
        <w:t>los</w:t>
      </w:r>
      <w:r w:rsidR="00131B99" w:rsidRPr="00131B99">
        <w:rPr>
          <w:rFonts w:ascii="ITC Avant Garde" w:hAnsi="ITC Avant Garde" w:cs="Arial"/>
          <w:color w:val="000000"/>
        </w:rPr>
        <w:t xml:space="preserve"> participante</w:t>
      </w:r>
      <w:r w:rsidR="00162109">
        <w:rPr>
          <w:rFonts w:ascii="ITC Avant Garde" w:hAnsi="ITC Avant Garde" w:cs="Arial"/>
          <w:color w:val="000000"/>
        </w:rPr>
        <w:t>s</w:t>
      </w:r>
      <w:r w:rsidR="00A00403" w:rsidRPr="00F82BE7">
        <w:rPr>
          <w:rFonts w:ascii="ITC Avant Garde" w:hAnsi="ITC Avant Garde" w:cs="Arial"/>
          <w:color w:val="000000"/>
        </w:rPr>
        <w:t>.</w:t>
      </w:r>
    </w:p>
    <w:p w:rsidR="00F710B1" w:rsidRPr="00F82BE7" w:rsidRDefault="00F710B1" w:rsidP="0033377C">
      <w:pPr>
        <w:pStyle w:val="Prrafodelista"/>
        <w:numPr>
          <w:ilvl w:val="0"/>
          <w:numId w:val="4"/>
        </w:numPr>
        <w:spacing w:line="276" w:lineRule="auto"/>
        <w:jc w:val="both"/>
        <w:rPr>
          <w:rFonts w:ascii="ITC Avant Garde" w:hAnsi="ITC Avant Garde" w:cs="Arial"/>
          <w:b/>
          <w:color w:val="000000"/>
        </w:rPr>
      </w:pPr>
      <w:r w:rsidRPr="00F82BE7">
        <w:rPr>
          <w:rFonts w:ascii="ITC Avant Garde" w:hAnsi="ITC Avant Garde" w:cs="Arial"/>
          <w:b/>
          <w:color w:val="000000"/>
        </w:rPr>
        <w:t xml:space="preserve">Proceso de revisión e implementación </w:t>
      </w:r>
    </w:p>
    <w:p w:rsidR="003403FF" w:rsidRPr="00F82BE7" w:rsidRDefault="003403FF" w:rsidP="0033377C">
      <w:pPr>
        <w:spacing w:line="276" w:lineRule="auto"/>
        <w:jc w:val="both"/>
        <w:rPr>
          <w:rFonts w:ascii="ITC Avant Garde" w:hAnsi="ITC Avant Garde" w:cs="Arial"/>
          <w:i/>
          <w:color w:val="000000"/>
        </w:rPr>
      </w:pPr>
      <w:r w:rsidRPr="00F82BE7">
        <w:rPr>
          <w:rFonts w:ascii="ITC Avant Garde" w:hAnsi="ITC Avant Garde" w:cs="Arial"/>
          <w:i/>
          <w:color w:val="000000"/>
        </w:rPr>
        <w:t>Comentarios</w:t>
      </w:r>
    </w:p>
    <w:p w:rsidR="00DC2F36" w:rsidRPr="00F82BE7" w:rsidRDefault="00DD0AAD"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Uno de los participantes </w:t>
      </w:r>
      <w:r w:rsidR="00A66897" w:rsidRPr="00F82BE7">
        <w:rPr>
          <w:rFonts w:ascii="ITC Avant Garde" w:hAnsi="ITC Avant Garde" w:cs="Arial"/>
          <w:color w:val="000000"/>
        </w:rPr>
        <w:t xml:space="preserve">(AT&amp;T) </w:t>
      </w:r>
      <w:r w:rsidR="005B3280" w:rsidRPr="00F82BE7">
        <w:rPr>
          <w:rFonts w:ascii="ITC Avant Garde" w:hAnsi="ITC Avant Garde" w:cs="Arial"/>
          <w:color w:val="000000"/>
        </w:rPr>
        <w:t>sugirió</w:t>
      </w:r>
      <w:r w:rsidRPr="00F82BE7">
        <w:rPr>
          <w:rFonts w:ascii="ITC Avant Garde" w:hAnsi="ITC Avant Garde" w:cs="Arial"/>
          <w:color w:val="000000"/>
        </w:rPr>
        <w:t xml:space="preserve"> establecer un cronograma más definido</w:t>
      </w:r>
      <w:r w:rsidR="00A66897" w:rsidRPr="00F82BE7">
        <w:rPr>
          <w:rFonts w:ascii="ITC Avant Garde" w:hAnsi="ITC Avant Garde" w:cs="Arial"/>
          <w:color w:val="000000"/>
        </w:rPr>
        <w:t xml:space="preserve"> sobre la entrega de información de separación contable y su revisión a fin de evitar que se</w:t>
      </w:r>
      <w:r w:rsidRPr="00F82BE7">
        <w:rPr>
          <w:rFonts w:ascii="ITC Avant Garde" w:hAnsi="ITC Avant Garde" w:cs="Arial"/>
          <w:color w:val="000000"/>
        </w:rPr>
        <w:t xml:space="preserve"> retrasen innecesariamente la entrega de los formatos y reportes. También señal</w:t>
      </w:r>
      <w:r w:rsidR="001B7025">
        <w:rPr>
          <w:rFonts w:ascii="ITC Avant Garde" w:hAnsi="ITC Avant Garde" w:cs="Arial"/>
          <w:color w:val="000000"/>
        </w:rPr>
        <w:t>ó</w:t>
      </w:r>
      <w:r w:rsidRPr="00F82BE7">
        <w:rPr>
          <w:rFonts w:ascii="ITC Avant Garde" w:hAnsi="ITC Avant Garde" w:cs="Arial"/>
          <w:color w:val="000000"/>
        </w:rPr>
        <w:t xml:space="preserve"> </w:t>
      </w:r>
      <w:r w:rsidR="001B7025">
        <w:rPr>
          <w:rFonts w:ascii="ITC Avant Garde" w:hAnsi="ITC Avant Garde" w:cs="Arial"/>
          <w:color w:val="000000"/>
        </w:rPr>
        <w:t xml:space="preserve">que hay </w:t>
      </w:r>
      <w:r w:rsidRPr="00F82BE7">
        <w:rPr>
          <w:rFonts w:ascii="ITC Avant Garde" w:hAnsi="ITC Avant Garde" w:cs="Arial"/>
          <w:color w:val="000000"/>
        </w:rPr>
        <w:t>ambigüedad respecto al revisor de la información de separación contable.</w:t>
      </w:r>
      <w:r w:rsidR="009B70E2" w:rsidRPr="00F82BE7">
        <w:rPr>
          <w:rFonts w:ascii="ITC Avant Garde" w:hAnsi="ITC Avant Garde" w:cs="Arial"/>
          <w:color w:val="000000"/>
        </w:rPr>
        <w:t xml:space="preserve"> R</w:t>
      </w:r>
      <w:r w:rsidR="00DC2F36" w:rsidRPr="00F82BE7">
        <w:rPr>
          <w:rFonts w:ascii="ITC Avant Garde" w:hAnsi="ITC Avant Garde" w:cs="Arial"/>
          <w:color w:val="000000"/>
        </w:rPr>
        <w:t>eco</w:t>
      </w:r>
      <w:r w:rsidR="001B7025">
        <w:rPr>
          <w:rFonts w:ascii="ITC Avant Garde" w:hAnsi="ITC Avant Garde" w:cs="Arial"/>
          <w:color w:val="000000"/>
        </w:rPr>
        <w:t xml:space="preserve">mendó </w:t>
      </w:r>
      <w:r w:rsidR="00DC2F36" w:rsidRPr="00F82BE7">
        <w:rPr>
          <w:rFonts w:ascii="ITC Avant Garde" w:hAnsi="ITC Avant Garde" w:cs="Arial"/>
          <w:color w:val="000000"/>
        </w:rPr>
        <w:t xml:space="preserve">definir las implicaciones legales </w:t>
      </w:r>
      <w:r w:rsidR="00A3691B" w:rsidRPr="00F82BE7">
        <w:rPr>
          <w:rFonts w:ascii="ITC Avant Garde" w:hAnsi="ITC Avant Garde" w:cs="Arial"/>
          <w:color w:val="000000"/>
        </w:rPr>
        <w:t>y sanciones en caso de incumplimiento de la separación contable.</w:t>
      </w:r>
    </w:p>
    <w:p w:rsidR="00A96847" w:rsidRPr="00F82BE7" w:rsidRDefault="00A96847" w:rsidP="0033377C">
      <w:pPr>
        <w:spacing w:line="276" w:lineRule="auto"/>
        <w:jc w:val="both"/>
        <w:rPr>
          <w:rFonts w:ascii="ITC Avant Garde" w:hAnsi="ITC Avant Garde" w:cs="Arial"/>
          <w:color w:val="000000"/>
        </w:rPr>
      </w:pPr>
      <w:r w:rsidRPr="00F82BE7">
        <w:rPr>
          <w:rFonts w:ascii="ITC Avant Garde" w:hAnsi="ITC Avant Garde" w:cs="Arial"/>
          <w:color w:val="000000"/>
        </w:rPr>
        <w:t>Por otro lado, un participante</w:t>
      </w:r>
      <w:r w:rsidR="00611434" w:rsidRPr="00F82BE7">
        <w:rPr>
          <w:rFonts w:ascii="ITC Avant Garde" w:hAnsi="ITC Avant Garde" w:cs="Arial"/>
          <w:color w:val="000000"/>
        </w:rPr>
        <w:t xml:space="preserve"> (MEGA CABLE)</w:t>
      </w:r>
      <w:r w:rsidRPr="00F82BE7">
        <w:rPr>
          <w:rFonts w:ascii="ITC Avant Garde" w:hAnsi="ITC Avant Garde" w:cs="Arial"/>
          <w:color w:val="000000"/>
        </w:rPr>
        <w:t xml:space="preserve"> señaló que el flujo del proceso anual de implementación y revis</w:t>
      </w:r>
      <w:r w:rsidR="00611434" w:rsidRPr="00F82BE7">
        <w:rPr>
          <w:rFonts w:ascii="ITC Avant Garde" w:hAnsi="ITC Avant Garde" w:cs="Arial"/>
          <w:color w:val="000000"/>
        </w:rPr>
        <w:t xml:space="preserve">ión de la separación contable no es detallado, por lo que debería </w:t>
      </w:r>
      <w:r w:rsidRPr="00F82BE7">
        <w:rPr>
          <w:rFonts w:ascii="ITC Avant Garde" w:hAnsi="ITC Avant Garde" w:cs="Arial"/>
          <w:color w:val="000000"/>
        </w:rPr>
        <w:t>contener periodos de tiempo y fechas para la entrega de la información</w:t>
      </w:r>
      <w:r w:rsidR="00AF3635">
        <w:rPr>
          <w:rFonts w:ascii="ITC Avant Garde" w:hAnsi="ITC Avant Garde" w:cs="Arial"/>
          <w:color w:val="000000"/>
        </w:rPr>
        <w:t xml:space="preserve"> y</w:t>
      </w:r>
      <w:r w:rsidRPr="00F82BE7">
        <w:rPr>
          <w:rFonts w:ascii="ITC Avant Garde" w:hAnsi="ITC Avant Garde" w:cs="Arial"/>
          <w:color w:val="000000"/>
        </w:rPr>
        <w:t xml:space="preserve"> descripción de procedimientos (</w:t>
      </w:r>
      <w:r w:rsidR="00C40E92">
        <w:rPr>
          <w:rFonts w:ascii="ITC Avant Garde" w:hAnsi="ITC Avant Garde" w:cs="Arial"/>
          <w:color w:val="000000"/>
        </w:rPr>
        <w:t>e</w:t>
      </w:r>
      <w:r w:rsidRPr="00F82BE7">
        <w:rPr>
          <w:rFonts w:ascii="ITC Avant Garde" w:hAnsi="ITC Avant Garde" w:cs="Arial"/>
          <w:color w:val="000000"/>
        </w:rPr>
        <w:t>ntrega de la información, proceso de revisión, presentación de comentarios por parte del Instituto, y atención de comentarios por parte de los concesionarios involucrados, así como las medidas en caso de incumplimiento de parte del AEP</w:t>
      </w:r>
      <w:r w:rsidR="003A2396" w:rsidRPr="00F82BE7">
        <w:rPr>
          <w:rFonts w:ascii="ITC Avant Garde" w:hAnsi="ITC Avant Garde" w:cs="Arial"/>
          <w:color w:val="000000"/>
        </w:rPr>
        <w:t>)</w:t>
      </w:r>
      <w:r w:rsidRPr="00F82BE7">
        <w:rPr>
          <w:rFonts w:ascii="ITC Avant Garde" w:hAnsi="ITC Avant Garde" w:cs="Arial"/>
          <w:color w:val="000000"/>
        </w:rPr>
        <w:t>.</w:t>
      </w:r>
    </w:p>
    <w:p w:rsidR="00EC35DC" w:rsidRPr="00F82BE7" w:rsidRDefault="00F96956" w:rsidP="0033377C">
      <w:pPr>
        <w:spacing w:line="276" w:lineRule="auto"/>
        <w:jc w:val="both"/>
        <w:rPr>
          <w:rFonts w:ascii="ITC Avant Garde" w:hAnsi="ITC Avant Garde" w:cs="Arial"/>
          <w:i/>
          <w:color w:val="000000"/>
        </w:rPr>
      </w:pPr>
      <w:r>
        <w:rPr>
          <w:rFonts w:ascii="ITC Avant Garde" w:hAnsi="ITC Avant Garde" w:cs="Arial"/>
          <w:i/>
          <w:color w:val="000000"/>
        </w:rPr>
        <w:t>Consideraciones</w:t>
      </w:r>
      <w:r w:rsidRPr="00F82BE7" w:rsidDel="00F96956">
        <w:rPr>
          <w:rFonts w:ascii="ITC Avant Garde" w:hAnsi="ITC Avant Garde" w:cs="Arial"/>
          <w:i/>
          <w:color w:val="000000"/>
        </w:rPr>
        <w:t xml:space="preserve"> </w:t>
      </w:r>
      <w:r w:rsidR="00EC35DC" w:rsidRPr="00F82BE7">
        <w:rPr>
          <w:rFonts w:ascii="ITC Avant Garde" w:hAnsi="ITC Avant Garde" w:cs="Arial"/>
          <w:i/>
          <w:color w:val="000000"/>
        </w:rPr>
        <w:t>del Instituto</w:t>
      </w:r>
    </w:p>
    <w:p w:rsidR="005C1A49" w:rsidRDefault="007A76E5" w:rsidP="0033377C">
      <w:pPr>
        <w:spacing w:line="276" w:lineRule="auto"/>
        <w:jc w:val="both"/>
        <w:rPr>
          <w:rFonts w:ascii="ITC Avant Garde" w:hAnsi="ITC Avant Garde" w:cs="Arial"/>
          <w:color w:val="000000"/>
        </w:rPr>
      </w:pPr>
      <w:r w:rsidRPr="00F82BE7">
        <w:rPr>
          <w:rFonts w:ascii="ITC Avant Garde" w:hAnsi="ITC Avant Garde" w:cs="Arial"/>
          <w:color w:val="000000"/>
        </w:rPr>
        <w:t>A</w:t>
      </w:r>
      <w:r w:rsidR="007653FD" w:rsidRPr="00F82BE7">
        <w:rPr>
          <w:rFonts w:ascii="ITC Avant Garde" w:hAnsi="ITC Avant Garde" w:cs="Arial"/>
          <w:color w:val="000000"/>
        </w:rPr>
        <w:t xml:space="preserve"> fin de dar mayor claridad y certidumbre </w:t>
      </w:r>
      <w:r w:rsidRPr="00F82BE7">
        <w:rPr>
          <w:rFonts w:ascii="ITC Avant Garde" w:hAnsi="ITC Avant Garde" w:cs="Arial"/>
          <w:color w:val="000000"/>
        </w:rPr>
        <w:t xml:space="preserve">a los sujetos obligados, </w:t>
      </w:r>
      <w:r w:rsidR="007E2568" w:rsidRPr="00F82BE7">
        <w:rPr>
          <w:rFonts w:ascii="ITC Avant Garde" w:hAnsi="ITC Avant Garde" w:cs="Arial"/>
          <w:color w:val="000000"/>
        </w:rPr>
        <w:t xml:space="preserve">se </w:t>
      </w:r>
      <w:r w:rsidR="003E2765" w:rsidRPr="00F82BE7">
        <w:rPr>
          <w:rFonts w:ascii="ITC Avant Garde" w:hAnsi="ITC Avant Garde" w:cs="Arial"/>
          <w:color w:val="000000"/>
        </w:rPr>
        <w:t xml:space="preserve">realizaron </w:t>
      </w:r>
      <w:r w:rsidR="001B7025">
        <w:rPr>
          <w:rFonts w:ascii="ITC Avant Garde" w:hAnsi="ITC Avant Garde" w:cs="Arial"/>
          <w:color w:val="000000"/>
        </w:rPr>
        <w:t xml:space="preserve">adecuaciones al Anteproyecto </w:t>
      </w:r>
      <w:r w:rsidR="007E2568" w:rsidRPr="00F82BE7">
        <w:rPr>
          <w:rFonts w:ascii="ITC Avant Garde" w:hAnsi="ITC Avant Garde" w:cs="Arial"/>
          <w:color w:val="000000"/>
        </w:rPr>
        <w:t>para</w:t>
      </w:r>
      <w:r w:rsidRPr="00F82BE7">
        <w:rPr>
          <w:rFonts w:ascii="ITC Avant Garde" w:hAnsi="ITC Avant Garde" w:cs="Arial"/>
          <w:color w:val="000000"/>
        </w:rPr>
        <w:t xml:space="preserve"> establece</w:t>
      </w:r>
      <w:r w:rsidR="007E2568" w:rsidRPr="00F82BE7">
        <w:rPr>
          <w:rFonts w:ascii="ITC Avant Garde" w:hAnsi="ITC Avant Garde" w:cs="Arial"/>
          <w:color w:val="000000"/>
        </w:rPr>
        <w:t>r</w:t>
      </w:r>
      <w:r w:rsidRPr="00F82BE7">
        <w:rPr>
          <w:rFonts w:ascii="ITC Avant Garde" w:hAnsi="ITC Avant Garde" w:cs="Arial"/>
          <w:color w:val="000000"/>
        </w:rPr>
        <w:t xml:space="preserve"> claramente</w:t>
      </w:r>
      <w:r w:rsidR="001B7025">
        <w:rPr>
          <w:rFonts w:ascii="ITC Avant Garde" w:hAnsi="ITC Avant Garde" w:cs="Arial"/>
          <w:color w:val="000000"/>
        </w:rPr>
        <w:t xml:space="preserve"> </w:t>
      </w:r>
      <w:r w:rsidRPr="00F82BE7">
        <w:rPr>
          <w:rFonts w:ascii="ITC Avant Garde" w:hAnsi="ITC Avant Garde" w:cs="Arial"/>
          <w:color w:val="000000"/>
        </w:rPr>
        <w:t>los plazos, así como las fechas de entrega de la información de separación contable y de</w:t>
      </w:r>
      <w:r w:rsidR="001B7025">
        <w:rPr>
          <w:rFonts w:ascii="ITC Avant Garde" w:hAnsi="ITC Avant Garde" w:cs="Arial"/>
          <w:color w:val="000000"/>
        </w:rPr>
        <w:t>l proceso de aprobación de</w:t>
      </w:r>
      <w:r w:rsidRPr="00F82BE7">
        <w:rPr>
          <w:rFonts w:ascii="ITC Avant Garde" w:hAnsi="ITC Avant Garde" w:cs="Arial"/>
          <w:color w:val="000000"/>
        </w:rPr>
        <w:t xml:space="preserve"> los </w:t>
      </w:r>
      <w:r w:rsidR="00AF3635">
        <w:rPr>
          <w:rFonts w:ascii="ITC Avant Garde" w:hAnsi="ITC Avant Garde" w:cs="Arial"/>
          <w:color w:val="000000"/>
        </w:rPr>
        <w:t>p</w:t>
      </w:r>
      <w:r w:rsidRPr="00F82BE7">
        <w:rPr>
          <w:rFonts w:ascii="ITC Avant Garde" w:hAnsi="ITC Avant Garde" w:cs="Arial"/>
          <w:color w:val="000000"/>
        </w:rPr>
        <w:t xml:space="preserve">rogramas de </w:t>
      </w:r>
      <w:r w:rsidR="00AF3635">
        <w:rPr>
          <w:rFonts w:ascii="ITC Avant Garde" w:hAnsi="ITC Avant Garde" w:cs="Arial"/>
          <w:color w:val="000000"/>
        </w:rPr>
        <w:t>i</w:t>
      </w:r>
      <w:r w:rsidRPr="00F82BE7">
        <w:rPr>
          <w:rFonts w:ascii="ITC Avant Garde" w:hAnsi="ITC Avant Garde" w:cs="Arial"/>
          <w:color w:val="000000"/>
        </w:rPr>
        <w:t>mplementación</w:t>
      </w:r>
      <w:r w:rsidR="007653FD" w:rsidRPr="00F82BE7">
        <w:rPr>
          <w:rFonts w:ascii="ITC Avant Garde" w:hAnsi="ITC Avant Garde" w:cs="Arial"/>
          <w:color w:val="000000"/>
        </w:rPr>
        <w:t xml:space="preserve">. Sobre el revisor de la información, se señala que se </w:t>
      </w:r>
      <w:r w:rsidR="001B7025">
        <w:rPr>
          <w:rFonts w:ascii="ITC Avant Garde" w:hAnsi="ITC Avant Garde" w:cs="Arial"/>
          <w:color w:val="000000"/>
        </w:rPr>
        <w:t>realizaron adecuaciones al Anteproyecto</w:t>
      </w:r>
      <w:r w:rsidR="007653FD" w:rsidRPr="00F82BE7">
        <w:rPr>
          <w:rFonts w:ascii="ITC Avant Garde" w:hAnsi="ITC Avant Garde" w:cs="Arial"/>
          <w:color w:val="000000"/>
        </w:rPr>
        <w:t xml:space="preserve">, toda vez que el Instituto </w:t>
      </w:r>
      <w:r w:rsidR="007E2568" w:rsidRPr="00F82BE7">
        <w:rPr>
          <w:rFonts w:ascii="ITC Avant Garde" w:hAnsi="ITC Avant Garde" w:cs="Arial"/>
          <w:color w:val="000000"/>
        </w:rPr>
        <w:t>realizará la revisión de la información de separación contable</w:t>
      </w:r>
      <w:r w:rsidR="007653FD" w:rsidRPr="00F82BE7">
        <w:rPr>
          <w:rFonts w:ascii="ITC Avant Garde" w:hAnsi="ITC Avant Garde" w:cs="Arial"/>
          <w:color w:val="000000"/>
        </w:rPr>
        <w:t xml:space="preserve">. </w:t>
      </w:r>
      <w:r w:rsidR="009F2127">
        <w:rPr>
          <w:rFonts w:ascii="ITC Avant Garde" w:hAnsi="ITC Avant Garde" w:cs="Arial"/>
          <w:color w:val="000000"/>
        </w:rPr>
        <w:t xml:space="preserve">De esta manera, </w:t>
      </w:r>
      <w:r w:rsidR="00201801">
        <w:rPr>
          <w:rFonts w:ascii="ITC Avant Garde" w:hAnsi="ITC Avant Garde" w:cs="Arial"/>
          <w:color w:val="000000"/>
        </w:rPr>
        <w:t>en el “</w:t>
      </w:r>
      <w:r w:rsidR="009F2127" w:rsidRPr="001B7025">
        <w:rPr>
          <w:rFonts w:ascii="ITC Avant Garde" w:hAnsi="ITC Avant Garde" w:cs="Arial"/>
          <w:i/>
          <w:color w:val="000000"/>
        </w:rPr>
        <w:t>CAPÍTULO IV De la presentación de la información de separación contable y el programa de implementación</w:t>
      </w:r>
      <w:r w:rsidR="00201801">
        <w:rPr>
          <w:rFonts w:ascii="ITC Avant Garde" w:hAnsi="ITC Avant Garde" w:cs="Arial"/>
          <w:color w:val="000000"/>
        </w:rPr>
        <w:t xml:space="preserve">” del Acuerdo, se establecieron las fechas, plazos y procedimientos para la entrega de la información de separación contable, así como del programa de implementación. Por su parte, en el </w:t>
      </w:r>
      <w:r w:rsidR="00802889">
        <w:rPr>
          <w:rFonts w:ascii="ITC Avant Garde" w:hAnsi="ITC Avant Garde" w:cs="Arial"/>
          <w:color w:val="000000"/>
        </w:rPr>
        <w:t>“</w:t>
      </w:r>
      <w:r w:rsidR="009F2127" w:rsidRPr="001B7025">
        <w:rPr>
          <w:rFonts w:ascii="ITC Avant Garde" w:hAnsi="ITC Avant Garde" w:cs="Arial"/>
          <w:i/>
          <w:color w:val="000000"/>
        </w:rPr>
        <w:t xml:space="preserve">CAPÍTULO V </w:t>
      </w:r>
      <w:r w:rsidR="00201801" w:rsidRPr="001B7025">
        <w:rPr>
          <w:rFonts w:ascii="ITC Avant Garde" w:hAnsi="ITC Avant Garde" w:cs="Arial"/>
          <w:i/>
          <w:color w:val="000000"/>
        </w:rPr>
        <w:t>Del proceso de revisión de la información de separación contable</w:t>
      </w:r>
      <w:r w:rsidR="00201801">
        <w:rPr>
          <w:rFonts w:ascii="ITC Avant Garde" w:hAnsi="ITC Avant Garde" w:cs="Arial"/>
          <w:color w:val="000000"/>
        </w:rPr>
        <w:t>” del Acuerdo, se definieron claramente las fechas, plazos y procedimiento de revisión de la información por parte del Instituto.</w:t>
      </w:r>
    </w:p>
    <w:p w:rsidR="00A3691B" w:rsidRDefault="00A3691B" w:rsidP="0033377C">
      <w:pPr>
        <w:spacing w:line="276" w:lineRule="auto"/>
        <w:jc w:val="both"/>
        <w:rPr>
          <w:rFonts w:ascii="ITC Avant Garde" w:hAnsi="ITC Avant Garde" w:cs="Arial"/>
          <w:color w:val="000000"/>
        </w:rPr>
      </w:pPr>
      <w:r w:rsidRPr="00F82BE7">
        <w:rPr>
          <w:rFonts w:ascii="ITC Avant Garde" w:hAnsi="ITC Avant Garde" w:cs="Arial"/>
          <w:color w:val="000000"/>
        </w:rPr>
        <w:lastRenderedPageBreak/>
        <w:t xml:space="preserve">Respecto a las implicaciones legales y sanciones, </w:t>
      </w:r>
      <w:r w:rsidR="003E2765" w:rsidRPr="00F82BE7">
        <w:rPr>
          <w:rFonts w:ascii="ITC Avant Garde" w:hAnsi="ITC Avant Garde" w:cs="Arial"/>
          <w:color w:val="000000"/>
        </w:rPr>
        <w:t xml:space="preserve">se realizaron </w:t>
      </w:r>
      <w:r w:rsidR="00F83B24">
        <w:rPr>
          <w:rFonts w:ascii="ITC Avant Garde" w:hAnsi="ITC Avant Garde" w:cs="Arial"/>
          <w:color w:val="000000"/>
        </w:rPr>
        <w:t>adecuaciones al anteproyecto</w:t>
      </w:r>
      <w:r w:rsidR="00F83B24" w:rsidRPr="00F82BE7">
        <w:rPr>
          <w:rFonts w:ascii="ITC Avant Garde" w:hAnsi="ITC Avant Garde" w:cs="Arial"/>
          <w:color w:val="000000"/>
        </w:rPr>
        <w:t xml:space="preserve"> </w:t>
      </w:r>
      <w:r w:rsidR="007E2568" w:rsidRPr="00F82BE7">
        <w:rPr>
          <w:rFonts w:ascii="ITC Avant Garde" w:hAnsi="ITC Avant Garde" w:cs="Arial"/>
          <w:color w:val="000000"/>
        </w:rPr>
        <w:t>a fin de señalar</w:t>
      </w:r>
      <w:r w:rsidR="003E2765" w:rsidRPr="00F82BE7">
        <w:rPr>
          <w:rFonts w:ascii="ITC Avant Garde" w:hAnsi="ITC Avant Garde" w:cs="Arial"/>
          <w:color w:val="000000"/>
        </w:rPr>
        <w:t xml:space="preserve"> </w:t>
      </w:r>
      <w:r w:rsidR="007E2568" w:rsidRPr="00F82BE7">
        <w:rPr>
          <w:rFonts w:ascii="ITC Avant Garde" w:hAnsi="ITC Avant Garde" w:cs="Arial"/>
          <w:color w:val="000000"/>
        </w:rPr>
        <w:t>claramente el régimen de supervisión, verificación y régimen sancionatorio</w:t>
      </w:r>
      <w:r w:rsidR="000B7136">
        <w:rPr>
          <w:rFonts w:ascii="ITC Avant Garde" w:hAnsi="ITC Avant Garde" w:cs="Arial"/>
          <w:color w:val="000000"/>
        </w:rPr>
        <w:t xml:space="preserve"> (“</w:t>
      </w:r>
      <w:r w:rsidR="000B7136" w:rsidRPr="004D3298">
        <w:rPr>
          <w:rFonts w:ascii="ITC Avant Garde" w:hAnsi="ITC Avant Garde" w:cs="Arial"/>
          <w:i/>
          <w:color w:val="000000"/>
        </w:rPr>
        <w:t>C</w:t>
      </w:r>
      <w:r w:rsidR="00E23EE7" w:rsidRPr="004D3298">
        <w:rPr>
          <w:rFonts w:ascii="ITC Avant Garde" w:hAnsi="ITC Avant Garde" w:cs="Arial"/>
          <w:i/>
          <w:color w:val="000000"/>
        </w:rPr>
        <w:t>A</w:t>
      </w:r>
      <w:r w:rsidR="000B7136" w:rsidRPr="004D3298">
        <w:rPr>
          <w:rFonts w:ascii="ITC Avant Garde" w:hAnsi="ITC Avant Garde" w:cs="Arial"/>
          <w:i/>
          <w:color w:val="000000"/>
        </w:rPr>
        <w:t>P</w:t>
      </w:r>
      <w:r w:rsidR="00E23EE7" w:rsidRPr="004D3298">
        <w:rPr>
          <w:rFonts w:ascii="ITC Avant Garde" w:hAnsi="ITC Avant Garde" w:cs="Arial"/>
          <w:i/>
          <w:color w:val="000000"/>
        </w:rPr>
        <w:t>Í</w:t>
      </w:r>
      <w:r w:rsidR="000B7136" w:rsidRPr="004D3298">
        <w:rPr>
          <w:rFonts w:ascii="ITC Avant Garde" w:hAnsi="ITC Avant Garde" w:cs="Arial"/>
          <w:i/>
          <w:color w:val="000000"/>
        </w:rPr>
        <w:t>TULO VI De la supervisión, verificación y régimen sancionatorio</w:t>
      </w:r>
      <w:r w:rsidR="000B7136">
        <w:rPr>
          <w:rFonts w:ascii="ITC Avant Garde" w:hAnsi="ITC Avant Garde" w:cs="Arial"/>
          <w:color w:val="000000"/>
        </w:rPr>
        <w:t>” del Acuerdo)</w:t>
      </w:r>
      <w:r w:rsidR="003A2396" w:rsidRPr="00F82BE7">
        <w:rPr>
          <w:rFonts w:ascii="ITC Avant Garde" w:hAnsi="ITC Avant Garde" w:cs="Arial"/>
          <w:color w:val="000000"/>
        </w:rPr>
        <w:t>,</w:t>
      </w:r>
      <w:r w:rsidR="007E2568" w:rsidRPr="00F82BE7">
        <w:rPr>
          <w:rFonts w:ascii="ITC Avant Garde" w:hAnsi="ITC Avant Garde" w:cs="Arial"/>
          <w:color w:val="000000"/>
        </w:rPr>
        <w:t xml:space="preserve"> conforme a l</w:t>
      </w:r>
      <w:r w:rsidR="003A2396" w:rsidRPr="00F82BE7">
        <w:rPr>
          <w:rFonts w:ascii="ITC Avant Garde" w:hAnsi="ITC Avant Garde" w:cs="Arial"/>
          <w:color w:val="000000"/>
        </w:rPr>
        <w:t>o establecido en la</w:t>
      </w:r>
      <w:r w:rsidR="007E2568" w:rsidRPr="00F82BE7">
        <w:rPr>
          <w:rFonts w:ascii="ITC Avant Garde" w:hAnsi="ITC Avant Garde" w:cs="Arial"/>
          <w:color w:val="000000"/>
        </w:rPr>
        <w:t xml:space="preserve"> LFTR.</w:t>
      </w:r>
    </w:p>
    <w:p w:rsidR="00DD0AAD" w:rsidRPr="00F82BE7" w:rsidRDefault="00DE1099" w:rsidP="0033377C">
      <w:pPr>
        <w:pStyle w:val="Prrafodelista"/>
        <w:numPr>
          <w:ilvl w:val="0"/>
          <w:numId w:val="4"/>
        </w:numPr>
        <w:spacing w:line="276" w:lineRule="auto"/>
        <w:jc w:val="both"/>
        <w:rPr>
          <w:rFonts w:ascii="ITC Avant Garde" w:hAnsi="ITC Avant Garde" w:cs="Arial"/>
          <w:b/>
          <w:color w:val="000000"/>
        </w:rPr>
      </w:pPr>
      <w:r w:rsidRPr="00F82BE7">
        <w:rPr>
          <w:rFonts w:ascii="ITC Avant Garde" w:hAnsi="ITC Avant Garde" w:cs="Arial"/>
          <w:b/>
          <w:color w:val="000000"/>
        </w:rPr>
        <w:t>Formatos de separación contable</w:t>
      </w:r>
    </w:p>
    <w:p w:rsidR="003403FF" w:rsidRPr="00F82BE7" w:rsidRDefault="003403FF" w:rsidP="0033377C">
      <w:pPr>
        <w:spacing w:line="276" w:lineRule="auto"/>
        <w:jc w:val="both"/>
        <w:rPr>
          <w:rFonts w:ascii="ITC Avant Garde" w:hAnsi="ITC Avant Garde" w:cs="Arial"/>
          <w:i/>
          <w:color w:val="000000"/>
        </w:rPr>
      </w:pPr>
      <w:r w:rsidRPr="00F82BE7">
        <w:rPr>
          <w:rFonts w:ascii="ITC Avant Garde" w:hAnsi="ITC Avant Garde" w:cs="Arial"/>
          <w:i/>
          <w:color w:val="000000"/>
        </w:rPr>
        <w:t>Comentarios</w:t>
      </w:r>
    </w:p>
    <w:p w:rsidR="00DE1099" w:rsidRPr="00F82BE7" w:rsidRDefault="00DE1099" w:rsidP="0033377C">
      <w:pPr>
        <w:spacing w:line="276" w:lineRule="auto"/>
        <w:jc w:val="both"/>
        <w:rPr>
          <w:rFonts w:ascii="ITC Avant Garde" w:hAnsi="ITC Avant Garde" w:cs="Arial"/>
          <w:color w:val="000000"/>
        </w:rPr>
      </w:pPr>
      <w:r w:rsidRPr="00F82BE7">
        <w:rPr>
          <w:rFonts w:ascii="ITC Avant Garde" w:hAnsi="ITC Avant Garde" w:cs="Arial"/>
          <w:color w:val="000000"/>
        </w:rPr>
        <w:t>Un participante (AT&amp;T) señal</w:t>
      </w:r>
      <w:r w:rsidR="00942E94" w:rsidRPr="00F82BE7">
        <w:rPr>
          <w:rFonts w:ascii="ITC Avant Garde" w:hAnsi="ITC Avant Garde" w:cs="Arial"/>
          <w:color w:val="000000"/>
        </w:rPr>
        <w:t>ó</w:t>
      </w:r>
      <w:r w:rsidRPr="00F82BE7">
        <w:rPr>
          <w:rFonts w:ascii="ITC Avant Garde" w:hAnsi="ITC Avant Garde" w:cs="Arial"/>
          <w:color w:val="000000"/>
        </w:rPr>
        <w:t xml:space="preserve"> que los formatos de separación contable deben hacerse por grupo de interés económico, incluyendo todas las empresas subsidiarias, afiliadas, asociadas o bajo control de los concesionarios definidos como AEP.</w:t>
      </w:r>
    </w:p>
    <w:p w:rsidR="00DE1099" w:rsidRPr="00F82BE7" w:rsidRDefault="00F96956" w:rsidP="0033377C">
      <w:pPr>
        <w:spacing w:line="276" w:lineRule="auto"/>
        <w:jc w:val="both"/>
        <w:rPr>
          <w:rFonts w:ascii="ITC Avant Garde" w:hAnsi="ITC Avant Garde" w:cs="Arial"/>
          <w:i/>
          <w:color w:val="000000"/>
        </w:rPr>
      </w:pPr>
      <w:r>
        <w:rPr>
          <w:rFonts w:ascii="ITC Avant Garde" w:hAnsi="ITC Avant Garde" w:cs="Arial"/>
          <w:i/>
          <w:color w:val="000000"/>
        </w:rPr>
        <w:t>Consideraciones</w:t>
      </w:r>
      <w:r w:rsidRPr="00F82BE7" w:rsidDel="00F96956">
        <w:rPr>
          <w:rFonts w:ascii="ITC Avant Garde" w:hAnsi="ITC Avant Garde" w:cs="Arial"/>
          <w:i/>
          <w:color w:val="000000"/>
        </w:rPr>
        <w:t xml:space="preserve"> </w:t>
      </w:r>
      <w:r w:rsidR="00DE1099" w:rsidRPr="00F82BE7">
        <w:rPr>
          <w:rFonts w:ascii="ITC Avant Garde" w:hAnsi="ITC Avant Garde" w:cs="Arial"/>
          <w:i/>
          <w:color w:val="000000"/>
        </w:rPr>
        <w:t>del Instituto</w:t>
      </w:r>
    </w:p>
    <w:p w:rsidR="00DD0AAD" w:rsidRPr="00F82BE7" w:rsidRDefault="00DE1099"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Se hace notar que </w:t>
      </w:r>
      <w:r w:rsidR="003E2765" w:rsidRPr="00F82BE7">
        <w:rPr>
          <w:rFonts w:ascii="ITC Avant Garde" w:hAnsi="ITC Avant Garde" w:cs="Arial"/>
          <w:color w:val="000000"/>
        </w:rPr>
        <w:t>la metodología</w:t>
      </w:r>
      <w:r w:rsidR="00DF4EC3" w:rsidRPr="00F82BE7">
        <w:rPr>
          <w:rFonts w:ascii="ITC Avant Garde" w:hAnsi="ITC Avant Garde" w:cs="Arial"/>
          <w:color w:val="000000"/>
        </w:rPr>
        <w:t xml:space="preserve"> de </w:t>
      </w:r>
      <w:r w:rsidRPr="00F82BE7">
        <w:rPr>
          <w:rFonts w:ascii="ITC Avant Garde" w:hAnsi="ITC Avant Garde" w:cs="Arial"/>
          <w:color w:val="000000"/>
        </w:rPr>
        <w:t xml:space="preserve">separación contable es </w:t>
      </w:r>
      <w:r w:rsidR="00A26AD6" w:rsidRPr="00F82BE7">
        <w:rPr>
          <w:rFonts w:ascii="ITC Avant Garde" w:hAnsi="ITC Avant Garde" w:cs="Arial"/>
          <w:color w:val="000000"/>
        </w:rPr>
        <w:t xml:space="preserve">aplicable a </w:t>
      </w:r>
      <w:r w:rsidR="00376BB5" w:rsidRPr="00F82BE7">
        <w:rPr>
          <w:rFonts w:ascii="ITC Avant Garde" w:hAnsi="ITC Avant Garde" w:cs="Arial"/>
          <w:color w:val="000000"/>
        </w:rPr>
        <w:t>agentes económicos preponderantes</w:t>
      </w:r>
      <w:r w:rsidRPr="00F82BE7">
        <w:rPr>
          <w:rFonts w:ascii="ITC Avant Garde" w:hAnsi="ITC Avant Garde" w:cs="Arial"/>
          <w:color w:val="000000"/>
        </w:rPr>
        <w:t xml:space="preserve">, agentes con </w:t>
      </w:r>
      <w:r w:rsidR="003E2765" w:rsidRPr="00F82BE7">
        <w:rPr>
          <w:rFonts w:ascii="ITC Avant Garde" w:hAnsi="ITC Avant Garde" w:cs="Arial"/>
          <w:color w:val="000000"/>
        </w:rPr>
        <w:t>poder sustancial de mercado</w:t>
      </w:r>
      <w:r w:rsidRPr="00F82BE7">
        <w:rPr>
          <w:rFonts w:ascii="ITC Avant Garde" w:hAnsi="ITC Avant Garde" w:cs="Arial"/>
          <w:color w:val="000000"/>
        </w:rPr>
        <w:t xml:space="preserve"> y redes compartidas mayoristas</w:t>
      </w:r>
      <w:r w:rsidR="00A26AD6" w:rsidRPr="00F82BE7">
        <w:rPr>
          <w:rFonts w:ascii="ITC Avant Garde" w:hAnsi="ITC Avant Garde" w:cs="Arial"/>
          <w:color w:val="000000"/>
        </w:rPr>
        <w:t>, conforme a la declaratoria que haya realizado el Instituto para tal efecto, y en el caso de las redes compartidas, a aquellos que tengan una concesión con tal carácter</w:t>
      </w:r>
      <w:r w:rsidR="00802889">
        <w:rPr>
          <w:rFonts w:ascii="ITC Avant Garde" w:hAnsi="ITC Avant Garde" w:cs="Arial"/>
          <w:color w:val="000000"/>
        </w:rPr>
        <w:t>.</w:t>
      </w:r>
      <w:r w:rsidR="00E53250">
        <w:rPr>
          <w:rFonts w:ascii="ITC Avant Garde" w:hAnsi="ITC Avant Garde" w:cs="Arial"/>
          <w:color w:val="000000"/>
        </w:rPr>
        <w:t xml:space="preserve"> </w:t>
      </w:r>
      <w:r w:rsidR="00802889">
        <w:rPr>
          <w:rFonts w:ascii="ITC Avant Garde" w:hAnsi="ITC Avant Garde" w:cs="Arial"/>
          <w:color w:val="000000"/>
        </w:rPr>
        <w:t>S</w:t>
      </w:r>
      <w:r w:rsidR="00A26AD6" w:rsidRPr="00F82BE7">
        <w:rPr>
          <w:rFonts w:ascii="ITC Avant Garde" w:hAnsi="ITC Avant Garde" w:cs="Arial"/>
          <w:color w:val="000000"/>
        </w:rPr>
        <w:t xml:space="preserve">i bien tales agentes pudieran tener </w:t>
      </w:r>
      <w:r w:rsidR="00E53250">
        <w:rPr>
          <w:rFonts w:ascii="ITC Avant Garde" w:hAnsi="ITC Avant Garde" w:cs="Arial"/>
          <w:color w:val="000000"/>
        </w:rPr>
        <w:t xml:space="preserve">otras </w:t>
      </w:r>
      <w:r w:rsidR="00A26AD6" w:rsidRPr="00F82BE7">
        <w:rPr>
          <w:rFonts w:ascii="ITC Avant Garde" w:hAnsi="ITC Avant Garde" w:cs="Arial"/>
          <w:color w:val="000000"/>
        </w:rPr>
        <w:t xml:space="preserve">empresas </w:t>
      </w:r>
      <w:r w:rsidRPr="00F82BE7">
        <w:rPr>
          <w:rFonts w:ascii="ITC Avant Garde" w:hAnsi="ITC Avant Garde" w:cs="Arial"/>
          <w:color w:val="000000"/>
        </w:rPr>
        <w:t xml:space="preserve">subsidiarias, afiliadas, asociadas o </w:t>
      </w:r>
      <w:r w:rsidR="00A26AD6" w:rsidRPr="00F82BE7">
        <w:rPr>
          <w:rFonts w:ascii="ITC Avant Garde" w:hAnsi="ITC Avant Garde" w:cs="Arial"/>
          <w:color w:val="000000"/>
        </w:rPr>
        <w:t xml:space="preserve">empresas </w:t>
      </w:r>
      <w:r w:rsidRPr="00F82BE7">
        <w:rPr>
          <w:rFonts w:ascii="ITC Avant Garde" w:hAnsi="ITC Avant Garde" w:cs="Arial"/>
          <w:color w:val="000000"/>
        </w:rPr>
        <w:t>bajo control</w:t>
      </w:r>
      <w:r w:rsidR="00A26AD6" w:rsidRPr="00F82BE7">
        <w:rPr>
          <w:rFonts w:ascii="ITC Avant Garde" w:hAnsi="ITC Avant Garde" w:cs="Arial"/>
          <w:color w:val="000000"/>
        </w:rPr>
        <w:t xml:space="preserve">, estas no estarían obligadas si no tienen el carácter de agentes económicos preponderantes, agentes con </w:t>
      </w:r>
      <w:r w:rsidR="003E2765" w:rsidRPr="00F82BE7">
        <w:rPr>
          <w:rFonts w:ascii="ITC Avant Garde" w:hAnsi="ITC Avant Garde" w:cs="Arial"/>
          <w:color w:val="000000"/>
        </w:rPr>
        <w:t>poder sustancial de mercado</w:t>
      </w:r>
      <w:r w:rsidR="00A26AD6" w:rsidRPr="00F82BE7">
        <w:rPr>
          <w:rFonts w:ascii="ITC Avant Garde" w:hAnsi="ITC Avant Garde" w:cs="Arial"/>
          <w:color w:val="000000"/>
        </w:rPr>
        <w:t xml:space="preserve"> y redes compartidas mayoristas</w:t>
      </w:r>
      <w:r w:rsidRPr="00F82BE7">
        <w:rPr>
          <w:rFonts w:ascii="ITC Avant Garde" w:hAnsi="ITC Avant Garde" w:cs="Arial"/>
          <w:color w:val="000000"/>
        </w:rPr>
        <w:t>.</w:t>
      </w:r>
      <w:r w:rsidR="003E2765" w:rsidRPr="00F82BE7">
        <w:rPr>
          <w:rFonts w:ascii="ITC Avant Garde" w:hAnsi="ITC Avant Garde" w:cs="Arial"/>
          <w:color w:val="000000"/>
        </w:rPr>
        <w:t xml:space="preserve"> </w:t>
      </w:r>
      <w:r w:rsidR="00E53250">
        <w:rPr>
          <w:rFonts w:ascii="ITC Avant Garde" w:hAnsi="ITC Avant Garde" w:cs="Arial"/>
          <w:color w:val="000000"/>
        </w:rPr>
        <w:t>Por lo anterior</w:t>
      </w:r>
      <w:r w:rsidR="003E2765" w:rsidRPr="00F82BE7">
        <w:rPr>
          <w:rFonts w:ascii="ITC Avant Garde" w:hAnsi="ITC Avant Garde" w:cs="Arial"/>
          <w:color w:val="000000"/>
        </w:rPr>
        <w:t xml:space="preserve">, </w:t>
      </w:r>
      <w:r w:rsidR="00A62EBB" w:rsidRPr="00A62EBB">
        <w:rPr>
          <w:rFonts w:ascii="ITC Avant Garde" w:hAnsi="ITC Avant Garde" w:cs="Arial"/>
          <w:color w:val="000000"/>
        </w:rPr>
        <w:t>no se realizaron ajustes al Anteproyecto en los términos señalados por el participante</w:t>
      </w:r>
      <w:r w:rsidR="003E2765" w:rsidRPr="00F82BE7">
        <w:rPr>
          <w:rFonts w:ascii="ITC Avant Garde" w:hAnsi="ITC Avant Garde" w:cs="Arial"/>
          <w:color w:val="000000"/>
        </w:rPr>
        <w:t>.</w:t>
      </w:r>
    </w:p>
    <w:p w:rsidR="00DE1099" w:rsidRPr="00F82BE7" w:rsidRDefault="00DE1099" w:rsidP="0033377C">
      <w:pPr>
        <w:pStyle w:val="Prrafodelista"/>
        <w:numPr>
          <w:ilvl w:val="0"/>
          <w:numId w:val="4"/>
        </w:numPr>
        <w:spacing w:line="276" w:lineRule="auto"/>
        <w:jc w:val="both"/>
        <w:rPr>
          <w:rFonts w:ascii="ITC Avant Garde" w:hAnsi="ITC Avant Garde" w:cs="Arial"/>
          <w:b/>
          <w:color w:val="000000"/>
        </w:rPr>
      </w:pPr>
      <w:r w:rsidRPr="00F82BE7">
        <w:rPr>
          <w:rFonts w:ascii="ITC Avant Garde" w:hAnsi="ITC Avant Garde" w:cs="Arial"/>
          <w:b/>
          <w:color w:val="000000"/>
        </w:rPr>
        <w:t xml:space="preserve">Mantenimiento de </w:t>
      </w:r>
      <w:r w:rsidR="00423EC8">
        <w:rPr>
          <w:rFonts w:ascii="ITC Avant Garde" w:hAnsi="ITC Avant Garde" w:cs="Arial"/>
          <w:b/>
          <w:color w:val="000000"/>
        </w:rPr>
        <w:t>c</w:t>
      </w:r>
      <w:r w:rsidRPr="00F82BE7">
        <w:rPr>
          <w:rFonts w:ascii="ITC Avant Garde" w:hAnsi="ITC Avant Garde" w:cs="Arial"/>
          <w:b/>
          <w:color w:val="000000"/>
        </w:rPr>
        <w:t xml:space="preserve">apital y el </w:t>
      </w:r>
      <w:r w:rsidR="00423EC8">
        <w:rPr>
          <w:rFonts w:ascii="ITC Avant Garde" w:hAnsi="ITC Avant Garde" w:cs="Arial"/>
          <w:b/>
          <w:color w:val="000000"/>
        </w:rPr>
        <w:t>c</w:t>
      </w:r>
      <w:r w:rsidRPr="00F82BE7">
        <w:rPr>
          <w:rFonts w:ascii="ITC Avant Garde" w:hAnsi="ITC Avant Garde" w:cs="Arial"/>
          <w:b/>
          <w:color w:val="000000"/>
        </w:rPr>
        <w:t xml:space="preserve">álculo de su </w:t>
      </w:r>
      <w:r w:rsidR="00423EC8">
        <w:rPr>
          <w:rFonts w:ascii="ITC Avant Garde" w:hAnsi="ITC Avant Garde" w:cs="Arial"/>
          <w:b/>
          <w:color w:val="000000"/>
        </w:rPr>
        <w:t>d</w:t>
      </w:r>
      <w:r w:rsidRPr="00F82BE7">
        <w:rPr>
          <w:rFonts w:ascii="ITC Avant Garde" w:hAnsi="ITC Avant Garde" w:cs="Arial"/>
          <w:b/>
          <w:color w:val="000000"/>
        </w:rPr>
        <w:t>epreciación</w:t>
      </w:r>
    </w:p>
    <w:p w:rsidR="003403FF" w:rsidRPr="00F82BE7" w:rsidRDefault="003403FF" w:rsidP="0033377C">
      <w:pPr>
        <w:spacing w:line="276" w:lineRule="auto"/>
        <w:jc w:val="both"/>
        <w:rPr>
          <w:rFonts w:ascii="ITC Avant Garde" w:hAnsi="ITC Avant Garde" w:cs="Arial"/>
          <w:i/>
          <w:color w:val="000000"/>
        </w:rPr>
      </w:pPr>
      <w:r w:rsidRPr="00F82BE7">
        <w:rPr>
          <w:rFonts w:ascii="ITC Avant Garde" w:hAnsi="ITC Avant Garde" w:cs="Arial"/>
          <w:i/>
          <w:color w:val="000000"/>
        </w:rPr>
        <w:t>Comentarios</w:t>
      </w:r>
    </w:p>
    <w:p w:rsidR="00DE1099" w:rsidRPr="00F82BE7" w:rsidRDefault="00DE1099" w:rsidP="0033377C">
      <w:pPr>
        <w:spacing w:line="276" w:lineRule="auto"/>
        <w:jc w:val="both"/>
        <w:rPr>
          <w:rFonts w:ascii="ITC Avant Garde" w:hAnsi="ITC Avant Garde" w:cs="Arial"/>
          <w:color w:val="000000"/>
        </w:rPr>
      </w:pPr>
      <w:r w:rsidRPr="00F82BE7">
        <w:rPr>
          <w:rFonts w:ascii="ITC Avant Garde" w:hAnsi="ITC Avant Garde" w:cs="Arial"/>
          <w:color w:val="000000"/>
        </w:rPr>
        <w:t>Uno de</w:t>
      </w:r>
      <w:r w:rsidR="00503B63" w:rsidRPr="00F82BE7">
        <w:rPr>
          <w:rFonts w:ascii="ITC Avant Garde" w:hAnsi="ITC Avant Garde" w:cs="Arial"/>
          <w:color w:val="000000"/>
        </w:rPr>
        <w:t xml:space="preserve"> los participantes (AT&amp;T) señaló</w:t>
      </w:r>
      <w:r w:rsidRPr="00F82BE7">
        <w:rPr>
          <w:rFonts w:ascii="ITC Avant Garde" w:hAnsi="ITC Avant Garde" w:cs="Arial"/>
          <w:color w:val="000000"/>
        </w:rPr>
        <w:t xml:space="preserve"> que si bien el método de aproximación para el mantenimiento de capital idóneo, desde un punto de vista teórico, sería el del </w:t>
      </w:r>
      <w:r w:rsidR="00D235F3" w:rsidRPr="00F82BE7">
        <w:rPr>
          <w:rFonts w:ascii="ITC Avant Garde" w:hAnsi="ITC Avant Garde" w:cs="Arial"/>
          <w:color w:val="000000"/>
        </w:rPr>
        <w:t>M</w:t>
      </w:r>
      <w:r w:rsidRPr="00F82BE7">
        <w:rPr>
          <w:rFonts w:ascii="ITC Avant Garde" w:hAnsi="ITC Avant Garde" w:cs="Arial"/>
          <w:color w:val="000000"/>
        </w:rPr>
        <w:t xml:space="preserve">antenimiento </w:t>
      </w:r>
      <w:r w:rsidR="00D235F3" w:rsidRPr="00F82BE7">
        <w:rPr>
          <w:rFonts w:ascii="ITC Avant Garde" w:hAnsi="ITC Avant Garde" w:cs="Arial"/>
          <w:color w:val="000000"/>
        </w:rPr>
        <w:t>F</w:t>
      </w:r>
      <w:r w:rsidRPr="00F82BE7">
        <w:rPr>
          <w:rFonts w:ascii="ITC Avant Garde" w:hAnsi="ITC Avant Garde" w:cs="Arial"/>
          <w:color w:val="000000"/>
        </w:rPr>
        <w:t xml:space="preserve">inanciero del </w:t>
      </w:r>
      <w:r w:rsidR="00D235F3" w:rsidRPr="00F82BE7">
        <w:rPr>
          <w:rFonts w:ascii="ITC Avant Garde" w:hAnsi="ITC Avant Garde" w:cs="Arial"/>
          <w:color w:val="000000"/>
        </w:rPr>
        <w:t>C</w:t>
      </w:r>
      <w:r w:rsidRPr="00F82BE7">
        <w:rPr>
          <w:rFonts w:ascii="ITC Avant Garde" w:hAnsi="ITC Avant Garde" w:cs="Arial"/>
          <w:color w:val="000000"/>
        </w:rPr>
        <w:t>apital</w:t>
      </w:r>
      <w:r w:rsidR="00D235F3" w:rsidRPr="00F82BE7">
        <w:rPr>
          <w:rFonts w:ascii="ITC Avant Garde" w:hAnsi="ITC Avant Garde" w:cs="Arial"/>
          <w:color w:val="000000"/>
        </w:rPr>
        <w:t xml:space="preserve"> (FCM</w:t>
      </w:r>
      <w:r w:rsidR="003024F6" w:rsidRPr="00F82BE7">
        <w:rPr>
          <w:rFonts w:ascii="ITC Avant Garde" w:hAnsi="ITC Avant Garde" w:cs="Arial"/>
          <w:color w:val="000000"/>
        </w:rPr>
        <w:t>,</w:t>
      </w:r>
      <w:r w:rsidR="00D235F3" w:rsidRPr="00F82BE7">
        <w:rPr>
          <w:rFonts w:ascii="ITC Avant Garde" w:hAnsi="ITC Avant Garde" w:cs="Arial"/>
          <w:color w:val="000000"/>
        </w:rPr>
        <w:t xml:space="preserve"> por sus siglas en inglés)</w:t>
      </w:r>
      <w:r w:rsidR="003024F6" w:rsidRPr="00F82BE7">
        <w:rPr>
          <w:rFonts w:ascii="ITC Avant Garde" w:hAnsi="ITC Avant Garde" w:cs="Arial"/>
          <w:color w:val="000000"/>
        </w:rPr>
        <w:t xml:space="preserve">, </w:t>
      </w:r>
      <w:r w:rsidRPr="00F82BE7">
        <w:rPr>
          <w:rFonts w:ascii="ITC Avant Garde" w:hAnsi="ITC Avant Garde" w:cs="Arial"/>
          <w:color w:val="000000"/>
        </w:rPr>
        <w:t>al ser un enfoque con mayores rendimientos de información (algunos subjetivos) dicho enfoque daría mayor margen a los regulados para sobre estimar el valor actual de sus activos. Por lo tanto, por razones prácticas y de eficacia sugir</w:t>
      </w:r>
      <w:r w:rsidR="009779AE">
        <w:rPr>
          <w:rFonts w:ascii="ITC Avant Garde" w:hAnsi="ITC Avant Garde" w:cs="Arial"/>
          <w:color w:val="000000"/>
        </w:rPr>
        <w:t>ió</w:t>
      </w:r>
      <w:r w:rsidRPr="00F82BE7">
        <w:rPr>
          <w:rFonts w:ascii="ITC Avant Garde" w:hAnsi="ITC Avant Garde" w:cs="Arial"/>
          <w:color w:val="000000"/>
        </w:rPr>
        <w:t xml:space="preserve"> utilizar en su lugar el en</w:t>
      </w:r>
      <w:r w:rsidR="00D235F3" w:rsidRPr="00F82BE7">
        <w:rPr>
          <w:rFonts w:ascii="ITC Avant Garde" w:hAnsi="ITC Avant Garde" w:cs="Arial"/>
          <w:color w:val="000000"/>
        </w:rPr>
        <w:t>foque estrictamente operativo (M</w:t>
      </w:r>
      <w:r w:rsidRPr="00F82BE7">
        <w:rPr>
          <w:rFonts w:ascii="ITC Avant Garde" w:hAnsi="ITC Avant Garde" w:cs="Arial"/>
          <w:color w:val="000000"/>
        </w:rPr>
        <w:t xml:space="preserve">antenimiento </w:t>
      </w:r>
      <w:r w:rsidR="00D235F3" w:rsidRPr="00F82BE7">
        <w:rPr>
          <w:rFonts w:ascii="ITC Avant Garde" w:hAnsi="ITC Avant Garde" w:cs="Arial"/>
          <w:color w:val="000000"/>
        </w:rPr>
        <w:t>Operativo del C</w:t>
      </w:r>
      <w:r w:rsidRPr="00F82BE7">
        <w:rPr>
          <w:rFonts w:ascii="ITC Avant Garde" w:hAnsi="ITC Avant Garde" w:cs="Arial"/>
          <w:color w:val="000000"/>
        </w:rPr>
        <w:t>apital u OCM</w:t>
      </w:r>
      <w:r w:rsidR="003024F6" w:rsidRPr="00F82BE7">
        <w:rPr>
          <w:rFonts w:ascii="ITC Avant Garde" w:hAnsi="ITC Avant Garde" w:cs="Arial"/>
          <w:color w:val="000000"/>
        </w:rPr>
        <w:t>,</w:t>
      </w:r>
      <w:r w:rsidR="00D235F3" w:rsidRPr="00F82BE7">
        <w:rPr>
          <w:rFonts w:ascii="ITC Avant Garde" w:hAnsi="ITC Avant Garde" w:cs="Arial"/>
          <w:color w:val="000000"/>
        </w:rPr>
        <w:t xml:space="preserve"> por sus siglas en inglés</w:t>
      </w:r>
      <w:r w:rsidRPr="00F82BE7">
        <w:rPr>
          <w:rFonts w:ascii="ITC Avant Garde" w:hAnsi="ITC Avant Garde" w:cs="Arial"/>
          <w:color w:val="000000"/>
        </w:rPr>
        <w:t>). Con respecto al método de depreciación de los activos, señal</w:t>
      </w:r>
      <w:r w:rsidR="009779AE">
        <w:rPr>
          <w:rFonts w:ascii="ITC Avant Garde" w:hAnsi="ITC Avant Garde" w:cs="Arial"/>
          <w:color w:val="000000"/>
        </w:rPr>
        <w:t>ó</w:t>
      </w:r>
      <w:r w:rsidRPr="00F82BE7">
        <w:rPr>
          <w:rFonts w:ascii="ITC Avant Garde" w:hAnsi="ITC Avant Garde" w:cs="Arial"/>
          <w:color w:val="000000"/>
        </w:rPr>
        <w:t xml:space="preserve"> que los modelos de costos </w:t>
      </w:r>
      <w:r w:rsidR="00503B63" w:rsidRPr="00F82BE7">
        <w:rPr>
          <w:rFonts w:ascii="ITC Avant Garde" w:hAnsi="ITC Avant Garde" w:cs="Arial"/>
          <w:color w:val="000000"/>
        </w:rPr>
        <w:t>“</w:t>
      </w:r>
      <w:r w:rsidRPr="00F82BE7">
        <w:rPr>
          <w:rFonts w:ascii="ITC Avant Garde" w:hAnsi="ITC Avant Garde" w:cs="Arial"/>
          <w:color w:val="000000"/>
        </w:rPr>
        <w:t>CIPLP</w:t>
      </w:r>
      <w:r w:rsidR="00503B63" w:rsidRPr="00F82BE7">
        <w:rPr>
          <w:rFonts w:ascii="ITC Avant Garde" w:hAnsi="ITC Avant Garde" w:cs="Arial"/>
          <w:color w:val="000000"/>
        </w:rPr>
        <w:t xml:space="preserve">” </w:t>
      </w:r>
      <w:r w:rsidRPr="00F82BE7">
        <w:rPr>
          <w:rFonts w:ascii="ITC Avant Garde" w:hAnsi="ITC Avant Garde" w:cs="Arial"/>
          <w:color w:val="000000"/>
        </w:rPr>
        <w:t>desarrollados por la propia autoridad incluyen un método y supuestos de depreciación de activos.</w:t>
      </w:r>
      <w:r w:rsidR="00FC04CE">
        <w:rPr>
          <w:rFonts w:ascii="ITC Avant Garde" w:hAnsi="ITC Avant Garde" w:cs="Arial"/>
          <w:color w:val="000000"/>
        </w:rPr>
        <w:t xml:space="preserve"> En este sentido, </w:t>
      </w:r>
      <w:r w:rsidR="00FC04CE" w:rsidRPr="004C71F5">
        <w:rPr>
          <w:rFonts w:ascii="ITC Avant Garde" w:hAnsi="ITC Avant Garde" w:cs="Arial"/>
          <w:color w:val="000000"/>
        </w:rPr>
        <w:t>r</w:t>
      </w:r>
      <w:r w:rsidRPr="004C71F5">
        <w:rPr>
          <w:rFonts w:ascii="ITC Avant Garde" w:hAnsi="ITC Avant Garde" w:cs="Arial"/>
          <w:color w:val="000000"/>
        </w:rPr>
        <w:t>ecomend</w:t>
      </w:r>
      <w:r w:rsidR="009779AE" w:rsidRPr="004C71F5">
        <w:rPr>
          <w:rFonts w:ascii="ITC Avant Garde" w:hAnsi="ITC Avant Garde" w:cs="Arial"/>
          <w:color w:val="000000"/>
        </w:rPr>
        <w:t>ó</w:t>
      </w:r>
      <w:r w:rsidRPr="004C71F5">
        <w:rPr>
          <w:rFonts w:ascii="ITC Avant Garde" w:hAnsi="ITC Avant Garde" w:cs="Arial"/>
          <w:color w:val="000000"/>
        </w:rPr>
        <w:t xml:space="preserve"> revisar la metodología tanto de </w:t>
      </w:r>
      <w:r w:rsidR="00FC04CE" w:rsidRPr="004C71F5">
        <w:rPr>
          <w:rFonts w:ascii="ITC Avant Garde" w:hAnsi="ITC Avant Garde" w:cs="Arial"/>
          <w:color w:val="000000"/>
        </w:rPr>
        <w:t>estos modelos</w:t>
      </w:r>
      <w:r w:rsidRPr="004C71F5">
        <w:rPr>
          <w:rFonts w:ascii="ITC Avant Garde" w:hAnsi="ITC Avant Garde" w:cs="Arial"/>
          <w:color w:val="000000"/>
        </w:rPr>
        <w:t>, como la propuesta para la separación contable y buscar en la medida de lo posible el mayor grado de congruencia entre ambos.</w:t>
      </w:r>
      <w:r w:rsidRPr="00F82BE7">
        <w:rPr>
          <w:rFonts w:ascii="ITC Avant Garde" w:hAnsi="ITC Avant Garde" w:cs="Arial"/>
          <w:color w:val="000000"/>
        </w:rPr>
        <w:t xml:space="preserve"> </w:t>
      </w:r>
    </w:p>
    <w:p w:rsidR="00D235F3" w:rsidRPr="00F82BE7" w:rsidRDefault="00D235F3" w:rsidP="0033377C">
      <w:pPr>
        <w:spacing w:line="276" w:lineRule="auto"/>
        <w:jc w:val="both"/>
        <w:rPr>
          <w:rFonts w:ascii="ITC Avant Garde" w:hAnsi="ITC Avant Garde" w:cs="Arial"/>
          <w:color w:val="000000"/>
        </w:rPr>
      </w:pPr>
      <w:r w:rsidRPr="00F82BE7">
        <w:rPr>
          <w:rFonts w:ascii="ITC Avant Garde" w:hAnsi="ITC Avant Garde" w:cs="Arial"/>
          <w:color w:val="000000"/>
        </w:rPr>
        <w:lastRenderedPageBreak/>
        <w:t xml:space="preserve">Otro participante (MEGA CABLE) consideró que antes de que el Instituto apruebe cualquier metodología para el mantenimiento de capital presentado por el AEP como parte del </w:t>
      </w:r>
      <w:r w:rsidR="00563481">
        <w:rPr>
          <w:rFonts w:ascii="ITC Avant Garde" w:hAnsi="ITC Avant Garde" w:cs="Arial"/>
          <w:color w:val="000000"/>
        </w:rPr>
        <w:t>p</w:t>
      </w:r>
      <w:r w:rsidRPr="00F82BE7">
        <w:rPr>
          <w:rFonts w:ascii="ITC Avant Garde" w:hAnsi="ITC Avant Garde" w:cs="Arial"/>
          <w:color w:val="000000"/>
        </w:rPr>
        <w:t xml:space="preserve">rograma de </w:t>
      </w:r>
      <w:r w:rsidR="00563481">
        <w:rPr>
          <w:rFonts w:ascii="ITC Avant Garde" w:hAnsi="ITC Avant Garde" w:cs="Arial"/>
          <w:color w:val="000000"/>
        </w:rPr>
        <w:t>i</w:t>
      </w:r>
      <w:r w:rsidRPr="00F82BE7">
        <w:rPr>
          <w:rFonts w:ascii="ITC Avant Garde" w:hAnsi="ITC Avant Garde" w:cs="Arial"/>
          <w:color w:val="000000"/>
        </w:rPr>
        <w:t>mplementación, debería solicitar al AEP la presentación de resultados preliminares bajo las metodologías FCM y OCM con el fin de tener más elementos para determinar cuál de las dos sería más apropiada. En su defecto, utilizar el método FCM, precisando de manera muy clara y transparente los conceptos señalados y el método de cálculo que se espera a fin de evitar confusiones que resulten en costos distorsionados o sobreestimados por parte del AEP.</w:t>
      </w:r>
    </w:p>
    <w:p w:rsidR="00DE1099" w:rsidRPr="00F82BE7" w:rsidRDefault="00F96956" w:rsidP="0033377C">
      <w:pPr>
        <w:spacing w:line="276" w:lineRule="auto"/>
        <w:jc w:val="both"/>
        <w:rPr>
          <w:rFonts w:ascii="ITC Avant Garde" w:hAnsi="ITC Avant Garde" w:cs="Arial"/>
          <w:i/>
          <w:color w:val="000000"/>
        </w:rPr>
      </w:pPr>
      <w:r>
        <w:rPr>
          <w:rFonts w:ascii="ITC Avant Garde" w:hAnsi="ITC Avant Garde" w:cs="Arial"/>
          <w:i/>
          <w:color w:val="000000"/>
        </w:rPr>
        <w:t>Consideraciones</w:t>
      </w:r>
      <w:r w:rsidRPr="00F82BE7" w:rsidDel="00F96956">
        <w:rPr>
          <w:rFonts w:ascii="ITC Avant Garde" w:hAnsi="ITC Avant Garde" w:cs="Arial"/>
          <w:i/>
          <w:color w:val="000000"/>
        </w:rPr>
        <w:t xml:space="preserve"> </w:t>
      </w:r>
      <w:r w:rsidR="00DE1099" w:rsidRPr="00F82BE7">
        <w:rPr>
          <w:rFonts w:ascii="ITC Avant Garde" w:hAnsi="ITC Avant Garde" w:cs="Arial"/>
          <w:i/>
          <w:color w:val="000000"/>
        </w:rPr>
        <w:t>del Instituto</w:t>
      </w:r>
    </w:p>
    <w:p w:rsidR="00DE1099" w:rsidRPr="00F82BE7" w:rsidRDefault="00BA5081" w:rsidP="0033377C">
      <w:pPr>
        <w:spacing w:line="276" w:lineRule="auto"/>
        <w:jc w:val="both"/>
        <w:rPr>
          <w:rFonts w:ascii="ITC Avant Garde" w:hAnsi="ITC Avant Garde" w:cs="Arial"/>
          <w:color w:val="000000"/>
        </w:rPr>
      </w:pPr>
      <w:r>
        <w:rPr>
          <w:rFonts w:ascii="ITC Avant Garde" w:hAnsi="ITC Avant Garde" w:cs="Arial"/>
          <w:color w:val="000000"/>
        </w:rPr>
        <w:t xml:space="preserve">Debido a que </w:t>
      </w:r>
      <w:r w:rsidR="00DE1099" w:rsidRPr="00F82BE7">
        <w:rPr>
          <w:rFonts w:ascii="ITC Avant Garde" w:hAnsi="ITC Avant Garde" w:cs="Arial"/>
          <w:color w:val="000000"/>
        </w:rPr>
        <w:t xml:space="preserve">la visión operativa </w:t>
      </w:r>
      <w:r w:rsidR="00B32BC9" w:rsidRPr="00F82BE7">
        <w:rPr>
          <w:rFonts w:ascii="ITC Avant Garde" w:hAnsi="ITC Avant Garde" w:cs="Arial"/>
          <w:color w:val="000000"/>
        </w:rPr>
        <w:t xml:space="preserve">del </w:t>
      </w:r>
      <w:r w:rsidR="00DE1099" w:rsidRPr="00F82BE7">
        <w:rPr>
          <w:rFonts w:ascii="ITC Avant Garde" w:hAnsi="ITC Avant Garde" w:cs="Arial"/>
          <w:color w:val="000000"/>
        </w:rPr>
        <w:t>Mantenimiento Financiero del Capital es la más adoptada en la práctica internacional, se consider</w:t>
      </w:r>
      <w:r w:rsidR="009779AE">
        <w:rPr>
          <w:rFonts w:ascii="ITC Avant Garde" w:hAnsi="ITC Avant Garde" w:cs="Arial"/>
          <w:color w:val="000000"/>
        </w:rPr>
        <w:t>ó</w:t>
      </w:r>
      <w:r w:rsidR="00DE1099" w:rsidRPr="00F82BE7">
        <w:rPr>
          <w:rFonts w:ascii="ITC Avant Garde" w:hAnsi="ITC Avant Garde" w:cs="Arial"/>
          <w:color w:val="000000"/>
        </w:rPr>
        <w:t xml:space="preserve"> adecuada su</w:t>
      </w:r>
      <w:r w:rsidR="009779AE">
        <w:rPr>
          <w:rFonts w:ascii="ITC Avant Garde" w:hAnsi="ITC Avant Garde" w:cs="Arial"/>
          <w:color w:val="000000"/>
        </w:rPr>
        <w:t xml:space="preserve"> inclusión</w:t>
      </w:r>
      <w:r w:rsidR="00B32BC9" w:rsidRPr="00F82BE7">
        <w:rPr>
          <w:rFonts w:ascii="ITC Avant Garde" w:hAnsi="ITC Avant Garde" w:cs="Arial"/>
          <w:color w:val="000000"/>
        </w:rPr>
        <w:t xml:space="preserve"> en el </w:t>
      </w:r>
      <w:r w:rsidR="007D5931" w:rsidRPr="00F82BE7">
        <w:rPr>
          <w:rFonts w:ascii="ITC Avant Garde" w:hAnsi="ITC Avant Garde" w:cs="Arial"/>
          <w:color w:val="000000"/>
        </w:rPr>
        <w:t>A</w:t>
      </w:r>
      <w:r w:rsidR="009779AE">
        <w:rPr>
          <w:rFonts w:ascii="ITC Avant Garde" w:hAnsi="ITC Avant Garde" w:cs="Arial"/>
          <w:color w:val="000000"/>
        </w:rPr>
        <w:t>nteproyecto</w:t>
      </w:r>
      <w:r w:rsidR="00DE1099" w:rsidRPr="00F82BE7">
        <w:rPr>
          <w:rFonts w:ascii="ITC Avant Garde" w:hAnsi="ITC Avant Garde" w:cs="Arial"/>
          <w:color w:val="000000"/>
        </w:rPr>
        <w:t xml:space="preserve">, toda vez que: </w:t>
      </w:r>
    </w:p>
    <w:p w:rsidR="00DE1099" w:rsidRPr="00F82BE7" w:rsidRDefault="00DE1099" w:rsidP="0033377C">
      <w:pPr>
        <w:pStyle w:val="Prrafodelista"/>
        <w:numPr>
          <w:ilvl w:val="0"/>
          <w:numId w:val="5"/>
        </w:numPr>
        <w:spacing w:line="276" w:lineRule="auto"/>
        <w:jc w:val="both"/>
        <w:rPr>
          <w:rFonts w:ascii="ITC Avant Garde" w:hAnsi="ITC Avant Garde" w:cs="Arial"/>
          <w:color w:val="000000"/>
        </w:rPr>
      </w:pPr>
      <w:r w:rsidRPr="00F82BE7">
        <w:rPr>
          <w:rFonts w:ascii="ITC Avant Garde" w:hAnsi="ITC Avant Garde" w:cs="Arial"/>
          <w:color w:val="000000"/>
        </w:rPr>
        <w:t>Bajo la aproximación de FCM, los rendimientos de los aportadores de capital resultan iguales a la rentabilidad requerida (medida por el costo del capital), independientemente de si los costos de reemplazo suben o bajan con relación al índice general de precios.</w:t>
      </w:r>
    </w:p>
    <w:p w:rsidR="00DE1099" w:rsidRPr="00F82BE7" w:rsidRDefault="00DE1099" w:rsidP="0033377C">
      <w:pPr>
        <w:pStyle w:val="Prrafodelista"/>
        <w:numPr>
          <w:ilvl w:val="0"/>
          <w:numId w:val="5"/>
        </w:numPr>
        <w:spacing w:line="276" w:lineRule="auto"/>
        <w:jc w:val="both"/>
        <w:rPr>
          <w:rFonts w:ascii="ITC Avant Garde" w:hAnsi="ITC Avant Garde" w:cs="Arial"/>
          <w:color w:val="000000"/>
        </w:rPr>
      </w:pPr>
      <w:r w:rsidRPr="00F82BE7">
        <w:rPr>
          <w:rFonts w:ascii="ITC Avant Garde" w:hAnsi="ITC Avant Garde" w:cs="Arial"/>
          <w:color w:val="000000"/>
        </w:rPr>
        <w:t xml:space="preserve">Sobre el Mantenimiento Operativo del Capital (OCM), la </w:t>
      </w:r>
      <w:r w:rsidR="00563481">
        <w:rPr>
          <w:rFonts w:ascii="ITC Avant Garde" w:hAnsi="ITC Avant Garde" w:cs="Arial"/>
          <w:color w:val="000000"/>
        </w:rPr>
        <w:t>Unión Internacional de Telecomunicaciones (</w:t>
      </w:r>
      <w:r w:rsidRPr="00F82BE7">
        <w:rPr>
          <w:rFonts w:ascii="ITC Avant Garde" w:hAnsi="ITC Avant Garde" w:cs="Arial"/>
          <w:color w:val="000000"/>
        </w:rPr>
        <w:t>UIT</w:t>
      </w:r>
      <w:r w:rsidR="00563481">
        <w:rPr>
          <w:rFonts w:ascii="ITC Avant Garde" w:hAnsi="ITC Avant Garde" w:cs="Arial"/>
          <w:color w:val="000000"/>
        </w:rPr>
        <w:t>)</w:t>
      </w:r>
      <w:r w:rsidRPr="00F82BE7">
        <w:rPr>
          <w:rFonts w:ascii="ITC Avant Garde" w:hAnsi="ITC Avant Garde" w:cs="Arial"/>
          <w:color w:val="000000"/>
        </w:rPr>
        <w:t xml:space="preserve"> </w:t>
      </w:r>
      <w:r w:rsidR="00984DE9">
        <w:rPr>
          <w:rFonts w:ascii="ITC Avant Garde" w:hAnsi="ITC Avant Garde" w:cs="Arial"/>
          <w:color w:val="000000"/>
        </w:rPr>
        <w:t xml:space="preserve">ha </w:t>
      </w:r>
      <w:r w:rsidRPr="00F82BE7">
        <w:rPr>
          <w:rFonts w:ascii="ITC Avant Garde" w:hAnsi="ITC Avant Garde" w:cs="Arial"/>
          <w:color w:val="000000"/>
        </w:rPr>
        <w:t>señala</w:t>
      </w:r>
      <w:r w:rsidR="00984DE9">
        <w:rPr>
          <w:rFonts w:ascii="ITC Avant Garde" w:hAnsi="ITC Avant Garde" w:cs="Arial"/>
          <w:color w:val="000000"/>
        </w:rPr>
        <w:t>do</w:t>
      </w:r>
      <w:r w:rsidRPr="00F82BE7">
        <w:rPr>
          <w:rFonts w:ascii="ITC Avant Garde" w:hAnsi="ITC Avant Garde" w:cs="Arial"/>
          <w:color w:val="000000"/>
        </w:rPr>
        <w:t xml:space="preserve"> que “el uso del OCM puede incorporar sistemáticamente retornos insuficientes o excesivos en función de si la inflación esperada de un activo se estimó por debajo o por encima del índice general de precios, lo cual no es recomendable para ningún regulador”</w:t>
      </w:r>
      <w:r w:rsidR="00563481">
        <w:rPr>
          <w:rStyle w:val="Refdenotaalpie"/>
          <w:rFonts w:ascii="ITC Avant Garde" w:hAnsi="ITC Avant Garde" w:cs="Arial"/>
          <w:color w:val="000000"/>
        </w:rPr>
        <w:footnoteReference w:id="2"/>
      </w:r>
      <w:r w:rsidRPr="00F82BE7">
        <w:rPr>
          <w:rFonts w:ascii="ITC Avant Garde" w:hAnsi="ITC Avant Garde" w:cs="Arial"/>
          <w:color w:val="000000"/>
        </w:rPr>
        <w:t>.</w:t>
      </w:r>
    </w:p>
    <w:p w:rsidR="007D5931" w:rsidRPr="00F82BE7" w:rsidRDefault="007D5931" w:rsidP="0033377C">
      <w:pPr>
        <w:spacing w:line="276" w:lineRule="auto"/>
        <w:jc w:val="both"/>
        <w:rPr>
          <w:rFonts w:ascii="ITC Avant Garde" w:hAnsi="ITC Avant Garde" w:cs="Arial"/>
          <w:color w:val="000000"/>
        </w:rPr>
      </w:pPr>
      <w:r w:rsidRPr="00F82BE7">
        <w:rPr>
          <w:rFonts w:ascii="ITC Avant Garde" w:hAnsi="ITC Avant Garde" w:cs="Arial"/>
          <w:color w:val="000000"/>
        </w:rPr>
        <w:t>Por las razones anterior</w:t>
      </w:r>
      <w:r w:rsidR="005F0EB0">
        <w:rPr>
          <w:rFonts w:ascii="ITC Avant Garde" w:hAnsi="ITC Avant Garde" w:cs="Arial"/>
          <w:color w:val="000000"/>
        </w:rPr>
        <w:t>mente</w:t>
      </w:r>
      <w:r w:rsidRPr="00F82BE7">
        <w:rPr>
          <w:rFonts w:ascii="ITC Avant Garde" w:hAnsi="ITC Avant Garde" w:cs="Arial"/>
          <w:color w:val="000000"/>
        </w:rPr>
        <w:t xml:space="preserve"> descritas se </w:t>
      </w:r>
      <w:r w:rsidR="005F0EB0">
        <w:rPr>
          <w:rFonts w:ascii="ITC Avant Garde" w:hAnsi="ITC Avant Garde" w:cs="Arial"/>
          <w:color w:val="000000"/>
        </w:rPr>
        <w:t xml:space="preserve">mantiene la </w:t>
      </w:r>
      <w:r w:rsidRPr="00F82BE7">
        <w:rPr>
          <w:rFonts w:ascii="ITC Avant Garde" w:hAnsi="ITC Avant Garde" w:cs="Arial"/>
          <w:color w:val="000000"/>
        </w:rPr>
        <w:t xml:space="preserve">alternativa de FCM, por lo que </w:t>
      </w:r>
      <w:r w:rsidR="004B4861" w:rsidRPr="004B4861">
        <w:rPr>
          <w:rFonts w:ascii="ITC Avant Garde" w:hAnsi="ITC Avant Garde" w:cs="Arial"/>
          <w:color w:val="000000"/>
        </w:rPr>
        <w:t xml:space="preserve">no se realizaron ajustes al Anteproyecto en los términos señalados por </w:t>
      </w:r>
      <w:r w:rsidR="00C30BE2">
        <w:rPr>
          <w:rFonts w:ascii="ITC Avant Garde" w:hAnsi="ITC Avant Garde" w:cs="Arial"/>
          <w:color w:val="000000"/>
        </w:rPr>
        <w:t>los</w:t>
      </w:r>
      <w:r w:rsidR="004B4861" w:rsidRPr="004B4861">
        <w:rPr>
          <w:rFonts w:ascii="ITC Avant Garde" w:hAnsi="ITC Avant Garde" w:cs="Arial"/>
          <w:color w:val="000000"/>
        </w:rPr>
        <w:t xml:space="preserve"> participante</w:t>
      </w:r>
      <w:r w:rsidR="00C30BE2">
        <w:rPr>
          <w:rFonts w:ascii="ITC Avant Garde" w:hAnsi="ITC Avant Garde" w:cs="Arial"/>
          <w:color w:val="000000"/>
        </w:rPr>
        <w:t>s</w:t>
      </w:r>
      <w:r w:rsidRPr="00F82BE7">
        <w:rPr>
          <w:rFonts w:ascii="ITC Avant Garde" w:hAnsi="ITC Avant Garde" w:cs="Arial"/>
          <w:color w:val="000000"/>
        </w:rPr>
        <w:t>.</w:t>
      </w:r>
    </w:p>
    <w:p w:rsidR="00DE1099" w:rsidRDefault="00DE1099" w:rsidP="0033377C">
      <w:pPr>
        <w:spacing w:line="276" w:lineRule="auto"/>
        <w:jc w:val="both"/>
        <w:rPr>
          <w:rFonts w:ascii="ITC Avant Garde" w:hAnsi="ITC Avant Garde" w:cs="Arial"/>
          <w:color w:val="000000"/>
        </w:rPr>
      </w:pPr>
      <w:r w:rsidRPr="004A28CD">
        <w:rPr>
          <w:rFonts w:ascii="ITC Avant Garde" w:hAnsi="ITC Avant Garde" w:cs="Arial"/>
          <w:color w:val="000000"/>
        </w:rPr>
        <w:t xml:space="preserve">Sobre </w:t>
      </w:r>
      <w:r w:rsidR="005F0EB0" w:rsidRPr="004A28CD">
        <w:rPr>
          <w:rFonts w:ascii="ITC Avant Garde" w:hAnsi="ITC Avant Garde" w:cs="Arial"/>
          <w:color w:val="000000"/>
        </w:rPr>
        <w:t xml:space="preserve">el comentario relativo a </w:t>
      </w:r>
      <w:r w:rsidRPr="004A28CD">
        <w:rPr>
          <w:rFonts w:ascii="ITC Avant Garde" w:hAnsi="ITC Avant Garde" w:cs="Arial"/>
          <w:color w:val="000000"/>
        </w:rPr>
        <w:t xml:space="preserve">que debería existir </w:t>
      </w:r>
      <w:r w:rsidR="005F0EB0" w:rsidRPr="004A28CD">
        <w:rPr>
          <w:rFonts w:ascii="ITC Avant Garde" w:hAnsi="ITC Avant Garde" w:cs="Arial"/>
          <w:color w:val="000000"/>
        </w:rPr>
        <w:t xml:space="preserve">congruencia </w:t>
      </w:r>
      <w:r w:rsidR="00E41227" w:rsidRPr="004A28CD">
        <w:rPr>
          <w:rFonts w:ascii="ITC Avant Garde" w:hAnsi="ITC Avant Garde" w:cs="Arial"/>
          <w:color w:val="000000"/>
        </w:rPr>
        <w:t xml:space="preserve">con </w:t>
      </w:r>
      <w:r w:rsidRPr="004A28CD">
        <w:rPr>
          <w:rFonts w:ascii="ITC Avant Garde" w:hAnsi="ITC Avant Garde" w:cs="Arial"/>
          <w:color w:val="000000"/>
        </w:rPr>
        <w:t>el método de depreciación de los activos</w:t>
      </w:r>
      <w:r w:rsidR="00E41227" w:rsidRPr="004A28CD">
        <w:rPr>
          <w:rFonts w:ascii="ITC Avant Garde" w:hAnsi="ITC Avant Garde" w:cs="Arial"/>
          <w:color w:val="000000"/>
        </w:rPr>
        <w:t xml:space="preserve"> para los modelos de costos</w:t>
      </w:r>
      <w:r w:rsidRPr="004A28CD">
        <w:rPr>
          <w:rFonts w:ascii="ITC Avant Garde" w:hAnsi="ITC Avant Garde" w:cs="Arial"/>
          <w:color w:val="000000"/>
        </w:rPr>
        <w:t xml:space="preserve">, se señala que </w:t>
      </w:r>
      <w:r w:rsidR="00DF108D" w:rsidRPr="004A28CD">
        <w:rPr>
          <w:rFonts w:ascii="ITC Avant Garde" w:hAnsi="ITC Avant Garde" w:cs="Arial"/>
          <w:color w:val="000000"/>
        </w:rPr>
        <w:t>el método establecido en el A</w:t>
      </w:r>
      <w:r w:rsidR="00C12167" w:rsidRPr="004A28CD">
        <w:rPr>
          <w:rFonts w:ascii="ITC Avant Garde" w:hAnsi="ITC Avant Garde" w:cs="Arial"/>
          <w:color w:val="000000"/>
        </w:rPr>
        <w:t>nteproyecto</w:t>
      </w:r>
      <w:r w:rsidR="00DF108D" w:rsidRPr="004A28CD">
        <w:rPr>
          <w:rFonts w:ascii="ITC Avant Garde" w:hAnsi="ITC Avant Garde" w:cs="Arial"/>
          <w:color w:val="000000"/>
        </w:rPr>
        <w:t xml:space="preserve"> </w:t>
      </w:r>
      <w:r w:rsidR="00F957E9" w:rsidRPr="00C17EBB">
        <w:rPr>
          <w:rFonts w:ascii="ITC Avant Garde" w:hAnsi="ITC Avant Garde"/>
        </w:rPr>
        <w:t>se apega a las prácticas internacionales, por lo tanto, se considera adecuado mantener dicha metodología. Cabe resaltar que la información de separación contable tiene diversos objetivos, no solo es de utilidad para contrastar la información utilizada en los modelos de costos para la prestación de servicios</w:t>
      </w:r>
      <w:r w:rsidR="00C30BE2">
        <w:rPr>
          <w:rFonts w:ascii="ITC Avant Garde" w:hAnsi="ITC Avant Garde"/>
        </w:rPr>
        <w:t xml:space="preserve"> </w:t>
      </w:r>
      <w:r w:rsidR="00F957E9" w:rsidRPr="00C17EBB">
        <w:rPr>
          <w:rFonts w:ascii="ITC Avant Garde" w:hAnsi="ITC Avant Garde"/>
        </w:rPr>
        <w:t xml:space="preserve">mayoristas. Finalmente, se advierte que </w:t>
      </w:r>
      <w:r w:rsidR="00F957E9">
        <w:rPr>
          <w:rFonts w:ascii="ITC Avant Garde" w:hAnsi="ITC Avant Garde"/>
        </w:rPr>
        <w:t xml:space="preserve">la metodología de separación contable conlleva un proceso de perfeccionamiento en el tiempo, a través de las revisiones periódicas que se realicen de la información entregada, por lo cual se </w:t>
      </w:r>
      <w:r w:rsidR="00F957E9">
        <w:rPr>
          <w:rFonts w:ascii="ITC Avant Garde" w:hAnsi="ITC Avant Garde"/>
        </w:rPr>
        <w:lastRenderedPageBreak/>
        <w:t>puede modificar conforme a las necesidades de información del Instituto en ejercicios posteriores.</w:t>
      </w:r>
      <w:r w:rsidR="00DF108D" w:rsidRPr="004A28CD">
        <w:rPr>
          <w:rFonts w:ascii="ITC Avant Garde" w:hAnsi="ITC Avant Garde" w:cs="Arial"/>
          <w:color w:val="000000"/>
        </w:rPr>
        <w:t xml:space="preserve"> Por lo anterior, </w:t>
      </w:r>
      <w:r w:rsidR="00C30BE2" w:rsidRPr="00C30BE2">
        <w:rPr>
          <w:rFonts w:ascii="ITC Avant Garde" w:hAnsi="ITC Avant Garde" w:cs="Arial"/>
          <w:color w:val="000000"/>
        </w:rPr>
        <w:t>no se realizaron ajustes al Anteproyecto en los términos señalados por el participante</w:t>
      </w:r>
      <w:r w:rsidR="00DF108D" w:rsidRPr="004A28CD">
        <w:rPr>
          <w:rFonts w:ascii="ITC Avant Garde" w:hAnsi="ITC Avant Garde" w:cs="Arial"/>
          <w:color w:val="000000"/>
        </w:rPr>
        <w:t>.</w:t>
      </w:r>
    </w:p>
    <w:p w:rsidR="00410C95" w:rsidRPr="00F82BE7" w:rsidRDefault="00410C95" w:rsidP="0033377C">
      <w:pPr>
        <w:pStyle w:val="Prrafodelista"/>
        <w:numPr>
          <w:ilvl w:val="0"/>
          <w:numId w:val="4"/>
        </w:numPr>
        <w:spacing w:line="276" w:lineRule="auto"/>
        <w:jc w:val="both"/>
        <w:rPr>
          <w:rFonts w:ascii="ITC Avant Garde" w:hAnsi="ITC Avant Garde" w:cs="Arial"/>
          <w:b/>
          <w:color w:val="000000"/>
        </w:rPr>
      </w:pPr>
      <w:r w:rsidRPr="00F82BE7">
        <w:rPr>
          <w:rFonts w:ascii="ITC Avant Garde" w:hAnsi="ITC Avant Garde" w:cs="Arial"/>
          <w:b/>
          <w:color w:val="000000"/>
        </w:rPr>
        <w:t>Informe de Precios de Transferencia</w:t>
      </w:r>
    </w:p>
    <w:p w:rsidR="003403FF" w:rsidRPr="00F82BE7" w:rsidRDefault="003403FF" w:rsidP="0033377C">
      <w:pPr>
        <w:spacing w:line="276" w:lineRule="auto"/>
        <w:jc w:val="both"/>
        <w:rPr>
          <w:rFonts w:ascii="ITC Avant Garde" w:hAnsi="ITC Avant Garde" w:cs="Arial"/>
          <w:i/>
          <w:color w:val="000000"/>
        </w:rPr>
      </w:pPr>
      <w:r w:rsidRPr="00F82BE7">
        <w:rPr>
          <w:rFonts w:ascii="ITC Avant Garde" w:hAnsi="ITC Avant Garde" w:cs="Arial"/>
          <w:i/>
          <w:color w:val="000000"/>
        </w:rPr>
        <w:t>Comentarios</w:t>
      </w:r>
    </w:p>
    <w:p w:rsidR="00A135CF" w:rsidRPr="00F82BE7" w:rsidRDefault="00FF2029"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Un participante (AT&amp;T) </w:t>
      </w:r>
      <w:r w:rsidR="00D91746" w:rsidRPr="00F82BE7">
        <w:rPr>
          <w:rFonts w:ascii="ITC Avant Garde" w:hAnsi="ITC Avant Garde" w:cs="Arial"/>
          <w:color w:val="000000"/>
        </w:rPr>
        <w:t>sugirió definir con mayor detalle la información que deberá contener el “Informe de Precios de Transferencia”.</w:t>
      </w:r>
      <w:r w:rsidR="000C6B50">
        <w:rPr>
          <w:rFonts w:ascii="ITC Avant Garde" w:hAnsi="ITC Avant Garde" w:cs="Arial"/>
          <w:color w:val="000000"/>
        </w:rPr>
        <w:t xml:space="preserve"> También</w:t>
      </w:r>
      <w:r w:rsidR="00D91746">
        <w:rPr>
          <w:rFonts w:ascii="ITC Avant Garde" w:hAnsi="ITC Avant Garde" w:cs="Arial"/>
          <w:color w:val="000000"/>
        </w:rPr>
        <w:t xml:space="preserve"> </w:t>
      </w:r>
      <w:r w:rsidRPr="00F82BE7">
        <w:rPr>
          <w:rFonts w:ascii="ITC Avant Garde" w:hAnsi="ITC Avant Garde" w:cs="Arial"/>
          <w:color w:val="000000"/>
        </w:rPr>
        <w:t>señaló que n</w:t>
      </w:r>
      <w:r w:rsidR="00A135CF" w:rsidRPr="00F82BE7">
        <w:rPr>
          <w:rFonts w:ascii="ITC Avant Garde" w:hAnsi="ITC Avant Garde" w:cs="Arial"/>
          <w:color w:val="000000"/>
        </w:rPr>
        <w:t xml:space="preserve">o se establece qué repercusiones podría haber en caso de que la información del </w:t>
      </w:r>
      <w:r w:rsidRPr="00F82BE7">
        <w:rPr>
          <w:rFonts w:ascii="ITC Avant Garde" w:hAnsi="ITC Avant Garde" w:cs="Arial"/>
          <w:color w:val="000000"/>
        </w:rPr>
        <w:t>“I</w:t>
      </w:r>
      <w:r w:rsidR="00A135CF" w:rsidRPr="00F82BE7">
        <w:rPr>
          <w:rFonts w:ascii="ITC Avant Garde" w:hAnsi="ITC Avant Garde" w:cs="Arial"/>
          <w:color w:val="000000"/>
        </w:rPr>
        <w:t>nforme de precios de transferencia</w:t>
      </w:r>
      <w:r w:rsidRPr="00F82BE7">
        <w:rPr>
          <w:rFonts w:ascii="ITC Avant Garde" w:hAnsi="ITC Avant Garde" w:cs="Arial"/>
          <w:color w:val="000000"/>
        </w:rPr>
        <w:t>” evidencie</w:t>
      </w:r>
      <w:r w:rsidR="00A135CF" w:rsidRPr="00F82BE7">
        <w:rPr>
          <w:rFonts w:ascii="ITC Avant Garde" w:hAnsi="ITC Avant Garde" w:cs="Arial"/>
          <w:color w:val="000000"/>
        </w:rPr>
        <w:t xml:space="preserve"> que las operaciones con partes relacionadas no se realizan en las mismas condiciones que con terceros independientes. Además, sugi</w:t>
      </w:r>
      <w:r w:rsidRPr="00F82BE7">
        <w:rPr>
          <w:rFonts w:ascii="ITC Avant Garde" w:hAnsi="ITC Avant Garde" w:cs="Arial"/>
          <w:color w:val="000000"/>
        </w:rPr>
        <w:t>rió</w:t>
      </w:r>
      <w:r w:rsidR="00A135CF" w:rsidRPr="00F82BE7">
        <w:rPr>
          <w:rFonts w:ascii="ITC Avant Garde" w:hAnsi="ITC Avant Garde" w:cs="Arial"/>
          <w:color w:val="000000"/>
        </w:rPr>
        <w:t xml:space="preserve"> que el nombramiento o selección del experto que llevar</w:t>
      </w:r>
      <w:r w:rsidR="006164F1">
        <w:rPr>
          <w:rFonts w:ascii="ITC Avant Garde" w:hAnsi="ITC Avant Garde" w:cs="Arial"/>
          <w:color w:val="000000"/>
        </w:rPr>
        <w:t>á</w:t>
      </w:r>
      <w:r w:rsidR="00A135CF" w:rsidRPr="00F82BE7">
        <w:rPr>
          <w:rFonts w:ascii="ITC Avant Garde" w:hAnsi="ITC Avant Garde" w:cs="Arial"/>
          <w:color w:val="000000"/>
        </w:rPr>
        <w:t xml:space="preserve"> a cabo el “Informe de precios de transferencia” debería ser facultad del Instituto.</w:t>
      </w:r>
    </w:p>
    <w:p w:rsidR="00F968BB" w:rsidRPr="00F82BE7" w:rsidRDefault="00341AB8"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Por otro lado, un participante (MEGA CABLE) </w:t>
      </w:r>
      <w:r w:rsidR="00F9777F" w:rsidRPr="00F82BE7">
        <w:rPr>
          <w:rFonts w:ascii="ITC Avant Garde" w:hAnsi="ITC Avant Garde" w:cs="Arial"/>
          <w:color w:val="000000"/>
        </w:rPr>
        <w:t>comentó que la obligación de separación contable y en particular la presentación de “precios de transferencia”, así como de información de soporte de dichos precios, deb</w:t>
      </w:r>
      <w:r w:rsidR="00F31457">
        <w:rPr>
          <w:rFonts w:ascii="ITC Avant Garde" w:hAnsi="ITC Avant Garde" w:cs="Arial"/>
          <w:color w:val="000000"/>
        </w:rPr>
        <w:t>e</w:t>
      </w:r>
      <w:r w:rsidR="00F9777F" w:rsidRPr="00F82BE7">
        <w:rPr>
          <w:rFonts w:ascii="ITC Avant Garde" w:hAnsi="ITC Avant Garde" w:cs="Arial"/>
          <w:color w:val="000000"/>
        </w:rPr>
        <w:t xml:space="preserve"> aplicar a todas las empresas del grupo de interés económico de los </w:t>
      </w:r>
      <w:r w:rsidR="00376BB5" w:rsidRPr="00F82BE7">
        <w:rPr>
          <w:rFonts w:ascii="ITC Avant Garde" w:hAnsi="ITC Avant Garde" w:cs="Arial"/>
          <w:color w:val="000000"/>
        </w:rPr>
        <w:t xml:space="preserve">agentes económicos preponderantes </w:t>
      </w:r>
      <w:r w:rsidR="00F9777F" w:rsidRPr="00F82BE7">
        <w:rPr>
          <w:rFonts w:ascii="ITC Avant Garde" w:hAnsi="ITC Avant Garde" w:cs="Arial"/>
          <w:color w:val="000000"/>
        </w:rPr>
        <w:t xml:space="preserve">que prestan directa o indirectamente servicios de telecomunicaciones y radiodifusión (según sea el caso), ya que existen diversas empresas subsidiarias, afiliadas o relacionadas al AEP que prestan diversos servicios o bien comercializan servicios de las concesionarias del AEP. </w:t>
      </w:r>
      <w:r w:rsidR="00F968BB" w:rsidRPr="00F82BE7">
        <w:rPr>
          <w:rFonts w:ascii="ITC Avant Garde" w:hAnsi="ITC Avant Garde" w:cs="Arial"/>
          <w:color w:val="000000"/>
        </w:rPr>
        <w:t xml:space="preserve">También comentó que los informes de precios de transferencias deben ser realizados por un experto designado por el Instituto y no por el concesionario regulado. </w:t>
      </w:r>
    </w:p>
    <w:p w:rsidR="000D33EB" w:rsidRPr="00F82BE7" w:rsidRDefault="00275D90" w:rsidP="0033377C">
      <w:pPr>
        <w:spacing w:line="276" w:lineRule="auto"/>
        <w:jc w:val="both"/>
        <w:rPr>
          <w:rFonts w:ascii="ITC Avant Garde" w:hAnsi="ITC Avant Garde" w:cs="Arial"/>
          <w:color w:val="000000"/>
        </w:rPr>
      </w:pPr>
      <w:r>
        <w:rPr>
          <w:rFonts w:ascii="ITC Avant Garde" w:hAnsi="ITC Avant Garde" w:cs="Arial"/>
          <w:color w:val="000000"/>
        </w:rPr>
        <w:t>Asimismo</w:t>
      </w:r>
      <w:r w:rsidR="006164F1">
        <w:rPr>
          <w:rFonts w:ascii="ITC Avant Garde" w:hAnsi="ITC Avant Garde" w:cs="Arial"/>
          <w:color w:val="000000"/>
        </w:rPr>
        <w:t>,</w:t>
      </w:r>
      <w:r w:rsidR="00CD1A45">
        <w:rPr>
          <w:rFonts w:ascii="ITC Avant Garde" w:hAnsi="ITC Avant Garde" w:cs="Arial"/>
          <w:color w:val="000000"/>
        </w:rPr>
        <w:t xml:space="preserve"> </w:t>
      </w:r>
      <w:r w:rsidR="008552AE">
        <w:rPr>
          <w:rFonts w:ascii="ITC Avant Garde" w:hAnsi="ITC Avant Garde" w:cs="Arial"/>
          <w:color w:val="000000"/>
        </w:rPr>
        <w:t>otros</w:t>
      </w:r>
      <w:r>
        <w:rPr>
          <w:rFonts w:ascii="ITC Avant Garde" w:hAnsi="ITC Avant Garde" w:cs="Arial"/>
          <w:color w:val="000000"/>
        </w:rPr>
        <w:t xml:space="preserve"> </w:t>
      </w:r>
      <w:r w:rsidR="000D33EB" w:rsidRPr="00F82BE7">
        <w:rPr>
          <w:rFonts w:ascii="ITC Avant Garde" w:hAnsi="ITC Avant Garde" w:cs="Arial"/>
          <w:color w:val="000000"/>
        </w:rPr>
        <w:t>participantes (Corporación de Radio y Televisión del Norte de Méxi</w:t>
      </w:r>
      <w:r w:rsidR="0016329E" w:rsidRPr="00F82BE7">
        <w:rPr>
          <w:rFonts w:ascii="ITC Avant Garde" w:hAnsi="ITC Avant Garde" w:cs="Arial"/>
          <w:color w:val="000000"/>
        </w:rPr>
        <w:t xml:space="preserve">co y Bestphone) propusieron que, </w:t>
      </w:r>
      <w:r w:rsidR="000D33EB" w:rsidRPr="00F82BE7">
        <w:rPr>
          <w:rFonts w:ascii="ITC Avant Garde" w:hAnsi="ITC Avant Garde" w:cs="Arial"/>
          <w:color w:val="000000"/>
        </w:rPr>
        <w:t xml:space="preserve">en el caso de los expertos independientes encargados de la elaboración de los informes de precios de transferencia, el Instituto conceda una mayor flexibilidad en cuanto a las limitaciones de haber trabajado o trabajar para el concesionario durante los 6 meses anteriores o los 12 meses posteriores, ya que el número de empresas de solvencia con expertos en la materia en México es limitado, por lo que las restricciones propuestas por el Instituto pueden reducir enormemente la disponibilidad de los expertos. </w:t>
      </w:r>
      <w:r w:rsidR="008552AE">
        <w:rPr>
          <w:rFonts w:ascii="ITC Avant Garde" w:hAnsi="ITC Avant Garde" w:cs="Arial"/>
          <w:color w:val="000000"/>
        </w:rPr>
        <w:t>Al respecto</w:t>
      </w:r>
      <w:r w:rsidR="000D33EB" w:rsidRPr="00F82BE7">
        <w:rPr>
          <w:rFonts w:ascii="ITC Avant Garde" w:hAnsi="ITC Avant Garde" w:cs="Arial"/>
          <w:color w:val="000000"/>
        </w:rPr>
        <w:t>, propusieron eliminar esas restricciones temporales.</w:t>
      </w:r>
    </w:p>
    <w:p w:rsidR="003544C4" w:rsidRPr="00F82BE7" w:rsidRDefault="00540AAB"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Adicionalmente, un participante (Televimex) comentó que </w:t>
      </w:r>
      <w:r w:rsidR="0016329E" w:rsidRPr="00F82BE7">
        <w:rPr>
          <w:rFonts w:ascii="ITC Avant Garde" w:hAnsi="ITC Avant Garde" w:cs="Arial"/>
          <w:color w:val="000000"/>
        </w:rPr>
        <w:t>la especificación de que el experto encargado de los informes de precios de transferencia, sea independiente e imparcial, es una sobre regulación</w:t>
      </w:r>
      <w:r w:rsidR="0069308D" w:rsidRPr="00F82BE7">
        <w:rPr>
          <w:rFonts w:ascii="ITC Avant Garde" w:hAnsi="ITC Avant Garde" w:cs="Arial"/>
          <w:color w:val="000000"/>
        </w:rPr>
        <w:t>, ya que el número de empresas en México que realizan este tipo de informes es muy limitado, aunado a que también entra el factor de que n</w:t>
      </w:r>
      <w:r w:rsidR="00E85324" w:rsidRPr="00F82BE7">
        <w:rPr>
          <w:rFonts w:ascii="ITC Avant Garde" w:hAnsi="ITC Avant Garde" w:cs="Arial"/>
          <w:color w:val="000000"/>
        </w:rPr>
        <w:t>o tengan conflicto de intereses</w:t>
      </w:r>
      <w:r w:rsidR="0069308D" w:rsidRPr="00F82BE7">
        <w:rPr>
          <w:rFonts w:ascii="ITC Avant Garde" w:hAnsi="ITC Avant Garde" w:cs="Arial"/>
          <w:color w:val="000000"/>
        </w:rPr>
        <w:t xml:space="preserve">. Por lo anterior, </w:t>
      </w:r>
      <w:r w:rsidR="0069308D" w:rsidRPr="00F82BE7">
        <w:rPr>
          <w:rFonts w:ascii="ITC Avant Garde" w:hAnsi="ITC Avant Garde" w:cs="Arial"/>
          <w:color w:val="000000"/>
        </w:rPr>
        <w:lastRenderedPageBreak/>
        <w:t>sugir</w:t>
      </w:r>
      <w:r w:rsidR="00ED1BF1">
        <w:rPr>
          <w:rFonts w:ascii="ITC Avant Garde" w:hAnsi="ITC Avant Garde" w:cs="Arial"/>
          <w:color w:val="000000"/>
        </w:rPr>
        <w:t>ió</w:t>
      </w:r>
      <w:r w:rsidR="0069308D" w:rsidRPr="00F82BE7">
        <w:rPr>
          <w:rFonts w:ascii="ITC Avant Garde" w:hAnsi="ITC Avant Garde" w:cs="Arial"/>
          <w:color w:val="000000"/>
        </w:rPr>
        <w:t xml:space="preserve"> eliminar la limitación de contratación con el fin de garantizar la calidad adecuada del trabajo emprendido por los expertos, o en su caso, que el Instituto sea el encargado de cubrir los honorarios del experto. Reiteró que</w:t>
      </w:r>
      <w:r w:rsidR="00CC6577" w:rsidRPr="00F82BE7">
        <w:rPr>
          <w:rFonts w:ascii="ITC Avant Garde" w:hAnsi="ITC Avant Garde" w:cs="Arial"/>
          <w:color w:val="000000"/>
        </w:rPr>
        <w:t xml:space="preserve">, </w:t>
      </w:r>
      <w:r w:rsidR="0016329E" w:rsidRPr="00F82BE7">
        <w:rPr>
          <w:rFonts w:ascii="ITC Avant Garde" w:hAnsi="ITC Avant Garde" w:cs="Arial"/>
          <w:color w:val="000000"/>
        </w:rPr>
        <w:t xml:space="preserve">a efecto de que se alcance la imparcialidad e independencia, lo más conveniente es que la </w:t>
      </w:r>
      <w:r w:rsidR="002A6B8B" w:rsidRPr="00F82BE7">
        <w:rPr>
          <w:rFonts w:ascii="ITC Avant Garde" w:hAnsi="ITC Avant Garde" w:cs="Arial"/>
          <w:color w:val="000000"/>
        </w:rPr>
        <w:t>a</w:t>
      </w:r>
      <w:r w:rsidR="0016329E" w:rsidRPr="00F82BE7">
        <w:rPr>
          <w:rFonts w:ascii="ITC Avant Garde" w:hAnsi="ITC Avant Garde" w:cs="Arial"/>
          <w:color w:val="000000"/>
        </w:rPr>
        <w:t>utoridad erog</w:t>
      </w:r>
      <w:r w:rsidR="00E85324" w:rsidRPr="00F82BE7">
        <w:rPr>
          <w:rFonts w:ascii="ITC Avant Garde" w:hAnsi="ITC Avant Garde" w:cs="Arial"/>
          <w:color w:val="000000"/>
        </w:rPr>
        <w:t>ue</w:t>
      </w:r>
      <w:r w:rsidR="0016329E" w:rsidRPr="00F82BE7">
        <w:rPr>
          <w:rFonts w:ascii="ITC Avant Garde" w:hAnsi="ITC Avant Garde" w:cs="Arial"/>
          <w:color w:val="000000"/>
        </w:rPr>
        <w:t xml:space="preserve"> los honorarios de los expertos que se encargarán de llevar a cabo la metodología de separación contable tomando en cuenta los infor</w:t>
      </w:r>
      <w:r w:rsidR="003544C4" w:rsidRPr="00F82BE7">
        <w:rPr>
          <w:rFonts w:ascii="ITC Avant Garde" w:hAnsi="ITC Avant Garde" w:cs="Arial"/>
          <w:color w:val="000000"/>
        </w:rPr>
        <w:t>mes de precios de transferencia, o en su defecto prop</w:t>
      </w:r>
      <w:r w:rsidR="001744B1">
        <w:rPr>
          <w:rFonts w:ascii="ITC Avant Garde" w:hAnsi="ITC Avant Garde" w:cs="Arial"/>
          <w:color w:val="000000"/>
        </w:rPr>
        <w:t>uso</w:t>
      </w:r>
      <w:r w:rsidR="003544C4" w:rsidRPr="00F82BE7">
        <w:rPr>
          <w:rFonts w:ascii="ITC Avant Garde" w:hAnsi="ITC Avant Garde" w:cs="Arial"/>
          <w:color w:val="000000"/>
        </w:rPr>
        <w:t xml:space="preserve"> que se otorgu</w:t>
      </w:r>
      <w:r w:rsidR="00E85324" w:rsidRPr="00F82BE7">
        <w:rPr>
          <w:rFonts w:ascii="ITC Avant Garde" w:hAnsi="ITC Avant Garde" w:cs="Arial"/>
          <w:color w:val="000000"/>
        </w:rPr>
        <w:t>e</w:t>
      </w:r>
      <w:r w:rsidR="003544C4" w:rsidRPr="00F82BE7">
        <w:rPr>
          <w:rFonts w:ascii="ITC Avant Garde" w:hAnsi="ITC Avant Garde" w:cs="Arial"/>
          <w:color w:val="000000"/>
        </w:rPr>
        <w:t xml:space="preserve"> un beneficio a los agentes obligados por los costos inferidos para </w:t>
      </w:r>
      <w:r w:rsidR="00E85324" w:rsidRPr="00F82BE7">
        <w:rPr>
          <w:rFonts w:ascii="ITC Avant Garde" w:hAnsi="ITC Avant Garde" w:cs="Arial"/>
          <w:color w:val="000000"/>
        </w:rPr>
        <w:t>el cumplimiento de los expertos</w:t>
      </w:r>
      <w:r w:rsidR="003544C4" w:rsidRPr="00F82BE7">
        <w:rPr>
          <w:rFonts w:ascii="ITC Avant Garde" w:hAnsi="ITC Avant Garde" w:cs="Arial"/>
          <w:color w:val="000000"/>
        </w:rPr>
        <w:t>.</w:t>
      </w:r>
    </w:p>
    <w:p w:rsidR="005F15EF" w:rsidRPr="00F82BE7" w:rsidRDefault="00F96956" w:rsidP="0033377C">
      <w:pPr>
        <w:spacing w:line="276" w:lineRule="auto"/>
        <w:jc w:val="both"/>
        <w:rPr>
          <w:rFonts w:ascii="ITC Avant Garde" w:hAnsi="ITC Avant Garde" w:cs="Arial"/>
          <w:i/>
          <w:color w:val="000000"/>
        </w:rPr>
      </w:pPr>
      <w:r>
        <w:rPr>
          <w:rFonts w:ascii="ITC Avant Garde" w:hAnsi="ITC Avant Garde" w:cs="Arial"/>
          <w:i/>
          <w:color w:val="000000"/>
        </w:rPr>
        <w:t>Consideraciones</w:t>
      </w:r>
      <w:r w:rsidRPr="00F82BE7" w:rsidDel="00F96956">
        <w:rPr>
          <w:rFonts w:ascii="ITC Avant Garde" w:hAnsi="ITC Avant Garde" w:cs="Arial"/>
          <w:i/>
          <w:color w:val="000000"/>
        </w:rPr>
        <w:t xml:space="preserve"> </w:t>
      </w:r>
      <w:r w:rsidR="005F15EF" w:rsidRPr="00F82BE7">
        <w:rPr>
          <w:rFonts w:ascii="ITC Avant Garde" w:hAnsi="ITC Avant Garde" w:cs="Arial"/>
          <w:i/>
          <w:color w:val="000000"/>
        </w:rPr>
        <w:t>del Instituto</w:t>
      </w:r>
    </w:p>
    <w:p w:rsidR="00D91746" w:rsidRPr="005308AF" w:rsidRDefault="00D91746" w:rsidP="0033377C">
      <w:pPr>
        <w:spacing w:line="276" w:lineRule="auto"/>
        <w:jc w:val="both"/>
        <w:rPr>
          <w:rFonts w:ascii="ITC Avant Garde" w:hAnsi="ITC Avant Garde"/>
          <w:sz w:val="20"/>
        </w:rPr>
      </w:pPr>
      <w:r>
        <w:rPr>
          <w:rFonts w:ascii="ITC Avant Garde" w:hAnsi="ITC Avant Garde"/>
        </w:rPr>
        <w:t>S</w:t>
      </w:r>
      <w:r w:rsidRPr="00F82BE7">
        <w:rPr>
          <w:rFonts w:ascii="ITC Avant Garde" w:hAnsi="ITC Avant Garde"/>
        </w:rPr>
        <w:t xml:space="preserve">obre </w:t>
      </w:r>
      <w:r>
        <w:rPr>
          <w:rFonts w:ascii="ITC Avant Garde" w:hAnsi="ITC Avant Garde"/>
        </w:rPr>
        <w:t>el</w:t>
      </w:r>
      <w:r w:rsidRPr="00F82BE7">
        <w:rPr>
          <w:rFonts w:ascii="ITC Avant Garde" w:hAnsi="ITC Avant Garde"/>
        </w:rPr>
        <w:t xml:space="preserve"> comentario relacionado con </w:t>
      </w:r>
      <w:r w:rsidR="00730B73">
        <w:rPr>
          <w:rFonts w:ascii="ITC Avant Garde" w:hAnsi="ITC Avant Garde"/>
        </w:rPr>
        <w:t xml:space="preserve">dar un mayor </w:t>
      </w:r>
      <w:r w:rsidRPr="00F82BE7">
        <w:rPr>
          <w:rFonts w:ascii="ITC Avant Garde" w:hAnsi="ITC Avant Garde"/>
        </w:rPr>
        <w:t xml:space="preserve">detalle </w:t>
      </w:r>
      <w:r w:rsidR="00730B73">
        <w:rPr>
          <w:rFonts w:ascii="ITC Avant Garde" w:hAnsi="ITC Avant Garde"/>
        </w:rPr>
        <w:t>de lo que se espera en el</w:t>
      </w:r>
      <w:r w:rsidRPr="00F82BE7">
        <w:rPr>
          <w:rFonts w:ascii="ITC Avant Garde" w:hAnsi="ITC Avant Garde"/>
        </w:rPr>
        <w:t xml:space="preserve"> </w:t>
      </w:r>
      <w:r w:rsidR="00730B73">
        <w:rPr>
          <w:rFonts w:ascii="ITC Avant Garde" w:hAnsi="ITC Avant Garde"/>
        </w:rPr>
        <w:t>“</w:t>
      </w:r>
      <w:r w:rsidR="00730B73" w:rsidRPr="00F82BE7">
        <w:rPr>
          <w:rFonts w:ascii="ITC Avant Garde" w:hAnsi="ITC Avant Garde" w:cs="Arial"/>
          <w:color w:val="000000"/>
        </w:rPr>
        <w:t>Informe de Precios de Transferencia</w:t>
      </w:r>
      <w:r w:rsidR="00730B73">
        <w:rPr>
          <w:rFonts w:ascii="ITC Avant Garde" w:hAnsi="ITC Avant Garde" w:cs="Arial"/>
          <w:color w:val="000000"/>
        </w:rPr>
        <w:t>”</w:t>
      </w:r>
      <w:r w:rsidRPr="00F82BE7">
        <w:rPr>
          <w:rFonts w:ascii="ITC Avant Garde" w:hAnsi="ITC Avant Garde"/>
        </w:rPr>
        <w:t xml:space="preserve">, se señala que </w:t>
      </w:r>
      <w:r w:rsidR="00C5317E">
        <w:rPr>
          <w:rFonts w:ascii="ITC Avant Garde" w:hAnsi="ITC Avant Garde"/>
        </w:rPr>
        <w:t xml:space="preserve">se realizaron adecuaciones al Anteproyecto. De esta manera, </w:t>
      </w:r>
      <w:r w:rsidR="00B1043D">
        <w:rPr>
          <w:rFonts w:ascii="ITC Avant Garde" w:hAnsi="ITC Avant Garde"/>
        </w:rPr>
        <w:t>en los A</w:t>
      </w:r>
      <w:r>
        <w:rPr>
          <w:rFonts w:ascii="ITC Avant Garde" w:hAnsi="ITC Avant Garde"/>
        </w:rPr>
        <w:t xml:space="preserve">partados </w:t>
      </w:r>
      <w:r w:rsidRPr="001A2BC5">
        <w:rPr>
          <w:rFonts w:ascii="ITC Avant Garde" w:hAnsi="ITC Avant Garde"/>
        </w:rPr>
        <w:t>II</w:t>
      </w:r>
      <w:r>
        <w:rPr>
          <w:rFonts w:ascii="ITC Avant Garde" w:hAnsi="ITC Avant Garde"/>
        </w:rPr>
        <w:t xml:space="preserve"> y IV d</w:t>
      </w:r>
      <w:r w:rsidRPr="00F82BE7">
        <w:rPr>
          <w:rFonts w:ascii="ITC Avant Garde" w:hAnsi="ITC Avant Garde"/>
        </w:rPr>
        <w:t>el Acuerdo</w:t>
      </w:r>
      <w:r>
        <w:rPr>
          <w:rFonts w:ascii="ITC Avant Garde" w:hAnsi="ITC Avant Garde"/>
        </w:rPr>
        <w:t xml:space="preserve"> se incluy</w:t>
      </w:r>
      <w:r w:rsidR="00B1043D">
        <w:rPr>
          <w:rFonts w:ascii="ITC Avant Garde" w:hAnsi="ITC Avant Garde"/>
        </w:rPr>
        <w:t>ó</w:t>
      </w:r>
      <w:r>
        <w:rPr>
          <w:rFonts w:ascii="ITC Avant Garde" w:hAnsi="ITC Avant Garde"/>
        </w:rPr>
        <w:t xml:space="preserve"> </w:t>
      </w:r>
      <w:r w:rsidRPr="00F82BE7">
        <w:rPr>
          <w:rFonts w:ascii="ITC Avant Garde" w:hAnsi="ITC Avant Garde"/>
        </w:rPr>
        <w:t>la entrega del informe de precios de transferencia conforme a lo ya dispuesto en la normatividad en la materia, es decir, en la Ley del Impuesto sobre la Renta</w:t>
      </w:r>
      <w:r>
        <w:rPr>
          <w:rFonts w:ascii="ITC Avant Garde" w:hAnsi="ITC Avant Garde"/>
        </w:rPr>
        <w:t>, a fin de reducir los costos regulatorios derivados de su entrega y apegarse a criterios ya definidos</w:t>
      </w:r>
      <w:r w:rsidR="00F7751D">
        <w:rPr>
          <w:rFonts w:ascii="ITC Avant Garde" w:hAnsi="ITC Avant Garde"/>
        </w:rPr>
        <w:t xml:space="preserve">. </w:t>
      </w:r>
    </w:p>
    <w:p w:rsidR="003005A8" w:rsidRPr="00F82BE7" w:rsidRDefault="003005A8" w:rsidP="0033377C">
      <w:pPr>
        <w:spacing w:line="276" w:lineRule="auto"/>
        <w:jc w:val="both"/>
        <w:rPr>
          <w:rFonts w:ascii="ITC Avant Garde" w:hAnsi="ITC Avant Garde" w:cs="Arial"/>
          <w:color w:val="000000"/>
        </w:rPr>
      </w:pPr>
      <w:r w:rsidRPr="00F82BE7">
        <w:rPr>
          <w:rFonts w:ascii="ITC Avant Garde" w:hAnsi="ITC Avant Garde" w:cs="Arial"/>
          <w:color w:val="000000"/>
        </w:rPr>
        <w:t>Sobre el comentario de que no se establece</w:t>
      </w:r>
      <w:r w:rsidR="00E34CA0" w:rsidRPr="00F82BE7">
        <w:rPr>
          <w:rFonts w:ascii="ITC Avant Garde" w:hAnsi="ITC Avant Garde" w:cs="Arial"/>
          <w:color w:val="000000"/>
        </w:rPr>
        <w:t>n</w:t>
      </w:r>
      <w:r w:rsidRPr="00F82BE7">
        <w:rPr>
          <w:rFonts w:ascii="ITC Avant Garde" w:hAnsi="ITC Avant Garde" w:cs="Arial"/>
          <w:color w:val="000000"/>
        </w:rPr>
        <w:t xml:space="preserve"> las repercusiones en caso de que la información del “Informe de </w:t>
      </w:r>
      <w:r w:rsidR="00730B73">
        <w:rPr>
          <w:rFonts w:ascii="ITC Avant Garde" w:hAnsi="ITC Avant Garde" w:cs="Arial"/>
          <w:color w:val="000000"/>
        </w:rPr>
        <w:t>P</w:t>
      </w:r>
      <w:r w:rsidRPr="00F82BE7">
        <w:rPr>
          <w:rFonts w:ascii="ITC Avant Garde" w:hAnsi="ITC Avant Garde" w:cs="Arial"/>
          <w:color w:val="000000"/>
        </w:rPr>
        <w:t xml:space="preserve">recios de </w:t>
      </w:r>
      <w:r w:rsidR="00730B73">
        <w:rPr>
          <w:rFonts w:ascii="ITC Avant Garde" w:hAnsi="ITC Avant Garde" w:cs="Arial"/>
          <w:color w:val="000000"/>
        </w:rPr>
        <w:t>T</w:t>
      </w:r>
      <w:r w:rsidRPr="00F82BE7">
        <w:rPr>
          <w:rFonts w:ascii="ITC Avant Garde" w:hAnsi="ITC Avant Garde" w:cs="Arial"/>
          <w:color w:val="000000"/>
        </w:rPr>
        <w:t>ransferencia” evidencie que las operaciones con partes relacionadas no se realizan en las mismas condiciones que con terceros independientes, se señala que</w:t>
      </w:r>
      <w:r w:rsidR="004B20C4" w:rsidRPr="00F82BE7">
        <w:rPr>
          <w:rFonts w:ascii="ITC Avant Garde" w:hAnsi="ITC Avant Garde" w:cs="Arial"/>
          <w:color w:val="000000"/>
        </w:rPr>
        <w:t xml:space="preserve"> tal informe </w:t>
      </w:r>
      <w:r w:rsidR="00BA46F3">
        <w:rPr>
          <w:rFonts w:ascii="ITC Avant Garde" w:hAnsi="ITC Avant Garde" w:cs="Arial"/>
          <w:color w:val="000000"/>
        </w:rPr>
        <w:t>sirve como</w:t>
      </w:r>
      <w:r w:rsidR="004B20C4" w:rsidRPr="00F82BE7">
        <w:rPr>
          <w:rFonts w:ascii="ITC Avant Garde" w:hAnsi="ITC Avant Garde" w:cs="Arial"/>
          <w:color w:val="000000"/>
        </w:rPr>
        <w:t xml:space="preserve"> </w:t>
      </w:r>
      <w:r w:rsidR="00127436">
        <w:rPr>
          <w:rFonts w:ascii="ITC Avant Garde" w:hAnsi="ITC Avant Garde" w:cs="Arial"/>
          <w:color w:val="000000"/>
        </w:rPr>
        <w:t xml:space="preserve">complemento </w:t>
      </w:r>
      <w:r w:rsidR="004B20C4" w:rsidRPr="00F82BE7">
        <w:rPr>
          <w:rFonts w:ascii="ITC Avant Garde" w:hAnsi="ITC Avant Garde" w:cs="Arial"/>
          <w:color w:val="000000"/>
        </w:rPr>
        <w:t>para que el Instituto pueda detectar indicios de posibles prácticas anticompetitivas en la prestación de servicios a terceros. En este sentido, para tener conclusiones definitivas sobre si las operaciones con partes relacionadas no se realizan en las mismas condiciones que con terceros independientes será necesario realizar un análisis y requerimientos de información más exhaustivos</w:t>
      </w:r>
      <w:r w:rsidRPr="00F82BE7">
        <w:rPr>
          <w:rFonts w:ascii="ITC Avant Garde" w:hAnsi="ITC Avant Garde" w:cs="Arial"/>
          <w:color w:val="000000"/>
        </w:rPr>
        <w:t>.</w:t>
      </w:r>
      <w:r w:rsidR="00C65574" w:rsidRPr="00F82BE7">
        <w:rPr>
          <w:rFonts w:ascii="ITC Avant Garde" w:hAnsi="ITC Avant Garde" w:cs="Arial"/>
          <w:color w:val="000000"/>
        </w:rPr>
        <w:t xml:space="preserve"> Por lo anterior, </w:t>
      </w:r>
      <w:r w:rsidR="00F7751D" w:rsidRPr="00F7751D">
        <w:rPr>
          <w:rFonts w:ascii="ITC Avant Garde" w:hAnsi="ITC Avant Garde" w:cs="Arial"/>
          <w:color w:val="000000"/>
        </w:rPr>
        <w:t>no se realizaron ajustes al Anteproyecto en los términos señalados por el participante</w:t>
      </w:r>
      <w:r w:rsidR="00C65574" w:rsidRPr="00F82BE7">
        <w:rPr>
          <w:rFonts w:ascii="ITC Avant Garde" w:hAnsi="ITC Avant Garde" w:cs="Arial"/>
          <w:color w:val="000000"/>
        </w:rPr>
        <w:t>.</w:t>
      </w:r>
    </w:p>
    <w:p w:rsidR="00795140" w:rsidRPr="00A67F19" w:rsidRDefault="00F67705" w:rsidP="0033377C">
      <w:pPr>
        <w:spacing w:line="276" w:lineRule="auto"/>
        <w:jc w:val="both"/>
        <w:rPr>
          <w:rFonts w:ascii="ITC Avant Garde" w:hAnsi="ITC Avant Garde"/>
          <w:sz w:val="20"/>
        </w:rPr>
      </w:pPr>
      <w:r w:rsidRPr="00F82BE7">
        <w:rPr>
          <w:rFonts w:ascii="ITC Avant Garde" w:hAnsi="ITC Avant Garde" w:cs="Arial"/>
          <w:color w:val="000000"/>
        </w:rPr>
        <w:t>En relación con el comentario de que el nombramiento o selección del experto que llevar</w:t>
      </w:r>
      <w:r w:rsidR="00C65574" w:rsidRPr="00F82BE7">
        <w:rPr>
          <w:rFonts w:ascii="ITC Avant Garde" w:hAnsi="ITC Avant Garde" w:cs="Arial"/>
          <w:color w:val="000000"/>
        </w:rPr>
        <w:t>á</w:t>
      </w:r>
      <w:r w:rsidRPr="00F82BE7">
        <w:rPr>
          <w:rFonts w:ascii="ITC Avant Garde" w:hAnsi="ITC Avant Garde" w:cs="Arial"/>
          <w:color w:val="000000"/>
        </w:rPr>
        <w:t xml:space="preserve"> a cabo el “Informe de </w:t>
      </w:r>
      <w:r w:rsidR="00730B73">
        <w:rPr>
          <w:rFonts w:ascii="ITC Avant Garde" w:hAnsi="ITC Avant Garde" w:cs="Arial"/>
          <w:color w:val="000000"/>
        </w:rPr>
        <w:t>P</w:t>
      </w:r>
      <w:r w:rsidRPr="00F82BE7">
        <w:rPr>
          <w:rFonts w:ascii="ITC Avant Garde" w:hAnsi="ITC Avant Garde" w:cs="Arial"/>
          <w:color w:val="000000"/>
        </w:rPr>
        <w:t xml:space="preserve">recios de </w:t>
      </w:r>
      <w:r w:rsidR="00730B73">
        <w:rPr>
          <w:rFonts w:ascii="ITC Avant Garde" w:hAnsi="ITC Avant Garde" w:cs="Arial"/>
          <w:color w:val="000000"/>
        </w:rPr>
        <w:t>T</w:t>
      </w:r>
      <w:r w:rsidRPr="00F82BE7">
        <w:rPr>
          <w:rFonts w:ascii="ITC Avant Garde" w:hAnsi="ITC Avant Garde" w:cs="Arial"/>
          <w:color w:val="000000"/>
        </w:rPr>
        <w:t>ransferencia” debería ser facultad del Instituto</w:t>
      </w:r>
      <w:r w:rsidR="00C41FCE">
        <w:rPr>
          <w:rFonts w:ascii="ITC Avant Garde" w:hAnsi="ITC Avant Garde" w:cs="Arial"/>
          <w:color w:val="000000"/>
        </w:rPr>
        <w:t xml:space="preserve"> y </w:t>
      </w:r>
      <w:r w:rsidR="00C41FCE" w:rsidRPr="00F82BE7">
        <w:rPr>
          <w:rFonts w:ascii="ITC Avant Garde" w:hAnsi="ITC Avant Garde" w:cs="Arial"/>
          <w:color w:val="000000"/>
        </w:rPr>
        <w:t>de que</w:t>
      </w:r>
      <w:r w:rsidR="00C41FCE">
        <w:rPr>
          <w:rFonts w:ascii="ITC Avant Garde" w:hAnsi="ITC Avant Garde" w:cs="Arial"/>
          <w:color w:val="000000"/>
        </w:rPr>
        <w:t xml:space="preserve"> </w:t>
      </w:r>
      <w:r w:rsidR="00C41FCE" w:rsidRPr="00F82BE7">
        <w:rPr>
          <w:rFonts w:ascii="ITC Avant Garde" w:hAnsi="ITC Avant Garde" w:cs="Arial"/>
          <w:color w:val="000000"/>
        </w:rPr>
        <w:t xml:space="preserve">se tenga una mayor flexibilidad </w:t>
      </w:r>
      <w:r w:rsidR="00C41FCE">
        <w:rPr>
          <w:rFonts w:ascii="ITC Avant Garde" w:hAnsi="ITC Avant Garde" w:cs="Arial"/>
          <w:color w:val="000000"/>
        </w:rPr>
        <w:t xml:space="preserve">para la contratación de </w:t>
      </w:r>
      <w:r w:rsidR="00C41FCE" w:rsidRPr="00F82BE7">
        <w:rPr>
          <w:rFonts w:ascii="ITC Avant Garde" w:hAnsi="ITC Avant Garde" w:cs="Arial"/>
          <w:color w:val="000000"/>
        </w:rPr>
        <w:t>los expertos independientes encargados de la elaboración de los informes de precios de transferencia</w:t>
      </w:r>
      <w:r w:rsidRPr="00F82BE7">
        <w:rPr>
          <w:rFonts w:ascii="ITC Avant Garde" w:hAnsi="ITC Avant Garde" w:cs="Arial"/>
          <w:color w:val="000000"/>
        </w:rPr>
        <w:t xml:space="preserve">, se considera </w:t>
      </w:r>
      <w:r w:rsidR="00C65574" w:rsidRPr="00F82BE7">
        <w:rPr>
          <w:rFonts w:ascii="ITC Avant Garde" w:hAnsi="ITC Avant Garde"/>
        </w:rPr>
        <w:t xml:space="preserve">adecuado </w:t>
      </w:r>
      <w:r w:rsidR="00C65574" w:rsidRPr="00F82BE7">
        <w:rPr>
          <w:rFonts w:ascii="ITC Avant Garde" w:hAnsi="ITC Avant Garde" w:cs="Arial"/>
          <w:color w:val="000000"/>
        </w:rPr>
        <w:t>evitar cargas regulatorias adicionales,</w:t>
      </w:r>
      <w:r w:rsidR="00C41FCE">
        <w:rPr>
          <w:rFonts w:ascii="ITC Avant Garde" w:hAnsi="ITC Avant Garde" w:cs="Arial"/>
          <w:color w:val="000000"/>
        </w:rPr>
        <w:t xml:space="preserve"> por lo que</w:t>
      </w:r>
      <w:r w:rsidR="004D7CCD">
        <w:rPr>
          <w:rFonts w:ascii="ITC Avant Garde" w:hAnsi="ITC Avant Garde" w:cs="Arial"/>
          <w:color w:val="000000"/>
        </w:rPr>
        <w:t xml:space="preserve"> se realizaron adecuaciones al A</w:t>
      </w:r>
      <w:r w:rsidR="00C41FCE">
        <w:rPr>
          <w:rFonts w:ascii="ITC Avant Garde" w:hAnsi="ITC Avant Garde" w:cs="Arial"/>
          <w:color w:val="000000"/>
        </w:rPr>
        <w:t xml:space="preserve">nteproyecto. De esta manera, en el Acuerdo se estableció </w:t>
      </w:r>
      <w:r w:rsidR="00C65574" w:rsidRPr="00F82BE7">
        <w:rPr>
          <w:rFonts w:ascii="ITC Avant Garde" w:hAnsi="ITC Avant Garde" w:cs="Arial"/>
          <w:color w:val="000000"/>
        </w:rPr>
        <w:t xml:space="preserve">que </w:t>
      </w:r>
      <w:r w:rsidR="00C65574" w:rsidRPr="00F82BE7">
        <w:rPr>
          <w:rFonts w:ascii="ITC Avant Garde" w:hAnsi="ITC Avant Garde"/>
        </w:rPr>
        <w:t>la entrega del informe de precios de transferencia se efectuará conforme a lo ya dispuesto en la normatividad en la materia, es decir, en la Ley del Impuesto sobre la Renta.</w:t>
      </w:r>
      <w:r w:rsidR="00795140">
        <w:rPr>
          <w:rFonts w:ascii="ITC Avant Garde" w:hAnsi="ITC Avant Garde"/>
        </w:rPr>
        <w:t xml:space="preserve"> </w:t>
      </w:r>
    </w:p>
    <w:p w:rsidR="008D5986" w:rsidRPr="005308AF" w:rsidRDefault="00F9777F" w:rsidP="0033377C">
      <w:pPr>
        <w:spacing w:line="276" w:lineRule="auto"/>
        <w:jc w:val="both"/>
        <w:rPr>
          <w:rFonts w:ascii="ITC Avant Garde" w:hAnsi="ITC Avant Garde" w:cs="Arial"/>
          <w:color w:val="000000"/>
          <w:highlight w:val="yellow"/>
        </w:rPr>
      </w:pPr>
      <w:r w:rsidRPr="002C3153">
        <w:rPr>
          <w:rFonts w:ascii="ITC Avant Garde" w:hAnsi="ITC Avant Garde" w:cs="Arial"/>
          <w:color w:val="000000"/>
        </w:rPr>
        <w:t xml:space="preserve">En lo que hace al comentario de que </w:t>
      </w:r>
      <w:r w:rsidR="00C739E5" w:rsidRPr="00D547E6">
        <w:rPr>
          <w:rFonts w:ascii="ITC Avant Garde" w:hAnsi="ITC Avant Garde" w:cs="Arial"/>
          <w:color w:val="000000"/>
        </w:rPr>
        <w:t xml:space="preserve">la obligación de separación contable y en particular la presentación de los precios de transferencia, deba aplicar a todas las empresas del grupo de interés económico de los </w:t>
      </w:r>
      <w:r w:rsidR="00376BB5" w:rsidRPr="00D547E6">
        <w:rPr>
          <w:rFonts w:ascii="ITC Avant Garde" w:hAnsi="ITC Avant Garde" w:cs="Arial"/>
          <w:color w:val="000000"/>
        </w:rPr>
        <w:t xml:space="preserve">agentes económicos </w:t>
      </w:r>
      <w:r w:rsidR="00376BB5" w:rsidRPr="00D547E6">
        <w:rPr>
          <w:rFonts w:ascii="ITC Avant Garde" w:hAnsi="ITC Avant Garde" w:cs="Arial"/>
          <w:color w:val="000000"/>
        </w:rPr>
        <w:lastRenderedPageBreak/>
        <w:t>preponderantes</w:t>
      </w:r>
      <w:r w:rsidR="00C739E5" w:rsidRPr="009F2127">
        <w:rPr>
          <w:rFonts w:ascii="ITC Avant Garde" w:hAnsi="ITC Avant Garde" w:cs="Arial"/>
          <w:color w:val="000000"/>
        </w:rPr>
        <w:t>, se señala que</w:t>
      </w:r>
      <w:r w:rsidR="00550E20" w:rsidRPr="009F2127">
        <w:rPr>
          <w:rFonts w:ascii="ITC Avant Garde" w:hAnsi="ITC Avant Garde" w:cs="Arial"/>
          <w:color w:val="000000"/>
        </w:rPr>
        <w:t xml:space="preserve"> </w:t>
      </w:r>
      <w:r w:rsidR="008D5986" w:rsidRPr="009F2127">
        <w:rPr>
          <w:rFonts w:ascii="ITC Avant Garde" w:hAnsi="ITC Avant Garde" w:cs="Arial"/>
          <w:color w:val="000000"/>
        </w:rPr>
        <w:t>la</w:t>
      </w:r>
      <w:r w:rsidR="008D5986" w:rsidRPr="00F82BE7">
        <w:rPr>
          <w:rFonts w:ascii="ITC Avant Garde" w:hAnsi="ITC Avant Garde" w:cs="Arial"/>
          <w:color w:val="000000"/>
        </w:rPr>
        <w:t xml:space="preserve"> metodología de separación contable es aplicable a agentes económicos preponderantes, agentes con poder sustancial de mercado y redes compartidas mayoristas, conforme a la declaratoria que haya realizado el Instituto para tal efecto, y en el caso de las redes compartidas, a aquellos que tengan una concesión con tal carácter</w:t>
      </w:r>
      <w:r w:rsidR="008D5986">
        <w:rPr>
          <w:rFonts w:ascii="ITC Avant Garde" w:hAnsi="ITC Avant Garde" w:cs="Arial"/>
          <w:color w:val="000000"/>
        </w:rPr>
        <w:t>, s</w:t>
      </w:r>
      <w:r w:rsidR="008D5986" w:rsidRPr="00F82BE7">
        <w:rPr>
          <w:rFonts w:ascii="ITC Avant Garde" w:hAnsi="ITC Avant Garde" w:cs="Arial"/>
          <w:color w:val="000000"/>
        </w:rPr>
        <w:t xml:space="preserve">i bien tales agentes pudieran tener </w:t>
      </w:r>
      <w:r w:rsidR="008D5986">
        <w:rPr>
          <w:rFonts w:ascii="ITC Avant Garde" w:hAnsi="ITC Avant Garde" w:cs="Arial"/>
          <w:color w:val="000000"/>
        </w:rPr>
        <w:t>otras empresas</w:t>
      </w:r>
      <w:r w:rsidR="008D5986" w:rsidRPr="00F82BE7">
        <w:rPr>
          <w:rFonts w:ascii="ITC Avant Garde" w:hAnsi="ITC Avant Garde" w:cs="Arial"/>
          <w:color w:val="000000"/>
        </w:rPr>
        <w:t xml:space="preserve">, estas no estarían obligadas si no tienen el carácter de agentes económicos preponderantes, agentes con poder sustancial de mercado y redes compartidas mayoristas. </w:t>
      </w:r>
      <w:r w:rsidR="008D5986">
        <w:rPr>
          <w:rFonts w:ascii="ITC Avant Garde" w:hAnsi="ITC Avant Garde" w:cs="Arial"/>
          <w:color w:val="000000"/>
        </w:rPr>
        <w:t>Por lo anterior</w:t>
      </w:r>
      <w:r w:rsidR="008D5986" w:rsidRPr="00F82BE7">
        <w:rPr>
          <w:rFonts w:ascii="ITC Avant Garde" w:hAnsi="ITC Avant Garde" w:cs="Arial"/>
          <w:color w:val="000000"/>
        </w:rPr>
        <w:t xml:space="preserve">, </w:t>
      </w:r>
      <w:r w:rsidR="008D633C" w:rsidRPr="008D633C">
        <w:rPr>
          <w:rFonts w:ascii="ITC Avant Garde" w:hAnsi="ITC Avant Garde" w:cs="Arial"/>
          <w:color w:val="000000"/>
        </w:rPr>
        <w:t>no se realizaron ajustes al Anteproyecto en los términos señalados por el participante</w:t>
      </w:r>
      <w:r w:rsidR="008D5986" w:rsidRPr="00F82BE7">
        <w:rPr>
          <w:rFonts w:ascii="ITC Avant Garde" w:hAnsi="ITC Avant Garde" w:cs="Arial"/>
          <w:color w:val="000000"/>
        </w:rPr>
        <w:t>.</w:t>
      </w:r>
    </w:p>
    <w:p w:rsidR="00686C1C" w:rsidRDefault="00686C1C" w:rsidP="0033377C">
      <w:pPr>
        <w:spacing w:line="276" w:lineRule="auto"/>
        <w:jc w:val="both"/>
        <w:rPr>
          <w:rFonts w:ascii="ITC Avant Garde" w:hAnsi="ITC Avant Garde" w:cs="Arial"/>
          <w:color w:val="000000"/>
        </w:rPr>
      </w:pPr>
      <w:r w:rsidRPr="00F82BE7">
        <w:rPr>
          <w:rFonts w:ascii="ITC Avant Garde" w:hAnsi="ITC Avant Garde" w:cs="Arial"/>
          <w:color w:val="000000"/>
        </w:rPr>
        <w:t>Sobre el comentario de que el Instituto debe erogar los honorarios de los expertos para alcanzar imparcialidad e independencia</w:t>
      </w:r>
      <w:r w:rsidR="00A84F44">
        <w:rPr>
          <w:rFonts w:ascii="ITC Avant Garde" w:hAnsi="ITC Avant Garde" w:cs="Arial"/>
          <w:color w:val="000000"/>
        </w:rPr>
        <w:t>,</w:t>
      </w:r>
      <w:r w:rsidR="00F85561" w:rsidRPr="00F82BE7">
        <w:rPr>
          <w:rFonts w:ascii="ITC Avant Garde" w:hAnsi="ITC Avant Garde" w:cs="Arial"/>
          <w:color w:val="000000"/>
        </w:rPr>
        <w:t xml:space="preserve"> </w:t>
      </w:r>
      <w:r w:rsidR="00A15905">
        <w:rPr>
          <w:rFonts w:ascii="ITC Avant Garde" w:hAnsi="ITC Avant Garde" w:cs="Arial"/>
          <w:color w:val="000000"/>
        </w:rPr>
        <w:t xml:space="preserve">se señala que se realizaron adecuaciones al Anteproyecto, por lo que </w:t>
      </w:r>
      <w:r w:rsidR="005106F2">
        <w:rPr>
          <w:rFonts w:ascii="ITC Avant Garde" w:hAnsi="ITC Avant Garde" w:cs="Arial"/>
          <w:color w:val="000000"/>
        </w:rPr>
        <w:t xml:space="preserve">en el Acuerdo </w:t>
      </w:r>
      <w:r w:rsidR="008A346B" w:rsidRPr="00F82BE7">
        <w:rPr>
          <w:rFonts w:ascii="ITC Avant Garde" w:hAnsi="ITC Avant Garde" w:cs="Arial"/>
          <w:color w:val="000000"/>
        </w:rPr>
        <w:t>se d</w:t>
      </w:r>
      <w:r w:rsidR="005106F2">
        <w:rPr>
          <w:rFonts w:ascii="ITC Avant Garde" w:hAnsi="ITC Avant Garde" w:cs="Arial"/>
          <w:color w:val="000000"/>
        </w:rPr>
        <w:t>io</w:t>
      </w:r>
      <w:r w:rsidR="008A346B" w:rsidRPr="00F82BE7">
        <w:rPr>
          <w:rFonts w:ascii="ITC Avant Garde" w:hAnsi="ITC Avant Garde" w:cs="Arial"/>
          <w:color w:val="000000"/>
        </w:rPr>
        <w:t xml:space="preserve"> flexibilidad a los</w:t>
      </w:r>
      <w:r w:rsidR="00692351" w:rsidRPr="00F82BE7">
        <w:rPr>
          <w:rFonts w:ascii="ITC Avant Garde" w:hAnsi="ITC Avant Garde" w:cs="Arial"/>
          <w:color w:val="000000"/>
        </w:rPr>
        <w:t xml:space="preserve"> sujetos obligados para entregar los informes de precios de trasferencia conforme a sus obligaciones en materia fiscal previstas en la Ley del Impuesto sobre la Renta, por lo que no se tendr</w:t>
      </w:r>
      <w:r w:rsidR="00F85561" w:rsidRPr="00F82BE7">
        <w:rPr>
          <w:rFonts w:ascii="ITC Avant Garde" w:hAnsi="ITC Avant Garde" w:cs="Arial"/>
          <w:color w:val="000000"/>
        </w:rPr>
        <w:t>á</w:t>
      </w:r>
      <w:r w:rsidR="00692351" w:rsidRPr="00F82BE7">
        <w:rPr>
          <w:rFonts w:ascii="ITC Avant Garde" w:hAnsi="ITC Avant Garde" w:cs="Arial"/>
          <w:color w:val="000000"/>
        </w:rPr>
        <w:t>n costos regulatorios adicionales con tal requerimiento</w:t>
      </w:r>
      <w:r w:rsidRPr="00F82BE7">
        <w:rPr>
          <w:rFonts w:ascii="ITC Avant Garde" w:hAnsi="ITC Avant Garde" w:cs="Arial"/>
          <w:color w:val="000000"/>
        </w:rPr>
        <w:t>.</w:t>
      </w:r>
    </w:p>
    <w:p w:rsidR="0024627A" w:rsidRPr="00F82BE7" w:rsidRDefault="0024627A" w:rsidP="0033377C">
      <w:pPr>
        <w:pStyle w:val="Prrafodelista"/>
        <w:numPr>
          <w:ilvl w:val="0"/>
          <w:numId w:val="4"/>
        </w:numPr>
        <w:spacing w:line="276" w:lineRule="auto"/>
        <w:jc w:val="both"/>
        <w:rPr>
          <w:rFonts w:ascii="ITC Avant Garde" w:hAnsi="ITC Avant Garde" w:cs="Arial"/>
          <w:b/>
          <w:color w:val="000000"/>
        </w:rPr>
      </w:pPr>
      <w:r w:rsidRPr="00F82BE7">
        <w:rPr>
          <w:rFonts w:ascii="ITC Avant Garde" w:hAnsi="ITC Avant Garde" w:cs="Arial"/>
          <w:b/>
          <w:color w:val="000000"/>
        </w:rPr>
        <w:t>Acceso a la información de separación contable</w:t>
      </w:r>
    </w:p>
    <w:p w:rsidR="003403FF" w:rsidRPr="00F82BE7" w:rsidRDefault="003403FF" w:rsidP="0033377C">
      <w:pPr>
        <w:spacing w:line="276" w:lineRule="auto"/>
        <w:jc w:val="both"/>
        <w:rPr>
          <w:rFonts w:ascii="ITC Avant Garde" w:hAnsi="ITC Avant Garde" w:cs="Arial"/>
          <w:i/>
          <w:color w:val="000000"/>
        </w:rPr>
      </w:pPr>
      <w:r w:rsidRPr="00F82BE7">
        <w:rPr>
          <w:rFonts w:ascii="ITC Avant Garde" w:hAnsi="ITC Avant Garde" w:cs="Arial"/>
          <w:i/>
          <w:color w:val="000000"/>
        </w:rPr>
        <w:t>Comentarios</w:t>
      </w:r>
    </w:p>
    <w:p w:rsidR="00300D3E" w:rsidRPr="00F82BE7" w:rsidRDefault="00300D3E"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Un participante (AT&amp;T) recomendó incluir la posibilidad de que terceros concesionarios y los participantes en la industria en general tengan acceso oportuno a </w:t>
      </w:r>
      <w:r w:rsidR="00926DE4">
        <w:rPr>
          <w:rFonts w:ascii="ITC Avant Garde" w:hAnsi="ITC Avant Garde" w:cs="Arial"/>
          <w:color w:val="000000"/>
        </w:rPr>
        <w:t xml:space="preserve">la </w:t>
      </w:r>
      <w:r w:rsidRPr="00F82BE7">
        <w:rPr>
          <w:rFonts w:ascii="ITC Avant Garde" w:hAnsi="ITC Avant Garde" w:cs="Arial"/>
          <w:color w:val="000000"/>
        </w:rPr>
        <w:t xml:space="preserve">información de separación contable de los AEP o del agente económico con </w:t>
      </w:r>
      <w:r w:rsidR="002708DB" w:rsidRPr="00F82BE7">
        <w:rPr>
          <w:rFonts w:ascii="ITC Avant Garde" w:hAnsi="ITC Avant Garde" w:cs="Arial"/>
          <w:color w:val="000000"/>
        </w:rPr>
        <w:t>poder sustancial</w:t>
      </w:r>
      <w:r w:rsidRPr="00F82BE7">
        <w:rPr>
          <w:rFonts w:ascii="ITC Avant Garde" w:hAnsi="ITC Avant Garde" w:cs="Arial"/>
          <w:color w:val="000000"/>
        </w:rPr>
        <w:t>, mediante un adecuado grado de detalle que pueda ser utilizado para aspectos como la contratación de servicios.</w:t>
      </w:r>
    </w:p>
    <w:p w:rsidR="0024627A" w:rsidRPr="00F82BE7" w:rsidRDefault="00F96956" w:rsidP="0033377C">
      <w:pPr>
        <w:spacing w:line="276" w:lineRule="auto"/>
        <w:jc w:val="both"/>
        <w:rPr>
          <w:rFonts w:ascii="ITC Avant Garde" w:hAnsi="ITC Avant Garde" w:cs="Arial"/>
          <w:i/>
          <w:color w:val="000000"/>
        </w:rPr>
      </w:pPr>
      <w:r>
        <w:rPr>
          <w:rFonts w:ascii="ITC Avant Garde" w:hAnsi="ITC Avant Garde" w:cs="Arial"/>
          <w:i/>
          <w:color w:val="000000"/>
        </w:rPr>
        <w:t>Consideraciones</w:t>
      </w:r>
      <w:r w:rsidRPr="00F82BE7" w:rsidDel="00F96956">
        <w:rPr>
          <w:rFonts w:ascii="ITC Avant Garde" w:hAnsi="ITC Avant Garde" w:cs="Arial"/>
          <w:i/>
          <w:color w:val="000000"/>
        </w:rPr>
        <w:t xml:space="preserve"> </w:t>
      </w:r>
      <w:r w:rsidR="0024627A" w:rsidRPr="00F82BE7">
        <w:rPr>
          <w:rFonts w:ascii="ITC Avant Garde" w:hAnsi="ITC Avant Garde" w:cs="Arial"/>
          <w:i/>
          <w:color w:val="000000"/>
        </w:rPr>
        <w:t>del Instituto</w:t>
      </w:r>
    </w:p>
    <w:p w:rsidR="0024627A" w:rsidRPr="00F82BE7" w:rsidRDefault="002708DB" w:rsidP="0033377C">
      <w:pPr>
        <w:spacing w:line="276" w:lineRule="auto"/>
        <w:jc w:val="both"/>
        <w:rPr>
          <w:rFonts w:ascii="ITC Avant Garde" w:hAnsi="ITC Avant Garde" w:cs="Arial"/>
          <w:color w:val="000000"/>
        </w:rPr>
      </w:pPr>
      <w:r w:rsidRPr="00F82BE7">
        <w:rPr>
          <w:rFonts w:ascii="ITC Avant Garde" w:hAnsi="ITC Avant Garde" w:cs="Arial"/>
          <w:color w:val="000000"/>
        </w:rPr>
        <w:t>Se advierte que la información de separación contable</w:t>
      </w:r>
      <w:r w:rsidR="00417112" w:rsidRPr="00F82BE7">
        <w:rPr>
          <w:rFonts w:ascii="ITC Avant Garde" w:hAnsi="ITC Avant Garde" w:cs="Arial"/>
          <w:color w:val="000000"/>
        </w:rPr>
        <w:t xml:space="preserve"> requerida</w:t>
      </w:r>
      <w:r w:rsidRPr="00F82BE7">
        <w:rPr>
          <w:rFonts w:ascii="ITC Avant Garde" w:hAnsi="ITC Avant Garde" w:cs="Arial"/>
          <w:color w:val="000000"/>
        </w:rPr>
        <w:t xml:space="preserve"> no tiene como finalidad la contratación de servicios por parte de los concesionarios de los sectores regulados, ya que se tienen disposiciones regulatorias para tal efecto, como las ofertas públicas de referencia y los convenios marco para la contratación de servicios mayoristas. Adicionalmente, s</w:t>
      </w:r>
      <w:r w:rsidR="00300D3E" w:rsidRPr="00F82BE7">
        <w:rPr>
          <w:rFonts w:ascii="ITC Avant Garde" w:hAnsi="ITC Avant Garde" w:cs="Arial"/>
          <w:color w:val="000000"/>
        </w:rPr>
        <w:t xml:space="preserve">e </w:t>
      </w:r>
      <w:r w:rsidR="00755291">
        <w:rPr>
          <w:rFonts w:ascii="ITC Avant Garde" w:hAnsi="ITC Avant Garde" w:cs="Arial"/>
          <w:color w:val="000000"/>
        </w:rPr>
        <w:t>señala</w:t>
      </w:r>
      <w:r w:rsidR="00300D3E" w:rsidRPr="00F82BE7">
        <w:rPr>
          <w:rFonts w:ascii="ITC Avant Garde" w:hAnsi="ITC Avant Garde" w:cs="Arial"/>
          <w:color w:val="000000"/>
        </w:rPr>
        <w:t xml:space="preserve"> que la información de separación contable que entreguen los sujetos obligados </w:t>
      </w:r>
      <w:r w:rsidRPr="00F82BE7">
        <w:rPr>
          <w:rFonts w:ascii="ITC Avant Garde" w:hAnsi="ITC Avant Garde" w:cs="Arial"/>
          <w:color w:val="000000"/>
        </w:rPr>
        <w:t xml:space="preserve">puede </w:t>
      </w:r>
      <w:r w:rsidR="00300D3E" w:rsidRPr="00F82BE7">
        <w:rPr>
          <w:rFonts w:ascii="ITC Avant Garde" w:hAnsi="ITC Avant Garde" w:cs="Arial"/>
          <w:color w:val="000000"/>
        </w:rPr>
        <w:t>considera</w:t>
      </w:r>
      <w:r w:rsidRPr="00F82BE7">
        <w:rPr>
          <w:rFonts w:ascii="ITC Avant Garde" w:hAnsi="ITC Avant Garde" w:cs="Arial"/>
          <w:color w:val="000000"/>
        </w:rPr>
        <w:t>rse</w:t>
      </w:r>
      <w:r w:rsidR="00300D3E" w:rsidRPr="00F82BE7">
        <w:rPr>
          <w:rFonts w:ascii="ITC Avant Garde" w:hAnsi="ITC Avant Garde" w:cs="Arial"/>
          <w:color w:val="000000"/>
        </w:rPr>
        <w:t xml:space="preserve"> confidencial por la legislación vigente, por lo que el Instituto es la única autoridad que debe mantener el manejo de dicha información.</w:t>
      </w:r>
      <w:r w:rsidRPr="00F82BE7">
        <w:rPr>
          <w:rFonts w:ascii="ITC Avant Garde" w:hAnsi="ITC Avant Garde" w:cs="Arial"/>
          <w:color w:val="000000"/>
        </w:rPr>
        <w:t xml:space="preserve"> </w:t>
      </w:r>
      <w:r w:rsidR="00417112" w:rsidRPr="00F82BE7">
        <w:rPr>
          <w:rFonts w:ascii="ITC Avant Garde" w:hAnsi="ITC Avant Garde" w:cs="Arial"/>
          <w:color w:val="000000"/>
        </w:rPr>
        <w:t xml:space="preserve">Por lo anterior, </w:t>
      </w:r>
      <w:r w:rsidR="0034178C" w:rsidRPr="0034178C">
        <w:rPr>
          <w:rFonts w:ascii="ITC Avant Garde" w:hAnsi="ITC Avant Garde" w:cs="Arial"/>
          <w:color w:val="000000"/>
        </w:rPr>
        <w:t>no se realizaron ajustes al Anteproyecto en los términos señalados por el participante</w:t>
      </w:r>
      <w:r w:rsidR="00417112" w:rsidRPr="00F82BE7">
        <w:rPr>
          <w:rFonts w:ascii="ITC Avant Garde" w:hAnsi="ITC Avant Garde" w:cs="Arial"/>
          <w:color w:val="000000"/>
        </w:rPr>
        <w:t xml:space="preserve">. </w:t>
      </w:r>
    </w:p>
    <w:p w:rsidR="0024627A" w:rsidRPr="00F82BE7" w:rsidRDefault="00300D3E" w:rsidP="0033377C">
      <w:pPr>
        <w:pStyle w:val="Prrafodelista"/>
        <w:numPr>
          <w:ilvl w:val="0"/>
          <w:numId w:val="4"/>
        </w:numPr>
        <w:spacing w:line="276" w:lineRule="auto"/>
        <w:jc w:val="both"/>
        <w:rPr>
          <w:rFonts w:ascii="ITC Avant Garde" w:hAnsi="ITC Avant Garde" w:cs="Arial"/>
          <w:b/>
          <w:color w:val="000000"/>
        </w:rPr>
      </w:pPr>
      <w:r w:rsidRPr="00F82BE7">
        <w:rPr>
          <w:rFonts w:ascii="ITC Avant Garde" w:hAnsi="ITC Avant Garde" w:cs="Arial"/>
          <w:b/>
          <w:color w:val="000000"/>
        </w:rPr>
        <w:t>Sistemas para el manejo de la información</w:t>
      </w:r>
    </w:p>
    <w:p w:rsidR="003403FF" w:rsidRPr="00F82BE7" w:rsidRDefault="003403FF" w:rsidP="0033377C">
      <w:pPr>
        <w:spacing w:line="276" w:lineRule="auto"/>
        <w:jc w:val="both"/>
        <w:rPr>
          <w:rFonts w:ascii="ITC Avant Garde" w:hAnsi="ITC Avant Garde" w:cs="Arial"/>
          <w:i/>
          <w:color w:val="000000"/>
        </w:rPr>
      </w:pPr>
      <w:r w:rsidRPr="00F82BE7">
        <w:rPr>
          <w:rFonts w:ascii="ITC Avant Garde" w:hAnsi="ITC Avant Garde" w:cs="Arial"/>
          <w:i/>
          <w:color w:val="000000"/>
        </w:rPr>
        <w:t>Comentarios</w:t>
      </w:r>
    </w:p>
    <w:p w:rsidR="0024627A" w:rsidRPr="00F82BE7" w:rsidRDefault="00300D3E"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Un participante señaló (AT&amp;T) que no se hacen señalamientos, ni requerimientos sobre los sistemas informáticos, las prácticas de resguardo, almacenamiento y otros </w:t>
      </w:r>
      <w:r w:rsidRPr="00F82BE7">
        <w:rPr>
          <w:rFonts w:ascii="ITC Avant Garde" w:hAnsi="ITC Avant Garde" w:cs="Arial"/>
          <w:color w:val="000000"/>
        </w:rPr>
        <w:lastRenderedPageBreak/>
        <w:t>aspectos de soporte para el manejo de la información contable separada y que en su caso permitan facilitar las tareas de auditoría y revisión de la separación contable.</w:t>
      </w:r>
    </w:p>
    <w:p w:rsidR="00DA55D2" w:rsidRPr="00F82BE7" w:rsidRDefault="007B1B18" w:rsidP="0033377C">
      <w:pPr>
        <w:spacing w:line="276" w:lineRule="auto"/>
        <w:jc w:val="both"/>
        <w:rPr>
          <w:rFonts w:ascii="ITC Avant Garde" w:hAnsi="ITC Avant Garde" w:cs="Arial"/>
          <w:color w:val="000000"/>
        </w:rPr>
      </w:pPr>
      <w:r w:rsidRPr="00F82BE7">
        <w:rPr>
          <w:rFonts w:ascii="ITC Avant Garde" w:hAnsi="ITC Avant Garde" w:cs="Arial"/>
          <w:color w:val="000000"/>
        </w:rPr>
        <w:t>Otro participante (MEGA CABLE) t</w:t>
      </w:r>
      <w:r w:rsidR="00DA55D2" w:rsidRPr="00F82BE7">
        <w:rPr>
          <w:rFonts w:ascii="ITC Avant Garde" w:hAnsi="ITC Avant Garde" w:cs="Arial"/>
          <w:color w:val="000000"/>
        </w:rPr>
        <w:t xml:space="preserve">ambién </w:t>
      </w:r>
      <w:r w:rsidR="00B21EBD" w:rsidRPr="00F82BE7">
        <w:rPr>
          <w:rFonts w:ascii="ITC Avant Garde" w:hAnsi="ITC Avant Garde" w:cs="Arial"/>
          <w:color w:val="000000"/>
        </w:rPr>
        <w:t xml:space="preserve">consideró que se </w:t>
      </w:r>
      <w:r w:rsidR="00DA55D2" w:rsidRPr="00F82BE7">
        <w:rPr>
          <w:rFonts w:ascii="ITC Avant Garde" w:hAnsi="ITC Avant Garde" w:cs="Arial"/>
          <w:color w:val="000000"/>
        </w:rPr>
        <w:t>debería tener una sección donde se especifiquen formatos, paquetería y modo de presentación de reportes con resultados.</w:t>
      </w:r>
    </w:p>
    <w:p w:rsidR="0024627A" w:rsidRPr="00F82BE7" w:rsidRDefault="00F96956" w:rsidP="0033377C">
      <w:pPr>
        <w:spacing w:line="276" w:lineRule="auto"/>
        <w:jc w:val="both"/>
        <w:rPr>
          <w:rFonts w:ascii="ITC Avant Garde" w:hAnsi="ITC Avant Garde" w:cs="Arial"/>
          <w:i/>
          <w:color w:val="000000"/>
        </w:rPr>
      </w:pPr>
      <w:r>
        <w:rPr>
          <w:rFonts w:ascii="ITC Avant Garde" w:hAnsi="ITC Avant Garde" w:cs="Arial"/>
          <w:i/>
          <w:color w:val="000000"/>
        </w:rPr>
        <w:t>Consideraciones</w:t>
      </w:r>
      <w:r w:rsidRPr="00F82BE7" w:rsidDel="00F96956">
        <w:rPr>
          <w:rFonts w:ascii="ITC Avant Garde" w:hAnsi="ITC Avant Garde" w:cs="Arial"/>
          <w:i/>
          <w:color w:val="000000"/>
        </w:rPr>
        <w:t xml:space="preserve"> </w:t>
      </w:r>
      <w:r w:rsidR="0024627A" w:rsidRPr="00F82BE7">
        <w:rPr>
          <w:rFonts w:ascii="ITC Avant Garde" w:hAnsi="ITC Avant Garde" w:cs="Arial"/>
          <w:i/>
          <w:color w:val="000000"/>
        </w:rPr>
        <w:t>del Instituto</w:t>
      </w:r>
    </w:p>
    <w:p w:rsidR="0024627A" w:rsidRPr="00F82BE7" w:rsidRDefault="00300D3E"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Se considera que </w:t>
      </w:r>
      <w:r w:rsidR="004309F0" w:rsidRPr="00F82BE7">
        <w:rPr>
          <w:rFonts w:ascii="ITC Avant Garde" w:hAnsi="ITC Avant Garde" w:cs="Arial"/>
          <w:color w:val="000000"/>
        </w:rPr>
        <w:t>los sistemas informáticos, las prácticas de resguardo, almacenamiento</w:t>
      </w:r>
      <w:r w:rsidR="004309F0">
        <w:rPr>
          <w:rFonts w:ascii="ITC Avant Garde" w:hAnsi="ITC Avant Garde" w:cs="Arial"/>
          <w:color w:val="000000"/>
        </w:rPr>
        <w:t xml:space="preserve">, entre ostros aspectos relacionados, </w:t>
      </w:r>
      <w:r w:rsidRPr="00F82BE7">
        <w:rPr>
          <w:rFonts w:ascii="ITC Avant Garde" w:hAnsi="ITC Avant Garde" w:cs="Arial"/>
          <w:color w:val="000000"/>
        </w:rPr>
        <w:t>son internas y corresponden exclusivamente tanto a los sujetos regulados como a la entidad que resguarda la información.</w:t>
      </w:r>
      <w:r w:rsidR="00417112" w:rsidRPr="00F82BE7">
        <w:rPr>
          <w:rFonts w:ascii="ITC Avant Garde" w:hAnsi="ITC Avant Garde" w:cs="Arial"/>
          <w:color w:val="000000"/>
        </w:rPr>
        <w:t xml:space="preserve"> En este sentido, </w:t>
      </w:r>
      <w:r w:rsidR="0028100B" w:rsidRPr="0028100B">
        <w:rPr>
          <w:rFonts w:ascii="ITC Avant Garde" w:hAnsi="ITC Avant Garde" w:cs="Arial"/>
          <w:color w:val="000000"/>
        </w:rPr>
        <w:t>no se realizaron ajustes al Anteproyecto en los términos señalados por el participante</w:t>
      </w:r>
      <w:r w:rsidR="00417112" w:rsidRPr="00F82BE7">
        <w:rPr>
          <w:rFonts w:ascii="ITC Avant Garde" w:hAnsi="ITC Avant Garde" w:cs="Arial"/>
          <w:color w:val="000000"/>
        </w:rPr>
        <w:t>.</w:t>
      </w:r>
    </w:p>
    <w:p w:rsidR="00977EAB" w:rsidRPr="00977EAB" w:rsidRDefault="00B21EBD" w:rsidP="0033377C">
      <w:pPr>
        <w:spacing w:line="276" w:lineRule="auto"/>
        <w:jc w:val="both"/>
        <w:rPr>
          <w:rFonts w:ascii="ITC Avant Garde" w:hAnsi="ITC Avant Garde" w:cs="Arial"/>
          <w:b/>
          <w:color w:val="000000"/>
        </w:rPr>
      </w:pPr>
      <w:r w:rsidRPr="00977EAB">
        <w:rPr>
          <w:rFonts w:ascii="ITC Avant Garde" w:hAnsi="ITC Avant Garde" w:cs="Arial"/>
          <w:color w:val="000000"/>
        </w:rPr>
        <w:t xml:space="preserve">Respecto al comentario de que se debería tener una sección donde se especifiquen formatos, paquetería y modo de presentación de reportes con resultados, se señala </w:t>
      </w:r>
      <w:r w:rsidR="00876E01" w:rsidRPr="00977EAB">
        <w:rPr>
          <w:rFonts w:ascii="ITC Avant Garde" w:hAnsi="ITC Avant Garde" w:cs="Arial"/>
          <w:color w:val="000000"/>
        </w:rPr>
        <w:t>que se realiza</w:t>
      </w:r>
      <w:r w:rsidR="00011936" w:rsidRPr="00977EAB">
        <w:rPr>
          <w:rFonts w:ascii="ITC Avant Garde" w:hAnsi="ITC Avant Garde" w:cs="Arial"/>
          <w:color w:val="000000"/>
        </w:rPr>
        <w:t>ron</w:t>
      </w:r>
      <w:r w:rsidR="00876E01" w:rsidRPr="00977EAB">
        <w:rPr>
          <w:rFonts w:ascii="ITC Avant Garde" w:hAnsi="ITC Avant Garde" w:cs="Arial"/>
          <w:color w:val="000000"/>
        </w:rPr>
        <w:t xml:space="preserve"> modificaciones </w:t>
      </w:r>
      <w:r w:rsidR="00C6711A" w:rsidRPr="00977EAB">
        <w:rPr>
          <w:rFonts w:ascii="ITC Avant Garde" w:hAnsi="ITC Avant Garde" w:cs="Arial"/>
          <w:color w:val="000000"/>
        </w:rPr>
        <w:t xml:space="preserve">al Anteproyecto </w:t>
      </w:r>
      <w:r w:rsidR="00876E01" w:rsidRPr="00977EAB">
        <w:rPr>
          <w:rFonts w:ascii="ITC Avant Garde" w:hAnsi="ITC Avant Garde" w:cs="Arial"/>
          <w:color w:val="000000"/>
        </w:rPr>
        <w:t>a fin de especificar que la información deberá ser entregada en formato electrónico y editable a fin de facilitar las tareas de revisión de la información</w:t>
      </w:r>
      <w:r w:rsidRPr="00977EAB">
        <w:rPr>
          <w:rFonts w:ascii="ITC Avant Garde" w:hAnsi="ITC Avant Garde" w:cs="Arial"/>
          <w:color w:val="000000"/>
        </w:rPr>
        <w:t>.</w:t>
      </w:r>
      <w:r w:rsidR="009D5603" w:rsidRPr="00977EAB">
        <w:rPr>
          <w:rFonts w:ascii="ITC Avant Garde" w:hAnsi="ITC Avant Garde" w:cs="Arial"/>
          <w:color w:val="000000"/>
        </w:rPr>
        <w:t xml:space="preserve"> </w:t>
      </w:r>
    </w:p>
    <w:p w:rsidR="00AF5443" w:rsidRPr="00977EAB" w:rsidRDefault="00AF5443" w:rsidP="0033377C">
      <w:pPr>
        <w:pStyle w:val="Prrafodelista"/>
        <w:numPr>
          <w:ilvl w:val="0"/>
          <w:numId w:val="4"/>
        </w:numPr>
        <w:spacing w:line="276" w:lineRule="auto"/>
        <w:jc w:val="both"/>
        <w:rPr>
          <w:rFonts w:ascii="ITC Avant Garde" w:hAnsi="ITC Avant Garde" w:cs="Arial"/>
          <w:b/>
          <w:color w:val="000000"/>
        </w:rPr>
      </w:pPr>
      <w:r w:rsidRPr="00977EAB">
        <w:rPr>
          <w:rFonts w:ascii="ITC Avant Garde" w:hAnsi="ITC Avant Garde" w:cs="Arial"/>
          <w:b/>
          <w:color w:val="000000"/>
        </w:rPr>
        <w:t>Costo promedio ponderado de capital empleado</w:t>
      </w:r>
    </w:p>
    <w:p w:rsidR="003403FF" w:rsidRPr="00F82BE7" w:rsidRDefault="003403FF" w:rsidP="0033377C">
      <w:pPr>
        <w:spacing w:line="276" w:lineRule="auto"/>
        <w:jc w:val="both"/>
        <w:rPr>
          <w:rFonts w:ascii="ITC Avant Garde" w:hAnsi="ITC Avant Garde" w:cs="Arial"/>
          <w:i/>
          <w:color w:val="000000"/>
        </w:rPr>
      </w:pPr>
      <w:r w:rsidRPr="00F82BE7">
        <w:rPr>
          <w:rFonts w:ascii="ITC Avant Garde" w:hAnsi="ITC Avant Garde" w:cs="Arial"/>
          <w:i/>
          <w:color w:val="000000"/>
        </w:rPr>
        <w:t>Comentarios</w:t>
      </w:r>
    </w:p>
    <w:p w:rsidR="00E85692" w:rsidRPr="00F82BE7" w:rsidRDefault="00E85692" w:rsidP="0033377C">
      <w:pPr>
        <w:spacing w:line="276" w:lineRule="auto"/>
        <w:jc w:val="both"/>
        <w:rPr>
          <w:rFonts w:ascii="ITC Avant Garde" w:hAnsi="ITC Avant Garde" w:cs="Arial"/>
          <w:color w:val="000000"/>
        </w:rPr>
      </w:pPr>
      <w:r w:rsidRPr="00F82BE7">
        <w:rPr>
          <w:rFonts w:ascii="ITC Avant Garde" w:hAnsi="ITC Avant Garde" w:cs="Arial"/>
          <w:color w:val="000000"/>
        </w:rPr>
        <w:t>Un participante (AXTEL) consideró que no se debe aproximar el cálculo del WACC debido a que podría ocasionar falta de veracidad de la información.</w:t>
      </w:r>
    </w:p>
    <w:p w:rsidR="00E85692" w:rsidRDefault="00E85692"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Otros participantes (AT&amp;T, MEGA CABLE) sugirieron mayor detalle sobre la metodología para el cálculo del WACC. </w:t>
      </w:r>
    </w:p>
    <w:p w:rsidR="00AF5443" w:rsidRDefault="0030092B"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Un participante (MEGA CABLE) </w:t>
      </w:r>
      <w:r w:rsidR="0082122F">
        <w:rPr>
          <w:rFonts w:ascii="ITC Avant Garde" w:hAnsi="ITC Avant Garde" w:cs="Arial"/>
          <w:color w:val="000000"/>
        </w:rPr>
        <w:t>sugirió</w:t>
      </w:r>
      <w:r w:rsidR="002C3153">
        <w:rPr>
          <w:rFonts w:ascii="ITC Avant Garde" w:hAnsi="ITC Avant Garde" w:cs="Arial"/>
          <w:color w:val="000000"/>
        </w:rPr>
        <w:t>,</w:t>
      </w:r>
      <w:r w:rsidRPr="00F82BE7">
        <w:rPr>
          <w:rFonts w:ascii="ITC Avant Garde" w:hAnsi="ITC Avant Garde" w:cs="Arial"/>
          <w:color w:val="000000"/>
        </w:rPr>
        <w:t xml:space="preserve"> p</w:t>
      </w:r>
      <w:r w:rsidR="00AF5443" w:rsidRPr="00F82BE7">
        <w:rPr>
          <w:rFonts w:ascii="ITC Avant Garde" w:hAnsi="ITC Avant Garde" w:cs="Arial"/>
          <w:color w:val="000000"/>
        </w:rPr>
        <w:t>ara fines de consistencia con los modelos de costos utilizados en los casos de servicios mayoristas de los AEP, utilizar las mismas metodología</w:t>
      </w:r>
      <w:r w:rsidR="00C10087" w:rsidRPr="00F82BE7">
        <w:rPr>
          <w:rFonts w:ascii="ITC Avant Garde" w:hAnsi="ITC Avant Garde" w:cs="Arial"/>
          <w:color w:val="000000"/>
        </w:rPr>
        <w:t>s</w:t>
      </w:r>
      <w:r w:rsidR="00AF5443" w:rsidRPr="00F82BE7">
        <w:rPr>
          <w:rFonts w:ascii="ITC Avant Garde" w:hAnsi="ITC Avant Garde" w:cs="Arial"/>
          <w:color w:val="000000"/>
        </w:rPr>
        <w:t xml:space="preserve"> y fuentes de información, así como los mismos valores utilizados para el modelo CAPM y el Costo de Capital Promedio Ponderado (“CCPP” o “WACC”, por sus siglas en </w:t>
      </w:r>
      <w:r w:rsidR="00784CE5" w:rsidRPr="00F82BE7">
        <w:rPr>
          <w:rFonts w:ascii="ITC Avant Garde" w:hAnsi="ITC Avant Garde" w:cs="Arial"/>
          <w:color w:val="000000"/>
        </w:rPr>
        <w:t>inglés)</w:t>
      </w:r>
      <w:r w:rsidR="00AF5443" w:rsidRPr="00F82BE7">
        <w:rPr>
          <w:rFonts w:ascii="ITC Avant Garde" w:hAnsi="ITC Avant Garde" w:cs="Arial"/>
          <w:color w:val="000000"/>
        </w:rPr>
        <w:t xml:space="preserve"> en aquellos modelos. De lo contrario, la información de costos de la separación contable no servirá para comparar dicha información (</w:t>
      </w:r>
      <w:r w:rsidR="00AF5443" w:rsidRPr="00F82BE7">
        <w:rPr>
          <w:rFonts w:ascii="ITC Avant Garde" w:hAnsi="ITC Avant Garde" w:cs="Arial"/>
          <w:i/>
          <w:color w:val="000000"/>
        </w:rPr>
        <w:t>top-down</w:t>
      </w:r>
      <w:r w:rsidR="00AF5443" w:rsidRPr="00F82BE7">
        <w:rPr>
          <w:rFonts w:ascii="ITC Avant Garde" w:hAnsi="ITC Avant Garde" w:cs="Arial"/>
          <w:color w:val="000000"/>
        </w:rPr>
        <w:t xml:space="preserve">) con la información </w:t>
      </w:r>
      <w:r w:rsidR="00AF5443" w:rsidRPr="00F82BE7">
        <w:rPr>
          <w:rFonts w:ascii="ITC Avant Garde" w:hAnsi="ITC Avant Garde" w:cs="Arial"/>
          <w:i/>
          <w:color w:val="000000"/>
        </w:rPr>
        <w:t>bottom-up</w:t>
      </w:r>
      <w:r w:rsidR="00AF5443" w:rsidRPr="00F82BE7">
        <w:rPr>
          <w:rFonts w:ascii="ITC Avant Garde" w:hAnsi="ITC Avant Garde" w:cs="Arial"/>
          <w:color w:val="000000"/>
        </w:rPr>
        <w:t xml:space="preserve"> de los modelos de Costos Incrementales de Largo Plazo Puros (“CILP puros”) y de Costos Incrementales Promedio de Largo Plazo (“CIPLP” o “CILP +”).</w:t>
      </w:r>
      <w:r w:rsidR="00981B69" w:rsidRPr="00F82BE7">
        <w:rPr>
          <w:rFonts w:ascii="ITC Avant Garde" w:hAnsi="ITC Avant Garde" w:cs="Arial"/>
          <w:color w:val="000000"/>
        </w:rPr>
        <w:t xml:space="preserve"> </w:t>
      </w:r>
      <w:r w:rsidR="00E85692">
        <w:rPr>
          <w:rFonts w:ascii="ITC Avant Garde" w:hAnsi="ITC Avant Garde" w:cs="Arial"/>
          <w:color w:val="000000"/>
        </w:rPr>
        <w:t xml:space="preserve">Por otro lado, </w:t>
      </w:r>
      <w:r w:rsidR="00981B69" w:rsidRPr="00F82BE7">
        <w:rPr>
          <w:rFonts w:ascii="ITC Avant Garde" w:hAnsi="ITC Avant Garde" w:cs="Arial"/>
          <w:color w:val="000000"/>
        </w:rPr>
        <w:t xml:space="preserve">sugirió que los cálculos del WACC sean determinados directamente por el Instituto o bien, por un tercero independiente de los AEP y agentes económicos con poder sustancial y seleccionado/contratado por el Instituto, debido a la posibilidad de que dichos agentes económicos </w:t>
      </w:r>
      <w:r w:rsidR="00981B69" w:rsidRPr="00F82BE7">
        <w:rPr>
          <w:rFonts w:ascii="ITC Avant Garde" w:hAnsi="ITC Avant Garde" w:cs="Arial"/>
          <w:color w:val="000000"/>
        </w:rPr>
        <w:lastRenderedPageBreak/>
        <w:t>sobreestimen el valor del WACC a partir del uso de supuestos no realistas o pertinentes.</w:t>
      </w:r>
    </w:p>
    <w:p w:rsidR="00AF5443" w:rsidRPr="00F82BE7" w:rsidRDefault="00F96956" w:rsidP="0033377C">
      <w:pPr>
        <w:spacing w:line="276" w:lineRule="auto"/>
        <w:jc w:val="both"/>
        <w:rPr>
          <w:rFonts w:ascii="ITC Avant Garde" w:hAnsi="ITC Avant Garde" w:cs="Arial"/>
          <w:i/>
          <w:color w:val="000000"/>
        </w:rPr>
      </w:pPr>
      <w:r>
        <w:rPr>
          <w:rFonts w:ascii="ITC Avant Garde" w:hAnsi="ITC Avant Garde" w:cs="Arial"/>
          <w:i/>
          <w:color w:val="000000"/>
        </w:rPr>
        <w:t>Consideraciones</w:t>
      </w:r>
      <w:r w:rsidRPr="00F82BE7" w:rsidDel="00F96956">
        <w:rPr>
          <w:rFonts w:ascii="ITC Avant Garde" w:hAnsi="ITC Avant Garde" w:cs="Arial"/>
          <w:i/>
          <w:color w:val="000000"/>
        </w:rPr>
        <w:t xml:space="preserve"> </w:t>
      </w:r>
      <w:r w:rsidR="00AF5443" w:rsidRPr="00F82BE7">
        <w:rPr>
          <w:rFonts w:ascii="ITC Avant Garde" w:hAnsi="ITC Avant Garde" w:cs="Arial"/>
          <w:i/>
          <w:color w:val="000000"/>
        </w:rPr>
        <w:t>del Instituto</w:t>
      </w:r>
    </w:p>
    <w:p w:rsidR="00E733F5" w:rsidRDefault="00C8458D" w:rsidP="0033377C">
      <w:pPr>
        <w:spacing w:line="276" w:lineRule="auto"/>
        <w:jc w:val="both"/>
        <w:rPr>
          <w:rFonts w:ascii="ITC Avant Garde" w:hAnsi="ITC Avant Garde" w:cs="Arial"/>
          <w:color w:val="000000"/>
        </w:rPr>
      </w:pPr>
      <w:r>
        <w:rPr>
          <w:rFonts w:ascii="ITC Avant Garde" w:hAnsi="ITC Avant Garde" w:cs="Arial"/>
          <w:color w:val="000000"/>
        </w:rPr>
        <w:t xml:space="preserve">Respecto al comentario de que </w:t>
      </w:r>
      <w:r w:rsidRPr="00F82BE7">
        <w:rPr>
          <w:rFonts w:ascii="ITC Avant Garde" w:hAnsi="ITC Avant Garde" w:cs="Arial"/>
          <w:color w:val="000000"/>
        </w:rPr>
        <w:t>no se deb</w:t>
      </w:r>
      <w:r>
        <w:rPr>
          <w:rFonts w:ascii="ITC Avant Garde" w:hAnsi="ITC Avant Garde" w:cs="Arial"/>
          <w:color w:val="000000"/>
        </w:rPr>
        <w:t>e aproximar el cálculo del WACC, s</w:t>
      </w:r>
      <w:r w:rsidR="00755291">
        <w:rPr>
          <w:rFonts w:ascii="ITC Avant Garde" w:hAnsi="ITC Avant Garde" w:cs="Arial"/>
          <w:color w:val="000000"/>
        </w:rPr>
        <w:t>e realiz</w:t>
      </w:r>
      <w:r w:rsidR="008414A6">
        <w:rPr>
          <w:rFonts w:ascii="ITC Avant Garde" w:hAnsi="ITC Avant Garde" w:cs="Arial"/>
          <w:color w:val="000000"/>
        </w:rPr>
        <w:t>aron adecuaciones al Anteproyecto, por lo que se precisó</w:t>
      </w:r>
      <w:r w:rsidR="00755291">
        <w:rPr>
          <w:rFonts w:ascii="ITC Avant Garde" w:hAnsi="ITC Avant Garde" w:cs="Arial"/>
          <w:color w:val="000000"/>
        </w:rPr>
        <w:t xml:space="preserve"> en la disposición OCTAVA del Acuerdo </w:t>
      </w:r>
      <w:r w:rsidRPr="00F82BE7">
        <w:rPr>
          <w:rFonts w:ascii="ITC Avant Garde" w:hAnsi="ITC Avant Garde" w:cs="Arial"/>
          <w:color w:val="000000"/>
        </w:rPr>
        <w:t xml:space="preserve">que </w:t>
      </w:r>
      <w:r w:rsidR="00E733F5">
        <w:rPr>
          <w:rFonts w:ascii="ITC Avant Garde" w:hAnsi="ITC Avant Garde" w:cs="Arial"/>
          <w:color w:val="000000"/>
        </w:rPr>
        <w:t>se deben detallar los insumos, cálculos y procedimientos para la obtención del WACC.</w:t>
      </w:r>
    </w:p>
    <w:p w:rsidR="00C8458D" w:rsidRPr="00FE653B" w:rsidRDefault="00C8458D" w:rsidP="0033377C">
      <w:pPr>
        <w:spacing w:line="276" w:lineRule="auto"/>
        <w:jc w:val="both"/>
        <w:rPr>
          <w:rFonts w:ascii="ITC Avant Garde" w:hAnsi="ITC Avant Garde"/>
        </w:rPr>
      </w:pPr>
      <w:r w:rsidRPr="00F82BE7">
        <w:rPr>
          <w:rFonts w:ascii="ITC Avant Garde" w:hAnsi="ITC Avant Garde"/>
        </w:rPr>
        <w:t xml:space="preserve">Sobre el comentario de que es necesario un mayor detalle </w:t>
      </w:r>
      <w:r w:rsidRPr="00F82BE7">
        <w:rPr>
          <w:rFonts w:ascii="ITC Avant Garde" w:hAnsi="ITC Avant Garde" w:cs="Arial"/>
          <w:color w:val="000000"/>
        </w:rPr>
        <w:t xml:space="preserve">sobre la metodología para el cálculo </w:t>
      </w:r>
      <w:r w:rsidRPr="00F82BE7">
        <w:rPr>
          <w:rFonts w:ascii="ITC Avant Garde" w:hAnsi="ITC Avant Garde"/>
        </w:rPr>
        <w:t xml:space="preserve">del WACC, se señala que el </w:t>
      </w:r>
      <w:r>
        <w:rPr>
          <w:rFonts w:ascii="ITC Avant Garde" w:hAnsi="ITC Avant Garde"/>
        </w:rPr>
        <w:t>nivel de descripción y detalle se considera adecuado, toda vez que la función</w:t>
      </w:r>
      <w:r w:rsidRPr="00F82BE7">
        <w:rPr>
          <w:rFonts w:ascii="ITC Avant Garde" w:hAnsi="ITC Avant Garde"/>
        </w:rPr>
        <w:t xml:space="preserve"> del regulador en el diseño de la separación contable debe orientarse a </w:t>
      </w:r>
      <w:r>
        <w:rPr>
          <w:rFonts w:ascii="ITC Avant Garde" w:hAnsi="ITC Avant Garde"/>
        </w:rPr>
        <w:t>establecer una metodología general</w:t>
      </w:r>
      <w:r w:rsidRPr="00F82BE7">
        <w:rPr>
          <w:rFonts w:ascii="ITC Avant Garde" w:hAnsi="ITC Avant Garde"/>
        </w:rPr>
        <w:t xml:space="preserve"> a fin de otorgar flexibilidad en la implementación de la separación contable y con ello reducir los costos regulatorios, lo cual es consistente</w:t>
      </w:r>
      <w:r w:rsidR="00FE653B">
        <w:rPr>
          <w:rFonts w:ascii="ITC Avant Garde" w:hAnsi="ITC Avant Garde"/>
        </w:rPr>
        <w:t xml:space="preserve"> con la práctica internacional. </w:t>
      </w:r>
      <w:r>
        <w:rPr>
          <w:rFonts w:ascii="ITC Avant Garde" w:hAnsi="ITC Avant Garde"/>
        </w:rPr>
        <w:t xml:space="preserve">Adicionalmente, se advierte que hay una amplia revisión y retroalimentación de la implementación de la separación contable, a través de la incorporación de los programas de implementación, la posibilidad de modificar el programa de implementación y las revisiones periódicas de la información de separación contable entregada. </w:t>
      </w:r>
      <w:r w:rsidRPr="00F82BE7" w:rsidDel="00A75424">
        <w:rPr>
          <w:rFonts w:ascii="ITC Avant Garde" w:hAnsi="ITC Avant Garde"/>
        </w:rPr>
        <w:t xml:space="preserve">En virtud de lo anterior, </w:t>
      </w:r>
      <w:r w:rsidR="00021AA1" w:rsidRPr="00021AA1">
        <w:rPr>
          <w:rFonts w:ascii="ITC Avant Garde" w:hAnsi="ITC Avant Garde"/>
        </w:rPr>
        <w:t xml:space="preserve">no se realizaron ajustes al Anteproyecto en los términos señalados por </w:t>
      </w:r>
      <w:r w:rsidR="00021AA1">
        <w:rPr>
          <w:rFonts w:ascii="ITC Avant Garde" w:hAnsi="ITC Avant Garde"/>
        </w:rPr>
        <w:t>los</w:t>
      </w:r>
      <w:r w:rsidR="00021AA1" w:rsidRPr="00021AA1">
        <w:rPr>
          <w:rFonts w:ascii="ITC Avant Garde" w:hAnsi="ITC Avant Garde"/>
        </w:rPr>
        <w:t xml:space="preserve"> participante</w:t>
      </w:r>
      <w:r w:rsidR="00021AA1">
        <w:rPr>
          <w:rFonts w:ascii="ITC Avant Garde" w:hAnsi="ITC Avant Garde"/>
        </w:rPr>
        <w:t>s</w:t>
      </w:r>
      <w:r w:rsidRPr="00F82BE7" w:rsidDel="00A75424">
        <w:rPr>
          <w:rFonts w:ascii="ITC Avant Garde" w:hAnsi="ITC Avant Garde"/>
        </w:rPr>
        <w:t>.</w:t>
      </w:r>
    </w:p>
    <w:p w:rsidR="005E0EAB" w:rsidRPr="005308AF" w:rsidRDefault="0030563E" w:rsidP="0033377C">
      <w:pPr>
        <w:spacing w:line="276" w:lineRule="auto"/>
        <w:jc w:val="both"/>
        <w:rPr>
          <w:rFonts w:ascii="ITC Avant Garde" w:hAnsi="ITC Avant Garde"/>
          <w:sz w:val="20"/>
        </w:rPr>
      </w:pPr>
      <w:r w:rsidRPr="00F82BE7">
        <w:rPr>
          <w:rFonts w:ascii="ITC Avant Garde" w:hAnsi="ITC Avant Garde" w:cs="Arial"/>
          <w:color w:val="000000"/>
        </w:rPr>
        <w:t>S</w:t>
      </w:r>
      <w:r w:rsidR="00AE28B2" w:rsidRPr="00F82BE7">
        <w:rPr>
          <w:rFonts w:ascii="ITC Avant Garde" w:hAnsi="ITC Avant Garde" w:cs="Arial"/>
          <w:color w:val="000000"/>
        </w:rPr>
        <w:t xml:space="preserve">obre el comentario de </w:t>
      </w:r>
      <w:r w:rsidRPr="00F82BE7">
        <w:rPr>
          <w:rFonts w:ascii="ITC Avant Garde" w:hAnsi="ITC Avant Garde" w:cs="Arial"/>
          <w:color w:val="000000"/>
        </w:rPr>
        <w:t xml:space="preserve">utilizar las mismas metodologías y fuentes de información de los modelos de costos </w:t>
      </w:r>
      <w:r w:rsidR="00AE28B2" w:rsidRPr="00F82BE7">
        <w:rPr>
          <w:rFonts w:ascii="ITC Avant Garde" w:hAnsi="ITC Avant Garde" w:cs="Arial"/>
          <w:color w:val="000000"/>
        </w:rPr>
        <w:t>de los servicios mayoristas</w:t>
      </w:r>
      <w:r w:rsidR="00DE5566">
        <w:rPr>
          <w:rFonts w:ascii="ITC Avant Garde" w:hAnsi="ITC Avant Garde" w:cs="Arial"/>
          <w:color w:val="000000"/>
        </w:rPr>
        <w:t xml:space="preserve"> para el cálculo del WACC</w:t>
      </w:r>
      <w:r w:rsidR="00AE28B2" w:rsidRPr="00F82BE7">
        <w:rPr>
          <w:rFonts w:ascii="ITC Avant Garde" w:hAnsi="ITC Avant Garde" w:cs="Arial"/>
          <w:color w:val="000000"/>
        </w:rPr>
        <w:t xml:space="preserve">, se considera adecuado </w:t>
      </w:r>
      <w:r w:rsidRPr="00F82BE7">
        <w:rPr>
          <w:rFonts w:ascii="ITC Avant Garde" w:hAnsi="ITC Avant Garde" w:cs="Arial"/>
          <w:color w:val="000000"/>
        </w:rPr>
        <w:t xml:space="preserve">siempre y cuando se encuentren alineadas con la metodología </w:t>
      </w:r>
      <w:r w:rsidR="00E15BCB">
        <w:rPr>
          <w:rFonts w:ascii="ITC Avant Garde" w:hAnsi="ITC Avant Garde" w:cs="Arial"/>
          <w:color w:val="000000"/>
        </w:rPr>
        <w:t>establecida</w:t>
      </w:r>
      <w:r w:rsidR="00E15BCB" w:rsidRPr="00F82BE7">
        <w:rPr>
          <w:rFonts w:ascii="ITC Avant Garde" w:hAnsi="ITC Avant Garde" w:cs="Arial"/>
          <w:color w:val="000000"/>
        </w:rPr>
        <w:t xml:space="preserve"> </w:t>
      </w:r>
      <w:r w:rsidRPr="00F82BE7">
        <w:rPr>
          <w:rFonts w:ascii="ITC Avant Garde" w:hAnsi="ITC Avant Garde" w:cs="Arial"/>
          <w:color w:val="000000"/>
        </w:rPr>
        <w:t xml:space="preserve">en el </w:t>
      </w:r>
      <w:r w:rsidR="00DE5566">
        <w:rPr>
          <w:rFonts w:ascii="ITC Avant Garde" w:hAnsi="ITC Avant Garde" w:cs="Arial"/>
          <w:color w:val="000000"/>
        </w:rPr>
        <w:t>Acuerdo</w:t>
      </w:r>
      <w:r w:rsidR="00DE5566" w:rsidRPr="00F82BE7">
        <w:rPr>
          <w:rFonts w:ascii="ITC Avant Garde" w:hAnsi="ITC Avant Garde" w:cs="Arial"/>
          <w:color w:val="000000"/>
        </w:rPr>
        <w:t xml:space="preserve"> </w:t>
      </w:r>
      <w:r w:rsidRPr="00F82BE7">
        <w:rPr>
          <w:rFonts w:ascii="ITC Avant Garde" w:hAnsi="ITC Avant Garde" w:cs="Arial"/>
          <w:color w:val="000000"/>
        </w:rPr>
        <w:t>de separación contable.</w:t>
      </w:r>
      <w:r w:rsidR="004747F8" w:rsidRPr="00F82BE7">
        <w:rPr>
          <w:rFonts w:ascii="ITC Avant Garde" w:hAnsi="ITC Avant Garde" w:cs="Arial"/>
          <w:color w:val="000000"/>
        </w:rPr>
        <w:t xml:space="preserve"> </w:t>
      </w:r>
      <w:r w:rsidR="002E5BE3">
        <w:rPr>
          <w:rFonts w:ascii="ITC Avant Garde" w:hAnsi="ITC Avant Garde" w:cs="Arial"/>
          <w:color w:val="000000"/>
        </w:rPr>
        <w:t xml:space="preserve">Para tal efecto, en </w:t>
      </w:r>
      <w:r w:rsidR="008C70E6">
        <w:rPr>
          <w:rFonts w:ascii="ITC Avant Garde" w:hAnsi="ITC Avant Garde" w:cs="Arial"/>
          <w:color w:val="000000"/>
        </w:rPr>
        <w:t>la disposición OCTAVA d</w:t>
      </w:r>
      <w:r w:rsidR="002E5BE3">
        <w:rPr>
          <w:rFonts w:ascii="ITC Avant Garde" w:hAnsi="ITC Avant Garde" w:cs="Arial"/>
          <w:color w:val="000000"/>
        </w:rPr>
        <w:t>el Acuerdo se establec</w:t>
      </w:r>
      <w:r w:rsidR="005D57CB">
        <w:rPr>
          <w:rFonts w:ascii="ITC Avant Garde" w:hAnsi="ITC Avant Garde" w:cs="Arial"/>
          <w:color w:val="000000"/>
        </w:rPr>
        <w:t>ió</w:t>
      </w:r>
      <w:r w:rsidR="002E5BE3">
        <w:rPr>
          <w:rFonts w:ascii="ITC Avant Garde" w:hAnsi="ITC Avant Garde" w:cs="Arial"/>
          <w:color w:val="000000"/>
        </w:rPr>
        <w:t xml:space="preserve"> que </w:t>
      </w:r>
      <w:r w:rsidR="002E5BE3" w:rsidRPr="00324173">
        <w:rPr>
          <w:rFonts w:ascii="ITC Avant Garde" w:hAnsi="ITC Avant Garde" w:cs="Arial"/>
          <w:color w:val="000000"/>
        </w:rPr>
        <w:t>cuando el Instituto calcule un WACC para un concesionario y/o autorizado, dicho WACC deberá ser utilizado por el concesionario y/o autorizado en su reporte anual de separación contable, una vez realizada la notificación por parte del Instituto</w:t>
      </w:r>
      <w:r w:rsidR="00EE3A25">
        <w:rPr>
          <w:rFonts w:ascii="ITC Avant Garde" w:hAnsi="ITC Avant Garde" w:cs="Arial"/>
          <w:color w:val="000000"/>
        </w:rPr>
        <w:t xml:space="preserve">. </w:t>
      </w:r>
    </w:p>
    <w:p w:rsidR="002E5BE3" w:rsidRDefault="004747F8"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En relación con el comentario de que el Instituto debe determinar el valor del WACC o un tercero independiente, se señala que es deseable dar flexibilidad a lo sujetos obligados, toda vez que cuentan con </w:t>
      </w:r>
      <w:r w:rsidR="005D57CB">
        <w:rPr>
          <w:rFonts w:ascii="ITC Avant Garde" w:hAnsi="ITC Avant Garde" w:cs="Arial"/>
          <w:color w:val="000000"/>
        </w:rPr>
        <w:t xml:space="preserve">la </w:t>
      </w:r>
      <w:r w:rsidRPr="00F82BE7">
        <w:rPr>
          <w:rFonts w:ascii="ITC Avant Garde" w:hAnsi="ITC Avant Garde" w:cs="Arial"/>
          <w:color w:val="000000"/>
        </w:rPr>
        <w:t>mejor información para realizar los cálculos del WACC.</w:t>
      </w:r>
      <w:r w:rsidR="00836D71" w:rsidRPr="00F82BE7">
        <w:rPr>
          <w:rFonts w:ascii="ITC Avant Garde" w:hAnsi="ITC Avant Garde" w:cs="Arial"/>
          <w:color w:val="000000"/>
        </w:rPr>
        <w:t xml:space="preserve"> Sin embargo, </w:t>
      </w:r>
      <w:r w:rsidR="002E5BE3">
        <w:rPr>
          <w:rFonts w:ascii="ITC Avant Garde" w:hAnsi="ITC Avant Garde" w:cs="Arial"/>
          <w:color w:val="000000"/>
        </w:rPr>
        <w:t xml:space="preserve">el Instituto revisará los cálculos </w:t>
      </w:r>
      <w:r w:rsidR="001D4A8F">
        <w:rPr>
          <w:rFonts w:ascii="ITC Avant Garde" w:hAnsi="ITC Avant Garde" w:cs="Arial"/>
          <w:color w:val="000000"/>
        </w:rPr>
        <w:t>presentados,</w:t>
      </w:r>
      <w:r w:rsidR="002E5BE3">
        <w:rPr>
          <w:rFonts w:ascii="ITC Avant Garde" w:hAnsi="ITC Avant Garde" w:cs="Arial"/>
          <w:color w:val="000000"/>
        </w:rPr>
        <w:t xml:space="preserve"> así como las fuentes de información empleadas</w:t>
      </w:r>
      <w:r w:rsidR="00836D71" w:rsidRPr="00F82BE7">
        <w:rPr>
          <w:rFonts w:ascii="ITC Avant Garde" w:hAnsi="ITC Avant Garde" w:cs="Arial"/>
          <w:color w:val="000000"/>
        </w:rPr>
        <w:t>.</w:t>
      </w:r>
      <w:r w:rsidR="002E5BE3">
        <w:rPr>
          <w:rFonts w:ascii="ITC Avant Garde" w:hAnsi="ITC Avant Garde" w:cs="Arial"/>
          <w:color w:val="000000"/>
        </w:rPr>
        <w:t xml:space="preserve"> </w:t>
      </w:r>
      <w:r w:rsidR="002E5BE3" w:rsidRPr="002E5BE3">
        <w:rPr>
          <w:rFonts w:ascii="ITC Avant Garde" w:hAnsi="ITC Avant Garde" w:cs="Arial"/>
          <w:color w:val="000000"/>
        </w:rPr>
        <w:t xml:space="preserve">Por lo anterior, </w:t>
      </w:r>
      <w:r w:rsidR="00EE3A25" w:rsidRPr="00EE3A25">
        <w:rPr>
          <w:rFonts w:ascii="ITC Avant Garde" w:hAnsi="ITC Avant Garde" w:cs="Arial"/>
          <w:color w:val="000000"/>
        </w:rPr>
        <w:t>no se realizaron ajustes al Anteproyecto en los términos señalados por el participante</w:t>
      </w:r>
      <w:r w:rsidR="002E5BE3" w:rsidRPr="002E5BE3">
        <w:rPr>
          <w:rFonts w:ascii="ITC Avant Garde" w:hAnsi="ITC Avant Garde" w:cs="Arial"/>
          <w:color w:val="000000"/>
        </w:rPr>
        <w:t>.</w:t>
      </w:r>
    </w:p>
    <w:p w:rsidR="0033377C" w:rsidRDefault="0033377C" w:rsidP="0033377C">
      <w:pPr>
        <w:spacing w:line="276" w:lineRule="auto"/>
        <w:jc w:val="both"/>
        <w:rPr>
          <w:rFonts w:ascii="ITC Avant Garde" w:hAnsi="ITC Avant Garde" w:cs="Arial"/>
          <w:color w:val="000000"/>
        </w:rPr>
      </w:pPr>
    </w:p>
    <w:p w:rsidR="00D2682F" w:rsidRDefault="00D2682F" w:rsidP="0033377C">
      <w:pPr>
        <w:spacing w:line="276" w:lineRule="auto"/>
        <w:jc w:val="both"/>
        <w:rPr>
          <w:rFonts w:ascii="ITC Avant Garde" w:hAnsi="ITC Avant Garde" w:cs="Arial"/>
          <w:color w:val="000000"/>
        </w:rPr>
      </w:pPr>
    </w:p>
    <w:p w:rsidR="00D2682F" w:rsidRDefault="00D2682F" w:rsidP="0033377C">
      <w:pPr>
        <w:spacing w:line="276" w:lineRule="auto"/>
        <w:jc w:val="both"/>
        <w:rPr>
          <w:rFonts w:ascii="ITC Avant Garde" w:hAnsi="ITC Avant Garde" w:cs="Arial"/>
          <w:color w:val="000000"/>
        </w:rPr>
      </w:pPr>
    </w:p>
    <w:p w:rsidR="00B1548A" w:rsidRPr="00F82BE7" w:rsidRDefault="00B1548A" w:rsidP="0033377C">
      <w:pPr>
        <w:pStyle w:val="Prrafodelista"/>
        <w:numPr>
          <w:ilvl w:val="0"/>
          <w:numId w:val="4"/>
        </w:numPr>
        <w:spacing w:line="276" w:lineRule="auto"/>
        <w:jc w:val="both"/>
        <w:rPr>
          <w:rFonts w:ascii="ITC Avant Garde" w:hAnsi="ITC Avant Garde" w:cs="Arial"/>
          <w:b/>
          <w:color w:val="000000"/>
        </w:rPr>
      </w:pPr>
      <w:r w:rsidRPr="00F82BE7">
        <w:rPr>
          <w:rFonts w:ascii="ITC Avant Garde" w:hAnsi="ITC Avant Garde" w:cs="Arial"/>
          <w:b/>
          <w:color w:val="000000"/>
        </w:rPr>
        <w:lastRenderedPageBreak/>
        <w:t>Diferencias entre cargos de transferencia y precios de transferencia</w:t>
      </w:r>
    </w:p>
    <w:p w:rsidR="003403FF" w:rsidRPr="00F82BE7" w:rsidRDefault="003403FF" w:rsidP="0033377C">
      <w:pPr>
        <w:spacing w:line="276" w:lineRule="auto"/>
        <w:jc w:val="both"/>
        <w:rPr>
          <w:rFonts w:ascii="ITC Avant Garde" w:hAnsi="ITC Avant Garde" w:cs="Arial"/>
          <w:i/>
          <w:color w:val="000000"/>
        </w:rPr>
      </w:pPr>
      <w:r w:rsidRPr="00F82BE7">
        <w:rPr>
          <w:rFonts w:ascii="ITC Avant Garde" w:hAnsi="ITC Avant Garde" w:cs="Arial"/>
          <w:i/>
          <w:color w:val="000000"/>
        </w:rPr>
        <w:t>Comentarios</w:t>
      </w:r>
    </w:p>
    <w:p w:rsidR="006F5524" w:rsidRDefault="006F5524" w:rsidP="0033377C">
      <w:pPr>
        <w:spacing w:line="276" w:lineRule="auto"/>
        <w:jc w:val="both"/>
        <w:rPr>
          <w:rFonts w:ascii="ITC Avant Garde" w:hAnsi="ITC Avant Garde" w:cs="Arial"/>
          <w:color w:val="000000"/>
        </w:rPr>
      </w:pPr>
      <w:r w:rsidRPr="00F82BE7">
        <w:rPr>
          <w:rFonts w:ascii="ITC Avant Garde" w:hAnsi="ITC Avant Garde" w:cs="Arial"/>
          <w:color w:val="000000"/>
        </w:rPr>
        <w:t>Un participante (MEGA CABLE) sugirió que se debe</w:t>
      </w:r>
      <w:r w:rsidR="00B21D35">
        <w:rPr>
          <w:rFonts w:ascii="ITC Avant Garde" w:hAnsi="ITC Avant Garde" w:cs="Arial"/>
          <w:color w:val="000000"/>
        </w:rPr>
        <w:t>n</w:t>
      </w:r>
      <w:r w:rsidRPr="00F82BE7">
        <w:rPr>
          <w:rFonts w:ascii="ITC Avant Garde" w:hAnsi="ITC Avant Garde" w:cs="Arial"/>
          <w:color w:val="000000"/>
        </w:rPr>
        <w:t xml:space="preserve"> precisar o hacer más claras las diferencias y similitudes entre los conceptos de “cargo de transferencia” y “precio de transferencia”.</w:t>
      </w:r>
    </w:p>
    <w:p w:rsidR="006F5524" w:rsidRPr="00F82BE7" w:rsidRDefault="00F96956" w:rsidP="0033377C">
      <w:pPr>
        <w:spacing w:line="276" w:lineRule="auto"/>
        <w:jc w:val="both"/>
        <w:rPr>
          <w:rFonts w:ascii="ITC Avant Garde" w:hAnsi="ITC Avant Garde" w:cs="Arial"/>
          <w:i/>
          <w:color w:val="000000"/>
        </w:rPr>
      </w:pPr>
      <w:r>
        <w:rPr>
          <w:rFonts w:ascii="ITC Avant Garde" w:hAnsi="ITC Avant Garde" w:cs="Arial"/>
          <w:i/>
          <w:color w:val="000000"/>
        </w:rPr>
        <w:t>Consideraciones</w:t>
      </w:r>
      <w:r w:rsidRPr="00F82BE7" w:rsidDel="00F96956">
        <w:rPr>
          <w:rFonts w:ascii="ITC Avant Garde" w:hAnsi="ITC Avant Garde" w:cs="Arial"/>
          <w:i/>
          <w:color w:val="000000"/>
        </w:rPr>
        <w:t xml:space="preserve"> </w:t>
      </w:r>
      <w:r w:rsidR="006F5524" w:rsidRPr="00F82BE7">
        <w:rPr>
          <w:rFonts w:ascii="ITC Avant Garde" w:hAnsi="ITC Avant Garde" w:cs="Arial"/>
          <w:i/>
          <w:color w:val="000000"/>
        </w:rPr>
        <w:t>del Instituto</w:t>
      </w:r>
    </w:p>
    <w:p w:rsidR="006F5524" w:rsidRPr="00F82BE7" w:rsidRDefault="006F5524" w:rsidP="0033377C">
      <w:pPr>
        <w:spacing w:line="276" w:lineRule="auto"/>
        <w:jc w:val="both"/>
        <w:rPr>
          <w:rFonts w:ascii="ITC Avant Garde" w:hAnsi="ITC Avant Garde" w:cs="Arial"/>
          <w:color w:val="000000"/>
        </w:rPr>
      </w:pPr>
      <w:r w:rsidRPr="00F82BE7">
        <w:rPr>
          <w:rFonts w:ascii="ITC Avant Garde" w:hAnsi="ITC Avant Garde" w:cs="Arial"/>
          <w:color w:val="000000"/>
        </w:rPr>
        <w:t>Sobre los cargos de transferencia, se señala que requieren de la división virtual de los negocios minorista y mayorista de la empresa. Bajo este esquema, se deben aplicar imputaciones de costos (y de ingresos) virtuales entre ambas divisiones que reflejar</w:t>
      </w:r>
      <w:r w:rsidR="002C25F6">
        <w:rPr>
          <w:rFonts w:ascii="ITC Avant Garde" w:hAnsi="ITC Avant Garde" w:cs="Arial"/>
          <w:color w:val="000000"/>
        </w:rPr>
        <w:t>á</w:t>
      </w:r>
      <w:r w:rsidRPr="00F82BE7">
        <w:rPr>
          <w:rFonts w:ascii="ITC Avant Garde" w:hAnsi="ITC Avant Garde" w:cs="Arial"/>
          <w:color w:val="000000"/>
        </w:rPr>
        <w:t>n adecuadamente los cargos que aplicarían si los servicios de red fueran prestados por un tercer operador</w:t>
      </w:r>
      <w:r w:rsidR="002C25F6">
        <w:rPr>
          <w:rFonts w:ascii="ITC Avant Garde" w:hAnsi="ITC Avant Garde" w:cs="Arial"/>
          <w:color w:val="000000"/>
        </w:rPr>
        <w:t>,</w:t>
      </w:r>
      <w:r w:rsidRPr="00F82BE7">
        <w:rPr>
          <w:rFonts w:ascii="ITC Avant Garde" w:hAnsi="ITC Avant Garde" w:cs="Arial"/>
          <w:color w:val="000000"/>
        </w:rPr>
        <w:t xml:space="preserve"> externo a la empresa. Dentro de la separación contable, estos cargos de transferencia deben ser reportados como costos dentro de los resultados del segmento minorista y como ingresos dentro de los resultados del segmento mayorista, como si el segmento mayorista brindara los servicios de red al segmento minorista de la propia empresa.</w:t>
      </w:r>
    </w:p>
    <w:p w:rsidR="006F5524" w:rsidRPr="00F82BE7" w:rsidRDefault="006F5524"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El cálculo de las transferencias entre ambos segmentos se deberá realizar como el producto del volumen del servicio proporcionado (por ejemplo, minutos de voz) por un </w:t>
      </w:r>
      <w:r w:rsidR="00F11505">
        <w:rPr>
          <w:rFonts w:ascii="ITC Avant Garde" w:hAnsi="ITC Avant Garde" w:cs="Arial"/>
          <w:color w:val="000000"/>
        </w:rPr>
        <w:t>cargo</w:t>
      </w:r>
      <w:r w:rsidR="00F11505" w:rsidRPr="00F82BE7">
        <w:rPr>
          <w:rFonts w:ascii="ITC Avant Garde" w:hAnsi="ITC Avant Garde" w:cs="Arial"/>
          <w:color w:val="000000"/>
        </w:rPr>
        <w:t xml:space="preserve"> </w:t>
      </w:r>
      <w:r w:rsidRPr="00F82BE7">
        <w:rPr>
          <w:rFonts w:ascii="ITC Avant Garde" w:hAnsi="ITC Avant Garde" w:cs="Arial"/>
          <w:color w:val="000000"/>
        </w:rPr>
        <w:t xml:space="preserve">de transferencia unitario. </w:t>
      </w:r>
    </w:p>
    <w:p w:rsidR="006071E7" w:rsidRPr="00F82BE7" w:rsidRDefault="000958AB" w:rsidP="0033377C">
      <w:pPr>
        <w:spacing w:line="276" w:lineRule="auto"/>
        <w:jc w:val="both"/>
        <w:rPr>
          <w:rFonts w:ascii="ITC Avant Garde" w:hAnsi="ITC Avant Garde" w:cs="Arial"/>
          <w:color w:val="000000"/>
        </w:rPr>
      </w:pPr>
      <w:r w:rsidRPr="00F82BE7">
        <w:rPr>
          <w:rFonts w:ascii="ITC Avant Garde" w:hAnsi="ITC Avant Garde" w:cs="Arial"/>
          <w:color w:val="000000"/>
        </w:rPr>
        <w:t>Ahora bien,</w:t>
      </w:r>
      <w:r w:rsidR="00BC6E8A" w:rsidRPr="00F82BE7">
        <w:rPr>
          <w:rFonts w:ascii="ITC Avant Garde" w:hAnsi="ITC Avant Garde" w:cs="Arial"/>
          <w:color w:val="000000"/>
        </w:rPr>
        <w:t xml:space="preserve"> los</w:t>
      </w:r>
      <w:r w:rsidRPr="00F82BE7">
        <w:rPr>
          <w:rFonts w:ascii="ITC Avant Garde" w:hAnsi="ITC Avant Garde" w:cs="Arial"/>
          <w:color w:val="000000"/>
        </w:rPr>
        <w:t xml:space="preserve"> precios de transferencia se refieren a los precios que se acuerdan entre empresas para transferirse bienes, servicios o derechos. En este caso se hace referencia particular a las operaciones realizadas entre partes relacionadas, es decir, entre empresas que tienen vínculos de propiedad o de administración entre sí. </w:t>
      </w:r>
    </w:p>
    <w:p w:rsidR="000958AB" w:rsidRPr="00F82BE7" w:rsidRDefault="00BC6E8A"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Los precios de transferencia son muy relevantes ya que </w:t>
      </w:r>
      <w:r w:rsidR="000958AB" w:rsidRPr="00F82BE7">
        <w:rPr>
          <w:rFonts w:ascii="ITC Avant Garde" w:hAnsi="ITC Avant Garde" w:cs="Arial"/>
          <w:color w:val="000000"/>
        </w:rPr>
        <w:t>los vínculos entre las empresas podrían facilitar que la fijación del precio no se realice en las mismas condiciones que con otras entidades independientes, en operaciones similares. Es decir, que guardaría relación con el principio de no discriminación.</w:t>
      </w:r>
    </w:p>
    <w:p w:rsidR="000958AB" w:rsidRPr="00F82BE7" w:rsidRDefault="00BC6E8A"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Por lo </w:t>
      </w:r>
      <w:r w:rsidR="000958AB" w:rsidRPr="00F82BE7">
        <w:rPr>
          <w:rFonts w:ascii="ITC Avant Garde" w:hAnsi="ITC Avant Garde" w:cs="Arial"/>
          <w:color w:val="000000"/>
        </w:rPr>
        <w:t xml:space="preserve">anterior, los </w:t>
      </w:r>
      <w:r w:rsidR="006071E7" w:rsidRPr="00F82BE7">
        <w:rPr>
          <w:rFonts w:ascii="ITC Avant Garde" w:hAnsi="ITC Avant Garde" w:cs="Arial"/>
          <w:color w:val="000000"/>
        </w:rPr>
        <w:t>sujetos obligados</w:t>
      </w:r>
      <w:r w:rsidR="000958AB" w:rsidRPr="00F82BE7">
        <w:rPr>
          <w:rFonts w:ascii="ITC Avant Garde" w:hAnsi="ITC Avant Garde" w:cs="Arial"/>
          <w:color w:val="000000"/>
        </w:rPr>
        <w:t xml:space="preserve"> deben entregar al Instituto </w:t>
      </w:r>
      <w:r w:rsidR="00E732CF">
        <w:rPr>
          <w:rFonts w:ascii="ITC Avant Garde" w:hAnsi="ITC Avant Garde" w:cs="Arial"/>
          <w:color w:val="000000"/>
        </w:rPr>
        <w:t>los estudios de precios de transferencia</w:t>
      </w:r>
      <w:r w:rsidR="00C10087" w:rsidRPr="00F82BE7">
        <w:rPr>
          <w:rFonts w:ascii="ITC Avant Garde" w:hAnsi="ITC Avant Garde" w:cs="Arial"/>
          <w:color w:val="000000"/>
        </w:rPr>
        <w:t>, conforme a las disposiciones en la materia establecidas en la Ley del Impuesto sobre la Renta.</w:t>
      </w:r>
    </w:p>
    <w:p w:rsidR="00BD0995" w:rsidRDefault="00C10087" w:rsidP="0033377C">
      <w:pPr>
        <w:spacing w:line="276" w:lineRule="auto"/>
        <w:jc w:val="both"/>
        <w:rPr>
          <w:rFonts w:ascii="ITC Avant Garde" w:hAnsi="ITC Avant Garde" w:cs="Arial"/>
          <w:color w:val="000000"/>
        </w:rPr>
      </w:pPr>
      <w:r w:rsidRPr="00BD0995">
        <w:rPr>
          <w:rFonts w:ascii="ITC Avant Garde" w:hAnsi="ITC Avant Garde" w:cs="Arial"/>
          <w:color w:val="000000"/>
        </w:rPr>
        <w:t xml:space="preserve">De esta manera, se </w:t>
      </w:r>
      <w:r w:rsidR="00B21D35" w:rsidRPr="00BD0995">
        <w:rPr>
          <w:rFonts w:ascii="ITC Avant Garde" w:hAnsi="ITC Avant Garde" w:cs="Arial"/>
          <w:color w:val="000000"/>
        </w:rPr>
        <w:t>realizaron</w:t>
      </w:r>
      <w:r w:rsidRPr="00BD0995">
        <w:rPr>
          <w:rFonts w:ascii="ITC Avant Garde" w:hAnsi="ITC Avant Garde" w:cs="Arial"/>
          <w:color w:val="000000"/>
        </w:rPr>
        <w:t xml:space="preserve"> adecuaciones </w:t>
      </w:r>
      <w:r w:rsidR="007449E4" w:rsidRPr="00BD0995">
        <w:rPr>
          <w:rFonts w:ascii="ITC Avant Garde" w:hAnsi="ITC Avant Garde" w:cs="Arial"/>
          <w:color w:val="000000"/>
        </w:rPr>
        <w:t xml:space="preserve">al Anteproyecto </w:t>
      </w:r>
      <w:r w:rsidRPr="00BD0995">
        <w:rPr>
          <w:rFonts w:ascii="ITC Avant Garde" w:hAnsi="ITC Avant Garde" w:cs="Arial"/>
          <w:color w:val="000000"/>
        </w:rPr>
        <w:t>para señalar claramente el uso de los cargos de transferencia y los precios de transferencia conforme a lo anteriormente descrito.</w:t>
      </w:r>
      <w:r w:rsidR="004711D9" w:rsidRPr="00BD0995">
        <w:rPr>
          <w:rFonts w:ascii="ITC Avant Garde" w:hAnsi="ITC Avant Garde" w:cs="Arial"/>
          <w:color w:val="000000"/>
        </w:rPr>
        <w:t xml:space="preserve"> </w:t>
      </w:r>
    </w:p>
    <w:p w:rsidR="00D2682F" w:rsidRDefault="00D2682F" w:rsidP="0033377C">
      <w:pPr>
        <w:spacing w:line="276" w:lineRule="auto"/>
        <w:jc w:val="both"/>
        <w:rPr>
          <w:rFonts w:ascii="ITC Avant Garde" w:hAnsi="ITC Avant Garde" w:cs="Arial"/>
          <w:color w:val="000000"/>
        </w:rPr>
      </w:pPr>
    </w:p>
    <w:p w:rsidR="00D2682F" w:rsidRDefault="00D2682F" w:rsidP="0033377C">
      <w:pPr>
        <w:spacing w:line="276" w:lineRule="auto"/>
        <w:jc w:val="both"/>
        <w:rPr>
          <w:rFonts w:ascii="ITC Avant Garde" w:hAnsi="ITC Avant Garde" w:cs="Arial"/>
          <w:color w:val="000000"/>
        </w:rPr>
      </w:pPr>
    </w:p>
    <w:p w:rsidR="008037CF" w:rsidRPr="00F82BE7" w:rsidRDefault="008037CF" w:rsidP="0033377C">
      <w:pPr>
        <w:pStyle w:val="Prrafodelista"/>
        <w:numPr>
          <w:ilvl w:val="0"/>
          <w:numId w:val="4"/>
        </w:numPr>
        <w:spacing w:line="276" w:lineRule="auto"/>
        <w:jc w:val="both"/>
        <w:rPr>
          <w:rFonts w:ascii="ITC Avant Garde" w:hAnsi="ITC Avant Garde" w:cs="Arial"/>
          <w:b/>
          <w:color w:val="000000"/>
        </w:rPr>
      </w:pPr>
      <w:r w:rsidRPr="00F82BE7">
        <w:rPr>
          <w:rFonts w:ascii="ITC Avant Garde" w:hAnsi="ITC Avant Garde" w:cs="Arial"/>
          <w:b/>
          <w:color w:val="000000"/>
        </w:rPr>
        <w:lastRenderedPageBreak/>
        <w:t>Estudios de soporte</w:t>
      </w:r>
    </w:p>
    <w:p w:rsidR="003403FF" w:rsidRPr="00F82BE7" w:rsidRDefault="003403FF" w:rsidP="0033377C">
      <w:pPr>
        <w:spacing w:line="276" w:lineRule="auto"/>
        <w:jc w:val="both"/>
        <w:rPr>
          <w:rFonts w:ascii="ITC Avant Garde" w:hAnsi="ITC Avant Garde" w:cs="Arial"/>
          <w:i/>
          <w:color w:val="000000"/>
        </w:rPr>
      </w:pPr>
      <w:r w:rsidRPr="00F82BE7">
        <w:rPr>
          <w:rFonts w:ascii="ITC Avant Garde" w:hAnsi="ITC Avant Garde" w:cs="Arial"/>
          <w:i/>
          <w:color w:val="000000"/>
        </w:rPr>
        <w:t>Comentarios</w:t>
      </w:r>
    </w:p>
    <w:p w:rsidR="008037CF" w:rsidRPr="00F82BE7" w:rsidRDefault="00227010"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Un participante (MEGA CABLE) comentó que no </w:t>
      </w:r>
      <w:r w:rsidR="00161F51" w:rsidRPr="00F82BE7">
        <w:rPr>
          <w:rFonts w:ascii="ITC Avant Garde" w:hAnsi="ITC Avant Garde" w:cs="Arial"/>
          <w:color w:val="000000"/>
        </w:rPr>
        <w:t xml:space="preserve">son </w:t>
      </w:r>
      <w:r w:rsidRPr="00F82BE7">
        <w:rPr>
          <w:rFonts w:ascii="ITC Avant Garde" w:hAnsi="ITC Avant Garde" w:cs="Arial"/>
          <w:color w:val="000000"/>
        </w:rPr>
        <w:t>claro</w:t>
      </w:r>
      <w:r w:rsidR="00161F51" w:rsidRPr="00F82BE7">
        <w:rPr>
          <w:rFonts w:ascii="ITC Avant Garde" w:hAnsi="ITC Avant Garde" w:cs="Arial"/>
          <w:color w:val="000000"/>
        </w:rPr>
        <w:t>s</w:t>
      </w:r>
      <w:r w:rsidRPr="00F82BE7">
        <w:rPr>
          <w:rFonts w:ascii="ITC Avant Garde" w:hAnsi="ITC Avant Garde" w:cs="Arial"/>
          <w:color w:val="000000"/>
        </w:rPr>
        <w:t xml:space="preserve"> los alcances o las implicaciones que pueden tener los Estudios de soporte del Anexo 4 </w:t>
      </w:r>
      <w:r w:rsidR="00722E74">
        <w:rPr>
          <w:rFonts w:ascii="ITC Avant Garde" w:hAnsi="ITC Avant Garde" w:cs="Arial"/>
          <w:color w:val="000000"/>
        </w:rPr>
        <w:t xml:space="preserve">del Anteproyecto </w:t>
      </w:r>
      <w:r w:rsidRPr="00F82BE7">
        <w:rPr>
          <w:rFonts w:ascii="ITC Avant Garde" w:hAnsi="ITC Avant Garde" w:cs="Arial"/>
          <w:color w:val="000000"/>
        </w:rPr>
        <w:t xml:space="preserve">para los </w:t>
      </w:r>
      <w:r w:rsidR="001F1818" w:rsidRPr="00F82BE7">
        <w:rPr>
          <w:rFonts w:ascii="ITC Avant Garde" w:hAnsi="ITC Avant Garde" w:cs="Arial"/>
          <w:color w:val="000000"/>
        </w:rPr>
        <w:t>reportes de separación contable</w:t>
      </w:r>
      <w:r w:rsidRPr="00F82BE7">
        <w:rPr>
          <w:rFonts w:ascii="ITC Avant Garde" w:hAnsi="ITC Avant Garde" w:cs="Arial"/>
          <w:color w:val="000000"/>
        </w:rPr>
        <w:t>.</w:t>
      </w:r>
      <w:r w:rsidR="00161F51" w:rsidRPr="00F82BE7">
        <w:rPr>
          <w:rFonts w:ascii="ITC Avant Garde" w:hAnsi="ITC Avant Garde" w:cs="Arial"/>
          <w:color w:val="000000"/>
        </w:rPr>
        <w:t xml:space="preserve"> Además, señaló que </w:t>
      </w:r>
      <w:r w:rsidRPr="00F82BE7">
        <w:rPr>
          <w:rFonts w:ascii="ITC Avant Garde" w:hAnsi="ITC Avant Garde" w:cs="Arial"/>
          <w:color w:val="000000"/>
        </w:rPr>
        <w:t xml:space="preserve">se debe especificar quién será el que contrate a los expertos que realicen dichos estudios técnicos y cuáles serán los criterios para dicha contratación. </w:t>
      </w:r>
      <w:r w:rsidR="00161F51" w:rsidRPr="00F82BE7">
        <w:rPr>
          <w:rFonts w:ascii="ITC Avant Garde" w:hAnsi="ITC Avant Garde" w:cs="Arial"/>
          <w:color w:val="000000"/>
        </w:rPr>
        <w:t>Adicionalmente, sugirió</w:t>
      </w:r>
      <w:r w:rsidRPr="00F82BE7">
        <w:rPr>
          <w:rFonts w:ascii="ITC Avant Garde" w:hAnsi="ITC Avant Garde" w:cs="Arial"/>
          <w:color w:val="000000"/>
        </w:rPr>
        <w:t>, que sea el Instituto el que designe a dichos peritos o expertos y, además, que establezca reglas y requisitos para que el AEP proporcione la información necesaria para realizar dichos estudios o por lo menos para validarlos en el caso que sean realizados por el AEP, con la finalidad de obtener estudios fidedignos y con autonomía suficiente.</w:t>
      </w:r>
    </w:p>
    <w:p w:rsidR="00161F51" w:rsidRPr="00F82BE7" w:rsidRDefault="00F96956" w:rsidP="0033377C">
      <w:pPr>
        <w:spacing w:line="276" w:lineRule="auto"/>
        <w:jc w:val="both"/>
        <w:rPr>
          <w:rFonts w:ascii="ITC Avant Garde" w:hAnsi="ITC Avant Garde" w:cs="Arial"/>
          <w:color w:val="000000"/>
        </w:rPr>
      </w:pPr>
      <w:r>
        <w:rPr>
          <w:rFonts w:ascii="ITC Avant Garde" w:hAnsi="ITC Avant Garde" w:cs="Arial"/>
          <w:i/>
          <w:color w:val="000000"/>
        </w:rPr>
        <w:t>Consideraciones</w:t>
      </w:r>
      <w:r w:rsidRPr="00F82BE7" w:rsidDel="00F96956">
        <w:rPr>
          <w:rFonts w:ascii="ITC Avant Garde" w:hAnsi="ITC Avant Garde" w:cs="Arial"/>
          <w:i/>
          <w:color w:val="000000"/>
        </w:rPr>
        <w:t xml:space="preserve"> </w:t>
      </w:r>
      <w:r w:rsidR="00161F51" w:rsidRPr="00F82BE7">
        <w:rPr>
          <w:rFonts w:ascii="ITC Avant Garde" w:hAnsi="ITC Avant Garde" w:cs="Arial"/>
          <w:i/>
          <w:color w:val="000000"/>
        </w:rPr>
        <w:t>del Instituto</w:t>
      </w:r>
    </w:p>
    <w:p w:rsidR="004E26E6" w:rsidRPr="005308AF" w:rsidRDefault="005F4A32" w:rsidP="0033377C">
      <w:pPr>
        <w:spacing w:line="276" w:lineRule="auto"/>
        <w:jc w:val="both"/>
        <w:rPr>
          <w:rFonts w:ascii="ITC Avant Garde" w:hAnsi="ITC Avant Garde"/>
          <w:sz w:val="20"/>
        </w:rPr>
      </w:pPr>
      <w:r>
        <w:rPr>
          <w:rFonts w:ascii="ITC Avant Garde" w:hAnsi="ITC Avant Garde" w:cs="Arial"/>
          <w:color w:val="000000"/>
        </w:rPr>
        <w:t xml:space="preserve">Se realizaron modificaciones </w:t>
      </w:r>
      <w:r w:rsidR="00B21D35">
        <w:rPr>
          <w:rFonts w:ascii="ITC Avant Garde" w:hAnsi="ITC Avant Garde" w:cs="Arial"/>
          <w:color w:val="000000"/>
        </w:rPr>
        <w:t xml:space="preserve">al Anteproyecto </w:t>
      </w:r>
      <w:r>
        <w:rPr>
          <w:rFonts w:ascii="ITC Avant Garde" w:hAnsi="ITC Avant Garde" w:cs="Arial"/>
          <w:color w:val="000000"/>
        </w:rPr>
        <w:t xml:space="preserve">para señalar claramente el </w:t>
      </w:r>
      <w:r w:rsidR="004E26E6">
        <w:rPr>
          <w:rFonts w:ascii="ITC Avant Garde" w:hAnsi="ITC Avant Garde" w:cs="Arial"/>
          <w:color w:val="000000"/>
        </w:rPr>
        <w:t xml:space="preserve">alcance e </w:t>
      </w:r>
      <w:r w:rsidR="005E5DD9">
        <w:rPr>
          <w:rFonts w:ascii="ITC Avant Garde" w:hAnsi="ITC Avant Garde" w:cs="Arial"/>
          <w:color w:val="000000"/>
        </w:rPr>
        <w:t>implicaciones</w:t>
      </w:r>
      <w:r w:rsidR="004E26E6">
        <w:rPr>
          <w:rFonts w:ascii="ITC Avant Garde" w:hAnsi="ITC Avant Garde" w:cs="Arial"/>
          <w:color w:val="000000"/>
        </w:rPr>
        <w:t xml:space="preserve"> de los estudios de soporte </w:t>
      </w:r>
      <w:r w:rsidR="00143F8D">
        <w:rPr>
          <w:rFonts w:ascii="ITC Avant Garde" w:hAnsi="ITC Avant Garde" w:cs="Arial"/>
          <w:color w:val="000000"/>
        </w:rPr>
        <w:t>para la separación contable</w:t>
      </w:r>
      <w:r>
        <w:rPr>
          <w:rFonts w:ascii="ITC Avant Garde" w:hAnsi="ITC Avant Garde" w:cs="Arial"/>
          <w:color w:val="000000"/>
        </w:rPr>
        <w:t xml:space="preserve">, lo cual </w:t>
      </w:r>
      <w:r w:rsidR="004E26E6">
        <w:rPr>
          <w:rFonts w:ascii="ITC Avant Garde" w:hAnsi="ITC Avant Garde" w:cs="Arial"/>
          <w:color w:val="000000"/>
        </w:rPr>
        <w:t>quedó expuest</w:t>
      </w:r>
      <w:r>
        <w:rPr>
          <w:rFonts w:ascii="ITC Avant Garde" w:hAnsi="ITC Avant Garde" w:cs="Arial"/>
          <w:color w:val="000000"/>
        </w:rPr>
        <w:t>o</w:t>
      </w:r>
      <w:r w:rsidR="004E26E6">
        <w:rPr>
          <w:rFonts w:ascii="ITC Avant Garde" w:hAnsi="ITC Avant Garde" w:cs="Arial"/>
          <w:color w:val="000000"/>
        </w:rPr>
        <w:t xml:space="preserve"> en el considerando QUINTO del Acuerdo</w:t>
      </w:r>
      <w:r w:rsidR="00722E74">
        <w:rPr>
          <w:rFonts w:ascii="ITC Avant Garde" w:hAnsi="ITC Avant Garde" w:cs="Arial"/>
          <w:color w:val="000000"/>
        </w:rPr>
        <w:t>.</w:t>
      </w:r>
      <w:r w:rsidR="00B21D35">
        <w:rPr>
          <w:rFonts w:ascii="ITC Avant Garde" w:hAnsi="ITC Avant Garde" w:cs="Arial"/>
          <w:color w:val="000000"/>
        </w:rPr>
        <w:t xml:space="preserve"> </w:t>
      </w:r>
    </w:p>
    <w:p w:rsidR="00161F51" w:rsidRPr="00F82BE7" w:rsidRDefault="00296B5D" w:rsidP="0033377C">
      <w:pPr>
        <w:spacing w:line="276" w:lineRule="auto"/>
        <w:jc w:val="both"/>
        <w:rPr>
          <w:rFonts w:ascii="ITC Avant Garde" w:hAnsi="ITC Avant Garde" w:cs="Arial"/>
          <w:color w:val="000000"/>
        </w:rPr>
      </w:pPr>
      <w:r>
        <w:rPr>
          <w:rFonts w:ascii="ITC Avant Garde" w:hAnsi="ITC Avant Garde" w:cs="Arial"/>
          <w:color w:val="000000"/>
        </w:rPr>
        <w:t xml:space="preserve">Por otro lado, </w:t>
      </w:r>
      <w:r w:rsidR="003463ED">
        <w:rPr>
          <w:rFonts w:ascii="ITC Avant Garde" w:hAnsi="ITC Avant Garde" w:cs="Arial"/>
          <w:color w:val="000000"/>
        </w:rPr>
        <w:t xml:space="preserve">respecto a la contratación de </w:t>
      </w:r>
      <w:r w:rsidR="003463ED" w:rsidRPr="00F82BE7">
        <w:rPr>
          <w:rFonts w:ascii="ITC Avant Garde" w:hAnsi="ITC Avant Garde" w:cs="Arial"/>
          <w:color w:val="000000"/>
        </w:rPr>
        <w:t xml:space="preserve">expertos </w:t>
      </w:r>
      <w:r w:rsidR="003463ED">
        <w:rPr>
          <w:rFonts w:ascii="ITC Avant Garde" w:hAnsi="ITC Avant Garde" w:cs="Arial"/>
          <w:color w:val="000000"/>
        </w:rPr>
        <w:t xml:space="preserve">para la realización de los </w:t>
      </w:r>
      <w:r w:rsidR="003463ED" w:rsidRPr="00F82BE7">
        <w:rPr>
          <w:rFonts w:ascii="ITC Avant Garde" w:hAnsi="ITC Avant Garde" w:cs="Arial"/>
          <w:color w:val="000000"/>
        </w:rPr>
        <w:t>estudios técnicos</w:t>
      </w:r>
      <w:r w:rsidR="003463ED">
        <w:rPr>
          <w:rFonts w:ascii="ITC Avant Garde" w:hAnsi="ITC Avant Garde" w:cs="Arial"/>
          <w:color w:val="000000"/>
        </w:rPr>
        <w:t xml:space="preserve">, </w:t>
      </w:r>
      <w:r>
        <w:rPr>
          <w:rFonts w:ascii="ITC Avant Garde" w:hAnsi="ITC Avant Garde" w:cs="Arial"/>
          <w:color w:val="000000"/>
        </w:rPr>
        <w:t>s</w:t>
      </w:r>
      <w:r w:rsidRPr="00F82BE7">
        <w:rPr>
          <w:rFonts w:ascii="ITC Avant Garde" w:hAnsi="ITC Avant Garde" w:cs="Arial"/>
          <w:color w:val="000000"/>
        </w:rPr>
        <w:t xml:space="preserve">e advierte que deben ser realizados por los agentes regulados </w:t>
      </w:r>
      <w:r>
        <w:rPr>
          <w:rFonts w:ascii="ITC Avant Garde" w:hAnsi="ITC Avant Garde" w:cs="Arial"/>
          <w:color w:val="000000"/>
        </w:rPr>
        <w:t>debido</w:t>
      </w:r>
      <w:r w:rsidRPr="00F82BE7">
        <w:rPr>
          <w:rFonts w:ascii="ITC Avant Garde" w:hAnsi="ITC Avant Garde" w:cs="Arial"/>
          <w:color w:val="000000"/>
        </w:rPr>
        <w:t xml:space="preserve"> </w:t>
      </w:r>
      <w:r>
        <w:rPr>
          <w:rFonts w:ascii="ITC Avant Garde" w:hAnsi="ITC Avant Garde" w:cs="Arial"/>
          <w:color w:val="000000"/>
        </w:rPr>
        <w:t>a</w:t>
      </w:r>
      <w:r w:rsidRPr="00F82BE7">
        <w:rPr>
          <w:rFonts w:ascii="ITC Avant Garde" w:hAnsi="ITC Avant Garde" w:cs="Arial"/>
          <w:color w:val="000000"/>
        </w:rPr>
        <w:t xml:space="preserve">l detalle de información que se necesita, </w:t>
      </w:r>
      <w:r>
        <w:rPr>
          <w:rFonts w:ascii="ITC Avant Garde" w:hAnsi="ITC Avant Garde" w:cs="Arial"/>
          <w:color w:val="000000"/>
        </w:rPr>
        <w:t>así como el</w:t>
      </w:r>
      <w:r w:rsidRPr="00F82BE7">
        <w:rPr>
          <w:rFonts w:ascii="ITC Avant Garde" w:hAnsi="ITC Avant Garde" w:cs="Arial"/>
          <w:color w:val="000000"/>
        </w:rPr>
        <w:t xml:space="preserve"> conocimiento específico sobre el uso de infraestructura, energía, utilización de planta y vidas útiles de la red. </w:t>
      </w:r>
      <w:r w:rsidR="003463ED">
        <w:rPr>
          <w:rFonts w:ascii="ITC Avant Garde" w:hAnsi="ITC Avant Garde" w:cs="Arial"/>
          <w:color w:val="000000"/>
        </w:rPr>
        <w:t>De esta manera, s</w:t>
      </w:r>
      <w:r w:rsidR="00161F51" w:rsidRPr="00F82BE7">
        <w:rPr>
          <w:rFonts w:ascii="ITC Avant Garde" w:hAnsi="ITC Avant Garde" w:cs="Arial"/>
          <w:color w:val="000000"/>
        </w:rPr>
        <w:t>e otorga flexibilidad</w:t>
      </w:r>
      <w:r w:rsidR="003463ED">
        <w:rPr>
          <w:rFonts w:ascii="ITC Avant Garde" w:hAnsi="ITC Avant Garde" w:cs="Arial"/>
          <w:color w:val="000000"/>
        </w:rPr>
        <w:t xml:space="preserve"> a los sujetos obligados</w:t>
      </w:r>
      <w:r w:rsidR="00105ED9" w:rsidRPr="00F82BE7">
        <w:rPr>
          <w:rFonts w:ascii="ITC Avant Garde" w:hAnsi="ITC Avant Garde" w:cs="Arial"/>
          <w:color w:val="000000"/>
        </w:rPr>
        <w:t xml:space="preserve">, y </w:t>
      </w:r>
      <w:r w:rsidR="003463ED">
        <w:rPr>
          <w:rFonts w:ascii="ITC Avant Garde" w:hAnsi="ITC Avant Garde" w:cs="Arial"/>
          <w:color w:val="000000"/>
        </w:rPr>
        <w:t xml:space="preserve">se </w:t>
      </w:r>
      <w:r w:rsidR="00105ED9" w:rsidRPr="00F82BE7">
        <w:rPr>
          <w:rFonts w:ascii="ITC Avant Garde" w:hAnsi="ITC Avant Garde" w:cs="Arial"/>
          <w:color w:val="000000"/>
        </w:rPr>
        <w:t>evita</w:t>
      </w:r>
      <w:r w:rsidR="003463ED">
        <w:rPr>
          <w:rFonts w:ascii="ITC Avant Garde" w:hAnsi="ITC Avant Garde" w:cs="Arial"/>
          <w:color w:val="000000"/>
        </w:rPr>
        <w:t>n</w:t>
      </w:r>
      <w:r w:rsidR="00105ED9" w:rsidRPr="00F82BE7">
        <w:rPr>
          <w:rFonts w:ascii="ITC Avant Garde" w:hAnsi="ITC Avant Garde" w:cs="Arial"/>
          <w:color w:val="000000"/>
        </w:rPr>
        <w:t xml:space="preserve"> costos regulatorios adicionales</w:t>
      </w:r>
      <w:r w:rsidR="003463ED">
        <w:rPr>
          <w:rFonts w:ascii="ITC Avant Garde" w:hAnsi="ITC Avant Garde" w:cs="Arial"/>
          <w:color w:val="000000"/>
        </w:rPr>
        <w:t xml:space="preserve"> derivados de la contratación de expertos</w:t>
      </w:r>
      <w:r w:rsidR="00105ED9" w:rsidRPr="00F82BE7">
        <w:rPr>
          <w:rFonts w:ascii="ITC Avant Garde" w:hAnsi="ITC Avant Garde" w:cs="Arial"/>
          <w:color w:val="000000"/>
        </w:rPr>
        <w:t>.</w:t>
      </w:r>
      <w:r w:rsidR="00F37476">
        <w:rPr>
          <w:rFonts w:ascii="ITC Avant Garde" w:hAnsi="ITC Avant Garde"/>
        </w:rPr>
        <w:t xml:space="preserve"> </w:t>
      </w:r>
      <w:r w:rsidR="00F37476" w:rsidRPr="00F37476">
        <w:rPr>
          <w:rFonts w:ascii="ITC Avant Garde" w:hAnsi="ITC Avant Garde"/>
        </w:rPr>
        <w:t xml:space="preserve">Por lo anterior, </w:t>
      </w:r>
      <w:r w:rsidR="00EB2B5A" w:rsidRPr="00EB2B5A">
        <w:rPr>
          <w:rFonts w:ascii="ITC Avant Garde" w:hAnsi="ITC Avant Garde"/>
        </w:rPr>
        <w:t>no se realizaron ajustes al Anteproyecto en los términos señalados por el participante</w:t>
      </w:r>
      <w:r w:rsidR="00F37476" w:rsidRPr="00F37476">
        <w:rPr>
          <w:rFonts w:ascii="ITC Avant Garde" w:hAnsi="ITC Avant Garde"/>
        </w:rPr>
        <w:t>.</w:t>
      </w:r>
    </w:p>
    <w:p w:rsidR="00691511" w:rsidRPr="00F82BE7" w:rsidRDefault="00691511" w:rsidP="0033377C">
      <w:pPr>
        <w:pStyle w:val="Prrafodelista"/>
        <w:numPr>
          <w:ilvl w:val="0"/>
          <w:numId w:val="4"/>
        </w:numPr>
        <w:spacing w:line="276" w:lineRule="auto"/>
        <w:jc w:val="both"/>
        <w:rPr>
          <w:rFonts w:ascii="ITC Avant Garde" w:hAnsi="ITC Avant Garde" w:cs="Arial"/>
          <w:b/>
          <w:color w:val="000000"/>
        </w:rPr>
      </w:pPr>
      <w:r w:rsidRPr="00F82BE7">
        <w:rPr>
          <w:rFonts w:ascii="ITC Avant Garde" w:hAnsi="ITC Avant Garde" w:cs="Arial"/>
          <w:b/>
          <w:color w:val="000000"/>
        </w:rPr>
        <w:t>Alineación entre medidas de preponderancia y la metodología de separación contable</w:t>
      </w:r>
    </w:p>
    <w:p w:rsidR="003403FF" w:rsidRPr="00F82BE7" w:rsidRDefault="003403FF" w:rsidP="0033377C">
      <w:pPr>
        <w:spacing w:line="276" w:lineRule="auto"/>
        <w:jc w:val="both"/>
        <w:rPr>
          <w:rFonts w:ascii="ITC Avant Garde" w:hAnsi="ITC Avant Garde" w:cs="Arial"/>
          <w:i/>
          <w:color w:val="000000"/>
        </w:rPr>
      </w:pPr>
      <w:r w:rsidRPr="00F82BE7">
        <w:rPr>
          <w:rFonts w:ascii="ITC Avant Garde" w:hAnsi="ITC Avant Garde" w:cs="Arial"/>
          <w:i/>
          <w:color w:val="000000"/>
        </w:rPr>
        <w:t>Comentarios</w:t>
      </w:r>
    </w:p>
    <w:p w:rsidR="00BA440B" w:rsidRPr="00F82BE7" w:rsidRDefault="00C800D8"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Algunos participantes </w:t>
      </w:r>
      <w:r w:rsidR="00691511" w:rsidRPr="00F82BE7">
        <w:rPr>
          <w:rFonts w:ascii="ITC Avant Garde" w:hAnsi="ITC Avant Garde" w:cs="Arial"/>
          <w:color w:val="000000"/>
        </w:rPr>
        <w:t>(</w:t>
      </w:r>
      <w:r w:rsidRPr="00F82BE7">
        <w:rPr>
          <w:rFonts w:ascii="ITC Avant Garde" w:hAnsi="ITC Avant Garde" w:cs="Arial"/>
          <w:color w:val="000000"/>
        </w:rPr>
        <w:t>Corporación de Radio y Televisión del Norte de México y Bestphone</w:t>
      </w:r>
      <w:r w:rsidR="00691511" w:rsidRPr="00F82BE7">
        <w:rPr>
          <w:rFonts w:ascii="ITC Avant Garde" w:hAnsi="ITC Avant Garde" w:cs="Arial"/>
          <w:color w:val="000000"/>
        </w:rPr>
        <w:t>) señal</w:t>
      </w:r>
      <w:r w:rsidRPr="00F82BE7">
        <w:rPr>
          <w:rFonts w:ascii="ITC Avant Garde" w:hAnsi="ITC Avant Garde" w:cs="Arial"/>
          <w:color w:val="000000"/>
        </w:rPr>
        <w:t xml:space="preserve">aron </w:t>
      </w:r>
      <w:r w:rsidR="00691511" w:rsidRPr="00F82BE7">
        <w:rPr>
          <w:rFonts w:ascii="ITC Avant Garde" w:hAnsi="ITC Avant Garde" w:cs="Arial"/>
          <w:color w:val="000000"/>
        </w:rPr>
        <w:t xml:space="preserve">que la separación contable debe </w:t>
      </w:r>
      <w:r w:rsidR="00EB26BA" w:rsidRPr="00F82BE7">
        <w:rPr>
          <w:rFonts w:ascii="ITC Avant Garde" w:hAnsi="ITC Avant Garde" w:cs="Arial"/>
          <w:color w:val="000000"/>
        </w:rPr>
        <w:t>estar alineada</w:t>
      </w:r>
      <w:r w:rsidR="00691511" w:rsidRPr="00F82BE7">
        <w:rPr>
          <w:rFonts w:ascii="ITC Avant Garde" w:hAnsi="ITC Avant Garde" w:cs="Arial"/>
          <w:color w:val="000000"/>
        </w:rPr>
        <w:t xml:space="preserve"> con los objetivos principales de las medidas de p</w:t>
      </w:r>
      <w:r w:rsidR="00EB26BA" w:rsidRPr="00F82BE7">
        <w:rPr>
          <w:rFonts w:ascii="ITC Avant Garde" w:hAnsi="ITC Avant Garde" w:cs="Arial"/>
          <w:color w:val="000000"/>
        </w:rPr>
        <w:t>reponderancia y hacer énfasis en el AEP en virtud de su dominancia sectorial, ya que es dominante en múltiples mercados relevantes.</w:t>
      </w:r>
      <w:r w:rsidR="00BA440B" w:rsidRPr="00F82BE7">
        <w:rPr>
          <w:rFonts w:ascii="ITC Avant Garde" w:hAnsi="ITC Avant Garde" w:cs="Arial"/>
          <w:color w:val="000000"/>
        </w:rPr>
        <w:t xml:space="preserve"> </w:t>
      </w:r>
    </w:p>
    <w:p w:rsidR="002B52E6" w:rsidRPr="00F82BE7" w:rsidRDefault="002B52E6"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En relación con la separación funcional que se ha impuesto al AEP en el sector de telecomunicaciones, los participantes (Corporación de Radio y Televisión del Norte de México y Bestphone) comentaron que la separación contable y la contabilidad de costos para el AEP deberían estar en línea con las obligaciones asociadas a la </w:t>
      </w:r>
      <w:r w:rsidRPr="00F82BE7">
        <w:rPr>
          <w:rFonts w:ascii="ITC Avant Garde" w:hAnsi="ITC Avant Garde" w:cs="Arial"/>
          <w:color w:val="000000"/>
        </w:rPr>
        <w:lastRenderedPageBreak/>
        <w:t>separación funcional. Señalaron que una vez que el AEP esté separado funcionalmente, sus ejercicios de separación contable deberían mostrar todo el detalle de las actividades incluidas dentro de la nueva entidad separada funcionalmente.</w:t>
      </w:r>
    </w:p>
    <w:p w:rsidR="00AA2BB6" w:rsidRPr="00F82BE7" w:rsidRDefault="00AA2BB6"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Adicionalmente, otro participante (MEGA CABLE) señaló una omisión de elementos considerados en la medida de separación contable de la Resolución mediante la cual el Pleno del Instituto suprime, modifica y adiciona las medidas impuestas al AEP en el sector de telecomunicaciones mediante resolución de 6 de marzo de 2014, aprobada mediante acuerdo P/IFT/060314/76 (Acuerdo P/IFT/EXT/270217/119). Al comparar el contenido de </w:t>
      </w:r>
      <w:r w:rsidR="0038512F" w:rsidRPr="00F82BE7">
        <w:rPr>
          <w:rFonts w:ascii="ITC Avant Garde" w:hAnsi="ITC Avant Garde" w:cs="Arial"/>
          <w:color w:val="000000"/>
        </w:rPr>
        <w:t>las medidas</w:t>
      </w:r>
      <w:r w:rsidRPr="00F82BE7">
        <w:rPr>
          <w:rFonts w:ascii="ITC Avant Garde" w:hAnsi="ITC Avant Garde" w:cs="Arial"/>
          <w:color w:val="000000"/>
        </w:rPr>
        <w:t xml:space="preserve"> de preponderancia que refieren a la separación contable con la nueva metodología de separación contable el participante advierte que se omit</w:t>
      </w:r>
      <w:r w:rsidR="00264924">
        <w:rPr>
          <w:rFonts w:ascii="ITC Avant Garde" w:hAnsi="ITC Avant Garde" w:cs="Arial"/>
          <w:color w:val="000000"/>
        </w:rPr>
        <w:t>ieron</w:t>
      </w:r>
      <w:r w:rsidRPr="00F82BE7">
        <w:rPr>
          <w:rFonts w:ascii="ITC Avant Garde" w:hAnsi="ITC Avant Garde" w:cs="Arial"/>
          <w:color w:val="000000"/>
        </w:rPr>
        <w:t xml:space="preserve"> o se ignora</w:t>
      </w:r>
      <w:r w:rsidR="00264924">
        <w:rPr>
          <w:rFonts w:ascii="ITC Avant Garde" w:hAnsi="ITC Avant Garde" w:cs="Arial"/>
          <w:color w:val="000000"/>
        </w:rPr>
        <w:t>ron</w:t>
      </w:r>
      <w:r w:rsidRPr="00F82BE7">
        <w:rPr>
          <w:rFonts w:ascii="ITC Avant Garde" w:hAnsi="ITC Avant Garde" w:cs="Arial"/>
          <w:color w:val="000000"/>
        </w:rPr>
        <w:t xml:space="preserve"> los siguientes elementos:</w:t>
      </w:r>
    </w:p>
    <w:p w:rsidR="00AA2BB6" w:rsidRPr="00F82BE7" w:rsidRDefault="00AA2BB6" w:rsidP="0033377C">
      <w:pPr>
        <w:pStyle w:val="Prrafodelista"/>
        <w:numPr>
          <w:ilvl w:val="0"/>
          <w:numId w:val="14"/>
        </w:numPr>
        <w:spacing w:line="276" w:lineRule="auto"/>
        <w:jc w:val="both"/>
        <w:rPr>
          <w:rFonts w:ascii="ITC Avant Garde" w:hAnsi="ITC Avant Garde" w:cs="Arial"/>
          <w:color w:val="000000"/>
        </w:rPr>
      </w:pPr>
      <w:r w:rsidRPr="00F82BE7">
        <w:rPr>
          <w:rFonts w:ascii="ITC Avant Garde" w:hAnsi="ITC Avant Garde" w:cs="Arial"/>
          <w:color w:val="000000"/>
        </w:rPr>
        <w:t>El AEP está obligado a permitir que el Instituto audite el procedimiento (no sólo la información contable) del ejercicio de separación contable.</w:t>
      </w:r>
    </w:p>
    <w:p w:rsidR="00AA2BB6" w:rsidRPr="00F82BE7" w:rsidRDefault="00AA2BB6" w:rsidP="0033377C">
      <w:pPr>
        <w:pStyle w:val="Prrafodelista"/>
        <w:numPr>
          <w:ilvl w:val="0"/>
          <w:numId w:val="14"/>
        </w:numPr>
        <w:spacing w:line="276" w:lineRule="auto"/>
        <w:jc w:val="both"/>
        <w:rPr>
          <w:rFonts w:ascii="ITC Avant Garde" w:hAnsi="ITC Avant Garde" w:cs="Arial"/>
          <w:color w:val="000000"/>
        </w:rPr>
      </w:pPr>
      <w:r w:rsidRPr="00F82BE7">
        <w:rPr>
          <w:rFonts w:ascii="ITC Avant Garde" w:hAnsi="ITC Avant Garde" w:cs="Arial"/>
          <w:color w:val="000000"/>
        </w:rPr>
        <w:t>El Instituto estará facultado para realizar visitas de verificación y requerir papeles, documentos, libros, archivos, etc., que permitan comprobar el cumplimiento de la separación contable.</w:t>
      </w:r>
    </w:p>
    <w:p w:rsidR="00AA2BB6" w:rsidRPr="00F82BE7" w:rsidRDefault="00AA2BB6" w:rsidP="0033377C">
      <w:pPr>
        <w:pStyle w:val="Prrafodelista"/>
        <w:numPr>
          <w:ilvl w:val="0"/>
          <w:numId w:val="14"/>
        </w:numPr>
        <w:spacing w:line="276" w:lineRule="auto"/>
        <w:jc w:val="both"/>
        <w:rPr>
          <w:rFonts w:ascii="ITC Avant Garde" w:hAnsi="ITC Avant Garde" w:cs="Arial"/>
          <w:color w:val="000000"/>
        </w:rPr>
      </w:pPr>
      <w:r w:rsidRPr="00F82BE7">
        <w:rPr>
          <w:rFonts w:ascii="ITC Avant Garde" w:hAnsi="ITC Avant Garde" w:cs="Arial"/>
          <w:color w:val="000000"/>
        </w:rPr>
        <w:t>Las sanciones que podrá ejecutar el Instituto en caso de incumplimiento, incluyendo la revocación de los títulos de concesión del Instituto.</w:t>
      </w:r>
    </w:p>
    <w:p w:rsidR="00AA2BB6" w:rsidRPr="00F82BE7" w:rsidRDefault="00AA2BB6" w:rsidP="0033377C">
      <w:pPr>
        <w:pStyle w:val="Prrafodelista"/>
        <w:numPr>
          <w:ilvl w:val="0"/>
          <w:numId w:val="14"/>
        </w:numPr>
        <w:spacing w:line="276" w:lineRule="auto"/>
        <w:jc w:val="both"/>
        <w:rPr>
          <w:rFonts w:ascii="ITC Avant Garde" w:hAnsi="ITC Avant Garde" w:cs="Arial"/>
          <w:color w:val="000000"/>
        </w:rPr>
      </w:pPr>
      <w:r w:rsidRPr="00F82BE7">
        <w:rPr>
          <w:rFonts w:ascii="ITC Avant Garde" w:hAnsi="ITC Avant Garde" w:cs="Arial"/>
          <w:color w:val="000000"/>
        </w:rPr>
        <w:t>La separación contable se debe presentar no sólo por servicio, sino también por región, función y componente de redes del AEP.</w:t>
      </w:r>
    </w:p>
    <w:p w:rsidR="00691511" w:rsidRPr="00F82BE7" w:rsidRDefault="00F96956" w:rsidP="0033377C">
      <w:pPr>
        <w:spacing w:line="276" w:lineRule="auto"/>
        <w:jc w:val="both"/>
        <w:rPr>
          <w:rFonts w:ascii="ITC Avant Garde" w:hAnsi="ITC Avant Garde" w:cs="Arial"/>
          <w:color w:val="000000"/>
        </w:rPr>
      </w:pPr>
      <w:r>
        <w:rPr>
          <w:rFonts w:ascii="ITC Avant Garde" w:hAnsi="ITC Avant Garde" w:cs="Arial"/>
          <w:i/>
          <w:color w:val="000000"/>
        </w:rPr>
        <w:t>Consideraciones</w:t>
      </w:r>
      <w:r w:rsidRPr="00F82BE7" w:rsidDel="00F96956">
        <w:rPr>
          <w:rFonts w:ascii="ITC Avant Garde" w:hAnsi="ITC Avant Garde" w:cs="Arial"/>
          <w:i/>
          <w:color w:val="000000"/>
        </w:rPr>
        <w:t xml:space="preserve"> </w:t>
      </w:r>
      <w:r w:rsidR="00691511" w:rsidRPr="00F82BE7">
        <w:rPr>
          <w:rFonts w:ascii="ITC Avant Garde" w:hAnsi="ITC Avant Garde" w:cs="Arial"/>
          <w:i/>
          <w:color w:val="000000"/>
        </w:rPr>
        <w:t>del Instituto</w:t>
      </w:r>
    </w:p>
    <w:p w:rsidR="000C0161" w:rsidRPr="00F82BE7" w:rsidRDefault="000C0161" w:rsidP="0033377C">
      <w:pPr>
        <w:spacing w:line="276" w:lineRule="auto"/>
        <w:jc w:val="both"/>
        <w:rPr>
          <w:rFonts w:ascii="ITC Avant Garde" w:hAnsi="ITC Avant Garde" w:cs="Arial"/>
          <w:color w:val="000000"/>
        </w:rPr>
      </w:pPr>
      <w:r w:rsidRPr="00F82BE7">
        <w:rPr>
          <w:rFonts w:ascii="ITC Avant Garde" w:hAnsi="ITC Avant Garde" w:cs="Arial"/>
          <w:color w:val="000000"/>
        </w:rPr>
        <w:t>Respecto a</w:t>
      </w:r>
      <w:r w:rsidR="00817C9A">
        <w:rPr>
          <w:rFonts w:ascii="ITC Avant Garde" w:hAnsi="ITC Avant Garde" w:cs="Arial"/>
          <w:color w:val="000000"/>
        </w:rPr>
        <w:t xml:space="preserve"> </w:t>
      </w:r>
      <w:r w:rsidRPr="00F82BE7">
        <w:rPr>
          <w:rFonts w:ascii="ITC Avant Garde" w:hAnsi="ITC Avant Garde" w:cs="Arial"/>
          <w:color w:val="000000"/>
        </w:rPr>
        <w:t>l</w:t>
      </w:r>
      <w:r w:rsidR="00817C9A">
        <w:rPr>
          <w:rFonts w:ascii="ITC Avant Garde" w:hAnsi="ITC Avant Garde" w:cs="Arial"/>
          <w:color w:val="000000"/>
        </w:rPr>
        <w:t>os</w:t>
      </w:r>
      <w:r w:rsidRPr="00F82BE7">
        <w:rPr>
          <w:rFonts w:ascii="ITC Avant Garde" w:hAnsi="ITC Avant Garde" w:cs="Arial"/>
          <w:color w:val="000000"/>
        </w:rPr>
        <w:t xml:space="preserve"> comentario</w:t>
      </w:r>
      <w:r w:rsidR="00817C9A">
        <w:rPr>
          <w:rFonts w:ascii="ITC Avant Garde" w:hAnsi="ITC Avant Garde" w:cs="Arial"/>
          <w:color w:val="000000"/>
        </w:rPr>
        <w:t>s</w:t>
      </w:r>
      <w:r w:rsidRPr="00F82BE7">
        <w:rPr>
          <w:rFonts w:ascii="ITC Avant Garde" w:hAnsi="ITC Avant Garde" w:cs="Arial"/>
          <w:color w:val="000000"/>
        </w:rPr>
        <w:t xml:space="preserve"> </w:t>
      </w:r>
      <w:r w:rsidR="00817C9A">
        <w:rPr>
          <w:rFonts w:ascii="ITC Avant Garde" w:hAnsi="ITC Avant Garde" w:cs="Arial"/>
          <w:color w:val="000000"/>
        </w:rPr>
        <w:t>de este apartado</w:t>
      </w:r>
      <w:r w:rsidR="00395613" w:rsidRPr="00F82BE7">
        <w:rPr>
          <w:rFonts w:ascii="ITC Avant Garde" w:hAnsi="ITC Avant Garde" w:cs="Arial"/>
          <w:color w:val="000000"/>
        </w:rPr>
        <w:t xml:space="preserve">, </w:t>
      </w:r>
      <w:r w:rsidRPr="00F82BE7">
        <w:rPr>
          <w:rFonts w:ascii="ITC Avant Garde" w:hAnsi="ITC Avant Garde" w:cs="Arial"/>
          <w:color w:val="000000"/>
        </w:rPr>
        <w:t xml:space="preserve">se señala que </w:t>
      </w:r>
      <w:r w:rsidR="009B5483" w:rsidRPr="00F82BE7">
        <w:rPr>
          <w:rFonts w:ascii="ITC Avant Garde" w:hAnsi="ITC Avant Garde" w:cs="Arial"/>
          <w:color w:val="000000"/>
        </w:rPr>
        <w:t xml:space="preserve">el </w:t>
      </w:r>
      <w:r w:rsidR="00F077A7" w:rsidRPr="00F82BE7">
        <w:rPr>
          <w:rFonts w:ascii="ITC Avant Garde" w:hAnsi="ITC Avant Garde" w:cs="Arial"/>
          <w:color w:val="000000"/>
        </w:rPr>
        <w:t>A</w:t>
      </w:r>
      <w:r w:rsidR="009A3E73">
        <w:rPr>
          <w:rFonts w:ascii="ITC Avant Garde" w:hAnsi="ITC Avant Garde" w:cs="Arial"/>
          <w:color w:val="000000"/>
        </w:rPr>
        <w:t>nteproyecto</w:t>
      </w:r>
      <w:r w:rsidR="00F077A7" w:rsidRPr="00F82BE7">
        <w:rPr>
          <w:rFonts w:ascii="ITC Avant Garde" w:hAnsi="ITC Avant Garde" w:cs="Arial"/>
          <w:color w:val="000000"/>
        </w:rPr>
        <w:t xml:space="preserve"> </w:t>
      </w:r>
      <w:r w:rsidRPr="00F82BE7">
        <w:rPr>
          <w:rFonts w:ascii="ITC Avant Garde" w:hAnsi="ITC Avant Garde" w:cs="Arial"/>
          <w:color w:val="000000"/>
        </w:rPr>
        <w:t xml:space="preserve">no </w:t>
      </w:r>
      <w:r w:rsidR="009B5483" w:rsidRPr="00F82BE7">
        <w:rPr>
          <w:rFonts w:ascii="ITC Avant Garde" w:hAnsi="ITC Avant Garde" w:cs="Arial"/>
          <w:color w:val="000000"/>
        </w:rPr>
        <w:t xml:space="preserve">se deriva de las medidas impuestas </w:t>
      </w:r>
      <w:r w:rsidRPr="00F82BE7">
        <w:rPr>
          <w:rFonts w:ascii="ITC Avant Garde" w:hAnsi="ITC Avant Garde" w:cs="Arial"/>
          <w:color w:val="000000"/>
        </w:rPr>
        <w:t xml:space="preserve">a ciertos agentes, ya que es una disposición regulatoria de </w:t>
      </w:r>
      <w:r w:rsidR="00763DA7">
        <w:rPr>
          <w:rFonts w:ascii="ITC Avant Garde" w:hAnsi="ITC Avant Garde" w:cs="Arial"/>
          <w:color w:val="000000"/>
        </w:rPr>
        <w:t>carácter</w:t>
      </w:r>
      <w:r w:rsidR="00763DA7" w:rsidRPr="00F82BE7">
        <w:rPr>
          <w:rFonts w:ascii="ITC Avant Garde" w:hAnsi="ITC Avant Garde" w:cs="Arial"/>
          <w:color w:val="000000"/>
        </w:rPr>
        <w:t xml:space="preserve"> </w:t>
      </w:r>
      <w:r w:rsidRPr="00F82BE7">
        <w:rPr>
          <w:rFonts w:ascii="ITC Avant Garde" w:hAnsi="ITC Avant Garde" w:cs="Arial"/>
          <w:color w:val="000000"/>
        </w:rPr>
        <w:t>general para cualquier AEP, agente con poder sustancial de mercado o redes compartidas mayoristas. Lo anterior, en virtud de que el Instituto tiene la facultad de expedir disposiciones de carácter general a fin de dar cumplimiento a lo dispuesto en la Ley Federal de Telecomunicaciones y Radiodifusión:</w:t>
      </w:r>
    </w:p>
    <w:p w:rsidR="000C0161" w:rsidRPr="005308AF" w:rsidRDefault="000C0161" w:rsidP="0033377C">
      <w:pPr>
        <w:pStyle w:val="Cita"/>
        <w:spacing w:line="276" w:lineRule="auto"/>
        <w:jc w:val="both"/>
        <w:rPr>
          <w:rFonts w:ascii="ITC Avant Garde" w:hAnsi="ITC Avant Garde"/>
          <w:color w:val="auto"/>
          <w:sz w:val="20"/>
        </w:rPr>
      </w:pPr>
      <w:r w:rsidRPr="005308AF">
        <w:rPr>
          <w:rFonts w:ascii="ITC Avant Garde" w:hAnsi="ITC Avant Garde"/>
          <w:color w:val="auto"/>
          <w:sz w:val="20"/>
        </w:rPr>
        <w:t>“</w:t>
      </w:r>
      <w:r w:rsidRPr="005308AF">
        <w:rPr>
          <w:rFonts w:ascii="ITC Avant Garde" w:hAnsi="ITC Avant Garde"/>
          <w:b/>
          <w:color w:val="auto"/>
          <w:sz w:val="20"/>
        </w:rPr>
        <w:t>Artículo 15.</w:t>
      </w:r>
      <w:r w:rsidRPr="005308AF">
        <w:rPr>
          <w:rFonts w:ascii="ITC Avant Garde" w:hAnsi="ITC Avant Garde"/>
          <w:color w:val="auto"/>
          <w:sz w:val="20"/>
        </w:rPr>
        <w:t xml:space="preserve"> Para el ejercicio de sus atribuciones corresponde al Instituto:</w:t>
      </w:r>
    </w:p>
    <w:p w:rsidR="000C0161" w:rsidRPr="005308AF" w:rsidRDefault="000C0161" w:rsidP="0033377C">
      <w:pPr>
        <w:pStyle w:val="Cita"/>
        <w:spacing w:line="276" w:lineRule="auto"/>
        <w:jc w:val="both"/>
        <w:rPr>
          <w:rFonts w:ascii="ITC Avant Garde" w:hAnsi="ITC Avant Garde"/>
          <w:color w:val="auto"/>
          <w:sz w:val="20"/>
        </w:rPr>
      </w:pPr>
      <w:r w:rsidRPr="005308AF">
        <w:rPr>
          <w:rFonts w:ascii="ITC Avant Garde" w:hAnsi="ITC Avant Garde"/>
          <w:b/>
          <w:color w:val="auto"/>
          <w:sz w:val="20"/>
        </w:rPr>
        <w:t>I.</w:t>
      </w:r>
      <w:r w:rsidRPr="005308AF">
        <w:rPr>
          <w:rFonts w:ascii="ITC Avant Garde" w:hAnsi="ITC Avant Garde"/>
          <w:color w:val="auto"/>
          <w:sz w:val="20"/>
        </w:rPr>
        <w:t xml:space="preserve">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esta Ley;</w:t>
      </w:r>
    </w:p>
    <w:p w:rsidR="000C0161" w:rsidRPr="005308AF" w:rsidRDefault="000C0161" w:rsidP="0033377C">
      <w:pPr>
        <w:pStyle w:val="Cita"/>
        <w:spacing w:line="276" w:lineRule="auto"/>
        <w:jc w:val="both"/>
        <w:rPr>
          <w:rFonts w:ascii="ITC Avant Garde" w:hAnsi="ITC Avant Garde"/>
          <w:color w:val="auto"/>
          <w:sz w:val="20"/>
        </w:rPr>
      </w:pPr>
      <w:r w:rsidRPr="005308AF">
        <w:rPr>
          <w:rFonts w:ascii="ITC Avant Garde" w:hAnsi="ITC Avant Garde"/>
          <w:color w:val="auto"/>
          <w:sz w:val="20"/>
        </w:rPr>
        <w:lastRenderedPageBreak/>
        <w:t>[...]”</w:t>
      </w:r>
    </w:p>
    <w:p w:rsidR="008A556C" w:rsidRPr="008A556C" w:rsidRDefault="00607B8E" w:rsidP="0033377C">
      <w:pPr>
        <w:spacing w:line="276" w:lineRule="auto"/>
        <w:jc w:val="both"/>
        <w:rPr>
          <w:rFonts w:ascii="ITC Avant Garde" w:hAnsi="ITC Avant Garde" w:cs="Arial"/>
          <w:color w:val="000000"/>
        </w:rPr>
      </w:pPr>
      <w:r>
        <w:rPr>
          <w:rFonts w:ascii="ITC Avant Garde" w:hAnsi="ITC Avant Garde" w:cs="Arial"/>
          <w:color w:val="000000"/>
        </w:rPr>
        <w:t xml:space="preserve">No obstante, es necesario señalar </w:t>
      </w:r>
      <w:r w:rsidR="00CD4CC3">
        <w:rPr>
          <w:rFonts w:ascii="ITC Avant Garde" w:hAnsi="ITC Avant Garde" w:cs="Arial"/>
          <w:color w:val="000000"/>
        </w:rPr>
        <w:t xml:space="preserve">que mediante </w:t>
      </w:r>
      <w:r w:rsidR="002A0E85">
        <w:rPr>
          <w:rFonts w:ascii="ITC Avant Garde" w:hAnsi="ITC Avant Garde" w:cs="Arial"/>
          <w:color w:val="000000"/>
        </w:rPr>
        <w:t xml:space="preserve">los </w:t>
      </w:r>
      <w:r w:rsidR="00CD4CC3">
        <w:rPr>
          <w:rFonts w:ascii="ITC Avant Garde" w:hAnsi="ITC Avant Garde" w:cs="Arial"/>
          <w:color w:val="000000"/>
        </w:rPr>
        <w:t xml:space="preserve">programas de implementación </w:t>
      </w:r>
      <w:r w:rsidR="008A556C">
        <w:rPr>
          <w:rFonts w:ascii="ITC Avant Garde" w:hAnsi="ITC Avant Garde" w:cs="Arial"/>
          <w:color w:val="000000"/>
        </w:rPr>
        <w:t xml:space="preserve">el Instituto podrá evaluar el alineamiento de la separación contable con la operación y regulación de los concesionarios en particular, </w:t>
      </w:r>
      <w:r w:rsidR="008A556C" w:rsidRPr="008A556C">
        <w:rPr>
          <w:rFonts w:ascii="ITC Avant Garde" w:hAnsi="ITC Avant Garde" w:cs="Arial"/>
          <w:color w:val="000000"/>
        </w:rPr>
        <w:t xml:space="preserve">a efecto de que </w:t>
      </w:r>
      <w:r w:rsidR="008A556C">
        <w:rPr>
          <w:rFonts w:ascii="ITC Avant Garde" w:hAnsi="ITC Avant Garde" w:cs="Arial"/>
          <w:color w:val="000000"/>
        </w:rPr>
        <w:t xml:space="preserve">la información sea oportuna para necesidades </w:t>
      </w:r>
      <w:r w:rsidR="008A556C" w:rsidRPr="008A556C">
        <w:rPr>
          <w:rFonts w:ascii="ITC Avant Garde" w:hAnsi="ITC Avant Garde" w:cs="Arial"/>
          <w:color w:val="000000"/>
        </w:rPr>
        <w:t>del Instituto.</w:t>
      </w:r>
      <w:r w:rsidR="008A556C">
        <w:rPr>
          <w:rFonts w:ascii="ITC Avant Garde" w:hAnsi="ITC Avant Garde" w:cs="Arial"/>
          <w:color w:val="000000"/>
        </w:rPr>
        <w:t xml:space="preserve"> En este sentido, </w:t>
      </w:r>
      <w:r w:rsidR="008A556C" w:rsidRPr="008A556C">
        <w:rPr>
          <w:rFonts w:ascii="ITC Avant Garde" w:hAnsi="ITC Avant Garde" w:cs="Arial"/>
          <w:color w:val="000000"/>
        </w:rPr>
        <w:t>se advierte que hay una amplia revisión y retroalimentación de la implementación de la separación contable, a través de la incorporación de los programas de implementación, la posibilidad de modificar el programa de implementación y las revisiones periódicas de la información de separación contable entregada.</w:t>
      </w:r>
    </w:p>
    <w:p w:rsidR="000E144F" w:rsidRDefault="000E144F"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Por lo anterior, </w:t>
      </w:r>
      <w:r w:rsidR="002A0E85" w:rsidRPr="002A0E85">
        <w:rPr>
          <w:rFonts w:ascii="ITC Avant Garde" w:hAnsi="ITC Avant Garde" w:cs="Arial"/>
          <w:color w:val="000000"/>
        </w:rPr>
        <w:t xml:space="preserve">no se realizaron ajustes al Anteproyecto en los términos señalados por </w:t>
      </w:r>
      <w:r w:rsidR="00FE1A3B">
        <w:rPr>
          <w:rFonts w:ascii="ITC Avant Garde" w:hAnsi="ITC Avant Garde" w:cs="Arial"/>
          <w:color w:val="000000"/>
        </w:rPr>
        <w:t>los</w:t>
      </w:r>
      <w:r w:rsidR="002A0E85" w:rsidRPr="002A0E85">
        <w:rPr>
          <w:rFonts w:ascii="ITC Avant Garde" w:hAnsi="ITC Avant Garde" w:cs="Arial"/>
          <w:color w:val="000000"/>
        </w:rPr>
        <w:t xml:space="preserve"> participante</w:t>
      </w:r>
      <w:r w:rsidR="00FE1A3B">
        <w:rPr>
          <w:rFonts w:ascii="ITC Avant Garde" w:hAnsi="ITC Avant Garde" w:cs="Arial"/>
          <w:color w:val="000000"/>
        </w:rPr>
        <w:t>s</w:t>
      </w:r>
      <w:r w:rsidR="00F077A7" w:rsidRPr="00F82BE7">
        <w:rPr>
          <w:rFonts w:ascii="ITC Avant Garde" w:hAnsi="ITC Avant Garde" w:cs="Arial"/>
          <w:color w:val="000000"/>
        </w:rPr>
        <w:t>.</w:t>
      </w:r>
    </w:p>
    <w:p w:rsidR="00EB26BA" w:rsidRPr="00F82BE7" w:rsidRDefault="00EB26BA" w:rsidP="0033377C">
      <w:pPr>
        <w:pStyle w:val="Prrafodelista"/>
        <w:numPr>
          <w:ilvl w:val="0"/>
          <w:numId w:val="4"/>
        </w:numPr>
        <w:spacing w:line="276" w:lineRule="auto"/>
        <w:jc w:val="both"/>
        <w:rPr>
          <w:rFonts w:ascii="ITC Avant Garde" w:hAnsi="ITC Avant Garde" w:cs="Arial"/>
          <w:b/>
          <w:color w:val="000000"/>
        </w:rPr>
      </w:pPr>
      <w:r w:rsidRPr="00F82BE7">
        <w:rPr>
          <w:rFonts w:ascii="ITC Avant Garde" w:hAnsi="ITC Avant Garde" w:cs="Arial"/>
          <w:b/>
          <w:color w:val="000000"/>
        </w:rPr>
        <w:t>Gradualidad en la aplicación de la separación contable</w:t>
      </w:r>
    </w:p>
    <w:p w:rsidR="003403FF" w:rsidRPr="00F82BE7" w:rsidRDefault="003403FF" w:rsidP="0033377C">
      <w:pPr>
        <w:spacing w:line="276" w:lineRule="auto"/>
        <w:jc w:val="both"/>
        <w:rPr>
          <w:rFonts w:ascii="ITC Avant Garde" w:hAnsi="ITC Avant Garde" w:cs="Arial"/>
          <w:i/>
          <w:color w:val="000000"/>
        </w:rPr>
      </w:pPr>
      <w:r w:rsidRPr="00F82BE7">
        <w:rPr>
          <w:rFonts w:ascii="ITC Avant Garde" w:hAnsi="ITC Avant Garde" w:cs="Arial"/>
          <w:i/>
          <w:color w:val="000000"/>
        </w:rPr>
        <w:t>Comentarios</w:t>
      </w:r>
    </w:p>
    <w:p w:rsidR="004867C4" w:rsidRPr="00F82BE7" w:rsidRDefault="00EB26BA"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Algunos participantes (Corporación de Radio y Televisión del Norte de México y Bestphone) señalaron que la separación contable debe hacerse más rigurosa al AEP en virtud de su dominancia sectorial, ya que es dominante en múltiples mercados relevantes. En este sentido, </w:t>
      </w:r>
      <w:r w:rsidR="004867C4" w:rsidRPr="00F82BE7">
        <w:rPr>
          <w:rFonts w:ascii="ITC Avant Garde" w:hAnsi="ITC Avant Garde" w:cs="Arial"/>
          <w:color w:val="000000"/>
        </w:rPr>
        <w:t>comentaron</w:t>
      </w:r>
      <w:r w:rsidRPr="00F82BE7">
        <w:rPr>
          <w:rFonts w:ascii="ITC Avant Garde" w:hAnsi="ITC Avant Garde" w:cs="Arial"/>
          <w:color w:val="000000"/>
        </w:rPr>
        <w:t xml:space="preserve"> que en la experiencia internacional existe una graduación de la medida de separación contable según se aplique a un operador dominante en múltiples mercados o se aplique a operadores designados con poder sustancial de mercado, y que en algunos casos no se llega a imponer la obligación de presentar cuentas separadas a operadores con poder sustancial de mercado en un solo mercado relevante.</w:t>
      </w:r>
      <w:r w:rsidR="004867C4" w:rsidRPr="00F82BE7">
        <w:rPr>
          <w:rFonts w:ascii="ITC Avant Garde" w:hAnsi="ITC Avant Garde" w:cs="Arial"/>
          <w:color w:val="000000"/>
        </w:rPr>
        <w:t xml:space="preserve"> </w:t>
      </w:r>
    </w:p>
    <w:p w:rsidR="00EB26BA" w:rsidRPr="00F82BE7" w:rsidRDefault="00F96956" w:rsidP="0033377C">
      <w:pPr>
        <w:spacing w:line="276" w:lineRule="auto"/>
        <w:jc w:val="both"/>
        <w:rPr>
          <w:rFonts w:ascii="ITC Avant Garde" w:hAnsi="ITC Avant Garde" w:cs="Arial"/>
          <w:color w:val="000000"/>
        </w:rPr>
      </w:pPr>
      <w:r>
        <w:rPr>
          <w:rFonts w:ascii="ITC Avant Garde" w:hAnsi="ITC Avant Garde" w:cs="Arial"/>
          <w:i/>
          <w:color w:val="000000"/>
        </w:rPr>
        <w:t>Consideraciones</w:t>
      </w:r>
      <w:r w:rsidRPr="00F82BE7" w:rsidDel="00F96956">
        <w:rPr>
          <w:rFonts w:ascii="ITC Avant Garde" w:hAnsi="ITC Avant Garde" w:cs="Arial"/>
          <w:i/>
          <w:color w:val="000000"/>
        </w:rPr>
        <w:t xml:space="preserve"> </w:t>
      </w:r>
      <w:r w:rsidR="00EB26BA" w:rsidRPr="00F82BE7">
        <w:rPr>
          <w:rFonts w:ascii="ITC Avant Garde" w:hAnsi="ITC Avant Garde" w:cs="Arial"/>
          <w:i/>
          <w:color w:val="000000"/>
        </w:rPr>
        <w:t>del Instituto</w:t>
      </w:r>
    </w:p>
    <w:p w:rsidR="00B067CA" w:rsidRDefault="00FA5F90" w:rsidP="0033377C">
      <w:pPr>
        <w:spacing w:line="276" w:lineRule="auto"/>
        <w:jc w:val="both"/>
        <w:rPr>
          <w:rFonts w:ascii="ITC Avant Garde" w:hAnsi="ITC Avant Garde" w:cs="Arial"/>
          <w:color w:val="000000"/>
        </w:rPr>
      </w:pPr>
      <w:r>
        <w:rPr>
          <w:rFonts w:ascii="ITC Avant Garde" w:hAnsi="ITC Avant Garde" w:cs="Arial"/>
          <w:color w:val="000000"/>
        </w:rPr>
        <w:t xml:space="preserve">En </w:t>
      </w:r>
      <w:r w:rsidR="00F223CF" w:rsidRPr="00F82BE7">
        <w:rPr>
          <w:rFonts w:ascii="ITC Avant Garde" w:hAnsi="ITC Avant Garde" w:cs="Arial"/>
          <w:color w:val="000000"/>
        </w:rPr>
        <w:t xml:space="preserve">el </w:t>
      </w:r>
      <w:r w:rsidR="00F077A7" w:rsidRPr="00F82BE7">
        <w:rPr>
          <w:rFonts w:ascii="ITC Avant Garde" w:hAnsi="ITC Avant Garde" w:cs="Arial"/>
          <w:color w:val="000000"/>
        </w:rPr>
        <w:t xml:space="preserve">Acuerdo </w:t>
      </w:r>
      <w:r>
        <w:rPr>
          <w:rFonts w:ascii="ITC Avant Garde" w:hAnsi="ITC Avant Garde" w:cs="Arial"/>
          <w:color w:val="000000"/>
        </w:rPr>
        <w:t>se</w:t>
      </w:r>
      <w:r w:rsidR="00F223CF" w:rsidRPr="00F82BE7">
        <w:rPr>
          <w:rFonts w:ascii="ITC Avant Garde" w:hAnsi="ITC Avant Garde" w:cs="Arial"/>
          <w:color w:val="000000"/>
        </w:rPr>
        <w:t xml:space="preserve"> prevé</w:t>
      </w:r>
      <w:r>
        <w:rPr>
          <w:rFonts w:ascii="ITC Avant Garde" w:hAnsi="ITC Avant Garde" w:cs="Arial"/>
          <w:color w:val="000000"/>
        </w:rPr>
        <w:t>n</w:t>
      </w:r>
      <w:r w:rsidR="00F223CF" w:rsidRPr="00F82BE7">
        <w:rPr>
          <w:rFonts w:ascii="ITC Avant Garde" w:hAnsi="ITC Avant Garde" w:cs="Arial"/>
          <w:color w:val="000000"/>
        </w:rPr>
        <w:t xml:space="preserve"> </w:t>
      </w:r>
      <w:r w:rsidR="00F0211B" w:rsidRPr="00F82BE7">
        <w:rPr>
          <w:rFonts w:ascii="ITC Avant Garde" w:hAnsi="ITC Avant Garde" w:cs="Arial"/>
          <w:color w:val="000000"/>
        </w:rPr>
        <w:t xml:space="preserve">las características </w:t>
      </w:r>
      <w:r w:rsidR="005C3862" w:rsidRPr="00F82BE7">
        <w:rPr>
          <w:rFonts w:ascii="ITC Avant Garde" w:hAnsi="ITC Avant Garde" w:cs="Arial"/>
          <w:color w:val="000000"/>
        </w:rPr>
        <w:t>específicas</w:t>
      </w:r>
      <w:r w:rsidR="00F0211B" w:rsidRPr="00F82BE7">
        <w:rPr>
          <w:rFonts w:ascii="ITC Avant Garde" w:hAnsi="ITC Avant Garde" w:cs="Arial"/>
          <w:color w:val="000000"/>
        </w:rPr>
        <w:t xml:space="preserve"> de cada figura</w:t>
      </w:r>
      <w:r w:rsidR="00002316">
        <w:rPr>
          <w:rFonts w:ascii="ITC Avant Garde" w:hAnsi="ITC Avant Garde" w:cs="Arial"/>
          <w:color w:val="000000"/>
        </w:rPr>
        <w:t xml:space="preserve"> en lo que respecta al nivel de rigurosidad</w:t>
      </w:r>
      <w:r w:rsidR="00F0211B" w:rsidRPr="00F82BE7">
        <w:rPr>
          <w:rFonts w:ascii="ITC Avant Garde" w:hAnsi="ITC Avant Garde" w:cs="Arial"/>
          <w:color w:val="000000"/>
        </w:rPr>
        <w:t xml:space="preserve">. </w:t>
      </w:r>
      <w:r w:rsidR="00F223CF" w:rsidRPr="00F82BE7">
        <w:rPr>
          <w:rFonts w:ascii="ITC Avant Garde" w:hAnsi="ITC Avant Garde" w:cs="Arial"/>
          <w:color w:val="000000"/>
        </w:rPr>
        <w:t>Lo anterior</w:t>
      </w:r>
      <w:r w:rsidR="005C3862" w:rsidRPr="00F82BE7">
        <w:rPr>
          <w:rFonts w:ascii="ITC Avant Garde" w:hAnsi="ITC Avant Garde" w:cs="Arial"/>
          <w:color w:val="000000"/>
        </w:rPr>
        <w:t xml:space="preserve">, </w:t>
      </w:r>
      <w:r w:rsidR="00F223CF" w:rsidRPr="00F82BE7">
        <w:rPr>
          <w:rFonts w:ascii="ITC Avant Garde" w:hAnsi="ITC Avant Garde" w:cs="Arial"/>
          <w:color w:val="000000"/>
        </w:rPr>
        <w:t>debido a que cada sujeto obligado deberá apegarse a los formatos de separación contable de acuerdo a los servicios que preste, así como a su naturaleza</w:t>
      </w:r>
      <w:r w:rsidR="001344C2">
        <w:rPr>
          <w:rFonts w:ascii="ITC Avant Garde" w:hAnsi="ITC Avant Garde" w:cs="Arial"/>
          <w:color w:val="000000"/>
        </w:rPr>
        <w:t xml:space="preserve"> jurídica y sus características</w:t>
      </w:r>
      <w:r w:rsidR="00F223CF" w:rsidRPr="00F82BE7">
        <w:rPr>
          <w:rFonts w:ascii="ITC Avant Garde" w:hAnsi="ITC Avant Garde" w:cs="Arial"/>
          <w:color w:val="000000"/>
        </w:rPr>
        <w:t>. Por lo tanto, un agente económico preponderante realizará una mayor desagregación de sus actividades en virtud de la cantidad de servicios que ofrece, a diferencia de un agente con poder sustancial que pudiera proveer una menor cantidad de servicios.</w:t>
      </w:r>
      <w:r w:rsidR="0029439A" w:rsidRPr="00F82BE7">
        <w:rPr>
          <w:rFonts w:ascii="ITC Avant Garde" w:hAnsi="ITC Avant Garde" w:cs="Arial"/>
          <w:color w:val="000000"/>
        </w:rPr>
        <w:t xml:space="preserve"> </w:t>
      </w:r>
      <w:r w:rsidR="00B067CA">
        <w:rPr>
          <w:rFonts w:ascii="ITC Avant Garde" w:hAnsi="ITC Avant Garde"/>
        </w:rPr>
        <w:t xml:space="preserve">Cabe </w:t>
      </w:r>
      <w:r w:rsidR="001141C4">
        <w:rPr>
          <w:rFonts w:ascii="ITC Avant Garde" w:hAnsi="ITC Avant Garde"/>
        </w:rPr>
        <w:t>señalar</w:t>
      </w:r>
      <w:r w:rsidR="00B067CA">
        <w:rPr>
          <w:rFonts w:ascii="ITC Avant Garde" w:hAnsi="ITC Avant Garde"/>
        </w:rPr>
        <w:t xml:space="preserve"> que, </w:t>
      </w:r>
      <w:r w:rsidR="001141C4">
        <w:rPr>
          <w:rFonts w:ascii="ITC Avant Garde" w:hAnsi="ITC Avant Garde"/>
        </w:rPr>
        <w:t xml:space="preserve">el nivel de detalle de la información requerida de los sujetos obligados </w:t>
      </w:r>
      <w:r w:rsidR="00B067CA" w:rsidRPr="002E263A">
        <w:rPr>
          <w:rFonts w:ascii="ITC Avant Garde" w:hAnsi="ITC Avant Garde"/>
        </w:rPr>
        <w:t xml:space="preserve">podrá ser adaptada durante el proceso de autorización del programa de implementación a efecto de que se adecue a las </w:t>
      </w:r>
      <w:r w:rsidR="00B067CA">
        <w:rPr>
          <w:rFonts w:ascii="ITC Avant Garde" w:hAnsi="ITC Avant Garde"/>
        </w:rPr>
        <w:t xml:space="preserve">necesidades de información </w:t>
      </w:r>
      <w:r w:rsidR="00B067CA" w:rsidRPr="002E263A">
        <w:rPr>
          <w:rFonts w:ascii="ITC Avant Garde" w:hAnsi="ITC Avant Garde"/>
        </w:rPr>
        <w:t>del Instituto</w:t>
      </w:r>
      <w:r w:rsidR="00B067CA" w:rsidRPr="00F82BE7">
        <w:rPr>
          <w:rFonts w:ascii="ITC Avant Garde" w:hAnsi="ITC Avant Garde" w:cs="Arial"/>
          <w:color w:val="000000"/>
        </w:rPr>
        <w:t xml:space="preserve">. En este sentido, </w:t>
      </w:r>
      <w:r w:rsidR="00B067CA">
        <w:rPr>
          <w:rFonts w:ascii="ITC Avant Garde" w:hAnsi="ITC Avant Garde" w:cs="Arial"/>
          <w:color w:val="000000"/>
        </w:rPr>
        <w:t>durante la revisión de los programas de implementación se valorará el</w:t>
      </w:r>
      <w:r w:rsidR="00B067CA" w:rsidRPr="00F82BE7">
        <w:rPr>
          <w:rFonts w:ascii="ITC Avant Garde" w:hAnsi="ITC Avant Garde" w:cs="Arial"/>
          <w:color w:val="000000"/>
        </w:rPr>
        <w:t xml:space="preserve"> nivel de </w:t>
      </w:r>
      <w:r w:rsidR="00002316">
        <w:rPr>
          <w:rFonts w:ascii="ITC Avant Garde" w:hAnsi="ITC Avant Garde" w:cs="Arial"/>
          <w:color w:val="000000"/>
        </w:rPr>
        <w:t>rigurosidad de la separación contable</w:t>
      </w:r>
      <w:r w:rsidR="00B067CA" w:rsidRPr="00F82BE7">
        <w:rPr>
          <w:rFonts w:ascii="ITC Avant Garde" w:hAnsi="ITC Avant Garde" w:cs="Arial"/>
          <w:color w:val="000000"/>
        </w:rPr>
        <w:t xml:space="preserve"> </w:t>
      </w:r>
      <w:r w:rsidR="00B067CA">
        <w:rPr>
          <w:rFonts w:ascii="ITC Avant Garde" w:hAnsi="ITC Avant Garde" w:cs="Arial"/>
          <w:color w:val="000000"/>
        </w:rPr>
        <w:t xml:space="preserve">dependiendo de las </w:t>
      </w:r>
      <w:r w:rsidR="00B067CA" w:rsidRPr="00F82BE7">
        <w:rPr>
          <w:rFonts w:ascii="ITC Avant Garde" w:hAnsi="ITC Avant Garde" w:cs="Arial"/>
          <w:color w:val="000000"/>
        </w:rPr>
        <w:t xml:space="preserve">características específicas de </w:t>
      </w:r>
      <w:r w:rsidR="001141C4">
        <w:rPr>
          <w:rFonts w:ascii="ITC Avant Garde" w:hAnsi="ITC Avant Garde" w:cs="Arial"/>
          <w:color w:val="000000"/>
        </w:rPr>
        <w:t>los agentes</w:t>
      </w:r>
      <w:r w:rsidR="00B067CA" w:rsidRPr="00F82BE7">
        <w:rPr>
          <w:rFonts w:ascii="ITC Avant Garde" w:hAnsi="ITC Avant Garde" w:cs="Arial"/>
          <w:color w:val="000000"/>
        </w:rPr>
        <w:t>.</w:t>
      </w:r>
    </w:p>
    <w:p w:rsidR="00F0211B" w:rsidRPr="00F82BE7" w:rsidRDefault="00CC3AFD" w:rsidP="0033377C">
      <w:pPr>
        <w:spacing w:line="276" w:lineRule="auto"/>
        <w:jc w:val="both"/>
        <w:rPr>
          <w:rFonts w:ascii="ITC Avant Garde" w:hAnsi="ITC Avant Garde" w:cs="Arial"/>
          <w:color w:val="000000"/>
        </w:rPr>
      </w:pPr>
      <w:r>
        <w:rPr>
          <w:rFonts w:ascii="ITC Avant Garde" w:hAnsi="ITC Avant Garde" w:cs="Arial"/>
          <w:color w:val="000000"/>
        </w:rPr>
        <w:lastRenderedPageBreak/>
        <w:t>P</w:t>
      </w:r>
      <w:r w:rsidR="0029439A" w:rsidRPr="00F82BE7">
        <w:rPr>
          <w:rFonts w:ascii="ITC Avant Garde" w:hAnsi="ITC Avant Garde" w:cs="Arial"/>
          <w:color w:val="000000"/>
        </w:rPr>
        <w:t>or lo anterior</w:t>
      </w:r>
      <w:r>
        <w:rPr>
          <w:rFonts w:ascii="ITC Avant Garde" w:hAnsi="ITC Avant Garde" w:cs="Arial"/>
          <w:color w:val="000000"/>
        </w:rPr>
        <w:t xml:space="preserve">, </w:t>
      </w:r>
      <w:r w:rsidRPr="00CC3AFD">
        <w:rPr>
          <w:rFonts w:ascii="ITC Avant Garde" w:hAnsi="ITC Avant Garde" w:cs="Arial"/>
          <w:color w:val="000000"/>
        </w:rPr>
        <w:t xml:space="preserve">no se realizaron ajustes al Anteproyecto en los términos señalados por </w:t>
      </w:r>
      <w:r w:rsidR="00C52C78">
        <w:rPr>
          <w:rFonts w:ascii="ITC Avant Garde" w:hAnsi="ITC Avant Garde" w:cs="Arial"/>
          <w:color w:val="000000"/>
        </w:rPr>
        <w:t>los</w:t>
      </w:r>
      <w:r w:rsidRPr="00CC3AFD">
        <w:rPr>
          <w:rFonts w:ascii="ITC Avant Garde" w:hAnsi="ITC Avant Garde" w:cs="Arial"/>
          <w:color w:val="000000"/>
        </w:rPr>
        <w:t xml:space="preserve"> participante</w:t>
      </w:r>
      <w:r w:rsidR="00C52C78">
        <w:rPr>
          <w:rFonts w:ascii="ITC Avant Garde" w:hAnsi="ITC Avant Garde" w:cs="Arial"/>
          <w:color w:val="000000"/>
        </w:rPr>
        <w:t>s</w:t>
      </w:r>
      <w:r w:rsidR="0029439A" w:rsidRPr="00F82BE7">
        <w:rPr>
          <w:rFonts w:ascii="ITC Avant Garde" w:hAnsi="ITC Avant Garde" w:cs="Arial"/>
          <w:color w:val="000000"/>
        </w:rPr>
        <w:t>.</w:t>
      </w:r>
    </w:p>
    <w:p w:rsidR="00EB26BA" w:rsidRPr="00F82BE7" w:rsidRDefault="004867C4" w:rsidP="0033377C">
      <w:pPr>
        <w:pStyle w:val="Prrafodelista"/>
        <w:numPr>
          <w:ilvl w:val="0"/>
          <w:numId w:val="4"/>
        </w:numPr>
        <w:spacing w:line="276" w:lineRule="auto"/>
        <w:jc w:val="both"/>
        <w:rPr>
          <w:rFonts w:ascii="ITC Avant Garde" w:hAnsi="ITC Avant Garde" w:cs="Arial"/>
          <w:b/>
          <w:color w:val="000000"/>
        </w:rPr>
      </w:pPr>
      <w:r w:rsidRPr="00F82BE7">
        <w:rPr>
          <w:rFonts w:ascii="ITC Avant Garde" w:hAnsi="ITC Avant Garde" w:cs="Arial"/>
          <w:b/>
          <w:color w:val="000000"/>
        </w:rPr>
        <w:t>Realización de un análisis de mercado para imponer la medida de separación contable</w:t>
      </w:r>
    </w:p>
    <w:p w:rsidR="003403FF" w:rsidRPr="00F82BE7" w:rsidRDefault="003403FF" w:rsidP="0033377C">
      <w:pPr>
        <w:spacing w:line="276" w:lineRule="auto"/>
        <w:jc w:val="both"/>
        <w:rPr>
          <w:rFonts w:ascii="ITC Avant Garde" w:hAnsi="ITC Avant Garde" w:cs="Arial"/>
          <w:i/>
          <w:color w:val="000000"/>
        </w:rPr>
      </w:pPr>
      <w:r w:rsidRPr="00F82BE7">
        <w:rPr>
          <w:rFonts w:ascii="ITC Avant Garde" w:hAnsi="ITC Avant Garde" w:cs="Arial"/>
          <w:i/>
          <w:color w:val="000000"/>
        </w:rPr>
        <w:t>Comentarios</w:t>
      </w:r>
    </w:p>
    <w:p w:rsidR="004867C4" w:rsidRPr="00F82BE7" w:rsidRDefault="00256FC8" w:rsidP="0033377C">
      <w:pPr>
        <w:spacing w:line="276" w:lineRule="auto"/>
        <w:jc w:val="both"/>
        <w:rPr>
          <w:rFonts w:ascii="ITC Avant Garde" w:hAnsi="ITC Avant Garde" w:cs="Arial"/>
          <w:color w:val="000000"/>
        </w:rPr>
      </w:pPr>
      <w:r>
        <w:rPr>
          <w:rFonts w:ascii="ITC Avant Garde" w:hAnsi="ITC Avant Garde" w:cs="Arial"/>
          <w:color w:val="000000"/>
        </w:rPr>
        <w:t>Algunos</w:t>
      </w:r>
      <w:r w:rsidRPr="00F82BE7">
        <w:rPr>
          <w:rFonts w:ascii="ITC Avant Garde" w:hAnsi="ITC Avant Garde" w:cs="Arial"/>
          <w:color w:val="000000"/>
        </w:rPr>
        <w:t xml:space="preserve"> </w:t>
      </w:r>
      <w:r w:rsidR="004867C4" w:rsidRPr="00F82BE7">
        <w:rPr>
          <w:rFonts w:ascii="ITC Avant Garde" w:hAnsi="ITC Avant Garde" w:cs="Arial"/>
          <w:color w:val="000000"/>
        </w:rPr>
        <w:t>participantes (Corporación de Radio y Televisión del Norte de México y Bestphone) comentaron que en la práctica internacional la obligación de separación contable se impone después de realizar un análisis de los distintos mercados de manera individual y a nivel sectorial, que determine el grado de competencia que existe en cada mercado, las posibles fallas y sus causas. A partir de tal análisis, se deberían identificar las soluciones que corrijan los problemas detectados y que supongan la menor carga regulatoria a los operadores, caso por caso y ajustando la medida al operador, al mercado y falla identificada.</w:t>
      </w:r>
    </w:p>
    <w:p w:rsidR="004867C4" w:rsidRPr="00F82BE7" w:rsidRDefault="00F96956" w:rsidP="0033377C">
      <w:pPr>
        <w:spacing w:line="276" w:lineRule="auto"/>
        <w:jc w:val="both"/>
        <w:rPr>
          <w:rFonts w:ascii="ITC Avant Garde" w:hAnsi="ITC Avant Garde" w:cs="Arial"/>
          <w:color w:val="000000"/>
        </w:rPr>
      </w:pPr>
      <w:r>
        <w:rPr>
          <w:rFonts w:ascii="ITC Avant Garde" w:hAnsi="ITC Avant Garde" w:cs="Arial"/>
          <w:i/>
          <w:color w:val="000000"/>
        </w:rPr>
        <w:t>Consideraciones</w:t>
      </w:r>
      <w:r w:rsidRPr="00F82BE7" w:rsidDel="00F96956">
        <w:rPr>
          <w:rFonts w:ascii="ITC Avant Garde" w:hAnsi="ITC Avant Garde" w:cs="Arial"/>
          <w:i/>
          <w:color w:val="000000"/>
        </w:rPr>
        <w:t xml:space="preserve"> </w:t>
      </w:r>
      <w:r w:rsidR="004867C4" w:rsidRPr="00F82BE7">
        <w:rPr>
          <w:rFonts w:ascii="ITC Avant Garde" w:hAnsi="ITC Avant Garde" w:cs="Arial"/>
          <w:i/>
          <w:color w:val="000000"/>
        </w:rPr>
        <w:t>del Instituto</w:t>
      </w:r>
    </w:p>
    <w:p w:rsidR="00480C8D" w:rsidRDefault="009B22B9" w:rsidP="0033377C">
      <w:pPr>
        <w:spacing w:line="276" w:lineRule="auto"/>
        <w:jc w:val="both"/>
        <w:rPr>
          <w:rFonts w:ascii="ITC Avant Garde" w:hAnsi="ITC Avant Garde" w:cs="Arial"/>
          <w:color w:val="000000"/>
        </w:rPr>
      </w:pPr>
      <w:r>
        <w:rPr>
          <w:rFonts w:ascii="ITC Avant Garde" w:hAnsi="ITC Avant Garde" w:cs="Arial"/>
          <w:color w:val="000000"/>
        </w:rPr>
        <w:t xml:space="preserve">Al respecto, se advierte que </w:t>
      </w:r>
      <w:r w:rsidR="00480C8D">
        <w:rPr>
          <w:rFonts w:ascii="ITC Avant Garde" w:hAnsi="ITC Avant Garde" w:cs="Arial"/>
          <w:color w:val="000000"/>
        </w:rPr>
        <w:t xml:space="preserve">la obligación de separación contable </w:t>
      </w:r>
      <w:r w:rsidR="00C52C78">
        <w:rPr>
          <w:rFonts w:ascii="ITC Avant Garde" w:hAnsi="ITC Avant Garde" w:cs="Arial"/>
          <w:color w:val="000000"/>
        </w:rPr>
        <w:t xml:space="preserve">para los diferentes agentes económicos </w:t>
      </w:r>
      <w:r w:rsidR="00480C8D">
        <w:rPr>
          <w:rFonts w:ascii="ITC Avant Garde" w:hAnsi="ITC Avant Garde" w:cs="Arial"/>
          <w:color w:val="000000"/>
        </w:rPr>
        <w:t>se deriva de las disposiciones establecidas en la LFTR, de los títulos de concesión que así lo prevean, o bien de las declaratorias de agentes económicos preponderantes o con poder sustancial de mercado que así lo dispongan. Por lo tanto, en el Anteproyecto se definen los principios, metodologías, criterios y parámetros utilizados en la separación contable conforme a estándares internacionales, de tal forma que los sujetos obligados a la separación contable tengan certeza de cómo implementar dicha regulación.</w:t>
      </w:r>
      <w:r w:rsidR="00C52C78">
        <w:rPr>
          <w:rFonts w:ascii="ITC Avant Garde" w:hAnsi="ITC Avant Garde" w:cs="Arial"/>
          <w:color w:val="000000"/>
        </w:rPr>
        <w:t xml:space="preserve"> </w:t>
      </w:r>
      <w:r w:rsidR="00C52C78" w:rsidRPr="00C52C78">
        <w:rPr>
          <w:rFonts w:ascii="ITC Avant Garde" w:hAnsi="ITC Avant Garde" w:cs="Arial"/>
          <w:color w:val="000000"/>
        </w:rPr>
        <w:t xml:space="preserve">Por lo anterior, no se realizaron ajustes al Anteproyecto en los términos señalados por </w:t>
      </w:r>
      <w:r w:rsidR="00C52C78">
        <w:rPr>
          <w:rFonts w:ascii="ITC Avant Garde" w:hAnsi="ITC Avant Garde" w:cs="Arial"/>
          <w:color w:val="000000"/>
        </w:rPr>
        <w:t>los</w:t>
      </w:r>
      <w:r w:rsidR="00C52C78" w:rsidRPr="00C52C78">
        <w:rPr>
          <w:rFonts w:ascii="ITC Avant Garde" w:hAnsi="ITC Avant Garde" w:cs="Arial"/>
          <w:color w:val="000000"/>
        </w:rPr>
        <w:t xml:space="preserve"> participante</w:t>
      </w:r>
      <w:r w:rsidR="00C52C78">
        <w:rPr>
          <w:rFonts w:ascii="ITC Avant Garde" w:hAnsi="ITC Avant Garde" w:cs="Arial"/>
          <w:color w:val="000000"/>
        </w:rPr>
        <w:t>s</w:t>
      </w:r>
      <w:r w:rsidR="00C52C78" w:rsidRPr="00C52C78">
        <w:rPr>
          <w:rFonts w:ascii="ITC Avant Garde" w:hAnsi="ITC Avant Garde" w:cs="Arial"/>
          <w:color w:val="000000"/>
        </w:rPr>
        <w:t>.</w:t>
      </w:r>
    </w:p>
    <w:p w:rsidR="003C07FB" w:rsidRPr="00F82BE7" w:rsidRDefault="003C07FB" w:rsidP="0033377C">
      <w:pPr>
        <w:pStyle w:val="Prrafodelista"/>
        <w:numPr>
          <w:ilvl w:val="0"/>
          <w:numId w:val="4"/>
        </w:numPr>
        <w:spacing w:line="276" w:lineRule="auto"/>
        <w:jc w:val="both"/>
        <w:rPr>
          <w:rFonts w:ascii="ITC Avant Garde" w:hAnsi="ITC Avant Garde" w:cs="Arial"/>
          <w:b/>
          <w:color w:val="000000"/>
        </w:rPr>
      </w:pPr>
      <w:r w:rsidRPr="00F82BE7">
        <w:rPr>
          <w:rFonts w:ascii="ITC Avant Garde" w:hAnsi="ITC Avant Garde" w:cs="Arial"/>
          <w:b/>
          <w:color w:val="000000"/>
        </w:rPr>
        <w:t>Replicabilidad económica</w:t>
      </w:r>
    </w:p>
    <w:p w:rsidR="003403FF" w:rsidRPr="00F82BE7" w:rsidRDefault="003403FF" w:rsidP="0033377C">
      <w:pPr>
        <w:spacing w:line="276" w:lineRule="auto"/>
        <w:jc w:val="both"/>
        <w:rPr>
          <w:rFonts w:ascii="ITC Avant Garde" w:hAnsi="ITC Avant Garde" w:cs="Arial"/>
          <w:i/>
          <w:color w:val="000000"/>
        </w:rPr>
      </w:pPr>
      <w:r w:rsidRPr="00F82BE7">
        <w:rPr>
          <w:rFonts w:ascii="ITC Avant Garde" w:hAnsi="ITC Avant Garde" w:cs="Arial"/>
          <w:i/>
          <w:color w:val="000000"/>
        </w:rPr>
        <w:t>Comentarios</w:t>
      </w:r>
    </w:p>
    <w:p w:rsidR="003C07FB" w:rsidRPr="00F82BE7" w:rsidRDefault="003C07FB"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Un participante (Bestphone) comentó que las cuentas separadas del AEP deben ser una fuente importante de datos para alimentar los modelos de replicabilidad económica de los servicios minoristas móviles y permitir que los OMV (Operadores Móviles Virtuales) puedan replicar de manera económicamente viable los servicios minoristas del AEP. En este sentido, solicitó al Instituto considerar los comentarios que el participante realizó dentro de la Consulta Pública relativa a la “Metodología de Replicabilidad Económica aplicable a los Servicios del Agente Económico Preponderante en Telecomunicaciones” en el contexto de la consulta pública sobre separación contable. Además, </w:t>
      </w:r>
      <w:r w:rsidR="009E79D3" w:rsidRPr="00F82BE7">
        <w:rPr>
          <w:rFonts w:ascii="ITC Avant Garde" w:hAnsi="ITC Avant Garde" w:cs="Arial"/>
          <w:color w:val="000000"/>
        </w:rPr>
        <w:t>sugirió</w:t>
      </w:r>
      <w:r w:rsidRPr="00F82BE7">
        <w:rPr>
          <w:rFonts w:ascii="ITC Avant Garde" w:hAnsi="ITC Avant Garde" w:cs="Arial"/>
          <w:color w:val="000000"/>
        </w:rPr>
        <w:t xml:space="preserve"> algunos puntos para los modelos de </w:t>
      </w:r>
      <w:r w:rsidRPr="00F82BE7">
        <w:rPr>
          <w:rFonts w:ascii="ITC Avant Garde" w:hAnsi="ITC Avant Garde" w:cs="Arial"/>
          <w:color w:val="000000"/>
        </w:rPr>
        <w:lastRenderedPageBreak/>
        <w:t>replicabilidad de los servicios móviles del AEP y sus implicaciones para la obligación de separación contable del AEP.</w:t>
      </w:r>
    </w:p>
    <w:p w:rsidR="003C07FB" w:rsidRPr="00F82BE7" w:rsidRDefault="00F96956" w:rsidP="0033377C">
      <w:pPr>
        <w:spacing w:line="276" w:lineRule="auto"/>
        <w:jc w:val="both"/>
        <w:rPr>
          <w:rFonts w:ascii="ITC Avant Garde" w:hAnsi="ITC Avant Garde" w:cs="Arial"/>
          <w:color w:val="000000"/>
        </w:rPr>
      </w:pPr>
      <w:r>
        <w:rPr>
          <w:rFonts w:ascii="ITC Avant Garde" w:hAnsi="ITC Avant Garde" w:cs="Arial"/>
          <w:i/>
          <w:color w:val="000000"/>
        </w:rPr>
        <w:t>Consideraciones</w:t>
      </w:r>
      <w:r w:rsidRPr="00F82BE7" w:rsidDel="00F96956">
        <w:rPr>
          <w:rFonts w:ascii="ITC Avant Garde" w:hAnsi="ITC Avant Garde" w:cs="Arial"/>
          <w:i/>
          <w:color w:val="000000"/>
        </w:rPr>
        <w:t xml:space="preserve"> </w:t>
      </w:r>
      <w:r w:rsidR="003C07FB" w:rsidRPr="00F82BE7">
        <w:rPr>
          <w:rFonts w:ascii="ITC Avant Garde" w:hAnsi="ITC Avant Garde" w:cs="Arial"/>
          <w:i/>
          <w:color w:val="000000"/>
        </w:rPr>
        <w:t>del Instituto</w:t>
      </w:r>
    </w:p>
    <w:p w:rsidR="000B4BCA" w:rsidRPr="00F82BE7" w:rsidRDefault="00A16ABE" w:rsidP="0033377C">
      <w:pPr>
        <w:spacing w:line="276" w:lineRule="auto"/>
        <w:jc w:val="both"/>
        <w:rPr>
          <w:rFonts w:ascii="ITC Avant Garde" w:hAnsi="ITC Avant Garde" w:cs="Arial"/>
          <w:color w:val="000000"/>
        </w:rPr>
      </w:pPr>
      <w:r>
        <w:rPr>
          <w:rFonts w:ascii="ITC Avant Garde" w:hAnsi="ITC Avant Garde" w:cs="Arial"/>
          <w:color w:val="000000"/>
        </w:rPr>
        <w:t>E</w:t>
      </w:r>
      <w:r w:rsidR="00487A6B">
        <w:rPr>
          <w:rFonts w:ascii="ITC Avant Garde" w:hAnsi="ITC Avant Garde" w:cs="Arial"/>
          <w:color w:val="000000"/>
        </w:rPr>
        <w:t xml:space="preserve">n el </w:t>
      </w:r>
      <w:r w:rsidR="00EA6CB6" w:rsidRPr="00F82BE7">
        <w:rPr>
          <w:rFonts w:ascii="ITC Avant Garde" w:hAnsi="ITC Avant Garde" w:cs="Arial"/>
          <w:color w:val="000000"/>
        </w:rPr>
        <w:t>A</w:t>
      </w:r>
      <w:r w:rsidR="00487A6B">
        <w:rPr>
          <w:rFonts w:ascii="ITC Avant Garde" w:hAnsi="ITC Avant Garde" w:cs="Arial"/>
          <w:color w:val="000000"/>
        </w:rPr>
        <w:t>nteproyecto</w:t>
      </w:r>
      <w:r w:rsidR="00EA6CB6" w:rsidRPr="00F82BE7">
        <w:rPr>
          <w:rFonts w:ascii="ITC Avant Garde" w:hAnsi="ITC Avant Garde" w:cs="Arial"/>
          <w:color w:val="000000"/>
        </w:rPr>
        <w:t xml:space="preserve"> </w:t>
      </w:r>
      <w:r w:rsidR="00487A6B">
        <w:rPr>
          <w:rFonts w:ascii="ITC Avant Garde" w:hAnsi="ITC Avant Garde" w:cs="Arial"/>
          <w:color w:val="000000"/>
        </w:rPr>
        <w:t xml:space="preserve">se </w:t>
      </w:r>
      <w:r w:rsidR="009E79D3" w:rsidRPr="00F82BE7">
        <w:rPr>
          <w:rFonts w:ascii="ITC Avant Garde" w:hAnsi="ITC Avant Garde" w:cs="Arial"/>
          <w:color w:val="000000"/>
        </w:rPr>
        <w:t>señal</w:t>
      </w:r>
      <w:r w:rsidR="00487A6B">
        <w:rPr>
          <w:rFonts w:ascii="ITC Avant Garde" w:hAnsi="ITC Avant Garde" w:cs="Arial"/>
          <w:color w:val="000000"/>
        </w:rPr>
        <w:t xml:space="preserve">ó, como </w:t>
      </w:r>
      <w:r w:rsidR="00C0175D">
        <w:rPr>
          <w:rFonts w:ascii="ITC Avant Garde" w:hAnsi="ITC Avant Garde" w:cs="Arial"/>
          <w:color w:val="000000"/>
        </w:rPr>
        <w:t>parte</w:t>
      </w:r>
      <w:r w:rsidR="009E79D3" w:rsidRPr="00F82BE7">
        <w:rPr>
          <w:rFonts w:ascii="ITC Avant Garde" w:hAnsi="ITC Avant Garde" w:cs="Arial"/>
          <w:color w:val="000000"/>
        </w:rPr>
        <w:t xml:space="preserve"> </w:t>
      </w:r>
      <w:r w:rsidR="00487A6B">
        <w:rPr>
          <w:rFonts w:ascii="ITC Avant Garde" w:hAnsi="ITC Avant Garde" w:cs="Arial"/>
          <w:color w:val="000000"/>
        </w:rPr>
        <w:t xml:space="preserve">de </w:t>
      </w:r>
      <w:r w:rsidR="009E79D3" w:rsidRPr="00F82BE7">
        <w:rPr>
          <w:rFonts w:ascii="ITC Avant Garde" w:hAnsi="ITC Avant Garde" w:cs="Arial"/>
          <w:color w:val="000000"/>
        </w:rPr>
        <w:t xml:space="preserve">los objetivos de </w:t>
      </w:r>
      <w:r w:rsidR="00C0175D">
        <w:rPr>
          <w:rFonts w:ascii="ITC Avant Garde" w:hAnsi="ITC Avant Garde" w:cs="Arial"/>
          <w:color w:val="000000"/>
        </w:rPr>
        <w:t>l</w:t>
      </w:r>
      <w:r w:rsidR="00DF50C8" w:rsidRPr="00F82BE7">
        <w:rPr>
          <w:rFonts w:ascii="ITC Avant Garde" w:hAnsi="ITC Avant Garde" w:cs="Arial"/>
          <w:color w:val="000000"/>
        </w:rPr>
        <w:t>a</w:t>
      </w:r>
      <w:r w:rsidR="007F6457" w:rsidRPr="00F82BE7">
        <w:rPr>
          <w:rFonts w:ascii="ITC Avant Garde" w:hAnsi="ITC Avant Garde" w:cs="Arial"/>
          <w:color w:val="000000"/>
        </w:rPr>
        <w:t xml:space="preserve"> información </w:t>
      </w:r>
      <w:r w:rsidR="00C0175D">
        <w:rPr>
          <w:rFonts w:ascii="ITC Avant Garde" w:hAnsi="ITC Avant Garde" w:cs="Arial"/>
          <w:color w:val="000000"/>
        </w:rPr>
        <w:t>de separación contable</w:t>
      </w:r>
      <w:r w:rsidR="00487A6B">
        <w:rPr>
          <w:rFonts w:ascii="ITC Avant Garde" w:hAnsi="ITC Avant Garde" w:cs="Arial"/>
          <w:color w:val="000000"/>
        </w:rPr>
        <w:t xml:space="preserve">, </w:t>
      </w:r>
      <w:r w:rsidR="00C55B31">
        <w:rPr>
          <w:rFonts w:ascii="ITC Avant Garde" w:hAnsi="ITC Avant Garde" w:cs="Arial"/>
          <w:color w:val="000000"/>
        </w:rPr>
        <w:t xml:space="preserve">que </w:t>
      </w:r>
      <w:r w:rsidRPr="00A16ABE">
        <w:rPr>
          <w:rFonts w:ascii="ITC Avant Garde" w:hAnsi="ITC Avant Garde" w:cs="Arial"/>
          <w:color w:val="000000"/>
        </w:rPr>
        <w:t>podrá ser un insumo para el análisis de replicabilidad económica</w:t>
      </w:r>
      <w:r>
        <w:rPr>
          <w:rFonts w:ascii="ITC Avant Garde" w:hAnsi="ITC Avant Garde" w:cs="Arial"/>
          <w:color w:val="000000"/>
        </w:rPr>
        <w:t xml:space="preserve">. No obstante, </w:t>
      </w:r>
      <w:r w:rsidR="009E79D3" w:rsidRPr="00F82BE7">
        <w:rPr>
          <w:rFonts w:ascii="ITC Avant Garde" w:hAnsi="ITC Avant Garde" w:cs="Arial"/>
          <w:color w:val="000000"/>
        </w:rPr>
        <w:t xml:space="preserve">se advierte que </w:t>
      </w:r>
      <w:r w:rsidR="002C0849" w:rsidRPr="00F82BE7">
        <w:rPr>
          <w:rFonts w:ascii="ITC Avant Garde" w:hAnsi="ITC Avant Garde" w:cs="Arial"/>
          <w:color w:val="000000"/>
        </w:rPr>
        <w:t>en todo momento el Instituto tiene la facultad de requerir a los sujetos regulados la información y documentación necesari</w:t>
      </w:r>
      <w:r w:rsidR="00AE0795" w:rsidRPr="00F82BE7">
        <w:rPr>
          <w:rFonts w:ascii="ITC Avant Garde" w:hAnsi="ITC Avant Garde" w:cs="Arial"/>
          <w:color w:val="000000"/>
        </w:rPr>
        <w:t>a</w:t>
      </w:r>
      <w:r w:rsidR="002C0849" w:rsidRPr="00F82BE7">
        <w:rPr>
          <w:rFonts w:ascii="ITC Avant Garde" w:hAnsi="ITC Avant Garde" w:cs="Arial"/>
          <w:color w:val="000000"/>
        </w:rPr>
        <w:t xml:space="preserve"> para el ejercicio de sus atribuciones conforme a la LFTR</w:t>
      </w:r>
      <w:r w:rsidR="009E79D3" w:rsidRPr="00F82BE7">
        <w:rPr>
          <w:rFonts w:ascii="ITC Avant Garde" w:hAnsi="ITC Avant Garde" w:cs="Arial"/>
          <w:color w:val="000000"/>
        </w:rPr>
        <w:t>.</w:t>
      </w:r>
      <w:r w:rsidR="00DF50C8" w:rsidRPr="00F82BE7">
        <w:rPr>
          <w:rFonts w:ascii="ITC Avant Garde" w:hAnsi="ITC Avant Garde" w:cs="Arial"/>
          <w:color w:val="000000"/>
        </w:rPr>
        <w:t xml:space="preserve"> Por lo anterior, la información de separación contable no es limitativa en cuanto a la disponibilidad de información para </w:t>
      </w:r>
      <w:r>
        <w:rPr>
          <w:rFonts w:ascii="ITC Avant Garde" w:hAnsi="ITC Avant Garde" w:cs="Arial"/>
          <w:color w:val="000000"/>
        </w:rPr>
        <w:t>retro</w:t>
      </w:r>
      <w:r w:rsidR="00DF50C8" w:rsidRPr="00F82BE7">
        <w:rPr>
          <w:rFonts w:ascii="ITC Avant Garde" w:hAnsi="ITC Avant Garde" w:cs="Arial"/>
          <w:color w:val="000000"/>
        </w:rPr>
        <w:t>alimentar otr</w:t>
      </w:r>
      <w:r w:rsidR="00782155" w:rsidRPr="00F82BE7">
        <w:rPr>
          <w:rFonts w:ascii="ITC Avant Garde" w:hAnsi="ITC Avant Garde" w:cs="Arial"/>
          <w:color w:val="000000"/>
        </w:rPr>
        <w:t xml:space="preserve">as disposiciones </w:t>
      </w:r>
      <w:r w:rsidR="00DF50C8" w:rsidRPr="00F82BE7">
        <w:rPr>
          <w:rFonts w:ascii="ITC Avant Garde" w:hAnsi="ITC Avant Garde" w:cs="Arial"/>
          <w:color w:val="000000"/>
        </w:rPr>
        <w:t>regulatori</w:t>
      </w:r>
      <w:r w:rsidR="00782155" w:rsidRPr="00F82BE7">
        <w:rPr>
          <w:rFonts w:ascii="ITC Avant Garde" w:hAnsi="ITC Avant Garde" w:cs="Arial"/>
          <w:color w:val="000000"/>
        </w:rPr>
        <w:t>a</w:t>
      </w:r>
      <w:r w:rsidR="00DF50C8" w:rsidRPr="00F82BE7">
        <w:rPr>
          <w:rFonts w:ascii="ITC Avant Garde" w:hAnsi="ITC Avant Garde" w:cs="Arial"/>
          <w:color w:val="000000"/>
        </w:rPr>
        <w:t>s.</w:t>
      </w:r>
      <w:r w:rsidR="00EA6CB6" w:rsidRPr="00F82BE7">
        <w:rPr>
          <w:rFonts w:ascii="ITC Avant Garde" w:hAnsi="ITC Avant Garde" w:cs="Arial"/>
          <w:color w:val="000000"/>
        </w:rPr>
        <w:t xml:space="preserve"> </w:t>
      </w:r>
    </w:p>
    <w:p w:rsidR="009E79D3" w:rsidRDefault="000B4BCA"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Por lo anterior, </w:t>
      </w:r>
      <w:r w:rsidR="004C6A74" w:rsidRPr="004C6A74">
        <w:rPr>
          <w:rFonts w:ascii="ITC Avant Garde" w:hAnsi="ITC Avant Garde" w:cs="Arial"/>
          <w:color w:val="000000"/>
        </w:rPr>
        <w:t>no se realizaron ajustes al Anteproyecto en los términos señalados por el participante</w:t>
      </w:r>
      <w:r w:rsidR="00EA6CB6" w:rsidRPr="00F82BE7">
        <w:rPr>
          <w:rFonts w:ascii="ITC Avant Garde" w:hAnsi="ITC Avant Garde" w:cs="Arial"/>
          <w:color w:val="000000"/>
        </w:rPr>
        <w:t>.</w:t>
      </w:r>
    </w:p>
    <w:p w:rsidR="00D75D40" w:rsidRPr="00F82BE7" w:rsidRDefault="00D75D40" w:rsidP="0033377C">
      <w:pPr>
        <w:pStyle w:val="Prrafodelista"/>
        <w:numPr>
          <w:ilvl w:val="0"/>
          <w:numId w:val="4"/>
        </w:numPr>
        <w:spacing w:line="276" w:lineRule="auto"/>
        <w:jc w:val="both"/>
        <w:rPr>
          <w:rFonts w:ascii="ITC Avant Garde" w:hAnsi="ITC Avant Garde" w:cs="Arial"/>
          <w:b/>
          <w:color w:val="000000"/>
        </w:rPr>
      </w:pPr>
      <w:r w:rsidRPr="00F82BE7">
        <w:rPr>
          <w:rFonts w:ascii="ITC Avant Garde" w:hAnsi="ITC Avant Garde" w:cs="Arial"/>
          <w:b/>
          <w:color w:val="000000"/>
        </w:rPr>
        <w:t>Servicios regulados y no regulados</w:t>
      </w:r>
    </w:p>
    <w:p w:rsidR="003403FF" w:rsidRPr="00F82BE7" w:rsidRDefault="003403FF" w:rsidP="0033377C">
      <w:pPr>
        <w:spacing w:line="276" w:lineRule="auto"/>
        <w:jc w:val="both"/>
        <w:rPr>
          <w:rFonts w:ascii="ITC Avant Garde" w:hAnsi="ITC Avant Garde" w:cs="Arial"/>
          <w:i/>
          <w:color w:val="000000"/>
        </w:rPr>
      </w:pPr>
      <w:r w:rsidRPr="00F82BE7">
        <w:rPr>
          <w:rFonts w:ascii="ITC Avant Garde" w:hAnsi="ITC Avant Garde" w:cs="Arial"/>
          <w:i/>
          <w:color w:val="000000"/>
        </w:rPr>
        <w:t>Comentarios</w:t>
      </w:r>
    </w:p>
    <w:p w:rsidR="00604B2B" w:rsidRPr="00F82BE7" w:rsidRDefault="00604B2B"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Un participante (Televimex) señaló que el </w:t>
      </w:r>
      <w:r w:rsidR="00137441">
        <w:rPr>
          <w:rFonts w:ascii="ITC Avant Garde" w:hAnsi="ITC Avant Garde" w:cs="Arial"/>
          <w:color w:val="000000"/>
        </w:rPr>
        <w:t>A</w:t>
      </w:r>
      <w:r w:rsidRPr="00F82BE7">
        <w:rPr>
          <w:rFonts w:ascii="ITC Avant Garde" w:hAnsi="ITC Avant Garde" w:cs="Arial"/>
          <w:color w:val="000000"/>
        </w:rPr>
        <w:t xml:space="preserve">nteproyecto también exige al AEP en radiodifusión el desglose de los costos e ingresos de servicios que no están sujetos a una regulación tarifaria. </w:t>
      </w:r>
      <w:r w:rsidR="003457D2" w:rsidRPr="00F82BE7">
        <w:rPr>
          <w:rFonts w:ascii="ITC Avant Garde" w:hAnsi="ITC Avant Garde" w:cs="Arial"/>
          <w:color w:val="000000"/>
        </w:rPr>
        <w:t>En este sentido</w:t>
      </w:r>
      <w:r w:rsidRPr="00F82BE7">
        <w:rPr>
          <w:rFonts w:ascii="ITC Avant Garde" w:hAnsi="ITC Avant Garde" w:cs="Arial"/>
          <w:color w:val="000000"/>
        </w:rPr>
        <w:t>, señaló que es contrario a lo que se encuentra en ejercicios de contabilidad separada de otros operadores de radiodifusión que están sujetos a regulación tarifaría, por lo que el Instituto no sólo solicit</w:t>
      </w:r>
      <w:r w:rsidR="00137441">
        <w:rPr>
          <w:rFonts w:ascii="ITC Avant Garde" w:hAnsi="ITC Avant Garde" w:cs="Arial"/>
          <w:color w:val="000000"/>
        </w:rPr>
        <w:t>ó</w:t>
      </w:r>
      <w:r w:rsidRPr="00F82BE7">
        <w:rPr>
          <w:rFonts w:ascii="ITC Avant Garde" w:hAnsi="ITC Avant Garde" w:cs="Arial"/>
          <w:color w:val="000000"/>
        </w:rPr>
        <w:t xml:space="preserve"> la desagregación de los servicios regulados (servicios de compartición de infraestructura pasiva y de emisión de señal) sino también para los servicios que no están sujetos a una regulación tarifaria y fuera de su ámbito de competencia. Al respec</w:t>
      </w:r>
      <w:r w:rsidR="003457D2" w:rsidRPr="00F82BE7">
        <w:rPr>
          <w:rFonts w:ascii="ITC Avant Garde" w:hAnsi="ITC Avant Garde" w:cs="Arial"/>
          <w:color w:val="000000"/>
        </w:rPr>
        <w:t>to, el participante comentó</w:t>
      </w:r>
      <w:r w:rsidRPr="00F82BE7">
        <w:rPr>
          <w:rFonts w:ascii="ITC Avant Garde" w:hAnsi="ITC Avant Garde" w:cs="Arial"/>
          <w:color w:val="000000"/>
        </w:rPr>
        <w:t xml:space="preserve"> que la imposición de solicitar información detallada de servicios </w:t>
      </w:r>
      <w:r w:rsidR="00C630D4">
        <w:rPr>
          <w:rFonts w:ascii="ITC Avant Garde" w:hAnsi="ITC Avant Garde" w:cs="Arial"/>
          <w:color w:val="000000"/>
        </w:rPr>
        <w:t>no</w:t>
      </w:r>
      <w:r w:rsidRPr="00F82BE7">
        <w:rPr>
          <w:rFonts w:ascii="ITC Avant Garde" w:hAnsi="ITC Avant Garde" w:cs="Arial"/>
          <w:color w:val="000000"/>
        </w:rPr>
        <w:t xml:space="preserve"> regulados, es violatoria de la </w:t>
      </w:r>
      <w:r w:rsidR="00D55B2E" w:rsidRPr="00F82BE7">
        <w:rPr>
          <w:rFonts w:ascii="ITC Avant Garde" w:hAnsi="ITC Avant Garde" w:cs="Arial"/>
          <w:color w:val="000000"/>
        </w:rPr>
        <w:t xml:space="preserve">garantía y derecho humano de legalidad </w:t>
      </w:r>
      <w:r w:rsidRPr="00F82BE7">
        <w:rPr>
          <w:rFonts w:ascii="ITC Avant Garde" w:hAnsi="ITC Avant Garde" w:cs="Arial"/>
          <w:color w:val="000000"/>
        </w:rPr>
        <w:t>y certeza jurídica que todas las personas tienen, ya que los agentes económicos preponderantes o aquellos declarados con poder sustancial ya se encuentran sujetos a una regulación específica, como lo son las medidas asimétricas que se impongan, mismas que son determinadas para regular exclusivamente los mercados que se encuentran en los dos sectores que el Instituto tiene a bien salvaguardar.</w:t>
      </w:r>
    </w:p>
    <w:p w:rsidR="00F16668" w:rsidRPr="00F82BE7" w:rsidRDefault="00F16668" w:rsidP="0033377C">
      <w:pPr>
        <w:spacing w:line="276" w:lineRule="auto"/>
        <w:jc w:val="both"/>
        <w:rPr>
          <w:rFonts w:ascii="ITC Avant Garde" w:hAnsi="ITC Avant Garde" w:cs="Arial"/>
          <w:color w:val="000000"/>
        </w:rPr>
      </w:pPr>
      <w:r w:rsidRPr="00F82BE7">
        <w:rPr>
          <w:rFonts w:ascii="ITC Avant Garde" w:hAnsi="ITC Avant Garde" w:cs="Arial"/>
          <w:color w:val="000000"/>
        </w:rPr>
        <w:t>Por lo anterior, sugi</w:t>
      </w:r>
      <w:r w:rsidR="00137441">
        <w:rPr>
          <w:rFonts w:ascii="ITC Avant Garde" w:hAnsi="ITC Avant Garde" w:cs="Arial"/>
          <w:color w:val="000000"/>
        </w:rPr>
        <w:t>rió</w:t>
      </w:r>
      <w:r w:rsidRPr="00F82BE7">
        <w:rPr>
          <w:rFonts w:ascii="ITC Avant Garde" w:hAnsi="ITC Avant Garde" w:cs="Arial"/>
          <w:color w:val="000000"/>
        </w:rPr>
        <w:t xml:space="preserve"> para el AEP en radiodifusión se organice el sistema de contabilidad de costos de la siguiente manera:</w:t>
      </w:r>
    </w:p>
    <w:p w:rsidR="00F16668" w:rsidRPr="00F82BE7" w:rsidRDefault="00F16668" w:rsidP="0033377C">
      <w:pPr>
        <w:pStyle w:val="Prrafodelista"/>
        <w:numPr>
          <w:ilvl w:val="0"/>
          <w:numId w:val="12"/>
        </w:numPr>
        <w:spacing w:line="276" w:lineRule="auto"/>
        <w:jc w:val="both"/>
        <w:rPr>
          <w:rFonts w:ascii="ITC Avant Garde" w:hAnsi="ITC Avant Garde" w:cs="Arial"/>
          <w:color w:val="000000"/>
        </w:rPr>
      </w:pPr>
      <w:r w:rsidRPr="00F82BE7">
        <w:rPr>
          <w:rFonts w:ascii="ITC Avant Garde" w:hAnsi="ITC Avant Garde" w:cs="Arial"/>
          <w:color w:val="000000"/>
        </w:rPr>
        <w:t>Servicio de coubicación, con un desglose de los ingresos y costos.</w:t>
      </w:r>
    </w:p>
    <w:p w:rsidR="00F16668" w:rsidRPr="00F82BE7" w:rsidRDefault="00F16668" w:rsidP="0033377C">
      <w:pPr>
        <w:pStyle w:val="Prrafodelista"/>
        <w:numPr>
          <w:ilvl w:val="0"/>
          <w:numId w:val="12"/>
        </w:numPr>
        <w:spacing w:line="276" w:lineRule="auto"/>
        <w:jc w:val="both"/>
        <w:rPr>
          <w:rFonts w:ascii="ITC Avant Garde" w:hAnsi="ITC Avant Garde" w:cs="Arial"/>
          <w:color w:val="000000"/>
        </w:rPr>
      </w:pPr>
      <w:r w:rsidRPr="00F82BE7">
        <w:rPr>
          <w:rFonts w:ascii="ITC Avant Garde" w:hAnsi="ITC Avant Garde" w:cs="Arial"/>
          <w:color w:val="000000"/>
        </w:rPr>
        <w:t>Emisión de señal, con un desglose de ingresos y costos.</w:t>
      </w:r>
    </w:p>
    <w:p w:rsidR="00F16668" w:rsidRPr="00F82BE7" w:rsidRDefault="00F16668" w:rsidP="0033377C">
      <w:pPr>
        <w:pStyle w:val="Prrafodelista"/>
        <w:numPr>
          <w:ilvl w:val="0"/>
          <w:numId w:val="12"/>
        </w:numPr>
        <w:spacing w:line="276" w:lineRule="auto"/>
        <w:jc w:val="both"/>
        <w:rPr>
          <w:rFonts w:ascii="ITC Avant Garde" w:hAnsi="ITC Avant Garde" w:cs="Arial"/>
          <w:color w:val="000000"/>
        </w:rPr>
      </w:pPr>
      <w:r w:rsidRPr="00F82BE7">
        <w:rPr>
          <w:rFonts w:ascii="ITC Avant Garde" w:hAnsi="ITC Avant Garde" w:cs="Arial"/>
          <w:color w:val="000000"/>
        </w:rPr>
        <w:t>Otros servicios (de forma consolidada).</w:t>
      </w:r>
    </w:p>
    <w:p w:rsidR="003C20B6" w:rsidRDefault="002336F9" w:rsidP="0033377C">
      <w:pPr>
        <w:spacing w:line="276" w:lineRule="auto"/>
        <w:jc w:val="both"/>
        <w:rPr>
          <w:rFonts w:ascii="ITC Avant Garde" w:hAnsi="ITC Avant Garde" w:cs="Arial"/>
          <w:color w:val="000000"/>
        </w:rPr>
      </w:pPr>
      <w:r>
        <w:rPr>
          <w:rFonts w:ascii="ITC Avant Garde" w:hAnsi="ITC Avant Garde" w:cs="Arial"/>
          <w:color w:val="000000"/>
        </w:rPr>
        <w:lastRenderedPageBreak/>
        <w:t>Por otro lado</w:t>
      </w:r>
      <w:r w:rsidR="003C20B6">
        <w:rPr>
          <w:rFonts w:ascii="ITC Avant Garde" w:hAnsi="ITC Avant Garde" w:cs="Arial"/>
          <w:color w:val="000000"/>
        </w:rPr>
        <w:t xml:space="preserve">, otros </w:t>
      </w:r>
      <w:r>
        <w:rPr>
          <w:rFonts w:ascii="ITC Avant Garde" w:hAnsi="ITC Avant Garde" w:cs="Arial"/>
          <w:color w:val="000000"/>
        </w:rPr>
        <w:t xml:space="preserve">participantes </w:t>
      </w:r>
      <w:r w:rsidR="003C20B6" w:rsidRPr="00F82BE7">
        <w:rPr>
          <w:rFonts w:ascii="ITC Avant Garde" w:hAnsi="ITC Avant Garde" w:cs="Arial"/>
          <w:color w:val="000000"/>
        </w:rPr>
        <w:t xml:space="preserve">(Corporación de Radio y Televisión del Norte de México y Bestphone) señalaron </w:t>
      </w:r>
      <w:r w:rsidR="0038639F" w:rsidRPr="00F82BE7">
        <w:rPr>
          <w:rFonts w:ascii="ITC Avant Garde" w:hAnsi="ITC Avant Garde" w:cs="Arial"/>
          <w:color w:val="000000"/>
        </w:rPr>
        <w:t>que,</w:t>
      </w:r>
      <w:r w:rsidR="0038639F">
        <w:rPr>
          <w:rFonts w:ascii="ITC Avant Garde" w:hAnsi="ITC Avant Garde" w:cs="Arial"/>
          <w:color w:val="000000"/>
        </w:rPr>
        <w:t xml:space="preserve"> en la práctica internacional,</w:t>
      </w:r>
      <w:r w:rsidR="003C20B6" w:rsidRPr="00F82BE7">
        <w:rPr>
          <w:rFonts w:ascii="ITC Avant Garde" w:hAnsi="ITC Avant Garde" w:cs="Arial"/>
          <w:color w:val="000000"/>
        </w:rPr>
        <w:t xml:space="preserve"> para los operadores alternativos se demanda únicamente desagregar en cierto detalle información relevante sobre los servicios que puedan estar sujetos a regulación (y no todo el conjunto de servicios, regulados y no regulados) de precios orientados a costos. </w:t>
      </w:r>
    </w:p>
    <w:p w:rsidR="005C55E3" w:rsidRPr="00F82BE7" w:rsidRDefault="00F96956" w:rsidP="0033377C">
      <w:pPr>
        <w:spacing w:line="276" w:lineRule="auto"/>
        <w:jc w:val="both"/>
        <w:rPr>
          <w:rFonts w:ascii="ITC Avant Garde" w:hAnsi="ITC Avant Garde" w:cs="Arial"/>
          <w:i/>
          <w:color w:val="000000"/>
        </w:rPr>
      </w:pPr>
      <w:r>
        <w:rPr>
          <w:rFonts w:ascii="ITC Avant Garde" w:hAnsi="ITC Avant Garde" w:cs="Arial"/>
          <w:i/>
          <w:color w:val="000000"/>
        </w:rPr>
        <w:t>Consideraciones</w:t>
      </w:r>
      <w:r w:rsidRPr="00F82BE7" w:rsidDel="00F96956">
        <w:rPr>
          <w:rFonts w:ascii="ITC Avant Garde" w:hAnsi="ITC Avant Garde" w:cs="Arial"/>
          <w:i/>
          <w:color w:val="000000"/>
        </w:rPr>
        <w:t xml:space="preserve"> </w:t>
      </w:r>
      <w:r w:rsidR="00EB4748" w:rsidRPr="00F82BE7">
        <w:rPr>
          <w:rFonts w:ascii="ITC Avant Garde" w:hAnsi="ITC Avant Garde" w:cs="Arial"/>
          <w:i/>
          <w:color w:val="000000"/>
        </w:rPr>
        <w:t>del Instituto</w:t>
      </w:r>
    </w:p>
    <w:p w:rsidR="00180325" w:rsidRPr="00F82BE7" w:rsidRDefault="00180325" w:rsidP="0033377C">
      <w:pPr>
        <w:spacing w:line="276" w:lineRule="auto"/>
        <w:jc w:val="both"/>
        <w:rPr>
          <w:rFonts w:ascii="ITC Avant Garde" w:hAnsi="ITC Avant Garde" w:cs="Arial"/>
          <w:color w:val="000000"/>
        </w:rPr>
      </w:pPr>
      <w:r w:rsidRPr="00F82BE7">
        <w:rPr>
          <w:rFonts w:ascii="ITC Avant Garde" w:hAnsi="ITC Avant Garde" w:cs="Arial"/>
          <w:color w:val="000000"/>
        </w:rPr>
        <w:t>La desagregación de servicios regulados y no regulados es un ejercicio que se requiere en virtud de la necesidad de contar con adecuada información de las cuentas de costos e ingresos que se derivan de la prestación de servicios, tanto mayoristas como minorista</w:t>
      </w:r>
      <w:r w:rsidR="00BE150B">
        <w:rPr>
          <w:rFonts w:ascii="ITC Avant Garde" w:hAnsi="ITC Avant Garde" w:cs="Arial"/>
          <w:color w:val="000000"/>
        </w:rPr>
        <w:t>s</w:t>
      </w:r>
      <w:r w:rsidRPr="00F82BE7">
        <w:rPr>
          <w:rFonts w:ascii="ITC Avant Garde" w:hAnsi="ITC Avant Garde" w:cs="Arial"/>
          <w:color w:val="000000"/>
        </w:rPr>
        <w:t xml:space="preserve">. Dicha desagregación implica tener información completa </w:t>
      </w:r>
      <w:r w:rsidR="00A87D12">
        <w:rPr>
          <w:rFonts w:ascii="ITC Avant Garde" w:hAnsi="ITC Avant Garde" w:cs="Arial"/>
          <w:color w:val="000000"/>
        </w:rPr>
        <w:t xml:space="preserve">y consistente </w:t>
      </w:r>
      <w:r w:rsidRPr="00F82BE7">
        <w:rPr>
          <w:rFonts w:ascii="ITC Avant Garde" w:hAnsi="ITC Avant Garde" w:cs="Arial"/>
          <w:color w:val="000000"/>
        </w:rPr>
        <w:t>de los servicios, que asegurará la adecuada trazabilidad</w:t>
      </w:r>
      <w:r w:rsidR="00A87D12">
        <w:rPr>
          <w:rFonts w:ascii="ITC Avant Garde" w:hAnsi="ITC Avant Garde" w:cs="Arial"/>
          <w:color w:val="000000"/>
        </w:rPr>
        <w:t xml:space="preserve"> y revisión</w:t>
      </w:r>
      <w:r w:rsidRPr="00F82BE7">
        <w:rPr>
          <w:rFonts w:ascii="ITC Avant Garde" w:hAnsi="ITC Avant Garde" w:cs="Arial"/>
          <w:color w:val="000000"/>
        </w:rPr>
        <w:t xml:space="preserve"> de la información a efecto de que sea de utilidad </w:t>
      </w:r>
      <w:r w:rsidR="00A87D12">
        <w:rPr>
          <w:rFonts w:ascii="ITC Avant Garde" w:hAnsi="ITC Avant Garde" w:cs="Arial"/>
          <w:color w:val="000000"/>
        </w:rPr>
        <w:t>para</w:t>
      </w:r>
      <w:r w:rsidR="00A87D12" w:rsidRPr="00F82BE7">
        <w:rPr>
          <w:rFonts w:ascii="ITC Avant Garde" w:hAnsi="ITC Avant Garde" w:cs="Arial"/>
          <w:color w:val="000000"/>
        </w:rPr>
        <w:t xml:space="preserve"> </w:t>
      </w:r>
      <w:r w:rsidRPr="00F82BE7">
        <w:rPr>
          <w:rFonts w:ascii="ITC Avant Garde" w:hAnsi="ITC Avant Garde" w:cs="Arial"/>
          <w:color w:val="000000"/>
        </w:rPr>
        <w:t xml:space="preserve">los objetivos </w:t>
      </w:r>
      <w:r w:rsidR="00A87D12">
        <w:rPr>
          <w:rFonts w:ascii="ITC Avant Garde" w:hAnsi="ITC Avant Garde" w:cs="Arial"/>
          <w:color w:val="000000"/>
        </w:rPr>
        <w:t xml:space="preserve">regulatorios </w:t>
      </w:r>
      <w:r w:rsidRPr="00F82BE7">
        <w:rPr>
          <w:rFonts w:ascii="ITC Avant Garde" w:hAnsi="ITC Avant Garde" w:cs="Arial"/>
          <w:color w:val="000000"/>
        </w:rPr>
        <w:t>planteados en el Acuerdo.</w:t>
      </w:r>
    </w:p>
    <w:p w:rsidR="00A46F17" w:rsidRPr="00F82BE7" w:rsidRDefault="00180325"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No obstante, </w:t>
      </w:r>
      <w:r w:rsidR="008F1274" w:rsidRPr="00F82BE7">
        <w:rPr>
          <w:rFonts w:ascii="ITC Avant Garde" w:hAnsi="ITC Avant Garde" w:cs="Arial"/>
          <w:color w:val="000000"/>
        </w:rPr>
        <w:t>se advierte</w:t>
      </w:r>
      <w:r w:rsidR="00D55B2E" w:rsidRPr="00F82BE7">
        <w:rPr>
          <w:rFonts w:ascii="ITC Avant Garde" w:hAnsi="ITC Avant Garde" w:cs="Arial"/>
          <w:color w:val="000000"/>
        </w:rPr>
        <w:t xml:space="preserve"> que l</w:t>
      </w:r>
      <w:r w:rsidR="00B8581D" w:rsidRPr="00F82BE7">
        <w:rPr>
          <w:rFonts w:ascii="ITC Avant Garde" w:hAnsi="ITC Avant Garde" w:cs="Arial"/>
          <w:color w:val="000000"/>
        </w:rPr>
        <w:t>a inf</w:t>
      </w:r>
      <w:r w:rsidR="00F04945" w:rsidRPr="00F82BE7">
        <w:rPr>
          <w:rFonts w:ascii="ITC Avant Garde" w:hAnsi="ITC Avant Garde" w:cs="Arial"/>
          <w:color w:val="000000"/>
        </w:rPr>
        <w:t xml:space="preserve">ormación de separación contable </w:t>
      </w:r>
      <w:r w:rsidR="007A584F" w:rsidRPr="00F82BE7">
        <w:rPr>
          <w:rFonts w:ascii="ITC Avant Garde" w:hAnsi="ITC Avant Garde" w:cs="Arial"/>
          <w:color w:val="000000"/>
        </w:rPr>
        <w:t>que debe</w:t>
      </w:r>
      <w:r w:rsidR="00501B9D" w:rsidRPr="00F82BE7">
        <w:rPr>
          <w:rFonts w:ascii="ITC Avant Garde" w:hAnsi="ITC Avant Garde" w:cs="Arial"/>
          <w:color w:val="000000"/>
        </w:rPr>
        <w:t xml:space="preserve">rá </w:t>
      </w:r>
      <w:r w:rsidR="007A584F" w:rsidRPr="00F82BE7">
        <w:rPr>
          <w:rFonts w:ascii="ITC Avant Garde" w:hAnsi="ITC Avant Garde" w:cs="Arial"/>
          <w:color w:val="000000"/>
        </w:rPr>
        <w:t xml:space="preserve">entregar cada sujeto obligado está condicionada a la entrega de un </w:t>
      </w:r>
      <w:r w:rsidRPr="00F82BE7">
        <w:rPr>
          <w:rFonts w:ascii="ITC Avant Garde" w:hAnsi="ITC Avant Garde" w:cs="Arial"/>
          <w:color w:val="000000"/>
        </w:rPr>
        <w:t>p</w:t>
      </w:r>
      <w:r w:rsidR="007A584F" w:rsidRPr="00F82BE7">
        <w:rPr>
          <w:rFonts w:ascii="ITC Avant Garde" w:hAnsi="ITC Avant Garde" w:cs="Arial"/>
          <w:color w:val="000000"/>
        </w:rPr>
        <w:t xml:space="preserve">rograma de </w:t>
      </w:r>
      <w:r w:rsidRPr="00F82BE7">
        <w:rPr>
          <w:rFonts w:ascii="ITC Avant Garde" w:hAnsi="ITC Avant Garde" w:cs="Arial"/>
          <w:color w:val="000000"/>
        </w:rPr>
        <w:t>i</w:t>
      </w:r>
      <w:r w:rsidR="007A584F" w:rsidRPr="00F82BE7">
        <w:rPr>
          <w:rFonts w:ascii="ITC Avant Garde" w:hAnsi="ITC Avant Garde" w:cs="Arial"/>
          <w:color w:val="000000"/>
        </w:rPr>
        <w:t>mplementación. Este programa tiene la finalidad de que los propios</w:t>
      </w:r>
      <w:r w:rsidR="00A46F17" w:rsidRPr="00F82BE7">
        <w:rPr>
          <w:rFonts w:ascii="ITC Avant Garde" w:hAnsi="ITC Avant Garde" w:cs="Arial"/>
          <w:color w:val="000000"/>
        </w:rPr>
        <w:t xml:space="preserve"> sujetos obligados ajusten la metodología </w:t>
      </w:r>
      <w:r w:rsidR="00D55B2E" w:rsidRPr="00F82BE7">
        <w:rPr>
          <w:rFonts w:ascii="ITC Avant Garde" w:hAnsi="ITC Avant Garde" w:cs="Arial"/>
          <w:color w:val="000000"/>
        </w:rPr>
        <w:t xml:space="preserve">y los formatos previstos en la </w:t>
      </w:r>
      <w:r w:rsidR="00A46F17" w:rsidRPr="00F82BE7">
        <w:rPr>
          <w:rFonts w:ascii="ITC Avant Garde" w:hAnsi="ITC Avant Garde" w:cs="Arial"/>
          <w:color w:val="000000"/>
        </w:rPr>
        <w:t xml:space="preserve">separación contable a las características específicas de los servicios de telecomunicaciones </w:t>
      </w:r>
      <w:r w:rsidR="006F0431" w:rsidRPr="00F82BE7">
        <w:rPr>
          <w:rFonts w:ascii="ITC Avant Garde" w:hAnsi="ITC Avant Garde" w:cs="Arial"/>
          <w:color w:val="000000"/>
        </w:rPr>
        <w:t xml:space="preserve">y radiodifusión </w:t>
      </w:r>
      <w:r w:rsidR="00A46F17" w:rsidRPr="00F82BE7">
        <w:rPr>
          <w:rFonts w:ascii="ITC Avant Garde" w:hAnsi="ITC Avant Garde" w:cs="Arial"/>
          <w:color w:val="000000"/>
        </w:rPr>
        <w:t xml:space="preserve">que prestan. En este sentido, uno de los rubros que debe contener el </w:t>
      </w:r>
      <w:r w:rsidRPr="00F82BE7">
        <w:rPr>
          <w:rFonts w:ascii="ITC Avant Garde" w:hAnsi="ITC Avant Garde" w:cs="Arial"/>
          <w:color w:val="000000"/>
        </w:rPr>
        <w:t>p</w:t>
      </w:r>
      <w:r w:rsidR="00A46F17" w:rsidRPr="00F82BE7">
        <w:rPr>
          <w:rFonts w:ascii="ITC Avant Garde" w:hAnsi="ITC Avant Garde" w:cs="Arial"/>
          <w:color w:val="000000"/>
        </w:rPr>
        <w:t xml:space="preserve">rograma de </w:t>
      </w:r>
      <w:r w:rsidRPr="00F82BE7">
        <w:rPr>
          <w:rFonts w:ascii="ITC Avant Garde" w:hAnsi="ITC Avant Garde" w:cs="Arial"/>
          <w:color w:val="000000"/>
        </w:rPr>
        <w:t>i</w:t>
      </w:r>
      <w:r w:rsidR="00A46F17" w:rsidRPr="00F82BE7">
        <w:rPr>
          <w:rFonts w:ascii="ITC Avant Garde" w:hAnsi="ITC Avant Garde" w:cs="Arial"/>
          <w:color w:val="000000"/>
        </w:rPr>
        <w:t xml:space="preserve">mplementación es el listado con los servicios </w:t>
      </w:r>
      <w:r w:rsidRPr="00F82BE7">
        <w:rPr>
          <w:rFonts w:ascii="ITC Avant Garde" w:hAnsi="ITC Avant Garde" w:cs="Arial"/>
          <w:color w:val="000000"/>
        </w:rPr>
        <w:t>objeto de la separación contable que son prestados por el concesionario y/o autorizado</w:t>
      </w:r>
      <w:r w:rsidR="00A46F17" w:rsidRPr="00F82BE7">
        <w:rPr>
          <w:rFonts w:ascii="ITC Avant Garde" w:hAnsi="ITC Avant Garde" w:cs="Arial"/>
          <w:color w:val="000000"/>
        </w:rPr>
        <w:t xml:space="preserve"> y que deben ser desagregados, </w:t>
      </w:r>
      <w:r w:rsidR="00A87D12">
        <w:rPr>
          <w:rFonts w:ascii="ITC Avant Garde" w:hAnsi="ITC Avant Garde" w:cs="Arial"/>
          <w:color w:val="000000"/>
        </w:rPr>
        <w:t xml:space="preserve">así como las cuentas de costos e ingresos, </w:t>
      </w:r>
      <w:r w:rsidR="00A46F17" w:rsidRPr="00F82BE7">
        <w:rPr>
          <w:rFonts w:ascii="ITC Avant Garde" w:hAnsi="ITC Avant Garde" w:cs="Arial"/>
          <w:color w:val="000000"/>
        </w:rPr>
        <w:t>lo cual será revisado por el Instituto a efecto de determinar que la informaci</w:t>
      </w:r>
      <w:r w:rsidR="006F0431" w:rsidRPr="00F82BE7">
        <w:rPr>
          <w:rFonts w:ascii="ITC Avant Garde" w:hAnsi="ITC Avant Garde" w:cs="Arial"/>
          <w:color w:val="000000"/>
        </w:rPr>
        <w:t>ón proporciona</w:t>
      </w:r>
      <w:r w:rsidRPr="00F82BE7">
        <w:rPr>
          <w:rFonts w:ascii="ITC Avant Garde" w:hAnsi="ITC Avant Garde" w:cs="Arial"/>
          <w:color w:val="000000"/>
        </w:rPr>
        <w:t>da</w:t>
      </w:r>
      <w:r w:rsidR="00A46F17" w:rsidRPr="00F82BE7">
        <w:rPr>
          <w:rFonts w:ascii="ITC Avant Garde" w:hAnsi="ITC Avant Garde" w:cs="Arial"/>
          <w:color w:val="000000"/>
        </w:rPr>
        <w:t xml:space="preserve"> </w:t>
      </w:r>
      <w:r w:rsidRPr="00F82BE7">
        <w:rPr>
          <w:rFonts w:ascii="ITC Avant Garde" w:hAnsi="ITC Avant Garde" w:cs="Arial"/>
          <w:color w:val="000000"/>
        </w:rPr>
        <w:t xml:space="preserve">por </w:t>
      </w:r>
      <w:r w:rsidR="00A46F17" w:rsidRPr="00F82BE7">
        <w:rPr>
          <w:rFonts w:ascii="ITC Avant Garde" w:hAnsi="ITC Avant Garde" w:cs="Arial"/>
          <w:color w:val="000000"/>
        </w:rPr>
        <w:t>los sujetos obligados resulta adecuada para la separación contable.</w:t>
      </w:r>
    </w:p>
    <w:p w:rsidR="001A7996" w:rsidRDefault="00D55B2E" w:rsidP="0033377C">
      <w:pPr>
        <w:spacing w:line="276" w:lineRule="auto"/>
        <w:jc w:val="both"/>
        <w:rPr>
          <w:rFonts w:ascii="ITC Avant Garde" w:hAnsi="ITC Avant Garde" w:cs="Arial"/>
          <w:color w:val="000000"/>
        </w:rPr>
      </w:pPr>
      <w:r w:rsidRPr="00F82BE7">
        <w:rPr>
          <w:rFonts w:ascii="ITC Avant Garde" w:hAnsi="ITC Avant Garde" w:cs="Arial"/>
          <w:color w:val="000000"/>
        </w:rPr>
        <w:t>Adicionalmente</w:t>
      </w:r>
      <w:r w:rsidR="00E278DC" w:rsidRPr="00F82BE7">
        <w:rPr>
          <w:rFonts w:ascii="ITC Avant Garde" w:hAnsi="ITC Avant Garde" w:cs="Arial"/>
          <w:color w:val="000000"/>
        </w:rPr>
        <w:t xml:space="preserve">, </w:t>
      </w:r>
      <w:r w:rsidR="00180325" w:rsidRPr="00F82BE7">
        <w:rPr>
          <w:rFonts w:ascii="ITC Avant Garde" w:hAnsi="ITC Avant Garde" w:cs="Arial"/>
          <w:color w:val="000000"/>
        </w:rPr>
        <w:t>se advierte que la desagregación de los servicios ofrecidos por los sujetos obligados</w:t>
      </w:r>
      <w:r w:rsidR="00882352">
        <w:rPr>
          <w:rFonts w:ascii="ITC Avant Garde" w:hAnsi="ITC Avant Garde" w:cs="Arial"/>
          <w:color w:val="000000"/>
        </w:rPr>
        <w:t>, así como de sus cuentas de costos e ingresos asociadas,</w:t>
      </w:r>
      <w:r w:rsidR="00180325" w:rsidRPr="00F82BE7">
        <w:rPr>
          <w:rFonts w:ascii="ITC Avant Garde" w:hAnsi="ITC Avant Garde" w:cs="Arial"/>
          <w:color w:val="000000"/>
        </w:rPr>
        <w:t xml:space="preserve"> </w:t>
      </w:r>
      <w:r w:rsidR="00C371EF">
        <w:rPr>
          <w:rFonts w:ascii="ITC Avant Garde" w:hAnsi="ITC Avant Garde" w:cs="Arial"/>
          <w:color w:val="000000"/>
        </w:rPr>
        <w:t>está orientada a alcanzar</w:t>
      </w:r>
      <w:r w:rsidR="00C371EF" w:rsidRPr="00F82BE7">
        <w:rPr>
          <w:rFonts w:ascii="ITC Avant Garde" w:hAnsi="ITC Avant Garde" w:cs="Arial"/>
          <w:color w:val="000000"/>
        </w:rPr>
        <w:t xml:space="preserve"> </w:t>
      </w:r>
      <w:r w:rsidR="00180325" w:rsidRPr="00F82BE7">
        <w:rPr>
          <w:rFonts w:ascii="ITC Avant Garde" w:hAnsi="ITC Avant Garde" w:cs="Arial"/>
          <w:color w:val="000000"/>
        </w:rPr>
        <w:t>la robustez</w:t>
      </w:r>
      <w:r w:rsidR="001A7996" w:rsidRPr="00F82BE7">
        <w:rPr>
          <w:rFonts w:ascii="ITC Avant Garde" w:hAnsi="ITC Avant Garde" w:cs="Arial"/>
          <w:color w:val="000000"/>
        </w:rPr>
        <w:t>, credibilidad y fiabilidad de la separación contable.</w:t>
      </w:r>
    </w:p>
    <w:p w:rsidR="00B706F8" w:rsidRDefault="00B706F8"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Por lo anterior, </w:t>
      </w:r>
      <w:r w:rsidR="00882352" w:rsidRPr="00882352">
        <w:rPr>
          <w:rFonts w:ascii="ITC Avant Garde" w:hAnsi="ITC Avant Garde" w:cs="Arial"/>
          <w:color w:val="000000"/>
        </w:rPr>
        <w:t xml:space="preserve">no se realizaron ajustes al Anteproyecto en los términos señalados por </w:t>
      </w:r>
      <w:r w:rsidR="00882352">
        <w:rPr>
          <w:rFonts w:ascii="ITC Avant Garde" w:hAnsi="ITC Avant Garde" w:cs="Arial"/>
          <w:color w:val="000000"/>
        </w:rPr>
        <w:t>los</w:t>
      </w:r>
      <w:r w:rsidR="00882352" w:rsidRPr="00882352">
        <w:rPr>
          <w:rFonts w:ascii="ITC Avant Garde" w:hAnsi="ITC Avant Garde" w:cs="Arial"/>
          <w:color w:val="000000"/>
        </w:rPr>
        <w:t xml:space="preserve"> participante</w:t>
      </w:r>
      <w:r w:rsidR="00882352">
        <w:rPr>
          <w:rFonts w:ascii="ITC Avant Garde" w:hAnsi="ITC Avant Garde" w:cs="Arial"/>
          <w:color w:val="000000"/>
        </w:rPr>
        <w:t>s</w:t>
      </w:r>
      <w:r w:rsidRPr="00F82BE7">
        <w:rPr>
          <w:rFonts w:ascii="ITC Avant Garde" w:hAnsi="ITC Avant Garde" w:cs="Arial"/>
          <w:color w:val="000000"/>
        </w:rPr>
        <w:t>.</w:t>
      </w:r>
    </w:p>
    <w:p w:rsidR="00EE7A66" w:rsidRPr="00F82BE7" w:rsidRDefault="00EE7A66" w:rsidP="0033377C">
      <w:pPr>
        <w:pStyle w:val="Prrafodelista"/>
        <w:numPr>
          <w:ilvl w:val="0"/>
          <w:numId w:val="4"/>
        </w:numPr>
        <w:spacing w:line="276" w:lineRule="auto"/>
        <w:jc w:val="both"/>
        <w:rPr>
          <w:rFonts w:ascii="ITC Avant Garde" w:hAnsi="ITC Avant Garde" w:cs="Arial"/>
          <w:b/>
          <w:color w:val="000000"/>
        </w:rPr>
      </w:pPr>
      <w:r w:rsidRPr="00F82BE7">
        <w:rPr>
          <w:rFonts w:ascii="ITC Avant Garde" w:hAnsi="ITC Avant Garde" w:cs="Arial"/>
          <w:b/>
          <w:color w:val="000000"/>
        </w:rPr>
        <w:t>Otros</w:t>
      </w:r>
    </w:p>
    <w:p w:rsidR="003403FF" w:rsidRPr="00F82BE7" w:rsidRDefault="003403FF" w:rsidP="0033377C">
      <w:pPr>
        <w:spacing w:line="276" w:lineRule="auto"/>
        <w:jc w:val="both"/>
        <w:rPr>
          <w:rFonts w:ascii="ITC Avant Garde" w:hAnsi="ITC Avant Garde" w:cs="Arial"/>
          <w:i/>
          <w:color w:val="000000"/>
        </w:rPr>
      </w:pPr>
      <w:r w:rsidRPr="00F82BE7">
        <w:rPr>
          <w:rFonts w:ascii="ITC Avant Garde" w:hAnsi="ITC Avant Garde" w:cs="Arial"/>
          <w:i/>
          <w:color w:val="000000"/>
        </w:rPr>
        <w:t>Comentarios</w:t>
      </w:r>
    </w:p>
    <w:p w:rsidR="003B61E6" w:rsidRDefault="00EE7A66"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Un participante (MEGA CABLE) sugirió utilizar el término “balanza de comprobación” en lugar de “balance de prueba”, al ser un concepto más común. Además, sugirió incluir un ejercicio o caso práctico con un operador hipotético a </w:t>
      </w:r>
      <w:r w:rsidRPr="00F82BE7">
        <w:rPr>
          <w:rFonts w:ascii="ITC Avant Garde" w:hAnsi="ITC Avant Garde" w:cs="Arial"/>
          <w:color w:val="000000"/>
        </w:rPr>
        <w:lastRenderedPageBreak/>
        <w:t>fin de tener mayor claridad y transparencia de la metodología descrita.</w:t>
      </w:r>
      <w:r w:rsidR="003B61E6" w:rsidRPr="00F82BE7">
        <w:rPr>
          <w:rFonts w:ascii="ITC Avant Garde" w:hAnsi="ITC Avant Garde" w:cs="Arial"/>
          <w:color w:val="000000"/>
        </w:rPr>
        <w:t xml:space="preserve"> También señaló </w:t>
      </w:r>
      <w:r w:rsidR="008F1274" w:rsidRPr="00F82BE7">
        <w:rPr>
          <w:rFonts w:ascii="ITC Avant Garde" w:hAnsi="ITC Avant Garde" w:cs="Arial"/>
          <w:color w:val="000000"/>
        </w:rPr>
        <w:t>que</w:t>
      </w:r>
      <w:r w:rsidR="003B61E6" w:rsidRPr="00F82BE7">
        <w:rPr>
          <w:rFonts w:ascii="ITC Avant Garde" w:hAnsi="ITC Avant Garde" w:cs="Arial"/>
          <w:color w:val="000000"/>
        </w:rPr>
        <w:t xml:space="preserve"> en lugar de un Manual explicativo de la separación contable elaborado por los </w:t>
      </w:r>
      <w:r w:rsidR="00376BB5" w:rsidRPr="00F82BE7">
        <w:rPr>
          <w:rFonts w:ascii="ITC Avant Garde" w:hAnsi="ITC Avant Garde" w:cs="Arial"/>
          <w:color w:val="000000"/>
        </w:rPr>
        <w:t xml:space="preserve">agentes económicos preponderantes </w:t>
      </w:r>
      <w:r w:rsidR="003B61E6" w:rsidRPr="00F82BE7">
        <w:rPr>
          <w:rFonts w:ascii="ITC Avant Garde" w:hAnsi="ITC Avant Garde" w:cs="Arial"/>
          <w:color w:val="000000"/>
        </w:rPr>
        <w:t xml:space="preserve">y agentes con poder sustancial, dicho manual debería ser elaborado por el Instituto o por un tercero designado por </w:t>
      </w:r>
      <w:r w:rsidR="002A24BF" w:rsidRPr="00F82BE7">
        <w:rPr>
          <w:rFonts w:ascii="ITC Avant Garde" w:hAnsi="ITC Avant Garde" w:cs="Arial"/>
          <w:color w:val="000000"/>
        </w:rPr>
        <w:t>el</w:t>
      </w:r>
      <w:r w:rsidR="003B61E6" w:rsidRPr="00F82BE7">
        <w:rPr>
          <w:rFonts w:ascii="ITC Avant Garde" w:hAnsi="ITC Avant Garde" w:cs="Arial"/>
          <w:color w:val="000000"/>
        </w:rPr>
        <w:t xml:space="preserve"> Instituto. </w:t>
      </w:r>
    </w:p>
    <w:p w:rsidR="004A2486" w:rsidRDefault="004A2486" w:rsidP="0033377C">
      <w:pPr>
        <w:spacing w:line="276" w:lineRule="auto"/>
        <w:jc w:val="both"/>
        <w:rPr>
          <w:rFonts w:ascii="ITC Avant Garde" w:hAnsi="ITC Avant Garde" w:cs="Arial"/>
          <w:color w:val="000000"/>
        </w:rPr>
      </w:pPr>
      <w:r>
        <w:rPr>
          <w:rFonts w:ascii="ITC Avant Garde" w:hAnsi="ITC Avant Garde" w:cs="Arial"/>
          <w:color w:val="000000"/>
        </w:rPr>
        <w:t xml:space="preserve">Otros </w:t>
      </w:r>
      <w:r w:rsidRPr="00F82BE7">
        <w:rPr>
          <w:rFonts w:ascii="ITC Avant Garde" w:hAnsi="ITC Avant Garde" w:cs="Arial"/>
          <w:color w:val="000000"/>
        </w:rPr>
        <w:t xml:space="preserve">participantes (Corporación de Radio y Televisión del Norte de México y Bestphone) propusieron que, en el caso de los expertos independientes encargados de la elaboración de </w:t>
      </w:r>
      <w:r>
        <w:rPr>
          <w:rFonts w:ascii="ITC Avant Garde" w:hAnsi="ITC Avant Garde" w:cs="Arial"/>
          <w:color w:val="000000"/>
        </w:rPr>
        <w:t xml:space="preserve">la </w:t>
      </w:r>
      <w:r w:rsidRPr="00F82BE7">
        <w:rPr>
          <w:rFonts w:ascii="ITC Avant Garde" w:hAnsi="ITC Avant Garde" w:cs="Arial"/>
          <w:color w:val="000000"/>
        </w:rPr>
        <w:t xml:space="preserve">metodología de tasación, el Instituto conceda una mayor flexibilidad en cuanto a las limitaciones de haber trabajado o trabajar para el concesionario durante los 6 meses anteriores o los 12 meses posteriores, ya que el número de empresas de solvencia con expertos en la materia en México es limitado, por lo que las restricciones propuestas por el Instituto pueden reducir enormemente la disponibilidad de los expertos. </w:t>
      </w:r>
      <w:r>
        <w:rPr>
          <w:rFonts w:ascii="ITC Avant Garde" w:hAnsi="ITC Avant Garde" w:cs="Arial"/>
          <w:color w:val="000000"/>
        </w:rPr>
        <w:t>Al respecto</w:t>
      </w:r>
      <w:r w:rsidRPr="00F82BE7">
        <w:rPr>
          <w:rFonts w:ascii="ITC Avant Garde" w:hAnsi="ITC Avant Garde" w:cs="Arial"/>
          <w:color w:val="000000"/>
        </w:rPr>
        <w:t>, propusieron eliminar esas restricciones temporales.</w:t>
      </w:r>
    </w:p>
    <w:p w:rsidR="00EE7A66" w:rsidRPr="00F82BE7" w:rsidRDefault="00F96956" w:rsidP="0033377C">
      <w:pPr>
        <w:spacing w:line="276" w:lineRule="auto"/>
        <w:jc w:val="both"/>
        <w:rPr>
          <w:rFonts w:ascii="ITC Avant Garde" w:hAnsi="ITC Avant Garde" w:cs="Arial"/>
          <w:color w:val="000000"/>
        </w:rPr>
      </w:pPr>
      <w:r>
        <w:rPr>
          <w:rFonts w:ascii="ITC Avant Garde" w:hAnsi="ITC Avant Garde" w:cs="Arial"/>
          <w:i/>
          <w:color w:val="000000"/>
        </w:rPr>
        <w:t>Consideraciones</w:t>
      </w:r>
      <w:r w:rsidRPr="00F82BE7" w:rsidDel="00F96956">
        <w:rPr>
          <w:rFonts w:ascii="ITC Avant Garde" w:hAnsi="ITC Avant Garde" w:cs="Arial"/>
          <w:i/>
          <w:color w:val="000000"/>
        </w:rPr>
        <w:t xml:space="preserve"> </w:t>
      </w:r>
      <w:r w:rsidR="00EE7A66" w:rsidRPr="00F82BE7">
        <w:rPr>
          <w:rFonts w:ascii="ITC Avant Garde" w:hAnsi="ITC Avant Garde" w:cs="Arial"/>
          <w:i/>
          <w:color w:val="000000"/>
        </w:rPr>
        <w:t>del Instituto</w:t>
      </w:r>
    </w:p>
    <w:p w:rsidR="00180325" w:rsidRPr="00F82BE7" w:rsidRDefault="00180325" w:rsidP="0033377C">
      <w:pPr>
        <w:spacing w:line="276" w:lineRule="auto"/>
        <w:jc w:val="both"/>
        <w:rPr>
          <w:rFonts w:ascii="ITC Avant Garde" w:hAnsi="ITC Avant Garde" w:cs="Arial"/>
          <w:color w:val="000000"/>
        </w:rPr>
      </w:pPr>
      <w:r w:rsidRPr="00F82BE7">
        <w:rPr>
          <w:rFonts w:ascii="ITC Avant Garde" w:hAnsi="ITC Avant Garde" w:cs="Arial"/>
          <w:color w:val="000000"/>
        </w:rPr>
        <w:t>Se considera que el término “balance de prueba” es adecuado para los propósitos del A</w:t>
      </w:r>
      <w:r w:rsidR="00137441">
        <w:rPr>
          <w:rFonts w:ascii="ITC Avant Garde" w:hAnsi="ITC Avant Garde" w:cs="Arial"/>
          <w:color w:val="000000"/>
        </w:rPr>
        <w:t>nteproyecto</w:t>
      </w:r>
      <w:r w:rsidRPr="00F82BE7">
        <w:rPr>
          <w:rFonts w:ascii="ITC Avant Garde" w:hAnsi="ITC Avant Garde" w:cs="Arial"/>
          <w:color w:val="000000"/>
        </w:rPr>
        <w:t>, toda vez que hace referencia a un resumen básico del estudio financiero de los operadores.</w:t>
      </w:r>
    </w:p>
    <w:p w:rsidR="00A37D76" w:rsidRDefault="00180325"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Sobre la posibilidad de incluir un caso práctico con un operador hipotético para tener mayor claridad, se advierte que no resulta factible ya que la naturaleza de los sujetos obligados </w:t>
      </w:r>
      <w:r w:rsidR="00137441">
        <w:rPr>
          <w:rFonts w:ascii="ITC Avant Garde" w:hAnsi="ITC Avant Garde" w:cs="Arial"/>
          <w:color w:val="000000"/>
        </w:rPr>
        <w:t>puede ser muy</w:t>
      </w:r>
      <w:r w:rsidR="00137441" w:rsidRPr="00F82BE7">
        <w:rPr>
          <w:rFonts w:ascii="ITC Avant Garde" w:hAnsi="ITC Avant Garde" w:cs="Arial"/>
          <w:color w:val="000000"/>
        </w:rPr>
        <w:t xml:space="preserve"> </w:t>
      </w:r>
      <w:r w:rsidRPr="00F82BE7">
        <w:rPr>
          <w:rFonts w:ascii="ITC Avant Garde" w:hAnsi="ITC Avant Garde" w:cs="Arial"/>
          <w:color w:val="000000"/>
        </w:rPr>
        <w:t xml:space="preserve">diferente. </w:t>
      </w:r>
      <w:r w:rsidR="00137441">
        <w:rPr>
          <w:rFonts w:ascii="ITC Avant Garde" w:hAnsi="ITC Avant Garde" w:cs="Arial"/>
          <w:color w:val="000000"/>
        </w:rPr>
        <w:t>No obstante</w:t>
      </w:r>
      <w:r w:rsidRPr="00F82BE7">
        <w:rPr>
          <w:rFonts w:ascii="ITC Avant Garde" w:hAnsi="ITC Avant Garde" w:cs="Arial"/>
          <w:color w:val="000000"/>
        </w:rPr>
        <w:t xml:space="preserve">, con el fin de evitar desviaciones en la entrega de información, se prevé la entrega de un programa de implementación que será revisado por el Instituto, en el que se reflejará una propuesta sobre cómo los operadores reportarán la información de separación contable. </w:t>
      </w:r>
    </w:p>
    <w:p w:rsidR="00180325" w:rsidRDefault="00180325"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Sobre el comentario relativo al </w:t>
      </w:r>
      <w:r w:rsidR="00A37D76" w:rsidRPr="00F82BE7">
        <w:rPr>
          <w:rFonts w:ascii="ITC Avant Garde" w:hAnsi="ITC Avant Garde" w:cs="Arial"/>
          <w:color w:val="000000"/>
        </w:rPr>
        <w:t>manual explicativo</w:t>
      </w:r>
      <w:r w:rsidRPr="00F82BE7">
        <w:rPr>
          <w:rFonts w:ascii="ITC Avant Garde" w:hAnsi="ITC Avant Garde" w:cs="Arial"/>
          <w:color w:val="000000"/>
        </w:rPr>
        <w:t>, se advierte que dicho manual sirve de referencia al Instituto para conocer la forma en la que los sujetos obligados implementaron la metodología de separación contable, por lo cual debe ser realizado por ellos mismos.</w:t>
      </w:r>
    </w:p>
    <w:p w:rsidR="00F968BB" w:rsidRDefault="00B706F8"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Por lo anterior, </w:t>
      </w:r>
      <w:r w:rsidR="000A0299" w:rsidRPr="000A0299">
        <w:rPr>
          <w:rFonts w:ascii="ITC Avant Garde" w:hAnsi="ITC Avant Garde" w:cs="Arial"/>
          <w:color w:val="000000"/>
        </w:rPr>
        <w:t>no se realizaron ajustes al Anteproyecto en los términos señalados por el participante</w:t>
      </w:r>
      <w:r w:rsidRPr="00F82BE7">
        <w:rPr>
          <w:rFonts w:ascii="ITC Avant Garde" w:hAnsi="ITC Avant Garde" w:cs="Arial"/>
          <w:color w:val="000000"/>
        </w:rPr>
        <w:t>.</w:t>
      </w:r>
    </w:p>
    <w:p w:rsidR="008217F6" w:rsidRDefault="008217F6" w:rsidP="0033377C">
      <w:pPr>
        <w:spacing w:line="276" w:lineRule="auto"/>
        <w:jc w:val="both"/>
        <w:rPr>
          <w:rFonts w:ascii="ITC Avant Garde" w:hAnsi="ITC Avant Garde" w:cs="Arial"/>
          <w:color w:val="000000"/>
        </w:rPr>
      </w:pPr>
      <w:r w:rsidRPr="00F82BE7">
        <w:rPr>
          <w:rFonts w:ascii="ITC Avant Garde" w:hAnsi="ITC Avant Garde" w:cs="Arial"/>
          <w:color w:val="000000"/>
        </w:rPr>
        <w:t xml:space="preserve">Sobre </w:t>
      </w:r>
      <w:r w:rsidR="00C04BC9">
        <w:rPr>
          <w:rFonts w:ascii="ITC Avant Garde" w:hAnsi="ITC Avant Garde" w:cs="Arial"/>
          <w:color w:val="000000"/>
        </w:rPr>
        <w:t>el comentario relativo a</w:t>
      </w:r>
      <w:r>
        <w:rPr>
          <w:rFonts w:ascii="ITC Avant Garde" w:hAnsi="ITC Avant Garde" w:cs="Arial"/>
          <w:color w:val="000000"/>
        </w:rPr>
        <w:t xml:space="preserve"> </w:t>
      </w:r>
      <w:r w:rsidRPr="00F82BE7">
        <w:rPr>
          <w:rFonts w:ascii="ITC Avant Garde" w:hAnsi="ITC Avant Garde" w:cs="Arial"/>
          <w:color w:val="000000"/>
        </w:rPr>
        <w:t xml:space="preserve">la metodología de tasación, se señala que es necesario que sea realizada por un experto independiente e imparcial en virtud de que se trata de una valoración de los bienes inmuebles propiedad de los sujetos obligados, </w:t>
      </w:r>
      <w:r>
        <w:rPr>
          <w:rFonts w:ascii="ITC Avant Garde" w:hAnsi="ITC Avant Garde" w:cs="Arial"/>
          <w:color w:val="000000"/>
        </w:rPr>
        <w:t>sin embargo, se consideró adecuado dar</w:t>
      </w:r>
      <w:r w:rsidRPr="00F82BE7">
        <w:rPr>
          <w:rFonts w:ascii="ITC Avant Garde" w:hAnsi="ITC Avant Garde" w:cs="Arial"/>
          <w:color w:val="000000"/>
        </w:rPr>
        <w:t xml:space="preserve"> </w:t>
      </w:r>
      <w:r>
        <w:rPr>
          <w:rFonts w:ascii="ITC Avant Garde" w:hAnsi="ITC Avant Garde" w:cs="Arial"/>
          <w:color w:val="000000"/>
        </w:rPr>
        <w:t xml:space="preserve">mayor </w:t>
      </w:r>
      <w:r w:rsidRPr="00F82BE7">
        <w:rPr>
          <w:rFonts w:ascii="ITC Avant Garde" w:hAnsi="ITC Avant Garde" w:cs="Arial"/>
          <w:color w:val="000000"/>
        </w:rPr>
        <w:t>flexibilidad</w:t>
      </w:r>
      <w:r>
        <w:rPr>
          <w:rFonts w:ascii="ITC Avant Garde" w:hAnsi="ITC Avant Garde" w:cs="Arial"/>
          <w:color w:val="000000"/>
        </w:rPr>
        <w:t xml:space="preserve"> sobre los expertos, por lo que se realizaron adecuaciones al Anteproyecto, a fin de </w:t>
      </w:r>
      <w:r>
        <w:rPr>
          <w:rFonts w:ascii="ITC Avant Garde" w:hAnsi="ITC Avant Garde" w:cs="Arial"/>
          <w:color w:val="000000"/>
        </w:rPr>
        <w:lastRenderedPageBreak/>
        <w:t>eliminaron las restricciones</w:t>
      </w:r>
      <w:r w:rsidRPr="00F82BE7">
        <w:rPr>
          <w:rFonts w:ascii="ITC Avant Garde" w:hAnsi="ITC Avant Garde" w:cs="Arial"/>
          <w:color w:val="000000"/>
        </w:rPr>
        <w:t xml:space="preserve"> de haber trabajado o trabajar para el concesionario durante los 6 meses anterio</w:t>
      </w:r>
      <w:r>
        <w:rPr>
          <w:rFonts w:ascii="ITC Avant Garde" w:hAnsi="ITC Avant Garde" w:cs="Arial"/>
          <w:color w:val="000000"/>
        </w:rPr>
        <w:t>res o los 12 meses posteriores.</w:t>
      </w:r>
    </w:p>
    <w:sectPr w:rsidR="008217F6" w:rsidSect="00846E3F">
      <w:footerReference w:type="default" r:id="rId8"/>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4D2" w:rsidRDefault="00D074D2" w:rsidP="00CC7417">
      <w:pPr>
        <w:spacing w:after="0" w:line="240" w:lineRule="auto"/>
      </w:pPr>
      <w:r>
        <w:separator/>
      </w:r>
    </w:p>
  </w:endnote>
  <w:endnote w:type="continuationSeparator" w:id="0">
    <w:p w:rsidR="00D074D2" w:rsidRDefault="00D074D2" w:rsidP="00CC7417">
      <w:pPr>
        <w:spacing w:after="0" w:line="240" w:lineRule="auto"/>
      </w:pPr>
      <w:r>
        <w:continuationSeparator/>
      </w:r>
    </w:p>
  </w:endnote>
  <w:endnote w:type="continuationNotice" w:id="1">
    <w:p w:rsidR="00D074D2" w:rsidRDefault="00D074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ITC Avant Garde">
    <w:altName w:val="Segoe UI Semilight"/>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449072"/>
      <w:docPartObj>
        <w:docPartGallery w:val="Page Numbers (Bottom of Page)"/>
        <w:docPartUnique/>
      </w:docPartObj>
    </w:sdtPr>
    <w:sdtEndPr/>
    <w:sdtContent>
      <w:sdt>
        <w:sdtPr>
          <w:id w:val="-1769616900"/>
          <w:docPartObj>
            <w:docPartGallery w:val="Page Numbers (Top of Page)"/>
            <w:docPartUnique/>
          </w:docPartObj>
        </w:sdtPr>
        <w:sdtEndPr/>
        <w:sdtContent>
          <w:p w:rsidR="00481187" w:rsidRDefault="00481187">
            <w:pPr>
              <w:pStyle w:val="Piedepgina"/>
              <w:jc w:val="right"/>
            </w:pPr>
            <w:r w:rsidRPr="00B80CE3">
              <w:rPr>
                <w:rFonts w:ascii="ITC Avant Garde" w:hAnsi="ITC Avant Garde"/>
                <w:lang w:val="es-ES"/>
              </w:rPr>
              <w:t xml:space="preserve">Página </w:t>
            </w:r>
            <w:r w:rsidRPr="00B80CE3">
              <w:rPr>
                <w:rFonts w:ascii="ITC Avant Garde" w:hAnsi="ITC Avant Garde"/>
                <w:b/>
                <w:bCs/>
                <w:sz w:val="24"/>
                <w:szCs w:val="24"/>
              </w:rPr>
              <w:fldChar w:fldCharType="begin"/>
            </w:r>
            <w:r w:rsidRPr="00B80CE3">
              <w:rPr>
                <w:rFonts w:ascii="ITC Avant Garde" w:hAnsi="ITC Avant Garde"/>
                <w:b/>
                <w:bCs/>
              </w:rPr>
              <w:instrText>PAGE</w:instrText>
            </w:r>
            <w:r w:rsidRPr="00B80CE3">
              <w:rPr>
                <w:rFonts w:ascii="ITC Avant Garde" w:hAnsi="ITC Avant Garde"/>
                <w:b/>
                <w:bCs/>
                <w:sz w:val="24"/>
                <w:szCs w:val="24"/>
              </w:rPr>
              <w:fldChar w:fldCharType="separate"/>
            </w:r>
            <w:r w:rsidR="00D43B17">
              <w:rPr>
                <w:rFonts w:ascii="ITC Avant Garde" w:hAnsi="ITC Avant Garde"/>
                <w:b/>
                <w:bCs/>
                <w:noProof/>
              </w:rPr>
              <w:t>1</w:t>
            </w:r>
            <w:r w:rsidRPr="00B80CE3">
              <w:rPr>
                <w:rFonts w:ascii="ITC Avant Garde" w:hAnsi="ITC Avant Garde"/>
                <w:b/>
                <w:bCs/>
                <w:sz w:val="24"/>
                <w:szCs w:val="24"/>
              </w:rPr>
              <w:fldChar w:fldCharType="end"/>
            </w:r>
            <w:r w:rsidRPr="00B80CE3">
              <w:rPr>
                <w:rFonts w:ascii="ITC Avant Garde" w:hAnsi="ITC Avant Garde"/>
                <w:lang w:val="es-ES"/>
              </w:rPr>
              <w:t xml:space="preserve"> de </w:t>
            </w:r>
            <w:r w:rsidRPr="00B80CE3">
              <w:rPr>
                <w:rFonts w:ascii="ITC Avant Garde" w:hAnsi="ITC Avant Garde"/>
                <w:b/>
                <w:bCs/>
                <w:sz w:val="24"/>
                <w:szCs w:val="24"/>
              </w:rPr>
              <w:fldChar w:fldCharType="begin"/>
            </w:r>
            <w:r w:rsidRPr="00B80CE3">
              <w:rPr>
                <w:rFonts w:ascii="ITC Avant Garde" w:hAnsi="ITC Avant Garde"/>
                <w:b/>
                <w:bCs/>
              </w:rPr>
              <w:instrText>NUMPAGES</w:instrText>
            </w:r>
            <w:r w:rsidRPr="00B80CE3">
              <w:rPr>
                <w:rFonts w:ascii="ITC Avant Garde" w:hAnsi="ITC Avant Garde"/>
                <w:b/>
                <w:bCs/>
                <w:sz w:val="24"/>
                <w:szCs w:val="24"/>
              </w:rPr>
              <w:fldChar w:fldCharType="separate"/>
            </w:r>
            <w:r w:rsidR="00D43B17">
              <w:rPr>
                <w:rFonts w:ascii="ITC Avant Garde" w:hAnsi="ITC Avant Garde"/>
                <w:b/>
                <w:bCs/>
                <w:noProof/>
              </w:rPr>
              <w:t>36</w:t>
            </w:r>
            <w:r w:rsidRPr="00B80CE3">
              <w:rPr>
                <w:rFonts w:ascii="ITC Avant Garde" w:hAnsi="ITC Avant Garde"/>
                <w:b/>
                <w:bCs/>
                <w:sz w:val="24"/>
                <w:szCs w:val="24"/>
              </w:rPr>
              <w:fldChar w:fldCharType="end"/>
            </w:r>
          </w:p>
        </w:sdtContent>
      </w:sdt>
    </w:sdtContent>
  </w:sdt>
  <w:p w:rsidR="00481187" w:rsidRDefault="004811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4D2" w:rsidRDefault="00D074D2" w:rsidP="00CC7417">
      <w:pPr>
        <w:spacing w:after="0" w:line="240" w:lineRule="auto"/>
      </w:pPr>
      <w:r>
        <w:separator/>
      </w:r>
    </w:p>
  </w:footnote>
  <w:footnote w:type="continuationSeparator" w:id="0">
    <w:p w:rsidR="00D074D2" w:rsidRDefault="00D074D2" w:rsidP="00CC7417">
      <w:pPr>
        <w:spacing w:after="0" w:line="240" w:lineRule="auto"/>
      </w:pPr>
      <w:r>
        <w:continuationSeparator/>
      </w:r>
    </w:p>
  </w:footnote>
  <w:footnote w:type="continuationNotice" w:id="1">
    <w:p w:rsidR="00D074D2" w:rsidRDefault="00D074D2">
      <w:pPr>
        <w:spacing w:after="0" w:line="240" w:lineRule="auto"/>
      </w:pPr>
    </w:p>
  </w:footnote>
  <w:footnote w:id="2">
    <w:p w:rsidR="00481187" w:rsidRPr="00324173" w:rsidRDefault="00481187" w:rsidP="00324173">
      <w:pPr>
        <w:pStyle w:val="Textonotapie"/>
        <w:jc w:val="both"/>
        <w:rPr>
          <w:rFonts w:ascii="ITC Avant Garde" w:hAnsi="ITC Avant Garde"/>
          <w:sz w:val="16"/>
          <w:szCs w:val="16"/>
          <w:lang w:val="es-MX"/>
        </w:rPr>
      </w:pPr>
      <w:r w:rsidRPr="00324173">
        <w:rPr>
          <w:rStyle w:val="Refdenotaalpie"/>
          <w:rFonts w:ascii="ITC Avant Garde" w:hAnsi="ITC Avant Garde"/>
          <w:sz w:val="16"/>
          <w:szCs w:val="16"/>
        </w:rPr>
        <w:footnoteRef/>
      </w:r>
      <w:r>
        <w:rPr>
          <w:rFonts w:ascii="ITC Avant Garde" w:hAnsi="ITC Avant Garde"/>
          <w:sz w:val="16"/>
          <w:szCs w:val="16"/>
        </w:rPr>
        <w:t xml:space="preserve"> </w:t>
      </w:r>
      <w:r w:rsidRPr="00324173">
        <w:rPr>
          <w:rFonts w:ascii="ITC Avant Garde" w:hAnsi="ITC Avant Garde"/>
          <w:sz w:val="16"/>
          <w:szCs w:val="16"/>
        </w:rPr>
        <w:t>UIT (2009), “Guía de Contabilidad Regulatoria”, Disponible en: https://www.itu.int/ITU-D/finance/Studies/Regulatory%20accounting%20guide-final-with%20graphics-es.pdf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2D6"/>
    <w:multiLevelType w:val="hybridMultilevel"/>
    <w:tmpl w:val="3B081A22"/>
    <w:lvl w:ilvl="0" w:tplc="0A34DCDC">
      <w:start w:val="1"/>
      <w:numFmt w:val="decimal"/>
      <w:lvlText w:val="%1)"/>
      <w:lvlJc w:val="left"/>
      <w:pPr>
        <w:ind w:left="720" w:hanging="360"/>
      </w:pPr>
      <w:rPr>
        <w:rFonts w:hint="default"/>
        <w:b w:val="0"/>
      </w:rPr>
    </w:lvl>
    <w:lvl w:ilvl="1" w:tplc="B2FE6564">
      <w:numFmt w:val="bullet"/>
      <w:lvlText w:val="•"/>
      <w:lvlJc w:val="left"/>
      <w:pPr>
        <w:ind w:left="1440" w:hanging="360"/>
      </w:pPr>
      <w:rPr>
        <w:rFonts w:ascii="ITC Avant Garde" w:eastAsiaTheme="minorHAnsi" w:hAnsi="ITC Avant Garde" w:cs="Arial" w:hint="default"/>
      </w:rPr>
    </w:lvl>
    <w:lvl w:ilvl="2" w:tplc="A75AABE8">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BD7627"/>
    <w:multiLevelType w:val="multilevel"/>
    <w:tmpl w:val="7018C7E0"/>
    <w:lvl w:ilvl="0">
      <w:start w:val="1"/>
      <w:numFmt w:val="bullet"/>
      <w:pStyle w:val="BulletPoints"/>
      <w:lvlText w:val=""/>
      <w:lvlJc w:val="left"/>
      <w:pPr>
        <w:ind w:left="717" w:hanging="360"/>
      </w:pPr>
      <w:rPr>
        <w:rFonts w:ascii="Wingdings 3" w:hAnsi="Wingdings 3" w:hint="default"/>
        <w:b w:val="0"/>
        <w:bCs w:val="0"/>
        <w:i w:val="0"/>
        <w:iCs w:val="0"/>
        <w:caps w:val="0"/>
        <w:smallCaps w:val="0"/>
        <w:strike w:val="0"/>
        <w:dstrike w:val="0"/>
        <w:noProof w:val="0"/>
        <w:vanish w:val="0"/>
        <w:color w:val="0C2749"/>
        <w:spacing w:val="0"/>
        <w:kern w:val="0"/>
        <w:position w:val="0"/>
        <w:u w:val="none"/>
        <w:effect w:val="none"/>
        <w:vertAlign w:val="baseline"/>
        <w:em w:val="none"/>
        <w:specVanish w:val="0"/>
      </w:rPr>
    </w:lvl>
    <w:lvl w:ilvl="1">
      <w:start w:val="1"/>
      <w:numFmt w:val="bullet"/>
      <w:lvlText w:val=""/>
      <w:lvlJc w:val="left"/>
      <w:pPr>
        <w:tabs>
          <w:tab w:val="num" w:pos="1437"/>
        </w:tabs>
        <w:ind w:left="1437" w:hanging="360"/>
      </w:pPr>
      <w:rPr>
        <w:rFonts w:ascii="Symbol" w:hAnsi="Symbol" w:hint="default"/>
        <w:color w:val="B46566"/>
      </w:rPr>
    </w:lvl>
    <w:lvl w:ilvl="2">
      <w:start w:val="1"/>
      <w:numFmt w:val="bullet"/>
      <w:lvlText w:val="‒"/>
      <w:lvlJc w:val="left"/>
      <w:pPr>
        <w:tabs>
          <w:tab w:val="num" w:pos="2157"/>
        </w:tabs>
        <w:ind w:left="2157" w:hanging="360"/>
      </w:pPr>
      <w:rPr>
        <w:rFonts w:ascii="Verdana" w:hAnsi="Verdana" w:hint="default"/>
        <w:color w:val="B46566"/>
      </w:rPr>
    </w:lvl>
    <w:lvl w:ilvl="3">
      <w:start w:val="1"/>
      <w:numFmt w:val="bullet"/>
      <w:lvlText w:val="‒"/>
      <w:lvlJc w:val="left"/>
      <w:pPr>
        <w:tabs>
          <w:tab w:val="num" w:pos="2877"/>
        </w:tabs>
        <w:ind w:left="2877" w:hanging="360"/>
      </w:pPr>
      <w:rPr>
        <w:rFonts w:ascii="Verdana" w:hAnsi="Verdana" w:hint="default"/>
        <w:color w:val="B46566"/>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hint="default"/>
      </w:rPr>
    </w:lvl>
  </w:abstractNum>
  <w:abstractNum w:abstractNumId="2" w15:restartNumberingAfterBreak="0">
    <w:nsid w:val="05BA5AA7"/>
    <w:multiLevelType w:val="hybridMultilevel"/>
    <w:tmpl w:val="B87015E8"/>
    <w:lvl w:ilvl="0" w:tplc="080A0001">
      <w:start w:val="1"/>
      <w:numFmt w:val="bullet"/>
      <w:lvlText w:val=""/>
      <w:lvlJc w:val="left"/>
      <w:pPr>
        <w:ind w:left="720" w:hanging="360"/>
      </w:pPr>
      <w:rPr>
        <w:rFonts w:ascii="Symbol" w:hAnsi="Symbol" w:hint="default"/>
      </w:rPr>
    </w:lvl>
    <w:lvl w:ilvl="1" w:tplc="ED6ABDB6">
      <w:start w:val="7"/>
      <w:numFmt w:val="bullet"/>
      <w:lvlText w:val="•"/>
      <w:lvlJc w:val="left"/>
      <w:pPr>
        <w:ind w:left="1440" w:hanging="360"/>
      </w:pPr>
      <w:rPr>
        <w:rFonts w:ascii="Calibri" w:eastAsiaTheme="minorHAnsi" w:hAnsi="Calibri"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F40443"/>
    <w:multiLevelType w:val="hybridMultilevel"/>
    <w:tmpl w:val="466853E2"/>
    <w:lvl w:ilvl="0" w:tplc="080A0001">
      <w:start w:val="1"/>
      <w:numFmt w:val="bullet"/>
      <w:lvlText w:val=""/>
      <w:lvlJc w:val="left"/>
      <w:pPr>
        <w:ind w:left="720" w:hanging="360"/>
      </w:pPr>
      <w:rPr>
        <w:rFonts w:ascii="Symbol" w:hAnsi="Symbol" w:hint="default"/>
        <w:b/>
      </w:rPr>
    </w:lvl>
    <w:lvl w:ilvl="1" w:tplc="B2FE6564">
      <w:numFmt w:val="bullet"/>
      <w:lvlText w:val="•"/>
      <w:lvlJc w:val="left"/>
      <w:pPr>
        <w:ind w:left="1440" w:hanging="360"/>
      </w:pPr>
      <w:rPr>
        <w:rFonts w:ascii="ITC Avant Garde" w:eastAsiaTheme="minorHAnsi" w:hAnsi="ITC Avant Garde" w:cs="Arial" w:hint="default"/>
      </w:rPr>
    </w:lvl>
    <w:lvl w:ilvl="2" w:tplc="A75AABE8">
      <w:start w:val="1"/>
      <w:numFmt w:val="decimal"/>
      <w:lvlText w:val="%3."/>
      <w:lvlJc w:val="left"/>
      <w:pPr>
        <w:ind w:left="2340" w:hanging="360"/>
      </w:pPr>
      <w:rPr>
        <w:rFonts w:hint="default"/>
      </w:rPr>
    </w:lvl>
    <w:lvl w:ilvl="3" w:tplc="768A2ED4">
      <w:start w:val="8"/>
      <w:numFmt w:val="bullet"/>
      <w:lvlText w:val="-"/>
      <w:lvlJc w:val="left"/>
      <w:pPr>
        <w:ind w:left="2880" w:hanging="360"/>
      </w:pPr>
      <w:rPr>
        <w:rFonts w:ascii="ITC Avant Garde" w:eastAsiaTheme="minorHAnsi" w:hAnsi="ITC Avant Garde" w:cs="A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A84C7B"/>
    <w:multiLevelType w:val="hybridMultilevel"/>
    <w:tmpl w:val="896C66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A144C8"/>
    <w:multiLevelType w:val="hybridMultilevel"/>
    <w:tmpl w:val="EDE4062A"/>
    <w:lvl w:ilvl="0" w:tplc="080A0001">
      <w:start w:val="1"/>
      <w:numFmt w:val="bullet"/>
      <w:lvlText w:val=""/>
      <w:lvlJc w:val="left"/>
      <w:pPr>
        <w:ind w:left="1584" w:hanging="360"/>
      </w:pPr>
      <w:rPr>
        <w:rFonts w:ascii="Symbol" w:hAnsi="Symbol" w:hint="default"/>
      </w:rPr>
    </w:lvl>
    <w:lvl w:ilvl="1" w:tplc="080A0003" w:tentative="1">
      <w:start w:val="1"/>
      <w:numFmt w:val="bullet"/>
      <w:lvlText w:val="o"/>
      <w:lvlJc w:val="left"/>
      <w:pPr>
        <w:ind w:left="2304" w:hanging="360"/>
      </w:pPr>
      <w:rPr>
        <w:rFonts w:ascii="Courier New" w:hAnsi="Courier New" w:cs="Courier New" w:hint="default"/>
      </w:rPr>
    </w:lvl>
    <w:lvl w:ilvl="2" w:tplc="080A0005" w:tentative="1">
      <w:start w:val="1"/>
      <w:numFmt w:val="bullet"/>
      <w:lvlText w:val=""/>
      <w:lvlJc w:val="left"/>
      <w:pPr>
        <w:ind w:left="3024" w:hanging="360"/>
      </w:pPr>
      <w:rPr>
        <w:rFonts w:ascii="Wingdings" w:hAnsi="Wingdings" w:hint="default"/>
      </w:rPr>
    </w:lvl>
    <w:lvl w:ilvl="3" w:tplc="080A0001" w:tentative="1">
      <w:start w:val="1"/>
      <w:numFmt w:val="bullet"/>
      <w:lvlText w:val=""/>
      <w:lvlJc w:val="left"/>
      <w:pPr>
        <w:ind w:left="3744" w:hanging="360"/>
      </w:pPr>
      <w:rPr>
        <w:rFonts w:ascii="Symbol" w:hAnsi="Symbol" w:hint="default"/>
      </w:rPr>
    </w:lvl>
    <w:lvl w:ilvl="4" w:tplc="080A0003" w:tentative="1">
      <w:start w:val="1"/>
      <w:numFmt w:val="bullet"/>
      <w:lvlText w:val="o"/>
      <w:lvlJc w:val="left"/>
      <w:pPr>
        <w:ind w:left="4464" w:hanging="360"/>
      </w:pPr>
      <w:rPr>
        <w:rFonts w:ascii="Courier New" w:hAnsi="Courier New" w:cs="Courier New" w:hint="default"/>
      </w:rPr>
    </w:lvl>
    <w:lvl w:ilvl="5" w:tplc="080A0005" w:tentative="1">
      <w:start w:val="1"/>
      <w:numFmt w:val="bullet"/>
      <w:lvlText w:val=""/>
      <w:lvlJc w:val="left"/>
      <w:pPr>
        <w:ind w:left="5184" w:hanging="360"/>
      </w:pPr>
      <w:rPr>
        <w:rFonts w:ascii="Wingdings" w:hAnsi="Wingdings" w:hint="default"/>
      </w:rPr>
    </w:lvl>
    <w:lvl w:ilvl="6" w:tplc="080A0001" w:tentative="1">
      <w:start w:val="1"/>
      <w:numFmt w:val="bullet"/>
      <w:lvlText w:val=""/>
      <w:lvlJc w:val="left"/>
      <w:pPr>
        <w:ind w:left="5904" w:hanging="360"/>
      </w:pPr>
      <w:rPr>
        <w:rFonts w:ascii="Symbol" w:hAnsi="Symbol" w:hint="default"/>
      </w:rPr>
    </w:lvl>
    <w:lvl w:ilvl="7" w:tplc="080A0003" w:tentative="1">
      <w:start w:val="1"/>
      <w:numFmt w:val="bullet"/>
      <w:lvlText w:val="o"/>
      <w:lvlJc w:val="left"/>
      <w:pPr>
        <w:ind w:left="6624" w:hanging="360"/>
      </w:pPr>
      <w:rPr>
        <w:rFonts w:ascii="Courier New" w:hAnsi="Courier New" w:cs="Courier New" w:hint="default"/>
      </w:rPr>
    </w:lvl>
    <w:lvl w:ilvl="8" w:tplc="080A0005" w:tentative="1">
      <w:start w:val="1"/>
      <w:numFmt w:val="bullet"/>
      <w:lvlText w:val=""/>
      <w:lvlJc w:val="left"/>
      <w:pPr>
        <w:ind w:left="7344" w:hanging="360"/>
      </w:pPr>
      <w:rPr>
        <w:rFonts w:ascii="Wingdings" w:hAnsi="Wingdings" w:hint="default"/>
      </w:rPr>
    </w:lvl>
  </w:abstractNum>
  <w:abstractNum w:abstractNumId="6" w15:restartNumberingAfterBreak="0">
    <w:nsid w:val="29F9723B"/>
    <w:multiLevelType w:val="hybridMultilevel"/>
    <w:tmpl w:val="3376B5FA"/>
    <w:lvl w:ilvl="0" w:tplc="080A0001">
      <w:start w:val="1"/>
      <w:numFmt w:val="bullet"/>
      <w:lvlText w:val=""/>
      <w:lvlJc w:val="left"/>
      <w:pPr>
        <w:ind w:left="1584" w:hanging="360"/>
      </w:pPr>
      <w:rPr>
        <w:rFonts w:ascii="Symbol" w:hAnsi="Symbol" w:hint="default"/>
      </w:rPr>
    </w:lvl>
    <w:lvl w:ilvl="1" w:tplc="080A0003" w:tentative="1">
      <w:start w:val="1"/>
      <w:numFmt w:val="bullet"/>
      <w:lvlText w:val="o"/>
      <w:lvlJc w:val="left"/>
      <w:pPr>
        <w:ind w:left="2304" w:hanging="360"/>
      </w:pPr>
      <w:rPr>
        <w:rFonts w:ascii="Courier New" w:hAnsi="Courier New" w:cs="Courier New" w:hint="default"/>
      </w:rPr>
    </w:lvl>
    <w:lvl w:ilvl="2" w:tplc="080A0005" w:tentative="1">
      <w:start w:val="1"/>
      <w:numFmt w:val="bullet"/>
      <w:lvlText w:val=""/>
      <w:lvlJc w:val="left"/>
      <w:pPr>
        <w:ind w:left="3024" w:hanging="360"/>
      </w:pPr>
      <w:rPr>
        <w:rFonts w:ascii="Wingdings" w:hAnsi="Wingdings" w:hint="default"/>
      </w:rPr>
    </w:lvl>
    <w:lvl w:ilvl="3" w:tplc="080A0001" w:tentative="1">
      <w:start w:val="1"/>
      <w:numFmt w:val="bullet"/>
      <w:lvlText w:val=""/>
      <w:lvlJc w:val="left"/>
      <w:pPr>
        <w:ind w:left="3744" w:hanging="360"/>
      </w:pPr>
      <w:rPr>
        <w:rFonts w:ascii="Symbol" w:hAnsi="Symbol" w:hint="default"/>
      </w:rPr>
    </w:lvl>
    <w:lvl w:ilvl="4" w:tplc="080A0003" w:tentative="1">
      <w:start w:val="1"/>
      <w:numFmt w:val="bullet"/>
      <w:lvlText w:val="o"/>
      <w:lvlJc w:val="left"/>
      <w:pPr>
        <w:ind w:left="4464" w:hanging="360"/>
      </w:pPr>
      <w:rPr>
        <w:rFonts w:ascii="Courier New" w:hAnsi="Courier New" w:cs="Courier New" w:hint="default"/>
      </w:rPr>
    </w:lvl>
    <w:lvl w:ilvl="5" w:tplc="080A0005" w:tentative="1">
      <w:start w:val="1"/>
      <w:numFmt w:val="bullet"/>
      <w:lvlText w:val=""/>
      <w:lvlJc w:val="left"/>
      <w:pPr>
        <w:ind w:left="5184" w:hanging="360"/>
      </w:pPr>
      <w:rPr>
        <w:rFonts w:ascii="Wingdings" w:hAnsi="Wingdings" w:hint="default"/>
      </w:rPr>
    </w:lvl>
    <w:lvl w:ilvl="6" w:tplc="080A0001" w:tentative="1">
      <w:start w:val="1"/>
      <w:numFmt w:val="bullet"/>
      <w:lvlText w:val=""/>
      <w:lvlJc w:val="left"/>
      <w:pPr>
        <w:ind w:left="5904" w:hanging="360"/>
      </w:pPr>
      <w:rPr>
        <w:rFonts w:ascii="Symbol" w:hAnsi="Symbol" w:hint="default"/>
      </w:rPr>
    </w:lvl>
    <w:lvl w:ilvl="7" w:tplc="080A0003" w:tentative="1">
      <w:start w:val="1"/>
      <w:numFmt w:val="bullet"/>
      <w:lvlText w:val="o"/>
      <w:lvlJc w:val="left"/>
      <w:pPr>
        <w:ind w:left="6624" w:hanging="360"/>
      </w:pPr>
      <w:rPr>
        <w:rFonts w:ascii="Courier New" w:hAnsi="Courier New" w:cs="Courier New" w:hint="default"/>
      </w:rPr>
    </w:lvl>
    <w:lvl w:ilvl="8" w:tplc="080A0005" w:tentative="1">
      <w:start w:val="1"/>
      <w:numFmt w:val="bullet"/>
      <w:lvlText w:val=""/>
      <w:lvlJc w:val="left"/>
      <w:pPr>
        <w:ind w:left="7344" w:hanging="360"/>
      </w:pPr>
      <w:rPr>
        <w:rFonts w:ascii="Wingdings" w:hAnsi="Wingdings" w:hint="default"/>
      </w:rPr>
    </w:lvl>
  </w:abstractNum>
  <w:abstractNum w:abstractNumId="7" w15:restartNumberingAfterBreak="0">
    <w:nsid w:val="315849AF"/>
    <w:multiLevelType w:val="hybridMultilevel"/>
    <w:tmpl w:val="0546B684"/>
    <w:lvl w:ilvl="0" w:tplc="939E860C">
      <w:start w:val="1"/>
      <w:numFmt w:val="bullet"/>
      <w:pStyle w:val="Indentadoresolucin"/>
      <w:lvlText w:val=""/>
      <w:lvlJc w:val="left"/>
      <w:pPr>
        <w:ind w:left="928" w:hanging="360"/>
      </w:pPr>
      <w:rPr>
        <w:rFonts w:ascii="Symbol" w:hAnsi="Symbol" w:hint="default"/>
      </w:rPr>
    </w:lvl>
    <w:lvl w:ilvl="1" w:tplc="AEE89A0A">
      <w:start w:val="1"/>
      <w:numFmt w:val="bullet"/>
      <w:pStyle w:val="Indentado3"/>
      <w:lvlText w:val="o"/>
      <w:lvlJc w:val="left"/>
      <w:pPr>
        <w:ind w:left="1648" w:hanging="360"/>
      </w:pPr>
      <w:rPr>
        <w:rFonts w:ascii="Courier New" w:hAnsi="Courier New" w:cs="Courier New" w:hint="default"/>
      </w:rPr>
    </w:lvl>
    <w:lvl w:ilvl="2" w:tplc="0C0A0005">
      <w:start w:val="1"/>
      <w:numFmt w:val="bullet"/>
      <w:lvlText w:val=""/>
      <w:lvlJc w:val="left"/>
      <w:pPr>
        <w:ind w:left="2368" w:hanging="360"/>
      </w:pPr>
      <w:rPr>
        <w:rFonts w:ascii="Wingdings" w:hAnsi="Wingdings" w:hint="default"/>
      </w:rPr>
    </w:lvl>
    <w:lvl w:ilvl="3" w:tplc="0C0A000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8" w15:restartNumberingAfterBreak="0">
    <w:nsid w:val="318A4182"/>
    <w:multiLevelType w:val="hybridMultilevel"/>
    <w:tmpl w:val="9D86BC48"/>
    <w:lvl w:ilvl="0" w:tplc="080A000F">
      <w:start w:val="1"/>
      <w:numFmt w:val="decimal"/>
      <w:lvlText w:val="%1."/>
      <w:lvlJc w:val="left"/>
      <w:pPr>
        <w:ind w:left="1584" w:hanging="360"/>
      </w:pPr>
    </w:lvl>
    <w:lvl w:ilvl="1" w:tplc="080A0019" w:tentative="1">
      <w:start w:val="1"/>
      <w:numFmt w:val="lowerLetter"/>
      <w:lvlText w:val="%2."/>
      <w:lvlJc w:val="left"/>
      <w:pPr>
        <w:ind w:left="2304" w:hanging="360"/>
      </w:pPr>
    </w:lvl>
    <w:lvl w:ilvl="2" w:tplc="080A001B" w:tentative="1">
      <w:start w:val="1"/>
      <w:numFmt w:val="lowerRoman"/>
      <w:lvlText w:val="%3."/>
      <w:lvlJc w:val="right"/>
      <w:pPr>
        <w:ind w:left="3024" w:hanging="180"/>
      </w:pPr>
    </w:lvl>
    <w:lvl w:ilvl="3" w:tplc="080A000F" w:tentative="1">
      <w:start w:val="1"/>
      <w:numFmt w:val="decimal"/>
      <w:lvlText w:val="%4."/>
      <w:lvlJc w:val="left"/>
      <w:pPr>
        <w:ind w:left="3744" w:hanging="360"/>
      </w:pPr>
    </w:lvl>
    <w:lvl w:ilvl="4" w:tplc="080A0019" w:tentative="1">
      <w:start w:val="1"/>
      <w:numFmt w:val="lowerLetter"/>
      <w:lvlText w:val="%5."/>
      <w:lvlJc w:val="left"/>
      <w:pPr>
        <w:ind w:left="4464" w:hanging="360"/>
      </w:pPr>
    </w:lvl>
    <w:lvl w:ilvl="5" w:tplc="080A001B" w:tentative="1">
      <w:start w:val="1"/>
      <w:numFmt w:val="lowerRoman"/>
      <w:lvlText w:val="%6."/>
      <w:lvlJc w:val="right"/>
      <w:pPr>
        <w:ind w:left="5184" w:hanging="180"/>
      </w:pPr>
    </w:lvl>
    <w:lvl w:ilvl="6" w:tplc="080A000F" w:tentative="1">
      <w:start w:val="1"/>
      <w:numFmt w:val="decimal"/>
      <w:lvlText w:val="%7."/>
      <w:lvlJc w:val="left"/>
      <w:pPr>
        <w:ind w:left="5904" w:hanging="360"/>
      </w:pPr>
    </w:lvl>
    <w:lvl w:ilvl="7" w:tplc="080A0019" w:tentative="1">
      <w:start w:val="1"/>
      <w:numFmt w:val="lowerLetter"/>
      <w:lvlText w:val="%8."/>
      <w:lvlJc w:val="left"/>
      <w:pPr>
        <w:ind w:left="6624" w:hanging="360"/>
      </w:pPr>
    </w:lvl>
    <w:lvl w:ilvl="8" w:tplc="080A001B" w:tentative="1">
      <w:start w:val="1"/>
      <w:numFmt w:val="lowerRoman"/>
      <w:lvlText w:val="%9."/>
      <w:lvlJc w:val="right"/>
      <w:pPr>
        <w:ind w:left="7344" w:hanging="180"/>
      </w:pPr>
    </w:lvl>
  </w:abstractNum>
  <w:abstractNum w:abstractNumId="9" w15:restartNumberingAfterBreak="0">
    <w:nsid w:val="34FC6535"/>
    <w:multiLevelType w:val="hybridMultilevel"/>
    <w:tmpl w:val="8C9A9748"/>
    <w:lvl w:ilvl="0" w:tplc="080A000F">
      <w:start w:val="1"/>
      <w:numFmt w:val="decimal"/>
      <w:lvlText w:val="%1."/>
      <w:lvlJc w:val="left"/>
      <w:pPr>
        <w:ind w:left="720" w:hanging="360"/>
      </w:pPr>
    </w:lvl>
    <w:lvl w:ilvl="1" w:tplc="DADCC880">
      <w:start w:val="1"/>
      <w:numFmt w:val="decimal"/>
      <w:lvlText w:val="%2."/>
      <w:lvlJc w:val="left"/>
      <w:pPr>
        <w:ind w:left="1530" w:hanging="450"/>
      </w:pPr>
      <w:rPr>
        <w:rFonts w:hint="default"/>
      </w:rPr>
    </w:lvl>
    <w:lvl w:ilvl="2" w:tplc="4866DD5A">
      <w:numFmt w:val="bullet"/>
      <w:lvlText w:val="·"/>
      <w:lvlJc w:val="left"/>
      <w:pPr>
        <w:ind w:left="2340" w:hanging="360"/>
      </w:pPr>
      <w:rPr>
        <w:rFonts w:ascii="ITC Avant Garde" w:eastAsiaTheme="minorHAnsi" w:hAnsi="ITC Avant Garde"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B9A3B12"/>
    <w:multiLevelType w:val="hybridMultilevel"/>
    <w:tmpl w:val="E15AE7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00A7B78"/>
    <w:multiLevelType w:val="hybridMultilevel"/>
    <w:tmpl w:val="1450C4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5E81710"/>
    <w:multiLevelType w:val="hybridMultilevel"/>
    <w:tmpl w:val="DBDAF1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6520D50"/>
    <w:multiLevelType w:val="hybridMultilevel"/>
    <w:tmpl w:val="C78AA9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BAC57FF"/>
    <w:multiLevelType w:val="hybridMultilevel"/>
    <w:tmpl w:val="14E26F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EAA164B"/>
    <w:multiLevelType w:val="hybridMultilevel"/>
    <w:tmpl w:val="3DA07000"/>
    <w:lvl w:ilvl="0" w:tplc="E5D4B8CE">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04A6532"/>
    <w:multiLevelType w:val="hybridMultilevel"/>
    <w:tmpl w:val="2EBAFE68"/>
    <w:lvl w:ilvl="0" w:tplc="69A416F6">
      <w:start w:val="1"/>
      <w:numFmt w:val="decimal"/>
      <w:lvlText w:val="%1."/>
      <w:lvlJc w:val="left"/>
      <w:pPr>
        <w:ind w:left="720" w:hanging="360"/>
      </w:pPr>
      <w:rPr>
        <w:b w:val="0"/>
      </w:rPr>
    </w:lvl>
    <w:lvl w:ilvl="1" w:tplc="B2FE6564">
      <w:numFmt w:val="bullet"/>
      <w:lvlText w:val="•"/>
      <w:lvlJc w:val="left"/>
      <w:pPr>
        <w:ind w:left="1440" w:hanging="360"/>
      </w:pPr>
      <w:rPr>
        <w:rFonts w:ascii="ITC Avant Garde" w:eastAsiaTheme="minorHAnsi" w:hAnsi="ITC Avant Garde"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C4D5071"/>
    <w:multiLevelType w:val="hybridMultilevel"/>
    <w:tmpl w:val="8BCCB900"/>
    <w:lvl w:ilvl="0" w:tplc="080A0001">
      <w:start w:val="1"/>
      <w:numFmt w:val="bullet"/>
      <w:lvlText w:val=""/>
      <w:lvlJc w:val="left"/>
      <w:pPr>
        <w:ind w:left="720" w:hanging="360"/>
      </w:pPr>
      <w:rPr>
        <w:rFonts w:ascii="Symbol" w:hAnsi="Symbol" w:hint="default"/>
        <w:b/>
      </w:rPr>
    </w:lvl>
    <w:lvl w:ilvl="1" w:tplc="B2FE6564">
      <w:numFmt w:val="bullet"/>
      <w:lvlText w:val="•"/>
      <w:lvlJc w:val="left"/>
      <w:pPr>
        <w:ind w:left="1440" w:hanging="360"/>
      </w:pPr>
      <w:rPr>
        <w:rFonts w:ascii="ITC Avant Garde" w:eastAsiaTheme="minorHAnsi" w:hAnsi="ITC Avant Garde" w:cs="Arial" w:hint="default"/>
      </w:rPr>
    </w:lvl>
    <w:lvl w:ilvl="2" w:tplc="A75AABE8">
      <w:start w:val="1"/>
      <w:numFmt w:val="decimal"/>
      <w:lvlText w:val="%3."/>
      <w:lvlJc w:val="left"/>
      <w:pPr>
        <w:ind w:left="2340" w:hanging="360"/>
      </w:pPr>
      <w:rPr>
        <w:rFonts w:hint="default"/>
      </w:rPr>
    </w:lvl>
    <w:lvl w:ilvl="3" w:tplc="080A0001">
      <w:start w:val="1"/>
      <w:numFmt w:val="bullet"/>
      <w:lvlText w:val=""/>
      <w:lvlJc w:val="left"/>
      <w:pPr>
        <w:ind w:left="2880" w:hanging="360"/>
      </w:pPr>
      <w:rPr>
        <w:rFonts w:ascii="Symbol" w:hAnsi="Symbo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4723FA1"/>
    <w:multiLevelType w:val="hybridMultilevel"/>
    <w:tmpl w:val="C97044E0"/>
    <w:lvl w:ilvl="0" w:tplc="87BA690E">
      <w:start w:val="1"/>
      <w:numFmt w:val="lowerLetter"/>
      <w:lvlText w:val="%1."/>
      <w:lvlJc w:val="left"/>
      <w:pPr>
        <w:ind w:left="1224" w:hanging="36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19" w15:restartNumberingAfterBreak="0">
    <w:nsid w:val="684F6830"/>
    <w:multiLevelType w:val="hybridMultilevel"/>
    <w:tmpl w:val="7F6E23C6"/>
    <w:lvl w:ilvl="0" w:tplc="63E25146">
      <w:start w:val="4"/>
      <w:numFmt w:val="bullet"/>
      <w:lvlText w:val="·"/>
      <w:lvlJc w:val="left"/>
      <w:pPr>
        <w:ind w:left="1224" w:hanging="360"/>
      </w:pPr>
      <w:rPr>
        <w:rFonts w:ascii="ITC Avant Garde" w:eastAsiaTheme="minorHAnsi" w:hAnsi="ITC Avant Garde" w:cstheme="minorBidi" w:hint="default"/>
      </w:rPr>
    </w:lvl>
    <w:lvl w:ilvl="1" w:tplc="080A0003" w:tentative="1">
      <w:start w:val="1"/>
      <w:numFmt w:val="bullet"/>
      <w:lvlText w:val="o"/>
      <w:lvlJc w:val="left"/>
      <w:pPr>
        <w:ind w:left="1944" w:hanging="360"/>
      </w:pPr>
      <w:rPr>
        <w:rFonts w:ascii="Courier New" w:hAnsi="Courier New" w:cs="Courier New" w:hint="default"/>
      </w:rPr>
    </w:lvl>
    <w:lvl w:ilvl="2" w:tplc="080A0005" w:tentative="1">
      <w:start w:val="1"/>
      <w:numFmt w:val="bullet"/>
      <w:lvlText w:val=""/>
      <w:lvlJc w:val="left"/>
      <w:pPr>
        <w:ind w:left="2664" w:hanging="360"/>
      </w:pPr>
      <w:rPr>
        <w:rFonts w:ascii="Wingdings" w:hAnsi="Wingdings" w:hint="default"/>
      </w:rPr>
    </w:lvl>
    <w:lvl w:ilvl="3" w:tplc="080A0001" w:tentative="1">
      <w:start w:val="1"/>
      <w:numFmt w:val="bullet"/>
      <w:lvlText w:val=""/>
      <w:lvlJc w:val="left"/>
      <w:pPr>
        <w:ind w:left="3384" w:hanging="360"/>
      </w:pPr>
      <w:rPr>
        <w:rFonts w:ascii="Symbol" w:hAnsi="Symbol" w:hint="default"/>
      </w:rPr>
    </w:lvl>
    <w:lvl w:ilvl="4" w:tplc="080A0003" w:tentative="1">
      <w:start w:val="1"/>
      <w:numFmt w:val="bullet"/>
      <w:lvlText w:val="o"/>
      <w:lvlJc w:val="left"/>
      <w:pPr>
        <w:ind w:left="4104" w:hanging="360"/>
      </w:pPr>
      <w:rPr>
        <w:rFonts w:ascii="Courier New" w:hAnsi="Courier New" w:cs="Courier New" w:hint="default"/>
      </w:rPr>
    </w:lvl>
    <w:lvl w:ilvl="5" w:tplc="080A0005" w:tentative="1">
      <w:start w:val="1"/>
      <w:numFmt w:val="bullet"/>
      <w:lvlText w:val=""/>
      <w:lvlJc w:val="left"/>
      <w:pPr>
        <w:ind w:left="4824" w:hanging="360"/>
      </w:pPr>
      <w:rPr>
        <w:rFonts w:ascii="Wingdings" w:hAnsi="Wingdings" w:hint="default"/>
      </w:rPr>
    </w:lvl>
    <w:lvl w:ilvl="6" w:tplc="080A0001" w:tentative="1">
      <w:start w:val="1"/>
      <w:numFmt w:val="bullet"/>
      <w:lvlText w:val=""/>
      <w:lvlJc w:val="left"/>
      <w:pPr>
        <w:ind w:left="5544" w:hanging="360"/>
      </w:pPr>
      <w:rPr>
        <w:rFonts w:ascii="Symbol" w:hAnsi="Symbol" w:hint="default"/>
      </w:rPr>
    </w:lvl>
    <w:lvl w:ilvl="7" w:tplc="080A0003" w:tentative="1">
      <w:start w:val="1"/>
      <w:numFmt w:val="bullet"/>
      <w:lvlText w:val="o"/>
      <w:lvlJc w:val="left"/>
      <w:pPr>
        <w:ind w:left="6264" w:hanging="360"/>
      </w:pPr>
      <w:rPr>
        <w:rFonts w:ascii="Courier New" w:hAnsi="Courier New" w:cs="Courier New" w:hint="default"/>
      </w:rPr>
    </w:lvl>
    <w:lvl w:ilvl="8" w:tplc="080A0005" w:tentative="1">
      <w:start w:val="1"/>
      <w:numFmt w:val="bullet"/>
      <w:lvlText w:val=""/>
      <w:lvlJc w:val="left"/>
      <w:pPr>
        <w:ind w:left="6984" w:hanging="360"/>
      </w:pPr>
      <w:rPr>
        <w:rFonts w:ascii="Wingdings" w:hAnsi="Wingdings" w:hint="default"/>
      </w:rPr>
    </w:lvl>
  </w:abstractNum>
  <w:abstractNum w:abstractNumId="20" w15:restartNumberingAfterBreak="0">
    <w:nsid w:val="6EDE018A"/>
    <w:multiLevelType w:val="hybridMultilevel"/>
    <w:tmpl w:val="4F3649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96F6D28"/>
    <w:multiLevelType w:val="hybridMultilevel"/>
    <w:tmpl w:val="A8C4E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EEC0B03"/>
    <w:multiLevelType w:val="multilevel"/>
    <w:tmpl w:val="C6BCCB68"/>
    <w:lvl w:ilvl="0">
      <w:start w:val="1"/>
      <w:numFmt w:val="decimal"/>
      <w:suff w:val="space"/>
      <w:lvlText w:val="%1."/>
      <w:lvlJc w:val="left"/>
      <w:pPr>
        <w:ind w:left="0" w:firstLine="0"/>
      </w:pPr>
      <w:rPr>
        <w:rFonts w:hint="default"/>
      </w:rPr>
    </w:lvl>
    <w:lvl w:ilvl="1">
      <w:start w:val="3"/>
      <w:numFmt w:val="decimal"/>
      <w:pStyle w:val="HeadingAnexo1L2"/>
      <w:suff w:val="space"/>
      <w:lvlText w:val="%1.%2."/>
      <w:lvlJc w:val="left"/>
      <w:pPr>
        <w:ind w:left="0" w:firstLine="0"/>
      </w:pPr>
      <w:rPr>
        <w:rFonts w:hint="default"/>
      </w:rPr>
    </w:lvl>
    <w:lvl w:ilvl="2">
      <w:start w:val="1"/>
      <w:numFmt w:val="decimal"/>
      <w:pStyle w:val="HeadingAnexo2L2"/>
      <w:suff w:val="space"/>
      <w:lvlText w:val="%1.%2.%3."/>
      <w:lvlJc w:val="left"/>
      <w:pPr>
        <w:ind w:left="0" w:firstLine="0"/>
      </w:pPr>
      <w:rPr>
        <w:rFonts w:hint="default"/>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9"/>
  </w:num>
  <w:num w:numId="2">
    <w:abstractNumId w:val="1"/>
  </w:num>
  <w:num w:numId="3">
    <w:abstractNumId w:val="16"/>
  </w:num>
  <w:num w:numId="4">
    <w:abstractNumId w:val="15"/>
  </w:num>
  <w:num w:numId="5">
    <w:abstractNumId w:val="3"/>
  </w:num>
  <w:num w:numId="6">
    <w:abstractNumId w:val="0"/>
  </w:num>
  <w:num w:numId="7">
    <w:abstractNumId w:val="22"/>
  </w:num>
  <w:num w:numId="8">
    <w:abstractNumId w:val="11"/>
  </w:num>
  <w:num w:numId="9">
    <w:abstractNumId w:val="17"/>
  </w:num>
  <w:num w:numId="10">
    <w:abstractNumId w:val="10"/>
  </w:num>
  <w:num w:numId="11">
    <w:abstractNumId w:val="21"/>
  </w:num>
  <w:num w:numId="12">
    <w:abstractNumId w:val="13"/>
  </w:num>
  <w:num w:numId="13">
    <w:abstractNumId w:val="4"/>
  </w:num>
  <w:num w:numId="14">
    <w:abstractNumId w:val="20"/>
  </w:num>
  <w:num w:numId="15">
    <w:abstractNumId w:val="7"/>
  </w:num>
  <w:num w:numId="16">
    <w:abstractNumId w:val="2"/>
  </w:num>
  <w:num w:numId="17">
    <w:abstractNumId w:val="8"/>
  </w:num>
  <w:num w:numId="18">
    <w:abstractNumId w:val="6"/>
  </w:num>
  <w:num w:numId="19">
    <w:abstractNumId w:val="19"/>
  </w:num>
  <w:num w:numId="20">
    <w:abstractNumId w:val="5"/>
  </w:num>
  <w:num w:numId="21">
    <w:abstractNumId w:val="18"/>
  </w:num>
  <w:num w:numId="22">
    <w:abstractNumId w:val="12"/>
  </w:num>
  <w:num w:numId="23">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AC6"/>
    <w:rsid w:val="000013A2"/>
    <w:rsid w:val="00002316"/>
    <w:rsid w:val="00004CAF"/>
    <w:rsid w:val="00010808"/>
    <w:rsid w:val="000111FB"/>
    <w:rsid w:val="00011936"/>
    <w:rsid w:val="00012382"/>
    <w:rsid w:val="000130DF"/>
    <w:rsid w:val="00014A9A"/>
    <w:rsid w:val="00016490"/>
    <w:rsid w:val="00017062"/>
    <w:rsid w:val="000179B4"/>
    <w:rsid w:val="00020BFD"/>
    <w:rsid w:val="00021AA1"/>
    <w:rsid w:val="00022DD0"/>
    <w:rsid w:val="00024899"/>
    <w:rsid w:val="000248F9"/>
    <w:rsid w:val="000249B2"/>
    <w:rsid w:val="0002663D"/>
    <w:rsid w:val="00026792"/>
    <w:rsid w:val="00026CCD"/>
    <w:rsid w:val="00026DD3"/>
    <w:rsid w:val="000270DF"/>
    <w:rsid w:val="000306A2"/>
    <w:rsid w:val="00030B59"/>
    <w:rsid w:val="00031C9A"/>
    <w:rsid w:val="0003550F"/>
    <w:rsid w:val="00037A25"/>
    <w:rsid w:val="00044203"/>
    <w:rsid w:val="000464C9"/>
    <w:rsid w:val="00047184"/>
    <w:rsid w:val="0005072E"/>
    <w:rsid w:val="00052361"/>
    <w:rsid w:val="00052E34"/>
    <w:rsid w:val="00057037"/>
    <w:rsid w:val="00060955"/>
    <w:rsid w:val="00060CBF"/>
    <w:rsid w:val="000638CB"/>
    <w:rsid w:val="0006447B"/>
    <w:rsid w:val="000677C7"/>
    <w:rsid w:val="00067E9C"/>
    <w:rsid w:val="000709E8"/>
    <w:rsid w:val="00070AF9"/>
    <w:rsid w:val="0007440A"/>
    <w:rsid w:val="000748C5"/>
    <w:rsid w:val="00074E1F"/>
    <w:rsid w:val="000777CA"/>
    <w:rsid w:val="00081071"/>
    <w:rsid w:val="000829A0"/>
    <w:rsid w:val="000858DC"/>
    <w:rsid w:val="00091AF6"/>
    <w:rsid w:val="00093E37"/>
    <w:rsid w:val="000951E0"/>
    <w:rsid w:val="000958AB"/>
    <w:rsid w:val="00096877"/>
    <w:rsid w:val="00096F56"/>
    <w:rsid w:val="000A0299"/>
    <w:rsid w:val="000A29A5"/>
    <w:rsid w:val="000A481B"/>
    <w:rsid w:val="000A60CF"/>
    <w:rsid w:val="000A6B22"/>
    <w:rsid w:val="000B0055"/>
    <w:rsid w:val="000B14D8"/>
    <w:rsid w:val="000B412D"/>
    <w:rsid w:val="000B4BCA"/>
    <w:rsid w:val="000B5AE5"/>
    <w:rsid w:val="000B7136"/>
    <w:rsid w:val="000C0161"/>
    <w:rsid w:val="000C1A8C"/>
    <w:rsid w:val="000C1E4C"/>
    <w:rsid w:val="000C47ED"/>
    <w:rsid w:val="000C494E"/>
    <w:rsid w:val="000C4C7A"/>
    <w:rsid w:val="000C5270"/>
    <w:rsid w:val="000C6A6C"/>
    <w:rsid w:val="000C6B50"/>
    <w:rsid w:val="000D1D57"/>
    <w:rsid w:val="000D2322"/>
    <w:rsid w:val="000D2EF6"/>
    <w:rsid w:val="000D33EB"/>
    <w:rsid w:val="000D5F91"/>
    <w:rsid w:val="000D6847"/>
    <w:rsid w:val="000E0982"/>
    <w:rsid w:val="000E0C72"/>
    <w:rsid w:val="000E0E0E"/>
    <w:rsid w:val="000E144F"/>
    <w:rsid w:val="000E273B"/>
    <w:rsid w:val="000E4791"/>
    <w:rsid w:val="000E51BA"/>
    <w:rsid w:val="000E6D5A"/>
    <w:rsid w:val="000F031F"/>
    <w:rsid w:val="000F507D"/>
    <w:rsid w:val="001021E6"/>
    <w:rsid w:val="001048BF"/>
    <w:rsid w:val="00105036"/>
    <w:rsid w:val="00105ED9"/>
    <w:rsid w:val="001077B9"/>
    <w:rsid w:val="00110D38"/>
    <w:rsid w:val="00110F61"/>
    <w:rsid w:val="0011370E"/>
    <w:rsid w:val="001141C4"/>
    <w:rsid w:val="001146E3"/>
    <w:rsid w:val="001157C5"/>
    <w:rsid w:val="00117BAC"/>
    <w:rsid w:val="00124034"/>
    <w:rsid w:val="00124A03"/>
    <w:rsid w:val="001250B8"/>
    <w:rsid w:val="00125789"/>
    <w:rsid w:val="00127436"/>
    <w:rsid w:val="00127CB3"/>
    <w:rsid w:val="00130D63"/>
    <w:rsid w:val="00131B99"/>
    <w:rsid w:val="0013356F"/>
    <w:rsid w:val="00133931"/>
    <w:rsid w:val="00133BB6"/>
    <w:rsid w:val="001344C2"/>
    <w:rsid w:val="00137441"/>
    <w:rsid w:val="00137F81"/>
    <w:rsid w:val="00143248"/>
    <w:rsid w:val="00143A79"/>
    <w:rsid w:val="00143C0B"/>
    <w:rsid w:val="00143F8D"/>
    <w:rsid w:val="00144A22"/>
    <w:rsid w:val="00144CF3"/>
    <w:rsid w:val="00145730"/>
    <w:rsid w:val="001459C3"/>
    <w:rsid w:val="00145DAA"/>
    <w:rsid w:val="001467EC"/>
    <w:rsid w:val="001502B1"/>
    <w:rsid w:val="00153F4F"/>
    <w:rsid w:val="001544B7"/>
    <w:rsid w:val="00154A1C"/>
    <w:rsid w:val="00160C21"/>
    <w:rsid w:val="00161F51"/>
    <w:rsid w:val="00162109"/>
    <w:rsid w:val="00162560"/>
    <w:rsid w:val="0016329E"/>
    <w:rsid w:val="0016331D"/>
    <w:rsid w:val="001652C5"/>
    <w:rsid w:val="00167384"/>
    <w:rsid w:val="00170C3F"/>
    <w:rsid w:val="00171ADA"/>
    <w:rsid w:val="001744B1"/>
    <w:rsid w:val="001752FF"/>
    <w:rsid w:val="0017564E"/>
    <w:rsid w:val="00180325"/>
    <w:rsid w:val="00180D14"/>
    <w:rsid w:val="00184DB3"/>
    <w:rsid w:val="00184DFE"/>
    <w:rsid w:val="00184E9D"/>
    <w:rsid w:val="00185B25"/>
    <w:rsid w:val="00186BE9"/>
    <w:rsid w:val="00190347"/>
    <w:rsid w:val="0019190F"/>
    <w:rsid w:val="0019385A"/>
    <w:rsid w:val="001939E4"/>
    <w:rsid w:val="00195726"/>
    <w:rsid w:val="001A2BC5"/>
    <w:rsid w:val="001A77BD"/>
    <w:rsid w:val="001A7996"/>
    <w:rsid w:val="001A7A76"/>
    <w:rsid w:val="001B0A08"/>
    <w:rsid w:val="001B15C4"/>
    <w:rsid w:val="001B2234"/>
    <w:rsid w:val="001B5C46"/>
    <w:rsid w:val="001B5E23"/>
    <w:rsid w:val="001B6386"/>
    <w:rsid w:val="001B7025"/>
    <w:rsid w:val="001C0FF0"/>
    <w:rsid w:val="001C22F5"/>
    <w:rsid w:val="001C2A27"/>
    <w:rsid w:val="001C36F0"/>
    <w:rsid w:val="001C3FC4"/>
    <w:rsid w:val="001C4D00"/>
    <w:rsid w:val="001C67C2"/>
    <w:rsid w:val="001D0FD1"/>
    <w:rsid w:val="001D183B"/>
    <w:rsid w:val="001D21A7"/>
    <w:rsid w:val="001D27BF"/>
    <w:rsid w:val="001D4A8F"/>
    <w:rsid w:val="001D50A3"/>
    <w:rsid w:val="001D527A"/>
    <w:rsid w:val="001D54A3"/>
    <w:rsid w:val="001D5726"/>
    <w:rsid w:val="001E06FF"/>
    <w:rsid w:val="001E0B3A"/>
    <w:rsid w:val="001E0F2E"/>
    <w:rsid w:val="001E149B"/>
    <w:rsid w:val="001E24D9"/>
    <w:rsid w:val="001E24DB"/>
    <w:rsid w:val="001E2860"/>
    <w:rsid w:val="001E2BB6"/>
    <w:rsid w:val="001E32E8"/>
    <w:rsid w:val="001E39B9"/>
    <w:rsid w:val="001E6BA7"/>
    <w:rsid w:val="001F1818"/>
    <w:rsid w:val="001F3877"/>
    <w:rsid w:val="001F3FF2"/>
    <w:rsid w:val="001F7003"/>
    <w:rsid w:val="00201801"/>
    <w:rsid w:val="002032C9"/>
    <w:rsid w:val="00204460"/>
    <w:rsid w:val="00206390"/>
    <w:rsid w:val="0021011B"/>
    <w:rsid w:val="0021109B"/>
    <w:rsid w:val="0021573C"/>
    <w:rsid w:val="00217D44"/>
    <w:rsid w:val="00220494"/>
    <w:rsid w:val="00220DB0"/>
    <w:rsid w:val="00222344"/>
    <w:rsid w:val="00222A01"/>
    <w:rsid w:val="00223AEE"/>
    <w:rsid w:val="0022532A"/>
    <w:rsid w:val="002257FD"/>
    <w:rsid w:val="00227010"/>
    <w:rsid w:val="00230D59"/>
    <w:rsid w:val="002336F9"/>
    <w:rsid w:val="002363BA"/>
    <w:rsid w:val="00240B9A"/>
    <w:rsid w:val="00243207"/>
    <w:rsid w:val="00244955"/>
    <w:rsid w:val="0024627A"/>
    <w:rsid w:val="002466B9"/>
    <w:rsid w:val="002519AE"/>
    <w:rsid w:val="00254CFB"/>
    <w:rsid w:val="002556DE"/>
    <w:rsid w:val="00255F8C"/>
    <w:rsid w:val="00256073"/>
    <w:rsid w:val="002560A0"/>
    <w:rsid w:val="00256170"/>
    <w:rsid w:val="00256FC8"/>
    <w:rsid w:val="002574A0"/>
    <w:rsid w:val="002610C3"/>
    <w:rsid w:val="002637F2"/>
    <w:rsid w:val="00264924"/>
    <w:rsid w:val="002669C8"/>
    <w:rsid w:val="0027055D"/>
    <w:rsid w:val="002705EA"/>
    <w:rsid w:val="002708DB"/>
    <w:rsid w:val="002718B9"/>
    <w:rsid w:val="00274857"/>
    <w:rsid w:val="00275D90"/>
    <w:rsid w:val="002762FC"/>
    <w:rsid w:val="0028100B"/>
    <w:rsid w:val="002837A0"/>
    <w:rsid w:val="00283CE0"/>
    <w:rsid w:val="002853E4"/>
    <w:rsid w:val="00285661"/>
    <w:rsid w:val="002857F3"/>
    <w:rsid w:val="00285EC4"/>
    <w:rsid w:val="002870E1"/>
    <w:rsid w:val="002879AC"/>
    <w:rsid w:val="00290AE3"/>
    <w:rsid w:val="00292E8A"/>
    <w:rsid w:val="0029346A"/>
    <w:rsid w:val="00293F03"/>
    <w:rsid w:val="0029439A"/>
    <w:rsid w:val="00294ED0"/>
    <w:rsid w:val="002966B9"/>
    <w:rsid w:val="0029674F"/>
    <w:rsid w:val="00296B5D"/>
    <w:rsid w:val="0029762F"/>
    <w:rsid w:val="002A0E85"/>
    <w:rsid w:val="002A1395"/>
    <w:rsid w:val="002A21B3"/>
    <w:rsid w:val="002A24BF"/>
    <w:rsid w:val="002A264D"/>
    <w:rsid w:val="002A6B8B"/>
    <w:rsid w:val="002A6E82"/>
    <w:rsid w:val="002B134D"/>
    <w:rsid w:val="002B1CA8"/>
    <w:rsid w:val="002B2757"/>
    <w:rsid w:val="002B2AEA"/>
    <w:rsid w:val="002B38A4"/>
    <w:rsid w:val="002B4819"/>
    <w:rsid w:val="002B52E6"/>
    <w:rsid w:val="002B5EE1"/>
    <w:rsid w:val="002C0849"/>
    <w:rsid w:val="002C238F"/>
    <w:rsid w:val="002C25F6"/>
    <w:rsid w:val="002C3153"/>
    <w:rsid w:val="002C5C1E"/>
    <w:rsid w:val="002D08B8"/>
    <w:rsid w:val="002D12EB"/>
    <w:rsid w:val="002D165C"/>
    <w:rsid w:val="002D1CF2"/>
    <w:rsid w:val="002D342A"/>
    <w:rsid w:val="002D5A61"/>
    <w:rsid w:val="002D65D5"/>
    <w:rsid w:val="002D75CC"/>
    <w:rsid w:val="002D7B36"/>
    <w:rsid w:val="002E0AF7"/>
    <w:rsid w:val="002E263A"/>
    <w:rsid w:val="002E50D5"/>
    <w:rsid w:val="002E5BE3"/>
    <w:rsid w:val="002E668C"/>
    <w:rsid w:val="002E6C86"/>
    <w:rsid w:val="002F1397"/>
    <w:rsid w:val="002F17F3"/>
    <w:rsid w:val="002F404B"/>
    <w:rsid w:val="002F5EBB"/>
    <w:rsid w:val="002F6524"/>
    <w:rsid w:val="003005A8"/>
    <w:rsid w:val="0030092B"/>
    <w:rsid w:val="00300D3E"/>
    <w:rsid w:val="003024F6"/>
    <w:rsid w:val="00303B6B"/>
    <w:rsid w:val="0030439B"/>
    <w:rsid w:val="003046F8"/>
    <w:rsid w:val="0030563E"/>
    <w:rsid w:val="00305941"/>
    <w:rsid w:val="003066FE"/>
    <w:rsid w:val="00310333"/>
    <w:rsid w:val="00311020"/>
    <w:rsid w:val="003133D7"/>
    <w:rsid w:val="00314100"/>
    <w:rsid w:val="00317229"/>
    <w:rsid w:val="0032029C"/>
    <w:rsid w:val="00320EEC"/>
    <w:rsid w:val="00323DB7"/>
    <w:rsid w:val="00324173"/>
    <w:rsid w:val="00325B02"/>
    <w:rsid w:val="0032630C"/>
    <w:rsid w:val="00326D7F"/>
    <w:rsid w:val="00327748"/>
    <w:rsid w:val="00331140"/>
    <w:rsid w:val="003317D1"/>
    <w:rsid w:val="0033377C"/>
    <w:rsid w:val="00333BF4"/>
    <w:rsid w:val="00335B0B"/>
    <w:rsid w:val="00336CF4"/>
    <w:rsid w:val="003403FF"/>
    <w:rsid w:val="00341168"/>
    <w:rsid w:val="0034178C"/>
    <w:rsid w:val="00341AB8"/>
    <w:rsid w:val="00343026"/>
    <w:rsid w:val="00343497"/>
    <w:rsid w:val="00343851"/>
    <w:rsid w:val="003457D2"/>
    <w:rsid w:val="003463ED"/>
    <w:rsid w:val="00351CC9"/>
    <w:rsid w:val="00351D92"/>
    <w:rsid w:val="003539E6"/>
    <w:rsid w:val="00353DCC"/>
    <w:rsid w:val="003544C4"/>
    <w:rsid w:val="00360B7D"/>
    <w:rsid w:val="00360BEF"/>
    <w:rsid w:val="00362008"/>
    <w:rsid w:val="003662AA"/>
    <w:rsid w:val="003667B4"/>
    <w:rsid w:val="00370224"/>
    <w:rsid w:val="00370447"/>
    <w:rsid w:val="0037328A"/>
    <w:rsid w:val="00373760"/>
    <w:rsid w:val="00374B5F"/>
    <w:rsid w:val="00376BB5"/>
    <w:rsid w:val="0038112C"/>
    <w:rsid w:val="00381A2D"/>
    <w:rsid w:val="0038390A"/>
    <w:rsid w:val="0038512F"/>
    <w:rsid w:val="0038639F"/>
    <w:rsid w:val="003872AB"/>
    <w:rsid w:val="0038786B"/>
    <w:rsid w:val="003922FD"/>
    <w:rsid w:val="00395613"/>
    <w:rsid w:val="00397992"/>
    <w:rsid w:val="003A058A"/>
    <w:rsid w:val="003A0C21"/>
    <w:rsid w:val="003A2396"/>
    <w:rsid w:val="003A560C"/>
    <w:rsid w:val="003A6DE8"/>
    <w:rsid w:val="003B050E"/>
    <w:rsid w:val="003B1FB5"/>
    <w:rsid w:val="003B2C62"/>
    <w:rsid w:val="003B2DC1"/>
    <w:rsid w:val="003B52BA"/>
    <w:rsid w:val="003B5568"/>
    <w:rsid w:val="003B61E6"/>
    <w:rsid w:val="003B67C9"/>
    <w:rsid w:val="003C0093"/>
    <w:rsid w:val="003C07FB"/>
    <w:rsid w:val="003C1BC3"/>
    <w:rsid w:val="003C20B6"/>
    <w:rsid w:val="003C2D21"/>
    <w:rsid w:val="003C3C6B"/>
    <w:rsid w:val="003C54FF"/>
    <w:rsid w:val="003C5D43"/>
    <w:rsid w:val="003C6136"/>
    <w:rsid w:val="003D52FB"/>
    <w:rsid w:val="003D5A6C"/>
    <w:rsid w:val="003E1C5A"/>
    <w:rsid w:val="003E260F"/>
    <w:rsid w:val="003E2765"/>
    <w:rsid w:val="003E394B"/>
    <w:rsid w:val="003E4102"/>
    <w:rsid w:val="003E4195"/>
    <w:rsid w:val="003E4593"/>
    <w:rsid w:val="003E464D"/>
    <w:rsid w:val="003E6316"/>
    <w:rsid w:val="003E7135"/>
    <w:rsid w:val="003F41A6"/>
    <w:rsid w:val="003F5981"/>
    <w:rsid w:val="003F5E17"/>
    <w:rsid w:val="003F6891"/>
    <w:rsid w:val="003F7DA4"/>
    <w:rsid w:val="0040056D"/>
    <w:rsid w:val="00403AF9"/>
    <w:rsid w:val="004040E8"/>
    <w:rsid w:val="00406C7B"/>
    <w:rsid w:val="0041008C"/>
    <w:rsid w:val="00410C95"/>
    <w:rsid w:val="004120E7"/>
    <w:rsid w:val="0041468B"/>
    <w:rsid w:val="00414CD9"/>
    <w:rsid w:val="00417112"/>
    <w:rsid w:val="004207D8"/>
    <w:rsid w:val="004225DA"/>
    <w:rsid w:val="00423EC8"/>
    <w:rsid w:val="0042424B"/>
    <w:rsid w:val="004268D9"/>
    <w:rsid w:val="004309F0"/>
    <w:rsid w:val="00430DDD"/>
    <w:rsid w:val="00431FB4"/>
    <w:rsid w:val="004320D5"/>
    <w:rsid w:val="00433C77"/>
    <w:rsid w:val="004409B9"/>
    <w:rsid w:val="00443E30"/>
    <w:rsid w:val="00447594"/>
    <w:rsid w:val="004507EF"/>
    <w:rsid w:val="0045209E"/>
    <w:rsid w:val="004525EB"/>
    <w:rsid w:val="004527E0"/>
    <w:rsid w:val="00456633"/>
    <w:rsid w:val="0046175F"/>
    <w:rsid w:val="004652B1"/>
    <w:rsid w:val="004711D9"/>
    <w:rsid w:val="004712C2"/>
    <w:rsid w:val="0047211C"/>
    <w:rsid w:val="004744AF"/>
    <w:rsid w:val="004747F8"/>
    <w:rsid w:val="00475D18"/>
    <w:rsid w:val="00476284"/>
    <w:rsid w:val="00477F96"/>
    <w:rsid w:val="00480007"/>
    <w:rsid w:val="00480C8D"/>
    <w:rsid w:val="00481187"/>
    <w:rsid w:val="00483580"/>
    <w:rsid w:val="004856BD"/>
    <w:rsid w:val="004867C4"/>
    <w:rsid w:val="00487A6B"/>
    <w:rsid w:val="00493389"/>
    <w:rsid w:val="0049467E"/>
    <w:rsid w:val="00494B7F"/>
    <w:rsid w:val="00495001"/>
    <w:rsid w:val="00496876"/>
    <w:rsid w:val="004A0966"/>
    <w:rsid w:val="004A1188"/>
    <w:rsid w:val="004A1533"/>
    <w:rsid w:val="004A2076"/>
    <w:rsid w:val="004A2486"/>
    <w:rsid w:val="004A28CD"/>
    <w:rsid w:val="004A344F"/>
    <w:rsid w:val="004A560C"/>
    <w:rsid w:val="004A59A3"/>
    <w:rsid w:val="004A6E5D"/>
    <w:rsid w:val="004A7B71"/>
    <w:rsid w:val="004B1317"/>
    <w:rsid w:val="004B1F55"/>
    <w:rsid w:val="004B20C4"/>
    <w:rsid w:val="004B20E1"/>
    <w:rsid w:val="004B303E"/>
    <w:rsid w:val="004B33AF"/>
    <w:rsid w:val="004B4861"/>
    <w:rsid w:val="004B4F39"/>
    <w:rsid w:val="004B5505"/>
    <w:rsid w:val="004B6A8D"/>
    <w:rsid w:val="004B769B"/>
    <w:rsid w:val="004C22D4"/>
    <w:rsid w:val="004C405D"/>
    <w:rsid w:val="004C4C1D"/>
    <w:rsid w:val="004C4D59"/>
    <w:rsid w:val="004C6A74"/>
    <w:rsid w:val="004C71F5"/>
    <w:rsid w:val="004D053D"/>
    <w:rsid w:val="004D3298"/>
    <w:rsid w:val="004D3ECF"/>
    <w:rsid w:val="004D57D8"/>
    <w:rsid w:val="004D6F0B"/>
    <w:rsid w:val="004D763B"/>
    <w:rsid w:val="004D7CCD"/>
    <w:rsid w:val="004E01CE"/>
    <w:rsid w:val="004E0CC5"/>
    <w:rsid w:val="004E1AFA"/>
    <w:rsid w:val="004E25A1"/>
    <w:rsid w:val="004E26E6"/>
    <w:rsid w:val="004E3B28"/>
    <w:rsid w:val="004E3E59"/>
    <w:rsid w:val="004E7D1A"/>
    <w:rsid w:val="004F0D6D"/>
    <w:rsid w:val="004F0E25"/>
    <w:rsid w:val="004F2539"/>
    <w:rsid w:val="004F28CC"/>
    <w:rsid w:val="004F30B1"/>
    <w:rsid w:val="004F3AD7"/>
    <w:rsid w:val="004F4876"/>
    <w:rsid w:val="00500A18"/>
    <w:rsid w:val="005013DA"/>
    <w:rsid w:val="00501B9D"/>
    <w:rsid w:val="0050218F"/>
    <w:rsid w:val="00502C5F"/>
    <w:rsid w:val="00503B63"/>
    <w:rsid w:val="00503E80"/>
    <w:rsid w:val="00510186"/>
    <w:rsid w:val="005106F2"/>
    <w:rsid w:val="00511C8F"/>
    <w:rsid w:val="00513F8D"/>
    <w:rsid w:val="005175B7"/>
    <w:rsid w:val="00517D44"/>
    <w:rsid w:val="00520DBD"/>
    <w:rsid w:val="00521310"/>
    <w:rsid w:val="0052179E"/>
    <w:rsid w:val="00522209"/>
    <w:rsid w:val="00522C81"/>
    <w:rsid w:val="00523C01"/>
    <w:rsid w:val="00524035"/>
    <w:rsid w:val="00524335"/>
    <w:rsid w:val="005273FC"/>
    <w:rsid w:val="005308AF"/>
    <w:rsid w:val="00531CF9"/>
    <w:rsid w:val="005346AA"/>
    <w:rsid w:val="005378F1"/>
    <w:rsid w:val="005379BE"/>
    <w:rsid w:val="00540AAB"/>
    <w:rsid w:val="0054100F"/>
    <w:rsid w:val="00541E60"/>
    <w:rsid w:val="00542B6B"/>
    <w:rsid w:val="005433C4"/>
    <w:rsid w:val="00543C13"/>
    <w:rsid w:val="00550E20"/>
    <w:rsid w:val="00552DE6"/>
    <w:rsid w:val="00552E10"/>
    <w:rsid w:val="00553718"/>
    <w:rsid w:val="00553F43"/>
    <w:rsid w:val="00554795"/>
    <w:rsid w:val="0055571C"/>
    <w:rsid w:val="00555CF7"/>
    <w:rsid w:val="005573C3"/>
    <w:rsid w:val="00561AD3"/>
    <w:rsid w:val="00563481"/>
    <w:rsid w:val="00564994"/>
    <w:rsid w:val="00566CFD"/>
    <w:rsid w:val="0056778C"/>
    <w:rsid w:val="00567AE6"/>
    <w:rsid w:val="005705B8"/>
    <w:rsid w:val="005720E0"/>
    <w:rsid w:val="0057372F"/>
    <w:rsid w:val="00574C8E"/>
    <w:rsid w:val="005762C2"/>
    <w:rsid w:val="005765C9"/>
    <w:rsid w:val="0058267C"/>
    <w:rsid w:val="00583040"/>
    <w:rsid w:val="00584C24"/>
    <w:rsid w:val="0058558E"/>
    <w:rsid w:val="00590F98"/>
    <w:rsid w:val="005946A9"/>
    <w:rsid w:val="00595A2D"/>
    <w:rsid w:val="005971EB"/>
    <w:rsid w:val="005A11A7"/>
    <w:rsid w:val="005A2B2D"/>
    <w:rsid w:val="005A3F4F"/>
    <w:rsid w:val="005A6E0D"/>
    <w:rsid w:val="005A7CD1"/>
    <w:rsid w:val="005A7F97"/>
    <w:rsid w:val="005B17BB"/>
    <w:rsid w:val="005B3280"/>
    <w:rsid w:val="005B3EB9"/>
    <w:rsid w:val="005B6ADF"/>
    <w:rsid w:val="005C0698"/>
    <w:rsid w:val="005C06B9"/>
    <w:rsid w:val="005C1A49"/>
    <w:rsid w:val="005C3862"/>
    <w:rsid w:val="005C55E3"/>
    <w:rsid w:val="005C739B"/>
    <w:rsid w:val="005D1338"/>
    <w:rsid w:val="005D24FB"/>
    <w:rsid w:val="005D27F7"/>
    <w:rsid w:val="005D2C49"/>
    <w:rsid w:val="005D3D73"/>
    <w:rsid w:val="005D57CB"/>
    <w:rsid w:val="005D5D4A"/>
    <w:rsid w:val="005D67CF"/>
    <w:rsid w:val="005D6AA4"/>
    <w:rsid w:val="005E0EAB"/>
    <w:rsid w:val="005E2AFB"/>
    <w:rsid w:val="005E2DD2"/>
    <w:rsid w:val="005E3DC0"/>
    <w:rsid w:val="005E48B0"/>
    <w:rsid w:val="005E5DD9"/>
    <w:rsid w:val="005E5DE7"/>
    <w:rsid w:val="005F0A7D"/>
    <w:rsid w:val="005F0EB0"/>
    <w:rsid w:val="005F15EF"/>
    <w:rsid w:val="005F1C55"/>
    <w:rsid w:val="005F2822"/>
    <w:rsid w:val="005F475D"/>
    <w:rsid w:val="005F4A32"/>
    <w:rsid w:val="00601235"/>
    <w:rsid w:val="0060431F"/>
    <w:rsid w:val="00604B2B"/>
    <w:rsid w:val="00605D11"/>
    <w:rsid w:val="00606542"/>
    <w:rsid w:val="006071E7"/>
    <w:rsid w:val="00607B8E"/>
    <w:rsid w:val="00611434"/>
    <w:rsid w:val="006127B2"/>
    <w:rsid w:val="00612E56"/>
    <w:rsid w:val="00613A35"/>
    <w:rsid w:val="00615107"/>
    <w:rsid w:val="00616344"/>
    <w:rsid w:val="006164F1"/>
    <w:rsid w:val="00616676"/>
    <w:rsid w:val="00621596"/>
    <w:rsid w:val="006242C8"/>
    <w:rsid w:val="006262EE"/>
    <w:rsid w:val="00630075"/>
    <w:rsid w:val="0063049B"/>
    <w:rsid w:val="00630981"/>
    <w:rsid w:val="00633DEF"/>
    <w:rsid w:val="00636B47"/>
    <w:rsid w:val="00636BB5"/>
    <w:rsid w:val="00636EC8"/>
    <w:rsid w:val="006412FE"/>
    <w:rsid w:val="00646043"/>
    <w:rsid w:val="00647C26"/>
    <w:rsid w:val="00647F2D"/>
    <w:rsid w:val="00652982"/>
    <w:rsid w:val="00653999"/>
    <w:rsid w:val="0066538F"/>
    <w:rsid w:val="0066666D"/>
    <w:rsid w:val="00666A4A"/>
    <w:rsid w:val="00666D3A"/>
    <w:rsid w:val="00670401"/>
    <w:rsid w:val="0067204C"/>
    <w:rsid w:val="006737F7"/>
    <w:rsid w:val="00674DDD"/>
    <w:rsid w:val="00676FAD"/>
    <w:rsid w:val="00682A83"/>
    <w:rsid w:val="0068313D"/>
    <w:rsid w:val="00683CE6"/>
    <w:rsid w:val="0068682F"/>
    <w:rsid w:val="00686A9A"/>
    <w:rsid w:val="00686C1C"/>
    <w:rsid w:val="00686EFE"/>
    <w:rsid w:val="00691511"/>
    <w:rsid w:val="00691D15"/>
    <w:rsid w:val="00692351"/>
    <w:rsid w:val="00692B50"/>
    <w:rsid w:val="0069308D"/>
    <w:rsid w:val="00695BA7"/>
    <w:rsid w:val="00695FAD"/>
    <w:rsid w:val="006A1EFD"/>
    <w:rsid w:val="006A4004"/>
    <w:rsid w:val="006B71E8"/>
    <w:rsid w:val="006B7E1E"/>
    <w:rsid w:val="006C04C8"/>
    <w:rsid w:val="006C0576"/>
    <w:rsid w:val="006C06D2"/>
    <w:rsid w:val="006C2098"/>
    <w:rsid w:val="006C2CD5"/>
    <w:rsid w:val="006C7D9D"/>
    <w:rsid w:val="006D0188"/>
    <w:rsid w:val="006D042B"/>
    <w:rsid w:val="006D0910"/>
    <w:rsid w:val="006D0C7C"/>
    <w:rsid w:val="006D3349"/>
    <w:rsid w:val="006D4578"/>
    <w:rsid w:val="006D7BCB"/>
    <w:rsid w:val="006E117D"/>
    <w:rsid w:val="006E52C8"/>
    <w:rsid w:val="006E5CD3"/>
    <w:rsid w:val="006E7A41"/>
    <w:rsid w:val="006F0431"/>
    <w:rsid w:val="006F09F2"/>
    <w:rsid w:val="006F2697"/>
    <w:rsid w:val="006F305B"/>
    <w:rsid w:val="006F4C9D"/>
    <w:rsid w:val="006F5524"/>
    <w:rsid w:val="006F6AE5"/>
    <w:rsid w:val="006F6DF7"/>
    <w:rsid w:val="006F7394"/>
    <w:rsid w:val="006F7964"/>
    <w:rsid w:val="0070762C"/>
    <w:rsid w:val="00710091"/>
    <w:rsid w:val="00713AE7"/>
    <w:rsid w:val="007150B7"/>
    <w:rsid w:val="00715FA4"/>
    <w:rsid w:val="00717129"/>
    <w:rsid w:val="007176B7"/>
    <w:rsid w:val="00717A3A"/>
    <w:rsid w:val="0072026B"/>
    <w:rsid w:val="0072053F"/>
    <w:rsid w:val="00721225"/>
    <w:rsid w:val="00722E74"/>
    <w:rsid w:val="00723AFF"/>
    <w:rsid w:val="00724005"/>
    <w:rsid w:val="007263F4"/>
    <w:rsid w:val="007270D1"/>
    <w:rsid w:val="00730795"/>
    <w:rsid w:val="00730B73"/>
    <w:rsid w:val="007316E7"/>
    <w:rsid w:val="007320E0"/>
    <w:rsid w:val="0073232E"/>
    <w:rsid w:val="0073258A"/>
    <w:rsid w:val="00733519"/>
    <w:rsid w:val="007339A5"/>
    <w:rsid w:val="007362DD"/>
    <w:rsid w:val="00742B1F"/>
    <w:rsid w:val="00743A17"/>
    <w:rsid w:val="007449E4"/>
    <w:rsid w:val="00752E30"/>
    <w:rsid w:val="00753485"/>
    <w:rsid w:val="00754A53"/>
    <w:rsid w:val="00755291"/>
    <w:rsid w:val="00755412"/>
    <w:rsid w:val="00755885"/>
    <w:rsid w:val="00756C1B"/>
    <w:rsid w:val="00757C9D"/>
    <w:rsid w:val="007628BF"/>
    <w:rsid w:val="00763660"/>
    <w:rsid w:val="00763D63"/>
    <w:rsid w:val="00763DA7"/>
    <w:rsid w:val="00763DF3"/>
    <w:rsid w:val="007653FD"/>
    <w:rsid w:val="00765DC9"/>
    <w:rsid w:val="00773702"/>
    <w:rsid w:val="00773CD3"/>
    <w:rsid w:val="00774055"/>
    <w:rsid w:val="00774A22"/>
    <w:rsid w:val="00775976"/>
    <w:rsid w:val="007766D9"/>
    <w:rsid w:val="00776E86"/>
    <w:rsid w:val="007773CC"/>
    <w:rsid w:val="007802A3"/>
    <w:rsid w:val="0078150B"/>
    <w:rsid w:val="00782155"/>
    <w:rsid w:val="0078319C"/>
    <w:rsid w:val="00783BA1"/>
    <w:rsid w:val="00784335"/>
    <w:rsid w:val="00784CE5"/>
    <w:rsid w:val="007875A7"/>
    <w:rsid w:val="00790EFF"/>
    <w:rsid w:val="00792961"/>
    <w:rsid w:val="00795140"/>
    <w:rsid w:val="00795265"/>
    <w:rsid w:val="007965A7"/>
    <w:rsid w:val="007A1153"/>
    <w:rsid w:val="007A22E7"/>
    <w:rsid w:val="007A2748"/>
    <w:rsid w:val="007A584F"/>
    <w:rsid w:val="007A67EE"/>
    <w:rsid w:val="007A76E5"/>
    <w:rsid w:val="007B164B"/>
    <w:rsid w:val="007B1B18"/>
    <w:rsid w:val="007B27EB"/>
    <w:rsid w:val="007B4905"/>
    <w:rsid w:val="007B6426"/>
    <w:rsid w:val="007B6E4C"/>
    <w:rsid w:val="007B6E60"/>
    <w:rsid w:val="007C00D0"/>
    <w:rsid w:val="007C088B"/>
    <w:rsid w:val="007C1E80"/>
    <w:rsid w:val="007C3E4F"/>
    <w:rsid w:val="007C5700"/>
    <w:rsid w:val="007C5F45"/>
    <w:rsid w:val="007C7274"/>
    <w:rsid w:val="007D1843"/>
    <w:rsid w:val="007D3C42"/>
    <w:rsid w:val="007D5931"/>
    <w:rsid w:val="007E2568"/>
    <w:rsid w:val="007E2F2F"/>
    <w:rsid w:val="007E46B8"/>
    <w:rsid w:val="007E58BB"/>
    <w:rsid w:val="007F0EB1"/>
    <w:rsid w:val="007F2EC8"/>
    <w:rsid w:val="007F4097"/>
    <w:rsid w:val="007F5349"/>
    <w:rsid w:val="007F6457"/>
    <w:rsid w:val="00800999"/>
    <w:rsid w:val="0080171F"/>
    <w:rsid w:val="00801A7F"/>
    <w:rsid w:val="00802889"/>
    <w:rsid w:val="00802A84"/>
    <w:rsid w:val="008037CF"/>
    <w:rsid w:val="00804717"/>
    <w:rsid w:val="00807901"/>
    <w:rsid w:val="00813475"/>
    <w:rsid w:val="00813C4D"/>
    <w:rsid w:val="00814C02"/>
    <w:rsid w:val="00814E28"/>
    <w:rsid w:val="00817C9A"/>
    <w:rsid w:val="0082122F"/>
    <w:rsid w:val="008217F6"/>
    <w:rsid w:val="008251DF"/>
    <w:rsid w:val="008259EA"/>
    <w:rsid w:val="00827699"/>
    <w:rsid w:val="00827E2E"/>
    <w:rsid w:val="00827F33"/>
    <w:rsid w:val="0083426F"/>
    <w:rsid w:val="00834D4D"/>
    <w:rsid w:val="00835DC7"/>
    <w:rsid w:val="00836D71"/>
    <w:rsid w:val="00836DB5"/>
    <w:rsid w:val="0083701E"/>
    <w:rsid w:val="00837D69"/>
    <w:rsid w:val="008414A6"/>
    <w:rsid w:val="00841C59"/>
    <w:rsid w:val="00842660"/>
    <w:rsid w:val="0084286C"/>
    <w:rsid w:val="008454FF"/>
    <w:rsid w:val="00846E3F"/>
    <w:rsid w:val="00853BF2"/>
    <w:rsid w:val="00854C88"/>
    <w:rsid w:val="00854CDD"/>
    <w:rsid w:val="00854EBC"/>
    <w:rsid w:val="008552AE"/>
    <w:rsid w:val="00855618"/>
    <w:rsid w:val="0086006E"/>
    <w:rsid w:val="00860292"/>
    <w:rsid w:val="00861037"/>
    <w:rsid w:val="008623A1"/>
    <w:rsid w:val="00862646"/>
    <w:rsid w:val="008630C6"/>
    <w:rsid w:val="00864965"/>
    <w:rsid w:val="00865097"/>
    <w:rsid w:val="00865660"/>
    <w:rsid w:val="0086638C"/>
    <w:rsid w:val="008669DF"/>
    <w:rsid w:val="00867161"/>
    <w:rsid w:val="00871AAA"/>
    <w:rsid w:val="00872B3E"/>
    <w:rsid w:val="00876B11"/>
    <w:rsid w:val="00876C9D"/>
    <w:rsid w:val="00876E01"/>
    <w:rsid w:val="0087711C"/>
    <w:rsid w:val="008811FC"/>
    <w:rsid w:val="008812EB"/>
    <w:rsid w:val="00882352"/>
    <w:rsid w:val="00882518"/>
    <w:rsid w:val="008841A3"/>
    <w:rsid w:val="00885F10"/>
    <w:rsid w:val="00897CDF"/>
    <w:rsid w:val="008A346B"/>
    <w:rsid w:val="008A556C"/>
    <w:rsid w:val="008A7575"/>
    <w:rsid w:val="008A7AB9"/>
    <w:rsid w:val="008B2869"/>
    <w:rsid w:val="008B507A"/>
    <w:rsid w:val="008B64CB"/>
    <w:rsid w:val="008C0BB5"/>
    <w:rsid w:val="008C2904"/>
    <w:rsid w:val="008C5F0B"/>
    <w:rsid w:val="008C6014"/>
    <w:rsid w:val="008C616C"/>
    <w:rsid w:val="008C70E6"/>
    <w:rsid w:val="008C79F6"/>
    <w:rsid w:val="008C7EDA"/>
    <w:rsid w:val="008D00DF"/>
    <w:rsid w:val="008D48BE"/>
    <w:rsid w:val="008D4F9D"/>
    <w:rsid w:val="008D5986"/>
    <w:rsid w:val="008D6183"/>
    <w:rsid w:val="008D633C"/>
    <w:rsid w:val="008D743F"/>
    <w:rsid w:val="008E2BF3"/>
    <w:rsid w:val="008E3375"/>
    <w:rsid w:val="008E36A4"/>
    <w:rsid w:val="008E3B45"/>
    <w:rsid w:val="008E3E04"/>
    <w:rsid w:val="008E3F5C"/>
    <w:rsid w:val="008E4730"/>
    <w:rsid w:val="008E65BF"/>
    <w:rsid w:val="008E6B3F"/>
    <w:rsid w:val="008F0726"/>
    <w:rsid w:val="008F1274"/>
    <w:rsid w:val="008F1588"/>
    <w:rsid w:val="008F3DDB"/>
    <w:rsid w:val="008F6CAA"/>
    <w:rsid w:val="008F6EBC"/>
    <w:rsid w:val="0090390E"/>
    <w:rsid w:val="00903DEB"/>
    <w:rsid w:val="00905648"/>
    <w:rsid w:val="00905F1F"/>
    <w:rsid w:val="00905FAF"/>
    <w:rsid w:val="00910458"/>
    <w:rsid w:val="00910D63"/>
    <w:rsid w:val="00915DD1"/>
    <w:rsid w:val="0091612D"/>
    <w:rsid w:val="009175E3"/>
    <w:rsid w:val="00917FF2"/>
    <w:rsid w:val="0092245D"/>
    <w:rsid w:val="00922FE7"/>
    <w:rsid w:val="009266F3"/>
    <w:rsid w:val="00926DE4"/>
    <w:rsid w:val="009271E3"/>
    <w:rsid w:val="00927D18"/>
    <w:rsid w:val="009307EB"/>
    <w:rsid w:val="00931E46"/>
    <w:rsid w:val="00933317"/>
    <w:rsid w:val="009341BD"/>
    <w:rsid w:val="0093622A"/>
    <w:rsid w:val="009426DC"/>
    <w:rsid w:val="00942E94"/>
    <w:rsid w:val="0094317D"/>
    <w:rsid w:val="00943423"/>
    <w:rsid w:val="0094532F"/>
    <w:rsid w:val="00947995"/>
    <w:rsid w:val="009501FE"/>
    <w:rsid w:val="00953A65"/>
    <w:rsid w:val="00954B5F"/>
    <w:rsid w:val="00955CFD"/>
    <w:rsid w:val="0095662A"/>
    <w:rsid w:val="009566CC"/>
    <w:rsid w:val="00957589"/>
    <w:rsid w:val="00957B32"/>
    <w:rsid w:val="0096355F"/>
    <w:rsid w:val="009635D0"/>
    <w:rsid w:val="0096398C"/>
    <w:rsid w:val="00965D84"/>
    <w:rsid w:val="00965EC4"/>
    <w:rsid w:val="00966D01"/>
    <w:rsid w:val="009672C9"/>
    <w:rsid w:val="0096749E"/>
    <w:rsid w:val="00970787"/>
    <w:rsid w:val="00970F7D"/>
    <w:rsid w:val="0097419A"/>
    <w:rsid w:val="00974D91"/>
    <w:rsid w:val="00974F70"/>
    <w:rsid w:val="00975C8C"/>
    <w:rsid w:val="009779AE"/>
    <w:rsid w:val="00977C63"/>
    <w:rsid w:val="00977EAB"/>
    <w:rsid w:val="00977FA4"/>
    <w:rsid w:val="00980234"/>
    <w:rsid w:val="00981B69"/>
    <w:rsid w:val="0098270C"/>
    <w:rsid w:val="009846EC"/>
    <w:rsid w:val="00984DE9"/>
    <w:rsid w:val="00985862"/>
    <w:rsid w:val="0098709B"/>
    <w:rsid w:val="00987EF6"/>
    <w:rsid w:val="0099052A"/>
    <w:rsid w:val="00992346"/>
    <w:rsid w:val="009949FA"/>
    <w:rsid w:val="00994A23"/>
    <w:rsid w:val="00994E26"/>
    <w:rsid w:val="00997CBA"/>
    <w:rsid w:val="009A0543"/>
    <w:rsid w:val="009A14D5"/>
    <w:rsid w:val="009A3E73"/>
    <w:rsid w:val="009A7754"/>
    <w:rsid w:val="009B0278"/>
    <w:rsid w:val="009B0B14"/>
    <w:rsid w:val="009B22B9"/>
    <w:rsid w:val="009B5483"/>
    <w:rsid w:val="009B551F"/>
    <w:rsid w:val="009B6687"/>
    <w:rsid w:val="009B70E2"/>
    <w:rsid w:val="009B74E8"/>
    <w:rsid w:val="009C17CB"/>
    <w:rsid w:val="009C4679"/>
    <w:rsid w:val="009C4DBB"/>
    <w:rsid w:val="009C4E07"/>
    <w:rsid w:val="009C5939"/>
    <w:rsid w:val="009C6405"/>
    <w:rsid w:val="009C6E0B"/>
    <w:rsid w:val="009C6F8E"/>
    <w:rsid w:val="009C714A"/>
    <w:rsid w:val="009D1049"/>
    <w:rsid w:val="009D243E"/>
    <w:rsid w:val="009D30A7"/>
    <w:rsid w:val="009D3DF5"/>
    <w:rsid w:val="009D5603"/>
    <w:rsid w:val="009D5710"/>
    <w:rsid w:val="009D63D0"/>
    <w:rsid w:val="009E2A48"/>
    <w:rsid w:val="009E2B03"/>
    <w:rsid w:val="009E3222"/>
    <w:rsid w:val="009E74B2"/>
    <w:rsid w:val="009E79D3"/>
    <w:rsid w:val="009E7D77"/>
    <w:rsid w:val="009F105F"/>
    <w:rsid w:val="009F1307"/>
    <w:rsid w:val="009F1864"/>
    <w:rsid w:val="009F2127"/>
    <w:rsid w:val="009F2BE8"/>
    <w:rsid w:val="009F33BA"/>
    <w:rsid w:val="009F3EF7"/>
    <w:rsid w:val="009F607E"/>
    <w:rsid w:val="009F62F3"/>
    <w:rsid w:val="009F7ED0"/>
    <w:rsid w:val="00A00285"/>
    <w:rsid w:val="00A00403"/>
    <w:rsid w:val="00A04E95"/>
    <w:rsid w:val="00A051EE"/>
    <w:rsid w:val="00A0622A"/>
    <w:rsid w:val="00A07645"/>
    <w:rsid w:val="00A135CF"/>
    <w:rsid w:val="00A13CD8"/>
    <w:rsid w:val="00A15537"/>
    <w:rsid w:val="00A15905"/>
    <w:rsid w:val="00A16ABE"/>
    <w:rsid w:val="00A177CE"/>
    <w:rsid w:val="00A2085C"/>
    <w:rsid w:val="00A227C5"/>
    <w:rsid w:val="00A22A90"/>
    <w:rsid w:val="00A24BCD"/>
    <w:rsid w:val="00A24E82"/>
    <w:rsid w:val="00A26AD6"/>
    <w:rsid w:val="00A2738E"/>
    <w:rsid w:val="00A316EA"/>
    <w:rsid w:val="00A32A39"/>
    <w:rsid w:val="00A32DC3"/>
    <w:rsid w:val="00A339EF"/>
    <w:rsid w:val="00A344CF"/>
    <w:rsid w:val="00A34D5A"/>
    <w:rsid w:val="00A3617A"/>
    <w:rsid w:val="00A3691B"/>
    <w:rsid w:val="00A37D76"/>
    <w:rsid w:val="00A45475"/>
    <w:rsid w:val="00A46F17"/>
    <w:rsid w:val="00A47792"/>
    <w:rsid w:val="00A47D57"/>
    <w:rsid w:val="00A50CCC"/>
    <w:rsid w:val="00A512C2"/>
    <w:rsid w:val="00A52ED4"/>
    <w:rsid w:val="00A534F8"/>
    <w:rsid w:val="00A53DE5"/>
    <w:rsid w:val="00A5757E"/>
    <w:rsid w:val="00A577D2"/>
    <w:rsid w:val="00A6008B"/>
    <w:rsid w:val="00A60C00"/>
    <w:rsid w:val="00A62CF1"/>
    <w:rsid w:val="00A62EBB"/>
    <w:rsid w:val="00A62EF5"/>
    <w:rsid w:val="00A63893"/>
    <w:rsid w:val="00A63D32"/>
    <w:rsid w:val="00A63E21"/>
    <w:rsid w:val="00A64E13"/>
    <w:rsid w:val="00A65711"/>
    <w:rsid w:val="00A66897"/>
    <w:rsid w:val="00A71872"/>
    <w:rsid w:val="00A75424"/>
    <w:rsid w:val="00A759BA"/>
    <w:rsid w:val="00A81CDD"/>
    <w:rsid w:val="00A81F34"/>
    <w:rsid w:val="00A82F9A"/>
    <w:rsid w:val="00A83564"/>
    <w:rsid w:val="00A841A2"/>
    <w:rsid w:val="00A844CC"/>
    <w:rsid w:val="00A84F44"/>
    <w:rsid w:val="00A870EA"/>
    <w:rsid w:val="00A87D00"/>
    <w:rsid w:val="00A87D12"/>
    <w:rsid w:val="00A918E1"/>
    <w:rsid w:val="00A9226C"/>
    <w:rsid w:val="00A92408"/>
    <w:rsid w:val="00A96847"/>
    <w:rsid w:val="00AA0C14"/>
    <w:rsid w:val="00AA1C8F"/>
    <w:rsid w:val="00AA2B39"/>
    <w:rsid w:val="00AA2BB6"/>
    <w:rsid w:val="00AA32CC"/>
    <w:rsid w:val="00AA52A5"/>
    <w:rsid w:val="00AA64A9"/>
    <w:rsid w:val="00AA7021"/>
    <w:rsid w:val="00AB051C"/>
    <w:rsid w:val="00AB0BFE"/>
    <w:rsid w:val="00AB1030"/>
    <w:rsid w:val="00AB3670"/>
    <w:rsid w:val="00AB3867"/>
    <w:rsid w:val="00AB3B45"/>
    <w:rsid w:val="00AB46D8"/>
    <w:rsid w:val="00AB5B4E"/>
    <w:rsid w:val="00AC1E13"/>
    <w:rsid w:val="00AC229B"/>
    <w:rsid w:val="00AC42FB"/>
    <w:rsid w:val="00AC5815"/>
    <w:rsid w:val="00AC6CE7"/>
    <w:rsid w:val="00AC6FCD"/>
    <w:rsid w:val="00AD017F"/>
    <w:rsid w:val="00AD0CB8"/>
    <w:rsid w:val="00AD4EA7"/>
    <w:rsid w:val="00AD5F77"/>
    <w:rsid w:val="00AE0795"/>
    <w:rsid w:val="00AE1C64"/>
    <w:rsid w:val="00AE28B2"/>
    <w:rsid w:val="00AE349C"/>
    <w:rsid w:val="00AE41F3"/>
    <w:rsid w:val="00AE51CE"/>
    <w:rsid w:val="00AE6E3C"/>
    <w:rsid w:val="00AE6EDC"/>
    <w:rsid w:val="00AF0FB2"/>
    <w:rsid w:val="00AF1B17"/>
    <w:rsid w:val="00AF2156"/>
    <w:rsid w:val="00AF2399"/>
    <w:rsid w:val="00AF3635"/>
    <w:rsid w:val="00AF3CAE"/>
    <w:rsid w:val="00AF474F"/>
    <w:rsid w:val="00AF51CB"/>
    <w:rsid w:val="00AF5443"/>
    <w:rsid w:val="00AF76D3"/>
    <w:rsid w:val="00AF7D7D"/>
    <w:rsid w:val="00AF7ED1"/>
    <w:rsid w:val="00B00D1B"/>
    <w:rsid w:val="00B01154"/>
    <w:rsid w:val="00B01E5B"/>
    <w:rsid w:val="00B03C35"/>
    <w:rsid w:val="00B067CA"/>
    <w:rsid w:val="00B06EC9"/>
    <w:rsid w:val="00B1043D"/>
    <w:rsid w:val="00B11BC4"/>
    <w:rsid w:val="00B12881"/>
    <w:rsid w:val="00B1548A"/>
    <w:rsid w:val="00B1554C"/>
    <w:rsid w:val="00B1610F"/>
    <w:rsid w:val="00B17717"/>
    <w:rsid w:val="00B21D35"/>
    <w:rsid w:val="00B21EBD"/>
    <w:rsid w:val="00B23AB1"/>
    <w:rsid w:val="00B26670"/>
    <w:rsid w:val="00B311C1"/>
    <w:rsid w:val="00B32BC9"/>
    <w:rsid w:val="00B346E6"/>
    <w:rsid w:val="00B35B7E"/>
    <w:rsid w:val="00B41E54"/>
    <w:rsid w:val="00B44150"/>
    <w:rsid w:val="00B44261"/>
    <w:rsid w:val="00B4603C"/>
    <w:rsid w:val="00B47188"/>
    <w:rsid w:val="00B5067E"/>
    <w:rsid w:val="00B529DD"/>
    <w:rsid w:val="00B52D5D"/>
    <w:rsid w:val="00B55792"/>
    <w:rsid w:val="00B56660"/>
    <w:rsid w:val="00B6012C"/>
    <w:rsid w:val="00B62228"/>
    <w:rsid w:val="00B62523"/>
    <w:rsid w:val="00B64331"/>
    <w:rsid w:val="00B64F21"/>
    <w:rsid w:val="00B66885"/>
    <w:rsid w:val="00B66C87"/>
    <w:rsid w:val="00B706F8"/>
    <w:rsid w:val="00B70791"/>
    <w:rsid w:val="00B710AD"/>
    <w:rsid w:val="00B715C2"/>
    <w:rsid w:val="00B71EB6"/>
    <w:rsid w:val="00B74A88"/>
    <w:rsid w:val="00B750DB"/>
    <w:rsid w:val="00B77980"/>
    <w:rsid w:val="00B80CE3"/>
    <w:rsid w:val="00B82B48"/>
    <w:rsid w:val="00B83CBC"/>
    <w:rsid w:val="00B8581D"/>
    <w:rsid w:val="00B868FC"/>
    <w:rsid w:val="00B86F83"/>
    <w:rsid w:val="00B90459"/>
    <w:rsid w:val="00B907AE"/>
    <w:rsid w:val="00B9082D"/>
    <w:rsid w:val="00B91C5E"/>
    <w:rsid w:val="00B92351"/>
    <w:rsid w:val="00B9340F"/>
    <w:rsid w:val="00B941F3"/>
    <w:rsid w:val="00BA2931"/>
    <w:rsid w:val="00BA440B"/>
    <w:rsid w:val="00BA46F3"/>
    <w:rsid w:val="00BA4CBB"/>
    <w:rsid w:val="00BA5081"/>
    <w:rsid w:val="00BA606F"/>
    <w:rsid w:val="00BA7EA5"/>
    <w:rsid w:val="00BB0D49"/>
    <w:rsid w:val="00BB170F"/>
    <w:rsid w:val="00BB2618"/>
    <w:rsid w:val="00BB2B88"/>
    <w:rsid w:val="00BB33C9"/>
    <w:rsid w:val="00BB371E"/>
    <w:rsid w:val="00BB4BD3"/>
    <w:rsid w:val="00BB6074"/>
    <w:rsid w:val="00BB6E92"/>
    <w:rsid w:val="00BB75C3"/>
    <w:rsid w:val="00BC0AC1"/>
    <w:rsid w:val="00BC0C1F"/>
    <w:rsid w:val="00BC1616"/>
    <w:rsid w:val="00BC31E6"/>
    <w:rsid w:val="00BC405F"/>
    <w:rsid w:val="00BC43FF"/>
    <w:rsid w:val="00BC6E76"/>
    <w:rsid w:val="00BC6E8A"/>
    <w:rsid w:val="00BC7AE9"/>
    <w:rsid w:val="00BC7B5D"/>
    <w:rsid w:val="00BD0995"/>
    <w:rsid w:val="00BD3109"/>
    <w:rsid w:val="00BD3B01"/>
    <w:rsid w:val="00BD3ECC"/>
    <w:rsid w:val="00BE14BA"/>
    <w:rsid w:val="00BE150B"/>
    <w:rsid w:val="00BE1E5B"/>
    <w:rsid w:val="00BE2841"/>
    <w:rsid w:val="00BE2F4F"/>
    <w:rsid w:val="00BE3DF3"/>
    <w:rsid w:val="00BE4F17"/>
    <w:rsid w:val="00BE77BD"/>
    <w:rsid w:val="00BE77EC"/>
    <w:rsid w:val="00BF03BF"/>
    <w:rsid w:val="00BF6818"/>
    <w:rsid w:val="00C0175D"/>
    <w:rsid w:val="00C0230A"/>
    <w:rsid w:val="00C02D8D"/>
    <w:rsid w:val="00C03BA8"/>
    <w:rsid w:val="00C04BC9"/>
    <w:rsid w:val="00C05107"/>
    <w:rsid w:val="00C10087"/>
    <w:rsid w:val="00C1127E"/>
    <w:rsid w:val="00C12167"/>
    <w:rsid w:val="00C13628"/>
    <w:rsid w:val="00C17103"/>
    <w:rsid w:val="00C1715D"/>
    <w:rsid w:val="00C21F37"/>
    <w:rsid w:val="00C22147"/>
    <w:rsid w:val="00C2227E"/>
    <w:rsid w:val="00C25917"/>
    <w:rsid w:val="00C27351"/>
    <w:rsid w:val="00C30BE2"/>
    <w:rsid w:val="00C31638"/>
    <w:rsid w:val="00C33506"/>
    <w:rsid w:val="00C33C1D"/>
    <w:rsid w:val="00C346E6"/>
    <w:rsid w:val="00C35EA8"/>
    <w:rsid w:val="00C35ED2"/>
    <w:rsid w:val="00C3700E"/>
    <w:rsid w:val="00C371EF"/>
    <w:rsid w:val="00C37E5F"/>
    <w:rsid w:val="00C40AC3"/>
    <w:rsid w:val="00C40BCC"/>
    <w:rsid w:val="00C40E92"/>
    <w:rsid w:val="00C41FCE"/>
    <w:rsid w:val="00C42A85"/>
    <w:rsid w:val="00C43FBA"/>
    <w:rsid w:val="00C464AE"/>
    <w:rsid w:val="00C465A5"/>
    <w:rsid w:val="00C47682"/>
    <w:rsid w:val="00C504A5"/>
    <w:rsid w:val="00C51EC4"/>
    <w:rsid w:val="00C52C78"/>
    <w:rsid w:val="00C53081"/>
    <w:rsid w:val="00C5317E"/>
    <w:rsid w:val="00C53AF8"/>
    <w:rsid w:val="00C53D68"/>
    <w:rsid w:val="00C55B31"/>
    <w:rsid w:val="00C56357"/>
    <w:rsid w:val="00C56AA6"/>
    <w:rsid w:val="00C56D13"/>
    <w:rsid w:val="00C571B7"/>
    <w:rsid w:val="00C571FB"/>
    <w:rsid w:val="00C57F8D"/>
    <w:rsid w:val="00C61021"/>
    <w:rsid w:val="00C630D4"/>
    <w:rsid w:val="00C65574"/>
    <w:rsid w:val="00C66183"/>
    <w:rsid w:val="00C66C8D"/>
    <w:rsid w:val="00C66D18"/>
    <w:rsid w:val="00C66E00"/>
    <w:rsid w:val="00C6711A"/>
    <w:rsid w:val="00C70282"/>
    <w:rsid w:val="00C705D8"/>
    <w:rsid w:val="00C70AEE"/>
    <w:rsid w:val="00C72889"/>
    <w:rsid w:val="00C739E5"/>
    <w:rsid w:val="00C74142"/>
    <w:rsid w:val="00C7449F"/>
    <w:rsid w:val="00C7526E"/>
    <w:rsid w:val="00C800D8"/>
    <w:rsid w:val="00C81B4F"/>
    <w:rsid w:val="00C824A3"/>
    <w:rsid w:val="00C82C35"/>
    <w:rsid w:val="00C8458D"/>
    <w:rsid w:val="00C8604A"/>
    <w:rsid w:val="00C86483"/>
    <w:rsid w:val="00C865CA"/>
    <w:rsid w:val="00C86DB8"/>
    <w:rsid w:val="00C90132"/>
    <w:rsid w:val="00C9277A"/>
    <w:rsid w:val="00C93171"/>
    <w:rsid w:val="00C93C3F"/>
    <w:rsid w:val="00C95368"/>
    <w:rsid w:val="00C95CAC"/>
    <w:rsid w:val="00CA0FB3"/>
    <w:rsid w:val="00CA5FB6"/>
    <w:rsid w:val="00CA6150"/>
    <w:rsid w:val="00CA6CA6"/>
    <w:rsid w:val="00CA6D96"/>
    <w:rsid w:val="00CA77F2"/>
    <w:rsid w:val="00CB0304"/>
    <w:rsid w:val="00CB4697"/>
    <w:rsid w:val="00CB4AC7"/>
    <w:rsid w:val="00CB6520"/>
    <w:rsid w:val="00CB7855"/>
    <w:rsid w:val="00CC0BEE"/>
    <w:rsid w:val="00CC173C"/>
    <w:rsid w:val="00CC20B1"/>
    <w:rsid w:val="00CC3AFD"/>
    <w:rsid w:val="00CC5404"/>
    <w:rsid w:val="00CC568B"/>
    <w:rsid w:val="00CC6577"/>
    <w:rsid w:val="00CC7417"/>
    <w:rsid w:val="00CC7574"/>
    <w:rsid w:val="00CD0554"/>
    <w:rsid w:val="00CD19CB"/>
    <w:rsid w:val="00CD1A03"/>
    <w:rsid w:val="00CD1A45"/>
    <w:rsid w:val="00CD3F5D"/>
    <w:rsid w:val="00CD4CC3"/>
    <w:rsid w:val="00CD67F3"/>
    <w:rsid w:val="00CE08AB"/>
    <w:rsid w:val="00CE2DE1"/>
    <w:rsid w:val="00CE51A3"/>
    <w:rsid w:val="00CE56E8"/>
    <w:rsid w:val="00CE79B2"/>
    <w:rsid w:val="00CF18D6"/>
    <w:rsid w:val="00CF383D"/>
    <w:rsid w:val="00CF3B49"/>
    <w:rsid w:val="00CF47C4"/>
    <w:rsid w:val="00CF4A13"/>
    <w:rsid w:val="00CF7CAE"/>
    <w:rsid w:val="00D020B7"/>
    <w:rsid w:val="00D03813"/>
    <w:rsid w:val="00D06602"/>
    <w:rsid w:val="00D074D2"/>
    <w:rsid w:val="00D136F7"/>
    <w:rsid w:val="00D14171"/>
    <w:rsid w:val="00D1645E"/>
    <w:rsid w:val="00D16D1F"/>
    <w:rsid w:val="00D2206F"/>
    <w:rsid w:val="00D22431"/>
    <w:rsid w:val="00D235F3"/>
    <w:rsid w:val="00D23735"/>
    <w:rsid w:val="00D247E2"/>
    <w:rsid w:val="00D256A8"/>
    <w:rsid w:val="00D25E48"/>
    <w:rsid w:val="00D265BE"/>
    <w:rsid w:val="00D2682F"/>
    <w:rsid w:val="00D27181"/>
    <w:rsid w:val="00D27D53"/>
    <w:rsid w:val="00D30813"/>
    <w:rsid w:val="00D30E49"/>
    <w:rsid w:val="00D3179E"/>
    <w:rsid w:val="00D327E1"/>
    <w:rsid w:val="00D372A1"/>
    <w:rsid w:val="00D42250"/>
    <w:rsid w:val="00D42CA0"/>
    <w:rsid w:val="00D43536"/>
    <w:rsid w:val="00D43B17"/>
    <w:rsid w:val="00D46C7F"/>
    <w:rsid w:val="00D474CB"/>
    <w:rsid w:val="00D50C70"/>
    <w:rsid w:val="00D5148D"/>
    <w:rsid w:val="00D52429"/>
    <w:rsid w:val="00D547E6"/>
    <w:rsid w:val="00D55B2E"/>
    <w:rsid w:val="00D55FDA"/>
    <w:rsid w:val="00D5760A"/>
    <w:rsid w:val="00D578E3"/>
    <w:rsid w:val="00D60886"/>
    <w:rsid w:val="00D6177B"/>
    <w:rsid w:val="00D63E29"/>
    <w:rsid w:val="00D6438F"/>
    <w:rsid w:val="00D652F5"/>
    <w:rsid w:val="00D655C9"/>
    <w:rsid w:val="00D6607A"/>
    <w:rsid w:val="00D66467"/>
    <w:rsid w:val="00D674CA"/>
    <w:rsid w:val="00D70019"/>
    <w:rsid w:val="00D7333F"/>
    <w:rsid w:val="00D75D40"/>
    <w:rsid w:val="00D760A8"/>
    <w:rsid w:val="00D83AE8"/>
    <w:rsid w:val="00D83CB5"/>
    <w:rsid w:val="00D83E54"/>
    <w:rsid w:val="00D865BF"/>
    <w:rsid w:val="00D91746"/>
    <w:rsid w:val="00D937F3"/>
    <w:rsid w:val="00D96328"/>
    <w:rsid w:val="00D96CF6"/>
    <w:rsid w:val="00D97ADA"/>
    <w:rsid w:val="00DA13C6"/>
    <w:rsid w:val="00DA2C0E"/>
    <w:rsid w:val="00DA3D0E"/>
    <w:rsid w:val="00DA54BA"/>
    <w:rsid w:val="00DA55D2"/>
    <w:rsid w:val="00DA6C22"/>
    <w:rsid w:val="00DA7AED"/>
    <w:rsid w:val="00DB0E73"/>
    <w:rsid w:val="00DB0F9E"/>
    <w:rsid w:val="00DB2093"/>
    <w:rsid w:val="00DB2566"/>
    <w:rsid w:val="00DB45AC"/>
    <w:rsid w:val="00DB6294"/>
    <w:rsid w:val="00DB7321"/>
    <w:rsid w:val="00DC0AC4"/>
    <w:rsid w:val="00DC113D"/>
    <w:rsid w:val="00DC2F36"/>
    <w:rsid w:val="00DC3CA2"/>
    <w:rsid w:val="00DD0AAD"/>
    <w:rsid w:val="00DD2868"/>
    <w:rsid w:val="00DD300B"/>
    <w:rsid w:val="00DD3214"/>
    <w:rsid w:val="00DD3E3A"/>
    <w:rsid w:val="00DD7172"/>
    <w:rsid w:val="00DE1099"/>
    <w:rsid w:val="00DE17B8"/>
    <w:rsid w:val="00DE2CF1"/>
    <w:rsid w:val="00DE4D55"/>
    <w:rsid w:val="00DE5566"/>
    <w:rsid w:val="00DE6481"/>
    <w:rsid w:val="00DE7240"/>
    <w:rsid w:val="00DF07C9"/>
    <w:rsid w:val="00DF0C34"/>
    <w:rsid w:val="00DF108D"/>
    <w:rsid w:val="00DF14B2"/>
    <w:rsid w:val="00DF2744"/>
    <w:rsid w:val="00DF4EC3"/>
    <w:rsid w:val="00DF50C8"/>
    <w:rsid w:val="00DF55FB"/>
    <w:rsid w:val="00DF60C6"/>
    <w:rsid w:val="00DF7196"/>
    <w:rsid w:val="00DF73B7"/>
    <w:rsid w:val="00DF7AC6"/>
    <w:rsid w:val="00E01D57"/>
    <w:rsid w:val="00E02A06"/>
    <w:rsid w:val="00E04E1C"/>
    <w:rsid w:val="00E060ED"/>
    <w:rsid w:val="00E0637E"/>
    <w:rsid w:val="00E06C14"/>
    <w:rsid w:val="00E07204"/>
    <w:rsid w:val="00E113E6"/>
    <w:rsid w:val="00E14AAC"/>
    <w:rsid w:val="00E15BCB"/>
    <w:rsid w:val="00E16222"/>
    <w:rsid w:val="00E1698C"/>
    <w:rsid w:val="00E203D5"/>
    <w:rsid w:val="00E20FAC"/>
    <w:rsid w:val="00E23B5D"/>
    <w:rsid w:val="00E23EE7"/>
    <w:rsid w:val="00E24A4A"/>
    <w:rsid w:val="00E256BB"/>
    <w:rsid w:val="00E25DBF"/>
    <w:rsid w:val="00E26321"/>
    <w:rsid w:val="00E278DC"/>
    <w:rsid w:val="00E30967"/>
    <w:rsid w:val="00E325EB"/>
    <w:rsid w:val="00E327B7"/>
    <w:rsid w:val="00E34CA0"/>
    <w:rsid w:val="00E34DD6"/>
    <w:rsid w:val="00E37012"/>
    <w:rsid w:val="00E372FD"/>
    <w:rsid w:val="00E400CF"/>
    <w:rsid w:val="00E41227"/>
    <w:rsid w:val="00E43C67"/>
    <w:rsid w:val="00E43D36"/>
    <w:rsid w:val="00E440F9"/>
    <w:rsid w:val="00E470E4"/>
    <w:rsid w:val="00E50584"/>
    <w:rsid w:val="00E51203"/>
    <w:rsid w:val="00E52E11"/>
    <w:rsid w:val="00E53250"/>
    <w:rsid w:val="00E5359E"/>
    <w:rsid w:val="00E53657"/>
    <w:rsid w:val="00E53BB1"/>
    <w:rsid w:val="00E55660"/>
    <w:rsid w:val="00E561CB"/>
    <w:rsid w:val="00E56C63"/>
    <w:rsid w:val="00E57B2F"/>
    <w:rsid w:val="00E6137D"/>
    <w:rsid w:val="00E62BBA"/>
    <w:rsid w:val="00E62D10"/>
    <w:rsid w:val="00E64166"/>
    <w:rsid w:val="00E70CD5"/>
    <w:rsid w:val="00E732CF"/>
    <w:rsid w:val="00E733F5"/>
    <w:rsid w:val="00E73813"/>
    <w:rsid w:val="00E76842"/>
    <w:rsid w:val="00E808C5"/>
    <w:rsid w:val="00E81863"/>
    <w:rsid w:val="00E85324"/>
    <w:rsid w:val="00E85692"/>
    <w:rsid w:val="00E85BB0"/>
    <w:rsid w:val="00E865FF"/>
    <w:rsid w:val="00E907FB"/>
    <w:rsid w:val="00E91F60"/>
    <w:rsid w:val="00E96407"/>
    <w:rsid w:val="00E9746B"/>
    <w:rsid w:val="00EA038E"/>
    <w:rsid w:val="00EA077A"/>
    <w:rsid w:val="00EA0856"/>
    <w:rsid w:val="00EA5706"/>
    <w:rsid w:val="00EA6136"/>
    <w:rsid w:val="00EA6CB6"/>
    <w:rsid w:val="00EA7776"/>
    <w:rsid w:val="00EB1124"/>
    <w:rsid w:val="00EB26BA"/>
    <w:rsid w:val="00EB29BB"/>
    <w:rsid w:val="00EB2B5A"/>
    <w:rsid w:val="00EB3522"/>
    <w:rsid w:val="00EB4748"/>
    <w:rsid w:val="00EB5275"/>
    <w:rsid w:val="00EB5823"/>
    <w:rsid w:val="00EC0705"/>
    <w:rsid w:val="00EC14AF"/>
    <w:rsid w:val="00EC1FEC"/>
    <w:rsid w:val="00EC35DC"/>
    <w:rsid w:val="00EC37EA"/>
    <w:rsid w:val="00EC5822"/>
    <w:rsid w:val="00EC69C8"/>
    <w:rsid w:val="00EC748F"/>
    <w:rsid w:val="00EC7DBF"/>
    <w:rsid w:val="00ED08DE"/>
    <w:rsid w:val="00ED0E33"/>
    <w:rsid w:val="00ED0EB9"/>
    <w:rsid w:val="00ED1BF1"/>
    <w:rsid w:val="00ED28A3"/>
    <w:rsid w:val="00ED316D"/>
    <w:rsid w:val="00ED6998"/>
    <w:rsid w:val="00ED7492"/>
    <w:rsid w:val="00EE0C7A"/>
    <w:rsid w:val="00EE28F5"/>
    <w:rsid w:val="00EE301A"/>
    <w:rsid w:val="00EE3A25"/>
    <w:rsid w:val="00EE42EA"/>
    <w:rsid w:val="00EE54F2"/>
    <w:rsid w:val="00EE7A5F"/>
    <w:rsid w:val="00EE7A66"/>
    <w:rsid w:val="00EF053F"/>
    <w:rsid w:val="00EF2553"/>
    <w:rsid w:val="00EF4F5E"/>
    <w:rsid w:val="00EF559A"/>
    <w:rsid w:val="00EF61BD"/>
    <w:rsid w:val="00F00244"/>
    <w:rsid w:val="00F01A54"/>
    <w:rsid w:val="00F0211B"/>
    <w:rsid w:val="00F02FD2"/>
    <w:rsid w:val="00F04945"/>
    <w:rsid w:val="00F04FA7"/>
    <w:rsid w:val="00F0662C"/>
    <w:rsid w:val="00F06EFB"/>
    <w:rsid w:val="00F077A7"/>
    <w:rsid w:val="00F11505"/>
    <w:rsid w:val="00F12364"/>
    <w:rsid w:val="00F13580"/>
    <w:rsid w:val="00F1375E"/>
    <w:rsid w:val="00F13C7C"/>
    <w:rsid w:val="00F15983"/>
    <w:rsid w:val="00F15F07"/>
    <w:rsid w:val="00F16668"/>
    <w:rsid w:val="00F175EA"/>
    <w:rsid w:val="00F202AC"/>
    <w:rsid w:val="00F20D84"/>
    <w:rsid w:val="00F21991"/>
    <w:rsid w:val="00F223CF"/>
    <w:rsid w:val="00F23696"/>
    <w:rsid w:val="00F24678"/>
    <w:rsid w:val="00F27682"/>
    <w:rsid w:val="00F27A91"/>
    <w:rsid w:val="00F31457"/>
    <w:rsid w:val="00F31D63"/>
    <w:rsid w:val="00F33830"/>
    <w:rsid w:val="00F34C56"/>
    <w:rsid w:val="00F351B3"/>
    <w:rsid w:val="00F35C0A"/>
    <w:rsid w:val="00F37476"/>
    <w:rsid w:val="00F375B0"/>
    <w:rsid w:val="00F40072"/>
    <w:rsid w:val="00F420CA"/>
    <w:rsid w:val="00F421F1"/>
    <w:rsid w:val="00F42F62"/>
    <w:rsid w:val="00F47331"/>
    <w:rsid w:val="00F51B98"/>
    <w:rsid w:val="00F52908"/>
    <w:rsid w:val="00F52F78"/>
    <w:rsid w:val="00F54B35"/>
    <w:rsid w:val="00F54F3A"/>
    <w:rsid w:val="00F558FA"/>
    <w:rsid w:val="00F567D7"/>
    <w:rsid w:val="00F60420"/>
    <w:rsid w:val="00F6048B"/>
    <w:rsid w:val="00F60F74"/>
    <w:rsid w:val="00F61891"/>
    <w:rsid w:val="00F61DF5"/>
    <w:rsid w:val="00F63BE3"/>
    <w:rsid w:val="00F643D1"/>
    <w:rsid w:val="00F67705"/>
    <w:rsid w:val="00F710B1"/>
    <w:rsid w:val="00F7217D"/>
    <w:rsid w:val="00F74CD6"/>
    <w:rsid w:val="00F7751D"/>
    <w:rsid w:val="00F8015B"/>
    <w:rsid w:val="00F8053A"/>
    <w:rsid w:val="00F82BE7"/>
    <w:rsid w:val="00F83B24"/>
    <w:rsid w:val="00F8483A"/>
    <w:rsid w:val="00F85561"/>
    <w:rsid w:val="00F902A6"/>
    <w:rsid w:val="00F95208"/>
    <w:rsid w:val="00F957E9"/>
    <w:rsid w:val="00F96614"/>
    <w:rsid w:val="00F968BB"/>
    <w:rsid w:val="00F96956"/>
    <w:rsid w:val="00F96EF3"/>
    <w:rsid w:val="00F9777F"/>
    <w:rsid w:val="00FA14BC"/>
    <w:rsid w:val="00FA16ED"/>
    <w:rsid w:val="00FA2740"/>
    <w:rsid w:val="00FA32A2"/>
    <w:rsid w:val="00FA4ADD"/>
    <w:rsid w:val="00FA5E10"/>
    <w:rsid w:val="00FA5F90"/>
    <w:rsid w:val="00FB0092"/>
    <w:rsid w:val="00FB076E"/>
    <w:rsid w:val="00FB6318"/>
    <w:rsid w:val="00FB6BF4"/>
    <w:rsid w:val="00FB6FCE"/>
    <w:rsid w:val="00FB7EF5"/>
    <w:rsid w:val="00FC04CE"/>
    <w:rsid w:val="00FC0DC2"/>
    <w:rsid w:val="00FC0E55"/>
    <w:rsid w:val="00FC4A96"/>
    <w:rsid w:val="00FC6127"/>
    <w:rsid w:val="00FC6E46"/>
    <w:rsid w:val="00FC727B"/>
    <w:rsid w:val="00FD05B3"/>
    <w:rsid w:val="00FD0C10"/>
    <w:rsid w:val="00FD7C7A"/>
    <w:rsid w:val="00FE01FA"/>
    <w:rsid w:val="00FE1A3B"/>
    <w:rsid w:val="00FE48F5"/>
    <w:rsid w:val="00FE653B"/>
    <w:rsid w:val="00FF1196"/>
    <w:rsid w:val="00FF2029"/>
    <w:rsid w:val="00FF2A5C"/>
    <w:rsid w:val="00FF61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43495-7670-4BE3-BCB6-C80EA02E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47682"/>
    <w:pPr>
      <w:keepNext/>
      <w:keepLines/>
      <w:spacing w:before="240" w:after="0" w:line="276" w:lineRule="auto"/>
      <w:outlineLvl w:val="0"/>
    </w:pPr>
    <w:rPr>
      <w:rFonts w:asciiTheme="majorHAnsi" w:eastAsiaTheme="majorEastAsia" w:hAnsiTheme="majorHAnsi" w:cstheme="majorBidi"/>
      <w:b/>
      <w:sz w:val="32"/>
      <w:szCs w:val="32"/>
      <w:lang w:val="es-EC"/>
    </w:rPr>
  </w:style>
  <w:style w:type="paragraph" w:styleId="Ttulo2">
    <w:name w:val="heading 2"/>
    <w:basedOn w:val="Normal"/>
    <w:next w:val="Normal"/>
    <w:link w:val="Ttulo2Car"/>
    <w:uiPriority w:val="9"/>
    <w:semiHidden/>
    <w:unhideWhenUsed/>
    <w:qFormat/>
    <w:rsid w:val="00C42A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0130D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Numeración 1"/>
    <w:basedOn w:val="Normal"/>
    <w:link w:val="PrrafodelistaCar"/>
    <w:uiPriority w:val="34"/>
    <w:qFormat/>
    <w:rsid w:val="00C865CA"/>
    <w:pPr>
      <w:ind w:left="720"/>
      <w:contextualSpacing/>
    </w:pPr>
  </w:style>
  <w:style w:type="character" w:customStyle="1" w:styleId="PrrafodelistaCar">
    <w:name w:val="Párrafo de lista Car"/>
    <w:aliases w:val="Numeración 1 Car"/>
    <w:link w:val="Prrafodelista"/>
    <w:uiPriority w:val="34"/>
    <w:locked/>
    <w:rsid w:val="00CC7417"/>
  </w:style>
  <w:style w:type="paragraph" w:styleId="Encabezado">
    <w:name w:val="header"/>
    <w:basedOn w:val="Normal"/>
    <w:link w:val="EncabezadoCar"/>
    <w:uiPriority w:val="99"/>
    <w:unhideWhenUsed/>
    <w:rsid w:val="00CC74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7417"/>
  </w:style>
  <w:style w:type="paragraph" w:styleId="Piedepgina">
    <w:name w:val="footer"/>
    <w:basedOn w:val="Normal"/>
    <w:link w:val="PiedepginaCar"/>
    <w:uiPriority w:val="99"/>
    <w:unhideWhenUsed/>
    <w:rsid w:val="00CC74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7417"/>
  </w:style>
  <w:style w:type="paragraph" w:customStyle="1" w:styleId="Default">
    <w:name w:val="Default"/>
    <w:rsid w:val="00621596"/>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unhideWhenUsed/>
    <w:rsid w:val="002519AE"/>
    <w:pPr>
      <w:spacing w:after="0" w:line="240" w:lineRule="auto"/>
    </w:pPr>
    <w:rPr>
      <w:sz w:val="20"/>
      <w:szCs w:val="20"/>
      <w:lang w:val="es-EC"/>
    </w:rPr>
  </w:style>
  <w:style w:type="character" w:customStyle="1" w:styleId="TextonotapieCar">
    <w:name w:val="Texto nota pie Car"/>
    <w:basedOn w:val="Fuentedeprrafopredeter"/>
    <w:link w:val="Textonotapie"/>
    <w:uiPriority w:val="99"/>
    <w:rsid w:val="002519AE"/>
    <w:rPr>
      <w:sz w:val="20"/>
      <w:szCs w:val="20"/>
      <w:lang w:val="es-EC"/>
    </w:rPr>
  </w:style>
  <w:style w:type="paragraph" w:styleId="Textocomentario">
    <w:name w:val="annotation text"/>
    <w:basedOn w:val="Normal"/>
    <w:link w:val="TextocomentarioCar"/>
    <w:uiPriority w:val="99"/>
    <w:semiHidden/>
    <w:unhideWhenUsed/>
    <w:rsid w:val="002519AE"/>
    <w:pPr>
      <w:spacing w:after="200" w:line="240" w:lineRule="auto"/>
    </w:pPr>
    <w:rPr>
      <w:sz w:val="20"/>
      <w:szCs w:val="20"/>
      <w:lang w:val="es-EC"/>
    </w:rPr>
  </w:style>
  <w:style w:type="character" w:customStyle="1" w:styleId="TextocomentarioCar">
    <w:name w:val="Texto comentario Car"/>
    <w:basedOn w:val="Fuentedeprrafopredeter"/>
    <w:link w:val="Textocomentario"/>
    <w:uiPriority w:val="99"/>
    <w:semiHidden/>
    <w:rsid w:val="002519AE"/>
    <w:rPr>
      <w:sz w:val="20"/>
      <w:szCs w:val="20"/>
      <w:lang w:val="es-EC"/>
    </w:rPr>
  </w:style>
  <w:style w:type="character" w:styleId="Refdenotaalpie">
    <w:name w:val="footnote reference"/>
    <w:aliases w:val="fr,o,Style 6,Footnote Reference Superscript,Ref,de nota al pie,FC,Appel note de bas de p,referencia nota al pie,Footnote symbol,Texto de nota al pie,Footnotes refss,Appel note de bas de page,Style 12,(NECG) Footnote Reference"/>
    <w:basedOn w:val="Fuentedeprrafopredeter"/>
    <w:uiPriority w:val="99"/>
    <w:unhideWhenUsed/>
    <w:qFormat/>
    <w:rsid w:val="002519AE"/>
    <w:rPr>
      <w:vertAlign w:val="superscript"/>
    </w:rPr>
  </w:style>
  <w:style w:type="character" w:styleId="Refdecomentario">
    <w:name w:val="annotation reference"/>
    <w:basedOn w:val="Fuentedeprrafopredeter"/>
    <w:uiPriority w:val="99"/>
    <w:semiHidden/>
    <w:unhideWhenUsed/>
    <w:rsid w:val="002519AE"/>
    <w:rPr>
      <w:sz w:val="16"/>
      <w:szCs w:val="16"/>
    </w:rPr>
  </w:style>
  <w:style w:type="paragraph" w:styleId="Textodeglobo">
    <w:name w:val="Balloon Text"/>
    <w:basedOn w:val="Normal"/>
    <w:link w:val="TextodegloboCar"/>
    <w:uiPriority w:val="99"/>
    <w:semiHidden/>
    <w:unhideWhenUsed/>
    <w:rsid w:val="00AA70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7021"/>
    <w:rPr>
      <w:rFonts w:ascii="Segoe UI" w:hAnsi="Segoe UI" w:cs="Segoe UI"/>
      <w:sz w:val="18"/>
      <w:szCs w:val="18"/>
    </w:rPr>
  </w:style>
  <w:style w:type="table" w:customStyle="1" w:styleId="Tabladelista6concolores1">
    <w:name w:val="Tabla de lista 6 con colores1"/>
    <w:basedOn w:val="Tablanormal"/>
    <w:uiPriority w:val="51"/>
    <w:rsid w:val="00CA6D9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0013A2"/>
    <w:pPr>
      <w:spacing w:after="160"/>
    </w:pPr>
    <w:rPr>
      <w:b/>
      <w:bCs/>
      <w:lang w:val="es-MX"/>
    </w:rPr>
  </w:style>
  <w:style w:type="character" w:customStyle="1" w:styleId="AsuntodelcomentarioCar">
    <w:name w:val="Asunto del comentario Car"/>
    <w:basedOn w:val="TextocomentarioCar"/>
    <w:link w:val="Asuntodelcomentario"/>
    <w:uiPriority w:val="99"/>
    <w:semiHidden/>
    <w:rsid w:val="000013A2"/>
    <w:rPr>
      <w:b/>
      <w:bCs/>
      <w:sz w:val="20"/>
      <w:szCs w:val="20"/>
      <w:lang w:val="es-EC"/>
    </w:rPr>
  </w:style>
  <w:style w:type="character" w:customStyle="1" w:styleId="Ttulo1Car">
    <w:name w:val="Título 1 Car"/>
    <w:basedOn w:val="Fuentedeprrafopredeter"/>
    <w:link w:val="Ttulo1"/>
    <w:uiPriority w:val="9"/>
    <w:rsid w:val="00C47682"/>
    <w:rPr>
      <w:rFonts w:asciiTheme="majorHAnsi" w:eastAsiaTheme="majorEastAsia" w:hAnsiTheme="majorHAnsi" w:cstheme="majorBidi"/>
      <w:b/>
      <w:sz w:val="32"/>
      <w:szCs w:val="32"/>
      <w:lang w:val="es-EC"/>
    </w:rPr>
  </w:style>
  <w:style w:type="character" w:customStyle="1" w:styleId="apple-converted-space">
    <w:name w:val="apple-converted-space"/>
    <w:basedOn w:val="Fuentedeprrafopredeter"/>
    <w:rsid w:val="00A53DE5"/>
  </w:style>
  <w:style w:type="character" w:styleId="Hipervnculo">
    <w:name w:val="Hyperlink"/>
    <w:basedOn w:val="Fuentedeprrafopredeter"/>
    <w:uiPriority w:val="99"/>
    <w:unhideWhenUsed/>
    <w:rsid w:val="00A53DE5"/>
    <w:rPr>
      <w:color w:val="0000FF"/>
      <w:u w:val="single"/>
    </w:rPr>
  </w:style>
  <w:style w:type="table" w:styleId="Tablaconcuadrcula">
    <w:name w:val="Table Grid"/>
    <w:basedOn w:val="Tablanormal"/>
    <w:uiPriority w:val="39"/>
    <w:rsid w:val="00414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E7A4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360B7D"/>
    <w:pPr>
      <w:spacing w:after="0" w:line="240" w:lineRule="auto"/>
    </w:pPr>
  </w:style>
  <w:style w:type="character" w:customStyle="1" w:styleId="Ttulo2Car">
    <w:name w:val="Título 2 Car"/>
    <w:basedOn w:val="Fuentedeprrafopredeter"/>
    <w:link w:val="Ttulo2"/>
    <w:uiPriority w:val="9"/>
    <w:semiHidden/>
    <w:rsid w:val="00C42A85"/>
    <w:rPr>
      <w:rFonts w:asciiTheme="majorHAnsi" w:eastAsiaTheme="majorEastAsia" w:hAnsiTheme="majorHAnsi" w:cstheme="majorBidi"/>
      <w:color w:val="2E74B5" w:themeColor="accent1" w:themeShade="BF"/>
      <w:sz w:val="26"/>
      <w:szCs w:val="26"/>
    </w:rPr>
  </w:style>
  <w:style w:type="character" w:customStyle="1" w:styleId="Ttulo4Car">
    <w:name w:val="Título 4 Car"/>
    <w:basedOn w:val="Fuentedeprrafopredeter"/>
    <w:link w:val="Ttulo4"/>
    <w:uiPriority w:val="9"/>
    <w:semiHidden/>
    <w:rsid w:val="000130DF"/>
    <w:rPr>
      <w:rFonts w:asciiTheme="majorHAnsi" w:eastAsiaTheme="majorEastAsia" w:hAnsiTheme="majorHAnsi" w:cstheme="majorBidi"/>
      <w:i/>
      <w:iCs/>
      <w:color w:val="2E74B5" w:themeColor="accent1" w:themeShade="BF"/>
    </w:rPr>
  </w:style>
  <w:style w:type="paragraph" w:styleId="Descripcin">
    <w:name w:val="caption"/>
    <w:basedOn w:val="Normal"/>
    <w:next w:val="Normal"/>
    <w:link w:val="DescripcinCar"/>
    <w:qFormat/>
    <w:rsid w:val="006C0576"/>
    <w:pPr>
      <w:spacing w:before="60" w:after="360" w:line="336" w:lineRule="auto"/>
      <w:jc w:val="center"/>
    </w:pPr>
    <w:rPr>
      <w:rFonts w:ascii="Verdana" w:eastAsia="Times New Roman" w:hAnsi="Verdana" w:cs="Times New Roman"/>
      <w:b/>
      <w:bCs/>
      <w:sz w:val="16"/>
      <w:szCs w:val="20"/>
      <w:lang w:val="es-ES_tradnl" w:eastAsia="es-ES"/>
    </w:rPr>
  </w:style>
  <w:style w:type="character" w:customStyle="1" w:styleId="DescripcinCar">
    <w:name w:val="Descripción Car"/>
    <w:basedOn w:val="Fuentedeprrafopredeter"/>
    <w:link w:val="Descripcin"/>
    <w:rsid w:val="006C0576"/>
    <w:rPr>
      <w:rFonts w:ascii="Verdana" w:eastAsia="Times New Roman" w:hAnsi="Verdana" w:cs="Times New Roman"/>
      <w:b/>
      <w:bCs/>
      <w:sz w:val="16"/>
      <w:szCs w:val="20"/>
      <w:lang w:val="es-ES_tradnl" w:eastAsia="es-ES"/>
    </w:rPr>
  </w:style>
  <w:style w:type="paragraph" w:customStyle="1" w:styleId="BulletPoints">
    <w:name w:val="Bullet Points"/>
    <w:basedOn w:val="Normal"/>
    <w:link w:val="BulletPointsChar"/>
    <w:qFormat/>
    <w:rsid w:val="006C0576"/>
    <w:pPr>
      <w:numPr>
        <w:numId w:val="2"/>
      </w:numPr>
      <w:spacing w:before="240" w:after="240" w:line="336" w:lineRule="auto"/>
      <w:jc w:val="both"/>
    </w:pPr>
    <w:rPr>
      <w:rFonts w:ascii="Verdana" w:eastAsia="Times New Roman" w:hAnsi="Verdana" w:cs="Times New Roman"/>
      <w:sz w:val="20"/>
      <w:szCs w:val="24"/>
      <w:lang w:eastAsia="es-ES"/>
    </w:rPr>
  </w:style>
  <w:style w:type="character" w:customStyle="1" w:styleId="BulletPointsChar">
    <w:name w:val="Bullet Points Char"/>
    <w:basedOn w:val="Fuentedeprrafopredeter"/>
    <w:link w:val="BulletPoints"/>
    <w:locked/>
    <w:rsid w:val="006C0576"/>
    <w:rPr>
      <w:rFonts w:ascii="Verdana" w:eastAsia="Times New Roman" w:hAnsi="Verdana" w:cs="Times New Roman"/>
      <w:sz w:val="20"/>
      <w:szCs w:val="24"/>
      <w:lang w:eastAsia="es-ES"/>
    </w:rPr>
  </w:style>
  <w:style w:type="paragraph" w:customStyle="1" w:styleId="Normalresolucion">
    <w:name w:val="Normal resolucion"/>
    <w:basedOn w:val="Normal"/>
    <w:link w:val="NormalresolucionChar"/>
    <w:qFormat/>
    <w:rsid w:val="000958AB"/>
    <w:pPr>
      <w:spacing w:before="240" w:after="120" w:line="240" w:lineRule="auto"/>
      <w:jc w:val="both"/>
    </w:pPr>
    <w:rPr>
      <w:rFonts w:ascii="ITC Avant Garde" w:eastAsia="Times New Roman" w:hAnsi="ITC Avant Garde" w:cs="Arial"/>
      <w:lang w:val="es-ES" w:eastAsia="es-ES"/>
    </w:rPr>
  </w:style>
  <w:style w:type="character" w:customStyle="1" w:styleId="NormalresolucionChar">
    <w:name w:val="Normal resolucion Char"/>
    <w:basedOn w:val="Fuentedeprrafopredeter"/>
    <w:link w:val="Normalresolucion"/>
    <w:rsid w:val="000958AB"/>
    <w:rPr>
      <w:rFonts w:ascii="ITC Avant Garde" w:eastAsia="Times New Roman" w:hAnsi="ITC Avant Garde" w:cs="Arial"/>
      <w:lang w:val="es-ES" w:eastAsia="es-ES"/>
    </w:rPr>
  </w:style>
  <w:style w:type="paragraph" w:customStyle="1" w:styleId="HeadingAnexo1L2">
    <w:name w:val="Heading Anexo 1 L2"/>
    <w:basedOn w:val="Normal"/>
    <w:link w:val="HeadingAnexo1L2Char"/>
    <w:qFormat/>
    <w:rsid w:val="000958AB"/>
    <w:pPr>
      <w:numPr>
        <w:ilvl w:val="1"/>
        <w:numId w:val="7"/>
      </w:numPr>
      <w:spacing w:before="480" w:line="257" w:lineRule="auto"/>
      <w:jc w:val="both"/>
    </w:pPr>
    <w:rPr>
      <w:rFonts w:ascii="ITC Avant Garde" w:hAnsi="ITC Avant Garde"/>
      <w:b/>
      <w:lang w:val="es-ES"/>
    </w:rPr>
  </w:style>
  <w:style w:type="character" w:customStyle="1" w:styleId="HeadingAnexo1L2Char">
    <w:name w:val="Heading Anexo 1 L2 Char"/>
    <w:basedOn w:val="Fuentedeprrafopredeter"/>
    <w:link w:val="HeadingAnexo1L2"/>
    <w:rsid w:val="000958AB"/>
    <w:rPr>
      <w:rFonts w:ascii="ITC Avant Garde" w:hAnsi="ITC Avant Garde"/>
      <w:b/>
      <w:lang w:val="es-ES"/>
    </w:rPr>
  </w:style>
  <w:style w:type="paragraph" w:customStyle="1" w:styleId="HeadingAnexo2L2">
    <w:name w:val="Heading Anexo 2 L2"/>
    <w:basedOn w:val="Normal"/>
    <w:qFormat/>
    <w:rsid w:val="000958AB"/>
    <w:pPr>
      <w:numPr>
        <w:ilvl w:val="2"/>
        <w:numId w:val="7"/>
      </w:numPr>
      <w:spacing w:before="360" w:after="120" w:line="257" w:lineRule="auto"/>
      <w:jc w:val="both"/>
    </w:pPr>
    <w:rPr>
      <w:rFonts w:ascii="ITC Avant Garde" w:hAnsi="ITC Avant Garde"/>
      <w:b/>
      <w:lang w:val="es-ES"/>
    </w:rPr>
  </w:style>
  <w:style w:type="paragraph" w:customStyle="1" w:styleId="Indentado3">
    <w:name w:val="Indentado 3"/>
    <w:basedOn w:val="Normal"/>
    <w:qFormat/>
    <w:rsid w:val="002E5BE3"/>
    <w:pPr>
      <w:numPr>
        <w:ilvl w:val="1"/>
        <w:numId w:val="15"/>
      </w:numPr>
      <w:spacing w:before="60" w:after="0" w:line="240" w:lineRule="auto"/>
      <w:jc w:val="both"/>
    </w:pPr>
    <w:rPr>
      <w:rFonts w:ascii="ITC Avant Garde" w:eastAsia="Times New Roman" w:hAnsi="ITC Avant Garde" w:cs="Arial"/>
      <w:lang w:val="es-ES" w:eastAsia="es-ES"/>
    </w:rPr>
  </w:style>
  <w:style w:type="paragraph" w:customStyle="1" w:styleId="Indentadoresolucin">
    <w:name w:val="Indentado resolución"/>
    <w:basedOn w:val="Normal"/>
    <w:link w:val="IndentadoresolucinChar"/>
    <w:qFormat/>
    <w:rsid w:val="002E5BE3"/>
    <w:pPr>
      <w:numPr>
        <w:numId w:val="15"/>
      </w:numPr>
      <w:spacing w:before="60" w:after="0" w:line="240" w:lineRule="auto"/>
      <w:jc w:val="both"/>
    </w:pPr>
    <w:rPr>
      <w:rFonts w:ascii="ITC Avant Garde" w:eastAsia="Times New Roman" w:hAnsi="ITC Avant Garde" w:cs="Arial"/>
      <w:lang w:val="es-ES" w:eastAsia="es-ES"/>
    </w:rPr>
  </w:style>
  <w:style w:type="character" w:customStyle="1" w:styleId="IndentadoresolucinChar">
    <w:name w:val="Indentado resolución Char"/>
    <w:basedOn w:val="Fuentedeprrafopredeter"/>
    <w:link w:val="Indentadoresolucin"/>
    <w:rsid w:val="002E5BE3"/>
    <w:rPr>
      <w:rFonts w:ascii="ITC Avant Garde" w:eastAsia="Times New Roman" w:hAnsi="ITC Avant Garde" w:cs="Arial"/>
      <w:lang w:val="es-ES" w:eastAsia="es-ES"/>
    </w:rPr>
  </w:style>
  <w:style w:type="paragraph" w:styleId="Cita">
    <w:name w:val="Quote"/>
    <w:basedOn w:val="Normal"/>
    <w:next w:val="Normal"/>
    <w:link w:val="CitaCar"/>
    <w:uiPriority w:val="29"/>
    <w:qFormat/>
    <w:rsid w:val="005E0EAB"/>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5E0EAB"/>
    <w:rPr>
      <w:i/>
      <w:iCs/>
      <w:color w:val="404040" w:themeColor="text1" w:themeTint="BF"/>
    </w:rPr>
  </w:style>
  <w:style w:type="character" w:customStyle="1" w:styleId="liststyle1752237212level1">
    <w:name w:val="liststyle_1752237212_level_1"/>
    <w:basedOn w:val="Fuentedeprrafopredeter"/>
    <w:rsid w:val="004E2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89435">
      <w:bodyDiv w:val="1"/>
      <w:marLeft w:val="0"/>
      <w:marRight w:val="0"/>
      <w:marTop w:val="0"/>
      <w:marBottom w:val="0"/>
      <w:divBdr>
        <w:top w:val="none" w:sz="0" w:space="0" w:color="auto"/>
        <w:left w:val="none" w:sz="0" w:space="0" w:color="auto"/>
        <w:bottom w:val="none" w:sz="0" w:space="0" w:color="auto"/>
        <w:right w:val="none" w:sz="0" w:space="0" w:color="auto"/>
      </w:divBdr>
    </w:div>
    <w:div w:id="88162961">
      <w:bodyDiv w:val="1"/>
      <w:marLeft w:val="0"/>
      <w:marRight w:val="0"/>
      <w:marTop w:val="0"/>
      <w:marBottom w:val="0"/>
      <w:divBdr>
        <w:top w:val="none" w:sz="0" w:space="0" w:color="auto"/>
        <w:left w:val="none" w:sz="0" w:space="0" w:color="auto"/>
        <w:bottom w:val="none" w:sz="0" w:space="0" w:color="auto"/>
        <w:right w:val="none" w:sz="0" w:space="0" w:color="auto"/>
      </w:divBdr>
    </w:div>
    <w:div w:id="99104592">
      <w:bodyDiv w:val="1"/>
      <w:marLeft w:val="0"/>
      <w:marRight w:val="0"/>
      <w:marTop w:val="0"/>
      <w:marBottom w:val="0"/>
      <w:divBdr>
        <w:top w:val="none" w:sz="0" w:space="0" w:color="auto"/>
        <w:left w:val="none" w:sz="0" w:space="0" w:color="auto"/>
        <w:bottom w:val="none" w:sz="0" w:space="0" w:color="auto"/>
        <w:right w:val="none" w:sz="0" w:space="0" w:color="auto"/>
      </w:divBdr>
    </w:div>
    <w:div w:id="106581371">
      <w:bodyDiv w:val="1"/>
      <w:marLeft w:val="0"/>
      <w:marRight w:val="0"/>
      <w:marTop w:val="0"/>
      <w:marBottom w:val="0"/>
      <w:divBdr>
        <w:top w:val="none" w:sz="0" w:space="0" w:color="auto"/>
        <w:left w:val="none" w:sz="0" w:space="0" w:color="auto"/>
        <w:bottom w:val="none" w:sz="0" w:space="0" w:color="auto"/>
        <w:right w:val="none" w:sz="0" w:space="0" w:color="auto"/>
      </w:divBdr>
    </w:div>
    <w:div w:id="117381218">
      <w:marLeft w:val="0"/>
      <w:marRight w:val="0"/>
      <w:marTop w:val="0"/>
      <w:marBottom w:val="0"/>
      <w:divBdr>
        <w:top w:val="none" w:sz="0" w:space="0" w:color="auto"/>
        <w:left w:val="none" w:sz="0" w:space="0" w:color="auto"/>
        <w:bottom w:val="none" w:sz="0" w:space="0" w:color="auto"/>
        <w:right w:val="none" w:sz="0" w:space="0" w:color="auto"/>
      </w:divBdr>
      <w:divsChild>
        <w:div w:id="1537040234">
          <w:marLeft w:val="0"/>
          <w:marRight w:val="0"/>
          <w:marTop w:val="0"/>
          <w:marBottom w:val="0"/>
          <w:divBdr>
            <w:top w:val="none" w:sz="0" w:space="0" w:color="auto"/>
            <w:left w:val="none" w:sz="0" w:space="0" w:color="auto"/>
            <w:bottom w:val="none" w:sz="0" w:space="0" w:color="auto"/>
            <w:right w:val="none" w:sz="0" w:space="0" w:color="auto"/>
          </w:divBdr>
          <w:divsChild>
            <w:div w:id="1516964990">
              <w:marLeft w:val="0"/>
              <w:marRight w:val="0"/>
              <w:marTop w:val="0"/>
              <w:marBottom w:val="0"/>
              <w:divBdr>
                <w:top w:val="none" w:sz="0" w:space="0" w:color="auto"/>
                <w:left w:val="none" w:sz="0" w:space="0" w:color="auto"/>
                <w:bottom w:val="none" w:sz="0" w:space="0" w:color="auto"/>
                <w:right w:val="none" w:sz="0" w:space="0" w:color="auto"/>
              </w:divBdr>
              <w:divsChild>
                <w:div w:id="1715688463">
                  <w:marLeft w:val="0"/>
                  <w:marRight w:val="0"/>
                  <w:marTop w:val="0"/>
                  <w:marBottom w:val="0"/>
                  <w:divBdr>
                    <w:top w:val="none" w:sz="0" w:space="0" w:color="auto"/>
                    <w:left w:val="none" w:sz="0" w:space="0" w:color="auto"/>
                    <w:bottom w:val="none" w:sz="0" w:space="0" w:color="auto"/>
                    <w:right w:val="none" w:sz="0" w:space="0" w:color="auto"/>
                  </w:divBdr>
                  <w:divsChild>
                    <w:div w:id="188398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22613">
      <w:bodyDiv w:val="1"/>
      <w:marLeft w:val="0"/>
      <w:marRight w:val="0"/>
      <w:marTop w:val="0"/>
      <w:marBottom w:val="0"/>
      <w:divBdr>
        <w:top w:val="none" w:sz="0" w:space="0" w:color="auto"/>
        <w:left w:val="none" w:sz="0" w:space="0" w:color="auto"/>
        <w:bottom w:val="none" w:sz="0" w:space="0" w:color="auto"/>
        <w:right w:val="none" w:sz="0" w:space="0" w:color="auto"/>
      </w:divBdr>
    </w:div>
    <w:div w:id="130290611">
      <w:bodyDiv w:val="1"/>
      <w:marLeft w:val="0"/>
      <w:marRight w:val="0"/>
      <w:marTop w:val="0"/>
      <w:marBottom w:val="0"/>
      <w:divBdr>
        <w:top w:val="none" w:sz="0" w:space="0" w:color="auto"/>
        <w:left w:val="none" w:sz="0" w:space="0" w:color="auto"/>
        <w:bottom w:val="none" w:sz="0" w:space="0" w:color="auto"/>
        <w:right w:val="none" w:sz="0" w:space="0" w:color="auto"/>
      </w:divBdr>
    </w:div>
    <w:div w:id="166334651">
      <w:bodyDiv w:val="1"/>
      <w:marLeft w:val="0"/>
      <w:marRight w:val="0"/>
      <w:marTop w:val="0"/>
      <w:marBottom w:val="0"/>
      <w:divBdr>
        <w:top w:val="none" w:sz="0" w:space="0" w:color="auto"/>
        <w:left w:val="none" w:sz="0" w:space="0" w:color="auto"/>
        <w:bottom w:val="none" w:sz="0" w:space="0" w:color="auto"/>
        <w:right w:val="none" w:sz="0" w:space="0" w:color="auto"/>
      </w:divBdr>
    </w:div>
    <w:div w:id="174268332">
      <w:bodyDiv w:val="1"/>
      <w:marLeft w:val="0"/>
      <w:marRight w:val="0"/>
      <w:marTop w:val="0"/>
      <w:marBottom w:val="0"/>
      <w:divBdr>
        <w:top w:val="none" w:sz="0" w:space="0" w:color="auto"/>
        <w:left w:val="none" w:sz="0" w:space="0" w:color="auto"/>
        <w:bottom w:val="none" w:sz="0" w:space="0" w:color="auto"/>
        <w:right w:val="none" w:sz="0" w:space="0" w:color="auto"/>
      </w:divBdr>
    </w:div>
    <w:div w:id="211618140">
      <w:bodyDiv w:val="1"/>
      <w:marLeft w:val="0"/>
      <w:marRight w:val="0"/>
      <w:marTop w:val="0"/>
      <w:marBottom w:val="0"/>
      <w:divBdr>
        <w:top w:val="none" w:sz="0" w:space="0" w:color="auto"/>
        <w:left w:val="none" w:sz="0" w:space="0" w:color="auto"/>
        <w:bottom w:val="none" w:sz="0" w:space="0" w:color="auto"/>
        <w:right w:val="none" w:sz="0" w:space="0" w:color="auto"/>
      </w:divBdr>
    </w:div>
    <w:div w:id="228539051">
      <w:bodyDiv w:val="1"/>
      <w:marLeft w:val="0"/>
      <w:marRight w:val="0"/>
      <w:marTop w:val="0"/>
      <w:marBottom w:val="0"/>
      <w:divBdr>
        <w:top w:val="none" w:sz="0" w:space="0" w:color="auto"/>
        <w:left w:val="none" w:sz="0" w:space="0" w:color="auto"/>
        <w:bottom w:val="none" w:sz="0" w:space="0" w:color="auto"/>
        <w:right w:val="none" w:sz="0" w:space="0" w:color="auto"/>
      </w:divBdr>
    </w:div>
    <w:div w:id="241061732">
      <w:bodyDiv w:val="1"/>
      <w:marLeft w:val="0"/>
      <w:marRight w:val="0"/>
      <w:marTop w:val="0"/>
      <w:marBottom w:val="0"/>
      <w:divBdr>
        <w:top w:val="none" w:sz="0" w:space="0" w:color="auto"/>
        <w:left w:val="none" w:sz="0" w:space="0" w:color="auto"/>
        <w:bottom w:val="none" w:sz="0" w:space="0" w:color="auto"/>
        <w:right w:val="none" w:sz="0" w:space="0" w:color="auto"/>
      </w:divBdr>
      <w:divsChild>
        <w:div w:id="178005512">
          <w:marLeft w:val="0"/>
          <w:marRight w:val="0"/>
          <w:marTop w:val="0"/>
          <w:marBottom w:val="101"/>
          <w:divBdr>
            <w:top w:val="none" w:sz="0" w:space="0" w:color="auto"/>
            <w:left w:val="none" w:sz="0" w:space="0" w:color="auto"/>
            <w:bottom w:val="none" w:sz="0" w:space="0" w:color="auto"/>
            <w:right w:val="none" w:sz="0" w:space="0" w:color="auto"/>
          </w:divBdr>
        </w:div>
        <w:div w:id="577637877">
          <w:marLeft w:val="0"/>
          <w:marRight w:val="0"/>
          <w:marTop w:val="0"/>
          <w:marBottom w:val="101"/>
          <w:divBdr>
            <w:top w:val="none" w:sz="0" w:space="0" w:color="auto"/>
            <w:left w:val="none" w:sz="0" w:space="0" w:color="auto"/>
            <w:bottom w:val="none" w:sz="0" w:space="0" w:color="auto"/>
            <w:right w:val="none" w:sz="0" w:space="0" w:color="auto"/>
          </w:divBdr>
        </w:div>
      </w:divsChild>
    </w:div>
    <w:div w:id="249583930">
      <w:bodyDiv w:val="1"/>
      <w:marLeft w:val="0"/>
      <w:marRight w:val="0"/>
      <w:marTop w:val="0"/>
      <w:marBottom w:val="0"/>
      <w:divBdr>
        <w:top w:val="none" w:sz="0" w:space="0" w:color="auto"/>
        <w:left w:val="none" w:sz="0" w:space="0" w:color="auto"/>
        <w:bottom w:val="none" w:sz="0" w:space="0" w:color="auto"/>
        <w:right w:val="none" w:sz="0" w:space="0" w:color="auto"/>
      </w:divBdr>
    </w:div>
    <w:div w:id="270666145">
      <w:bodyDiv w:val="1"/>
      <w:marLeft w:val="0"/>
      <w:marRight w:val="0"/>
      <w:marTop w:val="0"/>
      <w:marBottom w:val="0"/>
      <w:divBdr>
        <w:top w:val="none" w:sz="0" w:space="0" w:color="auto"/>
        <w:left w:val="none" w:sz="0" w:space="0" w:color="auto"/>
        <w:bottom w:val="none" w:sz="0" w:space="0" w:color="auto"/>
        <w:right w:val="none" w:sz="0" w:space="0" w:color="auto"/>
      </w:divBdr>
    </w:div>
    <w:div w:id="280112056">
      <w:bodyDiv w:val="1"/>
      <w:marLeft w:val="0"/>
      <w:marRight w:val="0"/>
      <w:marTop w:val="0"/>
      <w:marBottom w:val="0"/>
      <w:divBdr>
        <w:top w:val="none" w:sz="0" w:space="0" w:color="auto"/>
        <w:left w:val="none" w:sz="0" w:space="0" w:color="auto"/>
        <w:bottom w:val="none" w:sz="0" w:space="0" w:color="auto"/>
        <w:right w:val="none" w:sz="0" w:space="0" w:color="auto"/>
      </w:divBdr>
      <w:divsChild>
        <w:div w:id="449670781">
          <w:marLeft w:val="0"/>
          <w:marRight w:val="0"/>
          <w:marTop w:val="0"/>
          <w:marBottom w:val="101"/>
          <w:divBdr>
            <w:top w:val="none" w:sz="0" w:space="0" w:color="auto"/>
            <w:left w:val="none" w:sz="0" w:space="0" w:color="auto"/>
            <w:bottom w:val="none" w:sz="0" w:space="0" w:color="auto"/>
            <w:right w:val="none" w:sz="0" w:space="0" w:color="auto"/>
          </w:divBdr>
        </w:div>
        <w:div w:id="1403866276">
          <w:marLeft w:val="0"/>
          <w:marRight w:val="0"/>
          <w:marTop w:val="0"/>
          <w:marBottom w:val="101"/>
          <w:divBdr>
            <w:top w:val="none" w:sz="0" w:space="0" w:color="auto"/>
            <w:left w:val="none" w:sz="0" w:space="0" w:color="auto"/>
            <w:bottom w:val="none" w:sz="0" w:space="0" w:color="auto"/>
            <w:right w:val="none" w:sz="0" w:space="0" w:color="auto"/>
          </w:divBdr>
        </w:div>
        <w:div w:id="1243643558">
          <w:marLeft w:val="648"/>
          <w:marRight w:val="0"/>
          <w:marTop w:val="0"/>
          <w:marBottom w:val="101"/>
          <w:divBdr>
            <w:top w:val="none" w:sz="0" w:space="0" w:color="auto"/>
            <w:left w:val="none" w:sz="0" w:space="0" w:color="auto"/>
            <w:bottom w:val="none" w:sz="0" w:space="0" w:color="auto"/>
            <w:right w:val="none" w:sz="0" w:space="0" w:color="auto"/>
          </w:divBdr>
        </w:div>
        <w:div w:id="1716153099">
          <w:marLeft w:val="648"/>
          <w:marRight w:val="0"/>
          <w:marTop w:val="0"/>
          <w:marBottom w:val="90"/>
          <w:divBdr>
            <w:top w:val="none" w:sz="0" w:space="0" w:color="auto"/>
            <w:left w:val="none" w:sz="0" w:space="0" w:color="auto"/>
            <w:bottom w:val="none" w:sz="0" w:space="0" w:color="auto"/>
            <w:right w:val="none" w:sz="0" w:space="0" w:color="auto"/>
          </w:divBdr>
        </w:div>
        <w:div w:id="706610484">
          <w:marLeft w:val="648"/>
          <w:marRight w:val="0"/>
          <w:marTop w:val="0"/>
          <w:marBottom w:val="90"/>
          <w:divBdr>
            <w:top w:val="none" w:sz="0" w:space="0" w:color="auto"/>
            <w:left w:val="none" w:sz="0" w:space="0" w:color="auto"/>
            <w:bottom w:val="none" w:sz="0" w:space="0" w:color="auto"/>
            <w:right w:val="none" w:sz="0" w:space="0" w:color="auto"/>
          </w:divBdr>
        </w:div>
        <w:div w:id="771441232">
          <w:marLeft w:val="648"/>
          <w:marRight w:val="0"/>
          <w:marTop w:val="0"/>
          <w:marBottom w:val="90"/>
          <w:divBdr>
            <w:top w:val="none" w:sz="0" w:space="0" w:color="auto"/>
            <w:left w:val="none" w:sz="0" w:space="0" w:color="auto"/>
            <w:bottom w:val="none" w:sz="0" w:space="0" w:color="auto"/>
            <w:right w:val="none" w:sz="0" w:space="0" w:color="auto"/>
          </w:divBdr>
        </w:div>
      </w:divsChild>
    </w:div>
    <w:div w:id="281108802">
      <w:marLeft w:val="0"/>
      <w:marRight w:val="0"/>
      <w:marTop w:val="0"/>
      <w:marBottom w:val="0"/>
      <w:divBdr>
        <w:top w:val="none" w:sz="0" w:space="0" w:color="auto"/>
        <w:left w:val="none" w:sz="0" w:space="0" w:color="auto"/>
        <w:bottom w:val="none" w:sz="0" w:space="0" w:color="auto"/>
        <w:right w:val="none" w:sz="0" w:space="0" w:color="auto"/>
      </w:divBdr>
      <w:divsChild>
        <w:div w:id="533201914">
          <w:marLeft w:val="0"/>
          <w:marRight w:val="0"/>
          <w:marTop w:val="0"/>
          <w:marBottom w:val="0"/>
          <w:divBdr>
            <w:top w:val="none" w:sz="0" w:space="0" w:color="auto"/>
            <w:left w:val="none" w:sz="0" w:space="0" w:color="auto"/>
            <w:bottom w:val="none" w:sz="0" w:space="0" w:color="auto"/>
            <w:right w:val="none" w:sz="0" w:space="0" w:color="auto"/>
          </w:divBdr>
          <w:divsChild>
            <w:div w:id="2005162601">
              <w:marLeft w:val="0"/>
              <w:marRight w:val="0"/>
              <w:marTop w:val="0"/>
              <w:marBottom w:val="0"/>
              <w:divBdr>
                <w:top w:val="none" w:sz="0" w:space="0" w:color="auto"/>
                <w:left w:val="none" w:sz="0" w:space="0" w:color="auto"/>
                <w:bottom w:val="none" w:sz="0" w:space="0" w:color="auto"/>
                <w:right w:val="none" w:sz="0" w:space="0" w:color="auto"/>
              </w:divBdr>
              <w:divsChild>
                <w:div w:id="440953376">
                  <w:marLeft w:val="0"/>
                  <w:marRight w:val="0"/>
                  <w:marTop w:val="0"/>
                  <w:marBottom w:val="0"/>
                  <w:divBdr>
                    <w:top w:val="none" w:sz="0" w:space="0" w:color="auto"/>
                    <w:left w:val="none" w:sz="0" w:space="0" w:color="auto"/>
                    <w:bottom w:val="none" w:sz="0" w:space="0" w:color="auto"/>
                    <w:right w:val="none" w:sz="0" w:space="0" w:color="auto"/>
                  </w:divBdr>
                  <w:divsChild>
                    <w:div w:id="29552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400285">
      <w:bodyDiv w:val="1"/>
      <w:marLeft w:val="0"/>
      <w:marRight w:val="0"/>
      <w:marTop w:val="0"/>
      <w:marBottom w:val="0"/>
      <w:divBdr>
        <w:top w:val="none" w:sz="0" w:space="0" w:color="auto"/>
        <w:left w:val="none" w:sz="0" w:space="0" w:color="auto"/>
        <w:bottom w:val="none" w:sz="0" w:space="0" w:color="auto"/>
        <w:right w:val="none" w:sz="0" w:space="0" w:color="auto"/>
      </w:divBdr>
    </w:div>
    <w:div w:id="319889523">
      <w:bodyDiv w:val="1"/>
      <w:marLeft w:val="0"/>
      <w:marRight w:val="0"/>
      <w:marTop w:val="0"/>
      <w:marBottom w:val="0"/>
      <w:divBdr>
        <w:top w:val="none" w:sz="0" w:space="0" w:color="auto"/>
        <w:left w:val="none" w:sz="0" w:space="0" w:color="auto"/>
        <w:bottom w:val="none" w:sz="0" w:space="0" w:color="auto"/>
        <w:right w:val="none" w:sz="0" w:space="0" w:color="auto"/>
      </w:divBdr>
    </w:div>
    <w:div w:id="341322418">
      <w:bodyDiv w:val="1"/>
      <w:marLeft w:val="0"/>
      <w:marRight w:val="0"/>
      <w:marTop w:val="0"/>
      <w:marBottom w:val="0"/>
      <w:divBdr>
        <w:top w:val="none" w:sz="0" w:space="0" w:color="auto"/>
        <w:left w:val="none" w:sz="0" w:space="0" w:color="auto"/>
        <w:bottom w:val="none" w:sz="0" w:space="0" w:color="auto"/>
        <w:right w:val="none" w:sz="0" w:space="0" w:color="auto"/>
      </w:divBdr>
    </w:div>
    <w:div w:id="342904210">
      <w:bodyDiv w:val="1"/>
      <w:marLeft w:val="0"/>
      <w:marRight w:val="0"/>
      <w:marTop w:val="0"/>
      <w:marBottom w:val="0"/>
      <w:divBdr>
        <w:top w:val="none" w:sz="0" w:space="0" w:color="auto"/>
        <w:left w:val="none" w:sz="0" w:space="0" w:color="auto"/>
        <w:bottom w:val="none" w:sz="0" w:space="0" w:color="auto"/>
        <w:right w:val="none" w:sz="0" w:space="0" w:color="auto"/>
      </w:divBdr>
    </w:div>
    <w:div w:id="344988058">
      <w:bodyDiv w:val="1"/>
      <w:marLeft w:val="0"/>
      <w:marRight w:val="0"/>
      <w:marTop w:val="0"/>
      <w:marBottom w:val="0"/>
      <w:divBdr>
        <w:top w:val="none" w:sz="0" w:space="0" w:color="auto"/>
        <w:left w:val="none" w:sz="0" w:space="0" w:color="auto"/>
        <w:bottom w:val="none" w:sz="0" w:space="0" w:color="auto"/>
        <w:right w:val="none" w:sz="0" w:space="0" w:color="auto"/>
      </w:divBdr>
    </w:div>
    <w:div w:id="356657920">
      <w:marLeft w:val="0"/>
      <w:marRight w:val="0"/>
      <w:marTop w:val="0"/>
      <w:marBottom w:val="0"/>
      <w:divBdr>
        <w:top w:val="none" w:sz="0" w:space="0" w:color="auto"/>
        <w:left w:val="none" w:sz="0" w:space="0" w:color="auto"/>
        <w:bottom w:val="none" w:sz="0" w:space="0" w:color="auto"/>
        <w:right w:val="none" w:sz="0" w:space="0" w:color="auto"/>
      </w:divBdr>
      <w:divsChild>
        <w:div w:id="2080132075">
          <w:marLeft w:val="0"/>
          <w:marRight w:val="0"/>
          <w:marTop w:val="0"/>
          <w:marBottom w:val="0"/>
          <w:divBdr>
            <w:top w:val="none" w:sz="0" w:space="0" w:color="auto"/>
            <w:left w:val="none" w:sz="0" w:space="0" w:color="auto"/>
            <w:bottom w:val="none" w:sz="0" w:space="0" w:color="auto"/>
            <w:right w:val="none" w:sz="0" w:space="0" w:color="auto"/>
          </w:divBdr>
          <w:divsChild>
            <w:div w:id="1715621146">
              <w:marLeft w:val="0"/>
              <w:marRight w:val="0"/>
              <w:marTop w:val="0"/>
              <w:marBottom w:val="0"/>
              <w:divBdr>
                <w:top w:val="none" w:sz="0" w:space="0" w:color="auto"/>
                <w:left w:val="none" w:sz="0" w:space="0" w:color="auto"/>
                <w:bottom w:val="none" w:sz="0" w:space="0" w:color="auto"/>
                <w:right w:val="none" w:sz="0" w:space="0" w:color="auto"/>
              </w:divBdr>
              <w:divsChild>
                <w:div w:id="1984308863">
                  <w:marLeft w:val="0"/>
                  <w:marRight w:val="0"/>
                  <w:marTop w:val="0"/>
                  <w:marBottom w:val="0"/>
                  <w:divBdr>
                    <w:top w:val="none" w:sz="0" w:space="0" w:color="auto"/>
                    <w:left w:val="none" w:sz="0" w:space="0" w:color="auto"/>
                    <w:bottom w:val="none" w:sz="0" w:space="0" w:color="auto"/>
                    <w:right w:val="none" w:sz="0" w:space="0" w:color="auto"/>
                  </w:divBdr>
                  <w:divsChild>
                    <w:div w:id="13873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027238">
      <w:bodyDiv w:val="1"/>
      <w:marLeft w:val="0"/>
      <w:marRight w:val="0"/>
      <w:marTop w:val="0"/>
      <w:marBottom w:val="0"/>
      <w:divBdr>
        <w:top w:val="none" w:sz="0" w:space="0" w:color="auto"/>
        <w:left w:val="none" w:sz="0" w:space="0" w:color="auto"/>
        <w:bottom w:val="none" w:sz="0" w:space="0" w:color="auto"/>
        <w:right w:val="none" w:sz="0" w:space="0" w:color="auto"/>
      </w:divBdr>
      <w:divsChild>
        <w:div w:id="1732650529">
          <w:marLeft w:val="0"/>
          <w:marRight w:val="0"/>
          <w:marTop w:val="0"/>
          <w:marBottom w:val="101"/>
          <w:divBdr>
            <w:top w:val="none" w:sz="0" w:space="0" w:color="auto"/>
            <w:left w:val="none" w:sz="0" w:space="0" w:color="auto"/>
            <w:bottom w:val="none" w:sz="0" w:space="0" w:color="auto"/>
            <w:right w:val="none" w:sz="0" w:space="0" w:color="auto"/>
          </w:divBdr>
        </w:div>
        <w:div w:id="1504467911">
          <w:marLeft w:val="0"/>
          <w:marRight w:val="0"/>
          <w:marTop w:val="0"/>
          <w:marBottom w:val="101"/>
          <w:divBdr>
            <w:top w:val="none" w:sz="0" w:space="0" w:color="auto"/>
            <w:left w:val="none" w:sz="0" w:space="0" w:color="auto"/>
            <w:bottom w:val="none" w:sz="0" w:space="0" w:color="auto"/>
            <w:right w:val="none" w:sz="0" w:space="0" w:color="auto"/>
          </w:divBdr>
        </w:div>
        <w:div w:id="2109038276">
          <w:marLeft w:val="0"/>
          <w:marRight w:val="0"/>
          <w:marTop w:val="0"/>
          <w:marBottom w:val="101"/>
          <w:divBdr>
            <w:top w:val="none" w:sz="0" w:space="0" w:color="auto"/>
            <w:left w:val="none" w:sz="0" w:space="0" w:color="auto"/>
            <w:bottom w:val="none" w:sz="0" w:space="0" w:color="auto"/>
            <w:right w:val="none" w:sz="0" w:space="0" w:color="auto"/>
          </w:divBdr>
        </w:div>
        <w:div w:id="758453390">
          <w:marLeft w:val="0"/>
          <w:marRight w:val="0"/>
          <w:marTop w:val="0"/>
          <w:marBottom w:val="101"/>
          <w:divBdr>
            <w:top w:val="none" w:sz="0" w:space="0" w:color="auto"/>
            <w:left w:val="none" w:sz="0" w:space="0" w:color="auto"/>
            <w:bottom w:val="none" w:sz="0" w:space="0" w:color="auto"/>
            <w:right w:val="none" w:sz="0" w:space="0" w:color="auto"/>
          </w:divBdr>
        </w:div>
        <w:div w:id="382143102">
          <w:marLeft w:val="0"/>
          <w:marRight w:val="0"/>
          <w:marTop w:val="0"/>
          <w:marBottom w:val="101"/>
          <w:divBdr>
            <w:top w:val="none" w:sz="0" w:space="0" w:color="auto"/>
            <w:left w:val="none" w:sz="0" w:space="0" w:color="auto"/>
            <w:bottom w:val="none" w:sz="0" w:space="0" w:color="auto"/>
            <w:right w:val="none" w:sz="0" w:space="0" w:color="auto"/>
          </w:divBdr>
        </w:div>
        <w:div w:id="518735782">
          <w:marLeft w:val="0"/>
          <w:marRight w:val="0"/>
          <w:marTop w:val="0"/>
          <w:marBottom w:val="101"/>
          <w:divBdr>
            <w:top w:val="none" w:sz="0" w:space="0" w:color="auto"/>
            <w:left w:val="none" w:sz="0" w:space="0" w:color="auto"/>
            <w:bottom w:val="none" w:sz="0" w:space="0" w:color="auto"/>
            <w:right w:val="none" w:sz="0" w:space="0" w:color="auto"/>
          </w:divBdr>
        </w:div>
        <w:div w:id="1504590450">
          <w:marLeft w:val="0"/>
          <w:marRight w:val="0"/>
          <w:marTop w:val="0"/>
          <w:marBottom w:val="101"/>
          <w:divBdr>
            <w:top w:val="none" w:sz="0" w:space="0" w:color="auto"/>
            <w:left w:val="none" w:sz="0" w:space="0" w:color="auto"/>
            <w:bottom w:val="none" w:sz="0" w:space="0" w:color="auto"/>
            <w:right w:val="none" w:sz="0" w:space="0" w:color="auto"/>
          </w:divBdr>
        </w:div>
        <w:div w:id="1360396762">
          <w:marLeft w:val="0"/>
          <w:marRight w:val="0"/>
          <w:marTop w:val="0"/>
          <w:marBottom w:val="101"/>
          <w:divBdr>
            <w:top w:val="none" w:sz="0" w:space="0" w:color="auto"/>
            <w:left w:val="none" w:sz="0" w:space="0" w:color="auto"/>
            <w:bottom w:val="none" w:sz="0" w:space="0" w:color="auto"/>
            <w:right w:val="none" w:sz="0" w:space="0" w:color="auto"/>
          </w:divBdr>
        </w:div>
      </w:divsChild>
    </w:div>
    <w:div w:id="373971903">
      <w:bodyDiv w:val="1"/>
      <w:marLeft w:val="0"/>
      <w:marRight w:val="0"/>
      <w:marTop w:val="0"/>
      <w:marBottom w:val="0"/>
      <w:divBdr>
        <w:top w:val="none" w:sz="0" w:space="0" w:color="auto"/>
        <w:left w:val="none" w:sz="0" w:space="0" w:color="auto"/>
        <w:bottom w:val="none" w:sz="0" w:space="0" w:color="auto"/>
        <w:right w:val="none" w:sz="0" w:space="0" w:color="auto"/>
      </w:divBdr>
    </w:div>
    <w:div w:id="389967194">
      <w:bodyDiv w:val="1"/>
      <w:marLeft w:val="0"/>
      <w:marRight w:val="0"/>
      <w:marTop w:val="0"/>
      <w:marBottom w:val="0"/>
      <w:divBdr>
        <w:top w:val="none" w:sz="0" w:space="0" w:color="auto"/>
        <w:left w:val="none" w:sz="0" w:space="0" w:color="auto"/>
        <w:bottom w:val="none" w:sz="0" w:space="0" w:color="auto"/>
        <w:right w:val="none" w:sz="0" w:space="0" w:color="auto"/>
      </w:divBdr>
    </w:div>
    <w:div w:id="420299286">
      <w:bodyDiv w:val="1"/>
      <w:marLeft w:val="0"/>
      <w:marRight w:val="0"/>
      <w:marTop w:val="0"/>
      <w:marBottom w:val="0"/>
      <w:divBdr>
        <w:top w:val="none" w:sz="0" w:space="0" w:color="auto"/>
        <w:left w:val="none" w:sz="0" w:space="0" w:color="auto"/>
        <w:bottom w:val="none" w:sz="0" w:space="0" w:color="auto"/>
        <w:right w:val="none" w:sz="0" w:space="0" w:color="auto"/>
      </w:divBdr>
    </w:div>
    <w:div w:id="446436804">
      <w:bodyDiv w:val="1"/>
      <w:marLeft w:val="0"/>
      <w:marRight w:val="0"/>
      <w:marTop w:val="0"/>
      <w:marBottom w:val="0"/>
      <w:divBdr>
        <w:top w:val="none" w:sz="0" w:space="0" w:color="auto"/>
        <w:left w:val="none" w:sz="0" w:space="0" w:color="auto"/>
        <w:bottom w:val="none" w:sz="0" w:space="0" w:color="auto"/>
        <w:right w:val="none" w:sz="0" w:space="0" w:color="auto"/>
      </w:divBdr>
    </w:div>
    <w:div w:id="462386774">
      <w:bodyDiv w:val="1"/>
      <w:marLeft w:val="0"/>
      <w:marRight w:val="0"/>
      <w:marTop w:val="0"/>
      <w:marBottom w:val="0"/>
      <w:divBdr>
        <w:top w:val="none" w:sz="0" w:space="0" w:color="auto"/>
        <w:left w:val="none" w:sz="0" w:space="0" w:color="auto"/>
        <w:bottom w:val="none" w:sz="0" w:space="0" w:color="auto"/>
        <w:right w:val="none" w:sz="0" w:space="0" w:color="auto"/>
      </w:divBdr>
    </w:div>
    <w:div w:id="514348209">
      <w:bodyDiv w:val="1"/>
      <w:marLeft w:val="0"/>
      <w:marRight w:val="0"/>
      <w:marTop w:val="0"/>
      <w:marBottom w:val="0"/>
      <w:divBdr>
        <w:top w:val="none" w:sz="0" w:space="0" w:color="auto"/>
        <w:left w:val="none" w:sz="0" w:space="0" w:color="auto"/>
        <w:bottom w:val="none" w:sz="0" w:space="0" w:color="auto"/>
        <w:right w:val="none" w:sz="0" w:space="0" w:color="auto"/>
      </w:divBdr>
    </w:div>
    <w:div w:id="522673669">
      <w:bodyDiv w:val="1"/>
      <w:marLeft w:val="0"/>
      <w:marRight w:val="0"/>
      <w:marTop w:val="0"/>
      <w:marBottom w:val="0"/>
      <w:divBdr>
        <w:top w:val="none" w:sz="0" w:space="0" w:color="auto"/>
        <w:left w:val="none" w:sz="0" w:space="0" w:color="auto"/>
        <w:bottom w:val="none" w:sz="0" w:space="0" w:color="auto"/>
        <w:right w:val="none" w:sz="0" w:space="0" w:color="auto"/>
      </w:divBdr>
    </w:div>
    <w:div w:id="523132810">
      <w:bodyDiv w:val="1"/>
      <w:marLeft w:val="0"/>
      <w:marRight w:val="0"/>
      <w:marTop w:val="0"/>
      <w:marBottom w:val="0"/>
      <w:divBdr>
        <w:top w:val="none" w:sz="0" w:space="0" w:color="auto"/>
        <w:left w:val="none" w:sz="0" w:space="0" w:color="auto"/>
        <w:bottom w:val="none" w:sz="0" w:space="0" w:color="auto"/>
        <w:right w:val="none" w:sz="0" w:space="0" w:color="auto"/>
      </w:divBdr>
    </w:div>
    <w:div w:id="551500370">
      <w:bodyDiv w:val="1"/>
      <w:marLeft w:val="0"/>
      <w:marRight w:val="0"/>
      <w:marTop w:val="0"/>
      <w:marBottom w:val="0"/>
      <w:divBdr>
        <w:top w:val="none" w:sz="0" w:space="0" w:color="auto"/>
        <w:left w:val="none" w:sz="0" w:space="0" w:color="auto"/>
        <w:bottom w:val="none" w:sz="0" w:space="0" w:color="auto"/>
        <w:right w:val="none" w:sz="0" w:space="0" w:color="auto"/>
      </w:divBdr>
    </w:div>
    <w:div w:id="564031205">
      <w:bodyDiv w:val="1"/>
      <w:marLeft w:val="0"/>
      <w:marRight w:val="0"/>
      <w:marTop w:val="0"/>
      <w:marBottom w:val="0"/>
      <w:divBdr>
        <w:top w:val="none" w:sz="0" w:space="0" w:color="auto"/>
        <w:left w:val="none" w:sz="0" w:space="0" w:color="auto"/>
        <w:bottom w:val="none" w:sz="0" w:space="0" w:color="auto"/>
        <w:right w:val="none" w:sz="0" w:space="0" w:color="auto"/>
      </w:divBdr>
    </w:div>
    <w:div w:id="572666258">
      <w:bodyDiv w:val="1"/>
      <w:marLeft w:val="0"/>
      <w:marRight w:val="0"/>
      <w:marTop w:val="0"/>
      <w:marBottom w:val="0"/>
      <w:divBdr>
        <w:top w:val="none" w:sz="0" w:space="0" w:color="auto"/>
        <w:left w:val="none" w:sz="0" w:space="0" w:color="auto"/>
        <w:bottom w:val="none" w:sz="0" w:space="0" w:color="auto"/>
        <w:right w:val="none" w:sz="0" w:space="0" w:color="auto"/>
      </w:divBdr>
    </w:div>
    <w:div w:id="576091365">
      <w:bodyDiv w:val="1"/>
      <w:marLeft w:val="0"/>
      <w:marRight w:val="0"/>
      <w:marTop w:val="0"/>
      <w:marBottom w:val="0"/>
      <w:divBdr>
        <w:top w:val="none" w:sz="0" w:space="0" w:color="auto"/>
        <w:left w:val="none" w:sz="0" w:space="0" w:color="auto"/>
        <w:bottom w:val="none" w:sz="0" w:space="0" w:color="auto"/>
        <w:right w:val="none" w:sz="0" w:space="0" w:color="auto"/>
      </w:divBdr>
    </w:div>
    <w:div w:id="579294761">
      <w:bodyDiv w:val="1"/>
      <w:marLeft w:val="0"/>
      <w:marRight w:val="0"/>
      <w:marTop w:val="0"/>
      <w:marBottom w:val="0"/>
      <w:divBdr>
        <w:top w:val="none" w:sz="0" w:space="0" w:color="auto"/>
        <w:left w:val="none" w:sz="0" w:space="0" w:color="auto"/>
        <w:bottom w:val="none" w:sz="0" w:space="0" w:color="auto"/>
        <w:right w:val="none" w:sz="0" w:space="0" w:color="auto"/>
      </w:divBdr>
    </w:div>
    <w:div w:id="588201800">
      <w:bodyDiv w:val="1"/>
      <w:marLeft w:val="0"/>
      <w:marRight w:val="0"/>
      <w:marTop w:val="0"/>
      <w:marBottom w:val="0"/>
      <w:divBdr>
        <w:top w:val="none" w:sz="0" w:space="0" w:color="auto"/>
        <w:left w:val="none" w:sz="0" w:space="0" w:color="auto"/>
        <w:bottom w:val="none" w:sz="0" w:space="0" w:color="auto"/>
        <w:right w:val="none" w:sz="0" w:space="0" w:color="auto"/>
      </w:divBdr>
    </w:div>
    <w:div w:id="612975768">
      <w:marLeft w:val="0"/>
      <w:marRight w:val="0"/>
      <w:marTop w:val="0"/>
      <w:marBottom w:val="0"/>
      <w:divBdr>
        <w:top w:val="none" w:sz="0" w:space="0" w:color="auto"/>
        <w:left w:val="none" w:sz="0" w:space="0" w:color="auto"/>
        <w:bottom w:val="none" w:sz="0" w:space="0" w:color="auto"/>
        <w:right w:val="none" w:sz="0" w:space="0" w:color="auto"/>
      </w:divBdr>
      <w:divsChild>
        <w:div w:id="439180836">
          <w:marLeft w:val="0"/>
          <w:marRight w:val="0"/>
          <w:marTop w:val="0"/>
          <w:marBottom w:val="0"/>
          <w:divBdr>
            <w:top w:val="none" w:sz="0" w:space="0" w:color="auto"/>
            <w:left w:val="none" w:sz="0" w:space="0" w:color="auto"/>
            <w:bottom w:val="none" w:sz="0" w:space="0" w:color="auto"/>
            <w:right w:val="none" w:sz="0" w:space="0" w:color="auto"/>
          </w:divBdr>
          <w:divsChild>
            <w:div w:id="1389455324">
              <w:marLeft w:val="0"/>
              <w:marRight w:val="0"/>
              <w:marTop w:val="0"/>
              <w:marBottom w:val="0"/>
              <w:divBdr>
                <w:top w:val="none" w:sz="0" w:space="0" w:color="auto"/>
                <w:left w:val="none" w:sz="0" w:space="0" w:color="auto"/>
                <w:bottom w:val="none" w:sz="0" w:space="0" w:color="auto"/>
                <w:right w:val="none" w:sz="0" w:space="0" w:color="auto"/>
              </w:divBdr>
              <w:divsChild>
                <w:div w:id="1563910316">
                  <w:marLeft w:val="0"/>
                  <w:marRight w:val="0"/>
                  <w:marTop w:val="0"/>
                  <w:marBottom w:val="0"/>
                  <w:divBdr>
                    <w:top w:val="none" w:sz="0" w:space="0" w:color="auto"/>
                    <w:left w:val="none" w:sz="0" w:space="0" w:color="auto"/>
                    <w:bottom w:val="none" w:sz="0" w:space="0" w:color="auto"/>
                    <w:right w:val="none" w:sz="0" w:space="0" w:color="auto"/>
                  </w:divBdr>
                  <w:divsChild>
                    <w:div w:id="2227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34702">
      <w:marLeft w:val="0"/>
      <w:marRight w:val="0"/>
      <w:marTop w:val="0"/>
      <w:marBottom w:val="0"/>
      <w:divBdr>
        <w:top w:val="none" w:sz="0" w:space="0" w:color="auto"/>
        <w:left w:val="none" w:sz="0" w:space="0" w:color="auto"/>
        <w:bottom w:val="none" w:sz="0" w:space="0" w:color="auto"/>
        <w:right w:val="none" w:sz="0" w:space="0" w:color="auto"/>
      </w:divBdr>
      <w:divsChild>
        <w:div w:id="651834846">
          <w:marLeft w:val="0"/>
          <w:marRight w:val="0"/>
          <w:marTop w:val="0"/>
          <w:marBottom w:val="0"/>
          <w:divBdr>
            <w:top w:val="none" w:sz="0" w:space="0" w:color="auto"/>
            <w:left w:val="none" w:sz="0" w:space="0" w:color="auto"/>
            <w:bottom w:val="none" w:sz="0" w:space="0" w:color="auto"/>
            <w:right w:val="none" w:sz="0" w:space="0" w:color="auto"/>
          </w:divBdr>
          <w:divsChild>
            <w:div w:id="2147237673">
              <w:marLeft w:val="0"/>
              <w:marRight w:val="0"/>
              <w:marTop w:val="0"/>
              <w:marBottom w:val="0"/>
              <w:divBdr>
                <w:top w:val="none" w:sz="0" w:space="0" w:color="auto"/>
                <w:left w:val="none" w:sz="0" w:space="0" w:color="auto"/>
                <w:bottom w:val="none" w:sz="0" w:space="0" w:color="auto"/>
                <w:right w:val="none" w:sz="0" w:space="0" w:color="auto"/>
              </w:divBdr>
              <w:divsChild>
                <w:div w:id="552884367">
                  <w:marLeft w:val="0"/>
                  <w:marRight w:val="0"/>
                  <w:marTop w:val="0"/>
                  <w:marBottom w:val="0"/>
                  <w:divBdr>
                    <w:top w:val="none" w:sz="0" w:space="0" w:color="auto"/>
                    <w:left w:val="none" w:sz="0" w:space="0" w:color="auto"/>
                    <w:bottom w:val="none" w:sz="0" w:space="0" w:color="auto"/>
                    <w:right w:val="none" w:sz="0" w:space="0" w:color="auto"/>
                  </w:divBdr>
                  <w:divsChild>
                    <w:div w:id="11923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571915">
      <w:bodyDiv w:val="1"/>
      <w:marLeft w:val="0"/>
      <w:marRight w:val="0"/>
      <w:marTop w:val="0"/>
      <w:marBottom w:val="0"/>
      <w:divBdr>
        <w:top w:val="none" w:sz="0" w:space="0" w:color="auto"/>
        <w:left w:val="none" w:sz="0" w:space="0" w:color="auto"/>
        <w:bottom w:val="none" w:sz="0" w:space="0" w:color="auto"/>
        <w:right w:val="none" w:sz="0" w:space="0" w:color="auto"/>
      </w:divBdr>
      <w:divsChild>
        <w:div w:id="339047804">
          <w:marLeft w:val="0"/>
          <w:marRight w:val="0"/>
          <w:marTop w:val="0"/>
          <w:marBottom w:val="101"/>
          <w:divBdr>
            <w:top w:val="none" w:sz="0" w:space="0" w:color="auto"/>
            <w:left w:val="none" w:sz="0" w:space="0" w:color="auto"/>
            <w:bottom w:val="none" w:sz="0" w:space="0" w:color="auto"/>
            <w:right w:val="none" w:sz="0" w:space="0" w:color="auto"/>
          </w:divBdr>
        </w:div>
        <w:div w:id="1398547786">
          <w:marLeft w:val="0"/>
          <w:marRight w:val="0"/>
          <w:marTop w:val="0"/>
          <w:marBottom w:val="101"/>
          <w:divBdr>
            <w:top w:val="none" w:sz="0" w:space="0" w:color="auto"/>
            <w:left w:val="none" w:sz="0" w:space="0" w:color="auto"/>
            <w:bottom w:val="none" w:sz="0" w:space="0" w:color="auto"/>
            <w:right w:val="none" w:sz="0" w:space="0" w:color="auto"/>
          </w:divBdr>
        </w:div>
        <w:div w:id="262227620">
          <w:marLeft w:val="0"/>
          <w:marRight w:val="0"/>
          <w:marTop w:val="0"/>
          <w:marBottom w:val="101"/>
          <w:divBdr>
            <w:top w:val="none" w:sz="0" w:space="0" w:color="auto"/>
            <w:left w:val="none" w:sz="0" w:space="0" w:color="auto"/>
            <w:bottom w:val="none" w:sz="0" w:space="0" w:color="auto"/>
            <w:right w:val="none" w:sz="0" w:space="0" w:color="auto"/>
          </w:divBdr>
        </w:div>
      </w:divsChild>
    </w:div>
    <w:div w:id="657001655">
      <w:marLeft w:val="0"/>
      <w:marRight w:val="0"/>
      <w:marTop w:val="0"/>
      <w:marBottom w:val="0"/>
      <w:divBdr>
        <w:top w:val="none" w:sz="0" w:space="0" w:color="auto"/>
        <w:left w:val="none" w:sz="0" w:space="0" w:color="auto"/>
        <w:bottom w:val="none" w:sz="0" w:space="0" w:color="auto"/>
        <w:right w:val="none" w:sz="0" w:space="0" w:color="auto"/>
      </w:divBdr>
      <w:divsChild>
        <w:div w:id="494105322">
          <w:marLeft w:val="0"/>
          <w:marRight w:val="0"/>
          <w:marTop w:val="0"/>
          <w:marBottom w:val="0"/>
          <w:divBdr>
            <w:top w:val="none" w:sz="0" w:space="0" w:color="auto"/>
            <w:left w:val="none" w:sz="0" w:space="0" w:color="auto"/>
            <w:bottom w:val="none" w:sz="0" w:space="0" w:color="auto"/>
            <w:right w:val="none" w:sz="0" w:space="0" w:color="auto"/>
          </w:divBdr>
          <w:divsChild>
            <w:div w:id="2064675211">
              <w:marLeft w:val="0"/>
              <w:marRight w:val="0"/>
              <w:marTop w:val="0"/>
              <w:marBottom w:val="0"/>
              <w:divBdr>
                <w:top w:val="none" w:sz="0" w:space="0" w:color="auto"/>
                <w:left w:val="none" w:sz="0" w:space="0" w:color="auto"/>
                <w:bottom w:val="none" w:sz="0" w:space="0" w:color="auto"/>
                <w:right w:val="none" w:sz="0" w:space="0" w:color="auto"/>
              </w:divBdr>
              <w:divsChild>
                <w:div w:id="1381049296">
                  <w:marLeft w:val="0"/>
                  <w:marRight w:val="0"/>
                  <w:marTop w:val="0"/>
                  <w:marBottom w:val="0"/>
                  <w:divBdr>
                    <w:top w:val="none" w:sz="0" w:space="0" w:color="auto"/>
                    <w:left w:val="none" w:sz="0" w:space="0" w:color="auto"/>
                    <w:bottom w:val="none" w:sz="0" w:space="0" w:color="auto"/>
                    <w:right w:val="none" w:sz="0" w:space="0" w:color="auto"/>
                  </w:divBdr>
                  <w:divsChild>
                    <w:div w:id="37404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178259">
      <w:bodyDiv w:val="1"/>
      <w:marLeft w:val="0"/>
      <w:marRight w:val="0"/>
      <w:marTop w:val="0"/>
      <w:marBottom w:val="0"/>
      <w:divBdr>
        <w:top w:val="none" w:sz="0" w:space="0" w:color="auto"/>
        <w:left w:val="none" w:sz="0" w:space="0" w:color="auto"/>
        <w:bottom w:val="none" w:sz="0" w:space="0" w:color="auto"/>
        <w:right w:val="none" w:sz="0" w:space="0" w:color="auto"/>
      </w:divBdr>
    </w:div>
    <w:div w:id="668218466">
      <w:bodyDiv w:val="1"/>
      <w:marLeft w:val="0"/>
      <w:marRight w:val="0"/>
      <w:marTop w:val="0"/>
      <w:marBottom w:val="0"/>
      <w:divBdr>
        <w:top w:val="none" w:sz="0" w:space="0" w:color="auto"/>
        <w:left w:val="none" w:sz="0" w:space="0" w:color="auto"/>
        <w:bottom w:val="none" w:sz="0" w:space="0" w:color="auto"/>
        <w:right w:val="none" w:sz="0" w:space="0" w:color="auto"/>
      </w:divBdr>
    </w:div>
    <w:div w:id="676004937">
      <w:bodyDiv w:val="1"/>
      <w:marLeft w:val="0"/>
      <w:marRight w:val="0"/>
      <w:marTop w:val="0"/>
      <w:marBottom w:val="0"/>
      <w:divBdr>
        <w:top w:val="none" w:sz="0" w:space="0" w:color="auto"/>
        <w:left w:val="none" w:sz="0" w:space="0" w:color="auto"/>
        <w:bottom w:val="none" w:sz="0" w:space="0" w:color="auto"/>
        <w:right w:val="none" w:sz="0" w:space="0" w:color="auto"/>
      </w:divBdr>
    </w:div>
    <w:div w:id="692345804">
      <w:bodyDiv w:val="1"/>
      <w:marLeft w:val="0"/>
      <w:marRight w:val="0"/>
      <w:marTop w:val="0"/>
      <w:marBottom w:val="0"/>
      <w:divBdr>
        <w:top w:val="none" w:sz="0" w:space="0" w:color="auto"/>
        <w:left w:val="none" w:sz="0" w:space="0" w:color="auto"/>
        <w:bottom w:val="none" w:sz="0" w:space="0" w:color="auto"/>
        <w:right w:val="none" w:sz="0" w:space="0" w:color="auto"/>
      </w:divBdr>
    </w:div>
    <w:div w:id="723718824">
      <w:bodyDiv w:val="1"/>
      <w:marLeft w:val="0"/>
      <w:marRight w:val="0"/>
      <w:marTop w:val="0"/>
      <w:marBottom w:val="0"/>
      <w:divBdr>
        <w:top w:val="none" w:sz="0" w:space="0" w:color="auto"/>
        <w:left w:val="none" w:sz="0" w:space="0" w:color="auto"/>
        <w:bottom w:val="none" w:sz="0" w:space="0" w:color="auto"/>
        <w:right w:val="none" w:sz="0" w:space="0" w:color="auto"/>
      </w:divBdr>
    </w:div>
    <w:div w:id="766854411">
      <w:bodyDiv w:val="1"/>
      <w:marLeft w:val="0"/>
      <w:marRight w:val="0"/>
      <w:marTop w:val="0"/>
      <w:marBottom w:val="0"/>
      <w:divBdr>
        <w:top w:val="none" w:sz="0" w:space="0" w:color="auto"/>
        <w:left w:val="none" w:sz="0" w:space="0" w:color="auto"/>
        <w:bottom w:val="none" w:sz="0" w:space="0" w:color="auto"/>
        <w:right w:val="none" w:sz="0" w:space="0" w:color="auto"/>
      </w:divBdr>
      <w:divsChild>
        <w:div w:id="99423124">
          <w:marLeft w:val="446"/>
          <w:marRight w:val="0"/>
          <w:marTop w:val="0"/>
          <w:marBottom w:val="0"/>
          <w:divBdr>
            <w:top w:val="none" w:sz="0" w:space="0" w:color="auto"/>
            <w:left w:val="none" w:sz="0" w:space="0" w:color="auto"/>
            <w:bottom w:val="none" w:sz="0" w:space="0" w:color="auto"/>
            <w:right w:val="none" w:sz="0" w:space="0" w:color="auto"/>
          </w:divBdr>
        </w:div>
        <w:div w:id="290090729">
          <w:marLeft w:val="446"/>
          <w:marRight w:val="0"/>
          <w:marTop w:val="0"/>
          <w:marBottom w:val="0"/>
          <w:divBdr>
            <w:top w:val="none" w:sz="0" w:space="0" w:color="auto"/>
            <w:left w:val="none" w:sz="0" w:space="0" w:color="auto"/>
            <w:bottom w:val="none" w:sz="0" w:space="0" w:color="auto"/>
            <w:right w:val="none" w:sz="0" w:space="0" w:color="auto"/>
          </w:divBdr>
        </w:div>
        <w:div w:id="143395249">
          <w:marLeft w:val="446"/>
          <w:marRight w:val="0"/>
          <w:marTop w:val="0"/>
          <w:marBottom w:val="0"/>
          <w:divBdr>
            <w:top w:val="none" w:sz="0" w:space="0" w:color="auto"/>
            <w:left w:val="none" w:sz="0" w:space="0" w:color="auto"/>
            <w:bottom w:val="none" w:sz="0" w:space="0" w:color="auto"/>
            <w:right w:val="none" w:sz="0" w:space="0" w:color="auto"/>
          </w:divBdr>
        </w:div>
        <w:div w:id="1430466146">
          <w:marLeft w:val="446"/>
          <w:marRight w:val="0"/>
          <w:marTop w:val="0"/>
          <w:marBottom w:val="0"/>
          <w:divBdr>
            <w:top w:val="none" w:sz="0" w:space="0" w:color="auto"/>
            <w:left w:val="none" w:sz="0" w:space="0" w:color="auto"/>
            <w:bottom w:val="none" w:sz="0" w:space="0" w:color="auto"/>
            <w:right w:val="none" w:sz="0" w:space="0" w:color="auto"/>
          </w:divBdr>
        </w:div>
        <w:div w:id="1496263108">
          <w:marLeft w:val="446"/>
          <w:marRight w:val="0"/>
          <w:marTop w:val="0"/>
          <w:marBottom w:val="0"/>
          <w:divBdr>
            <w:top w:val="none" w:sz="0" w:space="0" w:color="auto"/>
            <w:left w:val="none" w:sz="0" w:space="0" w:color="auto"/>
            <w:bottom w:val="none" w:sz="0" w:space="0" w:color="auto"/>
            <w:right w:val="none" w:sz="0" w:space="0" w:color="auto"/>
          </w:divBdr>
        </w:div>
        <w:div w:id="857356318">
          <w:marLeft w:val="446"/>
          <w:marRight w:val="0"/>
          <w:marTop w:val="0"/>
          <w:marBottom w:val="0"/>
          <w:divBdr>
            <w:top w:val="none" w:sz="0" w:space="0" w:color="auto"/>
            <w:left w:val="none" w:sz="0" w:space="0" w:color="auto"/>
            <w:bottom w:val="none" w:sz="0" w:space="0" w:color="auto"/>
            <w:right w:val="none" w:sz="0" w:space="0" w:color="auto"/>
          </w:divBdr>
        </w:div>
        <w:div w:id="279533884">
          <w:marLeft w:val="446"/>
          <w:marRight w:val="0"/>
          <w:marTop w:val="0"/>
          <w:marBottom w:val="0"/>
          <w:divBdr>
            <w:top w:val="none" w:sz="0" w:space="0" w:color="auto"/>
            <w:left w:val="none" w:sz="0" w:space="0" w:color="auto"/>
            <w:bottom w:val="none" w:sz="0" w:space="0" w:color="auto"/>
            <w:right w:val="none" w:sz="0" w:space="0" w:color="auto"/>
          </w:divBdr>
        </w:div>
        <w:div w:id="540939196">
          <w:marLeft w:val="446"/>
          <w:marRight w:val="0"/>
          <w:marTop w:val="0"/>
          <w:marBottom w:val="0"/>
          <w:divBdr>
            <w:top w:val="none" w:sz="0" w:space="0" w:color="auto"/>
            <w:left w:val="none" w:sz="0" w:space="0" w:color="auto"/>
            <w:bottom w:val="none" w:sz="0" w:space="0" w:color="auto"/>
            <w:right w:val="none" w:sz="0" w:space="0" w:color="auto"/>
          </w:divBdr>
        </w:div>
      </w:divsChild>
    </w:div>
    <w:div w:id="803044037">
      <w:bodyDiv w:val="1"/>
      <w:marLeft w:val="0"/>
      <w:marRight w:val="0"/>
      <w:marTop w:val="0"/>
      <w:marBottom w:val="0"/>
      <w:divBdr>
        <w:top w:val="none" w:sz="0" w:space="0" w:color="auto"/>
        <w:left w:val="none" w:sz="0" w:space="0" w:color="auto"/>
        <w:bottom w:val="none" w:sz="0" w:space="0" w:color="auto"/>
        <w:right w:val="none" w:sz="0" w:space="0" w:color="auto"/>
      </w:divBdr>
    </w:div>
    <w:div w:id="820317949">
      <w:bodyDiv w:val="1"/>
      <w:marLeft w:val="0"/>
      <w:marRight w:val="0"/>
      <w:marTop w:val="0"/>
      <w:marBottom w:val="0"/>
      <w:divBdr>
        <w:top w:val="none" w:sz="0" w:space="0" w:color="auto"/>
        <w:left w:val="none" w:sz="0" w:space="0" w:color="auto"/>
        <w:bottom w:val="none" w:sz="0" w:space="0" w:color="auto"/>
        <w:right w:val="none" w:sz="0" w:space="0" w:color="auto"/>
      </w:divBdr>
    </w:div>
    <w:div w:id="823467311">
      <w:bodyDiv w:val="1"/>
      <w:marLeft w:val="0"/>
      <w:marRight w:val="0"/>
      <w:marTop w:val="0"/>
      <w:marBottom w:val="0"/>
      <w:divBdr>
        <w:top w:val="none" w:sz="0" w:space="0" w:color="auto"/>
        <w:left w:val="none" w:sz="0" w:space="0" w:color="auto"/>
        <w:bottom w:val="none" w:sz="0" w:space="0" w:color="auto"/>
        <w:right w:val="none" w:sz="0" w:space="0" w:color="auto"/>
      </w:divBdr>
      <w:divsChild>
        <w:div w:id="446580990">
          <w:marLeft w:val="0"/>
          <w:marRight w:val="0"/>
          <w:marTop w:val="0"/>
          <w:marBottom w:val="51"/>
          <w:divBdr>
            <w:top w:val="none" w:sz="0" w:space="0" w:color="auto"/>
            <w:left w:val="none" w:sz="0" w:space="0" w:color="auto"/>
            <w:bottom w:val="none" w:sz="0" w:space="0" w:color="auto"/>
            <w:right w:val="none" w:sz="0" w:space="0" w:color="auto"/>
          </w:divBdr>
        </w:div>
        <w:div w:id="1492528623">
          <w:marLeft w:val="0"/>
          <w:marRight w:val="0"/>
          <w:marTop w:val="0"/>
          <w:marBottom w:val="51"/>
          <w:divBdr>
            <w:top w:val="none" w:sz="0" w:space="0" w:color="auto"/>
            <w:left w:val="none" w:sz="0" w:space="0" w:color="auto"/>
            <w:bottom w:val="none" w:sz="0" w:space="0" w:color="auto"/>
            <w:right w:val="none" w:sz="0" w:space="0" w:color="auto"/>
          </w:divBdr>
        </w:div>
      </w:divsChild>
    </w:div>
    <w:div w:id="825054260">
      <w:bodyDiv w:val="1"/>
      <w:marLeft w:val="0"/>
      <w:marRight w:val="0"/>
      <w:marTop w:val="0"/>
      <w:marBottom w:val="0"/>
      <w:divBdr>
        <w:top w:val="none" w:sz="0" w:space="0" w:color="auto"/>
        <w:left w:val="none" w:sz="0" w:space="0" w:color="auto"/>
        <w:bottom w:val="none" w:sz="0" w:space="0" w:color="auto"/>
        <w:right w:val="none" w:sz="0" w:space="0" w:color="auto"/>
      </w:divBdr>
    </w:div>
    <w:div w:id="842936537">
      <w:bodyDiv w:val="1"/>
      <w:marLeft w:val="0"/>
      <w:marRight w:val="0"/>
      <w:marTop w:val="0"/>
      <w:marBottom w:val="0"/>
      <w:divBdr>
        <w:top w:val="none" w:sz="0" w:space="0" w:color="auto"/>
        <w:left w:val="none" w:sz="0" w:space="0" w:color="auto"/>
        <w:bottom w:val="none" w:sz="0" w:space="0" w:color="auto"/>
        <w:right w:val="none" w:sz="0" w:space="0" w:color="auto"/>
      </w:divBdr>
      <w:divsChild>
        <w:div w:id="1595551322">
          <w:marLeft w:val="648"/>
          <w:marRight w:val="0"/>
          <w:marTop w:val="0"/>
          <w:marBottom w:val="70"/>
          <w:divBdr>
            <w:top w:val="none" w:sz="0" w:space="0" w:color="auto"/>
            <w:left w:val="none" w:sz="0" w:space="0" w:color="auto"/>
            <w:bottom w:val="none" w:sz="0" w:space="0" w:color="auto"/>
            <w:right w:val="none" w:sz="0" w:space="0" w:color="auto"/>
          </w:divBdr>
        </w:div>
        <w:div w:id="1279488686">
          <w:marLeft w:val="648"/>
          <w:marRight w:val="0"/>
          <w:marTop w:val="0"/>
          <w:marBottom w:val="70"/>
          <w:divBdr>
            <w:top w:val="none" w:sz="0" w:space="0" w:color="auto"/>
            <w:left w:val="none" w:sz="0" w:space="0" w:color="auto"/>
            <w:bottom w:val="none" w:sz="0" w:space="0" w:color="auto"/>
            <w:right w:val="none" w:sz="0" w:space="0" w:color="auto"/>
          </w:divBdr>
        </w:div>
        <w:div w:id="663508642">
          <w:marLeft w:val="648"/>
          <w:marRight w:val="0"/>
          <w:marTop w:val="0"/>
          <w:marBottom w:val="70"/>
          <w:divBdr>
            <w:top w:val="none" w:sz="0" w:space="0" w:color="auto"/>
            <w:left w:val="none" w:sz="0" w:space="0" w:color="auto"/>
            <w:bottom w:val="none" w:sz="0" w:space="0" w:color="auto"/>
            <w:right w:val="none" w:sz="0" w:space="0" w:color="auto"/>
          </w:divBdr>
        </w:div>
        <w:div w:id="336275213">
          <w:marLeft w:val="648"/>
          <w:marRight w:val="0"/>
          <w:marTop w:val="0"/>
          <w:marBottom w:val="70"/>
          <w:divBdr>
            <w:top w:val="none" w:sz="0" w:space="0" w:color="auto"/>
            <w:left w:val="none" w:sz="0" w:space="0" w:color="auto"/>
            <w:bottom w:val="none" w:sz="0" w:space="0" w:color="auto"/>
            <w:right w:val="none" w:sz="0" w:space="0" w:color="auto"/>
          </w:divBdr>
        </w:div>
      </w:divsChild>
    </w:div>
    <w:div w:id="860628909">
      <w:bodyDiv w:val="1"/>
      <w:marLeft w:val="0"/>
      <w:marRight w:val="0"/>
      <w:marTop w:val="0"/>
      <w:marBottom w:val="0"/>
      <w:divBdr>
        <w:top w:val="none" w:sz="0" w:space="0" w:color="auto"/>
        <w:left w:val="none" w:sz="0" w:space="0" w:color="auto"/>
        <w:bottom w:val="none" w:sz="0" w:space="0" w:color="auto"/>
        <w:right w:val="none" w:sz="0" w:space="0" w:color="auto"/>
      </w:divBdr>
    </w:div>
    <w:div w:id="872156419">
      <w:bodyDiv w:val="1"/>
      <w:marLeft w:val="0"/>
      <w:marRight w:val="0"/>
      <w:marTop w:val="0"/>
      <w:marBottom w:val="0"/>
      <w:divBdr>
        <w:top w:val="none" w:sz="0" w:space="0" w:color="auto"/>
        <w:left w:val="none" w:sz="0" w:space="0" w:color="auto"/>
        <w:bottom w:val="none" w:sz="0" w:space="0" w:color="auto"/>
        <w:right w:val="none" w:sz="0" w:space="0" w:color="auto"/>
      </w:divBdr>
    </w:div>
    <w:div w:id="892885942">
      <w:marLeft w:val="0"/>
      <w:marRight w:val="0"/>
      <w:marTop w:val="0"/>
      <w:marBottom w:val="0"/>
      <w:divBdr>
        <w:top w:val="none" w:sz="0" w:space="0" w:color="auto"/>
        <w:left w:val="none" w:sz="0" w:space="0" w:color="auto"/>
        <w:bottom w:val="none" w:sz="0" w:space="0" w:color="auto"/>
        <w:right w:val="none" w:sz="0" w:space="0" w:color="auto"/>
      </w:divBdr>
      <w:divsChild>
        <w:div w:id="1668442127">
          <w:marLeft w:val="0"/>
          <w:marRight w:val="0"/>
          <w:marTop w:val="0"/>
          <w:marBottom w:val="0"/>
          <w:divBdr>
            <w:top w:val="none" w:sz="0" w:space="0" w:color="auto"/>
            <w:left w:val="none" w:sz="0" w:space="0" w:color="auto"/>
            <w:bottom w:val="none" w:sz="0" w:space="0" w:color="auto"/>
            <w:right w:val="none" w:sz="0" w:space="0" w:color="auto"/>
          </w:divBdr>
          <w:divsChild>
            <w:div w:id="872499204">
              <w:marLeft w:val="0"/>
              <w:marRight w:val="0"/>
              <w:marTop w:val="0"/>
              <w:marBottom w:val="0"/>
              <w:divBdr>
                <w:top w:val="none" w:sz="0" w:space="0" w:color="auto"/>
                <w:left w:val="none" w:sz="0" w:space="0" w:color="auto"/>
                <w:bottom w:val="none" w:sz="0" w:space="0" w:color="auto"/>
                <w:right w:val="none" w:sz="0" w:space="0" w:color="auto"/>
              </w:divBdr>
              <w:divsChild>
                <w:div w:id="1328481668">
                  <w:marLeft w:val="0"/>
                  <w:marRight w:val="0"/>
                  <w:marTop w:val="0"/>
                  <w:marBottom w:val="0"/>
                  <w:divBdr>
                    <w:top w:val="none" w:sz="0" w:space="0" w:color="auto"/>
                    <w:left w:val="none" w:sz="0" w:space="0" w:color="auto"/>
                    <w:bottom w:val="none" w:sz="0" w:space="0" w:color="auto"/>
                    <w:right w:val="none" w:sz="0" w:space="0" w:color="auto"/>
                  </w:divBdr>
                  <w:divsChild>
                    <w:div w:id="13242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495066">
      <w:marLeft w:val="0"/>
      <w:marRight w:val="0"/>
      <w:marTop w:val="0"/>
      <w:marBottom w:val="0"/>
      <w:divBdr>
        <w:top w:val="none" w:sz="0" w:space="0" w:color="auto"/>
        <w:left w:val="none" w:sz="0" w:space="0" w:color="auto"/>
        <w:bottom w:val="none" w:sz="0" w:space="0" w:color="auto"/>
        <w:right w:val="none" w:sz="0" w:space="0" w:color="auto"/>
      </w:divBdr>
      <w:divsChild>
        <w:div w:id="1939176151">
          <w:marLeft w:val="0"/>
          <w:marRight w:val="0"/>
          <w:marTop w:val="0"/>
          <w:marBottom w:val="0"/>
          <w:divBdr>
            <w:top w:val="none" w:sz="0" w:space="0" w:color="auto"/>
            <w:left w:val="none" w:sz="0" w:space="0" w:color="auto"/>
            <w:bottom w:val="none" w:sz="0" w:space="0" w:color="auto"/>
            <w:right w:val="none" w:sz="0" w:space="0" w:color="auto"/>
          </w:divBdr>
          <w:divsChild>
            <w:div w:id="1876385364">
              <w:marLeft w:val="0"/>
              <w:marRight w:val="0"/>
              <w:marTop w:val="0"/>
              <w:marBottom w:val="0"/>
              <w:divBdr>
                <w:top w:val="none" w:sz="0" w:space="0" w:color="auto"/>
                <w:left w:val="none" w:sz="0" w:space="0" w:color="auto"/>
                <w:bottom w:val="none" w:sz="0" w:space="0" w:color="auto"/>
                <w:right w:val="none" w:sz="0" w:space="0" w:color="auto"/>
              </w:divBdr>
              <w:divsChild>
                <w:div w:id="499196223">
                  <w:marLeft w:val="0"/>
                  <w:marRight w:val="0"/>
                  <w:marTop w:val="0"/>
                  <w:marBottom w:val="0"/>
                  <w:divBdr>
                    <w:top w:val="none" w:sz="0" w:space="0" w:color="auto"/>
                    <w:left w:val="none" w:sz="0" w:space="0" w:color="auto"/>
                    <w:bottom w:val="none" w:sz="0" w:space="0" w:color="auto"/>
                    <w:right w:val="none" w:sz="0" w:space="0" w:color="auto"/>
                  </w:divBdr>
                  <w:divsChild>
                    <w:div w:id="64835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458853">
      <w:bodyDiv w:val="1"/>
      <w:marLeft w:val="0"/>
      <w:marRight w:val="0"/>
      <w:marTop w:val="0"/>
      <w:marBottom w:val="0"/>
      <w:divBdr>
        <w:top w:val="none" w:sz="0" w:space="0" w:color="auto"/>
        <w:left w:val="none" w:sz="0" w:space="0" w:color="auto"/>
        <w:bottom w:val="none" w:sz="0" w:space="0" w:color="auto"/>
        <w:right w:val="none" w:sz="0" w:space="0" w:color="auto"/>
      </w:divBdr>
      <w:divsChild>
        <w:div w:id="1078138569">
          <w:marLeft w:val="0"/>
          <w:marRight w:val="0"/>
          <w:marTop w:val="0"/>
          <w:marBottom w:val="76"/>
          <w:divBdr>
            <w:top w:val="none" w:sz="0" w:space="0" w:color="auto"/>
            <w:left w:val="none" w:sz="0" w:space="0" w:color="auto"/>
            <w:bottom w:val="none" w:sz="0" w:space="0" w:color="auto"/>
            <w:right w:val="none" w:sz="0" w:space="0" w:color="auto"/>
          </w:divBdr>
        </w:div>
        <w:div w:id="891381589">
          <w:marLeft w:val="0"/>
          <w:marRight w:val="0"/>
          <w:marTop w:val="0"/>
          <w:marBottom w:val="76"/>
          <w:divBdr>
            <w:top w:val="none" w:sz="0" w:space="0" w:color="auto"/>
            <w:left w:val="none" w:sz="0" w:space="0" w:color="auto"/>
            <w:bottom w:val="none" w:sz="0" w:space="0" w:color="auto"/>
            <w:right w:val="none" w:sz="0" w:space="0" w:color="auto"/>
          </w:divBdr>
        </w:div>
        <w:div w:id="1379892094">
          <w:marLeft w:val="0"/>
          <w:marRight w:val="0"/>
          <w:marTop w:val="0"/>
          <w:marBottom w:val="76"/>
          <w:divBdr>
            <w:top w:val="none" w:sz="0" w:space="0" w:color="auto"/>
            <w:left w:val="none" w:sz="0" w:space="0" w:color="auto"/>
            <w:bottom w:val="none" w:sz="0" w:space="0" w:color="auto"/>
            <w:right w:val="none" w:sz="0" w:space="0" w:color="auto"/>
          </w:divBdr>
        </w:div>
      </w:divsChild>
    </w:div>
    <w:div w:id="928276584">
      <w:bodyDiv w:val="1"/>
      <w:marLeft w:val="0"/>
      <w:marRight w:val="0"/>
      <w:marTop w:val="0"/>
      <w:marBottom w:val="0"/>
      <w:divBdr>
        <w:top w:val="none" w:sz="0" w:space="0" w:color="auto"/>
        <w:left w:val="none" w:sz="0" w:space="0" w:color="auto"/>
        <w:bottom w:val="none" w:sz="0" w:space="0" w:color="auto"/>
        <w:right w:val="none" w:sz="0" w:space="0" w:color="auto"/>
      </w:divBdr>
    </w:div>
    <w:div w:id="944070112">
      <w:bodyDiv w:val="1"/>
      <w:marLeft w:val="0"/>
      <w:marRight w:val="0"/>
      <w:marTop w:val="0"/>
      <w:marBottom w:val="0"/>
      <w:divBdr>
        <w:top w:val="none" w:sz="0" w:space="0" w:color="auto"/>
        <w:left w:val="none" w:sz="0" w:space="0" w:color="auto"/>
        <w:bottom w:val="none" w:sz="0" w:space="0" w:color="auto"/>
        <w:right w:val="none" w:sz="0" w:space="0" w:color="auto"/>
      </w:divBdr>
    </w:div>
    <w:div w:id="944465084">
      <w:bodyDiv w:val="1"/>
      <w:marLeft w:val="0"/>
      <w:marRight w:val="0"/>
      <w:marTop w:val="0"/>
      <w:marBottom w:val="0"/>
      <w:divBdr>
        <w:top w:val="none" w:sz="0" w:space="0" w:color="auto"/>
        <w:left w:val="none" w:sz="0" w:space="0" w:color="auto"/>
        <w:bottom w:val="none" w:sz="0" w:space="0" w:color="auto"/>
        <w:right w:val="none" w:sz="0" w:space="0" w:color="auto"/>
      </w:divBdr>
    </w:div>
    <w:div w:id="944575425">
      <w:marLeft w:val="0"/>
      <w:marRight w:val="0"/>
      <w:marTop w:val="0"/>
      <w:marBottom w:val="0"/>
      <w:divBdr>
        <w:top w:val="none" w:sz="0" w:space="0" w:color="auto"/>
        <w:left w:val="none" w:sz="0" w:space="0" w:color="auto"/>
        <w:bottom w:val="none" w:sz="0" w:space="0" w:color="auto"/>
        <w:right w:val="none" w:sz="0" w:space="0" w:color="auto"/>
      </w:divBdr>
      <w:divsChild>
        <w:div w:id="1690181422">
          <w:marLeft w:val="0"/>
          <w:marRight w:val="0"/>
          <w:marTop w:val="0"/>
          <w:marBottom w:val="0"/>
          <w:divBdr>
            <w:top w:val="none" w:sz="0" w:space="0" w:color="auto"/>
            <w:left w:val="none" w:sz="0" w:space="0" w:color="auto"/>
            <w:bottom w:val="none" w:sz="0" w:space="0" w:color="auto"/>
            <w:right w:val="none" w:sz="0" w:space="0" w:color="auto"/>
          </w:divBdr>
          <w:divsChild>
            <w:div w:id="1475760883">
              <w:marLeft w:val="0"/>
              <w:marRight w:val="0"/>
              <w:marTop w:val="0"/>
              <w:marBottom w:val="0"/>
              <w:divBdr>
                <w:top w:val="none" w:sz="0" w:space="0" w:color="auto"/>
                <w:left w:val="none" w:sz="0" w:space="0" w:color="auto"/>
                <w:bottom w:val="none" w:sz="0" w:space="0" w:color="auto"/>
                <w:right w:val="none" w:sz="0" w:space="0" w:color="auto"/>
              </w:divBdr>
              <w:divsChild>
                <w:div w:id="1580871826">
                  <w:marLeft w:val="0"/>
                  <w:marRight w:val="0"/>
                  <w:marTop w:val="0"/>
                  <w:marBottom w:val="0"/>
                  <w:divBdr>
                    <w:top w:val="none" w:sz="0" w:space="0" w:color="auto"/>
                    <w:left w:val="none" w:sz="0" w:space="0" w:color="auto"/>
                    <w:bottom w:val="none" w:sz="0" w:space="0" w:color="auto"/>
                    <w:right w:val="none" w:sz="0" w:space="0" w:color="auto"/>
                  </w:divBdr>
                  <w:divsChild>
                    <w:div w:id="19071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2049">
      <w:bodyDiv w:val="1"/>
      <w:marLeft w:val="0"/>
      <w:marRight w:val="0"/>
      <w:marTop w:val="0"/>
      <w:marBottom w:val="0"/>
      <w:divBdr>
        <w:top w:val="none" w:sz="0" w:space="0" w:color="auto"/>
        <w:left w:val="none" w:sz="0" w:space="0" w:color="auto"/>
        <w:bottom w:val="none" w:sz="0" w:space="0" w:color="auto"/>
        <w:right w:val="none" w:sz="0" w:space="0" w:color="auto"/>
      </w:divBdr>
    </w:div>
    <w:div w:id="955211015">
      <w:bodyDiv w:val="1"/>
      <w:marLeft w:val="0"/>
      <w:marRight w:val="0"/>
      <w:marTop w:val="0"/>
      <w:marBottom w:val="0"/>
      <w:divBdr>
        <w:top w:val="none" w:sz="0" w:space="0" w:color="auto"/>
        <w:left w:val="none" w:sz="0" w:space="0" w:color="auto"/>
        <w:bottom w:val="none" w:sz="0" w:space="0" w:color="auto"/>
        <w:right w:val="none" w:sz="0" w:space="0" w:color="auto"/>
      </w:divBdr>
    </w:div>
    <w:div w:id="957642895">
      <w:bodyDiv w:val="1"/>
      <w:marLeft w:val="0"/>
      <w:marRight w:val="0"/>
      <w:marTop w:val="0"/>
      <w:marBottom w:val="0"/>
      <w:divBdr>
        <w:top w:val="none" w:sz="0" w:space="0" w:color="auto"/>
        <w:left w:val="none" w:sz="0" w:space="0" w:color="auto"/>
        <w:bottom w:val="none" w:sz="0" w:space="0" w:color="auto"/>
        <w:right w:val="none" w:sz="0" w:space="0" w:color="auto"/>
      </w:divBdr>
    </w:div>
    <w:div w:id="1006708677">
      <w:bodyDiv w:val="1"/>
      <w:marLeft w:val="0"/>
      <w:marRight w:val="0"/>
      <w:marTop w:val="0"/>
      <w:marBottom w:val="0"/>
      <w:divBdr>
        <w:top w:val="none" w:sz="0" w:space="0" w:color="auto"/>
        <w:left w:val="none" w:sz="0" w:space="0" w:color="auto"/>
        <w:bottom w:val="none" w:sz="0" w:space="0" w:color="auto"/>
        <w:right w:val="none" w:sz="0" w:space="0" w:color="auto"/>
      </w:divBdr>
      <w:divsChild>
        <w:div w:id="1560942812">
          <w:marLeft w:val="0"/>
          <w:marRight w:val="0"/>
          <w:marTop w:val="0"/>
          <w:marBottom w:val="101"/>
          <w:divBdr>
            <w:top w:val="none" w:sz="0" w:space="0" w:color="auto"/>
            <w:left w:val="none" w:sz="0" w:space="0" w:color="auto"/>
            <w:bottom w:val="none" w:sz="0" w:space="0" w:color="auto"/>
            <w:right w:val="none" w:sz="0" w:space="0" w:color="auto"/>
          </w:divBdr>
        </w:div>
      </w:divsChild>
    </w:div>
    <w:div w:id="1024749613">
      <w:bodyDiv w:val="1"/>
      <w:marLeft w:val="0"/>
      <w:marRight w:val="0"/>
      <w:marTop w:val="0"/>
      <w:marBottom w:val="0"/>
      <w:divBdr>
        <w:top w:val="none" w:sz="0" w:space="0" w:color="auto"/>
        <w:left w:val="none" w:sz="0" w:space="0" w:color="auto"/>
        <w:bottom w:val="none" w:sz="0" w:space="0" w:color="auto"/>
        <w:right w:val="none" w:sz="0" w:space="0" w:color="auto"/>
      </w:divBdr>
    </w:div>
    <w:div w:id="1042317249">
      <w:bodyDiv w:val="1"/>
      <w:marLeft w:val="0"/>
      <w:marRight w:val="0"/>
      <w:marTop w:val="0"/>
      <w:marBottom w:val="0"/>
      <w:divBdr>
        <w:top w:val="none" w:sz="0" w:space="0" w:color="auto"/>
        <w:left w:val="none" w:sz="0" w:space="0" w:color="auto"/>
        <w:bottom w:val="none" w:sz="0" w:space="0" w:color="auto"/>
        <w:right w:val="none" w:sz="0" w:space="0" w:color="auto"/>
      </w:divBdr>
    </w:div>
    <w:div w:id="1051731869">
      <w:bodyDiv w:val="1"/>
      <w:marLeft w:val="0"/>
      <w:marRight w:val="0"/>
      <w:marTop w:val="0"/>
      <w:marBottom w:val="0"/>
      <w:divBdr>
        <w:top w:val="none" w:sz="0" w:space="0" w:color="auto"/>
        <w:left w:val="none" w:sz="0" w:space="0" w:color="auto"/>
        <w:bottom w:val="none" w:sz="0" w:space="0" w:color="auto"/>
        <w:right w:val="none" w:sz="0" w:space="0" w:color="auto"/>
      </w:divBdr>
    </w:div>
    <w:div w:id="1061059594">
      <w:bodyDiv w:val="1"/>
      <w:marLeft w:val="0"/>
      <w:marRight w:val="0"/>
      <w:marTop w:val="0"/>
      <w:marBottom w:val="0"/>
      <w:divBdr>
        <w:top w:val="none" w:sz="0" w:space="0" w:color="auto"/>
        <w:left w:val="none" w:sz="0" w:space="0" w:color="auto"/>
        <w:bottom w:val="none" w:sz="0" w:space="0" w:color="auto"/>
        <w:right w:val="none" w:sz="0" w:space="0" w:color="auto"/>
      </w:divBdr>
    </w:div>
    <w:div w:id="1067536552">
      <w:bodyDiv w:val="1"/>
      <w:marLeft w:val="0"/>
      <w:marRight w:val="0"/>
      <w:marTop w:val="0"/>
      <w:marBottom w:val="0"/>
      <w:divBdr>
        <w:top w:val="none" w:sz="0" w:space="0" w:color="auto"/>
        <w:left w:val="none" w:sz="0" w:space="0" w:color="auto"/>
        <w:bottom w:val="none" w:sz="0" w:space="0" w:color="auto"/>
        <w:right w:val="none" w:sz="0" w:space="0" w:color="auto"/>
      </w:divBdr>
    </w:div>
    <w:div w:id="1067847564">
      <w:bodyDiv w:val="1"/>
      <w:marLeft w:val="0"/>
      <w:marRight w:val="0"/>
      <w:marTop w:val="0"/>
      <w:marBottom w:val="0"/>
      <w:divBdr>
        <w:top w:val="none" w:sz="0" w:space="0" w:color="auto"/>
        <w:left w:val="none" w:sz="0" w:space="0" w:color="auto"/>
        <w:bottom w:val="none" w:sz="0" w:space="0" w:color="auto"/>
        <w:right w:val="none" w:sz="0" w:space="0" w:color="auto"/>
      </w:divBdr>
    </w:div>
    <w:div w:id="1074548424">
      <w:bodyDiv w:val="1"/>
      <w:marLeft w:val="0"/>
      <w:marRight w:val="0"/>
      <w:marTop w:val="0"/>
      <w:marBottom w:val="0"/>
      <w:divBdr>
        <w:top w:val="none" w:sz="0" w:space="0" w:color="auto"/>
        <w:left w:val="none" w:sz="0" w:space="0" w:color="auto"/>
        <w:bottom w:val="none" w:sz="0" w:space="0" w:color="auto"/>
        <w:right w:val="none" w:sz="0" w:space="0" w:color="auto"/>
      </w:divBdr>
      <w:divsChild>
        <w:div w:id="2006662577">
          <w:marLeft w:val="0"/>
          <w:marRight w:val="0"/>
          <w:marTop w:val="0"/>
          <w:marBottom w:val="0"/>
          <w:divBdr>
            <w:top w:val="none" w:sz="0" w:space="0" w:color="auto"/>
            <w:left w:val="none" w:sz="0" w:space="0" w:color="auto"/>
            <w:bottom w:val="single" w:sz="6" w:space="0" w:color="CACACF"/>
            <w:right w:val="none" w:sz="0" w:space="0" w:color="auto"/>
          </w:divBdr>
          <w:divsChild>
            <w:div w:id="65322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26681">
      <w:bodyDiv w:val="1"/>
      <w:marLeft w:val="0"/>
      <w:marRight w:val="0"/>
      <w:marTop w:val="0"/>
      <w:marBottom w:val="0"/>
      <w:divBdr>
        <w:top w:val="none" w:sz="0" w:space="0" w:color="auto"/>
        <w:left w:val="none" w:sz="0" w:space="0" w:color="auto"/>
        <w:bottom w:val="none" w:sz="0" w:space="0" w:color="auto"/>
        <w:right w:val="none" w:sz="0" w:space="0" w:color="auto"/>
      </w:divBdr>
    </w:div>
    <w:div w:id="1120025878">
      <w:bodyDiv w:val="1"/>
      <w:marLeft w:val="0"/>
      <w:marRight w:val="0"/>
      <w:marTop w:val="0"/>
      <w:marBottom w:val="0"/>
      <w:divBdr>
        <w:top w:val="none" w:sz="0" w:space="0" w:color="auto"/>
        <w:left w:val="none" w:sz="0" w:space="0" w:color="auto"/>
        <w:bottom w:val="none" w:sz="0" w:space="0" w:color="auto"/>
        <w:right w:val="none" w:sz="0" w:space="0" w:color="auto"/>
      </w:divBdr>
      <w:divsChild>
        <w:div w:id="1797797533">
          <w:marLeft w:val="0"/>
          <w:marRight w:val="0"/>
          <w:marTop w:val="0"/>
          <w:marBottom w:val="101"/>
          <w:divBdr>
            <w:top w:val="none" w:sz="0" w:space="0" w:color="auto"/>
            <w:left w:val="none" w:sz="0" w:space="0" w:color="auto"/>
            <w:bottom w:val="none" w:sz="0" w:space="0" w:color="auto"/>
            <w:right w:val="none" w:sz="0" w:space="0" w:color="auto"/>
          </w:divBdr>
        </w:div>
      </w:divsChild>
    </w:div>
    <w:div w:id="1120689040">
      <w:bodyDiv w:val="1"/>
      <w:marLeft w:val="0"/>
      <w:marRight w:val="0"/>
      <w:marTop w:val="0"/>
      <w:marBottom w:val="0"/>
      <w:divBdr>
        <w:top w:val="none" w:sz="0" w:space="0" w:color="auto"/>
        <w:left w:val="none" w:sz="0" w:space="0" w:color="auto"/>
        <w:bottom w:val="none" w:sz="0" w:space="0" w:color="auto"/>
        <w:right w:val="none" w:sz="0" w:space="0" w:color="auto"/>
      </w:divBdr>
    </w:div>
    <w:div w:id="1124420986">
      <w:bodyDiv w:val="1"/>
      <w:marLeft w:val="0"/>
      <w:marRight w:val="0"/>
      <w:marTop w:val="0"/>
      <w:marBottom w:val="0"/>
      <w:divBdr>
        <w:top w:val="none" w:sz="0" w:space="0" w:color="auto"/>
        <w:left w:val="none" w:sz="0" w:space="0" w:color="auto"/>
        <w:bottom w:val="none" w:sz="0" w:space="0" w:color="auto"/>
        <w:right w:val="none" w:sz="0" w:space="0" w:color="auto"/>
      </w:divBdr>
    </w:div>
    <w:div w:id="1140922505">
      <w:bodyDiv w:val="1"/>
      <w:marLeft w:val="0"/>
      <w:marRight w:val="0"/>
      <w:marTop w:val="0"/>
      <w:marBottom w:val="0"/>
      <w:divBdr>
        <w:top w:val="none" w:sz="0" w:space="0" w:color="auto"/>
        <w:left w:val="none" w:sz="0" w:space="0" w:color="auto"/>
        <w:bottom w:val="none" w:sz="0" w:space="0" w:color="auto"/>
        <w:right w:val="none" w:sz="0" w:space="0" w:color="auto"/>
      </w:divBdr>
      <w:divsChild>
        <w:div w:id="1849372564">
          <w:marLeft w:val="648"/>
          <w:marRight w:val="0"/>
          <w:marTop w:val="0"/>
          <w:marBottom w:val="101"/>
          <w:divBdr>
            <w:top w:val="none" w:sz="0" w:space="0" w:color="auto"/>
            <w:left w:val="none" w:sz="0" w:space="0" w:color="auto"/>
            <w:bottom w:val="none" w:sz="0" w:space="0" w:color="auto"/>
            <w:right w:val="none" w:sz="0" w:space="0" w:color="auto"/>
          </w:divBdr>
        </w:div>
        <w:div w:id="1545360748">
          <w:marLeft w:val="639"/>
          <w:marRight w:val="0"/>
          <w:marTop w:val="0"/>
          <w:marBottom w:val="101"/>
          <w:divBdr>
            <w:top w:val="none" w:sz="0" w:space="0" w:color="auto"/>
            <w:left w:val="none" w:sz="0" w:space="0" w:color="auto"/>
            <w:bottom w:val="none" w:sz="0" w:space="0" w:color="auto"/>
            <w:right w:val="none" w:sz="0" w:space="0" w:color="auto"/>
          </w:divBdr>
        </w:div>
      </w:divsChild>
    </w:div>
    <w:div w:id="1141075826">
      <w:bodyDiv w:val="1"/>
      <w:marLeft w:val="0"/>
      <w:marRight w:val="0"/>
      <w:marTop w:val="0"/>
      <w:marBottom w:val="0"/>
      <w:divBdr>
        <w:top w:val="none" w:sz="0" w:space="0" w:color="auto"/>
        <w:left w:val="none" w:sz="0" w:space="0" w:color="auto"/>
        <w:bottom w:val="none" w:sz="0" w:space="0" w:color="auto"/>
        <w:right w:val="none" w:sz="0" w:space="0" w:color="auto"/>
      </w:divBdr>
    </w:div>
    <w:div w:id="1160080608">
      <w:bodyDiv w:val="1"/>
      <w:marLeft w:val="0"/>
      <w:marRight w:val="0"/>
      <w:marTop w:val="0"/>
      <w:marBottom w:val="0"/>
      <w:divBdr>
        <w:top w:val="none" w:sz="0" w:space="0" w:color="auto"/>
        <w:left w:val="none" w:sz="0" w:space="0" w:color="auto"/>
        <w:bottom w:val="none" w:sz="0" w:space="0" w:color="auto"/>
        <w:right w:val="none" w:sz="0" w:space="0" w:color="auto"/>
      </w:divBdr>
    </w:div>
    <w:div w:id="1176841977">
      <w:bodyDiv w:val="1"/>
      <w:marLeft w:val="0"/>
      <w:marRight w:val="0"/>
      <w:marTop w:val="0"/>
      <w:marBottom w:val="0"/>
      <w:divBdr>
        <w:top w:val="none" w:sz="0" w:space="0" w:color="auto"/>
        <w:left w:val="none" w:sz="0" w:space="0" w:color="auto"/>
        <w:bottom w:val="none" w:sz="0" w:space="0" w:color="auto"/>
        <w:right w:val="none" w:sz="0" w:space="0" w:color="auto"/>
      </w:divBdr>
    </w:div>
    <w:div w:id="1209800706">
      <w:bodyDiv w:val="1"/>
      <w:marLeft w:val="0"/>
      <w:marRight w:val="0"/>
      <w:marTop w:val="0"/>
      <w:marBottom w:val="0"/>
      <w:divBdr>
        <w:top w:val="none" w:sz="0" w:space="0" w:color="auto"/>
        <w:left w:val="none" w:sz="0" w:space="0" w:color="auto"/>
        <w:bottom w:val="none" w:sz="0" w:space="0" w:color="auto"/>
        <w:right w:val="none" w:sz="0" w:space="0" w:color="auto"/>
      </w:divBdr>
      <w:divsChild>
        <w:div w:id="925650612">
          <w:marLeft w:val="720"/>
          <w:marRight w:val="0"/>
          <w:marTop w:val="0"/>
          <w:marBottom w:val="101"/>
          <w:divBdr>
            <w:top w:val="none" w:sz="0" w:space="0" w:color="auto"/>
            <w:left w:val="none" w:sz="0" w:space="0" w:color="auto"/>
            <w:bottom w:val="none" w:sz="0" w:space="0" w:color="auto"/>
            <w:right w:val="none" w:sz="0" w:space="0" w:color="auto"/>
          </w:divBdr>
        </w:div>
        <w:div w:id="1660616769">
          <w:marLeft w:val="720"/>
          <w:marRight w:val="0"/>
          <w:marTop w:val="0"/>
          <w:marBottom w:val="101"/>
          <w:divBdr>
            <w:top w:val="none" w:sz="0" w:space="0" w:color="auto"/>
            <w:left w:val="none" w:sz="0" w:space="0" w:color="auto"/>
            <w:bottom w:val="none" w:sz="0" w:space="0" w:color="auto"/>
            <w:right w:val="none" w:sz="0" w:space="0" w:color="auto"/>
          </w:divBdr>
        </w:div>
      </w:divsChild>
    </w:div>
    <w:div w:id="1210611526">
      <w:bodyDiv w:val="1"/>
      <w:marLeft w:val="0"/>
      <w:marRight w:val="0"/>
      <w:marTop w:val="0"/>
      <w:marBottom w:val="0"/>
      <w:divBdr>
        <w:top w:val="none" w:sz="0" w:space="0" w:color="auto"/>
        <w:left w:val="none" w:sz="0" w:space="0" w:color="auto"/>
        <w:bottom w:val="none" w:sz="0" w:space="0" w:color="auto"/>
        <w:right w:val="none" w:sz="0" w:space="0" w:color="auto"/>
      </w:divBdr>
    </w:div>
    <w:div w:id="1224294660">
      <w:marLeft w:val="0"/>
      <w:marRight w:val="0"/>
      <w:marTop w:val="0"/>
      <w:marBottom w:val="0"/>
      <w:divBdr>
        <w:top w:val="none" w:sz="0" w:space="0" w:color="auto"/>
        <w:left w:val="none" w:sz="0" w:space="0" w:color="auto"/>
        <w:bottom w:val="none" w:sz="0" w:space="0" w:color="auto"/>
        <w:right w:val="none" w:sz="0" w:space="0" w:color="auto"/>
      </w:divBdr>
      <w:divsChild>
        <w:div w:id="1575240237">
          <w:marLeft w:val="0"/>
          <w:marRight w:val="0"/>
          <w:marTop w:val="0"/>
          <w:marBottom w:val="0"/>
          <w:divBdr>
            <w:top w:val="none" w:sz="0" w:space="0" w:color="auto"/>
            <w:left w:val="none" w:sz="0" w:space="0" w:color="auto"/>
            <w:bottom w:val="none" w:sz="0" w:space="0" w:color="auto"/>
            <w:right w:val="none" w:sz="0" w:space="0" w:color="auto"/>
          </w:divBdr>
          <w:divsChild>
            <w:div w:id="367537177">
              <w:marLeft w:val="0"/>
              <w:marRight w:val="0"/>
              <w:marTop w:val="0"/>
              <w:marBottom w:val="0"/>
              <w:divBdr>
                <w:top w:val="none" w:sz="0" w:space="0" w:color="auto"/>
                <w:left w:val="none" w:sz="0" w:space="0" w:color="auto"/>
                <w:bottom w:val="none" w:sz="0" w:space="0" w:color="auto"/>
                <w:right w:val="none" w:sz="0" w:space="0" w:color="auto"/>
              </w:divBdr>
              <w:divsChild>
                <w:div w:id="1889996858">
                  <w:marLeft w:val="0"/>
                  <w:marRight w:val="0"/>
                  <w:marTop w:val="0"/>
                  <w:marBottom w:val="0"/>
                  <w:divBdr>
                    <w:top w:val="none" w:sz="0" w:space="0" w:color="auto"/>
                    <w:left w:val="none" w:sz="0" w:space="0" w:color="auto"/>
                    <w:bottom w:val="none" w:sz="0" w:space="0" w:color="auto"/>
                    <w:right w:val="none" w:sz="0" w:space="0" w:color="auto"/>
                  </w:divBdr>
                  <w:divsChild>
                    <w:div w:id="207061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764088">
      <w:bodyDiv w:val="1"/>
      <w:marLeft w:val="0"/>
      <w:marRight w:val="0"/>
      <w:marTop w:val="0"/>
      <w:marBottom w:val="0"/>
      <w:divBdr>
        <w:top w:val="none" w:sz="0" w:space="0" w:color="auto"/>
        <w:left w:val="none" w:sz="0" w:space="0" w:color="auto"/>
        <w:bottom w:val="none" w:sz="0" w:space="0" w:color="auto"/>
        <w:right w:val="none" w:sz="0" w:space="0" w:color="auto"/>
      </w:divBdr>
    </w:div>
    <w:div w:id="1233930400">
      <w:bodyDiv w:val="1"/>
      <w:marLeft w:val="0"/>
      <w:marRight w:val="0"/>
      <w:marTop w:val="0"/>
      <w:marBottom w:val="0"/>
      <w:divBdr>
        <w:top w:val="none" w:sz="0" w:space="0" w:color="auto"/>
        <w:left w:val="none" w:sz="0" w:space="0" w:color="auto"/>
        <w:bottom w:val="none" w:sz="0" w:space="0" w:color="auto"/>
        <w:right w:val="none" w:sz="0" w:space="0" w:color="auto"/>
      </w:divBdr>
    </w:div>
    <w:div w:id="1235358643">
      <w:bodyDiv w:val="1"/>
      <w:marLeft w:val="0"/>
      <w:marRight w:val="0"/>
      <w:marTop w:val="0"/>
      <w:marBottom w:val="0"/>
      <w:divBdr>
        <w:top w:val="none" w:sz="0" w:space="0" w:color="auto"/>
        <w:left w:val="none" w:sz="0" w:space="0" w:color="auto"/>
        <w:bottom w:val="none" w:sz="0" w:space="0" w:color="auto"/>
        <w:right w:val="none" w:sz="0" w:space="0" w:color="auto"/>
      </w:divBdr>
    </w:div>
    <w:div w:id="1241409299">
      <w:marLeft w:val="0"/>
      <w:marRight w:val="0"/>
      <w:marTop w:val="0"/>
      <w:marBottom w:val="0"/>
      <w:divBdr>
        <w:top w:val="none" w:sz="0" w:space="0" w:color="auto"/>
        <w:left w:val="none" w:sz="0" w:space="0" w:color="auto"/>
        <w:bottom w:val="none" w:sz="0" w:space="0" w:color="auto"/>
        <w:right w:val="none" w:sz="0" w:space="0" w:color="auto"/>
      </w:divBdr>
      <w:divsChild>
        <w:div w:id="742990822">
          <w:marLeft w:val="0"/>
          <w:marRight w:val="0"/>
          <w:marTop w:val="0"/>
          <w:marBottom w:val="0"/>
          <w:divBdr>
            <w:top w:val="none" w:sz="0" w:space="0" w:color="auto"/>
            <w:left w:val="none" w:sz="0" w:space="0" w:color="auto"/>
            <w:bottom w:val="none" w:sz="0" w:space="0" w:color="auto"/>
            <w:right w:val="none" w:sz="0" w:space="0" w:color="auto"/>
          </w:divBdr>
          <w:divsChild>
            <w:div w:id="1696270187">
              <w:marLeft w:val="0"/>
              <w:marRight w:val="0"/>
              <w:marTop w:val="0"/>
              <w:marBottom w:val="0"/>
              <w:divBdr>
                <w:top w:val="none" w:sz="0" w:space="0" w:color="auto"/>
                <w:left w:val="none" w:sz="0" w:space="0" w:color="auto"/>
                <w:bottom w:val="none" w:sz="0" w:space="0" w:color="auto"/>
                <w:right w:val="none" w:sz="0" w:space="0" w:color="auto"/>
              </w:divBdr>
              <w:divsChild>
                <w:div w:id="1439063066">
                  <w:marLeft w:val="0"/>
                  <w:marRight w:val="0"/>
                  <w:marTop w:val="0"/>
                  <w:marBottom w:val="0"/>
                  <w:divBdr>
                    <w:top w:val="none" w:sz="0" w:space="0" w:color="auto"/>
                    <w:left w:val="none" w:sz="0" w:space="0" w:color="auto"/>
                    <w:bottom w:val="none" w:sz="0" w:space="0" w:color="auto"/>
                    <w:right w:val="none" w:sz="0" w:space="0" w:color="auto"/>
                  </w:divBdr>
                  <w:divsChild>
                    <w:div w:id="26053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04773">
      <w:bodyDiv w:val="1"/>
      <w:marLeft w:val="0"/>
      <w:marRight w:val="0"/>
      <w:marTop w:val="0"/>
      <w:marBottom w:val="0"/>
      <w:divBdr>
        <w:top w:val="none" w:sz="0" w:space="0" w:color="auto"/>
        <w:left w:val="none" w:sz="0" w:space="0" w:color="auto"/>
        <w:bottom w:val="none" w:sz="0" w:space="0" w:color="auto"/>
        <w:right w:val="none" w:sz="0" w:space="0" w:color="auto"/>
      </w:divBdr>
      <w:divsChild>
        <w:div w:id="462843614">
          <w:marLeft w:val="0"/>
          <w:marRight w:val="0"/>
          <w:marTop w:val="0"/>
          <w:marBottom w:val="101"/>
          <w:divBdr>
            <w:top w:val="none" w:sz="0" w:space="0" w:color="auto"/>
            <w:left w:val="none" w:sz="0" w:space="0" w:color="auto"/>
            <w:bottom w:val="none" w:sz="0" w:space="0" w:color="auto"/>
            <w:right w:val="none" w:sz="0" w:space="0" w:color="auto"/>
          </w:divBdr>
        </w:div>
        <w:div w:id="1625426119">
          <w:marLeft w:val="0"/>
          <w:marRight w:val="0"/>
          <w:marTop w:val="0"/>
          <w:marBottom w:val="101"/>
          <w:divBdr>
            <w:top w:val="none" w:sz="0" w:space="0" w:color="auto"/>
            <w:left w:val="none" w:sz="0" w:space="0" w:color="auto"/>
            <w:bottom w:val="none" w:sz="0" w:space="0" w:color="auto"/>
            <w:right w:val="none" w:sz="0" w:space="0" w:color="auto"/>
          </w:divBdr>
        </w:div>
      </w:divsChild>
    </w:div>
    <w:div w:id="1280532265">
      <w:bodyDiv w:val="1"/>
      <w:marLeft w:val="0"/>
      <w:marRight w:val="0"/>
      <w:marTop w:val="0"/>
      <w:marBottom w:val="0"/>
      <w:divBdr>
        <w:top w:val="none" w:sz="0" w:space="0" w:color="auto"/>
        <w:left w:val="none" w:sz="0" w:space="0" w:color="auto"/>
        <w:bottom w:val="none" w:sz="0" w:space="0" w:color="auto"/>
        <w:right w:val="none" w:sz="0" w:space="0" w:color="auto"/>
      </w:divBdr>
      <w:divsChild>
        <w:div w:id="2089812811">
          <w:marLeft w:val="0"/>
          <w:marRight w:val="0"/>
          <w:marTop w:val="0"/>
          <w:marBottom w:val="98"/>
          <w:divBdr>
            <w:top w:val="none" w:sz="0" w:space="0" w:color="auto"/>
            <w:left w:val="none" w:sz="0" w:space="0" w:color="auto"/>
            <w:bottom w:val="none" w:sz="0" w:space="0" w:color="auto"/>
            <w:right w:val="none" w:sz="0" w:space="0" w:color="auto"/>
          </w:divBdr>
        </w:div>
      </w:divsChild>
    </w:div>
    <w:div w:id="1300068742">
      <w:bodyDiv w:val="1"/>
      <w:marLeft w:val="0"/>
      <w:marRight w:val="0"/>
      <w:marTop w:val="0"/>
      <w:marBottom w:val="0"/>
      <w:divBdr>
        <w:top w:val="none" w:sz="0" w:space="0" w:color="auto"/>
        <w:left w:val="none" w:sz="0" w:space="0" w:color="auto"/>
        <w:bottom w:val="none" w:sz="0" w:space="0" w:color="auto"/>
        <w:right w:val="none" w:sz="0" w:space="0" w:color="auto"/>
      </w:divBdr>
      <w:divsChild>
        <w:div w:id="2072262825">
          <w:marLeft w:val="0"/>
          <w:marRight w:val="0"/>
          <w:marTop w:val="0"/>
          <w:marBottom w:val="101"/>
          <w:divBdr>
            <w:top w:val="none" w:sz="0" w:space="0" w:color="auto"/>
            <w:left w:val="none" w:sz="0" w:space="0" w:color="auto"/>
            <w:bottom w:val="none" w:sz="0" w:space="0" w:color="auto"/>
            <w:right w:val="none" w:sz="0" w:space="0" w:color="auto"/>
          </w:divBdr>
        </w:div>
      </w:divsChild>
    </w:div>
    <w:div w:id="1312171095">
      <w:bodyDiv w:val="1"/>
      <w:marLeft w:val="0"/>
      <w:marRight w:val="0"/>
      <w:marTop w:val="0"/>
      <w:marBottom w:val="0"/>
      <w:divBdr>
        <w:top w:val="none" w:sz="0" w:space="0" w:color="auto"/>
        <w:left w:val="none" w:sz="0" w:space="0" w:color="auto"/>
        <w:bottom w:val="none" w:sz="0" w:space="0" w:color="auto"/>
        <w:right w:val="none" w:sz="0" w:space="0" w:color="auto"/>
      </w:divBdr>
    </w:div>
    <w:div w:id="1322466928">
      <w:bodyDiv w:val="1"/>
      <w:marLeft w:val="0"/>
      <w:marRight w:val="0"/>
      <w:marTop w:val="0"/>
      <w:marBottom w:val="0"/>
      <w:divBdr>
        <w:top w:val="none" w:sz="0" w:space="0" w:color="auto"/>
        <w:left w:val="none" w:sz="0" w:space="0" w:color="auto"/>
        <w:bottom w:val="none" w:sz="0" w:space="0" w:color="auto"/>
        <w:right w:val="none" w:sz="0" w:space="0" w:color="auto"/>
      </w:divBdr>
      <w:divsChild>
        <w:div w:id="1605461074">
          <w:marLeft w:val="0"/>
          <w:marRight w:val="0"/>
          <w:marTop w:val="0"/>
          <w:marBottom w:val="101"/>
          <w:divBdr>
            <w:top w:val="none" w:sz="0" w:space="0" w:color="auto"/>
            <w:left w:val="none" w:sz="0" w:space="0" w:color="auto"/>
            <w:bottom w:val="none" w:sz="0" w:space="0" w:color="auto"/>
            <w:right w:val="none" w:sz="0" w:space="0" w:color="auto"/>
          </w:divBdr>
        </w:div>
        <w:div w:id="1296646088">
          <w:marLeft w:val="0"/>
          <w:marRight w:val="0"/>
          <w:marTop w:val="0"/>
          <w:marBottom w:val="101"/>
          <w:divBdr>
            <w:top w:val="none" w:sz="0" w:space="0" w:color="auto"/>
            <w:left w:val="none" w:sz="0" w:space="0" w:color="auto"/>
            <w:bottom w:val="none" w:sz="0" w:space="0" w:color="auto"/>
            <w:right w:val="none" w:sz="0" w:space="0" w:color="auto"/>
          </w:divBdr>
        </w:div>
        <w:div w:id="142936893">
          <w:marLeft w:val="0"/>
          <w:marRight w:val="0"/>
          <w:marTop w:val="0"/>
          <w:marBottom w:val="101"/>
          <w:divBdr>
            <w:top w:val="none" w:sz="0" w:space="0" w:color="auto"/>
            <w:left w:val="none" w:sz="0" w:space="0" w:color="auto"/>
            <w:bottom w:val="none" w:sz="0" w:space="0" w:color="auto"/>
            <w:right w:val="none" w:sz="0" w:space="0" w:color="auto"/>
          </w:divBdr>
        </w:div>
        <w:div w:id="1066411748">
          <w:marLeft w:val="720"/>
          <w:marRight w:val="0"/>
          <w:marTop w:val="0"/>
          <w:marBottom w:val="101"/>
          <w:divBdr>
            <w:top w:val="none" w:sz="0" w:space="0" w:color="auto"/>
            <w:left w:val="none" w:sz="0" w:space="0" w:color="auto"/>
            <w:bottom w:val="none" w:sz="0" w:space="0" w:color="auto"/>
            <w:right w:val="none" w:sz="0" w:space="0" w:color="auto"/>
          </w:divBdr>
        </w:div>
        <w:div w:id="2075469564">
          <w:marLeft w:val="720"/>
          <w:marRight w:val="0"/>
          <w:marTop w:val="0"/>
          <w:marBottom w:val="101"/>
          <w:divBdr>
            <w:top w:val="none" w:sz="0" w:space="0" w:color="auto"/>
            <w:left w:val="none" w:sz="0" w:space="0" w:color="auto"/>
            <w:bottom w:val="none" w:sz="0" w:space="0" w:color="auto"/>
            <w:right w:val="none" w:sz="0" w:space="0" w:color="auto"/>
          </w:divBdr>
        </w:div>
        <w:div w:id="712388412">
          <w:marLeft w:val="720"/>
          <w:marRight w:val="0"/>
          <w:marTop w:val="0"/>
          <w:marBottom w:val="101"/>
          <w:divBdr>
            <w:top w:val="none" w:sz="0" w:space="0" w:color="auto"/>
            <w:left w:val="none" w:sz="0" w:space="0" w:color="auto"/>
            <w:bottom w:val="none" w:sz="0" w:space="0" w:color="auto"/>
            <w:right w:val="none" w:sz="0" w:space="0" w:color="auto"/>
          </w:divBdr>
        </w:div>
        <w:div w:id="345254894">
          <w:marLeft w:val="720"/>
          <w:marRight w:val="0"/>
          <w:marTop w:val="0"/>
          <w:marBottom w:val="101"/>
          <w:divBdr>
            <w:top w:val="none" w:sz="0" w:space="0" w:color="auto"/>
            <w:left w:val="none" w:sz="0" w:space="0" w:color="auto"/>
            <w:bottom w:val="none" w:sz="0" w:space="0" w:color="auto"/>
            <w:right w:val="none" w:sz="0" w:space="0" w:color="auto"/>
          </w:divBdr>
        </w:div>
        <w:div w:id="1665091011">
          <w:marLeft w:val="0"/>
          <w:marRight w:val="0"/>
          <w:marTop w:val="0"/>
          <w:marBottom w:val="101"/>
          <w:divBdr>
            <w:top w:val="none" w:sz="0" w:space="0" w:color="auto"/>
            <w:left w:val="none" w:sz="0" w:space="0" w:color="auto"/>
            <w:bottom w:val="none" w:sz="0" w:space="0" w:color="auto"/>
            <w:right w:val="none" w:sz="0" w:space="0" w:color="auto"/>
          </w:divBdr>
        </w:div>
        <w:div w:id="1421637128">
          <w:marLeft w:val="0"/>
          <w:marRight w:val="0"/>
          <w:marTop w:val="0"/>
          <w:marBottom w:val="101"/>
          <w:divBdr>
            <w:top w:val="none" w:sz="0" w:space="0" w:color="auto"/>
            <w:left w:val="none" w:sz="0" w:space="0" w:color="auto"/>
            <w:bottom w:val="none" w:sz="0" w:space="0" w:color="auto"/>
            <w:right w:val="none" w:sz="0" w:space="0" w:color="auto"/>
          </w:divBdr>
        </w:div>
      </w:divsChild>
    </w:div>
    <w:div w:id="1362438760">
      <w:marLeft w:val="0"/>
      <w:marRight w:val="0"/>
      <w:marTop w:val="0"/>
      <w:marBottom w:val="0"/>
      <w:divBdr>
        <w:top w:val="none" w:sz="0" w:space="0" w:color="auto"/>
        <w:left w:val="none" w:sz="0" w:space="0" w:color="auto"/>
        <w:bottom w:val="none" w:sz="0" w:space="0" w:color="auto"/>
        <w:right w:val="none" w:sz="0" w:space="0" w:color="auto"/>
      </w:divBdr>
      <w:divsChild>
        <w:div w:id="862323464">
          <w:marLeft w:val="0"/>
          <w:marRight w:val="0"/>
          <w:marTop w:val="0"/>
          <w:marBottom w:val="0"/>
          <w:divBdr>
            <w:top w:val="none" w:sz="0" w:space="0" w:color="auto"/>
            <w:left w:val="none" w:sz="0" w:space="0" w:color="auto"/>
            <w:bottom w:val="none" w:sz="0" w:space="0" w:color="auto"/>
            <w:right w:val="none" w:sz="0" w:space="0" w:color="auto"/>
          </w:divBdr>
          <w:divsChild>
            <w:div w:id="1018000727">
              <w:marLeft w:val="0"/>
              <w:marRight w:val="0"/>
              <w:marTop w:val="0"/>
              <w:marBottom w:val="0"/>
              <w:divBdr>
                <w:top w:val="none" w:sz="0" w:space="0" w:color="auto"/>
                <w:left w:val="none" w:sz="0" w:space="0" w:color="auto"/>
                <w:bottom w:val="none" w:sz="0" w:space="0" w:color="auto"/>
                <w:right w:val="none" w:sz="0" w:space="0" w:color="auto"/>
              </w:divBdr>
              <w:divsChild>
                <w:div w:id="1045324898">
                  <w:marLeft w:val="0"/>
                  <w:marRight w:val="0"/>
                  <w:marTop w:val="0"/>
                  <w:marBottom w:val="0"/>
                  <w:divBdr>
                    <w:top w:val="none" w:sz="0" w:space="0" w:color="auto"/>
                    <w:left w:val="none" w:sz="0" w:space="0" w:color="auto"/>
                    <w:bottom w:val="none" w:sz="0" w:space="0" w:color="auto"/>
                    <w:right w:val="none" w:sz="0" w:space="0" w:color="auto"/>
                  </w:divBdr>
                  <w:divsChild>
                    <w:div w:id="152628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6641">
      <w:marLeft w:val="0"/>
      <w:marRight w:val="0"/>
      <w:marTop w:val="0"/>
      <w:marBottom w:val="0"/>
      <w:divBdr>
        <w:top w:val="none" w:sz="0" w:space="0" w:color="auto"/>
        <w:left w:val="none" w:sz="0" w:space="0" w:color="auto"/>
        <w:bottom w:val="none" w:sz="0" w:space="0" w:color="auto"/>
        <w:right w:val="none" w:sz="0" w:space="0" w:color="auto"/>
      </w:divBdr>
      <w:divsChild>
        <w:div w:id="148637191">
          <w:marLeft w:val="0"/>
          <w:marRight w:val="0"/>
          <w:marTop w:val="0"/>
          <w:marBottom w:val="0"/>
          <w:divBdr>
            <w:top w:val="none" w:sz="0" w:space="0" w:color="auto"/>
            <w:left w:val="none" w:sz="0" w:space="0" w:color="auto"/>
            <w:bottom w:val="none" w:sz="0" w:space="0" w:color="auto"/>
            <w:right w:val="none" w:sz="0" w:space="0" w:color="auto"/>
          </w:divBdr>
          <w:divsChild>
            <w:div w:id="214243964">
              <w:marLeft w:val="0"/>
              <w:marRight w:val="0"/>
              <w:marTop w:val="0"/>
              <w:marBottom w:val="0"/>
              <w:divBdr>
                <w:top w:val="none" w:sz="0" w:space="0" w:color="auto"/>
                <w:left w:val="none" w:sz="0" w:space="0" w:color="auto"/>
                <w:bottom w:val="none" w:sz="0" w:space="0" w:color="auto"/>
                <w:right w:val="none" w:sz="0" w:space="0" w:color="auto"/>
              </w:divBdr>
              <w:divsChild>
                <w:div w:id="1670449113">
                  <w:marLeft w:val="0"/>
                  <w:marRight w:val="0"/>
                  <w:marTop w:val="0"/>
                  <w:marBottom w:val="0"/>
                  <w:divBdr>
                    <w:top w:val="none" w:sz="0" w:space="0" w:color="auto"/>
                    <w:left w:val="none" w:sz="0" w:space="0" w:color="auto"/>
                    <w:bottom w:val="none" w:sz="0" w:space="0" w:color="auto"/>
                    <w:right w:val="none" w:sz="0" w:space="0" w:color="auto"/>
                  </w:divBdr>
                  <w:divsChild>
                    <w:div w:id="10274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4277">
      <w:bodyDiv w:val="1"/>
      <w:marLeft w:val="0"/>
      <w:marRight w:val="0"/>
      <w:marTop w:val="0"/>
      <w:marBottom w:val="0"/>
      <w:divBdr>
        <w:top w:val="none" w:sz="0" w:space="0" w:color="auto"/>
        <w:left w:val="none" w:sz="0" w:space="0" w:color="auto"/>
        <w:bottom w:val="none" w:sz="0" w:space="0" w:color="auto"/>
        <w:right w:val="none" w:sz="0" w:space="0" w:color="auto"/>
      </w:divBdr>
    </w:div>
    <w:div w:id="1444494072">
      <w:bodyDiv w:val="1"/>
      <w:marLeft w:val="0"/>
      <w:marRight w:val="0"/>
      <w:marTop w:val="0"/>
      <w:marBottom w:val="0"/>
      <w:divBdr>
        <w:top w:val="none" w:sz="0" w:space="0" w:color="auto"/>
        <w:left w:val="none" w:sz="0" w:space="0" w:color="auto"/>
        <w:bottom w:val="none" w:sz="0" w:space="0" w:color="auto"/>
        <w:right w:val="none" w:sz="0" w:space="0" w:color="auto"/>
      </w:divBdr>
    </w:div>
    <w:div w:id="1481654628">
      <w:bodyDiv w:val="1"/>
      <w:marLeft w:val="0"/>
      <w:marRight w:val="0"/>
      <w:marTop w:val="0"/>
      <w:marBottom w:val="0"/>
      <w:divBdr>
        <w:top w:val="none" w:sz="0" w:space="0" w:color="auto"/>
        <w:left w:val="none" w:sz="0" w:space="0" w:color="auto"/>
        <w:bottom w:val="none" w:sz="0" w:space="0" w:color="auto"/>
        <w:right w:val="none" w:sz="0" w:space="0" w:color="auto"/>
      </w:divBdr>
    </w:div>
    <w:div w:id="1517158638">
      <w:marLeft w:val="0"/>
      <w:marRight w:val="0"/>
      <w:marTop w:val="0"/>
      <w:marBottom w:val="0"/>
      <w:divBdr>
        <w:top w:val="none" w:sz="0" w:space="0" w:color="auto"/>
        <w:left w:val="none" w:sz="0" w:space="0" w:color="auto"/>
        <w:bottom w:val="none" w:sz="0" w:space="0" w:color="auto"/>
        <w:right w:val="none" w:sz="0" w:space="0" w:color="auto"/>
      </w:divBdr>
      <w:divsChild>
        <w:div w:id="2147352581">
          <w:marLeft w:val="0"/>
          <w:marRight w:val="0"/>
          <w:marTop w:val="0"/>
          <w:marBottom w:val="0"/>
          <w:divBdr>
            <w:top w:val="none" w:sz="0" w:space="0" w:color="auto"/>
            <w:left w:val="none" w:sz="0" w:space="0" w:color="auto"/>
            <w:bottom w:val="none" w:sz="0" w:space="0" w:color="auto"/>
            <w:right w:val="none" w:sz="0" w:space="0" w:color="auto"/>
          </w:divBdr>
          <w:divsChild>
            <w:div w:id="517079941">
              <w:marLeft w:val="0"/>
              <w:marRight w:val="0"/>
              <w:marTop w:val="0"/>
              <w:marBottom w:val="0"/>
              <w:divBdr>
                <w:top w:val="none" w:sz="0" w:space="0" w:color="auto"/>
                <w:left w:val="none" w:sz="0" w:space="0" w:color="auto"/>
                <w:bottom w:val="none" w:sz="0" w:space="0" w:color="auto"/>
                <w:right w:val="none" w:sz="0" w:space="0" w:color="auto"/>
              </w:divBdr>
              <w:divsChild>
                <w:div w:id="667484554">
                  <w:marLeft w:val="0"/>
                  <w:marRight w:val="0"/>
                  <w:marTop w:val="0"/>
                  <w:marBottom w:val="0"/>
                  <w:divBdr>
                    <w:top w:val="none" w:sz="0" w:space="0" w:color="auto"/>
                    <w:left w:val="none" w:sz="0" w:space="0" w:color="auto"/>
                    <w:bottom w:val="none" w:sz="0" w:space="0" w:color="auto"/>
                    <w:right w:val="none" w:sz="0" w:space="0" w:color="auto"/>
                  </w:divBdr>
                  <w:divsChild>
                    <w:div w:id="14599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762532">
      <w:bodyDiv w:val="1"/>
      <w:marLeft w:val="0"/>
      <w:marRight w:val="0"/>
      <w:marTop w:val="0"/>
      <w:marBottom w:val="0"/>
      <w:divBdr>
        <w:top w:val="none" w:sz="0" w:space="0" w:color="auto"/>
        <w:left w:val="none" w:sz="0" w:space="0" w:color="auto"/>
        <w:bottom w:val="none" w:sz="0" w:space="0" w:color="auto"/>
        <w:right w:val="none" w:sz="0" w:space="0" w:color="auto"/>
      </w:divBdr>
    </w:div>
    <w:div w:id="1595934919">
      <w:bodyDiv w:val="1"/>
      <w:marLeft w:val="0"/>
      <w:marRight w:val="0"/>
      <w:marTop w:val="0"/>
      <w:marBottom w:val="0"/>
      <w:divBdr>
        <w:top w:val="none" w:sz="0" w:space="0" w:color="auto"/>
        <w:left w:val="none" w:sz="0" w:space="0" w:color="auto"/>
        <w:bottom w:val="none" w:sz="0" w:space="0" w:color="auto"/>
        <w:right w:val="none" w:sz="0" w:space="0" w:color="auto"/>
      </w:divBdr>
    </w:div>
    <w:div w:id="1597012229">
      <w:bodyDiv w:val="1"/>
      <w:marLeft w:val="0"/>
      <w:marRight w:val="0"/>
      <w:marTop w:val="0"/>
      <w:marBottom w:val="0"/>
      <w:divBdr>
        <w:top w:val="none" w:sz="0" w:space="0" w:color="auto"/>
        <w:left w:val="none" w:sz="0" w:space="0" w:color="auto"/>
        <w:bottom w:val="none" w:sz="0" w:space="0" w:color="auto"/>
        <w:right w:val="none" w:sz="0" w:space="0" w:color="auto"/>
      </w:divBdr>
      <w:divsChild>
        <w:div w:id="1781338124">
          <w:marLeft w:val="0"/>
          <w:marRight w:val="0"/>
          <w:marTop w:val="0"/>
          <w:marBottom w:val="98"/>
          <w:divBdr>
            <w:top w:val="none" w:sz="0" w:space="0" w:color="auto"/>
            <w:left w:val="none" w:sz="0" w:space="0" w:color="auto"/>
            <w:bottom w:val="none" w:sz="0" w:space="0" w:color="auto"/>
            <w:right w:val="none" w:sz="0" w:space="0" w:color="auto"/>
          </w:divBdr>
        </w:div>
        <w:div w:id="469053376">
          <w:marLeft w:val="0"/>
          <w:marRight w:val="0"/>
          <w:marTop w:val="0"/>
          <w:marBottom w:val="98"/>
          <w:divBdr>
            <w:top w:val="none" w:sz="0" w:space="0" w:color="auto"/>
            <w:left w:val="none" w:sz="0" w:space="0" w:color="auto"/>
            <w:bottom w:val="none" w:sz="0" w:space="0" w:color="auto"/>
            <w:right w:val="none" w:sz="0" w:space="0" w:color="auto"/>
          </w:divBdr>
        </w:div>
        <w:div w:id="34618341">
          <w:marLeft w:val="0"/>
          <w:marRight w:val="0"/>
          <w:marTop w:val="0"/>
          <w:marBottom w:val="98"/>
          <w:divBdr>
            <w:top w:val="none" w:sz="0" w:space="0" w:color="auto"/>
            <w:left w:val="none" w:sz="0" w:space="0" w:color="auto"/>
            <w:bottom w:val="none" w:sz="0" w:space="0" w:color="auto"/>
            <w:right w:val="none" w:sz="0" w:space="0" w:color="auto"/>
          </w:divBdr>
        </w:div>
        <w:div w:id="1422991491">
          <w:marLeft w:val="0"/>
          <w:marRight w:val="0"/>
          <w:marTop w:val="0"/>
          <w:marBottom w:val="98"/>
          <w:divBdr>
            <w:top w:val="none" w:sz="0" w:space="0" w:color="auto"/>
            <w:left w:val="none" w:sz="0" w:space="0" w:color="auto"/>
            <w:bottom w:val="none" w:sz="0" w:space="0" w:color="auto"/>
            <w:right w:val="none" w:sz="0" w:space="0" w:color="auto"/>
          </w:divBdr>
        </w:div>
        <w:div w:id="1201168140">
          <w:marLeft w:val="0"/>
          <w:marRight w:val="0"/>
          <w:marTop w:val="0"/>
          <w:marBottom w:val="98"/>
          <w:divBdr>
            <w:top w:val="none" w:sz="0" w:space="0" w:color="auto"/>
            <w:left w:val="none" w:sz="0" w:space="0" w:color="auto"/>
            <w:bottom w:val="none" w:sz="0" w:space="0" w:color="auto"/>
            <w:right w:val="none" w:sz="0" w:space="0" w:color="auto"/>
          </w:divBdr>
        </w:div>
        <w:div w:id="2130199280">
          <w:marLeft w:val="0"/>
          <w:marRight w:val="0"/>
          <w:marTop w:val="0"/>
          <w:marBottom w:val="98"/>
          <w:divBdr>
            <w:top w:val="none" w:sz="0" w:space="0" w:color="auto"/>
            <w:left w:val="none" w:sz="0" w:space="0" w:color="auto"/>
            <w:bottom w:val="none" w:sz="0" w:space="0" w:color="auto"/>
            <w:right w:val="none" w:sz="0" w:space="0" w:color="auto"/>
          </w:divBdr>
        </w:div>
        <w:div w:id="488055653">
          <w:marLeft w:val="0"/>
          <w:marRight w:val="0"/>
          <w:marTop w:val="0"/>
          <w:marBottom w:val="98"/>
          <w:divBdr>
            <w:top w:val="none" w:sz="0" w:space="0" w:color="auto"/>
            <w:left w:val="none" w:sz="0" w:space="0" w:color="auto"/>
            <w:bottom w:val="none" w:sz="0" w:space="0" w:color="auto"/>
            <w:right w:val="none" w:sz="0" w:space="0" w:color="auto"/>
          </w:divBdr>
        </w:div>
        <w:div w:id="2013097051">
          <w:marLeft w:val="0"/>
          <w:marRight w:val="0"/>
          <w:marTop w:val="0"/>
          <w:marBottom w:val="98"/>
          <w:divBdr>
            <w:top w:val="none" w:sz="0" w:space="0" w:color="auto"/>
            <w:left w:val="none" w:sz="0" w:space="0" w:color="auto"/>
            <w:bottom w:val="none" w:sz="0" w:space="0" w:color="auto"/>
            <w:right w:val="none" w:sz="0" w:space="0" w:color="auto"/>
          </w:divBdr>
        </w:div>
        <w:div w:id="2089384270">
          <w:marLeft w:val="720"/>
          <w:marRight w:val="0"/>
          <w:marTop w:val="0"/>
          <w:marBottom w:val="98"/>
          <w:divBdr>
            <w:top w:val="none" w:sz="0" w:space="0" w:color="auto"/>
            <w:left w:val="none" w:sz="0" w:space="0" w:color="auto"/>
            <w:bottom w:val="none" w:sz="0" w:space="0" w:color="auto"/>
            <w:right w:val="none" w:sz="0" w:space="0" w:color="auto"/>
          </w:divBdr>
        </w:div>
        <w:div w:id="1671525791">
          <w:marLeft w:val="720"/>
          <w:marRight w:val="0"/>
          <w:marTop w:val="0"/>
          <w:marBottom w:val="98"/>
          <w:divBdr>
            <w:top w:val="none" w:sz="0" w:space="0" w:color="auto"/>
            <w:left w:val="none" w:sz="0" w:space="0" w:color="auto"/>
            <w:bottom w:val="none" w:sz="0" w:space="0" w:color="auto"/>
            <w:right w:val="none" w:sz="0" w:space="0" w:color="auto"/>
          </w:divBdr>
        </w:div>
        <w:div w:id="1982230602">
          <w:marLeft w:val="720"/>
          <w:marRight w:val="0"/>
          <w:marTop w:val="0"/>
          <w:marBottom w:val="98"/>
          <w:divBdr>
            <w:top w:val="none" w:sz="0" w:space="0" w:color="auto"/>
            <w:left w:val="none" w:sz="0" w:space="0" w:color="auto"/>
            <w:bottom w:val="none" w:sz="0" w:space="0" w:color="auto"/>
            <w:right w:val="none" w:sz="0" w:space="0" w:color="auto"/>
          </w:divBdr>
        </w:div>
        <w:div w:id="1997030969">
          <w:marLeft w:val="720"/>
          <w:marRight w:val="0"/>
          <w:marTop w:val="0"/>
          <w:marBottom w:val="98"/>
          <w:divBdr>
            <w:top w:val="none" w:sz="0" w:space="0" w:color="auto"/>
            <w:left w:val="none" w:sz="0" w:space="0" w:color="auto"/>
            <w:bottom w:val="none" w:sz="0" w:space="0" w:color="auto"/>
            <w:right w:val="none" w:sz="0" w:space="0" w:color="auto"/>
          </w:divBdr>
        </w:div>
        <w:div w:id="174468447">
          <w:marLeft w:val="720"/>
          <w:marRight w:val="0"/>
          <w:marTop w:val="0"/>
          <w:marBottom w:val="98"/>
          <w:divBdr>
            <w:top w:val="none" w:sz="0" w:space="0" w:color="auto"/>
            <w:left w:val="none" w:sz="0" w:space="0" w:color="auto"/>
            <w:bottom w:val="none" w:sz="0" w:space="0" w:color="auto"/>
            <w:right w:val="none" w:sz="0" w:space="0" w:color="auto"/>
          </w:divBdr>
        </w:div>
        <w:div w:id="1027755243">
          <w:marLeft w:val="0"/>
          <w:marRight w:val="0"/>
          <w:marTop w:val="0"/>
          <w:marBottom w:val="98"/>
          <w:divBdr>
            <w:top w:val="none" w:sz="0" w:space="0" w:color="auto"/>
            <w:left w:val="none" w:sz="0" w:space="0" w:color="auto"/>
            <w:bottom w:val="none" w:sz="0" w:space="0" w:color="auto"/>
            <w:right w:val="none" w:sz="0" w:space="0" w:color="auto"/>
          </w:divBdr>
        </w:div>
        <w:div w:id="1993021210">
          <w:marLeft w:val="0"/>
          <w:marRight w:val="0"/>
          <w:marTop w:val="0"/>
          <w:marBottom w:val="98"/>
          <w:divBdr>
            <w:top w:val="none" w:sz="0" w:space="0" w:color="auto"/>
            <w:left w:val="none" w:sz="0" w:space="0" w:color="auto"/>
            <w:bottom w:val="none" w:sz="0" w:space="0" w:color="auto"/>
            <w:right w:val="none" w:sz="0" w:space="0" w:color="auto"/>
          </w:divBdr>
        </w:div>
        <w:div w:id="1561790525">
          <w:marLeft w:val="0"/>
          <w:marRight w:val="0"/>
          <w:marTop w:val="0"/>
          <w:marBottom w:val="101"/>
          <w:divBdr>
            <w:top w:val="none" w:sz="0" w:space="0" w:color="auto"/>
            <w:left w:val="none" w:sz="0" w:space="0" w:color="auto"/>
            <w:bottom w:val="none" w:sz="0" w:space="0" w:color="auto"/>
            <w:right w:val="none" w:sz="0" w:space="0" w:color="auto"/>
          </w:divBdr>
        </w:div>
        <w:div w:id="120416875">
          <w:marLeft w:val="0"/>
          <w:marRight w:val="0"/>
          <w:marTop w:val="0"/>
          <w:marBottom w:val="101"/>
          <w:divBdr>
            <w:top w:val="none" w:sz="0" w:space="0" w:color="auto"/>
            <w:left w:val="none" w:sz="0" w:space="0" w:color="auto"/>
            <w:bottom w:val="none" w:sz="0" w:space="0" w:color="auto"/>
            <w:right w:val="none" w:sz="0" w:space="0" w:color="auto"/>
          </w:divBdr>
        </w:div>
        <w:div w:id="623082307">
          <w:marLeft w:val="0"/>
          <w:marRight w:val="0"/>
          <w:marTop w:val="0"/>
          <w:marBottom w:val="101"/>
          <w:divBdr>
            <w:top w:val="none" w:sz="0" w:space="0" w:color="auto"/>
            <w:left w:val="none" w:sz="0" w:space="0" w:color="auto"/>
            <w:bottom w:val="none" w:sz="0" w:space="0" w:color="auto"/>
            <w:right w:val="none" w:sz="0" w:space="0" w:color="auto"/>
          </w:divBdr>
        </w:div>
        <w:div w:id="1966689849">
          <w:marLeft w:val="0"/>
          <w:marRight w:val="0"/>
          <w:marTop w:val="0"/>
          <w:marBottom w:val="101"/>
          <w:divBdr>
            <w:top w:val="none" w:sz="0" w:space="0" w:color="auto"/>
            <w:left w:val="none" w:sz="0" w:space="0" w:color="auto"/>
            <w:bottom w:val="none" w:sz="0" w:space="0" w:color="auto"/>
            <w:right w:val="none" w:sz="0" w:space="0" w:color="auto"/>
          </w:divBdr>
        </w:div>
        <w:div w:id="2138642487">
          <w:marLeft w:val="0"/>
          <w:marRight w:val="0"/>
          <w:marTop w:val="0"/>
          <w:marBottom w:val="101"/>
          <w:divBdr>
            <w:top w:val="none" w:sz="0" w:space="0" w:color="auto"/>
            <w:left w:val="none" w:sz="0" w:space="0" w:color="auto"/>
            <w:bottom w:val="none" w:sz="0" w:space="0" w:color="auto"/>
            <w:right w:val="none" w:sz="0" w:space="0" w:color="auto"/>
          </w:divBdr>
        </w:div>
        <w:div w:id="229461020">
          <w:marLeft w:val="0"/>
          <w:marRight w:val="0"/>
          <w:marTop w:val="0"/>
          <w:marBottom w:val="101"/>
          <w:divBdr>
            <w:top w:val="none" w:sz="0" w:space="0" w:color="auto"/>
            <w:left w:val="none" w:sz="0" w:space="0" w:color="auto"/>
            <w:bottom w:val="none" w:sz="0" w:space="0" w:color="auto"/>
            <w:right w:val="none" w:sz="0" w:space="0" w:color="auto"/>
          </w:divBdr>
        </w:div>
      </w:divsChild>
    </w:div>
    <w:div w:id="1606158554">
      <w:bodyDiv w:val="1"/>
      <w:marLeft w:val="0"/>
      <w:marRight w:val="0"/>
      <w:marTop w:val="0"/>
      <w:marBottom w:val="0"/>
      <w:divBdr>
        <w:top w:val="none" w:sz="0" w:space="0" w:color="auto"/>
        <w:left w:val="none" w:sz="0" w:space="0" w:color="auto"/>
        <w:bottom w:val="none" w:sz="0" w:space="0" w:color="auto"/>
        <w:right w:val="none" w:sz="0" w:space="0" w:color="auto"/>
      </w:divBdr>
    </w:div>
    <w:div w:id="1641111214">
      <w:bodyDiv w:val="1"/>
      <w:marLeft w:val="0"/>
      <w:marRight w:val="0"/>
      <w:marTop w:val="0"/>
      <w:marBottom w:val="0"/>
      <w:divBdr>
        <w:top w:val="none" w:sz="0" w:space="0" w:color="auto"/>
        <w:left w:val="none" w:sz="0" w:space="0" w:color="auto"/>
        <w:bottom w:val="none" w:sz="0" w:space="0" w:color="auto"/>
        <w:right w:val="none" w:sz="0" w:space="0" w:color="auto"/>
      </w:divBdr>
    </w:div>
    <w:div w:id="1654798805">
      <w:bodyDiv w:val="1"/>
      <w:marLeft w:val="0"/>
      <w:marRight w:val="0"/>
      <w:marTop w:val="0"/>
      <w:marBottom w:val="0"/>
      <w:divBdr>
        <w:top w:val="none" w:sz="0" w:space="0" w:color="auto"/>
        <w:left w:val="none" w:sz="0" w:space="0" w:color="auto"/>
        <w:bottom w:val="none" w:sz="0" w:space="0" w:color="auto"/>
        <w:right w:val="none" w:sz="0" w:space="0" w:color="auto"/>
      </w:divBdr>
    </w:div>
    <w:div w:id="1675306816">
      <w:bodyDiv w:val="1"/>
      <w:marLeft w:val="0"/>
      <w:marRight w:val="0"/>
      <w:marTop w:val="0"/>
      <w:marBottom w:val="0"/>
      <w:divBdr>
        <w:top w:val="none" w:sz="0" w:space="0" w:color="auto"/>
        <w:left w:val="none" w:sz="0" w:space="0" w:color="auto"/>
        <w:bottom w:val="none" w:sz="0" w:space="0" w:color="auto"/>
        <w:right w:val="none" w:sz="0" w:space="0" w:color="auto"/>
      </w:divBdr>
    </w:div>
    <w:div w:id="1689989675">
      <w:bodyDiv w:val="1"/>
      <w:marLeft w:val="0"/>
      <w:marRight w:val="0"/>
      <w:marTop w:val="0"/>
      <w:marBottom w:val="0"/>
      <w:divBdr>
        <w:top w:val="none" w:sz="0" w:space="0" w:color="auto"/>
        <w:left w:val="none" w:sz="0" w:space="0" w:color="auto"/>
        <w:bottom w:val="none" w:sz="0" w:space="0" w:color="auto"/>
        <w:right w:val="none" w:sz="0" w:space="0" w:color="auto"/>
      </w:divBdr>
    </w:div>
    <w:div w:id="1691562494">
      <w:bodyDiv w:val="1"/>
      <w:marLeft w:val="0"/>
      <w:marRight w:val="0"/>
      <w:marTop w:val="0"/>
      <w:marBottom w:val="0"/>
      <w:divBdr>
        <w:top w:val="none" w:sz="0" w:space="0" w:color="auto"/>
        <w:left w:val="none" w:sz="0" w:space="0" w:color="auto"/>
        <w:bottom w:val="none" w:sz="0" w:space="0" w:color="auto"/>
        <w:right w:val="none" w:sz="0" w:space="0" w:color="auto"/>
      </w:divBdr>
    </w:div>
    <w:div w:id="1691637375">
      <w:bodyDiv w:val="1"/>
      <w:marLeft w:val="0"/>
      <w:marRight w:val="0"/>
      <w:marTop w:val="0"/>
      <w:marBottom w:val="0"/>
      <w:divBdr>
        <w:top w:val="none" w:sz="0" w:space="0" w:color="auto"/>
        <w:left w:val="none" w:sz="0" w:space="0" w:color="auto"/>
        <w:bottom w:val="none" w:sz="0" w:space="0" w:color="auto"/>
        <w:right w:val="none" w:sz="0" w:space="0" w:color="auto"/>
      </w:divBdr>
    </w:div>
    <w:div w:id="1707631541">
      <w:bodyDiv w:val="1"/>
      <w:marLeft w:val="0"/>
      <w:marRight w:val="0"/>
      <w:marTop w:val="0"/>
      <w:marBottom w:val="0"/>
      <w:divBdr>
        <w:top w:val="none" w:sz="0" w:space="0" w:color="auto"/>
        <w:left w:val="none" w:sz="0" w:space="0" w:color="auto"/>
        <w:bottom w:val="none" w:sz="0" w:space="0" w:color="auto"/>
        <w:right w:val="none" w:sz="0" w:space="0" w:color="auto"/>
      </w:divBdr>
    </w:div>
    <w:div w:id="1734425212">
      <w:bodyDiv w:val="1"/>
      <w:marLeft w:val="0"/>
      <w:marRight w:val="0"/>
      <w:marTop w:val="0"/>
      <w:marBottom w:val="0"/>
      <w:divBdr>
        <w:top w:val="none" w:sz="0" w:space="0" w:color="auto"/>
        <w:left w:val="none" w:sz="0" w:space="0" w:color="auto"/>
        <w:bottom w:val="none" w:sz="0" w:space="0" w:color="auto"/>
        <w:right w:val="none" w:sz="0" w:space="0" w:color="auto"/>
      </w:divBdr>
    </w:div>
    <w:div w:id="1759598301">
      <w:marLeft w:val="0"/>
      <w:marRight w:val="0"/>
      <w:marTop w:val="0"/>
      <w:marBottom w:val="0"/>
      <w:divBdr>
        <w:top w:val="none" w:sz="0" w:space="0" w:color="auto"/>
        <w:left w:val="none" w:sz="0" w:space="0" w:color="auto"/>
        <w:bottom w:val="none" w:sz="0" w:space="0" w:color="auto"/>
        <w:right w:val="none" w:sz="0" w:space="0" w:color="auto"/>
      </w:divBdr>
      <w:divsChild>
        <w:div w:id="913391063">
          <w:marLeft w:val="0"/>
          <w:marRight w:val="0"/>
          <w:marTop w:val="0"/>
          <w:marBottom w:val="0"/>
          <w:divBdr>
            <w:top w:val="none" w:sz="0" w:space="0" w:color="auto"/>
            <w:left w:val="none" w:sz="0" w:space="0" w:color="auto"/>
            <w:bottom w:val="none" w:sz="0" w:space="0" w:color="auto"/>
            <w:right w:val="none" w:sz="0" w:space="0" w:color="auto"/>
          </w:divBdr>
          <w:divsChild>
            <w:div w:id="71197094">
              <w:marLeft w:val="0"/>
              <w:marRight w:val="0"/>
              <w:marTop w:val="0"/>
              <w:marBottom w:val="0"/>
              <w:divBdr>
                <w:top w:val="none" w:sz="0" w:space="0" w:color="auto"/>
                <w:left w:val="none" w:sz="0" w:space="0" w:color="auto"/>
                <w:bottom w:val="none" w:sz="0" w:space="0" w:color="auto"/>
                <w:right w:val="none" w:sz="0" w:space="0" w:color="auto"/>
              </w:divBdr>
              <w:divsChild>
                <w:div w:id="380323782">
                  <w:marLeft w:val="0"/>
                  <w:marRight w:val="0"/>
                  <w:marTop w:val="0"/>
                  <w:marBottom w:val="0"/>
                  <w:divBdr>
                    <w:top w:val="none" w:sz="0" w:space="0" w:color="auto"/>
                    <w:left w:val="none" w:sz="0" w:space="0" w:color="auto"/>
                    <w:bottom w:val="none" w:sz="0" w:space="0" w:color="auto"/>
                    <w:right w:val="none" w:sz="0" w:space="0" w:color="auto"/>
                  </w:divBdr>
                  <w:divsChild>
                    <w:div w:id="9593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8567">
      <w:marLeft w:val="0"/>
      <w:marRight w:val="0"/>
      <w:marTop w:val="0"/>
      <w:marBottom w:val="0"/>
      <w:divBdr>
        <w:top w:val="none" w:sz="0" w:space="0" w:color="auto"/>
        <w:left w:val="none" w:sz="0" w:space="0" w:color="auto"/>
        <w:bottom w:val="none" w:sz="0" w:space="0" w:color="auto"/>
        <w:right w:val="none" w:sz="0" w:space="0" w:color="auto"/>
      </w:divBdr>
      <w:divsChild>
        <w:div w:id="2127773590">
          <w:marLeft w:val="0"/>
          <w:marRight w:val="0"/>
          <w:marTop w:val="0"/>
          <w:marBottom w:val="0"/>
          <w:divBdr>
            <w:top w:val="none" w:sz="0" w:space="0" w:color="auto"/>
            <w:left w:val="none" w:sz="0" w:space="0" w:color="auto"/>
            <w:bottom w:val="none" w:sz="0" w:space="0" w:color="auto"/>
            <w:right w:val="none" w:sz="0" w:space="0" w:color="auto"/>
          </w:divBdr>
          <w:divsChild>
            <w:div w:id="862013278">
              <w:marLeft w:val="0"/>
              <w:marRight w:val="0"/>
              <w:marTop w:val="0"/>
              <w:marBottom w:val="0"/>
              <w:divBdr>
                <w:top w:val="none" w:sz="0" w:space="0" w:color="auto"/>
                <w:left w:val="none" w:sz="0" w:space="0" w:color="auto"/>
                <w:bottom w:val="none" w:sz="0" w:space="0" w:color="auto"/>
                <w:right w:val="none" w:sz="0" w:space="0" w:color="auto"/>
              </w:divBdr>
              <w:divsChild>
                <w:div w:id="2029796614">
                  <w:marLeft w:val="0"/>
                  <w:marRight w:val="0"/>
                  <w:marTop w:val="0"/>
                  <w:marBottom w:val="0"/>
                  <w:divBdr>
                    <w:top w:val="none" w:sz="0" w:space="0" w:color="auto"/>
                    <w:left w:val="none" w:sz="0" w:space="0" w:color="auto"/>
                    <w:bottom w:val="none" w:sz="0" w:space="0" w:color="auto"/>
                    <w:right w:val="none" w:sz="0" w:space="0" w:color="auto"/>
                  </w:divBdr>
                  <w:divsChild>
                    <w:div w:id="20301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732865">
      <w:bodyDiv w:val="1"/>
      <w:marLeft w:val="0"/>
      <w:marRight w:val="0"/>
      <w:marTop w:val="0"/>
      <w:marBottom w:val="0"/>
      <w:divBdr>
        <w:top w:val="none" w:sz="0" w:space="0" w:color="auto"/>
        <w:left w:val="none" w:sz="0" w:space="0" w:color="auto"/>
        <w:bottom w:val="none" w:sz="0" w:space="0" w:color="auto"/>
        <w:right w:val="none" w:sz="0" w:space="0" w:color="auto"/>
      </w:divBdr>
    </w:div>
    <w:div w:id="1794640454">
      <w:bodyDiv w:val="1"/>
      <w:marLeft w:val="0"/>
      <w:marRight w:val="0"/>
      <w:marTop w:val="0"/>
      <w:marBottom w:val="0"/>
      <w:divBdr>
        <w:top w:val="none" w:sz="0" w:space="0" w:color="auto"/>
        <w:left w:val="none" w:sz="0" w:space="0" w:color="auto"/>
        <w:bottom w:val="none" w:sz="0" w:space="0" w:color="auto"/>
        <w:right w:val="none" w:sz="0" w:space="0" w:color="auto"/>
      </w:divBdr>
    </w:div>
    <w:div w:id="1803693188">
      <w:bodyDiv w:val="1"/>
      <w:marLeft w:val="0"/>
      <w:marRight w:val="0"/>
      <w:marTop w:val="0"/>
      <w:marBottom w:val="0"/>
      <w:divBdr>
        <w:top w:val="none" w:sz="0" w:space="0" w:color="auto"/>
        <w:left w:val="none" w:sz="0" w:space="0" w:color="auto"/>
        <w:bottom w:val="none" w:sz="0" w:space="0" w:color="auto"/>
        <w:right w:val="none" w:sz="0" w:space="0" w:color="auto"/>
      </w:divBdr>
    </w:div>
    <w:div w:id="1846244038">
      <w:marLeft w:val="0"/>
      <w:marRight w:val="0"/>
      <w:marTop w:val="0"/>
      <w:marBottom w:val="0"/>
      <w:divBdr>
        <w:top w:val="none" w:sz="0" w:space="0" w:color="auto"/>
        <w:left w:val="none" w:sz="0" w:space="0" w:color="auto"/>
        <w:bottom w:val="none" w:sz="0" w:space="0" w:color="auto"/>
        <w:right w:val="none" w:sz="0" w:space="0" w:color="auto"/>
      </w:divBdr>
      <w:divsChild>
        <w:div w:id="527526165">
          <w:marLeft w:val="0"/>
          <w:marRight w:val="0"/>
          <w:marTop w:val="0"/>
          <w:marBottom w:val="0"/>
          <w:divBdr>
            <w:top w:val="none" w:sz="0" w:space="0" w:color="auto"/>
            <w:left w:val="none" w:sz="0" w:space="0" w:color="auto"/>
            <w:bottom w:val="none" w:sz="0" w:space="0" w:color="auto"/>
            <w:right w:val="none" w:sz="0" w:space="0" w:color="auto"/>
          </w:divBdr>
          <w:divsChild>
            <w:div w:id="1881549387">
              <w:marLeft w:val="0"/>
              <w:marRight w:val="0"/>
              <w:marTop w:val="0"/>
              <w:marBottom w:val="0"/>
              <w:divBdr>
                <w:top w:val="none" w:sz="0" w:space="0" w:color="auto"/>
                <w:left w:val="none" w:sz="0" w:space="0" w:color="auto"/>
                <w:bottom w:val="none" w:sz="0" w:space="0" w:color="auto"/>
                <w:right w:val="none" w:sz="0" w:space="0" w:color="auto"/>
              </w:divBdr>
              <w:divsChild>
                <w:div w:id="1988971168">
                  <w:marLeft w:val="0"/>
                  <w:marRight w:val="0"/>
                  <w:marTop w:val="0"/>
                  <w:marBottom w:val="0"/>
                  <w:divBdr>
                    <w:top w:val="none" w:sz="0" w:space="0" w:color="auto"/>
                    <w:left w:val="none" w:sz="0" w:space="0" w:color="auto"/>
                    <w:bottom w:val="none" w:sz="0" w:space="0" w:color="auto"/>
                    <w:right w:val="none" w:sz="0" w:space="0" w:color="auto"/>
                  </w:divBdr>
                  <w:divsChild>
                    <w:div w:id="77556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099713">
      <w:bodyDiv w:val="1"/>
      <w:marLeft w:val="0"/>
      <w:marRight w:val="0"/>
      <w:marTop w:val="0"/>
      <w:marBottom w:val="0"/>
      <w:divBdr>
        <w:top w:val="none" w:sz="0" w:space="0" w:color="auto"/>
        <w:left w:val="none" w:sz="0" w:space="0" w:color="auto"/>
        <w:bottom w:val="none" w:sz="0" w:space="0" w:color="auto"/>
        <w:right w:val="none" w:sz="0" w:space="0" w:color="auto"/>
      </w:divBdr>
      <w:divsChild>
        <w:div w:id="1507865593">
          <w:marLeft w:val="0"/>
          <w:marRight w:val="0"/>
          <w:marTop w:val="0"/>
          <w:marBottom w:val="98"/>
          <w:divBdr>
            <w:top w:val="none" w:sz="0" w:space="0" w:color="auto"/>
            <w:left w:val="none" w:sz="0" w:space="0" w:color="auto"/>
            <w:bottom w:val="none" w:sz="0" w:space="0" w:color="auto"/>
            <w:right w:val="none" w:sz="0" w:space="0" w:color="auto"/>
          </w:divBdr>
        </w:div>
      </w:divsChild>
    </w:div>
    <w:div w:id="1860850062">
      <w:bodyDiv w:val="1"/>
      <w:marLeft w:val="0"/>
      <w:marRight w:val="0"/>
      <w:marTop w:val="0"/>
      <w:marBottom w:val="0"/>
      <w:divBdr>
        <w:top w:val="none" w:sz="0" w:space="0" w:color="auto"/>
        <w:left w:val="none" w:sz="0" w:space="0" w:color="auto"/>
        <w:bottom w:val="none" w:sz="0" w:space="0" w:color="auto"/>
        <w:right w:val="none" w:sz="0" w:space="0" w:color="auto"/>
      </w:divBdr>
    </w:div>
    <w:div w:id="1871644293">
      <w:bodyDiv w:val="1"/>
      <w:marLeft w:val="0"/>
      <w:marRight w:val="0"/>
      <w:marTop w:val="0"/>
      <w:marBottom w:val="0"/>
      <w:divBdr>
        <w:top w:val="none" w:sz="0" w:space="0" w:color="auto"/>
        <w:left w:val="none" w:sz="0" w:space="0" w:color="auto"/>
        <w:bottom w:val="none" w:sz="0" w:space="0" w:color="auto"/>
        <w:right w:val="none" w:sz="0" w:space="0" w:color="auto"/>
      </w:divBdr>
    </w:div>
    <w:div w:id="1971787838">
      <w:bodyDiv w:val="1"/>
      <w:marLeft w:val="0"/>
      <w:marRight w:val="0"/>
      <w:marTop w:val="0"/>
      <w:marBottom w:val="0"/>
      <w:divBdr>
        <w:top w:val="none" w:sz="0" w:space="0" w:color="auto"/>
        <w:left w:val="none" w:sz="0" w:space="0" w:color="auto"/>
        <w:bottom w:val="none" w:sz="0" w:space="0" w:color="auto"/>
        <w:right w:val="none" w:sz="0" w:space="0" w:color="auto"/>
      </w:divBdr>
    </w:div>
    <w:div w:id="1984238460">
      <w:marLeft w:val="0"/>
      <w:marRight w:val="0"/>
      <w:marTop w:val="0"/>
      <w:marBottom w:val="0"/>
      <w:divBdr>
        <w:top w:val="none" w:sz="0" w:space="0" w:color="auto"/>
        <w:left w:val="none" w:sz="0" w:space="0" w:color="auto"/>
        <w:bottom w:val="none" w:sz="0" w:space="0" w:color="auto"/>
        <w:right w:val="none" w:sz="0" w:space="0" w:color="auto"/>
      </w:divBdr>
      <w:divsChild>
        <w:div w:id="2026519649">
          <w:marLeft w:val="0"/>
          <w:marRight w:val="0"/>
          <w:marTop w:val="0"/>
          <w:marBottom w:val="0"/>
          <w:divBdr>
            <w:top w:val="none" w:sz="0" w:space="0" w:color="auto"/>
            <w:left w:val="none" w:sz="0" w:space="0" w:color="auto"/>
            <w:bottom w:val="none" w:sz="0" w:space="0" w:color="auto"/>
            <w:right w:val="none" w:sz="0" w:space="0" w:color="auto"/>
          </w:divBdr>
          <w:divsChild>
            <w:div w:id="758525027">
              <w:marLeft w:val="0"/>
              <w:marRight w:val="0"/>
              <w:marTop w:val="0"/>
              <w:marBottom w:val="0"/>
              <w:divBdr>
                <w:top w:val="none" w:sz="0" w:space="0" w:color="auto"/>
                <w:left w:val="none" w:sz="0" w:space="0" w:color="auto"/>
                <w:bottom w:val="none" w:sz="0" w:space="0" w:color="auto"/>
                <w:right w:val="none" w:sz="0" w:space="0" w:color="auto"/>
              </w:divBdr>
              <w:divsChild>
                <w:div w:id="2057198589">
                  <w:marLeft w:val="0"/>
                  <w:marRight w:val="0"/>
                  <w:marTop w:val="0"/>
                  <w:marBottom w:val="0"/>
                  <w:divBdr>
                    <w:top w:val="none" w:sz="0" w:space="0" w:color="auto"/>
                    <w:left w:val="none" w:sz="0" w:space="0" w:color="auto"/>
                    <w:bottom w:val="none" w:sz="0" w:space="0" w:color="auto"/>
                    <w:right w:val="none" w:sz="0" w:space="0" w:color="auto"/>
                  </w:divBdr>
                  <w:divsChild>
                    <w:div w:id="94649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5770">
      <w:bodyDiv w:val="1"/>
      <w:marLeft w:val="0"/>
      <w:marRight w:val="0"/>
      <w:marTop w:val="0"/>
      <w:marBottom w:val="0"/>
      <w:divBdr>
        <w:top w:val="none" w:sz="0" w:space="0" w:color="auto"/>
        <w:left w:val="none" w:sz="0" w:space="0" w:color="auto"/>
        <w:bottom w:val="none" w:sz="0" w:space="0" w:color="auto"/>
        <w:right w:val="none" w:sz="0" w:space="0" w:color="auto"/>
      </w:divBdr>
    </w:div>
    <w:div w:id="2016758402">
      <w:bodyDiv w:val="1"/>
      <w:marLeft w:val="0"/>
      <w:marRight w:val="0"/>
      <w:marTop w:val="0"/>
      <w:marBottom w:val="0"/>
      <w:divBdr>
        <w:top w:val="none" w:sz="0" w:space="0" w:color="auto"/>
        <w:left w:val="none" w:sz="0" w:space="0" w:color="auto"/>
        <w:bottom w:val="none" w:sz="0" w:space="0" w:color="auto"/>
        <w:right w:val="none" w:sz="0" w:space="0" w:color="auto"/>
      </w:divBdr>
    </w:div>
    <w:div w:id="2044673699">
      <w:bodyDiv w:val="1"/>
      <w:marLeft w:val="0"/>
      <w:marRight w:val="0"/>
      <w:marTop w:val="0"/>
      <w:marBottom w:val="0"/>
      <w:divBdr>
        <w:top w:val="none" w:sz="0" w:space="0" w:color="auto"/>
        <w:left w:val="none" w:sz="0" w:space="0" w:color="auto"/>
        <w:bottom w:val="none" w:sz="0" w:space="0" w:color="auto"/>
        <w:right w:val="none" w:sz="0" w:space="0" w:color="auto"/>
      </w:divBdr>
    </w:div>
    <w:div w:id="2071731173">
      <w:bodyDiv w:val="1"/>
      <w:marLeft w:val="0"/>
      <w:marRight w:val="0"/>
      <w:marTop w:val="0"/>
      <w:marBottom w:val="0"/>
      <w:divBdr>
        <w:top w:val="none" w:sz="0" w:space="0" w:color="auto"/>
        <w:left w:val="none" w:sz="0" w:space="0" w:color="auto"/>
        <w:bottom w:val="none" w:sz="0" w:space="0" w:color="auto"/>
        <w:right w:val="none" w:sz="0" w:space="0" w:color="auto"/>
      </w:divBdr>
    </w:div>
    <w:div w:id="2093818371">
      <w:bodyDiv w:val="1"/>
      <w:marLeft w:val="0"/>
      <w:marRight w:val="0"/>
      <w:marTop w:val="0"/>
      <w:marBottom w:val="0"/>
      <w:divBdr>
        <w:top w:val="none" w:sz="0" w:space="0" w:color="auto"/>
        <w:left w:val="none" w:sz="0" w:space="0" w:color="auto"/>
        <w:bottom w:val="none" w:sz="0" w:space="0" w:color="auto"/>
        <w:right w:val="none" w:sz="0" w:space="0" w:color="auto"/>
      </w:divBdr>
    </w:div>
    <w:div w:id="2113695077">
      <w:bodyDiv w:val="1"/>
      <w:marLeft w:val="0"/>
      <w:marRight w:val="0"/>
      <w:marTop w:val="0"/>
      <w:marBottom w:val="0"/>
      <w:divBdr>
        <w:top w:val="none" w:sz="0" w:space="0" w:color="auto"/>
        <w:left w:val="none" w:sz="0" w:space="0" w:color="auto"/>
        <w:bottom w:val="none" w:sz="0" w:space="0" w:color="auto"/>
        <w:right w:val="none" w:sz="0" w:space="0" w:color="auto"/>
      </w:divBdr>
    </w:div>
    <w:div w:id="2130582641">
      <w:bodyDiv w:val="1"/>
      <w:marLeft w:val="0"/>
      <w:marRight w:val="0"/>
      <w:marTop w:val="0"/>
      <w:marBottom w:val="0"/>
      <w:divBdr>
        <w:top w:val="none" w:sz="0" w:space="0" w:color="auto"/>
        <w:left w:val="none" w:sz="0" w:space="0" w:color="auto"/>
        <w:bottom w:val="none" w:sz="0" w:space="0" w:color="auto"/>
        <w:right w:val="none" w:sz="0" w:space="0" w:color="auto"/>
      </w:divBdr>
    </w:div>
    <w:div w:id="213289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8A7C8-AD4D-4C1A-BA1E-711B48254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13226</Words>
  <Characters>73673</Characters>
  <Application>Microsoft Office Word</Application>
  <DocSecurity>0</DocSecurity>
  <Lines>1292</Lines>
  <Paragraphs>357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Pina Vega</dc:creator>
  <cp:keywords/>
  <dc:description/>
  <cp:lastModifiedBy>Alexis Pina Vega</cp:lastModifiedBy>
  <cp:revision>2</cp:revision>
  <cp:lastPrinted>2016-02-17T15:49:00Z</cp:lastPrinted>
  <dcterms:created xsi:type="dcterms:W3CDTF">2019-02-12T17:51:00Z</dcterms:created>
  <dcterms:modified xsi:type="dcterms:W3CDTF">2019-02-12T17:51:00Z</dcterms:modified>
</cp:coreProperties>
</file>