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005F" w14:textId="77777777" w:rsidR="00D238B6" w:rsidRDefault="00D238B6" w:rsidP="007D37BE">
      <w:pPr>
        <w:pStyle w:val="Normalresolucion"/>
        <w:rPr>
          <w:rFonts w:eastAsiaTheme="minorHAnsi" w:cstheme="minorBidi"/>
          <w:b/>
          <w:lang w:val="es-MX" w:eastAsia="en-US"/>
        </w:rPr>
      </w:pPr>
    </w:p>
    <w:p w14:paraId="12D32F3B" w14:textId="7D8D4CD4" w:rsidR="00A1321B" w:rsidRPr="008609D1" w:rsidRDefault="007D15F8" w:rsidP="00172B5F">
      <w:pPr>
        <w:pStyle w:val="Ttulo1"/>
        <w:jc w:val="both"/>
      </w:pPr>
      <w:bookmarkStart w:id="0" w:name="_Toc484022078"/>
      <w:r>
        <w:t xml:space="preserve">ANTEPROYECTO DE </w:t>
      </w:r>
      <w:r w:rsidR="00A1321B" w:rsidRPr="008609D1">
        <w:t>ACUERDO MEDIANTE EL CUAL EL PLENO DEL INSTITUTO FEDERAL DE TELECOMUNICACIONES EXPIDE LA METODOLOGÍA DE SEPARACIÓN CONTABLE APLICABLE A LOS AGENTES ECONÓMICOS PREPONDERANTES, AGENTES DECLARADOS CON PODER SUSTANCIAL DE MERCADO Y REDES COMPARTIDAS.</w:t>
      </w:r>
      <w:bookmarkEnd w:id="0"/>
    </w:p>
    <w:p w14:paraId="4AC7A181" w14:textId="77777777" w:rsidR="00A1321B" w:rsidRPr="008609D1" w:rsidRDefault="00A1321B" w:rsidP="00A1321B">
      <w:pPr>
        <w:pStyle w:val="Ttulo1"/>
      </w:pPr>
      <w:bookmarkStart w:id="1" w:name="_Toc484022079"/>
      <w:r w:rsidRPr="008609D1">
        <w:t>ANTECEDENTES</w:t>
      </w:r>
      <w:bookmarkEnd w:id="1"/>
    </w:p>
    <w:p w14:paraId="678BBF1B" w14:textId="77777777" w:rsidR="00A1321B" w:rsidRPr="008609D1" w:rsidRDefault="00A1321B" w:rsidP="00A1321B">
      <w:pPr>
        <w:pStyle w:val="Normalresolucion"/>
        <w:numPr>
          <w:ilvl w:val="0"/>
          <w:numId w:val="224"/>
        </w:numPr>
      </w:pPr>
      <w:r w:rsidRPr="008609D1">
        <w:rPr>
          <w:b/>
          <w:bCs/>
          <w:color w:val="000000" w:themeColor="text1"/>
          <w:shd w:val="clear" w:color="auto" w:fill="FFFFFF"/>
        </w:rPr>
        <w:t>Resolución que expide el manual de criterios y metodología de separación contable</w:t>
      </w:r>
      <w:r w:rsidRPr="008609D1">
        <w:rPr>
          <w:b/>
        </w:rPr>
        <w:t>.</w:t>
      </w:r>
      <w:r w:rsidRPr="008609D1">
        <w:t xml:space="preserve"> El 22 de marzo de 2013, la </w:t>
      </w:r>
      <w:r>
        <w:t>Comisión Federal de Telecomunicaciones (en lo sucesivo, la “</w:t>
      </w:r>
      <w:r w:rsidRPr="008609D1">
        <w:t>COFETEL</w:t>
      </w:r>
      <w:r>
        <w:t>”)</w:t>
      </w:r>
      <w:r w:rsidRPr="008609D1">
        <w:t xml:space="preserve"> publicó en el </w:t>
      </w:r>
      <w:r>
        <w:t>Diario Oficial de la Federación (en lo sucesivo, el “</w:t>
      </w:r>
      <w:r w:rsidRPr="008609D1">
        <w:t>DOF</w:t>
      </w:r>
      <w:r>
        <w:t>”)</w:t>
      </w:r>
      <w:r w:rsidRPr="008609D1">
        <w:t xml:space="preserve"> la “</w:t>
      </w:r>
      <w:r w:rsidRPr="008609D1">
        <w:rPr>
          <w:i/>
          <w:iCs/>
        </w:rPr>
        <w:t>Resolución por la que el Pleno de la Comisión Federal de Telecomunicaciones expide el Manual que provee los criterios y metodología de separación contable por servicio, aplicable a los concesionarios de redes públicas de telecomunicaciones</w:t>
      </w:r>
      <w:r w:rsidRPr="008609D1">
        <w:t xml:space="preserve">” (en lo sucesivo, la “Resolución de 2013”), </w:t>
      </w:r>
      <w:r w:rsidRPr="008609D1">
        <w:rPr>
          <w:bCs/>
          <w:color w:val="000000" w:themeColor="text1"/>
          <w:shd w:val="clear" w:color="auto" w:fill="FFFFFF"/>
        </w:rPr>
        <w:t>a través de la cual se establecía la metodología para la entrega de información contable de los concesionarios de redes públicas de telecomunicaciones</w:t>
      </w:r>
      <w:r w:rsidRPr="008609D1">
        <w:t>. En dicha resolución se abrogaron las resoluciones publicadas el 1 de diciembre de 1998, relativas a la separación contable.</w:t>
      </w:r>
    </w:p>
    <w:p w14:paraId="772F6890" w14:textId="77777777" w:rsidR="00A1321B" w:rsidRPr="008609D1" w:rsidRDefault="00A1321B" w:rsidP="00A1321B">
      <w:pPr>
        <w:pStyle w:val="Normalresolucion"/>
        <w:numPr>
          <w:ilvl w:val="0"/>
          <w:numId w:val="224"/>
        </w:numPr>
      </w:pPr>
      <w:r w:rsidRPr="008609D1">
        <w:rPr>
          <w:b/>
        </w:rPr>
        <w:t>Publicación del Decreto de Reforma.</w:t>
      </w:r>
      <w:r w:rsidRPr="008609D1">
        <w:t xml:space="preserve"> </w:t>
      </w:r>
      <w:r w:rsidRPr="008609D1">
        <w:rPr>
          <w:lang w:val="es-MX"/>
        </w:rPr>
        <w:t xml:space="preserve">El 11 de junio de 2013 se publicó </w:t>
      </w:r>
      <w:r w:rsidRPr="008609D1">
        <w:t>en el DOF el “</w:t>
      </w:r>
      <w:r w:rsidRPr="008609D1">
        <w:rPr>
          <w:i/>
          <w:iCs/>
        </w:rPr>
        <w:t>Decreto por el que se reforman y adicionan diversas disposiciones de los artículos 6o., 7o., 27, 28, 73, 78, 94, y 105 de la Constitución Política de los Estados Unidos Mexicanos, en materia de telecomunicaciones</w:t>
      </w:r>
      <w:r w:rsidRPr="008609D1">
        <w:t xml:space="preserve">” (en lo sucesivo, el “Decreto”), mediante el cual se creó el Instituto Federal de Telecomunicaciones (en lo sucesivo, el “Instituto”).  </w:t>
      </w:r>
    </w:p>
    <w:p w14:paraId="70CB62E2" w14:textId="77777777" w:rsidR="00A1321B" w:rsidRPr="008609D1" w:rsidRDefault="00A1321B" w:rsidP="00A1321B">
      <w:pPr>
        <w:pStyle w:val="Normalresolucion"/>
        <w:numPr>
          <w:ilvl w:val="0"/>
          <w:numId w:val="224"/>
        </w:numPr>
        <w:rPr>
          <w:b/>
        </w:rPr>
      </w:pPr>
      <w:r w:rsidRPr="008609D1">
        <w:rPr>
          <w:b/>
        </w:rPr>
        <w:t xml:space="preserve">Publicación de la Ley Federal de Telecomunicaciones y Radiodifusión. </w:t>
      </w:r>
      <w:r w:rsidRPr="008609D1">
        <w:t>El 14 de julio de 2014 se publicó en el DOF el “</w:t>
      </w:r>
      <w:r w:rsidRPr="008609D1">
        <w:rPr>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609D1">
        <w:t>” (en lo sucesivo, la “Ley” o la “LFTR”).</w:t>
      </w:r>
    </w:p>
    <w:p w14:paraId="459D5AA2" w14:textId="77777777" w:rsidR="00A1321B" w:rsidRPr="008609D1" w:rsidRDefault="00A1321B" w:rsidP="00A1321B">
      <w:pPr>
        <w:pStyle w:val="Normalresolucion"/>
        <w:numPr>
          <w:ilvl w:val="0"/>
          <w:numId w:val="224"/>
        </w:numPr>
      </w:pPr>
      <w:r w:rsidRPr="008609D1">
        <w:rPr>
          <w:b/>
        </w:rPr>
        <w:t xml:space="preserve">Publicación del Estatuto Orgánico del Instituto. </w:t>
      </w:r>
      <w:r w:rsidRPr="008609D1">
        <w:t>El 4 de septiembre de 2014 se publicó en el DOF el “</w:t>
      </w:r>
      <w:r w:rsidRPr="008609D1">
        <w:rPr>
          <w:i/>
          <w:iCs/>
          <w:lang w:val="es-MX"/>
        </w:rPr>
        <w:t>Estatuto Orgánico del Instituto Federal de Telecomunicaciones</w:t>
      </w:r>
      <w:r w:rsidRPr="008609D1">
        <w:t xml:space="preserve">” (en lo sucesivo, el “Estatuto”), a través del cual se define la estructura del mismo, así como las funciones de cada uno de los miembros </w:t>
      </w:r>
      <w:r>
        <w:t xml:space="preserve">que </w:t>
      </w:r>
      <w:r w:rsidRPr="008609D1">
        <w:t xml:space="preserve">lo conforman. El Estatuto entró en vigor el 26 de septiembre </w:t>
      </w:r>
      <w:r w:rsidRPr="008609D1">
        <w:lastRenderedPageBreak/>
        <w:t xml:space="preserve">de 2014; y el 17 de octubre de 2016 se publicó en el DOF la última modificación al mismo. </w:t>
      </w:r>
    </w:p>
    <w:p w14:paraId="40AACD4C" w14:textId="77777777" w:rsidR="00A1321B" w:rsidRPr="008609D1" w:rsidRDefault="00A1321B" w:rsidP="00A1321B">
      <w:pPr>
        <w:pStyle w:val="Ttulo1"/>
      </w:pPr>
      <w:bookmarkStart w:id="2" w:name="_Toc484022080"/>
      <w:r w:rsidRPr="008609D1">
        <w:t>CONSIDERANDOS</w:t>
      </w:r>
      <w:bookmarkEnd w:id="2"/>
    </w:p>
    <w:p w14:paraId="7392AB48" w14:textId="77777777" w:rsidR="00A1321B" w:rsidRPr="008609D1" w:rsidRDefault="00A1321B" w:rsidP="00A1321B">
      <w:pPr>
        <w:pStyle w:val="Ttulo2"/>
      </w:pPr>
      <w:bookmarkStart w:id="3" w:name="_Toc484022081"/>
      <w:r w:rsidRPr="008609D1">
        <w:t>PRIMERO. Competencia del Instituto.</w:t>
      </w:r>
      <w:bookmarkEnd w:id="3"/>
    </w:p>
    <w:p w14:paraId="5CC1DEB8" w14:textId="77777777" w:rsidR="00A1321B" w:rsidRPr="008609D1" w:rsidRDefault="00A1321B" w:rsidP="00A1321B">
      <w:pPr>
        <w:pStyle w:val="Normalresolucion"/>
      </w:pPr>
      <w:r w:rsidRPr="008609D1">
        <w:t>De conformidad con los artículos 28, párrafo décimo quinto y décimo sexto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de telecomunicaciones, así como el acceso a la infraestructura activa, pasiva y otros insumos esenciales, garantizando lo establecido en los artículos 6o. y 7o. de la Constitución. Asimismo, es la autoridad en materia de competencia económica de los sectores de radiodifusión y telecomunicaciones.</w:t>
      </w:r>
    </w:p>
    <w:p w14:paraId="148A1289" w14:textId="77777777" w:rsidR="00A1321B" w:rsidRPr="008609D1" w:rsidRDefault="00A1321B" w:rsidP="00A1321B">
      <w:pPr>
        <w:pStyle w:val="Normalresolucion"/>
      </w:pPr>
      <w:r w:rsidRPr="008609D1">
        <w:t>El artículo 15 en su fracción I de la Ley, establece que es competencia del Instituto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Ley.</w:t>
      </w:r>
    </w:p>
    <w:p w14:paraId="0FF5D582" w14:textId="77777777" w:rsidR="00A1321B" w:rsidRPr="008609D1" w:rsidRDefault="00A1321B" w:rsidP="00A1321B">
      <w:pPr>
        <w:pStyle w:val="Normalresolucion"/>
      </w:pPr>
      <w:r w:rsidRPr="008609D1">
        <w:t>Por su parte, el artículo 292 de la Ley establece que los concesionarios y las personas que cuenten con una autorización, cuando les sea aplicable, deberán proporcionar, asistir y facilitar información contable por servicio, región, función y componentes de sus redes, para cada una de las concesiones o autorizaciones otorgadas, sin perjuicio de la información que se les requiera en cualquier momento para el cumplimiento de las funciones del Instituto. Asimismo, señala que esta información se deberá presentar de acuerdo a la metodología, formato y periodicidad que para tal efecto establezca el Instituto.</w:t>
      </w:r>
    </w:p>
    <w:p w14:paraId="650C977E" w14:textId="77777777" w:rsidR="00A1321B" w:rsidRDefault="00A1321B" w:rsidP="00A1321B">
      <w:pPr>
        <w:pStyle w:val="Normalresolucion"/>
      </w:pPr>
      <w:r w:rsidRPr="008609D1">
        <w:t>En términos de los artículos 6, fracción I y 22 fracción I del Estatuto, corresponde al Pleno del Instituto regular en materia de telecomunicaciones y radiodifusión, y a la Dirección General de Desarrollo de las Telecomunicaciones y la Radiodifusión del Instituto proponer al Pleno las disposiciones administrativas de carácter general en materia de telecomunicaciones y radiodifusión.</w:t>
      </w:r>
    </w:p>
    <w:p w14:paraId="1F64FFA2" w14:textId="77777777" w:rsidR="001F0E29" w:rsidRPr="008609D1" w:rsidRDefault="001F0E29" w:rsidP="00A1321B">
      <w:pPr>
        <w:pStyle w:val="Normalresolucion"/>
      </w:pPr>
    </w:p>
    <w:p w14:paraId="2F1CB09D" w14:textId="77777777" w:rsidR="00A1321B" w:rsidRPr="008609D1" w:rsidRDefault="00A1321B" w:rsidP="00A1321B">
      <w:pPr>
        <w:pStyle w:val="Ttulo2"/>
      </w:pPr>
      <w:bookmarkStart w:id="4" w:name="_Toc484022082"/>
      <w:r w:rsidRPr="008609D1">
        <w:lastRenderedPageBreak/>
        <w:t>SEGUNDO. Importancia de la separación contable en la política regulatoria y la política de competencia.</w:t>
      </w:r>
      <w:bookmarkEnd w:id="4"/>
    </w:p>
    <w:p w14:paraId="7AB049D4" w14:textId="77777777" w:rsidR="00A1321B" w:rsidRPr="008609D1" w:rsidRDefault="00A1321B" w:rsidP="00A1321B">
      <w:pPr>
        <w:pStyle w:val="Normalresolucion"/>
      </w:pPr>
      <w:r w:rsidRPr="008609D1">
        <w:t>La separación contable es una herramienta que permite reducir las asimetrías de información existente en las industrias reguladas, tal y como los sectores de telecomunicaciones y radiodifusión, en particular entre el regulador (el Instituto) y los sujetos regulados (concesionarios y autorizados), en lo que se refiere a costos, ingresos, inversiones u otros parámetros operativos del desempeño de los agentes regulados, entre otros.</w:t>
      </w:r>
    </w:p>
    <w:p w14:paraId="580D3F34" w14:textId="77777777" w:rsidR="00A1321B" w:rsidRPr="008609D1" w:rsidRDefault="00A1321B" w:rsidP="00A1321B">
      <w:pPr>
        <w:pStyle w:val="Normalresolucion"/>
      </w:pPr>
      <w:r w:rsidRPr="008609D1">
        <w:t>Asimismo, la separación contable es un instrumento de información fundamental para el cumplimiento de determinadas funciones regulatorias y objetivos del Instituto, muy especialmente para la definición y monitoreo de aquellas políticas regulatorias que por su complejidad son intensivas en el uso de la información.</w:t>
      </w:r>
    </w:p>
    <w:p w14:paraId="0F3E8B08" w14:textId="77777777" w:rsidR="00A1321B" w:rsidRPr="008609D1" w:rsidRDefault="00A1321B" w:rsidP="00A1321B">
      <w:pPr>
        <w:pStyle w:val="Normalresolucion"/>
      </w:pPr>
      <w:r w:rsidRPr="008609D1">
        <w:t>Aunado a lo anterior, la contabilidad separada ayuda en la supervisión y verificación del cumplimiento de la normatividad y legislación aplicable, ya que permite conocer la operación y explotación de los servicios de telecomunicaciones por servicio, función y componentes de las redes.</w:t>
      </w:r>
    </w:p>
    <w:p w14:paraId="6D685CEA" w14:textId="77777777" w:rsidR="00A1321B" w:rsidRPr="008609D1" w:rsidRDefault="00A1321B" w:rsidP="00A1321B">
      <w:pPr>
        <w:pStyle w:val="Normalresolucion"/>
      </w:pPr>
      <w:r w:rsidRPr="008609D1">
        <w:t>La separación contable sirve también como herramienta de verificación en la prestación igual a igual en la auto-provisión, como en la venta a terceros, es decir, el cumplimiento del principio de no discriminación.</w:t>
      </w:r>
    </w:p>
    <w:p w14:paraId="57C160E3" w14:textId="77777777" w:rsidR="00A1321B" w:rsidRPr="008609D1" w:rsidRDefault="00A1321B" w:rsidP="00A1321B">
      <w:pPr>
        <w:pStyle w:val="Normalresolucion"/>
      </w:pPr>
      <w:r w:rsidRPr="008609D1">
        <w:t>Por otro lado, el principio de no discriminación se entiende como aquel que vela por la paridad en las políticas comerciales de un concesionario con sus iguales en el mercado. Esto incluye, fundamentalmente (i) la tarificación mayorista homogénea a todas las contrapartes, sin fluctuaciones no justificadas y (ii) la orientación a costos propios de prestación del servicio de los cargos aplicados a terceros operadores.</w:t>
      </w:r>
    </w:p>
    <w:p w14:paraId="30AEC340" w14:textId="77777777" w:rsidR="00A1321B" w:rsidRPr="008609D1" w:rsidRDefault="00A1321B" w:rsidP="00A1321B">
      <w:pPr>
        <w:pStyle w:val="Normalresolucion"/>
      </w:pPr>
      <w:r w:rsidRPr="008609D1">
        <w:t>En este sentido, con la información obtenida de la contabilidad separada el Instituto pretende tener la posibilidad de identificar potenciales prácticas anticompetitivas, tal y como estrechamiento de márgenes, precios predatorios o subsidios cruzados, entre otras conductas, así como para detectar un potencial trato discriminatorio en la prestación de los servicios. Con ello, se dota de certidumbre a los inversionistas ya que su incursión en el mercado será en condiciones equitativas.</w:t>
      </w:r>
    </w:p>
    <w:p w14:paraId="3B853F79" w14:textId="77777777" w:rsidR="00A1321B" w:rsidRPr="008609D1" w:rsidRDefault="00A1321B" w:rsidP="00A1321B">
      <w:pPr>
        <w:pStyle w:val="Normalresolucion"/>
      </w:pPr>
    </w:p>
    <w:p w14:paraId="01E0DAE7" w14:textId="77777777" w:rsidR="00A1321B" w:rsidRPr="008609D1" w:rsidRDefault="00A1321B" w:rsidP="00A1321B">
      <w:pPr>
        <w:pStyle w:val="Ttulo2"/>
        <w:keepNext/>
        <w:keepLines/>
      </w:pPr>
      <w:bookmarkStart w:id="5" w:name="_Toc484022083"/>
      <w:r w:rsidRPr="008609D1">
        <w:lastRenderedPageBreak/>
        <w:t>TERCERO. Evidencia Internacional.</w:t>
      </w:r>
      <w:bookmarkEnd w:id="5"/>
    </w:p>
    <w:p w14:paraId="2A3A9082" w14:textId="77777777" w:rsidR="00A1321B" w:rsidRPr="008609D1" w:rsidRDefault="00A1321B" w:rsidP="00A1321B">
      <w:pPr>
        <w:pStyle w:val="Normalresolucion"/>
        <w:keepNext/>
        <w:keepLines/>
      </w:pPr>
      <w:r w:rsidRPr="008609D1">
        <w:t>La separación contable como instrumento regulatorio y de información es una medida extendida en el ámbito internacional y con una trayectoria probada en la generación de información de relevancia en la regulación de mercados de telecomunicaciones y radiodifusión. Es una medida regulatoria común para monitorear procesos regulatorios tal y como el control de precios y la identificación de potenciales prácticas anticompetitivas, entre otros.</w:t>
      </w:r>
    </w:p>
    <w:p w14:paraId="23C694BC" w14:textId="4311906C" w:rsidR="00A1321B" w:rsidRPr="008609D1" w:rsidRDefault="00A1321B" w:rsidP="00A1321B">
      <w:pPr>
        <w:pStyle w:val="Normalresolucion"/>
        <w:keepNext/>
        <w:keepLines/>
      </w:pPr>
      <w:r w:rsidRPr="008609D1">
        <w:t>En particular, según reporta la Unión Internacional de Telecomunicaciones (UIT) en un estudio sobre la implementación de la separación contable en el año 201</w:t>
      </w:r>
      <w:r w:rsidR="0011006C">
        <w:t>6</w:t>
      </w:r>
      <w:r w:rsidRPr="008609D1">
        <w:rPr>
          <w:rStyle w:val="Refdenotaalpie"/>
        </w:rPr>
        <w:footnoteReference w:id="2"/>
      </w:r>
      <w:r w:rsidRPr="008609D1">
        <w:t>, un 5</w:t>
      </w:r>
      <w:r w:rsidR="0011006C">
        <w:t>7</w:t>
      </w:r>
      <w:r w:rsidRPr="008609D1">
        <w:t>.</w:t>
      </w:r>
      <w:r w:rsidR="0011006C">
        <w:t>32</w:t>
      </w:r>
      <w:r w:rsidRPr="008609D1">
        <w:t>% de los países analizados (90 de 15</w:t>
      </w:r>
      <w:r w:rsidR="0011006C">
        <w:t>7</w:t>
      </w:r>
      <w:r w:rsidRPr="008609D1">
        <w:t>) cuentan ya con esta herramienta, con una especial adopción en los continentes Europeo y Americano (8</w:t>
      </w:r>
      <w:r w:rsidR="0011006C">
        <w:t>5</w:t>
      </w:r>
      <w:r w:rsidRPr="008609D1">
        <w:t>.</w:t>
      </w:r>
      <w:r w:rsidR="0011006C">
        <w:t>71</w:t>
      </w:r>
      <w:r w:rsidRPr="008609D1">
        <w:t>% y 6</w:t>
      </w:r>
      <w:r w:rsidR="0011006C">
        <w:t>1</w:t>
      </w:r>
      <w:r w:rsidRPr="008609D1">
        <w:t>.</w:t>
      </w:r>
      <w:r w:rsidR="0011006C">
        <w:t>3</w:t>
      </w:r>
      <w:r w:rsidRPr="008609D1">
        <w:t>% respectivamente). Además un 2</w:t>
      </w:r>
      <w:r w:rsidR="0011006C">
        <w:t>2</w:t>
      </w:r>
      <w:r>
        <w:t>.</w:t>
      </w:r>
      <w:r w:rsidR="0011006C">
        <w:t>93</w:t>
      </w:r>
      <w:r w:rsidRPr="008609D1">
        <w:t>% adicional de los países analizados (3</w:t>
      </w:r>
      <w:r w:rsidR="0011006C">
        <w:t>6</w:t>
      </w:r>
      <w:r w:rsidRPr="008609D1">
        <w:t xml:space="preserve"> de 158) estaría planeando su implementación.</w:t>
      </w:r>
    </w:p>
    <w:p w14:paraId="1444C20C" w14:textId="77777777" w:rsidR="00A1321B" w:rsidRPr="008609D1" w:rsidRDefault="00A1321B" w:rsidP="00A1321B">
      <w:pPr>
        <w:pStyle w:val="Normalresolucion"/>
      </w:pPr>
      <w:r w:rsidRPr="008609D1">
        <w:t>La imposición de la obligación de separación contable suele enmarcarse en diversos contextos regulatorios, como ejemplo se pueden señalar aquellos orientados a una regulación de carácter general o típicamente a aquellos aplicables a la regulación asimétrica relativa a la dominancia. Se puede hacer referencia a una regulación sectorial, cuando la obligación se impone a todo el sector en general. En estos casos y cuando resulte aplicable, la obligación se puede sujetar a la relevancia y peso de los operadores en el mercado. Por ejemplo, se puede definir un umbral de ingresos por arriba del cual los operadores se encuentren obligados a presentar una separación contable más detallada.</w:t>
      </w:r>
    </w:p>
    <w:p w14:paraId="2CD5005B" w14:textId="77777777" w:rsidR="00A1321B" w:rsidRPr="008609D1" w:rsidRDefault="00A1321B" w:rsidP="00A1321B">
      <w:pPr>
        <w:pStyle w:val="Normalresolucion"/>
      </w:pPr>
      <w:r w:rsidRPr="008609D1">
        <w:t xml:space="preserve">En otros casos, se aplica una regulación de separación contable como consecuencia de un estado de dominancia por parte de algunos agentes económicos, cuando la obligación se impone únicamente a aquellos operadores identificados con poder sustancial de mercado en uno o más mercados relevantes. </w:t>
      </w:r>
    </w:p>
    <w:p w14:paraId="027B6D2B" w14:textId="77777777" w:rsidR="00AE158F" w:rsidRDefault="00A1321B" w:rsidP="00154F13">
      <w:pPr>
        <w:pStyle w:val="Normalresolucion"/>
      </w:pPr>
      <w:r w:rsidRPr="008609D1">
        <w:t>En la práctica internacional se identifican diversas aproximaciones en la imposición de la obligación de separación contable. A continuación, se incluyen algunos ejemplos ilustrativos:</w:t>
      </w:r>
    </w:p>
    <w:p w14:paraId="5417B062" w14:textId="77777777" w:rsidR="00AE158F" w:rsidRDefault="00AE158F" w:rsidP="00154F13">
      <w:pPr>
        <w:pStyle w:val="Normalresolucion"/>
        <w:jc w:val="center"/>
        <w:rPr>
          <w:b/>
          <w:sz w:val="20"/>
          <w:szCs w:val="20"/>
          <w:lang w:val="es-MX"/>
        </w:rPr>
      </w:pPr>
    </w:p>
    <w:p w14:paraId="2BD68E6D" w14:textId="77777777" w:rsidR="00AE158F" w:rsidRDefault="00AE158F" w:rsidP="00154F13">
      <w:pPr>
        <w:pStyle w:val="Normalresolucion"/>
        <w:jc w:val="center"/>
        <w:rPr>
          <w:b/>
          <w:sz w:val="20"/>
          <w:szCs w:val="20"/>
          <w:lang w:val="es-MX"/>
        </w:rPr>
      </w:pPr>
    </w:p>
    <w:p w14:paraId="6122A883" w14:textId="77777777" w:rsidR="00AE158F" w:rsidRDefault="00AE158F" w:rsidP="00154F13">
      <w:pPr>
        <w:pStyle w:val="Normalresolucion"/>
        <w:jc w:val="center"/>
        <w:rPr>
          <w:b/>
          <w:sz w:val="20"/>
          <w:szCs w:val="20"/>
          <w:lang w:val="es-MX"/>
        </w:rPr>
      </w:pPr>
    </w:p>
    <w:p w14:paraId="09A79D48" w14:textId="77777777" w:rsidR="00AE158F" w:rsidRDefault="00AE158F" w:rsidP="00154F13">
      <w:pPr>
        <w:pStyle w:val="Normalresolucion"/>
        <w:jc w:val="center"/>
        <w:rPr>
          <w:b/>
          <w:sz w:val="20"/>
          <w:szCs w:val="20"/>
          <w:lang w:val="es-MX"/>
        </w:rPr>
      </w:pPr>
    </w:p>
    <w:p w14:paraId="7E499803" w14:textId="77777777" w:rsidR="00AE158F" w:rsidRDefault="00AE158F" w:rsidP="00154F13">
      <w:pPr>
        <w:pStyle w:val="Normalresolucion"/>
        <w:jc w:val="center"/>
        <w:rPr>
          <w:b/>
          <w:sz w:val="20"/>
          <w:szCs w:val="20"/>
          <w:lang w:val="es-MX"/>
        </w:rPr>
      </w:pPr>
    </w:p>
    <w:p w14:paraId="6859A885" w14:textId="77777777" w:rsidR="00AE158F" w:rsidRPr="00154F13" w:rsidRDefault="00AE158F" w:rsidP="00154F13">
      <w:pPr>
        <w:pStyle w:val="Normalresolucion"/>
        <w:jc w:val="center"/>
      </w:pPr>
      <w:r w:rsidRPr="008609D1">
        <w:rPr>
          <w:b/>
          <w:sz w:val="20"/>
          <w:szCs w:val="20"/>
          <w:lang w:val="es-MX"/>
        </w:rPr>
        <w:lastRenderedPageBreak/>
        <w:t xml:space="preserve">Tabla </w:t>
      </w:r>
      <w:r w:rsidRPr="008609D1">
        <w:rPr>
          <w:b/>
          <w:sz w:val="20"/>
          <w:szCs w:val="20"/>
          <w:lang w:val="es-MX"/>
        </w:rPr>
        <w:fldChar w:fldCharType="begin"/>
      </w:r>
      <w:r w:rsidRPr="008609D1">
        <w:rPr>
          <w:b/>
          <w:sz w:val="20"/>
          <w:szCs w:val="20"/>
          <w:lang w:val="es-MX"/>
        </w:rPr>
        <w:instrText xml:space="preserve"> SEQ Tabla \* ARABIC </w:instrText>
      </w:r>
      <w:r w:rsidRPr="008609D1">
        <w:rPr>
          <w:b/>
          <w:sz w:val="20"/>
          <w:szCs w:val="20"/>
          <w:lang w:val="es-MX"/>
        </w:rPr>
        <w:fldChar w:fldCharType="separate"/>
      </w:r>
      <w:r w:rsidRPr="008609D1">
        <w:rPr>
          <w:b/>
          <w:noProof/>
          <w:sz w:val="20"/>
          <w:szCs w:val="20"/>
          <w:lang w:val="es-MX"/>
        </w:rPr>
        <w:t>1</w:t>
      </w:r>
      <w:r w:rsidRPr="008609D1">
        <w:rPr>
          <w:b/>
          <w:sz w:val="20"/>
          <w:szCs w:val="20"/>
          <w:lang w:val="es-MX"/>
        </w:rPr>
        <w:fldChar w:fldCharType="end"/>
      </w:r>
      <w:r w:rsidRPr="008609D1">
        <w:rPr>
          <w:b/>
          <w:sz w:val="20"/>
          <w:szCs w:val="20"/>
          <w:lang w:val="es-MX"/>
        </w:rPr>
        <w:t>: Contexto de la obligación de separación contable</w:t>
      </w:r>
      <w:r w:rsidRPr="008609D1">
        <w:rPr>
          <w:b/>
          <w:sz w:val="20"/>
          <w:szCs w:val="20"/>
          <w:vertAlign w:val="superscript"/>
          <w:lang w:val="es-MX"/>
        </w:rPr>
        <w:footnoteReference w:id="3"/>
      </w:r>
      <w:r w:rsidRPr="008609D1">
        <w:rPr>
          <w:b/>
          <w:sz w:val="20"/>
          <w:szCs w:val="20"/>
        </w:rPr>
        <w:t xml:space="preserve"> [Fuente: Estudio interno del Instituto]</w:t>
      </w:r>
    </w:p>
    <w:tbl>
      <w:tblPr>
        <w:tblStyle w:val="Tablaconcuadrcula"/>
        <w:tblW w:w="3486" w:type="pct"/>
        <w:jc w:val="center"/>
        <w:tblLayout w:type="fixed"/>
        <w:tblLook w:val="04A0" w:firstRow="1" w:lastRow="0" w:firstColumn="1" w:lastColumn="0" w:noHBand="0" w:noVBand="1"/>
      </w:tblPr>
      <w:tblGrid>
        <w:gridCol w:w="2855"/>
        <w:gridCol w:w="3300"/>
      </w:tblGrid>
      <w:tr w:rsidR="00A1321B" w:rsidRPr="008609D1" w14:paraId="0DADD3AF" w14:textId="77777777" w:rsidTr="008B4286">
        <w:trPr>
          <w:trHeight w:val="340"/>
          <w:jc w:val="center"/>
        </w:trPr>
        <w:tc>
          <w:tcPr>
            <w:tcW w:w="2927" w:type="dxa"/>
            <w:tcBorders>
              <w:bottom w:val="single" w:sz="4" w:space="0" w:color="auto"/>
            </w:tcBorders>
            <w:shd w:val="clear" w:color="auto" w:fill="BFBFBF" w:themeFill="background1" w:themeFillShade="BF"/>
            <w:vAlign w:val="center"/>
            <w:hideMark/>
          </w:tcPr>
          <w:p w14:paraId="4B7FDB8C" w14:textId="77777777" w:rsidR="00A1321B" w:rsidRPr="008609D1" w:rsidRDefault="00A1321B" w:rsidP="008B4286">
            <w:pPr>
              <w:keepNext/>
              <w:keepLines/>
              <w:jc w:val="center"/>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Regulación sectorial</w:t>
            </w:r>
          </w:p>
        </w:tc>
        <w:tc>
          <w:tcPr>
            <w:tcW w:w="3385" w:type="dxa"/>
            <w:tcBorders>
              <w:bottom w:val="single" w:sz="4" w:space="0" w:color="auto"/>
            </w:tcBorders>
            <w:shd w:val="clear" w:color="auto" w:fill="BFBFBF" w:themeFill="background1" w:themeFillShade="BF"/>
            <w:vAlign w:val="center"/>
            <w:hideMark/>
          </w:tcPr>
          <w:p w14:paraId="03166859" w14:textId="77777777" w:rsidR="00A1321B" w:rsidRPr="008609D1" w:rsidRDefault="00A1321B" w:rsidP="008B4286">
            <w:pPr>
              <w:keepNext/>
              <w:keepLines/>
              <w:jc w:val="center"/>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Regulación por dominancia</w:t>
            </w:r>
          </w:p>
        </w:tc>
      </w:tr>
      <w:tr w:rsidR="00A1321B" w:rsidRPr="008609D1" w14:paraId="5DFF5A02" w14:textId="77777777" w:rsidTr="008B4286">
        <w:trPr>
          <w:trHeight w:val="340"/>
          <w:jc w:val="center"/>
        </w:trPr>
        <w:tc>
          <w:tcPr>
            <w:tcW w:w="2927" w:type="dxa"/>
            <w:tcBorders>
              <w:left w:val="single" w:sz="4" w:space="0" w:color="auto"/>
              <w:bottom w:val="nil"/>
              <w:right w:val="single" w:sz="4" w:space="0" w:color="auto"/>
            </w:tcBorders>
            <w:noWrap/>
            <w:vAlign w:val="center"/>
          </w:tcPr>
          <w:p w14:paraId="609EA0A3"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Colombia</w:t>
            </w:r>
          </w:p>
        </w:tc>
        <w:tc>
          <w:tcPr>
            <w:tcW w:w="3385" w:type="dxa"/>
            <w:tcBorders>
              <w:left w:val="single" w:sz="4" w:space="0" w:color="auto"/>
              <w:bottom w:val="nil"/>
              <w:right w:val="single" w:sz="4" w:space="0" w:color="auto"/>
            </w:tcBorders>
            <w:vAlign w:val="center"/>
          </w:tcPr>
          <w:p w14:paraId="408589AC"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Brasil</w:t>
            </w:r>
          </w:p>
        </w:tc>
      </w:tr>
      <w:tr w:rsidR="00A1321B" w:rsidRPr="008609D1" w14:paraId="28B8BF9B" w14:textId="77777777" w:rsidTr="008B4286">
        <w:trPr>
          <w:trHeight w:val="340"/>
          <w:jc w:val="center"/>
        </w:trPr>
        <w:tc>
          <w:tcPr>
            <w:tcW w:w="2927" w:type="dxa"/>
            <w:tcBorders>
              <w:top w:val="nil"/>
              <w:left w:val="single" w:sz="4" w:space="0" w:color="auto"/>
              <w:bottom w:val="nil"/>
              <w:right w:val="single" w:sz="4" w:space="0" w:color="auto"/>
            </w:tcBorders>
            <w:noWrap/>
            <w:vAlign w:val="center"/>
          </w:tcPr>
          <w:p w14:paraId="282CE65B"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Ecuador</w:t>
            </w:r>
          </w:p>
        </w:tc>
        <w:tc>
          <w:tcPr>
            <w:tcW w:w="3385" w:type="dxa"/>
            <w:tcBorders>
              <w:top w:val="nil"/>
              <w:left w:val="single" w:sz="4" w:space="0" w:color="auto"/>
              <w:bottom w:val="nil"/>
              <w:right w:val="single" w:sz="4" w:space="0" w:color="auto"/>
            </w:tcBorders>
            <w:vAlign w:val="center"/>
          </w:tcPr>
          <w:p w14:paraId="5D8DEC8D"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Costa Rica</w:t>
            </w:r>
          </w:p>
        </w:tc>
      </w:tr>
      <w:tr w:rsidR="00A1321B" w:rsidRPr="008609D1" w14:paraId="0AF90608" w14:textId="77777777" w:rsidTr="008B4286">
        <w:trPr>
          <w:trHeight w:val="340"/>
          <w:jc w:val="center"/>
        </w:trPr>
        <w:tc>
          <w:tcPr>
            <w:tcW w:w="2927" w:type="dxa"/>
            <w:tcBorders>
              <w:top w:val="nil"/>
              <w:left w:val="single" w:sz="4" w:space="0" w:color="auto"/>
              <w:bottom w:val="nil"/>
              <w:right w:val="single" w:sz="4" w:space="0" w:color="auto"/>
            </w:tcBorders>
            <w:noWrap/>
            <w:vAlign w:val="center"/>
          </w:tcPr>
          <w:p w14:paraId="529B63BE"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 Salvador</w:t>
            </w:r>
          </w:p>
        </w:tc>
        <w:tc>
          <w:tcPr>
            <w:tcW w:w="3385" w:type="dxa"/>
            <w:tcBorders>
              <w:top w:val="nil"/>
              <w:left w:val="single" w:sz="4" w:space="0" w:color="auto"/>
              <w:bottom w:val="nil"/>
              <w:right w:val="single" w:sz="4" w:space="0" w:color="auto"/>
            </w:tcBorders>
            <w:vAlign w:val="center"/>
          </w:tcPr>
          <w:p w14:paraId="2E4E3FF9"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España</w:t>
            </w:r>
          </w:p>
        </w:tc>
      </w:tr>
      <w:tr w:rsidR="00A1321B" w:rsidRPr="008609D1" w14:paraId="65277A6A" w14:textId="77777777" w:rsidTr="008B4286">
        <w:trPr>
          <w:trHeight w:val="340"/>
          <w:jc w:val="center"/>
        </w:trPr>
        <w:tc>
          <w:tcPr>
            <w:tcW w:w="2927" w:type="dxa"/>
            <w:tcBorders>
              <w:top w:val="nil"/>
              <w:left w:val="single" w:sz="4" w:space="0" w:color="auto"/>
              <w:bottom w:val="nil"/>
              <w:right w:val="single" w:sz="4" w:space="0" w:color="auto"/>
            </w:tcBorders>
            <w:noWrap/>
            <w:vAlign w:val="center"/>
          </w:tcPr>
          <w:p w14:paraId="0E691AD4"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Perú</w:t>
            </w:r>
          </w:p>
        </w:tc>
        <w:tc>
          <w:tcPr>
            <w:tcW w:w="3385" w:type="dxa"/>
            <w:tcBorders>
              <w:top w:val="nil"/>
              <w:left w:val="single" w:sz="4" w:space="0" w:color="auto"/>
              <w:bottom w:val="nil"/>
              <w:right w:val="single" w:sz="4" w:space="0" w:color="auto"/>
            </w:tcBorders>
            <w:vAlign w:val="center"/>
          </w:tcPr>
          <w:p w14:paraId="7136FA26"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Reino Unido</w:t>
            </w:r>
          </w:p>
        </w:tc>
      </w:tr>
      <w:tr w:rsidR="00A1321B" w:rsidRPr="008609D1" w14:paraId="5CD8AF93" w14:textId="77777777" w:rsidTr="008B4286">
        <w:trPr>
          <w:trHeight w:val="340"/>
          <w:jc w:val="center"/>
        </w:trPr>
        <w:tc>
          <w:tcPr>
            <w:tcW w:w="2927" w:type="dxa"/>
            <w:tcBorders>
              <w:top w:val="nil"/>
              <w:left w:val="single" w:sz="4" w:space="0" w:color="auto"/>
              <w:bottom w:val="nil"/>
              <w:right w:val="single" w:sz="4" w:space="0" w:color="auto"/>
            </w:tcBorders>
            <w:noWrap/>
            <w:vAlign w:val="center"/>
          </w:tcPr>
          <w:p w14:paraId="36902307"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República Dominicana</w:t>
            </w:r>
          </w:p>
        </w:tc>
        <w:tc>
          <w:tcPr>
            <w:tcW w:w="3385" w:type="dxa"/>
            <w:tcBorders>
              <w:top w:val="nil"/>
              <w:left w:val="single" w:sz="4" w:space="0" w:color="auto"/>
              <w:bottom w:val="nil"/>
              <w:right w:val="single" w:sz="4" w:space="0" w:color="auto"/>
            </w:tcBorders>
            <w:vAlign w:val="center"/>
          </w:tcPr>
          <w:p w14:paraId="529C9A4F"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Singapur</w:t>
            </w:r>
          </w:p>
        </w:tc>
      </w:tr>
      <w:tr w:rsidR="00A1321B" w:rsidRPr="008609D1" w14:paraId="1300BBA8" w14:textId="77777777" w:rsidTr="008B4286">
        <w:trPr>
          <w:trHeight w:val="340"/>
          <w:jc w:val="center"/>
        </w:trPr>
        <w:tc>
          <w:tcPr>
            <w:tcW w:w="2927" w:type="dxa"/>
            <w:tcBorders>
              <w:top w:val="nil"/>
              <w:left w:val="single" w:sz="4" w:space="0" w:color="auto"/>
              <w:bottom w:val="nil"/>
              <w:right w:val="single" w:sz="4" w:space="0" w:color="auto"/>
            </w:tcBorders>
            <w:noWrap/>
            <w:vAlign w:val="center"/>
          </w:tcPr>
          <w:p w14:paraId="7FD4834C"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Uruguay</w:t>
            </w:r>
          </w:p>
        </w:tc>
        <w:tc>
          <w:tcPr>
            <w:tcW w:w="3385" w:type="dxa"/>
            <w:tcBorders>
              <w:top w:val="nil"/>
              <w:left w:val="single" w:sz="4" w:space="0" w:color="auto"/>
              <w:bottom w:val="nil"/>
              <w:right w:val="single" w:sz="4" w:space="0" w:color="auto"/>
            </w:tcBorders>
            <w:vAlign w:val="center"/>
          </w:tcPr>
          <w:p w14:paraId="16BE0634"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Arabia Saudita</w:t>
            </w:r>
          </w:p>
        </w:tc>
      </w:tr>
      <w:tr w:rsidR="00A1321B" w:rsidRPr="008609D1" w14:paraId="5623F2CD" w14:textId="77777777" w:rsidTr="008B4286">
        <w:trPr>
          <w:trHeight w:val="340"/>
          <w:jc w:val="center"/>
        </w:trPr>
        <w:tc>
          <w:tcPr>
            <w:tcW w:w="2927" w:type="dxa"/>
            <w:tcBorders>
              <w:top w:val="nil"/>
              <w:left w:val="single" w:sz="4" w:space="0" w:color="auto"/>
              <w:bottom w:val="single" w:sz="4" w:space="0" w:color="auto"/>
              <w:right w:val="single" w:sz="4" w:space="0" w:color="auto"/>
            </w:tcBorders>
            <w:noWrap/>
            <w:vAlign w:val="center"/>
          </w:tcPr>
          <w:p w14:paraId="1E2BC971"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India</w:t>
            </w:r>
          </w:p>
        </w:tc>
        <w:tc>
          <w:tcPr>
            <w:tcW w:w="3385" w:type="dxa"/>
            <w:tcBorders>
              <w:top w:val="nil"/>
              <w:left w:val="single" w:sz="4" w:space="0" w:color="auto"/>
              <w:bottom w:val="single" w:sz="4" w:space="0" w:color="auto"/>
              <w:right w:val="single" w:sz="4" w:space="0" w:color="auto"/>
            </w:tcBorders>
            <w:vAlign w:val="center"/>
          </w:tcPr>
          <w:p w14:paraId="10DBAA61" w14:textId="77777777" w:rsidR="00A1321B" w:rsidRPr="008609D1" w:rsidRDefault="00A1321B" w:rsidP="008B4286">
            <w:pPr>
              <w:keepNext/>
              <w:keepLines/>
              <w:spacing w:before="40" w:after="40"/>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Omán</w:t>
            </w:r>
          </w:p>
        </w:tc>
      </w:tr>
    </w:tbl>
    <w:p w14:paraId="2AF1E0F2" w14:textId="77777777" w:rsidR="00A1321B" w:rsidRPr="008609D1" w:rsidRDefault="00A1321B" w:rsidP="00A1321B">
      <w:pPr>
        <w:pStyle w:val="Normalresolucion"/>
      </w:pPr>
      <w:r w:rsidRPr="008609D1">
        <w:t>Ahora bien, con el fin de comprender la situación actual en materia de separación contable en el marco internacional se ha realizado un ejercicio de recopilación y comparación de alternativas metodológicas adoptadas en el anterior conjunto de países. Para este ejercicio, se contemplan diversas variables que caracterizan el funcionamiento de la separación contable, entre ellas:</w:t>
      </w:r>
    </w:p>
    <w:p w14:paraId="1C4F5CF0" w14:textId="77777777" w:rsidR="00A1321B" w:rsidRPr="008609D1" w:rsidRDefault="00A1321B" w:rsidP="00A1321B">
      <w:pPr>
        <w:pStyle w:val="Indentadoresolucin"/>
      </w:pPr>
      <w:r w:rsidRPr="008609D1">
        <w:rPr>
          <w:u w:val="single"/>
        </w:rPr>
        <w:t xml:space="preserve">Fundamento de la obligación: </w:t>
      </w:r>
      <w:r w:rsidRPr="008609D1">
        <w:t>Contexto regulatorio y ordenamiento jurídico en el que se sustenta e impone la obligación de separación contable, ya sea mediante una aproximación sectorial o basada en el concepto de dominancia.</w:t>
      </w:r>
    </w:p>
    <w:p w14:paraId="2BAD1F6E" w14:textId="1C448221" w:rsidR="00A1321B" w:rsidRPr="008609D1" w:rsidRDefault="00A1321B" w:rsidP="00A1321B">
      <w:pPr>
        <w:pStyle w:val="Indentadoresolucin"/>
      </w:pPr>
      <w:r w:rsidRPr="008609D1">
        <w:rPr>
          <w:u w:val="single"/>
        </w:rPr>
        <w:t>Metodología de distribución de costos</w:t>
      </w:r>
      <w:r w:rsidRPr="008609D1">
        <w:t xml:space="preserve">: Criterios utilizados para la identificación e imputación de costos de acuerdo con el nivel de desagregación establecido en la </w:t>
      </w:r>
      <w:r>
        <w:t>s</w:t>
      </w:r>
      <w:r w:rsidRPr="008609D1">
        <w:t>eparación contable, ya sea Costos Completamente Distribuidos (CCD), donde la totalidad de los costos comunes y compartidos son asignados a las cuentas de servicios o Costos Incrementales de Largo Plazo (CILP) que considera el costo total que una firma podría evitar en el largo plazo si dejara de proveer un determinado servicio.</w:t>
      </w:r>
    </w:p>
    <w:p w14:paraId="2B9B9A4D" w14:textId="77777777" w:rsidR="00A1321B" w:rsidRPr="008609D1" w:rsidRDefault="00A1321B" w:rsidP="00A1321B">
      <w:pPr>
        <w:pStyle w:val="Indentadoresolucin"/>
      </w:pPr>
      <w:r w:rsidRPr="008609D1">
        <w:rPr>
          <w:u w:val="single"/>
        </w:rPr>
        <w:t>Base de costos</w:t>
      </w:r>
      <w:r w:rsidRPr="008609D1">
        <w:t>: Conjunto de reglas y principios para medir los costos de una empresa, habitualmente se distingue entre los estándares de Costos Históricos (CH) y Costos Actuales (CA).</w:t>
      </w:r>
    </w:p>
    <w:p w14:paraId="0B7B3F90" w14:textId="77777777" w:rsidR="00A1321B" w:rsidRPr="008609D1" w:rsidRDefault="00A1321B" w:rsidP="00A1321B">
      <w:pPr>
        <w:pStyle w:val="Indentadoresolucin"/>
      </w:pPr>
      <w:r w:rsidRPr="008609D1">
        <w:rPr>
          <w:u w:val="single"/>
        </w:rPr>
        <w:t>Método de valoración a Costos Actuales (CA)</w:t>
      </w:r>
      <w:r w:rsidRPr="008609D1">
        <w:t>: Alternativas metodológicas para la revaluación de los activos a costos actuales, como por ejemplo indexación, valoración absoluta o activos modernos equivalentes.</w:t>
      </w:r>
    </w:p>
    <w:p w14:paraId="124224A6" w14:textId="77777777" w:rsidR="00A1321B" w:rsidRPr="008609D1" w:rsidRDefault="00A1321B" w:rsidP="00A1321B">
      <w:pPr>
        <w:pStyle w:val="Indentadoresolucin"/>
      </w:pPr>
      <w:r w:rsidRPr="008609D1">
        <w:rPr>
          <w:u w:val="single"/>
        </w:rPr>
        <w:t>Método de depreciación</w:t>
      </w:r>
      <w:r w:rsidRPr="008609D1">
        <w:t>: Aproximación seguida para la anualización de los costos asociados al capital de los activos (p.ej. depreciación lineal o anualidad financiera).</w:t>
      </w:r>
    </w:p>
    <w:p w14:paraId="0E84A3AA" w14:textId="56C8FBDC" w:rsidR="00A1321B" w:rsidRPr="008609D1" w:rsidRDefault="00A1321B" w:rsidP="00A1321B">
      <w:pPr>
        <w:pStyle w:val="Indentadoresolucin"/>
      </w:pPr>
      <w:r w:rsidRPr="008609D1">
        <w:rPr>
          <w:u w:val="single"/>
        </w:rPr>
        <w:t>Periodicidad de la obligación</w:t>
      </w:r>
      <w:r w:rsidRPr="008609D1">
        <w:t xml:space="preserve">: Lapso tras el cual los operadores deben presentar los resultados de su separación contable al </w:t>
      </w:r>
      <w:r>
        <w:t>r</w:t>
      </w:r>
      <w:r w:rsidRPr="008609D1">
        <w:t>egulador de manera periódica, el cual suele ser semestral o anual.</w:t>
      </w:r>
    </w:p>
    <w:p w14:paraId="11875C72" w14:textId="77777777" w:rsidR="00A1321B" w:rsidRPr="008609D1" w:rsidRDefault="00A1321B" w:rsidP="00A1321B">
      <w:pPr>
        <w:pStyle w:val="Indentadoresolucin"/>
      </w:pPr>
      <w:r w:rsidRPr="008609D1">
        <w:rPr>
          <w:u w:val="single"/>
        </w:rPr>
        <w:lastRenderedPageBreak/>
        <w:t>Aproximación para mantenimiento del capital</w:t>
      </w:r>
      <w:r w:rsidRPr="008609D1">
        <w:t>: Aproximación adoptada para asegurar el mantenimiento de capital, ya sea desde una perspectiva operativa (OCM) o una perspectiva financiera (FCM).</w:t>
      </w:r>
    </w:p>
    <w:p w14:paraId="10F230EC" w14:textId="77777777" w:rsidR="00A1321B" w:rsidRPr="008609D1" w:rsidRDefault="00A1321B" w:rsidP="00A1321B">
      <w:pPr>
        <w:pStyle w:val="Indentadoresolucin"/>
      </w:pPr>
      <w:r w:rsidRPr="008609D1">
        <w:rPr>
          <w:u w:val="single"/>
        </w:rPr>
        <w:t>Definición del WACC aplicable</w:t>
      </w:r>
      <w:r w:rsidRPr="008609D1">
        <w:t>: Hace referencia a la entidad responsable del cálculo del Costo Promedio Ponderado del Capital (WACC, por sus siglas en inglés), la cual puede ser determinada por el propio operador o por el regulador.</w:t>
      </w:r>
    </w:p>
    <w:p w14:paraId="364B875B" w14:textId="77777777" w:rsidR="00A1321B" w:rsidRPr="008609D1" w:rsidRDefault="00A1321B" w:rsidP="00A1321B">
      <w:pPr>
        <w:pStyle w:val="Normalresolucion"/>
      </w:pPr>
      <w:r w:rsidRPr="008609D1">
        <w:t>A continuación, se presentan las obligaciones, requisitos y procedimientos que se impusieron a los operadores regulados en cada país, utilizando una nomenclatura similar, de forma que puedan ser comparables:</w:t>
      </w:r>
    </w:p>
    <w:p w14:paraId="0A947BB0" w14:textId="77777777" w:rsidR="00A1321B" w:rsidRPr="008609D1" w:rsidRDefault="00A1321B" w:rsidP="00A1321B">
      <w:pPr>
        <w:pStyle w:val="Normalresolucion"/>
      </w:pPr>
      <w:bookmarkStart w:id="6" w:name="_Toc484022084"/>
      <w:r w:rsidRPr="008609D1">
        <w:rPr>
          <w:rStyle w:val="Ttulo3Car"/>
        </w:rPr>
        <w:t>1.- Brasil</w:t>
      </w:r>
      <w:bookmarkEnd w:id="6"/>
      <w:r w:rsidRPr="008609D1">
        <w:t xml:space="preserve">. </w:t>
      </w:r>
      <w:r w:rsidRPr="008609D1">
        <w:rPr>
          <w:lang w:val="es-MX"/>
        </w:rPr>
        <w:t>El órgano regulador ANATEL estableció en el año 2005</w:t>
      </w:r>
      <w:r w:rsidRPr="008609D1">
        <w:rPr>
          <w:rStyle w:val="Refdenotaalpie"/>
        </w:rPr>
        <w:footnoteReference w:id="4"/>
      </w:r>
      <w:r w:rsidRPr="008609D1">
        <w:rPr>
          <w:lang w:val="es-MX"/>
        </w:rPr>
        <w:t xml:space="preserve"> la metodología para la implementación de la separación contable, la cual señalaba los siguientes lineamientos</w:t>
      </w:r>
      <w:r w:rsidRPr="008609D1">
        <w:t>:</w:t>
      </w:r>
    </w:p>
    <w:p w14:paraId="7D59C94E" w14:textId="77777777" w:rsidR="00A1321B" w:rsidRPr="008609D1" w:rsidRDefault="00A1321B" w:rsidP="00A1321B">
      <w:pPr>
        <w:pStyle w:val="Indentadoresolucin"/>
      </w:pPr>
      <w:r w:rsidRPr="008609D1">
        <w:rPr>
          <w:i/>
          <w:iCs/>
        </w:rPr>
        <w:t>Fundamento de la obligación</w:t>
      </w:r>
      <w:r w:rsidRPr="008609D1">
        <w:t>: Operadores con poder sustancial de mercado</w:t>
      </w:r>
    </w:p>
    <w:p w14:paraId="788CA247" w14:textId="77777777" w:rsidR="00A1321B" w:rsidRPr="008609D1" w:rsidRDefault="00A1321B" w:rsidP="00A1321B">
      <w:pPr>
        <w:pStyle w:val="Indentadoresolucin"/>
      </w:pPr>
      <w:r w:rsidRPr="008609D1">
        <w:rPr>
          <w:i/>
          <w:iCs/>
        </w:rPr>
        <w:t>Metodología de atribución de costos</w:t>
      </w:r>
      <w:r w:rsidRPr="008609D1">
        <w:t>: Costos completamente distribuidos (CCD) y Costos Incrementales de Largo Plazo (CILP)</w:t>
      </w:r>
    </w:p>
    <w:p w14:paraId="463A8231" w14:textId="77777777" w:rsidR="00A1321B" w:rsidRPr="008609D1" w:rsidRDefault="00A1321B" w:rsidP="00A1321B">
      <w:pPr>
        <w:pStyle w:val="Indentadoresolucin"/>
      </w:pPr>
      <w:r w:rsidRPr="008609D1">
        <w:rPr>
          <w:i/>
          <w:iCs/>
        </w:rPr>
        <w:t>Base de costos</w:t>
      </w:r>
      <w:r w:rsidRPr="008609D1">
        <w:t>: Costos históricos y Costos actuales</w:t>
      </w:r>
    </w:p>
    <w:p w14:paraId="4DA16A24" w14:textId="77777777" w:rsidR="00A1321B" w:rsidRPr="008609D1" w:rsidRDefault="00A1321B" w:rsidP="00A1321B">
      <w:pPr>
        <w:pStyle w:val="Indentadoresolucin"/>
      </w:pPr>
      <w:r w:rsidRPr="008609D1">
        <w:rPr>
          <w:i/>
          <w:iCs/>
        </w:rPr>
        <w:t>Metodología de valoración a Costos Actuales (CA)</w:t>
      </w:r>
      <w:r w:rsidRPr="008609D1">
        <w:t>:</w:t>
      </w:r>
    </w:p>
    <w:p w14:paraId="4471C6D6" w14:textId="77777777" w:rsidR="00A1321B" w:rsidRPr="008609D1" w:rsidRDefault="00A1321B" w:rsidP="00A1321B">
      <w:pPr>
        <w:pStyle w:val="Indentado3"/>
      </w:pPr>
      <w:r w:rsidRPr="008609D1">
        <w:t>Mantenimiento de costos históricos</w:t>
      </w:r>
    </w:p>
    <w:p w14:paraId="5BE5DED3" w14:textId="77777777" w:rsidR="00A1321B" w:rsidRPr="008609D1" w:rsidRDefault="00A1321B" w:rsidP="00A1321B">
      <w:pPr>
        <w:pStyle w:val="Indentado3"/>
      </w:pPr>
      <w:r w:rsidRPr="008609D1">
        <w:t>Valoración absoluta</w:t>
      </w:r>
    </w:p>
    <w:p w14:paraId="1CA231C0" w14:textId="77777777" w:rsidR="00A1321B" w:rsidRPr="008609D1" w:rsidRDefault="00A1321B" w:rsidP="00A1321B">
      <w:pPr>
        <w:pStyle w:val="Indentado3"/>
      </w:pPr>
      <w:r w:rsidRPr="008609D1">
        <w:t>Activo Moderno Equivalente</w:t>
      </w:r>
    </w:p>
    <w:p w14:paraId="155B5836" w14:textId="77777777" w:rsidR="00A1321B" w:rsidRPr="008609D1" w:rsidRDefault="00A1321B" w:rsidP="00A1321B">
      <w:pPr>
        <w:pStyle w:val="Indentadoresolucin"/>
      </w:pPr>
      <w:r w:rsidRPr="008609D1">
        <w:rPr>
          <w:i/>
          <w:iCs/>
        </w:rPr>
        <w:t>Método de depreciación</w:t>
      </w:r>
      <w:r w:rsidRPr="008609D1">
        <w:t>: No definido</w:t>
      </w:r>
    </w:p>
    <w:p w14:paraId="6C53D1B4" w14:textId="77777777" w:rsidR="00A1321B" w:rsidRPr="008609D1" w:rsidRDefault="00A1321B" w:rsidP="00A1321B">
      <w:pPr>
        <w:pStyle w:val="Indentadoresolucin"/>
      </w:pPr>
      <w:r w:rsidRPr="008609D1">
        <w:rPr>
          <w:i/>
          <w:iCs/>
        </w:rPr>
        <w:t>Periodicidad de la obligación</w:t>
      </w:r>
      <w:r w:rsidRPr="008609D1">
        <w:t>: Anual</w:t>
      </w:r>
    </w:p>
    <w:p w14:paraId="66A0C82C" w14:textId="77777777" w:rsidR="00A1321B" w:rsidRPr="008609D1" w:rsidRDefault="00A1321B" w:rsidP="00A1321B">
      <w:pPr>
        <w:pStyle w:val="Indentadoresolucin"/>
      </w:pPr>
      <w:r w:rsidRPr="008609D1">
        <w:rPr>
          <w:i/>
          <w:iCs/>
        </w:rPr>
        <w:t>Aproximación para mantenimiento de capital</w:t>
      </w:r>
      <w:r w:rsidRPr="008609D1">
        <w:t>: No definido</w:t>
      </w:r>
    </w:p>
    <w:p w14:paraId="412C1B79" w14:textId="77777777" w:rsidR="00A1321B" w:rsidRPr="008609D1" w:rsidRDefault="00A1321B" w:rsidP="00A1321B">
      <w:pPr>
        <w:pStyle w:val="Indentadoresolucin"/>
      </w:pPr>
      <w:r w:rsidRPr="008609D1">
        <w:rPr>
          <w:i/>
          <w:iCs/>
        </w:rPr>
        <w:t>Cálculo del WACC</w:t>
      </w:r>
      <w:r w:rsidRPr="008609D1">
        <w:t>: Calculado por el regulador</w:t>
      </w:r>
    </w:p>
    <w:p w14:paraId="5426C27A" w14:textId="77777777" w:rsidR="00A1321B" w:rsidRPr="008609D1" w:rsidRDefault="00A1321B" w:rsidP="00A1321B">
      <w:pPr>
        <w:pStyle w:val="Normalresolucion"/>
      </w:pPr>
      <w:r w:rsidRPr="008609D1">
        <w:rPr>
          <w:b/>
          <w:bCs/>
        </w:rPr>
        <w:t>2.- Colombia</w:t>
      </w:r>
      <w:r w:rsidRPr="008609D1">
        <w:t xml:space="preserve">. </w:t>
      </w:r>
      <w:r w:rsidRPr="008609D1">
        <w:rPr>
          <w:lang w:val="es-MX"/>
        </w:rPr>
        <w:t>La Comisión de Regulación de Comunicaciones definió en 2014 los aspectos bajo los cuales deberá regularse la separación contable en materia de telecomunicaciones</w:t>
      </w:r>
      <w:r w:rsidRPr="008609D1">
        <w:rPr>
          <w:rStyle w:val="Refdenotaalpie"/>
        </w:rPr>
        <w:footnoteReference w:id="5"/>
      </w:r>
      <w:r w:rsidRPr="008609D1">
        <w:rPr>
          <w:lang w:val="es-MX"/>
        </w:rPr>
        <w:t>, mediante la cual se establecía</w:t>
      </w:r>
      <w:r w:rsidRPr="008609D1">
        <w:t>:</w:t>
      </w:r>
    </w:p>
    <w:p w14:paraId="6DFFB422" w14:textId="77777777" w:rsidR="00A1321B" w:rsidRPr="008609D1" w:rsidRDefault="00A1321B" w:rsidP="00A1321B">
      <w:pPr>
        <w:pStyle w:val="Indentadoresolucin"/>
      </w:pPr>
      <w:r w:rsidRPr="008609D1">
        <w:rPr>
          <w:i/>
          <w:iCs/>
        </w:rPr>
        <w:t>Fundamento de la obligación</w:t>
      </w:r>
      <w:r w:rsidRPr="008609D1">
        <w:t>: Sectorial</w:t>
      </w:r>
    </w:p>
    <w:p w14:paraId="05AE7930" w14:textId="77777777" w:rsidR="00A1321B" w:rsidRPr="008609D1" w:rsidRDefault="00A1321B" w:rsidP="00A1321B">
      <w:pPr>
        <w:pStyle w:val="Indentadoresolucin"/>
      </w:pPr>
      <w:r w:rsidRPr="008609D1">
        <w:rPr>
          <w:i/>
          <w:iCs/>
        </w:rPr>
        <w:t>Metodología de atribución de costos</w:t>
      </w:r>
      <w:r w:rsidRPr="008609D1">
        <w:t xml:space="preserve">: Costos completamente distribuidos (CCD) </w:t>
      </w:r>
    </w:p>
    <w:p w14:paraId="116BCB3B" w14:textId="77777777" w:rsidR="00A1321B" w:rsidRPr="008609D1" w:rsidRDefault="00A1321B" w:rsidP="00A1321B">
      <w:pPr>
        <w:pStyle w:val="Indentadoresolucin"/>
      </w:pPr>
      <w:r w:rsidRPr="008609D1">
        <w:rPr>
          <w:i/>
          <w:iCs/>
        </w:rPr>
        <w:t>Base de costos</w:t>
      </w:r>
      <w:r w:rsidRPr="008609D1">
        <w:t>: Costos históricos y Costos actuales</w:t>
      </w:r>
    </w:p>
    <w:p w14:paraId="6F605106" w14:textId="77777777" w:rsidR="00A1321B" w:rsidRPr="008609D1" w:rsidRDefault="00A1321B" w:rsidP="00A1321B">
      <w:pPr>
        <w:pStyle w:val="Indentadoresolucin"/>
      </w:pPr>
      <w:r w:rsidRPr="008609D1">
        <w:rPr>
          <w:i/>
          <w:iCs/>
        </w:rPr>
        <w:t>Metodología de valoración a Costos Actuales (CA)</w:t>
      </w:r>
      <w:r w:rsidRPr="008609D1">
        <w:t>:</w:t>
      </w:r>
    </w:p>
    <w:p w14:paraId="5D115507" w14:textId="77777777" w:rsidR="00A1321B" w:rsidRPr="008609D1" w:rsidRDefault="00A1321B" w:rsidP="00A1321B">
      <w:pPr>
        <w:pStyle w:val="Indentado3"/>
      </w:pPr>
      <w:r w:rsidRPr="008609D1">
        <w:t>Mantenimiento de costos históricos</w:t>
      </w:r>
    </w:p>
    <w:p w14:paraId="7CF7E580" w14:textId="77777777" w:rsidR="00A1321B" w:rsidRPr="008609D1" w:rsidRDefault="00A1321B" w:rsidP="00A1321B">
      <w:pPr>
        <w:pStyle w:val="Indentado3"/>
      </w:pPr>
      <w:r w:rsidRPr="008609D1">
        <w:lastRenderedPageBreak/>
        <w:t>Indexación</w:t>
      </w:r>
    </w:p>
    <w:p w14:paraId="4D2C5849" w14:textId="77777777" w:rsidR="00A1321B" w:rsidRPr="008609D1" w:rsidRDefault="00A1321B" w:rsidP="00A1321B">
      <w:pPr>
        <w:pStyle w:val="Indentado3"/>
      </w:pPr>
      <w:r w:rsidRPr="008609D1">
        <w:t>Valoración absoluta</w:t>
      </w:r>
    </w:p>
    <w:p w14:paraId="3943BADE" w14:textId="77777777" w:rsidR="00A1321B" w:rsidRPr="008609D1" w:rsidRDefault="00A1321B" w:rsidP="00A1321B">
      <w:pPr>
        <w:pStyle w:val="Indentado3"/>
      </w:pPr>
      <w:r w:rsidRPr="008609D1">
        <w:t>Activo Moderno Equivalente</w:t>
      </w:r>
    </w:p>
    <w:p w14:paraId="7664A206" w14:textId="77777777" w:rsidR="00A1321B" w:rsidRPr="008609D1" w:rsidRDefault="00A1321B" w:rsidP="00A1321B">
      <w:pPr>
        <w:pStyle w:val="Indentadoresolucin"/>
      </w:pPr>
      <w:r w:rsidRPr="008609D1">
        <w:rPr>
          <w:i/>
          <w:iCs/>
        </w:rPr>
        <w:t>Método de depreciación</w:t>
      </w:r>
      <w:r w:rsidRPr="008609D1">
        <w:t>: No definido</w:t>
      </w:r>
    </w:p>
    <w:p w14:paraId="0DA8B60C" w14:textId="77777777" w:rsidR="00A1321B" w:rsidRPr="008609D1" w:rsidRDefault="00A1321B" w:rsidP="00A1321B">
      <w:pPr>
        <w:pStyle w:val="Indentadoresolucin"/>
      </w:pPr>
      <w:r w:rsidRPr="008609D1">
        <w:rPr>
          <w:i/>
          <w:iCs/>
        </w:rPr>
        <w:t>Periodicidad de la obligación</w:t>
      </w:r>
      <w:r w:rsidRPr="008609D1">
        <w:t>: Semestral</w:t>
      </w:r>
    </w:p>
    <w:p w14:paraId="1C5C9333" w14:textId="77777777" w:rsidR="00A1321B" w:rsidRPr="008609D1" w:rsidRDefault="00A1321B" w:rsidP="00A1321B">
      <w:pPr>
        <w:pStyle w:val="Indentadoresolucin"/>
      </w:pPr>
      <w:r w:rsidRPr="008609D1">
        <w:rPr>
          <w:i/>
          <w:iCs/>
        </w:rPr>
        <w:t>Aproximación para mantenimiento de capital</w:t>
      </w:r>
      <w:r w:rsidRPr="008609D1">
        <w:t>: No definido</w:t>
      </w:r>
    </w:p>
    <w:p w14:paraId="2687BEC8" w14:textId="77777777" w:rsidR="00A1321B" w:rsidRPr="008609D1" w:rsidRDefault="00A1321B" w:rsidP="00A1321B">
      <w:pPr>
        <w:pStyle w:val="Indentadoresolucin"/>
      </w:pPr>
      <w:r w:rsidRPr="008609D1">
        <w:t>Cálculo del WACC: Calculado por el operador</w:t>
      </w:r>
    </w:p>
    <w:p w14:paraId="40AEBB6C" w14:textId="743F1F36" w:rsidR="00A1321B" w:rsidRPr="008609D1" w:rsidRDefault="00A1321B" w:rsidP="00A1321B">
      <w:pPr>
        <w:pStyle w:val="Normalresolucion"/>
      </w:pPr>
      <w:r w:rsidRPr="008609D1">
        <w:rPr>
          <w:b/>
          <w:bCs/>
        </w:rPr>
        <w:t>3.- Costa Rica</w:t>
      </w:r>
      <w:r w:rsidRPr="008609D1">
        <w:t xml:space="preserve">. En 2014 se publicó en el </w:t>
      </w:r>
      <w:r>
        <w:t>d</w:t>
      </w:r>
      <w:r w:rsidRPr="008609D1">
        <w:t xml:space="preserve">iario </w:t>
      </w:r>
      <w:r>
        <w:t>o</w:t>
      </w:r>
      <w:r w:rsidRPr="008609D1">
        <w:t xml:space="preserve">ficial el </w:t>
      </w:r>
      <w:r>
        <w:t>m</w:t>
      </w:r>
      <w:r w:rsidRPr="008609D1">
        <w:t>anual sobre la metodología para la aplicación de la contabilidad de costos</w:t>
      </w:r>
      <w:r w:rsidRPr="008609D1">
        <w:rPr>
          <w:rStyle w:val="Refdenotaalpie"/>
        </w:rPr>
        <w:footnoteReference w:id="6"/>
      </w:r>
      <w:r w:rsidRPr="008609D1">
        <w:t>, en el cual se estipulan los siguientes lineamientos:</w:t>
      </w:r>
    </w:p>
    <w:p w14:paraId="0A5903FE" w14:textId="77777777" w:rsidR="00A1321B" w:rsidRPr="008609D1" w:rsidRDefault="00A1321B" w:rsidP="00A1321B">
      <w:pPr>
        <w:pStyle w:val="Indentadoresolucin"/>
      </w:pPr>
      <w:r w:rsidRPr="008609D1">
        <w:rPr>
          <w:i/>
        </w:rPr>
        <w:t xml:space="preserve">Fundamento de la obligación: </w:t>
      </w:r>
      <w:r w:rsidRPr="008609D1">
        <w:t>Operadores con poder sustancial de mercado</w:t>
      </w:r>
    </w:p>
    <w:p w14:paraId="13FACE04" w14:textId="77777777" w:rsidR="00A1321B" w:rsidRPr="008609D1" w:rsidRDefault="00A1321B" w:rsidP="00A1321B">
      <w:pPr>
        <w:pStyle w:val="Indentadoresolucin"/>
      </w:pPr>
      <w:r w:rsidRPr="008609D1">
        <w:rPr>
          <w:i/>
        </w:rPr>
        <w:t xml:space="preserve">Metodología de atribución de costos: </w:t>
      </w:r>
      <w:r w:rsidRPr="008609D1">
        <w:t xml:space="preserve">Costos completamente distribuidos (CCD) </w:t>
      </w:r>
    </w:p>
    <w:p w14:paraId="17BE1F69" w14:textId="77777777" w:rsidR="00A1321B" w:rsidRPr="008609D1" w:rsidRDefault="00A1321B" w:rsidP="00A1321B">
      <w:pPr>
        <w:pStyle w:val="Indentadoresolucin"/>
      </w:pPr>
      <w:r w:rsidRPr="008609D1">
        <w:rPr>
          <w:i/>
        </w:rPr>
        <w:t xml:space="preserve">Base de costos: </w:t>
      </w:r>
      <w:r w:rsidRPr="008609D1">
        <w:t>Costos históricos y Costos actuales</w:t>
      </w:r>
    </w:p>
    <w:p w14:paraId="73C7BC35" w14:textId="77777777" w:rsidR="00A1321B" w:rsidRPr="008609D1" w:rsidRDefault="00A1321B" w:rsidP="00A1321B">
      <w:pPr>
        <w:pStyle w:val="Indentadoresolucin"/>
        <w:rPr>
          <w:i/>
        </w:rPr>
      </w:pPr>
      <w:r w:rsidRPr="008609D1">
        <w:rPr>
          <w:i/>
        </w:rPr>
        <w:t>Metodología de valoración a Costos Actuales (CA):</w:t>
      </w:r>
    </w:p>
    <w:p w14:paraId="508C3EE1" w14:textId="77777777" w:rsidR="00A1321B" w:rsidRPr="008609D1" w:rsidRDefault="00A1321B" w:rsidP="00A1321B">
      <w:pPr>
        <w:pStyle w:val="Indentado3"/>
      </w:pPr>
      <w:r w:rsidRPr="008609D1">
        <w:t>Mantenimiento de costos históricos</w:t>
      </w:r>
    </w:p>
    <w:p w14:paraId="2F5520DF" w14:textId="77777777" w:rsidR="00A1321B" w:rsidRPr="008609D1" w:rsidRDefault="00A1321B" w:rsidP="00A1321B">
      <w:pPr>
        <w:pStyle w:val="Indentado3"/>
      </w:pPr>
      <w:r w:rsidRPr="008609D1">
        <w:t>Indexación</w:t>
      </w:r>
    </w:p>
    <w:p w14:paraId="6FDACA66" w14:textId="77777777" w:rsidR="00A1321B" w:rsidRPr="008609D1" w:rsidRDefault="00A1321B" w:rsidP="00A1321B">
      <w:pPr>
        <w:pStyle w:val="Indentado3"/>
      </w:pPr>
      <w:r w:rsidRPr="008609D1">
        <w:t>Valoración absoluta</w:t>
      </w:r>
    </w:p>
    <w:p w14:paraId="37939E85" w14:textId="77777777" w:rsidR="00A1321B" w:rsidRPr="008609D1" w:rsidRDefault="00A1321B" w:rsidP="00A1321B">
      <w:pPr>
        <w:pStyle w:val="Indentado3"/>
      </w:pPr>
      <w:r w:rsidRPr="008609D1">
        <w:t>Activo Moderno Equivalente</w:t>
      </w:r>
    </w:p>
    <w:p w14:paraId="35352AB6" w14:textId="77777777" w:rsidR="00A1321B" w:rsidRPr="008609D1" w:rsidRDefault="00A1321B" w:rsidP="00A1321B">
      <w:pPr>
        <w:pStyle w:val="Indentadoresolucin"/>
      </w:pPr>
      <w:r w:rsidRPr="008609D1">
        <w:rPr>
          <w:i/>
          <w:iCs/>
        </w:rPr>
        <w:t>Método de depreciación</w:t>
      </w:r>
      <w:r w:rsidRPr="008609D1">
        <w:t>: Depreciación lineal</w:t>
      </w:r>
    </w:p>
    <w:p w14:paraId="53B44C27" w14:textId="77777777" w:rsidR="00A1321B" w:rsidRPr="008609D1" w:rsidRDefault="00A1321B" w:rsidP="00A1321B">
      <w:pPr>
        <w:pStyle w:val="Indentadoresolucin"/>
      </w:pPr>
      <w:r w:rsidRPr="008609D1">
        <w:rPr>
          <w:i/>
          <w:iCs/>
        </w:rPr>
        <w:t>Periodicidad de la obligación</w:t>
      </w:r>
      <w:r w:rsidRPr="008609D1">
        <w:t>: Anual</w:t>
      </w:r>
    </w:p>
    <w:p w14:paraId="46DA4B4F" w14:textId="77777777" w:rsidR="00A1321B" w:rsidRPr="008609D1" w:rsidRDefault="00A1321B" w:rsidP="00A1321B">
      <w:pPr>
        <w:pStyle w:val="Indentadoresolucin"/>
      </w:pPr>
      <w:r w:rsidRPr="008609D1">
        <w:rPr>
          <w:i/>
          <w:iCs/>
        </w:rPr>
        <w:t>Aproximación para mantenimiento de capital</w:t>
      </w:r>
      <w:r w:rsidRPr="008609D1">
        <w:t>: No definido</w:t>
      </w:r>
    </w:p>
    <w:p w14:paraId="3F87F90E" w14:textId="77777777" w:rsidR="00A1321B" w:rsidRPr="008609D1" w:rsidRDefault="00A1321B" w:rsidP="00A1321B">
      <w:pPr>
        <w:pStyle w:val="Indentadoresolucin"/>
      </w:pPr>
      <w:r w:rsidRPr="008609D1">
        <w:rPr>
          <w:i/>
          <w:iCs/>
        </w:rPr>
        <w:t>Cálculo del WACC</w:t>
      </w:r>
      <w:r w:rsidRPr="008609D1">
        <w:t>: Calculado por el regulador</w:t>
      </w:r>
    </w:p>
    <w:p w14:paraId="5E6A6261" w14:textId="77777777" w:rsidR="00A1321B" w:rsidRPr="008609D1" w:rsidRDefault="00A1321B" w:rsidP="00A1321B">
      <w:pPr>
        <w:pStyle w:val="Normalresolucion"/>
      </w:pPr>
      <w:r w:rsidRPr="008609D1">
        <w:rPr>
          <w:b/>
          <w:bCs/>
        </w:rPr>
        <w:t>4.- Ecuador</w:t>
      </w:r>
      <w:r w:rsidRPr="008609D1">
        <w:t>. El Consejo Nacional de Telecomunicaciones emitió en 2012 la norma que regula la presentación de la información de la contabilidad separada</w:t>
      </w:r>
      <w:r w:rsidRPr="008609D1">
        <w:rPr>
          <w:rStyle w:val="Refdenotaalpie"/>
        </w:rPr>
        <w:footnoteReference w:id="7"/>
      </w:r>
      <w:r w:rsidRPr="008609D1">
        <w:t xml:space="preserve"> mediante la que se indican los siguientes criterios:</w:t>
      </w:r>
    </w:p>
    <w:p w14:paraId="324D0A57" w14:textId="77777777" w:rsidR="00A1321B" w:rsidRPr="008609D1" w:rsidRDefault="00A1321B" w:rsidP="00A1321B">
      <w:pPr>
        <w:pStyle w:val="Indentadoresolucin"/>
      </w:pPr>
      <w:r w:rsidRPr="008609D1">
        <w:rPr>
          <w:i/>
          <w:iCs/>
        </w:rPr>
        <w:t>Fundamento de la obligación</w:t>
      </w:r>
      <w:r w:rsidRPr="008609D1">
        <w:t>: Sectorial</w:t>
      </w:r>
    </w:p>
    <w:p w14:paraId="5092830C" w14:textId="77777777" w:rsidR="00A1321B" w:rsidRPr="008609D1" w:rsidRDefault="00A1321B" w:rsidP="00A1321B">
      <w:pPr>
        <w:pStyle w:val="Indentadoresolucin"/>
      </w:pPr>
      <w:r w:rsidRPr="008609D1">
        <w:rPr>
          <w:i/>
          <w:iCs/>
        </w:rPr>
        <w:t>Metodología de atribución de costos</w:t>
      </w:r>
      <w:r w:rsidRPr="008609D1">
        <w:t xml:space="preserve">: Costos completamente distribuidos (CCD) </w:t>
      </w:r>
    </w:p>
    <w:p w14:paraId="1FBA3C3A" w14:textId="77777777" w:rsidR="00A1321B" w:rsidRPr="008609D1" w:rsidRDefault="00A1321B" w:rsidP="00A1321B">
      <w:pPr>
        <w:pStyle w:val="Indentadoresolucin"/>
      </w:pPr>
      <w:r w:rsidRPr="008609D1">
        <w:rPr>
          <w:i/>
          <w:iCs/>
        </w:rPr>
        <w:t>Base de costos</w:t>
      </w:r>
      <w:r w:rsidRPr="008609D1">
        <w:t>: Costos históricos y Costos actuales</w:t>
      </w:r>
    </w:p>
    <w:p w14:paraId="46A540E1" w14:textId="77777777" w:rsidR="00A1321B" w:rsidRPr="008609D1" w:rsidRDefault="00A1321B" w:rsidP="00A1321B">
      <w:pPr>
        <w:pStyle w:val="Indentadoresolucin"/>
      </w:pPr>
      <w:r w:rsidRPr="008609D1">
        <w:rPr>
          <w:i/>
          <w:iCs/>
        </w:rPr>
        <w:t>Metodología de valoración a Costos Actuales (CA)</w:t>
      </w:r>
      <w:r w:rsidRPr="008609D1">
        <w:t>: No definido</w:t>
      </w:r>
    </w:p>
    <w:p w14:paraId="4CB6E056" w14:textId="77777777" w:rsidR="00A1321B" w:rsidRPr="008609D1" w:rsidRDefault="00A1321B" w:rsidP="00A1321B">
      <w:pPr>
        <w:pStyle w:val="Indentadoresolucin"/>
      </w:pPr>
      <w:r w:rsidRPr="008609D1">
        <w:rPr>
          <w:i/>
          <w:iCs/>
        </w:rPr>
        <w:t>Método de depreciación</w:t>
      </w:r>
      <w:r w:rsidRPr="008609D1">
        <w:t>: No definido</w:t>
      </w:r>
    </w:p>
    <w:p w14:paraId="1EC932F6" w14:textId="77777777" w:rsidR="00A1321B" w:rsidRPr="008609D1" w:rsidRDefault="00A1321B" w:rsidP="00A1321B">
      <w:pPr>
        <w:pStyle w:val="Indentadoresolucin"/>
      </w:pPr>
      <w:r w:rsidRPr="008609D1">
        <w:rPr>
          <w:i/>
          <w:iCs/>
        </w:rPr>
        <w:t>Periodicidad de la obligación</w:t>
      </w:r>
      <w:r w:rsidRPr="008609D1">
        <w:t>: Anual</w:t>
      </w:r>
    </w:p>
    <w:p w14:paraId="27B4DA8A" w14:textId="77777777" w:rsidR="00A1321B" w:rsidRPr="008609D1" w:rsidRDefault="00A1321B" w:rsidP="00A1321B">
      <w:pPr>
        <w:pStyle w:val="Indentadoresolucin"/>
      </w:pPr>
      <w:r w:rsidRPr="008609D1">
        <w:rPr>
          <w:i/>
          <w:iCs/>
        </w:rPr>
        <w:t>Aproximación para mantenimiento de capital</w:t>
      </w:r>
      <w:r w:rsidRPr="008609D1">
        <w:t>: No definido</w:t>
      </w:r>
    </w:p>
    <w:p w14:paraId="6030AB6F" w14:textId="77777777" w:rsidR="00A1321B" w:rsidRPr="008609D1" w:rsidRDefault="00A1321B" w:rsidP="00A1321B">
      <w:pPr>
        <w:pStyle w:val="Indentadoresolucin"/>
      </w:pPr>
      <w:r w:rsidRPr="008609D1">
        <w:rPr>
          <w:i/>
          <w:iCs/>
        </w:rPr>
        <w:lastRenderedPageBreak/>
        <w:t>Cálculo del WACC</w:t>
      </w:r>
      <w:r w:rsidRPr="008609D1">
        <w:t>: No definido</w:t>
      </w:r>
    </w:p>
    <w:p w14:paraId="462DB038" w14:textId="77777777" w:rsidR="00A1321B" w:rsidRPr="008609D1" w:rsidRDefault="00A1321B" w:rsidP="00A1321B">
      <w:pPr>
        <w:pStyle w:val="Normalresolucion"/>
      </w:pPr>
      <w:r w:rsidRPr="008609D1">
        <w:rPr>
          <w:b/>
          <w:bCs/>
        </w:rPr>
        <w:t>5.- El Salvador</w:t>
      </w:r>
      <w:r w:rsidRPr="008609D1">
        <w:t>. A través del Reglamento de la Ley de Telecomunicaciones</w:t>
      </w:r>
      <w:r w:rsidRPr="008609D1">
        <w:rPr>
          <w:rStyle w:val="Refdenotaalpie"/>
        </w:rPr>
        <w:footnoteReference w:id="8"/>
      </w:r>
      <w:r w:rsidRPr="008609D1">
        <w:t xml:space="preserve"> se estipulan los lineamientos que se deben seguir para cumplir con la obligación de la presentación de información de separación contable, en particular:</w:t>
      </w:r>
    </w:p>
    <w:p w14:paraId="61CE2796" w14:textId="77777777" w:rsidR="00A1321B" w:rsidRPr="008609D1" w:rsidRDefault="00A1321B" w:rsidP="00A1321B">
      <w:pPr>
        <w:pStyle w:val="Indentadoresolucin"/>
      </w:pPr>
      <w:r w:rsidRPr="008609D1">
        <w:rPr>
          <w:i/>
          <w:iCs/>
        </w:rPr>
        <w:t>Fundamento de la obligación</w:t>
      </w:r>
      <w:r w:rsidRPr="008609D1">
        <w:t>: Sectorial</w:t>
      </w:r>
    </w:p>
    <w:p w14:paraId="3CD19E21" w14:textId="77777777" w:rsidR="00A1321B" w:rsidRPr="008609D1" w:rsidRDefault="00A1321B" w:rsidP="00A1321B">
      <w:pPr>
        <w:pStyle w:val="Indentadoresolucin"/>
      </w:pPr>
      <w:r w:rsidRPr="008609D1">
        <w:rPr>
          <w:i/>
          <w:iCs/>
        </w:rPr>
        <w:t>Metodología de atribución de costos</w:t>
      </w:r>
      <w:r w:rsidRPr="008609D1">
        <w:t xml:space="preserve">: Costos completamente distribuidos (CCD) </w:t>
      </w:r>
    </w:p>
    <w:p w14:paraId="50AC1C66" w14:textId="77777777" w:rsidR="00A1321B" w:rsidRPr="008609D1" w:rsidRDefault="00A1321B" w:rsidP="00A1321B">
      <w:pPr>
        <w:pStyle w:val="Indentadoresolucin"/>
      </w:pPr>
      <w:r w:rsidRPr="008609D1">
        <w:rPr>
          <w:i/>
          <w:iCs/>
        </w:rPr>
        <w:t>Base de costos</w:t>
      </w:r>
      <w:r w:rsidRPr="008609D1">
        <w:t>: Costos históricos y Costos actuales</w:t>
      </w:r>
    </w:p>
    <w:p w14:paraId="75CA48AC" w14:textId="77777777" w:rsidR="00A1321B" w:rsidRPr="008609D1" w:rsidRDefault="00A1321B" w:rsidP="00A1321B">
      <w:pPr>
        <w:pStyle w:val="Indentadoresolucin"/>
      </w:pPr>
      <w:r w:rsidRPr="008609D1">
        <w:rPr>
          <w:i/>
          <w:iCs/>
        </w:rPr>
        <w:t>Metodología de valoración a Costos Actuales (CA)</w:t>
      </w:r>
      <w:r w:rsidRPr="008609D1">
        <w:t>: Activo Moderno Equivalente</w:t>
      </w:r>
    </w:p>
    <w:p w14:paraId="6C52E398" w14:textId="77777777" w:rsidR="00A1321B" w:rsidRPr="008609D1" w:rsidRDefault="00A1321B" w:rsidP="00A1321B">
      <w:pPr>
        <w:pStyle w:val="Indentadoresolucin"/>
      </w:pPr>
      <w:r w:rsidRPr="008609D1">
        <w:rPr>
          <w:i/>
          <w:iCs/>
        </w:rPr>
        <w:t>Método de depreciación</w:t>
      </w:r>
      <w:r w:rsidRPr="008609D1">
        <w:t>: Depreciación lineal</w:t>
      </w:r>
    </w:p>
    <w:p w14:paraId="42F23AD3" w14:textId="77777777" w:rsidR="00A1321B" w:rsidRPr="008609D1" w:rsidRDefault="00A1321B" w:rsidP="00A1321B">
      <w:pPr>
        <w:pStyle w:val="Indentadoresolucin"/>
      </w:pPr>
      <w:r w:rsidRPr="008609D1">
        <w:rPr>
          <w:i/>
          <w:iCs/>
        </w:rPr>
        <w:t>Periodicidad de la obligación</w:t>
      </w:r>
      <w:r w:rsidRPr="008609D1">
        <w:t>: Anual</w:t>
      </w:r>
    </w:p>
    <w:p w14:paraId="61C78D30" w14:textId="77777777" w:rsidR="00A1321B" w:rsidRPr="008609D1" w:rsidRDefault="00A1321B" w:rsidP="00A1321B">
      <w:pPr>
        <w:pStyle w:val="Indentadoresolucin"/>
      </w:pPr>
      <w:r w:rsidRPr="008609D1">
        <w:rPr>
          <w:i/>
          <w:iCs/>
        </w:rPr>
        <w:t>Aproximación para mantenimiento de capital</w:t>
      </w:r>
      <w:r w:rsidRPr="008609D1">
        <w:t>: No definido</w:t>
      </w:r>
    </w:p>
    <w:p w14:paraId="3F8050CA" w14:textId="349D44DE" w:rsidR="00A1321B" w:rsidRPr="008609D1" w:rsidRDefault="00A1321B" w:rsidP="00A1321B">
      <w:pPr>
        <w:pStyle w:val="Indentadoresolucin"/>
      </w:pPr>
      <w:r w:rsidRPr="008609D1">
        <w:rPr>
          <w:i/>
          <w:iCs/>
        </w:rPr>
        <w:t>Cálculo del WACC</w:t>
      </w:r>
      <w:r w:rsidRPr="008609D1">
        <w:t>: Calculado por el operador</w:t>
      </w:r>
    </w:p>
    <w:p w14:paraId="38A833DE" w14:textId="48181382" w:rsidR="00A1321B" w:rsidRPr="008609D1" w:rsidRDefault="00A1321B" w:rsidP="00A1321B">
      <w:pPr>
        <w:pStyle w:val="Normalresolucion"/>
      </w:pPr>
      <w:r w:rsidRPr="008609D1">
        <w:rPr>
          <w:b/>
          <w:bCs/>
        </w:rPr>
        <w:t>6.- Perú</w:t>
      </w:r>
      <w:r w:rsidRPr="008609D1">
        <w:t xml:space="preserve">. La OSIPTEL publicó el </w:t>
      </w:r>
      <w:r>
        <w:t>i</w:t>
      </w:r>
      <w:r w:rsidRPr="008609D1">
        <w:t xml:space="preserve">nstructivo </w:t>
      </w:r>
      <w:r>
        <w:t>g</w:t>
      </w:r>
      <w:r w:rsidRPr="008609D1">
        <w:t xml:space="preserve">eneral de </w:t>
      </w:r>
      <w:r>
        <w:t>c</w:t>
      </w:r>
      <w:r w:rsidRPr="008609D1">
        <w:t xml:space="preserve">ontabilidad </w:t>
      </w:r>
      <w:r>
        <w:t>s</w:t>
      </w:r>
      <w:r w:rsidRPr="008609D1">
        <w:t>eparada</w:t>
      </w:r>
      <w:r w:rsidRPr="008609D1">
        <w:rPr>
          <w:rStyle w:val="Refdenotaalpie"/>
        </w:rPr>
        <w:footnoteReference w:id="9"/>
      </w:r>
      <w:r w:rsidRPr="008609D1">
        <w:t xml:space="preserve"> donde se establecen los siguientes lineamientos relativos a la obligación de la separación contable:</w:t>
      </w:r>
    </w:p>
    <w:p w14:paraId="27DAA75D" w14:textId="77777777" w:rsidR="00A1321B" w:rsidRPr="008609D1" w:rsidRDefault="00A1321B" w:rsidP="00A1321B">
      <w:pPr>
        <w:pStyle w:val="Indentadoresolucin"/>
      </w:pPr>
      <w:r w:rsidRPr="008609D1">
        <w:rPr>
          <w:i/>
          <w:iCs/>
        </w:rPr>
        <w:t>Fundamento de la obligación</w:t>
      </w:r>
      <w:r w:rsidRPr="008609D1">
        <w:t>: Sectorial</w:t>
      </w:r>
    </w:p>
    <w:p w14:paraId="0A535ADA" w14:textId="77777777" w:rsidR="00A1321B" w:rsidRPr="008609D1" w:rsidRDefault="00A1321B" w:rsidP="00A1321B">
      <w:pPr>
        <w:pStyle w:val="Indentadoresolucin"/>
      </w:pPr>
      <w:r w:rsidRPr="008609D1">
        <w:rPr>
          <w:i/>
          <w:iCs/>
        </w:rPr>
        <w:t>Metodología de atribución de costos</w:t>
      </w:r>
      <w:r w:rsidRPr="008609D1">
        <w:t xml:space="preserve">: Costos completamente distribuidos (CCD) </w:t>
      </w:r>
    </w:p>
    <w:p w14:paraId="3AD11C49" w14:textId="77777777" w:rsidR="00A1321B" w:rsidRPr="008609D1" w:rsidRDefault="00A1321B" w:rsidP="00A1321B">
      <w:pPr>
        <w:pStyle w:val="Indentadoresolucin"/>
      </w:pPr>
      <w:r w:rsidRPr="008609D1">
        <w:rPr>
          <w:i/>
          <w:iCs/>
        </w:rPr>
        <w:t>Base de costos</w:t>
      </w:r>
      <w:r w:rsidRPr="008609D1">
        <w:t>: Costos actuales</w:t>
      </w:r>
    </w:p>
    <w:p w14:paraId="0336F41D" w14:textId="77777777" w:rsidR="00A1321B" w:rsidRPr="008609D1" w:rsidRDefault="00A1321B" w:rsidP="00A1321B">
      <w:pPr>
        <w:pStyle w:val="Indentadoresolucin"/>
      </w:pPr>
      <w:r w:rsidRPr="008609D1">
        <w:rPr>
          <w:i/>
          <w:iCs/>
        </w:rPr>
        <w:t>Metodología de valoración a Costos Actuales (CA)</w:t>
      </w:r>
      <w:r w:rsidRPr="008609D1">
        <w:t xml:space="preserve">: </w:t>
      </w:r>
    </w:p>
    <w:p w14:paraId="6E3FBCF9" w14:textId="77777777" w:rsidR="00A1321B" w:rsidRPr="008609D1" w:rsidRDefault="00A1321B" w:rsidP="00A1321B">
      <w:pPr>
        <w:pStyle w:val="Indentado3"/>
      </w:pPr>
      <w:r w:rsidRPr="008609D1">
        <w:t>Mantenimiento a costos históricos</w:t>
      </w:r>
    </w:p>
    <w:p w14:paraId="1E417E65" w14:textId="77777777" w:rsidR="00A1321B" w:rsidRPr="008609D1" w:rsidRDefault="00A1321B" w:rsidP="00A1321B">
      <w:pPr>
        <w:pStyle w:val="Indentado3"/>
      </w:pPr>
      <w:r w:rsidRPr="008609D1">
        <w:t>Indexación</w:t>
      </w:r>
    </w:p>
    <w:p w14:paraId="519A9C51" w14:textId="77777777" w:rsidR="00A1321B" w:rsidRPr="008609D1" w:rsidRDefault="00A1321B" w:rsidP="00A1321B">
      <w:pPr>
        <w:pStyle w:val="Indentado3"/>
      </w:pPr>
      <w:r w:rsidRPr="008609D1">
        <w:t>Valoración absoluta</w:t>
      </w:r>
    </w:p>
    <w:p w14:paraId="336BAF09" w14:textId="77777777" w:rsidR="00A1321B" w:rsidRPr="008609D1" w:rsidRDefault="00A1321B" w:rsidP="00A1321B">
      <w:pPr>
        <w:pStyle w:val="Indentado3"/>
      </w:pPr>
      <w:r w:rsidRPr="008609D1">
        <w:t>Activo Moderno Equivalente</w:t>
      </w:r>
    </w:p>
    <w:p w14:paraId="4526BD6B" w14:textId="77777777" w:rsidR="00A1321B" w:rsidRPr="008609D1" w:rsidRDefault="00A1321B" w:rsidP="00A1321B">
      <w:pPr>
        <w:pStyle w:val="Indentadoresolucin"/>
      </w:pPr>
      <w:r w:rsidRPr="008609D1">
        <w:rPr>
          <w:i/>
          <w:iCs/>
        </w:rPr>
        <w:t>Método de depreciación</w:t>
      </w:r>
      <w:r w:rsidRPr="008609D1">
        <w:t>: Depreciación lineal</w:t>
      </w:r>
    </w:p>
    <w:p w14:paraId="7A3D80D8" w14:textId="77777777" w:rsidR="00A1321B" w:rsidRPr="008609D1" w:rsidRDefault="00A1321B" w:rsidP="00A1321B">
      <w:pPr>
        <w:pStyle w:val="Indentadoresolucin"/>
      </w:pPr>
      <w:r w:rsidRPr="008609D1">
        <w:rPr>
          <w:i/>
          <w:iCs/>
        </w:rPr>
        <w:t>Periodicidad de la obligación</w:t>
      </w:r>
      <w:r w:rsidRPr="008609D1">
        <w:t>: Anual</w:t>
      </w:r>
    </w:p>
    <w:p w14:paraId="2484C98B" w14:textId="77777777" w:rsidR="00A1321B" w:rsidRPr="008609D1" w:rsidRDefault="00A1321B" w:rsidP="00A1321B">
      <w:pPr>
        <w:pStyle w:val="Indentadoresolucin"/>
      </w:pPr>
      <w:r w:rsidRPr="008609D1">
        <w:rPr>
          <w:i/>
          <w:iCs/>
        </w:rPr>
        <w:t>Aproximación para mantenimiento de capital</w:t>
      </w:r>
      <w:r w:rsidRPr="008609D1">
        <w:t>: Mantenimiento de capital financiero (FCM)</w:t>
      </w:r>
    </w:p>
    <w:p w14:paraId="1534A2B4" w14:textId="77777777" w:rsidR="00A1321B" w:rsidRPr="008609D1" w:rsidRDefault="00A1321B" w:rsidP="00A1321B">
      <w:pPr>
        <w:pStyle w:val="Indentadoresolucin"/>
      </w:pPr>
      <w:r w:rsidRPr="008609D1">
        <w:rPr>
          <w:i/>
          <w:iCs/>
        </w:rPr>
        <w:t>Cálculo del WACC</w:t>
      </w:r>
      <w:r w:rsidRPr="008609D1">
        <w:t>: No definido</w:t>
      </w:r>
    </w:p>
    <w:p w14:paraId="1F5298A0" w14:textId="77777777" w:rsidR="00A1321B" w:rsidRPr="008609D1" w:rsidRDefault="00A1321B" w:rsidP="00A1321B">
      <w:pPr>
        <w:pStyle w:val="Normalresolucion"/>
      </w:pPr>
      <w:r w:rsidRPr="008609D1">
        <w:rPr>
          <w:b/>
          <w:bCs/>
        </w:rPr>
        <w:lastRenderedPageBreak/>
        <w:t>7.- República Dominicana</w:t>
      </w:r>
      <w:r w:rsidRPr="008609D1">
        <w:t>. El Instituto Dominicano de las Telecomunicaciones publicó el reglamento de contabilidad separada</w:t>
      </w:r>
      <w:r w:rsidRPr="008609D1">
        <w:rPr>
          <w:rStyle w:val="Refdenotaalpie"/>
        </w:rPr>
        <w:footnoteReference w:id="10"/>
      </w:r>
      <w:r w:rsidRPr="008609D1">
        <w:t xml:space="preserve"> en el que se establece lo siguiente:</w:t>
      </w:r>
    </w:p>
    <w:p w14:paraId="3EB605AC" w14:textId="77777777" w:rsidR="00A1321B" w:rsidRPr="008609D1" w:rsidRDefault="00A1321B" w:rsidP="00A1321B">
      <w:pPr>
        <w:pStyle w:val="Indentadoresolucin"/>
      </w:pPr>
      <w:r w:rsidRPr="008609D1">
        <w:rPr>
          <w:i/>
          <w:iCs/>
        </w:rPr>
        <w:t>Fundamento de la obligación</w:t>
      </w:r>
      <w:r w:rsidRPr="008609D1">
        <w:t>: Sectorial</w:t>
      </w:r>
    </w:p>
    <w:p w14:paraId="68045F43" w14:textId="77777777" w:rsidR="00A1321B" w:rsidRPr="008609D1" w:rsidRDefault="00A1321B" w:rsidP="00A1321B">
      <w:pPr>
        <w:pStyle w:val="Indentadoresolucin"/>
      </w:pPr>
      <w:r w:rsidRPr="008609D1">
        <w:rPr>
          <w:i/>
          <w:iCs/>
        </w:rPr>
        <w:t>Metodología de atribución de costos</w:t>
      </w:r>
      <w:r w:rsidRPr="008609D1">
        <w:t xml:space="preserve">: Costos completamente distribuidos (CCD) </w:t>
      </w:r>
    </w:p>
    <w:p w14:paraId="0AC78DFF" w14:textId="77777777" w:rsidR="00A1321B" w:rsidRPr="008609D1" w:rsidRDefault="00A1321B" w:rsidP="00A1321B">
      <w:pPr>
        <w:pStyle w:val="Indentadoresolucin"/>
      </w:pPr>
      <w:r w:rsidRPr="008609D1">
        <w:rPr>
          <w:i/>
          <w:iCs/>
        </w:rPr>
        <w:t>Base de costos</w:t>
      </w:r>
      <w:r w:rsidRPr="008609D1">
        <w:t>: Costos históricos y Costos actuales</w:t>
      </w:r>
    </w:p>
    <w:p w14:paraId="249F1E65" w14:textId="77777777" w:rsidR="00A1321B" w:rsidRPr="008609D1" w:rsidRDefault="00A1321B" w:rsidP="00A1321B">
      <w:pPr>
        <w:pStyle w:val="Indentadoresolucin"/>
      </w:pPr>
      <w:r w:rsidRPr="008609D1">
        <w:rPr>
          <w:i/>
          <w:iCs/>
        </w:rPr>
        <w:t>Metodología de valoración a Costos Actuales (CA)</w:t>
      </w:r>
      <w:r w:rsidRPr="008609D1">
        <w:t>: Indexación</w:t>
      </w:r>
    </w:p>
    <w:p w14:paraId="075DC95C" w14:textId="77777777" w:rsidR="00A1321B" w:rsidRPr="008609D1" w:rsidRDefault="00A1321B" w:rsidP="00A1321B">
      <w:pPr>
        <w:pStyle w:val="Indentadoresolucin"/>
      </w:pPr>
      <w:r w:rsidRPr="008609D1">
        <w:rPr>
          <w:i/>
          <w:iCs/>
        </w:rPr>
        <w:t>Método de depreciación</w:t>
      </w:r>
      <w:r w:rsidRPr="008609D1">
        <w:t>: Depreciación lineal</w:t>
      </w:r>
    </w:p>
    <w:p w14:paraId="34027888" w14:textId="77777777" w:rsidR="00A1321B" w:rsidRPr="008609D1" w:rsidRDefault="00A1321B" w:rsidP="00A1321B">
      <w:pPr>
        <w:pStyle w:val="Indentadoresolucin"/>
      </w:pPr>
      <w:r w:rsidRPr="008609D1">
        <w:rPr>
          <w:i/>
          <w:iCs/>
        </w:rPr>
        <w:t>Periodicidad de la obligación</w:t>
      </w:r>
      <w:r w:rsidRPr="008609D1">
        <w:t>: Anual</w:t>
      </w:r>
    </w:p>
    <w:p w14:paraId="5DD6D664" w14:textId="77777777" w:rsidR="00A1321B" w:rsidRPr="008609D1" w:rsidRDefault="00A1321B" w:rsidP="00A1321B">
      <w:pPr>
        <w:pStyle w:val="Indentadoresolucin"/>
      </w:pPr>
      <w:r w:rsidRPr="008609D1">
        <w:rPr>
          <w:i/>
          <w:iCs/>
        </w:rPr>
        <w:t>Aproximación para mantenimiento de capital</w:t>
      </w:r>
      <w:r w:rsidRPr="008609D1">
        <w:t>: No definido</w:t>
      </w:r>
    </w:p>
    <w:p w14:paraId="15EBA421" w14:textId="77777777" w:rsidR="00A1321B" w:rsidRPr="008609D1" w:rsidRDefault="00A1321B" w:rsidP="00A1321B">
      <w:pPr>
        <w:pStyle w:val="Indentadoresolucin"/>
      </w:pPr>
      <w:r w:rsidRPr="008609D1">
        <w:rPr>
          <w:i/>
          <w:iCs/>
        </w:rPr>
        <w:t>Cálculo del WACC</w:t>
      </w:r>
      <w:r w:rsidRPr="008609D1">
        <w:t>: Calculado por el operador</w:t>
      </w:r>
    </w:p>
    <w:p w14:paraId="0C044BC0" w14:textId="77777777" w:rsidR="00A1321B" w:rsidRPr="008609D1" w:rsidRDefault="00A1321B" w:rsidP="00A1321B">
      <w:pPr>
        <w:pStyle w:val="Normalresolucion"/>
      </w:pPr>
      <w:r w:rsidRPr="008609D1">
        <w:rPr>
          <w:b/>
          <w:bCs/>
        </w:rPr>
        <w:t>8.- Uruguay</w:t>
      </w:r>
      <w:r w:rsidRPr="008609D1">
        <w:t xml:space="preserve">. La Unidad Reguladora de Servicios de Comunicaciones (URSEC) definió en el </w:t>
      </w:r>
      <w:r>
        <w:t>“</w:t>
      </w:r>
      <w:r w:rsidRPr="008609D1">
        <w:t>Reglamento de contabilidad separada por servicios para el sector telecomunicaciones</w:t>
      </w:r>
      <w:r>
        <w:t>”</w:t>
      </w:r>
      <w:r w:rsidRPr="008609D1">
        <w:rPr>
          <w:rStyle w:val="Refdenotaalpie"/>
        </w:rPr>
        <w:footnoteReference w:id="11"/>
      </w:r>
      <w:r w:rsidRPr="008609D1">
        <w:t>, los siguientes lineamientos:</w:t>
      </w:r>
    </w:p>
    <w:p w14:paraId="1BDABC59" w14:textId="77777777" w:rsidR="00A1321B" w:rsidRPr="008609D1" w:rsidRDefault="00A1321B" w:rsidP="00A1321B">
      <w:pPr>
        <w:pStyle w:val="Indentadoresolucin"/>
      </w:pPr>
      <w:r w:rsidRPr="008609D1">
        <w:rPr>
          <w:i/>
          <w:iCs/>
        </w:rPr>
        <w:t>Fundamento de la obligación</w:t>
      </w:r>
      <w:r w:rsidRPr="008609D1">
        <w:t>: Sectorial</w:t>
      </w:r>
    </w:p>
    <w:p w14:paraId="317873A1" w14:textId="77777777" w:rsidR="00A1321B" w:rsidRPr="008609D1" w:rsidRDefault="00A1321B" w:rsidP="00A1321B">
      <w:pPr>
        <w:pStyle w:val="Indentadoresolucin"/>
      </w:pPr>
      <w:r w:rsidRPr="008609D1">
        <w:rPr>
          <w:i/>
          <w:iCs/>
        </w:rPr>
        <w:t>Metodología de atribución de costos</w:t>
      </w:r>
      <w:r w:rsidRPr="008609D1">
        <w:t xml:space="preserve">: Costos completamente distribuidos (CCD) </w:t>
      </w:r>
    </w:p>
    <w:p w14:paraId="74F8C465" w14:textId="77777777" w:rsidR="00A1321B" w:rsidRPr="008609D1" w:rsidRDefault="00A1321B" w:rsidP="00A1321B">
      <w:pPr>
        <w:pStyle w:val="Indentadoresolucin"/>
      </w:pPr>
      <w:r w:rsidRPr="008609D1">
        <w:rPr>
          <w:i/>
          <w:iCs/>
        </w:rPr>
        <w:t>Base de costos</w:t>
      </w:r>
      <w:r w:rsidRPr="008609D1">
        <w:t>: Costos históricos y Costos actuales</w:t>
      </w:r>
    </w:p>
    <w:p w14:paraId="06935FE4" w14:textId="77777777" w:rsidR="00A1321B" w:rsidRPr="008609D1" w:rsidRDefault="00A1321B" w:rsidP="00A1321B">
      <w:pPr>
        <w:pStyle w:val="Indentadoresolucin"/>
      </w:pPr>
      <w:r w:rsidRPr="008609D1">
        <w:rPr>
          <w:i/>
          <w:iCs/>
        </w:rPr>
        <w:t>Metodología de valoración a Costos Actuales (CA)</w:t>
      </w:r>
      <w:r w:rsidRPr="008609D1">
        <w:t>: No definido</w:t>
      </w:r>
    </w:p>
    <w:p w14:paraId="5ED2516B" w14:textId="77777777" w:rsidR="00A1321B" w:rsidRPr="008609D1" w:rsidRDefault="00A1321B" w:rsidP="00A1321B">
      <w:pPr>
        <w:pStyle w:val="Indentadoresolucin"/>
      </w:pPr>
      <w:r w:rsidRPr="008609D1">
        <w:rPr>
          <w:i/>
          <w:iCs/>
        </w:rPr>
        <w:t>Método de depreciación</w:t>
      </w:r>
      <w:r w:rsidRPr="008609D1">
        <w:t>: Depreciación lineal</w:t>
      </w:r>
    </w:p>
    <w:p w14:paraId="458A5A6D" w14:textId="77777777" w:rsidR="00A1321B" w:rsidRPr="008609D1" w:rsidRDefault="00A1321B" w:rsidP="00A1321B">
      <w:pPr>
        <w:pStyle w:val="Indentadoresolucin"/>
      </w:pPr>
      <w:r w:rsidRPr="008609D1">
        <w:rPr>
          <w:i/>
          <w:iCs/>
        </w:rPr>
        <w:t>Periodicidad de la obligación</w:t>
      </w:r>
      <w:r w:rsidRPr="008609D1">
        <w:t>: Semestral</w:t>
      </w:r>
    </w:p>
    <w:p w14:paraId="67BBD84B" w14:textId="77777777" w:rsidR="00A1321B" w:rsidRPr="008609D1" w:rsidRDefault="00A1321B" w:rsidP="00A1321B">
      <w:pPr>
        <w:pStyle w:val="Indentadoresolucin"/>
      </w:pPr>
      <w:r w:rsidRPr="008609D1">
        <w:rPr>
          <w:i/>
          <w:iCs/>
        </w:rPr>
        <w:t>Aproximación para mantenimiento de capital</w:t>
      </w:r>
      <w:r w:rsidRPr="008609D1">
        <w:t>: No definido</w:t>
      </w:r>
    </w:p>
    <w:p w14:paraId="2C65A723" w14:textId="77777777" w:rsidR="00A1321B" w:rsidRPr="008609D1" w:rsidRDefault="00A1321B" w:rsidP="00A1321B">
      <w:pPr>
        <w:pStyle w:val="Indentadoresolucin"/>
      </w:pPr>
      <w:r w:rsidRPr="008609D1">
        <w:rPr>
          <w:i/>
          <w:iCs/>
        </w:rPr>
        <w:t>Cálculo del WACC</w:t>
      </w:r>
      <w:r w:rsidRPr="008609D1">
        <w:t>: Calculado por el operador</w:t>
      </w:r>
    </w:p>
    <w:p w14:paraId="52C9C726" w14:textId="77777777" w:rsidR="00A1321B" w:rsidRPr="008609D1" w:rsidRDefault="00A1321B" w:rsidP="00A1321B">
      <w:pPr>
        <w:pStyle w:val="Normalresolucion"/>
      </w:pPr>
      <w:r w:rsidRPr="008609D1">
        <w:rPr>
          <w:b/>
          <w:bCs/>
        </w:rPr>
        <w:t>9.- España</w:t>
      </w:r>
      <w:r w:rsidRPr="008609D1">
        <w:t>. La extinta Comisión del Mercado de Telecomunicaciones definió los siguientes principios, criterios y condiciones para el desarrollo del sistema de contabilidad de costes</w:t>
      </w:r>
      <w:r w:rsidRPr="008609D1">
        <w:rPr>
          <w:rStyle w:val="Refdenotaalpie"/>
        </w:rPr>
        <w:footnoteReference w:id="12"/>
      </w:r>
      <w:r w:rsidRPr="008609D1">
        <w:t>:</w:t>
      </w:r>
    </w:p>
    <w:p w14:paraId="21E9EA0D" w14:textId="77777777" w:rsidR="00A1321B" w:rsidRPr="008609D1" w:rsidRDefault="00A1321B" w:rsidP="00A1321B">
      <w:pPr>
        <w:pStyle w:val="Indentadoresolucin"/>
      </w:pPr>
      <w:r w:rsidRPr="008609D1">
        <w:rPr>
          <w:i/>
        </w:rPr>
        <w:t xml:space="preserve">Fundamento de la obligación: </w:t>
      </w:r>
      <w:r w:rsidRPr="008609D1">
        <w:t>Operadores con poder sustancial de mercado</w:t>
      </w:r>
    </w:p>
    <w:p w14:paraId="25C4C81F" w14:textId="77777777" w:rsidR="00A1321B" w:rsidRPr="008609D1" w:rsidRDefault="00A1321B" w:rsidP="00A1321B">
      <w:pPr>
        <w:pStyle w:val="Indentadoresolucin"/>
      </w:pPr>
      <w:r w:rsidRPr="008609D1">
        <w:rPr>
          <w:i/>
        </w:rPr>
        <w:t xml:space="preserve">Metodología de atribución de costos: </w:t>
      </w:r>
      <w:r w:rsidRPr="008609D1">
        <w:t xml:space="preserve">Costos completamente distribuidos (CCD) </w:t>
      </w:r>
    </w:p>
    <w:p w14:paraId="093E071C" w14:textId="77777777" w:rsidR="00A1321B" w:rsidRPr="008609D1" w:rsidRDefault="00A1321B" w:rsidP="00A1321B">
      <w:pPr>
        <w:pStyle w:val="Indentadoresolucin"/>
      </w:pPr>
      <w:r w:rsidRPr="008609D1">
        <w:rPr>
          <w:i/>
        </w:rPr>
        <w:t xml:space="preserve">Base de costos: </w:t>
      </w:r>
      <w:r w:rsidRPr="008609D1">
        <w:t>Costos históricos y Costos actuales</w:t>
      </w:r>
    </w:p>
    <w:p w14:paraId="2BA37957" w14:textId="77777777" w:rsidR="00A1321B" w:rsidRPr="008609D1" w:rsidRDefault="00A1321B" w:rsidP="00A1321B">
      <w:pPr>
        <w:pStyle w:val="Indentadoresolucin"/>
        <w:rPr>
          <w:i/>
        </w:rPr>
      </w:pPr>
      <w:r w:rsidRPr="008609D1">
        <w:rPr>
          <w:i/>
        </w:rPr>
        <w:lastRenderedPageBreak/>
        <w:t xml:space="preserve">Metodología de valoración a Costos Actuales (CA): </w:t>
      </w:r>
    </w:p>
    <w:p w14:paraId="3972D2FA" w14:textId="77777777" w:rsidR="00A1321B" w:rsidRPr="008609D1" w:rsidRDefault="00A1321B" w:rsidP="00A1321B">
      <w:pPr>
        <w:pStyle w:val="Indentado3"/>
      </w:pPr>
      <w:r w:rsidRPr="008609D1">
        <w:t>Mantenimiento a costos históricos</w:t>
      </w:r>
    </w:p>
    <w:p w14:paraId="05148888" w14:textId="77777777" w:rsidR="00A1321B" w:rsidRPr="008609D1" w:rsidRDefault="00A1321B" w:rsidP="00A1321B">
      <w:pPr>
        <w:pStyle w:val="Indentado3"/>
      </w:pPr>
      <w:r w:rsidRPr="008609D1">
        <w:t>Indexación</w:t>
      </w:r>
    </w:p>
    <w:p w14:paraId="7FC6765C" w14:textId="77777777" w:rsidR="00A1321B" w:rsidRPr="008609D1" w:rsidRDefault="00A1321B" w:rsidP="00A1321B">
      <w:pPr>
        <w:pStyle w:val="Indentado3"/>
      </w:pPr>
      <w:r w:rsidRPr="008609D1">
        <w:t>Valoración absoluta</w:t>
      </w:r>
    </w:p>
    <w:p w14:paraId="7BB7A705" w14:textId="77777777" w:rsidR="00A1321B" w:rsidRPr="008609D1" w:rsidRDefault="00A1321B" w:rsidP="00A1321B">
      <w:pPr>
        <w:pStyle w:val="Indentado3"/>
      </w:pPr>
      <w:r w:rsidRPr="008609D1">
        <w:t>Activo moderno equivalente</w:t>
      </w:r>
    </w:p>
    <w:p w14:paraId="4F8F77E8" w14:textId="77777777" w:rsidR="00A1321B" w:rsidRPr="008609D1" w:rsidRDefault="00A1321B" w:rsidP="00A1321B">
      <w:pPr>
        <w:pStyle w:val="Indentadoresolucin"/>
      </w:pPr>
      <w:r w:rsidRPr="008609D1">
        <w:rPr>
          <w:i/>
          <w:iCs/>
        </w:rPr>
        <w:t>Método de depreciación</w:t>
      </w:r>
      <w:r w:rsidRPr="008609D1">
        <w:t>: Depreciación lineal</w:t>
      </w:r>
    </w:p>
    <w:p w14:paraId="4DF7DA52" w14:textId="77777777" w:rsidR="00A1321B" w:rsidRPr="008609D1" w:rsidRDefault="00A1321B" w:rsidP="00A1321B">
      <w:pPr>
        <w:pStyle w:val="Indentadoresolucin"/>
      </w:pPr>
      <w:r w:rsidRPr="008609D1">
        <w:rPr>
          <w:i/>
          <w:iCs/>
        </w:rPr>
        <w:t>Periodicidad de la obligación</w:t>
      </w:r>
      <w:r w:rsidRPr="008609D1">
        <w:t>: Anual</w:t>
      </w:r>
    </w:p>
    <w:p w14:paraId="387F49DD" w14:textId="77777777" w:rsidR="00A1321B" w:rsidRPr="008609D1" w:rsidRDefault="00A1321B" w:rsidP="00A1321B">
      <w:pPr>
        <w:pStyle w:val="Indentadoresolucin"/>
      </w:pPr>
      <w:r w:rsidRPr="008609D1">
        <w:rPr>
          <w:i/>
          <w:iCs/>
        </w:rPr>
        <w:t>Aproximación para mantenimiento de capital</w:t>
      </w:r>
      <w:r w:rsidRPr="008609D1">
        <w:t>: No definido</w:t>
      </w:r>
    </w:p>
    <w:p w14:paraId="06418778" w14:textId="77777777" w:rsidR="00A1321B" w:rsidRPr="008609D1" w:rsidRDefault="00A1321B" w:rsidP="00A1321B">
      <w:pPr>
        <w:pStyle w:val="Indentadoresolucin"/>
      </w:pPr>
      <w:r w:rsidRPr="008609D1">
        <w:rPr>
          <w:i/>
          <w:iCs/>
        </w:rPr>
        <w:t>Cálculo del WACC</w:t>
      </w:r>
      <w:r w:rsidRPr="008609D1">
        <w:t>: Calculado por el regulador</w:t>
      </w:r>
    </w:p>
    <w:p w14:paraId="1AF6B474" w14:textId="77777777" w:rsidR="00A1321B" w:rsidRPr="008609D1" w:rsidRDefault="00A1321B" w:rsidP="00A1321B">
      <w:pPr>
        <w:pStyle w:val="Normalresolucion"/>
      </w:pPr>
      <w:r w:rsidRPr="008609D1">
        <w:rPr>
          <w:b/>
          <w:bCs/>
        </w:rPr>
        <w:t>10.- Reino Unido</w:t>
      </w:r>
      <w:r w:rsidRPr="008609D1">
        <w:t xml:space="preserve">. La Oficina de Comunicaciones publicó las obligaciones reglamentarias de la información de separación contable y contabilidad de costos aplicables a los operadores </w:t>
      </w:r>
      <w:r w:rsidRPr="006D334F">
        <w:rPr>
          <w:i/>
        </w:rPr>
        <w:t>British Telecommunications plc</w:t>
      </w:r>
      <w:r w:rsidRPr="008609D1">
        <w:t xml:space="preserve"> y </w:t>
      </w:r>
      <w:r w:rsidRPr="006D334F">
        <w:rPr>
          <w:i/>
        </w:rPr>
        <w:t>Kingston Communications</w:t>
      </w:r>
      <w:r w:rsidRPr="008609D1">
        <w:rPr>
          <w:rStyle w:val="Refdenotaalpie"/>
        </w:rPr>
        <w:footnoteReference w:id="13"/>
      </w:r>
      <w:r w:rsidRPr="008609D1">
        <w:t>, en particular se resaltan los siguientes aspectos:</w:t>
      </w:r>
    </w:p>
    <w:p w14:paraId="05757FEA" w14:textId="77777777" w:rsidR="00A1321B" w:rsidRPr="008609D1" w:rsidRDefault="00A1321B" w:rsidP="00A1321B">
      <w:pPr>
        <w:pStyle w:val="Indentadoresolucin"/>
      </w:pPr>
      <w:r w:rsidRPr="008609D1">
        <w:rPr>
          <w:i/>
        </w:rPr>
        <w:t xml:space="preserve">Fundamento de la obligación: </w:t>
      </w:r>
      <w:r w:rsidRPr="008609D1">
        <w:t>Operadores con poder sustancial de mercado</w:t>
      </w:r>
    </w:p>
    <w:p w14:paraId="07B8E936" w14:textId="77777777" w:rsidR="00A1321B" w:rsidRPr="008609D1" w:rsidRDefault="00A1321B" w:rsidP="00A1321B">
      <w:pPr>
        <w:pStyle w:val="Indentadoresolucin"/>
      </w:pPr>
      <w:r w:rsidRPr="008609D1">
        <w:rPr>
          <w:i/>
        </w:rPr>
        <w:t xml:space="preserve">Metodología de atribución de costos: </w:t>
      </w:r>
      <w:r w:rsidRPr="008609D1">
        <w:t>Costos completamente distribuidos (CCD) y Costos Incrementales de Largo Plazo (CILP)</w:t>
      </w:r>
    </w:p>
    <w:p w14:paraId="5BD76EBE" w14:textId="77777777" w:rsidR="00A1321B" w:rsidRPr="008609D1" w:rsidRDefault="00A1321B" w:rsidP="00A1321B">
      <w:pPr>
        <w:pStyle w:val="Indentadoresolucin"/>
      </w:pPr>
      <w:r w:rsidRPr="008609D1">
        <w:rPr>
          <w:i/>
        </w:rPr>
        <w:t xml:space="preserve">Base de costos: </w:t>
      </w:r>
      <w:r w:rsidRPr="008609D1">
        <w:t>Costos actuales</w:t>
      </w:r>
    </w:p>
    <w:p w14:paraId="72C05CB7" w14:textId="77777777" w:rsidR="00A1321B" w:rsidRPr="008609D1" w:rsidRDefault="00A1321B" w:rsidP="00A1321B">
      <w:pPr>
        <w:pStyle w:val="Indentadoresolucin"/>
        <w:rPr>
          <w:i/>
        </w:rPr>
      </w:pPr>
      <w:r w:rsidRPr="008609D1">
        <w:rPr>
          <w:i/>
        </w:rPr>
        <w:t xml:space="preserve">Metodología de valoración a Costos Actuales (CA): </w:t>
      </w:r>
    </w:p>
    <w:p w14:paraId="58B1D5AF" w14:textId="77777777" w:rsidR="00A1321B" w:rsidRPr="008609D1" w:rsidRDefault="00A1321B" w:rsidP="00A1321B">
      <w:pPr>
        <w:pStyle w:val="Indentado3"/>
      </w:pPr>
      <w:r w:rsidRPr="008609D1">
        <w:t>Mantenimiento a costos históricos</w:t>
      </w:r>
    </w:p>
    <w:p w14:paraId="395F887F" w14:textId="77777777" w:rsidR="00A1321B" w:rsidRPr="008609D1" w:rsidRDefault="00A1321B" w:rsidP="00A1321B">
      <w:pPr>
        <w:pStyle w:val="Indentado3"/>
      </w:pPr>
      <w:r w:rsidRPr="008609D1">
        <w:t>Indexación</w:t>
      </w:r>
    </w:p>
    <w:p w14:paraId="21043586" w14:textId="77777777" w:rsidR="00A1321B" w:rsidRPr="008609D1" w:rsidRDefault="00A1321B" w:rsidP="00A1321B">
      <w:pPr>
        <w:pStyle w:val="Indentado3"/>
      </w:pPr>
      <w:r w:rsidRPr="008609D1">
        <w:t>Valoración absoluta</w:t>
      </w:r>
    </w:p>
    <w:p w14:paraId="398610CD" w14:textId="77777777" w:rsidR="00A1321B" w:rsidRPr="008609D1" w:rsidRDefault="00A1321B" w:rsidP="00A1321B">
      <w:pPr>
        <w:pStyle w:val="Indentado3"/>
      </w:pPr>
      <w:r w:rsidRPr="008609D1">
        <w:t>Activo moderno equivalente</w:t>
      </w:r>
    </w:p>
    <w:p w14:paraId="673F4803" w14:textId="77777777" w:rsidR="00A1321B" w:rsidRPr="008609D1" w:rsidRDefault="00A1321B" w:rsidP="00A1321B">
      <w:pPr>
        <w:pStyle w:val="Indentadoresolucin"/>
      </w:pPr>
      <w:r w:rsidRPr="008609D1">
        <w:rPr>
          <w:i/>
          <w:iCs/>
        </w:rPr>
        <w:t>Método de depreciación</w:t>
      </w:r>
      <w:r w:rsidRPr="008609D1">
        <w:t>: Depreciación lineal</w:t>
      </w:r>
    </w:p>
    <w:p w14:paraId="01BA7622" w14:textId="77777777" w:rsidR="00A1321B" w:rsidRPr="008609D1" w:rsidRDefault="00A1321B" w:rsidP="00A1321B">
      <w:pPr>
        <w:pStyle w:val="Indentadoresolucin"/>
      </w:pPr>
      <w:r w:rsidRPr="008609D1">
        <w:rPr>
          <w:i/>
          <w:iCs/>
        </w:rPr>
        <w:t>Periodicidad de la obligación</w:t>
      </w:r>
      <w:r w:rsidRPr="008609D1">
        <w:t>: Anual</w:t>
      </w:r>
    </w:p>
    <w:p w14:paraId="69529E10" w14:textId="77777777" w:rsidR="00A1321B" w:rsidRPr="008609D1" w:rsidRDefault="00A1321B" w:rsidP="00A1321B">
      <w:pPr>
        <w:pStyle w:val="Indentadoresolucin"/>
      </w:pPr>
      <w:r w:rsidRPr="008609D1">
        <w:rPr>
          <w:i/>
          <w:iCs/>
        </w:rPr>
        <w:t>Aproximación para mantenimiento de capital</w:t>
      </w:r>
      <w:r w:rsidRPr="008609D1">
        <w:t>: Mantenimiento de capital financiero (FCM)</w:t>
      </w:r>
    </w:p>
    <w:p w14:paraId="2186AFFF" w14:textId="77777777" w:rsidR="00A1321B" w:rsidRPr="008609D1" w:rsidRDefault="00A1321B" w:rsidP="00A1321B">
      <w:pPr>
        <w:pStyle w:val="Indentadoresolucin"/>
      </w:pPr>
      <w:r w:rsidRPr="008609D1">
        <w:rPr>
          <w:i/>
          <w:iCs/>
        </w:rPr>
        <w:t>Cálculo del WACC</w:t>
      </w:r>
      <w:r w:rsidRPr="008609D1">
        <w:t>: Calculado por el regulador</w:t>
      </w:r>
    </w:p>
    <w:p w14:paraId="471A8E7F" w14:textId="77777777" w:rsidR="00A1321B" w:rsidRPr="008609D1" w:rsidRDefault="00A1321B" w:rsidP="00A1321B">
      <w:pPr>
        <w:pStyle w:val="Normalresolucion"/>
      </w:pPr>
      <w:r w:rsidRPr="008609D1">
        <w:rPr>
          <w:b/>
          <w:bCs/>
        </w:rPr>
        <w:t>11.- India</w:t>
      </w:r>
      <w:r w:rsidRPr="008609D1">
        <w:t>. La Autoridad Regulatoria de Telecomunicaciones publicó en 2016 los lineamientos bajo los cuales se debe preparar la separación contable por parte de los operadores</w:t>
      </w:r>
      <w:r w:rsidRPr="008609D1">
        <w:rPr>
          <w:rStyle w:val="Refdenotaalpie"/>
        </w:rPr>
        <w:footnoteReference w:id="14"/>
      </w:r>
      <w:r w:rsidRPr="008609D1">
        <w:t>, donde se señalan los siguientes aspectos:</w:t>
      </w:r>
    </w:p>
    <w:p w14:paraId="60D97534" w14:textId="77777777" w:rsidR="00A1321B" w:rsidRPr="008609D1" w:rsidRDefault="00A1321B" w:rsidP="00A1321B">
      <w:pPr>
        <w:pStyle w:val="Indentadoresolucin"/>
      </w:pPr>
      <w:r w:rsidRPr="008609D1">
        <w:rPr>
          <w:i/>
          <w:iCs/>
        </w:rPr>
        <w:t>Fundamento de la obligación</w:t>
      </w:r>
      <w:r w:rsidRPr="008609D1">
        <w:t>: Sectorial</w:t>
      </w:r>
    </w:p>
    <w:p w14:paraId="11722848" w14:textId="77777777" w:rsidR="00A1321B" w:rsidRPr="008609D1" w:rsidRDefault="00A1321B" w:rsidP="00A1321B">
      <w:pPr>
        <w:pStyle w:val="Indentadoresolucin"/>
      </w:pPr>
      <w:r w:rsidRPr="008609D1">
        <w:rPr>
          <w:i/>
          <w:iCs/>
        </w:rPr>
        <w:t>Metodología de atribución de costos</w:t>
      </w:r>
      <w:r w:rsidRPr="008609D1">
        <w:t>: Costos completamente distribuidos (CCD)</w:t>
      </w:r>
    </w:p>
    <w:p w14:paraId="63800435" w14:textId="77777777" w:rsidR="00A1321B" w:rsidRPr="008609D1" w:rsidRDefault="00A1321B" w:rsidP="00A1321B">
      <w:pPr>
        <w:pStyle w:val="Indentadoresolucin"/>
      </w:pPr>
      <w:r w:rsidRPr="008609D1">
        <w:rPr>
          <w:i/>
          <w:iCs/>
        </w:rPr>
        <w:t>Base de costos</w:t>
      </w:r>
      <w:r w:rsidRPr="008609D1">
        <w:t>: Costos histórico</w:t>
      </w:r>
      <w:r>
        <w:t>s</w:t>
      </w:r>
      <w:r w:rsidRPr="008609D1">
        <w:t xml:space="preserve"> y Costos actuales</w:t>
      </w:r>
    </w:p>
    <w:p w14:paraId="412E4BFB" w14:textId="77777777" w:rsidR="00A1321B" w:rsidRPr="008609D1" w:rsidRDefault="00A1321B" w:rsidP="00A1321B">
      <w:pPr>
        <w:pStyle w:val="Indentadoresolucin"/>
      </w:pPr>
      <w:r w:rsidRPr="008609D1">
        <w:rPr>
          <w:i/>
          <w:iCs/>
        </w:rPr>
        <w:lastRenderedPageBreak/>
        <w:t>Metodología de valoración a Costos Actuales (CA)</w:t>
      </w:r>
      <w:r w:rsidRPr="008609D1">
        <w:t xml:space="preserve">: </w:t>
      </w:r>
    </w:p>
    <w:p w14:paraId="2825B726" w14:textId="77777777" w:rsidR="00A1321B" w:rsidRPr="008609D1" w:rsidRDefault="00A1321B" w:rsidP="00A1321B">
      <w:pPr>
        <w:pStyle w:val="Indentado3"/>
      </w:pPr>
      <w:r w:rsidRPr="008609D1">
        <w:t>Mantenimiento a costos históricos</w:t>
      </w:r>
    </w:p>
    <w:p w14:paraId="49EFF3E9" w14:textId="77777777" w:rsidR="00A1321B" w:rsidRPr="008609D1" w:rsidRDefault="00A1321B" w:rsidP="00A1321B">
      <w:pPr>
        <w:pStyle w:val="Indentado3"/>
      </w:pPr>
      <w:r w:rsidRPr="008609D1">
        <w:t>Indexación</w:t>
      </w:r>
    </w:p>
    <w:p w14:paraId="156D19F3" w14:textId="77777777" w:rsidR="00A1321B" w:rsidRPr="008609D1" w:rsidRDefault="00A1321B" w:rsidP="00A1321B">
      <w:pPr>
        <w:pStyle w:val="Indentado3"/>
      </w:pPr>
      <w:r w:rsidRPr="008609D1">
        <w:t>Valoración absoluta</w:t>
      </w:r>
    </w:p>
    <w:p w14:paraId="15892CC3" w14:textId="77777777" w:rsidR="00A1321B" w:rsidRPr="008609D1" w:rsidRDefault="00A1321B" w:rsidP="00A1321B">
      <w:pPr>
        <w:pStyle w:val="Indentado3"/>
      </w:pPr>
      <w:r w:rsidRPr="008609D1">
        <w:t>Activo moderno equivalente</w:t>
      </w:r>
    </w:p>
    <w:p w14:paraId="4A86F222" w14:textId="77777777" w:rsidR="00A1321B" w:rsidRPr="008609D1" w:rsidRDefault="00A1321B" w:rsidP="00A1321B">
      <w:pPr>
        <w:pStyle w:val="Indentadoresolucin"/>
      </w:pPr>
      <w:r w:rsidRPr="008609D1">
        <w:rPr>
          <w:i/>
          <w:iCs/>
        </w:rPr>
        <w:t>Método de depreciación</w:t>
      </w:r>
      <w:r w:rsidRPr="008609D1">
        <w:t>: Depreciación lineal</w:t>
      </w:r>
    </w:p>
    <w:p w14:paraId="3603CC28" w14:textId="77777777" w:rsidR="00A1321B" w:rsidRPr="008609D1" w:rsidRDefault="00A1321B" w:rsidP="00A1321B">
      <w:pPr>
        <w:pStyle w:val="Indentadoresolucin"/>
      </w:pPr>
      <w:r w:rsidRPr="008609D1">
        <w:rPr>
          <w:i/>
          <w:iCs/>
        </w:rPr>
        <w:t>Periodicidad de la obligación</w:t>
      </w:r>
      <w:r w:rsidRPr="008609D1">
        <w:t>: Anual</w:t>
      </w:r>
    </w:p>
    <w:p w14:paraId="4ABBF126" w14:textId="77777777" w:rsidR="00A1321B" w:rsidRPr="008609D1" w:rsidRDefault="00A1321B" w:rsidP="00A1321B">
      <w:pPr>
        <w:pStyle w:val="Indentadoresolucin"/>
      </w:pPr>
      <w:r w:rsidRPr="008609D1">
        <w:rPr>
          <w:i/>
          <w:iCs/>
        </w:rPr>
        <w:t>Aproximación para mantenimiento de capital</w:t>
      </w:r>
      <w:r w:rsidRPr="008609D1">
        <w:t>: Mantenimiento de capital financiero (FCM)</w:t>
      </w:r>
    </w:p>
    <w:p w14:paraId="271F17BF" w14:textId="77777777" w:rsidR="00A1321B" w:rsidRPr="008609D1" w:rsidRDefault="00A1321B" w:rsidP="00A1321B">
      <w:pPr>
        <w:pStyle w:val="Indentadoresolucin"/>
      </w:pPr>
      <w:r w:rsidRPr="008609D1">
        <w:rPr>
          <w:i/>
          <w:iCs/>
        </w:rPr>
        <w:t>Cálculo del WACC</w:t>
      </w:r>
      <w:r w:rsidRPr="008609D1">
        <w:t>: Calculado por el operador</w:t>
      </w:r>
    </w:p>
    <w:p w14:paraId="6EDEC52A" w14:textId="77777777" w:rsidR="00A1321B" w:rsidRPr="008609D1" w:rsidRDefault="00A1321B" w:rsidP="00A1321B">
      <w:pPr>
        <w:pStyle w:val="Normalresolucion"/>
      </w:pPr>
      <w:r w:rsidRPr="008609D1">
        <w:rPr>
          <w:b/>
          <w:bCs/>
        </w:rPr>
        <w:t>12.- Singapur</w:t>
      </w:r>
      <w:r w:rsidRPr="008609D1">
        <w:t xml:space="preserve">. La autoridad reguladora de Singapur </w:t>
      </w:r>
      <w:r w:rsidRPr="006D334F">
        <w:rPr>
          <w:i/>
        </w:rPr>
        <w:t>Infocomm Development Authority</w:t>
      </w:r>
      <w:r w:rsidRPr="008609D1">
        <w:rPr>
          <w:i/>
        </w:rPr>
        <w:t xml:space="preserve"> (IDA) </w:t>
      </w:r>
      <w:r w:rsidRPr="008609D1">
        <w:t>publicó en 2004 los lineamientos para la separación contable</w:t>
      </w:r>
      <w:r w:rsidRPr="008609D1">
        <w:rPr>
          <w:rStyle w:val="Refdenotaalpie"/>
        </w:rPr>
        <w:footnoteReference w:id="15"/>
      </w:r>
      <w:r w:rsidRPr="008609D1">
        <w:t>, donde se estipula lo siguiente:</w:t>
      </w:r>
    </w:p>
    <w:p w14:paraId="733EC0BC" w14:textId="77777777" w:rsidR="00A1321B" w:rsidRPr="008609D1" w:rsidRDefault="00A1321B" w:rsidP="00A1321B">
      <w:pPr>
        <w:pStyle w:val="Indentadoresolucin"/>
      </w:pPr>
      <w:r w:rsidRPr="008609D1">
        <w:rPr>
          <w:i/>
        </w:rPr>
        <w:t xml:space="preserve">Fundamento de la obligación: </w:t>
      </w:r>
      <w:r w:rsidRPr="008609D1">
        <w:t>Operadores con poder sustancial de mercado</w:t>
      </w:r>
    </w:p>
    <w:p w14:paraId="4974DC77" w14:textId="77777777" w:rsidR="00A1321B" w:rsidRPr="008609D1" w:rsidRDefault="00A1321B" w:rsidP="00A1321B">
      <w:pPr>
        <w:pStyle w:val="Indentadoresolucin"/>
      </w:pPr>
      <w:r w:rsidRPr="008609D1">
        <w:rPr>
          <w:i/>
        </w:rPr>
        <w:t xml:space="preserve">Metodología de atribución de costos: </w:t>
      </w:r>
      <w:r w:rsidRPr="008609D1">
        <w:t>Costos completamente distribuidos (CCD)</w:t>
      </w:r>
    </w:p>
    <w:p w14:paraId="233A97ED" w14:textId="77777777" w:rsidR="00A1321B" w:rsidRPr="008609D1" w:rsidRDefault="00A1321B" w:rsidP="00A1321B">
      <w:pPr>
        <w:pStyle w:val="Indentadoresolucin"/>
      </w:pPr>
      <w:r w:rsidRPr="008609D1">
        <w:rPr>
          <w:i/>
        </w:rPr>
        <w:t xml:space="preserve">Base de costos: </w:t>
      </w:r>
      <w:r w:rsidRPr="008609D1">
        <w:t>Costos históricos</w:t>
      </w:r>
    </w:p>
    <w:p w14:paraId="19E318A5" w14:textId="77777777" w:rsidR="00A1321B" w:rsidRPr="008609D1" w:rsidRDefault="00A1321B" w:rsidP="00A1321B">
      <w:pPr>
        <w:pStyle w:val="Indentadoresolucin"/>
      </w:pPr>
      <w:r w:rsidRPr="008609D1">
        <w:rPr>
          <w:i/>
        </w:rPr>
        <w:t xml:space="preserve">Metodología de valoración a Costos Actuales (CA): </w:t>
      </w:r>
      <w:r w:rsidRPr="008609D1">
        <w:t>No aplica</w:t>
      </w:r>
    </w:p>
    <w:p w14:paraId="38353899" w14:textId="77777777" w:rsidR="00A1321B" w:rsidRPr="008609D1" w:rsidRDefault="00A1321B" w:rsidP="00A1321B">
      <w:pPr>
        <w:pStyle w:val="Indentadoresolucin"/>
      </w:pPr>
      <w:r w:rsidRPr="008609D1">
        <w:rPr>
          <w:i/>
        </w:rPr>
        <w:t xml:space="preserve">Método de depreciación: </w:t>
      </w:r>
      <w:r w:rsidRPr="008609D1">
        <w:t>No definido</w:t>
      </w:r>
    </w:p>
    <w:p w14:paraId="6CC92A6F" w14:textId="77777777" w:rsidR="00A1321B" w:rsidRPr="008609D1" w:rsidRDefault="00A1321B" w:rsidP="00A1321B">
      <w:pPr>
        <w:pStyle w:val="Indentadoresolucin"/>
        <w:rPr>
          <w:i/>
        </w:rPr>
      </w:pPr>
      <w:r w:rsidRPr="008609D1">
        <w:rPr>
          <w:i/>
        </w:rPr>
        <w:t xml:space="preserve">Periodicidad de la obligación: </w:t>
      </w:r>
      <w:r w:rsidRPr="008609D1">
        <w:t>Semestral</w:t>
      </w:r>
    </w:p>
    <w:p w14:paraId="7C6DD0E4" w14:textId="77777777" w:rsidR="00A1321B" w:rsidRPr="008609D1" w:rsidRDefault="00A1321B" w:rsidP="00A1321B">
      <w:pPr>
        <w:pStyle w:val="Indentadoresolucin"/>
      </w:pPr>
      <w:r w:rsidRPr="008609D1">
        <w:rPr>
          <w:i/>
        </w:rPr>
        <w:t xml:space="preserve">Aproximación para mantenimiento de capital: </w:t>
      </w:r>
      <w:r w:rsidRPr="008609D1">
        <w:t>No definido</w:t>
      </w:r>
    </w:p>
    <w:p w14:paraId="1BF3C2AD" w14:textId="77777777" w:rsidR="00A1321B" w:rsidRPr="008609D1" w:rsidRDefault="00A1321B" w:rsidP="00A1321B">
      <w:pPr>
        <w:pStyle w:val="Indentadoresolucin"/>
      </w:pPr>
      <w:r w:rsidRPr="008609D1">
        <w:rPr>
          <w:i/>
        </w:rPr>
        <w:t xml:space="preserve">Cálculo del WACC: </w:t>
      </w:r>
      <w:r w:rsidRPr="008609D1">
        <w:t>No definido</w:t>
      </w:r>
    </w:p>
    <w:p w14:paraId="71802676" w14:textId="77777777" w:rsidR="00A1321B" w:rsidRPr="008609D1" w:rsidRDefault="00A1321B" w:rsidP="00A1321B">
      <w:pPr>
        <w:pStyle w:val="Normalresolucion"/>
      </w:pPr>
      <w:r w:rsidRPr="008609D1">
        <w:rPr>
          <w:b/>
          <w:bCs/>
        </w:rPr>
        <w:t>13.- Arabia Saudí</w:t>
      </w:r>
      <w:r w:rsidRPr="008609D1">
        <w:t>. La</w:t>
      </w:r>
      <w:r w:rsidRPr="008609D1">
        <w:rPr>
          <w:lang w:val="es-MX"/>
        </w:rPr>
        <w:t xml:space="preserve"> Comisión de Comunicaciones y Tecnologías de la Información emitió los lineamientos que los operadores deberán seguir para la presentación de la información de separación contable</w:t>
      </w:r>
      <w:r w:rsidRPr="008609D1">
        <w:rPr>
          <w:rStyle w:val="Refdenotaalpie"/>
        </w:rPr>
        <w:footnoteReference w:id="16"/>
      </w:r>
      <w:r w:rsidRPr="008609D1">
        <w:rPr>
          <w:lang w:val="es-MX"/>
        </w:rPr>
        <w:t>, señalando lo siguiente:</w:t>
      </w:r>
    </w:p>
    <w:p w14:paraId="5C505EDF" w14:textId="77777777" w:rsidR="00A1321B" w:rsidRPr="008609D1" w:rsidRDefault="00A1321B" w:rsidP="00A1321B">
      <w:pPr>
        <w:pStyle w:val="Indentadoresolucin"/>
      </w:pPr>
      <w:r w:rsidRPr="008609D1">
        <w:rPr>
          <w:i/>
        </w:rPr>
        <w:t xml:space="preserve">Fundamento de la obligación: </w:t>
      </w:r>
      <w:r w:rsidRPr="008609D1">
        <w:t>Operadores con poder sustancial de mercado</w:t>
      </w:r>
    </w:p>
    <w:p w14:paraId="12548155" w14:textId="77777777" w:rsidR="00A1321B" w:rsidRPr="008609D1" w:rsidRDefault="00A1321B" w:rsidP="00A1321B">
      <w:pPr>
        <w:pStyle w:val="Indentadoresolucin"/>
      </w:pPr>
      <w:r w:rsidRPr="008609D1">
        <w:rPr>
          <w:i/>
        </w:rPr>
        <w:t xml:space="preserve">Metodología de atribución de costos: </w:t>
      </w:r>
      <w:r w:rsidRPr="008609D1">
        <w:t>Costos completamente distribuidos (CCD)</w:t>
      </w:r>
    </w:p>
    <w:p w14:paraId="4EF25812" w14:textId="77777777" w:rsidR="00A1321B" w:rsidRPr="008609D1" w:rsidRDefault="00A1321B" w:rsidP="00A1321B">
      <w:pPr>
        <w:pStyle w:val="Indentadoresolucin"/>
      </w:pPr>
      <w:r w:rsidRPr="008609D1">
        <w:rPr>
          <w:i/>
        </w:rPr>
        <w:t xml:space="preserve">Base de costos: </w:t>
      </w:r>
      <w:r w:rsidRPr="008609D1">
        <w:t>Costos históricos y costos actuales</w:t>
      </w:r>
    </w:p>
    <w:p w14:paraId="42297B3D" w14:textId="77777777" w:rsidR="00A1321B" w:rsidRPr="008609D1" w:rsidRDefault="00A1321B" w:rsidP="00A1321B">
      <w:pPr>
        <w:pStyle w:val="Indentadoresolucin"/>
        <w:rPr>
          <w:i/>
        </w:rPr>
      </w:pPr>
      <w:r w:rsidRPr="008609D1">
        <w:rPr>
          <w:i/>
        </w:rPr>
        <w:t xml:space="preserve">Metodología de valoración a Costos actuales: </w:t>
      </w:r>
    </w:p>
    <w:p w14:paraId="4C699EB0" w14:textId="77777777" w:rsidR="00A1321B" w:rsidRPr="008609D1" w:rsidRDefault="00A1321B" w:rsidP="00A1321B">
      <w:pPr>
        <w:pStyle w:val="Indentado3"/>
      </w:pPr>
      <w:r w:rsidRPr="008609D1">
        <w:t>Mantenimiento a costos históricos</w:t>
      </w:r>
    </w:p>
    <w:p w14:paraId="0AF9A360" w14:textId="77777777" w:rsidR="00A1321B" w:rsidRPr="008609D1" w:rsidRDefault="00A1321B" w:rsidP="00A1321B">
      <w:pPr>
        <w:pStyle w:val="Indentado3"/>
      </w:pPr>
      <w:r w:rsidRPr="008609D1">
        <w:lastRenderedPageBreak/>
        <w:t>Indexación</w:t>
      </w:r>
    </w:p>
    <w:p w14:paraId="25FD60C2" w14:textId="77777777" w:rsidR="00A1321B" w:rsidRPr="008609D1" w:rsidRDefault="00A1321B" w:rsidP="00A1321B">
      <w:pPr>
        <w:pStyle w:val="Indentado3"/>
      </w:pPr>
      <w:r w:rsidRPr="008609D1">
        <w:t>Valoración absoluta</w:t>
      </w:r>
    </w:p>
    <w:p w14:paraId="0475C5E0" w14:textId="77777777" w:rsidR="00A1321B" w:rsidRPr="008609D1" w:rsidRDefault="00A1321B" w:rsidP="00A1321B">
      <w:pPr>
        <w:pStyle w:val="Indentado3"/>
      </w:pPr>
      <w:r w:rsidRPr="008609D1">
        <w:t>Activo moderno equivalente</w:t>
      </w:r>
    </w:p>
    <w:p w14:paraId="3534DC38" w14:textId="77777777" w:rsidR="00A1321B" w:rsidRPr="008609D1" w:rsidRDefault="00A1321B" w:rsidP="00A1321B">
      <w:pPr>
        <w:pStyle w:val="Indentadoresolucin"/>
      </w:pPr>
      <w:r w:rsidRPr="008609D1">
        <w:rPr>
          <w:i/>
          <w:iCs/>
        </w:rPr>
        <w:t>Método de depreciación</w:t>
      </w:r>
      <w:r w:rsidRPr="008609D1">
        <w:t>: Depreciación lineal</w:t>
      </w:r>
    </w:p>
    <w:p w14:paraId="47F132E0" w14:textId="77777777" w:rsidR="00A1321B" w:rsidRPr="008609D1" w:rsidRDefault="00A1321B" w:rsidP="00A1321B">
      <w:pPr>
        <w:pStyle w:val="Indentadoresolucin"/>
      </w:pPr>
      <w:r w:rsidRPr="008609D1">
        <w:rPr>
          <w:i/>
          <w:iCs/>
        </w:rPr>
        <w:t>Periodicidad de la obligación</w:t>
      </w:r>
      <w:r w:rsidRPr="008609D1">
        <w:t>: Anual</w:t>
      </w:r>
    </w:p>
    <w:p w14:paraId="0B398FBF" w14:textId="77777777" w:rsidR="00A1321B" w:rsidRPr="008609D1" w:rsidRDefault="00A1321B" w:rsidP="00A1321B">
      <w:pPr>
        <w:pStyle w:val="Indentadoresolucin"/>
      </w:pPr>
      <w:r w:rsidRPr="008609D1">
        <w:rPr>
          <w:i/>
          <w:iCs/>
        </w:rPr>
        <w:t>Aproximación para mantenimiento de capital</w:t>
      </w:r>
      <w:r w:rsidRPr="008609D1">
        <w:t>: Mantenimiento de capital financiero (FCM)</w:t>
      </w:r>
    </w:p>
    <w:p w14:paraId="3A4C5A18" w14:textId="77777777" w:rsidR="00A1321B" w:rsidRPr="008609D1" w:rsidRDefault="00A1321B" w:rsidP="00A1321B">
      <w:pPr>
        <w:pStyle w:val="Indentadoresolucin"/>
      </w:pPr>
      <w:r w:rsidRPr="008609D1">
        <w:rPr>
          <w:i/>
          <w:iCs/>
        </w:rPr>
        <w:t>Cálculo del WACC</w:t>
      </w:r>
      <w:r w:rsidRPr="008609D1">
        <w:t>: Calculado por el operador</w:t>
      </w:r>
    </w:p>
    <w:p w14:paraId="1E291E0B" w14:textId="41D644E0" w:rsidR="00A1321B" w:rsidRDefault="00A1321B" w:rsidP="00A1321B">
      <w:pPr>
        <w:pStyle w:val="Normalresolucion"/>
        <w:spacing w:before="360"/>
        <w:rPr>
          <w:lang w:val="es-MX"/>
        </w:rPr>
      </w:pPr>
      <w:r w:rsidRPr="008609D1">
        <w:rPr>
          <w:lang w:val="es-MX"/>
        </w:rPr>
        <w:t xml:space="preserve">A continuación, se relacionan los objetivos y usos regulatorios de la separación contable en algunos de los países de la muestra anterior: </w:t>
      </w:r>
    </w:p>
    <w:p w14:paraId="127DC669" w14:textId="77777777" w:rsidR="008B1948" w:rsidRPr="008609D1" w:rsidRDefault="008B1948" w:rsidP="00707EE9">
      <w:pPr>
        <w:pStyle w:val="Descripcin"/>
        <w:keepNext/>
        <w:keepLines/>
        <w:spacing w:after="120" w:line="240" w:lineRule="auto"/>
        <w:rPr>
          <w:sz w:val="20"/>
          <w:lang w:val="es-MX"/>
        </w:rPr>
      </w:pPr>
      <w:r w:rsidRPr="008609D1">
        <w:rPr>
          <w:rFonts w:ascii="ITC Avant Garde" w:hAnsi="ITC Avant Garde"/>
          <w:sz w:val="20"/>
          <w:lang w:val="es-ES"/>
        </w:rPr>
        <w:t xml:space="preserve">Tabla </w:t>
      </w:r>
      <w:r w:rsidRPr="008609D1">
        <w:rPr>
          <w:rFonts w:ascii="ITC Avant Garde" w:hAnsi="ITC Avant Garde"/>
          <w:sz w:val="20"/>
          <w:lang w:val="es-ES"/>
        </w:rPr>
        <w:fldChar w:fldCharType="begin"/>
      </w:r>
      <w:r w:rsidRPr="008609D1">
        <w:rPr>
          <w:rFonts w:ascii="ITC Avant Garde" w:hAnsi="ITC Avant Garde"/>
          <w:sz w:val="20"/>
          <w:lang w:val="es-ES"/>
        </w:rPr>
        <w:instrText xml:space="preserve"> SEQ Tabla \* ARABIC </w:instrText>
      </w:r>
      <w:r w:rsidRPr="008609D1">
        <w:rPr>
          <w:rFonts w:ascii="ITC Avant Garde" w:hAnsi="ITC Avant Garde"/>
          <w:sz w:val="20"/>
          <w:lang w:val="es-ES"/>
        </w:rPr>
        <w:fldChar w:fldCharType="separate"/>
      </w:r>
      <w:r w:rsidRPr="008609D1">
        <w:rPr>
          <w:rFonts w:ascii="ITC Avant Garde" w:hAnsi="ITC Avant Garde"/>
          <w:noProof/>
          <w:sz w:val="20"/>
          <w:lang w:val="es-ES"/>
        </w:rPr>
        <w:t>2</w:t>
      </w:r>
      <w:r w:rsidRPr="008609D1">
        <w:rPr>
          <w:rFonts w:ascii="ITC Avant Garde" w:hAnsi="ITC Avant Garde"/>
          <w:sz w:val="20"/>
          <w:lang w:val="es-ES"/>
        </w:rPr>
        <w:fldChar w:fldCharType="end"/>
      </w:r>
      <w:r w:rsidRPr="008609D1">
        <w:rPr>
          <w:rFonts w:ascii="ITC Avant Garde" w:hAnsi="ITC Avant Garde"/>
          <w:sz w:val="20"/>
          <w:lang w:val="es-ES"/>
        </w:rPr>
        <w:t>: Objetivos de la separación contable en la práctica internacional [Fuente: Estudio interno del Instituto]</w:t>
      </w:r>
    </w:p>
    <w:tbl>
      <w:tblPr>
        <w:tblStyle w:val="Tablaconcuadrcula"/>
        <w:tblW w:w="4875" w:type="pct"/>
        <w:jc w:val="center"/>
        <w:tblLayout w:type="fixed"/>
        <w:tblLook w:val="04A0" w:firstRow="1" w:lastRow="0" w:firstColumn="1" w:lastColumn="0" w:noHBand="0" w:noVBand="1"/>
      </w:tblPr>
      <w:tblGrid>
        <w:gridCol w:w="3088"/>
        <w:gridCol w:w="1103"/>
        <w:gridCol w:w="1104"/>
        <w:gridCol w:w="1104"/>
        <w:gridCol w:w="1104"/>
        <w:gridCol w:w="1104"/>
      </w:tblGrid>
      <w:tr w:rsidR="00A1321B" w:rsidRPr="008609D1" w14:paraId="3510DA08" w14:textId="77777777" w:rsidTr="008B4286">
        <w:trPr>
          <w:trHeight w:val="579"/>
          <w:jc w:val="center"/>
        </w:trPr>
        <w:tc>
          <w:tcPr>
            <w:tcW w:w="3088" w:type="dxa"/>
            <w:shd w:val="clear" w:color="auto" w:fill="BFBFBF" w:themeFill="background1" w:themeFillShade="BF"/>
            <w:vAlign w:val="center"/>
            <w:hideMark/>
          </w:tcPr>
          <w:p w14:paraId="2A723EE0" w14:textId="77777777" w:rsidR="00A1321B" w:rsidRPr="008609D1" w:rsidRDefault="00A1321B" w:rsidP="008B4286">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Uso de la separación contable</w:t>
            </w:r>
          </w:p>
        </w:tc>
        <w:tc>
          <w:tcPr>
            <w:tcW w:w="1103" w:type="dxa"/>
            <w:shd w:val="clear" w:color="auto" w:fill="BFBFBF" w:themeFill="background1" w:themeFillShade="BF"/>
            <w:vAlign w:val="center"/>
            <w:hideMark/>
          </w:tcPr>
          <w:p w14:paraId="7BE2D7A9" w14:textId="77777777" w:rsidR="00A1321B" w:rsidRPr="008609D1" w:rsidRDefault="00A1321B" w:rsidP="008B4286">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Perú</w:t>
            </w:r>
          </w:p>
        </w:tc>
        <w:tc>
          <w:tcPr>
            <w:tcW w:w="1104" w:type="dxa"/>
            <w:shd w:val="clear" w:color="auto" w:fill="BFBFBF" w:themeFill="background1" w:themeFillShade="BF"/>
            <w:vAlign w:val="center"/>
            <w:hideMark/>
          </w:tcPr>
          <w:p w14:paraId="487868C1" w14:textId="77777777" w:rsidR="00A1321B" w:rsidRPr="008609D1" w:rsidRDefault="00A1321B" w:rsidP="008B4286">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España</w:t>
            </w:r>
          </w:p>
        </w:tc>
        <w:tc>
          <w:tcPr>
            <w:tcW w:w="1104" w:type="dxa"/>
            <w:shd w:val="clear" w:color="auto" w:fill="BFBFBF" w:themeFill="background1" w:themeFillShade="BF"/>
            <w:vAlign w:val="center"/>
            <w:hideMark/>
          </w:tcPr>
          <w:p w14:paraId="4E577F6A" w14:textId="77777777" w:rsidR="00A1321B" w:rsidRPr="008609D1" w:rsidRDefault="00A1321B" w:rsidP="008B4286">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Reino Unido</w:t>
            </w:r>
          </w:p>
        </w:tc>
        <w:tc>
          <w:tcPr>
            <w:tcW w:w="1104" w:type="dxa"/>
            <w:shd w:val="clear" w:color="auto" w:fill="BFBFBF" w:themeFill="background1" w:themeFillShade="BF"/>
            <w:vAlign w:val="center"/>
            <w:hideMark/>
          </w:tcPr>
          <w:p w14:paraId="0DBFF468" w14:textId="77777777" w:rsidR="00A1321B" w:rsidRPr="008609D1" w:rsidRDefault="00A1321B" w:rsidP="008B4286">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India</w:t>
            </w:r>
          </w:p>
        </w:tc>
        <w:tc>
          <w:tcPr>
            <w:tcW w:w="1104" w:type="dxa"/>
            <w:shd w:val="clear" w:color="auto" w:fill="BFBFBF" w:themeFill="background1" w:themeFillShade="BF"/>
            <w:vAlign w:val="center"/>
            <w:hideMark/>
          </w:tcPr>
          <w:p w14:paraId="180FE6AB" w14:textId="77777777" w:rsidR="00A1321B" w:rsidRPr="008609D1" w:rsidRDefault="00A1321B" w:rsidP="008B4286">
            <w:pPr>
              <w:keepNext/>
              <w:keepLines/>
              <w:spacing w:before="100" w:beforeAutospacing="1" w:after="100" w:afterAutospacing="1"/>
              <w:jc w:val="center"/>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Singapur</w:t>
            </w:r>
          </w:p>
        </w:tc>
      </w:tr>
      <w:tr w:rsidR="00A1321B" w:rsidRPr="008609D1" w14:paraId="1A448C99" w14:textId="77777777" w:rsidTr="008B4286">
        <w:trPr>
          <w:trHeight w:val="312"/>
          <w:jc w:val="center"/>
        </w:trPr>
        <w:tc>
          <w:tcPr>
            <w:tcW w:w="3088" w:type="dxa"/>
            <w:vAlign w:val="center"/>
            <w:hideMark/>
          </w:tcPr>
          <w:p w14:paraId="62892950" w14:textId="77777777" w:rsidR="00A1321B" w:rsidRPr="008609D1" w:rsidRDefault="00A1321B" w:rsidP="008B4286">
            <w:pPr>
              <w:keepNext/>
              <w:keepLines/>
              <w:ind w:left="57"/>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Estrechamiento de márgenes</w:t>
            </w:r>
          </w:p>
        </w:tc>
        <w:tc>
          <w:tcPr>
            <w:tcW w:w="1103" w:type="dxa"/>
            <w:noWrap/>
            <w:vAlign w:val="center"/>
            <w:hideMark/>
          </w:tcPr>
          <w:p w14:paraId="4302DC0C"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5FC0871B"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780C1356"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024EC61A"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231290AA"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r>
      <w:tr w:rsidR="00A1321B" w:rsidRPr="008609D1" w14:paraId="13A3DFFC" w14:textId="77777777" w:rsidTr="008B4286">
        <w:trPr>
          <w:trHeight w:val="312"/>
          <w:jc w:val="center"/>
        </w:trPr>
        <w:tc>
          <w:tcPr>
            <w:tcW w:w="3088" w:type="dxa"/>
            <w:vAlign w:val="center"/>
            <w:hideMark/>
          </w:tcPr>
          <w:p w14:paraId="52D294F6" w14:textId="77777777" w:rsidR="00A1321B" w:rsidRPr="008609D1" w:rsidRDefault="00A1321B" w:rsidP="008B4286">
            <w:pPr>
              <w:keepNext/>
              <w:keepLines/>
              <w:ind w:left="57"/>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Precios predatorios</w:t>
            </w:r>
          </w:p>
        </w:tc>
        <w:tc>
          <w:tcPr>
            <w:tcW w:w="1103" w:type="dxa"/>
            <w:noWrap/>
            <w:vAlign w:val="center"/>
            <w:hideMark/>
          </w:tcPr>
          <w:p w14:paraId="73A970DD"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465BC3C6"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49725593"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4249CFA7"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24B01F0C"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r>
      <w:tr w:rsidR="00A1321B" w:rsidRPr="008609D1" w14:paraId="3F53D5EB" w14:textId="77777777" w:rsidTr="008B4286">
        <w:trPr>
          <w:trHeight w:val="312"/>
          <w:jc w:val="center"/>
        </w:trPr>
        <w:tc>
          <w:tcPr>
            <w:tcW w:w="3088" w:type="dxa"/>
            <w:vAlign w:val="center"/>
            <w:hideMark/>
          </w:tcPr>
          <w:p w14:paraId="10D48B1C" w14:textId="77777777" w:rsidR="00A1321B" w:rsidRPr="008609D1" w:rsidRDefault="00A1321B" w:rsidP="008B4286">
            <w:pPr>
              <w:keepNext/>
              <w:keepLines/>
              <w:ind w:left="57"/>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Fijación de tarifas</w:t>
            </w:r>
          </w:p>
        </w:tc>
        <w:tc>
          <w:tcPr>
            <w:tcW w:w="1103" w:type="dxa"/>
            <w:noWrap/>
            <w:vAlign w:val="center"/>
          </w:tcPr>
          <w:p w14:paraId="44E96C5E"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tcPr>
          <w:p w14:paraId="49EF18A8"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tcPr>
          <w:p w14:paraId="7491BBF2"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tcPr>
          <w:p w14:paraId="15E427BB"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tcPr>
          <w:p w14:paraId="6CD4EB4D"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r>
      <w:tr w:rsidR="00A1321B" w:rsidRPr="008609D1" w14:paraId="57B4182B" w14:textId="77777777" w:rsidTr="008B4286">
        <w:trPr>
          <w:trHeight w:val="312"/>
          <w:jc w:val="center"/>
        </w:trPr>
        <w:tc>
          <w:tcPr>
            <w:tcW w:w="3088" w:type="dxa"/>
            <w:vAlign w:val="center"/>
            <w:hideMark/>
          </w:tcPr>
          <w:p w14:paraId="0E427669" w14:textId="77777777" w:rsidR="00A1321B" w:rsidRPr="008609D1" w:rsidRDefault="00A1321B" w:rsidP="008B4286">
            <w:pPr>
              <w:keepNext/>
              <w:keepLines/>
              <w:ind w:left="57"/>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Subsidios cruzados</w:t>
            </w:r>
          </w:p>
        </w:tc>
        <w:tc>
          <w:tcPr>
            <w:tcW w:w="1103" w:type="dxa"/>
            <w:noWrap/>
            <w:vAlign w:val="center"/>
            <w:hideMark/>
          </w:tcPr>
          <w:p w14:paraId="26C54C0C"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7A034125"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69E73202"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65766372"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09D1FBC3"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r>
      <w:tr w:rsidR="00A1321B" w:rsidRPr="008609D1" w14:paraId="71120B47" w14:textId="77777777" w:rsidTr="008B4286">
        <w:trPr>
          <w:trHeight w:val="312"/>
          <w:jc w:val="center"/>
        </w:trPr>
        <w:tc>
          <w:tcPr>
            <w:tcW w:w="3088" w:type="dxa"/>
            <w:vAlign w:val="center"/>
            <w:hideMark/>
          </w:tcPr>
          <w:p w14:paraId="33100988" w14:textId="77777777" w:rsidR="00A1321B" w:rsidRPr="008609D1" w:rsidRDefault="00A1321B" w:rsidP="008B4286">
            <w:pPr>
              <w:keepNext/>
              <w:keepLines/>
              <w:ind w:left="57"/>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Disputas</w:t>
            </w:r>
          </w:p>
        </w:tc>
        <w:tc>
          <w:tcPr>
            <w:tcW w:w="1103" w:type="dxa"/>
            <w:noWrap/>
            <w:vAlign w:val="center"/>
            <w:hideMark/>
          </w:tcPr>
          <w:p w14:paraId="094A6D11"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0746E3AB"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4598DD54"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146FC0ED"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1E48FCAC"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r>
      <w:tr w:rsidR="00A1321B" w:rsidRPr="008609D1" w14:paraId="194736ED" w14:textId="77777777" w:rsidTr="008B4286">
        <w:trPr>
          <w:trHeight w:val="312"/>
          <w:jc w:val="center"/>
        </w:trPr>
        <w:tc>
          <w:tcPr>
            <w:tcW w:w="3088" w:type="dxa"/>
            <w:vAlign w:val="center"/>
            <w:hideMark/>
          </w:tcPr>
          <w:p w14:paraId="5C4796DB" w14:textId="77777777" w:rsidR="00A1321B" w:rsidRPr="008609D1" w:rsidRDefault="00A1321B" w:rsidP="008B4286">
            <w:pPr>
              <w:keepNext/>
              <w:keepLines/>
              <w:ind w:left="57"/>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Modelos </w:t>
            </w:r>
            <w:r w:rsidRPr="008609D1">
              <w:rPr>
                <w:rFonts w:ascii="ITC Avant Garde" w:eastAsia="Times New Roman" w:hAnsi="ITC Avant Garde" w:cs="Arial"/>
                <w:i/>
                <w:iCs/>
                <w:sz w:val="20"/>
                <w:szCs w:val="20"/>
                <w:lang w:val="es-ES" w:eastAsia="es-ES"/>
              </w:rPr>
              <w:t>bottom-ups</w:t>
            </w:r>
          </w:p>
        </w:tc>
        <w:tc>
          <w:tcPr>
            <w:tcW w:w="1103" w:type="dxa"/>
            <w:noWrap/>
            <w:vAlign w:val="center"/>
            <w:hideMark/>
          </w:tcPr>
          <w:p w14:paraId="41733756"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7C1EA7AB"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3F134BA0"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62490061"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25A07F7A"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r>
      <w:tr w:rsidR="00A1321B" w:rsidRPr="008609D1" w14:paraId="49449345" w14:textId="77777777" w:rsidTr="008B4286">
        <w:trPr>
          <w:trHeight w:val="312"/>
          <w:jc w:val="center"/>
        </w:trPr>
        <w:tc>
          <w:tcPr>
            <w:tcW w:w="3088" w:type="dxa"/>
            <w:vAlign w:val="center"/>
            <w:hideMark/>
          </w:tcPr>
          <w:p w14:paraId="5C12E023" w14:textId="77777777" w:rsidR="00A1321B" w:rsidRPr="008609D1" w:rsidRDefault="00A1321B" w:rsidP="008B4286">
            <w:pPr>
              <w:keepNext/>
              <w:keepLines/>
              <w:ind w:left="57"/>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Precios tope</w:t>
            </w:r>
          </w:p>
        </w:tc>
        <w:tc>
          <w:tcPr>
            <w:tcW w:w="1103" w:type="dxa"/>
            <w:noWrap/>
            <w:vAlign w:val="center"/>
            <w:hideMark/>
          </w:tcPr>
          <w:p w14:paraId="5B2D87D7"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7CC116DF"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16976C10"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4A196FD0"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hideMark/>
          </w:tcPr>
          <w:p w14:paraId="4CE35BC6"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r>
      <w:tr w:rsidR="00A1321B" w:rsidRPr="008609D1" w14:paraId="0708F3DE" w14:textId="77777777" w:rsidTr="008B4286">
        <w:trPr>
          <w:trHeight w:val="312"/>
          <w:jc w:val="center"/>
        </w:trPr>
        <w:tc>
          <w:tcPr>
            <w:tcW w:w="3088" w:type="dxa"/>
            <w:vAlign w:val="center"/>
            <w:hideMark/>
          </w:tcPr>
          <w:p w14:paraId="66D29DD3" w14:textId="77777777" w:rsidR="00A1321B" w:rsidRPr="008609D1" w:rsidRDefault="00A1321B" w:rsidP="008B4286">
            <w:pPr>
              <w:keepNext/>
              <w:keepLines/>
              <w:ind w:left="57"/>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Valuación espectro</w:t>
            </w:r>
          </w:p>
        </w:tc>
        <w:tc>
          <w:tcPr>
            <w:tcW w:w="1103" w:type="dxa"/>
            <w:noWrap/>
            <w:vAlign w:val="center"/>
          </w:tcPr>
          <w:p w14:paraId="38FD86BD"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tcPr>
          <w:p w14:paraId="7126C764"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tcPr>
          <w:p w14:paraId="77BC3326"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tcPr>
          <w:p w14:paraId="0A032155"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c>
          <w:tcPr>
            <w:tcW w:w="1104" w:type="dxa"/>
            <w:vAlign w:val="center"/>
          </w:tcPr>
          <w:p w14:paraId="35227C57" w14:textId="77777777" w:rsidR="00A1321B" w:rsidRPr="008609D1" w:rsidRDefault="00A1321B" w:rsidP="008B4286">
            <w:pPr>
              <w:keepNext/>
              <w:keepLines/>
              <w:jc w:val="center"/>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w:t>
            </w:r>
          </w:p>
        </w:tc>
      </w:tr>
    </w:tbl>
    <w:p w14:paraId="3EE81EEE" w14:textId="77777777" w:rsidR="00A1321B" w:rsidRPr="008609D1" w:rsidRDefault="00A1321B" w:rsidP="00A1321B">
      <w:pPr>
        <w:pStyle w:val="Ttulo2"/>
      </w:pPr>
      <w:bookmarkStart w:id="7" w:name="_Toc484022085"/>
      <w:r w:rsidRPr="008609D1">
        <w:t>CUARTO. Alcance y utilidad de la nueva metodología de separación contable conforme al entorno regulatorio.</w:t>
      </w:r>
      <w:bookmarkEnd w:id="7"/>
    </w:p>
    <w:p w14:paraId="69F774CA" w14:textId="77777777" w:rsidR="00A1321B" w:rsidRPr="008609D1" w:rsidRDefault="00A1321B" w:rsidP="00A1321B">
      <w:pPr>
        <w:pStyle w:val="Normalresolucion"/>
      </w:pPr>
      <w:r w:rsidRPr="008609D1">
        <w:t xml:space="preserve">La Resolución de 2013 se estableció como una disposición administrativa de carácter general, aplicable a todos los concesionarios de redes públicas de telecomunicaciones que prestan uno o más de los servicios descritos en el “MANUAL QUE PROVEE LA METODOLOGIA DE SEPARACION CONTABLE PARA CONCESIONARIOS DE REDES PUBLICAS DE TELECOMUNICACIONES”. </w:t>
      </w:r>
    </w:p>
    <w:p w14:paraId="55484B8A" w14:textId="77777777" w:rsidR="00A1321B" w:rsidRPr="008609D1" w:rsidRDefault="00A1321B" w:rsidP="00A1321B">
      <w:pPr>
        <w:pStyle w:val="Normalresolucion"/>
      </w:pPr>
      <w:r w:rsidRPr="008609D1">
        <w:t>Con la publicación tanto del Decreto en 2013, como de la Ley y de la Ley Federal de Competencia Económica en 2014, se modificó significativamente el marco regulatorio del sector telecomunicaciones y radiodifusión, con lo cual resulta necesario actualizar la metodología de separación contable para asegurar consistencia con las nuevas disposiciones legales y regulatorias, en particular aquellas relacionadas con el uso intensivo de información por parte de los concesionarios y autorizados.</w:t>
      </w:r>
    </w:p>
    <w:p w14:paraId="5186C506" w14:textId="77777777" w:rsidR="00A1321B" w:rsidRPr="008609D1" w:rsidRDefault="00A1321B" w:rsidP="00A1321B">
      <w:pPr>
        <w:pStyle w:val="Normalresolucion"/>
      </w:pPr>
      <w:r w:rsidRPr="008609D1">
        <w:lastRenderedPageBreak/>
        <w:t xml:space="preserve">De esta reforma al marco constitucional y legal resalta el establecimiento de la figura de Agentes Económicos Preponderantes prevista en la fracción III del artículo Octavo Transitorio del Decreto, y en el Capítulo I del Título Décimo Segundo de la Ley, mismos que han sido declarados a partir de su participación nacional en la prestación de los servicios de radiodifusión o telecomunicaciones, y por contar directa o indirectamente, con una participación nacional mayor al cincuenta por ciento, medido ya sea por el número de usuarios, suscriptores, audiencia, por el tráfico en sus redes o por la capacidad utilizada de las mismas. </w:t>
      </w:r>
    </w:p>
    <w:p w14:paraId="3A41537E" w14:textId="77777777" w:rsidR="00A1321B" w:rsidRPr="008609D1" w:rsidRDefault="00A1321B" w:rsidP="00A1321B">
      <w:pPr>
        <w:pStyle w:val="Normalresolucion"/>
      </w:pPr>
      <w:r w:rsidRPr="008609D1">
        <w:t>Otro de los aspectos que resalta de la reforma, es que se facultó al Instituto Federal de Telecomunicaciones como la autoridad en materia de competencia económica de los sectores de radiodifusión y telecomunicaciones, por lo que ejerce en forma exclusiva las facultades previstas en el artículo 28 de la Constitución y de las leyes establecidas para la Comisión Federal de Competencia Económica. De esta manera, el Instituto puede determinar la existencia de agentes con poder sustancial en cualquier mercado relevante de los sectores de radiodifusión y telecomunicaciones.</w:t>
      </w:r>
    </w:p>
    <w:p w14:paraId="772CDA38" w14:textId="77777777" w:rsidR="00A1321B" w:rsidRPr="008609D1" w:rsidRDefault="00A1321B" w:rsidP="00A1321B">
      <w:pPr>
        <w:pStyle w:val="Normalresolucion"/>
      </w:pPr>
      <w:r w:rsidRPr="008609D1">
        <w:t xml:space="preserve">En ambos casos, tanto para los Agentes Económicos Preponderantes como para los agentes con poder sustancial de mercado, el supuesto legal se actualiza mediante una declaratoria a través de procedimientos establecidos en la propia Ley.  </w:t>
      </w:r>
    </w:p>
    <w:p w14:paraId="0EBC8132" w14:textId="6A4C5027" w:rsidR="00A1321B" w:rsidRPr="008609D1" w:rsidRDefault="00A1321B" w:rsidP="00A1321B">
      <w:pPr>
        <w:pStyle w:val="Normalresolucion"/>
      </w:pPr>
      <w:r w:rsidRPr="008609D1">
        <w:t>Ahora bien, la reforma cre</w:t>
      </w:r>
      <w:r>
        <w:t>ó</w:t>
      </w:r>
      <w:r w:rsidRPr="008609D1">
        <w:t xml:space="preserve"> la figura de red compartida mayorista, establecida en el artículo Décimo Sexto Transitorio del Decreto y en el Capítulo V del Título Quinto de la Ley. Al respecto, se señala que una red compartida mayorista de servicios de telecomunicaciones tiene tal carácter cuando el Instituto otorgue una concesión de uso comercial a entes públicos, aún y cuando se encuentren bajo un esquema de asociación público-privada. Asimismo, se señala que dichas redes no podrán ofrecer servicios a los usuarios finales. Se resalta que los concesionarios con participación pública deben sujetarse a principios de neutralidad a la competencia cuando sus fines sean comerciales conforme al artículo 141 de la Ley. </w:t>
      </w:r>
    </w:p>
    <w:p w14:paraId="70B50F89" w14:textId="77777777" w:rsidR="00A1321B" w:rsidRPr="008609D1" w:rsidRDefault="00A1321B" w:rsidP="00A1321B">
      <w:pPr>
        <w:pStyle w:val="Normalresolucion"/>
      </w:pPr>
      <w:r w:rsidRPr="008609D1">
        <w:t xml:space="preserve">Las concesiones de los agentes económicos adquieren el carácter de red compartida a través del acto administrativo mediante el cual el Instituto otorga un título de concesión para la prestación de servicios mayoristas. </w:t>
      </w:r>
    </w:p>
    <w:p w14:paraId="6D21F9B2" w14:textId="77777777" w:rsidR="00A1321B" w:rsidRPr="008609D1" w:rsidRDefault="00A1321B" w:rsidP="00A1321B">
      <w:pPr>
        <w:pStyle w:val="Normalresolucion"/>
      </w:pPr>
      <w:r w:rsidRPr="008609D1">
        <w:t>La nueva metodología de separación contable resultará aplicable a los agentes económicos declarados como Agentes Económicos Preponderantes, a los agentes económicos declarados con poder sustancial de mercado y aquellos agentes económicos a los cuales se les haya otorgado un título de concesión con el carácter de red compartida mayorista. Por un lado, porque de conformidad con el marco legal resulta indispensable revisar que la conducta de los Agentes Económicos Preponderantes y agentes económicos con poder sustancial, no tenga efectos adversos en el proceso de competencia y libre concurrencia; y por otro lado, porque es necesario identificar si las redes compartidas mayoristas se sujetan al principio de neutralidad a la competencia.</w:t>
      </w:r>
    </w:p>
    <w:p w14:paraId="4B75167A" w14:textId="77777777" w:rsidR="00A1321B" w:rsidRPr="008609D1" w:rsidRDefault="00A1321B" w:rsidP="00A1321B">
      <w:pPr>
        <w:pStyle w:val="Normalresolucion"/>
      </w:pPr>
      <w:r w:rsidRPr="008609D1">
        <w:lastRenderedPageBreak/>
        <w:t>Respecto a la utilidad de la separación contable, es importante señalar que es un instrumento de información que permite dar soporte a la actividad regulatoria del sector de telecomunicaciones y radiodifusión en los siguientes términos:</w:t>
      </w:r>
    </w:p>
    <w:p w14:paraId="65EC270D" w14:textId="77777777" w:rsidR="00A1321B" w:rsidRPr="008609D1" w:rsidRDefault="00A1321B" w:rsidP="00A1321B">
      <w:pPr>
        <w:pStyle w:val="Indentadoresolucin"/>
      </w:pPr>
      <w:r w:rsidRPr="008609D1">
        <w:rPr>
          <w:u w:val="single"/>
        </w:rPr>
        <w:t>Mecanismo de soporte en el control de precios</w:t>
      </w:r>
      <w:r w:rsidRPr="008609D1">
        <w:t>. La información de separación contable podría ser el insumo primario como referencia adicional del costo subyacente a la prestación de servicio.</w:t>
      </w:r>
    </w:p>
    <w:p w14:paraId="2FA30AAB" w14:textId="77777777" w:rsidR="00A1321B" w:rsidRPr="008609D1" w:rsidRDefault="00A1321B" w:rsidP="00A1321B">
      <w:pPr>
        <w:pStyle w:val="Indentadoresolucin"/>
      </w:pPr>
      <w:r w:rsidRPr="008609D1">
        <w:rPr>
          <w:u w:val="single"/>
        </w:rPr>
        <w:t>Garantía jurídica</w:t>
      </w:r>
      <w:r w:rsidRPr="008609D1">
        <w:t>. Los resultados de la separación contable permiten evaluar el alineamiento entre las tarifas aplicables en el mercado y los costos subyacentes.</w:t>
      </w:r>
    </w:p>
    <w:p w14:paraId="1CDD2002" w14:textId="77777777" w:rsidR="00A1321B" w:rsidRPr="008609D1" w:rsidRDefault="00A1321B" w:rsidP="00A1321B">
      <w:pPr>
        <w:pStyle w:val="Indentadoresolucin"/>
      </w:pPr>
      <w:r w:rsidRPr="008609D1">
        <w:rPr>
          <w:u w:val="single"/>
        </w:rPr>
        <w:t>Herramienta para identificar potenciales comportamientos anticompetitivos</w:t>
      </w:r>
      <w:r w:rsidRPr="008609D1">
        <w:t>. La información de separación contable puede utilizarse como insumo para las herramientas y procesos regulatorios que permitan identificar o evaluar prácticas anticompetitivas en el mercado, tal y como estrechamiento de márgenes o precios predatorios, entre otras previstas en la legislación vigente.</w:t>
      </w:r>
    </w:p>
    <w:p w14:paraId="6A21B70E" w14:textId="77777777" w:rsidR="00A1321B" w:rsidRPr="006D334F" w:rsidRDefault="00A1321B" w:rsidP="00A1321B">
      <w:pPr>
        <w:pStyle w:val="Indentadoresolucin"/>
        <w:rPr>
          <w:u w:val="single"/>
        </w:rPr>
      </w:pPr>
      <w:r w:rsidRPr="008609D1">
        <w:rPr>
          <w:u w:val="single"/>
        </w:rPr>
        <w:t>Herramienta para garantizar la transparencia</w:t>
      </w:r>
      <w:r w:rsidRPr="008609D1">
        <w:t>. Los resultados de la separación contable permiten evaluar el desempeño de los operadores por servicio o categorías de servicio bajo las condiciones actuales del mercado.</w:t>
      </w:r>
    </w:p>
    <w:p w14:paraId="2A78751F" w14:textId="77777777" w:rsidR="00A1321B" w:rsidRPr="006D334F" w:rsidRDefault="00A1321B" w:rsidP="00A1321B">
      <w:pPr>
        <w:pStyle w:val="Indentadoresolucin"/>
      </w:pPr>
      <w:r w:rsidRPr="008609D1">
        <w:rPr>
          <w:u w:val="single"/>
        </w:rPr>
        <w:t>Disponibilidad de información para el análisis de replicabilidad económica de los servicios de telecomunicaciones</w:t>
      </w:r>
      <w:r w:rsidRPr="008609D1">
        <w:t>: La información generada por la separación contable podrá ser un insumo para el análisis de replicabilidad económica conforme a la naturaleza operativa de los operadores.</w:t>
      </w:r>
    </w:p>
    <w:p w14:paraId="6A31E25A" w14:textId="77777777" w:rsidR="00A1321B" w:rsidRPr="008609D1" w:rsidRDefault="00A1321B" w:rsidP="00A1321B">
      <w:pPr>
        <w:pStyle w:val="Indentadoresolucin"/>
        <w:rPr>
          <w:u w:val="single"/>
        </w:rPr>
      </w:pPr>
      <w:r w:rsidRPr="008609D1">
        <w:rPr>
          <w:u w:val="single"/>
        </w:rPr>
        <w:t>Herramienta para reguladores</w:t>
      </w:r>
      <w:r w:rsidRPr="008609D1">
        <w:t>. La separación contable persigue facilitar a las autoridades regulatorias y de competencia el monitoreo del mercado y de las medidas regulatorias adoptadas, la introducción de nuevas políticas regulatorias, la resolución de controversias y el fomento de la competencia en el mercado.</w:t>
      </w:r>
    </w:p>
    <w:p w14:paraId="16C58A76" w14:textId="77777777" w:rsidR="00A1321B" w:rsidRPr="008609D1" w:rsidRDefault="00A1321B" w:rsidP="00A1321B">
      <w:pPr>
        <w:pStyle w:val="Normalresolucion"/>
      </w:pPr>
      <w:r w:rsidRPr="008609D1">
        <w:t xml:space="preserve">No obstante, la información de separación contable también puede contribuir a otros objetivos específicos para el regulador, como se ha descrito anteriormente a través de la experiencia internacional. </w:t>
      </w:r>
    </w:p>
    <w:p w14:paraId="335D9CB2" w14:textId="77777777" w:rsidR="00A1321B" w:rsidRPr="008609D1" w:rsidRDefault="00A1321B" w:rsidP="00A1321B">
      <w:pPr>
        <w:pStyle w:val="Normalresolucion"/>
      </w:pPr>
      <w:bookmarkStart w:id="8" w:name="_Toc475094680"/>
      <w:bookmarkStart w:id="9" w:name="_Toc475094683"/>
      <w:bookmarkStart w:id="10" w:name="_Toc475094684"/>
      <w:bookmarkEnd w:id="8"/>
      <w:bookmarkEnd w:id="9"/>
      <w:bookmarkEnd w:id="10"/>
      <w:r w:rsidRPr="008609D1">
        <w:t>Por lo anterior, con fundamento en los artículos 6 y 28, párrafos décimo quinto y décimo sexto de la Constitución Política de los Estados Unidos Mexicanos; 2, 4, 7, 15, fracción I, 16, 17, fracción I, 51 y 292 de la Ley Federal de Telecomunicaciones y Radiodifusión, y 1 y 4, fracción I del Estatuto Orgánico del Instituto Federal de Telecomunicaciones, el Pleno del Instituto emite el siguiente:</w:t>
      </w:r>
    </w:p>
    <w:p w14:paraId="29512B9D" w14:textId="77777777" w:rsidR="00A1321B" w:rsidRPr="008609D1" w:rsidRDefault="00A1321B" w:rsidP="00A1321B">
      <w:pPr>
        <w:pStyle w:val="Normalresolucion"/>
      </w:pPr>
    </w:p>
    <w:p w14:paraId="2A02DC6F" w14:textId="77777777" w:rsidR="00A1321B" w:rsidRPr="008609D1" w:rsidRDefault="00A1321B" w:rsidP="00A1321B">
      <w:pPr>
        <w:pStyle w:val="Normalresolucion"/>
      </w:pPr>
    </w:p>
    <w:p w14:paraId="4ACF6338" w14:textId="77777777" w:rsidR="00A1321B" w:rsidRPr="008609D1" w:rsidRDefault="00A1321B" w:rsidP="00A1321B">
      <w:pPr>
        <w:pStyle w:val="Ttulo1"/>
      </w:pPr>
      <w:bookmarkStart w:id="11" w:name="_Toc484022086"/>
      <w:r w:rsidRPr="008609D1">
        <w:lastRenderedPageBreak/>
        <w:t>ACUERDO</w:t>
      </w:r>
      <w:bookmarkEnd w:id="11"/>
    </w:p>
    <w:p w14:paraId="111E2D78" w14:textId="77777777" w:rsidR="00A1321B" w:rsidRPr="008609D1" w:rsidRDefault="00A1321B" w:rsidP="00A1321B">
      <w:pPr>
        <w:pStyle w:val="Normalresolucion"/>
      </w:pPr>
      <w:bookmarkStart w:id="12" w:name="_Toc484022087"/>
      <w:r w:rsidRPr="008609D1">
        <w:rPr>
          <w:rStyle w:val="Ttulo2Car"/>
          <w:bCs/>
        </w:rPr>
        <w:t>PRIMERO</w:t>
      </w:r>
      <w:bookmarkEnd w:id="12"/>
      <w:r w:rsidRPr="008609D1">
        <w:rPr>
          <w:b/>
          <w:bCs/>
        </w:rPr>
        <w:t>.-</w:t>
      </w:r>
      <w:r w:rsidRPr="008609D1">
        <w:t xml:space="preserve"> Se expide la METODOLOGÍA DE SEPARACIÓN CONTABLE APLICABLE A LOS AGENTES ECONÓMICOS PREPONDERANTES, AGENTES DECLARADOS CON PODER SUSTANCIAL DE MERCADO Y REDES COMPARTIDAS, adjunta en los anexos del presente Acuerdo.</w:t>
      </w:r>
    </w:p>
    <w:p w14:paraId="4DC30B11" w14:textId="77777777" w:rsidR="00A1321B" w:rsidRPr="008609D1" w:rsidRDefault="00A1321B" w:rsidP="00A1321B">
      <w:pPr>
        <w:pStyle w:val="Normalresolucion"/>
      </w:pPr>
      <w:r w:rsidRPr="008609D1">
        <w:rPr>
          <w:rFonts w:eastAsiaTheme="minorHAnsi" w:cstheme="minorBidi"/>
          <w:b/>
          <w:bCs/>
          <w:lang w:val="es-MX" w:eastAsia="en-US"/>
        </w:rPr>
        <w:t>SEGUNDO.-</w:t>
      </w:r>
      <w:r w:rsidRPr="008609D1">
        <w:rPr>
          <w:rFonts w:eastAsiaTheme="minorHAnsi" w:cstheme="minorBidi"/>
          <w:lang w:val="es-MX" w:eastAsia="en-US"/>
        </w:rPr>
        <w:t xml:space="preserve"> Los concesionarios y/o autorizados que hayan sido declarados como Agentes Económicos Preponderantes o agentes con poder sustancial de mercado por parte del Instituto, deberán sujetarse a los criterios y completar la información requerida en los anexos del presente Acuerdo, con excepción de los “</w:t>
      </w:r>
      <w:r w:rsidRPr="008609D1">
        <w:rPr>
          <w:rFonts w:eastAsiaTheme="minorHAnsi" w:cstheme="minorBidi"/>
          <w:lang w:val="es-MX" w:eastAsia="en-US"/>
        </w:rPr>
        <w:fldChar w:fldCharType="begin"/>
      </w:r>
      <w:r w:rsidRPr="008609D1">
        <w:rPr>
          <w:rFonts w:eastAsiaTheme="minorHAnsi" w:cstheme="minorBidi"/>
          <w:lang w:val="es-MX" w:eastAsia="en-US"/>
        </w:rPr>
        <w:instrText xml:space="preserve"> REF _Ref477443724 \h  \* MERGEFORMAT </w:instrText>
      </w:r>
      <w:r w:rsidRPr="008609D1">
        <w:rPr>
          <w:rFonts w:eastAsiaTheme="minorHAnsi" w:cstheme="minorBidi"/>
          <w:lang w:val="es-MX" w:eastAsia="en-US"/>
        </w:rPr>
      </w:r>
      <w:r w:rsidRPr="008609D1">
        <w:rPr>
          <w:rFonts w:eastAsiaTheme="minorHAnsi" w:cstheme="minorBidi"/>
          <w:lang w:val="es-MX" w:eastAsia="en-US"/>
        </w:rPr>
        <w:fldChar w:fldCharType="separate"/>
      </w:r>
      <w:r w:rsidRPr="008609D1">
        <w:rPr>
          <w:i/>
          <w:iCs/>
        </w:rPr>
        <w:t>FORMATOS DE PRESENTACIÓN DE INFORMACIÓN DE REDES COMPARTIDAS</w:t>
      </w:r>
      <w:r w:rsidRPr="008609D1">
        <w:rPr>
          <w:rFonts w:eastAsiaTheme="minorHAnsi" w:cstheme="minorBidi"/>
          <w:lang w:val="es-MX" w:eastAsia="en-US"/>
        </w:rPr>
        <w:fldChar w:fldCharType="end"/>
      </w:r>
      <w:r w:rsidRPr="008609D1">
        <w:rPr>
          <w:rFonts w:eastAsiaTheme="minorHAnsi" w:cstheme="minorBidi"/>
          <w:lang w:val="es-MX" w:eastAsia="en-US"/>
        </w:rPr>
        <w:t>”</w:t>
      </w:r>
      <w:r w:rsidRPr="008609D1">
        <w:t>.</w:t>
      </w:r>
    </w:p>
    <w:p w14:paraId="4E8C670A" w14:textId="77777777" w:rsidR="00A1321B" w:rsidRPr="008609D1" w:rsidRDefault="00A1321B" w:rsidP="00A1321B">
      <w:pPr>
        <w:pStyle w:val="Normalresolucion"/>
      </w:pPr>
      <w:r w:rsidRPr="008609D1">
        <w:rPr>
          <w:b/>
        </w:rPr>
        <w:t>TERCERO</w:t>
      </w:r>
      <w:r w:rsidRPr="008609D1">
        <w:t>.- Los concesionarios con carácter de redes compartidas en términos de la Ley Federal de Telecomunicaciones y Radiodifusión</w:t>
      </w:r>
      <w:r w:rsidRPr="008609D1">
        <w:rPr>
          <w:rFonts w:eastAsiaTheme="minorHAnsi"/>
        </w:rPr>
        <w:t xml:space="preserve"> deberán sujetarse a </w:t>
      </w:r>
      <w:r w:rsidRPr="008609D1">
        <w:rPr>
          <w:rFonts w:eastAsiaTheme="minorHAnsi" w:cstheme="minorBidi"/>
          <w:lang w:val="es-MX" w:eastAsia="en-US"/>
        </w:rPr>
        <w:t>los criterios y completar la información requerida en los “</w:t>
      </w:r>
      <w:r w:rsidRPr="008609D1">
        <w:rPr>
          <w:rFonts w:eastAsiaTheme="minorHAnsi" w:cstheme="minorBidi"/>
          <w:lang w:val="es-MX" w:eastAsia="en-US"/>
        </w:rPr>
        <w:fldChar w:fldCharType="begin"/>
      </w:r>
      <w:r w:rsidRPr="008609D1">
        <w:rPr>
          <w:rFonts w:eastAsiaTheme="minorHAnsi" w:cstheme="minorBidi"/>
          <w:lang w:val="es-MX" w:eastAsia="en-US"/>
        </w:rPr>
        <w:instrText xml:space="preserve"> REF _Ref477443724 \h  \* MERGEFORMAT </w:instrText>
      </w:r>
      <w:r w:rsidRPr="008609D1">
        <w:rPr>
          <w:rFonts w:eastAsiaTheme="minorHAnsi" w:cstheme="minorBidi"/>
          <w:lang w:val="es-MX" w:eastAsia="en-US"/>
        </w:rPr>
      </w:r>
      <w:r w:rsidRPr="008609D1">
        <w:rPr>
          <w:rFonts w:eastAsiaTheme="minorHAnsi" w:cstheme="minorBidi"/>
          <w:lang w:val="es-MX" w:eastAsia="en-US"/>
        </w:rPr>
        <w:fldChar w:fldCharType="separate"/>
      </w:r>
      <w:r w:rsidRPr="008609D1">
        <w:rPr>
          <w:i/>
          <w:iCs/>
        </w:rPr>
        <w:t>FORMATOS DE PRESENTACIÓN DE INFORMACIÓN DE REDES COMPARTIDAS</w:t>
      </w:r>
      <w:r w:rsidRPr="008609D1">
        <w:rPr>
          <w:rFonts w:eastAsiaTheme="minorHAnsi" w:cstheme="minorBidi"/>
          <w:lang w:val="es-MX" w:eastAsia="en-US"/>
        </w:rPr>
        <w:fldChar w:fldCharType="end"/>
      </w:r>
      <w:r w:rsidRPr="008609D1">
        <w:rPr>
          <w:rFonts w:eastAsiaTheme="minorHAnsi" w:cstheme="minorBidi"/>
          <w:lang w:val="es-MX" w:eastAsia="en-US"/>
        </w:rPr>
        <w:t>”</w:t>
      </w:r>
      <w:r w:rsidRPr="008609D1">
        <w:t>.</w:t>
      </w:r>
    </w:p>
    <w:p w14:paraId="7B59B8A1" w14:textId="77777777" w:rsidR="00A1321B" w:rsidRPr="008609D1" w:rsidRDefault="00A1321B" w:rsidP="00A1321B">
      <w:pPr>
        <w:pStyle w:val="Normalresolucion"/>
      </w:pPr>
      <w:r w:rsidRPr="008609D1">
        <w:rPr>
          <w:rFonts w:eastAsiaTheme="minorHAnsi" w:cstheme="minorBidi"/>
          <w:b/>
          <w:bCs/>
          <w:lang w:val="es-MX" w:eastAsia="en-US"/>
        </w:rPr>
        <w:t>CUARTO.-</w:t>
      </w:r>
      <w:r w:rsidRPr="008609D1">
        <w:rPr>
          <w:rFonts w:eastAsiaTheme="minorHAnsi" w:cstheme="minorBidi"/>
          <w:lang w:val="es-MX" w:eastAsia="en-US"/>
        </w:rPr>
        <w:t xml:space="preserve"> Los Agentes Económicos Preponderantes, agentes con poder sustancial de mercado y concesionarios con carácter de redes compartidas, deberán presentar</w:t>
      </w:r>
      <w:r w:rsidRPr="008609D1">
        <w:t xml:space="preserve"> al Instituto la información de separación contable antes del 1 de julio de cada año. Dicha información deberá contener la opinión de auditores externos a estos agentes económicos.</w:t>
      </w:r>
    </w:p>
    <w:p w14:paraId="3C0CFC10" w14:textId="77777777" w:rsidR="00A1321B" w:rsidRPr="008609D1" w:rsidRDefault="00A1321B" w:rsidP="00A1321B">
      <w:pPr>
        <w:pStyle w:val="Normalresolucion"/>
      </w:pPr>
      <w:r w:rsidRPr="008609D1">
        <w:t>El Instituto podrá solicitar aclaraciones relacionadas con la información de separación contable que le sea presentada en términos del presente Acuerdo.</w:t>
      </w:r>
    </w:p>
    <w:p w14:paraId="592ECA27" w14:textId="77777777" w:rsidR="00A1321B" w:rsidRPr="008609D1" w:rsidRDefault="00A1321B" w:rsidP="00A1321B">
      <w:pPr>
        <w:pStyle w:val="Ttulo1"/>
        <w:keepNext/>
        <w:keepLines/>
      </w:pPr>
      <w:bookmarkStart w:id="13" w:name="_Toc484022088"/>
      <w:r w:rsidRPr="008609D1">
        <w:t>TRANSITORIOS</w:t>
      </w:r>
      <w:bookmarkEnd w:id="13"/>
    </w:p>
    <w:p w14:paraId="730E19EC" w14:textId="77777777" w:rsidR="00A1321B" w:rsidRPr="008609D1" w:rsidRDefault="00A1321B" w:rsidP="00A1321B">
      <w:pPr>
        <w:pStyle w:val="Normalresolucion"/>
        <w:keepNext/>
        <w:keepLines/>
      </w:pPr>
      <w:bookmarkStart w:id="14" w:name="_Toc484022089"/>
      <w:r w:rsidRPr="008609D1">
        <w:rPr>
          <w:rStyle w:val="Ttulo2Car"/>
          <w:bCs/>
        </w:rPr>
        <w:t>PRIMERO</w:t>
      </w:r>
      <w:bookmarkEnd w:id="14"/>
      <w:r w:rsidRPr="008609D1">
        <w:rPr>
          <w:b/>
          <w:bCs/>
        </w:rPr>
        <w:t>.-</w:t>
      </w:r>
      <w:r w:rsidRPr="008609D1">
        <w:t xml:space="preserve"> El presente Acuerdo entrará en vigor al día siguiente de su publicación en el Diario Oficial de la Federación.</w:t>
      </w:r>
    </w:p>
    <w:p w14:paraId="7F05782E" w14:textId="77777777" w:rsidR="00A1321B" w:rsidRPr="008609D1" w:rsidRDefault="00A1321B" w:rsidP="00A1321B">
      <w:pPr>
        <w:pStyle w:val="Normalresolucion"/>
        <w:rPr>
          <w:rFonts w:eastAsiaTheme="minorHAnsi" w:cstheme="minorBidi"/>
          <w:lang w:val="es-MX" w:eastAsia="en-US"/>
        </w:rPr>
      </w:pPr>
      <w:bookmarkStart w:id="15" w:name="_Hlk480396625"/>
      <w:r w:rsidRPr="008609D1">
        <w:rPr>
          <w:rFonts w:eastAsiaTheme="minorHAnsi" w:cstheme="minorBidi"/>
          <w:b/>
          <w:bCs/>
          <w:lang w:val="es-MX" w:eastAsia="en-US"/>
        </w:rPr>
        <w:t>SEGUNDO.-</w:t>
      </w:r>
      <w:r w:rsidRPr="008609D1">
        <w:rPr>
          <w:rFonts w:eastAsiaTheme="minorHAnsi" w:cstheme="minorBidi"/>
          <w:lang w:val="es-MX" w:eastAsia="en-US"/>
        </w:rPr>
        <w:t xml:space="preserve"> Los sujetos obligados al presente Acuerdo deberán presentar al Instituto Federal de Telecomunicaciones la información de separación contable correspondiente al año fiscal 2017, antes del 1° de julio de 2018 de conformidad con el presente Acuerdo.</w:t>
      </w:r>
      <w:bookmarkEnd w:id="15"/>
    </w:p>
    <w:p w14:paraId="0FE069E2" w14:textId="77777777" w:rsidR="00A1321B" w:rsidRPr="008609D1" w:rsidRDefault="00A1321B" w:rsidP="00A1321B">
      <w:pPr>
        <w:jc w:val="both"/>
      </w:pPr>
      <w:r w:rsidRPr="008609D1">
        <w:rPr>
          <w:rFonts w:ascii="ITC Avant Garde" w:hAnsi="ITC Avant Garde"/>
          <w:b/>
        </w:rPr>
        <w:t>TERCERO</w:t>
      </w:r>
      <w:r w:rsidRPr="008609D1">
        <w:rPr>
          <w:rFonts w:ascii="ITC Avant Garde" w:hAnsi="ITC Avant Garde"/>
        </w:rPr>
        <w:t>.- Los sujetos obligados al presente Acuerdo deberán presentar por única vez y para autorización del Instituto, un programa de implementación de la nueva metodología de separación contable relativa al año 2017, 40 días hábiles siguientes a la notificación del presente Acuerdo, dicho plazo podrá ser prorrogado hasta por 20 días hábiles.</w:t>
      </w:r>
    </w:p>
    <w:p w14:paraId="2F4ACF9B" w14:textId="77777777" w:rsidR="00A1321B" w:rsidRPr="008609D1" w:rsidRDefault="00A1321B" w:rsidP="00A1321B">
      <w:pPr>
        <w:pStyle w:val="Normalresolucion"/>
      </w:pPr>
      <w:r w:rsidRPr="008609D1">
        <w:lastRenderedPageBreak/>
        <w:t>El programa se considerará aprobado a menos que el Instituto lo objete dentro de un plazo de 40 días hábiles subsecuentes a la fecha de presentación del mismo, en cuyo caso deberá realizar las modificaciones solicitadas y atenderlas en un plazo no mayor a 20 días hábiles.</w:t>
      </w:r>
    </w:p>
    <w:p w14:paraId="640B323E" w14:textId="0CABE7C6" w:rsidR="00A1321B" w:rsidRPr="008609D1" w:rsidRDefault="00A1321B" w:rsidP="00A1321B">
      <w:pPr>
        <w:pStyle w:val="Normalresolucion"/>
        <w:rPr>
          <w:rFonts w:eastAsiaTheme="minorHAnsi" w:cstheme="minorBidi"/>
          <w:lang w:val="es-MX" w:eastAsia="en-US"/>
        </w:rPr>
      </w:pPr>
      <w:r w:rsidRPr="008609D1">
        <w:rPr>
          <w:b/>
          <w:bCs/>
        </w:rPr>
        <w:t>CUARTO.-</w:t>
      </w:r>
      <w:r w:rsidRPr="008609D1">
        <w:t xml:space="preserve"> Se abroga la “RESOLUCIÓN POR LA QUE EL PLENO DE LA COMISIÓN FEDERAL DE TELECOMUNICACIONES EXPID</w:t>
      </w:r>
      <w:r>
        <w:t>E</w:t>
      </w:r>
      <w:r w:rsidRPr="008609D1">
        <w:t xml:space="preserve"> EL MANUAL QUE PROVEE LOS CRITERIOS Y METODOLOGÍA DE SEPARACIÓN CONTABLE POR SERVICIO, APLICABLE A LOS CONCESIONARIOS DE REDES PÚBLICAS DE TELECOMUNICACIONES”, </w:t>
      </w:r>
      <w:r w:rsidRPr="008609D1">
        <w:rPr>
          <w:rFonts w:eastAsiaTheme="minorHAnsi" w:cstheme="minorBidi"/>
          <w:lang w:val="es-MX" w:eastAsia="en-US"/>
        </w:rPr>
        <w:t>publicada el 22 de marzo de 2013 en el Diario Oficial de la Federación.</w:t>
      </w:r>
    </w:p>
    <w:p w14:paraId="1C935290" w14:textId="77777777" w:rsidR="00A1321B" w:rsidRPr="008609D1" w:rsidRDefault="00A1321B" w:rsidP="00A1321B"/>
    <w:p w14:paraId="5AD31037" w14:textId="77777777" w:rsidR="00A1321B" w:rsidRPr="008609D1" w:rsidRDefault="00A1321B" w:rsidP="00A1321B"/>
    <w:p w14:paraId="6E21E6C5" w14:textId="77777777" w:rsidR="00A1321B" w:rsidRPr="008609D1" w:rsidRDefault="00A1321B" w:rsidP="00A1321B"/>
    <w:p w14:paraId="259EF6C6" w14:textId="77777777" w:rsidR="00A1321B" w:rsidRPr="008609D1" w:rsidRDefault="00A1321B" w:rsidP="00A1321B"/>
    <w:p w14:paraId="5E6DD049" w14:textId="77777777" w:rsidR="00A1321B" w:rsidRPr="008609D1" w:rsidRDefault="00A1321B" w:rsidP="00A1321B"/>
    <w:p w14:paraId="35DC6FDD" w14:textId="77777777" w:rsidR="00A1321B" w:rsidRPr="008609D1" w:rsidRDefault="00A1321B" w:rsidP="00A1321B"/>
    <w:p w14:paraId="64BC47FA" w14:textId="77777777" w:rsidR="00A1321B" w:rsidRPr="008609D1" w:rsidRDefault="00A1321B" w:rsidP="00A1321B"/>
    <w:p w14:paraId="262221BB" w14:textId="77777777" w:rsidR="00A1321B" w:rsidRPr="008609D1" w:rsidRDefault="00A1321B" w:rsidP="00A1321B"/>
    <w:p w14:paraId="0674C998" w14:textId="77777777" w:rsidR="00A1321B" w:rsidRPr="008609D1" w:rsidRDefault="00A1321B" w:rsidP="00A1321B"/>
    <w:p w14:paraId="49668AB5" w14:textId="77777777" w:rsidR="00A1321B" w:rsidRPr="008609D1" w:rsidRDefault="00A1321B" w:rsidP="00A1321B"/>
    <w:p w14:paraId="7DE42E52" w14:textId="77777777" w:rsidR="00A1321B" w:rsidRPr="008609D1" w:rsidRDefault="00A1321B" w:rsidP="00A1321B"/>
    <w:p w14:paraId="35D2078F" w14:textId="77777777" w:rsidR="00A1321B" w:rsidRPr="008609D1" w:rsidRDefault="00A1321B" w:rsidP="00A1321B"/>
    <w:p w14:paraId="5578D7E2" w14:textId="77777777" w:rsidR="00A1321B" w:rsidRPr="008609D1" w:rsidRDefault="00A1321B" w:rsidP="00A1321B"/>
    <w:p w14:paraId="17FED843" w14:textId="77777777" w:rsidR="00A1321B" w:rsidRPr="008609D1" w:rsidRDefault="00A1321B" w:rsidP="00A1321B"/>
    <w:p w14:paraId="26BB500B" w14:textId="77777777" w:rsidR="00A1321B" w:rsidRPr="008609D1" w:rsidRDefault="00A1321B" w:rsidP="00A1321B"/>
    <w:p w14:paraId="7AFA7755" w14:textId="77777777" w:rsidR="00A1321B" w:rsidRPr="008609D1" w:rsidRDefault="00A1321B" w:rsidP="00A1321B"/>
    <w:p w14:paraId="75C0E0B3" w14:textId="77777777" w:rsidR="00A1321B" w:rsidRPr="008609D1" w:rsidRDefault="00A1321B" w:rsidP="00A1321B"/>
    <w:p w14:paraId="037937BB" w14:textId="77777777" w:rsidR="00A1321B" w:rsidRPr="008609D1" w:rsidRDefault="00A1321B" w:rsidP="00A1321B"/>
    <w:p w14:paraId="5C5BA86B" w14:textId="77777777" w:rsidR="00A1321B" w:rsidRPr="008609D1" w:rsidRDefault="00A1321B" w:rsidP="00A1321B"/>
    <w:p w14:paraId="43590682" w14:textId="77777777" w:rsidR="00A1321B" w:rsidRPr="008609D1" w:rsidRDefault="00A1321B" w:rsidP="00A1321B"/>
    <w:p w14:paraId="495B89CF" w14:textId="77777777" w:rsidR="00A1321B" w:rsidRPr="008609D1" w:rsidRDefault="00A1321B" w:rsidP="00A1321B"/>
    <w:p w14:paraId="57C2A935" w14:textId="77777777" w:rsidR="00A1321B" w:rsidRPr="008609D1" w:rsidRDefault="00A1321B" w:rsidP="00A1321B"/>
    <w:p w14:paraId="39F50E5D" w14:textId="77777777" w:rsidR="00A1321B" w:rsidRPr="008609D1" w:rsidRDefault="00A1321B" w:rsidP="00A1321B">
      <w:pPr>
        <w:pStyle w:val="Ttulo1"/>
      </w:pPr>
      <w:bookmarkStart w:id="16" w:name="_Toc484022090"/>
      <w:r w:rsidRPr="008609D1">
        <w:lastRenderedPageBreak/>
        <w:t>ANEXOS</w:t>
      </w:r>
      <w:bookmarkEnd w:id="16"/>
    </w:p>
    <w:p w14:paraId="0934D1B1" w14:textId="77777777" w:rsidR="00A1321B" w:rsidRPr="008609D1" w:rsidRDefault="00A1321B" w:rsidP="00A1321B">
      <w:pPr>
        <w:rPr>
          <w:rFonts w:ascii="ITC Avant Garde" w:hAnsi="ITC Avant Garde"/>
          <w:b/>
        </w:rPr>
      </w:pPr>
      <w:r w:rsidRPr="008609D1">
        <w:br w:type="page"/>
      </w:r>
    </w:p>
    <w:p w14:paraId="4A5D26DA" w14:textId="77777777" w:rsidR="00A1321B" w:rsidRPr="008609D1" w:rsidRDefault="00A1321B" w:rsidP="00A1321B">
      <w:pPr>
        <w:pStyle w:val="Ttulo2"/>
      </w:pPr>
      <w:bookmarkStart w:id="17" w:name="_Toc468114376"/>
      <w:bookmarkStart w:id="18" w:name="_Toc468114377"/>
      <w:bookmarkStart w:id="19" w:name="_Toc468114378"/>
      <w:bookmarkStart w:id="20" w:name="_Toc468114379"/>
      <w:bookmarkStart w:id="21" w:name="_Toc468114380"/>
      <w:bookmarkStart w:id="22" w:name="_Toc468114381"/>
      <w:bookmarkStart w:id="23" w:name="_Toc468114382"/>
      <w:bookmarkStart w:id="24" w:name="_Toc468114383"/>
      <w:bookmarkStart w:id="25" w:name="_Toc468114384"/>
      <w:bookmarkStart w:id="26" w:name="_Toc468114385"/>
      <w:bookmarkStart w:id="27" w:name="_Toc468114386"/>
      <w:bookmarkStart w:id="28" w:name="_Toc468866654"/>
      <w:bookmarkStart w:id="29" w:name="_Toc468867120"/>
      <w:bookmarkStart w:id="30" w:name="_Toc484022091"/>
      <w:bookmarkStart w:id="31" w:name="_Toc475003997"/>
      <w:bookmarkEnd w:id="17"/>
      <w:bookmarkEnd w:id="18"/>
      <w:bookmarkEnd w:id="19"/>
      <w:bookmarkEnd w:id="20"/>
      <w:bookmarkEnd w:id="21"/>
      <w:bookmarkEnd w:id="22"/>
      <w:bookmarkEnd w:id="23"/>
      <w:bookmarkEnd w:id="24"/>
      <w:bookmarkEnd w:id="25"/>
      <w:bookmarkEnd w:id="26"/>
      <w:bookmarkEnd w:id="27"/>
      <w:bookmarkEnd w:id="28"/>
      <w:bookmarkEnd w:id="29"/>
      <w:r w:rsidRPr="008609D1">
        <w:lastRenderedPageBreak/>
        <w:t>Anexo 1.</w:t>
      </w:r>
      <w:bookmarkEnd w:id="30"/>
    </w:p>
    <w:p w14:paraId="72A851D5" w14:textId="77777777" w:rsidR="00A1321B" w:rsidRPr="008609D1" w:rsidRDefault="00A1321B" w:rsidP="00A1321B">
      <w:pPr>
        <w:pStyle w:val="Ttulo1"/>
      </w:pPr>
      <w:bookmarkStart w:id="32" w:name="_Toc484022092"/>
      <w:r w:rsidRPr="008609D1">
        <w:t>PROGRAMA DE IMPLEMENTACIÓN</w:t>
      </w:r>
      <w:bookmarkEnd w:id="32"/>
    </w:p>
    <w:p w14:paraId="3E585403" w14:textId="77777777" w:rsidR="00A1321B" w:rsidRPr="008609D1" w:rsidRDefault="00A1321B" w:rsidP="00A1321B">
      <w:pPr>
        <w:pStyle w:val="Normalresolucion"/>
      </w:pPr>
    </w:p>
    <w:p w14:paraId="5D9BC5D7" w14:textId="2946E6C7" w:rsidR="00A1321B" w:rsidRPr="008609D1" w:rsidRDefault="00A1321B" w:rsidP="00A1321B">
      <w:pPr>
        <w:jc w:val="both"/>
        <w:rPr>
          <w:rFonts w:ascii="ITC Avant Garde" w:hAnsi="ITC Avant Garde"/>
        </w:rPr>
      </w:pPr>
      <w:r w:rsidRPr="008609D1">
        <w:rPr>
          <w:rFonts w:ascii="ITC Avant Garde" w:hAnsi="ITC Avant Garde"/>
        </w:rPr>
        <w:t>Como parte de la primera implementación, los concesionarios deberán someter para aprobación del Instituto Federal de Telecomunicaciones por única vez, un Programa de Impl</w:t>
      </w:r>
      <w:r>
        <w:rPr>
          <w:rFonts w:ascii="ITC Avant Garde" w:hAnsi="ITC Avant Garde"/>
        </w:rPr>
        <w:t>eme</w:t>
      </w:r>
      <w:r w:rsidRPr="008609D1">
        <w:rPr>
          <w:rFonts w:ascii="ITC Avant Garde" w:hAnsi="ITC Avant Garde"/>
        </w:rPr>
        <w:t>ntación sobre la metodología de separación contable.</w:t>
      </w:r>
    </w:p>
    <w:p w14:paraId="3C019F46" w14:textId="20102FDE" w:rsidR="00A1321B" w:rsidRPr="008609D1" w:rsidRDefault="00A1321B" w:rsidP="00A1321B">
      <w:pPr>
        <w:jc w:val="both"/>
        <w:rPr>
          <w:rFonts w:ascii="ITC Avant Garde" w:hAnsi="ITC Avant Garde"/>
          <w:lang w:val="es-ES"/>
        </w:rPr>
      </w:pPr>
      <w:r w:rsidRPr="008609D1">
        <w:rPr>
          <w:rFonts w:ascii="ITC Avant Garde" w:hAnsi="ITC Avant Garde"/>
          <w:lang w:val="es-ES"/>
        </w:rPr>
        <w:t>El Programa de Impl</w:t>
      </w:r>
      <w:r>
        <w:rPr>
          <w:rFonts w:ascii="ITC Avant Garde" w:hAnsi="ITC Avant Garde"/>
          <w:lang w:val="es-ES"/>
        </w:rPr>
        <w:t>eme</w:t>
      </w:r>
      <w:r w:rsidRPr="008609D1">
        <w:rPr>
          <w:rFonts w:ascii="ITC Avant Garde" w:hAnsi="ITC Avant Garde"/>
          <w:lang w:val="es-ES"/>
        </w:rPr>
        <w:t>ntación deberá apegarse a los criterios establecidos en el Anexo 3 sobre los “</w:t>
      </w:r>
      <w:r w:rsidRPr="008609D1">
        <w:rPr>
          <w:rFonts w:ascii="ITC Avant Garde" w:hAnsi="ITC Avant Garde"/>
          <w:i/>
          <w:lang w:val="es-ES"/>
        </w:rPr>
        <w:t>ASPECTOS GENERALES DE LA METODOLOGÍA DE SEPARACIÓN CONTABLE</w:t>
      </w:r>
      <w:r w:rsidRPr="008609D1">
        <w:rPr>
          <w:rFonts w:ascii="ITC Avant Garde" w:hAnsi="ITC Avant Garde"/>
          <w:lang w:val="es-ES"/>
        </w:rPr>
        <w:t>“, y deberá contener como mínimo la siguiente información:</w:t>
      </w:r>
    </w:p>
    <w:p w14:paraId="254815ED" w14:textId="77777777" w:rsidR="00A1321B" w:rsidRPr="008609D1" w:rsidRDefault="00A1321B" w:rsidP="00A1321B">
      <w:pPr>
        <w:pStyle w:val="Prrafodelista"/>
        <w:numPr>
          <w:ilvl w:val="0"/>
          <w:numId w:val="227"/>
        </w:numPr>
        <w:jc w:val="both"/>
        <w:rPr>
          <w:rFonts w:ascii="ITC Avant Garde" w:hAnsi="ITC Avant Garde"/>
          <w:lang w:val="es-ES"/>
        </w:rPr>
      </w:pPr>
      <w:r w:rsidRPr="008609D1">
        <w:rPr>
          <w:rFonts w:ascii="ITC Avant Garde" w:hAnsi="ITC Avant Garde"/>
          <w:lang w:val="es-ES"/>
        </w:rPr>
        <w:t>Listado con los servicios objeto de separación contable que son prestados por el concesionario y que deben ser desagregados, junto con su descripción detallada.</w:t>
      </w:r>
    </w:p>
    <w:p w14:paraId="597DE23D" w14:textId="77777777" w:rsidR="00A1321B" w:rsidRPr="008609D1" w:rsidRDefault="00A1321B" w:rsidP="00A1321B">
      <w:pPr>
        <w:pStyle w:val="Prrafodelista"/>
        <w:numPr>
          <w:ilvl w:val="0"/>
          <w:numId w:val="227"/>
        </w:numPr>
        <w:jc w:val="both"/>
        <w:rPr>
          <w:rFonts w:ascii="ITC Avant Garde" w:hAnsi="ITC Avant Garde"/>
          <w:lang w:val="es-ES"/>
        </w:rPr>
      </w:pPr>
      <w:r w:rsidRPr="008609D1">
        <w:rPr>
          <w:rFonts w:ascii="ITC Avant Garde" w:hAnsi="ITC Avant Garde"/>
          <w:lang w:val="es-ES"/>
        </w:rPr>
        <w:t>Definición, justificación y descripción de las cuentas de costos e ingresos desagregadas en cada uno de los niveles del modelo.</w:t>
      </w:r>
    </w:p>
    <w:p w14:paraId="4D5D2064" w14:textId="77777777" w:rsidR="00A1321B" w:rsidRPr="008609D1" w:rsidRDefault="00A1321B" w:rsidP="00A1321B">
      <w:pPr>
        <w:pStyle w:val="Prrafodelista"/>
        <w:numPr>
          <w:ilvl w:val="0"/>
          <w:numId w:val="227"/>
        </w:numPr>
        <w:jc w:val="both"/>
        <w:rPr>
          <w:rFonts w:ascii="ITC Avant Garde" w:hAnsi="ITC Avant Garde"/>
          <w:lang w:val="es-ES"/>
        </w:rPr>
      </w:pPr>
      <w:r w:rsidRPr="008609D1">
        <w:rPr>
          <w:rFonts w:ascii="ITC Avant Garde" w:hAnsi="ITC Avant Garde"/>
          <w:lang w:val="es-ES"/>
        </w:rPr>
        <w:t>Motivos de cargo y abono para cada cuenta y los criterios de reparto/asignación en que se basan.</w:t>
      </w:r>
    </w:p>
    <w:p w14:paraId="08B07B31" w14:textId="77777777" w:rsidR="00A1321B" w:rsidRPr="008609D1" w:rsidRDefault="00A1321B" w:rsidP="00A1321B">
      <w:pPr>
        <w:pStyle w:val="Prrafodelista"/>
        <w:numPr>
          <w:ilvl w:val="0"/>
          <w:numId w:val="227"/>
        </w:numPr>
        <w:jc w:val="both"/>
        <w:rPr>
          <w:rFonts w:ascii="ITC Avant Garde" w:hAnsi="ITC Avant Garde"/>
          <w:lang w:val="es-ES"/>
        </w:rPr>
      </w:pPr>
      <w:r w:rsidRPr="008609D1">
        <w:rPr>
          <w:rFonts w:ascii="ITC Avant Garde" w:hAnsi="ITC Avant Garde"/>
          <w:lang w:val="es-ES"/>
        </w:rPr>
        <w:t>La información a emplear y la explicación de los métodos propuestos para la revaluación de los activos a costos actuales. Adicionalmente, se deberá especificar el porcentaje de activos (en términos de Valor Bruto contable, por ejemplo del ejercicio fiscal 2016) que se esperan revaluar a costos corrientes mediante cada una de las alternativas expuestas en el presente Acuerdo.</w:t>
      </w:r>
    </w:p>
    <w:p w14:paraId="7572B8A0" w14:textId="77777777" w:rsidR="00A1321B" w:rsidRPr="008609D1" w:rsidRDefault="00A1321B" w:rsidP="00A1321B">
      <w:pPr>
        <w:pStyle w:val="Prrafodelista"/>
        <w:numPr>
          <w:ilvl w:val="0"/>
          <w:numId w:val="227"/>
        </w:numPr>
        <w:jc w:val="both"/>
        <w:rPr>
          <w:rFonts w:ascii="ITC Avant Garde" w:hAnsi="ITC Avant Garde"/>
          <w:lang w:val="es-ES"/>
        </w:rPr>
      </w:pPr>
      <w:r w:rsidRPr="008609D1">
        <w:rPr>
          <w:rFonts w:ascii="ITC Avant Garde" w:hAnsi="ITC Avant Garde"/>
          <w:lang w:val="es-ES"/>
        </w:rPr>
        <w:t>Propuesta y justificación de vidas útiles correspondiente al primer ejercicio de implementación, es decir el ejercicio fiscal de 2017.</w:t>
      </w:r>
    </w:p>
    <w:p w14:paraId="4D21CA4F" w14:textId="77777777" w:rsidR="00A1321B" w:rsidRPr="008609D1" w:rsidRDefault="00A1321B" w:rsidP="00A1321B">
      <w:pPr>
        <w:pStyle w:val="Prrafodelista"/>
        <w:numPr>
          <w:ilvl w:val="0"/>
          <w:numId w:val="227"/>
        </w:numPr>
        <w:jc w:val="both"/>
        <w:rPr>
          <w:rFonts w:ascii="ITC Avant Garde" w:hAnsi="ITC Avant Garde"/>
          <w:lang w:val="es-ES"/>
        </w:rPr>
      </w:pPr>
      <w:r w:rsidRPr="008609D1">
        <w:rPr>
          <w:rFonts w:ascii="ITC Avant Garde" w:hAnsi="ITC Avant Garde"/>
          <w:lang w:val="es-ES"/>
        </w:rPr>
        <w:t>Descripción de las reglas específicas a emplear para la implementación de los precios de transferencia de los diferentes servicios.</w:t>
      </w:r>
    </w:p>
    <w:p w14:paraId="245B2007" w14:textId="77777777" w:rsidR="00A1321B" w:rsidRPr="008609D1" w:rsidRDefault="00A1321B" w:rsidP="00A1321B">
      <w:pPr>
        <w:pStyle w:val="Prrafodelista"/>
        <w:numPr>
          <w:ilvl w:val="0"/>
          <w:numId w:val="227"/>
        </w:numPr>
        <w:jc w:val="both"/>
        <w:rPr>
          <w:rFonts w:ascii="ITC Avant Garde" w:hAnsi="ITC Avant Garde"/>
          <w:lang w:val="es-ES"/>
        </w:rPr>
      </w:pPr>
      <w:r w:rsidRPr="008609D1">
        <w:rPr>
          <w:rFonts w:ascii="ITC Avant Garde" w:hAnsi="ITC Avant Garde"/>
          <w:lang w:val="es-ES"/>
        </w:rPr>
        <w:t>Propuesta de cálculo y justificación de WACC a aplicar en el primer ejercicio de implementación, es decir el ejercicio fiscal 2017.</w:t>
      </w:r>
    </w:p>
    <w:p w14:paraId="56E87286" w14:textId="77777777" w:rsidR="00A1321B" w:rsidRPr="008609D1" w:rsidRDefault="00A1321B" w:rsidP="00A1321B">
      <w:pPr>
        <w:pStyle w:val="Prrafodelista"/>
        <w:numPr>
          <w:ilvl w:val="0"/>
          <w:numId w:val="227"/>
        </w:numPr>
        <w:jc w:val="both"/>
        <w:rPr>
          <w:rFonts w:ascii="ITC Avant Garde" w:hAnsi="ITC Avant Garde"/>
          <w:lang w:val="es-ES"/>
        </w:rPr>
      </w:pPr>
      <w:r w:rsidRPr="008609D1">
        <w:rPr>
          <w:rFonts w:ascii="ITC Avant Garde" w:hAnsi="ITC Avant Garde"/>
          <w:lang w:val="es-ES"/>
        </w:rPr>
        <w:t>Parámetros contables asociados a las categorías de activos fijos del nivel 1 de la separación contable, referentes al ejercicio fiscal 2016, y que incluyan depreciación y amortización, valor bruto contable y valor neto contable.</w:t>
      </w:r>
    </w:p>
    <w:p w14:paraId="2E7E718C" w14:textId="77777777" w:rsidR="00A1321B" w:rsidRPr="008609D1" w:rsidRDefault="00A1321B" w:rsidP="00A1321B">
      <w:pPr>
        <w:pStyle w:val="Normalresolucion"/>
      </w:pPr>
    </w:p>
    <w:p w14:paraId="43D6CCCB" w14:textId="77777777" w:rsidR="00A1321B" w:rsidRPr="008609D1" w:rsidRDefault="00A1321B" w:rsidP="00A1321B">
      <w:pPr>
        <w:pStyle w:val="Normalresolucion"/>
      </w:pPr>
    </w:p>
    <w:p w14:paraId="227B65C9" w14:textId="77777777" w:rsidR="00A1321B" w:rsidRPr="008609D1" w:rsidRDefault="00A1321B" w:rsidP="00A1321B">
      <w:pPr>
        <w:pStyle w:val="Normalresolucion"/>
      </w:pPr>
    </w:p>
    <w:p w14:paraId="72FC81EB" w14:textId="77777777" w:rsidR="00A1321B" w:rsidRPr="008609D1" w:rsidRDefault="00A1321B" w:rsidP="00A1321B">
      <w:pPr>
        <w:pStyle w:val="Ttulo2"/>
      </w:pPr>
      <w:bookmarkStart w:id="33" w:name="_Toc484022093"/>
      <w:r w:rsidRPr="008609D1">
        <w:lastRenderedPageBreak/>
        <w:t>Anexo 2.</w:t>
      </w:r>
      <w:bookmarkEnd w:id="33"/>
    </w:p>
    <w:p w14:paraId="1626DEF6" w14:textId="77777777" w:rsidR="00A1321B" w:rsidRPr="008609D1" w:rsidRDefault="00A1321B" w:rsidP="00A1321B">
      <w:pPr>
        <w:pStyle w:val="Ttulo1"/>
      </w:pPr>
      <w:bookmarkStart w:id="34" w:name="_Toc484022094"/>
      <w:r w:rsidRPr="008609D1">
        <w:t>PROCESO DE IMPLEMENTACIÓN Y REVISIÓN DE LA SEPARACIÓN CONTABLE</w:t>
      </w:r>
      <w:bookmarkEnd w:id="34"/>
    </w:p>
    <w:p w14:paraId="6C4450B1" w14:textId="77777777" w:rsidR="00A1321B" w:rsidRDefault="00A1321B" w:rsidP="00A1321B">
      <w:pPr>
        <w:pStyle w:val="Normalresolucion"/>
      </w:pPr>
      <w:r w:rsidRPr="008609D1">
        <w:t>A fin de facilitar el entendimiento por parte de los concesionarios sobre la implementación de la separación contable, se definen a continuación los pasos que se llevarán a cabo de manera anual y recurrente una vez que se haya cumplido con lo dispuesto en los Transitorios SEGUNDO y TERCERO del presente Acuerdo. En concreto, el gráfico inferior ilustra las 4 actividades principales que tendrán lugar, de manera anual, con relación a la separación contable:</w:t>
      </w:r>
    </w:p>
    <w:p w14:paraId="1FA934FE" w14:textId="77777777" w:rsidR="00F96E26" w:rsidRPr="008609D1" w:rsidRDefault="00F96E26" w:rsidP="00F96E26">
      <w:pPr>
        <w:pStyle w:val="Descripcin"/>
        <w:rPr>
          <w:rFonts w:ascii="ITC Avant Garde" w:hAnsi="ITC Avant Garde"/>
          <w:iCs/>
          <w:sz w:val="20"/>
          <w:lang w:val="es-MX"/>
        </w:rPr>
      </w:pPr>
      <w:r w:rsidRPr="008609D1">
        <w:rPr>
          <w:rFonts w:ascii="ITC Avant Garde" w:hAnsi="ITC Avant Garde"/>
          <w:iCs/>
          <w:sz w:val="20"/>
          <w:lang w:val="es-MX"/>
        </w:rPr>
        <w:t>Ilustración A2.</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Ilustración_A_V.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1</w:t>
      </w:r>
      <w:r w:rsidRPr="008609D1">
        <w:rPr>
          <w:rFonts w:ascii="ITC Avant Garde" w:hAnsi="ITC Avant Garde"/>
          <w:iCs/>
          <w:sz w:val="20"/>
          <w:lang w:val="es-MX"/>
        </w:rPr>
        <w:fldChar w:fldCharType="end"/>
      </w:r>
      <w:r w:rsidRPr="008609D1">
        <w:rPr>
          <w:rFonts w:ascii="ITC Avant Garde" w:hAnsi="ITC Avant Garde"/>
          <w:iCs/>
          <w:sz w:val="20"/>
          <w:lang w:val="es-MX"/>
        </w:rPr>
        <w:t>: Flujo del proceso anual de entrega de resultados de la separación contable</w:t>
      </w:r>
    </w:p>
    <w:p w14:paraId="13D88187" w14:textId="77777777" w:rsidR="00A1321B" w:rsidRPr="008609D1" w:rsidRDefault="00A1321B" w:rsidP="00A1321B">
      <w:pPr>
        <w:keepNext/>
        <w:spacing w:after="120"/>
        <w:jc w:val="center"/>
      </w:pPr>
      <w:r w:rsidRPr="008609D1">
        <w:rPr>
          <w:noProof/>
          <w:lang w:eastAsia="es-MX"/>
        </w:rPr>
        <w:drawing>
          <wp:inline distT="0" distB="0" distL="0" distR="0" wp14:anchorId="4C2D5AA4" wp14:editId="02FB305B">
            <wp:extent cx="5400040" cy="3415773"/>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415773"/>
                    </a:xfrm>
                    <a:prstGeom prst="rect">
                      <a:avLst/>
                    </a:prstGeom>
                    <a:noFill/>
                    <a:ln>
                      <a:noFill/>
                    </a:ln>
                  </pic:spPr>
                </pic:pic>
              </a:graphicData>
            </a:graphic>
          </wp:inline>
        </w:drawing>
      </w:r>
    </w:p>
    <w:p w14:paraId="043E03A6" w14:textId="77777777" w:rsidR="00A1321B" w:rsidRPr="008609D1" w:rsidRDefault="00A1321B" w:rsidP="00A1321B">
      <w:pPr>
        <w:jc w:val="both"/>
        <w:rPr>
          <w:rFonts w:ascii="ITC Avant Garde" w:eastAsia="Times New Roman" w:hAnsi="ITC Avant Garde" w:cs="Arial"/>
          <w:lang w:val="es-ES" w:eastAsia="es-ES"/>
        </w:rPr>
      </w:pPr>
      <w:r w:rsidRPr="008609D1">
        <w:rPr>
          <w:rFonts w:ascii="ITC Avant Garde" w:eastAsia="Times New Roman" w:hAnsi="ITC Avant Garde" w:cs="Arial"/>
          <w:lang w:val="es-ES" w:eastAsia="es-ES"/>
        </w:rPr>
        <w:t>Las fases mostradas en la ilustración se introducen a continuación:</w:t>
      </w:r>
    </w:p>
    <w:p w14:paraId="5A1EA562" w14:textId="032CA08D" w:rsidR="00A1321B" w:rsidRPr="008609D1" w:rsidRDefault="00A1321B" w:rsidP="00A1321B">
      <w:pPr>
        <w:pStyle w:val="Indentado1"/>
        <w:numPr>
          <w:ilvl w:val="0"/>
          <w:numId w:val="0"/>
        </w:numPr>
        <w:spacing w:line="240" w:lineRule="auto"/>
        <w:ind w:left="357"/>
        <w:rPr>
          <w:rFonts w:ascii="ITC Avant Garde" w:hAnsi="ITC Avant Garde" w:cs="Arial"/>
          <w:sz w:val="22"/>
          <w:szCs w:val="22"/>
        </w:rPr>
      </w:pPr>
      <w:r w:rsidRPr="008609D1">
        <w:rPr>
          <w:rFonts w:ascii="ITC Avant Garde" w:hAnsi="ITC Avant Garde" w:cs="Arial"/>
          <w:sz w:val="22"/>
          <w:szCs w:val="22"/>
        </w:rPr>
        <w:t xml:space="preserve">1. Entrega de la información de la </w:t>
      </w:r>
      <w:r>
        <w:rPr>
          <w:rFonts w:ascii="ITC Avant Garde" w:hAnsi="ITC Avant Garde" w:cs="Arial"/>
          <w:sz w:val="22"/>
          <w:szCs w:val="22"/>
        </w:rPr>
        <w:t>s</w:t>
      </w:r>
      <w:r w:rsidRPr="008609D1">
        <w:rPr>
          <w:rFonts w:ascii="ITC Avant Garde" w:hAnsi="ITC Avant Garde" w:cs="Arial"/>
          <w:sz w:val="22"/>
          <w:szCs w:val="22"/>
        </w:rPr>
        <w:t xml:space="preserve">eparación </w:t>
      </w:r>
      <w:r>
        <w:rPr>
          <w:rFonts w:ascii="ITC Avant Garde" w:hAnsi="ITC Avant Garde" w:cs="Arial"/>
          <w:sz w:val="22"/>
          <w:szCs w:val="22"/>
        </w:rPr>
        <w:t>c</w:t>
      </w:r>
      <w:r w:rsidRPr="008609D1">
        <w:rPr>
          <w:rFonts w:ascii="ITC Avant Garde" w:hAnsi="ITC Avant Garde" w:cs="Arial"/>
          <w:sz w:val="22"/>
          <w:szCs w:val="22"/>
        </w:rPr>
        <w:t>ontable, que deberá incluir la totalidad de la documentación indicada en los Anexos 4, 5 y 6 en función del tipo de operador.</w:t>
      </w:r>
    </w:p>
    <w:p w14:paraId="64BB95A3" w14:textId="77777777" w:rsidR="00A1321B" w:rsidRPr="008609D1" w:rsidRDefault="00A1321B" w:rsidP="00A1321B">
      <w:pPr>
        <w:pStyle w:val="Indentado1"/>
        <w:numPr>
          <w:ilvl w:val="0"/>
          <w:numId w:val="0"/>
        </w:numPr>
        <w:spacing w:line="240" w:lineRule="auto"/>
        <w:ind w:left="357"/>
        <w:rPr>
          <w:rFonts w:ascii="ITC Avant Garde" w:hAnsi="ITC Avant Garde" w:cs="Arial"/>
          <w:sz w:val="22"/>
          <w:szCs w:val="22"/>
        </w:rPr>
      </w:pPr>
      <w:r w:rsidRPr="008609D1">
        <w:rPr>
          <w:rFonts w:ascii="ITC Avant Garde" w:hAnsi="ITC Avant Garde" w:cs="Arial"/>
          <w:sz w:val="22"/>
          <w:szCs w:val="22"/>
        </w:rPr>
        <w:t>2. Proceso de revisión de la separación contable por parte del Instituto, en el que se verificará el apego de la información entregada a los principios, criterios y condiciones aprobados por el mismo.</w:t>
      </w:r>
    </w:p>
    <w:p w14:paraId="0B6883C8" w14:textId="77777777" w:rsidR="00A1321B" w:rsidRPr="008609D1" w:rsidRDefault="00A1321B" w:rsidP="00A1321B">
      <w:pPr>
        <w:pStyle w:val="Indentado1"/>
        <w:numPr>
          <w:ilvl w:val="0"/>
          <w:numId w:val="0"/>
        </w:numPr>
        <w:spacing w:line="240" w:lineRule="auto"/>
        <w:ind w:left="357"/>
        <w:rPr>
          <w:rFonts w:ascii="ITC Avant Garde" w:hAnsi="ITC Avant Garde" w:cs="Arial"/>
          <w:sz w:val="22"/>
          <w:szCs w:val="22"/>
        </w:rPr>
      </w:pPr>
      <w:r w:rsidRPr="008609D1">
        <w:rPr>
          <w:rFonts w:ascii="ITC Avant Garde" w:hAnsi="ITC Avant Garde" w:cs="Arial"/>
          <w:sz w:val="22"/>
          <w:szCs w:val="22"/>
        </w:rPr>
        <w:lastRenderedPageBreak/>
        <w:t>3. Presentación de comentarios por parte del Instituto, en el que se compartirá con los concesionarios involucrados las incidencias y/o áreas de mejora identificadas y que deberán ser subsanadas en la actual y/o posteriores entregas de la separación contable.</w:t>
      </w:r>
    </w:p>
    <w:p w14:paraId="439442E8" w14:textId="77777777" w:rsidR="00A1321B" w:rsidRPr="008609D1" w:rsidRDefault="00A1321B" w:rsidP="00A1321B">
      <w:pPr>
        <w:pStyle w:val="Indentado1"/>
        <w:numPr>
          <w:ilvl w:val="0"/>
          <w:numId w:val="0"/>
        </w:numPr>
        <w:spacing w:line="240" w:lineRule="auto"/>
        <w:ind w:left="357"/>
        <w:rPr>
          <w:rFonts w:ascii="ITC Avant Garde" w:hAnsi="ITC Avant Garde" w:cs="Arial"/>
          <w:sz w:val="22"/>
          <w:szCs w:val="22"/>
        </w:rPr>
      </w:pPr>
      <w:r w:rsidRPr="008609D1">
        <w:rPr>
          <w:rFonts w:ascii="ITC Avant Garde" w:hAnsi="ITC Avant Garde" w:cs="Arial"/>
          <w:sz w:val="22"/>
          <w:szCs w:val="22"/>
        </w:rPr>
        <w:t>4. Atención de comentarios del Instituto por parte de los concesionarios involucrados, que consistirá en la implementación de los comentarios señalados en el punto anterior.</w:t>
      </w:r>
    </w:p>
    <w:p w14:paraId="29D7A16A" w14:textId="77777777" w:rsidR="00A1321B" w:rsidRPr="008609D1" w:rsidRDefault="00A1321B" w:rsidP="00A1321B">
      <w:pPr>
        <w:pStyle w:val="Normalresolucion"/>
      </w:pPr>
      <w:r w:rsidRPr="008609D1">
        <w:t>Los detalles relativos al punto 1 se encuentran ya ampliamente especificados en el resto del documento, al mismo tiempo que se estima que los puntos 3 y 4 no ameritan mayor descripción. Los siguientes párrafos añaden mayor claridad al respecto del punto 2 relativo al proceso de revisión que llevará a cabo el Instituto.</w:t>
      </w:r>
    </w:p>
    <w:p w14:paraId="50581EE5" w14:textId="77777777" w:rsidR="00A1321B" w:rsidRPr="008609D1" w:rsidRDefault="00A1321B" w:rsidP="00A1321B">
      <w:pPr>
        <w:pStyle w:val="Normalresolucion"/>
        <w:rPr>
          <w:u w:val="single"/>
        </w:rPr>
      </w:pPr>
      <w:r w:rsidRPr="008609D1">
        <w:rPr>
          <w:u w:val="single"/>
        </w:rPr>
        <w:t>Proceso de revisión de los resultados de la separación contable</w:t>
      </w:r>
    </w:p>
    <w:p w14:paraId="5FA62AA7" w14:textId="77777777" w:rsidR="00A1321B" w:rsidRPr="008609D1" w:rsidRDefault="00A1321B" w:rsidP="00A1321B">
      <w:pPr>
        <w:pStyle w:val="Normalresolucion"/>
      </w:pPr>
      <w:r w:rsidRPr="008609D1">
        <w:t>Un aspecto fundamental para asegurar la validez de los resultados de la separación contable presentados consiste en el desarrollo de un profundo ejercicio de revisoría económica y técnica mediante el cual se valide la correcta implementación de los principios metodológicos aquí definidos.</w:t>
      </w:r>
    </w:p>
    <w:p w14:paraId="04BF455A" w14:textId="77777777" w:rsidR="00A1321B" w:rsidRPr="008609D1" w:rsidRDefault="00A1321B" w:rsidP="00A1321B">
      <w:pPr>
        <w:pStyle w:val="Normalresolucion"/>
      </w:pPr>
      <w:r w:rsidRPr="008609D1">
        <w:t>Si bien existe una tendencia general a delegar la función de revisión a los propios concesionarios, es habitual ver cómo lo anterior puede terminar derivando en ineficiencias y necesidades adicionales de revisión por parte del regulador, adoptándose finalmente un esquema de revisión doble.</w:t>
      </w:r>
    </w:p>
    <w:p w14:paraId="38D44AC3" w14:textId="77777777" w:rsidR="00A1321B" w:rsidRPr="008609D1" w:rsidRDefault="00A1321B" w:rsidP="00A1321B">
      <w:pPr>
        <w:pStyle w:val="Normalresolucion"/>
      </w:pPr>
      <w:r w:rsidRPr="008609D1">
        <w:t xml:space="preserve">Con el fin de evitar la duplicidad de las tareas de revisión de los resultados de la separación contable, será el propio Instituto el encargado de seleccionar el equipo revisor mediante los procesos de licitación comúnmente establecidos. El revisor propuesto deberá tener un profundo conocimiento del marco regulatorio y de las obligaciones que de él se desprenden, así como de los conocimientos técnicos y económicos pertinentes para la implementación de una separación contable con propósitos regulatorios. </w:t>
      </w:r>
    </w:p>
    <w:p w14:paraId="47A2266D" w14:textId="5D75074D" w:rsidR="00A1321B" w:rsidRDefault="00A1321B" w:rsidP="00154F13">
      <w:pPr>
        <w:pStyle w:val="Normalresolucion"/>
      </w:pPr>
      <w:r w:rsidRPr="008609D1">
        <w:t xml:space="preserve">Como resultado del proceso de revisión, se especificarán las posibles incidencias que hayan sido detectadas en los modelos de separación contable, y se establecerán las acciones que deberán implementar los concesionarios con el fin de solventarlas. Todo ello deberá ser reportado en un informe por el revisor, junto con la recomendación de aceptar, aceptar condicionalmente o rechazar la </w:t>
      </w:r>
      <w:r>
        <w:t>s</w:t>
      </w:r>
      <w:r w:rsidRPr="008609D1">
        <w:t xml:space="preserve">eparación </w:t>
      </w:r>
      <w:r>
        <w:t>c</w:t>
      </w:r>
      <w:r w:rsidRPr="008609D1">
        <w:t>ontable elaborada.</w:t>
      </w:r>
    </w:p>
    <w:p w14:paraId="32A8FB6A" w14:textId="77777777" w:rsidR="00A1321B" w:rsidRDefault="00A1321B" w:rsidP="00154F13">
      <w:pPr>
        <w:pStyle w:val="Normalresolucion"/>
      </w:pPr>
    </w:p>
    <w:p w14:paraId="17C1E6DB" w14:textId="77777777" w:rsidR="00A1321B" w:rsidRPr="008609D1" w:rsidRDefault="00A1321B" w:rsidP="00154F13">
      <w:pPr>
        <w:pStyle w:val="Normalresolucion"/>
      </w:pPr>
    </w:p>
    <w:p w14:paraId="04C20EC4" w14:textId="77777777" w:rsidR="00A1321B" w:rsidRDefault="00A1321B" w:rsidP="00A1321B"/>
    <w:p w14:paraId="23BD3951" w14:textId="77777777" w:rsidR="00606E72" w:rsidRPr="008609D1" w:rsidRDefault="00606E72" w:rsidP="00A1321B"/>
    <w:p w14:paraId="2D4C902D" w14:textId="77777777" w:rsidR="00A1321B" w:rsidRPr="008609D1" w:rsidRDefault="00A1321B" w:rsidP="00A1321B">
      <w:pPr>
        <w:pStyle w:val="Ttulo2"/>
      </w:pPr>
      <w:bookmarkStart w:id="35" w:name="_Toc484022095"/>
      <w:r w:rsidRPr="008609D1">
        <w:lastRenderedPageBreak/>
        <w:t>Anexo 3.</w:t>
      </w:r>
      <w:bookmarkEnd w:id="31"/>
      <w:bookmarkEnd w:id="35"/>
    </w:p>
    <w:p w14:paraId="6D43C737" w14:textId="77777777" w:rsidR="00A1321B" w:rsidRPr="008609D1" w:rsidRDefault="00A1321B" w:rsidP="00A1321B">
      <w:pPr>
        <w:pStyle w:val="Ttulo1"/>
      </w:pPr>
      <w:bookmarkStart w:id="36" w:name="_Ref477443635"/>
      <w:bookmarkStart w:id="37" w:name="_Toc484022096"/>
      <w:r w:rsidRPr="008609D1">
        <w:t>ASPECTOS GENERALES DE LA METODOLOGÍA DE SEPARACIÓN CONTABLE</w:t>
      </w:r>
      <w:bookmarkEnd w:id="36"/>
      <w:bookmarkEnd w:id="37"/>
    </w:p>
    <w:bookmarkStart w:id="38" w:name="_Toc475004099" w:displacedByCustomXml="next"/>
    <w:sdt>
      <w:sdtPr>
        <w:rPr>
          <w:rFonts w:asciiTheme="minorHAnsi" w:eastAsiaTheme="minorHAnsi" w:hAnsiTheme="minorHAnsi" w:cstheme="minorBidi"/>
          <w:szCs w:val="22"/>
          <w:lang w:val="es-ES" w:eastAsia="en-US"/>
        </w:rPr>
        <w:id w:val="983046385"/>
        <w:docPartObj>
          <w:docPartGallery w:val="Table of Contents"/>
          <w:docPartUnique/>
        </w:docPartObj>
      </w:sdtPr>
      <w:sdtEndPr>
        <w:rPr>
          <w:b/>
          <w:bCs/>
        </w:rPr>
      </w:sdtEndPr>
      <w:sdtContent>
        <w:p w14:paraId="5C3E8403" w14:textId="77777777" w:rsidR="006F2FEC" w:rsidRPr="006F2FEC" w:rsidRDefault="006F2FEC" w:rsidP="006F2FEC">
          <w:pPr>
            <w:pStyle w:val="TDC2"/>
            <w:rPr>
              <w:rStyle w:val="Hipervnculo"/>
              <w:bCs/>
              <w:noProof/>
              <w:color w:val="000000" w:themeColor="text1"/>
            </w:rPr>
          </w:pPr>
          <w:r>
            <w:fldChar w:fldCharType="begin"/>
          </w:r>
          <w:r>
            <w:instrText xml:space="preserve"> TOC \o "1-3" \h \z \u </w:instrText>
          </w:r>
          <w:r>
            <w:fldChar w:fldCharType="separate"/>
          </w:r>
          <w:hyperlink w:anchor="_Toc484022097" w:history="1">
            <w:r w:rsidRPr="006F2FEC">
              <w:rPr>
                <w:rStyle w:val="Hipervnculo"/>
                <w:bCs/>
                <w:noProof/>
                <w:color w:val="000000" w:themeColor="text1"/>
              </w:rPr>
              <w:t>1. PRINCIPIOS, CRITERIOS Y CONDICIONES……………………………….…….</w:t>
            </w:r>
            <w:r w:rsidRPr="006F2FEC">
              <w:rPr>
                <w:rStyle w:val="Hipervnculo"/>
                <w:bCs/>
                <w:noProof/>
                <w:webHidden/>
                <w:color w:val="000000" w:themeColor="text1"/>
              </w:rPr>
              <w:tab/>
            </w:r>
            <w:r w:rsidRPr="006F2FEC">
              <w:rPr>
                <w:rStyle w:val="Hipervnculo"/>
                <w:bCs/>
                <w:noProof/>
                <w:webHidden/>
                <w:color w:val="000000" w:themeColor="text1"/>
              </w:rPr>
              <w:fldChar w:fldCharType="begin"/>
            </w:r>
            <w:r w:rsidRPr="006F2FEC">
              <w:rPr>
                <w:rStyle w:val="Hipervnculo"/>
                <w:bCs/>
                <w:noProof/>
                <w:webHidden/>
                <w:color w:val="000000" w:themeColor="text1"/>
              </w:rPr>
              <w:instrText xml:space="preserve"> PAGEREF _Toc484022097 \h </w:instrText>
            </w:r>
            <w:r w:rsidRPr="006F2FEC">
              <w:rPr>
                <w:rStyle w:val="Hipervnculo"/>
                <w:bCs/>
                <w:noProof/>
                <w:webHidden/>
                <w:color w:val="000000" w:themeColor="text1"/>
              </w:rPr>
            </w:r>
            <w:r w:rsidRPr="006F2FEC">
              <w:rPr>
                <w:rStyle w:val="Hipervnculo"/>
                <w:bCs/>
                <w:noProof/>
                <w:webHidden/>
                <w:color w:val="000000" w:themeColor="text1"/>
              </w:rPr>
              <w:fldChar w:fldCharType="separate"/>
            </w:r>
            <w:r w:rsidR="00261E91">
              <w:rPr>
                <w:rStyle w:val="Hipervnculo"/>
                <w:bCs/>
                <w:noProof/>
                <w:webHidden/>
                <w:color w:val="000000" w:themeColor="text1"/>
              </w:rPr>
              <w:t>22</w:t>
            </w:r>
            <w:r w:rsidRPr="006F2FEC">
              <w:rPr>
                <w:rStyle w:val="Hipervnculo"/>
                <w:bCs/>
                <w:noProof/>
                <w:webHidden/>
                <w:color w:val="000000" w:themeColor="text1"/>
              </w:rPr>
              <w:fldChar w:fldCharType="end"/>
            </w:r>
          </w:hyperlink>
        </w:p>
        <w:p w14:paraId="655B4AD1" w14:textId="77777777" w:rsidR="006F2FEC" w:rsidRDefault="00970710">
          <w:pPr>
            <w:pStyle w:val="TDC2"/>
            <w:rPr>
              <w:rFonts w:asciiTheme="minorHAnsi" w:eastAsiaTheme="minorEastAsia" w:hAnsiTheme="minorHAnsi" w:cstheme="minorBidi"/>
              <w:noProof/>
              <w:szCs w:val="22"/>
              <w:lang w:val="es-MX" w:eastAsia="es-MX"/>
            </w:rPr>
          </w:pPr>
          <w:hyperlink w:anchor="_Toc484022098" w:history="1">
            <w:r w:rsidR="006F2FEC" w:rsidRPr="00B63121">
              <w:rPr>
                <w:rStyle w:val="Hipervnculo"/>
                <w:noProof/>
              </w:rPr>
              <w:t>1.1. Principios generales de la separación contable</w:t>
            </w:r>
            <w:r w:rsidR="006F2FEC">
              <w:rPr>
                <w:noProof/>
                <w:webHidden/>
              </w:rPr>
              <w:tab/>
            </w:r>
            <w:r w:rsidR="006F2FEC">
              <w:rPr>
                <w:noProof/>
                <w:webHidden/>
              </w:rPr>
              <w:fldChar w:fldCharType="begin"/>
            </w:r>
            <w:r w:rsidR="006F2FEC">
              <w:rPr>
                <w:noProof/>
                <w:webHidden/>
              </w:rPr>
              <w:instrText xml:space="preserve"> PAGEREF _Toc484022098 \h </w:instrText>
            </w:r>
            <w:r w:rsidR="006F2FEC">
              <w:rPr>
                <w:noProof/>
                <w:webHidden/>
              </w:rPr>
            </w:r>
            <w:r w:rsidR="006F2FEC">
              <w:rPr>
                <w:noProof/>
                <w:webHidden/>
              </w:rPr>
              <w:fldChar w:fldCharType="separate"/>
            </w:r>
            <w:r w:rsidR="00261E91">
              <w:rPr>
                <w:noProof/>
                <w:webHidden/>
              </w:rPr>
              <w:t>23</w:t>
            </w:r>
            <w:r w:rsidR="006F2FEC">
              <w:rPr>
                <w:noProof/>
                <w:webHidden/>
              </w:rPr>
              <w:fldChar w:fldCharType="end"/>
            </w:r>
          </w:hyperlink>
        </w:p>
        <w:p w14:paraId="7A522B0F" w14:textId="77777777" w:rsidR="006F2FEC" w:rsidRDefault="00970710">
          <w:pPr>
            <w:pStyle w:val="TDC2"/>
            <w:rPr>
              <w:rFonts w:asciiTheme="minorHAnsi" w:eastAsiaTheme="minorEastAsia" w:hAnsiTheme="minorHAnsi" w:cstheme="minorBidi"/>
              <w:noProof/>
              <w:szCs w:val="22"/>
              <w:lang w:val="es-MX" w:eastAsia="es-MX"/>
            </w:rPr>
          </w:pPr>
          <w:hyperlink w:anchor="_Toc484022099" w:history="1">
            <w:r w:rsidR="006F2FEC" w:rsidRPr="00B63121">
              <w:rPr>
                <w:rStyle w:val="Hipervnculo"/>
                <w:noProof/>
              </w:rPr>
              <w:t>1.2. Bases de costos e ingresos</w:t>
            </w:r>
            <w:r w:rsidR="006F2FEC">
              <w:rPr>
                <w:noProof/>
                <w:webHidden/>
              </w:rPr>
              <w:tab/>
            </w:r>
            <w:r w:rsidR="006F2FEC">
              <w:rPr>
                <w:noProof/>
                <w:webHidden/>
              </w:rPr>
              <w:fldChar w:fldCharType="begin"/>
            </w:r>
            <w:r w:rsidR="006F2FEC">
              <w:rPr>
                <w:noProof/>
                <w:webHidden/>
              </w:rPr>
              <w:instrText xml:space="preserve"> PAGEREF _Toc484022099 \h </w:instrText>
            </w:r>
            <w:r w:rsidR="006F2FEC">
              <w:rPr>
                <w:noProof/>
                <w:webHidden/>
              </w:rPr>
            </w:r>
            <w:r w:rsidR="006F2FEC">
              <w:rPr>
                <w:noProof/>
                <w:webHidden/>
              </w:rPr>
              <w:fldChar w:fldCharType="separate"/>
            </w:r>
            <w:r w:rsidR="00261E91">
              <w:rPr>
                <w:noProof/>
                <w:webHidden/>
              </w:rPr>
              <w:t>26</w:t>
            </w:r>
            <w:r w:rsidR="006F2FEC">
              <w:rPr>
                <w:noProof/>
                <w:webHidden/>
              </w:rPr>
              <w:fldChar w:fldCharType="end"/>
            </w:r>
          </w:hyperlink>
        </w:p>
        <w:p w14:paraId="3D4AD74F" w14:textId="77777777" w:rsidR="006F2FEC" w:rsidRDefault="00970710">
          <w:pPr>
            <w:pStyle w:val="TDC3"/>
            <w:rPr>
              <w:rFonts w:asciiTheme="minorHAnsi" w:eastAsiaTheme="minorEastAsia" w:hAnsiTheme="minorHAnsi" w:cstheme="minorBidi"/>
              <w:noProof/>
              <w:szCs w:val="22"/>
              <w:lang w:val="es-MX" w:eastAsia="es-MX"/>
            </w:rPr>
          </w:pPr>
          <w:hyperlink w:anchor="_Toc484022100" w:history="1">
            <w:r w:rsidR="006F2FEC" w:rsidRPr="00B63121">
              <w:rPr>
                <w:rStyle w:val="Hipervnculo"/>
                <w:bCs/>
                <w:noProof/>
                <w14:scene3d>
                  <w14:camera w14:prst="orthographicFront"/>
                  <w14:lightRig w14:rig="threePt" w14:dir="t">
                    <w14:rot w14:lat="0" w14:lon="0" w14:rev="0"/>
                  </w14:lightRig>
                </w14:scene3d>
              </w:rPr>
              <w:t>1.2.1.</w:t>
            </w:r>
            <w:r w:rsidR="006F2FEC" w:rsidRPr="00B63121">
              <w:rPr>
                <w:rStyle w:val="Hipervnculo"/>
                <w:noProof/>
              </w:rPr>
              <w:t xml:space="preserve"> Estándares de costos</w:t>
            </w:r>
            <w:r w:rsidR="006F2FEC">
              <w:rPr>
                <w:noProof/>
                <w:webHidden/>
              </w:rPr>
              <w:tab/>
            </w:r>
            <w:r w:rsidR="006F2FEC">
              <w:rPr>
                <w:noProof/>
                <w:webHidden/>
              </w:rPr>
              <w:fldChar w:fldCharType="begin"/>
            </w:r>
            <w:r w:rsidR="006F2FEC">
              <w:rPr>
                <w:noProof/>
                <w:webHidden/>
              </w:rPr>
              <w:instrText xml:space="preserve"> PAGEREF _Toc484022100 \h </w:instrText>
            </w:r>
            <w:r w:rsidR="006F2FEC">
              <w:rPr>
                <w:noProof/>
                <w:webHidden/>
              </w:rPr>
            </w:r>
            <w:r w:rsidR="006F2FEC">
              <w:rPr>
                <w:noProof/>
                <w:webHidden/>
              </w:rPr>
              <w:fldChar w:fldCharType="separate"/>
            </w:r>
            <w:r w:rsidR="00261E91">
              <w:rPr>
                <w:noProof/>
                <w:webHidden/>
              </w:rPr>
              <w:t>26</w:t>
            </w:r>
            <w:r w:rsidR="006F2FEC">
              <w:rPr>
                <w:noProof/>
                <w:webHidden/>
              </w:rPr>
              <w:fldChar w:fldCharType="end"/>
            </w:r>
          </w:hyperlink>
        </w:p>
        <w:p w14:paraId="7B32CB16" w14:textId="77777777" w:rsidR="006F2FEC" w:rsidRDefault="00970710">
          <w:pPr>
            <w:pStyle w:val="TDC3"/>
            <w:rPr>
              <w:rFonts w:asciiTheme="minorHAnsi" w:eastAsiaTheme="minorEastAsia" w:hAnsiTheme="minorHAnsi" w:cstheme="minorBidi"/>
              <w:noProof/>
              <w:szCs w:val="22"/>
              <w:lang w:val="es-MX" w:eastAsia="es-MX"/>
            </w:rPr>
          </w:pPr>
          <w:hyperlink w:anchor="_Toc484022101" w:history="1">
            <w:r w:rsidR="006F2FEC" w:rsidRPr="00B63121">
              <w:rPr>
                <w:rStyle w:val="Hipervnculo"/>
                <w:bCs/>
                <w:noProof/>
                <w14:scene3d>
                  <w14:camera w14:prst="orthographicFront"/>
                  <w14:lightRig w14:rig="threePt" w14:dir="t">
                    <w14:rot w14:lat="0" w14:lon="0" w14:rev="0"/>
                  </w14:lightRig>
                </w14:scene3d>
              </w:rPr>
              <w:t>1.2.2.</w:t>
            </w:r>
            <w:r w:rsidR="006F2FEC" w:rsidRPr="00B63121">
              <w:rPr>
                <w:rStyle w:val="Hipervnculo"/>
                <w:noProof/>
              </w:rPr>
              <w:t xml:space="preserve"> Aproximación para el mantenimiento de capital y el cálculo de su depreciación</w:t>
            </w:r>
            <w:r w:rsidR="006F2FEC">
              <w:rPr>
                <w:noProof/>
                <w:webHidden/>
              </w:rPr>
              <w:tab/>
            </w:r>
            <w:r w:rsidR="006F2FEC">
              <w:rPr>
                <w:noProof/>
                <w:webHidden/>
              </w:rPr>
              <w:fldChar w:fldCharType="begin"/>
            </w:r>
            <w:r w:rsidR="006F2FEC">
              <w:rPr>
                <w:noProof/>
                <w:webHidden/>
              </w:rPr>
              <w:instrText xml:space="preserve"> PAGEREF _Toc484022101 \h </w:instrText>
            </w:r>
            <w:r w:rsidR="006F2FEC">
              <w:rPr>
                <w:noProof/>
                <w:webHidden/>
              </w:rPr>
            </w:r>
            <w:r w:rsidR="006F2FEC">
              <w:rPr>
                <w:noProof/>
                <w:webHidden/>
              </w:rPr>
              <w:fldChar w:fldCharType="separate"/>
            </w:r>
            <w:r w:rsidR="00261E91">
              <w:rPr>
                <w:noProof/>
                <w:webHidden/>
              </w:rPr>
              <w:t>30</w:t>
            </w:r>
            <w:r w:rsidR="006F2FEC">
              <w:rPr>
                <w:noProof/>
                <w:webHidden/>
              </w:rPr>
              <w:fldChar w:fldCharType="end"/>
            </w:r>
          </w:hyperlink>
        </w:p>
        <w:p w14:paraId="66A5FF94" w14:textId="77777777" w:rsidR="006F2FEC" w:rsidRDefault="00970710">
          <w:pPr>
            <w:pStyle w:val="TDC3"/>
            <w:rPr>
              <w:rFonts w:asciiTheme="minorHAnsi" w:eastAsiaTheme="minorEastAsia" w:hAnsiTheme="minorHAnsi" w:cstheme="minorBidi"/>
              <w:noProof/>
              <w:szCs w:val="22"/>
              <w:lang w:val="es-MX" w:eastAsia="es-MX"/>
            </w:rPr>
          </w:pPr>
          <w:hyperlink w:anchor="_Toc484022102" w:history="1">
            <w:r w:rsidR="006F2FEC" w:rsidRPr="00B63121">
              <w:rPr>
                <w:rStyle w:val="Hipervnculo"/>
                <w:bCs/>
                <w:noProof/>
                <w14:scene3d>
                  <w14:camera w14:prst="orthographicFront"/>
                  <w14:lightRig w14:rig="threePt" w14:dir="t">
                    <w14:rot w14:lat="0" w14:lon="0" w14:rev="0"/>
                  </w14:lightRig>
                </w14:scene3d>
              </w:rPr>
              <w:t>1.2.3.</w:t>
            </w:r>
            <w:r w:rsidR="006F2FEC" w:rsidRPr="00B63121">
              <w:rPr>
                <w:rStyle w:val="Hipervnculo"/>
                <w:noProof/>
              </w:rPr>
              <w:t xml:space="preserve"> Costo promedio ponderado del capital empleado</w:t>
            </w:r>
            <w:r w:rsidR="006F2FEC">
              <w:rPr>
                <w:noProof/>
                <w:webHidden/>
              </w:rPr>
              <w:tab/>
            </w:r>
            <w:r w:rsidR="006F2FEC">
              <w:rPr>
                <w:noProof/>
                <w:webHidden/>
              </w:rPr>
              <w:fldChar w:fldCharType="begin"/>
            </w:r>
            <w:r w:rsidR="006F2FEC">
              <w:rPr>
                <w:noProof/>
                <w:webHidden/>
              </w:rPr>
              <w:instrText xml:space="preserve"> PAGEREF _Toc484022102 \h </w:instrText>
            </w:r>
            <w:r w:rsidR="006F2FEC">
              <w:rPr>
                <w:noProof/>
                <w:webHidden/>
              </w:rPr>
            </w:r>
            <w:r w:rsidR="006F2FEC">
              <w:rPr>
                <w:noProof/>
                <w:webHidden/>
              </w:rPr>
              <w:fldChar w:fldCharType="separate"/>
            </w:r>
            <w:r w:rsidR="00261E91">
              <w:rPr>
                <w:noProof/>
                <w:webHidden/>
              </w:rPr>
              <w:t>33</w:t>
            </w:r>
            <w:r w:rsidR="006F2FEC">
              <w:rPr>
                <w:noProof/>
                <w:webHidden/>
              </w:rPr>
              <w:fldChar w:fldCharType="end"/>
            </w:r>
          </w:hyperlink>
        </w:p>
        <w:p w14:paraId="094AC2E3" w14:textId="77777777" w:rsidR="006F2FEC" w:rsidRDefault="00970710">
          <w:pPr>
            <w:pStyle w:val="TDC3"/>
            <w:rPr>
              <w:rFonts w:asciiTheme="minorHAnsi" w:eastAsiaTheme="minorEastAsia" w:hAnsiTheme="minorHAnsi" w:cstheme="minorBidi"/>
              <w:noProof/>
              <w:szCs w:val="22"/>
              <w:lang w:val="es-MX" w:eastAsia="es-MX"/>
            </w:rPr>
          </w:pPr>
          <w:hyperlink w:anchor="_Toc484022103" w:history="1">
            <w:r w:rsidR="006F2FEC" w:rsidRPr="00B63121">
              <w:rPr>
                <w:rStyle w:val="Hipervnculo"/>
                <w:noProof/>
              </w:rPr>
              <w:t>1.3. Esquema de atribución de costos a servicios</w:t>
            </w:r>
            <w:r w:rsidR="006F2FEC">
              <w:rPr>
                <w:noProof/>
                <w:webHidden/>
              </w:rPr>
              <w:tab/>
            </w:r>
            <w:r w:rsidR="006F2FEC">
              <w:rPr>
                <w:noProof/>
                <w:webHidden/>
              </w:rPr>
              <w:fldChar w:fldCharType="begin"/>
            </w:r>
            <w:r w:rsidR="006F2FEC">
              <w:rPr>
                <w:noProof/>
                <w:webHidden/>
              </w:rPr>
              <w:instrText xml:space="preserve"> PAGEREF _Toc484022103 \h </w:instrText>
            </w:r>
            <w:r w:rsidR="006F2FEC">
              <w:rPr>
                <w:noProof/>
                <w:webHidden/>
              </w:rPr>
            </w:r>
            <w:r w:rsidR="006F2FEC">
              <w:rPr>
                <w:noProof/>
                <w:webHidden/>
              </w:rPr>
              <w:fldChar w:fldCharType="separate"/>
            </w:r>
            <w:r w:rsidR="00261E91">
              <w:rPr>
                <w:noProof/>
                <w:webHidden/>
              </w:rPr>
              <w:t>35</w:t>
            </w:r>
            <w:r w:rsidR="006F2FEC">
              <w:rPr>
                <w:noProof/>
                <w:webHidden/>
              </w:rPr>
              <w:fldChar w:fldCharType="end"/>
            </w:r>
          </w:hyperlink>
        </w:p>
        <w:p w14:paraId="14232415" w14:textId="77777777" w:rsidR="006F2FEC" w:rsidRDefault="00970710">
          <w:pPr>
            <w:pStyle w:val="TDC2"/>
            <w:rPr>
              <w:rFonts w:asciiTheme="minorHAnsi" w:eastAsiaTheme="minorEastAsia" w:hAnsiTheme="minorHAnsi" w:cstheme="minorBidi"/>
              <w:noProof/>
              <w:szCs w:val="22"/>
              <w:lang w:val="es-MX" w:eastAsia="es-MX"/>
            </w:rPr>
          </w:pPr>
          <w:hyperlink w:anchor="_Toc484022104" w:history="1">
            <w:r w:rsidR="006F2FEC" w:rsidRPr="00B63121">
              <w:rPr>
                <w:rStyle w:val="Hipervnculo"/>
                <w:noProof/>
              </w:rPr>
              <w:t>1.4. Cargos de transferencia</w:t>
            </w:r>
            <w:r w:rsidR="006F2FEC">
              <w:rPr>
                <w:noProof/>
                <w:webHidden/>
              </w:rPr>
              <w:tab/>
            </w:r>
            <w:r w:rsidR="006F2FEC">
              <w:rPr>
                <w:noProof/>
                <w:webHidden/>
              </w:rPr>
              <w:fldChar w:fldCharType="begin"/>
            </w:r>
            <w:r w:rsidR="006F2FEC">
              <w:rPr>
                <w:noProof/>
                <w:webHidden/>
              </w:rPr>
              <w:instrText xml:space="preserve"> PAGEREF _Toc484022104 \h </w:instrText>
            </w:r>
            <w:r w:rsidR="006F2FEC">
              <w:rPr>
                <w:noProof/>
                <w:webHidden/>
              </w:rPr>
            </w:r>
            <w:r w:rsidR="006F2FEC">
              <w:rPr>
                <w:noProof/>
                <w:webHidden/>
              </w:rPr>
              <w:fldChar w:fldCharType="separate"/>
            </w:r>
            <w:r w:rsidR="00261E91">
              <w:rPr>
                <w:noProof/>
                <w:webHidden/>
              </w:rPr>
              <w:t>36</w:t>
            </w:r>
            <w:r w:rsidR="006F2FEC">
              <w:rPr>
                <w:noProof/>
                <w:webHidden/>
              </w:rPr>
              <w:fldChar w:fldCharType="end"/>
            </w:r>
          </w:hyperlink>
        </w:p>
        <w:p w14:paraId="232BF426" w14:textId="77777777" w:rsidR="006F2FEC" w:rsidRDefault="00970710">
          <w:pPr>
            <w:pStyle w:val="TDC1"/>
            <w:rPr>
              <w:rFonts w:asciiTheme="minorHAnsi" w:eastAsiaTheme="minorEastAsia" w:hAnsiTheme="minorHAnsi" w:cstheme="minorBidi"/>
              <w:noProof/>
              <w:szCs w:val="22"/>
              <w:lang w:val="es-MX" w:eastAsia="es-MX"/>
            </w:rPr>
          </w:pPr>
          <w:hyperlink w:anchor="_Toc484022105" w:history="1">
            <w:r w:rsidR="006F2FEC" w:rsidRPr="00B63121">
              <w:rPr>
                <w:rStyle w:val="Hipervnculo"/>
                <w:noProof/>
              </w:rPr>
              <w:t>2. VISIÓN GENERAL DE LA ARQUITECTURA DEL MODELO DE SEPARACIÓN CONTABLE</w:t>
            </w:r>
            <w:r w:rsidR="006F2FEC">
              <w:rPr>
                <w:noProof/>
                <w:webHidden/>
              </w:rPr>
              <w:tab/>
            </w:r>
            <w:r w:rsidR="006F2FEC">
              <w:rPr>
                <w:noProof/>
                <w:webHidden/>
              </w:rPr>
              <w:fldChar w:fldCharType="begin"/>
            </w:r>
            <w:r w:rsidR="006F2FEC">
              <w:rPr>
                <w:noProof/>
                <w:webHidden/>
              </w:rPr>
              <w:instrText xml:space="preserve"> PAGEREF _Toc484022105 \h </w:instrText>
            </w:r>
            <w:r w:rsidR="006F2FEC">
              <w:rPr>
                <w:noProof/>
                <w:webHidden/>
              </w:rPr>
            </w:r>
            <w:r w:rsidR="006F2FEC">
              <w:rPr>
                <w:noProof/>
                <w:webHidden/>
              </w:rPr>
              <w:fldChar w:fldCharType="separate"/>
            </w:r>
            <w:r w:rsidR="00261E91">
              <w:rPr>
                <w:noProof/>
                <w:webHidden/>
              </w:rPr>
              <w:t>37</w:t>
            </w:r>
            <w:r w:rsidR="006F2FEC">
              <w:rPr>
                <w:noProof/>
                <w:webHidden/>
              </w:rPr>
              <w:fldChar w:fldCharType="end"/>
            </w:r>
          </w:hyperlink>
        </w:p>
        <w:p w14:paraId="68422A52" w14:textId="77777777" w:rsidR="006F2FEC" w:rsidRDefault="00970710">
          <w:pPr>
            <w:pStyle w:val="TDC2"/>
            <w:rPr>
              <w:rFonts w:asciiTheme="minorHAnsi" w:eastAsiaTheme="minorEastAsia" w:hAnsiTheme="minorHAnsi" w:cstheme="minorBidi"/>
              <w:noProof/>
              <w:szCs w:val="22"/>
              <w:lang w:val="es-MX" w:eastAsia="es-MX"/>
            </w:rPr>
          </w:pPr>
          <w:hyperlink w:anchor="_Toc484022106" w:history="1">
            <w:r w:rsidR="006F2FEC" w:rsidRPr="00B63121">
              <w:rPr>
                <w:rStyle w:val="Hipervnculo"/>
                <w:noProof/>
              </w:rPr>
              <w:t>2.1. Visión general</w:t>
            </w:r>
            <w:r w:rsidR="006F2FEC">
              <w:rPr>
                <w:noProof/>
                <w:webHidden/>
              </w:rPr>
              <w:tab/>
            </w:r>
            <w:r w:rsidR="006F2FEC">
              <w:rPr>
                <w:noProof/>
                <w:webHidden/>
              </w:rPr>
              <w:fldChar w:fldCharType="begin"/>
            </w:r>
            <w:r w:rsidR="006F2FEC">
              <w:rPr>
                <w:noProof/>
                <w:webHidden/>
              </w:rPr>
              <w:instrText xml:space="preserve"> PAGEREF _Toc484022106 \h </w:instrText>
            </w:r>
            <w:r w:rsidR="006F2FEC">
              <w:rPr>
                <w:noProof/>
                <w:webHidden/>
              </w:rPr>
            </w:r>
            <w:r w:rsidR="006F2FEC">
              <w:rPr>
                <w:noProof/>
                <w:webHidden/>
              </w:rPr>
              <w:fldChar w:fldCharType="separate"/>
            </w:r>
            <w:r w:rsidR="00261E91">
              <w:rPr>
                <w:noProof/>
                <w:webHidden/>
              </w:rPr>
              <w:t>37</w:t>
            </w:r>
            <w:r w:rsidR="006F2FEC">
              <w:rPr>
                <w:noProof/>
                <w:webHidden/>
              </w:rPr>
              <w:fldChar w:fldCharType="end"/>
            </w:r>
          </w:hyperlink>
        </w:p>
        <w:p w14:paraId="4D5E87CB" w14:textId="77777777" w:rsidR="006F2FEC" w:rsidRDefault="00970710">
          <w:pPr>
            <w:pStyle w:val="TDC2"/>
            <w:rPr>
              <w:rFonts w:asciiTheme="minorHAnsi" w:eastAsiaTheme="minorEastAsia" w:hAnsiTheme="minorHAnsi" w:cstheme="minorBidi"/>
              <w:noProof/>
              <w:szCs w:val="22"/>
              <w:lang w:val="es-MX" w:eastAsia="es-MX"/>
            </w:rPr>
          </w:pPr>
          <w:hyperlink w:anchor="_Toc484022107" w:history="1">
            <w:r w:rsidR="006F2FEC" w:rsidRPr="00B63121">
              <w:rPr>
                <w:rStyle w:val="Hipervnculo"/>
                <w:noProof/>
              </w:rPr>
              <w:t>2.2. Desagregación mínima de elementos de la separación contable</w:t>
            </w:r>
            <w:r w:rsidR="006F2FEC">
              <w:rPr>
                <w:noProof/>
                <w:webHidden/>
              </w:rPr>
              <w:tab/>
            </w:r>
            <w:r w:rsidR="006F2FEC">
              <w:rPr>
                <w:noProof/>
                <w:webHidden/>
              </w:rPr>
              <w:fldChar w:fldCharType="begin"/>
            </w:r>
            <w:r w:rsidR="006F2FEC">
              <w:rPr>
                <w:noProof/>
                <w:webHidden/>
              </w:rPr>
              <w:instrText xml:space="preserve"> PAGEREF _Toc484022107 \h </w:instrText>
            </w:r>
            <w:r w:rsidR="006F2FEC">
              <w:rPr>
                <w:noProof/>
                <w:webHidden/>
              </w:rPr>
            </w:r>
            <w:r w:rsidR="006F2FEC">
              <w:rPr>
                <w:noProof/>
                <w:webHidden/>
              </w:rPr>
              <w:fldChar w:fldCharType="separate"/>
            </w:r>
            <w:r w:rsidR="00261E91">
              <w:rPr>
                <w:noProof/>
                <w:webHidden/>
              </w:rPr>
              <w:t>39</w:t>
            </w:r>
            <w:r w:rsidR="006F2FEC">
              <w:rPr>
                <w:noProof/>
                <w:webHidden/>
              </w:rPr>
              <w:fldChar w:fldCharType="end"/>
            </w:r>
          </w:hyperlink>
        </w:p>
        <w:p w14:paraId="3E8C6830" w14:textId="77777777" w:rsidR="006F2FEC" w:rsidRDefault="00970710">
          <w:pPr>
            <w:pStyle w:val="TDC2"/>
            <w:rPr>
              <w:rFonts w:asciiTheme="minorHAnsi" w:eastAsiaTheme="minorEastAsia" w:hAnsiTheme="minorHAnsi" w:cstheme="minorBidi"/>
              <w:noProof/>
              <w:szCs w:val="22"/>
              <w:lang w:val="es-MX" w:eastAsia="es-MX"/>
            </w:rPr>
          </w:pPr>
          <w:hyperlink w:anchor="_Toc484022108" w:history="1">
            <w:r w:rsidR="006F2FEC" w:rsidRPr="00B63121">
              <w:rPr>
                <w:rStyle w:val="Hipervnculo"/>
                <w:bCs/>
                <w:noProof/>
                <w14:scene3d>
                  <w14:camera w14:prst="orthographicFront"/>
                  <w14:lightRig w14:rig="threePt" w14:dir="t">
                    <w14:rot w14:lat="0" w14:lon="0" w14:rev="0"/>
                  </w14:lightRig>
                </w14:scene3d>
              </w:rPr>
              <w:t>2.2.1.</w:t>
            </w:r>
            <w:r w:rsidR="006F2FEC" w:rsidRPr="00B63121">
              <w:rPr>
                <w:rStyle w:val="Hipervnculo"/>
                <w:noProof/>
              </w:rPr>
              <w:t xml:space="preserve"> Sector de Telecomunicaciones</w:t>
            </w:r>
            <w:r w:rsidR="006F2FEC">
              <w:rPr>
                <w:noProof/>
                <w:webHidden/>
              </w:rPr>
              <w:tab/>
            </w:r>
            <w:r w:rsidR="006F2FEC">
              <w:rPr>
                <w:noProof/>
                <w:webHidden/>
              </w:rPr>
              <w:fldChar w:fldCharType="begin"/>
            </w:r>
            <w:r w:rsidR="006F2FEC">
              <w:rPr>
                <w:noProof/>
                <w:webHidden/>
              </w:rPr>
              <w:instrText xml:space="preserve"> PAGEREF _Toc484022108 \h </w:instrText>
            </w:r>
            <w:r w:rsidR="006F2FEC">
              <w:rPr>
                <w:noProof/>
                <w:webHidden/>
              </w:rPr>
            </w:r>
            <w:r w:rsidR="006F2FEC">
              <w:rPr>
                <w:noProof/>
                <w:webHidden/>
              </w:rPr>
              <w:fldChar w:fldCharType="separate"/>
            </w:r>
            <w:r w:rsidR="00261E91">
              <w:rPr>
                <w:noProof/>
                <w:webHidden/>
              </w:rPr>
              <w:t>41</w:t>
            </w:r>
            <w:r w:rsidR="006F2FEC">
              <w:rPr>
                <w:noProof/>
                <w:webHidden/>
              </w:rPr>
              <w:fldChar w:fldCharType="end"/>
            </w:r>
          </w:hyperlink>
        </w:p>
        <w:p w14:paraId="2B85D36E" w14:textId="77777777" w:rsidR="006F2FEC" w:rsidRDefault="00970710" w:rsidP="006F2FEC">
          <w:pPr>
            <w:pStyle w:val="TDC3"/>
            <w:rPr>
              <w:rFonts w:asciiTheme="minorHAnsi" w:eastAsiaTheme="minorEastAsia" w:hAnsiTheme="minorHAnsi" w:cstheme="minorBidi"/>
              <w:noProof/>
              <w:szCs w:val="22"/>
              <w:lang w:val="es-MX" w:eastAsia="es-MX"/>
            </w:rPr>
          </w:pPr>
          <w:hyperlink w:anchor="_Toc484022109" w:history="1">
            <w:r w:rsidR="006F2FEC" w:rsidRPr="00B63121">
              <w:rPr>
                <w:rStyle w:val="Hipervnculo"/>
                <w:bCs/>
                <w:noProof/>
                <w14:scene3d>
                  <w14:camera w14:prst="orthographicFront"/>
                  <w14:lightRig w14:rig="threePt" w14:dir="t">
                    <w14:rot w14:lat="0" w14:lon="0" w14:rev="0"/>
                  </w14:lightRig>
                </w14:scene3d>
              </w:rPr>
              <w:t>2.2.2.</w:t>
            </w:r>
            <w:r w:rsidR="006F2FEC" w:rsidRPr="00B63121">
              <w:rPr>
                <w:rStyle w:val="Hipervnculo"/>
                <w:noProof/>
              </w:rPr>
              <w:t xml:space="preserve"> Sector de Radiodifusión</w:t>
            </w:r>
            <w:r w:rsidR="006F2FEC">
              <w:rPr>
                <w:noProof/>
                <w:webHidden/>
              </w:rPr>
              <w:tab/>
            </w:r>
            <w:r w:rsidR="006F2FEC">
              <w:rPr>
                <w:noProof/>
                <w:webHidden/>
              </w:rPr>
              <w:fldChar w:fldCharType="begin"/>
            </w:r>
            <w:r w:rsidR="006F2FEC">
              <w:rPr>
                <w:noProof/>
                <w:webHidden/>
              </w:rPr>
              <w:instrText xml:space="preserve"> PAGEREF _Toc484022109 \h </w:instrText>
            </w:r>
            <w:r w:rsidR="006F2FEC">
              <w:rPr>
                <w:noProof/>
                <w:webHidden/>
              </w:rPr>
            </w:r>
            <w:r w:rsidR="006F2FEC">
              <w:rPr>
                <w:noProof/>
                <w:webHidden/>
              </w:rPr>
              <w:fldChar w:fldCharType="separate"/>
            </w:r>
            <w:r w:rsidR="00261E91">
              <w:rPr>
                <w:noProof/>
                <w:webHidden/>
              </w:rPr>
              <w:t>74</w:t>
            </w:r>
            <w:r w:rsidR="006F2FEC">
              <w:rPr>
                <w:noProof/>
                <w:webHidden/>
              </w:rPr>
              <w:fldChar w:fldCharType="end"/>
            </w:r>
          </w:hyperlink>
        </w:p>
        <w:p w14:paraId="480CDC35" w14:textId="77777777" w:rsidR="006F2FEC" w:rsidRDefault="006F2FEC" w:rsidP="006F2FEC">
          <w:pPr>
            <w:rPr>
              <w:b/>
              <w:bCs/>
            </w:rPr>
          </w:pPr>
          <w:r>
            <w:rPr>
              <w:b/>
              <w:bCs/>
              <w:lang w:val="es-ES"/>
            </w:rPr>
            <w:fldChar w:fldCharType="end"/>
          </w:r>
        </w:p>
      </w:sdtContent>
    </w:sdt>
    <w:p w14:paraId="3068AE67" w14:textId="77777777" w:rsidR="00A1321B" w:rsidRPr="008609D1" w:rsidRDefault="00A1321B" w:rsidP="00A1321B">
      <w:pPr>
        <w:pStyle w:val="Normalresolucion"/>
        <w:spacing w:after="240"/>
      </w:pPr>
      <w:r w:rsidRPr="008609D1">
        <w:br w:type="page"/>
      </w:r>
    </w:p>
    <w:p w14:paraId="3AF77465" w14:textId="77777777" w:rsidR="00A1321B" w:rsidRPr="008609D1" w:rsidRDefault="00A1321B" w:rsidP="008B4286">
      <w:pPr>
        <w:pStyle w:val="A1L1"/>
        <w:outlineLvl w:val="0"/>
      </w:pPr>
      <w:bookmarkStart w:id="39" w:name="_Ref477513160"/>
      <w:bookmarkStart w:id="40" w:name="_Ref477513721"/>
      <w:bookmarkStart w:id="41" w:name="_Toc475468493"/>
      <w:bookmarkStart w:id="42" w:name="_Toc477515005"/>
      <w:bookmarkStart w:id="43" w:name="_Toc478774489"/>
      <w:bookmarkStart w:id="44" w:name="_Toc484022097"/>
      <w:r w:rsidRPr="008609D1">
        <w:lastRenderedPageBreak/>
        <w:t>PRINCIPIOS, CRITERIOS Y CONDICIONES</w:t>
      </w:r>
      <w:bookmarkEnd w:id="39"/>
      <w:bookmarkEnd w:id="40"/>
      <w:bookmarkEnd w:id="41"/>
      <w:bookmarkEnd w:id="42"/>
      <w:bookmarkEnd w:id="43"/>
      <w:bookmarkEnd w:id="44"/>
    </w:p>
    <w:p w14:paraId="42390B67" w14:textId="77777777" w:rsidR="00A1321B" w:rsidRPr="008609D1" w:rsidRDefault="00A1321B" w:rsidP="00A1321B">
      <w:pPr>
        <w:pStyle w:val="Normalresolucion"/>
      </w:pPr>
      <w:r w:rsidRPr="008609D1">
        <w:t>La metodología de separación contable debe ser multiestándar, de modo que los concesionarios reporten información de separación contable bajo las metodologías de Contabilidad de Costos Históricos (CCH) y Contabilidad de Costos Actuales (CCA). Asimismo, la revaluación de activos mediante la Contabilidad de Costos Actuales debe estar fundamentada en metodologías propias de estos ejercicios regulatorios, tales como mantenimiento a costos de la contabilidad financiera, tasación, valoración absoluta, activos modernos equivalentes o indexación, no aceptándose, por norma general, otros ejercicios de revaluación de activos propios de la contabilidad financiera a no ser que éstos estén alineados con los criterios establecidos por el Instituto. Al respecto, se debe adoptar una metodología de línea recta en el cálculo de la depreciación de los activos.</w:t>
      </w:r>
    </w:p>
    <w:p w14:paraId="2177378D" w14:textId="77777777" w:rsidR="00A1321B" w:rsidRPr="008609D1" w:rsidRDefault="00A1321B" w:rsidP="00A1321B">
      <w:pPr>
        <w:pStyle w:val="Normalresolucion"/>
      </w:pPr>
      <w:r w:rsidRPr="008609D1">
        <w:t>Además, la nueva metodología debe adoptar la aproximación de Mantenimiento Financiero del Capital (FCM) con el fin de asegurar que se reconoce un correcto retorno sobre los activos en la CCA.</w:t>
      </w:r>
    </w:p>
    <w:p w14:paraId="759ADA7C" w14:textId="77777777" w:rsidR="00A1321B" w:rsidRPr="008609D1" w:rsidRDefault="00A1321B" w:rsidP="00A1321B">
      <w:pPr>
        <w:pStyle w:val="Normalresolucion"/>
      </w:pPr>
      <w:r w:rsidRPr="008609D1">
        <w:t>También, se debe seguir una aproximación basada en proporciones para determinar los cargos de depreciación y el valor neto de reposición bajo la contabilidad de costos actuales.</w:t>
      </w:r>
    </w:p>
    <w:p w14:paraId="50BCC513" w14:textId="77777777" w:rsidR="00A1321B" w:rsidRPr="008609D1" w:rsidRDefault="00A1321B" w:rsidP="00A1321B">
      <w:pPr>
        <w:pStyle w:val="Normalresolucion"/>
      </w:pPr>
      <w:r w:rsidRPr="008609D1">
        <w:t xml:space="preserve">Por otro lado, se establece un límite del 10% en la totalidad de costos generales (distribuidos mediante </w:t>
      </w:r>
      <w:r w:rsidRPr="008609D1">
        <w:rPr>
          <w:i/>
          <w:iCs/>
        </w:rPr>
        <w:t>márgenes</w:t>
      </w:r>
      <w:r w:rsidRPr="008609D1">
        <w:t>) incluidos en la separación contable que permita eliminar la asignación arbitraria de los repartos empleados por los concesionarios, toda vez que es ampliamente aceptado en la experiencia internacional que el porcentaje de costos Generales y de Administración (G&amp;A, por sus siglas en inglés) se encuentra, generalmente, por debajo de ese umbral.</w:t>
      </w:r>
    </w:p>
    <w:p w14:paraId="74E157D2" w14:textId="77777777" w:rsidR="00A1321B" w:rsidRPr="008609D1" w:rsidRDefault="00A1321B" w:rsidP="00A1321B">
      <w:pPr>
        <w:pStyle w:val="Normalresolucion"/>
      </w:pPr>
      <w:r w:rsidRPr="008609D1">
        <w:t>Para la obtención de los cargos de transferencia aplicables se definen cuatro alternativas, por orden de prioridad:</w:t>
      </w:r>
      <w:r w:rsidRPr="008609D1" w:rsidDel="008201FA">
        <w:t xml:space="preserve"> </w:t>
      </w:r>
    </w:p>
    <w:p w14:paraId="03F2FF0A" w14:textId="77777777" w:rsidR="00A1321B" w:rsidRPr="008609D1" w:rsidRDefault="00A1321B" w:rsidP="00A1321B">
      <w:pPr>
        <w:pStyle w:val="Texto"/>
        <w:numPr>
          <w:ilvl w:val="0"/>
          <w:numId w:val="57"/>
        </w:numPr>
        <w:spacing w:before="120" w:after="0" w:line="240" w:lineRule="auto"/>
        <w:ind w:left="1003" w:hanging="357"/>
        <w:rPr>
          <w:i/>
          <w:iCs/>
        </w:rPr>
      </w:pPr>
      <w:r w:rsidRPr="008609D1">
        <w:rPr>
          <w:rFonts w:ascii="ITC Avant Garde" w:hAnsi="ITC Avant Garde"/>
          <w:i/>
          <w:iCs/>
          <w:sz w:val="22"/>
          <w:szCs w:val="22"/>
        </w:rPr>
        <w:t>Tarifas reguladas mayoristas</w:t>
      </w:r>
      <w:r w:rsidRPr="008609D1">
        <w:rPr>
          <w:rFonts w:ascii="ITC Avant Garde" w:hAnsi="ITC Avant Garde"/>
          <w:sz w:val="22"/>
          <w:szCs w:val="22"/>
        </w:rPr>
        <w:t>, es decir, que en caso de que existan tarifas mayoristas, éstas deben ser utilizadas para el cálculo de los cargos de transferencia.</w:t>
      </w:r>
    </w:p>
    <w:p w14:paraId="1C2EDDE7" w14:textId="77777777" w:rsidR="00A1321B" w:rsidRPr="008609D1" w:rsidRDefault="00A1321B" w:rsidP="00A1321B">
      <w:pPr>
        <w:pStyle w:val="Texto"/>
        <w:numPr>
          <w:ilvl w:val="0"/>
          <w:numId w:val="57"/>
        </w:numPr>
        <w:spacing w:before="120" w:after="0" w:line="240" w:lineRule="auto"/>
        <w:ind w:left="1003" w:hanging="357"/>
      </w:pPr>
      <w:r w:rsidRPr="008609D1">
        <w:rPr>
          <w:rFonts w:ascii="ITC Avant Garde" w:hAnsi="ITC Avant Garde"/>
          <w:i/>
          <w:iCs/>
          <w:sz w:val="22"/>
          <w:szCs w:val="22"/>
        </w:rPr>
        <w:t>Tarifas comerciales mayoristas</w:t>
      </w:r>
      <w:r w:rsidRPr="008609D1">
        <w:rPr>
          <w:rFonts w:ascii="ITC Avant Garde" w:hAnsi="ITC Avant Garde"/>
          <w:sz w:val="22"/>
          <w:szCs w:val="22"/>
        </w:rPr>
        <w:t>, que tiene convenidas el operador con terceros para la prestación del servicio.</w:t>
      </w:r>
    </w:p>
    <w:p w14:paraId="4D03B465" w14:textId="77777777" w:rsidR="00A1321B" w:rsidRPr="008609D1" w:rsidRDefault="00A1321B" w:rsidP="00A1321B">
      <w:pPr>
        <w:pStyle w:val="Texto"/>
        <w:numPr>
          <w:ilvl w:val="0"/>
          <w:numId w:val="57"/>
        </w:numPr>
        <w:spacing w:before="120" w:after="0" w:line="240" w:lineRule="auto"/>
        <w:ind w:left="1003" w:hanging="357"/>
      </w:pPr>
      <w:r w:rsidRPr="008609D1">
        <w:rPr>
          <w:rFonts w:ascii="ITC Avant Garde" w:hAnsi="ITC Avant Garde"/>
          <w:i/>
          <w:iCs/>
          <w:sz w:val="22"/>
          <w:szCs w:val="22"/>
        </w:rPr>
        <w:t>Ingreso unitario promedio recibido en el ejercicio</w:t>
      </w:r>
      <w:r w:rsidRPr="008609D1">
        <w:rPr>
          <w:rFonts w:ascii="ITC Avant Garde" w:hAnsi="ITC Avant Garde"/>
          <w:sz w:val="22"/>
          <w:szCs w:val="22"/>
        </w:rPr>
        <w:t>, por parte del operador.</w:t>
      </w:r>
    </w:p>
    <w:p w14:paraId="222C597D" w14:textId="77777777" w:rsidR="00A1321B" w:rsidRPr="008609D1" w:rsidRDefault="00A1321B" w:rsidP="00A1321B">
      <w:pPr>
        <w:pStyle w:val="Texto"/>
        <w:numPr>
          <w:ilvl w:val="0"/>
          <w:numId w:val="57"/>
        </w:numPr>
        <w:spacing w:before="120" w:after="0" w:line="240" w:lineRule="auto"/>
        <w:ind w:left="1003" w:hanging="357"/>
      </w:pPr>
      <w:r w:rsidRPr="008609D1">
        <w:rPr>
          <w:rFonts w:ascii="ITC Avant Garde" w:hAnsi="ITC Avant Garde"/>
          <w:i/>
          <w:iCs/>
          <w:sz w:val="22"/>
          <w:szCs w:val="22"/>
        </w:rPr>
        <w:t>Costo unitario promedio del servicio mayorista</w:t>
      </w:r>
      <w:r w:rsidRPr="008609D1">
        <w:rPr>
          <w:rFonts w:ascii="ITC Avant Garde" w:hAnsi="ITC Avant Garde"/>
          <w:sz w:val="22"/>
          <w:szCs w:val="22"/>
        </w:rPr>
        <w:t>, basado en el costo del servicio extraído de la propia separación contable, incluyendo el costo del capital empleado.</w:t>
      </w:r>
    </w:p>
    <w:p w14:paraId="1A71DF3D" w14:textId="77777777" w:rsidR="00A1321B" w:rsidRPr="008609D1" w:rsidRDefault="00A1321B" w:rsidP="00A1321B">
      <w:pPr>
        <w:pStyle w:val="Normalresolucion"/>
      </w:pPr>
      <w:r w:rsidRPr="008609D1">
        <w:t>Asimismo, se define una arquitectura de separación contable basada en la definición de tres niveles, especificando la desagregación mínima de cuentas que deben ser incluidas en cada uno de ellos.</w:t>
      </w:r>
    </w:p>
    <w:p w14:paraId="1D8DDDEF" w14:textId="77777777" w:rsidR="00A1321B" w:rsidRPr="008609D1" w:rsidRDefault="00A1321B" w:rsidP="00A1321B">
      <w:pPr>
        <w:rPr>
          <w:rFonts w:eastAsia="Times New Roman" w:cs="Arial"/>
          <w:b/>
          <w:lang w:val="es-ES" w:eastAsia="es-ES"/>
        </w:rPr>
      </w:pPr>
      <w:r w:rsidRPr="008609D1">
        <w:rPr>
          <w:rFonts w:ascii="ITC Avant Garde" w:eastAsia="Times New Roman" w:hAnsi="ITC Avant Garde" w:cs="Arial"/>
          <w:lang w:val="es-ES" w:eastAsia="es-ES"/>
        </w:rPr>
        <w:lastRenderedPageBreak/>
        <w:t>Adicionalmente, se mejoran los formatos de reporte de la información a fin de que permitan al Instituto cumplir con los objetivos planteados.</w:t>
      </w:r>
    </w:p>
    <w:p w14:paraId="6687EB32" w14:textId="77777777" w:rsidR="00A1321B" w:rsidRPr="008609D1" w:rsidRDefault="00A1321B" w:rsidP="008B4286">
      <w:pPr>
        <w:pStyle w:val="A1L2"/>
        <w:numPr>
          <w:ilvl w:val="1"/>
          <w:numId w:val="188"/>
        </w:numPr>
        <w:ind w:left="0" w:firstLine="0"/>
        <w:outlineLvl w:val="1"/>
      </w:pPr>
      <w:bookmarkStart w:id="45" w:name="_Ref475095750"/>
      <w:bookmarkStart w:id="46" w:name="_Toc475468494"/>
      <w:bookmarkStart w:id="47" w:name="_Toc477515006"/>
      <w:bookmarkStart w:id="48" w:name="_Toc478774490"/>
      <w:bookmarkStart w:id="49" w:name="_Toc484022098"/>
      <w:r w:rsidRPr="008609D1">
        <w:t xml:space="preserve">Principios generales de la </w:t>
      </w:r>
      <w:bookmarkEnd w:id="45"/>
      <w:bookmarkEnd w:id="46"/>
      <w:bookmarkEnd w:id="47"/>
      <w:r w:rsidRPr="008609D1">
        <w:t>separación contable</w:t>
      </w:r>
      <w:bookmarkEnd w:id="48"/>
      <w:bookmarkEnd w:id="49"/>
    </w:p>
    <w:bookmarkEnd w:id="38"/>
    <w:p w14:paraId="0756C10C" w14:textId="77777777" w:rsidR="00A1321B" w:rsidRPr="008609D1" w:rsidRDefault="00A1321B" w:rsidP="00A1321B">
      <w:pPr>
        <w:pStyle w:val="Normalresolucion"/>
        <w:spacing w:after="240"/>
      </w:pPr>
      <w:r w:rsidRPr="008609D1">
        <w:t>Los principios generales de la separación contable se definen con carácter general y constituyen el instrumento básico para asegurar la robustez, credibilidad y fiabilidad de la separación contable. Los concesionarios sobre los cuales recae esta obligación deben respetar estos principios en el diseño e implementación de la separación contable, así como en la preparación anual de sus resultados.</w:t>
      </w:r>
    </w:p>
    <w:p w14:paraId="2638A1B5" w14:textId="77777777" w:rsidR="00A1321B" w:rsidRDefault="00A1321B" w:rsidP="00A1321B">
      <w:pPr>
        <w:pStyle w:val="Normalresolucion"/>
        <w:spacing w:after="240"/>
      </w:pPr>
      <w:r w:rsidRPr="008609D1">
        <w:t>A continuación, se presenta una tabla resumen de los principios adoptados en el marco regulatorio vigente en México (Resolución 2013 de la COFETEL), los principios indicados por la UIT en su guía de contabilidad regulatoria y los principios habitualmente establecidos en el contexto internacional:</w:t>
      </w:r>
    </w:p>
    <w:p w14:paraId="16FDFC2F" w14:textId="77777777" w:rsidR="00F96E26" w:rsidRDefault="00F96E26" w:rsidP="00A1321B">
      <w:pPr>
        <w:pStyle w:val="Normalresolucion"/>
        <w:spacing w:after="240"/>
      </w:pPr>
    </w:p>
    <w:p w14:paraId="28C0454F" w14:textId="77777777" w:rsidR="00F96E26" w:rsidRDefault="00F96E26" w:rsidP="00A1321B">
      <w:pPr>
        <w:pStyle w:val="Normalresolucion"/>
        <w:spacing w:after="240"/>
      </w:pPr>
    </w:p>
    <w:p w14:paraId="732F9DF2" w14:textId="77777777" w:rsidR="00F96E26" w:rsidRDefault="00F96E26" w:rsidP="00A1321B">
      <w:pPr>
        <w:pStyle w:val="Normalresolucion"/>
        <w:spacing w:after="240"/>
      </w:pPr>
    </w:p>
    <w:p w14:paraId="04CB3A3D" w14:textId="77777777" w:rsidR="00F96E26" w:rsidRDefault="00F96E26" w:rsidP="00A1321B">
      <w:pPr>
        <w:pStyle w:val="Normalresolucion"/>
        <w:spacing w:after="240"/>
      </w:pPr>
    </w:p>
    <w:p w14:paraId="0385EA3D" w14:textId="77777777" w:rsidR="00F96E26" w:rsidRDefault="00F96E26" w:rsidP="00A1321B">
      <w:pPr>
        <w:pStyle w:val="Normalresolucion"/>
        <w:spacing w:after="240"/>
      </w:pPr>
    </w:p>
    <w:p w14:paraId="4377E2DA" w14:textId="77777777" w:rsidR="00F96E26" w:rsidRDefault="00F96E26" w:rsidP="00A1321B">
      <w:pPr>
        <w:pStyle w:val="Normalresolucion"/>
        <w:spacing w:after="240"/>
      </w:pPr>
    </w:p>
    <w:p w14:paraId="6946A3FA" w14:textId="77777777" w:rsidR="00F96E26" w:rsidRDefault="00F96E26" w:rsidP="00A1321B">
      <w:pPr>
        <w:pStyle w:val="Normalresolucion"/>
        <w:spacing w:after="240"/>
      </w:pPr>
    </w:p>
    <w:p w14:paraId="560DA568" w14:textId="77777777" w:rsidR="00F96E26" w:rsidRDefault="00F96E26" w:rsidP="00A1321B">
      <w:pPr>
        <w:pStyle w:val="Normalresolucion"/>
        <w:spacing w:after="240"/>
      </w:pPr>
    </w:p>
    <w:p w14:paraId="648F5CB9" w14:textId="77777777" w:rsidR="00F96E26" w:rsidRDefault="00F96E26" w:rsidP="00A1321B">
      <w:pPr>
        <w:pStyle w:val="Normalresolucion"/>
        <w:spacing w:after="240"/>
      </w:pPr>
    </w:p>
    <w:p w14:paraId="6AE50C28" w14:textId="77777777" w:rsidR="00F96E26" w:rsidRDefault="00F96E26" w:rsidP="00A1321B">
      <w:pPr>
        <w:pStyle w:val="Normalresolucion"/>
        <w:spacing w:after="240"/>
      </w:pPr>
    </w:p>
    <w:p w14:paraId="70104A66" w14:textId="77777777" w:rsidR="00F96E26" w:rsidRDefault="00F96E26" w:rsidP="00A1321B">
      <w:pPr>
        <w:pStyle w:val="Normalresolucion"/>
        <w:spacing w:after="240"/>
      </w:pPr>
    </w:p>
    <w:p w14:paraId="3C030C3D" w14:textId="77777777" w:rsidR="00F96E26" w:rsidRDefault="00F96E26" w:rsidP="00A1321B">
      <w:pPr>
        <w:pStyle w:val="Normalresolucion"/>
        <w:spacing w:after="240"/>
      </w:pPr>
    </w:p>
    <w:p w14:paraId="5BF94A43" w14:textId="77777777" w:rsidR="00F96E26" w:rsidRDefault="00F96E26" w:rsidP="00A1321B">
      <w:pPr>
        <w:pStyle w:val="Normalresolucion"/>
        <w:spacing w:after="240"/>
      </w:pPr>
    </w:p>
    <w:p w14:paraId="05A2DED6" w14:textId="77777777" w:rsidR="00F96E26" w:rsidRDefault="00F96E26" w:rsidP="00A1321B">
      <w:pPr>
        <w:pStyle w:val="Normalresolucion"/>
        <w:spacing w:after="240"/>
      </w:pPr>
    </w:p>
    <w:p w14:paraId="544B59D5" w14:textId="77777777" w:rsidR="00F96E26" w:rsidRDefault="00F96E26" w:rsidP="00A1321B">
      <w:pPr>
        <w:pStyle w:val="Normalresolucion"/>
        <w:spacing w:after="240"/>
      </w:pPr>
    </w:p>
    <w:p w14:paraId="69C23304" w14:textId="77777777" w:rsidR="00F96E26" w:rsidRDefault="00F96E26" w:rsidP="00A1321B">
      <w:pPr>
        <w:pStyle w:val="Normalresolucion"/>
        <w:spacing w:after="240"/>
      </w:pPr>
    </w:p>
    <w:p w14:paraId="0B4731D0" w14:textId="77777777" w:rsidR="00F96E26" w:rsidRPr="008609D1" w:rsidRDefault="00F96E26" w:rsidP="00F96E26">
      <w:pPr>
        <w:pStyle w:val="Descripcin"/>
        <w:rPr>
          <w:lang w:val="es-MX"/>
        </w:rPr>
      </w:pPr>
      <w:r w:rsidRPr="008609D1">
        <w:rPr>
          <w:rFonts w:ascii="ITC Avant Garde" w:hAnsi="ITC Avant Garde"/>
          <w:iCs/>
          <w:sz w:val="20"/>
          <w:lang w:val="es-MX"/>
        </w:rPr>
        <w:lastRenderedPageBreak/>
        <w:t>Tabla A3.</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1</w:t>
      </w:r>
      <w:r w:rsidRPr="008609D1">
        <w:rPr>
          <w:rFonts w:ascii="ITC Avant Garde" w:hAnsi="ITC Avant Garde"/>
          <w:iCs/>
          <w:sz w:val="20"/>
          <w:lang w:val="es-MX"/>
        </w:rPr>
        <w:fldChar w:fldCharType="end"/>
      </w:r>
      <w:r w:rsidRPr="008609D1">
        <w:rPr>
          <w:rFonts w:ascii="ITC Avant Garde" w:hAnsi="ITC Avant Garde"/>
          <w:iCs/>
          <w:sz w:val="20"/>
          <w:lang w:val="es-MX"/>
        </w:rPr>
        <w:t>: Adopción de principios de la separación contable [Fuente: Estudio interno del Instituto]</w:t>
      </w:r>
      <w:r w:rsidRPr="008609D1">
        <w:rPr>
          <w:rFonts w:ascii="ITC Avant Garde" w:hAnsi="ITC Avant Garde"/>
          <w:i/>
          <w:sz w:val="20"/>
          <w:lang w:val="es-MX"/>
        </w:rPr>
        <w:t xml:space="preserve"> </w:t>
      </w:r>
      <w:r w:rsidRPr="008609D1">
        <w:rPr>
          <w:rFonts w:ascii="ITC Avant Garde" w:hAnsi="ITC Avant Garde"/>
          <w:i/>
          <w:szCs w:val="16"/>
          <w:lang w:val="es-MX"/>
        </w:rPr>
        <w:t>Nota: Los países incluidos en este análisis se corresponden en su totalidad con los indicados en el Considerando Quinto.</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1060"/>
        <w:gridCol w:w="1049"/>
        <w:gridCol w:w="1017"/>
        <w:gridCol w:w="1015"/>
        <w:gridCol w:w="1017"/>
        <w:gridCol w:w="1013"/>
      </w:tblGrid>
      <w:tr w:rsidR="00A1321B" w:rsidRPr="008609D1" w14:paraId="5BF64FDE" w14:textId="77777777" w:rsidTr="008B4286">
        <w:trPr>
          <w:trHeight w:val="340"/>
        </w:trPr>
        <w:tc>
          <w:tcPr>
            <w:tcW w:w="1440" w:type="pct"/>
            <w:shd w:val="clear" w:color="auto" w:fill="BFBFBF"/>
            <w:vAlign w:val="center"/>
            <w:hideMark/>
          </w:tcPr>
          <w:p w14:paraId="65A06702" w14:textId="77777777" w:rsidR="00A1321B" w:rsidRPr="008609D1" w:rsidRDefault="00A1321B" w:rsidP="008B4286">
            <w:pPr>
              <w:pStyle w:val="Normalresolucion"/>
              <w:keepNext/>
              <w:spacing w:before="40" w:after="40"/>
              <w:jc w:val="center"/>
              <w:rPr>
                <w:b/>
                <w:bCs/>
                <w:sz w:val="20"/>
                <w:lang w:eastAsia="es-MX"/>
              </w:rPr>
            </w:pPr>
            <w:r w:rsidRPr="008609D1">
              <w:rPr>
                <w:b/>
                <w:bCs/>
                <w:sz w:val="20"/>
              </w:rPr>
              <w:t>Principios generales</w:t>
            </w:r>
          </w:p>
        </w:tc>
        <w:tc>
          <w:tcPr>
            <w:tcW w:w="593" w:type="pct"/>
            <w:shd w:val="clear" w:color="auto" w:fill="BFBFBF"/>
            <w:vAlign w:val="center"/>
            <w:hideMark/>
          </w:tcPr>
          <w:p w14:paraId="559C91CA" w14:textId="77777777" w:rsidR="00A1321B" w:rsidRPr="008609D1" w:rsidRDefault="00A1321B" w:rsidP="008B4286">
            <w:pPr>
              <w:pStyle w:val="Normalresolucion"/>
              <w:keepNext/>
              <w:spacing w:before="40" w:after="40"/>
              <w:jc w:val="center"/>
              <w:rPr>
                <w:b/>
                <w:bCs/>
                <w:sz w:val="20"/>
              </w:rPr>
            </w:pPr>
            <w:r w:rsidRPr="008609D1">
              <w:rPr>
                <w:b/>
                <w:bCs/>
                <w:sz w:val="20"/>
              </w:rPr>
              <w:t>México</w:t>
            </w:r>
            <w:r w:rsidRPr="008609D1">
              <w:rPr>
                <w:rStyle w:val="Refdenotaalpie"/>
                <w:b/>
                <w:bCs/>
                <w:sz w:val="20"/>
              </w:rPr>
              <w:footnoteReference w:id="17"/>
            </w:r>
          </w:p>
        </w:tc>
        <w:tc>
          <w:tcPr>
            <w:tcW w:w="594" w:type="pct"/>
            <w:shd w:val="clear" w:color="auto" w:fill="BFBFBF"/>
            <w:vAlign w:val="center"/>
            <w:hideMark/>
          </w:tcPr>
          <w:p w14:paraId="7291D8F5" w14:textId="77777777" w:rsidR="00A1321B" w:rsidRPr="008609D1" w:rsidRDefault="00A1321B" w:rsidP="008B4286">
            <w:pPr>
              <w:pStyle w:val="Normalresolucion"/>
              <w:keepNext/>
              <w:spacing w:before="40" w:after="40"/>
              <w:jc w:val="center"/>
              <w:rPr>
                <w:b/>
                <w:bCs/>
                <w:sz w:val="20"/>
                <w:lang w:eastAsia="es-MX"/>
              </w:rPr>
            </w:pPr>
            <w:r w:rsidRPr="008609D1">
              <w:rPr>
                <w:b/>
                <w:bCs/>
                <w:sz w:val="20"/>
              </w:rPr>
              <w:t>América</w:t>
            </w:r>
          </w:p>
        </w:tc>
        <w:tc>
          <w:tcPr>
            <w:tcW w:w="594" w:type="pct"/>
            <w:shd w:val="clear" w:color="auto" w:fill="BFBFBF"/>
            <w:vAlign w:val="center"/>
            <w:hideMark/>
          </w:tcPr>
          <w:p w14:paraId="603D2264" w14:textId="77777777" w:rsidR="00A1321B" w:rsidRPr="008609D1" w:rsidRDefault="00A1321B" w:rsidP="008B4286">
            <w:pPr>
              <w:pStyle w:val="Normalresolucion"/>
              <w:keepNext/>
              <w:spacing w:before="40" w:after="40"/>
              <w:jc w:val="center"/>
              <w:rPr>
                <w:b/>
                <w:bCs/>
                <w:sz w:val="20"/>
                <w:lang w:eastAsia="es-MX"/>
              </w:rPr>
            </w:pPr>
            <w:r w:rsidRPr="008609D1">
              <w:rPr>
                <w:b/>
                <w:bCs/>
                <w:sz w:val="20"/>
              </w:rPr>
              <w:t>Europa</w:t>
            </w:r>
          </w:p>
        </w:tc>
        <w:tc>
          <w:tcPr>
            <w:tcW w:w="593" w:type="pct"/>
            <w:shd w:val="clear" w:color="auto" w:fill="BFBFBF"/>
            <w:vAlign w:val="center"/>
            <w:hideMark/>
          </w:tcPr>
          <w:p w14:paraId="245D4C0B" w14:textId="77777777" w:rsidR="00A1321B" w:rsidRPr="008609D1" w:rsidRDefault="00A1321B" w:rsidP="008B4286">
            <w:pPr>
              <w:pStyle w:val="Normalresolucion"/>
              <w:keepNext/>
              <w:spacing w:before="40" w:after="40"/>
              <w:jc w:val="center"/>
              <w:rPr>
                <w:b/>
                <w:bCs/>
                <w:sz w:val="20"/>
                <w:lang w:eastAsia="es-MX"/>
              </w:rPr>
            </w:pPr>
            <w:r w:rsidRPr="008609D1">
              <w:rPr>
                <w:b/>
                <w:bCs/>
                <w:sz w:val="20"/>
              </w:rPr>
              <w:t>Asia</w:t>
            </w:r>
          </w:p>
        </w:tc>
        <w:tc>
          <w:tcPr>
            <w:tcW w:w="594" w:type="pct"/>
            <w:shd w:val="clear" w:color="auto" w:fill="BFBFBF"/>
            <w:vAlign w:val="center"/>
            <w:hideMark/>
          </w:tcPr>
          <w:p w14:paraId="2A3B032F" w14:textId="77777777" w:rsidR="00A1321B" w:rsidRPr="008609D1" w:rsidRDefault="00A1321B" w:rsidP="008B4286">
            <w:pPr>
              <w:pStyle w:val="Normalresolucion"/>
              <w:keepNext/>
              <w:spacing w:before="40" w:after="40"/>
              <w:jc w:val="center"/>
              <w:rPr>
                <w:b/>
                <w:bCs/>
                <w:sz w:val="20"/>
                <w:lang w:eastAsia="es-MX"/>
              </w:rPr>
            </w:pPr>
            <w:r w:rsidRPr="008609D1">
              <w:rPr>
                <w:b/>
                <w:bCs/>
                <w:sz w:val="20"/>
              </w:rPr>
              <w:t>UIT</w:t>
            </w:r>
          </w:p>
        </w:tc>
        <w:tc>
          <w:tcPr>
            <w:tcW w:w="592" w:type="pct"/>
            <w:shd w:val="clear" w:color="auto" w:fill="BFBFBF"/>
            <w:vAlign w:val="center"/>
            <w:hideMark/>
          </w:tcPr>
          <w:p w14:paraId="34F5FCF7" w14:textId="77777777" w:rsidR="00A1321B" w:rsidRPr="008609D1" w:rsidRDefault="00A1321B" w:rsidP="008B4286">
            <w:pPr>
              <w:pStyle w:val="Normalresolucion"/>
              <w:keepNext/>
              <w:spacing w:before="40" w:after="40"/>
              <w:jc w:val="center"/>
              <w:rPr>
                <w:b/>
                <w:bCs/>
                <w:sz w:val="20"/>
                <w:lang w:eastAsia="es-MX"/>
              </w:rPr>
            </w:pPr>
            <w:r w:rsidRPr="008609D1">
              <w:rPr>
                <w:b/>
                <w:bCs/>
                <w:sz w:val="20"/>
              </w:rPr>
              <w:t>Total</w:t>
            </w:r>
          </w:p>
        </w:tc>
      </w:tr>
      <w:tr w:rsidR="00A1321B" w:rsidRPr="008609D1" w14:paraId="6A607496" w14:textId="77777777" w:rsidTr="008B4286">
        <w:trPr>
          <w:trHeight w:val="397"/>
        </w:trPr>
        <w:tc>
          <w:tcPr>
            <w:tcW w:w="1440" w:type="pct"/>
            <w:shd w:val="clear" w:color="auto" w:fill="F2F2F2" w:themeFill="background1" w:themeFillShade="F2"/>
            <w:vAlign w:val="center"/>
            <w:hideMark/>
          </w:tcPr>
          <w:p w14:paraId="1362E413" w14:textId="77777777" w:rsidR="00A1321B" w:rsidRPr="008609D1" w:rsidRDefault="00A1321B" w:rsidP="008B4286">
            <w:pPr>
              <w:pStyle w:val="Normalresolucion"/>
              <w:keepNext/>
              <w:spacing w:before="40" w:after="40"/>
              <w:jc w:val="left"/>
              <w:rPr>
                <w:b/>
                <w:sz w:val="20"/>
                <w:lang w:eastAsia="es-MX"/>
              </w:rPr>
            </w:pPr>
            <w:r w:rsidRPr="008609D1">
              <w:rPr>
                <w:b/>
                <w:sz w:val="20"/>
              </w:rPr>
              <w:t>Causalidad</w:t>
            </w:r>
          </w:p>
        </w:tc>
        <w:tc>
          <w:tcPr>
            <w:tcW w:w="593" w:type="pct"/>
            <w:noWrap/>
            <w:vAlign w:val="center"/>
            <w:hideMark/>
          </w:tcPr>
          <w:p w14:paraId="53D45A02" w14:textId="77777777" w:rsidR="00A1321B" w:rsidRPr="008609D1" w:rsidRDefault="00A1321B" w:rsidP="008B4286">
            <w:pPr>
              <w:pStyle w:val="Normalresolucion"/>
              <w:keepNext/>
              <w:spacing w:before="40" w:after="40"/>
              <w:jc w:val="center"/>
              <w:rPr>
                <w:bCs/>
                <w:sz w:val="18"/>
                <w:szCs w:val="18"/>
                <w:lang w:eastAsia="es-MX"/>
              </w:rPr>
            </w:pPr>
            <w:r w:rsidRPr="008609D1">
              <w:rPr>
                <w:bCs/>
                <w:sz w:val="20"/>
                <w:szCs w:val="18"/>
              </w:rPr>
              <w:sym w:font="Wingdings" w:char="F0FC"/>
            </w:r>
          </w:p>
        </w:tc>
        <w:tc>
          <w:tcPr>
            <w:tcW w:w="594" w:type="pct"/>
            <w:noWrap/>
            <w:vAlign w:val="center"/>
            <w:hideMark/>
          </w:tcPr>
          <w:p w14:paraId="148DE5E8"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7</w:t>
            </w:r>
          </w:p>
        </w:tc>
        <w:tc>
          <w:tcPr>
            <w:tcW w:w="594" w:type="pct"/>
            <w:noWrap/>
            <w:vAlign w:val="center"/>
            <w:hideMark/>
          </w:tcPr>
          <w:p w14:paraId="22B9AD54" w14:textId="77777777" w:rsidR="00A1321B" w:rsidRPr="008609D1" w:rsidRDefault="00A1321B" w:rsidP="008B4286">
            <w:pPr>
              <w:pStyle w:val="Normalresolucion"/>
              <w:keepNext/>
              <w:spacing w:before="40" w:after="40"/>
              <w:jc w:val="center"/>
              <w:rPr>
                <w:bCs/>
                <w:sz w:val="20"/>
                <w:lang w:eastAsia="es-MX"/>
              </w:rPr>
            </w:pPr>
            <w:r w:rsidRPr="008609D1">
              <w:rPr>
                <w:bCs/>
                <w:sz w:val="20"/>
              </w:rPr>
              <w:t>2</w:t>
            </w:r>
          </w:p>
        </w:tc>
        <w:tc>
          <w:tcPr>
            <w:tcW w:w="593" w:type="pct"/>
            <w:noWrap/>
            <w:vAlign w:val="center"/>
            <w:hideMark/>
          </w:tcPr>
          <w:p w14:paraId="483B4442" w14:textId="77777777" w:rsidR="00A1321B" w:rsidRPr="008609D1" w:rsidRDefault="00A1321B" w:rsidP="008B4286">
            <w:pPr>
              <w:pStyle w:val="Normalresolucion"/>
              <w:keepNext/>
              <w:spacing w:before="40" w:after="40"/>
              <w:jc w:val="center"/>
              <w:rPr>
                <w:bCs/>
                <w:sz w:val="20"/>
                <w:lang w:eastAsia="es-MX"/>
              </w:rPr>
            </w:pPr>
            <w:r w:rsidRPr="008609D1">
              <w:rPr>
                <w:bCs/>
                <w:sz w:val="20"/>
              </w:rPr>
              <w:t>4</w:t>
            </w:r>
          </w:p>
        </w:tc>
        <w:tc>
          <w:tcPr>
            <w:tcW w:w="594" w:type="pct"/>
            <w:noWrap/>
            <w:vAlign w:val="center"/>
            <w:hideMark/>
          </w:tcPr>
          <w:p w14:paraId="24B68287"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2" w:type="pct"/>
            <w:noWrap/>
            <w:vAlign w:val="center"/>
            <w:hideMark/>
          </w:tcPr>
          <w:p w14:paraId="08BA33C3" w14:textId="77777777" w:rsidR="00A1321B" w:rsidRPr="008609D1" w:rsidRDefault="00A1321B" w:rsidP="008B4286">
            <w:pPr>
              <w:pStyle w:val="Normalresolucion"/>
              <w:keepNext/>
              <w:spacing w:before="40" w:after="40"/>
              <w:jc w:val="center"/>
              <w:rPr>
                <w:b/>
                <w:sz w:val="20"/>
                <w:lang w:eastAsia="es-MX"/>
              </w:rPr>
            </w:pPr>
            <w:r w:rsidRPr="008609D1">
              <w:rPr>
                <w:b/>
                <w:sz w:val="20"/>
              </w:rPr>
              <w:t>14/16</w:t>
            </w:r>
          </w:p>
        </w:tc>
      </w:tr>
      <w:tr w:rsidR="00A1321B" w:rsidRPr="008609D1" w14:paraId="2EDAF30D" w14:textId="77777777" w:rsidTr="008B4286">
        <w:trPr>
          <w:trHeight w:val="397"/>
        </w:trPr>
        <w:tc>
          <w:tcPr>
            <w:tcW w:w="1440" w:type="pct"/>
            <w:shd w:val="clear" w:color="auto" w:fill="F2F2F2" w:themeFill="background1" w:themeFillShade="F2"/>
            <w:vAlign w:val="center"/>
            <w:hideMark/>
          </w:tcPr>
          <w:p w14:paraId="116599E7" w14:textId="77777777" w:rsidR="00A1321B" w:rsidRPr="008609D1" w:rsidRDefault="00A1321B" w:rsidP="008B4286">
            <w:pPr>
              <w:pStyle w:val="Normalresolucion"/>
              <w:keepNext/>
              <w:spacing w:before="40" w:after="40"/>
              <w:jc w:val="left"/>
              <w:rPr>
                <w:b/>
                <w:sz w:val="20"/>
                <w:lang w:eastAsia="es-MX"/>
              </w:rPr>
            </w:pPr>
            <w:r w:rsidRPr="008609D1">
              <w:rPr>
                <w:b/>
                <w:sz w:val="20"/>
              </w:rPr>
              <w:t>Consistencia</w:t>
            </w:r>
          </w:p>
        </w:tc>
        <w:tc>
          <w:tcPr>
            <w:tcW w:w="593" w:type="pct"/>
            <w:noWrap/>
            <w:vAlign w:val="center"/>
            <w:hideMark/>
          </w:tcPr>
          <w:p w14:paraId="01CDEC9E"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vAlign w:val="center"/>
            <w:hideMark/>
          </w:tcPr>
          <w:p w14:paraId="53FB17A1"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6</w:t>
            </w:r>
          </w:p>
        </w:tc>
        <w:tc>
          <w:tcPr>
            <w:tcW w:w="594" w:type="pct"/>
            <w:noWrap/>
            <w:vAlign w:val="center"/>
            <w:hideMark/>
          </w:tcPr>
          <w:p w14:paraId="62C6581A" w14:textId="77777777" w:rsidR="00A1321B" w:rsidRPr="008609D1" w:rsidRDefault="00A1321B" w:rsidP="008B4286">
            <w:pPr>
              <w:pStyle w:val="Normalresolucion"/>
              <w:keepNext/>
              <w:spacing w:before="40" w:after="40"/>
              <w:jc w:val="center"/>
              <w:rPr>
                <w:bCs/>
                <w:sz w:val="20"/>
                <w:lang w:eastAsia="es-MX"/>
              </w:rPr>
            </w:pPr>
            <w:r w:rsidRPr="008609D1">
              <w:rPr>
                <w:bCs/>
                <w:sz w:val="20"/>
              </w:rPr>
              <w:t>2</w:t>
            </w:r>
          </w:p>
        </w:tc>
        <w:tc>
          <w:tcPr>
            <w:tcW w:w="593" w:type="pct"/>
            <w:noWrap/>
            <w:vAlign w:val="center"/>
            <w:hideMark/>
          </w:tcPr>
          <w:p w14:paraId="6E2EBB67" w14:textId="77777777" w:rsidR="00A1321B" w:rsidRPr="008609D1" w:rsidRDefault="00A1321B" w:rsidP="008B4286">
            <w:pPr>
              <w:pStyle w:val="Normalresolucion"/>
              <w:keepNext/>
              <w:spacing w:before="40" w:after="40"/>
              <w:jc w:val="center"/>
              <w:rPr>
                <w:bCs/>
                <w:sz w:val="20"/>
                <w:lang w:eastAsia="es-MX"/>
              </w:rPr>
            </w:pPr>
            <w:r w:rsidRPr="008609D1">
              <w:rPr>
                <w:bCs/>
                <w:sz w:val="20"/>
              </w:rPr>
              <w:t>4</w:t>
            </w:r>
          </w:p>
        </w:tc>
        <w:tc>
          <w:tcPr>
            <w:tcW w:w="594" w:type="pct"/>
            <w:noWrap/>
            <w:vAlign w:val="center"/>
            <w:hideMark/>
          </w:tcPr>
          <w:p w14:paraId="11D85615"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2" w:type="pct"/>
            <w:noWrap/>
            <w:vAlign w:val="center"/>
            <w:hideMark/>
          </w:tcPr>
          <w:p w14:paraId="336B1A41" w14:textId="77777777" w:rsidR="00A1321B" w:rsidRPr="008609D1" w:rsidRDefault="00A1321B" w:rsidP="008B4286">
            <w:pPr>
              <w:pStyle w:val="Normalresolucion"/>
              <w:keepNext/>
              <w:spacing w:before="40" w:after="40"/>
              <w:jc w:val="center"/>
              <w:rPr>
                <w:b/>
                <w:sz w:val="20"/>
                <w:lang w:eastAsia="es-MX"/>
              </w:rPr>
            </w:pPr>
            <w:r w:rsidRPr="008609D1">
              <w:rPr>
                <w:b/>
                <w:sz w:val="20"/>
              </w:rPr>
              <w:t>13/16</w:t>
            </w:r>
          </w:p>
        </w:tc>
      </w:tr>
      <w:tr w:rsidR="00A1321B" w:rsidRPr="008609D1" w14:paraId="169930D4" w14:textId="77777777" w:rsidTr="008B4286">
        <w:trPr>
          <w:trHeight w:val="397"/>
        </w:trPr>
        <w:tc>
          <w:tcPr>
            <w:tcW w:w="1440" w:type="pct"/>
            <w:shd w:val="clear" w:color="auto" w:fill="F2F2F2" w:themeFill="background1" w:themeFillShade="F2"/>
            <w:vAlign w:val="center"/>
            <w:hideMark/>
          </w:tcPr>
          <w:p w14:paraId="20AAFF7C" w14:textId="77777777" w:rsidR="00A1321B" w:rsidRPr="008609D1" w:rsidRDefault="00A1321B" w:rsidP="008B4286">
            <w:pPr>
              <w:pStyle w:val="Normalresolucion"/>
              <w:keepNext/>
              <w:spacing w:before="40" w:after="40"/>
              <w:jc w:val="left"/>
              <w:rPr>
                <w:b/>
                <w:sz w:val="20"/>
                <w:lang w:eastAsia="es-MX"/>
              </w:rPr>
            </w:pPr>
            <w:r w:rsidRPr="008609D1">
              <w:rPr>
                <w:b/>
                <w:sz w:val="20"/>
              </w:rPr>
              <w:t>Objetividad</w:t>
            </w:r>
          </w:p>
        </w:tc>
        <w:tc>
          <w:tcPr>
            <w:tcW w:w="593" w:type="pct"/>
            <w:noWrap/>
            <w:vAlign w:val="center"/>
            <w:hideMark/>
          </w:tcPr>
          <w:p w14:paraId="5B17EFA4"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vAlign w:val="center"/>
            <w:hideMark/>
          </w:tcPr>
          <w:p w14:paraId="40515E3D"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6</w:t>
            </w:r>
          </w:p>
        </w:tc>
        <w:tc>
          <w:tcPr>
            <w:tcW w:w="594" w:type="pct"/>
            <w:noWrap/>
            <w:vAlign w:val="center"/>
            <w:hideMark/>
          </w:tcPr>
          <w:p w14:paraId="0C992713" w14:textId="77777777" w:rsidR="00A1321B" w:rsidRPr="008609D1" w:rsidRDefault="00A1321B" w:rsidP="008B4286">
            <w:pPr>
              <w:pStyle w:val="Normalresolucion"/>
              <w:keepNext/>
              <w:spacing w:before="40" w:after="40"/>
              <w:jc w:val="center"/>
              <w:rPr>
                <w:bCs/>
                <w:sz w:val="20"/>
                <w:lang w:eastAsia="es-MX"/>
              </w:rPr>
            </w:pPr>
            <w:r w:rsidRPr="008609D1">
              <w:rPr>
                <w:bCs/>
                <w:sz w:val="20"/>
              </w:rPr>
              <w:t>2</w:t>
            </w:r>
          </w:p>
        </w:tc>
        <w:tc>
          <w:tcPr>
            <w:tcW w:w="593" w:type="pct"/>
            <w:noWrap/>
            <w:vAlign w:val="center"/>
            <w:hideMark/>
          </w:tcPr>
          <w:p w14:paraId="6A7CC05E" w14:textId="77777777" w:rsidR="00A1321B" w:rsidRPr="008609D1" w:rsidRDefault="00A1321B" w:rsidP="008B4286">
            <w:pPr>
              <w:pStyle w:val="Normalresolucion"/>
              <w:keepNext/>
              <w:spacing w:before="40" w:after="40"/>
              <w:jc w:val="center"/>
              <w:rPr>
                <w:bCs/>
                <w:sz w:val="20"/>
                <w:lang w:eastAsia="es-MX"/>
              </w:rPr>
            </w:pPr>
            <w:r w:rsidRPr="008609D1">
              <w:rPr>
                <w:bCs/>
                <w:sz w:val="20"/>
              </w:rPr>
              <w:t>3</w:t>
            </w:r>
          </w:p>
        </w:tc>
        <w:tc>
          <w:tcPr>
            <w:tcW w:w="594" w:type="pct"/>
            <w:noWrap/>
            <w:vAlign w:val="center"/>
            <w:hideMark/>
          </w:tcPr>
          <w:p w14:paraId="4EECC664"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2" w:type="pct"/>
            <w:noWrap/>
            <w:vAlign w:val="center"/>
            <w:hideMark/>
          </w:tcPr>
          <w:p w14:paraId="6C83C7E9" w14:textId="77777777" w:rsidR="00A1321B" w:rsidRPr="008609D1" w:rsidRDefault="00A1321B" w:rsidP="008B4286">
            <w:pPr>
              <w:pStyle w:val="Normalresolucion"/>
              <w:keepNext/>
              <w:spacing w:before="40" w:after="40"/>
              <w:jc w:val="center"/>
              <w:rPr>
                <w:b/>
                <w:sz w:val="20"/>
                <w:lang w:eastAsia="es-MX"/>
              </w:rPr>
            </w:pPr>
            <w:r w:rsidRPr="008609D1">
              <w:rPr>
                <w:b/>
                <w:sz w:val="20"/>
              </w:rPr>
              <w:t>12/16</w:t>
            </w:r>
          </w:p>
        </w:tc>
      </w:tr>
      <w:tr w:rsidR="00A1321B" w:rsidRPr="008609D1" w14:paraId="773BFF54" w14:textId="77777777" w:rsidTr="008B4286">
        <w:trPr>
          <w:trHeight w:val="397"/>
        </w:trPr>
        <w:tc>
          <w:tcPr>
            <w:tcW w:w="1440" w:type="pct"/>
            <w:shd w:val="clear" w:color="auto" w:fill="F2F2F2" w:themeFill="background1" w:themeFillShade="F2"/>
            <w:vAlign w:val="center"/>
            <w:hideMark/>
          </w:tcPr>
          <w:p w14:paraId="0DF3002C" w14:textId="77777777" w:rsidR="00A1321B" w:rsidRPr="008609D1" w:rsidRDefault="00A1321B" w:rsidP="008B4286">
            <w:pPr>
              <w:pStyle w:val="Normalresolucion"/>
              <w:keepNext/>
              <w:spacing w:before="40" w:after="40"/>
              <w:jc w:val="left"/>
              <w:rPr>
                <w:b/>
                <w:sz w:val="20"/>
                <w:lang w:eastAsia="es-MX"/>
              </w:rPr>
            </w:pPr>
            <w:r w:rsidRPr="008609D1">
              <w:rPr>
                <w:b/>
                <w:sz w:val="20"/>
              </w:rPr>
              <w:t>Transparencia</w:t>
            </w:r>
          </w:p>
        </w:tc>
        <w:tc>
          <w:tcPr>
            <w:tcW w:w="593" w:type="pct"/>
            <w:noWrap/>
            <w:vAlign w:val="center"/>
            <w:hideMark/>
          </w:tcPr>
          <w:p w14:paraId="3E5A5294"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vAlign w:val="center"/>
            <w:hideMark/>
          </w:tcPr>
          <w:p w14:paraId="2A1ED341"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6</w:t>
            </w:r>
          </w:p>
        </w:tc>
        <w:tc>
          <w:tcPr>
            <w:tcW w:w="594" w:type="pct"/>
            <w:noWrap/>
            <w:vAlign w:val="center"/>
            <w:hideMark/>
          </w:tcPr>
          <w:p w14:paraId="7B9B3622"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3" w:type="pct"/>
            <w:noWrap/>
            <w:vAlign w:val="center"/>
            <w:hideMark/>
          </w:tcPr>
          <w:p w14:paraId="0C78A82C" w14:textId="77777777" w:rsidR="00A1321B" w:rsidRPr="008609D1" w:rsidRDefault="00A1321B" w:rsidP="008B4286">
            <w:pPr>
              <w:pStyle w:val="Normalresolucion"/>
              <w:keepNext/>
              <w:spacing w:before="40" w:after="40"/>
              <w:jc w:val="center"/>
              <w:rPr>
                <w:bCs/>
                <w:sz w:val="20"/>
                <w:lang w:eastAsia="es-MX"/>
              </w:rPr>
            </w:pPr>
            <w:r w:rsidRPr="008609D1">
              <w:rPr>
                <w:bCs/>
                <w:sz w:val="20"/>
              </w:rPr>
              <w:t>3</w:t>
            </w:r>
          </w:p>
        </w:tc>
        <w:tc>
          <w:tcPr>
            <w:tcW w:w="594" w:type="pct"/>
            <w:noWrap/>
            <w:vAlign w:val="center"/>
            <w:hideMark/>
          </w:tcPr>
          <w:p w14:paraId="0BD8502B"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2" w:type="pct"/>
            <w:noWrap/>
            <w:vAlign w:val="center"/>
            <w:hideMark/>
          </w:tcPr>
          <w:p w14:paraId="04882D3C" w14:textId="77777777" w:rsidR="00A1321B" w:rsidRPr="008609D1" w:rsidRDefault="00A1321B" w:rsidP="008B4286">
            <w:pPr>
              <w:pStyle w:val="Normalresolucion"/>
              <w:keepNext/>
              <w:spacing w:before="40" w:after="40"/>
              <w:jc w:val="center"/>
              <w:rPr>
                <w:b/>
                <w:sz w:val="20"/>
                <w:lang w:eastAsia="es-MX"/>
              </w:rPr>
            </w:pPr>
            <w:r w:rsidRPr="008609D1">
              <w:rPr>
                <w:b/>
                <w:sz w:val="20"/>
              </w:rPr>
              <w:t>11/16</w:t>
            </w:r>
          </w:p>
        </w:tc>
      </w:tr>
      <w:tr w:rsidR="00A1321B" w:rsidRPr="008609D1" w14:paraId="4B613AE8" w14:textId="77777777" w:rsidTr="008B4286">
        <w:trPr>
          <w:trHeight w:val="397"/>
        </w:trPr>
        <w:tc>
          <w:tcPr>
            <w:tcW w:w="1440" w:type="pct"/>
            <w:shd w:val="clear" w:color="auto" w:fill="F2F2F2" w:themeFill="background1" w:themeFillShade="F2"/>
            <w:vAlign w:val="center"/>
            <w:hideMark/>
          </w:tcPr>
          <w:p w14:paraId="53BF43FB" w14:textId="77777777" w:rsidR="00A1321B" w:rsidRPr="008609D1" w:rsidRDefault="00A1321B" w:rsidP="008B4286">
            <w:pPr>
              <w:pStyle w:val="Normalresolucion"/>
              <w:keepNext/>
              <w:spacing w:before="40" w:after="40"/>
              <w:jc w:val="left"/>
              <w:rPr>
                <w:b/>
                <w:sz w:val="20"/>
                <w:lang w:eastAsia="es-MX"/>
              </w:rPr>
            </w:pPr>
            <w:r w:rsidRPr="008609D1">
              <w:rPr>
                <w:b/>
                <w:sz w:val="20"/>
              </w:rPr>
              <w:t>Auditabilidad</w:t>
            </w:r>
          </w:p>
        </w:tc>
        <w:tc>
          <w:tcPr>
            <w:tcW w:w="593" w:type="pct"/>
            <w:noWrap/>
            <w:vAlign w:val="center"/>
            <w:hideMark/>
          </w:tcPr>
          <w:p w14:paraId="6B9FE7CC" w14:textId="77777777" w:rsidR="00A1321B" w:rsidRPr="008609D1" w:rsidRDefault="00A1321B" w:rsidP="008B4286">
            <w:pPr>
              <w:pStyle w:val="Normalresolucion"/>
              <w:keepNext/>
              <w:spacing w:before="40" w:after="40"/>
              <w:jc w:val="center"/>
              <w:rPr>
                <w:bCs/>
                <w:sz w:val="18"/>
                <w:szCs w:val="18"/>
                <w:lang w:eastAsia="es-MX"/>
              </w:rPr>
            </w:pPr>
            <w:r w:rsidRPr="008609D1">
              <w:rPr>
                <w:bCs/>
                <w:sz w:val="20"/>
                <w:szCs w:val="18"/>
              </w:rPr>
              <w:sym w:font="Wingdings" w:char="F0FC"/>
            </w:r>
          </w:p>
        </w:tc>
        <w:tc>
          <w:tcPr>
            <w:tcW w:w="594" w:type="pct"/>
            <w:noWrap/>
            <w:vAlign w:val="center"/>
            <w:hideMark/>
          </w:tcPr>
          <w:p w14:paraId="708C615C"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6</w:t>
            </w:r>
          </w:p>
        </w:tc>
        <w:tc>
          <w:tcPr>
            <w:tcW w:w="594" w:type="pct"/>
            <w:noWrap/>
            <w:vAlign w:val="center"/>
            <w:hideMark/>
          </w:tcPr>
          <w:p w14:paraId="5480081F"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3" w:type="pct"/>
            <w:noWrap/>
            <w:vAlign w:val="center"/>
            <w:hideMark/>
          </w:tcPr>
          <w:p w14:paraId="4EC47749"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4" w:type="pct"/>
            <w:noWrap/>
            <w:vAlign w:val="center"/>
            <w:hideMark/>
          </w:tcPr>
          <w:p w14:paraId="6221062E"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2" w:type="pct"/>
            <w:noWrap/>
            <w:vAlign w:val="center"/>
            <w:hideMark/>
          </w:tcPr>
          <w:p w14:paraId="27F70AAC" w14:textId="77777777" w:rsidR="00A1321B" w:rsidRPr="008609D1" w:rsidRDefault="00A1321B" w:rsidP="008B4286">
            <w:pPr>
              <w:pStyle w:val="Normalresolucion"/>
              <w:keepNext/>
              <w:spacing w:before="40" w:after="40"/>
              <w:jc w:val="center"/>
              <w:rPr>
                <w:b/>
                <w:sz w:val="20"/>
                <w:lang w:eastAsia="es-MX"/>
              </w:rPr>
            </w:pPr>
            <w:r w:rsidRPr="008609D1">
              <w:rPr>
                <w:b/>
                <w:sz w:val="20"/>
              </w:rPr>
              <w:t>9/16</w:t>
            </w:r>
          </w:p>
        </w:tc>
      </w:tr>
      <w:tr w:rsidR="00A1321B" w:rsidRPr="008609D1" w14:paraId="152C9458" w14:textId="77777777" w:rsidTr="008B4286">
        <w:trPr>
          <w:trHeight w:val="397"/>
        </w:trPr>
        <w:tc>
          <w:tcPr>
            <w:tcW w:w="1440" w:type="pct"/>
            <w:shd w:val="clear" w:color="auto" w:fill="F2F2F2" w:themeFill="background1" w:themeFillShade="F2"/>
            <w:vAlign w:val="center"/>
            <w:hideMark/>
          </w:tcPr>
          <w:p w14:paraId="6C1DA8A0" w14:textId="77777777" w:rsidR="00A1321B" w:rsidRPr="008609D1" w:rsidRDefault="00A1321B" w:rsidP="008B4286">
            <w:pPr>
              <w:pStyle w:val="Normalresolucion"/>
              <w:keepNext/>
              <w:spacing w:before="40" w:after="40"/>
              <w:jc w:val="left"/>
              <w:rPr>
                <w:b/>
                <w:sz w:val="20"/>
                <w:lang w:eastAsia="es-MX"/>
              </w:rPr>
            </w:pPr>
            <w:r w:rsidRPr="008609D1">
              <w:rPr>
                <w:b/>
                <w:sz w:val="20"/>
              </w:rPr>
              <w:t>Materialidad</w:t>
            </w:r>
          </w:p>
        </w:tc>
        <w:tc>
          <w:tcPr>
            <w:tcW w:w="593" w:type="pct"/>
            <w:noWrap/>
            <w:vAlign w:val="center"/>
            <w:hideMark/>
          </w:tcPr>
          <w:p w14:paraId="48DAF3DE"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vAlign w:val="center"/>
            <w:hideMark/>
          </w:tcPr>
          <w:p w14:paraId="12CA5B4D"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3</w:t>
            </w:r>
          </w:p>
        </w:tc>
        <w:tc>
          <w:tcPr>
            <w:tcW w:w="594" w:type="pct"/>
            <w:noWrap/>
            <w:vAlign w:val="center"/>
            <w:hideMark/>
          </w:tcPr>
          <w:p w14:paraId="781D4FAB"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3" w:type="pct"/>
            <w:noWrap/>
            <w:vAlign w:val="center"/>
            <w:hideMark/>
          </w:tcPr>
          <w:p w14:paraId="178643E4" w14:textId="77777777" w:rsidR="00A1321B" w:rsidRPr="008609D1" w:rsidRDefault="00A1321B" w:rsidP="008B4286">
            <w:pPr>
              <w:pStyle w:val="Normalresolucion"/>
              <w:keepNext/>
              <w:spacing w:before="40" w:after="40"/>
              <w:jc w:val="center"/>
              <w:rPr>
                <w:bCs/>
                <w:sz w:val="20"/>
                <w:lang w:eastAsia="es-MX"/>
              </w:rPr>
            </w:pPr>
            <w:r w:rsidRPr="008609D1">
              <w:rPr>
                <w:bCs/>
                <w:sz w:val="20"/>
              </w:rPr>
              <w:t>3</w:t>
            </w:r>
          </w:p>
        </w:tc>
        <w:tc>
          <w:tcPr>
            <w:tcW w:w="594" w:type="pct"/>
            <w:noWrap/>
            <w:vAlign w:val="center"/>
            <w:hideMark/>
          </w:tcPr>
          <w:p w14:paraId="14E7438B"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2" w:type="pct"/>
            <w:noWrap/>
            <w:vAlign w:val="center"/>
            <w:hideMark/>
          </w:tcPr>
          <w:p w14:paraId="0716EA71" w14:textId="77777777" w:rsidR="00A1321B" w:rsidRPr="008609D1" w:rsidRDefault="00A1321B" w:rsidP="008B4286">
            <w:pPr>
              <w:pStyle w:val="Normalresolucion"/>
              <w:keepNext/>
              <w:spacing w:before="40" w:after="40"/>
              <w:jc w:val="center"/>
              <w:rPr>
                <w:b/>
                <w:sz w:val="20"/>
                <w:lang w:eastAsia="es-MX"/>
              </w:rPr>
            </w:pPr>
            <w:r w:rsidRPr="008609D1">
              <w:rPr>
                <w:b/>
                <w:sz w:val="20"/>
              </w:rPr>
              <w:t>7/16</w:t>
            </w:r>
          </w:p>
        </w:tc>
      </w:tr>
      <w:tr w:rsidR="00A1321B" w:rsidRPr="008609D1" w14:paraId="677D40FE" w14:textId="77777777" w:rsidTr="008B4286">
        <w:trPr>
          <w:trHeight w:val="397"/>
        </w:trPr>
        <w:tc>
          <w:tcPr>
            <w:tcW w:w="1440" w:type="pct"/>
            <w:shd w:val="clear" w:color="auto" w:fill="F2F2F2" w:themeFill="background1" w:themeFillShade="F2"/>
            <w:vAlign w:val="center"/>
            <w:hideMark/>
          </w:tcPr>
          <w:p w14:paraId="6A43BCA6" w14:textId="77777777" w:rsidR="00A1321B" w:rsidRPr="008609D1" w:rsidRDefault="00A1321B" w:rsidP="008B4286">
            <w:pPr>
              <w:pStyle w:val="Normalresolucion"/>
              <w:keepNext/>
              <w:spacing w:before="40" w:after="40"/>
              <w:jc w:val="left"/>
              <w:rPr>
                <w:b/>
                <w:sz w:val="20"/>
                <w:lang w:eastAsia="es-MX"/>
              </w:rPr>
            </w:pPr>
            <w:r w:rsidRPr="008609D1">
              <w:rPr>
                <w:b/>
                <w:sz w:val="20"/>
              </w:rPr>
              <w:t>No compensación</w:t>
            </w:r>
          </w:p>
        </w:tc>
        <w:tc>
          <w:tcPr>
            <w:tcW w:w="593" w:type="pct"/>
            <w:noWrap/>
            <w:vAlign w:val="center"/>
            <w:hideMark/>
          </w:tcPr>
          <w:p w14:paraId="43A90D7D" w14:textId="77777777" w:rsidR="00A1321B" w:rsidRPr="008609D1" w:rsidRDefault="00A1321B" w:rsidP="008B4286">
            <w:pPr>
              <w:pStyle w:val="Normalresolucion"/>
              <w:keepNext/>
              <w:spacing w:before="40" w:after="40"/>
              <w:jc w:val="center"/>
              <w:rPr>
                <w:bCs/>
                <w:sz w:val="18"/>
                <w:szCs w:val="18"/>
                <w:lang w:eastAsia="es-MX"/>
              </w:rPr>
            </w:pPr>
            <w:r w:rsidRPr="008609D1">
              <w:rPr>
                <w:bCs/>
                <w:sz w:val="20"/>
                <w:szCs w:val="18"/>
              </w:rPr>
              <w:sym w:font="Wingdings" w:char="F0FC"/>
            </w:r>
          </w:p>
        </w:tc>
        <w:tc>
          <w:tcPr>
            <w:tcW w:w="594" w:type="pct"/>
            <w:noWrap/>
            <w:vAlign w:val="center"/>
            <w:hideMark/>
          </w:tcPr>
          <w:p w14:paraId="47773E70"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4</w:t>
            </w:r>
          </w:p>
        </w:tc>
        <w:tc>
          <w:tcPr>
            <w:tcW w:w="594" w:type="pct"/>
            <w:noWrap/>
            <w:vAlign w:val="center"/>
            <w:hideMark/>
          </w:tcPr>
          <w:p w14:paraId="44A33A36"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3" w:type="pct"/>
            <w:noWrap/>
            <w:vAlign w:val="center"/>
            <w:hideMark/>
          </w:tcPr>
          <w:p w14:paraId="44FCF632"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4" w:type="pct"/>
            <w:noWrap/>
            <w:vAlign w:val="center"/>
            <w:hideMark/>
          </w:tcPr>
          <w:p w14:paraId="377DA811"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2" w:type="pct"/>
            <w:noWrap/>
            <w:vAlign w:val="center"/>
            <w:hideMark/>
          </w:tcPr>
          <w:p w14:paraId="6AA56E16" w14:textId="77777777" w:rsidR="00A1321B" w:rsidRPr="008609D1" w:rsidRDefault="00A1321B" w:rsidP="008B4286">
            <w:pPr>
              <w:pStyle w:val="Normalresolucion"/>
              <w:keepNext/>
              <w:spacing w:before="40" w:after="40"/>
              <w:jc w:val="center"/>
              <w:rPr>
                <w:b/>
                <w:sz w:val="20"/>
                <w:lang w:eastAsia="es-MX"/>
              </w:rPr>
            </w:pPr>
            <w:r w:rsidRPr="008609D1">
              <w:rPr>
                <w:b/>
                <w:sz w:val="20"/>
              </w:rPr>
              <w:t>6/16</w:t>
            </w:r>
          </w:p>
        </w:tc>
      </w:tr>
      <w:tr w:rsidR="00A1321B" w:rsidRPr="008609D1" w14:paraId="3F3F391B" w14:textId="77777777" w:rsidTr="008B4286">
        <w:trPr>
          <w:trHeight w:val="397"/>
        </w:trPr>
        <w:tc>
          <w:tcPr>
            <w:tcW w:w="1440" w:type="pct"/>
            <w:shd w:val="clear" w:color="auto" w:fill="F2F2F2" w:themeFill="background1" w:themeFillShade="F2"/>
            <w:vAlign w:val="center"/>
            <w:hideMark/>
          </w:tcPr>
          <w:p w14:paraId="4B334BE8" w14:textId="77777777" w:rsidR="00A1321B" w:rsidRPr="008609D1" w:rsidRDefault="00A1321B" w:rsidP="008B4286">
            <w:pPr>
              <w:pStyle w:val="Normalresolucion"/>
              <w:keepNext/>
              <w:spacing w:before="40" w:after="40"/>
              <w:jc w:val="left"/>
              <w:rPr>
                <w:b/>
                <w:sz w:val="20"/>
                <w:lang w:eastAsia="es-MX"/>
              </w:rPr>
            </w:pPr>
            <w:r w:rsidRPr="008609D1">
              <w:rPr>
                <w:b/>
                <w:sz w:val="20"/>
              </w:rPr>
              <w:t>Conciliación</w:t>
            </w:r>
          </w:p>
        </w:tc>
        <w:tc>
          <w:tcPr>
            <w:tcW w:w="593" w:type="pct"/>
            <w:noWrap/>
            <w:vAlign w:val="center"/>
            <w:hideMark/>
          </w:tcPr>
          <w:p w14:paraId="09F3D1E2"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vAlign w:val="center"/>
            <w:hideMark/>
          </w:tcPr>
          <w:p w14:paraId="69C79355"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2</w:t>
            </w:r>
          </w:p>
        </w:tc>
        <w:tc>
          <w:tcPr>
            <w:tcW w:w="594" w:type="pct"/>
            <w:noWrap/>
            <w:vAlign w:val="center"/>
            <w:hideMark/>
          </w:tcPr>
          <w:p w14:paraId="286C019E"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3" w:type="pct"/>
            <w:noWrap/>
            <w:vAlign w:val="center"/>
            <w:hideMark/>
          </w:tcPr>
          <w:p w14:paraId="5286C6CA"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4" w:type="pct"/>
            <w:noWrap/>
            <w:vAlign w:val="center"/>
            <w:hideMark/>
          </w:tcPr>
          <w:p w14:paraId="17851CA9"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2" w:type="pct"/>
            <w:noWrap/>
            <w:vAlign w:val="center"/>
            <w:hideMark/>
          </w:tcPr>
          <w:p w14:paraId="68A93ABC" w14:textId="77777777" w:rsidR="00A1321B" w:rsidRPr="008609D1" w:rsidRDefault="00A1321B" w:rsidP="008B4286">
            <w:pPr>
              <w:pStyle w:val="Normalresolucion"/>
              <w:keepNext/>
              <w:spacing w:before="40" w:after="40"/>
              <w:jc w:val="center"/>
              <w:rPr>
                <w:b/>
                <w:sz w:val="20"/>
                <w:lang w:eastAsia="es-MX"/>
              </w:rPr>
            </w:pPr>
            <w:r w:rsidRPr="008609D1">
              <w:rPr>
                <w:b/>
                <w:sz w:val="20"/>
              </w:rPr>
              <w:t>5/16</w:t>
            </w:r>
          </w:p>
        </w:tc>
      </w:tr>
      <w:tr w:rsidR="00A1321B" w:rsidRPr="008609D1" w14:paraId="3A52B463" w14:textId="77777777" w:rsidTr="008B4286">
        <w:trPr>
          <w:trHeight w:val="397"/>
        </w:trPr>
        <w:tc>
          <w:tcPr>
            <w:tcW w:w="1440" w:type="pct"/>
            <w:shd w:val="clear" w:color="auto" w:fill="F2F2F2" w:themeFill="background1" w:themeFillShade="F2"/>
            <w:vAlign w:val="center"/>
            <w:hideMark/>
          </w:tcPr>
          <w:p w14:paraId="777E8F7B" w14:textId="77777777" w:rsidR="00A1321B" w:rsidRPr="008609D1" w:rsidRDefault="00A1321B" w:rsidP="008B4286">
            <w:pPr>
              <w:pStyle w:val="Normalresolucion"/>
              <w:keepNext/>
              <w:spacing w:before="40" w:after="40"/>
              <w:jc w:val="left"/>
              <w:rPr>
                <w:b/>
                <w:sz w:val="20"/>
                <w:lang w:eastAsia="es-MX"/>
              </w:rPr>
            </w:pPr>
            <w:r w:rsidRPr="008609D1">
              <w:rPr>
                <w:b/>
                <w:sz w:val="20"/>
              </w:rPr>
              <w:t>No discriminación</w:t>
            </w:r>
          </w:p>
        </w:tc>
        <w:tc>
          <w:tcPr>
            <w:tcW w:w="593" w:type="pct"/>
            <w:noWrap/>
            <w:vAlign w:val="center"/>
            <w:hideMark/>
          </w:tcPr>
          <w:p w14:paraId="4D53573F" w14:textId="77777777" w:rsidR="00A1321B" w:rsidRPr="008609D1" w:rsidRDefault="00A1321B" w:rsidP="008B4286">
            <w:pPr>
              <w:pStyle w:val="Normalresolucion"/>
              <w:keepNext/>
              <w:spacing w:before="40" w:after="40"/>
              <w:jc w:val="center"/>
              <w:rPr>
                <w:bCs/>
                <w:sz w:val="18"/>
                <w:szCs w:val="18"/>
                <w:lang w:eastAsia="es-MX"/>
              </w:rPr>
            </w:pPr>
            <w:r w:rsidRPr="008609D1">
              <w:rPr>
                <w:bCs/>
                <w:sz w:val="20"/>
                <w:szCs w:val="18"/>
              </w:rPr>
              <w:sym w:font="Wingdings" w:char="F0FC"/>
            </w:r>
          </w:p>
        </w:tc>
        <w:tc>
          <w:tcPr>
            <w:tcW w:w="594" w:type="pct"/>
            <w:noWrap/>
            <w:vAlign w:val="center"/>
            <w:hideMark/>
          </w:tcPr>
          <w:p w14:paraId="1146E594"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3</w:t>
            </w:r>
          </w:p>
        </w:tc>
        <w:tc>
          <w:tcPr>
            <w:tcW w:w="594" w:type="pct"/>
            <w:noWrap/>
            <w:vAlign w:val="center"/>
            <w:hideMark/>
          </w:tcPr>
          <w:p w14:paraId="67E22280"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3" w:type="pct"/>
            <w:noWrap/>
            <w:vAlign w:val="center"/>
            <w:hideMark/>
          </w:tcPr>
          <w:p w14:paraId="69526A21"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4" w:type="pct"/>
            <w:noWrap/>
            <w:vAlign w:val="center"/>
            <w:hideMark/>
          </w:tcPr>
          <w:p w14:paraId="19BE67D5"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2" w:type="pct"/>
            <w:noWrap/>
            <w:vAlign w:val="center"/>
            <w:hideMark/>
          </w:tcPr>
          <w:p w14:paraId="38A202D0" w14:textId="77777777" w:rsidR="00A1321B" w:rsidRPr="008609D1" w:rsidRDefault="00A1321B" w:rsidP="008B4286">
            <w:pPr>
              <w:pStyle w:val="Normalresolucion"/>
              <w:keepNext/>
              <w:spacing w:before="40" w:after="40"/>
              <w:jc w:val="center"/>
              <w:rPr>
                <w:b/>
                <w:sz w:val="20"/>
                <w:lang w:eastAsia="es-MX"/>
              </w:rPr>
            </w:pPr>
            <w:r w:rsidRPr="008609D1">
              <w:rPr>
                <w:b/>
                <w:sz w:val="20"/>
              </w:rPr>
              <w:t>4/16</w:t>
            </w:r>
          </w:p>
        </w:tc>
      </w:tr>
      <w:tr w:rsidR="00A1321B" w:rsidRPr="008609D1" w14:paraId="777D9037" w14:textId="77777777" w:rsidTr="008B4286">
        <w:trPr>
          <w:trHeight w:val="397"/>
        </w:trPr>
        <w:tc>
          <w:tcPr>
            <w:tcW w:w="1440" w:type="pct"/>
            <w:shd w:val="clear" w:color="auto" w:fill="F2F2F2" w:themeFill="background1" w:themeFillShade="F2"/>
            <w:vAlign w:val="center"/>
            <w:hideMark/>
          </w:tcPr>
          <w:p w14:paraId="11DF171B" w14:textId="77777777" w:rsidR="00A1321B" w:rsidRPr="008609D1" w:rsidRDefault="00A1321B" w:rsidP="008B4286">
            <w:pPr>
              <w:pStyle w:val="Normalresolucion"/>
              <w:keepNext/>
              <w:spacing w:before="40" w:after="40"/>
              <w:jc w:val="left"/>
              <w:rPr>
                <w:b/>
                <w:sz w:val="20"/>
                <w:lang w:eastAsia="es-MX"/>
              </w:rPr>
            </w:pPr>
            <w:r w:rsidRPr="008609D1">
              <w:rPr>
                <w:b/>
                <w:sz w:val="20"/>
              </w:rPr>
              <w:t>Relevancia</w:t>
            </w:r>
          </w:p>
        </w:tc>
        <w:tc>
          <w:tcPr>
            <w:tcW w:w="593" w:type="pct"/>
            <w:noWrap/>
            <w:vAlign w:val="center"/>
            <w:hideMark/>
          </w:tcPr>
          <w:p w14:paraId="368611D1"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vAlign w:val="center"/>
            <w:hideMark/>
          </w:tcPr>
          <w:p w14:paraId="506662CE"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2</w:t>
            </w:r>
          </w:p>
        </w:tc>
        <w:tc>
          <w:tcPr>
            <w:tcW w:w="594" w:type="pct"/>
            <w:noWrap/>
            <w:vAlign w:val="center"/>
            <w:hideMark/>
          </w:tcPr>
          <w:p w14:paraId="02E9578D"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3" w:type="pct"/>
            <w:noWrap/>
            <w:vAlign w:val="center"/>
            <w:hideMark/>
          </w:tcPr>
          <w:p w14:paraId="4CD0601D" w14:textId="77777777" w:rsidR="00A1321B" w:rsidRPr="008609D1" w:rsidRDefault="00A1321B" w:rsidP="008B4286">
            <w:pPr>
              <w:pStyle w:val="Normalresolucion"/>
              <w:keepNext/>
              <w:spacing w:before="40" w:after="40"/>
              <w:jc w:val="center"/>
              <w:rPr>
                <w:bCs/>
                <w:sz w:val="20"/>
                <w:lang w:eastAsia="es-MX"/>
              </w:rPr>
            </w:pPr>
            <w:r w:rsidRPr="008609D1">
              <w:rPr>
                <w:bCs/>
                <w:sz w:val="20"/>
              </w:rPr>
              <w:t>2</w:t>
            </w:r>
          </w:p>
        </w:tc>
        <w:tc>
          <w:tcPr>
            <w:tcW w:w="594" w:type="pct"/>
            <w:noWrap/>
            <w:vAlign w:val="center"/>
            <w:hideMark/>
          </w:tcPr>
          <w:p w14:paraId="71041299"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2" w:type="pct"/>
            <w:noWrap/>
            <w:vAlign w:val="center"/>
            <w:hideMark/>
          </w:tcPr>
          <w:p w14:paraId="444A7529" w14:textId="77777777" w:rsidR="00A1321B" w:rsidRPr="008609D1" w:rsidRDefault="00A1321B" w:rsidP="008B4286">
            <w:pPr>
              <w:pStyle w:val="Normalresolucion"/>
              <w:keepNext/>
              <w:spacing w:before="40" w:after="40"/>
              <w:jc w:val="center"/>
              <w:rPr>
                <w:b/>
                <w:sz w:val="20"/>
                <w:lang w:eastAsia="es-MX"/>
              </w:rPr>
            </w:pPr>
            <w:r w:rsidRPr="008609D1">
              <w:rPr>
                <w:b/>
                <w:sz w:val="20"/>
              </w:rPr>
              <w:t>4/16</w:t>
            </w:r>
          </w:p>
        </w:tc>
      </w:tr>
      <w:tr w:rsidR="00A1321B" w:rsidRPr="008609D1" w14:paraId="0A1C955D" w14:textId="77777777" w:rsidTr="008B4286">
        <w:trPr>
          <w:trHeight w:val="397"/>
        </w:trPr>
        <w:tc>
          <w:tcPr>
            <w:tcW w:w="1440" w:type="pct"/>
            <w:shd w:val="clear" w:color="auto" w:fill="F2F2F2" w:themeFill="background1" w:themeFillShade="F2"/>
            <w:vAlign w:val="center"/>
            <w:hideMark/>
          </w:tcPr>
          <w:p w14:paraId="27128485" w14:textId="77777777" w:rsidR="00A1321B" w:rsidRPr="008609D1" w:rsidRDefault="00A1321B" w:rsidP="008B4286">
            <w:pPr>
              <w:pStyle w:val="Normalresolucion"/>
              <w:keepNext/>
              <w:spacing w:before="40" w:after="40"/>
              <w:jc w:val="left"/>
              <w:rPr>
                <w:b/>
                <w:sz w:val="20"/>
                <w:lang w:eastAsia="es-MX"/>
              </w:rPr>
            </w:pPr>
            <w:r w:rsidRPr="008609D1">
              <w:rPr>
                <w:b/>
                <w:sz w:val="20"/>
              </w:rPr>
              <w:t>Neutralidad</w:t>
            </w:r>
          </w:p>
        </w:tc>
        <w:tc>
          <w:tcPr>
            <w:tcW w:w="593" w:type="pct"/>
            <w:noWrap/>
            <w:vAlign w:val="center"/>
            <w:hideMark/>
          </w:tcPr>
          <w:p w14:paraId="0C72A395"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vAlign w:val="center"/>
            <w:hideMark/>
          </w:tcPr>
          <w:p w14:paraId="24FA46A0"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2</w:t>
            </w:r>
          </w:p>
        </w:tc>
        <w:tc>
          <w:tcPr>
            <w:tcW w:w="594" w:type="pct"/>
            <w:noWrap/>
            <w:vAlign w:val="center"/>
            <w:hideMark/>
          </w:tcPr>
          <w:p w14:paraId="30742425"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3" w:type="pct"/>
            <w:noWrap/>
            <w:vAlign w:val="center"/>
            <w:hideMark/>
          </w:tcPr>
          <w:p w14:paraId="729B65DF"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4" w:type="pct"/>
            <w:noWrap/>
            <w:vAlign w:val="center"/>
            <w:hideMark/>
          </w:tcPr>
          <w:p w14:paraId="4EA01253"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2" w:type="pct"/>
            <w:noWrap/>
            <w:vAlign w:val="center"/>
            <w:hideMark/>
          </w:tcPr>
          <w:p w14:paraId="6DEBCCCC" w14:textId="77777777" w:rsidR="00A1321B" w:rsidRPr="008609D1" w:rsidRDefault="00A1321B" w:rsidP="008B4286">
            <w:pPr>
              <w:pStyle w:val="Normalresolucion"/>
              <w:keepNext/>
              <w:spacing w:before="40" w:after="40"/>
              <w:jc w:val="center"/>
              <w:rPr>
                <w:b/>
                <w:sz w:val="20"/>
                <w:lang w:eastAsia="es-MX"/>
              </w:rPr>
            </w:pPr>
            <w:r w:rsidRPr="008609D1">
              <w:rPr>
                <w:b/>
                <w:sz w:val="20"/>
              </w:rPr>
              <w:t>4/16</w:t>
            </w:r>
          </w:p>
        </w:tc>
      </w:tr>
      <w:tr w:rsidR="00A1321B" w:rsidRPr="008609D1" w14:paraId="2C4613A6" w14:textId="77777777" w:rsidTr="008B4286">
        <w:trPr>
          <w:trHeight w:val="397"/>
        </w:trPr>
        <w:tc>
          <w:tcPr>
            <w:tcW w:w="1440" w:type="pct"/>
            <w:shd w:val="clear" w:color="auto" w:fill="F2F2F2" w:themeFill="background1" w:themeFillShade="F2"/>
            <w:vAlign w:val="center"/>
            <w:hideMark/>
          </w:tcPr>
          <w:p w14:paraId="059ACFF4" w14:textId="77777777" w:rsidR="00A1321B" w:rsidRPr="008609D1" w:rsidRDefault="00A1321B" w:rsidP="008B4286">
            <w:pPr>
              <w:pStyle w:val="Normalresolucion"/>
              <w:keepNext/>
              <w:spacing w:before="40" w:after="40"/>
              <w:jc w:val="left"/>
              <w:rPr>
                <w:b/>
                <w:sz w:val="20"/>
                <w:lang w:eastAsia="es-MX"/>
              </w:rPr>
            </w:pPr>
            <w:r w:rsidRPr="008609D1">
              <w:rPr>
                <w:b/>
                <w:sz w:val="20"/>
              </w:rPr>
              <w:t>Suficiencia</w:t>
            </w:r>
          </w:p>
        </w:tc>
        <w:tc>
          <w:tcPr>
            <w:tcW w:w="593" w:type="pct"/>
            <w:noWrap/>
            <w:vAlign w:val="center"/>
            <w:hideMark/>
          </w:tcPr>
          <w:p w14:paraId="1F287BD7"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vAlign w:val="center"/>
            <w:hideMark/>
          </w:tcPr>
          <w:p w14:paraId="6F23A36C"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2</w:t>
            </w:r>
          </w:p>
        </w:tc>
        <w:tc>
          <w:tcPr>
            <w:tcW w:w="594" w:type="pct"/>
            <w:noWrap/>
            <w:vAlign w:val="center"/>
            <w:hideMark/>
          </w:tcPr>
          <w:p w14:paraId="4541488A" w14:textId="77777777" w:rsidR="00A1321B" w:rsidRPr="008609D1" w:rsidRDefault="00A1321B" w:rsidP="008B4286">
            <w:pPr>
              <w:pStyle w:val="Normalresolucion"/>
              <w:keepNext/>
              <w:spacing w:before="40" w:after="40"/>
              <w:jc w:val="center"/>
              <w:rPr>
                <w:bCs/>
                <w:sz w:val="20"/>
                <w:lang w:eastAsia="es-MX"/>
              </w:rPr>
            </w:pPr>
            <w:r w:rsidRPr="008609D1">
              <w:rPr>
                <w:bCs/>
                <w:sz w:val="20"/>
              </w:rPr>
              <w:t>2</w:t>
            </w:r>
          </w:p>
        </w:tc>
        <w:tc>
          <w:tcPr>
            <w:tcW w:w="593" w:type="pct"/>
            <w:noWrap/>
            <w:vAlign w:val="center"/>
            <w:hideMark/>
          </w:tcPr>
          <w:p w14:paraId="7488BBF5"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4" w:type="pct"/>
            <w:noWrap/>
            <w:vAlign w:val="center"/>
            <w:hideMark/>
          </w:tcPr>
          <w:p w14:paraId="3C9FA070"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2" w:type="pct"/>
            <w:noWrap/>
            <w:vAlign w:val="center"/>
            <w:hideMark/>
          </w:tcPr>
          <w:p w14:paraId="52DABB08" w14:textId="77777777" w:rsidR="00A1321B" w:rsidRPr="008609D1" w:rsidRDefault="00A1321B" w:rsidP="008B4286">
            <w:pPr>
              <w:pStyle w:val="Normalresolucion"/>
              <w:keepNext/>
              <w:spacing w:before="40" w:after="40"/>
              <w:jc w:val="center"/>
              <w:rPr>
                <w:b/>
                <w:sz w:val="20"/>
                <w:lang w:eastAsia="es-MX"/>
              </w:rPr>
            </w:pPr>
            <w:r w:rsidRPr="008609D1">
              <w:rPr>
                <w:b/>
                <w:sz w:val="20"/>
              </w:rPr>
              <w:t>4/16</w:t>
            </w:r>
          </w:p>
        </w:tc>
      </w:tr>
      <w:tr w:rsidR="00A1321B" w:rsidRPr="008609D1" w14:paraId="497FA359" w14:textId="77777777" w:rsidTr="008B4286">
        <w:trPr>
          <w:trHeight w:val="397"/>
        </w:trPr>
        <w:tc>
          <w:tcPr>
            <w:tcW w:w="1440" w:type="pct"/>
            <w:shd w:val="clear" w:color="auto" w:fill="F2F2F2" w:themeFill="background1" w:themeFillShade="F2"/>
            <w:vAlign w:val="center"/>
            <w:hideMark/>
          </w:tcPr>
          <w:p w14:paraId="176C96CE" w14:textId="77777777" w:rsidR="00A1321B" w:rsidRPr="008609D1" w:rsidRDefault="00A1321B" w:rsidP="008B4286">
            <w:pPr>
              <w:pStyle w:val="Normalresolucion"/>
              <w:keepNext/>
              <w:spacing w:before="40" w:after="40"/>
              <w:jc w:val="left"/>
              <w:rPr>
                <w:b/>
                <w:sz w:val="20"/>
                <w:lang w:eastAsia="es-MX"/>
              </w:rPr>
            </w:pPr>
            <w:r w:rsidRPr="008609D1">
              <w:rPr>
                <w:b/>
                <w:sz w:val="20"/>
              </w:rPr>
              <w:t>Desagregabilidad</w:t>
            </w:r>
          </w:p>
        </w:tc>
        <w:tc>
          <w:tcPr>
            <w:tcW w:w="593" w:type="pct"/>
            <w:noWrap/>
            <w:vAlign w:val="center"/>
            <w:hideMark/>
          </w:tcPr>
          <w:p w14:paraId="3BE22BF6"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vAlign w:val="center"/>
            <w:hideMark/>
          </w:tcPr>
          <w:p w14:paraId="6EBD4F03"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1</w:t>
            </w:r>
          </w:p>
        </w:tc>
        <w:tc>
          <w:tcPr>
            <w:tcW w:w="594" w:type="pct"/>
            <w:noWrap/>
            <w:vAlign w:val="center"/>
            <w:hideMark/>
          </w:tcPr>
          <w:p w14:paraId="6F8D0D57"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3" w:type="pct"/>
            <w:noWrap/>
            <w:vAlign w:val="center"/>
            <w:hideMark/>
          </w:tcPr>
          <w:p w14:paraId="1145A823"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4" w:type="pct"/>
            <w:noWrap/>
            <w:vAlign w:val="center"/>
            <w:hideMark/>
          </w:tcPr>
          <w:p w14:paraId="384FFEFD" w14:textId="77777777" w:rsidR="00A1321B" w:rsidRPr="008609D1" w:rsidRDefault="00A1321B" w:rsidP="008B4286">
            <w:pPr>
              <w:pStyle w:val="Normalresolucion"/>
              <w:keepNext/>
              <w:spacing w:before="40" w:after="40"/>
              <w:jc w:val="center"/>
              <w:rPr>
                <w:bCs/>
                <w:sz w:val="20"/>
                <w:lang w:eastAsia="es-MX"/>
              </w:rPr>
            </w:pPr>
            <w:r w:rsidRPr="008609D1">
              <w:rPr>
                <w:bCs/>
                <w:sz w:val="20"/>
              </w:rPr>
              <w:t>1</w:t>
            </w:r>
          </w:p>
        </w:tc>
        <w:tc>
          <w:tcPr>
            <w:tcW w:w="592" w:type="pct"/>
            <w:noWrap/>
            <w:vAlign w:val="center"/>
            <w:hideMark/>
          </w:tcPr>
          <w:p w14:paraId="6FF5F331" w14:textId="77777777" w:rsidR="00A1321B" w:rsidRPr="008609D1" w:rsidRDefault="00A1321B" w:rsidP="008B4286">
            <w:pPr>
              <w:pStyle w:val="Normalresolucion"/>
              <w:keepNext/>
              <w:spacing w:before="40" w:after="40"/>
              <w:jc w:val="center"/>
              <w:rPr>
                <w:b/>
                <w:sz w:val="20"/>
                <w:lang w:eastAsia="es-MX"/>
              </w:rPr>
            </w:pPr>
            <w:r w:rsidRPr="008609D1">
              <w:rPr>
                <w:b/>
                <w:sz w:val="20"/>
              </w:rPr>
              <w:t>3/16</w:t>
            </w:r>
          </w:p>
        </w:tc>
      </w:tr>
      <w:tr w:rsidR="00A1321B" w:rsidRPr="008609D1" w14:paraId="7A31C323" w14:textId="77777777" w:rsidTr="008B4286">
        <w:trPr>
          <w:trHeight w:val="397"/>
        </w:trPr>
        <w:tc>
          <w:tcPr>
            <w:tcW w:w="1440" w:type="pct"/>
            <w:shd w:val="clear" w:color="auto" w:fill="F2F2F2" w:themeFill="background1" w:themeFillShade="F2"/>
            <w:vAlign w:val="center"/>
            <w:hideMark/>
          </w:tcPr>
          <w:p w14:paraId="40AA739C" w14:textId="77777777" w:rsidR="00A1321B" w:rsidRPr="008609D1" w:rsidRDefault="00A1321B" w:rsidP="008B4286">
            <w:pPr>
              <w:pStyle w:val="Normalresolucion"/>
              <w:keepNext/>
              <w:spacing w:before="40" w:after="40"/>
              <w:jc w:val="left"/>
              <w:rPr>
                <w:b/>
                <w:sz w:val="20"/>
                <w:lang w:eastAsia="es-MX"/>
              </w:rPr>
            </w:pPr>
            <w:r w:rsidRPr="008609D1">
              <w:rPr>
                <w:b/>
                <w:sz w:val="20"/>
              </w:rPr>
              <w:t>Prueba y muestreo</w:t>
            </w:r>
          </w:p>
        </w:tc>
        <w:tc>
          <w:tcPr>
            <w:tcW w:w="593" w:type="pct"/>
            <w:noWrap/>
            <w:vAlign w:val="center"/>
            <w:hideMark/>
          </w:tcPr>
          <w:p w14:paraId="6621FF30" w14:textId="77777777" w:rsidR="00A1321B" w:rsidRPr="008609D1" w:rsidRDefault="00A1321B" w:rsidP="008B4286">
            <w:pPr>
              <w:pStyle w:val="Normalresolucion"/>
              <w:keepNext/>
              <w:spacing w:before="40" w:after="40"/>
              <w:jc w:val="center"/>
              <w:rPr>
                <w:bCs/>
                <w:sz w:val="18"/>
                <w:szCs w:val="18"/>
                <w:lang w:eastAsia="es-MX"/>
              </w:rPr>
            </w:pPr>
            <w:r w:rsidRPr="008609D1">
              <w:rPr>
                <w:bCs/>
                <w:sz w:val="18"/>
                <w:szCs w:val="18"/>
              </w:rPr>
              <w:t>X</w:t>
            </w:r>
          </w:p>
        </w:tc>
        <w:tc>
          <w:tcPr>
            <w:tcW w:w="594" w:type="pct"/>
            <w:noWrap/>
            <w:vAlign w:val="center"/>
            <w:hideMark/>
          </w:tcPr>
          <w:p w14:paraId="4147B445"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w:t>
            </w:r>
          </w:p>
        </w:tc>
        <w:tc>
          <w:tcPr>
            <w:tcW w:w="594" w:type="pct"/>
            <w:noWrap/>
            <w:vAlign w:val="center"/>
            <w:hideMark/>
          </w:tcPr>
          <w:p w14:paraId="76DBA11E"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3" w:type="pct"/>
            <w:noWrap/>
            <w:vAlign w:val="center"/>
            <w:hideMark/>
          </w:tcPr>
          <w:p w14:paraId="62C0E4DF" w14:textId="77777777" w:rsidR="00A1321B" w:rsidRPr="008609D1" w:rsidRDefault="00A1321B" w:rsidP="008B4286">
            <w:pPr>
              <w:pStyle w:val="Normalresolucion"/>
              <w:keepNext/>
              <w:spacing w:before="40" w:after="40"/>
              <w:jc w:val="center"/>
              <w:rPr>
                <w:bCs/>
                <w:sz w:val="20"/>
                <w:lang w:eastAsia="es-MX"/>
              </w:rPr>
            </w:pPr>
            <w:r w:rsidRPr="008609D1">
              <w:rPr>
                <w:bCs/>
                <w:sz w:val="20"/>
              </w:rPr>
              <w:t>2</w:t>
            </w:r>
          </w:p>
        </w:tc>
        <w:tc>
          <w:tcPr>
            <w:tcW w:w="594" w:type="pct"/>
            <w:noWrap/>
            <w:vAlign w:val="center"/>
            <w:hideMark/>
          </w:tcPr>
          <w:p w14:paraId="1D192B49"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2" w:type="pct"/>
            <w:noWrap/>
            <w:vAlign w:val="center"/>
            <w:hideMark/>
          </w:tcPr>
          <w:p w14:paraId="699E550D" w14:textId="77777777" w:rsidR="00A1321B" w:rsidRPr="008609D1" w:rsidRDefault="00A1321B" w:rsidP="008B4286">
            <w:pPr>
              <w:pStyle w:val="Normalresolucion"/>
              <w:keepNext/>
              <w:spacing w:before="40" w:after="40"/>
              <w:jc w:val="center"/>
              <w:rPr>
                <w:b/>
                <w:sz w:val="20"/>
                <w:lang w:eastAsia="es-MX"/>
              </w:rPr>
            </w:pPr>
            <w:r w:rsidRPr="008609D1">
              <w:rPr>
                <w:b/>
                <w:sz w:val="20"/>
              </w:rPr>
              <w:t>2/16</w:t>
            </w:r>
          </w:p>
        </w:tc>
      </w:tr>
      <w:tr w:rsidR="00A1321B" w:rsidRPr="008609D1" w14:paraId="577951F1" w14:textId="77777777" w:rsidTr="008B4286">
        <w:trPr>
          <w:trHeight w:val="397"/>
        </w:trPr>
        <w:tc>
          <w:tcPr>
            <w:tcW w:w="1440" w:type="pct"/>
            <w:shd w:val="clear" w:color="auto" w:fill="F2F2F2" w:themeFill="background1" w:themeFillShade="F2"/>
            <w:vAlign w:val="center"/>
            <w:hideMark/>
          </w:tcPr>
          <w:p w14:paraId="621819BD" w14:textId="77777777" w:rsidR="00A1321B" w:rsidRPr="008609D1" w:rsidRDefault="00A1321B" w:rsidP="008B4286">
            <w:pPr>
              <w:pStyle w:val="Normalresolucion"/>
              <w:keepNext/>
              <w:spacing w:before="40" w:after="40"/>
              <w:jc w:val="left"/>
              <w:rPr>
                <w:b/>
                <w:sz w:val="20"/>
                <w:lang w:eastAsia="es-MX"/>
              </w:rPr>
            </w:pPr>
            <w:r w:rsidRPr="008609D1">
              <w:rPr>
                <w:b/>
                <w:sz w:val="20"/>
              </w:rPr>
              <w:t>Flexibilidad</w:t>
            </w:r>
          </w:p>
        </w:tc>
        <w:tc>
          <w:tcPr>
            <w:tcW w:w="593" w:type="pct"/>
            <w:noWrap/>
            <w:vAlign w:val="center"/>
            <w:hideMark/>
          </w:tcPr>
          <w:p w14:paraId="51A04399" w14:textId="77777777" w:rsidR="00A1321B" w:rsidRPr="008609D1" w:rsidRDefault="00A1321B" w:rsidP="008B4286">
            <w:pPr>
              <w:pStyle w:val="Normalresolucion"/>
              <w:keepNext/>
              <w:spacing w:before="40" w:after="40"/>
              <w:jc w:val="center"/>
              <w:rPr>
                <w:bCs/>
                <w:sz w:val="18"/>
                <w:szCs w:val="18"/>
                <w:lang w:eastAsia="es-MX"/>
              </w:rPr>
            </w:pPr>
            <w:r w:rsidRPr="008609D1">
              <w:rPr>
                <w:bCs/>
                <w:sz w:val="20"/>
                <w:szCs w:val="18"/>
              </w:rPr>
              <w:sym w:font="Wingdings" w:char="F0FC"/>
            </w:r>
          </w:p>
        </w:tc>
        <w:tc>
          <w:tcPr>
            <w:tcW w:w="594" w:type="pct"/>
            <w:noWrap/>
            <w:vAlign w:val="center"/>
            <w:hideMark/>
          </w:tcPr>
          <w:p w14:paraId="0C4E198E"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1</w:t>
            </w:r>
          </w:p>
        </w:tc>
        <w:tc>
          <w:tcPr>
            <w:tcW w:w="594" w:type="pct"/>
            <w:noWrap/>
            <w:vAlign w:val="center"/>
            <w:hideMark/>
          </w:tcPr>
          <w:p w14:paraId="2B370F50"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3" w:type="pct"/>
            <w:noWrap/>
            <w:vAlign w:val="center"/>
            <w:hideMark/>
          </w:tcPr>
          <w:p w14:paraId="7A5348C6"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4" w:type="pct"/>
            <w:noWrap/>
            <w:vAlign w:val="center"/>
            <w:hideMark/>
          </w:tcPr>
          <w:p w14:paraId="681BD687"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2" w:type="pct"/>
            <w:noWrap/>
            <w:vAlign w:val="center"/>
            <w:hideMark/>
          </w:tcPr>
          <w:p w14:paraId="0F01E9F7" w14:textId="77777777" w:rsidR="00A1321B" w:rsidRPr="008609D1" w:rsidRDefault="00A1321B" w:rsidP="008B4286">
            <w:pPr>
              <w:pStyle w:val="Normalresolucion"/>
              <w:keepNext/>
              <w:spacing w:before="40" w:after="40"/>
              <w:jc w:val="center"/>
              <w:rPr>
                <w:b/>
                <w:sz w:val="20"/>
                <w:lang w:eastAsia="es-MX"/>
              </w:rPr>
            </w:pPr>
            <w:r w:rsidRPr="008609D1">
              <w:rPr>
                <w:b/>
                <w:sz w:val="20"/>
              </w:rPr>
              <w:t>1/16</w:t>
            </w:r>
          </w:p>
        </w:tc>
      </w:tr>
      <w:tr w:rsidR="00A1321B" w:rsidRPr="008609D1" w14:paraId="2A0E2A9B" w14:textId="77777777" w:rsidTr="008B4286">
        <w:trPr>
          <w:trHeight w:val="397"/>
        </w:trPr>
        <w:tc>
          <w:tcPr>
            <w:tcW w:w="1440" w:type="pct"/>
            <w:shd w:val="clear" w:color="auto" w:fill="F2F2F2" w:themeFill="background1" w:themeFillShade="F2"/>
            <w:vAlign w:val="center"/>
            <w:hideMark/>
          </w:tcPr>
          <w:p w14:paraId="644960A4" w14:textId="77777777" w:rsidR="00A1321B" w:rsidRPr="008609D1" w:rsidRDefault="00A1321B" w:rsidP="008B4286">
            <w:pPr>
              <w:pStyle w:val="Normalresolucion"/>
              <w:keepNext/>
              <w:spacing w:before="40" w:after="40"/>
              <w:jc w:val="left"/>
              <w:rPr>
                <w:b/>
                <w:sz w:val="20"/>
                <w:lang w:eastAsia="es-MX"/>
              </w:rPr>
            </w:pPr>
            <w:r w:rsidRPr="008609D1">
              <w:rPr>
                <w:b/>
                <w:sz w:val="20"/>
              </w:rPr>
              <w:t>Adaptabilidad</w:t>
            </w:r>
          </w:p>
        </w:tc>
        <w:tc>
          <w:tcPr>
            <w:tcW w:w="593" w:type="pct"/>
            <w:noWrap/>
            <w:vAlign w:val="center"/>
            <w:hideMark/>
          </w:tcPr>
          <w:p w14:paraId="6E0D6877" w14:textId="77777777" w:rsidR="00A1321B" w:rsidRPr="008609D1" w:rsidRDefault="00A1321B" w:rsidP="008B4286">
            <w:pPr>
              <w:pStyle w:val="Normalresolucion"/>
              <w:keepNext/>
              <w:spacing w:before="40" w:after="40"/>
              <w:jc w:val="center"/>
              <w:rPr>
                <w:bCs/>
                <w:sz w:val="18"/>
                <w:szCs w:val="18"/>
                <w:lang w:eastAsia="es-MX"/>
              </w:rPr>
            </w:pPr>
            <w:r w:rsidRPr="008609D1">
              <w:rPr>
                <w:bCs/>
                <w:sz w:val="20"/>
                <w:szCs w:val="18"/>
              </w:rPr>
              <w:sym w:font="Wingdings" w:char="F0FC"/>
            </w:r>
          </w:p>
        </w:tc>
        <w:tc>
          <w:tcPr>
            <w:tcW w:w="594" w:type="pct"/>
            <w:noWrap/>
            <w:vAlign w:val="center"/>
            <w:hideMark/>
          </w:tcPr>
          <w:p w14:paraId="136D84DC" w14:textId="77777777" w:rsidR="00A1321B" w:rsidRPr="008609D1" w:rsidRDefault="00A1321B" w:rsidP="008B4286">
            <w:pPr>
              <w:pStyle w:val="Normalresolucion"/>
              <w:keepNext/>
              <w:spacing w:before="40" w:after="40"/>
              <w:jc w:val="center"/>
              <w:rPr>
                <w:bCs/>
                <w:sz w:val="20"/>
                <w:szCs w:val="20"/>
                <w:lang w:eastAsia="es-MX"/>
              </w:rPr>
            </w:pPr>
            <w:r w:rsidRPr="008609D1">
              <w:rPr>
                <w:bCs/>
                <w:sz w:val="20"/>
              </w:rPr>
              <w:t>1</w:t>
            </w:r>
          </w:p>
        </w:tc>
        <w:tc>
          <w:tcPr>
            <w:tcW w:w="594" w:type="pct"/>
            <w:noWrap/>
            <w:vAlign w:val="center"/>
            <w:hideMark/>
          </w:tcPr>
          <w:p w14:paraId="6B8EA77D"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3" w:type="pct"/>
            <w:noWrap/>
            <w:vAlign w:val="center"/>
            <w:hideMark/>
          </w:tcPr>
          <w:p w14:paraId="5ABC4FC2"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4" w:type="pct"/>
            <w:noWrap/>
            <w:vAlign w:val="center"/>
            <w:hideMark/>
          </w:tcPr>
          <w:p w14:paraId="054CAE4E" w14:textId="77777777" w:rsidR="00A1321B" w:rsidRPr="008609D1" w:rsidRDefault="00A1321B" w:rsidP="008B4286">
            <w:pPr>
              <w:pStyle w:val="Normalresolucion"/>
              <w:keepNext/>
              <w:spacing w:before="40" w:after="40"/>
              <w:jc w:val="center"/>
              <w:rPr>
                <w:bCs/>
                <w:sz w:val="20"/>
                <w:lang w:eastAsia="es-MX"/>
              </w:rPr>
            </w:pPr>
            <w:r w:rsidRPr="008609D1">
              <w:rPr>
                <w:bCs/>
                <w:sz w:val="20"/>
              </w:rPr>
              <w:t>-</w:t>
            </w:r>
          </w:p>
        </w:tc>
        <w:tc>
          <w:tcPr>
            <w:tcW w:w="592" w:type="pct"/>
            <w:noWrap/>
            <w:vAlign w:val="center"/>
            <w:hideMark/>
          </w:tcPr>
          <w:p w14:paraId="69C79E3B" w14:textId="77777777" w:rsidR="00A1321B" w:rsidRPr="008609D1" w:rsidRDefault="00A1321B" w:rsidP="008B4286">
            <w:pPr>
              <w:pStyle w:val="Normalresolucion"/>
              <w:keepNext/>
              <w:spacing w:before="40" w:after="40"/>
              <w:jc w:val="center"/>
              <w:rPr>
                <w:b/>
                <w:sz w:val="20"/>
                <w:lang w:eastAsia="es-MX"/>
              </w:rPr>
            </w:pPr>
            <w:r w:rsidRPr="008609D1">
              <w:rPr>
                <w:b/>
                <w:sz w:val="20"/>
              </w:rPr>
              <w:t>1/16</w:t>
            </w:r>
          </w:p>
        </w:tc>
      </w:tr>
    </w:tbl>
    <w:p w14:paraId="204438A1" w14:textId="77777777" w:rsidR="00A1321B" w:rsidRPr="008609D1" w:rsidRDefault="00A1321B" w:rsidP="00A1321B">
      <w:pPr>
        <w:pStyle w:val="Normalresolucion"/>
      </w:pPr>
      <w:r w:rsidRPr="008609D1">
        <w:t>Con base en lo anterior, y tomando los diez principios con mayor adopción, la implementación de la separación contable deberá respetar los principios definidos a continuación:</w:t>
      </w:r>
    </w:p>
    <w:p w14:paraId="743D345A" w14:textId="77777777" w:rsidR="00A1321B" w:rsidRPr="008609D1" w:rsidRDefault="00A1321B" w:rsidP="00A1321B">
      <w:pPr>
        <w:pStyle w:val="Indentadoresolucin"/>
      </w:pPr>
      <w:r w:rsidRPr="008609D1">
        <w:rPr>
          <w:i/>
          <w:iCs/>
        </w:rPr>
        <w:t>Causalidad</w:t>
      </w:r>
      <w:r w:rsidRPr="008609D1">
        <w:t>: Consiste en la imputación de costos a las actividades o servicios (y cualquier elemento contable en general) responsables de su generación. Este principio permite evidenciar la relación de causación que influye en la asignación, tanto directa como indirecta, de los costos e ingresos. De esta manera, al asegurar el cumplimiento del principio de causalidad se logra que los costos e ingresos sean efectivamente asignados a los servicios que los generan.</w:t>
      </w:r>
    </w:p>
    <w:p w14:paraId="6B0E65EA" w14:textId="77777777" w:rsidR="00A1321B" w:rsidRPr="008609D1" w:rsidRDefault="00A1321B" w:rsidP="00A1321B">
      <w:pPr>
        <w:pStyle w:val="Indentadoresolucin"/>
      </w:pPr>
      <w:r w:rsidRPr="008609D1">
        <w:rPr>
          <w:i/>
          <w:iCs/>
        </w:rPr>
        <w:t>Transparencia</w:t>
      </w:r>
      <w:r w:rsidRPr="008609D1">
        <w:t xml:space="preserve">: Establece que la información de la separación contable debe ser susceptible de desglose, trazable, y debidamente documentada a fin de que los procesos, imputaciones y cálculos llevados </w:t>
      </w:r>
      <w:r w:rsidRPr="008609D1">
        <w:lastRenderedPageBreak/>
        <w:t>a cabo por el concesionario sean rastreables por una tercera parte interesada en el análisis de esta información.</w:t>
      </w:r>
    </w:p>
    <w:p w14:paraId="2268C0B7" w14:textId="77777777" w:rsidR="00A1321B" w:rsidRPr="008609D1" w:rsidRDefault="00A1321B" w:rsidP="00A1321B">
      <w:pPr>
        <w:pStyle w:val="Indentadoresolucin"/>
        <w:numPr>
          <w:ilvl w:val="0"/>
          <w:numId w:val="0"/>
        </w:numPr>
        <w:ind w:left="1008"/>
      </w:pPr>
      <w:r w:rsidRPr="008609D1">
        <w:t>Para garantizar el cumplimiento de este principio los concesionarios deben proporcionar la documentación técnica que respalde los procesos de asignación de costos e ingresos seguidos, la revaluación a costos actuales, etc.</w:t>
      </w:r>
    </w:p>
    <w:p w14:paraId="27B5E5F4" w14:textId="77777777" w:rsidR="00A1321B" w:rsidRPr="008609D1" w:rsidRDefault="00A1321B" w:rsidP="00A1321B">
      <w:pPr>
        <w:pStyle w:val="Indentadoresolucin"/>
      </w:pPr>
      <w:r w:rsidRPr="008609D1">
        <w:rPr>
          <w:i/>
          <w:iCs/>
        </w:rPr>
        <w:t>Auditabilidad</w:t>
      </w:r>
      <w:r w:rsidRPr="008609D1">
        <w:t>: La información debe estar auditada de manera adecuada, con el fin de que un profesional, tanto interno como externo, pueda revisarla con facilidad. Lo anterior, con el propósito de que la información pueda ser rastreada y conciliada con las fuentes empleadas.</w:t>
      </w:r>
    </w:p>
    <w:p w14:paraId="08438155" w14:textId="77777777" w:rsidR="00A1321B" w:rsidRPr="008609D1" w:rsidRDefault="00A1321B" w:rsidP="00A1321B">
      <w:pPr>
        <w:pStyle w:val="Indentadoresolucin"/>
      </w:pPr>
      <w:r w:rsidRPr="008609D1">
        <w:rPr>
          <w:i/>
          <w:iCs/>
        </w:rPr>
        <w:t>Objetividad</w:t>
      </w:r>
      <w:r w:rsidRPr="008609D1">
        <w:t>: Los métodos de atribución deben ser imparciales y no diseñados con el fin de beneficiar a algún operador, producto o servicio. Los generadores de costos deben ser cuantificables y basados en criterios de imputación e insumos que puedan ser contrastados y verificados por la autoridad regulatoria en el proceso de revisión.</w:t>
      </w:r>
    </w:p>
    <w:p w14:paraId="20C55C7E" w14:textId="77777777" w:rsidR="00A1321B" w:rsidRPr="008609D1" w:rsidRDefault="00A1321B" w:rsidP="00A1321B">
      <w:pPr>
        <w:pStyle w:val="Indentadoresolucin"/>
      </w:pPr>
      <w:r w:rsidRPr="008609D1">
        <w:rPr>
          <w:i/>
          <w:iCs/>
        </w:rPr>
        <w:t>Consistencia</w:t>
      </w:r>
      <w:r w:rsidRPr="008609D1">
        <w:t>: La metodología, principios contables y criterios adoptados por el operador en la elaboración de la separación contable deben preservarse a lo largo de los años, a fin de asegurar su comparabilidad. En el caso en que se determine necesario un cambio en la metodología, principios o criterios, éste deberá ser solicitado, y oportunamente justificado, con anterioridad a su implementación a la autoridad competente.</w:t>
      </w:r>
    </w:p>
    <w:p w14:paraId="4E7A139B" w14:textId="77777777" w:rsidR="00A1321B" w:rsidRPr="008609D1" w:rsidRDefault="00A1321B" w:rsidP="00A1321B">
      <w:pPr>
        <w:pStyle w:val="Indentadoresolucin"/>
      </w:pPr>
      <w:r w:rsidRPr="008609D1">
        <w:rPr>
          <w:i/>
          <w:iCs/>
        </w:rPr>
        <w:t>Materialidad</w:t>
      </w:r>
      <w:r w:rsidRPr="008609D1">
        <w:t>: La información debe ser preparada de tal forma que se asegure que no existe una omisión significativa que pueda influir en los resultados y reportes entregados al regulador.</w:t>
      </w:r>
    </w:p>
    <w:p w14:paraId="3C4F063D" w14:textId="77777777" w:rsidR="00A1321B" w:rsidRPr="008609D1" w:rsidRDefault="00A1321B" w:rsidP="00A1321B">
      <w:pPr>
        <w:pStyle w:val="Indentadoresolucin"/>
      </w:pPr>
      <w:r w:rsidRPr="008609D1">
        <w:rPr>
          <w:i/>
        </w:rPr>
        <w:t>No compensación</w:t>
      </w:r>
      <w:r w:rsidRPr="008609D1">
        <w:t xml:space="preserve">: Los costos e ingresos deben tratarse de manera diferenciada en todo momento, sin compensarse entre ellos. Equivalentemente, los costos e ingresos de un servicio no pueden compensarse con los de otro servicio. </w:t>
      </w:r>
    </w:p>
    <w:p w14:paraId="3EAF1F56" w14:textId="77777777" w:rsidR="00A1321B" w:rsidRPr="008609D1" w:rsidRDefault="00A1321B" w:rsidP="00A1321B">
      <w:pPr>
        <w:pStyle w:val="Indentadoresolucin"/>
        <w:numPr>
          <w:ilvl w:val="0"/>
          <w:numId w:val="0"/>
        </w:numPr>
        <w:ind w:left="1008"/>
      </w:pPr>
      <w:r w:rsidRPr="008609D1">
        <w:t>Lo anterior implica, entre otros, que los ingresos obtenidos por la prestación de los servicios deben valorarse a precios de catálogo del proveedor, separando contablemente las subvenciones, descuentos o minoraciones de carácter comercial que se hayan producido.</w:t>
      </w:r>
    </w:p>
    <w:p w14:paraId="5F520387" w14:textId="77777777" w:rsidR="00A1321B" w:rsidRPr="008609D1" w:rsidRDefault="00A1321B" w:rsidP="00A1321B">
      <w:pPr>
        <w:pStyle w:val="Indentadoresolucin"/>
      </w:pPr>
      <w:r w:rsidRPr="008609D1">
        <w:rPr>
          <w:bCs/>
          <w:i/>
        </w:rPr>
        <w:t>Conciliación</w:t>
      </w:r>
      <w:r w:rsidRPr="008609D1">
        <w:t>: Para cada metodología y estándar de costos se debe presentar información financiera que concilie con los resultados de la separación contable, aportando para ello el soporte que resultara necesario.</w:t>
      </w:r>
    </w:p>
    <w:p w14:paraId="685E315A" w14:textId="77777777" w:rsidR="00A1321B" w:rsidRPr="008609D1" w:rsidRDefault="00A1321B" w:rsidP="00A1321B">
      <w:pPr>
        <w:pStyle w:val="Indentadoresolucin"/>
      </w:pPr>
      <w:r w:rsidRPr="008609D1">
        <w:rPr>
          <w:bCs/>
          <w:i/>
        </w:rPr>
        <w:t>No discriminación</w:t>
      </w:r>
      <w:r w:rsidRPr="008609D1">
        <w:t>: Las imputaciones a servicios deben ser equivalentes tanto cuando el servicio sea prestado internamente como cuando éste se preste a un tercero. Esto incluye, fundamentalmente (i) la tarificación mayorista homogénea a todas las contrapartes, sin fluctuaciones no justificadas y (ii) la orientación a costos propios de los cargos mayoristas aplicados a terceros operadores.</w:t>
      </w:r>
    </w:p>
    <w:p w14:paraId="00982556" w14:textId="77777777" w:rsidR="00A1321B" w:rsidRPr="008609D1" w:rsidRDefault="00A1321B" w:rsidP="00A1321B">
      <w:pPr>
        <w:pStyle w:val="Indentadoresolucin"/>
      </w:pPr>
      <w:r w:rsidRPr="008609D1">
        <w:rPr>
          <w:bCs/>
          <w:i/>
        </w:rPr>
        <w:lastRenderedPageBreak/>
        <w:t>Relevancia</w:t>
      </w:r>
      <w:r w:rsidRPr="008609D1">
        <w:t>: La información de la contabilidad separada debe asegurar que no existen omisiones significativas que puedan afectar las decisiones regulatorias del Instituto.</w:t>
      </w:r>
    </w:p>
    <w:p w14:paraId="67DD0D56" w14:textId="77777777" w:rsidR="00A1321B" w:rsidRPr="008609D1" w:rsidRDefault="00A1321B" w:rsidP="005F4843">
      <w:pPr>
        <w:pStyle w:val="A1L2"/>
        <w:numPr>
          <w:ilvl w:val="1"/>
          <w:numId w:val="188"/>
        </w:numPr>
        <w:ind w:left="0" w:firstLine="0"/>
        <w:outlineLvl w:val="1"/>
      </w:pPr>
      <w:bookmarkStart w:id="50" w:name="_Toc475004100"/>
      <w:bookmarkStart w:id="51" w:name="_Toc475468495"/>
      <w:bookmarkStart w:id="52" w:name="_Toc477515007"/>
      <w:bookmarkStart w:id="53" w:name="_Toc478774491"/>
      <w:bookmarkStart w:id="54" w:name="_Toc484022099"/>
      <w:r w:rsidRPr="008609D1">
        <w:t>Bases de costos e ingresos</w:t>
      </w:r>
      <w:bookmarkEnd w:id="50"/>
      <w:bookmarkEnd w:id="51"/>
      <w:bookmarkEnd w:id="52"/>
      <w:bookmarkEnd w:id="53"/>
      <w:bookmarkEnd w:id="54"/>
    </w:p>
    <w:p w14:paraId="265585D2" w14:textId="77777777" w:rsidR="00A1321B" w:rsidRPr="008609D1" w:rsidRDefault="00A1321B" w:rsidP="00A1321B">
      <w:pPr>
        <w:pStyle w:val="Normalresolucion"/>
      </w:pPr>
      <w:r w:rsidRPr="008609D1">
        <w:t>Tal y como establece el principio de conciliación, la base de costos e ingresos de la separación contable deberá estar directamente relacionada con los Estados Financieros del concesionario. Lo anterior resulta directamente aplicable en el caso de los ingresos, que deben coincidir unívocamente con el monto registrado en la contabilidad financiera del concesionario.</w:t>
      </w:r>
    </w:p>
    <w:p w14:paraId="39FB859B" w14:textId="77777777" w:rsidR="00A1321B" w:rsidRPr="008609D1" w:rsidRDefault="00A1321B" w:rsidP="00A1321B">
      <w:pPr>
        <w:pStyle w:val="Normalresolucion"/>
      </w:pPr>
      <w:r w:rsidRPr="008609D1">
        <w:t>En el caso de la base de costos resulta necesario definir una serie de conceptos metodológicos específicos de una separación contable que implican variaciones con respecto a la base de costos registrada en la contabilidad financiera del concesionario. En concreto, estos aspectos específicos a la separación contable se presentan en los siguientes apartados:</w:t>
      </w:r>
    </w:p>
    <w:p w14:paraId="01416D9E" w14:textId="77777777" w:rsidR="00A1321B" w:rsidRPr="008609D1" w:rsidRDefault="00A1321B" w:rsidP="00A1321B">
      <w:pPr>
        <w:pStyle w:val="Indentadoresolucin"/>
        <w:rPr>
          <w:lang w:val="en-GB"/>
        </w:rPr>
      </w:pPr>
      <w:r w:rsidRPr="008609D1">
        <w:rPr>
          <w:lang w:val="en-GB"/>
        </w:rPr>
        <w:fldChar w:fldCharType="begin"/>
      </w:r>
      <w:r w:rsidRPr="008609D1">
        <w:rPr>
          <w:lang w:val="en-GB"/>
        </w:rPr>
        <w:instrText xml:space="preserve"> REF _Ref477513090 \h </w:instrText>
      </w:r>
      <w:r>
        <w:rPr>
          <w:lang w:val="en-GB"/>
        </w:rPr>
        <w:instrText xml:space="preserve"> \* MERGEFORMAT </w:instrText>
      </w:r>
      <w:r w:rsidRPr="008609D1">
        <w:rPr>
          <w:lang w:val="en-GB"/>
        </w:rPr>
      </w:r>
      <w:r w:rsidRPr="008609D1">
        <w:rPr>
          <w:lang w:val="en-GB"/>
        </w:rPr>
        <w:fldChar w:fldCharType="separate"/>
      </w:r>
      <w:r w:rsidRPr="008609D1">
        <w:t>Estándares de costos</w:t>
      </w:r>
      <w:r w:rsidRPr="008609D1">
        <w:rPr>
          <w:lang w:val="en-GB"/>
        </w:rPr>
        <w:fldChar w:fldCharType="end"/>
      </w:r>
    </w:p>
    <w:p w14:paraId="461705DD" w14:textId="77777777" w:rsidR="00A1321B" w:rsidRPr="008609D1" w:rsidRDefault="00A1321B" w:rsidP="00A1321B">
      <w:pPr>
        <w:pStyle w:val="Indentadoresolucin"/>
      </w:pPr>
      <w:r w:rsidRPr="008609D1">
        <w:fldChar w:fldCharType="begin"/>
      </w:r>
      <w:r w:rsidRPr="008609D1">
        <w:instrText xml:space="preserve"> REF _Ref477513107 \h </w:instrText>
      </w:r>
      <w:r>
        <w:instrText xml:space="preserve"> \* MERGEFORMAT </w:instrText>
      </w:r>
      <w:r w:rsidRPr="008609D1">
        <w:fldChar w:fldCharType="separate"/>
      </w:r>
      <w:r w:rsidRPr="008609D1">
        <w:t>Aproximación para el mantenimiento de capital y el cálculo de su depreciación</w:t>
      </w:r>
      <w:r w:rsidRPr="008609D1">
        <w:fldChar w:fldCharType="end"/>
      </w:r>
    </w:p>
    <w:p w14:paraId="7C48C35A" w14:textId="77777777" w:rsidR="00A1321B" w:rsidRPr="008609D1" w:rsidRDefault="00A1321B" w:rsidP="00A1321B">
      <w:pPr>
        <w:pStyle w:val="Indentadoresolucin"/>
      </w:pPr>
      <w:r w:rsidRPr="008609D1">
        <w:fldChar w:fldCharType="begin"/>
      </w:r>
      <w:r w:rsidRPr="008609D1">
        <w:instrText xml:space="preserve"> REF _Ref477513113 \h </w:instrText>
      </w:r>
      <w:r>
        <w:instrText xml:space="preserve"> \* MERGEFORMAT </w:instrText>
      </w:r>
      <w:r w:rsidRPr="008609D1">
        <w:fldChar w:fldCharType="separate"/>
      </w:r>
      <w:r w:rsidRPr="008609D1">
        <w:t>Costo promedio ponderado del capital empleado</w:t>
      </w:r>
      <w:r w:rsidRPr="008609D1">
        <w:fldChar w:fldCharType="end"/>
      </w:r>
    </w:p>
    <w:p w14:paraId="0E7B57B9" w14:textId="77777777" w:rsidR="00A1321B" w:rsidRPr="008609D1" w:rsidRDefault="00A1321B" w:rsidP="005F4843">
      <w:pPr>
        <w:pStyle w:val="A1L3"/>
        <w:outlineLvl w:val="2"/>
      </w:pPr>
      <w:bookmarkStart w:id="55" w:name="_Toc475112190"/>
      <w:bookmarkStart w:id="56" w:name="_Toc475112191"/>
      <w:bookmarkStart w:id="57" w:name="_Ref477513090"/>
      <w:bookmarkStart w:id="58" w:name="_Toc475004101"/>
      <w:bookmarkStart w:id="59" w:name="_Ref475095115"/>
      <w:bookmarkStart w:id="60" w:name="_Ref475101285"/>
      <w:bookmarkStart w:id="61" w:name="_Ref475101293"/>
      <w:bookmarkStart w:id="62" w:name="_Ref475109033"/>
      <w:bookmarkStart w:id="63" w:name="_Toc475468496"/>
      <w:bookmarkStart w:id="64" w:name="_Toc477515008"/>
      <w:bookmarkStart w:id="65" w:name="_Toc478774492"/>
      <w:bookmarkStart w:id="66" w:name="_Toc484022100"/>
      <w:bookmarkEnd w:id="55"/>
      <w:bookmarkEnd w:id="56"/>
      <w:r w:rsidRPr="008609D1">
        <w:t>Estándares de costos</w:t>
      </w:r>
      <w:bookmarkEnd w:id="57"/>
      <w:bookmarkEnd w:id="58"/>
      <w:bookmarkEnd w:id="59"/>
      <w:bookmarkEnd w:id="60"/>
      <w:bookmarkEnd w:id="61"/>
      <w:bookmarkEnd w:id="62"/>
      <w:bookmarkEnd w:id="63"/>
      <w:bookmarkEnd w:id="64"/>
      <w:bookmarkEnd w:id="65"/>
      <w:bookmarkEnd w:id="66"/>
    </w:p>
    <w:p w14:paraId="2CE109C8" w14:textId="77777777" w:rsidR="00A1321B" w:rsidRPr="008609D1" w:rsidRDefault="00A1321B" w:rsidP="00A1321B">
      <w:pPr>
        <w:pStyle w:val="Normalresolucion"/>
      </w:pPr>
      <w:r w:rsidRPr="008609D1">
        <w:t>Los modelos de separación contable requieren de una oportuna definición de los estándares de costos aplicables, los cuales tienen una incidencia directa en la obtención de los costos finales a nivel de servicio. Concretamente, se identifican dos alternativas a este respecto:</w:t>
      </w:r>
    </w:p>
    <w:p w14:paraId="504112A0" w14:textId="77777777" w:rsidR="00A1321B" w:rsidRPr="008609D1" w:rsidRDefault="00A1321B" w:rsidP="00A1321B">
      <w:pPr>
        <w:pStyle w:val="Indentadoresolucin"/>
        <w:rPr>
          <w:lang w:val="es-MX"/>
        </w:rPr>
      </w:pPr>
      <w:r w:rsidRPr="008609D1">
        <w:fldChar w:fldCharType="begin"/>
      </w:r>
      <w:r w:rsidRPr="008609D1">
        <w:rPr>
          <w:lang w:val="es-MX"/>
        </w:rPr>
        <w:instrText xml:space="preserve"> REF CCH \h </w:instrText>
      </w:r>
      <w:r>
        <w:instrText xml:space="preserve"> \* MERGEFORMAT </w:instrText>
      </w:r>
      <w:r w:rsidRPr="008609D1">
        <w:fldChar w:fldCharType="separate"/>
      </w:r>
      <w:r w:rsidRPr="008609D1">
        <w:t>Contabilidad de Costos Históricos (CCH)</w:t>
      </w:r>
      <w:r w:rsidRPr="008609D1">
        <w:fldChar w:fldCharType="end"/>
      </w:r>
    </w:p>
    <w:p w14:paraId="6B745D36" w14:textId="77777777" w:rsidR="00A1321B" w:rsidRPr="008609D1" w:rsidRDefault="00A1321B" w:rsidP="00A1321B">
      <w:pPr>
        <w:pStyle w:val="Indentadoresolucin"/>
      </w:pPr>
      <w:r w:rsidRPr="008609D1">
        <w:rPr>
          <w:lang w:val="en-GB"/>
        </w:rPr>
        <w:fldChar w:fldCharType="begin"/>
      </w:r>
      <w:r w:rsidRPr="008609D1">
        <w:instrText xml:space="preserve"> REF CCA \h </w:instrText>
      </w:r>
      <w:r w:rsidRPr="00432DB6">
        <w:rPr>
          <w:lang w:val="es-MX"/>
        </w:rPr>
        <w:instrText xml:space="preserve"> \* MERGEFORMAT </w:instrText>
      </w:r>
      <w:r w:rsidRPr="008609D1">
        <w:rPr>
          <w:lang w:val="en-GB"/>
        </w:rPr>
      </w:r>
      <w:r w:rsidRPr="008609D1">
        <w:rPr>
          <w:lang w:val="en-GB"/>
        </w:rPr>
        <w:fldChar w:fldCharType="separate"/>
      </w:r>
      <w:r w:rsidRPr="008609D1">
        <w:t>Contabilidad de Costos Actuales (CCA)</w:t>
      </w:r>
      <w:r w:rsidRPr="008609D1">
        <w:rPr>
          <w:lang w:val="en-GB"/>
        </w:rPr>
        <w:fldChar w:fldCharType="end"/>
      </w:r>
    </w:p>
    <w:p w14:paraId="6A28DFB1" w14:textId="77777777" w:rsidR="00A1321B" w:rsidRPr="008609D1" w:rsidRDefault="00A1321B" w:rsidP="00A1321B">
      <w:pPr>
        <w:pStyle w:val="HeadingAnexo1L3"/>
      </w:pPr>
      <w:bookmarkStart w:id="67" w:name="_Toc475004102"/>
      <w:bookmarkStart w:id="68" w:name="CCH"/>
      <w:r w:rsidRPr="008609D1">
        <w:t>Contabilidad de Costos Históricos (CCH)</w:t>
      </w:r>
      <w:bookmarkEnd w:id="67"/>
      <w:bookmarkEnd w:id="68"/>
    </w:p>
    <w:p w14:paraId="3D1A8BE7" w14:textId="77777777" w:rsidR="00A1321B" w:rsidRPr="008609D1" w:rsidRDefault="00A1321B" w:rsidP="00A1321B">
      <w:pPr>
        <w:pStyle w:val="Normalresolucion"/>
      </w:pPr>
      <w:r w:rsidRPr="008609D1">
        <w:t>La contabilidad de costos históricos (CCH) se basa en el reconocimiento de los costos reales de adquisición de los activos, según se refleja en sus órdenes de compra originales, en la construcción de la base de costos aplicable.</w:t>
      </w:r>
    </w:p>
    <w:p w14:paraId="3E75E766" w14:textId="77777777" w:rsidR="00A1321B" w:rsidRPr="008609D1" w:rsidRDefault="00A1321B" w:rsidP="00A1321B">
      <w:pPr>
        <w:pStyle w:val="Normalresolucion"/>
      </w:pPr>
      <w:r w:rsidRPr="008609D1">
        <w:t xml:space="preserve">La información alcanzada mediante el estándar de costos históricos permite comprender los costos de prestación de los servicios en los que está incurriendo un concesionario. </w:t>
      </w:r>
    </w:p>
    <w:p w14:paraId="4C3AFCA9" w14:textId="77777777" w:rsidR="00A1321B" w:rsidRPr="008609D1" w:rsidRDefault="00A1321B" w:rsidP="00A1321B">
      <w:pPr>
        <w:pStyle w:val="Normalresolucion"/>
      </w:pPr>
      <w:r w:rsidRPr="008609D1">
        <w:t>Los concesionarios sujetos a la obligación de presentar la separación contable deben implementar la Contabilidad de Costos Históricos (CCH).</w:t>
      </w:r>
    </w:p>
    <w:p w14:paraId="0DFBB99D" w14:textId="77777777" w:rsidR="00A1321B" w:rsidRPr="008609D1" w:rsidRDefault="00A1321B" w:rsidP="00A1321B">
      <w:pPr>
        <w:pStyle w:val="HeadingAnexo1L3"/>
      </w:pPr>
      <w:bookmarkStart w:id="69" w:name="_Toc475004103"/>
      <w:bookmarkStart w:id="70" w:name="CCA"/>
      <w:r w:rsidRPr="008609D1">
        <w:lastRenderedPageBreak/>
        <w:t>Contabilidad de Costos Actuales (CCA)</w:t>
      </w:r>
      <w:bookmarkEnd w:id="69"/>
      <w:bookmarkEnd w:id="70"/>
    </w:p>
    <w:p w14:paraId="0D0C63D3" w14:textId="77777777" w:rsidR="00A1321B" w:rsidRPr="008609D1" w:rsidRDefault="00A1321B" w:rsidP="00A1321B">
      <w:pPr>
        <w:pStyle w:val="Normalresolucion"/>
      </w:pPr>
      <w:r w:rsidRPr="008609D1">
        <w:t>Por otro lado, la Contabilidad de Costos Actuales (CCA) hace referencia a la revalorización de los activos con el objetivo de reflejar el costo que un nuevo concesionario entrante en el mercado debería afrontar en la actualidad para construir una red equivalente a la del concesionario sobre el que recae la obligación de separación contable.</w:t>
      </w:r>
    </w:p>
    <w:p w14:paraId="2F5E5A70" w14:textId="77777777" w:rsidR="00A1321B" w:rsidRPr="008609D1" w:rsidRDefault="00A1321B" w:rsidP="00A1321B">
      <w:pPr>
        <w:pStyle w:val="Normalresolucion"/>
      </w:pPr>
      <w:r w:rsidRPr="008609D1">
        <w:t>Esta aproximación permite reflejar el valor actual de los activos en el mercado en que opera la empresa, bajo condiciones de mercado competitivas, considerando los equipos disponibles más ventajosos en términos económicos.</w:t>
      </w:r>
    </w:p>
    <w:p w14:paraId="51C04AC9" w14:textId="77777777" w:rsidR="00A1321B" w:rsidRPr="008609D1" w:rsidRDefault="00A1321B" w:rsidP="00A1321B">
      <w:pPr>
        <w:pStyle w:val="Normalresolucion"/>
      </w:pPr>
      <w:r w:rsidRPr="008609D1">
        <w:t>Según la UIT</w:t>
      </w:r>
      <w:r w:rsidRPr="008609D1">
        <w:rPr>
          <w:rStyle w:val="Refdenotaalpie"/>
        </w:rPr>
        <w:footnoteReference w:id="18"/>
      </w:r>
      <w:r w:rsidRPr="008609D1">
        <w:t xml:space="preserve">, los reguladores y gobiernos tienen el deber de adoptar las medidas necesarias para replicar un mercado competitivo, aplicando modelos de costeo que permitan reflejar las decisiones que han de tomar nuevos competidores (eficientes) sobre si construir o adquirir la red. Asimismo, y puesto que las redes de telecomunicaciones se caracterizan por las economías de escala y alcance, se debe evitar la duplicación innecesaria de la infraestructura de red de los operadores, que contribuiría al aumento </w:t>
      </w:r>
      <w:r>
        <w:t xml:space="preserve">de </w:t>
      </w:r>
      <w:r w:rsidRPr="008609D1">
        <w:t>la base de costos de la industria en su conjunto, mediante la regulación basada en CCA.</w:t>
      </w:r>
    </w:p>
    <w:p w14:paraId="5901E187" w14:textId="77777777" w:rsidR="00A1321B" w:rsidRPr="008609D1" w:rsidRDefault="00A1321B" w:rsidP="00A1321B">
      <w:pPr>
        <w:pStyle w:val="Normalresolucion"/>
      </w:pPr>
      <w:r w:rsidRPr="008609D1">
        <w:t>Por otro lado, de acuerdo con las Recomendaciones de la Comisión Europea</w:t>
      </w:r>
      <w:r w:rsidRPr="008609D1">
        <w:rPr>
          <w:rStyle w:val="Refdenotaalpie"/>
        </w:rPr>
        <w:footnoteReference w:id="19"/>
      </w:r>
      <w:r w:rsidRPr="008609D1">
        <w:t>, la estimación de un costo de reposición de los activos permite que la contabilidad refleje el costo de una red eficiente con la tecnología más avanzada disponible, en caso de que la red del operador se haya quedado obsoleta.</w:t>
      </w:r>
    </w:p>
    <w:p w14:paraId="3835D016" w14:textId="77777777" w:rsidR="00A1321B" w:rsidRPr="008609D1" w:rsidRDefault="00A1321B" w:rsidP="00A1321B">
      <w:pPr>
        <w:pStyle w:val="Normalresolucion"/>
      </w:pPr>
      <w:r w:rsidRPr="008609D1">
        <w:t>La actualización de la planta de activos a costos actuales debe ser implementada por los concesionarios de manera específica para el ejercicio de separación contable, no resultando aplicables ni aceptables otros ejercicios de revaluación de activos propios de la contabilidad financiera bajo las directrices aprobadas por las NIIF, salvo autorización manifiesta por parte del Instituto.</w:t>
      </w:r>
    </w:p>
    <w:p w14:paraId="037C9FE2" w14:textId="77777777" w:rsidR="00A1321B" w:rsidRPr="008609D1" w:rsidRDefault="00A1321B" w:rsidP="00A1321B">
      <w:pPr>
        <w:pStyle w:val="Normalresolucion"/>
      </w:pPr>
      <w:r w:rsidRPr="008609D1">
        <w:t>Concretamente, los concesionarios deben llevar a cabo el proceso de revaluación de su planta de activos a costos actuales por medio de las alternativas definidas a continuación:</w:t>
      </w:r>
    </w:p>
    <w:p w14:paraId="5F0E43F1" w14:textId="77777777" w:rsidR="00A1321B" w:rsidRPr="008609D1" w:rsidRDefault="00A1321B" w:rsidP="00A1321B">
      <w:pPr>
        <w:pStyle w:val="Normalresolucion"/>
        <w:rPr>
          <w:bCs/>
          <w:u w:val="single"/>
        </w:rPr>
      </w:pPr>
      <w:r w:rsidRPr="008609D1">
        <w:rPr>
          <w:bCs/>
          <w:u w:val="single"/>
        </w:rPr>
        <w:t>Mantenimiento a costos de la contabilidad financiera (no revalorización).</w:t>
      </w:r>
    </w:p>
    <w:p w14:paraId="41516026" w14:textId="77777777" w:rsidR="00A1321B" w:rsidRPr="008609D1" w:rsidRDefault="00A1321B" w:rsidP="00A1321B">
      <w:pPr>
        <w:pStyle w:val="Normalresolucion"/>
        <w:rPr>
          <w:bCs/>
        </w:rPr>
      </w:pPr>
      <w:r w:rsidRPr="008609D1">
        <w:rPr>
          <w:lang w:val="es-MX"/>
        </w:rPr>
        <w:t xml:space="preserve">Esta alternativa resulta aplicable </w:t>
      </w:r>
      <w:r w:rsidRPr="008609D1">
        <w:t>para aquellos activos de baja materialidad, que estén totalmente depreciados o que presenten una vida útil reducida (menor a cinco años). El valor neto de los activos para los cuales se emplee esta aproximación no debe ser en ningún caso superior al 20% del valor neto total de la planta del concesionario.</w:t>
      </w:r>
    </w:p>
    <w:p w14:paraId="69E26559" w14:textId="77777777" w:rsidR="00A1321B" w:rsidRPr="008609D1" w:rsidRDefault="00A1321B" w:rsidP="00A1321B">
      <w:pPr>
        <w:pStyle w:val="Normalresolucion"/>
      </w:pPr>
      <w:r w:rsidRPr="008609D1">
        <w:lastRenderedPageBreak/>
        <w:t>En caso que el concesionario considerara que la valoración de los activos registrada en su contabilidad pudiera representar adecuadamente la valoración a costos actuales de acuerdo a los principios establecidos por el Instituto y, por consiguiente, considerara que esta alternativa debería extenderse a un porcentaje mayor de su planta de activos, el concesionario deberá enviar una solicitud que contenga los elementos señalados a continuación:</w:t>
      </w:r>
    </w:p>
    <w:p w14:paraId="2D56F57A" w14:textId="77777777" w:rsidR="00A1321B" w:rsidRPr="008609D1" w:rsidRDefault="00A1321B" w:rsidP="00A1321B">
      <w:pPr>
        <w:pStyle w:val="Texto"/>
        <w:numPr>
          <w:ilvl w:val="0"/>
          <w:numId w:val="88"/>
        </w:numPr>
        <w:spacing w:before="120" w:after="0" w:line="240" w:lineRule="auto"/>
        <w:ind w:left="714" w:hanging="357"/>
        <w:rPr>
          <w:rFonts w:ascii="ITC Avant Garde" w:hAnsi="ITC Avant Garde"/>
          <w:szCs w:val="22"/>
        </w:rPr>
      </w:pPr>
      <w:r w:rsidRPr="008609D1">
        <w:rPr>
          <w:rFonts w:ascii="ITC Avant Garde" w:hAnsi="ITC Avant Garde"/>
          <w:sz w:val="22"/>
          <w:szCs w:val="22"/>
        </w:rPr>
        <w:t>Con un mínimo de tres meses de anterioridad a la presentación de la separación contable, el concesionario deberá presentar su solicitud al Instituto, en la que se indique, como mínimo:</w:t>
      </w:r>
    </w:p>
    <w:p w14:paraId="7C14239B" w14:textId="77777777" w:rsidR="00A1321B" w:rsidRPr="008609D1" w:rsidRDefault="00A1321B" w:rsidP="00A1321B">
      <w:pPr>
        <w:pStyle w:val="Indentadoresolucin"/>
        <w:numPr>
          <w:ilvl w:val="1"/>
          <w:numId w:val="89"/>
        </w:numPr>
        <w:ind w:left="1077"/>
        <w:rPr>
          <w:szCs w:val="20"/>
        </w:rPr>
      </w:pPr>
      <w:r w:rsidRPr="008609D1">
        <w:t>Listado de activos para los cuales se considera que su valor contable corresponde a la visión de costos actuales expuesta por el Instituto</w:t>
      </w:r>
    </w:p>
    <w:p w14:paraId="2BA6ECCB" w14:textId="77777777" w:rsidR="00A1321B" w:rsidRPr="008609D1" w:rsidRDefault="00A1321B" w:rsidP="00A1321B">
      <w:pPr>
        <w:pStyle w:val="Indentadoresolucin"/>
        <w:numPr>
          <w:ilvl w:val="1"/>
          <w:numId w:val="89"/>
        </w:numPr>
        <w:ind w:left="1077"/>
      </w:pPr>
      <w:r w:rsidRPr="008609D1">
        <w:t>Detalle de la metodología empleada para la revaluación de los activos en la contabilidad financiera</w:t>
      </w:r>
    </w:p>
    <w:p w14:paraId="3DD6E869" w14:textId="77777777" w:rsidR="00A1321B" w:rsidRPr="008609D1" w:rsidRDefault="00A1321B" w:rsidP="00A1321B">
      <w:pPr>
        <w:pStyle w:val="Indentadoresolucin"/>
        <w:numPr>
          <w:ilvl w:val="1"/>
          <w:numId w:val="89"/>
        </w:numPr>
        <w:ind w:left="1077"/>
      </w:pPr>
      <w:r w:rsidRPr="008609D1">
        <w:t>Para cada categoría de activo se deberá especificar:</w:t>
      </w:r>
    </w:p>
    <w:p w14:paraId="789ED49D" w14:textId="77777777" w:rsidR="00A1321B" w:rsidRPr="008609D1" w:rsidRDefault="00A1321B" w:rsidP="00A1321B">
      <w:pPr>
        <w:pStyle w:val="Texto"/>
        <w:numPr>
          <w:ilvl w:val="1"/>
          <w:numId w:val="9"/>
        </w:numPr>
        <w:spacing w:before="120" w:after="0" w:line="226" w:lineRule="exact"/>
        <w:ind w:left="1848" w:hanging="357"/>
        <w:rPr>
          <w:rFonts w:ascii="ITC Avant Garde" w:hAnsi="ITC Avant Garde"/>
          <w:szCs w:val="22"/>
        </w:rPr>
      </w:pPr>
      <w:r w:rsidRPr="008609D1">
        <w:rPr>
          <w:rFonts w:ascii="ITC Avant Garde" w:hAnsi="ITC Avant Garde"/>
          <w:sz w:val="22"/>
          <w:szCs w:val="22"/>
        </w:rPr>
        <w:t>Descripción</w:t>
      </w:r>
    </w:p>
    <w:p w14:paraId="004F8E63" w14:textId="77777777" w:rsidR="00A1321B" w:rsidRPr="008609D1" w:rsidRDefault="00A1321B" w:rsidP="00A1321B">
      <w:pPr>
        <w:pStyle w:val="Texto"/>
        <w:numPr>
          <w:ilvl w:val="1"/>
          <w:numId w:val="9"/>
        </w:numPr>
        <w:spacing w:before="120" w:after="0" w:line="226" w:lineRule="exact"/>
        <w:ind w:left="1848" w:hanging="357"/>
        <w:rPr>
          <w:rFonts w:ascii="ITC Avant Garde" w:hAnsi="ITC Avant Garde"/>
          <w:szCs w:val="22"/>
        </w:rPr>
      </w:pPr>
      <w:r w:rsidRPr="008609D1">
        <w:rPr>
          <w:rFonts w:ascii="ITC Avant Garde" w:hAnsi="ITC Avant Garde"/>
          <w:sz w:val="22"/>
          <w:szCs w:val="22"/>
        </w:rPr>
        <w:t>Funcionalidad</w:t>
      </w:r>
    </w:p>
    <w:p w14:paraId="07162F7B" w14:textId="77777777" w:rsidR="00A1321B" w:rsidRPr="008609D1" w:rsidRDefault="00A1321B" w:rsidP="00A1321B">
      <w:pPr>
        <w:pStyle w:val="Texto"/>
        <w:numPr>
          <w:ilvl w:val="1"/>
          <w:numId w:val="9"/>
        </w:numPr>
        <w:spacing w:before="120" w:after="0" w:line="226" w:lineRule="exact"/>
        <w:ind w:left="1848" w:hanging="357"/>
        <w:rPr>
          <w:rFonts w:ascii="ITC Avant Garde" w:hAnsi="ITC Avant Garde"/>
          <w:szCs w:val="22"/>
        </w:rPr>
      </w:pPr>
      <w:r w:rsidRPr="008609D1">
        <w:rPr>
          <w:rFonts w:ascii="ITC Avant Garde" w:hAnsi="ITC Avant Garde"/>
          <w:sz w:val="22"/>
          <w:szCs w:val="22"/>
        </w:rPr>
        <w:t>Valor Bruto</w:t>
      </w:r>
    </w:p>
    <w:p w14:paraId="7928280C" w14:textId="77777777" w:rsidR="00A1321B" w:rsidRPr="008609D1" w:rsidRDefault="00A1321B" w:rsidP="00A1321B">
      <w:pPr>
        <w:pStyle w:val="Texto"/>
        <w:numPr>
          <w:ilvl w:val="1"/>
          <w:numId w:val="9"/>
        </w:numPr>
        <w:spacing w:before="120" w:after="0" w:line="226" w:lineRule="exact"/>
        <w:ind w:left="1848" w:hanging="357"/>
        <w:rPr>
          <w:rFonts w:ascii="ITC Avant Garde" w:hAnsi="ITC Avant Garde"/>
          <w:szCs w:val="22"/>
        </w:rPr>
      </w:pPr>
      <w:r w:rsidRPr="008609D1">
        <w:rPr>
          <w:rFonts w:ascii="ITC Avant Garde" w:hAnsi="ITC Avant Garde"/>
          <w:sz w:val="22"/>
          <w:szCs w:val="22"/>
        </w:rPr>
        <w:t>Valor Neto</w:t>
      </w:r>
    </w:p>
    <w:p w14:paraId="14953C94" w14:textId="77777777" w:rsidR="00A1321B" w:rsidRPr="008609D1" w:rsidRDefault="00A1321B" w:rsidP="00A1321B">
      <w:pPr>
        <w:pStyle w:val="Texto"/>
        <w:numPr>
          <w:ilvl w:val="1"/>
          <w:numId w:val="9"/>
        </w:numPr>
        <w:spacing w:before="120" w:after="0" w:line="226" w:lineRule="exact"/>
        <w:ind w:left="1848" w:hanging="357"/>
        <w:rPr>
          <w:rFonts w:ascii="ITC Avant Garde" w:hAnsi="ITC Avant Garde"/>
          <w:szCs w:val="22"/>
        </w:rPr>
      </w:pPr>
      <w:r w:rsidRPr="008609D1">
        <w:rPr>
          <w:rFonts w:ascii="ITC Avant Garde" w:hAnsi="ITC Avant Garde"/>
          <w:sz w:val="22"/>
          <w:szCs w:val="22"/>
        </w:rPr>
        <w:t>Depreciación acumulada</w:t>
      </w:r>
    </w:p>
    <w:p w14:paraId="3C41B76F" w14:textId="77777777" w:rsidR="00A1321B" w:rsidRPr="008609D1" w:rsidRDefault="00A1321B" w:rsidP="00A1321B">
      <w:pPr>
        <w:pStyle w:val="Texto"/>
        <w:numPr>
          <w:ilvl w:val="1"/>
          <w:numId w:val="9"/>
        </w:numPr>
        <w:spacing w:before="120" w:after="0" w:line="226" w:lineRule="exact"/>
        <w:ind w:left="1848" w:hanging="357"/>
        <w:rPr>
          <w:rFonts w:ascii="ITC Avant Garde" w:hAnsi="ITC Avant Garde"/>
          <w:szCs w:val="22"/>
        </w:rPr>
      </w:pPr>
      <w:r w:rsidRPr="008609D1">
        <w:rPr>
          <w:rFonts w:ascii="ITC Avant Garde" w:hAnsi="ITC Avant Garde"/>
          <w:sz w:val="22"/>
          <w:szCs w:val="22"/>
        </w:rPr>
        <w:t>Depreciación anual</w:t>
      </w:r>
    </w:p>
    <w:p w14:paraId="4026E39B" w14:textId="77777777" w:rsidR="00A1321B" w:rsidRPr="002670B1" w:rsidRDefault="00A1321B" w:rsidP="00154F13">
      <w:pPr>
        <w:pStyle w:val="Texto"/>
        <w:numPr>
          <w:ilvl w:val="1"/>
          <w:numId w:val="9"/>
        </w:numPr>
        <w:spacing w:before="120" w:after="0" w:line="226" w:lineRule="exact"/>
        <w:ind w:left="1848" w:hanging="357"/>
      </w:pPr>
      <w:r w:rsidRPr="002670B1">
        <w:rPr>
          <w:rFonts w:ascii="ITC Avant Garde" w:hAnsi="ITC Avant Garde"/>
          <w:sz w:val="22"/>
          <w:szCs w:val="22"/>
        </w:rPr>
        <w:t>Vida útil, desde fecha de adquisición (no vida útil remanente)</w:t>
      </w:r>
    </w:p>
    <w:p w14:paraId="2EF699AF" w14:textId="77777777" w:rsidR="00A1321B" w:rsidRPr="008609D1" w:rsidRDefault="00A1321B" w:rsidP="00A1321B">
      <w:pPr>
        <w:pStyle w:val="Texto"/>
        <w:numPr>
          <w:ilvl w:val="1"/>
          <w:numId w:val="9"/>
        </w:numPr>
        <w:spacing w:before="120" w:after="0" w:line="226" w:lineRule="exact"/>
        <w:ind w:left="1848" w:hanging="357"/>
        <w:rPr>
          <w:rFonts w:ascii="ITC Avant Garde" w:hAnsi="ITC Avant Garde"/>
          <w:szCs w:val="22"/>
        </w:rPr>
      </w:pPr>
      <w:r w:rsidRPr="008609D1">
        <w:rPr>
          <w:rFonts w:ascii="ITC Avant Garde" w:hAnsi="ITC Avant Garde"/>
          <w:sz w:val="22"/>
          <w:szCs w:val="22"/>
        </w:rPr>
        <w:t>Unidades</w:t>
      </w:r>
    </w:p>
    <w:p w14:paraId="4572A963" w14:textId="77777777" w:rsidR="00A1321B" w:rsidRPr="008609D1" w:rsidRDefault="00A1321B" w:rsidP="00A1321B">
      <w:pPr>
        <w:pStyle w:val="Texto"/>
        <w:numPr>
          <w:ilvl w:val="1"/>
          <w:numId w:val="9"/>
        </w:numPr>
        <w:spacing w:before="120" w:after="0" w:line="226" w:lineRule="exact"/>
        <w:ind w:left="1848" w:hanging="357"/>
        <w:rPr>
          <w:rFonts w:ascii="ITC Avant Garde" w:hAnsi="ITC Avant Garde"/>
          <w:szCs w:val="22"/>
        </w:rPr>
      </w:pPr>
      <w:r w:rsidRPr="008609D1">
        <w:rPr>
          <w:rFonts w:ascii="ITC Avant Garde" w:hAnsi="ITC Avant Garde"/>
          <w:sz w:val="22"/>
          <w:szCs w:val="22"/>
        </w:rPr>
        <w:t>Costo unitario</w:t>
      </w:r>
    </w:p>
    <w:p w14:paraId="5AD91A7F" w14:textId="77777777" w:rsidR="00A1321B" w:rsidRPr="008609D1" w:rsidRDefault="00A1321B" w:rsidP="00A1321B">
      <w:pPr>
        <w:pStyle w:val="Texto"/>
        <w:numPr>
          <w:ilvl w:val="0"/>
          <w:numId w:val="88"/>
        </w:numPr>
        <w:spacing w:before="120" w:after="0" w:line="240" w:lineRule="auto"/>
        <w:ind w:left="714" w:hanging="357"/>
        <w:rPr>
          <w:rFonts w:ascii="ITC Avant Garde" w:hAnsi="ITC Avant Garde"/>
          <w:szCs w:val="22"/>
        </w:rPr>
      </w:pPr>
      <w:r w:rsidRPr="008609D1">
        <w:rPr>
          <w:rFonts w:ascii="ITC Avant Garde" w:hAnsi="ITC Avant Garde"/>
          <w:sz w:val="22"/>
          <w:szCs w:val="22"/>
        </w:rPr>
        <w:t>El Instituto evaluará la alternativa planteada por el concesionario y emitirá su fallo en el menor plazo posible. En caso de existir información faltante conforme a los elementos indicados, la solicitud será desestimada.</w:t>
      </w:r>
    </w:p>
    <w:p w14:paraId="55DA6AAE" w14:textId="77777777" w:rsidR="00A1321B" w:rsidRPr="008609D1" w:rsidRDefault="00A1321B" w:rsidP="00A1321B">
      <w:pPr>
        <w:pStyle w:val="Texto"/>
        <w:numPr>
          <w:ilvl w:val="0"/>
          <w:numId w:val="88"/>
        </w:numPr>
        <w:spacing w:before="120" w:after="0" w:line="240" w:lineRule="auto"/>
        <w:ind w:left="714" w:hanging="357"/>
        <w:rPr>
          <w:rFonts w:ascii="ITC Avant Garde" w:hAnsi="ITC Avant Garde"/>
          <w:szCs w:val="22"/>
        </w:rPr>
      </w:pPr>
      <w:r w:rsidRPr="008609D1">
        <w:rPr>
          <w:rFonts w:ascii="ITC Avant Garde" w:hAnsi="ITC Avant Garde"/>
          <w:sz w:val="22"/>
          <w:szCs w:val="22"/>
        </w:rPr>
        <w:t>De darse una respuesta negativa a la solicitud planteada, el concesionario deberá realizar una valoración a costos actuales para este propósito regulatorio para el mismo ejercicio en el que su solicitud haya sido rechazada.</w:t>
      </w:r>
    </w:p>
    <w:p w14:paraId="373B684F" w14:textId="77777777" w:rsidR="00A1321B" w:rsidRPr="008609D1" w:rsidRDefault="00A1321B" w:rsidP="00A1321B">
      <w:pPr>
        <w:pStyle w:val="Normalresolucion"/>
        <w:rPr>
          <w:bCs/>
          <w:szCs w:val="20"/>
          <w:u w:val="single"/>
        </w:rPr>
      </w:pPr>
      <w:r w:rsidRPr="008609D1">
        <w:rPr>
          <w:bCs/>
          <w:u w:val="single"/>
        </w:rPr>
        <w:t>Metodología de tasación</w:t>
      </w:r>
    </w:p>
    <w:p w14:paraId="7D1D6308" w14:textId="77777777" w:rsidR="00A1321B" w:rsidRPr="008609D1" w:rsidRDefault="00A1321B" w:rsidP="00A1321B">
      <w:pPr>
        <w:pStyle w:val="Normalresolucion"/>
      </w:pPr>
      <w:r w:rsidRPr="008609D1">
        <w:t>El método de tasación se basa en la opinión de expertos para la determinación del valor actual del activo. Esta alternativa se utilizará únicamente para los activos asociados a los bienes raíces (terrenos, edificios y emplazamientos) propiedad del concesionario.</w:t>
      </w:r>
    </w:p>
    <w:p w14:paraId="6B6D1CEB" w14:textId="77777777" w:rsidR="00A1321B" w:rsidRPr="008609D1" w:rsidRDefault="00A1321B" w:rsidP="00A1321B">
      <w:pPr>
        <w:pStyle w:val="Normalresolucion"/>
      </w:pPr>
      <w:r w:rsidRPr="008609D1">
        <w:t>La tasación debe ser realizada por un experto independiente e imparcial designado por el concesionario. Esto es, el experto no habrá trabajado directa o indirectamente para el concesionario o para una de las empresas que controle o que tengan control sobre él en los últimos seis meses, y el mismo no podrá aceptar otros contratos con el concesionario en los siguientes doce meses.</w:t>
      </w:r>
    </w:p>
    <w:p w14:paraId="53FB5CAE" w14:textId="77777777" w:rsidR="00A1321B" w:rsidRPr="008609D1" w:rsidRDefault="00A1321B" w:rsidP="00A1321B">
      <w:pPr>
        <w:pStyle w:val="Normalresolucion"/>
        <w:rPr>
          <w:bCs/>
          <w:u w:val="single"/>
        </w:rPr>
      </w:pPr>
      <w:r w:rsidRPr="008609D1">
        <w:rPr>
          <w:bCs/>
          <w:u w:val="single"/>
        </w:rPr>
        <w:lastRenderedPageBreak/>
        <w:t>Metodología de valoración absoluta</w:t>
      </w:r>
    </w:p>
    <w:p w14:paraId="6D1F5C0B" w14:textId="77777777" w:rsidR="00A1321B" w:rsidRPr="008609D1" w:rsidRDefault="00A1321B" w:rsidP="00A1321B">
      <w:pPr>
        <w:pStyle w:val="Normalresolucion"/>
      </w:pPr>
      <w:r w:rsidRPr="008609D1">
        <w:t>Esta alternativa consiste en la revaluación de la planta de activos mediante el producto de su precio unitario actual por el número de elementos en planta. Este es el método de revaluación más común y deberá ser aplicado para los equipos de acceso, conmutación y en general sobre todos aquellos en los cuales exista una o varias tipologías estándar de equipos y el número de unidades pueda ser determinado de manera robusta.</w:t>
      </w:r>
    </w:p>
    <w:p w14:paraId="671B1438" w14:textId="77777777" w:rsidR="00A1321B" w:rsidRPr="008609D1" w:rsidRDefault="00A1321B" w:rsidP="00A1321B">
      <w:pPr>
        <w:pStyle w:val="Normalresolucion"/>
      </w:pPr>
      <w:r w:rsidRPr="008609D1">
        <w:t>Esta metodología puede no ser aplicable sobre aquellos activos para los cuales se identifiquen desarrollos o avances en la tecnología empleada frente a la común en la industria. En tales casos, se debe emplear la metodología de activo moderno equivalente (AME) detallada a continuación.</w:t>
      </w:r>
    </w:p>
    <w:p w14:paraId="14E39CDC" w14:textId="77777777" w:rsidR="00A1321B" w:rsidRPr="008609D1" w:rsidRDefault="00A1321B" w:rsidP="00A1321B">
      <w:pPr>
        <w:pStyle w:val="Normalresolucion"/>
        <w:keepNext/>
        <w:keepLines/>
        <w:rPr>
          <w:bCs/>
          <w:u w:val="single"/>
        </w:rPr>
      </w:pPr>
      <w:r w:rsidRPr="008609D1">
        <w:rPr>
          <w:bCs/>
          <w:u w:val="single"/>
        </w:rPr>
        <w:t>Activo Moderno Equivalente (AME)</w:t>
      </w:r>
    </w:p>
    <w:p w14:paraId="7B0568B4" w14:textId="77777777" w:rsidR="00A1321B" w:rsidRPr="008609D1" w:rsidRDefault="00A1321B" w:rsidP="00A1321B">
      <w:pPr>
        <w:pStyle w:val="Normalresolucion"/>
        <w:keepNext/>
        <w:keepLines/>
      </w:pPr>
      <w:r w:rsidRPr="008609D1">
        <w:t>Esta metodología se aplica habitualmente cuando debido al progreso tecnológico u obsolescencia, una empresa eficiente no reemplazaría un activo de la misma forma, sino que emplearía un activo más reciente que permitiera garantizar su funcionalidad. A modo de ejemplo, no resultaría razonable valorar los enlaces de transmisión de jerarquía plesiócrona (PDH) por la misma tecnología debido a su obsolescencia; en su defecto dichos enlaces deberían ser revaluados a costos actuales mediante tecnologías alternativas como SDH o Ethernet, las cuales aportan la misma funcionalidad a un menor precio.</w:t>
      </w:r>
    </w:p>
    <w:p w14:paraId="198EB7DB" w14:textId="77777777" w:rsidR="00A1321B" w:rsidRPr="008609D1" w:rsidRDefault="00A1321B" w:rsidP="00A1321B">
      <w:pPr>
        <w:pStyle w:val="Normalresolucion"/>
      </w:pPr>
      <w:r w:rsidRPr="008609D1">
        <w:t>El concesionario deberá asegurar la precisa valoración a costos actuales de todos aquellos activos cuyo costo tenga un peso relevante en las cuentas de servicios, ya sean minoristas o mayoristas, por medio de una valoración basada en un método de valoración absoluta o de activo moderno equivalente.</w:t>
      </w:r>
    </w:p>
    <w:p w14:paraId="133006C8" w14:textId="77777777" w:rsidR="00A1321B" w:rsidRPr="008609D1" w:rsidRDefault="00A1321B" w:rsidP="00A1321B">
      <w:pPr>
        <w:pStyle w:val="Normalresolucion"/>
        <w:rPr>
          <w:bCs/>
          <w:szCs w:val="20"/>
          <w:u w:val="single"/>
        </w:rPr>
      </w:pPr>
      <w:r w:rsidRPr="008609D1">
        <w:rPr>
          <w:bCs/>
          <w:u w:val="single"/>
        </w:rPr>
        <w:t>Metodología de indexación</w:t>
      </w:r>
    </w:p>
    <w:p w14:paraId="3480DF4E" w14:textId="77777777" w:rsidR="00A1321B" w:rsidRPr="008609D1" w:rsidRDefault="00A1321B" w:rsidP="00A1321B">
      <w:pPr>
        <w:pStyle w:val="Normalresolucion"/>
      </w:pPr>
      <w:r w:rsidRPr="008609D1">
        <w:t>Conforme a esta metodología, la valoración de los activos se realiza mediante la aplicación de un número índice que refleje la variación en el valor de los activos sobre sus valores históricos de adquisición. Este número índice deberá representar la evolución en el precio del activo desde la fecha de adquisición hasta el ejercicio fiscal correspondiente a la obligación de separación contable y deberá proceder de fuentes oficiales o de estudios elaborados por expertos en la materia.</w:t>
      </w:r>
    </w:p>
    <w:p w14:paraId="4F037319" w14:textId="77777777" w:rsidR="00A1321B" w:rsidRDefault="00A1321B" w:rsidP="00A1321B">
      <w:pPr>
        <w:pStyle w:val="Normalresolucion"/>
      </w:pPr>
      <w:r w:rsidRPr="008609D1">
        <w:t>Esta metodología se utilizará principalmente en aquellos activos que presenten una naturaleza heterogénea (por ejemplo, elementos de transmisión) o bien que presenten dificultad a la hora de establecer un número de unidades de manera robusta (por ejemplo, baterías y grupos electrógenos); es decir, para aquellos en los que resulte de mayor dificultad la aplicación de otros métodos como el de valoración absoluta, tasación, entre otros.</w:t>
      </w:r>
    </w:p>
    <w:p w14:paraId="52637606" w14:textId="77777777" w:rsidR="009E4185" w:rsidRPr="008609D1" w:rsidRDefault="009E4185" w:rsidP="00A1321B">
      <w:pPr>
        <w:pStyle w:val="Normalresolucion"/>
      </w:pPr>
    </w:p>
    <w:p w14:paraId="4CB3AC41" w14:textId="77777777" w:rsidR="00A1321B" w:rsidRPr="008609D1" w:rsidRDefault="00A1321B" w:rsidP="005F4843">
      <w:pPr>
        <w:pStyle w:val="A1L3"/>
        <w:outlineLvl w:val="2"/>
      </w:pPr>
      <w:bookmarkStart w:id="71" w:name="_Toc475004107"/>
      <w:bookmarkStart w:id="72" w:name="_Ref475095127"/>
      <w:bookmarkStart w:id="73" w:name="_Ref477513107"/>
      <w:bookmarkStart w:id="74" w:name="_Toc475468497"/>
      <w:bookmarkStart w:id="75" w:name="_Toc477515009"/>
      <w:bookmarkStart w:id="76" w:name="_Toc478774493"/>
      <w:bookmarkStart w:id="77" w:name="_Toc484022101"/>
      <w:r w:rsidRPr="008609D1">
        <w:lastRenderedPageBreak/>
        <w:t>Aproximación para el mantenimiento de capital y el cálculo de su depreciación</w:t>
      </w:r>
      <w:bookmarkEnd w:id="71"/>
      <w:bookmarkEnd w:id="72"/>
      <w:bookmarkEnd w:id="73"/>
      <w:bookmarkEnd w:id="74"/>
      <w:bookmarkEnd w:id="75"/>
      <w:bookmarkEnd w:id="76"/>
      <w:bookmarkEnd w:id="77"/>
    </w:p>
    <w:p w14:paraId="23E41EEB" w14:textId="009E9608" w:rsidR="00A1321B" w:rsidRPr="008609D1" w:rsidRDefault="00A1321B" w:rsidP="00A1321B">
      <w:pPr>
        <w:pStyle w:val="Normalresolucion"/>
        <w:keepNext/>
        <w:keepLines/>
      </w:pPr>
      <w:r>
        <w:t>En virtud</w:t>
      </w:r>
      <w:r w:rsidRPr="008609D1">
        <w:t xml:space="preserve"> </w:t>
      </w:r>
      <w:r>
        <w:t>de</w:t>
      </w:r>
      <w:r w:rsidRPr="008609D1">
        <w:t xml:space="preserve"> que los precios de los activos difieren entre el inicio y final del periodo financiero debido al progreso tecnológico o a la inflación, resulta necesario reflejar el impacto de dichas variaciones en la separación contable bajo el estándar de CCA. Para ello existen dos aproximaciones alternativas, bajo una visión operativa o financiera, cuyo detalle se expone a continuación:</w:t>
      </w:r>
    </w:p>
    <w:p w14:paraId="0182E708" w14:textId="77777777" w:rsidR="00A1321B" w:rsidRPr="008609D1" w:rsidRDefault="00A1321B" w:rsidP="00A1321B">
      <w:pPr>
        <w:pStyle w:val="Indentadoresolucin"/>
      </w:pPr>
      <w:r w:rsidRPr="008609D1">
        <w:rPr>
          <w:i/>
          <w:iCs/>
        </w:rPr>
        <w:t>Mantenimiento Operativo del Capital</w:t>
      </w:r>
      <w:r w:rsidRPr="008609D1">
        <w:t xml:space="preserve"> (OCM, por sus siglas en inglés), que persigue mantener la capacidad de producción de los activos de la empresa. Esta aproximación requiere mantener la capacidad operativa de la empresa constante entre el inicio y el final del periodo considerado, de modo que los beneficios sólo se materializan después de que se haya previsto sustituir la capacidad de producción de los activos de una empresa.</w:t>
      </w:r>
    </w:p>
    <w:p w14:paraId="15E5C03A" w14:textId="77777777" w:rsidR="00A1321B" w:rsidRPr="008609D1" w:rsidRDefault="00A1321B" w:rsidP="00A1321B">
      <w:pPr>
        <w:pStyle w:val="Indentadoresolucin"/>
      </w:pPr>
      <w:r w:rsidRPr="008609D1">
        <w:rPr>
          <w:bCs/>
          <w:i/>
          <w:iCs/>
        </w:rPr>
        <w:t>Mantenimiento financiero del capital</w:t>
      </w:r>
      <w:r w:rsidRPr="008609D1">
        <w:rPr>
          <w:bCs/>
        </w:rPr>
        <w:t xml:space="preserve"> (FCM, por sus siglas en inglés), persigue preservar </w:t>
      </w:r>
      <w:r w:rsidRPr="008609D1">
        <w:t>el capital financiero de una empresa y su habilidad para continuar financiando sus funciones. Bajo esta aproximación, se asume que se mantendrá el capital financiero siempre que los fondos de los inversionistas se mantengan en el mismo nivel que al inicio del período, de modo que los beneficios sólo se materializarán una vez que se haya realizado una provisión suficiente que asegure que el poder adquisitivo del capital financiero inicial se mantiene al cierre del período.</w:t>
      </w:r>
    </w:p>
    <w:p w14:paraId="2A0C2BE4" w14:textId="5EEE6F18" w:rsidR="00A1321B" w:rsidRPr="008609D1" w:rsidRDefault="00A1321B" w:rsidP="00A1321B">
      <w:pPr>
        <w:pStyle w:val="Normalresolucion"/>
      </w:pPr>
      <w:r w:rsidRPr="008609D1">
        <w:t>La aproximación más usada en la práctica internacional es la del mantenimiento financiero del capital (FCM), por los siguientes motivos:</w:t>
      </w:r>
    </w:p>
    <w:p w14:paraId="2FFC9F5C" w14:textId="77777777" w:rsidR="00A1321B" w:rsidRPr="008609D1" w:rsidRDefault="00A1321B" w:rsidP="00A1321B">
      <w:pPr>
        <w:pStyle w:val="Indentadoresolucin"/>
      </w:pPr>
      <w:r w:rsidRPr="008609D1">
        <w:t>Bajo la aproximación de FCM, los rendimientos de los aportadores de capital resultan iguales a la rentabilidad requerida (medida por el costo del capital), independientemente de si los costos de reemplazo suben o bajan con relación al índice general de precios.</w:t>
      </w:r>
    </w:p>
    <w:p w14:paraId="097A603C" w14:textId="77777777" w:rsidR="00A1321B" w:rsidRPr="008609D1" w:rsidRDefault="00A1321B" w:rsidP="00A1321B">
      <w:pPr>
        <w:pStyle w:val="Indentadoresolucin"/>
      </w:pPr>
      <w:r w:rsidRPr="008609D1">
        <w:t>Tal y como menciona la UIT en su guía de contabilidad regulatoria, “</w:t>
      </w:r>
      <w:r w:rsidRPr="008609D1">
        <w:rPr>
          <w:i/>
        </w:rPr>
        <w:t>el uso del OCM puede incorporar sistemáticamente retornos insuficientes o excesivos en función de si la inflación esperada de un activo se estimó por debajo o por encima del índice general de precios, lo cual no es recomendable para ningún regulador</w:t>
      </w:r>
      <w:r w:rsidRPr="008609D1">
        <w:t>”.</w:t>
      </w:r>
    </w:p>
    <w:p w14:paraId="36CA846C" w14:textId="77777777" w:rsidR="00A1321B" w:rsidRPr="008609D1" w:rsidRDefault="00A1321B" w:rsidP="00A1321B">
      <w:pPr>
        <w:pStyle w:val="Normalresolucion"/>
      </w:pPr>
      <w:r w:rsidRPr="008609D1">
        <w:t>Con base en lo anterior, los concesionarios deben utilizar la metodología FCM, la cual requiere de la definición de los siguientes términos para el correcto cálculo de los términos financieros:</w:t>
      </w:r>
    </w:p>
    <w:p w14:paraId="12470249" w14:textId="77777777" w:rsidR="00A1321B" w:rsidRPr="008609D1" w:rsidRDefault="00A1321B" w:rsidP="00A1321B">
      <w:pPr>
        <w:pStyle w:val="Indentadoresolucin"/>
      </w:pPr>
      <w:r w:rsidRPr="008609D1">
        <w:rPr>
          <w:i/>
          <w:iCs/>
        </w:rPr>
        <w:t>Depreciación acumulada</w:t>
      </w:r>
      <w:r w:rsidRPr="008609D1">
        <w:t>: obtenida como la suma de la depreciación acumulada bajo la CCA al final del ejercicio anterior, la depreciación atrasada (“</w:t>
      </w:r>
      <w:r w:rsidRPr="008609D1">
        <w:rPr>
          <w:i/>
          <w:iCs/>
        </w:rPr>
        <w:t>backlog depreciation</w:t>
      </w:r>
      <w:r w:rsidRPr="008609D1">
        <w:t xml:space="preserve">”) del ejercicio anterior, y la depreciación anual bajo la CCA del ejercicio en curso. </w:t>
      </w:r>
    </w:p>
    <w:p w14:paraId="492F5AA0" w14:textId="77777777" w:rsidR="00A1321B" w:rsidRPr="008609D1" w:rsidRDefault="00A1321B" w:rsidP="00A1321B">
      <w:pPr>
        <w:pStyle w:val="Indentadoresolucin"/>
      </w:pPr>
      <w:r w:rsidRPr="008609D1">
        <w:rPr>
          <w:i/>
          <w:iCs/>
        </w:rPr>
        <w:lastRenderedPageBreak/>
        <w:t>Depreciación suplementaria</w:t>
      </w:r>
      <w:r w:rsidRPr="008609D1">
        <w:t>: corresponde a la diferencia observada entre la depreciación histórica (contable) y la depreciación a costos actuales.</w:t>
      </w:r>
    </w:p>
    <w:p w14:paraId="38B47721" w14:textId="4790E9A6" w:rsidR="00A1321B" w:rsidRPr="008609D1" w:rsidRDefault="00A1321B" w:rsidP="00A1321B">
      <w:pPr>
        <w:pStyle w:val="Indentadoresolucin"/>
      </w:pPr>
      <w:r w:rsidRPr="008609D1">
        <w:rPr>
          <w:i/>
          <w:iCs/>
        </w:rPr>
        <w:t>Depreciación requerida</w:t>
      </w:r>
      <w:r w:rsidRPr="008609D1">
        <w:t>: corresponde a la depreciación acumulada que se habría generado con base en el costo actual del activo.</w:t>
      </w:r>
    </w:p>
    <w:p w14:paraId="7E4B0001" w14:textId="77777777" w:rsidR="00A1321B" w:rsidRPr="008609D1" w:rsidRDefault="00A1321B" w:rsidP="00A1321B">
      <w:pPr>
        <w:pStyle w:val="Indentadoresolucin"/>
      </w:pPr>
      <w:r w:rsidRPr="008609D1">
        <w:rPr>
          <w:i/>
          <w:iCs/>
        </w:rPr>
        <w:t>Depreciación atrasada</w:t>
      </w:r>
      <w:r w:rsidRPr="008609D1">
        <w:t xml:space="preserve"> (“</w:t>
      </w:r>
      <w:r w:rsidRPr="008609D1">
        <w:rPr>
          <w:i/>
          <w:iCs/>
        </w:rPr>
        <w:t>backlog depreciation</w:t>
      </w:r>
      <w:r w:rsidRPr="008609D1">
        <w:t>”): corresponde a la depreciación atrasada con motivo de las variaciones en el valor del activo durante el año en curso.</w:t>
      </w:r>
    </w:p>
    <w:p w14:paraId="1E4C3075" w14:textId="46649444" w:rsidR="00A1321B" w:rsidRPr="008609D1" w:rsidRDefault="00A1321B" w:rsidP="00A1321B">
      <w:pPr>
        <w:pStyle w:val="Indentadoresolucin"/>
      </w:pPr>
      <w:r w:rsidRPr="008609D1">
        <w:rPr>
          <w:i/>
          <w:iCs/>
        </w:rPr>
        <w:t>Ganancias</w:t>
      </w:r>
      <w:r w:rsidR="000B5B67">
        <w:rPr>
          <w:i/>
          <w:iCs/>
        </w:rPr>
        <w:t xml:space="preserve"> o </w:t>
      </w:r>
      <w:r w:rsidRPr="008609D1">
        <w:rPr>
          <w:i/>
          <w:iCs/>
        </w:rPr>
        <w:t>P</w:t>
      </w:r>
      <w:r>
        <w:rPr>
          <w:i/>
          <w:iCs/>
        </w:rPr>
        <w:t>é</w:t>
      </w:r>
      <w:r w:rsidRPr="008609D1">
        <w:rPr>
          <w:i/>
          <w:iCs/>
        </w:rPr>
        <w:t>rdidas de posesión</w:t>
      </w:r>
      <w:r w:rsidRPr="008609D1">
        <w:t xml:space="preserve"> (“</w:t>
      </w:r>
      <w:r w:rsidRPr="008609D1">
        <w:rPr>
          <w:i/>
          <w:iCs/>
        </w:rPr>
        <w:t>holding gain</w:t>
      </w:r>
      <w:r w:rsidR="000B5B67">
        <w:rPr>
          <w:i/>
          <w:iCs/>
        </w:rPr>
        <w:t xml:space="preserve"> or </w:t>
      </w:r>
      <w:r w:rsidRPr="008609D1">
        <w:rPr>
          <w:i/>
          <w:iCs/>
        </w:rPr>
        <w:t>loss</w:t>
      </w:r>
      <w:r w:rsidRPr="008609D1">
        <w:t>”): corresponde a los ajustes por plusvalías o minusvalías que puedan resultar del efecto de cambios de precios en la valorización a costos actuales de determinados activos.</w:t>
      </w:r>
    </w:p>
    <w:p w14:paraId="6BEBC959" w14:textId="77777777" w:rsidR="00A1321B" w:rsidRPr="008609D1" w:rsidRDefault="00A1321B" w:rsidP="00A1321B">
      <w:pPr>
        <w:pStyle w:val="Normalresolucion"/>
      </w:pPr>
      <w:r w:rsidRPr="008609D1">
        <w:t>La aplicación práctica de los conceptos anteriores se expone en el apartado que sigue a continuación.</w:t>
      </w:r>
    </w:p>
    <w:p w14:paraId="4F985B29" w14:textId="1B98D391" w:rsidR="00A1321B" w:rsidRPr="008609D1" w:rsidRDefault="00A1321B" w:rsidP="00A1321B">
      <w:pPr>
        <w:pStyle w:val="Normalresolucion"/>
      </w:pPr>
      <w:r w:rsidRPr="008609D1">
        <w:t>Una vez definida la aproximación para asegurar el mantenimiento del capital en la CCA, resulta necesario definir los mecanismos a seguir en el cálculo de los diferentes parámetros financieros (p</w:t>
      </w:r>
      <w:r w:rsidR="000B5B67">
        <w:t>or ejemplo</w:t>
      </w:r>
      <w:r w:rsidRPr="008609D1">
        <w:t xml:space="preserve"> depreciación anual, valor neto) bajo esta contabilidad. Para ello, se presenta a continuación la descripción del procedimiento a aplicar para el cálculo de estos componentes:</w:t>
      </w:r>
    </w:p>
    <w:p w14:paraId="22EE093D" w14:textId="77777777" w:rsidR="00A1321B" w:rsidRPr="008609D1" w:rsidRDefault="00A1321B" w:rsidP="00A1321B">
      <w:pPr>
        <w:pStyle w:val="Normalresolucion"/>
        <w:keepNext/>
        <w:keepLines/>
        <w:rPr>
          <w:bCs/>
          <w:u w:val="single"/>
        </w:rPr>
      </w:pPr>
      <w:r w:rsidRPr="008609D1">
        <w:rPr>
          <w:bCs/>
          <w:u w:val="single"/>
        </w:rPr>
        <w:t xml:space="preserve">Cargos de depreciación. </w:t>
      </w:r>
    </w:p>
    <w:p w14:paraId="20E53EBB" w14:textId="77777777" w:rsidR="00A1321B" w:rsidRPr="008609D1" w:rsidRDefault="00A1321B" w:rsidP="00A1321B">
      <w:pPr>
        <w:pStyle w:val="Normalresolucion"/>
        <w:keepNext/>
        <w:keepLines/>
      </w:pPr>
      <w:r w:rsidRPr="008609D1">
        <w:t>Los cargos de depreciación en la Contabilidad de Costos Actuales (CCA) se componen del conjunto de los siguientes tres conceptos:</w:t>
      </w:r>
    </w:p>
    <w:p w14:paraId="15A4500C" w14:textId="50F91381" w:rsidR="00A1321B" w:rsidRPr="008609D1" w:rsidRDefault="00A1321B" w:rsidP="00A1321B">
      <w:pPr>
        <w:pStyle w:val="Indentadoresolucin"/>
      </w:pPr>
      <w:r w:rsidRPr="008609D1">
        <w:t xml:space="preserve">Depreciación </w:t>
      </w:r>
      <w:r>
        <w:t>c</w:t>
      </w:r>
      <w:r w:rsidRPr="008609D1">
        <w:t>ontable</w:t>
      </w:r>
    </w:p>
    <w:p w14:paraId="5B9F941B" w14:textId="77777777" w:rsidR="00A1321B" w:rsidRPr="008609D1" w:rsidRDefault="00A1321B" w:rsidP="00A1321B">
      <w:pPr>
        <w:pStyle w:val="Indentadoresolucin"/>
      </w:pPr>
      <w:r w:rsidRPr="008609D1">
        <w:t>Depreciación suplementaria</w:t>
      </w:r>
    </w:p>
    <w:p w14:paraId="1401AF0C" w14:textId="7E6E0DAE" w:rsidR="00A1321B" w:rsidRPr="008609D1" w:rsidRDefault="00A1321B" w:rsidP="00A1321B">
      <w:pPr>
        <w:pStyle w:val="Indentadoresolucin"/>
      </w:pPr>
      <w:r w:rsidRPr="008609D1">
        <w:t>Ganancias</w:t>
      </w:r>
      <w:r w:rsidR="000B5B67">
        <w:t xml:space="preserve"> o </w:t>
      </w:r>
      <w:r w:rsidRPr="008609D1">
        <w:t>Pérdidas netas de posesión</w:t>
      </w:r>
    </w:p>
    <w:p w14:paraId="1FA50DAB" w14:textId="77777777" w:rsidR="00A1321B" w:rsidRPr="008609D1" w:rsidRDefault="00A1321B" w:rsidP="00A1321B">
      <w:pPr>
        <w:pStyle w:val="Normalresolucion"/>
      </w:pPr>
      <w:r w:rsidRPr="008609D1">
        <w:t>Donde:</w:t>
      </w:r>
    </w:p>
    <w:p w14:paraId="1A0A1657" w14:textId="77777777" w:rsidR="00A1321B" w:rsidRPr="008609D1" w:rsidRDefault="00A1321B" w:rsidP="00A1321B">
      <w:pPr>
        <w:pStyle w:val="Indentadoresolucin"/>
      </w:pPr>
      <w:r w:rsidRPr="008609D1">
        <w:rPr>
          <w:i/>
          <w:iCs/>
        </w:rPr>
        <w:t>Depreciación contable</w:t>
      </w:r>
      <w:r>
        <w:rPr>
          <w:i/>
          <w:iCs/>
        </w:rPr>
        <w:t>,</w:t>
      </w:r>
      <w:r w:rsidRPr="008609D1">
        <w:t xml:space="preserve"> representa la depreciación registrada en los libros del concesionario</w:t>
      </w:r>
    </w:p>
    <w:p w14:paraId="1007CA72" w14:textId="5F0FD9E6" w:rsidR="00A1321B" w:rsidRPr="008609D1" w:rsidRDefault="00A1321B" w:rsidP="00A1321B">
      <w:pPr>
        <w:pStyle w:val="Indentadoresolucin"/>
        <w:spacing w:after="120"/>
      </w:pPr>
      <w:r w:rsidRPr="008609D1">
        <w:rPr>
          <w:i/>
          <w:iCs/>
        </w:rPr>
        <w:t>Depreciación suplementaria</w:t>
      </w:r>
      <w:r w:rsidRPr="008609D1">
        <w:t>, descrita en párrafos anteriores, y la cu</w:t>
      </w:r>
      <w:r>
        <w:t>a</w:t>
      </w:r>
      <w:r w:rsidRPr="008609D1">
        <w:t>l se obtendrá de acuerdo a la formulación expuesta a continuación:</w:t>
      </w:r>
    </w:p>
    <w:p w14:paraId="15EE2BCB" w14:textId="77777777" w:rsidR="00A1321B" w:rsidRPr="008609D1" w:rsidRDefault="00A1321B" w:rsidP="00A1321B">
      <w:pPr>
        <w:pStyle w:val="Indentado2"/>
        <w:numPr>
          <w:ilvl w:val="0"/>
          <w:numId w:val="0"/>
        </w:numPr>
        <w:ind w:left="1176"/>
        <w:rPr>
          <w:rFonts w:ascii="ITC Avant Garde" w:hAnsi="ITC Avant Garde" w:cs="Arial"/>
          <w:sz w:val="22"/>
          <w:szCs w:val="22"/>
          <w:lang w:val="es-ES"/>
        </w:rPr>
      </w:pPr>
      <m:oMathPara>
        <m:oMath>
          <m:r>
            <w:rPr>
              <w:rFonts w:ascii="Cambria Math" w:hAnsi="Cambria Math" w:cs="Arial"/>
              <w:sz w:val="22"/>
              <w:szCs w:val="22"/>
              <w:lang w:val="es-ES"/>
            </w:rPr>
            <m:t>Depreciaci</m:t>
          </m:r>
          <m:r>
            <m:rPr>
              <m:sty m:val="p"/>
            </m:rPr>
            <w:rPr>
              <w:rFonts w:ascii="Cambria Math" w:hAnsi="Cambria Math" w:cs="Arial"/>
              <w:sz w:val="22"/>
              <w:szCs w:val="22"/>
              <w:lang w:val="es-ES"/>
            </w:rPr>
            <m:t>ó</m:t>
          </m:r>
          <m:r>
            <w:rPr>
              <w:rFonts w:ascii="Cambria Math" w:hAnsi="Cambria Math" w:cs="Arial"/>
              <w:sz w:val="22"/>
              <w:szCs w:val="22"/>
              <w:lang w:val="es-ES"/>
            </w:rPr>
            <m:t>nSuplementaria</m:t>
          </m:r>
          <m:r>
            <m:rPr>
              <m:sty m:val="p"/>
            </m:rPr>
            <w:rPr>
              <w:rFonts w:ascii="Cambria Math" w:hAnsi="Cambria Math" w:cs="Arial"/>
              <w:sz w:val="22"/>
              <w:szCs w:val="22"/>
              <w:lang w:val="es-ES"/>
            </w:rPr>
            <m:t>=</m:t>
          </m:r>
          <m:sSub>
            <m:sSubPr>
              <m:ctrlPr>
                <w:rPr>
                  <w:rFonts w:ascii="Cambria Math" w:hAnsi="Cambria Math" w:cs="Arial"/>
                  <w:sz w:val="22"/>
                  <w:szCs w:val="22"/>
                  <w:lang w:val="es-ES"/>
                </w:rPr>
              </m:ctrlPr>
            </m:sSubPr>
            <m:e>
              <m:r>
                <w:rPr>
                  <w:rFonts w:ascii="Cambria Math" w:hAnsi="Cambria Math" w:cs="Arial"/>
                  <w:sz w:val="22"/>
                  <w:szCs w:val="22"/>
                  <w:lang w:val="es-ES"/>
                </w:rPr>
                <m:t>Depr</m:t>
              </m:r>
              <m:r>
                <m:rPr>
                  <m:sty m:val="p"/>
                </m:rPr>
                <w:rPr>
                  <w:rFonts w:ascii="Cambria Math" w:hAnsi="Cambria Math" w:cs="Arial"/>
                  <w:sz w:val="22"/>
                  <w:szCs w:val="22"/>
                  <w:lang w:val="es-ES"/>
                </w:rPr>
                <m:t>.</m:t>
              </m:r>
              <m:r>
                <w:rPr>
                  <w:rFonts w:ascii="Cambria Math" w:hAnsi="Cambria Math" w:cs="Arial"/>
                  <w:sz w:val="22"/>
                  <w:szCs w:val="22"/>
                  <w:lang w:val="es-ES"/>
                </w:rPr>
                <m:t>Acum</m:t>
              </m:r>
              <m:r>
                <m:rPr>
                  <m:sty m:val="p"/>
                </m:rPr>
                <w:rPr>
                  <w:rFonts w:ascii="Cambria Math" w:hAnsi="Cambria Math" w:cs="Arial"/>
                  <w:sz w:val="22"/>
                  <w:szCs w:val="22"/>
                  <w:lang w:val="es-ES"/>
                </w:rPr>
                <m:t>.</m:t>
              </m:r>
            </m:e>
            <m:sub>
              <m:r>
                <w:rPr>
                  <w:rFonts w:ascii="Cambria Math" w:hAnsi="Cambria Math" w:cs="Arial"/>
                  <w:sz w:val="22"/>
                  <w:szCs w:val="22"/>
                  <w:lang w:val="es-ES"/>
                </w:rPr>
                <m:t>cierre</m:t>
              </m:r>
            </m:sub>
          </m:sSub>
          <m:d>
            <m:dPr>
              <m:ctrlPr>
                <w:rPr>
                  <w:rFonts w:ascii="Cambria Math" w:hAnsi="Cambria Math" w:cs="Arial"/>
                  <w:sz w:val="22"/>
                  <w:szCs w:val="22"/>
                  <w:lang w:val="es-ES"/>
                </w:rPr>
              </m:ctrlPr>
            </m:dPr>
            <m:e>
              <m:r>
                <w:rPr>
                  <w:rFonts w:ascii="Cambria Math" w:hAnsi="Cambria Math" w:cs="Arial"/>
                  <w:sz w:val="22"/>
                  <w:szCs w:val="22"/>
                  <w:lang w:val="es-ES"/>
                </w:rPr>
                <m:t>CCA</m:t>
              </m:r>
            </m:e>
          </m:d>
          <m:r>
            <m:rPr>
              <m:sty m:val="p"/>
            </m:rPr>
            <w:rPr>
              <w:rFonts w:ascii="Cambria Math" w:hAnsi="Cambria Math" w:cs="Arial"/>
              <w:sz w:val="22"/>
              <w:szCs w:val="22"/>
              <w:lang w:val="es-ES"/>
            </w:rPr>
            <m:t>-</m:t>
          </m:r>
          <m:sSub>
            <m:sSubPr>
              <m:ctrlPr>
                <w:rPr>
                  <w:rFonts w:ascii="Cambria Math" w:hAnsi="Cambria Math" w:cs="Arial"/>
                  <w:sz w:val="22"/>
                  <w:szCs w:val="22"/>
                  <w:lang w:val="es-ES"/>
                </w:rPr>
              </m:ctrlPr>
            </m:sSubPr>
            <m:e>
              <m:r>
                <w:rPr>
                  <w:rFonts w:ascii="Cambria Math" w:hAnsi="Cambria Math" w:cs="Arial"/>
                  <w:sz w:val="22"/>
                  <w:szCs w:val="22"/>
                  <w:lang w:val="es-ES"/>
                </w:rPr>
                <m:t>Depr</m:t>
              </m:r>
              <m:r>
                <m:rPr>
                  <m:sty m:val="p"/>
                </m:rPr>
                <w:rPr>
                  <w:rFonts w:ascii="Cambria Math" w:hAnsi="Cambria Math" w:cs="Arial"/>
                  <w:sz w:val="22"/>
                  <w:szCs w:val="22"/>
                  <w:lang w:val="es-ES"/>
                </w:rPr>
                <m:t>.</m:t>
              </m:r>
              <m:r>
                <w:rPr>
                  <w:rFonts w:ascii="Cambria Math" w:hAnsi="Cambria Math" w:cs="Arial"/>
                  <w:sz w:val="22"/>
                  <w:szCs w:val="22"/>
                  <w:lang w:val="es-ES"/>
                </w:rPr>
                <m:t>Acum</m:t>
              </m:r>
              <m:r>
                <m:rPr>
                  <m:sty m:val="p"/>
                </m:rPr>
                <w:rPr>
                  <w:rFonts w:ascii="Cambria Math" w:hAnsi="Cambria Math" w:cs="Arial"/>
                  <w:sz w:val="22"/>
                  <w:szCs w:val="22"/>
                  <w:lang w:val="es-ES"/>
                </w:rPr>
                <m:t>.</m:t>
              </m:r>
            </m:e>
            <m:sub>
              <m:r>
                <w:rPr>
                  <w:rFonts w:ascii="Cambria Math" w:hAnsi="Cambria Math" w:cs="Arial"/>
                  <w:sz w:val="22"/>
                  <w:szCs w:val="22"/>
                  <w:lang w:val="es-ES"/>
                </w:rPr>
                <m:t>apertura</m:t>
              </m:r>
            </m:sub>
          </m:sSub>
          <m:d>
            <m:dPr>
              <m:ctrlPr>
                <w:rPr>
                  <w:rFonts w:ascii="Cambria Math" w:hAnsi="Cambria Math" w:cs="Arial"/>
                  <w:sz w:val="22"/>
                  <w:szCs w:val="22"/>
                  <w:lang w:val="es-ES"/>
                </w:rPr>
              </m:ctrlPr>
            </m:dPr>
            <m:e>
              <m:r>
                <w:rPr>
                  <w:rFonts w:ascii="Cambria Math" w:hAnsi="Cambria Math" w:cs="Arial"/>
                  <w:sz w:val="22"/>
                  <w:szCs w:val="22"/>
                  <w:lang w:val="es-ES"/>
                </w:rPr>
                <m:t>CCA</m:t>
              </m:r>
            </m:e>
          </m:d>
          <m:r>
            <m:rPr>
              <m:sty m:val="p"/>
            </m:rPr>
            <w:rPr>
              <w:rFonts w:ascii="Cambria Math" w:hAnsi="Cambria Math" w:cs="Arial"/>
              <w:sz w:val="22"/>
              <w:szCs w:val="22"/>
              <w:lang w:val="es-ES"/>
            </w:rPr>
            <m:t>-</m:t>
          </m:r>
          <m:r>
            <w:rPr>
              <w:rFonts w:ascii="Cambria Math" w:hAnsi="Cambria Math" w:cs="Arial"/>
              <w:sz w:val="22"/>
              <w:szCs w:val="22"/>
              <w:lang w:val="es-ES"/>
            </w:rPr>
            <m:t>Depreciaci</m:t>
          </m:r>
          <m:r>
            <m:rPr>
              <m:sty m:val="p"/>
            </m:rPr>
            <w:rPr>
              <w:rFonts w:ascii="Cambria Math" w:hAnsi="Cambria Math" w:cs="Arial"/>
              <w:sz w:val="22"/>
              <w:szCs w:val="22"/>
              <w:lang w:val="es-ES"/>
            </w:rPr>
            <m:t>ó</m:t>
          </m:r>
          <m:r>
            <w:rPr>
              <w:rFonts w:ascii="Cambria Math" w:hAnsi="Cambria Math" w:cs="Arial"/>
              <w:sz w:val="22"/>
              <w:szCs w:val="22"/>
              <w:lang w:val="es-ES"/>
            </w:rPr>
            <m:t>nAtrasada</m:t>
          </m:r>
          <m:r>
            <m:rPr>
              <m:sty m:val="p"/>
            </m:rPr>
            <w:rPr>
              <w:rFonts w:ascii="Cambria Math" w:hAnsi="Cambria Math" w:cs="Arial"/>
              <w:sz w:val="22"/>
              <w:szCs w:val="22"/>
              <w:lang w:val="es-ES"/>
            </w:rPr>
            <m:t>-</m:t>
          </m:r>
          <m:r>
            <w:rPr>
              <w:rFonts w:ascii="Cambria Math" w:hAnsi="Cambria Math" w:cs="Arial"/>
              <w:sz w:val="22"/>
              <w:szCs w:val="22"/>
              <w:lang w:val="es-ES"/>
            </w:rPr>
            <m:t>Traspasos</m:t>
          </m:r>
          <m:d>
            <m:dPr>
              <m:ctrlPr>
                <w:rPr>
                  <w:rFonts w:ascii="Cambria Math" w:hAnsi="Cambria Math" w:cs="Arial"/>
                  <w:sz w:val="22"/>
                  <w:szCs w:val="22"/>
                  <w:lang w:val="es-ES"/>
                </w:rPr>
              </m:ctrlPr>
            </m:dPr>
            <m:e>
              <m:r>
                <w:rPr>
                  <w:rFonts w:ascii="Cambria Math" w:hAnsi="Cambria Math" w:cs="Arial"/>
                  <w:sz w:val="22"/>
                  <w:szCs w:val="22"/>
                  <w:lang w:val="es-ES"/>
                </w:rPr>
                <m:t>Aj</m:t>
              </m:r>
              <m:r>
                <m:rPr>
                  <m:sty m:val="p"/>
                </m:rPr>
                <w:rPr>
                  <w:rFonts w:ascii="Cambria Math" w:hAnsi="Cambria Math" w:cs="Arial"/>
                  <w:sz w:val="22"/>
                  <w:szCs w:val="22"/>
                  <w:lang w:val="es-ES"/>
                </w:rPr>
                <m:t xml:space="preserve">. </m:t>
              </m:r>
              <m:r>
                <w:rPr>
                  <w:rFonts w:ascii="Cambria Math" w:hAnsi="Cambria Math" w:cs="Arial"/>
                  <w:sz w:val="22"/>
                  <w:szCs w:val="22"/>
                  <w:lang w:val="es-ES"/>
                </w:rPr>
                <m:t>Depr</m:t>
              </m:r>
            </m:e>
          </m:d>
          <m:r>
            <m:rPr>
              <m:sty m:val="p"/>
            </m:rPr>
            <w:rPr>
              <w:rFonts w:ascii="Cambria Math" w:hAnsi="Cambria Math" w:cs="Arial"/>
              <w:sz w:val="22"/>
              <w:szCs w:val="22"/>
              <w:lang w:val="es-ES"/>
            </w:rPr>
            <m:t>+</m:t>
          </m:r>
          <m:r>
            <w:rPr>
              <w:rFonts w:ascii="Cambria Math" w:hAnsi="Cambria Math" w:cs="Arial"/>
              <w:sz w:val="22"/>
              <w:szCs w:val="22"/>
              <w:lang w:val="es-ES"/>
            </w:rPr>
            <m:t>Bajas</m:t>
          </m:r>
        </m:oMath>
      </m:oMathPara>
    </w:p>
    <w:p w14:paraId="6D12BCF2" w14:textId="77777777" w:rsidR="00A1321B" w:rsidRPr="008609D1" w:rsidRDefault="00A1321B" w:rsidP="00A1321B">
      <w:pPr>
        <w:pStyle w:val="Normalresolucion"/>
        <w:ind w:left="709"/>
        <w:rPr>
          <w:sz w:val="18"/>
          <w:szCs w:val="20"/>
        </w:rPr>
      </w:pPr>
      <w:r w:rsidRPr="008609D1">
        <w:t>Donde:</w:t>
      </w:r>
    </w:p>
    <w:p w14:paraId="02E78495" w14:textId="77777777" w:rsidR="00A1321B" w:rsidRPr="008609D1" w:rsidRDefault="00970710" w:rsidP="00A1321B">
      <w:pPr>
        <w:pStyle w:val="Indentado3"/>
        <w:spacing w:after="60"/>
      </w:pPr>
      <m:oMath>
        <m:sSub>
          <m:sSubPr>
            <m:ctrlPr>
              <w:rPr>
                <w:rFonts w:ascii="Cambria Math" w:hAnsi="Cambria Math"/>
                <w:sz w:val="18"/>
              </w:rPr>
            </m:ctrlPr>
          </m:sSubPr>
          <m:e>
            <m:r>
              <w:rPr>
                <w:rFonts w:ascii="Cambria Math" w:hAnsi="Cambria Math"/>
              </w:rPr>
              <m:t>Depr</m:t>
            </m:r>
            <m:r>
              <m:rPr>
                <m:sty m:val="p"/>
              </m:rPr>
              <w:rPr>
                <w:rFonts w:ascii="Cambria Math" w:hAnsi="Cambria Math"/>
              </w:rPr>
              <m:t>.</m:t>
            </m:r>
            <m:r>
              <w:rPr>
                <w:rFonts w:ascii="Cambria Math" w:hAnsi="Cambria Math"/>
              </w:rPr>
              <m:t>Acum</m:t>
            </m:r>
            <m:r>
              <m:rPr>
                <m:sty m:val="p"/>
              </m:rPr>
              <w:rPr>
                <w:rFonts w:ascii="Cambria Math" w:hAnsi="Cambria Math"/>
              </w:rPr>
              <m:t>.</m:t>
            </m:r>
          </m:e>
          <m:sub>
            <m:r>
              <w:rPr>
                <w:rFonts w:ascii="Cambria Math" w:hAnsi="Cambria Math"/>
              </w:rPr>
              <m:t>ci</m:t>
            </m:r>
            <m:r>
              <w:rPr>
                <w:rFonts w:ascii="Cambria Math" w:hAnsi="Cambria Math" w:cs="Cambria Math"/>
              </w:rPr>
              <m:t>e</m:t>
            </m:r>
            <m:r>
              <w:rPr>
                <w:rFonts w:ascii="Cambria Math" w:hAnsi="Cambria Math"/>
              </w:rPr>
              <m:t>rre</m:t>
            </m:r>
          </m:sub>
        </m:sSub>
        <m:d>
          <m:dPr>
            <m:ctrlPr>
              <w:rPr>
                <w:rFonts w:ascii="Cambria Math" w:hAnsi="Cambria Math"/>
                <w:sz w:val="18"/>
              </w:rPr>
            </m:ctrlPr>
          </m:dPr>
          <m:e>
            <m:r>
              <w:rPr>
                <w:rFonts w:ascii="Cambria Math" w:hAnsi="Cambria Math"/>
              </w:rPr>
              <m:t>CCA</m:t>
            </m:r>
          </m:e>
        </m:d>
        <m:r>
          <m:rPr>
            <m:sty m:val="p"/>
          </m:rPr>
          <w:rPr>
            <w:rFonts w:ascii="Cambria Math" w:hAnsi="Cambria Math"/>
          </w:rPr>
          <m:t>=</m:t>
        </m:r>
        <m:sSub>
          <m:sSubPr>
            <m:ctrlPr>
              <w:rPr>
                <w:rFonts w:ascii="Cambria Math" w:hAnsi="Cambria Math"/>
                <w:sz w:val="18"/>
              </w:rPr>
            </m:ctrlPr>
          </m:sSubPr>
          <m:e>
            <m:r>
              <w:rPr>
                <w:rFonts w:ascii="Cambria Math" w:hAnsi="Cambria Math"/>
              </w:rPr>
              <m:t>Depr</m:t>
            </m:r>
            <m:r>
              <m:rPr>
                <m:sty m:val="p"/>
              </m:rPr>
              <w:rPr>
                <w:rFonts w:ascii="Cambria Math" w:hAnsi="Cambria Math"/>
              </w:rPr>
              <m:t>.</m:t>
            </m:r>
            <m:r>
              <w:rPr>
                <w:rFonts w:ascii="Cambria Math" w:hAnsi="Cambria Math"/>
              </w:rPr>
              <m:t>Acum</m:t>
            </m:r>
            <m:r>
              <m:rPr>
                <m:sty m:val="p"/>
              </m:rPr>
              <w:rPr>
                <w:rFonts w:ascii="Cambria Math" w:hAnsi="Cambria Math"/>
              </w:rPr>
              <m:t>.</m:t>
            </m:r>
          </m:e>
          <m:sub>
            <m:r>
              <w:rPr>
                <w:rFonts w:ascii="Cambria Math" w:hAnsi="Cambria Math"/>
              </w:rPr>
              <m:t>cierre</m:t>
            </m:r>
          </m:sub>
        </m:sSub>
        <m:d>
          <m:dPr>
            <m:ctrlPr>
              <w:rPr>
                <w:rFonts w:ascii="Cambria Math" w:hAnsi="Cambria Math"/>
                <w:sz w:val="18"/>
              </w:rPr>
            </m:ctrlPr>
          </m:dPr>
          <m:e>
            <m:r>
              <w:rPr>
                <w:rFonts w:ascii="Cambria Math" w:hAnsi="Cambria Math"/>
              </w:rPr>
              <m:t>Contable</m:t>
            </m:r>
          </m:e>
        </m:d>
        <m:r>
          <m:rPr>
            <m:sty m:val="p"/>
          </m:rPr>
          <w:rPr>
            <w:rFonts w:ascii="Cambria Math" w:hAnsi="Cambria Math"/>
          </w:rPr>
          <m:t>·</m:t>
        </m:r>
        <m:f>
          <m:fPr>
            <m:ctrlPr>
              <w:rPr>
                <w:rFonts w:ascii="Cambria Math" w:hAnsi="Cambria Math"/>
                <w:sz w:val="18"/>
              </w:rPr>
            </m:ctrlPr>
          </m:fPr>
          <m:num>
            <m:r>
              <w:rPr>
                <w:rFonts w:ascii="Cambria Math" w:hAnsi="Cambria Math"/>
              </w:rPr>
              <m:t>VB</m:t>
            </m:r>
            <m:sSub>
              <m:sSubPr>
                <m:ctrlPr>
                  <w:rPr>
                    <w:rFonts w:ascii="Cambria Math" w:hAnsi="Cambria Math"/>
                    <w:sz w:val="18"/>
                  </w:rPr>
                </m:ctrlPr>
              </m:sSubPr>
              <m:e>
                <m:r>
                  <w:rPr>
                    <w:rFonts w:ascii="Cambria Math" w:hAnsi="Cambria Math"/>
                  </w:rPr>
                  <m:t>R</m:t>
                </m:r>
              </m:e>
              <m:sub>
                <m:r>
                  <m:rPr>
                    <m:sty m:val="p"/>
                  </m:rPr>
                  <w:rPr>
                    <w:rFonts w:ascii="Cambria Math" w:hAnsi="Cambria Math" w:cs="Cambria Math"/>
                  </w:rPr>
                  <m:t>c</m:t>
                </m:r>
                <m:r>
                  <w:rPr>
                    <w:rFonts w:ascii="Cambria Math" w:hAnsi="Cambria Math"/>
                  </w:rPr>
                  <m:t>ierre</m:t>
                </m:r>
              </m:sub>
            </m:sSub>
          </m:num>
          <m:den>
            <m:r>
              <w:rPr>
                <w:rFonts w:ascii="Cambria Math" w:hAnsi="Cambria Math"/>
              </w:rPr>
              <m:t>VB</m:t>
            </m:r>
            <m:sSub>
              <m:sSubPr>
                <m:ctrlPr>
                  <w:rPr>
                    <w:rFonts w:ascii="Cambria Math" w:hAnsi="Cambria Math"/>
                    <w:sz w:val="18"/>
                  </w:rPr>
                </m:ctrlPr>
              </m:sSubPr>
              <m:e>
                <m:r>
                  <w:rPr>
                    <w:rFonts w:ascii="Cambria Math" w:hAnsi="Cambria Math"/>
                  </w:rPr>
                  <m:t>C</m:t>
                </m:r>
              </m:e>
              <m:sub>
                <m:r>
                  <w:rPr>
                    <w:rFonts w:ascii="Cambria Math" w:hAnsi="Cambria Math"/>
                  </w:rPr>
                  <m:t>cierre</m:t>
                </m:r>
              </m:sub>
            </m:sSub>
          </m:den>
        </m:f>
      </m:oMath>
    </w:p>
    <w:p w14:paraId="06D5F491" w14:textId="77777777" w:rsidR="00A1321B" w:rsidRPr="008609D1" w:rsidRDefault="00970710" w:rsidP="00A1321B">
      <w:pPr>
        <w:pStyle w:val="Indentado3"/>
        <w:spacing w:after="60"/>
      </w:pPr>
      <m:oMath>
        <m:sSub>
          <m:sSubPr>
            <m:ctrlPr>
              <w:rPr>
                <w:rFonts w:ascii="Cambria Math" w:hAnsi="Cambria Math"/>
                <w:sz w:val="18"/>
              </w:rPr>
            </m:ctrlPr>
          </m:sSubPr>
          <m:e>
            <m:r>
              <w:rPr>
                <w:rFonts w:ascii="Cambria Math" w:hAnsi="Cambria Math"/>
              </w:rPr>
              <m:t>Depr</m:t>
            </m:r>
            <m:r>
              <m:rPr>
                <m:sty m:val="p"/>
              </m:rPr>
              <w:rPr>
                <w:rFonts w:ascii="Cambria Math" w:hAnsi="Cambria Math"/>
              </w:rPr>
              <m:t>.</m:t>
            </m:r>
            <m:r>
              <w:rPr>
                <w:rFonts w:ascii="Cambria Math" w:hAnsi="Cambria Math"/>
              </w:rPr>
              <m:t>Acum</m:t>
            </m:r>
            <m:r>
              <m:rPr>
                <m:sty m:val="p"/>
              </m:rPr>
              <w:rPr>
                <w:rFonts w:ascii="Cambria Math" w:hAnsi="Cambria Math"/>
              </w:rPr>
              <m:t>.</m:t>
            </m:r>
          </m:e>
          <m:sub>
            <m:r>
              <w:rPr>
                <w:rFonts w:ascii="Cambria Math" w:hAnsi="Cambria Math"/>
              </w:rPr>
              <m:t>apertura</m:t>
            </m:r>
          </m:sub>
        </m:sSub>
        <m:d>
          <m:dPr>
            <m:ctrlPr>
              <w:rPr>
                <w:rFonts w:ascii="Cambria Math" w:hAnsi="Cambria Math"/>
                <w:sz w:val="18"/>
              </w:rPr>
            </m:ctrlPr>
          </m:dPr>
          <m:e>
            <m:r>
              <w:rPr>
                <w:rFonts w:ascii="Cambria Math" w:hAnsi="Cambria Math"/>
              </w:rPr>
              <m:t>CCA</m:t>
            </m:r>
          </m:e>
        </m:d>
        <m:r>
          <m:rPr>
            <m:sty m:val="p"/>
          </m:rPr>
          <w:rPr>
            <w:rFonts w:ascii="Cambria Math" w:hAnsi="Cambria Math"/>
          </w:rPr>
          <m:t>=</m:t>
        </m:r>
        <m:sSub>
          <m:sSubPr>
            <m:ctrlPr>
              <w:rPr>
                <w:rFonts w:ascii="Cambria Math" w:hAnsi="Cambria Math"/>
                <w:sz w:val="18"/>
              </w:rPr>
            </m:ctrlPr>
          </m:sSubPr>
          <m:e>
            <m:r>
              <w:rPr>
                <w:rFonts w:ascii="Cambria Math" w:hAnsi="Cambria Math"/>
              </w:rPr>
              <m:t>Depr</m:t>
            </m:r>
            <m:r>
              <m:rPr>
                <m:sty m:val="p"/>
              </m:rPr>
              <w:rPr>
                <w:rFonts w:ascii="Cambria Math" w:hAnsi="Cambria Math"/>
              </w:rPr>
              <m:t>.</m:t>
            </m:r>
            <m:r>
              <w:rPr>
                <w:rFonts w:ascii="Cambria Math" w:hAnsi="Cambria Math"/>
              </w:rPr>
              <m:t>Acum</m:t>
            </m:r>
            <m:r>
              <m:rPr>
                <m:sty m:val="p"/>
              </m:rPr>
              <w:rPr>
                <w:rFonts w:ascii="Cambria Math" w:hAnsi="Cambria Math"/>
              </w:rPr>
              <m:t>.</m:t>
            </m:r>
          </m:e>
          <m:sub>
            <m:r>
              <w:rPr>
                <w:rFonts w:ascii="Cambria Math" w:hAnsi="Cambria Math"/>
              </w:rPr>
              <m:t>apertura</m:t>
            </m:r>
          </m:sub>
        </m:sSub>
        <m:d>
          <m:dPr>
            <m:ctrlPr>
              <w:rPr>
                <w:rFonts w:ascii="Cambria Math" w:hAnsi="Cambria Math"/>
                <w:sz w:val="18"/>
              </w:rPr>
            </m:ctrlPr>
          </m:dPr>
          <m:e>
            <m:r>
              <w:rPr>
                <w:rFonts w:ascii="Cambria Math" w:hAnsi="Cambria Math"/>
              </w:rPr>
              <m:t>Contable</m:t>
            </m:r>
          </m:e>
        </m:d>
        <m:r>
          <m:rPr>
            <m:sty m:val="p"/>
          </m:rPr>
          <w:rPr>
            <w:rFonts w:ascii="Cambria Math" w:hAnsi="Cambria Math"/>
          </w:rPr>
          <m:t>·</m:t>
        </m:r>
        <m:f>
          <m:fPr>
            <m:ctrlPr>
              <w:rPr>
                <w:rFonts w:ascii="Cambria Math" w:hAnsi="Cambria Math"/>
                <w:sz w:val="18"/>
              </w:rPr>
            </m:ctrlPr>
          </m:fPr>
          <m:num>
            <m:r>
              <w:rPr>
                <w:rFonts w:ascii="Cambria Math" w:hAnsi="Cambria Math"/>
              </w:rPr>
              <m:t>VB</m:t>
            </m:r>
            <m:sSub>
              <m:sSubPr>
                <m:ctrlPr>
                  <w:rPr>
                    <w:rFonts w:ascii="Cambria Math" w:hAnsi="Cambria Math"/>
                    <w:sz w:val="18"/>
                  </w:rPr>
                </m:ctrlPr>
              </m:sSubPr>
              <m:e>
                <m:r>
                  <w:rPr>
                    <w:rFonts w:ascii="Cambria Math" w:hAnsi="Cambria Math"/>
                  </w:rPr>
                  <m:t>R</m:t>
                </m:r>
              </m:e>
              <m:sub>
                <m:r>
                  <w:rPr>
                    <w:rFonts w:ascii="Cambria Math" w:hAnsi="Cambria Math"/>
                  </w:rPr>
                  <m:t>apertura</m:t>
                </m:r>
              </m:sub>
            </m:sSub>
          </m:num>
          <m:den>
            <m:r>
              <w:rPr>
                <w:rFonts w:ascii="Cambria Math" w:hAnsi="Cambria Math"/>
              </w:rPr>
              <m:t>VB</m:t>
            </m:r>
            <m:sSub>
              <m:sSubPr>
                <m:ctrlPr>
                  <w:rPr>
                    <w:rFonts w:ascii="Cambria Math" w:hAnsi="Cambria Math"/>
                    <w:sz w:val="18"/>
                  </w:rPr>
                </m:ctrlPr>
              </m:sSubPr>
              <m:e>
                <m:r>
                  <w:rPr>
                    <w:rFonts w:ascii="Cambria Math" w:hAnsi="Cambria Math"/>
                  </w:rPr>
                  <m:t>C</m:t>
                </m:r>
              </m:e>
              <m:sub>
                <m:r>
                  <w:rPr>
                    <w:rFonts w:ascii="Cambria Math" w:hAnsi="Cambria Math"/>
                  </w:rPr>
                  <m:t>apertura</m:t>
                </m:r>
              </m:sub>
            </m:sSub>
          </m:den>
        </m:f>
      </m:oMath>
    </w:p>
    <w:p w14:paraId="59140723" w14:textId="77777777" w:rsidR="00A1321B" w:rsidRPr="008609D1" w:rsidRDefault="00A1321B" w:rsidP="00A1321B">
      <w:pPr>
        <w:pStyle w:val="Indentado3"/>
        <w:spacing w:after="60"/>
      </w:pPr>
      <w:r w:rsidRPr="008609D1">
        <w:lastRenderedPageBreak/>
        <w:t>Siendo:</w:t>
      </w:r>
    </w:p>
    <w:p w14:paraId="7062BDD7" w14:textId="77777777" w:rsidR="00A1321B" w:rsidRPr="008609D1" w:rsidRDefault="00A1321B" w:rsidP="00A1321B">
      <w:pPr>
        <w:pStyle w:val="Indentado3"/>
        <w:numPr>
          <w:ilvl w:val="2"/>
          <w:numId w:val="9"/>
        </w:numPr>
        <w:spacing w:after="60"/>
      </w:pPr>
      <w:r w:rsidRPr="008609D1">
        <w:t>VBR el Valor Bruto de Reemplazo</w:t>
      </w:r>
    </w:p>
    <w:p w14:paraId="1719E6DB" w14:textId="77777777" w:rsidR="00A1321B" w:rsidRPr="008609D1" w:rsidRDefault="00A1321B" w:rsidP="00A1321B">
      <w:pPr>
        <w:pStyle w:val="Indentado3"/>
        <w:numPr>
          <w:ilvl w:val="2"/>
          <w:numId w:val="9"/>
        </w:numPr>
        <w:spacing w:after="60"/>
      </w:pPr>
      <w:r w:rsidRPr="008609D1">
        <w:t>VBC el Valor Bruto Contable</w:t>
      </w:r>
    </w:p>
    <w:p w14:paraId="57BA1BE0" w14:textId="77777777" w:rsidR="00A1321B" w:rsidRPr="008609D1" w:rsidRDefault="00A1321B" w:rsidP="00A1321B">
      <w:pPr>
        <w:pStyle w:val="Indentado3"/>
        <w:spacing w:after="60"/>
      </w:pPr>
      <m:oMath>
        <m:r>
          <w:rPr>
            <w:rFonts w:ascii="Cambria Math" w:hAnsi="Cambria Math"/>
          </w:rPr>
          <m:t>Depreciaci</m:t>
        </m:r>
        <m:r>
          <m:rPr>
            <m:sty m:val="p"/>
          </m:rPr>
          <w:rPr>
            <w:rFonts w:ascii="Cambria Math" w:hAnsi="Cambria Math"/>
          </w:rPr>
          <m:t>ó</m:t>
        </m:r>
        <m:r>
          <w:rPr>
            <w:rFonts w:ascii="Cambria Math" w:hAnsi="Cambria Math"/>
          </w:rPr>
          <m:t>nAtrasada</m:t>
        </m:r>
        <m:r>
          <m:rPr>
            <m:sty m:val="p"/>
          </m:rPr>
          <w:rPr>
            <w:rFonts w:ascii="Cambria Math" w:hAnsi="Cambria Math"/>
          </w:rPr>
          <m:t>=</m:t>
        </m:r>
        <m:d>
          <m:dPr>
            <m:ctrlPr>
              <w:rPr>
                <w:rFonts w:ascii="Cambria Math" w:hAnsi="Cambria Math"/>
                <w:sz w:val="18"/>
              </w:rPr>
            </m:ctrlPr>
          </m:dPr>
          <m:e>
            <m:r>
              <m:rPr>
                <m:sty m:val="p"/>
              </m:rPr>
              <w:rPr>
                <w:rFonts w:ascii="Cambria Math" w:hAnsi="Cambria Math"/>
              </w:rPr>
              <m:t>1-</m:t>
            </m:r>
            <m:f>
              <m:fPr>
                <m:ctrlPr>
                  <w:rPr>
                    <w:rFonts w:ascii="Cambria Math" w:hAnsi="Cambria Math"/>
                    <w:sz w:val="18"/>
                  </w:rPr>
                </m:ctrlPr>
              </m:fPr>
              <m:num>
                <m:r>
                  <w:rPr>
                    <w:rFonts w:ascii="Cambria Math" w:hAnsi="Cambria Math"/>
                  </w:rPr>
                  <m:t>VN</m:t>
                </m:r>
                <m:sSub>
                  <m:sSubPr>
                    <m:ctrlPr>
                      <w:rPr>
                        <w:rFonts w:ascii="Cambria Math" w:hAnsi="Cambria Math"/>
                        <w:sz w:val="18"/>
                      </w:rPr>
                    </m:ctrlPr>
                  </m:sSubPr>
                  <m:e>
                    <m:r>
                      <w:rPr>
                        <w:rFonts w:ascii="Cambria Math" w:hAnsi="Cambria Math"/>
                      </w:rPr>
                      <m:t>C</m:t>
                    </m:r>
                  </m:e>
                  <m:sub>
                    <m:r>
                      <w:rPr>
                        <w:rFonts w:ascii="Cambria Math" w:hAnsi="Cambria Math"/>
                      </w:rPr>
                      <m:t>apertura</m:t>
                    </m:r>
                  </m:sub>
                </m:sSub>
              </m:num>
              <m:den>
                <m:r>
                  <w:rPr>
                    <w:rFonts w:ascii="Cambria Math" w:hAnsi="Cambria Math"/>
                  </w:rPr>
                  <m:t>VB</m:t>
                </m:r>
                <m:sSub>
                  <m:sSubPr>
                    <m:ctrlPr>
                      <w:rPr>
                        <w:rFonts w:ascii="Cambria Math" w:hAnsi="Cambria Math"/>
                        <w:sz w:val="18"/>
                      </w:rPr>
                    </m:ctrlPr>
                  </m:sSubPr>
                  <m:e>
                    <m:r>
                      <w:rPr>
                        <w:rFonts w:ascii="Cambria Math" w:hAnsi="Cambria Math"/>
                      </w:rPr>
                      <m:t>C</m:t>
                    </m:r>
                  </m:e>
                  <m:sub>
                    <m:r>
                      <w:rPr>
                        <w:rFonts w:ascii="Cambria Math" w:hAnsi="Cambria Math"/>
                      </w:rPr>
                      <m:t>apertura</m:t>
                    </m:r>
                  </m:sub>
                </m:sSub>
              </m:den>
            </m:f>
          </m:e>
        </m:d>
        <m:r>
          <m:rPr>
            <m:sty m:val="p"/>
          </m:rPr>
          <w:rPr>
            <w:rFonts w:ascii="Cambria Math" w:hAnsi="Cambria Math"/>
          </w:rPr>
          <m:t>·</m:t>
        </m:r>
        <m:r>
          <w:rPr>
            <w:rFonts w:ascii="Cambria Math" w:hAnsi="Cambria Math"/>
          </w:rPr>
          <m:t>Ganancias</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posesi</m:t>
        </m:r>
        <m:r>
          <m:rPr>
            <m:sty m:val="p"/>
          </m:rPr>
          <w:rPr>
            <w:rFonts w:ascii="Cambria Math" w:hAnsi="Cambria Math"/>
          </w:rPr>
          <m:t>ó</m:t>
        </m:r>
        <m:r>
          <w:rPr>
            <w:rFonts w:ascii="Cambria Math" w:hAnsi="Cambria Math"/>
          </w:rPr>
          <m:t>n</m:t>
        </m:r>
      </m:oMath>
    </w:p>
    <w:p w14:paraId="19CC42AF" w14:textId="77777777" w:rsidR="00A1321B" w:rsidRPr="008609D1" w:rsidRDefault="00A1321B" w:rsidP="00A1321B">
      <w:pPr>
        <w:pStyle w:val="Indentado3"/>
        <w:spacing w:after="60"/>
      </w:pPr>
      <w:r w:rsidRPr="008609D1">
        <w:t>Siendo:</w:t>
      </w:r>
    </w:p>
    <w:p w14:paraId="4C26F30A" w14:textId="77777777" w:rsidR="00A1321B" w:rsidRPr="008609D1" w:rsidRDefault="00A1321B" w:rsidP="00A1321B">
      <w:pPr>
        <w:pStyle w:val="Indentado3"/>
        <w:numPr>
          <w:ilvl w:val="2"/>
          <w:numId w:val="9"/>
        </w:numPr>
        <w:spacing w:after="60"/>
      </w:pPr>
      <m:oMath>
        <m:r>
          <w:rPr>
            <w:rFonts w:ascii="Cambria Math" w:hAnsi="Cambria Math"/>
          </w:rPr>
          <m:t>Gananci</m:t>
        </m:r>
        <m:r>
          <w:rPr>
            <w:rFonts w:ascii="Cambria Math" w:hAnsi="Cambria Math" w:cs="Cambria Math"/>
          </w:rPr>
          <m:t>as o Pérdidas de po</m:t>
        </m:r>
        <m:r>
          <w:rPr>
            <w:rFonts w:ascii="Cambria Math" w:hAnsi="Cambria Math"/>
          </w:rPr>
          <m:t>sesi</m:t>
        </m:r>
        <m:r>
          <m:rPr>
            <m:sty m:val="p"/>
          </m:rPr>
          <w:rPr>
            <w:rFonts w:ascii="Cambria Math" w:hAnsi="Cambria Math"/>
          </w:rPr>
          <m:t>ó</m:t>
        </m:r>
        <m:r>
          <w:rPr>
            <w:rFonts w:ascii="Cambria Math" w:hAnsi="Cambria Math"/>
          </w:rPr>
          <m:t>n</m:t>
        </m:r>
        <m:r>
          <m:rPr>
            <m:sty m:val="p"/>
          </m:rPr>
          <w:rPr>
            <w:rFonts w:ascii="Cambria Math" w:hAnsi="Cambria Math"/>
          </w:rPr>
          <m:t>=-(</m:t>
        </m:r>
        <m:r>
          <w:rPr>
            <w:rFonts w:ascii="Cambria Math" w:hAnsi="Cambria Math"/>
          </w:rPr>
          <m:t>VB</m:t>
        </m:r>
        <m:sSub>
          <m:sSubPr>
            <m:ctrlPr>
              <w:rPr>
                <w:rFonts w:ascii="Cambria Math" w:hAnsi="Cambria Math"/>
                <w:sz w:val="18"/>
              </w:rPr>
            </m:ctrlPr>
          </m:sSubPr>
          <m:e>
            <m:r>
              <w:rPr>
                <w:rFonts w:ascii="Cambria Math" w:hAnsi="Cambria Math"/>
              </w:rPr>
              <m:t>R</m:t>
            </m:r>
          </m:e>
          <m:sub>
            <m:r>
              <w:rPr>
                <w:rFonts w:ascii="Cambria Math" w:hAnsi="Cambria Math"/>
              </w:rPr>
              <m:t>cierre</m:t>
            </m:r>
          </m:sub>
        </m:sSub>
        <m:r>
          <m:rPr>
            <m:sty m:val="p"/>
          </m:rPr>
          <w:rPr>
            <w:rFonts w:ascii="Cambria Math" w:hAnsi="Cambria Math"/>
          </w:rPr>
          <m:t>-</m:t>
        </m:r>
        <m:r>
          <w:rPr>
            <w:rFonts w:ascii="Cambria Math" w:hAnsi="Cambria Math"/>
          </w:rPr>
          <m:t>VB</m:t>
        </m:r>
        <m:sSub>
          <m:sSubPr>
            <m:ctrlPr>
              <w:rPr>
                <w:rFonts w:ascii="Cambria Math" w:hAnsi="Cambria Math"/>
                <w:sz w:val="18"/>
              </w:rPr>
            </m:ctrlPr>
          </m:sSubPr>
          <m:e>
            <m:r>
              <w:rPr>
                <w:rFonts w:ascii="Cambria Math" w:hAnsi="Cambria Math"/>
              </w:rPr>
              <m:t>R</m:t>
            </m:r>
          </m:e>
          <m:sub>
            <m:r>
              <w:rPr>
                <w:rFonts w:ascii="Cambria Math" w:hAnsi="Cambria Math"/>
              </w:rPr>
              <m:t>apertura</m:t>
            </m:r>
          </m:sub>
        </m:sSub>
        <m:r>
          <m:rPr>
            <m:sty m:val="p"/>
          </m:rPr>
          <w:rPr>
            <w:rFonts w:ascii="Cambria Math" w:hAnsi="Cambria Math"/>
          </w:rPr>
          <m:t>-</m:t>
        </m:r>
        <m:r>
          <w:rPr>
            <w:rFonts w:ascii="Cambria Math" w:hAnsi="Cambria Math"/>
          </w:rPr>
          <m:t>Altas</m:t>
        </m:r>
        <m:r>
          <m:rPr>
            <m:sty m:val="p"/>
          </m:rPr>
          <w:rPr>
            <w:rFonts w:ascii="Cambria Math" w:hAnsi="Cambria Math"/>
          </w:rPr>
          <m:t>-</m:t>
        </m:r>
        <m:r>
          <w:rPr>
            <w:rFonts w:ascii="Cambria Math" w:hAnsi="Cambria Math"/>
          </w:rPr>
          <m:t>Ba</m:t>
        </m:r>
        <m:r>
          <m:rPr>
            <m:sty m:val="p"/>
          </m:rPr>
          <w:rPr>
            <w:rFonts w:ascii="Cambria Math" w:hAnsi="Cambria Math" w:cs="Cambria Math"/>
          </w:rPr>
          <m:t>j</m:t>
        </m:r>
        <m:r>
          <w:rPr>
            <w:rFonts w:ascii="Cambria Math" w:hAnsi="Cambria Math"/>
          </w:rPr>
          <m:t>as</m:t>
        </m:r>
        <m:r>
          <m:rPr>
            <m:sty m:val="p"/>
          </m:rPr>
          <w:rPr>
            <w:rFonts w:ascii="Cambria Math" w:hAnsi="Cambria Math"/>
          </w:rPr>
          <m:t>-</m:t>
        </m:r>
        <m:r>
          <w:rPr>
            <w:rFonts w:ascii="Cambria Math" w:hAnsi="Cambria Math"/>
          </w:rPr>
          <m:t>Traspasos</m:t>
        </m:r>
        <m:r>
          <m:rPr>
            <m:sty m:val="p"/>
          </m:rPr>
          <w:rPr>
            <w:rFonts w:ascii="Cambria Math" w:hAnsi="Cambria Math"/>
          </w:rPr>
          <m:t>)</m:t>
        </m:r>
      </m:oMath>
    </w:p>
    <w:p w14:paraId="0D469AB5" w14:textId="77777777" w:rsidR="00A1321B" w:rsidRPr="008609D1" w:rsidRDefault="00A1321B" w:rsidP="00A1321B">
      <w:pPr>
        <w:pStyle w:val="Indentado3"/>
        <w:spacing w:after="60"/>
      </w:pPr>
      <m:oMath>
        <m:r>
          <w:rPr>
            <w:rFonts w:ascii="Cambria Math" w:hAnsi="Cambria Math"/>
          </w:rPr>
          <m:t>Traspasos</m:t>
        </m:r>
        <m:d>
          <m:dPr>
            <m:ctrlPr>
              <w:rPr>
                <w:rFonts w:ascii="Cambria Math" w:hAnsi="Cambria Math"/>
                <w:sz w:val="18"/>
              </w:rPr>
            </m:ctrlPr>
          </m:dPr>
          <m:e>
            <m:r>
              <w:rPr>
                <w:rFonts w:ascii="Cambria Math" w:hAnsi="Cambria Math"/>
              </w:rPr>
              <m:t>Aj</m:t>
            </m:r>
            <m:r>
              <m:rPr>
                <m:sty m:val="p"/>
              </m:rPr>
              <w:rPr>
                <w:rFonts w:ascii="Cambria Math" w:hAnsi="Cambria Math"/>
              </w:rPr>
              <m:t xml:space="preserve">. </m:t>
            </m:r>
            <m:r>
              <w:rPr>
                <w:rFonts w:ascii="Cambria Math" w:hAnsi="Cambria Math"/>
              </w:rPr>
              <m:t>Depr</m:t>
            </m:r>
          </m:e>
        </m:d>
        <m:r>
          <m:rPr>
            <m:sty m:val="p"/>
          </m:rPr>
          <w:rPr>
            <w:rFonts w:ascii="Cambria Math" w:hAnsi="Cambria Math"/>
          </w:rPr>
          <m:t>=</m:t>
        </m:r>
        <m:r>
          <w:rPr>
            <w:rFonts w:ascii="Cambria Math" w:hAnsi="Cambria Math"/>
          </w:rPr>
          <m:t>Traspasos</m:t>
        </m:r>
        <m:d>
          <m:dPr>
            <m:ctrlPr>
              <w:rPr>
                <w:rFonts w:ascii="Cambria Math" w:hAnsi="Cambria Math"/>
                <w:sz w:val="18"/>
              </w:rPr>
            </m:ctrlPr>
          </m:dPr>
          <m:e>
            <m:r>
              <w:rPr>
                <w:rFonts w:ascii="Cambria Math" w:hAnsi="Cambria Math"/>
              </w:rPr>
              <m:t>Contables</m:t>
            </m:r>
          </m:e>
        </m:d>
        <m:r>
          <m:rPr>
            <m:sty m:val="p"/>
          </m:rPr>
          <w:rPr>
            <w:rFonts w:ascii="Cambria Math" w:hAnsi="Cambria Math"/>
          </w:rPr>
          <m:t>·</m:t>
        </m:r>
        <m:f>
          <m:fPr>
            <m:ctrlPr>
              <w:rPr>
                <w:rFonts w:ascii="Cambria Math" w:hAnsi="Cambria Math"/>
                <w:sz w:val="18"/>
              </w:rPr>
            </m:ctrlPr>
          </m:fPr>
          <m:num>
            <m:r>
              <w:rPr>
                <w:rFonts w:ascii="Cambria Math" w:hAnsi="Cambria Math"/>
              </w:rPr>
              <m:t>Depr</m:t>
            </m:r>
            <m:r>
              <m:rPr>
                <m:sty m:val="p"/>
              </m:rPr>
              <w:rPr>
                <w:rFonts w:ascii="Cambria Math" w:hAnsi="Cambria Math"/>
              </w:rPr>
              <m:t>.</m:t>
            </m:r>
            <m:r>
              <w:rPr>
                <w:rFonts w:ascii="Cambria Math" w:hAnsi="Cambria Math"/>
              </w:rPr>
              <m:t>Acum</m:t>
            </m:r>
            <m:sSub>
              <m:sSubPr>
                <m:ctrlPr>
                  <w:rPr>
                    <w:rFonts w:ascii="Cambria Math" w:hAnsi="Cambria Math"/>
                    <w:sz w:val="18"/>
                  </w:rPr>
                </m:ctrlPr>
              </m:sSubPr>
              <m:e>
                <m:d>
                  <m:dPr>
                    <m:ctrlPr>
                      <w:rPr>
                        <w:rFonts w:ascii="Cambria Math" w:hAnsi="Cambria Math"/>
                        <w:sz w:val="18"/>
                      </w:rPr>
                    </m:ctrlPr>
                  </m:dPr>
                  <m:e>
                    <m:r>
                      <w:rPr>
                        <w:rFonts w:ascii="Cambria Math" w:hAnsi="Cambria Math"/>
                      </w:rPr>
                      <m:t>Contable</m:t>
                    </m:r>
                  </m:e>
                </m:d>
              </m:e>
              <m:sub>
                <m:r>
                  <w:rPr>
                    <w:rFonts w:ascii="Cambria Math" w:hAnsi="Cambria Math"/>
                  </w:rPr>
                  <m:t>apertura</m:t>
                </m:r>
              </m:sub>
            </m:sSub>
          </m:num>
          <m:den>
            <m:r>
              <w:rPr>
                <w:rFonts w:ascii="Cambria Math" w:hAnsi="Cambria Math"/>
              </w:rPr>
              <m:t>VB</m:t>
            </m:r>
            <m:sSub>
              <m:sSubPr>
                <m:ctrlPr>
                  <w:rPr>
                    <w:rFonts w:ascii="Cambria Math" w:hAnsi="Cambria Math"/>
                    <w:sz w:val="18"/>
                  </w:rPr>
                </m:ctrlPr>
              </m:sSubPr>
              <m:e>
                <m:r>
                  <w:rPr>
                    <w:rFonts w:ascii="Cambria Math" w:hAnsi="Cambria Math"/>
                  </w:rPr>
                  <m:t>C</m:t>
                </m:r>
              </m:e>
              <m:sub>
                <m:r>
                  <w:rPr>
                    <w:rFonts w:ascii="Cambria Math" w:hAnsi="Cambria Math"/>
                  </w:rPr>
                  <m:t>apertu</m:t>
                </m:r>
                <m:r>
                  <w:rPr>
                    <w:rFonts w:ascii="Cambria Math" w:hAnsi="Cambria Math" w:cs="Cambria Math"/>
                  </w:rPr>
                  <m:t>r</m:t>
                </m:r>
                <m:r>
                  <w:rPr>
                    <w:rFonts w:ascii="Cambria Math" w:hAnsi="Cambria Math"/>
                  </w:rPr>
                  <m:t>a</m:t>
                </m:r>
              </m:sub>
            </m:sSub>
          </m:den>
        </m:f>
      </m:oMath>
    </w:p>
    <w:p w14:paraId="68A9BD96" w14:textId="7E2738F9" w:rsidR="00A1321B" w:rsidRPr="008609D1" w:rsidRDefault="00A1321B" w:rsidP="00A1321B">
      <w:pPr>
        <w:pStyle w:val="Indentadoresolucin"/>
      </w:pPr>
      <w:r w:rsidRPr="008609D1">
        <w:rPr>
          <w:i/>
        </w:rPr>
        <w:t>Ganancias</w:t>
      </w:r>
      <w:r w:rsidR="000B5B67">
        <w:rPr>
          <w:i/>
        </w:rPr>
        <w:t xml:space="preserve"> o </w:t>
      </w:r>
      <w:r w:rsidRPr="008609D1">
        <w:rPr>
          <w:i/>
        </w:rPr>
        <w:t>Pérdidas netas de posesión</w:t>
      </w:r>
      <w:r w:rsidRPr="008609D1">
        <w:t>, que corresponde a la suma de los términos de las Ganancias/Pérdidas de posesión y la depreciación atrasada:</w:t>
      </w:r>
    </w:p>
    <w:p w14:paraId="52DB074C" w14:textId="77777777" w:rsidR="00A1321B" w:rsidRPr="008609D1" w:rsidRDefault="00A1321B" w:rsidP="00A1321B">
      <w:pPr>
        <w:pStyle w:val="Indentadoresolucin"/>
        <w:numPr>
          <w:ilvl w:val="0"/>
          <w:numId w:val="0"/>
        </w:numPr>
        <w:ind w:left="1008"/>
        <w:rPr>
          <w:i/>
        </w:rPr>
      </w:pPr>
    </w:p>
    <w:p w14:paraId="37B3C65A" w14:textId="41C1A24A" w:rsidR="00A1321B" w:rsidRPr="008609D1" w:rsidRDefault="00A1321B" w:rsidP="00A1321B">
      <w:pPr>
        <w:pStyle w:val="Indentadoresolucin"/>
        <w:numPr>
          <w:ilvl w:val="0"/>
          <w:numId w:val="0"/>
        </w:numPr>
        <w:ind w:left="1008"/>
      </w:pPr>
      <m:oMathPara>
        <m:oMath>
          <m:r>
            <w:rPr>
              <w:rFonts w:ascii="Cambria Math" w:hAnsi="Cambria Math"/>
            </w:rPr>
            <m:t>Ganancias o Pérdidas netas de posesión=Ganancias o Pérdidas</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p</m:t>
          </m:r>
          <m:r>
            <w:rPr>
              <w:rFonts w:ascii="Cambria Math" w:hAnsi="Cambria Math" w:cs="Cambria Math"/>
            </w:rPr>
            <m:t>o</m:t>
          </m:r>
          <m:r>
            <w:rPr>
              <w:rFonts w:ascii="Cambria Math" w:hAnsi="Cambria Math"/>
            </w:rPr>
            <m:t>sesi</m:t>
          </m:r>
          <m:r>
            <m:rPr>
              <m:sty m:val="p"/>
            </m:rPr>
            <w:rPr>
              <w:rFonts w:ascii="Cambria Math" w:hAnsi="Cambria Math"/>
            </w:rPr>
            <m:t>ó</m:t>
          </m:r>
          <m:r>
            <w:rPr>
              <w:rFonts w:ascii="Cambria Math" w:hAnsi="Cambria Math"/>
            </w:rPr>
            <m:t>n+ Depreciaci</m:t>
          </m:r>
          <m:r>
            <m:rPr>
              <m:sty m:val="p"/>
            </m:rPr>
            <w:rPr>
              <w:rFonts w:ascii="Cambria Math" w:hAnsi="Cambria Math"/>
            </w:rPr>
            <m:t>ó</m:t>
          </m:r>
          <m:r>
            <w:rPr>
              <w:rFonts w:ascii="Cambria Math" w:hAnsi="Cambria Math"/>
            </w:rPr>
            <m:t xml:space="preserve">nAtrasada  </m:t>
          </m:r>
        </m:oMath>
      </m:oMathPara>
    </w:p>
    <w:p w14:paraId="06CD3913" w14:textId="77777777" w:rsidR="00A1321B" w:rsidRDefault="00A1321B" w:rsidP="00A1321B">
      <w:pPr>
        <w:pStyle w:val="Normalresolucion"/>
        <w:spacing w:after="240"/>
      </w:pPr>
      <w:r w:rsidRPr="008609D1">
        <w:t>A fin de maximizar la transparencia y facilidad de implementación de estos cálculos, se incluye a continuación un ejemplo numérico de estos cálculos:</w:t>
      </w:r>
    </w:p>
    <w:p w14:paraId="197E1D0D" w14:textId="77777777" w:rsidR="00F96E26" w:rsidRPr="008609D1" w:rsidRDefault="00F96E26" w:rsidP="00F96E26">
      <w:pPr>
        <w:pStyle w:val="Descripcin"/>
        <w:spacing w:after="240" w:line="240" w:lineRule="auto"/>
        <w:rPr>
          <w:iCs/>
          <w:sz w:val="20"/>
          <w:lang w:val="es-MX"/>
        </w:rPr>
      </w:pPr>
      <w:r w:rsidRPr="008609D1">
        <w:rPr>
          <w:rFonts w:ascii="ITC Avant Garde" w:hAnsi="ITC Avant Garde"/>
          <w:iCs/>
          <w:sz w:val="20"/>
          <w:lang w:val="es-MX"/>
        </w:rPr>
        <w:t>Tabla A3.</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2</w:t>
      </w:r>
      <w:r w:rsidRPr="008609D1">
        <w:rPr>
          <w:rFonts w:ascii="ITC Avant Garde" w:hAnsi="ITC Avant Garde"/>
          <w:iCs/>
          <w:sz w:val="20"/>
          <w:lang w:val="es-MX"/>
        </w:rPr>
        <w:fldChar w:fldCharType="end"/>
      </w:r>
      <w:r w:rsidRPr="008609D1">
        <w:rPr>
          <w:rFonts w:ascii="ITC Avant Garde" w:hAnsi="ITC Avant Garde"/>
          <w:iCs/>
          <w:sz w:val="20"/>
          <w:lang w:val="es-MX"/>
        </w:rPr>
        <w:t>: Proceso de cálculo del cargo de depreciación (Cargo CCA) bajo la contabilidad de costos actuales</w:t>
      </w:r>
    </w:p>
    <w:tbl>
      <w:tblPr>
        <w:tblStyle w:val="Tablaconcuadrcula"/>
        <w:tblW w:w="9448" w:type="dxa"/>
        <w:tblLayout w:type="fixed"/>
        <w:tblLook w:val="04A0" w:firstRow="1" w:lastRow="0" w:firstColumn="1" w:lastColumn="0" w:noHBand="0" w:noVBand="1"/>
      </w:tblPr>
      <w:tblGrid>
        <w:gridCol w:w="1054"/>
        <w:gridCol w:w="1133"/>
        <w:gridCol w:w="921"/>
        <w:gridCol w:w="922"/>
        <w:gridCol w:w="898"/>
        <w:gridCol w:w="1083"/>
        <w:gridCol w:w="960"/>
        <w:gridCol w:w="1075"/>
        <w:gridCol w:w="1402"/>
      </w:tblGrid>
      <w:tr w:rsidR="00A1321B" w:rsidRPr="008609D1" w14:paraId="51540B3F" w14:textId="77777777" w:rsidTr="008B4286">
        <w:trPr>
          <w:trHeight w:val="397"/>
        </w:trPr>
        <w:tc>
          <w:tcPr>
            <w:tcW w:w="1054" w:type="dxa"/>
            <w:tcBorders>
              <w:top w:val="nil"/>
              <w:left w:val="nil"/>
              <w:bottom w:val="nil"/>
              <w:right w:val="nil"/>
            </w:tcBorders>
          </w:tcPr>
          <w:p w14:paraId="0A13413B" w14:textId="77777777" w:rsidR="00A1321B" w:rsidRPr="008609D1" w:rsidRDefault="00A1321B" w:rsidP="008B4286">
            <w:pPr>
              <w:pStyle w:val="Descripcin"/>
              <w:keepNext/>
              <w:keepLines/>
              <w:spacing w:before="0" w:after="0" w:line="240" w:lineRule="auto"/>
              <w:rPr>
                <w:bCs w:val="0"/>
                <w:iCs/>
                <w:lang w:val="es-MX"/>
              </w:rPr>
            </w:pPr>
          </w:p>
        </w:tc>
        <w:tc>
          <w:tcPr>
            <w:tcW w:w="1133" w:type="dxa"/>
            <w:tcBorders>
              <w:top w:val="nil"/>
              <w:left w:val="nil"/>
              <w:bottom w:val="nil"/>
              <w:right w:val="single" w:sz="4" w:space="0" w:color="FFFFFF" w:themeColor="background1"/>
            </w:tcBorders>
          </w:tcPr>
          <w:p w14:paraId="1FBA382C" w14:textId="77777777" w:rsidR="00A1321B" w:rsidRPr="008609D1" w:rsidRDefault="00A1321B" w:rsidP="008B4286">
            <w:pPr>
              <w:pStyle w:val="Descripcin"/>
              <w:keepNext/>
              <w:keepLines/>
              <w:spacing w:before="0" w:after="0" w:line="240" w:lineRule="auto"/>
              <w:rPr>
                <w:bCs w:val="0"/>
                <w:iCs/>
                <w:lang w:val="es-MX"/>
              </w:rPr>
            </w:pP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4609AB41" w14:textId="77777777" w:rsidR="00A1321B" w:rsidRPr="008609D1" w:rsidRDefault="00A1321B" w:rsidP="008B4286">
            <w:pPr>
              <w:pStyle w:val="Descripcin"/>
              <w:keepNext/>
              <w:keepLines/>
              <w:spacing w:before="0" w:after="0" w:line="240" w:lineRule="auto"/>
              <w:rPr>
                <w:bCs w:val="0"/>
                <w:iCs/>
                <w:color w:val="FFFFFF" w:themeColor="background1"/>
                <w:lang w:val="es-MX"/>
              </w:rPr>
            </w:pPr>
            <w:r w:rsidRPr="008609D1">
              <w:rPr>
                <w:bCs w:val="0"/>
                <w:iCs/>
                <w:color w:val="FFFFFF" w:themeColor="background1"/>
                <w:lang w:val="es-MX"/>
              </w:rPr>
              <w:t>Depreciación anual</w:t>
            </w:r>
          </w:p>
        </w:tc>
        <w:tc>
          <w:tcPr>
            <w:tcW w:w="898" w:type="dxa"/>
            <w:tcBorders>
              <w:top w:val="nil"/>
              <w:left w:val="single" w:sz="4" w:space="0" w:color="FFFFFF" w:themeColor="background1"/>
              <w:bottom w:val="nil"/>
              <w:right w:val="nil"/>
            </w:tcBorders>
          </w:tcPr>
          <w:p w14:paraId="7BFBAA16" w14:textId="77777777" w:rsidR="00A1321B" w:rsidRPr="008609D1" w:rsidRDefault="00A1321B" w:rsidP="008B4286">
            <w:pPr>
              <w:pStyle w:val="Descripcin"/>
              <w:keepNext/>
              <w:keepLines/>
              <w:spacing w:before="0" w:after="0" w:line="240" w:lineRule="auto"/>
              <w:rPr>
                <w:bCs w:val="0"/>
                <w:iCs/>
                <w:lang w:val="es-MX"/>
              </w:rPr>
            </w:pPr>
          </w:p>
        </w:tc>
        <w:tc>
          <w:tcPr>
            <w:tcW w:w="1083" w:type="dxa"/>
            <w:tcBorders>
              <w:top w:val="nil"/>
              <w:left w:val="nil"/>
              <w:bottom w:val="nil"/>
              <w:right w:val="nil"/>
            </w:tcBorders>
          </w:tcPr>
          <w:p w14:paraId="00B90728" w14:textId="77777777" w:rsidR="00A1321B" w:rsidRPr="008609D1" w:rsidRDefault="00A1321B" w:rsidP="008B4286">
            <w:pPr>
              <w:pStyle w:val="Descripcin"/>
              <w:keepNext/>
              <w:keepLines/>
              <w:spacing w:before="0" w:after="0" w:line="240" w:lineRule="auto"/>
              <w:rPr>
                <w:bCs w:val="0"/>
                <w:iCs/>
                <w:lang w:val="es-MX"/>
              </w:rPr>
            </w:pPr>
          </w:p>
        </w:tc>
        <w:tc>
          <w:tcPr>
            <w:tcW w:w="960" w:type="dxa"/>
            <w:tcBorders>
              <w:top w:val="nil"/>
              <w:left w:val="nil"/>
              <w:bottom w:val="nil"/>
              <w:right w:val="nil"/>
            </w:tcBorders>
          </w:tcPr>
          <w:p w14:paraId="55543211" w14:textId="77777777" w:rsidR="00A1321B" w:rsidRPr="008609D1" w:rsidRDefault="00A1321B" w:rsidP="008B4286">
            <w:pPr>
              <w:pStyle w:val="Descripcin"/>
              <w:keepNext/>
              <w:keepLines/>
              <w:spacing w:before="0" w:after="0" w:line="240" w:lineRule="auto"/>
              <w:rPr>
                <w:bCs w:val="0"/>
                <w:iCs/>
                <w:lang w:val="es-MX"/>
              </w:rPr>
            </w:pPr>
          </w:p>
        </w:tc>
        <w:tc>
          <w:tcPr>
            <w:tcW w:w="1075" w:type="dxa"/>
            <w:tcBorders>
              <w:top w:val="nil"/>
              <w:left w:val="nil"/>
              <w:bottom w:val="nil"/>
              <w:right w:val="nil"/>
            </w:tcBorders>
          </w:tcPr>
          <w:p w14:paraId="1A119A49" w14:textId="77777777" w:rsidR="00A1321B" w:rsidRPr="008609D1" w:rsidRDefault="00A1321B" w:rsidP="008B4286">
            <w:pPr>
              <w:pStyle w:val="Descripcin"/>
              <w:keepNext/>
              <w:keepLines/>
              <w:spacing w:before="0" w:after="0" w:line="240" w:lineRule="auto"/>
              <w:rPr>
                <w:bCs w:val="0"/>
                <w:iCs/>
                <w:lang w:val="es-MX"/>
              </w:rPr>
            </w:pPr>
          </w:p>
        </w:tc>
        <w:tc>
          <w:tcPr>
            <w:tcW w:w="1402" w:type="dxa"/>
            <w:tcBorders>
              <w:top w:val="nil"/>
              <w:left w:val="nil"/>
              <w:bottom w:val="nil"/>
              <w:right w:val="nil"/>
            </w:tcBorders>
          </w:tcPr>
          <w:p w14:paraId="305894DF" w14:textId="77777777" w:rsidR="00A1321B" w:rsidRPr="008609D1" w:rsidRDefault="00A1321B" w:rsidP="008B4286">
            <w:pPr>
              <w:pStyle w:val="Descripcin"/>
              <w:keepNext/>
              <w:keepLines/>
              <w:spacing w:before="0" w:after="0" w:line="240" w:lineRule="auto"/>
              <w:rPr>
                <w:bCs w:val="0"/>
                <w:iCs/>
                <w:lang w:val="es-MX"/>
              </w:rPr>
            </w:pPr>
          </w:p>
        </w:tc>
      </w:tr>
      <w:tr w:rsidR="00A1321B" w:rsidRPr="008609D1" w14:paraId="357445B1" w14:textId="77777777" w:rsidTr="008B4286">
        <w:trPr>
          <w:trHeight w:val="510"/>
        </w:trPr>
        <w:tc>
          <w:tcPr>
            <w:tcW w:w="1054" w:type="dxa"/>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204060BB" w14:textId="77777777" w:rsidR="00A1321B" w:rsidRPr="008609D1" w:rsidRDefault="00A1321B" w:rsidP="008B4286">
            <w:pPr>
              <w:pStyle w:val="Descripcin"/>
              <w:keepNext/>
              <w:keepLines/>
              <w:spacing w:before="0" w:after="0" w:line="240" w:lineRule="auto"/>
              <w:rPr>
                <w:bCs w:val="0"/>
                <w:iCs/>
                <w:color w:val="FFFFFF" w:themeColor="background1"/>
                <w:lang w:val="es-MX"/>
              </w:rPr>
            </w:pPr>
            <w:r w:rsidRPr="008609D1">
              <w:rPr>
                <w:bCs w:val="0"/>
                <w:iCs/>
                <w:color w:val="FFFFFF" w:themeColor="background1"/>
                <w:lang w:val="es-MX"/>
              </w:rPr>
              <w:t>Año</w:t>
            </w:r>
          </w:p>
        </w:tc>
        <w:tc>
          <w:tcPr>
            <w:tcW w:w="11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60CBAE8A" w14:textId="77777777" w:rsidR="00A1321B" w:rsidRPr="008609D1" w:rsidRDefault="00A1321B" w:rsidP="008B4286">
            <w:pPr>
              <w:pStyle w:val="Descripcin"/>
              <w:keepNext/>
              <w:keepLines/>
              <w:spacing w:before="0" w:after="0" w:line="240" w:lineRule="auto"/>
              <w:rPr>
                <w:bCs w:val="0"/>
                <w:iCs/>
                <w:color w:val="FFFFFF" w:themeColor="background1"/>
                <w:lang w:val="es-MX"/>
              </w:rPr>
            </w:pPr>
            <w:r w:rsidRPr="008609D1">
              <w:rPr>
                <w:bCs w:val="0"/>
                <w:iCs/>
                <w:color w:val="FFFFFF" w:themeColor="background1"/>
                <w:lang w:val="es-MX"/>
              </w:rPr>
              <w:t>VBR</w:t>
            </w:r>
          </w:p>
        </w:tc>
        <w:tc>
          <w:tcPr>
            <w:tcW w:w="9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00F3BE5A" w14:textId="77777777" w:rsidR="00A1321B" w:rsidRPr="008609D1" w:rsidRDefault="00A1321B" w:rsidP="008B4286">
            <w:pPr>
              <w:pStyle w:val="Descripcin"/>
              <w:keepNext/>
              <w:keepLines/>
              <w:spacing w:before="0" w:after="0" w:line="240" w:lineRule="auto"/>
              <w:rPr>
                <w:bCs w:val="0"/>
                <w:iCs/>
                <w:color w:val="FFFFFF" w:themeColor="background1"/>
                <w:lang w:val="es-MX"/>
              </w:rPr>
            </w:pPr>
            <w:r w:rsidRPr="008609D1">
              <w:rPr>
                <w:bCs w:val="0"/>
                <w:iCs/>
                <w:color w:val="FFFFFF" w:themeColor="background1"/>
                <w:lang w:val="es-MX"/>
              </w:rPr>
              <w:t>CCH</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21DA2A7C" w14:textId="77777777" w:rsidR="00A1321B" w:rsidRPr="008609D1" w:rsidRDefault="00A1321B" w:rsidP="008B4286">
            <w:pPr>
              <w:pStyle w:val="Descripcin"/>
              <w:keepNext/>
              <w:keepLines/>
              <w:spacing w:before="0" w:after="0" w:line="240" w:lineRule="auto"/>
              <w:rPr>
                <w:bCs w:val="0"/>
                <w:iCs/>
                <w:color w:val="FFFFFF" w:themeColor="background1"/>
                <w:lang w:val="es-MX"/>
              </w:rPr>
            </w:pPr>
            <w:r w:rsidRPr="008609D1">
              <w:rPr>
                <w:bCs w:val="0"/>
                <w:iCs/>
                <w:color w:val="FFFFFF" w:themeColor="background1"/>
                <w:lang w:val="es-MX"/>
              </w:rPr>
              <w:t>CCA</w:t>
            </w:r>
          </w:p>
        </w:tc>
        <w:tc>
          <w:tcPr>
            <w:tcW w:w="898" w:type="dxa"/>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499C9BD5" w14:textId="77777777" w:rsidR="00A1321B" w:rsidRPr="008609D1" w:rsidRDefault="00A1321B" w:rsidP="008B4286">
            <w:pPr>
              <w:pStyle w:val="Descripcin"/>
              <w:keepNext/>
              <w:keepLines/>
              <w:spacing w:before="0" w:after="0" w:line="240" w:lineRule="auto"/>
              <w:rPr>
                <w:bCs w:val="0"/>
                <w:iCs/>
                <w:color w:val="FFFFFF" w:themeColor="background1"/>
                <w:lang w:val="es-MX"/>
              </w:rPr>
            </w:pPr>
            <w:r w:rsidRPr="008609D1">
              <w:rPr>
                <w:bCs w:val="0"/>
                <w:iCs/>
                <w:color w:val="FFFFFF" w:themeColor="background1"/>
                <w:lang w:val="es-MX"/>
              </w:rPr>
              <w:t>Depr. Supl.</w:t>
            </w:r>
          </w:p>
        </w:tc>
        <w:tc>
          <w:tcPr>
            <w:tcW w:w="1083" w:type="dxa"/>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181315FB" w14:textId="77777777" w:rsidR="00A1321B" w:rsidRPr="008609D1" w:rsidRDefault="00A1321B" w:rsidP="008B4286">
            <w:pPr>
              <w:pStyle w:val="Descripcin"/>
              <w:keepNext/>
              <w:keepLines/>
              <w:spacing w:before="0" w:after="0" w:line="240" w:lineRule="auto"/>
              <w:rPr>
                <w:bCs w:val="0"/>
                <w:iCs/>
                <w:color w:val="FFFFFF" w:themeColor="background1"/>
                <w:lang w:val="es-MX"/>
              </w:rPr>
            </w:pPr>
            <w:r w:rsidRPr="008609D1">
              <w:rPr>
                <w:bCs w:val="0"/>
                <w:iCs/>
                <w:color w:val="FFFFFF" w:themeColor="background1"/>
                <w:lang w:val="es-MX"/>
              </w:rPr>
              <w:t>Depr. Acum.</w:t>
            </w:r>
          </w:p>
        </w:tc>
        <w:tc>
          <w:tcPr>
            <w:tcW w:w="960" w:type="dxa"/>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2F3F0704" w14:textId="77777777" w:rsidR="00A1321B" w:rsidRPr="008609D1" w:rsidRDefault="00A1321B" w:rsidP="008B4286">
            <w:pPr>
              <w:pStyle w:val="Descripcin"/>
              <w:keepNext/>
              <w:keepLines/>
              <w:spacing w:before="0" w:after="0" w:line="240" w:lineRule="auto"/>
              <w:rPr>
                <w:bCs w:val="0"/>
                <w:iCs/>
                <w:color w:val="FFFFFF" w:themeColor="background1"/>
                <w:lang w:val="es-MX"/>
              </w:rPr>
            </w:pPr>
            <w:r w:rsidRPr="008609D1">
              <w:rPr>
                <w:bCs w:val="0"/>
                <w:iCs/>
                <w:color w:val="FFFFFF" w:themeColor="background1"/>
                <w:lang w:val="es-MX"/>
              </w:rPr>
              <w:t>Depr. Req.</w:t>
            </w:r>
          </w:p>
        </w:tc>
        <w:tc>
          <w:tcPr>
            <w:tcW w:w="1075" w:type="dxa"/>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1FFCED36" w14:textId="77777777" w:rsidR="00A1321B" w:rsidRPr="008609D1" w:rsidRDefault="00A1321B" w:rsidP="008B4286">
            <w:pPr>
              <w:pStyle w:val="Descripcin"/>
              <w:keepNext/>
              <w:keepLines/>
              <w:spacing w:before="0" w:after="0" w:line="240" w:lineRule="auto"/>
              <w:rPr>
                <w:bCs w:val="0"/>
                <w:iCs/>
                <w:color w:val="FFFFFF" w:themeColor="background1"/>
                <w:lang w:val="es-MX"/>
              </w:rPr>
            </w:pPr>
            <w:r w:rsidRPr="008609D1">
              <w:rPr>
                <w:bCs w:val="0"/>
                <w:iCs/>
                <w:color w:val="FFFFFF" w:themeColor="background1"/>
                <w:lang w:val="es-MX"/>
              </w:rPr>
              <w:t>Depr. Atrasada</w:t>
            </w:r>
          </w:p>
        </w:tc>
        <w:tc>
          <w:tcPr>
            <w:tcW w:w="1402" w:type="dxa"/>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tcPr>
          <w:p w14:paraId="4524F267" w14:textId="77777777" w:rsidR="00A1321B" w:rsidRPr="008609D1" w:rsidRDefault="00A1321B" w:rsidP="008B4286">
            <w:pPr>
              <w:pStyle w:val="Descripcin"/>
              <w:keepNext/>
              <w:keepLines/>
              <w:spacing w:before="0" w:after="0" w:line="240" w:lineRule="auto"/>
              <w:rPr>
                <w:bCs w:val="0"/>
                <w:iCs/>
                <w:color w:val="FFFFFF" w:themeColor="background1"/>
                <w:lang w:val="es-MX"/>
              </w:rPr>
            </w:pPr>
            <w:r w:rsidRPr="008609D1">
              <w:rPr>
                <w:bCs w:val="0"/>
                <w:iCs/>
                <w:color w:val="FFFFFF" w:themeColor="background1"/>
                <w:lang w:val="es-MX"/>
              </w:rPr>
              <w:t>Cargo CCA</w:t>
            </w:r>
          </w:p>
        </w:tc>
      </w:tr>
      <w:tr w:rsidR="00A1321B" w:rsidRPr="008609D1" w14:paraId="5E7E5E49" w14:textId="77777777" w:rsidTr="008B4286">
        <w:tc>
          <w:tcPr>
            <w:tcW w:w="10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48A25CD6"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Parámetro</w:t>
            </w:r>
          </w:p>
        </w:t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17D046CD"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A</w:t>
            </w:r>
          </w:p>
        </w:tc>
        <w:tc>
          <w:tcPr>
            <w:tcW w:w="9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2C38DDC5"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B</w:t>
            </w:r>
          </w:p>
        </w:tc>
        <w:tc>
          <w:tcPr>
            <w:tcW w:w="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1CA0AA5B"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C</w:t>
            </w:r>
          </w:p>
        </w:tc>
        <w:tc>
          <w:tcPr>
            <w:tcW w:w="8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5AB42C17"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D</w:t>
            </w:r>
          </w:p>
        </w:tc>
        <w:tc>
          <w:tcPr>
            <w:tcW w:w="1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4D0C4FB0"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E</w:t>
            </w:r>
          </w:p>
        </w:tc>
        <w:tc>
          <w:tcPr>
            <w:tcW w:w="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6C59EAE7"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F</w:t>
            </w:r>
          </w:p>
        </w:tc>
        <w:tc>
          <w:tcPr>
            <w:tcW w:w="1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50958333"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G</w:t>
            </w:r>
          </w:p>
        </w:tc>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E9EB"/>
          </w:tcPr>
          <w:p w14:paraId="12D708EE"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H</w:t>
            </w:r>
          </w:p>
        </w:tc>
      </w:tr>
      <w:tr w:rsidR="00A1321B" w:rsidRPr="008609D1" w14:paraId="5C1969AD" w14:textId="77777777" w:rsidTr="008B4286">
        <w:tc>
          <w:tcPr>
            <w:tcW w:w="1054"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30F40FD4"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Fórmula</w:t>
            </w:r>
          </w:p>
        </w:tc>
        <w:tc>
          <w:tcPr>
            <w:tcW w:w="1133"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1E1014C7" w14:textId="77777777" w:rsidR="00A1321B" w:rsidRPr="008609D1" w:rsidRDefault="00A1321B" w:rsidP="008B4286">
            <w:pPr>
              <w:pStyle w:val="Descripcin"/>
              <w:keepNext/>
              <w:keepLines/>
              <w:spacing w:before="0" w:after="0" w:line="240" w:lineRule="auto"/>
              <w:rPr>
                <w:b w:val="0"/>
                <w:i/>
                <w:iCs/>
                <w:lang w:val="es-MX"/>
              </w:rPr>
            </w:pPr>
          </w:p>
        </w:tc>
        <w:tc>
          <w:tcPr>
            <w:tcW w:w="921"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69F9EB2F"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A(0)/VU</w:t>
            </w:r>
          </w:p>
        </w:tc>
        <w:tc>
          <w:tcPr>
            <w:tcW w:w="922"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33C0628F"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A(i)/VU</w:t>
            </w:r>
          </w:p>
        </w:tc>
        <w:tc>
          <w:tcPr>
            <w:tcW w:w="898"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7691E4C8"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C(i)-B(i)</w:t>
            </w:r>
          </w:p>
        </w:tc>
        <w:tc>
          <w:tcPr>
            <w:tcW w:w="1083"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5602CEE1"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C(i)+E(i-1)+G(i-1)</w:t>
            </w:r>
          </w:p>
        </w:tc>
        <w:tc>
          <w:tcPr>
            <w:tcW w:w="960"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44C78240"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A(i)/VU*i</w:t>
            </w:r>
          </w:p>
        </w:tc>
        <w:tc>
          <w:tcPr>
            <w:tcW w:w="1075"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34DCBC66"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F(i)-E(i)</w:t>
            </w:r>
          </w:p>
        </w:tc>
        <w:tc>
          <w:tcPr>
            <w:tcW w:w="1402" w:type="dxa"/>
            <w:tcBorders>
              <w:top w:val="single" w:sz="4" w:space="0" w:color="FFFFFF" w:themeColor="background1"/>
              <w:left w:val="single" w:sz="4" w:space="0" w:color="FFFFFF" w:themeColor="background1"/>
              <w:bottom w:val="single" w:sz="4" w:space="0" w:color="4F629B"/>
              <w:right w:val="single" w:sz="4" w:space="0" w:color="FFFFFF" w:themeColor="background1"/>
            </w:tcBorders>
            <w:shd w:val="clear" w:color="auto" w:fill="E5E9EB"/>
            <w:vAlign w:val="center"/>
          </w:tcPr>
          <w:p w14:paraId="13346528" w14:textId="77777777" w:rsidR="00A1321B" w:rsidRPr="008609D1" w:rsidRDefault="00A1321B" w:rsidP="008B4286">
            <w:pPr>
              <w:pStyle w:val="Descripcin"/>
              <w:keepNext/>
              <w:keepLines/>
              <w:spacing w:before="0" w:after="0" w:line="240" w:lineRule="auto"/>
              <w:rPr>
                <w:b w:val="0"/>
                <w:i/>
                <w:iCs/>
                <w:lang w:val="es-MX"/>
              </w:rPr>
            </w:pPr>
            <w:r w:rsidRPr="008609D1">
              <w:rPr>
                <w:b w:val="0"/>
                <w:i/>
                <w:iCs/>
                <w:lang w:val="es-MX"/>
              </w:rPr>
              <w:t>B(i)+D(i)+G(i)</w:t>
            </w:r>
          </w:p>
        </w:tc>
      </w:tr>
      <w:tr w:rsidR="00A1321B" w:rsidRPr="008609D1" w14:paraId="1411BE35" w14:textId="77777777" w:rsidTr="008B4286">
        <w:trPr>
          <w:trHeight w:val="20"/>
        </w:trPr>
        <w:tc>
          <w:tcPr>
            <w:tcW w:w="1054" w:type="dxa"/>
            <w:tcBorders>
              <w:top w:val="single" w:sz="4" w:space="0" w:color="4F629B"/>
              <w:left w:val="nil"/>
              <w:bottom w:val="single" w:sz="4" w:space="0" w:color="4F629B"/>
              <w:right w:val="nil"/>
            </w:tcBorders>
            <w:shd w:val="clear" w:color="auto" w:fill="D0D1DB"/>
            <w:vAlign w:val="center"/>
          </w:tcPr>
          <w:p w14:paraId="55F7E9E3"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0</w:t>
            </w:r>
          </w:p>
        </w:tc>
        <w:tc>
          <w:tcPr>
            <w:tcW w:w="1133" w:type="dxa"/>
            <w:tcBorders>
              <w:top w:val="single" w:sz="4" w:space="0" w:color="4F629B"/>
              <w:left w:val="nil"/>
              <w:bottom w:val="single" w:sz="4" w:space="0" w:color="4F629B"/>
              <w:right w:val="nil"/>
            </w:tcBorders>
            <w:vAlign w:val="center"/>
          </w:tcPr>
          <w:p w14:paraId="22D493B7"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10,000.00</w:t>
            </w:r>
          </w:p>
        </w:tc>
        <w:tc>
          <w:tcPr>
            <w:tcW w:w="921" w:type="dxa"/>
            <w:tcBorders>
              <w:top w:val="single" w:sz="4" w:space="0" w:color="4F629B"/>
              <w:left w:val="nil"/>
              <w:bottom w:val="single" w:sz="4" w:space="0" w:color="4F629B"/>
              <w:right w:val="nil"/>
            </w:tcBorders>
            <w:vAlign w:val="center"/>
          </w:tcPr>
          <w:p w14:paraId="50339CAF" w14:textId="77777777" w:rsidR="00A1321B" w:rsidRPr="008609D1" w:rsidRDefault="00A1321B" w:rsidP="008B4286">
            <w:pPr>
              <w:pStyle w:val="Descripcin"/>
              <w:keepNext/>
              <w:keepLines/>
              <w:spacing w:before="0" w:after="0" w:line="240" w:lineRule="auto"/>
              <w:rPr>
                <w:b w:val="0"/>
                <w:iCs/>
                <w:lang w:val="es-MX"/>
              </w:rPr>
            </w:pPr>
          </w:p>
        </w:tc>
        <w:tc>
          <w:tcPr>
            <w:tcW w:w="922" w:type="dxa"/>
            <w:tcBorders>
              <w:top w:val="single" w:sz="4" w:space="0" w:color="4F629B"/>
              <w:left w:val="nil"/>
              <w:bottom w:val="single" w:sz="4" w:space="0" w:color="4F629B"/>
              <w:right w:val="nil"/>
            </w:tcBorders>
            <w:vAlign w:val="center"/>
          </w:tcPr>
          <w:p w14:paraId="670ED12B" w14:textId="77777777" w:rsidR="00A1321B" w:rsidRPr="008609D1" w:rsidRDefault="00A1321B" w:rsidP="008B4286">
            <w:pPr>
              <w:pStyle w:val="Descripcin"/>
              <w:keepNext/>
              <w:keepLines/>
              <w:spacing w:before="0" w:after="0" w:line="240" w:lineRule="auto"/>
              <w:rPr>
                <w:b w:val="0"/>
                <w:iCs/>
                <w:lang w:val="es-MX"/>
              </w:rPr>
            </w:pPr>
          </w:p>
        </w:tc>
        <w:tc>
          <w:tcPr>
            <w:tcW w:w="898" w:type="dxa"/>
            <w:tcBorders>
              <w:top w:val="single" w:sz="4" w:space="0" w:color="4F629B"/>
              <w:left w:val="nil"/>
              <w:bottom w:val="single" w:sz="4" w:space="0" w:color="4F629B"/>
              <w:right w:val="nil"/>
            </w:tcBorders>
            <w:vAlign w:val="center"/>
          </w:tcPr>
          <w:p w14:paraId="3E7B5888" w14:textId="77777777" w:rsidR="00A1321B" w:rsidRPr="008609D1" w:rsidRDefault="00A1321B" w:rsidP="008B4286">
            <w:pPr>
              <w:pStyle w:val="Descripcin"/>
              <w:keepNext/>
              <w:keepLines/>
              <w:spacing w:before="0" w:after="0" w:line="240" w:lineRule="auto"/>
              <w:rPr>
                <w:b w:val="0"/>
                <w:iCs/>
                <w:lang w:val="es-MX"/>
              </w:rPr>
            </w:pPr>
          </w:p>
        </w:tc>
        <w:tc>
          <w:tcPr>
            <w:tcW w:w="1083" w:type="dxa"/>
            <w:tcBorders>
              <w:top w:val="single" w:sz="4" w:space="0" w:color="4F629B"/>
              <w:left w:val="nil"/>
              <w:bottom w:val="single" w:sz="4" w:space="0" w:color="4F629B"/>
              <w:right w:val="nil"/>
            </w:tcBorders>
            <w:vAlign w:val="center"/>
          </w:tcPr>
          <w:p w14:paraId="1D002131" w14:textId="77777777" w:rsidR="00A1321B" w:rsidRPr="008609D1" w:rsidRDefault="00A1321B" w:rsidP="008B4286">
            <w:pPr>
              <w:pStyle w:val="Descripcin"/>
              <w:keepNext/>
              <w:keepLines/>
              <w:spacing w:before="0" w:after="0" w:line="240" w:lineRule="auto"/>
              <w:rPr>
                <w:b w:val="0"/>
                <w:iCs/>
                <w:lang w:val="es-MX"/>
              </w:rPr>
            </w:pPr>
          </w:p>
        </w:tc>
        <w:tc>
          <w:tcPr>
            <w:tcW w:w="960" w:type="dxa"/>
            <w:tcBorders>
              <w:top w:val="single" w:sz="4" w:space="0" w:color="4F629B"/>
              <w:left w:val="nil"/>
              <w:bottom w:val="single" w:sz="4" w:space="0" w:color="4F629B"/>
              <w:right w:val="nil"/>
            </w:tcBorders>
            <w:vAlign w:val="center"/>
          </w:tcPr>
          <w:p w14:paraId="290608BA" w14:textId="77777777" w:rsidR="00A1321B" w:rsidRPr="008609D1" w:rsidRDefault="00A1321B" w:rsidP="008B4286">
            <w:pPr>
              <w:pStyle w:val="Descripcin"/>
              <w:keepNext/>
              <w:keepLines/>
              <w:spacing w:before="0" w:after="0" w:line="240" w:lineRule="auto"/>
              <w:rPr>
                <w:b w:val="0"/>
                <w:iCs/>
                <w:lang w:val="es-MX"/>
              </w:rPr>
            </w:pPr>
          </w:p>
        </w:tc>
        <w:tc>
          <w:tcPr>
            <w:tcW w:w="1075" w:type="dxa"/>
            <w:tcBorders>
              <w:top w:val="single" w:sz="4" w:space="0" w:color="4F629B"/>
              <w:left w:val="nil"/>
              <w:bottom w:val="single" w:sz="4" w:space="0" w:color="4F629B"/>
              <w:right w:val="nil"/>
            </w:tcBorders>
            <w:vAlign w:val="center"/>
          </w:tcPr>
          <w:p w14:paraId="67899CB0" w14:textId="77777777" w:rsidR="00A1321B" w:rsidRPr="008609D1" w:rsidRDefault="00A1321B" w:rsidP="008B4286">
            <w:pPr>
              <w:pStyle w:val="Descripcin"/>
              <w:keepNext/>
              <w:keepLines/>
              <w:spacing w:before="0" w:after="0" w:line="240" w:lineRule="auto"/>
              <w:rPr>
                <w:b w:val="0"/>
                <w:iCs/>
                <w:lang w:val="es-MX"/>
              </w:rPr>
            </w:pPr>
          </w:p>
        </w:tc>
        <w:tc>
          <w:tcPr>
            <w:tcW w:w="1402" w:type="dxa"/>
            <w:tcBorders>
              <w:top w:val="single" w:sz="4" w:space="0" w:color="4F629B"/>
              <w:left w:val="nil"/>
              <w:bottom w:val="single" w:sz="4" w:space="0" w:color="4F629B"/>
              <w:right w:val="nil"/>
            </w:tcBorders>
            <w:vAlign w:val="center"/>
          </w:tcPr>
          <w:p w14:paraId="254CF2F7" w14:textId="77777777" w:rsidR="00A1321B" w:rsidRPr="008609D1" w:rsidRDefault="00A1321B" w:rsidP="008B4286">
            <w:pPr>
              <w:pStyle w:val="Descripcin"/>
              <w:keepNext/>
              <w:keepLines/>
              <w:spacing w:before="0" w:after="0" w:line="240" w:lineRule="auto"/>
              <w:rPr>
                <w:b w:val="0"/>
                <w:iCs/>
                <w:lang w:val="es-MX"/>
              </w:rPr>
            </w:pPr>
          </w:p>
        </w:tc>
      </w:tr>
      <w:tr w:rsidR="00A1321B" w:rsidRPr="008609D1" w14:paraId="32B46DFC" w14:textId="77777777" w:rsidTr="008B4286">
        <w:trPr>
          <w:trHeight w:val="20"/>
        </w:trPr>
        <w:tc>
          <w:tcPr>
            <w:tcW w:w="1054" w:type="dxa"/>
            <w:tcBorders>
              <w:top w:val="single" w:sz="4" w:space="0" w:color="4F629B"/>
              <w:left w:val="nil"/>
              <w:bottom w:val="single" w:sz="4" w:space="0" w:color="4F629B"/>
              <w:right w:val="nil"/>
            </w:tcBorders>
            <w:shd w:val="clear" w:color="auto" w:fill="D0D1DB"/>
            <w:vAlign w:val="center"/>
          </w:tcPr>
          <w:p w14:paraId="07BAADE1"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w:t>
            </w:r>
          </w:p>
        </w:tc>
        <w:tc>
          <w:tcPr>
            <w:tcW w:w="1133" w:type="dxa"/>
            <w:tcBorders>
              <w:top w:val="single" w:sz="4" w:space="0" w:color="4F629B"/>
              <w:left w:val="nil"/>
              <w:bottom w:val="single" w:sz="4" w:space="0" w:color="4F629B"/>
              <w:right w:val="nil"/>
            </w:tcBorders>
            <w:vAlign w:val="center"/>
          </w:tcPr>
          <w:p w14:paraId="1FAD542D"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9,500.00</w:t>
            </w:r>
          </w:p>
        </w:tc>
        <w:tc>
          <w:tcPr>
            <w:tcW w:w="921" w:type="dxa"/>
            <w:tcBorders>
              <w:top w:val="single" w:sz="4" w:space="0" w:color="4F629B"/>
              <w:left w:val="nil"/>
              <w:bottom w:val="single" w:sz="4" w:space="0" w:color="4F629B"/>
              <w:right w:val="nil"/>
            </w:tcBorders>
            <w:vAlign w:val="center"/>
          </w:tcPr>
          <w:p w14:paraId="5783081B"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2,000</w:t>
            </w:r>
          </w:p>
        </w:tc>
        <w:tc>
          <w:tcPr>
            <w:tcW w:w="922" w:type="dxa"/>
            <w:tcBorders>
              <w:top w:val="single" w:sz="4" w:space="0" w:color="4F629B"/>
              <w:left w:val="nil"/>
              <w:bottom w:val="single" w:sz="4" w:space="0" w:color="4F629B"/>
              <w:right w:val="nil"/>
            </w:tcBorders>
            <w:vAlign w:val="center"/>
          </w:tcPr>
          <w:p w14:paraId="58DAD1C4"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1,900</w:t>
            </w:r>
          </w:p>
        </w:tc>
        <w:tc>
          <w:tcPr>
            <w:tcW w:w="898" w:type="dxa"/>
            <w:tcBorders>
              <w:top w:val="single" w:sz="4" w:space="0" w:color="4F629B"/>
              <w:left w:val="nil"/>
              <w:bottom w:val="single" w:sz="4" w:space="0" w:color="4F629B"/>
              <w:right w:val="nil"/>
            </w:tcBorders>
            <w:vAlign w:val="center"/>
          </w:tcPr>
          <w:p w14:paraId="5DAE43DD"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-100</w:t>
            </w:r>
          </w:p>
        </w:tc>
        <w:tc>
          <w:tcPr>
            <w:tcW w:w="1083" w:type="dxa"/>
            <w:tcBorders>
              <w:top w:val="single" w:sz="4" w:space="0" w:color="4F629B"/>
              <w:left w:val="nil"/>
              <w:bottom w:val="single" w:sz="4" w:space="0" w:color="4F629B"/>
              <w:right w:val="nil"/>
            </w:tcBorders>
            <w:vAlign w:val="center"/>
          </w:tcPr>
          <w:p w14:paraId="016E5233"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1,900</w:t>
            </w:r>
          </w:p>
        </w:tc>
        <w:tc>
          <w:tcPr>
            <w:tcW w:w="960" w:type="dxa"/>
            <w:tcBorders>
              <w:top w:val="single" w:sz="4" w:space="0" w:color="4F629B"/>
              <w:left w:val="nil"/>
              <w:bottom w:val="single" w:sz="4" w:space="0" w:color="4F629B"/>
              <w:right w:val="nil"/>
            </w:tcBorders>
            <w:vAlign w:val="center"/>
          </w:tcPr>
          <w:p w14:paraId="00542B00"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1,900</w:t>
            </w:r>
          </w:p>
        </w:tc>
        <w:tc>
          <w:tcPr>
            <w:tcW w:w="1075" w:type="dxa"/>
            <w:tcBorders>
              <w:top w:val="single" w:sz="4" w:space="0" w:color="4F629B"/>
              <w:left w:val="nil"/>
              <w:bottom w:val="single" w:sz="4" w:space="0" w:color="4F629B"/>
              <w:right w:val="nil"/>
            </w:tcBorders>
            <w:vAlign w:val="center"/>
          </w:tcPr>
          <w:p w14:paraId="38024285"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w:t>
            </w:r>
          </w:p>
        </w:tc>
        <w:tc>
          <w:tcPr>
            <w:tcW w:w="1402" w:type="dxa"/>
            <w:tcBorders>
              <w:top w:val="single" w:sz="4" w:space="0" w:color="4F629B"/>
              <w:left w:val="nil"/>
              <w:bottom w:val="single" w:sz="4" w:space="0" w:color="4F629B"/>
              <w:right w:val="nil"/>
            </w:tcBorders>
            <w:vAlign w:val="center"/>
          </w:tcPr>
          <w:p w14:paraId="49BEAB0A"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1,900</w:t>
            </w:r>
          </w:p>
        </w:tc>
      </w:tr>
      <w:tr w:rsidR="00A1321B" w:rsidRPr="008609D1" w14:paraId="44738F67" w14:textId="77777777" w:rsidTr="008B4286">
        <w:trPr>
          <w:trHeight w:val="20"/>
        </w:trPr>
        <w:tc>
          <w:tcPr>
            <w:tcW w:w="1054" w:type="dxa"/>
            <w:tcBorders>
              <w:top w:val="single" w:sz="4" w:space="0" w:color="4F629B"/>
              <w:left w:val="nil"/>
              <w:bottom w:val="single" w:sz="4" w:space="0" w:color="4F629B"/>
              <w:right w:val="nil"/>
            </w:tcBorders>
            <w:shd w:val="clear" w:color="auto" w:fill="D0D1DB"/>
            <w:vAlign w:val="center"/>
          </w:tcPr>
          <w:p w14:paraId="4EEC1DBC"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2</w:t>
            </w:r>
          </w:p>
        </w:tc>
        <w:tc>
          <w:tcPr>
            <w:tcW w:w="1133" w:type="dxa"/>
            <w:tcBorders>
              <w:top w:val="single" w:sz="4" w:space="0" w:color="4F629B"/>
              <w:left w:val="nil"/>
              <w:bottom w:val="single" w:sz="4" w:space="0" w:color="4F629B"/>
              <w:right w:val="nil"/>
            </w:tcBorders>
            <w:vAlign w:val="center"/>
          </w:tcPr>
          <w:p w14:paraId="533D902F"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9,025.00</w:t>
            </w:r>
          </w:p>
        </w:tc>
        <w:tc>
          <w:tcPr>
            <w:tcW w:w="921" w:type="dxa"/>
            <w:tcBorders>
              <w:top w:val="single" w:sz="4" w:space="0" w:color="4F629B"/>
              <w:left w:val="nil"/>
              <w:bottom w:val="single" w:sz="4" w:space="0" w:color="4F629B"/>
              <w:right w:val="nil"/>
            </w:tcBorders>
            <w:vAlign w:val="center"/>
          </w:tcPr>
          <w:p w14:paraId="7BD14193"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2,000</w:t>
            </w:r>
          </w:p>
        </w:tc>
        <w:tc>
          <w:tcPr>
            <w:tcW w:w="922" w:type="dxa"/>
            <w:tcBorders>
              <w:top w:val="single" w:sz="4" w:space="0" w:color="4F629B"/>
              <w:left w:val="nil"/>
              <w:bottom w:val="single" w:sz="4" w:space="0" w:color="4F629B"/>
              <w:right w:val="nil"/>
            </w:tcBorders>
            <w:vAlign w:val="center"/>
          </w:tcPr>
          <w:p w14:paraId="25CD90D3"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1,805</w:t>
            </w:r>
          </w:p>
        </w:tc>
        <w:tc>
          <w:tcPr>
            <w:tcW w:w="898" w:type="dxa"/>
            <w:tcBorders>
              <w:top w:val="single" w:sz="4" w:space="0" w:color="4F629B"/>
              <w:left w:val="nil"/>
              <w:bottom w:val="single" w:sz="4" w:space="0" w:color="4F629B"/>
              <w:right w:val="nil"/>
            </w:tcBorders>
            <w:vAlign w:val="center"/>
          </w:tcPr>
          <w:p w14:paraId="5A39C232"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-195</w:t>
            </w:r>
          </w:p>
        </w:tc>
        <w:tc>
          <w:tcPr>
            <w:tcW w:w="1083" w:type="dxa"/>
            <w:tcBorders>
              <w:top w:val="single" w:sz="4" w:space="0" w:color="4F629B"/>
              <w:left w:val="nil"/>
              <w:bottom w:val="single" w:sz="4" w:space="0" w:color="4F629B"/>
              <w:right w:val="nil"/>
            </w:tcBorders>
            <w:vAlign w:val="center"/>
          </w:tcPr>
          <w:p w14:paraId="74DBE64E"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3,705</w:t>
            </w:r>
          </w:p>
        </w:tc>
        <w:tc>
          <w:tcPr>
            <w:tcW w:w="960" w:type="dxa"/>
            <w:tcBorders>
              <w:top w:val="single" w:sz="4" w:space="0" w:color="4F629B"/>
              <w:left w:val="nil"/>
              <w:bottom w:val="single" w:sz="4" w:space="0" w:color="4F629B"/>
              <w:right w:val="nil"/>
            </w:tcBorders>
            <w:vAlign w:val="center"/>
          </w:tcPr>
          <w:p w14:paraId="331F3EFD"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3,610</w:t>
            </w:r>
          </w:p>
        </w:tc>
        <w:tc>
          <w:tcPr>
            <w:tcW w:w="1075" w:type="dxa"/>
            <w:tcBorders>
              <w:top w:val="single" w:sz="4" w:space="0" w:color="4F629B"/>
              <w:left w:val="nil"/>
              <w:bottom w:val="single" w:sz="4" w:space="0" w:color="4F629B"/>
              <w:right w:val="nil"/>
            </w:tcBorders>
            <w:vAlign w:val="center"/>
          </w:tcPr>
          <w:p w14:paraId="50C0451A"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-95</w:t>
            </w:r>
          </w:p>
        </w:tc>
        <w:tc>
          <w:tcPr>
            <w:tcW w:w="1402" w:type="dxa"/>
            <w:tcBorders>
              <w:top w:val="single" w:sz="4" w:space="0" w:color="4F629B"/>
              <w:left w:val="nil"/>
              <w:bottom w:val="single" w:sz="4" w:space="0" w:color="4F629B"/>
              <w:right w:val="nil"/>
            </w:tcBorders>
            <w:vAlign w:val="center"/>
          </w:tcPr>
          <w:p w14:paraId="7B27E470"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1,710</w:t>
            </w:r>
          </w:p>
        </w:tc>
      </w:tr>
      <w:tr w:rsidR="00A1321B" w:rsidRPr="008609D1" w14:paraId="651C47B8" w14:textId="77777777" w:rsidTr="008B4286">
        <w:trPr>
          <w:trHeight w:val="20"/>
        </w:trPr>
        <w:tc>
          <w:tcPr>
            <w:tcW w:w="1054" w:type="dxa"/>
            <w:tcBorders>
              <w:top w:val="single" w:sz="4" w:space="0" w:color="4F629B"/>
              <w:left w:val="nil"/>
              <w:bottom w:val="single" w:sz="4" w:space="0" w:color="4F629B"/>
              <w:right w:val="nil"/>
            </w:tcBorders>
            <w:shd w:val="clear" w:color="auto" w:fill="D0D1DB"/>
            <w:vAlign w:val="center"/>
          </w:tcPr>
          <w:p w14:paraId="20513FDB"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3</w:t>
            </w:r>
          </w:p>
        </w:tc>
        <w:tc>
          <w:tcPr>
            <w:tcW w:w="1133" w:type="dxa"/>
            <w:tcBorders>
              <w:top w:val="single" w:sz="4" w:space="0" w:color="4F629B"/>
              <w:left w:val="nil"/>
              <w:bottom w:val="single" w:sz="4" w:space="0" w:color="4F629B"/>
              <w:right w:val="nil"/>
            </w:tcBorders>
            <w:vAlign w:val="center"/>
          </w:tcPr>
          <w:p w14:paraId="680B7B70"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8,573.75</w:t>
            </w:r>
          </w:p>
        </w:tc>
        <w:tc>
          <w:tcPr>
            <w:tcW w:w="921" w:type="dxa"/>
            <w:tcBorders>
              <w:top w:val="single" w:sz="4" w:space="0" w:color="4F629B"/>
              <w:left w:val="nil"/>
              <w:bottom w:val="single" w:sz="4" w:space="0" w:color="4F629B"/>
              <w:right w:val="nil"/>
            </w:tcBorders>
            <w:vAlign w:val="center"/>
          </w:tcPr>
          <w:p w14:paraId="1B8B7173"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2,000</w:t>
            </w:r>
          </w:p>
        </w:tc>
        <w:tc>
          <w:tcPr>
            <w:tcW w:w="922" w:type="dxa"/>
            <w:tcBorders>
              <w:top w:val="single" w:sz="4" w:space="0" w:color="4F629B"/>
              <w:left w:val="nil"/>
              <w:bottom w:val="single" w:sz="4" w:space="0" w:color="4F629B"/>
              <w:right w:val="nil"/>
            </w:tcBorders>
            <w:vAlign w:val="center"/>
          </w:tcPr>
          <w:p w14:paraId="4F8C029F"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1,715</w:t>
            </w:r>
          </w:p>
        </w:tc>
        <w:tc>
          <w:tcPr>
            <w:tcW w:w="898" w:type="dxa"/>
            <w:tcBorders>
              <w:top w:val="single" w:sz="4" w:space="0" w:color="4F629B"/>
              <w:left w:val="nil"/>
              <w:bottom w:val="single" w:sz="4" w:space="0" w:color="4F629B"/>
              <w:right w:val="nil"/>
            </w:tcBorders>
            <w:vAlign w:val="center"/>
          </w:tcPr>
          <w:p w14:paraId="494D704B"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-285</w:t>
            </w:r>
          </w:p>
        </w:tc>
        <w:tc>
          <w:tcPr>
            <w:tcW w:w="1083" w:type="dxa"/>
            <w:tcBorders>
              <w:top w:val="single" w:sz="4" w:space="0" w:color="4F629B"/>
              <w:left w:val="nil"/>
              <w:bottom w:val="single" w:sz="4" w:space="0" w:color="4F629B"/>
              <w:right w:val="nil"/>
            </w:tcBorders>
            <w:vAlign w:val="center"/>
          </w:tcPr>
          <w:p w14:paraId="3AD9C19E"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5,325</w:t>
            </w:r>
          </w:p>
        </w:tc>
        <w:tc>
          <w:tcPr>
            <w:tcW w:w="960" w:type="dxa"/>
            <w:tcBorders>
              <w:top w:val="single" w:sz="4" w:space="0" w:color="4F629B"/>
              <w:left w:val="nil"/>
              <w:bottom w:val="single" w:sz="4" w:space="0" w:color="4F629B"/>
              <w:right w:val="nil"/>
            </w:tcBorders>
            <w:vAlign w:val="center"/>
          </w:tcPr>
          <w:p w14:paraId="4EE5921B"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5,144</w:t>
            </w:r>
          </w:p>
        </w:tc>
        <w:tc>
          <w:tcPr>
            <w:tcW w:w="1075" w:type="dxa"/>
            <w:tcBorders>
              <w:top w:val="single" w:sz="4" w:space="0" w:color="4F629B"/>
              <w:left w:val="nil"/>
              <w:bottom w:val="single" w:sz="4" w:space="0" w:color="4F629B"/>
              <w:right w:val="nil"/>
            </w:tcBorders>
            <w:vAlign w:val="center"/>
          </w:tcPr>
          <w:p w14:paraId="5822E921"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-181</w:t>
            </w:r>
          </w:p>
        </w:tc>
        <w:tc>
          <w:tcPr>
            <w:tcW w:w="1402" w:type="dxa"/>
            <w:tcBorders>
              <w:top w:val="single" w:sz="4" w:space="0" w:color="4F629B"/>
              <w:left w:val="nil"/>
              <w:bottom w:val="single" w:sz="4" w:space="0" w:color="4F629B"/>
              <w:right w:val="nil"/>
            </w:tcBorders>
            <w:vAlign w:val="center"/>
          </w:tcPr>
          <w:p w14:paraId="4E56703A"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1,534</w:t>
            </w:r>
          </w:p>
        </w:tc>
      </w:tr>
      <w:tr w:rsidR="00A1321B" w:rsidRPr="008609D1" w14:paraId="480D7D58" w14:textId="77777777" w:rsidTr="008B4286">
        <w:trPr>
          <w:trHeight w:val="20"/>
        </w:trPr>
        <w:tc>
          <w:tcPr>
            <w:tcW w:w="1054" w:type="dxa"/>
            <w:tcBorders>
              <w:top w:val="single" w:sz="4" w:space="0" w:color="4F629B"/>
              <w:left w:val="nil"/>
              <w:bottom w:val="single" w:sz="4" w:space="0" w:color="4F629B"/>
              <w:right w:val="nil"/>
            </w:tcBorders>
            <w:shd w:val="clear" w:color="auto" w:fill="D0D1DB"/>
            <w:vAlign w:val="center"/>
          </w:tcPr>
          <w:p w14:paraId="08F85835"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4</w:t>
            </w:r>
          </w:p>
        </w:tc>
        <w:tc>
          <w:tcPr>
            <w:tcW w:w="1133" w:type="dxa"/>
            <w:tcBorders>
              <w:top w:val="single" w:sz="4" w:space="0" w:color="4F629B"/>
              <w:left w:val="nil"/>
              <w:bottom w:val="single" w:sz="4" w:space="0" w:color="4F629B"/>
              <w:right w:val="nil"/>
            </w:tcBorders>
            <w:vAlign w:val="center"/>
          </w:tcPr>
          <w:p w14:paraId="3A5C8E1F"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8,145.06</w:t>
            </w:r>
          </w:p>
        </w:tc>
        <w:tc>
          <w:tcPr>
            <w:tcW w:w="921" w:type="dxa"/>
            <w:tcBorders>
              <w:top w:val="single" w:sz="4" w:space="0" w:color="4F629B"/>
              <w:left w:val="nil"/>
              <w:bottom w:val="single" w:sz="4" w:space="0" w:color="4F629B"/>
              <w:right w:val="nil"/>
            </w:tcBorders>
            <w:vAlign w:val="center"/>
          </w:tcPr>
          <w:p w14:paraId="0BC4FCD4"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2,000</w:t>
            </w:r>
          </w:p>
        </w:tc>
        <w:tc>
          <w:tcPr>
            <w:tcW w:w="922" w:type="dxa"/>
            <w:tcBorders>
              <w:top w:val="single" w:sz="4" w:space="0" w:color="4F629B"/>
              <w:left w:val="nil"/>
              <w:bottom w:val="single" w:sz="4" w:space="0" w:color="4F629B"/>
              <w:right w:val="nil"/>
            </w:tcBorders>
            <w:vAlign w:val="center"/>
          </w:tcPr>
          <w:p w14:paraId="1F240205"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1,629</w:t>
            </w:r>
          </w:p>
        </w:tc>
        <w:tc>
          <w:tcPr>
            <w:tcW w:w="898" w:type="dxa"/>
            <w:tcBorders>
              <w:top w:val="single" w:sz="4" w:space="0" w:color="4F629B"/>
              <w:left w:val="nil"/>
              <w:bottom w:val="single" w:sz="4" w:space="0" w:color="4F629B"/>
              <w:right w:val="nil"/>
            </w:tcBorders>
            <w:vAlign w:val="center"/>
          </w:tcPr>
          <w:p w14:paraId="436E4BB7"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-371</w:t>
            </w:r>
          </w:p>
        </w:tc>
        <w:tc>
          <w:tcPr>
            <w:tcW w:w="1083" w:type="dxa"/>
            <w:tcBorders>
              <w:top w:val="single" w:sz="4" w:space="0" w:color="4F629B"/>
              <w:left w:val="nil"/>
              <w:bottom w:val="single" w:sz="4" w:space="0" w:color="4F629B"/>
              <w:right w:val="nil"/>
            </w:tcBorders>
            <w:vAlign w:val="center"/>
          </w:tcPr>
          <w:p w14:paraId="795B7369"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6,773</w:t>
            </w:r>
          </w:p>
        </w:tc>
        <w:tc>
          <w:tcPr>
            <w:tcW w:w="960" w:type="dxa"/>
            <w:tcBorders>
              <w:top w:val="single" w:sz="4" w:space="0" w:color="4F629B"/>
              <w:left w:val="nil"/>
              <w:bottom w:val="single" w:sz="4" w:space="0" w:color="4F629B"/>
              <w:right w:val="nil"/>
            </w:tcBorders>
            <w:vAlign w:val="center"/>
          </w:tcPr>
          <w:p w14:paraId="44676B5F"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6,516</w:t>
            </w:r>
          </w:p>
        </w:tc>
        <w:tc>
          <w:tcPr>
            <w:tcW w:w="1075" w:type="dxa"/>
            <w:tcBorders>
              <w:top w:val="single" w:sz="4" w:space="0" w:color="4F629B"/>
              <w:left w:val="nil"/>
              <w:bottom w:val="single" w:sz="4" w:space="0" w:color="4F629B"/>
              <w:right w:val="nil"/>
            </w:tcBorders>
            <w:vAlign w:val="center"/>
          </w:tcPr>
          <w:p w14:paraId="4E8EE876"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-257</w:t>
            </w:r>
          </w:p>
        </w:tc>
        <w:tc>
          <w:tcPr>
            <w:tcW w:w="1402" w:type="dxa"/>
            <w:tcBorders>
              <w:top w:val="single" w:sz="4" w:space="0" w:color="4F629B"/>
              <w:left w:val="nil"/>
              <w:bottom w:val="single" w:sz="4" w:space="0" w:color="4F629B"/>
              <w:right w:val="nil"/>
            </w:tcBorders>
            <w:vAlign w:val="center"/>
          </w:tcPr>
          <w:p w14:paraId="5B78E59C"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1,372</w:t>
            </w:r>
          </w:p>
        </w:tc>
      </w:tr>
      <w:tr w:rsidR="00A1321B" w:rsidRPr="008609D1" w14:paraId="13B95BFA" w14:textId="77777777" w:rsidTr="008B4286">
        <w:trPr>
          <w:trHeight w:val="193"/>
        </w:trPr>
        <w:tc>
          <w:tcPr>
            <w:tcW w:w="1054" w:type="dxa"/>
            <w:tcBorders>
              <w:top w:val="single" w:sz="4" w:space="0" w:color="4F629B"/>
              <w:left w:val="nil"/>
              <w:bottom w:val="single" w:sz="4" w:space="0" w:color="4F629B"/>
              <w:right w:val="nil"/>
            </w:tcBorders>
            <w:shd w:val="clear" w:color="auto" w:fill="D0D1DB"/>
            <w:vAlign w:val="center"/>
          </w:tcPr>
          <w:p w14:paraId="488E737B"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5</w:t>
            </w:r>
          </w:p>
        </w:tc>
        <w:tc>
          <w:tcPr>
            <w:tcW w:w="1133" w:type="dxa"/>
            <w:tcBorders>
              <w:top w:val="single" w:sz="4" w:space="0" w:color="4F629B"/>
              <w:left w:val="nil"/>
              <w:bottom w:val="single" w:sz="4" w:space="0" w:color="4F629B"/>
              <w:right w:val="nil"/>
            </w:tcBorders>
            <w:vAlign w:val="center"/>
          </w:tcPr>
          <w:p w14:paraId="1BF11FB6"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7,737.81</w:t>
            </w:r>
          </w:p>
        </w:tc>
        <w:tc>
          <w:tcPr>
            <w:tcW w:w="921" w:type="dxa"/>
            <w:tcBorders>
              <w:top w:val="single" w:sz="4" w:space="0" w:color="4F629B"/>
              <w:left w:val="nil"/>
              <w:bottom w:val="single" w:sz="4" w:space="0" w:color="4F629B"/>
              <w:right w:val="nil"/>
            </w:tcBorders>
            <w:vAlign w:val="center"/>
          </w:tcPr>
          <w:p w14:paraId="0C5A3D6C"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2,000</w:t>
            </w:r>
          </w:p>
        </w:tc>
        <w:tc>
          <w:tcPr>
            <w:tcW w:w="922" w:type="dxa"/>
            <w:tcBorders>
              <w:top w:val="single" w:sz="4" w:space="0" w:color="4F629B"/>
              <w:left w:val="nil"/>
              <w:bottom w:val="single" w:sz="4" w:space="0" w:color="4F629B"/>
              <w:right w:val="nil"/>
            </w:tcBorders>
            <w:vAlign w:val="center"/>
          </w:tcPr>
          <w:p w14:paraId="7CF30377"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1,548</w:t>
            </w:r>
          </w:p>
        </w:tc>
        <w:tc>
          <w:tcPr>
            <w:tcW w:w="898" w:type="dxa"/>
            <w:tcBorders>
              <w:top w:val="single" w:sz="4" w:space="0" w:color="4F629B"/>
              <w:left w:val="nil"/>
              <w:bottom w:val="single" w:sz="4" w:space="0" w:color="4F629B"/>
              <w:right w:val="nil"/>
            </w:tcBorders>
            <w:vAlign w:val="center"/>
          </w:tcPr>
          <w:p w14:paraId="11D8E505"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-452</w:t>
            </w:r>
          </w:p>
        </w:tc>
        <w:tc>
          <w:tcPr>
            <w:tcW w:w="1083" w:type="dxa"/>
            <w:tcBorders>
              <w:top w:val="single" w:sz="4" w:space="0" w:color="4F629B"/>
              <w:left w:val="nil"/>
              <w:bottom w:val="single" w:sz="4" w:space="0" w:color="4F629B"/>
              <w:right w:val="nil"/>
            </w:tcBorders>
            <w:vAlign w:val="center"/>
          </w:tcPr>
          <w:p w14:paraId="48D69CCD"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8,064</w:t>
            </w:r>
          </w:p>
        </w:tc>
        <w:tc>
          <w:tcPr>
            <w:tcW w:w="960" w:type="dxa"/>
            <w:tcBorders>
              <w:top w:val="single" w:sz="4" w:space="0" w:color="4F629B"/>
              <w:left w:val="nil"/>
              <w:bottom w:val="single" w:sz="4" w:space="0" w:color="4F629B"/>
              <w:right w:val="nil"/>
            </w:tcBorders>
            <w:vAlign w:val="center"/>
          </w:tcPr>
          <w:p w14:paraId="6C4A2FD9"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7,738</w:t>
            </w:r>
          </w:p>
        </w:tc>
        <w:tc>
          <w:tcPr>
            <w:tcW w:w="1075" w:type="dxa"/>
            <w:tcBorders>
              <w:top w:val="single" w:sz="4" w:space="0" w:color="4F629B"/>
              <w:left w:val="nil"/>
              <w:bottom w:val="single" w:sz="4" w:space="0" w:color="4F629B"/>
              <w:right w:val="nil"/>
            </w:tcBorders>
            <w:vAlign w:val="center"/>
          </w:tcPr>
          <w:p w14:paraId="751A8DB1"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-326</w:t>
            </w:r>
          </w:p>
        </w:tc>
        <w:tc>
          <w:tcPr>
            <w:tcW w:w="1402" w:type="dxa"/>
            <w:tcBorders>
              <w:top w:val="single" w:sz="4" w:space="0" w:color="4F629B"/>
              <w:left w:val="nil"/>
              <w:bottom w:val="single" w:sz="4" w:space="0" w:color="4F629B"/>
              <w:right w:val="nil"/>
            </w:tcBorders>
            <w:vAlign w:val="center"/>
          </w:tcPr>
          <w:p w14:paraId="16BAB4DE" w14:textId="77777777" w:rsidR="00A1321B" w:rsidRPr="008609D1" w:rsidRDefault="00A1321B" w:rsidP="008B4286">
            <w:pPr>
              <w:pStyle w:val="Descripcin"/>
              <w:keepNext/>
              <w:keepLines/>
              <w:spacing w:before="0" w:after="0" w:line="240" w:lineRule="auto"/>
              <w:rPr>
                <w:b w:val="0"/>
                <w:iCs/>
                <w:lang w:val="es-MX"/>
              </w:rPr>
            </w:pPr>
            <w:r w:rsidRPr="008609D1">
              <w:rPr>
                <w:b w:val="0"/>
                <w:iCs/>
                <w:lang w:val="es-MX"/>
              </w:rPr>
              <w:t>1,222</w:t>
            </w:r>
          </w:p>
        </w:tc>
      </w:tr>
    </w:tbl>
    <w:p w14:paraId="2AB4AE38" w14:textId="77777777" w:rsidR="00A1321B" w:rsidRPr="008609D1" w:rsidRDefault="00A1321B" w:rsidP="00A1321B">
      <w:pPr>
        <w:pStyle w:val="Normalresolucion"/>
      </w:pPr>
      <w:r w:rsidRPr="008609D1">
        <w:t>Donde el año 0 representa el año en el que se adquirió el activo, (i) corresponde al año relativo a cada línea de cálculo en particular y VU hace referencia a la vida útil del activo (5 años en el ejemplo presentado).</w:t>
      </w:r>
    </w:p>
    <w:p w14:paraId="708C67D1" w14:textId="77777777" w:rsidR="00A1321B" w:rsidRPr="008609D1" w:rsidRDefault="00A1321B" w:rsidP="00A1321B">
      <w:pPr>
        <w:pStyle w:val="Normalresolucion"/>
        <w:rPr>
          <w:bCs/>
          <w:u w:val="single"/>
        </w:rPr>
      </w:pPr>
      <w:r w:rsidRPr="008609D1">
        <w:rPr>
          <w:bCs/>
          <w:u w:val="single"/>
        </w:rPr>
        <w:t>Valor Neto de Reposición</w:t>
      </w:r>
    </w:p>
    <w:p w14:paraId="5577B615" w14:textId="4FB76165" w:rsidR="00A1321B" w:rsidRPr="008609D1" w:rsidRDefault="00A1321B" w:rsidP="00A1321B">
      <w:pPr>
        <w:pStyle w:val="Normalresolucion"/>
      </w:pPr>
      <w:r w:rsidRPr="008609D1">
        <w:t xml:space="preserve">Por su lado, el Valor Neto de Reposición (VNR) será obtenido mediante la aplicación de la </w:t>
      </w:r>
      <w:r>
        <w:t>relación</w:t>
      </w:r>
      <w:r w:rsidRPr="008609D1">
        <w:t xml:space="preserve"> entre el Valor Neto Contable (VNC) y el Valor Bruto Contable (VBC) sobre el Valor Bruto de Reposición (VBR):</w:t>
      </w:r>
    </w:p>
    <w:p w14:paraId="6C9138E4" w14:textId="77777777" w:rsidR="00A1321B" w:rsidRPr="008609D1" w:rsidRDefault="00A1321B" w:rsidP="00A1321B">
      <w:pPr>
        <w:pStyle w:val="Indentado1"/>
        <w:numPr>
          <w:ilvl w:val="0"/>
          <w:numId w:val="0"/>
        </w:numPr>
        <w:ind w:left="357"/>
        <w:rPr>
          <w:rFonts w:ascii="ITC Avant Garde" w:hAnsi="ITC Avant Garde"/>
        </w:rPr>
      </w:pPr>
      <m:oMathPara>
        <m:oMath>
          <m:r>
            <w:rPr>
              <w:rFonts w:ascii="Cambria Math" w:hAnsi="Cambria Math"/>
              <w:lang w:val="pt-PT"/>
            </w:rPr>
            <m:t>VNR=</m:t>
          </m:r>
          <m:f>
            <m:fPr>
              <m:ctrlPr>
                <w:rPr>
                  <w:rFonts w:ascii="Cambria Math" w:hAnsi="Cambria Math"/>
                  <w:i/>
                </w:rPr>
              </m:ctrlPr>
            </m:fPr>
            <m:num>
              <m:r>
                <w:rPr>
                  <w:rFonts w:ascii="Cambria Math" w:hAnsi="Cambria Math"/>
                </w:rPr>
                <m:t>VNC</m:t>
              </m:r>
            </m:num>
            <m:den>
              <m:r>
                <w:rPr>
                  <w:rFonts w:ascii="Cambria Math" w:hAnsi="Cambria Math"/>
                </w:rPr>
                <m:t>VBC</m:t>
              </m:r>
            </m:den>
          </m:f>
          <m:r>
            <w:rPr>
              <w:rFonts w:ascii="Cambria Math" w:hAnsi="Cambria Math"/>
            </w:rPr>
            <m:t>∙VBR</m:t>
          </m:r>
        </m:oMath>
      </m:oMathPara>
    </w:p>
    <w:p w14:paraId="1A4066EF" w14:textId="77777777" w:rsidR="00A1321B" w:rsidRPr="008609D1" w:rsidRDefault="00A1321B" w:rsidP="00A1321B">
      <w:pPr>
        <w:pStyle w:val="Normalresolucion"/>
      </w:pPr>
      <w:r w:rsidRPr="008609D1">
        <w:lastRenderedPageBreak/>
        <w:t>Con respecto al proceso de cálculo de las variables relativas a los cargos de depreciación y al valor neto de reposición, es de suma importancia que los cálculos arriba presentados se realicen a nivel de línea de activo (cada fila del registro de activo fijo) y no de manera agregada por categorías de activo.</w:t>
      </w:r>
    </w:p>
    <w:p w14:paraId="33B9AC14" w14:textId="77777777" w:rsidR="00A1321B" w:rsidRPr="008609D1" w:rsidRDefault="00A1321B" w:rsidP="00A1321B">
      <w:pPr>
        <w:pStyle w:val="Normalresolucion"/>
      </w:pPr>
      <w:r w:rsidRPr="008609D1">
        <w:t>En la aplicación de los conceptos anteriores se ha supuesto en todo momento que los concesionarios estarán empleando un método de depreciación en línea recta para la anualización de sus activos. Esta metodología distribuye el valor bruto de un activo a lo largo de su vida útil</w:t>
      </w:r>
      <w:r w:rsidRPr="008609D1">
        <w:rPr>
          <w:rStyle w:val="Refdenotaalpie"/>
        </w:rPr>
        <w:footnoteReference w:id="20"/>
      </w:r>
      <w:r w:rsidRPr="008609D1">
        <w:t xml:space="preserve"> y es la alternativa </w:t>
      </w:r>
      <w:r w:rsidRPr="008609D1">
        <w:rPr>
          <w:i/>
        </w:rPr>
        <w:t>de facto</w:t>
      </w:r>
      <w:r w:rsidRPr="008609D1">
        <w:t xml:space="preserve"> adoptada habitualmente en la preparación de los estados financieros contables.</w:t>
      </w:r>
    </w:p>
    <w:p w14:paraId="750B3927" w14:textId="77777777" w:rsidR="00A1321B" w:rsidRPr="008609D1" w:rsidRDefault="00A1321B" w:rsidP="00A1321B">
      <w:pPr>
        <w:pStyle w:val="Normalresolucion"/>
      </w:pPr>
      <w:r w:rsidRPr="008609D1">
        <w:t>Es importante mencionar que el cálculo del costo de capital promedio empleado debe ser efectuado de forma separada e incluido dentro de la separación contable.</w:t>
      </w:r>
    </w:p>
    <w:p w14:paraId="4A9C8EB8" w14:textId="77777777" w:rsidR="00A1321B" w:rsidRPr="008609D1" w:rsidRDefault="00A1321B" w:rsidP="005F4843">
      <w:pPr>
        <w:pStyle w:val="A1L3"/>
        <w:outlineLvl w:val="2"/>
      </w:pPr>
      <w:bookmarkStart w:id="78" w:name="_Toc475004110"/>
      <w:bookmarkStart w:id="79" w:name="_Ref475095132"/>
      <w:bookmarkStart w:id="80" w:name="_Ref477513113"/>
      <w:bookmarkStart w:id="81" w:name="_Ref477513222"/>
      <w:bookmarkStart w:id="82" w:name="_Ref477513610"/>
      <w:bookmarkStart w:id="83" w:name="_Ref477513613"/>
      <w:bookmarkStart w:id="84" w:name="_Ref477515151"/>
      <w:bookmarkStart w:id="85" w:name="_Toc475468498"/>
      <w:bookmarkStart w:id="86" w:name="_Toc477515010"/>
      <w:bookmarkStart w:id="87" w:name="_Toc478774494"/>
      <w:bookmarkStart w:id="88" w:name="_Toc484022102"/>
      <w:r w:rsidRPr="008609D1">
        <w:t>Costo promedio ponderado del capital empleado</w:t>
      </w:r>
      <w:bookmarkEnd w:id="78"/>
      <w:bookmarkEnd w:id="79"/>
      <w:bookmarkEnd w:id="80"/>
      <w:bookmarkEnd w:id="81"/>
      <w:bookmarkEnd w:id="82"/>
      <w:bookmarkEnd w:id="83"/>
      <w:bookmarkEnd w:id="84"/>
      <w:bookmarkEnd w:id="85"/>
      <w:bookmarkEnd w:id="86"/>
      <w:bookmarkEnd w:id="87"/>
      <w:bookmarkEnd w:id="88"/>
    </w:p>
    <w:p w14:paraId="731C04EE" w14:textId="77777777" w:rsidR="00A1321B" w:rsidRPr="008609D1" w:rsidRDefault="00A1321B" w:rsidP="00A1321B">
      <w:pPr>
        <w:pStyle w:val="Normalresolucion"/>
        <w:keepNext/>
        <w:keepLines/>
      </w:pPr>
      <w:r w:rsidRPr="008609D1">
        <w:t>El concepto regulatorio de costo del capital empleado se corresponde con el costo de oportunidad del capital de los accionistas y de la deuda que se ha depositado en una empresa para el desempeño de sus operaciones.</w:t>
      </w:r>
    </w:p>
    <w:p w14:paraId="14F6015F" w14:textId="77777777" w:rsidR="00A1321B" w:rsidRPr="008609D1" w:rsidRDefault="00A1321B" w:rsidP="00A1321B">
      <w:pPr>
        <w:pStyle w:val="Normalresolucion"/>
      </w:pPr>
      <w:r w:rsidRPr="008609D1">
        <w:t xml:space="preserve">En este sentido, el empleo de una tasa de retorno de capital permite una cuantificación objetiva del rendimiento esperado y del costo de capital. </w:t>
      </w:r>
    </w:p>
    <w:p w14:paraId="3C9F43FF" w14:textId="77777777" w:rsidR="00A1321B" w:rsidRPr="008609D1" w:rsidRDefault="00A1321B" w:rsidP="00A1321B">
      <w:pPr>
        <w:pStyle w:val="Normalresolucion"/>
      </w:pPr>
      <w:r w:rsidRPr="008609D1">
        <w:t>Esta tasa de retorno, conocida como WACC (</w:t>
      </w:r>
      <w:r w:rsidRPr="008609D1">
        <w:rPr>
          <w:i/>
        </w:rPr>
        <w:t>Weighted Average Cost of Capital</w:t>
      </w:r>
      <w:r w:rsidRPr="008609D1">
        <w:t>), toma en consideración los riesgos y la volatilidad inherentes al invertir en la empresa. Esta se define como el costo promedio de la deuda y de los fondos propios, ponderados en función de sus respectivos pesos en la estructura de financiación de la compañía, y se calcula mediante la siguiente expresión:</w:t>
      </w:r>
    </w:p>
    <w:p w14:paraId="4500671A" w14:textId="77777777" w:rsidR="00A1321B" w:rsidRPr="008609D1" w:rsidRDefault="00970710" w:rsidP="00A1321B">
      <w:pPr>
        <w:rPr>
          <w:rFonts w:ascii="ITC Avant Garde" w:eastAsia="Times New Roman" w:hAnsi="ITC Avant Garde" w:cs="Arial"/>
          <w:lang w:val="es-ES" w:eastAsia="es-ES"/>
        </w:rPr>
      </w:pPr>
      <m:oMathPara>
        <m:oMath>
          <m:sSub>
            <m:sSubPr>
              <m:ctrlPr>
                <w:rPr>
                  <w:rFonts w:ascii="Cambria Math" w:eastAsia="Times New Roman" w:hAnsi="Cambria Math" w:cs="Arial"/>
                  <w:lang w:val="es-ES" w:eastAsia="es-ES"/>
                </w:rPr>
              </m:ctrlPr>
            </m:sSubPr>
            <m:e>
              <m:r>
                <w:rPr>
                  <w:rFonts w:ascii="Cambria Math" w:eastAsia="Times New Roman" w:hAnsi="Cambria Math" w:cs="Arial"/>
                  <w:lang w:val="es-ES" w:eastAsia="es-ES"/>
                </w:rPr>
                <m:t>WACC</m:t>
              </m:r>
            </m:e>
            <m:sub>
              <m:r>
                <w:rPr>
                  <w:rFonts w:ascii="Cambria Math" w:eastAsia="Times New Roman" w:hAnsi="Cambria Math" w:cs="Arial"/>
                  <w:lang w:val="es-ES" w:eastAsia="es-ES"/>
                </w:rPr>
                <m:t>antes</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de</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impuestos</m:t>
              </m:r>
            </m:sub>
          </m:sSub>
          <m:r>
            <m:rPr>
              <m:sty m:val="p"/>
            </m:rPr>
            <w:rPr>
              <w:rFonts w:ascii="Cambria Math" w:eastAsia="Times New Roman" w:hAnsi="Cambria Math" w:cs="Arial"/>
              <w:lang w:val="es-ES" w:eastAsia="es-ES"/>
            </w:rPr>
            <m:t>=</m:t>
          </m:r>
          <m:sSub>
            <m:sSubPr>
              <m:ctrlPr>
                <w:rPr>
                  <w:rFonts w:ascii="Cambria Math" w:eastAsia="Times New Roman" w:hAnsi="Cambria Math" w:cs="Arial"/>
                  <w:lang w:val="es-ES" w:eastAsia="es-ES"/>
                </w:rPr>
              </m:ctrlPr>
            </m:sSubPr>
            <m:e>
              <m:r>
                <w:rPr>
                  <w:rFonts w:ascii="Cambria Math" w:eastAsia="Times New Roman" w:hAnsi="Cambria Math" w:cs="Arial"/>
                  <w:lang w:val="es-ES" w:eastAsia="es-ES"/>
                </w:rPr>
                <m:t>r</m:t>
              </m:r>
            </m:e>
            <m:sub>
              <m:r>
                <w:rPr>
                  <w:rFonts w:ascii="Cambria Math" w:eastAsia="Times New Roman" w:hAnsi="Cambria Math" w:cs="Arial"/>
                  <w:lang w:val="es-ES" w:eastAsia="es-ES"/>
                </w:rPr>
                <m:t>e</m:t>
              </m:r>
            </m:sub>
          </m:sSub>
          <m:r>
            <m:rPr>
              <m:sty m:val="p"/>
            </m:rPr>
            <w:rPr>
              <w:rFonts w:ascii="Cambria Math" w:eastAsia="Times New Roman" w:hAnsi="Cambria Math" w:cs="Arial"/>
              <w:lang w:val="es-ES" w:eastAsia="es-ES"/>
            </w:rPr>
            <m:t>∙</m:t>
          </m:r>
          <m:f>
            <m:fPr>
              <m:ctrlPr>
                <w:rPr>
                  <w:rFonts w:ascii="Cambria Math" w:eastAsia="Times New Roman" w:hAnsi="Cambria Math" w:cs="Arial"/>
                  <w:lang w:val="es-ES" w:eastAsia="es-ES"/>
                </w:rPr>
              </m:ctrlPr>
            </m:fPr>
            <m:num>
              <m:r>
                <w:rPr>
                  <w:rFonts w:ascii="Cambria Math" w:eastAsia="Times New Roman" w:hAnsi="Cambria Math" w:cs="Arial"/>
                  <w:lang w:val="es-ES" w:eastAsia="es-ES"/>
                </w:rPr>
                <m:t>E</m:t>
              </m:r>
            </m:num>
            <m:den>
              <m:d>
                <m:dPr>
                  <m:ctrlPr>
                    <w:rPr>
                      <w:rFonts w:ascii="Cambria Math" w:eastAsia="Times New Roman" w:hAnsi="Cambria Math" w:cs="Arial"/>
                      <w:lang w:val="es-ES" w:eastAsia="es-ES"/>
                    </w:rPr>
                  </m:ctrlPr>
                </m:dPr>
                <m:e>
                  <m:r>
                    <w:rPr>
                      <w:rFonts w:ascii="Cambria Math" w:eastAsia="Times New Roman" w:hAnsi="Cambria Math" w:cs="Arial"/>
                      <w:lang w:val="es-ES" w:eastAsia="es-ES"/>
                    </w:rPr>
                    <m:t>D</m:t>
                  </m:r>
                  <m:r>
                    <m:rPr>
                      <m:sty m:val="p"/>
                    </m:rPr>
                    <w:rPr>
                      <w:rFonts w:ascii="Cambria Math" w:eastAsia="Times New Roman" w:hAnsi="Cambria Math" w:cs="Arial"/>
                      <w:lang w:val="es-ES" w:eastAsia="es-ES"/>
                    </w:rPr>
                    <m:t>+</m:t>
                  </m:r>
                  <m:r>
                    <w:rPr>
                      <w:rFonts w:ascii="Cambria Math" w:eastAsia="Times New Roman" w:hAnsi="Cambria Math" w:cs="Arial"/>
                      <w:lang w:val="es-ES" w:eastAsia="es-ES"/>
                    </w:rPr>
                    <m:t>E</m:t>
                  </m:r>
                </m:e>
              </m:d>
              <m:r>
                <m:rPr>
                  <m:sty m:val="p"/>
                </m:rPr>
                <w:rPr>
                  <w:rFonts w:ascii="Cambria Math" w:eastAsia="Times New Roman" w:hAnsi="Cambria Math" w:cs="Arial"/>
                  <w:lang w:val="es-ES" w:eastAsia="es-ES"/>
                </w:rPr>
                <m:t>∙(1-</m:t>
              </m:r>
              <m:r>
                <w:rPr>
                  <w:rFonts w:ascii="Cambria Math" w:eastAsia="Times New Roman" w:hAnsi="Cambria Math" w:cs="Arial"/>
                  <w:lang w:val="es-ES" w:eastAsia="es-ES"/>
                </w:rPr>
                <m:t>t</m:t>
              </m:r>
              <m:r>
                <m:rPr>
                  <m:sty m:val="p"/>
                </m:rPr>
                <w:rPr>
                  <w:rFonts w:ascii="Cambria Math" w:eastAsia="Times New Roman" w:hAnsi="Cambria Math" w:cs="Arial"/>
                  <w:lang w:val="es-ES" w:eastAsia="es-ES"/>
                </w:rPr>
                <m:t>)</m:t>
              </m:r>
            </m:den>
          </m:f>
          <m:r>
            <m:rPr>
              <m:sty m:val="p"/>
            </m:rPr>
            <w:rPr>
              <w:rFonts w:ascii="Cambria Math" w:eastAsia="Times New Roman" w:hAnsi="Cambria Math" w:cs="Arial"/>
              <w:lang w:val="es-ES" w:eastAsia="es-ES"/>
            </w:rPr>
            <m:t xml:space="preserve">+ </m:t>
          </m:r>
          <m:sSub>
            <m:sSubPr>
              <m:ctrlPr>
                <w:rPr>
                  <w:rFonts w:ascii="Cambria Math" w:eastAsia="Times New Roman" w:hAnsi="Cambria Math" w:cs="Arial"/>
                  <w:lang w:val="es-ES" w:eastAsia="es-ES"/>
                </w:rPr>
              </m:ctrlPr>
            </m:sSubPr>
            <m:e>
              <m:r>
                <w:rPr>
                  <w:rFonts w:ascii="Cambria Math" w:eastAsia="Times New Roman" w:hAnsi="Cambria Math" w:cs="Arial"/>
                  <w:lang w:val="es-ES" w:eastAsia="es-ES"/>
                </w:rPr>
                <m:t>r</m:t>
              </m:r>
            </m:e>
            <m:sub>
              <m:r>
                <w:rPr>
                  <w:rFonts w:ascii="Cambria Math" w:eastAsia="Times New Roman" w:hAnsi="Cambria Math" w:cs="Arial"/>
                  <w:lang w:val="es-ES" w:eastAsia="es-ES"/>
                </w:rPr>
                <m:t>d</m:t>
              </m:r>
            </m:sub>
          </m:sSub>
          <m:r>
            <m:rPr>
              <m:sty m:val="p"/>
            </m:rPr>
            <w:rPr>
              <w:rFonts w:ascii="Cambria Math" w:eastAsia="Times New Roman" w:hAnsi="Cambria Math" w:cs="Arial"/>
              <w:lang w:val="es-ES" w:eastAsia="es-ES"/>
            </w:rPr>
            <m:t>∙</m:t>
          </m:r>
          <m:f>
            <m:fPr>
              <m:ctrlPr>
                <w:rPr>
                  <w:rFonts w:ascii="Cambria Math" w:eastAsia="Times New Roman" w:hAnsi="Cambria Math" w:cs="Arial"/>
                  <w:lang w:val="es-ES" w:eastAsia="es-ES"/>
                </w:rPr>
              </m:ctrlPr>
            </m:fPr>
            <m:num>
              <m:r>
                <w:rPr>
                  <w:rFonts w:ascii="Cambria Math" w:eastAsia="Times New Roman" w:hAnsi="Cambria Math" w:cs="Arial"/>
                  <w:lang w:val="es-ES" w:eastAsia="es-ES"/>
                </w:rPr>
                <m:t>D</m:t>
              </m:r>
            </m:num>
            <m:den>
              <m:r>
                <w:rPr>
                  <w:rFonts w:ascii="Cambria Math" w:eastAsia="Times New Roman" w:hAnsi="Cambria Math" w:cs="Arial"/>
                  <w:lang w:val="es-ES" w:eastAsia="es-ES"/>
                </w:rPr>
                <m:t>D</m:t>
              </m:r>
              <m:r>
                <m:rPr>
                  <m:sty m:val="p"/>
                </m:rPr>
                <w:rPr>
                  <w:rFonts w:ascii="Cambria Math" w:eastAsia="Times New Roman" w:hAnsi="Cambria Math" w:cs="Arial"/>
                  <w:lang w:val="es-ES" w:eastAsia="es-ES"/>
                </w:rPr>
                <m:t>+</m:t>
              </m:r>
              <m:r>
                <w:rPr>
                  <w:rFonts w:ascii="Cambria Math" w:eastAsia="Times New Roman" w:hAnsi="Cambria Math" w:cs="Arial"/>
                  <w:lang w:val="es-ES" w:eastAsia="es-ES"/>
                </w:rPr>
                <m:t>E</m:t>
              </m:r>
            </m:den>
          </m:f>
        </m:oMath>
      </m:oMathPara>
    </w:p>
    <w:p w14:paraId="3B8025A4" w14:textId="77777777" w:rsidR="00A1321B" w:rsidRPr="008609D1" w:rsidRDefault="00A1321B" w:rsidP="00A1321B">
      <w:pPr>
        <w:rPr>
          <w:rFonts w:ascii="ITC Avant Garde" w:hAnsi="ITC Avant Garde"/>
        </w:rPr>
      </w:pPr>
      <w:r w:rsidRPr="008609D1">
        <w:rPr>
          <w:rFonts w:ascii="ITC Avant Garde" w:hAnsi="ITC Avant Garde"/>
        </w:rPr>
        <w:t>Donde:</w:t>
      </w:r>
    </w:p>
    <w:p w14:paraId="3E30CC36" w14:textId="77777777" w:rsidR="00A1321B" w:rsidRPr="008609D1" w:rsidRDefault="00970710" w:rsidP="00A1321B">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e</m:t>
            </m:r>
          </m:sub>
        </m:sSub>
      </m:oMath>
      <w:r w:rsidR="00A1321B" w:rsidRPr="008609D1">
        <w:t>: Es el costo del patrimonio</w:t>
      </w:r>
    </w:p>
    <w:p w14:paraId="7116FFF7" w14:textId="77777777" w:rsidR="00A1321B" w:rsidRPr="008609D1" w:rsidRDefault="00970710" w:rsidP="00A1321B">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d</m:t>
            </m:r>
          </m:sub>
        </m:sSub>
      </m:oMath>
      <w:r w:rsidR="00A1321B" w:rsidRPr="008609D1">
        <w:t>: Es el costo de la deuda</w:t>
      </w:r>
    </w:p>
    <w:p w14:paraId="1A66AA75" w14:textId="77777777" w:rsidR="00A1321B" w:rsidRPr="008609D1" w:rsidRDefault="00A1321B" w:rsidP="00A1321B">
      <w:pPr>
        <w:pStyle w:val="Indentadoresolucin"/>
      </w:pPr>
      <m:oMath>
        <m:r>
          <m:rPr>
            <m:sty m:val="bi"/>
          </m:rPr>
          <w:rPr>
            <w:rFonts w:ascii="Cambria Math" w:hAnsi="Cambria Math"/>
            <w:lang w:val="es-MX"/>
          </w:rPr>
          <m:t>E</m:t>
        </m:r>
      </m:oMath>
      <w:r w:rsidRPr="008609D1">
        <w:t>: Es el valor total de mercado del patrimonio</w:t>
      </w:r>
    </w:p>
    <w:p w14:paraId="6FA60A91" w14:textId="77777777" w:rsidR="00A1321B" w:rsidRPr="008609D1" w:rsidRDefault="00A1321B" w:rsidP="00A1321B">
      <w:pPr>
        <w:pStyle w:val="Indentadoresolucin"/>
      </w:pPr>
      <m:oMath>
        <m:r>
          <m:rPr>
            <m:sty m:val="bi"/>
          </m:rPr>
          <w:rPr>
            <w:rFonts w:ascii="Cambria Math" w:hAnsi="Cambria Math"/>
            <w:lang w:val="es-MX"/>
          </w:rPr>
          <m:t>D</m:t>
        </m:r>
      </m:oMath>
      <w:r w:rsidRPr="008609D1">
        <w:t>: Es el valor total de mercado de la deuda, incluyendo intereses</w:t>
      </w:r>
    </w:p>
    <w:p w14:paraId="4FF04221" w14:textId="77777777" w:rsidR="00A1321B" w:rsidRPr="008609D1" w:rsidRDefault="00A1321B" w:rsidP="00A1321B">
      <w:pPr>
        <w:pStyle w:val="Indentadoresolucin"/>
      </w:pPr>
      <m:oMath>
        <m:r>
          <m:rPr>
            <m:sty m:val="bi"/>
          </m:rPr>
          <w:rPr>
            <w:rFonts w:ascii="Cambria Math" w:hAnsi="Cambria Math"/>
            <w:lang w:val="es-MX"/>
          </w:rPr>
          <m:t>t</m:t>
        </m:r>
      </m:oMath>
      <w:r w:rsidRPr="008609D1">
        <w:t>: Tasa de impuestos</w:t>
      </w:r>
    </w:p>
    <w:p w14:paraId="4F25C3BB" w14:textId="49203E7A" w:rsidR="00A1321B" w:rsidRPr="008609D1" w:rsidRDefault="00A1321B" w:rsidP="00A1321B">
      <w:pPr>
        <w:pStyle w:val="Normalresolucion"/>
      </w:pPr>
      <w:r w:rsidRPr="008609D1">
        <w:t>Para el cálculo del costo del patrimonio (r</w:t>
      </w:r>
      <w:r w:rsidRPr="008609D1">
        <w:rPr>
          <w:vertAlign w:val="subscript"/>
        </w:rPr>
        <w:t>e</w:t>
      </w:r>
      <w:r w:rsidRPr="008609D1">
        <w:t>), se debe usar la metodología CAPM (</w:t>
      </w:r>
      <w:r w:rsidRPr="008609D1">
        <w:rPr>
          <w:i/>
          <w:iCs/>
        </w:rPr>
        <w:t>Capital Asset Pricing Model</w:t>
      </w:r>
      <w:r w:rsidRPr="008609D1">
        <w:t xml:space="preserve">) adicionándole una medida de riesgo asociada al mercado </w:t>
      </w:r>
      <w:r w:rsidR="0086399B">
        <w:t>nacional</w:t>
      </w:r>
      <w:r w:rsidR="0086399B" w:rsidRPr="008609D1">
        <w:t xml:space="preserve"> </w:t>
      </w:r>
      <w:r w:rsidRPr="008609D1">
        <w:t xml:space="preserve">(o riesgo país), de modo que se tenga en consideración la </w:t>
      </w:r>
      <w:r w:rsidRPr="008609D1">
        <w:lastRenderedPageBreak/>
        <w:t>volatilidad asociada al funcionamiento de la compañía en dicho entorno. Concretamente, la formulación a seguir vendría expresada por la siguiente ecuación:</w:t>
      </w:r>
    </w:p>
    <w:p w14:paraId="76D2AB4E" w14:textId="77777777" w:rsidR="00A1321B" w:rsidRPr="008609D1" w:rsidRDefault="00970710" w:rsidP="00A1321B">
      <w:pPr>
        <w:rPr>
          <w:rFonts w:ascii="ITC Avant Garde" w:hAnsi="ITC Avant Garde"/>
        </w:rPr>
      </w:pPr>
      <m:oMathPara>
        <m:oMath>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e>
          </m:d>
          <m:r>
            <w:rPr>
              <w:rFonts w:ascii="Cambria Math" w:hAnsi="Cambria Math"/>
            </w:rPr>
            <m:t>∙β+</m:t>
          </m:r>
          <m:sSub>
            <m:sSubPr>
              <m:ctrlPr>
                <w:rPr>
                  <w:rFonts w:ascii="Cambria Math" w:hAnsi="Cambria Math"/>
                  <w:i/>
                </w:rPr>
              </m:ctrlPr>
            </m:sSubPr>
            <m:e>
              <m:r>
                <w:rPr>
                  <w:rFonts w:ascii="Cambria Math" w:hAnsi="Cambria Math"/>
                </w:rPr>
                <m:t>r</m:t>
              </m:r>
            </m:e>
            <m:sub>
              <m:r>
                <w:rPr>
                  <w:rFonts w:ascii="Cambria Math" w:hAnsi="Cambria Math"/>
                </w:rPr>
                <m:t>p</m:t>
              </m:r>
            </m:sub>
          </m:sSub>
        </m:oMath>
      </m:oMathPara>
    </w:p>
    <w:p w14:paraId="0B02CF64" w14:textId="77777777" w:rsidR="00A1321B" w:rsidRPr="008609D1" w:rsidRDefault="00A1321B" w:rsidP="00A1321B">
      <w:pPr>
        <w:pStyle w:val="Normalresolucion"/>
      </w:pPr>
      <w:r w:rsidRPr="008609D1">
        <w:t>Donde:</w:t>
      </w:r>
    </w:p>
    <w:p w14:paraId="05DAF324" w14:textId="77777777" w:rsidR="00A1321B" w:rsidRPr="008609D1" w:rsidRDefault="00970710" w:rsidP="00A1321B">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f</m:t>
            </m:r>
          </m:sub>
        </m:sSub>
      </m:oMath>
      <w:r w:rsidR="00A1321B" w:rsidRPr="008609D1">
        <w:rPr>
          <w:b/>
        </w:rPr>
        <w:t xml:space="preserve">: </w:t>
      </w:r>
      <w:r w:rsidR="00A1321B" w:rsidRPr="008609D1">
        <w:t>Tasa libre de riesgo</w:t>
      </w:r>
    </w:p>
    <w:p w14:paraId="3BAE6E51" w14:textId="77777777" w:rsidR="00A1321B" w:rsidRPr="008609D1" w:rsidRDefault="00970710" w:rsidP="00A1321B">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m</m:t>
            </m:r>
          </m:sub>
        </m:sSub>
      </m:oMath>
      <w:r w:rsidR="00A1321B" w:rsidRPr="008609D1">
        <w:rPr>
          <w:bCs/>
        </w:rPr>
        <w:t>:</w:t>
      </w:r>
      <w:r w:rsidR="00A1321B" w:rsidRPr="008609D1">
        <w:t xml:space="preserve"> Rendimiento esperado del mercado</w:t>
      </w:r>
    </w:p>
    <w:p w14:paraId="2DCAE2C8" w14:textId="77777777" w:rsidR="00A1321B" w:rsidRPr="008609D1" w:rsidRDefault="00A1321B" w:rsidP="00A1321B">
      <w:pPr>
        <w:pStyle w:val="Indentadoresolucin"/>
      </w:pPr>
      <m:oMath>
        <m:r>
          <m:rPr>
            <m:sty m:val="bi"/>
          </m:rPr>
          <w:rPr>
            <w:rFonts w:ascii="Cambria Math" w:hAnsi="Cambria Math"/>
            <w:lang w:val="es-MX"/>
          </w:rPr>
          <m:t>β</m:t>
        </m:r>
      </m:oMath>
      <w:r w:rsidRPr="008609D1">
        <w:rPr>
          <w:bCs/>
        </w:rPr>
        <w:t>:</w:t>
      </w:r>
      <w:r w:rsidRPr="008609D1">
        <w:rPr>
          <w:b/>
        </w:rPr>
        <w:t xml:space="preserve"> </w:t>
      </w:r>
      <w:r w:rsidRPr="008609D1">
        <w:t>Beta del operador</w:t>
      </w:r>
    </w:p>
    <w:p w14:paraId="5B6AE5D3" w14:textId="77777777" w:rsidR="00A1321B" w:rsidRPr="008609D1" w:rsidRDefault="00970710" w:rsidP="00A1321B">
      <w:pPr>
        <w:pStyle w:val="Indentadoresolucin"/>
      </w:pPr>
      <m:oMath>
        <m:sSub>
          <m:sSubPr>
            <m:ctrlPr>
              <w:rPr>
                <w:rFonts w:ascii="Cambria Math" w:hAnsi="Cambria Math"/>
                <w:b/>
                <w:bCs/>
                <w:i/>
                <w:sz w:val="18"/>
                <w:lang w:val="es-MX"/>
              </w:rPr>
            </m:ctrlPr>
          </m:sSubPr>
          <m:e>
            <m:r>
              <m:rPr>
                <m:sty m:val="bi"/>
              </m:rPr>
              <w:rPr>
                <w:rFonts w:ascii="Cambria Math" w:hAnsi="Cambria Math"/>
                <w:lang w:val="es-MX"/>
              </w:rPr>
              <m:t>r</m:t>
            </m:r>
          </m:e>
          <m:sub>
            <m:r>
              <m:rPr>
                <m:sty m:val="bi"/>
              </m:rPr>
              <w:rPr>
                <w:rFonts w:ascii="Cambria Math" w:hAnsi="Cambria Math"/>
                <w:lang w:val="es-MX"/>
              </w:rPr>
              <m:t>p</m:t>
            </m:r>
          </m:sub>
        </m:sSub>
      </m:oMath>
      <w:r w:rsidR="00A1321B" w:rsidRPr="008609D1">
        <w:rPr>
          <w:b/>
        </w:rPr>
        <w:t>:</w:t>
      </w:r>
      <w:r w:rsidR="00A1321B" w:rsidRPr="008609D1">
        <w:t xml:space="preserve"> Riesgo asociado al país</w:t>
      </w:r>
    </w:p>
    <w:p w14:paraId="2EFFC152" w14:textId="77777777" w:rsidR="00A1321B" w:rsidRPr="008609D1" w:rsidRDefault="00A1321B" w:rsidP="00A1321B">
      <w:pPr>
        <w:pStyle w:val="Normalresolucion"/>
      </w:pPr>
      <w:r w:rsidRPr="008609D1">
        <w:t>Este WACC deberá hacer referencia al ejercicio para el cual se presenta la separación contable y deberá ser nominal y antes de impuestos. La formulación anteriormente indicada, que debe ser utilizada por los concesionarios, se encuentra alineada con la empleada en otros procesos regulatorios por parte del Instituto.</w:t>
      </w:r>
    </w:p>
    <w:p w14:paraId="24A82F52" w14:textId="77777777" w:rsidR="00A1321B" w:rsidRPr="008609D1" w:rsidRDefault="00A1321B" w:rsidP="00A1321B">
      <w:pPr>
        <w:pStyle w:val="Normalresolucion"/>
      </w:pPr>
      <w:r w:rsidRPr="008609D1">
        <w:t>Para la obtención del WACC aplicable en la separación contable, se identifican dos potenciales alternativas:</w:t>
      </w:r>
    </w:p>
    <w:p w14:paraId="632C3008" w14:textId="77777777" w:rsidR="00A1321B" w:rsidRPr="008609D1" w:rsidRDefault="00A1321B" w:rsidP="00A1321B">
      <w:pPr>
        <w:pStyle w:val="Indentadoresolucin"/>
      </w:pPr>
      <w:r w:rsidRPr="008609D1">
        <w:t>En caso que, para el ejercicio bajo estudio, el Instituto hubiera realizado un procedimiento de cálculo del WACC, alineado con la metodología descrita en este documento y refrendado con la industria, dicho WACC podría ser empleado por los concesionarios en la separación contable.</w:t>
      </w:r>
    </w:p>
    <w:p w14:paraId="313B9B8B" w14:textId="77777777" w:rsidR="00A1321B" w:rsidRPr="008609D1" w:rsidRDefault="00A1321B" w:rsidP="00A1321B">
      <w:pPr>
        <w:pStyle w:val="Indentadoresolucin"/>
      </w:pPr>
      <w:r w:rsidRPr="008609D1">
        <w:t xml:space="preserve">Alternativamente, cuando no se cuente con esta información, el concesionario debe detallar, de acuerdo a la aproximación metodológica descrita en el presente apartado, los insumos, cálculos y procedimiento seguidos para la obtención del WACC aplicado, de acuerdo con el </w:t>
      </w:r>
      <w:r w:rsidRPr="008609D1">
        <w:fldChar w:fldCharType="begin"/>
      </w:r>
      <w:r w:rsidRPr="008609D1">
        <w:instrText xml:space="preserve"> REF _Ref477532546 \h  \* MERGEFORMAT </w:instrText>
      </w:r>
      <w:r w:rsidRPr="008609D1">
        <w:fldChar w:fldCharType="separate"/>
      </w:r>
      <w:r w:rsidRPr="008609D1">
        <w:t>Formato AII.19</w:t>
      </w:r>
      <w:r w:rsidRPr="008609D1">
        <w:fldChar w:fldCharType="end"/>
      </w:r>
      <w:r w:rsidRPr="008609D1">
        <w:t xml:space="preserve"> del Anexo 5.</w:t>
      </w:r>
    </w:p>
    <w:p w14:paraId="56CAE7E8" w14:textId="77777777" w:rsidR="00A1321B" w:rsidRPr="008609D1" w:rsidRDefault="00A1321B" w:rsidP="00A1321B">
      <w:pPr>
        <w:pStyle w:val="Normalresolucion"/>
      </w:pPr>
      <w:r w:rsidRPr="008609D1">
        <w:t>Una vez obtenido el valor del WACC aplicable, el costo de capital a introducir en la separación contable deberá ser obtenido mediante la siguiente formulación:</w:t>
      </w:r>
    </w:p>
    <w:p w14:paraId="412F82E7" w14:textId="77777777" w:rsidR="00A1321B" w:rsidRPr="008609D1" w:rsidRDefault="00A1321B" w:rsidP="00A1321B">
      <w:pPr>
        <w:rPr>
          <w:rFonts w:ascii="ITC Avant Garde" w:eastAsia="Times New Roman" w:hAnsi="ITC Avant Garde" w:cs="Arial"/>
          <w:lang w:val="es-ES" w:eastAsia="es-ES"/>
        </w:rPr>
      </w:pPr>
      <m:oMathPara>
        <m:oMath>
          <m:r>
            <w:rPr>
              <w:rFonts w:ascii="Cambria Math" w:eastAsia="Times New Roman" w:hAnsi="Cambria Math" w:cs="Arial"/>
              <w:lang w:val="es-ES" w:eastAsia="es-ES"/>
            </w:rPr>
            <m:t>Costo</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de</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capital empleado</m:t>
          </m:r>
          <m:r>
            <m:rPr>
              <m:sty m:val="p"/>
            </m:rPr>
            <w:rPr>
              <w:rFonts w:ascii="Cambria Math" w:eastAsia="Times New Roman" w:hAnsi="Cambria Math" w:cs="Arial"/>
              <w:lang w:val="es-ES" w:eastAsia="es-ES"/>
            </w:rPr>
            <m:t>=</m:t>
          </m:r>
          <m:r>
            <w:rPr>
              <w:rFonts w:ascii="Cambria Math" w:eastAsia="Times New Roman" w:hAnsi="Cambria Math" w:cs="Arial"/>
              <w:lang w:val="es-ES" w:eastAsia="es-ES"/>
            </w:rPr>
            <m:t>Capital</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Promedio</m:t>
          </m:r>
          <m:r>
            <m:rPr>
              <m:sty m:val="p"/>
            </m:rPr>
            <w:rPr>
              <w:rFonts w:ascii="Cambria Math" w:eastAsia="Times New Roman" w:hAnsi="Cambria Math" w:cs="Arial"/>
              <w:lang w:val="es-ES" w:eastAsia="es-ES"/>
            </w:rPr>
            <m:t xml:space="preserve"> </m:t>
          </m:r>
          <m:r>
            <w:rPr>
              <w:rFonts w:ascii="Cambria Math" w:eastAsia="Times New Roman" w:hAnsi="Cambria Math" w:cs="Arial"/>
              <w:lang w:val="es-ES" w:eastAsia="es-ES"/>
            </w:rPr>
            <m:t>Empleado</m:t>
          </m:r>
          <m:r>
            <m:rPr>
              <m:sty m:val="p"/>
            </m:rPr>
            <w:rPr>
              <w:rFonts w:ascii="Cambria Math" w:eastAsia="Times New Roman" w:hAnsi="Cambria Math" w:cs="Arial"/>
              <w:lang w:val="es-ES" w:eastAsia="es-ES"/>
            </w:rPr>
            <m:t>∙</m:t>
          </m:r>
          <m:r>
            <w:rPr>
              <w:rFonts w:ascii="Cambria Math" w:eastAsia="Times New Roman" w:hAnsi="Cambria Math" w:cs="Arial"/>
              <w:lang w:val="es-ES" w:eastAsia="es-ES"/>
            </w:rPr>
            <m:t>WACC</m:t>
          </m:r>
        </m:oMath>
      </m:oMathPara>
    </w:p>
    <w:p w14:paraId="56BDA6AB" w14:textId="77777777" w:rsidR="00A1321B" w:rsidRPr="008609D1" w:rsidRDefault="00A1321B" w:rsidP="00A1321B">
      <w:pPr>
        <w:pStyle w:val="Normalresolucion"/>
      </w:pPr>
      <w:r w:rsidRPr="008609D1">
        <w:t>Donde el capital promedio empleado se define como la diferencia entre los dos siguientes componentes:</w:t>
      </w:r>
    </w:p>
    <w:p w14:paraId="44AFC44A" w14:textId="77777777" w:rsidR="00A1321B" w:rsidRPr="008609D1" w:rsidRDefault="00A1321B" w:rsidP="00A1321B">
      <w:pPr>
        <w:pStyle w:val="Indentadoresolucin"/>
      </w:pPr>
      <w:r w:rsidRPr="008609D1">
        <w:rPr>
          <w:i/>
        </w:rPr>
        <w:t>Activo fijo y circulante</w:t>
      </w:r>
      <w:r w:rsidRPr="008609D1">
        <w:t>, excluyendo créditos mercantiles, activos intangibles procedentes de adquisiciones (con excepción de los activos de software y licencias), los activos/pasivos asociados a planes de retiro, así como los saldos relacionados con partidas extraordinarias y no relevantes para la separación contable; menos</w:t>
      </w:r>
    </w:p>
    <w:p w14:paraId="260A2061" w14:textId="77777777" w:rsidR="00A1321B" w:rsidRPr="008609D1" w:rsidRDefault="00A1321B" w:rsidP="00A1321B">
      <w:pPr>
        <w:pStyle w:val="Indentadoresolucin"/>
      </w:pPr>
      <w:r w:rsidRPr="008609D1">
        <w:rPr>
          <w:i/>
        </w:rPr>
        <w:t>Pasivo circulante</w:t>
      </w:r>
      <w:r w:rsidRPr="008609D1">
        <w:t>, excluidos pasivos por impuestos corrientes y diferidos, los dividendos a pagar, así como préstamos.</w:t>
      </w:r>
    </w:p>
    <w:p w14:paraId="6D88E661" w14:textId="77777777" w:rsidR="00A1321B" w:rsidRPr="008609D1" w:rsidRDefault="00A1321B" w:rsidP="00A1321B">
      <w:pPr>
        <w:pStyle w:val="Normalresolucion"/>
      </w:pPr>
      <w:r w:rsidRPr="008609D1">
        <w:lastRenderedPageBreak/>
        <w:t>Esta aproximación mantiene los conceptos de costo de capital y capital de trabajo previamente definidos en la Resolución de la COFETEL de 2013, si bien ajusta la metodología indicada para su obtención. En particular, el cálculo del costo de capital empleado se puede re-expresar como:</w:t>
      </w:r>
    </w:p>
    <w:p w14:paraId="37FAF978" w14:textId="77777777" w:rsidR="00A1321B" w:rsidRPr="008609D1" w:rsidRDefault="00A1321B" w:rsidP="00A1321B">
      <m:oMathPara>
        <m:oMath>
          <m:r>
            <w:rPr>
              <w:rFonts w:ascii="Cambria Math" w:hAnsi="Cambria Math"/>
              <w:sz w:val="20"/>
            </w:rPr>
            <m:t>Costo de capital empleado=Costo Capital+Costo Capital Trabajo=ActivoFijo·WACC+</m:t>
          </m:r>
          <m:d>
            <m:dPr>
              <m:ctrlPr>
                <w:rPr>
                  <w:rFonts w:ascii="Cambria Math" w:hAnsi="Cambria Math"/>
                  <w:i/>
                  <w:sz w:val="20"/>
                </w:rPr>
              </m:ctrlPr>
            </m:dPr>
            <m:e>
              <m:r>
                <w:rPr>
                  <w:rFonts w:ascii="Cambria Math" w:hAnsi="Cambria Math"/>
                  <w:sz w:val="20"/>
                </w:rPr>
                <m:t>ActivoCirculante-PasivoCirculante</m:t>
              </m:r>
            </m:e>
          </m:d>
          <m:r>
            <w:rPr>
              <w:rFonts w:ascii="Cambria Math" w:hAnsi="Cambria Math"/>
              <w:sz w:val="20"/>
            </w:rPr>
            <m:t>·WACC</m:t>
          </m:r>
        </m:oMath>
      </m:oMathPara>
    </w:p>
    <w:p w14:paraId="32414F87" w14:textId="77777777" w:rsidR="00A1321B" w:rsidRPr="008609D1" w:rsidRDefault="00A1321B" w:rsidP="00A1321B">
      <w:pPr>
        <w:pStyle w:val="Normalresolucion"/>
      </w:pPr>
      <w:r w:rsidRPr="008609D1">
        <w:t xml:space="preserve">Por último, y con el objetivo de evitar la doble contabilización de los costos e ingresos financieros en la separación contable (ya representados por el concepto del costo de capital empleado), se deberá asegurar que estos conceptos contables no sean asignados a las cuentas de servicios finales solicitados por el Instituto. Para ello, estos rubros deben ser recogidos en una cuenta “No atribuibles a la actividad”. </w:t>
      </w:r>
    </w:p>
    <w:p w14:paraId="0E94CD35" w14:textId="77777777" w:rsidR="00A1321B" w:rsidRPr="008609D1" w:rsidRDefault="00A1321B" w:rsidP="005F4843">
      <w:pPr>
        <w:pStyle w:val="A1L2"/>
        <w:numPr>
          <w:ilvl w:val="1"/>
          <w:numId w:val="188"/>
        </w:numPr>
        <w:ind w:left="0" w:firstLine="0"/>
        <w:outlineLvl w:val="2"/>
      </w:pPr>
      <w:bookmarkStart w:id="89" w:name="_Toc475004113"/>
      <w:bookmarkStart w:id="90" w:name="_Toc475468499"/>
      <w:bookmarkStart w:id="91" w:name="_Toc477515011"/>
      <w:bookmarkStart w:id="92" w:name="_Toc478774495"/>
      <w:bookmarkStart w:id="93" w:name="_Toc484022103"/>
      <w:r w:rsidRPr="008609D1">
        <w:t>Esquema de atribución de costos a servicios</w:t>
      </w:r>
      <w:bookmarkEnd w:id="89"/>
      <w:bookmarkEnd w:id="90"/>
      <w:bookmarkEnd w:id="91"/>
      <w:bookmarkEnd w:id="92"/>
      <w:bookmarkEnd w:id="93"/>
    </w:p>
    <w:p w14:paraId="7D911196" w14:textId="77777777" w:rsidR="00A1321B" w:rsidRPr="008609D1" w:rsidRDefault="00A1321B" w:rsidP="00A1321B">
      <w:pPr>
        <w:pStyle w:val="Normalresolucion"/>
        <w:keepNext/>
        <w:keepLines/>
      </w:pPr>
      <w:r w:rsidRPr="008609D1">
        <w:t>La separación contable debe aplicar una metodología de Costos Completamente Distribuidos (CCD) mediante la cual los costos provenientes de la contabilidad financiera sean distribuidos a lo largo de las diferentes etapas o niveles de la separación contable. Los costos que se deben distribuir entre los distintos servicios, se pueden catalogar de la siguiente forma.</w:t>
      </w:r>
    </w:p>
    <w:p w14:paraId="415CB58E" w14:textId="77777777" w:rsidR="00A1321B" w:rsidRPr="008609D1" w:rsidRDefault="00A1321B" w:rsidP="00A1321B">
      <w:pPr>
        <w:pStyle w:val="Indentadoresolucin"/>
        <w:rPr>
          <w:lang w:val="es-MX"/>
        </w:rPr>
      </w:pPr>
      <w:r w:rsidRPr="008609D1">
        <w:rPr>
          <w:i/>
          <w:iCs/>
        </w:rPr>
        <w:t>Costos directos</w:t>
      </w:r>
      <w:r w:rsidRPr="008609D1">
        <w:t xml:space="preserve">, son aquellos costos que pueden ser asociados a un determinado servicio de manera directa y que no necesitan criterios de reparto para su distribución a lo largo de la separación contable, como pueden ser los costos derivados de pagos de </w:t>
      </w:r>
      <w:r w:rsidRPr="008609D1">
        <w:rPr>
          <w:i/>
          <w:iCs/>
        </w:rPr>
        <w:t>roaming</w:t>
      </w:r>
      <w:r w:rsidRPr="008609D1">
        <w:t xml:space="preserve"> internacional a otros operadores. </w:t>
      </w:r>
    </w:p>
    <w:p w14:paraId="1CADF16A" w14:textId="77777777" w:rsidR="00A1321B" w:rsidRPr="008609D1" w:rsidRDefault="00A1321B" w:rsidP="00A1321B">
      <w:pPr>
        <w:pStyle w:val="Indentadoresolucin"/>
      </w:pPr>
      <w:r w:rsidRPr="008609D1">
        <w:rPr>
          <w:i/>
          <w:iCs/>
        </w:rPr>
        <w:t>Costos indirectos</w:t>
      </w:r>
      <w:r w:rsidRPr="008609D1">
        <w:t>, son aquellos costos compartidos entre 2 o más servicios, los cuales necesitan de la definición de criterios de atribución causales para distribuirlos, como por ejemplo los costos de la mayoría de los elementos de red.</w:t>
      </w:r>
    </w:p>
    <w:p w14:paraId="58132767" w14:textId="77777777" w:rsidR="00A1321B" w:rsidRPr="008609D1" w:rsidRDefault="00A1321B" w:rsidP="00A1321B">
      <w:pPr>
        <w:pStyle w:val="Indentadoresolucin"/>
      </w:pPr>
      <w:r w:rsidRPr="008609D1">
        <w:rPr>
          <w:i/>
          <w:iCs/>
        </w:rPr>
        <w:t>Costos generales</w:t>
      </w:r>
      <w:r w:rsidRPr="008609D1">
        <w:t xml:space="preserve">, son aquellos para los que no se identifican criterios de reparto que permitan una distribución causal a servicios y para los cuales es necesario emplear </w:t>
      </w:r>
      <w:r>
        <w:t>márgenes (</w:t>
      </w:r>
      <w:r w:rsidRPr="008609D1">
        <w:rPr>
          <w:i/>
          <w:iCs/>
        </w:rPr>
        <w:t>mark-ups</w:t>
      </w:r>
      <w:r>
        <w:rPr>
          <w:i/>
          <w:iCs/>
        </w:rPr>
        <w:t>)</w:t>
      </w:r>
      <w:r w:rsidRPr="008609D1">
        <w:t xml:space="preserve"> equiproporcionales para su reparto a etapas posteriores de la separación contable.</w:t>
      </w:r>
    </w:p>
    <w:p w14:paraId="71DB8796" w14:textId="77777777" w:rsidR="00A1321B" w:rsidRPr="008609D1" w:rsidRDefault="00A1321B" w:rsidP="00A1321B">
      <w:pPr>
        <w:pStyle w:val="Normalresolucion"/>
      </w:pPr>
      <w:r w:rsidRPr="008609D1">
        <w:t>Para la implementación de la metodología de CCD se debe extraer la información de los registros contables, de los diferentes sistemas de información del operador y de estudios técnicos de la infraestructura de red y de las operaciones del concesionario, los cuales deben reflejar la planta actual del operador considerando la capacidad de uso real. Es a través de estos registros y estudios que se realiza el reparto de los costos indirectos a servicios de una manera causal y orientada a costos.</w:t>
      </w:r>
    </w:p>
    <w:p w14:paraId="0DED7849" w14:textId="77777777" w:rsidR="00A1321B" w:rsidRPr="008609D1" w:rsidRDefault="00A1321B" w:rsidP="00A1321B">
      <w:pPr>
        <w:pStyle w:val="Normalresolucion"/>
      </w:pPr>
      <w:r w:rsidRPr="008609D1">
        <w:t xml:space="preserve">Por otro lado, dada la falta de precisión innata en la distribución de los costos generales, se estima conveniente definir que los mismos no deben representar un </w:t>
      </w:r>
      <w:r w:rsidRPr="008609D1">
        <w:lastRenderedPageBreak/>
        <w:t>porcentaje superior al 10% en cualquiera de las etapas o niveles de la separación contable con el objetivo de que el reparto sea lo más causal posible. Esta aproximación es también compartida por otras autoridades regulatorias</w:t>
      </w:r>
      <w:r w:rsidRPr="008609D1">
        <w:rPr>
          <w:rStyle w:val="Refdenotaalpie"/>
        </w:rPr>
        <w:footnoteReference w:id="21"/>
      </w:r>
      <w:r w:rsidRPr="008609D1">
        <w:t xml:space="preserve"> y persigue asegurar la calidad de los ejercicios de repartición de costos implementados por los operadores y, de este modo, maximizar el cumplimiento del principio de causalidad.</w:t>
      </w:r>
    </w:p>
    <w:p w14:paraId="6A2C467C" w14:textId="77777777" w:rsidR="00A1321B" w:rsidRPr="008609D1" w:rsidRDefault="00A1321B" w:rsidP="00A1321B">
      <w:pPr>
        <w:pStyle w:val="Normalresolucion"/>
      </w:pPr>
      <w:r w:rsidRPr="008609D1">
        <w:t>En favor de un mejor alineamiento con los principios de causalidad y objetividad definidos en este documento, se incluyen en el Anexo 7 un conjunto de guías y lineamentos generales sobre determinadas atribuciones de costos de especial relevancia.</w:t>
      </w:r>
    </w:p>
    <w:p w14:paraId="3F98E534" w14:textId="77777777" w:rsidR="00A1321B" w:rsidRPr="008609D1" w:rsidRDefault="00A1321B" w:rsidP="005F4843">
      <w:pPr>
        <w:pStyle w:val="A1L2"/>
        <w:numPr>
          <w:ilvl w:val="1"/>
          <w:numId w:val="188"/>
        </w:numPr>
        <w:ind w:left="0" w:firstLine="0"/>
        <w:outlineLvl w:val="1"/>
      </w:pPr>
      <w:bookmarkStart w:id="94" w:name="_Toc475004116"/>
      <w:bookmarkStart w:id="95" w:name="_Ref475036039"/>
      <w:bookmarkStart w:id="96" w:name="_Toc475468500"/>
      <w:bookmarkStart w:id="97" w:name="_Toc477515012"/>
      <w:bookmarkStart w:id="98" w:name="_Toc478774496"/>
      <w:bookmarkStart w:id="99" w:name="_Toc484022104"/>
      <w:r w:rsidRPr="008609D1">
        <w:t>Cargos de transferencia</w:t>
      </w:r>
      <w:bookmarkEnd w:id="94"/>
      <w:bookmarkEnd w:id="95"/>
      <w:bookmarkEnd w:id="96"/>
      <w:bookmarkEnd w:id="97"/>
      <w:bookmarkEnd w:id="98"/>
      <w:bookmarkEnd w:id="99"/>
    </w:p>
    <w:p w14:paraId="679DD3C8" w14:textId="77777777" w:rsidR="00A1321B" w:rsidRPr="008609D1" w:rsidRDefault="00A1321B" w:rsidP="00A1321B">
      <w:pPr>
        <w:pStyle w:val="Normalresolucion"/>
      </w:pPr>
      <w:r w:rsidRPr="008609D1">
        <w:t xml:space="preserve">La implementación de los cargos de transferencia en una separación contable requiere de la división virtual de los negocios minorista y mayorista de una empresa, de tal modo que el segundo sería el propietario y gestor de la red, quién revendería los servicios mayoristas al primero para que éste pudiera comercializar sus servicios al gran público. Bajo este esquema, se aplicarían unas imputaciones de costos (y de ingresos) virtuales entre ambas divisiones que reflejaran fielmente los cargos que aplicarían si los servicios de red fueran prestados por un tercer operador externo, ajeno a la empresa. </w:t>
      </w:r>
    </w:p>
    <w:p w14:paraId="2CD27BF8" w14:textId="77777777" w:rsidR="00A1321B" w:rsidRPr="008609D1" w:rsidRDefault="00A1321B" w:rsidP="00A1321B">
      <w:pPr>
        <w:pStyle w:val="Normalresolucion"/>
      </w:pPr>
      <w:r w:rsidRPr="008609D1">
        <w:t>De acuerdo con las recomendaciones del BEREC para la separación contable</w:t>
      </w:r>
      <w:r w:rsidRPr="008609D1">
        <w:rPr>
          <w:rStyle w:val="Refdenotaalpie"/>
        </w:rPr>
        <w:footnoteReference w:id="22"/>
      </w:r>
      <w:r w:rsidRPr="008609D1">
        <w:t>, una correcta, transparente y verificable definición de los cargos de transferencia permite el cálculo no discriminado y orientado a costos de los conceptos internos de la separación contable de los operadores notificados. Igualmente, la definición de los cargos de transferencia permite añadir transparencia a la integración vertical de los operadores, verificar la rentabilidad de sus servicios de manera individual e identificar eventuales subsidios cruzados que puedan existir.</w:t>
      </w:r>
    </w:p>
    <w:p w14:paraId="21EAAA8B" w14:textId="77777777" w:rsidR="00A1321B" w:rsidRPr="008609D1" w:rsidRDefault="00A1321B" w:rsidP="00A1321B">
      <w:pPr>
        <w:pStyle w:val="Normalresolucion"/>
      </w:pPr>
      <w:r w:rsidRPr="008609D1">
        <w:t>Dentro de la separación contable, estos cargos de transferencia deben ser reportados como costos dentro de los resultados del segmento minorista y como ingresos dentro de los resultados del segmento mayorista, de tal modo como si el segmento mayorista brindara los servicios de red al segmento minorista de la propia empresa.</w:t>
      </w:r>
    </w:p>
    <w:p w14:paraId="429D5AFB" w14:textId="77777777" w:rsidR="00A1321B" w:rsidRPr="008609D1" w:rsidRDefault="00A1321B" w:rsidP="00A1321B">
      <w:pPr>
        <w:pStyle w:val="Normalresolucion"/>
      </w:pPr>
      <w:r w:rsidRPr="008609D1">
        <w:t xml:space="preserve">El cálculo de las transferencias entre ambos segmentos se deberá realizar como el producto del volumen del servicio proporcionado (por ejemplo, minutos de voz) por un precio de transferencia unitario. </w:t>
      </w:r>
    </w:p>
    <w:p w14:paraId="29B829C6" w14:textId="77777777" w:rsidR="00A1321B" w:rsidRPr="008609D1" w:rsidRDefault="00A1321B" w:rsidP="00A1321B">
      <w:pPr>
        <w:pStyle w:val="Normalresolucion"/>
      </w:pPr>
      <w:r w:rsidRPr="008609D1">
        <w:lastRenderedPageBreak/>
        <w:t>Estos precios unitarios deben ser extraídos de acuerdo a los mecanismos presentados a continuación, por orden de prioridad:</w:t>
      </w:r>
    </w:p>
    <w:p w14:paraId="19275B90" w14:textId="77777777" w:rsidR="00A1321B" w:rsidRPr="008609D1" w:rsidRDefault="00A1321B" w:rsidP="00A1321B">
      <w:pPr>
        <w:pStyle w:val="Indentadoresolucin"/>
        <w:numPr>
          <w:ilvl w:val="0"/>
          <w:numId w:val="90"/>
        </w:numPr>
        <w:ind w:left="714" w:hanging="357"/>
      </w:pPr>
      <w:r w:rsidRPr="008609D1">
        <w:rPr>
          <w:i/>
          <w:iCs/>
        </w:rPr>
        <w:t>Tarifas reguladas mayoristas</w:t>
      </w:r>
      <w:r w:rsidRPr="008609D1">
        <w:rPr>
          <w:b/>
          <w:bCs/>
        </w:rPr>
        <w:t>.</w:t>
      </w:r>
      <w:r w:rsidRPr="008609D1">
        <w:t xml:space="preserve"> En caso de que existan tarifas reguladas mayoristas, éstas deben ser utilizadas para el cálculo de los cargos de transferencia.</w:t>
      </w:r>
    </w:p>
    <w:p w14:paraId="15F0537F" w14:textId="77777777" w:rsidR="00A1321B" w:rsidRPr="008609D1" w:rsidRDefault="00A1321B" w:rsidP="00A1321B">
      <w:pPr>
        <w:pStyle w:val="Indentadoresolucin"/>
        <w:numPr>
          <w:ilvl w:val="0"/>
          <w:numId w:val="90"/>
        </w:numPr>
        <w:ind w:left="714" w:hanging="357"/>
      </w:pPr>
      <w:r w:rsidRPr="008609D1">
        <w:rPr>
          <w:i/>
          <w:iCs/>
        </w:rPr>
        <w:t>Tarifas comerciales mayoristas</w:t>
      </w:r>
      <w:r w:rsidRPr="008609D1">
        <w:t xml:space="preserve"> que pudiera haber convenido el concesionario con terceros para la prestación de un determinado servicio.</w:t>
      </w:r>
    </w:p>
    <w:p w14:paraId="3FBFDABF" w14:textId="77777777" w:rsidR="00A1321B" w:rsidRPr="008609D1" w:rsidRDefault="00A1321B" w:rsidP="00A1321B">
      <w:pPr>
        <w:pStyle w:val="Indentadoresolucin"/>
        <w:numPr>
          <w:ilvl w:val="0"/>
          <w:numId w:val="90"/>
        </w:numPr>
        <w:ind w:left="714" w:hanging="357"/>
      </w:pPr>
      <w:r w:rsidRPr="008609D1">
        <w:rPr>
          <w:i/>
          <w:iCs/>
        </w:rPr>
        <w:t>Ingreso unitario promedio recibido en el ejercicio</w:t>
      </w:r>
      <w:r w:rsidRPr="008609D1">
        <w:t xml:space="preserve"> por parte del operador.</w:t>
      </w:r>
    </w:p>
    <w:p w14:paraId="3E37A049" w14:textId="75099F8A" w:rsidR="00A1321B" w:rsidRPr="008609D1" w:rsidRDefault="00A1321B" w:rsidP="00A1321B">
      <w:pPr>
        <w:pStyle w:val="Indentadoresolucin"/>
        <w:numPr>
          <w:ilvl w:val="0"/>
          <w:numId w:val="90"/>
        </w:numPr>
        <w:ind w:left="714" w:hanging="357"/>
      </w:pPr>
      <w:r w:rsidRPr="008609D1">
        <w:rPr>
          <w:i/>
          <w:iCs/>
        </w:rPr>
        <w:t>Costo unitario promedio del servicio mayorista</w:t>
      </w:r>
      <w:r w:rsidRPr="008609D1">
        <w:t xml:space="preserve">, basado en el costo del servicio extraído de la propia </w:t>
      </w:r>
      <w:r>
        <w:t>s</w:t>
      </w:r>
      <w:r w:rsidRPr="008609D1">
        <w:t>eparación contable, incluyendo el costo del capital empleado.</w:t>
      </w:r>
    </w:p>
    <w:p w14:paraId="770CF49F" w14:textId="77777777" w:rsidR="00A1321B" w:rsidRPr="008609D1" w:rsidRDefault="00A1321B" w:rsidP="00A1321B">
      <w:pPr>
        <w:pStyle w:val="Normalresolucion"/>
      </w:pPr>
      <w:r w:rsidRPr="008609D1">
        <w:t>Cabe señalar que en el caso de que existan servicios cuyas tarifas estén sujetas a un descuento por volumen, el operador no deberá aplicar un descuento mayor al que realiza a un tercero.</w:t>
      </w:r>
    </w:p>
    <w:p w14:paraId="47116B60" w14:textId="77777777" w:rsidR="00A1321B" w:rsidRPr="008609D1" w:rsidRDefault="00A1321B" w:rsidP="005F4843">
      <w:pPr>
        <w:pStyle w:val="A1L1"/>
        <w:outlineLvl w:val="0"/>
      </w:pPr>
      <w:bookmarkStart w:id="100" w:name="_Toc475004121"/>
      <w:bookmarkStart w:id="101" w:name="_Toc475004122"/>
      <w:bookmarkStart w:id="102" w:name="_Toc475004123"/>
      <w:bookmarkStart w:id="103" w:name="_Toc475468501"/>
      <w:bookmarkStart w:id="104" w:name="_Toc477515013"/>
      <w:bookmarkStart w:id="105" w:name="_Toc478774497"/>
      <w:bookmarkStart w:id="106" w:name="_Toc484022105"/>
      <w:bookmarkEnd w:id="100"/>
      <w:bookmarkEnd w:id="101"/>
      <w:r w:rsidRPr="008609D1">
        <w:t>VISIÓN GENERAL DE LA ARQUITECTURA DEL MODELO DE SEPARACIÓN CONTABLE</w:t>
      </w:r>
      <w:bookmarkEnd w:id="102"/>
      <w:bookmarkEnd w:id="103"/>
      <w:bookmarkEnd w:id="104"/>
      <w:bookmarkEnd w:id="105"/>
      <w:bookmarkEnd w:id="106"/>
    </w:p>
    <w:p w14:paraId="02512635" w14:textId="77777777" w:rsidR="00A1321B" w:rsidRPr="008609D1" w:rsidRDefault="00A1321B" w:rsidP="00A1321B">
      <w:pPr>
        <w:pStyle w:val="Normalresolucion"/>
        <w:rPr>
          <w:lang w:val="es-MX"/>
        </w:rPr>
      </w:pPr>
      <w:r w:rsidRPr="008609D1">
        <w:t>En la presente sección se expone la estructura o arquitectura mínima establecida para la implementación de la separación contable. Esta sección se encuentra divida en los siguientes apartados:</w:t>
      </w:r>
      <w:r w:rsidRPr="008609D1">
        <w:rPr>
          <w:lang w:val="es-MX"/>
        </w:rPr>
        <w:t xml:space="preserve"> </w:t>
      </w:r>
    </w:p>
    <w:p w14:paraId="7E337B0B" w14:textId="77777777" w:rsidR="00A1321B" w:rsidRPr="008609D1" w:rsidRDefault="00A1321B" w:rsidP="00A1321B">
      <w:pPr>
        <w:pStyle w:val="Indentadoresolucin"/>
      </w:pPr>
      <w:r w:rsidRPr="008609D1">
        <w:fldChar w:fldCharType="begin"/>
      </w:r>
      <w:r w:rsidRPr="008609D1">
        <w:instrText xml:space="preserve"> REF _Ref475461582 \h </w:instrText>
      </w:r>
      <w:r>
        <w:instrText xml:space="preserve"> \* MERGEFORMAT </w:instrText>
      </w:r>
      <w:r w:rsidRPr="008609D1">
        <w:fldChar w:fldCharType="separate"/>
      </w:r>
      <w:r w:rsidRPr="008609D1">
        <w:t>Visión general</w:t>
      </w:r>
      <w:r w:rsidRPr="008609D1">
        <w:fldChar w:fldCharType="end"/>
      </w:r>
    </w:p>
    <w:p w14:paraId="18045341" w14:textId="77777777" w:rsidR="00A1321B" w:rsidRPr="008609D1" w:rsidRDefault="00A1321B" w:rsidP="00A1321B">
      <w:pPr>
        <w:pStyle w:val="Indentadoresolucin"/>
      </w:pPr>
      <w:r w:rsidRPr="008609D1">
        <w:fldChar w:fldCharType="begin"/>
      </w:r>
      <w:r w:rsidRPr="008609D1">
        <w:instrText xml:space="preserve"> REF _Ref475461489 \h </w:instrText>
      </w:r>
      <w:r>
        <w:instrText xml:space="preserve"> \* MERGEFORMAT </w:instrText>
      </w:r>
      <w:r w:rsidRPr="008609D1">
        <w:fldChar w:fldCharType="separate"/>
      </w:r>
      <w:r w:rsidRPr="008609D1">
        <w:t xml:space="preserve">Desagregación mínima de elementos de la </w:t>
      </w:r>
      <w:r w:rsidRPr="008609D1">
        <w:fldChar w:fldCharType="end"/>
      </w:r>
      <w:r w:rsidRPr="008609D1">
        <w:t>separación contable</w:t>
      </w:r>
    </w:p>
    <w:p w14:paraId="78FAB190" w14:textId="77777777" w:rsidR="00A1321B" w:rsidRPr="008609D1" w:rsidRDefault="00A1321B" w:rsidP="005F4843">
      <w:pPr>
        <w:pStyle w:val="A1L2"/>
        <w:numPr>
          <w:ilvl w:val="1"/>
          <w:numId w:val="193"/>
        </w:numPr>
        <w:outlineLvl w:val="1"/>
      </w:pPr>
      <w:bookmarkStart w:id="107" w:name="_Ref475461582"/>
      <w:bookmarkStart w:id="108" w:name="_Toc475468502"/>
      <w:bookmarkStart w:id="109" w:name="_Toc477515014"/>
      <w:bookmarkStart w:id="110" w:name="_Toc478774498"/>
      <w:bookmarkStart w:id="111" w:name="_Toc484022106"/>
      <w:r w:rsidRPr="008609D1">
        <w:t>Visión general</w:t>
      </w:r>
      <w:bookmarkEnd w:id="107"/>
      <w:bookmarkEnd w:id="108"/>
      <w:bookmarkEnd w:id="109"/>
      <w:bookmarkEnd w:id="110"/>
      <w:bookmarkEnd w:id="111"/>
    </w:p>
    <w:p w14:paraId="447AD00E" w14:textId="77777777" w:rsidR="00A1321B" w:rsidRPr="008609D1" w:rsidRDefault="00A1321B" w:rsidP="00A1321B">
      <w:pPr>
        <w:pStyle w:val="Normalresolucion"/>
      </w:pPr>
      <w:r w:rsidRPr="008609D1">
        <w:t>Según lo indicado en las secciones anteriores, una separación contable se rige por un enfoque descendente (</w:t>
      </w:r>
      <w:r w:rsidRPr="008609D1">
        <w:rPr>
          <w:i/>
        </w:rPr>
        <w:t>Top-Down</w:t>
      </w:r>
      <w:r w:rsidRPr="008609D1">
        <w:t>) que permite imputar la totalidad de los ingresos, costos de operación (incluyendo gastos operativos, depreciación y amortización) y capital empleado registrados en el Balance de Prueba</w:t>
      </w:r>
      <w:r w:rsidRPr="008609D1">
        <w:rPr>
          <w:rStyle w:val="Refdenotaalpie"/>
        </w:rPr>
        <w:footnoteReference w:id="23"/>
      </w:r>
      <w:r w:rsidRPr="008609D1">
        <w:t xml:space="preserve"> a cuentas de servicios, mediante una aproximación de Costos Completamente Distribuidos (CCD). Bajo este esquema, se reconoce asimismo que el capital empleado deberá tratarse y distribuirse a servicios de manera separada a los costos operativos y de depreciación.</w:t>
      </w:r>
    </w:p>
    <w:p w14:paraId="368C94E9" w14:textId="77777777" w:rsidR="00A1321B" w:rsidRPr="008609D1" w:rsidRDefault="00A1321B" w:rsidP="00A1321B">
      <w:pPr>
        <w:pStyle w:val="Normalresolucion"/>
      </w:pPr>
      <w:r w:rsidRPr="008609D1">
        <w:t xml:space="preserve">El proceso de distribución de costos e ingresos debe dar cumplimiento a los principios de la separación contable definidos en la sección </w:t>
      </w:r>
      <w:r w:rsidRPr="008609D1">
        <w:fldChar w:fldCharType="begin"/>
      </w:r>
      <w:r w:rsidRPr="008609D1">
        <w:instrText xml:space="preserve"> REF _Ref477513160 \r \h </w:instrText>
      </w:r>
      <w:r>
        <w:instrText xml:space="preserve"> \* MERGEFORMAT </w:instrText>
      </w:r>
      <w:r w:rsidRPr="008609D1">
        <w:fldChar w:fldCharType="separate"/>
      </w:r>
      <w:r w:rsidRPr="008609D1">
        <w:rPr>
          <w:rFonts w:hint="eastAsia"/>
          <w:cs/>
        </w:rPr>
        <w:t>‎</w:t>
      </w:r>
      <w:r w:rsidRPr="008609D1">
        <w:t>1</w:t>
      </w:r>
      <w:r w:rsidRPr="008609D1">
        <w:fldChar w:fldCharType="end"/>
      </w:r>
      <w:r w:rsidRPr="008609D1">
        <w:t xml:space="preserve"> de este Anexo, por lo que será necesario asegurar la transparencia y causalidad de la totalidad de los repartos efectuados, entre otros.</w:t>
      </w:r>
    </w:p>
    <w:p w14:paraId="4A3970BB" w14:textId="77777777" w:rsidR="00A1321B" w:rsidRDefault="00A1321B" w:rsidP="00A1321B">
      <w:pPr>
        <w:pStyle w:val="Normalresolucion"/>
      </w:pPr>
      <w:r w:rsidRPr="008609D1">
        <w:lastRenderedPageBreak/>
        <w:t xml:space="preserve">Con base en lo anterior, se debe adoptar una estructura basada, como mínimo, en 3 etapas o niveles, más el nivel de partida correspondiente al Balance de Prueba, con 3 fases de imputación, lo cual permitirá identificar y distribuir los ingresos, costos y capital empleado, de forma causal, a lo largo de la separación contable. </w:t>
      </w:r>
    </w:p>
    <w:p w14:paraId="0DD71F0D" w14:textId="77777777" w:rsidR="00F96E26" w:rsidRPr="008609D1" w:rsidRDefault="00F96E26" w:rsidP="00F96E26">
      <w:pPr>
        <w:pStyle w:val="Descripcin"/>
        <w:rPr>
          <w:rFonts w:ascii="ITC Avant Garde" w:hAnsi="ITC Avant Garde"/>
          <w:lang w:val="es-ES"/>
        </w:rPr>
      </w:pPr>
      <w:r w:rsidRPr="008609D1">
        <w:rPr>
          <w:rFonts w:ascii="ITC Avant Garde" w:hAnsi="ITC Avant Garde"/>
          <w:iCs/>
          <w:sz w:val="20"/>
          <w:lang w:val="es-MX"/>
        </w:rPr>
        <w:t>Gráfica A3.</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Gráfica_AP.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1</w:t>
      </w:r>
      <w:r w:rsidRPr="008609D1">
        <w:rPr>
          <w:rFonts w:ascii="ITC Avant Garde" w:hAnsi="ITC Avant Garde"/>
          <w:iCs/>
          <w:sz w:val="20"/>
          <w:lang w:val="es-MX"/>
        </w:rPr>
        <w:fldChar w:fldCharType="end"/>
      </w:r>
      <w:r w:rsidRPr="008609D1">
        <w:rPr>
          <w:rFonts w:ascii="ITC Avant Garde" w:hAnsi="ITC Avant Garde"/>
          <w:iCs/>
          <w:sz w:val="20"/>
          <w:lang w:val="es-MX"/>
        </w:rPr>
        <w:t>: Esquema general sugerido de la separación contable aplicable a todos los operadores con obligación de separación contable</w:t>
      </w:r>
    </w:p>
    <w:p w14:paraId="4A1722E5" w14:textId="4A96B8C2" w:rsidR="00A1321B" w:rsidRPr="008609D1" w:rsidRDefault="00B028E7" w:rsidP="00154F13">
      <w:pPr>
        <w:pStyle w:val="Normalresolucion"/>
        <w:jc w:val="center"/>
      </w:pPr>
      <w:r>
        <w:rPr>
          <w:noProof/>
          <w:lang w:eastAsia="es-MX"/>
        </w:rPr>
        <w:drawing>
          <wp:inline distT="0" distB="0" distL="0" distR="0" wp14:anchorId="797AC050" wp14:editId="1E3AD20C">
            <wp:extent cx="5563235" cy="4577596"/>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721" cy="4591984"/>
                    </a:xfrm>
                    <a:prstGeom prst="rect">
                      <a:avLst/>
                    </a:prstGeom>
                    <a:noFill/>
                  </pic:spPr>
                </pic:pic>
              </a:graphicData>
            </a:graphic>
          </wp:inline>
        </w:drawing>
      </w:r>
    </w:p>
    <w:p w14:paraId="178BEFF7" w14:textId="77777777" w:rsidR="00A1321B" w:rsidRPr="008609D1" w:rsidRDefault="00A1321B" w:rsidP="00A1321B">
      <w:pPr>
        <w:pStyle w:val="Normalresolucion"/>
      </w:pPr>
      <w:r w:rsidRPr="008609D1">
        <w:t xml:space="preserve">En la estructura general de la separación contable se observa un flujo de atribución de ingresos, costos y capital empleado desde el balance de prueba (Nivel 0), hasta un tercer nivel de servicios finales, tanto minoristas como mayoristas. Esta asignación se realiza a través de 3 fases de atribución: </w:t>
      </w:r>
    </w:p>
    <w:p w14:paraId="6E81869B" w14:textId="77777777" w:rsidR="00A1321B" w:rsidRPr="008609D1" w:rsidRDefault="00A1321B" w:rsidP="00A1321B">
      <w:pPr>
        <w:pStyle w:val="Indentadoresolucin"/>
      </w:pPr>
      <w:r w:rsidRPr="008609D1">
        <w:rPr>
          <w:u w:val="single"/>
        </w:rPr>
        <w:t>Fase A</w:t>
      </w:r>
      <w:r w:rsidRPr="008609D1">
        <w:t>: donde se extraen los ingresos, costos y capital empleado registrados en el Balance de Prueba de la compañía y se organizan en función de la naturaleza a la que corresponden.</w:t>
      </w:r>
    </w:p>
    <w:p w14:paraId="7A15EB21" w14:textId="77777777" w:rsidR="00A1321B" w:rsidRPr="008609D1" w:rsidRDefault="00A1321B" w:rsidP="00A1321B">
      <w:pPr>
        <w:pStyle w:val="Indentadoresolucin"/>
      </w:pPr>
      <w:r w:rsidRPr="008609D1">
        <w:rPr>
          <w:u w:val="single"/>
        </w:rPr>
        <w:t>Fase B</w:t>
      </w:r>
      <w:r w:rsidRPr="008609D1">
        <w:t xml:space="preserve">: donde se reparten las cuentas de costos y capital empleado por naturaleza a cuentas de actividades y elementos de red, para lo cual será necesario la definición de determinados factores de atribución. Es </w:t>
      </w:r>
      <w:r w:rsidRPr="008609D1">
        <w:lastRenderedPageBreak/>
        <w:t>importante señalar que, de acuerdo a la naturaleza de la separación contable, las cuentas de costos y de capital empleado deben estar diferenciadas en todo momento en los diferentes niveles. Nótese por último que en la Fase B no se realiza una imputación de ingresos al Nivel 2, sino que éstos van del nivel 1 al 3.</w:t>
      </w:r>
    </w:p>
    <w:p w14:paraId="35EA56E3" w14:textId="77777777" w:rsidR="00A1321B" w:rsidRPr="008609D1" w:rsidRDefault="00A1321B" w:rsidP="00A1321B">
      <w:pPr>
        <w:pStyle w:val="Indentadoresolucin"/>
        <w:rPr>
          <w:b/>
          <w:bCs/>
        </w:rPr>
      </w:pPr>
      <w:r w:rsidRPr="008609D1">
        <w:rPr>
          <w:u w:val="single"/>
        </w:rPr>
        <w:t>Fase C</w:t>
      </w:r>
      <w:r w:rsidRPr="008609D1">
        <w:t>:</w:t>
      </w:r>
      <w:r w:rsidRPr="008609D1">
        <w:rPr>
          <w:b/>
          <w:bCs/>
        </w:rPr>
        <w:t xml:space="preserve"> </w:t>
      </w:r>
      <w:r w:rsidRPr="008609D1">
        <w:t>donde se reparten los ingresos, costos y capital empleado a servicios finales, se aplican los cargos de transferencia entre los segmentos minorista y mayorista y se calcula el costo de capital asociado a cada servicio como el producto del WACC por el capital promedio empleado.</w:t>
      </w:r>
    </w:p>
    <w:p w14:paraId="7A140CB7" w14:textId="77777777" w:rsidR="00A1321B" w:rsidRPr="008609D1" w:rsidRDefault="00A1321B" w:rsidP="00A1321B">
      <w:pPr>
        <w:pStyle w:val="Normalresolucion"/>
      </w:pPr>
      <w:r w:rsidRPr="008609D1">
        <w:t>El listado mínimo de cuentas que deberá ser plasmado en cada uno de los niveles arriba representados deberá ser definido de acuerdo al marco de referencia aplicable a cada tipo de operador en particular (p.ej. telecomunicaciones, radiodifusión), cuyo detalle se presenta a continuación.</w:t>
      </w:r>
    </w:p>
    <w:p w14:paraId="6E38C8E8" w14:textId="77777777" w:rsidR="00A1321B" w:rsidRPr="008609D1" w:rsidRDefault="00A1321B" w:rsidP="00A1321B">
      <w:pPr>
        <w:pStyle w:val="Normalresolucion"/>
      </w:pPr>
      <w:r w:rsidRPr="008609D1">
        <w:t>Asimismo, se facilitan en el Anexo 7 sugerencias acerca de la identificación de los criterios de reparto más apropiados para la distribución de las categorías de costos e ingresos más relevantes.</w:t>
      </w:r>
    </w:p>
    <w:p w14:paraId="13805303" w14:textId="77777777" w:rsidR="00A1321B" w:rsidRPr="008609D1" w:rsidRDefault="00A1321B" w:rsidP="005F4843">
      <w:pPr>
        <w:pStyle w:val="A1L2"/>
        <w:numPr>
          <w:ilvl w:val="1"/>
          <w:numId w:val="193"/>
        </w:numPr>
        <w:outlineLvl w:val="1"/>
      </w:pPr>
      <w:bookmarkStart w:id="112" w:name="_Toc475004124"/>
      <w:bookmarkStart w:id="113" w:name="_Ref475108666"/>
      <w:bookmarkStart w:id="114" w:name="_Ref475119772"/>
      <w:bookmarkStart w:id="115" w:name="_Ref475461489"/>
      <w:bookmarkStart w:id="116" w:name="_Ref475467843"/>
      <w:bookmarkStart w:id="117" w:name="_Ref475971168"/>
      <w:bookmarkStart w:id="118" w:name="_Ref477513039"/>
      <w:bookmarkStart w:id="119" w:name="_Toc475468503"/>
      <w:bookmarkStart w:id="120" w:name="_Toc477515015"/>
      <w:bookmarkStart w:id="121" w:name="_Ref478676402"/>
      <w:bookmarkStart w:id="122" w:name="_Toc478774499"/>
      <w:bookmarkStart w:id="123" w:name="_Toc484022107"/>
      <w:r w:rsidRPr="008609D1">
        <w:t xml:space="preserve">Desagregación mínima de elementos de la </w:t>
      </w:r>
      <w:bookmarkEnd w:id="112"/>
      <w:bookmarkEnd w:id="113"/>
      <w:bookmarkEnd w:id="114"/>
      <w:bookmarkEnd w:id="115"/>
      <w:bookmarkEnd w:id="116"/>
      <w:bookmarkEnd w:id="117"/>
      <w:bookmarkEnd w:id="118"/>
      <w:bookmarkEnd w:id="119"/>
      <w:bookmarkEnd w:id="120"/>
      <w:r w:rsidRPr="008609D1">
        <w:t>separación contable</w:t>
      </w:r>
      <w:bookmarkEnd w:id="121"/>
      <w:bookmarkEnd w:id="122"/>
      <w:bookmarkEnd w:id="123"/>
    </w:p>
    <w:p w14:paraId="3CFD4EC4" w14:textId="77777777" w:rsidR="00A1321B" w:rsidRPr="008609D1" w:rsidRDefault="00A1321B" w:rsidP="00A1321B">
      <w:pPr>
        <w:pStyle w:val="Normalresolucion"/>
      </w:pPr>
      <w:r w:rsidRPr="008609D1">
        <w:t>De acuerdo con el esquema presentado en la Gráfica A3.1, los siguientes insumos procedentes del balance de prueba del operador constituyen el nivel 0 de entrada a la separación contable:</w:t>
      </w:r>
    </w:p>
    <w:p w14:paraId="5CC38347" w14:textId="77777777" w:rsidR="00A1321B" w:rsidRPr="008609D1" w:rsidRDefault="00A1321B" w:rsidP="00A1321B">
      <w:pPr>
        <w:pStyle w:val="Indentadoresolucin"/>
      </w:pPr>
      <w:r w:rsidRPr="008609D1">
        <w:t>Cuentas financieras de ingresos</w:t>
      </w:r>
    </w:p>
    <w:p w14:paraId="53901EF9" w14:textId="77777777" w:rsidR="00A1321B" w:rsidRPr="008609D1" w:rsidRDefault="00A1321B" w:rsidP="00A1321B">
      <w:pPr>
        <w:pStyle w:val="Indentadoresolucin"/>
      </w:pPr>
      <w:r w:rsidRPr="008609D1">
        <w:t>Cuentas financieras de gastos</w:t>
      </w:r>
    </w:p>
    <w:p w14:paraId="5B010AAD" w14:textId="77777777" w:rsidR="00A1321B" w:rsidRPr="008609D1" w:rsidRDefault="00A1321B" w:rsidP="00A1321B">
      <w:pPr>
        <w:pStyle w:val="Indentadoresolucin"/>
      </w:pPr>
      <w:r w:rsidRPr="008609D1">
        <w:t>Cuentas financieras de activos y pasivos</w:t>
      </w:r>
    </w:p>
    <w:p w14:paraId="52036EFB" w14:textId="77777777" w:rsidR="00A1321B" w:rsidRPr="008609D1" w:rsidRDefault="00A1321B" w:rsidP="00A1321B">
      <w:pPr>
        <w:pStyle w:val="Normalresolucion"/>
      </w:pPr>
      <w:r w:rsidRPr="008609D1">
        <w:t>En cada una de las etapas de atribución se procede a una agrupación o distribución de los ingresos, costos, activos y pasivos incluidos en las anteriores cuentas con el objetivo de garantizar que las asignaciones a servicios (Nivel 3) se realicen mediante criterios de reparto causales y transparentes.</w:t>
      </w:r>
    </w:p>
    <w:p w14:paraId="68C56EBE" w14:textId="77777777" w:rsidR="00A1321B" w:rsidRPr="008609D1" w:rsidRDefault="00A1321B" w:rsidP="00A1321B">
      <w:pPr>
        <w:pStyle w:val="Normalresolucion"/>
      </w:pPr>
      <w:r w:rsidRPr="008609D1">
        <w:t>En concreto, se presenta a continuación una descripción detallada de los 3 niveles mínimos para la elaboración de la separación contable.</w:t>
      </w:r>
    </w:p>
    <w:p w14:paraId="79366DE0" w14:textId="77777777" w:rsidR="00A1321B" w:rsidRPr="008609D1" w:rsidRDefault="00A1321B" w:rsidP="00A1321B">
      <w:pPr>
        <w:pStyle w:val="Normalresolucion"/>
        <w:keepNext/>
        <w:keepLines/>
        <w:rPr>
          <w:bCs/>
          <w:u w:val="single"/>
        </w:rPr>
      </w:pPr>
      <w:r w:rsidRPr="008609D1">
        <w:rPr>
          <w:bCs/>
          <w:u w:val="single"/>
        </w:rPr>
        <w:t>Nivel 1: Cuentas por Naturaleza</w:t>
      </w:r>
    </w:p>
    <w:p w14:paraId="38221812" w14:textId="77777777" w:rsidR="00A1321B" w:rsidRPr="008609D1" w:rsidRDefault="00A1321B" w:rsidP="00A1321B">
      <w:pPr>
        <w:pStyle w:val="Normalresolucion"/>
        <w:keepNext/>
        <w:keepLines/>
      </w:pPr>
      <w:r w:rsidRPr="008609D1">
        <w:rPr>
          <w:lang w:val="es-MX"/>
        </w:rPr>
        <w:t>En</w:t>
      </w:r>
      <w:r w:rsidRPr="008609D1">
        <w:t xml:space="preserve"> el primer nivel de la separación contable se agrupan las cuentas de</w:t>
      </w:r>
      <w:r w:rsidRPr="008609D1">
        <w:rPr>
          <w:b/>
          <w:bCs/>
        </w:rPr>
        <w:t xml:space="preserve"> </w:t>
      </w:r>
      <w:r w:rsidRPr="008609D1">
        <w:rPr>
          <w:bCs/>
        </w:rPr>
        <w:t xml:space="preserve">ingresos provenientes de la contabilidad financiera </w:t>
      </w:r>
      <w:r w:rsidRPr="008609D1">
        <w:t>con el objetivo de facilitar su posterior reparto a las cuentas de servicios mediante criterios de asignación causales. En función de su naturaleza, los concesionarios deben utilizar la siguiente clasificación:</w:t>
      </w:r>
    </w:p>
    <w:p w14:paraId="0F024162" w14:textId="77777777" w:rsidR="00A1321B" w:rsidRPr="008609D1" w:rsidRDefault="00A1321B" w:rsidP="00A1321B">
      <w:pPr>
        <w:pStyle w:val="Indentadoresolucin"/>
        <w:rPr>
          <w:lang w:val="es-MX"/>
        </w:rPr>
      </w:pPr>
      <w:r w:rsidRPr="008609D1">
        <w:rPr>
          <w:i/>
          <w:iCs/>
        </w:rPr>
        <w:t>Ingresos operativos</w:t>
      </w:r>
      <w:r w:rsidRPr="008609D1">
        <w:t>, procedentes de la venta de servicios objeto del negocio (telecomunicaciones, radiodifusión, etc. según corresponda), por parte del concesionario.</w:t>
      </w:r>
    </w:p>
    <w:p w14:paraId="64931415" w14:textId="77777777" w:rsidR="00A1321B" w:rsidRPr="008609D1" w:rsidRDefault="00A1321B" w:rsidP="00A1321B">
      <w:pPr>
        <w:pStyle w:val="Indentadoresolucin"/>
        <w:rPr>
          <w:lang w:val="es-MX"/>
        </w:rPr>
      </w:pPr>
      <w:r w:rsidRPr="008609D1">
        <w:rPr>
          <w:i/>
          <w:iCs/>
        </w:rPr>
        <w:lastRenderedPageBreak/>
        <w:t>Ingresos no operativos</w:t>
      </w:r>
      <w:r w:rsidRPr="008609D1">
        <w:t>, relativos a transacciones que no guardan relación directa con el funcionamiento operativo del negocio para el cual se presentan resultados o que bien no se refieren a la operación de servicios de telecomunicaciones (p.ej. actividades financieras o ventas de activos).</w:t>
      </w:r>
    </w:p>
    <w:p w14:paraId="79764E67" w14:textId="77777777" w:rsidR="00A1321B" w:rsidRPr="008609D1" w:rsidRDefault="00A1321B" w:rsidP="00A1321B">
      <w:pPr>
        <w:pStyle w:val="Normalresolucion"/>
      </w:pPr>
      <w:r w:rsidRPr="008609D1">
        <w:t>Por otro lado, este Nivel 1 deberá incluir la totalidad de los costos incurridos por el concesionario en el ejercicio, así como el capital promedio empleado. Los concesionarios deben utilizar la siguiente clasificación:</w:t>
      </w:r>
    </w:p>
    <w:p w14:paraId="4AAAD162" w14:textId="77777777" w:rsidR="00A1321B" w:rsidRPr="008609D1" w:rsidRDefault="00A1321B" w:rsidP="00A1321B">
      <w:pPr>
        <w:pStyle w:val="Indentadoresolucin"/>
        <w:rPr>
          <w:b/>
          <w:bCs/>
          <w:i/>
          <w:iCs/>
          <w:lang w:val="es-MX"/>
        </w:rPr>
      </w:pPr>
      <w:r w:rsidRPr="008609D1">
        <w:rPr>
          <w:i/>
          <w:iCs/>
        </w:rPr>
        <w:t>Costos operativos</w:t>
      </w:r>
      <w:r w:rsidRPr="008609D1">
        <w:t>, en los que incurre el concesionario por el desarrollo de sus actividades relacionadas con la operación del negocio.</w:t>
      </w:r>
    </w:p>
    <w:p w14:paraId="162F8222" w14:textId="77777777" w:rsidR="00A1321B" w:rsidRPr="008609D1" w:rsidRDefault="00A1321B" w:rsidP="00A1321B">
      <w:pPr>
        <w:pStyle w:val="Indentadoresolucin"/>
        <w:rPr>
          <w:b/>
          <w:bCs/>
          <w:i/>
          <w:iCs/>
          <w:lang w:val="es-MX"/>
        </w:rPr>
      </w:pPr>
      <w:r w:rsidRPr="008609D1">
        <w:rPr>
          <w:i/>
          <w:iCs/>
        </w:rPr>
        <w:t>Costos asociados al capital</w:t>
      </w:r>
      <w:r w:rsidRPr="008609D1">
        <w:rPr>
          <w:bCs/>
          <w:iCs/>
        </w:rPr>
        <w:t>, procedentes de la depreciación y amortización de la planta de activos del concesionario</w:t>
      </w:r>
    </w:p>
    <w:p w14:paraId="37A00A8C" w14:textId="77777777" w:rsidR="00A1321B" w:rsidRPr="008609D1" w:rsidRDefault="00A1321B" w:rsidP="00A1321B">
      <w:pPr>
        <w:pStyle w:val="Indentadoresolucin"/>
        <w:rPr>
          <w:b/>
          <w:bCs/>
          <w:i/>
          <w:iCs/>
          <w:lang w:val="es-MX"/>
        </w:rPr>
      </w:pPr>
      <w:r w:rsidRPr="008609D1">
        <w:rPr>
          <w:i/>
          <w:iCs/>
        </w:rPr>
        <w:t>Capital promedio empleado</w:t>
      </w:r>
      <w:r w:rsidRPr="008609D1">
        <w:rPr>
          <w:b/>
          <w:bCs/>
          <w:i/>
          <w:iCs/>
        </w:rPr>
        <w:t xml:space="preserve">, </w:t>
      </w:r>
      <w:r w:rsidRPr="008609D1">
        <w:rPr>
          <w:bCs/>
          <w:iCs/>
        </w:rPr>
        <w:t xml:space="preserve">donde se recogerá el capital promedio empleado por las cuentas de activos y pasivos del balance, según lo indicado en la sección </w:t>
      </w:r>
      <w:r w:rsidRPr="008609D1">
        <w:rPr>
          <w:bCs/>
          <w:iCs/>
        </w:rPr>
        <w:fldChar w:fldCharType="begin"/>
      </w:r>
      <w:r w:rsidRPr="008609D1">
        <w:rPr>
          <w:bCs/>
          <w:iCs/>
        </w:rPr>
        <w:instrText xml:space="preserve"> REF _Ref477513613 \r \h </w:instrText>
      </w:r>
      <w:r>
        <w:rPr>
          <w:bCs/>
          <w:iCs/>
        </w:rPr>
        <w:instrText xml:space="preserve"> \* MERGEFORMAT </w:instrText>
      </w:r>
      <w:r w:rsidRPr="008609D1">
        <w:rPr>
          <w:bCs/>
          <w:iCs/>
        </w:rPr>
      </w:r>
      <w:r w:rsidRPr="008609D1">
        <w:rPr>
          <w:bCs/>
          <w:iCs/>
        </w:rPr>
        <w:fldChar w:fldCharType="separate"/>
      </w:r>
      <w:r w:rsidRPr="008609D1">
        <w:rPr>
          <w:rFonts w:hint="eastAsia"/>
          <w:bCs/>
          <w:iCs/>
          <w:cs/>
        </w:rPr>
        <w:t>‎</w:t>
      </w:r>
      <w:r w:rsidRPr="008609D1">
        <w:rPr>
          <w:bCs/>
          <w:iCs/>
        </w:rPr>
        <w:t>1.2.3</w:t>
      </w:r>
      <w:r w:rsidRPr="008609D1">
        <w:rPr>
          <w:bCs/>
          <w:iCs/>
        </w:rPr>
        <w:fldChar w:fldCharType="end"/>
      </w:r>
      <w:r w:rsidRPr="008609D1">
        <w:rPr>
          <w:bCs/>
          <w:iCs/>
        </w:rPr>
        <w:t>.</w:t>
      </w:r>
    </w:p>
    <w:p w14:paraId="11C17F8B" w14:textId="77777777" w:rsidR="00A1321B" w:rsidRPr="008609D1" w:rsidRDefault="00A1321B" w:rsidP="00A1321B">
      <w:pPr>
        <w:pStyle w:val="Indentadoresolucin"/>
        <w:rPr>
          <w:lang w:val="es-MX"/>
        </w:rPr>
      </w:pPr>
      <w:r w:rsidRPr="008609D1">
        <w:rPr>
          <w:i/>
          <w:iCs/>
        </w:rPr>
        <w:t>Costos no relevantes para la separación contable</w:t>
      </w:r>
      <w:r w:rsidRPr="008609D1">
        <w:t>, incluyendo todos aquellos conceptos de costos (o capital promedio empleado) que no son relevantes para llevar a cabo las operaciones ligadas a la prestación de servicios, como costos financieros, ajustes por revalorización a CCA, provisiones extraordinarias (provisiones financieras y/o dotaciones por despidos masivos), etc.</w:t>
      </w:r>
    </w:p>
    <w:p w14:paraId="4746B370" w14:textId="77777777" w:rsidR="00A1321B" w:rsidRPr="008609D1" w:rsidRDefault="00A1321B" w:rsidP="00A1321B">
      <w:pPr>
        <w:pStyle w:val="Normalresolucion"/>
        <w:rPr>
          <w:bCs/>
          <w:u w:val="single"/>
        </w:rPr>
      </w:pPr>
      <w:r w:rsidRPr="008609D1">
        <w:rPr>
          <w:bCs/>
          <w:u w:val="single"/>
        </w:rPr>
        <w:t>Nivel 2: Actividades y elementos de red</w:t>
      </w:r>
    </w:p>
    <w:p w14:paraId="7E5EB583" w14:textId="77777777" w:rsidR="00A1321B" w:rsidRPr="008609D1" w:rsidRDefault="00A1321B" w:rsidP="00A1321B">
      <w:pPr>
        <w:pStyle w:val="Normalresolucion"/>
      </w:pPr>
      <w:r w:rsidRPr="008609D1">
        <w:t>El segundo nivel de la separación contable contiene una desagregación de cuentas en función de las actividades y elementos de red a las que éstas se encuentran asociadas. Éstas deben recoger, por un lado, los costos operativos y asociados al capital y, por otro, el capital promedio empleado.</w:t>
      </w:r>
    </w:p>
    <w:p w14:paraId="12665D07" w14:textId="77777777" w:rsidR="00A1321B" w:rsidRPr="008609D1" w:rsidRDefault="00A1321B" w:rsidP="00A1321B">
      <w:pPr>
        <w:pStyle w:val="Normalresolucion"/>
      </w:pPr>
      <w:r w:rsidRPr="008609D1">
        <w:t>Concretamente, las cuentas de Nivel 2 se deben clasificar del siguiente modo:</w:t>
      </w:r>
    </w:p>
    <w:p w14:paraId="7C0B8186" w14:textId="77777777" w:rsidR="00A1321B" w:rsidRPr="008609D1" w:rsidRDefault="00A1321B" w:rsidP="00A1321B">
      <w:pPr>
        <w:pStyle w:val="Indentadoresolucin"/>
        <w:rPr>
          <w:b/>
          <w:bCs/>
          <w:i/>
          <w:iCs/>
          <w:lang w:val="es-MX"/>
        </w:rPr>
      </w:pPr>
      <w:r w:rsidRPr="008609D1">
        <w:rPr>
          <w:i/>
          <w:iCs/>
        </w:rPr>
        <w:t>Componentes de red</w:t>
      </w:r>
      <w:r w:rsidRPr="008609D1">
        <w:t>, incluyendo los costos (por un lado) y el capital promedio empleado (por otro) que guardan relación directa con el funcionamiento de la red del concesionario.</w:t>
      </w:r>
    </w:p>
    <w:p w14:paraId="6074E36B" w14:textId="4CFF1748" w:rsidR="00A1321B" w:rsidRPr="008609D1" w:rsidRDefault="00A1321B" w:rsidP="00A1321B">
      <w:pPr>
        <w:pStyle w:val="Indentadoresolucin"/>
        <w:rPr>
          <w:b/>
          <w:bCs/>
          <w:i/>
          <w:iCs/>
          <w:lang w:val="es-MX"/>
        </w:rPr>
      </w:pPr>
      <w:r w:rsidRPr="008609D1">
        <w:rPr>
          <w:i/>
          <w:iCs/>
        </w:rPr>
        <w:t>Componentes no relacionado</w:t>
      </w:r>
      <w:r w:rsidRPr="006D334F">
        <w:rPr>
          <w:i/>
          <w:iCs/>
        </w:rPr>
        <w:t xml:space="preserve">s </w:t>
      </w:r>
      <w:r w:rsidRPr="008609D1">
        <w:rPr>
          <w:i/>
          <w:iCs/>
        </w:rPr>
        <w:t>con</w:t>
      </w:r>
      <w:r w:rsidRPr="006D334F">
        <w:rPr>
          <w:i/>
          <w:iCs/>
        </w:rPr>
        <w:t xml:space="preserve"> la red</w:t>
      </w:r>
      <w:r w:rsidRPr="008609D1">
        <w:t>, donde se identificarían las cuentas de costos y capital empleado no directamente relacionadas con la red del concesionario, como podrían ser actividades de atención al cliente, mercadeo o publicidad, que están asociadas a un servicio o a un conjunto de éstos.</w:t>
      </w:r>
    </w:p>
    <w:p w14:paraId="7F4575E1" w14:textId="77777777" w:rsidR="00A1321B" w:rsidRPr="008609D1" w:rsidRDefault="00A1321B" w:rsidP="00A1321B">
      <w:pPr>
        <w:pStyle w:val="Indentadoresolucin"/>
        <w:rPr>
          <w:b/>
          <w:bCs/>
          <w:i/>
          <w:iCs/>
          <w:lang w:val="es-MX"/>
        </w:rPr>
      </w:pPr>
      <w:r w:rsidRPr="008609D1">
        <w:rPr>
          <w:i/>
          <w:iCs/>
        </w:rPr>
        <w:t>Costos directos de ventas</w:t>
      </w:r>
      <w:r w:rsidRPr="008609D1">
        <w:t>, reflejando los costos que presentan una relación directa con la prestación de servicios, como son los costos por interconexión de tráfico o por la venta de terminales.</w:t>
      </w:r>
    </w:p>
    <w:p w14:paraId="26C83C2A" w14:textId="77777777" w:rsidR="00A1321B" w:rsidRPr="008609D1" w:rsidRDefault="00A1321B" w:rsidP="00A1321B">
      <w:pPr>
        <w:pStyle w:val="Indentadoresolucin"/>
        <w:rPr>
          <w:b/>
          <w:bCs/>
          <w:i/>
          <w:iCs/>
          <w:lang w:val="es-MX"/>
        </w:rPr>
      </w:pPr>
      <w:r w:rsidRPr="008609D1">
        <w:rPr>
          <w:i/>
          <w:iCs/>
        </w:rPr>
        <w:t>Costos comunes</w:t>
      </w:r>
      <w:r w:rsidRPr="008609D1">
        <w:t>, donde se incluyen los costos y capital empleado asociados a la administración y gestión general de la compañía.</w:t>
      </w:r>
    </w:p>
    <w:p w14:paraId="6AB8E1CF" w14:textId="77777777" w:rsidR="00A1321B" w:rsidRPr="008609D1" w:rsidRDefault="00A1321B" w:rsidP="00A1321B">
      <w:pPr>
        <w:pStyle w:val="Indentadoresolucin"/>
        <w:rPr>
          <w:b/>
          <w:bCs/>
          <w:i/>
          <w:iCs/>
          <w:lang w:val="es-MX"/>
        </w:rPr>
      </w:pPr>
      <w:r w:rsidRPr="008609D1">
        <w:rPr>
          <w:i/>
          <w:iCs/>
          <w:lang w:val="es-MX"/>
        </w:rPr>
        <w:lastRenderedPageBreak/>
        <w:t>Costos no relevantes</w:t>
      </w:r>
      <w:r w:rsidRPr="008609D1">
        <w:rPr>
          <w:bCs/>
          <w:i/>
          <w:iCs/>
          <w:lang w:val="es-MX"/>
        </w:rPr>
        <w:t xml:space="preserve">, </w:t>
      </w:r>
      <w:r w:rsidRPr="008609D1">
        <w:rPr>
          <w:bCs/>
          <w:iCs/>
          <w:lang w:val="es-MX"/>
        </w:rPr>
        <w:t>con aquellas partidas que, debido a su naturaleza, no sean relevantes para la separación contable, incluyendo los conceptos definidos en la cuenta homónima de Nivel 1.</w:t>
      </w:r>
    </w:p>
    <w:p w14:paraId="51BBB823" w14:textId="77777777" w:rsidR="00A1321B" w:rsidRPr="008609D1" w:rsidRDefault="00A1321B" w:rsidP="00A1321B">
      <w:pPr>
        <w:pStyle w:val="Normalresolucion"/>
        <w:keepNext/>
        <w:keepLines/>
        <w:rPr>
          <w:bCs/>
          <w:u w:val="single"/>
        </w:rPr>
      </w:pPr>
      <w:r w:rsidRPr="008609D1">
        <w:rPr>
          <w:bCs/>
          <w:u w:val="single"/>
        </w:rPr>
        <w:t>Nivel 3: Servicios</w:t>
      </w:r>
    </w:p>
    <w:p w14:paraId="2993ECCF" w14:textId="77777777" w:rsidR="00A1321B" w:rsidRPr="008609D1" w:rsidRDefault="00A1321B" w:rsidP="00A1321B">
      <w:pPr>
        <w:pStyle w:val="Normalresolucion"/>
        <w:keepNext/>
        <w:keepLines/>
      </w:pPr>
      <w:r w:rsidRPr="008609D1">
        <w:t>Por último, en el Nivel 3 se deben reflejar los resultados de ingresos, costos y capital empleado por servicio prestado por el concesionario, los cuales pueden ser clasificados según el destinatario final de los mismos, tal y como se expone a continuación:</w:t>
      </w:r>
    </w:p>
    <w:p w14:paraId="2AF08FBA" w14:textId="77777777" w:rsidR="00A1321B" w:rsidRPr="008609D1" w:rsidRDefault="00A1321B" w:rsidP="00A1321B">
      <w:pPr>
        <w:pStyle w:val="Indentadoresolucin"/>
        <w:rPr>
          <w:b/>
          <w:bCs/>
          <w:i/>
          <w:lang w:val="es-MX"/>
        </w:rPr>
      </w:pPr>
      <w:r w:rsidRPr="008609D1">
        <w:rPr>
          <w:i/>
        </w:rPr>
        <w:t>Servicios minoristas,</w:t>
      </w:r>
      <w:r w:rsidRPr="008609D1">
        <w:rPr>
          <w:b/>
          <w:bCs/>
          <w:i/>
        </w:rPr>
        <w:t xml:space="preserve"> </w:t>
      </w:r>
      <w:r w:rsidRPr="008609D1">
        <w:t>ofrecidos por los concesionarios a usuarios finales, como servicios telefónicos en hogar y acceso a internet</w:t>
      </w:r>
      <w:r w:rsidRPr="008609D1">
        <w:rPr>
          <w:b/>
          <w:bCs/>
          <w:i/>
        </w:rPr>
        <w:t>.</w:t>
      </w:r>
    </w:p>
    <w:p w14:paraId="69C693D5" w14:textId="77777777" w:rsidR="00A1321B" w:rsidRPr="008609D1" w:rsidRDefault="00A1321B" w:rsidP="00A1321B">
      <w:pPr>
        <w:pStyle w:val="Indentadoresolucin"/>
        <w:rPr>
          <w:b/>
          <w:bCs/>
          <w:i/>
          <w:lang w:val="es-MX"/>
        </w:rPr>
      </w:pPr>
      <w:r w:rsidRPr="008609D1">
        <w:rPr>
          <w:i/>
        </w:rPr>
        <w:t>Servicios mayoristas,</w:t>
      </w:r>
      <w:r w:rsidRPr="008609D1">
        <w:rPr>
          <w:b/>
          <w:bCs/>
          <w:i/>
        </w:rPr>
        <w:t xml:space="preserve"> </w:t>
      </w:r>
      <w:r w:rsidRPr="008609D1">
        <w:rPr>
          <w:bCs/>
        </w:rPr>
        <w:t>ofrecidos entre concesionarios para el desarrollo de sus actividades operativas en el sector</w:t>
      </w:r>
      <w:r w:rsidRPr="008609D1">
        <w:t>.</w:t>
      </w:r>
    </w:p>
    <w:p w14:paraId="0222343D" w14:textId="77777777" w:rsidR="00A1321B" w:rsidRPr="008609D1" w:rsidRDefault="00A1321B" w:rsidP="00A1321B">
      <w:pPr>
        <w:pStyle w:val="Normalresolucion"/>
        <w:rPr>
          <w:lang w:val="es-MX"/>
        </w:rPr>
      </w:pPr>
      <w:r w:rsidRPr="008609D1">
        <w:rPr>
          <w:lang w:val="es-MX"/>
        </w:rPr>
        <w:t xml:space="preserve">Tras asignar ingresos, costos y capital empleado a servicios finales, </w:t>
      </w:r>
      <w:r w:rsidRPr="008609D1">
        <w:t xml:space="preserve">se deberán aplicar los cargos de transferencia entre los segmentos minorista y mayorista y se calculará el costo de capital empleado asociado a cada servicio según el procedimiento descrito en la sección </w:t>
      </w:r>
      <w:r w:rsidRPr="008609D1">
        <w:fldChar w:fldCharType="begin"/>
      </w:r>
      <w:r w:rsidRPr="008609D1">
        <w:instrText xml:space="preserve"> REF _Ref477513222 \r \h </w:instrText>
      </w:r>
      <w:r>
        <w:instrText xml:space="preserve"> \* MERGEFORMAT </w:instrText>
      </w:r>
      <w:r w:rsidRPr="008609D1">
        <w:fldChar w:fldCharType="separate"/>
      </w:r>
      <w:r w:rsidRPr="008609D1">
        <w:rPr>
          <w:rFonts w:hint="eastAsia"/>
          <w:cs/>
        </w:rPr>
        <w:t>‎</w:t>
      </w:r>
      <w:r w:rsidRPr="008609D1">
        <w:t>1.2.3</w:t>
      </w:r>
      <w:r w:rsidRPr="008609D1">
        <w:fldChar w:fldCharType="end"/>
      </w:r>
      <w:r w:rsidRPr="008609D1">
        <w:t>.</w:t>
      </w:r>
    </w:p>
    <w:p w14:paraId="753AC42D" w14:textId="77777777" w:rsidR="00A1321B" w:rsidRPr="008609D1" w:rsidRDefault="00A1321B" w:rsidP="00A1321B">
      <w:pPr>
        <w:pStyle w:val="Normalresolucion"/>
        <w:rPr>
          <w:lang w:val="es-MX"/>
        </w:rPr>
      </w:pPr>
      <w:r w:rsidRPr="008609D1">
        <w:rPr>
          <w:lang w:val="es-MX"/>
        </w:rPr>
        <w:t>Por último, será necesario obtener el margen a nivel de servicio de acuerdo a la siguiente expresión:</w:t>
      </w:r>
    </w:p>
    <w:p w14:paraId="6A84DF25" w14:textId="77777777" w:rsidR="00A1321B" w:rsidRPr="008609D1" w:rsidRDefault="00A1321B" w:rsidP="00A1321B">
      <w:pPr>
        <w:pStyle w:val="BulletPoints"/>
        <w:numPr>
          <w:ilvl w:val="0"/>
          <w:numId w:val="0"/>
        </w:numPr>
        <w:spacing w:before="240"/>
        <w:ind w:left="357"/>
        <w:rPr>
          <w:rFonts w:ascii="ITC Avant Garde" w:hAnsi="ITC Avant Garde"/>
          <w:lang w:val="es-MX"/>
        </w:rPr>
      </w:pPr>
      <m:oMathPara>
        <m:oMath>
          <m:r>
            <w:rPr>
              <w:rFonts w:ascii="Cambria Math" w:hAnsi="Cambria Math"/>
              <w:lang w:val="es-MX"/>
            </w:rPr>
            <m:t>Marge</m:t>
          </m:r>
          <m:sSub>
            <m:sSubPr>
              <m:ctrlPr>
                <w:rPr>
                  <w:rFonts w:ascii="Cambria Math" w:hAnsi="Cambria Math"/>
                  <w:i/>
                  <w:lang w:val="es-MX"/>
                </w:rPr>
              </m:ctrlPr>
            </m:sSubPr>
            <m:e>
              <m:r>
                <w:rPr>
                  <w:rFonts w:ascii="Cambria Math" w:hAnsi="Cambria Math"/>
                  <w:lang w:val="es-MX"/>
                </w:rPr>
                <m:t>n</m:t>
              </m:r>
            </m:e>
            <m:sub>
              <m:r>
                <w:rPr>
                  <w:rFonts w:ascii="Cambria Math" w:hAnsi="Cambria Math"/>
                  <w:lang w:val="es-MX"/>
                </w:rPr>
                <m:t>Servici</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i</m:t>
                  </m:r>
                </m:sub>
              </m:sSub>
            </m:sub>
          </m:sSub>
          <m:r>
            <w:rPr>
              <w:rFonts w:ascii="Cambria Math" w:hAnsi="Cambria Math"/>
              <w:lang w:val="es-MX"/>
            </w:rPr>
            <m:t xml:space="preserve"> =Ingreso</m:t>
          </m:r>
          <m:sSub>
            <m:sSubPr>
              <m:ctrlPr>
                <w:rPr>
                  <w:rFonts w:ascii="Cambria Math" w:hAnsi="Cambria Math"/>
                  <w:i/>
                  <w:lang w:val="es-MX"/>
                </w:rPr>
              </m:ctrlPr>
            </m:sSubPr>
            <m:e>
              <m:r>
                <w:rPr>
                  <w:rFonts w:ascii="Cambria Math" w:hAnsi="Cambria Math"/>
                  <w:lang w:val="es-MX"/>
                </w:rPr>
                <m:t>s</m:t>
              </m:r>
            </m:e>
            <m:sub>
              <m:r>
                <w:rPr>
                  <w:rFonts w:ascii="Cambria Math" w:hAnsi="Cambria Math"/>
                  <w:lang w:val="es-MX"/>
                </w:rPr>
                <m:t>servici</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i</m:t>
                  </m:r>
                </m:sub>
              </m:sSub>
            </m:sub>
          </m:sSub>
          <m:r>
            <w:rPr>
              <w:rFonts w:ascii="Cambria Math" w:hAnsi="Cambria Math"/>
              <w:lang w:val="es-MX"/>
            </w:rPr>
            <m:t>-Costo</m:t>
          </m:r>
          <m:sSub>
            <m:sSubPr>
              <m:ctrlPr>
                <w:rPr>
                  <w:rFonts w:ascii="Cambria Math" w:hAnsi="Cambria Math"/>
                  <w:i/>
                  <w:lang w:val="es-MX"/>
                </w:rPr>
              </m:ctrlPr>
            </m:sSubPr>
            <m:e>
              <m:r>
                <w:rPr>
                  <w:rFonts w:ascii="Cambria Math" w:hAnsi="Cambria Math"/>
                  <w:lang w:val="es-MX"/>
                </w:rPr>
                <m:t>s</m:t>
              </m:r>
            </m:e>
            <m:sub>
              <m:r>
                <w:rPr>
                  <w:rFonts w:ascii="Cambria Math" w:hAnsi="Cambria Math"/>
                  <w:lang w:val="es-MX"/>
                </w:rPr>
                <m:t>servici</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i</m:t>
                  </m:r>
                </m:sub>
              </m:sSub>
            </m:sub>
          </m:sSub>
          <m:r>
            <w:rPr>
              <w:rFonts w:ascii="Cambria Math" w:hAnsi="Cambria Math"/>
              <w:lang w:val="es-MX"/>
            </w:rPr>
            <m:t>-CapitalEmplead</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servici</m:t>
              </m:r>
              <m:sSub>
                <m:sSubPr>
                  <m:ctrlPr>
                    <w:rPr>
                      <w:rFonts w:ascii="Cambria Math" w:hAnsi="Cambria Math"/>
                      <w:i/>
                      <w:lang w:val="es-MX"/>
                    </w:rPr>
                  </m:ctrlPr>
                </m:sSubPr>
                <m:e>
                  <m:r>
                    <w:rPr>
                      <w:rFonts w:ascii="Cambria Math" w:hAnsi="Cambria Math"/>
                      <w:lang w:val="es-MX"/>
                    </w:rPr>
                    <m:t>o</m:t>
                  </m:r>
                </m:e>
                <m:sub>
                  <m:r>
                    <w:rPr>
                      <w:rFonts w:ascii="Cambria Math" w:hAnsi="Cambria Math"/>
                      <w:lang w:val="es-MX"/>
                    </w:rPr>
                    <m:t>i</m:t>
                  </m:r>
                </m:sub>
              </m:sSub>
            </m:sub>
          </m:sSub>
          <m:r>
            <w:rPr>
              <w:rFonts w:ascii="Cambria Math" w:hAnsi="Cambria Math"/>
              <w:lang w:val="es-MX"/>
            </w:rPr>
            <m:t>·WACC</m:t>
          </m:r>
        </m:oMath>
      </m:oMathPara>
    </w:p>
    <w:p w14:paraId="06717579" w14:textId="77777777" w:rsidR="00A1321B" w:rsidRPr="008609D1" w:rsidRDefault="00A1321B" w:rsidP="00A1321B">
      <w:pPr>
        <w:pStyle w:val="Normalresolucion"/>
      </w:pPr>
      <w:r w:rsidRPr="008609D1">
        <w:t>En los siguientes apartados se expone de manera detallada el esquema de cuentas que debería ser adoptado por los diferentes tipos de operadores a los que se les puede requerir esta información:</w:t>
      </w:r>
    </w:p>
    <w:p w14:paraId="49B44D11" w14:textId="77777777" w:rsidR="00A1321B" w:rsidRPr="008609D1" w:rsidRDefault="00A1321B" w:rsidP="00A1321B">
      <w:pPr>
        <w:pStyle w:val="Indentadoresolucin"/>
        <w:rPr>
          <w:lang w:val="en-GB"/>
        </w:rPr>
      </w:pPr>
      <w:r w:rsidRPr="008609D1">
        <w:fldChar w:fldCharType="begin"/>
      </w:r>
      <w:r w:rsidRPr="008609D1">
        <w:instrText xml:space="preserve"> REF _Ref475107613 \h </w:instrText>
      </w:r>
      <w:r>
        <w:instrText xml:space="preserve"> \* MERGEFORMAT </w:instrText>
      </w:r>
      <w:r w:rsidRPr="008609D1">
        <w:fldChar w:fldCharType="separate"/>
      </w:r>
      <w:r w:rsidRPr="008609D1">
        <w:t>Sector de Telecomunicaciones</w:t>
      </w:r>
      <w:r w:rsidRPr="008609D1">
        <w:fldChar w:fldCharType="end"/>
      </w:r>
    </w:p>
    <w:p w14:paraId="24FD622A" w14:textId="77777777" w:rsidR="00A1321B" w:rsidRPr="008609D1" w:rsidRDefault="00A1321B" w:rsidP="00A1321B">
      <w:pPr>
        <w:pStyle w:val="Indentadoresolucin"/>
      </w:pPr>
      <w:r w:rsidRPr="008609D1">
        <w:fldChar w:fldCharType="begin"/>
      </w:r>
      <w:r w:rsidRPr="008609D1">
        <w:instrText xml:space="preserve"> REF _Ref475107620 \h </w:instrText>
      </w:r>
      <w:r>
        <w:instrText xml:space="preserve"> \* MERGEFORMAT </w:instrText>
      </w:r>
      <w:r w:rsidRPr="008609D1">
        <w:fldChar w:fldCharType="separate"/>
      </w:r>
      <w:r w:rsidRPr="008609D1">
        <w:t>Sector de Radiodifusión</w:t>
      </w:r>
      <w:r w:rsidRPr="008609D1">
        <w:fldChar w:fldCharType="end"/>
      </w:r>
    </w:p>
    <w:p w14:paraId="27ABA8B2" w14:textId="77777777" w:rsidR="00A1321B" w:rsidRPr="008609D1" w:rsidRDefault="00A1321B" w:rsidP="00A1321B">
      <w:pPr>
        <w:pStyle w:val="Normalresolucion"/>
      </w:pPr>
      <w:r w:rsidRPr="008609D1">
        <w:t>En caso que un concesionario integrado brindara simultáneamente servicios en múltiples segmentos (p.ej. telecomunicaciones fijas, telecomunicaciones móviles, TV paga) la estructura de cuentas mínimas a desagregar resultará de la combinación de los servicios y elementos asociados a los segmentos en los que participe.</w:t>
      </w:r>
    </w:p>
    <w:p w14:paraId="7F737A6B" w14:textId="77777777" w:rsidR="00A1321B" w:rsidRPr="008609D1" w:rsidRDefault="00A1321B" w:rsidP="005F4843">
      <w:pPr>
        <w:pStyle w:val="A1L3"/>
        <w:outlineLvl w:val="1"/>
      </w:pPr>
      <w:bookmarkStart w:id="124" w:name="_Ref475107613"/>
      <w:bookmarkStart w:id="125" w:name="_Toc475468504"/>
      <w:bookmarkStart w:id="126" w:name="_Toc477515016"/>
      <w:bookmarkStart w:id="127" w:name="_Toc478774500"/>
      <w:bookmarkStart w:id="128" w:name="_Toc484022108"/>
      <w:r w:rsidRPr="008609D1">
        <w:t>Sector de Telecomunicaciones</w:t>
      </w:r>
      <w:bookmarkEnd w:id="124"/>
      <w:bookmarkEnd w:id="125"/>
      <w:bookmarkEnd w:id="126"/>
      <w:bookmarkEnd w:id="127"/>
      <w:bookmarkEnd w:id="128"/>
    </w:p>
    <w:p w14:paraId="0C2C5F33" w14:textId="77777777" w:rsidR="00A1321B" w:rsidRPr="008609D1" w:rsidRDefault="00A1321B" w:rsidP="00A1321B">
      <w:pPr>
        <w:pStyle w:val="Normalresolucion"/>
      </w:pPr>
      <w:r w:rsidRPr="008609D1">
        <w:t>Esta sección presenta la desagregación mínima de los elementos de la separación contable aplicable a los concesionarios que ofrezcan servicios de comunicaciones fijas, móviles o de televisión de paga dentro del territorio nacional. Si bien la arquitectura general de la separación contable resulta equivalente para los diferentes tipos de operadores, se diferencian las cuentas que éstos deberán desagregar en sus distintos niveles.</w:t>
      </w:r>
    </w:p>
    <w:p w14:paraId="1D4CD29D" w14:textId="77777777" w:rsidR="00A1321B" w:rsidRPr="008609D1" w:rsidRDefault="00A1321B" w:rsidP="00A1321B">
      <w:pPr>
        <w:pStyle w:val="Normalresolucion"/>
      </w:pPr>
      <w:r w:rsidRPr="008609D1">
        <w:lastRenderedPageBreak/>
        <w:t>A continuación, se presentan las categorías de costos e ingresos a considerar en cada uno de los niveles de la separación contable:</w:t>
      </w:r>
    </w:p>
    <w:p w14:paraId="27389585" w14:textId="77777777" w:rsidR="00A1321B" w:rsidRPr="008609D1" w:rsidRDefault="00A1321B" w:rsidP="00A1321B">
      <w:pPr>
        <w:pStyle w:val="HeadingAnexo1L3"/>
      </w:pPr>
      <w:r w:rsidRPr="008609D1">
        <w:t xml:space="preserve">Segmento Fijo </w:t>
      </w:r>
    </w:p>
    <w:p w14:paraId="40CCE9E8" w14:textId="77777777" w:rsidR="00A1321B" w:rsidRDefault="00A1321B" w:rsidP="00A1321B">
      <w:pPr>
        <w:pStyle w:val="Normalresolucion"/>
        <w:spacing w:after="240"/>
      </w:pPr>
      <w:r w:rsidRPr="008609D1">
        <w:t xml:space="preserve">Listado </w:t>
      </w:r>
      <w:r w:rsidRPr="006D334F">
        <w:t>mínimo</w:t>
      </w:r>
      <w:r w:rsidRPr="008609D1">
        <w:t xml:space="preserve"> de cuentas de ingresos a desagregar en el Nivel 1:</w:t>
      </w:r>
    </w:p>
    <w:p w14:paraId="46474F96" w14:textId="01527CBF" w:rsidR="00600DB6" w:rsidRPr="008609D1" w:rsidRDefault="00600DB6" w:rsidP="00154F13">
      <w:pPr>
        <w:pStyle w:val="HeadingAnexo1L3"/>
        <w:jc w:val="center"/>
      </w:pPr>
      <w:r w:rsidRPr="006D334F">
        <w:rPr>
          <w:rFonts w:eastAsia="Times New Roman" w:cs="Times New Roman"/>
          <w:bCs/>
          <w:i w:val="0"/>
          <w:sz w:val="20"/>
          <w:szCs w:val="20"/>
          <w:lang w:val="es-MX" w:eastAsia="es-ES"/>
        </w:rPr>
        <w:t>Tabla A3.</w:t>
      </w:r>
      <w:r w:rsidRPr="006D334F">
        <w:rPr>
          <w:rFonts w:eastAsia="Times New Roman" w:cs="Times New Roman"/>
          <w:b w:val="0"/>
          <w:bCs/>
          <w:iCs w:val="0"/>
          <w:sz w:val="20"/>
          <w:szCs w:val="20"/>
          <w:lang w:eastAsia="es-ES"/>
        </w:rPr>
        <w:fldChar w:fldCharType="begin"/>
      </w:r>
      <w:r w:rsidRPr="006D334F">
        <w:rPr>
          <w:rFonts w:eastAsia="Times New Roman" w:cs="Times New Roman"/>
          <w:bCs/>
          <w:i w:val="0"/>
          <w:sz w:val="20"/>
          <w:szCs w:val="20"/>
          <w:lang w:val="es-MX" w:eastAsia="es-ES"/>
        </w:rPr>
        <w:instrText xml:space="preserve"> SEQ Tabla_AP. \* ARABIC </w:instrText>
      </w:r>
      <w:r w:rsidRPr="006D334F">
        <w:rPr>
          <w:rFonts w:eastAsia="Times New Roman" w:cs="Times New Roman"/>
          <w:b w:val="0"/>
          <w:bCs/>
          <w:iCs w:val="0"/>
          <w:sz w:val="20"/>
          <w:szCs w:val="20"/>
          <w:lang w:eastAsia="es-ES"/>
        </w:rPr>
        <w:fldChar w:fldCharType="separate"/>
      </w:r>
      <w:r w:rsidRPr="006D334F">
        <w:rPr>
          <w:rFonts w:eastAsia="Times New Roman" w:cs="Times New Roman"/>
          <w:bCs/>
          <w:i w:val="0"/>
          <w:sz w:val="20"/>
          <w:szCs w:val="20"/>
          <w:lang w:val="es-MX" w:eastAsia="es-ES"/>
        </w:rPr>
        <w:t>3</w:t>
      </w:r>
      <w:r w:rsidRPr="006D334F">
        <w:rPr>
          <w:rFonts w:eastAsia="Times New Roman" w:cs="Times New Roman"/>
          <w:b w:val="0"/>
          <w:bCs/>
          <w:iCs w:val="0"/>
          <w:sz w:val="20"/>
          <w:szCs w:val="20"/>
          <w:lang w:eastAsia="es-ES"/>
        </w:rPr>
        <w:fldChar w:fldCharType="end"/>
      </w:r>
      <w:r w:rsidRPr="006D334F">
        <w:rPr>
          <w:rFonts w:eastAsia="Times New Roman" w:cs="Times New Roman"/>
          <w:bCs/>
          <w:i w:val="0"/>
          <w:sz w:val="20"/>
          <w:szCs w:val="20"/>
          <w:lang w:val="es-MX" w:eastAsia="es-ES"/>
        </w:rPr>
        <w:t>: Listado mínimo de cuentas de ingresos a desagregar en el Nivel 1 de operadores de telecomunicaciones fijas</w:t>
      </w:r>
    </w:p>
    <w:tbl>
      <w:tblPr>
        <w:tblpPr w:leftFromText="141" w:rightFromText="141" w:vertAnchor="text" w:horzAnchor="margin" w:tblpXSpec="center" w:tblpY="330"/>
        <w:tblW w:w="5000" w:type="pct"/>
        <w:tblLayout w:type="fixed"/>
        <w:tblLook w:val="04A0" w:firstRow="1" w:lastRow="0" w:firstColumn="1" w:lastColumn="0" w:noHBand="0" w:noVBand="1"/>
      </w:tblPr>
      <w:tblGrid>
        <w:gridCol w:w="2409"/>
        <w:gridCol w:w="6429"/>
      </w:tblGrid>
      <w:tr w:rsidR="00A1321B" w:rsidRPr="008609D1" w14:paraId="5D482B68" w14:textId="77777777" w:rsidTr="00505CF2">
        <w:trPr>
          <w:trHeight w:val="340"/>
          <w:tblHeader/>
        </w:trPr>
        <w:tc>
          <w:tcPr>
            <w:tcW w:w="1363" w:type="pct"/>
            <w:tcBorders>
              <w:top w:val="single" w:sz="4" w:space="0" w:color="244062"/>
              <w:bottom w:val="nil"/>
            </w:tcBorders>
            <w:shd w:val="clear" w:color="auto" w:fill="4F629B"/>
            <w:vAlign w:val="center"/>
            <w:hideMark/>
          </w:tcPr>
          <w:p w14:paraId="103633EA" w14:textId="77777777" w:rsidR="00A1321B" w:rsidRPr="008609D1" w:rsidRDefault="00A1321B" w:rsidP="008B4286">
            <w:pPr>
              <w:keepNext/>
              <w:keepLines/>
              <w:spacing w:after="0" w:line="240" w:lineRule="auto"/>
              <w:jc w:val="center"/>
              <w:rPr>
                <w:rFonts w:ascii="ITC Avant Garde" w:eastAsia="Times New Roman" w:hAnsi="ITC Avant Garde" w:cs="Arial"/>
                <w:b/>
                <w:color w:val="FFFFFF" w:themeColor="background1"/>
                <w:sz w:val="20"/>
                <w:szCs w:val="20"/>
                <w:lang w:val="es-ES" w:eastAsia="es-ES"/>
              </w:rPr>
            </w:pPr>
            <w:r w:rsidRPr="008609D1">
              <w:rPr>
                <w:rFonts w:ascii="ITC Avant Garde" w:eastAsia="Times New Roman" w:hAnsi="ITC Avant Garde" w:cs="Arial"/>
                <w:b/>
                <w:color w:val="FFFFFF" w:themeColor="background1"/>
                <w:sz w:val="20"/>
                <w:szCs w:val="20"/>
                <w:lang w:val="es-ES" w:eastAsia="es-ES"/>
              </w:rPr>
              <w:t>Categoría</w:t>
            </w:r>
          </w:p>
        </w:tc>
        <w:tc>
          <w:tcPr>
            <w:tcW w:w="3637" w:type="pct"/>
            <w:tcBorders>
              <w:top w:val="single" w:sz="4" w:space="0" w:color="244062"/>
              <w:bottom w:val="nil"/>
            </w:tcBorders>
            <w:shd w:val="clear" w:color="auto" w:fill="4F629B"/>
            <w:vAlign w:val="center"/>
            <w:hideMark/>
          </w:tcPr>
          <w:p w14:paraId="0A724831" w14:textId="77777777" w:rsidR="00A1321B" w:rsidRPr="008609D1" w:rsidRDefault="00A1321B" w:rsidP="008B4286">
            <w:pPr>
              <w:keepNext/>
              <w:keepLines/>
              <w:spacing w:after="0" w:line="240" w:lineRule="auto"/>
              <w:jc w:val="center"/>
              <w:rPr>
                <w:rFonts w:ascii="ITC Avant Garde" w:eastAsia="Times New Roman" w:hAnsi="ITC Avant Garde" w:cs="Arial"/>
                <w:b/>
                <w:color w:val="FFFFFF" w:themeColor="background1"/>
                <w:sz w:val="20"/>
                <w:szCs w:val="20"/>
                <w:lang w:val="es-ES" w:eastAsia="es-ES"/>
              </w:rPr>
            </w:pPr>
            <w:r w:rsidRPr="008609D1">
              <w:rPr>
                <w:rFonts w:ascii="ITC Avant Garde" w:eastAsia="Times New Roman" w:hAnsi="ITC Avant Garde" w:cs="Arial"/>
                <w:b/>
                <w:color w:val="FFFFFF" w:themeColor="background1"/>
                <w:sz w:val="20"/>
                <w:szCs w:val="20"/>
                <w:lang w:val="es-ES" w:eastAsia="es-ES"/>
              </w:rPr>
              <w:t>Descripción</w:t>
            </w:r>
          </w:p>
        </w:tc>
      </w:tr>
      <w:tr w:rsidR="0082686E" w:rsidRPr="008609D1" w14:paraId="4B77CC1A" w14:textId="77777777" w:rsidTr="009246AE">
        <w:trPr>
          <w:trHeight w:val="454"/>
        </w:trPr>
        <w:tc>
          <w:tcPr>
            <w:tcW w:w="5000" w:type="pct"/>
            <w:gridSpan w:val="2"/>
            <w:tcBorders>
              <w:top w:val="nil"/>
              <w:left w:val="nil"/>
              <w:bottom w:val="single" w:sz="4" w:space="0" w:color="244062"/>
            </w:tcBorders>
            <w:shd w:val="clear" w:color="auto" w:fill="EDEDED" w:themeFill="accent3" w:themeFillTint="33"/>
            <w:noWrap/>
            <w:vAlign w:val="center"/>
          </w:tcPr>
          <w:p w14:paraId="34B62A0C" w14:textId="77777777" w:rsidR="0082686E" w:rsidRPr="00154F13" w:rsidRDefault="00010A4B" w:rsidP="008B4286">
            <w:pPr>
              <w:keepNext/>
              <w:keepLines/>
              <w:spacing w:before="40" w:after="40" w:line="240" w:lineRule="auto"/>
              <w:rPr>
                <w:rFonts w:ascii="ITC Avant Garde" w:eastAsia="Times New Roman" w:hAnsi="ITC Avant Garde" w:cs="Arial"/>
                <w:b/>
                <w:sz w:val="20"/>
                <w:szCs w:val="20"/>
                <w:lang w:val="es-ES" w:eastAsia="es-ES"/>
              </w:rPr>
            </w:pPr>
            <w:r w:rsidRPr="00154F13">
              <w:rPr>
                <w:rFonts w:ascii="ITC Avant Garde" w:eastAsia="Times New Roman" w:hAnsi="ITC Avant Garde" w:cs="Arial"/>
                <w:b/>
                <w:sz w:val="20"/>
                <w:szCs w:val="20"/>
                <w:lang w:val="es-ES" w:eastAsia="es-ES"/>
              </w:rPr>
              <w:t>Ingresos o</w:t>
            </w:r>
            <w:r w:rsidR="0082686E" w:rsidRPr="00154F13">
              <w:rPr>
                <w:rFonts w:ascii="ITC Avant Garde" w:eastAsia="Times New Roman" w:hAnsi="ITC Avant Garde" w:cs="Arial"/>
                <w:b/>
                <w:sz w:val="20"/>
                <w:szCs w:val="20"/>
                <w:lang w:val="es-ES" w:eastAsia="es-ES"/>
              </w:rPr>
              <w:t>perativos</w:t>
            </w:r>
            <w:r w:rsidR="00B42D7A" w:rsidRPr="00065393">
              <w:rPr>
                <w:rFonts w:ascii="ITC Avant Garde" w:eastAsia="Times New Roman" w:hAnsi="ITC Avant Garde" w:cs="Arial"/>
                <w:b/>
                <w:bCs/>
                <w:sz w:val="20"/>
                <w:vertAlign w:val="superscript"/>
                <w:lang w:val="es-ES" w:eastAsia="es-ES"/>
              </w:rPr>
              <w:footnoteReference w:id="24"/>
            </w:r>
          </w:p>
        </w:tc>
      </w:tr>
      <w:tr w:rsidR="00A1321B" w:rsidRPr="008609D1" w14:paraId="6E2C208E" w14:textId="77777777" w:rsidTr="00505CF2">
        <w:trPr>
          <w:trHeight w:val="454"/>
        </w:trPr>
        <w:tc>
          <w:tcPr>
            <w:tcW w:w="1363" w:type="pct"/>
            <w:tcBorders>
              <w:top w:val="nil"/>
              <w:left w:val="nil"/>
              <w:bottom w:val="single" w:sz="4" w:space="0" w:color="244062"/>
            </w:tcBorders>
            <w:shd w:val="clear" w:color="auto" w:fill="D0D1DB"/>
            <w:noWrap/>
            <w:vAlign w:val="center"/>
            <w:hideMark/>
          </w:tcPr>
          <w:p w14:paraId="4DDDCEB2" w14:textId="77777777" w:rsidR="00A1321B" w:rsidRPr="006D334F"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Instalación de línea o acometida</w:t>
            </w:r>
          </w:p>
        </w:tc>
        <w:tc>
          <w:tcPr>
            <w:tcW w:w="3637" w:type="pct"/>
            <w:tcBorders>
              <w:top w:val="nil"/>
              <w:bottom w:val="single" w:sz="4" w:space="0" w:color="244062"/>
            </w:tcBorders>
            <w:vAlign w:val="center"/>
            <w:hideMark/>
          </w:tcPr>
          <w:p w14:paraId="514F66EB" w14:textId="77777777" w:rsidR="00A1321B" w:rsidRPr="006D334F"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Ingresos por la instalación de línea o acometida.</w:t>
            </w:r>
          </w:p>
        </w:tc>
      </w:tr>
      <w:tr w:rsidR="00A1321B" w:rsidRPr="008609D1" w14:paraId="724BAB4D" w14:textId="77777777" w:rsidTr="00505CF2">
        <w:trPr>
          <w:trHeight w:val="340"/>
        </w:trPr>
        <w:tc>
          <w:tcPr>
            <w:tcW w:w="1363" w:type="pct"/>
            <w:tcBorders>
              <w:top w:val="nil"/>
              <w:left w:val="nil"/>
              <w:bottom w:val="single" w:sz="4" w:space="0" w:color="244062"/>
            </w:tcBorders>
            <w:shd w:val="clear" w:color="auto" w:fill="D0D1DB"/>
            <w:noWrap/>
            <w:vAlign w:val="center"/>
            <w:hideMark/>
          </w:tcPr>
          <w:p w14:paraId="2DE9E9F6" w14:textId="77777777" w:rsidR="00A1321B" w:rsidRPr="006D334F"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Pago recurrente por el servicio de telefonía fija</w:t>
            </w:r>
          </w:p>
        </w:tc>
        <w:tc>
          <w:tcPr>
            <w:tcW w:w="3637" w:type="pct"/>
            <w:tcBorders>
              <w:top w:val="nil"/>
              <w:bottom w:val="single" w:sz="4" w:space="0" w:color="244062"/>
            </w:tcBorders>
            <w:vAlign w:val="center"/>
            <w:hideMark/>
          </w:tcPr>
          <w:p w14:paraId="01C15E4F" w14:textId="77777777" w:rsidR="00A1321B" w:rsidRPr="006D334F"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Ingresos recibidos por pagos mensuales asociados al servicio de telefonía fija por parte del usuario final.</w:t>
            </w:r>
          </w:p>
        </w:tc>
      </w:tr>
      <w:tr w:rsidR="00A1321B" w:rsidRPr="008609D1" w14:paraId="3173EF99" w14:textId="77777777" w:rsidTr="00505CF2">
        <w:trPr>
          <w:trHeight w:val="340"/>
        </w:trPr>
        <w:tc>
          <w:tcPr>
            <w:tcW w:w="1363" w:type="pct"/>
            <w:tcBorders>
              <w:top w:val="nil"/>
              <w:left w:val="nil"/>
              <w:bottom w:val="single" w:sz="4" w:space="0" w:color="244062"/>
            </w:tcBorders>
            <w:shd w:val="clear" w:color="auto" w:fill="D0D1DB"/>
            <w:noWrap/>
            <w:vAlign w:val="center"/>
            <w:hideMark/>
          </w:tcPr>
          <w:p w14:paraId="5BF7A86D" w14:textId="77777777" w:rsidR="00A1321B" w:rsidRPr="006D334F"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Pago recurrente por el servicio de acceso a Internet fijo</w:t>
            </w:r>
          </w:p>
        </w:tc>
        <w:tc>
          <w:tcPr>
            <w:tcW w:w="3637" w:type="pct"/>
            <w:tcBorders>
              <w:top w:val="nil"/>
              <w:bottom w:val="single" w:sz="4" w:space="0" w:color="244062"/>
            </w:tcBorders>
            <w:vAlign w:val="center"/>
            <w:hideMark/>
          </w:tcPr>
          <w:p w14:paraId="47054D51" w14:textId="77777777" w:rsidR="00A1321B" w:rsidRPr="006D334F"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Ingresos recibidos por pagos mensuales asociados al servicio de acceso a Internet fijo por parte del usuario final.</w:t>
            </w:r>
          </w:p>
        </w:tc>
      </w:tr>
      <w:tr w:rsidR="00A1321B" w:rsidRPr="008609D1" w14:paraId="6A5A48E1" w14:textId="77777777" w:rsidTr="00505CF2">
        <w:trPr>
          <w:trHeight w:val="340"/>
        </w:trPr>
        <w:tc>
          <w:tcPr>
            <w:tcW w:w="1363" w:type="pct"/>
            <w:tcBorders>
              <w:top w:val="nil"/>
              <w:left w:val="nil"/>
              <w:bottom w:val="single" w:sz="4" w:space="0" w:color="244062"/>
            </w:tcBorders>
            <w:shd w:val="clear" w:color="auto" w:fill="D0D1DB"/>
            <w:noWrap/>
            <w:vAlign w:val="center"/>
            <w:hideMark/>
          </w:tcPr>
          <w:p w14:paraId="47BB8BE3" w14:textId="77777777" w:rsidR="00A1321B" w:rsidRPr="006D334F"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Tráfico por el servicio de telefonía fija</w:t>
            </w:r>
          </w:p>
        </w:tc>
        <w:tc>
          <w:tcPr>
            <w:tcW w:w="3637" w:type="pct"/>
            <w:tcBorders>
              <w:top w:val="nil"/>
              <w:bottom w:val="single" w:sz="4" w:space="0" w:color="244062"/>
            </w:tcBorders>
            <w:vAlign w:val="center"/>
            <w:hideMark/>
          </w:tcPr>
          <w:p w14:paraId="00F24C00" w14:textId="77777777" w:rsidR="00A1321B" w:rsidRPr="006D334F"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Ingresos por el tráfico asociado al servicio de telefonía fija.</w:t>
            </w:r>
          </w:p>
        </w:tc>
      </w:tr>
      <w:tr w:rsidR="00A1321B" w:rsidRPr="008609D1" w14:paraId="1112535B" w14:textId="77777777" w:rsidTr="00505CF2">
        <w:trPr>
          <w:trHeight w:val="340"/>
        </w:trPr>
        <w:tc>
          <w:tcPr>
            <w:tcW w:w="1363" w:type="pct"/>
            <w:tcBorders>
              <w:top w:val="nil"/>
              <w:left w:val="nil"/>
              <w:bottom w:val="single" w:sz="4" w:space="0" w:color="244062"/>
            </w:tcBorders>
            <w:shd w:val="clear" w:color="auto" w:fill="D0D1DB"/>
            <w:noWrap/>
            <w:vAlign w:val="center"/>
            <w:hideMark/>
          </w:tcPr>
          <w:p w14:paraId="24AAD860" w14:textId="77777777" w:rsidR="00A1321B" w:rsidRPr="008609D1"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Venta de equipos terminales</w:t>
            </w:r>
          </w:p>
        </w:tc>
        <w:tc>
          <w:tcPr>
            <w:tcW w:w="3637" w:type="pct"/>
            <w:tcBorders>
              <w:top w:val="nil"/>
              <w:bottom w:val="single" w:sz="4" w:space="0" w:color="244062"/>
            </w:tcBorders>
            <w:vAlign w:val="center"/>
            <w:hideMark/>
          </w:tcPr>
          <w:p w14:paraId="493BAAC0" w14:textId="77777777" w:rsidR="00A1321B" w:rsidRPr="008609D1"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relativos a la venta de equipos terminales a usuarios finales utilizados para la prestación de servicios de telecomunicaciones fijos.</w:t>
            </w:r>
          </w:p>
        </w:tc>
      </w:tr>
      <w:tr w:rsidR="00A1321B" w:rsidRPr="008609D1" w14:paraId="18989507" w14:textId="77777777" w:rsidTr="00505CF2">
        <w:trPr>
          <w:trHeight w:val="340"/>
        </w:trPr>
        <w:tc>
          <w:tcPr>
            <w:tcW w:w="1363" w:type="pct"/>
            <w:tcBorders>
              <w:top w:val="nil"/>
              <w:left w:val="nil"/>
              <w:bottom w:val="single" w:sz="4" w:space="0" w:color="244062"/>
            </w:tcBorders>
            <w:shd w:val="clear" w:color="auto" w:fill="D0D1DB"/>
            <w:noWrap/>
            <w:vAlign w:val="center"/>
          </w:tcPr>
          <w:p w14:paraId="0714881A" w14:textId="77777777" w:rsidR="00A1321B" w:rsidRPr="006D334F"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Servicios OTT de video</w:t>
            </w:r>
          </w:p>
        </w:tc>
        <w:tc>
          <w:tcPr>
            <w:tcW w:w="3637" w:type="pct"/>
            <w:tcBorders>
              <w:top w:val="nil"/>
              <w:bottom w:val="single" w:sz="4" w:space="0" w:color="244062"/>
            </w:tcBorders>
            <w:vAlign w:val="center"/>
          </w:tcPr>
          <w:p w14:paraId="39B61035" w14:textId="77777777" w:rsidR="00A1321B" w:rsidRPr="006D334F" w:rsidRDefault="00A1321B" w:rsidP="008B4286">
            <w:pPr>
              <w:keepNext/>
              <w:keepLines/>
              <w:spacing w:before="40" w:after="40" w:line="240" w:lineRule="auto"/>
              <w:rPr>
                <w:rFonts w:ascii="ITC Avant Garde" w:eastAsia="Times New Roman" w:hAnsi="ITC Avant Garde" w:cs="Arial"/>
                <w:sz w:val="20"/>
                <w:szCs w:val="20"/>
                <w:lang w:eastAsia="es-ES"/>
              </w:rPr>
            </w:pPr>
            <w:r w:rsidRPr="006D334F">
              <w:rPr>
                <w:rFonts w:ascii="ITC Avant Garde" w:eastAsia="Times New Roman" w:hAnsi="ITC Avant Garde" w:cs="Arial"/>
                <w:sz w:val="20"/>
                <w:szCs w:val="20"/>
                <w:lang w:val="es-ES" w:eastAsia="es-ES"/>
              </w:rPr>
              <w:t>Ingresos percibidos por concepto de comercialización de servicios OTT de video.</w:t>
            </w:r>
          </w:p>
        </w:tc>
      </w:tr>
      <w:tr w:rsidR="00A1321B" w:rsidRPr="008609D1" w14:paraId="73F5A2A4" w14:textId="77777777" w:rsidTr="00505CF2">
        <w:trPr>
          <w:trHeight w:val="340"/>
        </w:trPr>
        <w:tc>
          <w:tcPr>
            <w:tcW w:w="1363" w:type="pct"/>
            <w:tcBorders>
              <w:top w:val="nil"/>
              <w:left w:val="nil"/>
              <w:bottom w:val="single" w:sz="4" w:space="0" w:color="244062"/>
            </w:tcBorders>
            <w:shd w:val="clear" w:color="auto" w:fill="D0D1DB"/>
            <w:noWrap/>
            <w:vAlign w:val="center"/>
          </w:tcPr>
          <w:p w14:paraId="3099E3DE" w14:textId="77777777" w:rsidR="00A1321B" w:rsidRPr="006D334F"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Servicios OTT de audio</w:t>
            </w:r>
          </w:p>
        </w:tc>
        <w:tc>
          <w:tcPr>
            <w:tcW w:w="3637" w:type="pct"/>
            <w:tcBorders>
              <w:top w:val="nil"/>
              <w:bottom w:val="single" w:sz="4" w:space="0" w:color="244062"/>
            </w:tcBorders>
            <w:vAlign w:val="center"/>
          </w:tcPr>
          <w:p w14:paraId="1AC78994" w14:textId="77777777" w:rsidR="00A1321B" w:rsidRPr="006D334F"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Ingresos percibidos por concepto de comercialización de servicios OTT de audio.</w:t>
            </w:r>
          </w:p>
        </w:tc>
      </w:tr>
      <w:tr w:rsidR="00A1321B" w:rsidRPr="008609D1" w14:paraId="52AAA0D2" w14:textId="77777777" w:rsidTr="00505CF2">
        <w:trPr>
          <w:trHeight w:val="340"/>
        </w:trPr>
        <w:tc>
          <w:tcPr>
            <w:tcW w:w="1363" w:type="pct"/>
            <w:tcBorders>
              <w:top w:val="nil"/>
              <w:left w:val="nil"/>
              <w:bottom w:val="single" w:sz="4" w:space="0" w:color="244062"/>
            </w:tcBorders>
            <w:shd w:val="clear" w:color="auto" w:fill="D0D1DB"/>
            <w:noWrap/>
            <w:vAlign w:val="center"/>
            <w:hideMark/>
          </w:tcPr>
          <w:p w14:paraId="316D7067" w14:textId="77777777" w:rsidR="00A1321B" w:rsidRPr="008609D1"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servicios minoristas</w:t>
            </w:r>
          </w:p>
        </w:tc>
        <w:tc>
          <w:tcPr>
            <w:tcW w:w="3637" w:type="pct"/>
            <w:tcBorders>
              <w:top w:val="nil"/>
              <w:bottom w:val="single" w:sz="4" w:space="0" w:color="244062"/>
            </w:tcBorders>
            <w:vAlign w:val="center"/>
            <w:hideMark/>
          </w:tcPr>
          <w:p w14:paraId="4E7DFEF3" w14:textId="77777777" w:rsidR="00A1321B" w:rsidRPr="008609D1"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la prestación de otros servicios minoristas.</w:t>
            </w:r>
          </w:p>
        </w:tc>
      </w:tr>
      <w:tr w:rsidR="00A1321B" w:rsidRPr="008609D1" w14:paraId="55764BA0" w14:textId="77777777" w:rsidTr="00505CF2">
        <w:trPr>
          <w:trHeight w:val="510"/>
        </w:trPr>
        <w:tc>
          <w:tcPr>
            <w:tcW w:w="1363" w:type="pct"/>
            <w:tcBorders>
              <w:top w:val="nil"/>
              <w:left w:val="nil"/>
              <w:bottom w:val="single" w:sz="4" w:space="0" w:color="244062"/>
            </w:tcBorders>
            <w:shd w:val="clear" w:color="auto" w:fill="D0D1DB"/>
            <w:noWrap/>
            <w:vAlign w:val="center"/>
            <w:hideMark/>
          </w:tcPr>
          <w:p w14:paraId="76E86B62" w14:textId="77777777" w:rsidR="00A1321B" w:rsidRPr="008609D1"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 de arrendamiento de enlaces dedicados</w:t>
            </w:r>
          </w:p>
        </w:tc>
        <w:tc>
          <w:tcPr>
            <w:tcW w:w="3637" w:type="pct"/>
            <w:tcBorders>
              <w:top w:val="nil"/>
              <w:bottom w:val="single" w:sz="4" w:space="0" w:color="244062"/>
            </w:tcBorders>
            <w:vAlign w:val="center"/>
            <w:hideMark/>
          </w:tcPr>
          <w:p w14:paraId="4D6C794D" w14:textId="77777777" w:rsidR="00A1321B" w:rsidRPr="008609D1"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el servicio de arrendamiento de enlaces dedicados.</w:t>
            </w:r>
          </w:p>
        </w:tc>
      </w:tr>
      <w:tr w:rsidR="00A1321B" w:rsidRPr="008609D1" w14:paraId="25D853FA" w14:textId="77777777" w:rsidTr="00505CF2">
        <w:trPr>
          <w:trHeight w:val="340"/>
        </w:trPr>
        <w:tc>
          <w:tcPr>
            <w:tcW w:w="1363" w:type="pct"/>
            <w:tcBorders>
              <w:top w:val="nil"/>
              <w:left w:val="nil"/>
              <w:bottom w:val="single" w:sz="4" w:space="0" w:color="244062"/>
            </w:tcBorders>
            <w:shd w:val="clear" w:color="auto" w:fill="D0D1DB"/>
            <w:noWrap/>
            <w:vAlign w:val="center"/>
            <w:hideMark/>
          </w:tcPr>
          <w:p w14:paraId="36400BFF" w14:textId="548852F3" w:rsidR="00A1321B" w:rsidRPr="006D334F"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Servicios de </w:t>
            </w:r>
            <w:r>
              <w:rPr>
                <w:rFonts w:ascii="ITC Avant Garde" w:eastAsia="Times New Roman" w:hAnsi="ITC Avant Garde" w:cs="Arial"/>
                <w:sz w:val="20"/>
                <w:szCs w:val="20"/>
                <w:lang w:val="es-ES" w:eastAsia="es-ES"/>
              </w:rPr>
              <w:t>i</w:t>
            </w:r>
            <w:r w:rsidRPr="006D334F">
              <w:rPr>
                <w:rFonts w:ascii="ITC Avant Garde" w:eastAsia="Times New Roman" w:hAnsi="ITC Avant Garde" w:cs="Arial"/>
                <w:sz w:val="20"/>
                <w:szCs w:val="20"/>
                <w:lang w:val="es-ES" w:eastAsia="es-ES"/>
              </w:rPr>
              <w:t>nterconexión</w:t>
            </w:r>
          </w:p>
        </w:tc>
        <w:tc>
          <w:tcPr>
            <w:tcW w:w="3637" w:type="pct"/>
            <w:tcBorders>
              <w:top w:val="nil"/>
              <w:bottom w:val="single" w:sz="4" w:space="0" w:color="244062"/>
            </w:tcBorders>
            <w:vAlign w:val="center"/>
            <w:hideMark/>
          </w:tcPr>
          <w:p w14:paraId="52190B6E" w14:textId="77777777" w:rsidR="00A1321B" w:rsidRPr="006D334F"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Ingresos por los servicios de interconexión que presta a otros concesionarios.</w:t>
            </w:r>
          </w:p>
        </w:tc>
      </w:tr>
      <w:tr w:rsidR="00A1321B" w:rsidRPr="008609D1" w14:paraId="72569985" w14:textId="77777777" w:rsidTr="00505CF2">
        <w:trPr>
          <w:trHeight w:val="340"/>
        </w:trPr>
        <w:tc>
          <w:tcPr>
            <w:tcW w:w="1363" w:type="pct"/>
            <w:tcBorders>
              <w:top w:val="nil"/>
              <w:left w:val="nil"/>
              <w:bottom w:val="single" w:sz="4" w:space="0" w:color="244062"/>
            </w:tcBorders>
            <w:shd w:val="clear" w:color="auto" w:fill="D0D1DB"/>
            <w:noWrap/>
            <w:vAlign w:val="center"/>
            <w:hideMark/>
          </w:tcPr>
          <w:p w14:paraId="771A6F90" w14:textId="77777777" w:rsidR="00A1321B" w:rsidRPr="008609D1"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servicios mayoristas</w:t>
            </w:r>
          </w:p>
        </w:tc>
        <w:tc>
          <w:tcPr>
            <w:tcW w:w="3637" w:type="pct"/>
            <w:tcBorders>
              <w:top w:val="nil"/>
              <w:bottom w:val="single" w:sz="4" w:space="0" w:color="244062"/>
            </w:tcBorders>
            <w:vAlign w:val="center"/>
            <w:hideMark/>
          </w:tcPr>
          <w:p w14:paraId="4C36EE08" w14:textId="77777777" w:rsidR="00A1321B" w:rsidRPr="008609D1"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la prestación de servicios mayoristas a otros operadores.</w:t>
            </w:r>
          </w:p>
        </w:tc>
      </w:tr>
      <w:tr w:rsidR="009246AE" w:rsidRPr="008609D1" w14:paraId="3566F6C0" w14:textId="77777777" w:rsidTr="00154F13">
        <w:trPr>
          <w:trHeight w:val="340"/>
        </w:trPr>
        <w:tc>
          <w:tcPr>
            <w:tcW w:w="5000" w:type="pct"/>
            <w:gridSpan w:val="2"/>
            <w:tcBorders>
              <w:top w:val="nil"/>
              <w:left w:val="nil"/>
              <w:bottom w:val="single" w:sz="4" w:space="0" w:color="244062"/>
            </w:tcBorders>
            <w:shd w:val="clear" w:color="auto" w:fill="EDEDED" w:themeFill="accent3" w:themeFillTint="33"/>
            <w:noWrap/>
            <w:vAlign w:val="center"/>
          </w:tcPr>
          <w:p w14:paraId="7F4C83BD" w14:textId="77777777" w:rsidR="009246AE" w:rsidRPr="00154F13" w:rsidRDefault="009246AE" w:rsidP="008B4286">
            <w:pPr>
              <w:keepNext/>
              <w:keepLines/>
              <w:spacing w:before="40" w:after="40" w:line="240" w:lineRule="auto"/>
              <w:rPr>
                <w:rFonts w:ascii="ITC Avant Garde" w:eastAsia="Times New Roman" w:hAnsi="ITC Avant Garde" w:cs="Arial"/>
                <w:b/>
                <w:sz w:val="20"/>
                <w:szCs w:val="20"/>
                <w:lang w:val="es-ES" w:eastAsia="es-ES"/>
              </w:rPr>
            </w:pPr>
            <w:r w:rsidRPr="00154F13">
              <w:rPr>
                <w:rFonts w:ascii="ITC Avant Garde" w:eastAsia="Times New Roman" w:hAnsi="ITC Avant Garde" w:cs="Arial"/>
                <w:b/>
                <w:sz w:val="20"/>
                <w:szCs w:val="20"/>
                <w:lang w:val="es-ES" w:eastAsia="es-ES"/>
              </w:rPr>
              <w:t>Ingresos  no operativos</w:t>
            </w:r>
          </w:p>
        </w:tc>
      </w:tr>
      <w:tr w:rsidR="00A1321B" w:rsidRPr="008609D1" w14:paraId="0A97C1B0" w14:textId="77777777" w:rsidTr="00505CF2">
        <w:trPr>
          <w:trHeight w:val="340"/>
        </w:trPr>
        <w:tc>
          <w:tcPr>
            <w:tcW w:w="1363" w:type="pct"/>
            <w:tcBorders>
              <w:top w:val="nil"/>
              <w:left w:val="nil"/>
              <w:bottom w:val="single" w:sz="4" w:space="0" w:color="244062"/>
            </w:tcBorders>
            <w:shd w:val="clear" w:color="auto" w:fill="D0D1DB"/>
            <w:noWrap/>
            <w:vAlign w:val="center"/>
            <w:hideMark/>
          </w:tcPr>
          <w:p w14:paraId="4A14FECA" w14:textId="77777777" w:rsidR="00A1321B" w:rsidRPr="008609D1"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lastRenderedPageBreak/>
              <w:t>Operaciones financieras</w:t>
            </w:r>
          </w:p>
        </w:tc>
        <w:tc>
          <w:tcPr>
            <w:tcW w:w="3637" w:type="pct"/>
            <w:tcBorders>
              <w:top w:val="nil"/>
              <w:bottom w:val="single" w:sz="4" w:space="0" w:color="244062"/>
            </w:tcBorders>
            <w:vAlign w:val="center"/>
            <w:hideMark/>
          </w:tcPr>
          <w:p w14:paraId="227F5976" w14:textId="77777777" w:rsidR="00A1321B" w:rsidRPr="008609D1"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procedentes de otras operaciones financieras realizadas por el concesionario o autorizado.</w:t>
            </w:r>
          </w:p>
        </w:tc>
      </w:tr>
      <w:tr w:rsidR="00A1321B" w:rsidRPr="008609D1" w14:paraId="170BCC61" w14:textId="77777777" w:rsidTr="00505CF2">
        <w:trPr>
          <w:trHeight w:val="340"/>
        </w:trPr>
        <w:tc>
          <w:tcPr>
            <w:tcW w:w="1363" w:type="pct"/>
            <w:tcBorders>
              <w:top w:val="nil"/>
              <w:left w:val="nil"/>
              <w:bottom w:val="single" w:sz="4" w:space="0" w:color="244062"/>
            </w:tcBorders>
            <w:shd w:val="clear" w:color="auto" w:fill="D0D1DB"/>
            <w:noWrap/>
            <w:vAlign w:val="center"/>
            <w:hideMark/>
          </w:tcPr>
          <w:p w14:paraId="7AEE2ACA" w14:textId="77777777" w:rsidR="00A1321B" w:rsidRPr="008609D1"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Enajenación de activos</w:t>
            </w:r>
          </w:p>
        </w:tc>
        <w:tc>
          <w:tcPr>
            <w:tcW w:w="3637" w:type="pct"/>
            <w:tcBorders>
              <w:top w:val="nil"/>
              <w:bottom w:val="single" w:sz="4" w:space="0" w:color="244062"/>
            </w:tcBorders>
            <w:vAlign w:val="center"/>
            <w:hideMark/>
          </w:tcPr>
          <w:p w14:paraId="1DEC8DE2" w14:textId="77777777" w:rsidR="00A1321B" w:rsidRPr="008609D1"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recibidos por la venta de activos.</w:t>
            </w:r>
          </w:p>
        </w:tc>
      </w:tr>
      <w:tr w:rsidR="00A1321B" w:rsidRPr="008609D1" w14:paraId="36CF555C" w14:textId="77777777" w:rsidTr="00505CF2">
        <w:trPr>
          <w:trHeight w:val="340"/>
        </w:trPr>
        <w:tc>
          <w:tcPr>
            <w:tcW w:w="1363" w:type="pct"/>
            <w:tcBorders>
              <w:top w:val="nil"/>
              <w:left w:val="nil"/>
              <w:bottom w:val="single" w:sz="4" w:space="0" w:color="244062"/>
            </w:tcBorders>
            <w:shd w:val="clear" w:color="auto" w:fill="D0D1DB"/>
            <w:noWrap/>
            <w:vAlign w:val="center"/>
            <w:hideMark/>
          </w:tcPr>
          <w:p w14:paraId="3AAC5E56" w14:textId="77777777" w:rsidR="00A1321B" w:rsidRPr="008609D1"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ingresos</w:t>
            </w:r>
          </w:p>
        </w:tc>
        <w:tc>
          <w:tcPr>
            <w:tcW w:w="3637" w:type="pct"/>
            <w:tcBorders>
              <w:top w:val="nil"/>
              <w:bottom w:val="single" w:sz="4" w:space="0" w:color="244062"/>
            </w:tcBorders>
            <w:vAlign w:val="center"/>
            <w:hideMark/>
          </w:tcPr>
          <w:p w14:paraId="01ABCC75" w14:textId="77777777" w:rsidR="00A1321B" w:rsidRPr="008609D1"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Incluye aquellos ingresos no relacionados con la prestación de servicios de telecomunicaciones fijos.</w:t>
            </w:r>
          </w:p>
        </w:tc>
      </w:tr>
    </w:tbl>
    <w:p w14:paraId="6A398CC7" w14:textId="77777777" w:rsidR="00A1321B" w:rsidRPr="008609D1" w:rsidRDefault="00A1321B" w:rsidP="00A1321B">
      <w:pPr>
        <w:pStyle w:val="Descripcin"/>
        <w:spacing w:after="240" w:line="240" w:lineRule="auto"/>
        <w:jc w:val="left"/>
        <w:rPr>
          <w:rFonts w:ascii="ITC Avant Garde" w:hAnsi="ITC Avant Garde"/>
          <w:iCs/>
          <w:sz w:val="20"/>
          <w:lang w:val="es-MX"/>
        </w:rPr>
      </w:pPr>
    </w:p>
    <w:p w14:paraId="3CDA8CB4" w14:textId="77777777" w:rsidR="00A1321B" w:rsidRDefault="00A1321B" w:rsidP="00A1321B">
      <w:pPr>
        <w:pStyle w:val="Normalresolucion"/>
        <w:spacing w:after="240"/>
      </w:pPr>
      <w:r w:rsidRPr="008609D1">
        <w:t xml:space="preserve">Listado </w:t>
      </w:r>
      <w:r w:rsidRPr="008609D1">
        <w:rPr>
          <w:bCs/>
        </w:rPr>
        <w:t>mínimo</w:t>
      </w:r>
      <w:r w:rsidRPr="00154F13">
        <w:t xml:space="preserve"> </w:t>
      </w:r>
      <w:r w:rsidRPr="008609D1">
        <w:t>de cuentas de costos a desagregar en el Nivel 1:</w:t>
      </w:r>
    </w:p>
    <w:p w14:paraId="33C98320" w14:textId="77777777" w:rsidR="00600DB6" w:rsidRPr="006D334F" w:rsidRDefault="00600DB6" w:rsidP="00600DB6">
      <w:pPr>
        <w:pStyle w:val="Normalresolucion"/>
        <w:spacing w:after="240"/>
        <w:jc w:val="center"/>
        <w:rPr>
          <w:b/>
          <w:iCs/>
          <w:sz w:val="20"/>
          <w:lang w:val="es-MX"/>
        </w:rPr>
      </w:pPr>
      <w:r w:rsidRPr="006D334F">
        <w:rPr>
          <w:b/>
          <w:iCs/>
          <w:sz w:val="20"/>
          <w:lang w:val="es-MX"/>
        </w:rPr>
        <w:t>Tabla A3.</w:t>
      </w:r>
      <w:r w:rsidRPr="006D334F">
        <w:rPr>
          <w:b/>
          <w:iCs/>
          <w:sz w:val="20"/>
          <w:lang w:val="es-MX"/>
        </w:rPr>
        <w:fldChar w:fldCharType="begin"/>
      </w:r>
      <w:r w:rsidRPr="006D334F">
        <w:rPr>
          <w:b/>
          <w:iCs/>
          <w:sz w:val="20"/>
          <w:lang w:val="es-MX"/>
        </w:rPr>
        <w:instrText xml:space="preserve"> SEQ Tabla_AP. \* ARABIC </w:instrText>
      </w:r>
      <w:r w:rsidRPr="006D334F">
        <w:rPr>
          <w:b/>
          <w:iCs/>
          <w:sz w:val="20"/>
          <w:lang w:val="es-MX"/>
        </w:rPr>
        <w:fldChar w:fldCharType="separate"/>
      </w:r>
      <w:r w:rsidRPr="006D334F">
        <w:rPr>
          <w:b/>
          <w:iCs/>
          <w:noProof/>
          <w:sz w:val="20"/>
          <w:lang w:val="es-MX"/>
        </w:rPr>
        <w:t>4</w:t>
      </w:r>
      <w:r w:rsidRPr="006D334F">
        <w:rPr>
          <w:b/>
          <w:iCs/>
          <w:sz w:val="20"/>
          <w:lang w:val="es-MX"/>
        </w:rPr>
        <w:fldChar w:fldCharType="end"/>
      </w:r>
      <w:r w:rsidRPr="006D334F">
        <w:rPr>
          <w:b/>
          <w:iCs/>
          <w:sz w:val="20"/>
          <w:lang w:val="es-MX"/>
        </w:rPr>
        <w:t>: Listado mínimo de cuentas de costos a desagregar en el Nivel 1 de operadores de telecomunicaciones fijas</w:t>
      </w:r>
    </w:p>
    <w:tbl>
      <w:tblPr>
        <w:tblW w:w="5000" w:type="pct"/>
        <w:jc w:val="center"/>
        <w:tblLayout w:type="fixed"/>
        <w:tblCellMar>
          <w:left w:w="70" w:type="dxa"/>
          <w:right w:w="70" w:type="dxa"/>
        </w:tblCellMar>
        <w:tblLook w:val="04A0" w:firstRow="1" w:lastRow="0" w:firstColumn="1" w:lastColumn="0" w:noHBand="0" w:noVBand="1"/>
      </w:tblPr>
      <w:tblGrid>
        <w:gridCol w:w="2404"/>
        <w:gridCol w:w="6429"/>
      </w:tblGrid>
      <w:tr w:rsidR="00A1321B" w:rsidRPr="008609D1" w14:paraId="560190A2" w14:textId="77777777" w:rsidTr="00505CF2">
        <w:trPr>
          <w:trHeight w:val="340"/>
          <w:tblHeader/>
          <w:jc w:val="center"/>
        </w:trPr>
        <w:tc>
          <w:tcPr>
            <w:tcW w:w="1361" w:type="pct"/>
            <w:tcBorders>
              <w:top w:val="single" w:sz="4" w:space="0" w:color="244062"/>
              <w:left w:val="single" w:sz="4" w:space="0" w:color="FFFFFF"/>
              <w:bottom w:val="single" w:sz="4" w:space="0" w:color="244062"/>
            </w:tcBorders>
            <w:shd w:val="clear" w:color="auto" w:fill="4F629B"/>
            <w:vAlign w:val="center"/>
            <w:hideMark/>
          </w:tcPr>
          <w:p w14:paraId="2754AA23" w14:textId="77777777" w:rsidR="00A1321B" w:rsidRPr="008609D1" w:rsidRDefault="00A1321B" w:rsidP="008B4286">
            <w:pPr>
              <w:keepNext/>
              <w:keepLines/>
              <w:spacing w:before="40" w:after="6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Categoría</w:t>
            </w:r>
          </w:p>
        </w:tc>
        <w:tc>
          <w:tcPr>
            <w:tcW w:w="3639" w:type="pct"/>
            <w:tcBorders>
              <w:top w:val="single" w:sz="4" w:space="0" w:color="244062"/>
              <w:bottom w:val="single" w:sz="4" w:space="0" w:color="244062"/>
            </w:tcBorders>
            <w:shd w:val="clear" w:color="auto" w:fill="4F629B"/>
            <w:vAlign w:val="center"/>
            <w:hideMark/>
          </w:tcPr>
          <w:p w14:paraId="760FC4E6" w14:textId="77777777" w:rsidR="00A1321B" w:rsidRPr="008609D1" w:rsidRDefault="00A1321B" w:rsidP="008B4286">
            <w:pPr>
              <w:keepNext/>
              <w:keepLines/>
              <w:spacing w:before="40" w:after="6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Descripción</w:t>
            </w:r>
          </w:p>
        </w:tc>
      </w:tr>
      <w:tr w:rsidR="009246AE" w:rsidRPr="008609D1" w14:paraId="1921C5A6" w14:textId="77777777" w:rsidTr="009246AE">
        <w:trPr>
          <w:trHeight w:val="340"/>
          <w:jc w:val="center"/>
        </w:trPr>
        <w:tc>
          <w:tcPr>
            <w:tcW w:w="5000" w:type="pct"/>
            <w:gridSpan w:val="2"/>
            <w:tcBorders>
              <w:top w:val="single" w:sz="4" w:space="0" w:color="244062"/>
              <w:left w:val="nil"/>
              <w:bottom w:val="single" w:sz="4" w:space="0" w:color="244062"/>
            </w:tcBorders>
            <w:shd w:val="clear" w:color="auto" w:fill="EDEDED" w:themeFill="accent3" w:themeFillTint="33"/>
            <w:noWrap/>
            <w:vAlign w:val="center"/>
          </w:tcPr>
          <w:p w14:paraId="1516720B" w14:textId="77777777" w:rsidR="009246AE" w:rsidRPr="00154F13" w:rsidRDefault="009246AE" w:rsidP="008B4286">
            <w:pPr>
              <w:spacing w:before="40" w:after="60" w:line="240" w:lineRule="auto"/>
              <w:rPr>
                <w:rFonts w:ascii="ITC Avant Garde" w:eastAsia="Times New Roman" w:hAnsi="ITC Avant Garde" w:cs="Arial"/>
                <w:b/>
                <w:sz w:val="20"/>
                <w:lang w:val="es-ES" w:eastAsia="es-ES"/>
              </w:rPr>
            </w:pPr>
            <w:r w:rsidRPr="00154F13">
              <w:rPr>
                <w:rFonts w:ascii="ITC Avant Garde" w:eastAsia="Times New Roman" w:hAnsi="ITC Avant Garde" w:cs="Arial"/>
                <w:b/>
                <w:sz w:val="20"/>
                <w:lang w:val="es-ES" w:eastAsia="es-ES"/>
              </w:rPr>
              <w:t>Costos operativos</w:t>
            </w:r>
          </w:p>
        </w:tc>
      </w:tr>
      <w:tr w:rsidR="00A1321B" w:rsidRPr="008609D1" w14:paraId="5CECAAD8"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3FA826E1" w14:textId="27B86225"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Servicios de </w:t>
            </w:r>
            <w:r>
              <w:rPr>
                <w:rFonts w:ascii="ITC Avant Garde" w:eastAsia="Times New Roman" w:hAnsi="ITC Avant Garde" w:cs="Arial"/>
                <w:sz w:val="20"/>
                <w:lang w:val="es-ES" w:eastAsia="es-ES"/>
              </w:rPr>
              <w:t>t</w:t>
            </w:r>
            <w:r w:rsidRPr="006D334F">
              <w:rPr>
                <w:rFonts w:ascii="ITC Avant Garde" w:eastAsia="Times New Roman" w:hAnsi="ITC Avant Garde" w:cs="Arial"/>
                <w:sz w:val="20"/>
                <w:lang w:val="es-ES" w:eastAsia="es-ES"/>
              </w:rPr>
              <w:t>ránsito de Internet</w:t>
            </w:r>
          </w:p>
        </w:tc>
        <w:tc>
          <w:tcPr>
            <w:tcW w:w="3639" w:type="pct"/>
            <w:tcBorders>
              <w:top w:val="single" w:sz="4" w:space="0" w:color="244062"/>
              <w:bottom w:val="single" w:sz="4" w:space="0" w:color="244062"/>
            </w:tcBorders>
            <w:vAlign w:val="center"/>
            <w:hideMark/>
          </w:tcPr>
          <w:p w14:paraId="30E85AB5"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Pago por el servicio de tránsito de Internet</w:t>
            </w:r>
            <w:r>
              <w:rPr>
                <w:rFonts w:ascii="ITC Avant Garde" w:eastAsia="Times New Roman" w:hAnsi="ITC Avant Garde" w:cs="Arial"/>
                <w:sz w:val="20"/>
                <w:lang w:val="es-ES" w:eastAsia="es-ES"/>
              </w:rPr>
              <w:t>.</w:t>
            </w:r>
          </w:p>
        </w:tc>
      </w:tr>
      <w:tr w:rsidR="00A1321B" w:rsidRPr="008609D1" w14:paraId="7A28339D"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7E62F92E"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en destinos nacionales</w:t>
            </w:r>
          </w:p>
        </w:tc>
        <w:tc>
          <w:tcPr>
            <w:tcW w:w="3639" w:type="pct"/>
            <w:tcBorders>
              <w:top w:val="single" w:sz="4" w:space="0" w:color="244062"/>
              <w:bottom w:val="single" w:sz="4" w:space="0" w:color="244062"/>
            </w:tcBorders>
            <w:vAlign w:val="center"/>
            <w:hideMark/>
          </w:tcPr>
          <w:p w14:paraId="35FE5C50"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la terminación de tráfico de la red de telefonía fija en las redes de otros operadores nacionales.</w:t>
            </w:r>
          </w:p>
        </w:tc>
      </w:tr>
      <w:tr w:rsidR="00A1321B" w:rsidRPr="008609D1" w14:paraId="04D5D891"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735103F8"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en destinos internacionales</w:t>
            </w:r>
          </w:p>
        </w:tc>
        <w:tc>
          <w:tcPr>
            <w:tcW w:w="3639" w:type="pct"/>
            <w:tcBorders>
              <w:top w:val="single" w:sz="4" w:space="0" w:color="244062"/>
              <w:bottom w:val="single" w:sz="4" w:space="0" w:color="244062"/>
            </w:tcBorders>
            <w:vAlign w:val="center"/>
            <w:hideMark/>
          </w:tcPr>
          <w:p w14:paraId="06123DB4"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la terminación de tráfico de la red de telefonía fija en las redes de otros operadores internacionales.</w:t>
            </w:r>
          </w:p>
        </w:tc>
      </w:tr>
      <w:tr w:rsidR="00A1321B" w:rsidRPr="008609D1" w14:paraId="2225203D"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1AE1F2AB"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terminales</w:t>
            </w:r>
          </w:p>
        </w:tc>
        <w:tc>
          <w:tcPr>
            <w:tcW w:w="3639" w:type="pct"/>
            <w:tcBorders>
              <w:top w:val="single" w:sz="4" w:space="0" w:color="244062"/>
              <w:bottom w:val="single" w:sz="4" w:space="0" w:color="244062"/>
            </w:tcBorders>
            <w:vAlign w:val="center"/>
            <w:hideMark/>
          </w:tcPr>
          <w:p w14:paraId="6927423D"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la compra de equipos terminales utilizados para la prestación de servicios de telecomunicaciones fijos.</w:t>
            </w:r>
          </w:p>
        </w:tc>
      </w:tr>
      <w:tr w:rsidR="00A1321B" w:rsidRPr="008609D1" w14:paraId="35BA507D"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0552843A"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Personal</w:t>
            </w:r>
          </w:p>
        </w:tc>
        <w:tc>
          <w:tcPr>
            <w:tcW w:w="3639" w:type="pct"/>
            <w:tcBorders>
              <w:top w:val="single" w:sz="4" w:space="0" w:color="244062"/>
              <w:bottom w:val="single" w:sz="4" w:space="0" w:color="244062"/>
            </w:tcBorders>
            <w:vAlign w:val="center"/>
            <w:hideMark/>
          </w:tcPr>
          <w:p w14:paraId="49A76429"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Gasto en sueldos y salarios, incentivos, aportaciones a planes de pensiones y costos de la seguridad social.</w:t>
            </w:r>
          </w:p>
        </w:tc>
      </w:tr>
      <w:tr w:rsidR="00A1321B" w:rsidRPr="008609D1" w14:paraId="11765331"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47AE8BD9"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Arrendamiento de inmuebles</w:t>
            </w:r>
          </w:p>
        </w:tc>
        <w:tc>
          <w:tcPr>
            <w:tcW w:w="3639" w:type="pct"/>
            <w:tcBorders>
              <w:top w:val="single" w:sz="4" w:space="0" w:color="244062"/>
              <w:bottom w:val="single" w:sz="4" w:space="0" w:color="244062"/>
            </w:tcBorders>
            <w:vAlign w:val="center"/>
          </w:tcPr>
          <w:p w14:paraId="0E37E5C4"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Gasto en rentas de bienes inmuebles.</w:t>
            </w:r>
          </w:p>
        </w:tc>
      </w:tr>
      <w:tr w:rsidR="00A1321B" w:rsidRPr="008609D1" w14:paraId="2D7B57F9"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0362411E"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Arrendamiento de infraestructura de telecomunicaciones</w:t>
            </w:r>
            <w:r w:rsidRPr="006D334F">
              <w:rPr>
                <w:rFonts w:ascii="ITC Avant Garde" w:eastAsia="Times New Roman" w:hAnsi="ITC Avant Garde" w:cs="Arial"/>
                <w:sz w:val="20"/>
                <w:lang w:val="es-ES" w:eastAsia="es-ES"/>
              </w:rPr>
              <w:tab/>
            </w:r>
          </w:p>
        </w:tc>
        <w:tc>
          <w:tcPr>
            <w:tcW w:w="3639" w:type="pct"/>
            <w:tcBorders>
              <w:top w:val="single" w:sz="4" w:space="0" w:color="244062"/>
              <w:bottom w:val="single" w:sz="4" w:space="0" w:color="244062"/>
            </w:tcBorders>
            <w:vAlign w:val="center"/>
            <w:hideMark/>
          </w:tcPr>
          <w:p w14:paraId="6B68C5DB" w14:textId="6799DF0F" w:rsidR="00A1321B" w:rsidRPr="006D334F" w:rsidRDefault="00A1321B" w:rsidP="008B4286">
            <w:pPr>
              <w:spacing w:before="40" w:after="60" w:line="240" w:lineRule="auto"/>
              <w:rPr>
                <w:rFonts w:ascii="ITC Avant Garde" w:eastAsia="Times New Roman" w:hAnsi="ITC Avant Garde" w:cs="Arial"/>
                <w:sz w:val="20"/>
                <w:lang w:eastAsia="es-ES"/>
              </w:rPr>
            </w:pPr>
            <w:r w:rsidRPr="006D334F">
              <w:rPr>
                <w:rFonts w:ascii="ITC Avant Garde" w:eastAsia="Times New Roman" w:hAnsi="ITC Avant Garde" w:cs="Arial"/>
                <w:sz w:val="20"/>
                <w:lang w:val="es-ES" w:eastAsia="es-ES"/>
              </w:rPr>
              <w:t>Gastos en rentas de infraestructura pasiva y activa de telecomunicaciones.</w:t>
            </w:r>
          </w:p>
        </w:tc>
      </w:tr>
      <w:tr w:rsidR="00A1321B" w:rsidRPr="008609D1" w14:paraId="3CD0CE40"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6FEAB735"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Reparaciones y </w:t>
            </w:r>
            <w:r w:rsidRPr="006D334F">
              <w:rPr>
                <w:rFonts w:ascii="ITC Avant Garde" w:eastAsia="Times New Roman" w:hAnsi="ITC Avant Garde" w:cs="Arial"/>
                <w:sz w:val="20"/>
                <w:lang w:val="es-ES" w:eastAsia="es-ES"/>
              </w:rPr>
              <w:t>mantenimiento</w:t>
            </w:r>
          </w:p>
        </w:tc>
        <w:tc>
          <w:tcPr>
            <w:tcW w:w="3639" w:type="pct"/>
            <w:tcBorders>
              <w:top w:val="single" w:sz="4" w:space="0" w:color="244062"/>
              <w:bottom w:val="single" w:sz="4" w:space="0" w:color="244062"/>
            </w:tcBorders>
            <w:vAlign w:val="center"/>
            <w:hideMark/>
          </w:tcPr>
          <w:p w14:paraId="1A835E99"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Gasto en reparaciones y </w:t>
            </w:r>
            <w:r w:rsidRPr="006D334F">
              <w:rPr>
                <w:rFonts w:ascii="ITC Avant Garde" w:eastAsia="Times New Roman" w:hAnsi="ITC Avant Garde" w:cs="Arial"/>
                <w:sz w:val="20"/>
                <w:lang w:val="es-ES" w:eastAsia="es-ES"/>
              </w:rPr>
              <w:t>mantenimiento</w:t>
            </w:r>
            <w:r w:rsidRPr="008609D1">
              <w:rPr>
                <w:rFonts w:ascii="ITC Avant Garde" w:eastAsia="Times New Roman" w:hAnsi="ITC Avant Garde" w:cs="Arial"/>
                <w:sz w:val="20"/>
                <w:lang w:val="es-ES" w:eastAsia="es-ES"/>
              </w:rPr>
              <w:t xml:space="preserve"> de los elementos de red y elementos no relacionados con la red.</w:t>
            </w:r>
          </w:p>
        </w:tc>
      </w:tr>
      <w:tr w:rsidR="00A1321B" w:rsidRPr="008609D1" w14:paraId="23BFEA5C"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31854FB5"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Energía</w:t>
            </w:r>
          </w:p>
        </w:tc>
        <w:tc>
          <w:tcPr>
            <w:tcW w:w="3639" w:type="pct"/>
            <w:tcBorders>
              <w:top w:val="single" w:sz="4" w:space="0" w:color="244062"/>
              <w:bottom w:val="single" w:sz="4" w:space="0" w:color="244062"/>
            </w:tcBorders>
            <w:vAlign w:val="center"/>
            <w:hideMark/>
          </w:tcPr>
          <w:p w14:paraId="624FA027"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Contiene los gastos derivados del uso de energía eléctrica por el operador</w:t>
            </w:r>
            <w:r>
              <w:rPr>
                <w:rFonts w:ascii="ITC Avant Garde" w:eastAsia="Times New Roman" w:hAnsi="ITC Avant Garde" w:cs="Arial"/>
                <w:sz w:val="20"/>
                <w:lang w:val="es-ES" w:eastAsia="es-ES"/>
              </w:rPr>
              <w:t>.</w:t>
            </w:r>
          </w:p>
        </w:tc>
      </w:tr>
      <w:tr w:rsidR="00A1321B" w:rsidRPr="008609D1" w14:paraId="4485B78A"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148E9E5F"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Comisiones</w:t>
            </w:r>
          </w:p>
        </w:tc>
        <w:tc>
          <w:tcPr>
            <w:tcW w:w="3639" w:type="pct"/>
            <w:tcBorders>
              <w:top w:val="single" w:sz="4" w:space="0" w:color="244062"/>
              <w:bottom w:val="single" w:sz="4" w:space="0" w:color="244062"/>
            </w:tcBorders>
            <w:vAlign w:val="center"/>
            <w:hideMark/>
          </w:tcPr>
          <w:p w14:paraId="3E5E58E9"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realizados a distribuidores por comisiones asociadas a la suscripción, permanencia y fidelidad de usuarios, entre otros.</w:t>
            </w:r>
          </w:p>
        </w:tc>
      </w:tr>
      <w:tr w:rsidR="00A1321B" w:rsidRPr="008609D1" w14:paraId="78921CA3"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58DEFB41"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profesionales</w:t>
            </w:r>
          </w:p>
        </w:tc>
        <w:tc>
          <w:tcPr>
            <w:tcW w:w="3639" w:type="pct"/>
            <w:tcBorders>
              <w:top w:val="single" w:sz="4" w:space="0" w:color="244062"/>
              <w:bottom w:val="single" w:sz="4" w:space="0" w:color="244062"/>
            </w:tcBorders>
            <w:vAlign w:val="center"/>
            <w:hideMark/>
          </w:tcPr>
          <w:p w14:paraId="7D59C972"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a profesiones (auditores, consultores, etc.) y por servicios a terceros o suplementarios.</w:t>
            </w:r>
          </w:p>
        </w:tc>
      </w:tr>
      <w:tr w:rsidR="00A1321B" w:rsidRPr="008609D1" w14:paraId="63A959D0"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18618DBB"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Publicidad</w:t>
            </w:r>
          </w:p>
        </w:tc>
        <w:tc>
          <w:tcPr>
            <w:tcW w:w="3639" w:type="pct"/>
            <w:tcBorders>
              <w:top w:val="single" w:sz="4" w:space="0" w:color="244062"/>
              <w:bottom w:val="single" w:sz="4" w:space="0" w:color="244062"/>
            </w:tcBorders>
            <w:vAlign w:val="center"/>
            <w:hideMark/>
          </w:tcPr>
          <w:p w14:paraId="718703CA"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Compra de espacios publicitarios y patrocinios, campañas publicitarias, eventos, ferias y exposiciones, etc.</w:t>
            </w:r>
          </w:p>
        </w:tc>
      </w:tr>
      <w:tr w:rsidR="00A1321B" w:rsidRPr="008609D1" w14:paraId="52F876F5"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72E75D19"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Suministros</w:t>
            </w:r>
          </w:p>
        </w:tc>
        <w:tc>
          <w:tcPr>
            <w:tcW w:w="3639" w:type="pct"/>
            <w:tcBorders>
              <w:top w:val="single" w:sz="4" w:space="0" w:color="244062"/>
              <w:bottom w:val="single" w:sz="4" w:space="0" w:color="244062"/>
            </w:tcBorders>
            <w:vAlign w:val="center"/>
            <w:hideMark/>
          </w:tcPr>
          <w:p w14:paraId="30EB6E6F"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al alquiler de circuitos y otros suministros</w:t>
            </w:r>
            <w:r>
              <w:rPr>
                <w:rFonts w:ascii="ITC Avant Garde" w:eastAsia="Times New Roman" w:hAnsi="ITC Avant Garde" w:cs="Arial"/>
                <w:sz w:val="20"/>
                <w:lang w:val="es-ES" w:eastAsia="es-ES"/>
              </w:rPr>
              <w:t>.</w:t>
            </w:r>
          </w:p>
        </w:tc>
      </w:tr>
      <w:tr w:rsidR="00A1321B" w:rsidRPr="008609D1" w14:paraId="71EA5365"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20F87EA8"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Tasas e impuestos</w:t>
            </w:r>
          </w:p>
        </w:tc>
        <w:tc>
          <w:tcPr>
            <w:tcW w:w="3639" w:type="pct"/>
            <w:tcBorders>
              <w:top w:val="single" w:sz="4" w:space="0" w:color="244062"/>
              <w:bottom w:val="single" w:sz="4" w:space="0" w:color="244062"/>
            </w:tcBorders>
            <w:vAlign w:val="center"/>
            <w:hideMark/>
          </w:tcPr>
          <w:p w14:paraId="781FAADA"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A1321B" w:rsidRPr="008609D1" w14:paraId="2FDD381B"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458E409A"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Inventarios</w:t>
            </w:r>
          </w:p>
        </w:tc>
        <w:tc>
          <w:tcPr>
            <w:tcW w:w="3639" w:type="pct"/>
            <w:tcBorders>
              <w:top w:val="single" w:sz="4" w:space="0" w:color="244062"/>
              <w:bottom w:val="single" w:sz="4" w:space="0" w:color="244062"/>
            </w:tcBorders>
            <w:vAlign w:val="center"/>
            <w:hideMark/>
          </w:tcPr>
          <w:p w14:paraId="7D5137F9"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la variación de inventarios</w:t>
            </w:r>
            <w:r>
              <w:rPr>
                <w:rFonts w:ascii="ITC Avant Garde" w:eastAsia="Times New Roman" w:hAnsi="ITC Avant Garde" w:cs="Arial"/>
                <w:sz w:val="20"/>
                <w:lang w:val="es-ES" w:eastAsia="es-ES"/>
              </w:rPr>
              <w:t>.</w:t>
            </w:r>
          </w:p>
        </w:tc>
      </w:tr>
      <w:tr w:rsidR="00A1321B" w:rsidRPr="008609D1" w14:paraId="70A5CCC2"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54BE25F8"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costos por operaciones</w:t>
            </w:r>
          </w:p>
        </w:tc>
        <w:tc>
          <w:tcPr>
            <w:tcW w:w="3639" w:type="pct"/>
            <w:tcBorders>
              <w:top w:val="single" w:sz="4" w:space="0" w:color="244062"/>
              <w:bottom w:val="single" w:sz="4" w:space="0" w:color="244062"/>
            </w:tcBorders>
            <w:vAlign w:val="center"/>
            <w:hideMark/>
          </w:tcPr>
          <w:p w14:paraId="1DC383D9"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Otros gastos relacionados con la operación de la red de telecomunicaciones.</w:t>
            </w:r>
          </w:p>
        </w:tc>
      </w:tr>
      <w:tr w:rsidR="009246AE" w:rsidRPr="008609D1" w14:paraId="43A8949E" w14:textId="77777777" w:rsidTr="00154F13">
        <w:trPr>
          <w:trHeight w:val="340"/>
          <w:jc w:val="center"/>
        </w:trPr>
        <w:tc>
          <w:tcPr>
            <w:tcW w:w="5000" w:type="pct"/>
            <w:gridSpan w:val="2"/>
            <w:tcBorders>
              <w:top w:val="single" w:sz="4" w:space="0" w:color="244062"/>
              <w:left w:val="nil"/>
              <w:bottom w:val="single" w:sz="4" w:space="0" w:color="244062"/>
            </w:tcBorders>
            <w:shd w:val="clear" w:color="auto" w:fill="EDEDED" w:themeFill="accent3" w:themeFillTint="33"/>
            <w:noWrap/>
            <w:vAlign w:val="center"/>
          </w:tcPr>
          <w:p w14:paraId="23AD1FC5" w14:textId="77777777" w:rsidR="009246AE" w:rsidRPr="00154F13" w:rsidRDefault="009246AE" w:rsidP="008B4286">
            <w:pPr>
              <w:spacing w:before="40" w:after="60" w:line="240" w:lineRule="auto"/>
              <w:rPr>
                <w:rFonts w:ascii="ITC Avant Garde" w:eastAsia="Times New Roman" w:hAnsi="ITC Avant Garde" w:cs="Arial"/>
                <w:b/>
                <w:sz w:val="20"/>
                <w:lang w:val="es-ES" w:eastAsia="es-ES"/>
              </w:rPr>
            </w:pPr>
            <w:r w:rsidRPr="00154F13">
              <w:rPr>
                <w:rFonts w:ascii="ITC Avant Garde" w:eastAsia="Times New Roman" w:hAnsi="ITC Avant Garde" w:cs="Arial"/>
                <w:b/>
                <w:sz w:val="20"/>
                <w:lang w:val="es-ES" w:eastAsia="es-ES"/>
              </w:rPr>
              <w:t>Capital empleado y costos asociados al mismo</w:t>
            </w:r>
          </w:p>
        </w:tc>
      </w:tr>
      <w:tr w:rsidR="00A1321B" w:rsidRPr="008609D1" w14:paraId="44380253"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355A5940" w14:textId="77777777" w:rsidR="00A1321B" w:rsidRPr="008609D1" w:rsidRDefault="00A1321B" w:rsidP="00154F13">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Propiedad industrial</w:t>
            </w:r>
          </w:p>
        </w:tc>
        <w:tc>
          <w:tcPr>
            <w:tcW w:w="3639" w:type="pct"/>
            <w:tcBorders>
              <w:top w:val="single" w:sz="4" w:space="0" w:color="244062"/>
              <w:bottom w:val="single" w:sz="4" w:space="0" w:color="244062"/>
            </w:tcBorders>
            <w:vAlign w:val="center"/>
            <w:hideMark/>
          </w:tcPr>
          <w:p w14:paraId="661EBCA5"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al distintivo comercial y la marca</w:t>
            </w:r>
            <w:r>
              <w:rPr>
                <w:rFonts w:ascii="ITC Avant Garde" w:eastAsia="Times New Roman" w:hAnsi="ITC Avant Garde" w:cs="Arial"/>
                <w:sz w:val="20"/>
                <w:lang w:val="es-ES" w:eastAsia="es-ES"/>
              </w:rPr>
              <w:t>.</w:t>
            </w:r>
          </w:p>
        </w:tc>
      </w:tr>
      <w:tr w:rsidR="00A1321B" w:rsidRPr="008609D1" w14:paraId="145D47FC"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33BDF1B6" w14:textId="77777777" w:rsidR="00A1321B" w:rsidRPr="008609D1" w:rsidRDefault="00A1321B" w:rsidP="00154F13">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Aplicaciones informáticas</w:t>
            </w:r>
          </w:p>
        </w:tc>
        <w:tc>
          <w:tcPr>
            <w:tcW w:w="3639" w:type="pct"/>
            <w:tcBorders>
              <w:top w:val="single" w:sz="4" w:space="0" w:color="244062"/>
              <w:bottom w:val="single" w:sz="4" w:space="0" w:color="244062"/>
            </w:tcBorders>
            <w:vAlign w:val="center"/>
            <w:hideMark/>
          </w:tcPr>
          <w:p w14:paraId="18EE9881"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Contiene los costos de los elementos software de equipos de red y de los sistemas informáticos corporativos</w:t>
            </w:r>
            <w:r>
              <w:rPr>
                <w:rFonts w:ascii="ITC Avant Garde" w:eastAsia="Times New Roman" w:hAnsi="ITC Avant Garde" w:cs="Arial"/>
                <w:sz w:val="20"/>
                <w:lang w:val="es-ES" w:eastAsia="es-ES"/>
              </w:rPr>
              <w:t>.</w:t>
            </w:r>
          </w:p>
        </w:tc>
      </w:tr>
      <w:tr w:rsidR="00A1321B" w:rsidRPr="008609D1" w14:paraId="47CEA65D"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599F4E16" w14:textId="77777777" w:rsidR="00A1321B" w:rsidRPr="006D334F" w:rsidRDefault="00A1321B" w:rsidP="00154F13">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Inversión en terrenos y edificios.</w:t>
            </w:r>
          </w:p>
        </w:tc>
        <w:tc>
          <w:tcPr>
            <w:tcW w:w="3639" w:type="pct"/>
            <w:tcBorders>
              <w:top w:val="single" w:sz="4" w:space="0" w:color="244062"/>
              <w:bottom w:val="single" w:sz="4" w:space="0" w:color="244062"/>
            </w:tcBorders>
            <w:vAlign w:val="center"/>
            <w:hideMark/>
          </w:tcPr>
          <w:p w14:paraId="4F837D08"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Inversión bruta por concepto de compra de terrenos y/o edificios asociados al servicio de telecomunicaciones.</w:t>
            </w:r>
          </w:p>
          <w:p w14:paraId="026069FC"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 el caso de coinversión, únicamente se incluye la proporción de inversión realizada por la empresa.</w:t>
            </w:r>
          </w:p>
        </w:tc>
      </w:tr>
      <w:tr w:rsidR="00A1321B" w:rsidRPr="008609D1" w14:paraId="52A2ABFF"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5DD11201" w14:textId="77777777" w:rsidR="00A1321B" w:rsidRPr="008609D1" w:rsidRDefault="00A1321B" w:rsidP="00154F13">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Sistemas de alimentación de energía</w:t>
            </w:r>
          </w:p>
        </w:tc>
        <w:tc>
          <w:tcPr>
            <w:tcW w:w="3639" w:type="pct"/>
            <w:tcBorders>
              <w:top w:val="single" w:sz="4" w:space="0" w:color="244062"/>
              <w:bottom w:val="single" w:sz="4" w:space="0" w:color="244062"/>
            </w:tcBorders>
            <w:vAlign w:val="center"/>
            <w:hideMark/>
          </w:tcPr>
          <w:p w14:paraId="38ACA780"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 la planta de energía requerida para la puesta en funcionamiento de los equipos de red</w:t>
            </w:r>
            <w:r>
              <w:rPr>
                <w:rFonts w:ascii="ITC Avant Garde" w:eastAsia="Times New Roman" w:hAnsi="ITC Avant Garde" w:cs="Arial"/>
                <w:sz w:val="20"/>
                <w:lang w:val="es-ES" w:eastAsia="es-ES"/>
              </w:rPr>
              <w:t>.</w:t>
            </w:r>
          </w:p>
        </w:tc>
      </w:tr>
      <w:tr w:rsidR="00A1321B" w:rsidRPr="008609D1" w14:paraId="30F5006E"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45AD2EF4"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sobre cobre</w:t>
            </w:r>
          </w:p>
        </w:tc>
        <w:tc>
          <w:tcPr>
            <w:tcW w:w="3639" w:type="pct"/>
            <w:tcBorders>
              <w:top w:val="single" w:sz="4" w:space="0" w:color="244062"/>
              <w:bottom w:val="single" w:sz="4" w:space="0" w:color="244062"/>
            </w:tcBorders>
            <w:vAlign w:val="center"/>
          </w:tcPr>
          <w:p w14:paraId="1FEF0DE6"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conforman la red de acceso fijo (sobre cobre), en los que se incluirán aquellos equipos y conexiones instaladas entre el domicilio del cliente y el repartidor principal</w:t>
            </w:r>
            <w:r>
              <w:rPr>
                <w:rFonts w:ascii="ITC Avant Garde" w:eastAsia="Times New Roman" w:hAnsi="ITC Avant Garde" w:cs="Arial"/>
                <w:sz w:val="20"/>
                <w:lang w:val="es-ES" w:eastAsia="es-ES"/>
              </w:rPr>
              <w:t>.</w:t>
            </w:r>
          </w:p>
        </w:tc>
      </w:tr>
      <w:tr w:rsidR="00A1321B" w:rsidRPr="008609D1" w14:paraId="51AEAC9B"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421E4790"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sobre cable coaxial</w:t>
            </w:r>
          </w:p>
        </w:tc>
        <w:tc>
          <w:tcPr>
            <w:tcW w:w="3639" w:type="pct"/>
            <w:tcBorders>
              <w:top w:val="single" w:sz="4" w:space="0" w:color="244062"/>
              <w:bottom w:val="single" w:sz="4" w:space="0" w:color="244062"/>
            </w:tcBorders>
            <w:vAlign w:val="center"/>
          </w:tcPr>
          <w:p w14:paraId="1EAC43B8"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conforman la red de acceso sobre cable coaxial, en los que se incluirán aquellos equipos y conexiones instaladas entre el domicilio del cliente y el repartidor coaxial</w:t>
            </w:r>
            <w:r>
              <w:rPr>
                <w:rFonts w:ascii="ITC Avant Garde" w:eastAsia="Times New Roman" w:hAnsi="ITC Avant Garde" w:cs="Arial"/>
                <w:sz w:val="20"/>
                <w:lang w:val="es-ES" w:eastAsia="es-ES"/>
              </w:rPr>
              <w:t>.</w:t>
            </w:r>
          </w:p>
        </w:tc>
      </w:tr>
      <w:tr w:rsidR="00A1321B" w:rsidRPr="008609D1" w14:paraId="7CE44790"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35208A14" w14:textId="77777777" w:rsidR="00A1321B" w:rsidRPr="00210FD5" w:rsidRDefault="00A1321B" w:rsidP="008B4286">
            <w:pPr>
              <w:spacing w:before="40" w:after="60" w:line="240" w:lineRule="auto"/>
              <w:rPr>
                <w:rFonts w:ascii="ITC Avant Garde" w:eastAsia="Times New Roman" w:hAnsi="ITC Avant Garde" w:cs="Arial"/>
                <w:sz w:val="20"/>
                <w:lang w:val="es-ES" w:eastAsia="es-ES"/>
              </w:rPr>
            </w:pPr>
            <w:r w:rsidRPr="00210FD5">
              <w:rPr>
                <w:rFonts w:ascii="ITC Avant Garde" w:eastAsia="Times New Roman" w:hAnsi="ITC Avant Garde" w:cs="Arial"/>
                <w:sz w:val="20"/>
                <w:lang w:val="es-ES" w:eastAsia="es-ES"/>
              </w:rPr>
              <w:t>Red de acceso sobre fibra</w:t>
            </w:r>
          </w:p>
        </w:tc>
        <w:tc>
          <w:tcPr>
            <w:tcW w:w="3639" w:type="pct"/>
            <w:tcBorders>
              <w:top w:val="single" w:sz="4" w:space="0" w:color="244062"/>
              <w:bottom w:val="single" w:sz="4" w:space="0" w:color="244062"/>
            </w:tcBorders>
            <w:vAlign w:val="center"/>
          </w:tcPr>
          <w:p w14:paraId="3C5DFDF4" w14:textId="150F3671" w:rsidR="00A1321B" w:rsidRPr="008609D1" w:rsidRDefault="00A1321B" w:rsidP="008B4286">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Elementos que conforman la red de acceso fijo(sobre fibra), en los que se incluirán aquellos equipos y conexiones instaladas entre el domicilio del cliente y el repartido</w:t>
            </w:r>
            <w:r>
              <w:rPr>
                <w:rFonts w:ascii="ITC Avant Garde" w:eastAsia="Times New Roman" w:hAnsi="ITC Avant Garde" w:cs="Arial"/>
                <w:sz w:val="20"/>
                <w:lang w:eastAsia="es-ES"/>
              </w:rPr>
              <w:t>r</w:t>
            </w:r>
            <w:r w:rsidRPr="008609D1">
              <w:rPr>
                <w:rFonts w:ascii="ITC Avant Garde" w:eastAsia="Times New Roman" w:hAnsi="ITC Avant Garde" w:cs="Arial"/>
                <w:sz w:val="20"/>
                <w:lang w:eastAsia="es-ES"/>
              </w:rPr>
              <w:t xml:space="preserve"> principal</w:t>
            </w:r>
            <w:r>
              <w:rPr>
                <w:rFonts w:ascii="ITC Avant Garde" w:eastAsia="Times New Roman" w:hAnsi="ITC Avant Garde" w:cs="Arial"/>
                <w:sz w:val="20"/>
                <w:lang w:eastAsia="es-ES"/>
              </w:rPr>
              <w:t>.</w:t>
            </w:r>
          </w:p>
        </w:tc>
      </w:tr>
      <w:tr w:rsidR="00A1321B" w:rsidRPr="008609D1" w14:paraId="2DD904A2"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5C9A5BEB" w14:textId="77777777" w:rsidR="00A1321B" w:rsidRPr="00210FD5" w:rsidRDefault="00A1321B" w:rsidP="008B4286">
            <w:pPr>
              <w:spacing w:before="40" w:after="60" w:line="240" w:lineRule="auto"/>
              <w:rPr>
                <w:rFonts w:ascii="ITC Avant Garde" w:eastAsia="Times New Roman" w:hAnsi="ITC Avant Garde" w:cs="Arial"/>
                <w:sz w:val="20"/>
                <w:lang w:val="es-ES" w:eastAsia="es-ES"/>
              </w:rPr>
            </w:pPr>
            <w:r w:rsidRPr="00210FD5">
              <w:rPr>
                <w:rFonts w:ascii="ITC Avant Garde" w:eastAsia="Times New Roman" w:hAnsi="ITC Avant Garde" w:cs="Arial"/>
                <w:sz w:val="20"/>
                <w:lang w:val="es-ES" w:eastAsia="es-ES"/>
              </w:rPr>
              <w:t>Otras redes de acceso</w:t>
            </w:r>
          </w:p>
        </w:tc>
        <w:tc>
          <w:tcPr>
            <w:tcW w:w="3639" w:type="pct"/>
            <w:tcBorders>
              <w:top w:val="single" w:sz="4" w:space="0" w:color="244062"/>
              <w:bottom w:val="single" w:sz="4" w:space="0" w:color="244062"/>
            </w:tcBorders>
            <w:vAlign w:val="center"/>
          </w:tcPr>
          <w:p w14:paraId="28C522E9"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conforman redes de acceso mediante otras tecnologías alternativas, como el acceso mediante satélite</w:t>
            </w:r>
            <w:r>
              <w:rPr>
                <w:rFonts w:ascii="ITC Avant Garde" w:eastAsia="Times New Roman" w:hAnsi="ITC Avant Garde" w:cs="Arial"/>
                <w:sz w:val="20"/>
                <w:lang w:val="es-ES" w:eastAsia="es-ES"/>
              </w:rPr>
              <w:t>.</w:t>
            </w:r>
          </w:p>
        </w:tc>
      </w:tr>
      <w:tr w:rsidR="00A1321B" w:rsidRPr="008609D1" w14:paraId="59979E11"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79939955" w14:textId="77777777" w:rsidR="00A1321B" w:rsidRPr="00210FD5" w:rsidRDefault="00A1321B" w:rsidP="008B4286">
            <w:pPr>
              <w:spacing w:before="40" w:after="60" w:line="240" w:lineRule="auto"/>
              <w:rPr>
                <w:rFonts w:ascii="ITC Avant Garde" w:eastAsia="Times New Roman" w:hAnsi="ITC Avant Garde" w:cs="Arial"/>
                <w:sz w:val="20"/>
                <w:lang w:val="es-ES" w:eastAsia="es-ES"/>
              </w:rPr>
            </w:pPr>
            <w:r w:rsidRPr="00210FD5">
              <w:rPr>
                <w:rFonts w:ascii="ITC Avant Garde" w:eastAsia="Times New Roman" w:hAnsi="ITC Avant Garde" w:cs="Arial"/>
                <w:sz w:val="20"/>
                <w:lang w:val="es-ES" w:eastAsia="es-ES"/>
              </w:rPr>
              <w:t>Red de transmisión</w:t>
            </w:r>
          </w:p>
        </w:tc>
        <w:tc>
          <w:tcPr>
            <w:tcW w:w="3639" w:type="pct"/>
            <w:tcBorders>
              <w:top w:val="single" w:sz="4" w:space="0" w:color="244062"/>
              <w:bottom w:val="single" w:sz="4" w:space="0" w:color="244062"/>
            </w:tcBorders>
            <w:vAlign w:val="center"/>
          </w:tcPr>
          <w:p w14:paraId="2E6E53F5"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la red de transmisión existente entre los repartido</w:t>
            </w:r>
            <w:r>
              <w:rPr>
                <w:rFonts w:ascii="ITC Avant Garde" w:eastAsia="Times New Roman" w:hAnsi="ITC Avant Garde" w:cs="Arial"/>
                <w:sz w:val="20"/>
                <w:lang w:val="es-ES" w:eastAsia="es-ES"/>
              </w:rPr>
              <w:t>re</w:t>
            </w:r>
            <w:r w:rsidRPr="008609D1">
              <w:rPr>
                <w:rFonts w:ascii="ITC Avant Garde" w:eastAsia="Times New Roman" w:hAnsi="ITC Avant Garde" w:cs="Arial"/>
                <w:sz w:val="20"/>
                <w:lang w:val="es-ES" w:eastAsia="es-ES"/>
              </w:rPr>
              <w:t>s y la red de núcleo</w:t>
            </w:r>
            <w:r>
              <w:rPr>
                <w:rFonts w:ascii="ITC Avant Garde" w:eastAsia="Times New Roman" w:hAnsi="ITC Avant Garde" w:cs="Arial"/>
                <w:sz w:val="20"/>
                <w:lang w:val="es-ES" w:eastAsia="es-ES"/>
              </w:rPr>
              <w:t>.</w:t>
            </w:r>
          </w:p>
        </w:tc>
      </w:tr>
      <w:tr w:rsidR="00A1321B" w:rsidRPr="008609D1" w14:paraId="5640CD11"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2897D7A1" w14:textId="77777777" w:rsidR="00A1321B" w:rsidRPr="00210FD5" w:rsidRDefault="00A1321B" w:rsidP="008B4286">
            <w:pPr>
              <w:spacing w:before="40" w:after="60" w:line="240" w:lineRule="auto"/>
              <w:rPr>
                <w:rFonts w:ascii="ITC Avant Garde" w:eastAsia="Times New Roman" w:hAnsi="ITC Avant Garde" w:cs="Arial"/>
                <w:sz w:val="20"/>
                <w:lang w:val="es-ES" w:eastAsia="es-ES"/>
              </w:rPr>
            </w:pPr>
            <w:r w:rsidRPr="00210FD5">
              <w:rPr>
                <w:rFonts w:ascii="ITC Avant Garde" w:eastAsia="Times New Roman" w:hAnsi="ITC Avant Garde" w:cs="Arial"/>
                <w:sz w:val="20"/>
                <w:lang w:val="es-ES" w:eastAsia="es-ES"/>
              </w:rPr>
              <w:t>Red de conmutación</w:t>
            </w:r>
          </w:p>
        </w:tc>
        <w:tc>
          <w:tcPr>
            <w:tcW w:w="3639" w:type="pct"/>
            <w:tcBorders>
              <w:top w:val="single" w:sz="4" w:space="0" w:color="244062"/>
              <w:bottom w:val="single" w:sz="4" w:space="0" w:color="244062"/>
            </w:tcBorders>
            <w:vAlign w:val="center"/>
          </w:tcPr>
          <w:p w14:paraId="64381314"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relacionados con la red de conmutación para redes fijas. Se incluirán aquí los costos de equipos pertenecientes a redes tradicionales, como DSLAMs</w:t>
            </w:r>
            <w:r w:rsidRPr="008609D1">
              <w:rPr>
                <w:rStyle w:val="Refdenotaalpie"/>
                <w:rFonts w:ascii="ITC Avant Garde" w:eastAsia="Times New Roman" w:hAnsi="ITC Avant Garde" w:cs="Arial"/>
                <w:sz w:val="20"/>
                <w:lang w:val="es-ES" w:eastAsia="es-ES"/>
              </w:rPr>
              <w:footnoteReference w:id="25"/>
            </w:r>
            <w:r w:rsidRPr="008609D1">
              <w:rPr>
                <w:rFonts w:ascii="ITC Avant Garde" w:eastAsia="Times New Roman" w:hAnsi="ITC Avant Garde" w:cs="Arial"/>
                <w:sz w:val="20"/>
                <w:lang w:val="es-ES" w:eastAsia="es-ES"/>
              </w:rPr>
              <w:t>, así como aquellos pertenecientes a redes IP como los routers IP</w:t>
            </w:r>
            <w:r>
              <w:rPr>
                <w:rFonts w:ascii="ITC Avant Garde" w:eastAsia="Times New Roman" w:hAnsi="ITC Avant Garde" w:cs="Arial"/>
                <w:sz w:val="20"/>
                <w:lang w:val="es-ES" w:eastAsia="es-ES"/>
              </w:rPr>
              <w:t>.</w:t>
            </w:r>
          </w:p>
        </w:tc>
      </w:tr>
      <w:tr w:rsidR="00A1321B" w:rsidRPr="008609D1" w14:paraId="70594734"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0F07E71C" w14:textId="77777777" w:rsidR="00A1321B" w:rsidRPr="00210FD5" w:rsidRDefault="00A1321B" w:rsidP="008B4286">
            <w:pPr>
              <w:spacing w:before="40" w:after="60" w:line="240" w:lineRule="auto"/>
              <w:rPr>
                <w:rFonts w:ascii="ITC Avant Garde" w:eastAsia="Times New Roman" w:hAnsi="ITC Avant Garde" w:cs="Arial"/>
                <w:sz w:val="20"/>
                <w:lang w:val="es-ES" w:eastAsia="es-ES"/>
              </w:rPr>
            </w:pPr>
            <w:r w:rsidRPr="00210FD5">
              <w:rPr>
                <w:rFonts w:ascii="ITC Avant Garde" w:eastAsia="Times New Roman" w:hAnsi="ITC Avant Garde" w:cs="Arial"/>
                <w:sz w:val="20"/>
                <w:lang w:val="es-ES" w:eastAsia="es-ES"/>
              </w:rPr>
              <w:t>Red de núcleo</w:t>
            </w:r>
          </w:p>
        </w:tc>
        <w:tc>
          <w:tcPr>
            <w:tcW w:w="3639" w:type="pct"/>
            <w:tcBorders>
              <w:top w:val="single" w:sz="4" w:space="0" w:color="244062"/>
              <w:bottom w:val="single" w:sz="4" w:space="0" w:color="244062"/>
            </w:tcBorders>
            <w:vAlign w:val="center"/>
          </w:tcPr>
          <w:p w14:paraId="3D39E029"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y plataformas que conforman la red de núcleo de las redes fijas tradicionales (p.ej. BRAS</w:t>
            </w:r>
            <w:r w:rsidRPr="008609D1">
              <w:rPr>
                <w:rStyle w:val="Refdenotaalpie"/>
                <w:rFonts w:ascii="ITC Avant Garde" w:eastAsia="Times New Roman" w:hAnsi="ITC Avant Garde" w:cs="Arial"/>
                <w:sz w:val="20"/>
                <w:lang w:val="es-ES" w:eastAsia="es-ES"/>
              </w:rPr>
              <w:footnoteReference w:id="26"/>
            </w:r>
            <w:r w:rsidRPr="008609D1">
              <w:rPr>
                <w:rFonts w:ascii="ITC Avant Garde" w:eastAsia="Times New Roman" w:hAnsi="ITC Avant Garde" w:cs="Arial"/>
                <w:sz w:val="20"/>
                <w:lang w:val="es-ES" w:eastAsia="es-ES"/>
              </w:rPr>
              <w:t xml:space="preserve"> o RADIUS</w:t>
            </w:r>
            <w:r w:rsidRPr="008609D1">
              <w:rPr>
                <w:rStyle w:val="Refdenotaalpie"/>
                <w:rFonts w:ascii="ITC Avant Garde" w:eastAsia="Times New Roman" w:hAnsi="ITC Avant Garde" w:cs="Arial"/>
                <w:sz w:val="20"/>
                <w:lang w:val="es-ES" w:eastAsia="es-ES"/>
              </w:rPr>
              <w:footnoteReference w:id="27"/>
            </w:r>
            <w:r w:rsidRPr="008609D1">
              <w:rPr>
                <w:rFonts w:ascii="ITC Avant Garde" w:eastAsia="Times New Roman" w:hAnsi="ITC Avant Garde" w:cs="Arial"/>
                <w:sz w:val="20"/>
                <w:lang w:val="es-ES" w:eastAsia="es-ES"/>
              </w:rPr>
              <w:t>), así como la redes IP (Softswitches y CSCFs</w:t>
            </w:r>
            <w:r w:rsidRPr="008609D1">
              <w:rPr>
                <w:rStyle w:val="Refdenotaalpie"/>
                <w:rFonts w:ascii="ITC Avant Garde" w:eastAsia="Times New Roman" w:hAnsi="ITC Avant Garde" w:cs="Arial"/>
                <w:sz w:val="20"/>
                <w:lang w:val="es-ES" w:eastAsia="es-ES"/>
              </w:rPr>
              <w:footnoteReference w:id="28"/>
            </w:r>
            <w:r w:rsidRPr="008609D1">
              <w:rPr>
                <w:rFonts w:ascii="ITC Avant Garde" w:eastAsia="Times New Roman" w:hAnsi="ITC Avant Garde" w:cs="Arial"/>
                <w:sz w:val="20"/>
                <w:lang w:val="es-ES" w:eastAsia="es-ES"/>
              </w:rPr>
              <w:t>)</w:t>
            </w:r>
            <w:r>
              <w:rPr>
                <w:rFonts w:ascii="ITC Avant Garde" w:eastAsia="Times New Roman" w:hAnsi="ITC Avant Garde" w:cs="Arial"/>
                <w:sz w:val="20"/>
                <w:lang w:val="es-ES" w:eastAsia="es-ES"/>
              </w:rPr>
              <w:t>.</w:t>
            </w:r>
          </w:p>
        </w:tc>
      </w:tr>
      <w:tr w:rsidR="00A1321B" w:rsidRPr="008609D1" w14:paraId="3348959B"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2C0D8C94" w14:textId="77777777" w:rsidR="00A1321B" w:rsidRPr="00210FD5" w:rsidRDefault="00A1321B" w:rsidP="008B4286">
            <w:pPr>
              <w:spacing w:before="40" w:after="60" w:line="240" w:lineRule="auto"/>
              <w:rPr>
                <w:rFonts w:ascii="ITC Avant Garde" w:eastAsia="Times New Roman" w:hAnsi="ITC Avant Garde" w:cs="Arial"/>
                <w:sz w:val="20"/>
                <w:lang w:val="es-ES" w:eastAsia="es-ES"/>
              </w:rPr>
            </w:pPr>
            <w:r w:rsidRPr="00210FD5">
              <w:rPr>
                <w:rFonts w:ascii="ITC Avant Garde" w:eastAsia="Times New Roman" w:hAnsi="ITC Avant Garde" w:cs="Arial"/>
                <w:sz w:val="20"/>
                <w:lang w:val="es-ES" w:eastAsia="es-ES"/>
              </w:rPr>
              <w:t>Otras infraestructuras de red</w:t>
            </w:r>
          </w:p>
        </w:tc>
        <w:tc>
          <w:tcPr>
            <w:tcW w:w="3639" w:type="pct"/>
            <w:tcBorders>
              <w:top w:val="single" w:sz="4" w:space="0" w:color="244062"/>
              <w:bottom w:val="single" w:sz="4" w:space="0" w:color="244062"/>
            </w:tcBorders>
            <w:vAlign w:val="center"/>
          </w:tcPr>
          <w:p w14:paraId="1ED6D8D1" w14:textId="77777777" w:rsidR="00A1321B" w:rsidRPr="008609D1" w:rsidRDefault="00A1321B" w:rsidP="008B4286">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Otras infraestructuras asociadas a la red, como ductos o postes</w:t>
            </w:r>
            <w:r>
              <w:rPr>
                <w:rFonts w:ascii="ITC Avant Garde" w:eastAsia="Times New Roman" w:hAnsi="ITC Avant Garde" w:cs="Arial"/>
                <w:sz w:val="20"/>
                <w:lang w:eastAsia="es-ES"/>
              </w:rPr>
              <w:t>.</w:t>
            </w:r>
          </w:p>
        </w:tc>
      </w:tr>
      <w:tr w:rsidR="00A1321B" w:rsidRPr="008609D1" w14:paraId="51BE581B"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02A02052" w14:textId="77777777" w:rsidR="00A1321B" w:rsidRPr="00210FD5" w:rsidRDefault="00A1321B" w:rsidP="008B4286">
            <w:pPr>
              <w:spacing w:before="40" w:after="60" w:line="240" w:lineRule="auto"/>
              <w:rPr>
                <w:rFonts w:ascii="ITC Avant Garde" w:eastAsia="Times New Roman" w:hAnsi="ITC Avant Garde" w:cs="Arial"/>
                <w:sz w:val="20"/>
                <w:lang w:val="es-ES" w:eastAsia="es-ES"/>
              </w:rPr>
            </w:pPr>
            <w:r w:rsidRPr="00210FD5">
              <w:rPr>
                <w:rFonts w:ascii="ITC Avant Garde" w:eastAsia="Times New Roman" w:hAnsi="ITC Avant Garde" w:cs="Arial"/>
                <w:sz w:val="20"/>
                <w:lang w:val="es-ES" w:eastAsia="es-ES"/>
              </w:rPr>
              <w:lastRenderedPageBreak/>
              <w:t>Otros equipos de soporte</w:t>
            </w:r>
          </w:p>
        </w:tc>
        <w:tc>
          <w:tcPr>
            <w:tcW w:w="3639" w:type="pct"/>
            <w:tcBorders>
              <w:top w:val="single" w:sz="4" w:space="0" w:color="244062"/>
              <w:bottom w:val="single" w:sz="4" w:space="0" w:color="244062"/>
            </w:tcBorders>
            <w:vAlign w:val="center"/>
          </w:tcPr>
          <w:p w14:paraId="5404A86E" w14:textId="69C8C0D1" w:rsidR="00A1321B" w:rsidRPr="008609D1" w:rsidRDefault="00A1321B" w:rsidP="00D32F55">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 xml:space="preserve">Incluye otros equipos de soporte necesarios para </w:t>
            </w:r>
            <w:r w:rsidR="00D32F55">
              <w:rPr>
                <w:rFonts w:ascii="ITC Avant Garde" w:eastAsia="Times New Roman" w:hAnsi="ITC Avant Garde" w:cs="Arial"/>
                <w:sz w:val="20"/>
                <w:lang w:eastAsia="es-ES"/>
              </w:rPr>
              <w:t>la prestación de servicios</w:t>
            </w:r>
            <w:r w:rsidRPr="008609D1">
              <w:rPr>
                <w:rFonts w:ascii="ITC Avant Garde" w:eastAsia="Times New Roman" w:hAnsi="ITC Avant Garde" w:cs="Arial"/>
                <w:sz w:val="20"/>
                <w:lang w:eastAsia="es-ES"/>
              </w:rPr>
              <w:t xml:space="preserve"> de comunicaciones fijas</w:t>
            </w:r>
            <w:r>
              <w:rPr>
                <w:rFonts w:ascii="ITC Avant Garde" w:eastAsia="Times New Roman" w:hAnsi="ITC Avant Garde" w:cs="Arial"/>
                <w:sz w:val="20"/>
                <w:lang w:eastAsia="es-ES"/>
              </w:rPr>
              <w:t>.</w:t>
            </w:r>
          </w:p>
        </w:tc>
      </w:tr>
      <w:tr w:rsidR="00A1321B" w:rsidRPr="008609D1" w14:paraId="57ED65A0"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0E46F3FB"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terminales</w:t>
            </w:r>
          </w:p>
        </w:tc>
        <w:tc>
          <w:tcPr>
            <w:tcW w:w="3639" w:type="pct"/>
            <w:tcBorders>
              <w:top w:val="single" w:sz="4" w:space="0" w:color="244062"/>
              <w:bottom w:val="single" w:sz="4" w:space="0" w:color="244062"/>
            </w:tcBorders>
            <w:vAlign w:val="center"/>
            <w:hideMark/>
          </w:tcPr>
          <w:p w14:paraId="530A9470"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los equipos instalados en el domicilio del cliente</w:t>
            </w:r>
          </w:p>
        </w:tc>
      </w:tr>
      <w:tr w:rsidR="00A1321B" w:rsidRPr="008609D1" w14:paraId="339AF1CE"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49609C44" w14:textId="5599EFCF"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Inversión en otros activos</w:t>
            </w:r>
          </w:p>
        </w:tc>
        <w:tc>
          <w:tcPr>
            <w:tcW w:w="3639" w:type="pct"/>
            <w:tcBorders>
              <w:top w:val="single" w:sz="4" w:space="0" w:color="244062"/>
              <w:bottom w:val="single" w:sz="4" w:space="0" w:color="244062"/>
            </w:tcBorders>
            <w:vAlign w:val="center"/>
            <w:hideMark/>
          </w:tcPr>
          <w:p w14:paraId="1A57C12F"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Inversión bruta total por concepto de otros activos como mobiliario y equipo de oficina, equipo de transporte, entre otros.</w:t>
            </w:r>
          </w:p>
        </w:tc>
      </w:tr>
      <w:tr w:rsidR="00B42D7A" w:rsidRPr="008609D1" w14:paraId="2D65E11C" w14:textId="77777777" w:rsidTr="00154F13">
        <w:trPr>
          <w:trHeight w:val="340"/>
          <w:jc w:val="center"/>
        </w:trPr>
        <w:tc>
          <w:tcPr>
            <w:tcW w:w="5000" w:type="pct"/>
            <w:gridSpan w:val="2"/>
            <w:tcBorders>
              <w:top w:val="single" w:sz="4" w:space="0" w:color="244062"/>
              <w:left w:val="nil"/>
              <w:bottom w:val="single" w:sz="4" w:space="0" w:color="244062"/>
            </w:tcBorders>
            <w:shd w:val="clear" w:color="auto" w:fill="EDEDED" w:themeFill="accent3" w:themeFillTint="33"/>
            <w:noWrap/>
            <w:vAlign w:val="center"/>
          </w:tcPr>
          <w:p w14:paraId="5A3B3B7C" w14:textId="77777777" w:rsidR="00B42D7A" w:rsidRPr="00154F13" w:rsidRDefault="00B42D7A" w:rsidP="008B4286">
            <w:pPr>
              <w:spacing w:before="40" w:after="60" w:line="240" w:lineRule="auto"/>
              <w:rPr>
                <w:rFonts w:ascii="ITC Avant Garde" w:eastAsia="Times New Roman" w:hAnsi="ITC Avant Garde" w:cs="Arial"/>
                <w:b/>
                <w:bCs/>
                <w:sz w:val="20"/>
                <w:lang w:val="es-ES" w:eastAsia="es-ES"/>
              </w:rPr>
            </w:pPr>
            <w:r w:rsidRPr="00154F13">
              <w:rPr>
                <w:rFonts w:ascii="ITC Avant Garde" w:eastAsia="Times New Roman" w:hAnsi="ITC Avant Garde" w:cs="Arial"/>
                <w:b/>
                <w:bCs/>
                <w:sz w:val="20"/>
                <w:lang w:val="es-ES" w:eastAsia="es-ES"/>
              </w:rPr>
              <w:t>Activo y pasivo circulante</w:t>
            </w:r>
          </w:p>
        </w:tc>
      </w:tr>
      <w:tr w:rsidR="00A1321B" w:rsidRPr="008609D1" w14:paraId="626E61C0"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3879B994" w14:textId="77777777" w:rsidR="00A1321B" w:rsidRPr="00B041C3" w:rsidRDefault="00A1321B" w:rsidP="008B4286">
            <w:pPr>
              <w:spacing w:before="40" w:after="60" w:line="240" w:lineRule="auto"/>
              <w:rPr>
                <w:rFonts w:ascii="ITC Avant Garde" w:eastAsia="Times New Roman" w:hAnsi="ITC Avant Garde" w:cs="Arial"/>
                <w:sz w:val="20"/>
                <w:lang w:val="es-ES" w:eastAsia="es-ES"/>
              </w:rPr>
            </w:pPr>
            <w:r w:rsidRPr="000604F5">
              <w:rPr>
                <w:rFonts w:ascii="ITC Avant Garde" w:eastAsia="Times New Roman" w:hAnsi="ITC Avant Garde" w:cs="Arial"/>
                <w:sz w:val="20"/>
                <w:lang w:val="es-ES" w:eastAsia="es-ES"/>
              </w:rPr>
              <w:t>Efectivo y equivalentes</w:t>
            </w:r>
          </w:p>
        </w:tc>
        <w:tc>
          <w:tcPr>
            <w:tcW w:w="3639" w:type="pct"/>
            <w:tcBorders>
              <w:top w:val="single" w:sz="4" w:space="0" w:color="244062"/>
              <w:bottom w:val="single" w:sz="4" w:space="0" w:color="244062"/>
            </w:tcBorders>
            <w:shd w:val="clear" w:color="auto" w:fill="auto"/>
            <w:vAlign w:val="center"/>
          </w:tcPr>
          <w:p w14:paraId="30D12467" w14:textId="77777777" w:rsidR="00A1321B" w:rsidRPr="008609D1" w:rsidRDefault="00A1321B" w:rsidP="008B4286">
            <w:pPr>
              <w:spacing w:before="40" w:after="60" w:line="240" w:lineRule="auto"/>
              <w:rPr>
                <w:rFonts w:ascii="ITC Avant Garde" w:eastAsia="Times New Roman" w:hAnsi="ITC Avant Garde" w:cs="Arial"/>
                <w:bCs/>
                <w:sz w:val="20"/>
                <w:lang w:val="es-ES" w:eastAsia="es-ES"/>
              </w:rPr>
            </w:pPr>
            <w:r w:rsidRPr="008609D1">
              <w:rPr>
                <w:rFonts w:ascii="ITC Avant Garde" w:eastAsia="Times New Roman" w:hAnsi="ITC Avant Garde" w:cs="Arial"/>
                <w:bCs/>
                <w:sz w:val="20"/>
                <w:lang w:val="es-ES" w:eastAsia="es-ES"/>
              </w:rPr>
              <w:t>Aquellos bienes que proporcionan liquidez inmediata al operador necesaria para realizar sus operaciones de telecomunicaciones</w:t>
            </w:r>
            <w:r>
              <w:rPr>
                <w:rFonts w:ascii="ITC Avant Garde" w:eastAsia="Times New Roman" w:hAnsi="ITC Avant Garde" w:cs="Arial"/>
                <w:bCs/>
                <w:sz w:val="20"/>
                <w:lang w:val="es-ES" w:eastAsia="es-ES"/>
              </w:rPr>
              <w:t>.</w:t>
            </w:r>
          </w:p>
        </w:tc>
      </w:tr>
      <w:tr w:rsidR="00A1321B" w:rsidRPr="008609D1" w14:paraId="36796A0E"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3FA8F6E4" w14:textId="77777777" w:rsidR="00A1321B" w:rsidRPr="008609D1" w:rsidRDefault="00A1321B" w:rsidP="008B4286">
            <w:pPr>
              <w:spacing w:before="40" w:after="60" w:line="240" w:lineRule="auto"/>
              <w:rPr>
                <w:rFonts w:ascii="ITC Avant Garde" w:eastAsia="Times New Roman" w:hAnsi="ITC Avant Garde" w:cs="Arial"/>
                <w:bCs/>
                <w:sz w:val="20"/>
                <w:lang w:val="es-ES" w:eastAsia="es-ES"/>
              </w:rPr>
            </w:pPr>
            <w:r w:rsidRPr="008609D1">
              <w:rPr>
                <w:rFonts w:ascii="ITC Avant Garde" w:eastAsia="Times New Roman" w:hAnsi="ITC Avant Garde" w:cs="Arial"/>
                <w:bCs/>
                <w:sz w:val="20"/>
                <w:lang w:val="es-ES" w:eastAsia="es-ES"/>
              </w:rPr>
              <w:t>Cuentas por cobrar</w:t>
            </w:r>
          </w:p>
        </w:tc>
        <w:tc>
          <w:tcPr>
            <w:tcW w:w="3639" w:type="pct"/>
            <w:tcBorders>
              <w:top w:val="single" w:sz="4" w:space="0" w:color="244062"/>
              <w:bottom w:val="single" w:sz="4" w:space="0" w:color="244062"/>
            </w:tcBorders>
            <w:shd w:val="clear" w:color="auto" w:fill="auto"/>
            <w:vAlign w:val="center"/>
          </w:tcPr>
          <w:p w14:paraId="50145122" w14:textId="77777777" w:rsidR="00A1321B" w:rsidRPr="008609D1" w:rsidRDefault="00A1321B" w:rsidP="008B4286">
            <w:pPr>
              <w:spacing w:before="40" w:after="60" w:line="240" w:lineRule="auto"/>
              <w:rPr>
                <w:rFonts w:ascii="ITC Avant Garde" w:eastAsia="Times New Roman" w:hAnsi="ITC Avant Garde" w:cs="Arial"/>
                <w:bCs/>
                <w:sz w:val="20"/>
                <w:lang w:val="es-ES" w:eastAsia="es-ES"/>
              </w:rPr>
            </w:pPr>
            <w:r w:rsidRPr="008609D1">
              <w:rPr>
                <w:rFonts w:ascii="ITC Avant Garde" w:eastAsia="Times New Roman" w:hAnsi="ITC Avant Garde" w:cs="Arial"/>
                <w:bCs/>
                <w:sz w:val="20"/>
                <w:lang w:val="es-ES" w:eastAsia="es-ES"/>
              </w:rPr>
              <w:t>Ingresos que recibirá el operador por la provisión de servicios a clientes a través de crédito documentado</w:t>
            </w:r>
            <w:r>
              <w:rPr>
                <w:rFonts w:ascii="ITC Avant Garde" w:eastAsia="Times New Roman" w:hAnsi="ITC Avant Garde" w:cs="Arial"/>
                <w:bCs/>
                <w:sz w:val="20"/>
                <w:lang w:val="es-ES" w:eastAsia="es-ES"/>
              </w:rPr>
              <w:t>.</w:t>
            </w:r>
          </w:p>
        </w:tc>
      </w:tr>
      <w:tr w:rsidR="00A1321B" w:rsidRPr="008609D1" w14:paraId="5886CD1B"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6AE679B8" w14:textId="77777777" w:rsidR="00A1321B" w:rsidRPr="008609D1" w:rsidRDefault="00A1321B" w:rsidP="008B4286">
            <w:pPr>
              <w:spacing w:before="40" w:after="60" w:line="240" w:lineRule="auto"/>
              <w:rPr>
                <w:rFonts w:ascii="ITC Avant Garde" w:eastAsia="Times New Roman" w:hAnsi="ITC Avant Garde" w:cs="Arial"/>
                <w:bCs/>
                <w:sz w:val="20"/>
                <w:lang w:eastAsia="es-ES"/>
              </w:rPr>
            </w:pPr>
            <w:r w:rsidRPr="008609D1">
              <w:rPr>
                <w:rFonts w:ascii="ITC Avant Garde" w:eastAsia="Times New Roman" w:hAnsi="ITC Avant Garde" w:cs="Arial"/>
                <w:bCs/>
                <w:sz w:val="20"/>
                <w:lang w:eastAsia="es-ES"/>
              </w:rPr>
              <w:t>Inventarios</w:t>
            </w:r>
          </w:p>
        </w:tc>
        <w:tc>
          <w:tcPr>
            <w:tcW w:w="3639" w:type="pct"/>
            <w:tcBorders>
              <w:top w:val="single" w:sz="4" w:space="0" w:color="244062"/>
              <w:bottom w:val="single" w:sz="4" w:space="0" w:color="244062"/>
            </w:tcBorders>
            <w:shd w:val="clear" w:color="auto" w:fill="auto"/>
            <w:vAlign w:val="center"/>
          </w:tcPr>
          <w:p w14:paraId="26D8717F" w14:textId="77777777" w:rsidR="00A1321B" w:rsidRPr="008609D1" w:rsidRDefault="00A1321B" w:rsidP="008B4286">
            <w:pPr>
              <w:spacing w:before="40" w:after="60" w:line="240" w:lineRule="auto"/>
              <w:rPr>
                <w:rFonts w:ascii="ITC Avant Garde" w:eastAsia="Times New Roman" w:hAnsi="ITC Avant Garde" w:cs="Arial"/>
                <w:bCs/>
                <w:sz w:val="20"/>
                <w:lang w:val="es-ES" w:eastAsia="es-ES"/>
              </w:rPr>
            </w:pPr>
            <w:r w:rsidRPr="008609D1">
              <w:rPr>
                <w:rFonts w:ascii="ITC Avant Garde" w:eastAsia="Times New Roman" w:hAnsi="ITC Avant Garde" w:cs="Arial"/>
                <w:bCs/>
                <w:sz w:val="20"/>
                <w:lang w:val="es-ES" w:eastAsia="es-ES"/>
              </w:rPr>
              <w:t>Aquellas mercancías provistas por el operador que se encuentran listas para su venta</w:t>
            </w:r>
            <w:r>
              <w:rPr>
                <w:rFonts w:ascii="ITC Avant Garde" w:eastAsia="Times New Roman" w:hAnsi="ITC Avant Garde" w:cs="Arial"/>
                <w:bCs/>
                <w:sz w:val="20"/>
                <w:lang w:val="es-ES" w:eastAsia="es-ES"/>
              </w:rPr>
              <w:t>.</w:t>
            </w:r>
          </w:p>
        </w:tc>
      </w:tr>
      <w:tr w:rsidR="00A1321B" w:rsidRPr="008609D1" w14:paraId="58D39AD5"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467778F3" w14:textId="77777777" w:rsidR="00A1321B" w:rsidRPr="008609D1" w:rsidRDefault="00A1321B" w:rsidP="008B4286">
            <w:pPr>
              <w:spacing w:before="40" w:after="60" w:line="240" w:lineRule="auto"/>
              <w:rPr>
                <w:rFonts w:ascii="ITC Avant Garde" w:eastAsia="Times New Roman" w:hAnsi="ITC Avant Garde" w:cs="Arial"/>
                <w:bCs/>
                <w:sz w:val="20"/>
                <w:lang w:eastAsia="es-ES"/>
              </w:rPr>
            </w:pPr>
            <w:r w:rsidRPr="008609D1">
              <w:rPr>
                <w:rFonts w:ascii="ITC Avant Garde" w:eastAsia="Times New Roman" w:hAnsi="ITC Avant Garde" w:cs="Arial"/>
                <w:bCs/>
                <w:sz w:val="20"/>
                <w:lang w:eastAsia="es-ES"/>
              </w:rPr>
              <w:t>Otro activo circulante</w:t>
            </w:r>
          </w:p>
        </w:tc>
        <w:tc>
          <w:tcPr>
            <w:tcW w:w="3639" w:type="pct"/>
            <w:tcBorders>
              <w:top w:val="single" w:sz="4" w:space="0" w:color="244062"/>
              <w:bottom w:val="single" w:sz="4" w:space="0" w:color="244062"/>
            </w:tcBorders>
            <w:shd w:val="clear" w:color="auto" w:fill="auto"/>
            <w:vAlign w:val="center"/>
          </w:tcPr>
          <w:p w14:paraId="7067CA95" w14:textId="77777777" w:rsidR="00A1321B" w:rsidRPr="008609D1" w:rsidRDefault="00A1321B" w:rsidP="008B4286">
            <w:pPr>
              <w:spacing w:before="40" w:after="60" w:line="240" w:lineRule="auto"/>
              <w:rPr>
                <w:rFonts w:ascii="ITC Avant Garde" w:eastAsia="Times New Roman" w:hAnsi="ITC Avant Garde" w:cs="Arial"/>
                <w:bCs/>
                <w:sz w:val="20"/>
                <w:lang w:val="es-ES" w:eastAsia="es-ES"/>
              </w:rPr>
            </w:pPr>
            <w:r w:rsidRPr="008609D1">
              <w:rPr>
                <w:rFonts w:ascii="ITC Avant Garde" w:eastAsia="Times New Roman" w:hAnsi="ITC Avant Garde" w:cs="Arial"/>
                <w:bCs/>
                <w:sz w:val="20"/>
                <w:lang w:val="es-ES" w:eastAsia="es-ES"/>
              </w:rPr>
              <w:t>Otro activo circulante del operador necesario para el desarrollo de sus operaciones en el sector de telecomunicaciones</w:t>
            </w:r>
            <w:r>
              <w:rPr>
                <w:rFonts w:ascii="ITC Avant Garde" w:eastAsia="Times New Roman" w:hAnsi="ITC Avant Garde" w:cs="Arial"/>
                <w:bCs/>
                <w:sz w:val="20"/>
                <w:lang w:val="es-ES" w:eastAsia="es-ES"/>
              </w:rPr>
              <w:t>.</w:t>
            </w:r>
          </w:p>
        </w:tc>
      </w:tr>
      <w:tr w:rsidR="00A1321B" w:rsidRPr="008609D1" w14:paraId="026A38D9"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48E7BC03" w14:textId="77777777" w:rsidR="00A1321B" w:rsidRPr="008609D1" w:rsidRDefault="00A1321B" w:rsidP="008B4286">
            <w:pPr>
              <w:spacing w:before="40" w:after="60" w:line="240" w:lineRule="auto"/>
              <w:rPr>
                <w:rFonts w:ascii="ITC Avant Garde" w:eastAsia="Times New Roman" w:hAnsi="ITC Avant Garde" w:cs="Arial"/>
                <w:bCs/>
                <w:sz w:val="20"/>
                <w:lang w:eastAsia="es-ES"/>
              </w:rPr>
            </w:pPr>
            <w:r w:rsidRPr="008609D1">
              <w:rPr>
                <w:rFonts w:ascii="ITC Avant Garde" w:eastAsia="Times New Roman" w:hAnsi="ITC Avant Garde" w:cs="Arial"/>
                <w:bCs/>
                <w:sz w:val="20"/>
                <w:lang w:eastAsia="es-ES"/>
              </w:rPr>
              <w:t>Deudas a proveedores (corto plazo)</w:t>
            </w:r>
          </w:p>
        </w:tc>
        <w:tc>
          <w:tcPr>
            <w:tcW w:w="3639" w:type="pct"/>
            <w:tcBorders>
              <w:top w:val="single" w:sz="4" w:space="0" w:color="244062"/>
              <w:bottom w:val="single" w:sz="4" w:space="0" w:color="244062"/>
            </w:tcBorders>
            <w:shd w:val="clear" w:color="auto" w:fill="auto"/>
            <w:vAlign w:val="center"/>
          </w:tcPr>
          <w:p w14:paraId="7D24A8BC" w14:textId="77777777" w:rsidR="00A1321B" w:rsidRPr="008609D1" w:rsidRDefault="00A1321B" w:rsidP="008B4286">
            <w:pPr>
              <w:spacing w:before="40" w:after="60" w:line="240" w:lineRule="auto"/>
              <w:rPr>
                <w:rFonts w:ascii="ITC Avant Garde" w:eastAsia="Times New Roman" w:hAnsi="ITC Avant Garde" w:cs="Arial"/>
                <w:bCs/>
                <w:sz w:val="20"/>
                <w:lang w:eastAsia="es-ES"/>
              </w:rPr>
            </w:pPr>
            <w:r w:rsidRPr="008609D1">
              <w:rPr>
                <w:rFonts w:ascii="ITC Avant Garde" w:eastAsia="Times New Roman" w:hAnsi="ITC Avant Garde" w:cs="Arial"/>
                <w:bCs/>
                <w:sz w:val="20"/>
                <w:lang w:eastAsia="es-ES"/>
              </w:rPr>
              <w:t>Deuda a corto plazo (menor a un año) que tiene la empresa con proveedores, así como la porción de deuda a largo plazo que se debe pagar durante este periodo.</w:t>
            </w:r>
          </w:p>
        </w:tc>
      </w:tr>
      <w:tr w:rsidR="00A1321B" w:rsidRPr="008609D1" w14:paraId="4E54EEC1"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40139CBF" w14:textId="77777777" w:rsidR="00A1321B" w:rsidRPr="008609D1" w:rsidRDefault="00A1321B" w:rsidP="008B4286">
            <w:pPr>
              <w:spacing w:before="40" w:after="60" w:line="240" w:lineRule="auto"/>
              <w:rPr>
                <w:rFonts w:ascii="ITC Avant Garde" w:eastAsia="Times New Roman" w:hAnsi="ITC Avant Garde" w:cs="Arial"/>
                <w:bCs/>
                <w:sz w:val="20"/>
                <w:lang w:eastAsia="es-ES"/>
              </w:rPr>
            </w:pPr>
            <w:r w:rsidRPr="008609D1">
              <w:rPr>
                <w:rFonts w:ascii="ITC Avant Garde" w:eastAsia="Times New Roman" w:hAnsi="ITC Avant Garde" w:cs="Arial"/>
                <w:bCs/>
                <w:sz w:val="20"/>
                <w:lang w:eastAsia="es-ES"/>
              </w:rPr>
              <w:t>Ingresos diferidos</w:t>
            </w:r>
          </w:p>
        </w:tc>
        <w:tc>
          <w:tcPr>
            <w:tcW w:w="3639" w:type="pct"/>
            <w:tcBorders>
              <w:top w:val="single" w:sz="4" w:space="0" w:color="244062"/>
              <w:bottom w:val="single" w:sz="4" w:space="0" w:color="244062"/>
            </w:tcBorders>
            <w:shd w:val="clear" w:color="auto" w:fill="auto"/>
            <w:vAlign w:val="center"/>
          </w:tcPr>
          <w:p w14:paraId="4B7122E8" w14:textId="77777777" w:rsidR="00A1321B" w:rsidRPr="008609D1" w:rsidRDefault="00A1321B" w:rsidP="008B4286">
            <w:pPr>
              <w:spacing w:before="40" w:after="60" w:line="240" w:lineRule="auto"/>
              <w:rPr>
                <w:rFonts w:ascii="ITC Avant Garde" w:eastAsia="Times New Roman" w:hAnsi="ITC Avant Garde" w:cs="Arial"/>
                <w:bCs/>
                <w:sz w:val="20"/>
                <w:lang w:val="es-ES" w:eastAsia="es-ES"/>
              </w:rPr>
            </w:pPr>
            <w:r w:rsidRPr="008609D1">
              <w:rPr>
                <w:rFonts w:ascii="ITC Avant Garde" w:eastAsia="Times New Roman" w:hAnsi="ITC Avant Garde" w:cs="Arial"/>
                <w:bCs/>
                <w:sz w:val="20"/>
                <w:lang w:val="es-ES" w:eastAsia="es-ES"/>
              </w:rPr>
              <w:t>Son los ingresos que la empresa ya recibió por parte de los clientes, mientras que los servicios por dichos ingresos no han sido proporcionados.</w:t>
            </w:r>
          </w:p>
        </w:tc>
      </w:tr>
      <w:tr w:rsidR="00A1321B" w:rsidRPr="008609D1" w14:paraId="18F822DD"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2B583F1A" w14:textId="77777777" w:rsidR="00A1321B" w:rsidRPr="008609D1" w:rsidRDefault="00A1321B" w:rsidP="008B4286">
            <w:pPr>
              <w:spacing w:before="40" w:after="60" w:line="240" w:lineRule="auto"/>
              <w:rPr>
                <w:rFonts w:ascii="ITC Avant Garde" w:eastAsia="Times New Roman" w:hAnsi="ITC Avant Garde" w:cs="Arial"/>
                <w:bCs/>
                <w:sz w:val="20"/>
                <w:lang w:eastAsia="es-ES"/>
              </w:rPr>
            </w:pPr>
            <w:r w:rsidRPr="008609D1">
              <w:rPr>
                <w:rFonts w:ascii="ITC Avant Garde" w:eastAsia="Times New Roman" w:hAnsi="ITC Avant Garde" w:cs="Arial"/>
                <w:bCs/>
                <w:sz w:val="20"/>
                <w:lang w:eastAsia="es-ES"/>
              </w:rPr>
              <w:t>Otro pasivo circulante</w:t>
            </w:r>
          </w:p>
        </w:tc>
        <w:tc>
          <w:tcPr>
            <w:tcW w:w="3639" w:type="pct"/>
            <w:tcBorders>
              <w:top w:val="single" w:sz="4" w:space="0" w:color="244062"/>
              <w:bottom w:val="single" w:sz="4" w:space="0" w:color="244062"/>
            </w:tcBorders>
            <w:shd w:val="clear" w:color="auto" w:fill="auto"/>
            <w:vAlign w:val="center"/>
          </w:tcPr>
          <w:p w14:paraId="73798BE1" w14:textId="77777777" w:rsidR="00A1321B" w:rsidRPr="008609D1" w:rsidRDefault="00A1321B" w:rsidP="008B4286">
            <w:pPr>
              <w:spacing w:before="40" w:after="60" w:line="240" w:lineRule="auto"/>
              <w:rPr>
                <w:rFonts w:ascii="ITC Avant Garde" w:eastAsia="Times New Roman" w:hAnsi="ITC Avant Garde" w:cs="Arial"/>
                <w:bCs/>
                <w:sz w:val="20"/>
                <w:lang w:val="es-ES" w:eastAsia="es-ES"/>
              </w:rPr>
            </w:pPr>
            <w:r w:rsidRPr="008609D1">
              <w:rPr>
                <w:rFonts w:ascii="ITC Avant Garde" w:eastAsia="Times New Roman" w:hAnsi="ITC Avant Garde" w:cs="Arial"/>
                <w:bCs/>
                <w:sz w:val="20"/>
                <w:lang w:val="es-ES" w:eastAsia="es-ES"/>
              </w:rPr>
              <w:t>Otro pasivo circulante del operador asociado con sus actividades en el sector de telecomunicaciones</w:t>
            </w:r>
            <w:r>
              <w:rPr>
                <w:rFonts w:ascii="ITC Avant Garde" w:eastAsia="Times New Roman" w:hAnsi="ITC Avant Garde" w:cs="Arial"/>
                <w:bCs/>
                <w:sz w:val="20"/>
                <w:lang w:val="es-ES" w:eastAsia="es-ES"/>
              </w:rPr>
              <w:t>.</w:t>
            </w:r>
          </w:p>
        </w:tc>
      </w:tr>
      <w:tr w:rsidR="00B42D7A" w:rsidRPr="008609D1" w14:paraId="7262A244" w14:textId="77777777" w:rsidTr="00154F13">
        <w:trPr>
          <w:trHeight w:val="340"/>
          <w:jc w:val="center"/>
        </w:trPr>
        <w:tc>
          <w:tcPr>
            <w:tcW w:w="5000" w:type="pct"/>
            <w:gridSpan w:val="2"/>
            <w:tcBorders>
              <w:top w:val="single" w:sz="4" w:space="0" w:color="244062"/>
              <w:left w:val="nil"/>
              <w:bottom w:val="single" w:sz="4" w:space="0" w:color="244062"/>
            </w:tcBorders>
            <w:shd w:val="clear" w:color="auto" w:fill="EDEDED" w:themeFill="accent3" w:themeFillTint="33"/>
            <w:noWrap/>
            <w:vAlign w:val="center"/>
          </w:tcPr>
          <w:p w14:paraId="025E2FF6" w14:textId="77777777" w:rsidR="00B42D7A" w:rsidRPr="00154F13" w:rsidRDefault="00B42D7A" w:rsidP="008B4286">
            <w:pPr>
              <w:spacing w:before="40" w:after="60" w:line="240" w:lineRule="auto"/>
              <w:rPr>
                <w:rFonts w:ascii="ITC Avant Garde" w:eastAsia="Times New Roman" w:hAnsi="ITC Avant Garde" w:cs="Arial"/>
                <w:b/>
                <w:bCs/>
                <w:sz w:val="20"/>
                <w:lang w:val="es-ES" w:eastAsia="es-ES"/>
              </w:rPr>
            </w:pPr>
            <w:r w:rsidRPr="00154F13">
              <w:rPr>
                <w:rFonts w:ascii="ITC Avant Garde" w:eastAsia="Times New Roman" w:hAnsi="ITC Avant Garde" w:cs="Arial"/>
                <w:b/>
                <w:bCs/>
                <w:sz w:val="20"/>
                <w:lang w:eastAsia="es-ES"/>
              </w:rPr>
              <w:t>Costos no relevantes para la separación contable</w:t>
            </w:r>
          </w:p>
        </w:tc>
      </w:tr>
      <w:tr w:rsidR="00A1321B" w:rsidRPr="008609D1" w14:paraId="0B5312DC"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4CF809DC" w14:textId="77777777" w:rsidR="00A1321B" w:rsidRPr="008609D1" w:rsidRDefault="00A1321B" w:rsidP="008B4286">
            <w:pPr>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financieros</w:t>
            </w:r>
          </w:p>
        </w:tc>
        <w:tc>
          <w:tcPr>
            <w:tcW w:w="3639" w:type="pct"/>
            <w:tcBorders>
              <w:top w:val="single" w:sz="4" w:space="0" w:color="244062"/>
              <w:bottom w:val="single" w:sz="4" w:space="0" w:color="244062"/>
            </w:tcBorders>
            <w:vAlign w:val="center"/>
            <w:hideMark/>
          </w:tcPr>
          <w:p w14:paraId="629F10C4" w14:textId="77777777" w:rsidR="00A1321B" w:rsidRPr="008609D1" w:rsidRDefault="00A1321B" w:rsidP="008B4286">
            <w:pPr>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Gastos por intereses derivados de los préstamos solicitados por la inversión para el conjunto de bienes patrimoniales y resto de costos financieros no asignables a planta</w:t>
            </w:r>
            <w:r>
              <w:rPr>
                <w:rFonts w:ascii="ITC Avant Garde" w:eastAsia="Times New Roman" w:hAnsi="ITC Avant Garde" w:cs="Arial"/>
                <w:sz w:val="20"/>
                <w:lang w:val="es-ES" w:eastAsia="es-ES"/>
              </w:rPr>
              <w:t>.</w:t>
            </w:r>
          </w:p>
        </w:tc>
      </w:tr>
      <w:tr w:rsidR="00A1321B" w:rsidRPr="008609D1" w14:paraId="15FB0B61"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0D074BBB"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Ajustes de depreciación</w:t>
            </w:r>
          </w:p>
        </w:tc>
        <w:tc>
          <w:tcPr>
            <w:tcW w:w="3639" w:type="pct"/>
            <w:tcBorders>
              <w:top w:val="single" w:sz="4" w:space="0" w:color="244062"/>
              <w:bottom w:val="single" w:sz="4" w:space="0" w:color="244062"/>
            </w:tcBorders>
            <w:vAlign w:val="center"/>
            <w:hideMark/>
          </w:tcPr>
          <w:p w14:paraId="6BF0F52F"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Recoge los ajustes de la dotación a la amortización de los activos tras su revaluación a la CCA. Estos ajustes, corresponderán a la diferencia, con signo negativo, entre el costo asociado al capital en la contabilidad financiera y la CCA</w:t>
            </w:r>
            <w:r>
              <w:rPr>
                <w:rFonts w:ascii="ITC Avant Garde" w:eastAsia="Times New Roman" w:hAnsi="ITC Avant Garde" w:cs="Arial"/>
                <w:sz w:val="20"/>
                <w:lang w:val="es-ES" w:eastAsia="es-ES"/>
              </w:rPr>
              <w:t>.</w:t>
            </w:r>
          </w:p>
        </w:tc>
      </w:tr>
      <w:tr w:rsidR="00A1321B" w:rsidRPr="008609D1" w14:paraId="1EE39872" w14:textId="77777777" w:rsidTr="00505CF2">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5AF05317"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Otras partidas de costos</w:t>
            </w:r>
          </w:p>
        </w:tc>
        <w:tc>
          <w:tcPr>
            <w:tcW w:w="3639" w:type="pct"/>
            <w:tcBorders>
              <w:top w:val="single" w:sz="4" w:space="0" w:color="244062"/>
              <w:bottom w:val="single" w:sz="4" w:space="0" w:color="244062"/>
            </w:tcBorders>
            <w:vAlign w:val="center"/>
            <w:hideMark/>
          </w:tcPr>
          <w:p w14:paraId="50B084CD" w14:textId="2CD4B3DD" w:rsidR="00A1321B" w:rsidRPr="008609D1" w:rsidRDefault="00A1321B" w:rsidP="00F33926">
            <w:pPr>
              <w:keepNext/>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Partidas de costos relativas a los servicios no relevantes para la </w:t>
            </w:r>
            <w:r w:rsidR="004B4500">
              <w:rPr>
                <w:rFonts w:ascii="ITC Avant Garde" w:eastAsia="Times New Roman" w:hAnsi="ITC Avant Garde" w:cs="Arial"/>
                <w:sz w:val="20"/>
                <w:lang w:val="es-ES" w:eastAsia="es-ES"/>
              </w:rPr>
              <w:t>prestación</w:t>
            </w:r>
            <w:r w:rsidR="00F33926">
              <w:rPr>
                <w:rFonts w:ascii="ITC Avant Garde" w:eastAsia="Times New Roman" w:hAnsi="ITC Avant Garde" w:cs="Arial"/>
                <w:sz w:val="20"/>
                <w:lang w:val="es-ES" w:eastAsia="es-ES"/>
              </w:rPr>
              <w:t xml:space="preserve"> de servicios </w:t>
            </w:r>
            <w:r w:rsidRPr="008609D1">
              <w:rPr>
                <w:rFonts w:ascii="ITC Avant Garde" w:eastAsia="Times New Roman" w:hAnsi="ITC Avant Garde" w:cs="Arial"/>
                <w:sz w:val="20"/>
                <w:lang w:val="es-ES" w:eastAsia="es-ES"/>
              </w:rPr>
              <w:t>de telecomunicaciones fij</w:t>
            </w:r>
            <w:r w:rsidR="00F33926">
              <w:rPr>
                <w:rFonts w:ascii="ITC Avant Garde" w:eastAsia="Times New Roman" w:hAnsi="ITC Avant Garde" w:cs="Arial"/>
                <w:sz w:val="20"/>
                <w:lang w:val="es-ES" w:eastAsia="es-ES"/>
              </w:rPr>
              <w:t>o</w:t>
            </w:r>
            <w:r w:rsidRPr="008609D1">
              <w:rPr>
                <w:rFonts w:ascii="ITC Avant Garde" w:eastAsia="Times New Roman" w:hAnsi="ITC Avant Garde" w:cs="Arial"/>
                <w:sz w:val="20"/>
                <w:lang w:val="es-ES" w:eastAsia="es-ES"/>
              </w:rPr>
              <w:t>s</w:t>
            </w:r>
            <w:r>
              <w:rPr>
                <w:rFonts w:ascii="ITC Avant Garde" w:eastAsia="Times New Roman" w:hAnsi="ITC Avant Garde" w:cs="Arial"/>
                <w:sz w:val="20"/>
                <w:lang w:val="es-ES" w:eastAsia="es-ES"/>
              </w:rPr>
              <w:t>.</w:t>
            </w:r>
          </w:p>
        </w:tc>
      </w:tr>
    </w:tbl>
    <w:p w14:paraId="42564D78" w14:textId="77777777" w:rsidR="00FA4D4D" w:rsidRDefault="00FA4D4D" w:rsidP="00A1321B">
      <w:pPr>
        <w:pStyle w:val="Normalresolucion"/>
        <w:spacing w:after="240"/>
      </w:pPr>
    </w:p>
    <w:p w14:paraId="03E6BCFA" w14:textId="77777777" w:rsidR="00FA4D4D" w:rsidRDefault="00FA4D4D" w:rsidP="00A1321B">
      <w:pPr>
        <w:pStyle w:val="Normalresolucion"/>
        <w:spacing w:after="240"/>
      </w:pPr>
    </w:p>
    <w:p w14:paraId="45EC8821" w14:textId="77777777" w:rsidR="00FA4D4D" w:rsidRDefault="00FA4D4D" w:rsidP="00A1321B">
      <w:pPr>
        <w:pStyle w:val="Normalresolucion"/>
        <w:spacing w:after="240"/>
      </w:pPr>
    </w:p>
    <w:p w14:paraId="1E2F3481" w14:textId="77777777" w:rsidR="00FA4D4D" w:rsidRDefault="00FA4D4D" w:rsidP="00A1321B">
      <w:pPr>
        <w:pStyle w:val="Normalresolucion"/>
        <w:spacing w:after="240"/>
      </w:pPr>
    </w:p>
    <w:p w14:paraId="14E22B3B" w14:textId="77777777" w:rsidR="00A1321B" w:rsidRDefault="00A1321B" w:rsidP="00A1321B">
      <w:pPr>
        <w:pStyle w:val="Normalresolucion"/>
        <w:spacing w:after="240"/>
      </w:pPr>
      <w:r w:rsidRPr="008609D1">
        <w:lastRenderedPageBreak/>
        <w:t xml:space="preserve">Listado </w:t>
      </w:r>
      <w:r w:rsidRPr="008609D1">
        <w:rPr>
          <w:bCs/>
        </w:rPr>
        <w:t>mínimo</w:t>
      </w:r>
      <w:r w:rsidRPr="008609D1">
        <w:t xml:space="preserve"> de cuentas a desagregar en el Nivel 2:</w:t>
      </w:r>
    </w:p>
    <w:p w14:paraId="79887FDA" w14:textId="77777777" w:rsidR="00600DB6" w:rsidRPr="008609D1" w:rsidRDefault="00600DB6" w:rsidP="00600DB6">
      <w:pPr>
        <w:pStyle w:val="Descripcin"/>
        <w:spacing w:after="240" w:line="240" w:lineRule="auto"/>
        <w:rPr>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Pr="008609D1">
        <w:rPr>
          <w:rFonts w:ascii="ITC Avant Garde" w:hAnsi="ITC Avant Garde"/>
          <w:iCs/>
          <w:noProof/>
          <w:sz w:val="20"/>
          <w:lang w:val="es-MX"/>
        </w:rPr>
        <w:t>5</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a desagregar en el Nivel 2 de operadores de telecomunicaciones fijas</w:t>
      </w:r>
    </w:p>
    <w:tbl>
      <w:tblPr>
        <w:tblW w:w="5000" w:type="pct"/>
        <w:jc w:val="center"/>
        <w:tblBorders>
          <w:bottom w:val="single" w:sz="4" w:space="0" w:color="244062"/>
          <w:insideH w:val="single" w:sz="4" w:space="0" w:color="244062"/>
        </w:tblBorders>
        <w:tblLayout w:type="fixed"/>
        <w:tblCellMar>
          <w:left w:w="70" w:type="dxa"/>
          <w:right w:w="70" w:type="dxa"/>
        </w:tblCellMar>
        <w:tblLook w:val="04A0" w:firstRow="1" w:lastRow="0" w:firstColumn="1" w:lastColumn="0" w:noHBand="0" w:noVBand="1"/>
      </w:tblPr>
      <w:tblGrid>
        <w:gridCol w:w="2409"/>
        <w:gridCol w:w="6429"/>
      </w:tblGrid>
      <w:tr w:rsidR="00A1321B" w:rsidRPr="008609D1" w14:paraId="17AD4C6E" w14:textId="77777777" w:rsidTr="00505CF2">
        <w:trPr>
          <w:trHeight w:val="340"/>
          <w:tblHeader/>
          <w:jc w:val="center"/>
        </w:trPr>
        <w:tc>
          <w:tcPr>
            <w:tcW w:w="1363" w:type="pct"/>
            <w:shd w:val="clear" w:color="auto" w:fill="4F629B"/>
            <w:vAlign w:val="center"/>
            <w:hideMark/>
          </w:tcPr>
          <w:p w14:paraId="43A12C3B" w14:textId="77777777" w:rsidR="00A1321B" w:rsidRPr="008609D1" w:rsidRDefault="00A1321B" w:rsidP="008B4286">
            <w:pPr>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Categoría</w:t>
            </w:r>
          </w:p>
        </w:tc>
        <w:tc>
          <w:tcPr>
            <w:tcW w:w="3637" w:type="pct"/>
            <w:shd w:val="clear" w:color="auto" w:fill="4F629B"/>
            <w:vAlign w:val="center"/>
            <w:hideMark/>
          </w:tcPr>
          <w:p w14:paraId="192ABD4F" w14:textId="77777777" w:rsidR="00A1321B" w:rsidRPr="008609D1" w:rsidRDefault="00A1321B" w:rsidP="008B4286">
            <w:pPr>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Descripción</w:t>
            </w:r>
          </w:p>
        </w:tc>
      </w:tr>
      <w:tr w:rsidR="00A1321B" w:rsidRPr="008609D1" w14:paraId="05DE595D" w14:textId="77777777" w:rsidTr="00505CF2">
        <w:trPr>
          <w:trHeight w:val="340"/>
          <w:jc w:val="center"/>
        </w:trPr>
        <w:tc>
          <w:tcPr>
            <w:tcW w:w="5000" w:type="pct"/>
            <w:gridSpan w:val="2"/>
            <w:shd w:val="clear" w:color="auto" w:fill="EDEDED" w:themeFill="accent3" w:themeFillTint="33"/>
            <w:noWrap/>
            <w:vAlign w:val="center"/>
          </w:tcPr>
          <w:p w14:paraId="6E59CB6F" w14:textId="77777777" w:rsidR="00A1321B" w:rsidRPr="008609D1" w:rsidRDefault="00A1321B" w:rsidP="008B4286">
            <w:pPr>
              <w:spacing w:after="0" w:line="240" w:lineRule="auto"/>
              <w:jc w:val="both"/>
              <w:rPr>
                <w:rFonts w:ascii="ITC Avant Garde" w:eastAsia="Times New Roman" w:hAnsi="ITC Avant Garde" w:cs="Arial"/>
                <w:sz w:val="20"/>
                <w:lang w:val="es-ES" w:eastAsia="es-ES"/>
              </w:rPr>
            </w:pPr>
            <w:r w:rsidRPr="00AF5FBF">
              <w:rPr>
                <w:rFonts w:ascii="ITC Avant Garde" w:eastAsia="Times New Roman" w:hAnsi="ITC Avant Garde" w:cs="Arial"/>
                <w:b/>
                <w:sz w:val="20"/>
                <w:lang w:val="es-ES" w:eastAsia="es-ES"/>
              </w:rPr>
              <w:t>Componentes de red</w:t>
            </w:r>
          </w:p>
        </w:tc>
      </w:tr>
      <w:tr w:rsidR="00A1321B" w:rsidRPr="008609D1" w14:paraId="12337488" w14:textId="77777777" w:rsidTr="00505CF2">
        <w:trPr>
          <w:trHeight w:val="340"/>
          <w:jc w:val="center"/>
        </w:trPr>
        <w:tc>
          <w:tcPr>
            <w:tcW w:w="5000" w:type="pct"/>
            <w:gridSpan w:val="2"/>
            <w:shd w:val="clear" w:color="auto" w:fill="auto"/>
            <w:noWrap/>
            <w:vAlign w:val="center"/>
          </w:tcPr>
          <w:p w14:paraId="3E16F7F6" w14:textId="77777777" w:rsidR="00A1321B" w:rsidRPr="008609D1" w:rsidRDefault="00A1321B" w:rsidP="008B4286">
            <w:pPr>
              <w:spacing w:after="0" w:line="240" w:lineRule="auto"/>
              <w:jc w:val="both"/>
              <w:rPr>
                <w:rFonts w:ascii="ITC Avant Garde" w:eastAsia="Times New Roman" w:hAnsi="ITC Avant Garde" w:cs="Arial"/>
                <w:sz w:val="20"/>
                <w:lang w:val="es-ES" w:eastAsia="es-ES"/>
              </w:rPr>
            </w:pPr>
            <w:r w:rsidRPr="00AF5FBF">
              <w:rPr>
                <w:rFonts w:ascii="ITC Avant Garde" w:eastAsia="Times New Roman" w:hAnsi="ITC Avant Garde" w:cs="Arial"/>
                <w:b/>
                <w:sz w:val="20"/>
                <w:lang w:val="es-ES" w:eastAsia="es-ES"/>
              </w:rPr>
              <w:t>Red de acceso</w:t>
            </w:r>
          </w:p>
        </w:tc>
      </w:tr>
      <w:tr w:rsidR="00A1321B" w:rsidRPr="008609D1" w14:paraId="665494EB" w14:textId="77777777" w:rsidTr="00505CF2">
        <w:trPr>
          <w:trHeight w:val="340"/>
          <w:jc w:val="center"/>
        </w:trPr>
        <w:tc>
          <w:tcPr>
            <w:tcW w:w="1363" w:type="pct"/>
            <w:shd w:val="clear" w:color="auto" w:fill="D0D1DB"/>
            <w:noWrap/>
            <w:vAlign w:val="center"/>
            <w:hideMark/>
          </w:tcPr>
          <w:p w14:paraId="5B0A48EA"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Acometida o conexión al domicilio del usuario final</w:t>
            </w:r>
          </w:p>
        </w:tc>
        <w:tc>
          <w:tcPr>
            <w:tcW w:w="3637" w:type="pct"/>
            <w:vAlign w:val="center"/>
            <w:hideMark/>
          </w:tcPr>
          <w:p w14:paraId="349C2C19" w14:textId="77777777" w:rsidR="00A1321B" w:rsidRPr="008609D1" w:rsidRDefault="00A1321B" w:rsidP="008B4286">
            <w:pPr>
              <w:spacing w:after="0" w:line="240" w:lineRule="auto"/>
              <w:jc w:val="both"/>
              <w:rPr>
                <w:rFonts w:ascii="ITC Avant Garde" w:eastAsia="Times New Roman" w:hAnsi="ITC Avant Garde" w:cs="Arial"/>
                <w:sz w:val="20"/>
                <w:lang w:eastAsia="es-ES"/>
              </w:rPr>
            </w:pPr>
            <w:r w:rsidRPr="008609D1">
              <w:rPr>
                <w:rFonts w:ascii="ITC Avant Garde" w:eastAsia="Times New Roman" w:hAnsi="ITC Avant Garde" w:cs="Arial"/>
                <w:sz w:val="20"/>
                <w:lang w:val="es-ES" w:eastAsia="es-ES"/>
              </w:rPr>
              <w:t>Infraestructura de telecomunicaciones que permite conectar desde la caja terminal (FDP</w:t>
            </w:r>
            <w:r w:rsidRPr="008609D1">
              <w:rPr>
                <w:rFonts w:ascii="ITC Avant Garde" w:eastAsia="Times New Roman" w:hAnsi="ITC Avant Garde" w:cs="Arial"/>
                <w:sz w:val="20"/>
                <w:vertAlign w:val="superscript"/>
                <w:lang w:val="es-ES" w:eastAsia="es-ES"/>
              </w:rPr>
              <w:footnoteReference w:id="29"/>
            </w:r>
            <w:r w:rsidRPr="008609D1">
              <w:rPr>
                <w:rFonts w:ascii="ITC Avant Garde" w:eastAsia="Times New Roman" w:hAnsi="ITC Avant Garde" w:cs="Arial"/>
                <w:sz w:val="20"/>
                <w:lang w:val="es-ES" w:eastAsia="es-ES"/>
              </w:rPr>
              <w:t>) de distribución de la red local hasta el punto de conexión terminal de la red (NTP</w:t>
            </w:r>
            <w:r w:rsidRPr="008609D1">
              <w:rPr>
                <w:rFonts w:ascii="ITC Avant Garde" w:eastAsia="Times New Roman" w:hAnsi="ITC Avant Garde" w:cs="Arial"/>
                <w:sz w:val="20"/>
                <w:vertAlign w:val="superscript"/>
                <w:lang w:val="es-ES" w:eastAsia="es-ES"/>
              </w:rPr>
              <w:footnoteReference w:id="30"/>
            </w:r>
            <w:r w:rsidRPr="008609D1">
              <w:rPr>
                <w:rFonts w:ascii="ITC Avant Garde" w:eastAsia="Times New Roman" w:hAnsi="ITC Avant Garde" w:cs="Arial"/>
                <w:sz w:val="20"/>
                <w:lang w:val="es-ES" w:eastAsia="es-ES"/>
              </w:rPr>
              <w:t>) situado en el domicilio de los usuarios finales</w:t>
            </w:r>
            <w:r w:rsidRPr="008609D1">
              <w:rPr>
                <w:rFonts w:ascii="Times New Roman" w:hAnsi="Times New Roman" w:cs="Times New Roman"/>
                <w:sz w:val="24"/>
                <w:szCs w:val="24"/>
                <w:lang w:eastAsia="es-MX"/>
              </w:rPr>
              <w:t>.</w:t>
            </w:r>
          </w:p>
        </w:tc>
      </w:tr>
      <w:tr w:rsidR="00A1321B" w:rsidRPr="008609D1" w14:paraId="38B08436" w14:textId="77777777" w:rsidTr="00505CF2">
        <w:trPr>
          <w:trHeight w:val="340"/>
          <w:jc w:val="center"/>
        </w:trPr>
        <w:tc>
          <w:tcPr>
            <w:tcW w:w="1363" w:type="pct"/>
            <w:shd w:val="clear" w:color="auto" w:fill="D0D1DB"/>
            <w:noWrap/>
            <w:vAlign w:val="center"/>
            <w:hideMark/>
          </w:tcPr>
          <w:p w14:paraId="55E1F368"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secundaria de cobre</w:t>
            </w:r>
          </w:p>
        </w:tc>
        <w:tc>
          <w:tcPr>
            <w:tcW w:w="3637" w:type="pct"/>
            <w:vAlign w:val="center"/>
            <w:hideMark/>
          </w:tcPr>
          <w:p w14:paraId="5843B62B" w14:textId="77777777" w:rsidR="00A1321B" w:rsidRPr="008609D1" w:rsidRDefault="00A1321B" w:rsidP="008B4286">
            <w:pPr>
              <w:spacing w:before="40" w:after="40" w:line="240" w:lineRule="auto"/>
              <w:jc w:val="both"/>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Cableado de cobre conectado desde una caja de distribución y que se despliega en la vía pública por medio de puntos de dispersión hacia las cajas terminales situadas normalmente en la fachada del domicilio de los usuarios finales.</w:t>
            </w:r>
          </w:p>
        </w:tc>
      </w:tr>
      <w:tr w:rsidR="00A1321B" w:rsidRPr="008609D1" w14:paraId="51B1534B" w14:textId="77777777" w:rsidTr="00505CF2">
        <w:trPr>
          <w:trHeight w:val="340"/>
          <w:jc w:val="center"/>
        </w:trPr>
        <w:tc>
          <w:tcPr>
            <w:tcW w:w="1363" w:type="pct"/>
            <w:shd w:val="clear" w:color="auto" w:fill="D0D1DB"/>
            <w:noWrap/>
            <w:vAlign w:val="center"/>
            <w:hideMark/>
          </w:tcPr>
          <w:p w14:paraId="66CCD75E"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Red principal de cobre</w:t>
            </w:r>
          </w:p>
        </w:tc>
        <w:tc>
          <w:tcPr>
            <w:tcW w:w="3637" w:type="pct"/>
            <w:vAlign w:val="center"/>
            <w:hideMark/>
          </w:tcPr>
          <w:p w14:paraId="5B6F237D" w14:textId="10F1C7DE" w:rsidR="00A1321B" w:rsidRPr="006D334F" w:rsidRDefault="00A1321B" w:rsidP="00865257">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Cableado de cobre conectado a la </w:t>
            </w:r>
            <w:r w:rsidR="00865257">
              <w:rPr>
                <w:rFonts w:ascii="ITC Avant Garde" w:eastAsia="Times New Roman" w:hAnsi="ITC Avant Garde" w:cs="Arial"/>
                <w:sz w:val="20"/>
                <w:lang w:val="es-ES" w:eastAsia="es-ES"/>
              </w:rPr>
              <w:t>c</w:t>
            </w:r>
            <w:r w:rsidRPr="006D334F">
              <w:rPr>
                <w:rFonts w:ascii="ITC Avant Garde" w:eastAsia="Times New Roman" w:hAnsi="ITC Avant Garde" w:cs="Arial"/>
                <w:sz w:val="20"/>
                <w:lang w:val="es-ES" w:eastAsia="es-ES"/>
              </w:rPr>
              <w:t xml:space="preserve">entral </w:t>
            </w:r>
            <w:r w:rsidR="00865257">
              <w:rPr>
                <w:rFonts w:ascii="ITC Avant Garde" w:eastAsia="Times New Roman" w:hAnsi="ITC Avant Garde" w:cs="Arial"/>
                <w:sz w:val="20"/>
                <w:lang w:val="es-ES" w:eastAsia="es-ES"/>
              </w:rPr>
              <w:t>t</w:t>
            </w:r>
            <w:r w:rsidRPr="006D334F">
              <w:rPr>
                <w:rFonts w:ascii="ITC Avant Garde" w:eastAsia="Times New Roman" w:hAnsi="ITC Avant Garde" w:cs="Arial"/>
                <w:sz w:val="20"/>
                <w:lang w:val="es-ES" w:eastAsia="es-ES"/>
              </w:rPr>
              <w:t xml:space="preserve">elefónica o instalación equivalente por medio del distribuidor general, saliendo de esta por la fosa de cables, para ir alojados en canalizaciones de concreto o PVC hacia las </w:t>
            </w:r>
            <w:r w:rsidR="00865257">
              <w:rPr>
                <w:rFonts w:ascii="ITC Avant Garde" w:eastAsia="Times New Roman" w:hAnsi="ITC Avant Garde" w:cs="Arial"/>
                <w:sz w:val="20"/>
                <w:lang w:val="es-ES" w:eastAsia="es-ES"/>
              </w:rPr>
              <w:t>c</w:t>
            </w:r>
            <w:r w:rsidRPr="006D334F">
              <w:rPr>
                <w:rFonts w:ascii="ITC Avant Garde" w:eastAsia="Times New Roman" w:hAnsi="ITC Avant Garde" w:cs="Arial"/>
                <w:sz w:val="20"/>
                <w:lang w:val="es-ES" w:eastAsia="es-ES"/>
              </w:rPr>
              <w:t xml:space="preserve">ajas de </w:t>
            </w:r>
            <w:r w:rsidR="00865257">
              <w:rPr>
                <w:rFonts w:ascii="ITC Avant Garde" w:eastAsia="Times New Roman" w:hAnsi="ITC Avant Garde" w:cs="Arial"/>
                <w:sz w:val="20"/>
                <w:lang w:val="es-ES" w:eastAsia="es-ES"/>
              </w:rPr>
              <w:t>d</w:t>
            </w:r>
            <w:r w:rsidRPr="006D334F">
              <w:rPr>
                <w:rFonts w:ascii="ITC Avant Garde" w:eastAsia="Times New Roman" w:hAnsi="ITC Avant Garde" w:cs="Arial"/>
                <w:sz w:val="20"/>
                <w:lang w:val="es-ES" w:eastAsia="es-ES"/>
              </w:rPr>
              <w:t>istribución.</w:t>
            </w:r>
          </w:p>
        </w:tc>
      </w:tr>
      <w:tr w:rsidR="00A1321B" w:rsidRPr="008609D1" w14:paraId="00FB2BEA" w14:textId="77777777" w:rsidTr="00505CF2">
        <w:trPr>
          <w:trHeight w:val="340"/>
          <w:jc w:val="center"/>
        </w:trPr>
        <w:tc>
          <w:tcPr>
            <w:tcW w:w="1363" w:type="pct"/>
            <w:shd w:val="clear" w:color="auto" w:fill="D0D1DB"/>
            <w:noWrap/>
            <w:vAlign w:val="center"/>
            <w:hideMark/>
          </w:tcPr>
          <w:p w14:paraId="1AD538C5"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secundaria de fibra</w:t>
            </w:r>
          </w:p>
        </w:tc>
        <w:tc>
          <w:tcPr>
            <w:tcW w:w="3637" w:type="pct"/>
            <w:vAlign w:val="center"/>
            <w:hideMark/>
          </w:tcPr>
          <w:p w14:paraId="00EF8CDA" w14:textId="77777777" w:rsidR="00A1321B" w:rsidRPr="008609D1" w:rsidRDefault="00A1321B" w:rsidP="008B4286">
            <w:pPr>
              <w:spacing w:before="40" w:after="40" w:line="240" w:lineRule="auto"/>
              <w:jc w:val="both"/>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Cableado de fibra conectado desde una caja de distribución y que se despliega en la vía pública por medio de puntos de dispersión hacia las cajas terminales situadas normalmente en la fachada del domicilio de los usuarios finales.</w:t>
            </w:r>
          </w:p>
        </w:tc>
      </w:tr>
      <w:tr w:rsidR="00A1321B" w:rsidRPr="008609D1" w14:paraId="04AF2E34" w14:textId="77777777" w:rsidTr="00505CF2">
        <w:trPr>
          <w:trHeight w:val="340"/>
          <w:jc w:val="center"/>
        </w:trPr>
        <w:tc>
          <w:tcPr>
            <w:tcW w:w="1363" w:type="pct"/>
            <w:shd w:val="clear" w:color="auto" w:fill="D0D1DB"/>
            <w:noWrap/>
            <w:vAlign w:val="center"/>
            <w:hideMark/>
          </w:tcPr>
          <w:p w14:paraId="3ED063A3"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principal de fibra</w:t>
            </w:r>
          </w:p>
        </w:tc>
        <w:tc>
          <w:tcPr>
            <w:tcW w:w="3637" w:type="pct"/>
            <w:vAlign w:val="center"/>
            <w:hideMark/>
          </w:tcPr>
          <w:p w14:paraId="5B8B28F5"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Cableado de fibra entre el repartidor óptico y un punto de distribución de la red de acceso</w:t>
            </w:r>
            <w:r>
              <w:rPr>
                <w:rFonts w:ascii="ITC Avant Garde" w:eastAsia="Times New Roman" w:hAnsi="ITC Avant Garde" w:cs="Arial"/>
                <w:sz w:val="20"/>
                <w:lang w:val="es-ES" w:eastAsia="es-ES"/>
              </w:rPr>
              <w:t>.</w:t>
            </w:r>
          </w:p>
        </w:tc>
      </w:tr>
      <w:tr w:rsidR="00A1321B" w:rsidRPr="008609D1" w14:paraId="7EFEC19B" w14:textId="77777777" w:rsidTr="00505CF2">
        <w:trPr>
          <w:trHeight w:val="340"/>
          <w:jc w:val="center"/>
        </w:trPr>
        <w:tc>
          <w:tcPr>
            <w:tcW w:w="1363" w:type="pct"/>
            <w:shd w:val="clear" w:color="auto" w:fill="D0D1DB"/>
            <w:noWrap/>
            <w:vAlign w:val="center"/>
            <w:hideMark/>
          </w:tcPr>
          <w:p w14:paraId="4F8C2348"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Ductos de red secundaria </w:t>
            </w:r>
          </w:p>
        </w:tc>
        <w:tc>
          <w:tcPr>
            <w:tcW w:w="3637" w:type="pct"/>
            <w:vAlign w:val="center"/>
            <w:hideMark/>
          </w:tcPr>
          <w:p w14:paraId="4E32694E"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Estructura de canalización cerrada de un diámetro específico que se emplea como vía para alojar y proteger los cables de fibra óptica o cobre, en el tramo secundario de la red de acceso</w:t>
            </w:r>
            <w:r>
              <w:rPr>
                <w:rFonts w:ascii="ITC Avant Garde" w:eastAsia="Times New Roman" w:hAnsi="ITC Avant Garde" w:cs="Arial"/>
                <w:sz w:val="20"/>
                <w:lang w:val="es-ES" w:eastAsia="es-ES"/>
              </w:rPr>
              <w:t>.</w:t>
            </w:r>
          </w:p>
        </w:tc>
      </w:tr>
      <w:tr w:rsidR="00A1321B" w:rsidRPr="008609D1" w14:paraId="736DE15B" w14:textId="77777777" w:rsidTr="00505CF2">
        <w:trPr>
          <w:trHeight w:val="340"/>
          <w:jc w:val="center"/>
        </w:trPr>
        <w:tc>
          <w:tcPr>
            <w:tcW w:w="1363" w:type="pct"/>
            <w:shd w:val="clear" w:color="auto" w:fill="D0D1DB"/>
            <w:noWrap/>
            <w:vAlign w:val="center"/>
          </w:tcPr>
          <w:p w14:paraId="0E564335" w14:textId="77777777" w:rsidR="00A1321B" w:rsidRPr="00D407F5" w:rsidRDefault="00A1321B" w:rsidP="008B4286">
            <w:pPr>
              <w:spacing w:before="40" w:after="60" w:line="240" w:lineRule="auto"/>
              <w:rPr>
                <w:rFonts w:ascii="ITC Avant Garde" w:eastAsia="Times New Roman" w:hAnsi="ITC Avant Garde" w:cs="Arial"/>
                <w:sz w:val="20"/>
                <w:lang w:val="es-ES" w:eastAsia="es-ES"/>
              </w:rPr>
            </w:pPr>
            <w:r w:rsidRPr="00D407F5">
              <w:rPr>
                <w:rFonts w:ascii="ITC Avant Garde" w:eastAsia="Times New Roman" w:hAnsi="ITC Avant Garde" w:cs="Arial"/>
                <w:sz w:val="20"/>
                <w:lang w:val="es-ES" w:eastAsia="es-ES"/>
              </w:rPr>
              <w:t>Ductos de red principal</w:t>
            </w:r>
          </w:p>
        </w:tc>
        <w:tc>
          <w:tcPr>
            <w:tcW w:w="3637" w:type="pct"/>
            <w:vAlign w:val="center"/>
          </w:tcPr>
          <w:p w14:paraId="1E5D1150"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Estructura de canalización cerrada de un diámetro específico que se emplea como vía para alojar y proteger los cables de fibra óptica o cobre, en el tramo primario de la red de acceso</w:t>
            </w:r>
            <w:r>
              <w:rPr>
                <w:rFonts w:ascii="ITC Avant Garde" w:eastAsia="Times New Roman" w:hAnsi="ITC Avant Garde" w:cs="Arial"/>
                <w:sz w:val="20"/>
                <w:lang w:val="es-ES" w:eastAsia="es-ES"/>
              </w:rPr>
              <w:t>.</w:t>
            </w:r>
          </w:p>
        </w:tc>
      </w:tr>
      <w:tr w:rsidR="00A1321B" w:rsidRPr="008609D1" w14:paraId="255B3982" w14:textId="77777777" w:rsidTr="00505CF2">
        <w:trPr>
          <w:trHeight w:val="340"/>
          <w:jc w:val="center"/>
        </w:trPr>
        <w:tc>
          <w:tcPr>
            <w:tcW w:w="1363" w:type="pct"/>
            <w:shd w:val="clear" w:color="auto" w:fill="D0D1DB"/>
            <w:noWrap/>
            <w:vAlign w:val="center"/>
            <w:hideMark/>
          </w:tcPr>
          <w:p w14:paraId="596B6235"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Subductos</w:t>
            </w:r>
          </w:p>
        </w:tc>
        <w:tc>
          <w:tcPr>
            <w:tcW w:w="3637" w:type="pct"/>
            <w:vAlign w:val="center"/>
            <w:hideMark/>
          </w:tcPr>
          <w:p w14:paraId="07A378BA" w14:textId="268D5B6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Tubería empleada para la colocación de cables de fibra óptica</w:t>
            </w:r>
            <w:r>
              <w:rPr>
                <w:rFonts w:ascii="ITC Avant Garde" w:eastAsia="Times New Roman" w:hAnsi="ITC Avant Garde" w:cs="Arial"/>
                <w:sz w:val="20"/>
                <w:lang w:val="es-ES" w:eastAsia="es-ES"/>
              </w:rPr>
              <w:t>.</w:t>
            </w:r>
          </w:p>
        </w:tc>
      </w:tr>
      <w:tr w:rsidR="00A1321B" w:rsidRPr="008609D1" w14:paraId="5202E9F8" w14:textId="77777777" w:rsidTr="00505CF2">
        <w:trPr>
          <w:trHeight w:val="340"/>
          <w:jc w:val="center"/>
        </w:trPr>
        <w:tc>
          <w:tcPr>
            <w:tcW w:w="1363" w:type="pct"/>
            <w:shd w:val="clear" w:color="auto" w:fill="D0D1DB"/>
            <w:noWrap/>
            <w:vAlign w:val="center"/>
            <w:hideMark/>
          </w:tcPr>
          <w:p w14:paraId="37BA0412"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Zanjas</w:t>
            </w:r>
          </w:p>
        </w:tc>
        <w:tc>
          <w:tcPr>
            <w:tcW w:w="3637" w:type="pct"/>
            <w:vAlign w:val="center"/>
            <w:hideMark/>
          </w:tcPr>
          <w:p w14:paraId="763B0A31"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Excavaciones realizadas en el terreno para la ubicación del cableado, ya sea dentro de ductos o no. </w:t>
            </w:r>
          </w:p>
        </w:tc>
      </w:tr>
      <w:tr w:rsidR="00A1321B" w:rsidRPr="008609D1" w14:paraId="0ADB441F" w14:textId="77777777" w:rsidTr="00505CF2">
        <w:trPr>
          <w:trHeight w:val="340"/>
          <w:jc w:val="center"/>
        </w:trPr>
        <w:tc>
          <w:tcPr>
            <w:tcW w:w="1363" w:type="pct"/>
            <w:shd w:val="clear" w:color="auto" w:fill="D0D1DB"/>
            <w:noWrap/>
            <w:vAlign w:val="center"/>
            <w:hideMark/>
          </w:tcPr>
          <w:p w14:paraId="54D6A5C9"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Postes</w:t>
            </w:r>
          </w:p>
        </w:tc>
        <w:tc>
          <w:tcPr>
            <w:tcW w:w="3637" w:type="pct"/>
            <w:vAlign w:val="center"/>
            <w:hideMark/>
          </w:tcPr>
          <w:p w14:paraId="49A2EFED"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Mástiles fabricados con hormigón o madera y empleados para la colocación de cables aéreos de cobre y fibra óptica</w:t>
            </w:r>
            <w:r>
              <w:rPr>
                <w:rFonts w:ascii="ITC Avant Garde" w:eastAsia="Times New Roman" w:hAnsi="ITC Avant Garde" w:cs="Arial"/>
                <w:sz w:val="20"/>
                <w:lang w:val="es-ES" w:eastAsia="es-ES"/>
              </w:rPr>
              <w:t>.</w:t>
            </w:r>
          </w:p>
        </w:tc>
      </w:tr>
      <w:tr w:rsidR="00A1321B" w:rsidRPr="008609D1" w14:paraId="2CD0E433" w14:textId="77777777" w:rsidTr="00505CF2">
        <w:trPr>
          <w:trHeight w:val="340"/>
          <w:jc w:val="center"/>
        </w:trPr>
        <w:tc>
          <w:tcPr>
            <w:tcW w:w="1363" w:type="pct"/>
            <w:shd w:val="clear" w:color="auto" w:fill="D0D1DB"/>
            <w:noWrap/>
            <w:vAlign w:val="center"/>
            <w:hideMark/>
          </w:tcPr>
          <w:p w14:paraId="18D117C1"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acceso</w:t>
            </w:r>
          </w:p>
        </w:tc>
        <w:tc>
          <w:tcPr>
            <w:tcW w:w="3637" w:type="pct"/>
            <w:vAlign w:val="center"/>
            <w:hideMark/>
          </w:tcPr>
          <w:p w14:paraId="28890D53"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la red de acceso fijo</w:t>
            </w:r>
            <w:r>
              <w:rPr>
                <w:rFonts w:ascii="ITC Avant Garde" w:eastAsia="Times New Roman" w:hAnsi="ITC Avant Garde" w:cs="Arial"/>
                <w:sz w:val="20"/>
                <w:lang w:val="es-ES" w:eastAsia="es-ES"/>
              </w:rPr>
              <w:t>.</w:t>
            </w:r>
          </w:p>
        </w:tc>
      </w:tr>
      <w:tr w:rsidR="00A1321B" w:rsidRPr="008609D1" w14:paraId="7B9B6B3D" w14:textId="77777777" w:rsidTr="00505CF2">
        <w:trPr>
          <w:trHeight w:val="340"/>
          <w:jc w:val="center"/>
        </w:trPr>
        <w:tc>
          <w:tcPr>
            <w:tcW w:w="5000" w:type="pct"/>
            <w:gridSpan w:val="2"/>
            <w:shd w:val="clear" w:color="auto" w:fill="auto"/>
            <w:noWrap/>
            <w:vAlign w:val="center"/>
          </w:tcPr>
          <w:p w14:paraId="64CF3119" w14:textId="77777777" w:rsidR="00A1321B" w:rsidRPr="006D334F" w:rsidDel="005A7DE1" w:rsidRDefault="00A1321B" w:rsidP="008B4286">
            <w:pPr>
              <w:spacing w:before="40" w:after="40" w:line="240" w:lineRule="auto"/>
            </w:pPr>
            <w:r w:rsidRPr="00535E45">
              <w:rPr>
                <w:rFonts w:ascii="ITC Avant Garde" w:eastAsia="Times New Roman" w:hAnsi="ITC Avant Garde" w:cs="Arial"/>
                <w:b/>
                <w:sz w:val="20"/>
                <w:lang w:val="es-ES" w:eastAsia="es-ES"/>
              </w:rPr>
              <w:lastRenderedPageBreak/>
              <w:t>Red de agregación y transporte</w:t>
            </w:r>
          </w:p>
        </w:tc>
      </w:tr>
      <w:tr w:rsidR="00A1321B" w:rsidRPr="008609D1" w14:paraId="2387B77B" w14:textId="77777777" w:rsidTr="00505CF2">
        <w:trPr>
          <w:trHeight w:val="340"/>
          <w:jc w:val="center"/>
        </w:trPr>
        <w:tc>
          <w:tcPr>
            <w:tcW w:w="1363" w:type="pct"/>
            <w:shd w:val="clear" w:color="auto" w:fill="D0D1DB"/>
            <w:noWrap/>
            <w:vAlign w:val="center"/>
            <w:hideMark/>
          </w:tcPr>
          <w:p w14:paraId="146DF73A"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Distribuidor General (MDF</w:t>
            </w:r>
            <w:r w:rsidRPr="006D334F">
              <w:rPr>
                <w:rFonts w:ascii="ITC Avant Garde" w:eastAsia="Times New Roman" w:hAnsi="ITC Avant Garde" w:cs="Arial"/>
                <w:sz w:val="20"/>
                <w:vertAlign w:val="superscript"/>
                <w:lang w:val="es-ES" w:eastAsia="es-ES"/>
              </w:rPr>
              <w:footnoteReference w:id="31"/>
            </w:r>
            <w:r w:rsidRPr="006D334F">
              <w:rPr>
                <w:rFonts w:ascii="ITC Avant Garde" w:eastAsia="Times New Roman" w:hAnsi="ITC Avant Garde" w:cs="Arial"/>
                <w:sz w:val="20"/>
                <w:lang w:val="es-ES" w:eastAsia="es-ES"/>
              </w:rPr>
              <w:t>)</w:t>
            </w:r>
          </w:p>
        </w:tc>
        <w:tc>
          <w:tcPr>
            <w:tcW w:w="3637" w:type="pct"/>
            <w:vAlign w:val="center"/>
            <w:hideMark/>
          </w:tcPr>
          <w:p w14:paraId="59B22D7B" w14:textId="17F84A66" w:rsidR="00A1321B" w:rsidRPr="006D334F" w:rsidRDefault="00A1321B" w:rsidP="008B4286">
            <w:pPr>
              <w:spacing w:before="40" w:after="40" w:line="240" w:lineRule="auto"/>
              <w:rPr>
                <w:rFonts w:ascii="ITC Avant Garde" w:eastAsia="Times New Roman" w:hAnsi="ITC Avant Garde" w:cs="Arial"/>
                <w:sz w:val="20"/>
                <w:lang w:eastAsia="es-ES"/>
              </w:rPr>
            </w:pPr>
            <w:r w:rsidRPr="006D334F">
              <w:rPr>
                <w:rFonts w:ascii="ITC Avant Garde" w:eastAsia="Times New Roman" w:hAnsi="ITC Avant Garde" w:cs="Arial"/>
                <w:sz w:val="20"/>
                <w:lang w:val="es-ES" w:eastAsia="es-ES"/>
              </w:rPr>
              <w:t>Estructura organizada de tablillas denominadas horizontales y verticales, entre las cuales se realizan los puentes de pares de Red principal de cobre con los puertos de los equipos del agente.</w:t>
            </w:r>
          </w:p>
        </w:tc>
      </w:tr>
      <w:tr w:rsidR="00A1321B" w:rsidRPr="008609D1" w14:paraId="2DCDDEA1" w14:textId="77777777" w:rsidTr="00505CF2">
        <w:trPr>
          <w:trHeight w:val="340"/>
          <w:jc w:val="center"/>
        </w:trPr>
        <w:tc>
          <w:tcPr>
            <w:tcW w:w="1363" w:type="pct"/>
            <w:shd w:val="clear" w:color="auto" w:fill="D0D1DB"/>
            <w:noWrap/>
            <w:vAlign w:val="center"/>
            <w:hideMark/>
          </w:tcPr>
          <w:p w14:paraId="28969D76"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Distribuidor de fibra óptica (ODF</w:t>
            </w:r>
            <w:r w:rsidRPr="006D334F">
              <w:rPr>
                <w:rFonts w:ascii="ITC Avant Garde" w:eastAsia="Times New Roman" w:hAnsi="ITC Avant Garde" w:cs="Arial"/>
                <w:sz w:val="20"/>
                <w:vertAlign w:val="superscript"/>
                <w:lang w:val="es-ES" w:eastAsia="es-ES"/>
              </w:rPr>
              <w:footnoteReference w:id="32"/>
            </w:r>
            <w:r w:rsidRPr="006D334F">
              <w:rPr>
                <w:rFonts w:ascii="ITC Avant Garde" w:eastAsia="Times New Roman" w:hAnsi="ITC Avant Garde" w:cs="Arial"/>
                <w:sz w:val="20"/>
                <w:lang w:val="es-ES" w:eastAsia="es-ES"/>
              </w:rPr>
              <w:t>)</w:t>
            </w:r>
          </w:p>
        </w:tc>
        <w:tc>
          <w:tcPr>
            <w:tcW w:w="3637" w:type="pct"/>
            <w:vAlign w:val="center"/>
            <w:hideMark/>
          </w:tcPr>
          <w:p w14:paraId="35237F0D"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Dispositivo que facilita la centralización, interconexión y derivaciones de cables de fibra óptica.</w:t>
            </w:r>
          </w:p>
        </w:tc>
      </w:tr>
      <w:tr w:rsidR="00A1321B" w:rsidRPr="008609D1" w14:paraId="68AC9B96" w14:textId="77777777" w:rsidTr="00505CF2">
        <w:trPr>
          <w:trHeight w:val="340"/>
          <w:jc w:val="center"/>
        </w:trPr>
        <w:tc>
          <w:tcPr>
            <w:tcW w:w="1363" w:type="pct"/>
            <w:shd w:val="clear" w:color="auto" w:fill="D0D1DB"/>
            <w:noWrap/>
            <w:vAlign w:val="center"/>
            <w:hideMark/>
          </w:tcPr>
          <w:p w14:paraId="4DE29636" w14:textId="77777777" w:rsidR="00A1321B" w:rsidRPr="006D334F" w:rsidRDefault="00A1321B" w:rsidP="0054139A">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DSLAM/MSAN</w:t>
            </w:r>
          </w:p>
        </w:tc>
        <w:tc>
          <w:tcPr>
            <w:tcW w:w="3637" w:type="pct"/>
            <w:vAlign w:val="center"/>
            <w:hideMark/>
          </w:tcPr>
          <w:p w14:paraId="08A979A6"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Componente perteneciente a un sistema de línea de abonado digital (DSL, por sus siglas en inglés) que conecta múltiples usuarios y ofrece servicios de datos de alta velocidad haciendo uso de diversas técnicas de multiplexado.</w:t>
            </w:r>
          </w:p>
        </w:tc>
      </w:tr>
      <w:tr w:rsidR="00A1321B" w:rsidRPr="008609D1" w14:paraId="0512CA68" w14:textId="77777777" w:rsidTr="00505CF2">
        <w:trPr>
          <w:trHeight w:val="340"/>
          <w:jc w:val="center"/>
        </w:trPr>
        <w:tc>
          <w:tcPr>
            <w:tcW w:w="1363" w:type="pct"/>
            <w:shd w:val="clear" w:color="auto" w:fill="D0D1DB"/>
            <w:noWrap/>
            <w:vAlign w:val="center"/>
            <w:hideMark/>
          </w:tcPr>
          <w:p w14:paraId="40D9B1DE"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Centrales locales</w:t>
            </w:r>
          </w:p>
        </w:tc>
        <w:tc>
          <w:tcPr>
            <w:tcW w:w="3637" w:type="pct"/>
            <w:vAlign w:val="center"/>
            <w:hideMark/>
          </w:tcPr>
          <w:p w14:paraId="7A896C75"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permiten la conmutación entre líneas de telefonía para permitir la realización de llamadas</w:t>
            </w:r>
            <w:r>
              <w:rPr>
                <w:rFonts w:ascii="ITC Avant Garde" w:eastAsia="Times New Roman" w:hAnsi="ITC Avant Garde" w:cs="Arial"/>
                <w:sz w:val="20"/>
                <w:lang w:val="es-ES" w:eastAsia="es-ES"/>
              </w:rPr>
              <w:t>.</w:t>
            </w:r>
          </w:p>
        </w:tc>
      </w:tr>
      <w:tr w:rsidR="00A1321B" w:rsidRPr="008609D1" w14:paraId="1F55B470" w14:textId="77777777" w:rsidTr="00505CF2">
        <w:trPr>
          <w:trHeight w:val="340"/>
          <w:jc w:val="center"/>
        </w:trPr>
        <w:tc>
          <w:tcPr>
            <w:tcW w:w="1363" w:type="pct"/>
            <w:shd w:val="clear" w:color="auto" w:fill="D0D1DB"/>
            <w:noWrap/>
            <w:vAlign w:val="center"/>
            <w:hideMark/>
          </w:tcPr>
          <w:p w14:paraId="3CEB9BAC"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Centrales regionales</w:t>
            </w:r>
          </w:p>
        </w:tc>
        <w:tc>
          <w:tcPr>
            <w:tcW w:w="3637" w:type="pct"/>
            <w:vAlign w:val="center"/>
            <w:hideMark/>
          </w:tcPr>
          <w:p w14:paraId="35BFEF8D"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permiten agregar el tráfico generado por diferentes centrales remotas, siendo responsables por su conmutación</w:t>
            </w:r>
            <w:r>
              <w:rPr>
                <w:rFonts w:ascii="ITC Avant Garde" w:eastAsia="Times New Roman" w:hAnsi="ITC Avant Garde" w:cs="Arial"/>
                <w:sz w:val="20"/>
                <w:lang w:val="es-ES" w:eastAsia="es-ES"/>
              </w:rPr>
              <w:t>.</w:t>
            </w:r>
          </w:p>
        </w:tc>
      </w:tr>
      <w:tr w:rsidR="00A1321B" w:rsidRPr="008609D1" w14:paraId="2B139C91" w14:textId="77777777" w:rsidTr="00505CF2">
        <w:trPr>
          <w:trHeight w:val="340"/>
          <w:jc w:val="center"/>
        </w:trPr>
        <w:tc>
          <w:tcPr>
            <w:tcW w:w="1363" w:type="pct"/>
            <w:shd w:val="clear" w:color="auto" w:fill="D0D1DB"/>
            <w:noWrap/>
            <w:vAlign w:val="center"/>
            <w:hideMark/>
          </w:tcPr>
          <w:p w14:paraId="35F7F9B7"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Centrales nacionales</w:t>
            </w:r>
          </w:p>
        </w:tc>
        <w:tc>
          <w:tcPr>
            <w:tcW w:w="3637" w:type="pct"/>
            <w:vAlign w:val="center"/>
            <w:hideMark/>
          </w:tcPr>
          <w:p w14:paraId="0533B0D5"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permiten la conmutación de tráfico de circuitos de la red TDM</w:t>
            </w:r>
            <w:r w:rsidRPr="008609D1">
              <w:rPr>
                <w:rFonts w:ascii="ITC Avant Garde" w:eastAsia="Times New Roman" w:hAnsi="ITC Avant Garde" w:cs="Arial"/>
                <w:sz w:val="20"/>
                <w:vertAlign w:val="superscript"/>
                <w:lang w:val="es-ES" w:eastAsia="es-ES"/>
              </w:rPr>
              <w:footnoteReference w:id="33"/>
            </w:r>
            <w:r>
              <w:rPr>
                <w:rFonts w:ascii="ITC Avant Garde" w:eastAsia="Times New Roman" w:hAnsi="ITC Avant Garde" w:cs="Arial"/>
                <w:sz w:val="20"/>
                <w:lang w:val="es-ES" w:eastAsia="es-ES"/>
              </w:rPr>
              <w:t>.</w:t>
            </w:r>
          </w:p>
        </w:tc>
      </w:tr>
      <w:tr w:rsidR="00A1321B" w:rsidRPr="008609D1" w14:paraId="533872FC" w14:textId="77777777" w:rsidTr="00505CF2">
        <w:trPr>
          <w:trHeight w:val="340"/>
          <w:jc w:val="center"/>
        </w:trPr>
        <w:tc>
          <w:tcPr>
            <w:tcW w:w="1363" w:type="pct"/>
            <w:shd w:val="clear" w:color="auto" w:fill="D0D1DB"/>
            <w:noWrap/>
            <w:vAlign w:val="center"/>
            <w:hideMark/>
          </w:tcPr>
          <w:p w14:paraId="2A6A4191"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Centrales internacionales</w:t>
            </w:r>
          </w:p>
        </w:tc>
        <w:tc>
          <w:tcPr>
            <w:tcW w:w="3637" w:type="pct"/>
            <w:vAlign w:val="center"/>
            <w:hideMark/>
          </w:tcPr>
          <w:p w14:paraId="496217D0"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permiten la conmutación de tráfico de circuitos internacionales</w:t>
            </w:r>
            <w:r>
              <w:rPr>
                <w:rFonts w:ascii="ITC Avant Garde" w:eastAsia="Times New Roman" w:hAnsi="ITC Avant Garde" w:cs="Arial"/>
                <w:sz w:val="20"/>
                <w:lang w:val="es-ES" w:eastAsia="es-ES"/>
              </w:rPr>
              <w:t>.</w:t>
            </w:r>
          </w:p>
        </w:tc>
      </w:tr>
      <w:tr w:rsidR="00A1321B" w:rsidRPr="008609D1" w14:paraId="7C6A47E5" w14:textId="77777777" w:rsidTr="00505CF2">
        <w:trPr>
          <w:trHeight w:val="340"/>
          <w:jc w:val="center"/>
        </w:trPr>
        <w:tc>
          <w:tcPr>
            <w:tcW w:w="1363" w:type="pct"/>
            <w:shd w:val="clear" w:color="auto" w:fill="D0D1DB"/>
            <w:noWrap/>
            <w:vAlign w:val="center"/>
            <w:hideMark/>
          </w:tcPr>
          <w:p w14:paraId="37A00105"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Routers edge</w:t>
            </w:r>
          </w:p>
        </w:tc>
        <w:tc>
          <w:tcPr>
            <w:tcW w:w="3637" w:type="pct"/>
            <w:vAlign w:val="center"/>
            <w:hideMark/>
          </w:tcPr>
          <w:p w14:paraId="1053DDA2"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permiten gestionar el tráfico generado en la red de acceso de nueva generación (NGN)</w:t>
            </w:r>
            <w:r>
              <w:rPr>
                <w:rFonts w:ascii="ITC Avant Garde" w:eastAsia="Times New Roman" w:hAnsi="ITC Avant Garde" w:cs="Arial"/>
                <w:sz w:val="20"/>
                <w:lang w:val="es-ES" w:eastAsia="es-ES"/>
              </w:rPr>
              <w:t>.</w:t>
            </w:r>
          </w:p>
        </w:tc>
      </w:tr>
      <w:tr w:rsidR="00A1321B" w:rsidRPr="008609D1" w14:paraId="0048287C" w14:textId="77777777" w:rsidTr="00505CF2">
        <w:trPr>
          <w:trHeight w:val="340"/>
          <w:jc w:val="center"/>
        </w:trPr>
        <w:tc>
          <w:tcPr>
            <w:tcW w:w="1363" w:type="pct"/>
            <w:shd w:val="clear" w:color="auto" w:fill="D0D1DB"/>
            <w:noWrap/>
            <w:vAlign w:val="center"/>
            <w:hideMark/>
          </w:tcPr>
          <w:p w14:paraId="1455174D"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Routers de distribución</w:t>
            </w:r>
          </w:p>
        </w:tc>
        <w:tc>
          <w:tcPr>
            <w:tcW w:w="3637" w:type="pct"/>
            <w:vAlign w:val="center"/>
            <w:hideMark/>
          </w:tcPr>
          <w:p w14:paraId="1F6BA93C"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permiten gestionar el tráfico generado en la red de distribución de nueva generación (NGN)</w:t>
            </w:r>
            <w:r>
              <w:rPr>
                <w:rFonts w:ascii="ITC Avant Garde" w:eastAsia="Times New Roman" w:hAnsi="ITC Avant Garde" w:cs="Arial"/>
                <w:sz w:val="20"/>
                <w:lang w:val="es-ES" w:eastAsia="es-ES"/>
              </w:rPr>
              <w:t>.</w:t>
            </w:r>
          </w:p>
        </w:tc>
      </w:tr>
      <w:tr w:rsidR="00A1321B" w:rsidRPr="008609D1" w14:paraId="6E1E8AA0" w14:textId="77777777" w:rsidTr="00505CF2">
        <w:trPr>
          <w:trHeight w:val="340"/>
          <w:jc w:val="center"/>
        </w:trPr>
        <w:tc>
          <w:tcPr>
            <w:tcW w:w="1363" w:type="pct"/>
            <w:shd w:val="clear" w:color="auto" w:fill="D0D1DB"/>
            <w:noWrap/>
            <w:vAlign w:val="center"/>
            <w:hideMark/>
          </w:tcPr>
          <w:p w14:paraId="6B45CDAC"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conmutación</w:t>
            </w:r>
          </w:p>
        </w:tc>
        <w:tc>
          <w:tcPr>
            <w:tcW w:w="3637" w:type="pct"/>
            <w:vAlign w:val="center"/>
            <w:hideMark/>
          </w:tcPr>
          <w:p w14:paraId="6FF03B44"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la red de conmutación fija</w:t>
            </w:r>
            <w:r>
              <w:rPr>
                <w:rFonts w:ascii="ITC Avant Garde" w:eastAsia="Times New Roman" w:hAnsi="ITC Avant Garde" w:cs="Arial"/>
                <w:sz w:val="20"/>
                <w:lang w:val="es-ES" w:eastAsia="es-ES"/>
              </w:rPr>
              <w:t>.</w:t>
            </w:r>
          </w:p>
        </w:tc>
      </w:tr>
      <w:tr w:rsidR="00A1321B" w:rsidRPr="008609D1" w14:paraId="5B8BEB4E" w14:textId="77777777" w:rsidTr="00505CF2">
        <w:trPr>
          <w:trHeight w:val="340"/>
          <w:jc w:val="center"/>
        </w:trPr>
        <w:tc>
          <w:tcPr>
            <w:tcW w:w="1363" w:type="pct"/>
            <w:shd w:val="clear" w:color="auto" w:fill="D0D1DB"/>
            <w:noWrap/>
            <w:vAlign w:val="center"/>
            <w:hideMark/>
          </w:tcPr>
          <w:p w14:paraId="24B8FDC2"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locales - regionales</w:t>
            </w:r>
          </w:p>
        </w:tc>
        <w:tc>
          <w:tcPr>
            <w:tcW w:w="3637" w:type="pct"/>
            <w:vAlign w:val="center"/>
            <w:hideMark/>
          </w:tcPr>
          <w:p w14:paraId="67EBC906"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 transmisión entre centrales locales y centrales regionales</w:t>
            </w:r>
            <w:r>
              <w:rPr>
                <w:rFonts w:ascii="ITC Avant Garde" w:eastAsia="Times New Roman" w:hAnsi="ITC Avant Garde" w:cs="Arial"/>
                <w:sz w:val="20"/>
                <w:lang w:val="es-ES" w:eastAsia="es-ES"/>
              </w:rPr>
              <w:t>.</w:t>
            </w:r>
          </w:p>
        </w:tc>
      </w:tr>
      <w:tr w:rsidR="00A1321B" w:rsidRPr="008609D1" w14:paraId="06471451" w14:textId="77777777" w:rsidTr="00505CF2">
        <w:trPr>
          <w:trHeight w:val="340"/>
          <w:jc w:val="center"/>
        </w:trPr>
        <w:tc>
          <w:tcPr>
            <w:tcW w:w="1363" w:type="pct"/>
            <w:shd w:val="clear" w:color="auto" w:fill="D0D1DB"/>
            <w:noWrap/>
            <w:vAlign w:val="center"/>
            <w:hideMark/>
          </w:tcPr>
          <w:p w14:paraId="21CF0068"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regionales - regionales</w:t>
            </w:r>
          </w:p>
        </w:tc>
        <w:tc>
          <w:tcPr>
            <w:tcW w:w="3637" w:type="pct"/>
            <w:vAlign w:val="center"/>
            <w:hideMark/>
          </w:tcPr>
          <w:p w14:paraId="1D4F4CEE"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 transmisión entre centrales regionales</w:t>
            </w:r>
            <w:r>
              <w:rPr>
                <w:rFonts w:ascii="ITC Avant Garde" w:eastAsia="Times New Roman" w:hAnsi="ITC Avant Garde" w:cs="Arial"/>
                <w:sz w:val="20"/>
                <w:lang w:val="es-ES" w:eastAsia="es-ES"/>
              </w:rPr>
              <w:t>.</w:t>
            </w:r>
          </w:p>
        </w:tc>
      </w:tr>
      <w:tr w:rsidR="00A1321B" w:rsidRPr="008609D1" w14:paraId="3291E4BD" w14:textId="77777777" w:rsidTr="00505CF2">
        <w:trPr>
          <w:trHeight w:val="340"/>
          <w:jc w:val="center"/>
        </w:trPr>
        <w:tc>
          <w:tcPr>
            <w:tcW w:w="1363" w:type="pct"/>
            <w:shd w:val="clear" w:color="auto" w:fill="D0D1DB"/>
            <w:noWrap/>
            <w:vAlign w:val="center"/>
            <w:hideMark/>
          </w:tcPr>
          <w:p w14:paraId="6FE31056"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regionales - nacionales</w:t>
            </w:r>
          </w:p>
        </w:tc>
        <w:tc>
          <w:tcPr>
            <w:tcW w:w="3637" w:type="pct"/>
            <w:vAlign w:val="center"/>
            <w:hideMark/>
          </w:tcPr>
          <w:p w14:paraId="74F693D2"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 transmisión entre centrales regionales y centrales nacionales</w:t>
            </w:r>
            <w:r>
              <w:rPr>
                <w:rFonts w:ascii="ITC Avant Garde" w:eastAsia="Times New Roman" w:hAnsi="ITC Avant Garde" w:cs="Arial"/>
                <w:sz w:val="20"/>
                <w:lang w:val="es-ES" w:eastAsia="es-ES"/>
              </w:rPr>
              <w:t>.</w:t>
            </w:r>
          </w:p>
        </w:tc>
      </w:tr>
      <w:tr w:rsidR="00A1321B" w:rsidRPr="008609D1" w14:paraId="3B9F6125" w14:textId="77777777" w:rsidTr="00505CF2">
        <w:trPr>
          <w:trHeight w:val="340"/>
          <w:jc w:val="center"/>
        </w:trPr>
        <w:tc>
          <w:tcPr>
            <w:tcW w:w="1363" w:type="pct"/>
            <w:shd w:val="clear" w:color="auto" w:fill="D0D1DB"/>
            <w:noWrap/>
            <w:vAlign w:val="center"/>
            <w:hideMark/>
          </w:tcPr>
          <w:p w14:paraId="2200ED78"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nacionales - nacionales</w:t>
            </w:r>
          </w:p>
        </w:tc>
        <w:tc>
          <w:tcPr>
            <w:tcW w:w="3637" w:type="pct"/>
            <w:vAlign w:val="center"/>
            <w:hideMark/>
          </w:tcPr>
          <w:p w14:paraId="18A2E106"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 transmisión entre centrales nacionales</w:t>
            </w:r>
            <w:r>
              <w:rPr>
                <w:rFonts w:ascii="ITC Avant Garde" w:eastAsia="Times New Roman" w:hAnsi="ITC Avant Garde" w:cs="Arial"/>
                <w:sz w:val="20"/>
                <w:lang w:val="es-ES" w:eastAsia="es-ES"/>
              </w:rPr>
              <w:t>.</w:t>
            </w:r>
          </w:p>
        </w:tc>
      </w:tr>
      <w:tr w:rsidR="00A1321B" w:rsidRPr="008609D1" w14:paraId="16310959" w14:textId="77777777" w:rsidTr="00505CF2">
        <w:trPr>
          <w:trHeight w:val="340"/>
          <w:jc w:val="center"/>
        </w:trPr>
        <w:tc>
          <w:tcPr>
            <w:tcW w:w="1363" w:type="pct"/>
            <w:shd w:val="clear" w:color="auto" w:fill="D0D1DB"/>
            <w:noWrap/>
            <w:vAlign w:val="center"/>
            <w:hideMark/>
          </w:tcPr>
          <w:p w14:paraId="6C5EAA98"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nacionales - core</w:t>
            </w:r>
          </w:p>
        </w:tc>
        <w:tc>
          <w:tcPr>
            <w:tcW w:w="3637" w:type="pct"/>
            <w:vAlign w:val="center"/>
            <w:hideMark/>
          </w:tcPr>
          <w:p w14:paraId="06C3877A"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 transmisión entre centrales nacionales y centrales de núcleo</w:t>
            </w:r>
            <w:r>
              <w:rPr>
                <w:rFonts w:ascii="ITC Avant Garde" w:eastAsia="Times New Roman" w:hAnsi="ITC Avant Garde" w:cs="Arial"/>
                <w:sz w:val="20"/>
                <w:lang w:val="es-ES" w:eastAsia="es-ES"/>
              </w:rPr>
              <w:t>.</w:t>
            </w:r>
          </w:p>
        </w:tc>
      </w:tr>
      <w:tr w:rsidR="00A1321B" w:rsidRPr="008609D1" w14:paraId="2CB8648E" w14:textId="77777777" w:rsidTr="00505CF2">
        <w:trPr>
          <w:trHeight w:val="340"/>
          <w:jc w:val="center"/>
        </w:trPr>
        <w:tc>
          <w:tcPr>
            <w:tcW w:w="1363" w:type="pct"/>
            <w:shd w:val="clear" w:color="auto" w:fill="D0D1DB"/>
            <w:noWrap/>
            <w:vAlign w:val="center"/>
            <w:hideMark/>
          </w:tcPr>
          <w:p w14:paraId="72404D62"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nacionales - internacional</w:t>
            </w:r>
          </w:p>
        </w:tc>
        <w:tc>
          <w:tcPr>
            <w:tcW w:w="3637" w:type="pct"/>
            <w:vAlign w:val="center"/>
            <w:hideMark/>
          </w:tcPr>
          <w:p w14:paraId="27E58F54"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 transmisión entre centrales nacionales y centrales de intercambio internacional</w:t>
            </w:r>
            <w:r>
              <w:rPr>
                <w:rFonts w:ascii="ITC Avant Garde" w:eastAsia="Times New Roman" w:hAnsi="ITC Avant Garde" w:cs="Arial"/>
                <w:sz w:val="20"/>
                <w:lang w:val="es-ES" w:eastAsia="es-ES"/>
              </w:rPr>
              <w:t>.</w:t>
            </w:r>
          </w:p>
        </w:tc>
      </w:tr>
      <w:tr w:rsidR="00A1321B" w:rsidRPr="008609D1" w14:paraId="202C47A0" w14:textId="77777777" w:rsidTr="00505CF2">
        <w:trPr>
          <w:trHeight w:val="340"/>
          <w:jc w:val="center"/>
        </w:trPr>
        <w:tc>
          <w:tcPr>
            <w:tcW w:w="1363" w:type="pct"/>
            <w:shd w:val="clear" w:color="auto" w:fill="D0D1DB"/>
            <w:noWrap/>
            <w:vAlign w:val="center"/>
            <w:hideMark/>
          </w:tcPr>
          <w:p w14:paraId="38F669A9"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lastRenderedPageBreak/>
              <w:t>Enlaces core - internacional</w:t>
            </w:r>
          </w:p>
        </w:tc>
        <w:tc>
          <w:tcPr>
            <w:tcW w:w="3637" w:type="pct"/>
            <w:vAlign w:val="center"/>
            <w:hideMark/>
          </w:tcPr>
          <w:p w14:paraId="60405C92"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 transmisión entre las centrales de núcleo y centrales de intercambio internacional</w:t>
            </w:r>
            <w:r>
              <w:rPr>
                <w:rFonts w:ascii="ITC Avant Garde" w:eastAsia="Times New Roman" w:hAnsi="ITC Avant Garde" w:cs="Arial"/>
                <w:sz w:val="20"/>
                <w:lang w:val="es-ES" w:eastAsia="es-ES"/>
              </w:rPr>
              <w:t>.</w:t>
            </w:r>
          </w:p>
        </w:tc>
      </w:tr>
      <w:tr w:rsidR="00A1321B" w:rsidRPr="008609D1" w14:paraId="2E21AE9B" w14:textId="77777777" w:rsidTr="00505CF2">
        <w:trPr>
          <w:trHeight w:val="340"/>
          <w:jc w:val="center"/>
        </w:trPr>
        <w:tc>
          <w:tcPr>
            <w:tcW w:w="1363" w:type="pct"/>
            <w:shd w:val="clear" w:color="auto" w:fill="D0D1DB"/>
            <w:noWrap/>
            <w:vAlign w:val="center"/>
            <w:hideMark/>
          </w:tcPr>
          <w:p w14:paraId="5DC47EE5" w14:textId="77777777" w:rsidR="00A1321B" w:rsidRPr="006D334F" w:rsidRDefault="00A1321B" w:rsidP="008B4286">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core - core</w:t>
            </w:r>
          </w:p>
        </w:tc>
        <w:tc>
          <w:tcPr>
            <w:tcW w:w="3637" w:type="pct"/>
            <w:vAlign w:val="center"/>
            <w:hideMark/>
          </w:tcPr>
          <w:p w14:paraId="5644F2C1"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Enlaces de transmisión entre centrales de núcleo</w:t>
            </w:r>
            <w:r>
              <w:rPr>
                <w:rFonts w:ascii="ITC Avant Garde" w:eastAsia="Times New Roman" w:hAnsi="ITC Avant Garde" w:cs="Arial"/>
                <w:sz w:val="20"/>
                <w:lang w:val="es-ES" w:eastAsia="es-ES"/>
              </w:rPr>
              <w:t>.</w:t>
            </w:r>
          </w:p>
        </w:tc>
      </w:tr>
      <w:tr w:rsidR="00A1321B" w:rsidRPr="008609D1" w14:paraId="490AA7B7" w14:textId="77777777" w:rsidTr="00505CF2">
        <w:trPr>
          <w:trHeight w:val="340"/>
          <w:jc w:val="center"/>
        </w:trPr>
        <w:tc>
          <w:tcPr>
            <w:tcW w:w="1363" w:type="pct"/>
            <w:shd w:val="clear" w:color="auto" w:fill="D0D1DB"/>
            <w:noWrap/>
            <w:vAlign w:val="center"/>
            <w:hideMark/>
          </w:tcPr>
          <w:p w14:paraId="5D3437A4"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submarinos nacionales</w:t>
            </w:r>
          </w:p>
        </w:tc>
        <w:tc>
          <w:tcPr>
            <w:tcW w:w="3637" w:type="pct"/>
            <w:vAlign w:val="center"/>
            <w:hideMark/>
          </w:tcPr>
          <w:p w14:paraId="3747656C"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de transmisión nacional a través de cables submarinos</w:t>
            </w:r>
            <w:r>
              <w:rPr>
                <w:rFonts w:ascii="ITC Avant Garde" w:eastAsia="Times New Roman" w:hAnsi="ITC Avant Garde" w:cs="Arial"/>
                <w:sz w:val="20"/>
                <w:lang w:val="es-ES" w:eastAsia="es-ES"/>
              </w:rPr>
              <w:t>.</w:t>
            </w:r>
          </w:p>
        </w:tc>
      </w:tr>
      <w:tr w:rsidR="00A1321B" w:rsidRPr="008609D1" w14:paraId="3E61F44B" w14:textId="77777777" w:rsidTr="00505CF2">
        <w:trPr>
          <w:trHeight w:val="340"/>
          <w:jc w:val="center"/>
        </w:trPr>
        <w:tc>
          <w:tcPr>
            <w:tcW w:w="1363" w:type="pct"/>
            <w:shd w:val="clear" w:color="auto" w:fill="D0D1DB"/>
            <w:noWrap/>
            <w:vAlign w:val="center"/>
            <w:hideMark/>
          </w:tcPr>
          <w:p w14:paraId="38D0FC43"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submarinos internacionales</w:t>
            </w:r>
          </w:p>
        </w:tc>
        <w:tc>
          <w:tcPr>
            <w:tcW w:w="3637" w:type="pct"/>
            <w:vAlign w:val="center"/>
            <w:hideMark/>
          </w:tcPr>
          <w:p w14:paraId="446A5594"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de transmisión internacional a través de cables submarinos</w:t>
            </w:r>
            <w:r>
              <w:rPr>
                <w:rFonts w:ascii="ITC Avant Garde" w:eastAsia="Times New Roman" w:hAnsi="ITC Avant Garde" w:cs="Arial"/>
                <w:sz w:val="20"/>
                <w:lang w:val="es-ES" w:eastAsia="es-ES"/>
              </w:rPr>
              <w:t>.</w:t>
            </w:r>
          </w:p>
        </w:tc>
      </w:tr>
      <w:tr w:rsidR="00A1321B" w:rsidRPr="008609D1" w14:paraId="0A11BE43" w14:textId="77777777" w:rsidTr="00505CF2">
        <w:trPr>
          <w:trHeight w:val="340"/>
          <w:jc w:val="center"/>
        </w:trPr>
        <w:tc>
          <w:tcPr>
            <w:tcW w:w="1363" w:type="pct"/>
            <w:shd w:val="clear" w:color="auto" w:fill="D0D1DB"/>
            <w:noWrap/>
            <w:vAlign w:val="center"/>
            <w:hideMark/>
          </w:tcPr>
          <w:p w14:paraId="4EE5BFCE"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enlaces</w:t>
            </w:r>
          </w:p>
        </w:tc>
        <w:tc>
          <w:tcPr>
            <w:tcW w:w="3637" w:type="pct"/>
            <w:vAlign w:val="center"/>
            <w:hideMark/>
          </w:tcPr>
          <w:p w14:paraId="5EFC2484"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enlaces de la red de transmisión fija</w:t>
            </w:r>
            <w:r>
              <w:rPr>
                <w:rFonts w:ascii="ITC Avant Garde" w:eastAsia="Times New Roman" w:hAnsi="ITC Avant Garde" w:cs="Arial"/>
                <w:sz w:val="20"/>
                <w:lang w:val="es-ES" w:eastAsia="es-ES"/>
              </w:rPr>
              <w:t>.</w:t>
            </w:r>
          </w:p>
        </w:tc>
      </w:tr>
      <w:tr w:rsidR="00A1321B" w:rsidRPr="008609D1" w14:paraId="177CE5E9" w14:textId="77777777" w:rsidTr="00505CF2">
        <w:trPr>
          <w:trHeight w:val="340"/>
          <w:jc w:val="center"/>
        </w:trPr>
        <w:tc>
          <w:tcPr>
            <w:tcW w:w="5000" w:type="pct"/>
            <w:gridSpan w:val="2"/>
            <w:shd w:val="clear" w:color="auto" w:fill="auto"/>
            <w:noWrap/>
            <w:vAlign w:val="center"/>
          </w:tcPr>
          <w:p w14:paraId="65BCCFCD"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535E45">
              <w:rPr>
                <w:rFonts w:ascii="ITC Avant Garde" w:eastAsia="Times New Roman" w:hAnsi="ITC Avant Garde" w:cs="Arial"/>
                <w:b/>
                <w:sz w:val="20"/>
                <w:lang w:val="en-GB" w:eastAsia="es-ES"/>
              </w:rPr>
              <w:t>Red de núcleo</w:t>
            </w:r>
          </w:p>
        </w:tc>
      </w:tr>
      <w:tr w:rsidR="00A1321B" w:rsidRPr="008609D1" w14:paraId="415FDE5E" w14:textId="77777777" w:rsidTr="00505CF2">
        <w:trPr>
          <w:trHeight w:val="340"/>
          <w:jc w:val="center"/>
        </w:trPr>
        <w:tc>
          <w:tcPr>
            <w:tcW w:w="1363" w:type="pct"/>
            <w:shd w:val="clear" w:color="auto" w:fill="D0D1DB"/>
            <w:noWrap/>
            <w:vAlign w:val="center"/>
            <w:hideMark/>
          </w:tcPr>
          <w:p w14:paraId="2D8CC77B" w14:textId="77777777" w:rsidR="00A1321B" w:rsidRPr="008609D1" w:rsidRDefault="00A1321B" w:rsidP="008B4286">
            <w:pPr>
              <w:spacing w:before="40" w:after="60" w:line="240" w:lineRule="auto"/>
              <w:rPr>
                <w:rFonts w:ascii="ITC Avant Garde" w:eastAsia="Times New Roman" w:hAnsi="ITC Avant Garde" w:cs="Arial"/>
                <w:sz w:val="20"/>
                <w:lang w:val="en-GB" w:eastAsia="es-ES"/>
              </w:rPr>
            </w:pPr>
            <w:r w:rsidRPr="008609D1">
              <w:rPr>
                <w:rFonts w:ascii="ITC Avant Garde" w:eastAsia="Times New Roman" w:hAnsi="ITC Avant Garde" w:cs="Arial"/>
                <w:i/>
                <w:sz w:val="20"/>
                <w:lang w:val="en-GB" w:eastAsia="es-ES"/>
              </w:rPr>
              <w:t>Call Session Control Function</w:t>
            </w:r>
            <w:r w:rsidRPr="008609D1">
              <w:rPr>
                <w:rFonts w:ascii="ITC Avant Garde" w:eastAsia="Times New Roman" w:hAnsi="ITC Avant Garde" w:cs="Arial"/>
                <w:sz w:val="20"/>
                <w:lang w:val="en-GB" w:eastAsia="es-ES"/>
              </w:rPr>
              <w:t xml:space="preserve"> (CSCF)</w:t>
            </w:r>
          </w:p>
        </w:tc>
        <w:tc>
          <w:tcPr>
            <w:tcW w:w="3637" w:type="pct"/>
            <w:vAlign w:val="center"/>
            <w:hideMark/>
          </w:tcPr>
          <w:p w14:paraId="0CCD7721"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responsables de la gestión y control de sesiones de llamada, incluyendo los tres componentes S-CSCF (</w:t>
            </w:r>
            <w:r w:rsidRPr="008609D1">
              <w:rPr>
                <w:rFonts w:ascii="ITC Avant Garde" w:eastAsia="Times New Roman" w:hAnsi="ITC Avant Garde" w:cs="Arial"/>
                <w:i/>
                <w:iCs/>
                <w:sz w:val="20"/>
                <w:lang w:val="es-ES" w:eastAsia="es-ES"/>
              </w:rPr>
              <w:t>Serving</w:t>
            </w:r>
            <w:r w:rsidRPr="008609D1">
              <w:rPr>
                <w:rFonts w:ascii="ITC Avant Garde" w:eastAsia="Times New Roman" w:hAnsi="ITC Avant Garde" w:cs="Arial"/>
                <w:sz w:val="20"/>
                <w:lang w:val="es-ES" w:eastAsia="es-ES"/>
              </w:rPr>
              <w:t xml:space="preserve"> CSCF), I-CSCF (</w:t>
            </w:r>
            <w:r w:rsidRPr="008609D1">
              <w:rPr>
                <w:rFonts w:ascii="ITC Avant Garde" w:eastAsia="Times New Roman" w:hAnsi="ITC Avant Garde" w:cs="Arial"/>
                <w:i/>
                <w:iCs/>
                <w:sz w:val="20"/>
                <w:lang w:val="es-ES" w:eastAsia="es-ES"/>
              </w:rPr>
              <w:t>Interrogating</w:t>
            </w:r>
            <w:r w:rsidRPr="008609D1">
              <w:rPr>
                <w:rFonts w:ascii="ITC Avant Garde" w:eastAsia="Times New Roman" w:hAnsi="ITC Avant Garde" w:cs="Arial"/>
                <w:sz w:val="20"/>
                <w:lang w:val="es-ES" w:eastAsia="es-ES"/>
              </w:rPr>
              <w:t xml:space="preserve"> CSCF) y P-CSCF (</w:t>
            </w:r>
            <w:r w:rsidRPr="008609D1">
              <w:rPr>
                <w:rFonts w:ascii="ITC Avant Garde" w:eastAsia="Times New Roman" w:hAnsi="ITC Avant Garde" w:cs="Arial"/>
                <w:i/>
                <w:iCs/>
                <w:sz w:val="20"/>
                <w:lang w:val="es-ES" w:eastAsia="es-ES"/>
              </w:rPr>
              <w:t>Proxy</w:t>
            </w:r>
            <w:r w:rsidRPr="008609D1">
              <w:rPr>
                <w:rFonts w:ascii="ITC Avant Garde" w:eastAsia="Times New Roman" w:hAnsi="ITC Avant Garde" w:cs="Arial"/>
                <w:sz w:val="20"/>
                <w:lang w:val="es-ES" w:eastAsia="es-ES"/>
              </w:rPr>
              <w:t xml:space="preserve"> CSCF)</w:t>
            </w:r>
            <w:r>
              <w:rPr>
                <w:rFonts w:ascii="ITC Avant Garde" w:eastAsia="Times New Roman" w:hAnsi="ITC Avant Garde" w:cs="Arial"/>
                <w:sz w:val="20"/>
                <w:lang w:val="es-ES" w:eastAsia="es-ES"/>
              </w:rPr>
              <w:t>.</w:t>
            </w:r>
          </w:p>
        </w:tc>
      </w:tr>
      <w:tr w:rsidR="00A1321B" w:rsidRPr="008609D1" w14:paraId="3E25D03F" w14:textId="77777777" w:rsidTr="00505CF2">
        <w:trPr>
          <w:trHeight w:val="340"/>
          <w:jc w:val="center"/>
        </w:trPr>
        <w:tc>
          <w:tcPr>
            <w:tcW w:w="1363" w:type="pct"/>
            <w:shd w:val="clear" w:color="auto" w:fill="D0D1DB"/>
            <w:noWrap/>
            <w:vAlign w:val="center"/>
            <w:hideMark/>
          </w:tcPr>
          <w:p w14:paraId="15E28A87" w14:textId="77777777" w:rsidR="00A1321B" w:rsidRPr="00D407F5" w:rsidRDefault="00A1321B" w:rsidP="008B4286">
            <w:pPr>
              <w:spacing w:before="40" w:after="60" w:line="240" w:lineRule="auto"/>
              <w:rPr>
                <w:rFonts w:ascii="ITC Avant Garde" w:eastAsia="Times New Roman" w:hAnsi="ITC Avant Garde" w:cs="Arial"/>
                <w:i/>
                <w:sz w:val="20"/>
                <w:lang w:val="en-GB" w:eastAsia="es-ES"/>
              </w:rPr>
            </w:pPr>
            <w:r w:rsidRPr="00D407F5">
              <w:rPr>
                <w:rFonts w:ascii="ITC Avant Garde" w:eastAsia="Times New Roman" w:hAnsi="ITC Avant Garde" w:cs="Arial"/>
                <w:i/>
                <w:sz w:val="20"/>
                <w:lang w:val="en-GB" w:eastAsia="es-ES"/>
              </w:rPr>
              <w:t>Home Subscriber Server (HSS)</w:t>
            </w:r>
          </w:p>
        </w:tc>
        <w:tc>
          <w:tcPr>
            <w:tcW w:w="3637" w:type="pct"/>
            <w:vAlign w:val="center"/>
            <w:hideMark/>
          </w:tcPr>
          <w:p w14:paraId="2EE9105F"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Componente que contiene la información de suscripción del usuario final que es requerida para el cifrado y la autenticación en una red móvil de cuarta generación.</w:t>
            </w:r>
          </w:p>
        </w:tc>
      </w:tr>
      <w:tr w:rsidR="00A1321B" w:rsidRPr="008609D1" w14:paraId="701E9F8A" w14:textId="77777777" w:rsidTr="00505CF2">
        <w:trPr>
          <w:trHeight w:val="340"/>
          <w:jc w:val="center"/>
        </w:trPr>
        <w:tc>
          <w:tcPr>
            <w:tcW w:w="1363" w:type="pct"/>
            <w:shd w:val="clear" w:color="auto" w:fill="D0D1DB"/>
            <w:noWrap/>
            <w:vAlign w:val="center"/>
            <w:hideMark/>
          </w:tcPr>
          <w:p w14:paraId="4BB2E285" w14:textId="77777777" w:rsidR="00A1321B" w:rsidRPr="00D407F5" w:rsidRDefault="00A1321B" w:rsidP="008B4286">
            <w:pPr>
              <w:spacing w:before="40" w:after="60" w:line="240" w:lineRule="auto"/>
              <w:rPr>
                <w:rFonts w:ascii="ITC Avant Garde" w:eastAsia="Times New Roman" w:hAnsi="ITC Avant Garde" w:cs="Arial"/>
                <w:i/>
                <w:sz w:val="20"/>
                <w:lang w:val="en-GB" w:eastAsia="es-ES"/>
              </w:rPr>
            </w:pPr>
            <w:r w:rsidRPr="008609D1">
              <w:rPr>
                <w:rFonts w:ascii="ITC Avant Garde" w:eastAsia="Times New Roman" w:hAnsi="ITC Avant Garde" w:cs="Arial"/>
                <w:i/>
                <w:sz w:val="20"/>
                <w:lang w:val="en-GB" w:eastAsia="es-ES"/>
              </w:rPr>
              <w:t>Interconnect Border Controller</w:t>
            </w:r>
            <w:r w:rsidRPr="00D407F5">
              <w:rPr>
                <w:rFonts w:ascii="ITC Avant Garde" w:eastAsia="Times New Roman" w:hAnsi="ITC Avant Garde" w:cs="Arial"/>
                <w:i/>
                <w:sz w:val="20"/>
                <w:lang w:val="en-GB" w:eastAsia="es-ES"/>
              </w:rPr>
              <w:t xml:space="preserve"> </w:t>
            </w:r>
            <w:r w:rsidRPr="008609D1">
              <w:rPr>
                <w:rFonts w:ascii="ITC Avant Garde" w:eastAsia="Times New Roman" w:hAnsi="ITC Avant Garde" w:cs="Arial"/>
                <w:i/>
                <w:sz w:val="20"/>
                <w:lang w:val="en-GB" w:eastAsia="es-ES"/>
              </w:rPr>
              <w:t>Function</w:t>
            </w:r>
            <w:r w:rsidRPr="00D407F5">
              <w:rPr>
                <w:rFonts w:ascii="ITC Avant Garde" w:eastAsia="Times New Roman" w:hAnsi="ITC Avant Garde" w:cs="Arial"/>
                <w:i/>
                <w:sz w:val="20"/>
                <w:lang w:val="en-GB" w:eastAsia="es-ES"/>
              </w:rPr>
              <w:t xml:space="preserve"> (IBCF)</w:t>
            </w:r>
          </w:p>
        </w:tc>
        <w:tc>
          <w:tcPr>
            <w:tcW w:w="3637" w:type="pct"/>
            <w:vAlign w:val="center"/>
            <w:hideMark/>
          </w:tcPr>
          <w:p w14:paraId="28A8D5CB"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 responsable del control de sesión en puntos de interconexión con otras redes de nueva generación (NGN)</w:t>
            </w:r>
            <w:r>
              <w:rPr>
                <w:rFonts w:ascii="ITC Avant Garde" w:eastAsia="Times New Roman" w:hAnsi="ITC Avant Garde" w:cs="Arial"/>
                <w:sz w:val="20"/>
                <w:lang w:val="es-ES" w:eastAsia="es-ES"/>
              </w:rPr>
              <w:t>.</w:t>
            </w:r>
          </w:p>
        </w:tc>
      </w:tr>
      <w:tr w:rsidR="00A1321B" w:rsidRPr="008609D1" w14:paraId="18883979" w14:textId="77777777" w:rsidTr="00505CF2">
        <w:trPr>
          <w:trHeight w:val="340"/>
          <w:jc w:val="center"/>
        </w:trPr>
        <w:tc>
          <w:tcPr>
            <w:tcW w:w="1363" w:type="pct"/>
            <w:shd w:val="clear" w:color="auto" w:fill="D0D1DB"/>
            <w:noWrap/>
            <w:vAlign w:val="center"/>
            <w:hideMark/>
          </w:tcPr>
          <w:p w14:paraId="61DB6652" w14:textId="77777777" w:rsidR="00A1321B" w:rsidRPr="00D407F5" w:rsidRDefault="00A1321B" w:rsidP="008B4286">
            <w:pPr>
              <w:spacing w:before="40" w:after="60" w:line="240" w:lineRule="auto"/>
              <w:rPr>
                <w:rFonts w:ascii="ITC Avant Garde" w:eastAsia="Times New Roman" w:hAnsi="ITC Avant Garde" w:cs="Arial"/>
                <w:i/>
                <w:sz w:val="20"/>
                <w:lang w:val="en-GB" w:eastAsia="es-ES"/>
              </w:rPr>
            </w:pPr>
            <w:r w:rsidRPr="008609D1">
              <w:rPr>
                <w:rFonts w:ascii="ITC Avant Garde" w:eastAsia="Times New Roman" w:hAnsi="ITC Avant Garde" w:cs="Arial"/>
                <w:i/>
                <w:sz w:val="20"/>
                <w:lang w:val="en-GB" w:eastAsia="es-ES"/>
              </w:rPr>
              <w:t>Breakout Gateway Control</w:t>
            </w:r>
            <w:r w:rsidRPr="00D407F5">
              <w:rPr>
                <w:rFonts w:ascii="ITC Avant Garde" w:eastAsia="Times New Roman" w:hAnsi="ITC Avant Garde" w:cs="Arial"/>
                <w:i/>
                <w:sz w:val="20"/>
                <w:lang w:val="en-GB" w:eastAsia="es-ES"/>
              </w:rPr>
              <w:t xml:space="preserve"> </w:t>
            </w:r>
            <w:r w:rsidRPr="008609D1">
              <w:rPr>
                <w:rFonts w:ascii="ITC Avant Garde" w:eastAsia="Times New Roman" w:hAnsi="ITC Avant Garde" w:cs="Arial"/>
                <w:i/>
                <w:sz w:val="20"/>
                <w:lang w:val="en-GB" w:eastAsia="es-ES"/>
              </w:rPr>
              <w:t>Function</w:t>
            </w:r>
            <w:r w:rsidRPr="00D407F5">
              <w:rPr>
                <w:rFonts w:ascii="ITC Avant Garde" w:eastAsia="Times New Roman" w:hAnsi="ITC Avant Garde" w:cs="Arial"/>
                <w:i/>
                <w:sz w:val="20"/>
                <w:lang w:val="en-GB" w:eastAsia="es-ES"/>
              </w:rPr>
              <w:t xml:space="preserve"> (BGCF)</w:t>
            </w:r>
          </w:p>
        </w:tc>
        <w:tc>
          <w:tcPr>
            <w:tcW w:w="3637" w:type="pct"/>
            <w:vAlign w:val="center"/>
            <w:hideMark/>
          </w:tcPr>
          <w:p w14:paraId="38F134ED"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Elemento responsable del enrutamiento de llamadas a destinos fuera de la red del concesionario. </w:t>
            </w:r>
          </w:p>
        </w:tc>
      </w:tr>
      <w:tr w:rsidR="00A1321B" w:rsidRPr="008609D1" w14:paraId="687A9E5F" w14:textId="77777777" w:rsidTr="00505CF2">
        <w:trPr>
          <w:trHeight w:val="340"/>
          <w:jc w:val="center"/>
        </w:trPr>
        <w:tc>
          <w:tcPr>
            <w:tcW w:w="1363" w:type="pct"/>
            <w:shd w:val="clear" w:color="auto" w:fill="D0D1DB"/>
            <w:noWrap/>
            <w:vAlign w:val="center"/>
            <w:hideMark/>
          </w:tcPr>
          <w:p w14:paraId="3D119479" w14:textId="77777777" w:rsidR="00A1321B" w:rsidRPr="00D407F5" w:rsidRDefault="00A1321B" w:rsidP="008B4286">
            <w:pPr>
              <w:spacing w:before="40" w:after="60" w:line="240" w:lineRule="auto"/>
              <w:rPr>
                <w:rFonts w:ascii="ITC Avant Garde" w:eastAsia="Times New Roman" w:hAnsi="ITC Avant Garde" w:cs="Arial"/>
                <w:i/>
                <w:sz w:val="20"/>
                <w:lang w:val="en-GB" w:eastAsia="es-ES"/>
              </w:rPr>
            </w:pPr>
            <w:r w:rsidRPr="008609D1">
              <w:rPr>
                <w:rFonts w:ascii="ITC Avant Garde" w:eastAsia="Times New Roman" w:hAnsi="ITC Avant Garde" w:cs="Arial"/>
                <w:i/>
                <w:sz w:val="20"/>
                <w:lang w:val="en-GB" w:eastAsia="es-ES"/>
              </w:rPr>
              <w:t>Media Gateway Controller Function</w:t>
            </w:r>
            <w:r w:rsidRPr="00D407F5">
              <w:rPr>
                <w:rFonts w:ascii="ITC Avant Garde" w:eastAsia="Times New Roman" w:hAnsi="ITC Avant Garde" w:cs="Arial"/>
                <w:i/>
                <w:sz w:val="20"/>
                <w:lang w:val="en-GB" w:eastAsia="es-ES"/>
              </w:rPr>
              <w:t xml:space="preserve"> (MGCF)</w:t>
            </w:r>
          </w:p>
        </w:tc>
        <w:tc>
          <w:tcPr>
            <w:tcW w:w="3637" w:type="pct"/>
            <w:vAlign w:val="center"/>
            <w:hideMark/>
          </w:tcPr>
          <w:p w14:paraId="6679C4AA"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Elemento responsable del control de los </w:t>
            </w:r>
            <w:r w:rsidRPr="008609D1">
              <w:rPr>
                <w:rFonts w:ascii="ITC Avant Garde" w:eastAsia="Times New Roman" w:hAnsi="ITC Avant Garde" w:cs="Arial"/>
                <w:i/>
                <w:iCs/>
                <w:sz w:val="20"/>
                <w:lang w:val="es-ES" w:eastAsia="es-ES"/>
              </w:rPr>
              <w:t>Media Gateways</w:t>
            </w:r>
            <w:r w:rsidRPr="008609D1">
              <w:rPr>
                <w:rFonts w:ascii="ITC Avant Garde" w:eastAsia="Times New Roman" w:hAnsi="ITC Avant Garde" w:cs="Arial"/>
                <w:sz w:val="20"/>
                <w:lang w:val="es-ES" w:eastAsia="es-ES"/>
              </w:rPr>
              <w:t xml:space="preserve"> (MGWs) utilizados para interconectar redes de nueva generación con la red telefónica conmutada (PSTN)</w:t>
            </w:r>
            <w:r>
              <w:rPr>
                <w:rFonts w:ascii="ITC Avant Garde" w:eastAsia="Times New Roman" w:hAnsi="ITC Avant Garde" w:cs="Arial"/>
                <w:sz w:val="20"/>
                <w:lang w:val="es-ES" w:eastAsia="es-ES"/>
              </w:rPr>
              <w:t>.</w:t>
            </w:r>
          </w:p>
        </w:tc>
      </w:tr>
      <w:tr w:rsidR="00A1321B" w:rsidRPr="008609D1" w14:paraId="743BA73A" w14:textId="77777777" w:rsidTr="00505CF2">
        <w:trPr>
          <w:trHeight w:val="340"/>
          <w:jc w:val="center"/>
        </w:trPr>
        <w:tc>
          <w:tcPr>
            <w:tcW w:w="1363" w:type="pct"/>
            <w:shd w:val="clear" w:color="auto" w:fill="D0D1DB"/>
            <w:noWrap/>
            <w:vAlign w:val="center"/>
            <w:hideMark/>
          </w:tcPr>
          <w:p w14:paraId="431AA2F0" w14:textId="77777777" w:rsidR="00A1321B" w:rsidRPr="00D407F5" w:rsidRDefault="00A1321B" w:rsidP="008B4286">
            <w:pPr>
              <w:spacing w:before="40" w:after="60" w:line="240" w:lineRule="auto"/>
              <w:rPr>
                <w:rFonts w:ascii="ITC Avant Garde" w:eastAsia="Times New Roman" w:hAnsi="ITC Avant Garde" w:cs="Arial"/>
                <w:i/>
                <w:sz w:val="20"/>
                <w:lang w:val="en-GB" w:eastAsia="es-ES"/>
              </w:rPr>
            </w:pPr>
            <w:r w:rsidRPr="008609D1">
              <w:rPr>
                <w:rFonts w:ascii="ITC Avant Garde" w:eastAsia="Times New Roman" w:hAnsi="ITC Avant Garde" w:cs="Arial"/>
                <w:i/>
                <w:sz w:val="20"/>
                <w:lang w:val="en-GB" w:eastAsia="es-ES"/>
              </w:rPr>
              <w:t>Access Gateway Control Function</w:t>
            </w:r>
            <w:r w:rsidRPr="00D407F5">
              <w:rPr>
                <w:rFonts w:ascii="ITC Avant Garde" w:eastAsia="Times New Roman" w:hAnsi="ITC Avant Garde" w:cs="Arial"/>
                <w:i/>
                <w:sz w:val="20"/>
                <w:lang w:val="en-GB" w:eastAsia="es-ES"/>
              </w:rPr>
              <w:t xml:space="preserve"> (AGCF)</w:t>
            </w:r>
          </w:p>
        </w:tc>
        <w:tc>
          <w:tcPr>
            <w:tcW w:w="3637" w:type="pct"/>
            <w:vAlign w:val="center"/>
            <w:hideMark/>
          </w:tcPr>
          <w:p w14:paraId="6FE9B7C3"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Elemento que controla los </w:t>
            </w:r>
            <w:r w:rsidRPr="008609D1">
              <w:rPr>
                <w:rFonts w:ascii="ITC Avant Garde" w:eastAsia="Times New Roman" w:hAnsi="ITC Avant Garde" w:cs="Arial"/>
                <w:i/>
                <w:iCs/>
                <w:sz w:val="20"/>
                <w:lang w:val="es-ES" w:eastAsia="es-ES"/>
              </w:rPr>
              <w:t>gateways</w:t>
            </w:r>
            <w:r w:rsidRPr="008609D1">
              <w:rPr>
                <w:rFonts w:ascii="ITC Avant Garde" w:eastAsia="Times New Roman" w:hAnsi="ITC Avant Garde" w:cs="Arial"/>
                <w:sz w:val="20"/>
                <w:lang w:val="es-ES" w:eastAsia="es-ES"/>
              </w:rPr>
              <w:t xml:space="preserve"> de acceso (AGWs) y soporta la señalización SIP para las redes de nueva generación. El AGCF tiene un rol equivalente al P-CSCF en redes TDM</w:t>
            </w:r>
            <w:r>
              <w:rPr>
                <w:rFonts w:ascii="ITC Avant Garde" w:eastAsia="Times New Roman" w:hAnsi="ITC Avant Garde" w:cs="Arial"/>
                <w:sz w:val="20"/>
                <w:lang w:val="es-ES" w:eastAsia="es-ES"/>
              </w:rPr>
              <w:t>.</w:t>
            </w:r>
          </w:p>
        </w:tc>
      </w:tr>
      <w:tr w:rsidR="00A1321B" w:rsidRPr="008609D1" w14:paraId="751AA502" w14:textId="77777777" w:rsidTr="00505CF2">
        <w:trPr>
          <w:trHeight w:val="340"/>
          <w:jc w:val="center"/>
        </w:trPr>
        <w:tc>
          <w:tcPr>
            <w:tcW w:w="1363" w:type="pct"/>
            <w:shd w:val="clear" w:color="auto" w:fill="D0D1DB"/>
            <w:noWrap/>
            <w:vAlign w:val="center"/>
            <w:hideMark/>
          </w:tcPr>
          <w:p w14:paraId="2F8B51C9" w14:textId="77777777" w:rsidR="00A1321B" w:rsidRPr="00D407F5" w:rsidRDefault="00A1321B" w:rsidP="008B4286">
            <w:pPr>
              <w:spacing w:before="40" w:after="60" w:line="240" w:lineRule="auto"/>
              <w:rPr>
                <w:rFonts w:ascii="ITC Avant Garde" w:eastAsia="Times New Roman" w:hAnsi="ITC Avant Garde" w:cs="Arial"/>
                <w:i/>
                <w:sz w:val="20"/>
                <w:lang w:val="en-GB" w:eastAsia="es-ES"/>
              </w:rPr>
            </w:pPr>
            <w:r w:rsidRPr="00D407F5">
              <w:rPr>
                <w:rFonts w:ascii="ITC Avant Garde" w:eastAsia="Times New Roman" w:hAnsi="ITC Avant Garde" w:cs="Arial"/>
                <w:i/>
                <w:sz w:val="20"/>
                <w:lang w:val="en-GB" w:eastAsia="es-ES"/>
              </w:rPr>
              <w:t>Media Gateway (MGW)</w:t>
            </w:r>
          </w:p>
        </w:tc>
        <w:tc>
          <w:tcPr>
            <w:tcW w:w="3637" w:type="pct"/>
            <w:vAlign w:val="center"/>
            <w:hideMark/>
          </w:tcPr>
          <w:p w14:paraId="0ECD4D49"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Componente que funge como interfaz de traducción bidireccional entre una red de conmutación de paquetes y una red de conmutación de circuitos</w:t>
            </w:r>
            <w:r>
              <w:rPr>
                <w:rFonts w:ascii="ITC Avant Garde" w:eastAsia="Times New Roman" w:hAnsi="ITC Avant Garde" w:cs="Arial"/>
                <w:sz w:val="20"/>
                <w:lang w:val="es-ES" w:eastAsia="es-ES"/>
              </w:rPr>
              <w:t>.</w:t>
            </w:r>
          </w:p>
        </w:tc>
      </w:tr>
      <w:tr w:rsidR="00A1321B" w:rsidRPr="008609D1" w14:paraId="256EEA26" w14:textId="77777777" w:rsidTr="00505CF2">
        <w:trPr>
          <w:trHeight w:val="340"/>
          <w:jc w:val="center"/>
        </w:trPr>
        <w:tc>
          <w:tcPr>
            <w:tcW w:w="1363" w:type="pct"/>
            <w:shd w:val="clear" w:color="auto" w:fill="D0D1DB"/>
            <w:noWrap/>
            <w:vAlign w:val="center"/>
            <w:hideMark/>
          </w:tcPr>
          <w:p w14:paraId="1A394679"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i/>
                <w:sz w:val="20"/>
                <w:lang w:val="es-ES" w:eastAsia="es-ES"/>
              </w:rPr>
              <w:t>Access Gateway</w:t>
            </w:r>
            <w:r w:rsidRPr="008609D1">
              <w:rPr>
                <w:rFonts w:ascii="ITC Avant Garde" w:eastAsia="Times New Roman" w:hAnsi="ITC Avant Garde" w:cs="Arial"/>
                <w:sz w:val="20"/>
                <w:lang w:val="es-ES" w:eastAsia="es-ES"/>
              </w:rPr>
              <w:t xml:space="preserve"> (AGW)</w:t>
            </w:r>
          </w:p>
        </w:tc>
        <w:tc>
          <w:tcPr>
            <w:tcW w:w="3637" w:type="pct"/>
            <w:vAlign w:val="center"/>
            <w:hideMark/>
          </w:tcPr>
          <w:p w14:paraId="22515677"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 que permite recibir datos de redes de acceso TDM.</w:t>
            </w:r>
          </w:p>
        </w:tc>
      </w:tr>
      <w:tr w:rsidR="00A1321B" w:rsidRPr="008609D1" w14:paraId="77C3B50A" w14:textId="77777777" w:rsidTr="00505CF2">
        <w:trPr>
          <w:trHeight w:val="340"/>
          <w:jc w:val="center"/>
        </w:trPr>
        <w:tc>
          <w:tcPr>
            <w:tcW w:w="1363" w:type="pct"/>
            <w:shd w:val="clear" w:color="auto" w:fill="D0D1DB"/>
            <w:noWrap/>
            <w:vAlign w:val="center"/>
            <w:hideMark/>
          </w:tcPr>
          <w:p w14:paraId="2B198242" w14:textId="77777777" w:rsidR="00A1321B" w:rsidRPr="008609D1" w:rsidRDefault="00A1321B" w:rsidP="008B4286">
            <w:pPr>
              <w:spacing w:before="40" w:after="60" w:line="240" w:lineRule="auto"/>
              <w:rPr>
                <w:rFonts w:ascii="ITC Avant Garde" w:eastAsia="Times New Roman" w:hAnsi="ITC Avant Garde" w:cs="Arial"/>
                <w:sz w:val="20"/>
                <w:lang w:val="en-GB" w:eastAsia="es-ES"/>
              </w:rPr>
            </w:pPr>
            <w:r w:rsidRPr="00154F13">
              <w:rPr>
                <w:rFonts w:ascii="ITC Avant Garde" w:eastAsia="Times New Roman" w:hAnsi="ITC Avant Garde" w:cs="Arial"/>
                <w:i/>
                <w:sz w:val="20"/>
                <w:lang w:val="en-US" w:eastAsia="es-ES"/>
              </w:rPr>
              <w:t>Broadband Remote</w:t>
            </w:r>
            <w:r w:rsidRPr="008609D1">
              <w:rPr>
                <w:rFonts w:ascii="ITC Avant Garde" w:eastAsia="Times New Roman" w:hAnsi="ITC Avant Garde" w:cs="Arial"/>
                <w:i/>
                <w:sz w:val="20"/>
                <w:lang w:val="en-GB" w:eastAsia="es-ES"/>
              </w:rPr>
              <w:t xml:space="preserve"> Access Server</w:t>
            </w:r>
            <w:r w:rsidRPr="008609D1">
              <w:rPr>
                <w:rFonts w:ascii="ITC Avant Garde" w:eastAsia="Times New Roman" w:hAnsi="ITC Avant Garde" w:cs="Arial"/>
                <w:sz w:val="20"/>
                <w:lang w:val="en-GB" w:eastAsia="es-ES"/>
              </w:rPr>
              <w:t xml:space="preserve"> (BRAS)</w:t>
            </w:r>
          </w:p>
        </w:tc>
        <w:tc>
          <w:tcPr>
            <w:tcW w:w="3637" w:type="pct"/>
            <w:vAlign w:val="center"/>
            <w:hideMark/>
          </w:tcPr>
          <w:p w14:paraId="0CA6D846"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eastAsia="es-ES"/>
              </w:rPr>
              <w:t>Componente que funciona como punto de agregación para el tráfico de abonados. Además, proporciona capacidades de agregación (e.g., IP, point-to-point protocol, Ethernet) entre la red de acceso y la red central.</w:t>
            </w:r>
          </w:p>
        </w:tc>
      </w:tr>
      <w:tr w:rsidR="00A1321B" w:rsidRPr="008609D1" w14:paraId="367788FB" w14:textId="77777777" w:rsidTr="00505CF2">
        <w:trPr>
          <w:trHeight w:val="340"/>
          <w:jc w:val="center"/>
        </w:trPr>
        <w:tc>
          <w:tcPr>
            <w:tcW w:w="1363" w:type="pct"/>
            <w:shd w:val="clear" w:color="auto" w:fill="D0D1DB"/>
            <w:noWrap/>
            <w:vAlign w:val="center"/>
            <w:hideMark/>
          </w:tcPr>
          <w:p w14:paraId="2A054901"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i/>
                <w:sz w:val="20"/>
                <w:lang w:val="es-ES" w:eastAsia="es-ES"/>
              </w:rPr>
              <w:t>Session Border Controller</w:t>
            </w:r>
            <w:r w:rsidRPr="008609D1">
              <w:rPr>
                <w:rFonts w:ascii="ITC Avant Garde" w:eastAsia="Times New Roman" w:hAnsi="ITC Avant Garde" w:cs="Arial"/>
                <w:sz w:val="20"/>
                <w:lang w:val="es-ES" w:eastAsia="es-ES"/>
              </w:rPr>
              <w:t xml:space="preserve"> (SBC)</w:t>
            </w:r>
          </w:p>
        </w:tc>
        <w:tc>
          <w:tcPr>
            <w:tcW w:w="3637" w:type="pct"/>
            <w:vAlign w:val="center"/>
            <w:hideMark/>
          </w:tcPr>
          <w:p w14:paraId="27CE7552"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Elemento responsable del control de la señalización y flujos de datos requeridos para inicializar, mantener y desconectar llamadas de voz o cualquier otro tipo de sesión multimedia basada en IP</w:t>
            </w:r>
            <w:r>
              <w:rPr>
                <w:rFonts w:ascii="ITC Avant Garde" w:eastAsia="Times New Roman" w:hAnsi="ITC Avant Garde" w:cs="Arial"/>
                <w:sz w:val="20"/>
                <w:lang w:val="es-ES" w:eastAsia="es-ES"/>
              </w:rPr>
              <w:t>.</w:t>
            </w:r>
          </w:p>
        </w:tc>
      </w:tr>
      <w:tr w:rsidR="00A1321B" w:rsidRPr="008609D1" w14:paraId="5AD49FEC" w14:textId="77777777" w:rsidTr="00505CF2">
        <w:trPr>
          <w:trHeight w:val="340"/>
          <w:jc w:val="center"/>
        </w:trPr>
        <w:tc>
          <w:tcPr>
            <w:tcW w:w="1363" w:type="pct"/>
            <w:shd w:val="clear" w:color="auto" w:fill="D0D1DB"/>
            <w:noWrap/>
            <w:vAlign w:val="center"/>
            <w:hideMark/>
          </w:tcPr>
          <w:p w14:paraId="22CED5E2"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i/>
                <w:sz w:val="20"/>
                <w:lang w:val="es-ES" w:eastAsia="es-ES"/>
              </w:rPr>
              <w:t>Voicemail System</w:t>
            </w:r>
            <w:r w:rsidRPr="008609D1">
              <w:rPr>
                <w:rFonts w:ascii="ITC Avant Garde" w:eastAsia="Times New Roman" w:hAnsi="ITC Avant Garde" w:cs="Arial"/>
                <w:sz w:val="20"/>
                <w:lang w:val="es-ES" w:eastAsia="es-ES"/>
              </w:rPr>
              <w:t xml:space="preserve"> (VMS)</w:t>
            </w:r>
          </w:p>
        </w:tc>
        <w:tc>
          <w:tcPr>
            <w:tcW w:w="3637" w:type="pct"/>
            <w:vAlign w:val="center"/>
            <w:hideMark/>
          </w:tcPr>
          <w:p w14:paraId="73F00AA0" w14:textId="2B4AE593"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Sistema que permite a los usuarios y suscriptores intercambiar mensajes de voz personales y gestionar el buzón de voz de los suscriptores</w:t>
            </w:r>
            <w:r>
              <w:rPr>
                <w:rFonts w:ascii="ITC Avant Garde" w:eastAsia="Times New Roman" w:hAnsi="ITC Avant Garde" w:cs="Arial"/>
                <w:sz w:val="20"/>
                <w:lang w:val="es-ES" w:eastAsia="es-ES"/>
              </w:rPr>
              <w:t>.</w:t>
            </w:r>
          </w:p>
        </w:tc>
      </w:tr>
      <w:tr w:rsidR="00A1321B" w:rsidRPr="008609D1" w14:paraId="0C475CDE" w14:textId="77777777" w:rsidTr="00505CF2">
        <w:trPr>
          <w:trHeight w:val="340"/>
          <w:jc w:val="center"/>
        </w:trPr>
        <w:tc>
          <w:tcPr>
            <w:tcW w:w="1363" w:type="pct"/>
            <w:shd w:val="clear" w:color="auto" w:fill="D0D1DB"/>
            <w:noWrap/>
            <w:vAlign w:val="center"/>
            <w:hideMark/>
          </w:tcPr>
          <w:p w14:paraId="2A080E0E"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i/>
                <w:sz w:val="20"/>
                <w:lang w:val="es-ES" w:eastAsia="es-ES"/>
              </w:rPr>
              <w:lastRenderedPageBreak/>
              <w:t>Application Server</w:t>
            </w:r>
            <w:r w:rsidRPr="008609D1">
              <w:rPr>
                <w:rFonts w:ascii="ITC Avant Garde" w:eastAsia="Times New Roman" w:hAnsi="ITC Avant Garde" w:cs="Arial"/>
                <w:sz w:val="20"/>
                <w:lang w:val="es-ES" w:eastAsia="es-ES"/>
              </w:rPr>
              <w:t xml:space="preserve"> (AS)</w:t>
            </w:r>
          </w:p>
        </w:tc>
        <w:tc>
          <w:tcPr>
            <w:tcW w:w="3637" w:type="pct"/>
            <w:vAlign w:val="center"/>
            <w:hideMark/>
          </w:tcPr>
          <w:p w14:paraId="12100974"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 que permite realizar servicios de voz y multimedia sobre sesiones establecidas</w:t>
            </w:r>
            <w:r>
              <w:rPr>
                <w:rFonts w:ascii="ITC Avant Garde" w:eastAsia="Times New Roman" w:hAnsi="ITC Avant Garde" w:cs="Arial"/>
                <w:sz w:val="20"/>
                <w:lang w:val="es-ES" w:eastAsia="es-ES"/>
              </w:rPr>
              <w:t>.</w:t>
            </w:r>
          </w:p>
        </w:tc>
      </w:tr>
      <w:tr w:rsidR="00A1321B" w:rsidRPr="008609D1" w14:paraId="4D88D6C5" w14:textId="77777777" w:rsidTr="00505CF2">
        <w:trPr>
          <w:trHeight w:val="340"/>
          <w:jc w:val="center"/>
        </w:trPr>
        <w:tc>
          <w:tcPr>
            <w:tcW w:w="1363" w:type="pct"/>
            <w:shd w:val="clear" w:color="auto" w:fill="D0D1DB"/>
            <w:noWrap/>
            <w:vAlign w:val="center"/>
            <w:hideMark/>
          </w:tcPr>
          <w:p w14:paraId="28C26D31" w14:textId="77777777" w:rsidR="00A1321B" w:rsidRPr="008609D1" w:rsidRDefault="00A1321B" w:rsidP="008B4286">
            <w:pPr>
              <w:spacing w:before="40" w:after="60" w:line="240" w:lineRule="auto"/>
              <w:rPr>
                <w:rFonts w:ascii="ITC Avant Garde" w:eastAsia="Times New Roman" w:hAnsi="ITC Avant Garde" w:cs="Arial"/>
                <w:i/>
                <w:sz w:val="20"/>
                <w:lang w:val="es-ES" w:eastAsia="es-ES"/>
              </w:rPr>
            </w:pPr>
            <w:r w:rsidRPr="008609D1">
              <w:rPr>
                <w:rFonts w:ascii="ITC Avant Garde" w:eastAsia="Times New Roman" w:hAnsi="ITC Avant Garde" w:cs="Arial"/>
                <w:i/>
                <w:sz w:val="20"/>
                <w:lang w:val="es-ES" w:eastAsia="es-ES"/>
              </w:rPr>
              <w:t>DNS Server</w:t>
            </w:r>
          </w:p>
        </w:tc>
        <w:tc>
          <w:tcPr>
            <w:tcW w:w="3637" w:type="pct"/>
            <w:vAlign w:val="center"/>
            <w:hideMark/>
          </w:tcPr>
          <w:p w14:paraId="45E3C1A6"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Base de datos que contiene la información necesaria para traducir los nombres de dominios del Internet a sus direcciones IP</w:t>
            </w:r>
            <w:r>
              <w:rPr>
                <w:rFonts w:ascii="ITC Avant Garde" w:eastAsia="Times New Roman" w:hAnsi="ITC Avant Garde" w:cs="Arial"/>
                <w:sz w:val="20"/>
                <w:lang w:val="es-ES" w:eastAsia="es-ES"/>
              </w:rPr>
              <w:t>.</w:t>
            </w:r>
            <w:r w:rsidRPr="008609D1">
              <w:rPr>
                <w:rFonts w:ascii="ITC Avant Garde" w:eastAsia="Times New Roman" w:hAnsi="ITC Avant Garde" w:cs="Arial"/>
                <w:sz w:val="20"/>
                <w:lang w:val="es-ES" w:eastAsia="es-ES"/>
              </w:rPr>
              <w:t xml:space="preserve"> </w:t>
            </w:r>
          </w:p>
        </w:tc>
      </w:tr>
      <w:tr w:rsidR="00A1321B" w:rsidRPr="008609D1" w14:paraId="40EFC64F" w14:textId="77777777" w:rsidTr="00505CF2">
        <w:trPr>
          <w:trHeight w:val="340"/>
          <w:jc w:val="center"/>
        </w:trPr>
        <w:tc>
          <w:tcPr>
            <w:tcW w:w="1363" w:type="pct"/>
            <w:shd w:val="clear" w:color="auto" w:fill="D0D1DB"/>
            <w:noWrap/>
            <w:vAlign w:val="center"/>
            <w:hideMark/>
          </w:tcPr>
          <w:p w14:paraId="15A418C3"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Plataformas IPTV </w:t>
            </w:r>
          </w:p>
        </w:tc>
        <w:tc>
          <w:tcPr>
            <w:tcW w:w="3637" w:type="pct"/>
            <w:vAlign w:val="center"/>
            <w:hideMark/>
          </w:tcPr>
          <w:p w14:paraId="5356B878"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Plataformas utilizadas por los operadores de telecomunicaciones para proveer servicios de IPTV</w:t>
            </w:r>
            <w:r w:rsidRPr="008609D1">
              <w:rPr>
                <w:rFonts w:ascii="ITC Avant Garde" w:eastAsia="Times New Roman" w:hAnsi="ITC Avant Garde" w:cs="Arial"/>
                <w:sz w:val="20"/>
                <w:vertAlign w:val="superscript"/>
                <w:lang w:val="es-ES" w:eastAsia="es-ES"/>
              </w:rPr>
              <w:footnoteReference w:id="34"/>
            </w:r>
            <w:r>
              <w:rPr>
                <w:rFonts w:ascii="ITC Avant Garde" w:eastAsia="Times New Roman" w:hAnsi="ITC Avant Garde" w:cs="Arial"/>
                <w:sz w:val="20"/>
                <w:lang w:val="es-ES" w:eastAsia="es-ES"/>
              </w:rPr>
              <w:t>.</w:t>
            </w:r>
          </w:p>
        </w:tc>
      </w:tr>
      <w:tr w:rsidR="00A1321B" w:rsidRPr="008609D1" w14:paraId="47CF5A16" w14:textId="77777777" w:rsidTr="00505CF2">
        <w:trPr>
          <w:trHeight w:val="340"/>
          <w:jc w:val="center"/>
        </w:trPr>
        <w:tc>
          <w:tcPr>
            <w:tcW w:w="1363" w:type="pct"/>
            <w:shd w:val="clear" w:color="auto" w:fill="D0D1DB"/>
            <w:noWrap/>
            <w:vAlign w:val="center"/>
            <w:hideMark/>
          </w:tcPr>
          <w:p w14:paraId="4997A20F"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Facturador</w:t>
            </w:r>
          </w:p>
        </w:tc>
        <w:tc>
          <w:tcPr>
            <w:tcW w:w="3637" w:type="pct"/>
            <w:vAlign w:val="center"/>
            <w:hideMark/>
          </w:tcPr>
          <w:p w14:paraId="5930FFBA"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 responsable de recoger y tratar los eventos de facturación</w:t>
            </w:r>
            <w:r>
              <w:rPr>
                <w:rFonts w:ascii="ITC Avant Garde" w:eastAsia="Times New Roman" w:hAnsi="ITC Avant Garde" w:cs="Arial"/>
                <w:sz w:val="20"/>
                <w:lang w:val="es-ES" w:eastAsia="es-ES"/>
              </w:rPr>
              <w:t>.</w:t>
            </w:r>
          </w:p>
        </w:tc>
      </w:tr>
      <w:tr w:rsidR="00A1321B" w:rsidRPr="008609D1" w14:paraId="6DB95B83" w14:textId="77777777" w:rsidTr="00505CF2">
        <w:trPr>
          <w:trHeight w:val="340"/>
          <w:jc w:val="center"/>
        </w:trPr>
        <w:tc>
          <w:tcPr>
            <w:tcW w:w="1363" w:type="pct"/>
            <w:shd w:val="clear" w:color="auto" w:fill="D0D1DB"/>
            <w:noWrap/>
            <w:vAlign w:val="center"/>
            <w:hideMark/>
          </w:tcPr>
          <w:p w14:paraId="78BFDDD3"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núcleo</w:t>
            </w:r>
          </w:p>
        </w:tc>
        <w:tc>
          <w:tcPr>
            <w:tcW w:w="3637" w:type="pct"/>
            <w:vAlign w:val="center"/>
            <w:hideMark/>
          </w:tcPr>
          <w:p w14:paraId="73ADCDB4"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la red de núcleo fijo</w:t>
            </w:r>
            <w:r>
              <w:rPr>
                <w:rFonts w:ascii="ITC Avant Garde" w:eastAsia="Times New Roman" w:hAnsi="ITC Avant Garde" w:cs="Arial"/>
                <w:sz w:val="20"/>
                <w:lang w:val="es-ES" w:eastAsia="es-ES"/>
              </w:rPr>
              <w:t>.</w:t>
            </w:r>
          </w:p>
        </w:tc>
      </w:tr>
      <w:tr w:rsidR="00A1321B" w:rsidRPr="008609D1" w14:paraId="30BD37D7" w14:textId="77777777" w:rsidTr="00505CF2">
        <w:trPr>
          <w:trHeight w:val="340"/>
          <w:jc w:val="center"/>
        </w:trPr>
        <w:tc>
          <w:tcPr>
            <w:tcW w:w="5000" w:type="pct"/>
            <w:gridSpan w:val="2"/>
            <w:shd w:val="clear" w:color="auto" w:fill="auto"/>
            <w:noWrap/>
            <w:vAlign w:val="center"/>
          </w:tcPr>
          <w:p w14:paraId="7AF8AACB"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535E45">
              <w:rPr>
                <w:rFonts w:ascii="ITC Avant Garde" w:eastAsia="Times New Roman" w:hAnsi="ITC Avant Garde" w:cs="Arial"/>
                <w:b/>
                <w:sz w:val="20"/>
                <w:lang w:val="es-ES" w:eastAsia="es-ES"/>
              </w:rPr>
              <w:t>Componentes no relacionados con la red</w:t>
            </w:r>
          </w:p>
        </w:tc>
      </w:tr>
      <w:tr w:rsidR="00A1321B" w:rsidRPr="008609D1" w14:paraId="7AADBE00" w14:textId="77777777" w:rsidTr="00505CF2">
        <w:trPr>
          <w:trHeight w:val="340"/>
          <w:jc w:val="center"/>
        </w:trPr>
        <w:tc>
          <w:tcPr>
            <w:tcW w:w="1363" w:type="pct"/>
            <w:shd w:val="clear" w:color="auto" w:fill="D0D1DB"/>
            <w:noWrap/>
            <w:vAlign w:val="center"/>
            <w:hideMark/>
          </w:tcPr>
          <w:p w14:paraId="661403F3"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637" w:type="pct"/>
            <w:vAlign w:val="center"/>
            <w:hideMark/>
          </w:tcPr>
          <w:p w14:paraId="28E8811B" w14:textId="73560CEB" w:rsidR="00A1321B" w:rsidRPr="008609D1" w:rsidRDefault="00A1321B" w:rsidP="0024299C">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Funciones comerciales tal</w:t>
            </w:r>
            <w:r w:rsidR="0024299C">
              <w:rPr>
                <w:rFonts w:ascii="ITC Avant Garde" w:eastAsia="Times New Roman" w:hAnsi="ITC Avant Garde" w:cs="Arial"/>
                <w:sz w:val="20"/>
                <w:lang w:val="es-ES" w:eastAsia="es-ES"/>
              </w:rPr>
              <w:t>es</w:t>
            </w:r>
            <w:r w:rsidRPr="008609D1">
              <w:rPr>
                <w:rFonts w:ascii="ITC Avant Garde" w:eastAsia="Times New Roman" w:hAnsi="ITC Avant Garde" w:cs="Arial"/>
                <w:sz w:val="20"/>
                <w:lang w:val="es-ES" w:eastAsia="es-ES"/>
              </w:rPr>
              <w:t xml:space="preserve"> como adquisición y mantenimiento de clientes, publicidad, marca, desarrollo de productos, etc.</w:t>
            </w:r>
          </w:p>
        </w:tc>
      </w:tr>
      <w:tr w:rsidR="00A1321B" w:rsidRPr="008609D1" w14:paraId="65FA4C58" w14:textId="77777777" w:rsidTr="00505CF2">
        <w:trPr>
          <w:trHeight w:val="340"/>
          <w:jc w:val="center"/>
        </w:trPr>
        <w:tc>
          <w:tcPr>
            <w:tcW w:w="1363" w:type="pct"/>
            <w:shd w:val="clear" w:color="auto" w:fill="D0D1DB"/>
            <w:noWrap/>
            <w:vAlign w:val="center"/>
            <w:hideMark/>
          </w:tcPr>
          <w:p w14:paraId="765EF3FE"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w:t>
            </w:r>
          </w:p>
        </w:tc>
        <w:tc>
          <w:tcPr>
            <w:tcW w:w="3637" w:type="pct"/>
            <w:vAlign w:val="center"/>
            <w:hideMark/>
          </w:tcPr>
          <w:p w14:paraId="33C349FD"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Control y gestión de la facturación a usuarios finales</w:t>
            </w:r>
            <w:r>
              <w:rPr>
                <w:rFonts w:ascii="ITC Avant Garde" w:eastAsia="Times New Roman" w:hAnsi="ITC Avant Garde" w:cs="Arial"/>
                <w:sz w:val="20"/>
                <w:lang w:val="es-ES" w:eastAsia="es-ES"/>
              </w:rPr>
              <w:t>.</w:t>
            </w:r>
          </w:p>
        </w:tc>
      </w:tr>
      <w:tr w:rsidR="00A1321B" w:rsidRPr="008609D1" w14:paraId="7175B115" w14:textId="77777777" w:rsidTr="00505CF2">
        <w:trPr>
          <w:trHeight w:val="340"/>
          <w:jc w:val="center"/>
        </w:trPr>
        <w:tc>
          <w:tcPr>
            <w:tcW w:w="1363" w:type="pct"/>
            <w:shd w:val="clear" w:color="auto" w:fill="D0D1DB"/>
            <w:noWrap/>
            <w:vAlign w:val="center"/>
            <w:hideMark/>
          </w:tcPr>
          <w:p w14:paraId="4E4FB937"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Cobranza</w:t>
            </w:r>
          </w:p>
        </w:tc>
        <w:tc>
          <w:tcPr>
            <w:tcW w:w="3637" w:type="pct"/>
            <w:vAlign w:val="center"/>
            <w:hideMark/>
          </w:tcPr>
          <w:p w14:paraId="63814660"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Control y gestión del cobro a usuarios finales</w:t>
            </w:r>
            <w:r>
              <w:rPr>
                <w:rFonts w:ascii="ITC Avant Garde" w:eastAsia="Times New Roman" w:hAnsi="ITC Avant Garde" w:cs="Arial"/>
                <w:sz w:val="20"/>
                <w:lang w:val="es-ES" w:eastAsia="es-ES"/>
              </w:rPr>
              <w:t>.</w:t>
            </w:r>
          </w:p>
        </w:tc>
      </w:tr>
      <w:tr w:rsidR="00A1321B" w:rsidRPr="008609D1" w14:paraId="5C070A47" w14:textId="77777777" w:rsidTr="00505CF2">
        <w:trPr>
          <w:trHeight w:val="340"/>
          <w:jc w:val="center"/>
        </w:trPr>
        <w:tc>
          <w:tcPr>
            <w:tcW w:w="1363" w:type="pct"/>
            <w:shd w:val="clear" w:color="auto" w:fill="D0D1DB"/>
            <w:noWrap/>
            <w:vAlign w:val="center"/>
            <w:hideMark/>
          </w:tcPr>
          <w:p w14:paraId="4B175529"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Tarificación</w:t>
            </w:r>
          </w:p>
        </w:tc>
        <w:tc>
          <w:tcPr>
            <w:tcW w:w="3637" w:type="pct"/>
            <w:vAlign w:val="center"/>
            <w:hideMark/>
          </w:tcPr>
          <w:p w14:paraId="592ADA56"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Control y gestión de la facturación a otros operadores</w:t>
            </w:r>
            <w:r>
              <w:rPr>
                <w:rFonts w:ascii="ITC Avant Garde" w:eastAsia="Times New Roman" w:hAnsi="ITC Avant Garde" w:cs="Arial"/>
                <w:sz w:val="20"/>
                <w:lang w:val="es-ES" w:eastAsia="es-ES"/>
              </w:rPr>
              <w:t>.</w:t>
            </w:r>
          </w:p>
        </w:tc>
      </w:tr>
      <w:tr w:rsidR="00A1321B" w:rsidRPr="008609D1" w14:paraId="449D089D" w14:textId="77777777" w:rsidTr="00505CF2">
        <w:trPr>
          <w:trHeight w:val="340"/>
          <w:jc w:val="center"/>
        </w:trPr>
        <w:tc>
          <w:tcPr>
            <w:tcW w:w="1363" w:type="pct"/>
            <w:shd w:val="clear" w:color="auto" w:fill="D0D1DB"/>
            <w:noWrap/>
            <w:vAlign w:val="center"/>
            <w:hideMark/>
          </w:tcPr>
          <w:p w14:paraId="15223B5C"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Tasas e impuestos</w:t>
            </w:r>
          </w:p>
        </w:tc>
        <w:tc>
          <w:tcPr>
            <w:tcW w:w="3637" w:type="pct"/>
            <w:vAlign w:val="center"/>
            <w:hideMark/>
          </w:tcPr>
          <w:p w14:paraId="5D4BEBAC"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A1321B" w:rsidRPr="008609D1" w14:paraId="4316E95D" w14:textId="77777777" w:rsidTr="00505CF2">
        <w:trPr>
          <w:trHeight w:val="340"/>
          <w:jc w:val="center"/>
        </w:trPr>
        <w:tc>
          <w:tcPr>
            <w:tcW w:w="1363" w:type="pct"/>
            <w:shd w:val="clear" w:color="auto" w:fill="D0D1DB"/>
            <w:noWrap/>
            <w:vAlign w:val="center"/>
            <w:hideMark/>
          </w:tcPr>
          <w:p w14:paraId="576054C9"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Programas de fidelización</w:t>
            </w:r>
          </w:p>
        </w:tc>
        <w:tc>
          <w:tcPr>
            <w:tcW w:w="3637" w:type="pct"/>
            <w:vAlign w:val="center"/>
            <w:hideMark/>
          </w:tcPr>
          <w:p w14:paraId="25A1967C"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Gestión de la fidelización de clientes</w:t>
            </w:r>
            <w:r>
              <w:rPr>
                <w:rFonts w:ascii="ITC Avant Garde" w:eastAsia="Times New Roman" w:hAnsi="ITC Avant Garde" w:cs="Arial"/>
                <w:sz w:val="20"/>
                <w:lang w:val="es-ES" w:eastAsia="es-ES"/>
              </w:rPr>
              <w:t>.</w:t>
            </w:r>
          </w:p>
        </w:tc>
      </w:tr>
      <w:tr w:rsidR="00A1321B" w:rsidRPr="008609D1" w14:paraId="5D27B13E" w14:textId="77777777" w:rsidTr="00505CF2">
        <w:trPr>
          <w:trHeight w:val="340"/>
          <w:jc w:val="center"/>
        </w:trPr>
        <w:tc>
          <w:tcPr>
            <w:tcW w:w="5000" w:type="pct"/>
            <w:gridSpan w:val="2"/>
            <w:shd w:val="clear" w:color="auto" w:fill="EDEDED" w:themeFill="accent3" w:themeFillTint="33"/>
            <w:noWrap/>
            <w:vAlign w:val="center"/>
          </w:tcPr>
          <w:p w14:paraId="61037837"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535E45">
              <w:rPr>
                <w:rFonts w:ascii="ITC Avant Garde" w:eastAsia="Times New Roman" w:hAnsi="ITC Avant Garde" w:cs="Arial"/>
                <w:b/>
                <w:sz w:val="20"/>
                <w:lang w:val="es-ES" w:eastAsia="es-ES"/>
              </w:rPr>
              <w:t>Costos directos de ventas</w:t>
            </w:r>
          </w:p>
        </w:tc>
      </w:tr>
      <w:tr w:rsidR="00A1321B" w:rsidRPr="008609D1" w14:paraId="2A0FAE8E" w14:textId="77777777" w:rsidTr="00505CF2">
        <w:trPr>
          <w:trHeight w:val="340"/>
          <w:jc w:val="center"/>
        </w:trPr>
        <w:tc>
          <w:tcPr>
            <w:tcW w:w="1363" w:type="pct"/>
            <w:shd w:val="clear" w:color="auto" w:fill="D0D1DB"/>
            <w:noWrap/>
            <w:vAlign w:val="center"/>
            <w:hideMark/>
          </w:tcPr>
          <w:p w14:paraId="56C77A81"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Tránsito de Internet</w:t>
            </w:r>
          </w:p>
        </w:tc>
        <w:tc>
          <w:tcPr>
            <w:tcW w:w="3637" w:type="pct"/>
            <w:vAlign w:val="center"/>
            <w:hideMark/>
          </w:tcPr>
          <w:p w14:paraId="3DB37EAE"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Pago por el servicio de tránsito de Internet.</w:t>
            </w:r>
          </w:p>
        </w:tc>
      </w:tr>
      <w:tr w:rsidR="00A1321B" w:rsidRPr="008609D1" w14:paraId="563216B0" w14:textId="77777777" w:rsidTr="00505CF2">
        <w:trPr>
          <w:trHeight w:val="340"/>
          <w:jc w:val="center"/>
        </w:trPr>
        <w:tc>
          <w:tcPr>
            <w:tcW w:w="1363" w:type="pct"/>
            <w:shd w:val="clear" w:color="auto" w:fill="D0D1DB"/>
            <w:noWrap/>
            <w:vAlign w:val="center"/>
            <w:hideMark/>
          </w:tcPr>
          <w:p w14:paraId="36A85328"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en destinos nacionales</w:t>
            </w:r>
          </w:p>
        </w:tc>
        <w:tc>
          <w:tcPr>
            <w:tcW w:w="3637" w:type="pct"/>
            <w:vAlign w:val="center"/>
            <w:hideMark/>
          </w:tcPr>
          <w:p w14:paraId="728AE9A3"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la terminación de tráfico de la red de telefonía fija en las redes de terceros operadores nacionales</w:t>
            </w:r>
            <w:r>
              <w:rPr>
                <w:rFonts w:ascii="ITC Avant Garde" w:eastAsia="Times New Roman" w:hAnsi="ITC Avant Garde" w:cs="Arial"/>
                <w:sz w:val="20"/>
                <w:lang w:val="es-ES" w:eastAsia="es-ES"/>
              </w:rPr>
              <w:t>.</w:t>
            </w:r>
          </w:p>
        </w:tc>
      </w:tr>
      <w:tr w:rsidR="00A1321B" w:rsidRPr="008609D1" w14:paraId="11BA0B40" w14:textId="77777777" w:rsidTr="00505CF2">
        <w:trPr>
          <w:trHeight w:val="340"/>
          <w:jc w:val="center"/>
        </w:trPr>
        <w:tc>
          <w:tcPr>
            <w:tcW w:w="1363" w:type="pct"/>
            <w:shd w:val="clear" w:color="auto" w:fill="D0D1DB"/>
            <w:noWrap/>
            <w:vAlign w:val="center"/>
            <w:hideMark/>
          </w:tcPr>
          <w:p w14:paraId="5A9D3D2C"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en destinos internacionales</w:t>
            </w:r>
          </w:p>
        </w:tc>
        <w:tc>
          <w:tcPr>
            <w:tcW w:w="3637" w:type="pct"/>
            <w:vAlign w:val="center"/>
            <w:hideMark/>
          </w:tcPr>
          <w:p w14:paraId="5D4095A7"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la terminación de tráfico de la red de telefonía fija en las redes de terceros operadores internacionales</w:t>
            </w:r>
            <w:r>
              <w:rPr>
                <w:rFonts w:ascii="ITC Avant Garde" w:eastAsia="Times New Roman" w:hAnsi="ITC Avant Garde" w:cs="Arial"/>
                <w:sz w:val="20"/>
                <w:lang w:val="es-ES" w:eastAsia="es-ES"/>
              </w:rPr>
              <w:t>.</w:t>
            </w:r>
          </w:p>
        </w:tc>
      </w:tr>
      <w:tr w:rsidR="00A1321B" w:rsidRPr="008609D1" w14:paraId="02E38D81" w14:textId="77777777" w:rsidTr="00505CF2">
        <w:trPr>
          <w:trHeight w:val="340"/>
          <w:jc w:val="center"/>
        </w:trPr>
        <w:tc>
          <w:tcPr>
            <w:tcW w:w="1363" w:type="pct"/>
            <w:shd w:val="clear" w:color="auto" w:fill="D0D1DB"/>
            <w:noWrap/>
            <w:vAlign w:val="center"/>
            <w:hideMark/>
          </w:tcPr>
          <w:p w14:paraId="294E5916"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Provisiones</w:t>
            </w:r>
          </w:p>
        </w:tc>
        <w:tc>
          <w:tcPr>
            <w:tcW w:w="3637" w:type="pct"/>
            <w:vAlign w:val="center"/>
            <w:hideMark/>
          </w:tcPr>
          <w:p w14:paraId="3DBC7BBB"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Gestión de las provisiones por insolvencias</w:t>
            </w:r>
            <w:r>
              <w:rPr>
                <w:rFonts w:ascii="ITC Avant Garde" w:eastAsia="Times New Roman" w:hAnsi="ITC Avant Garde" w:cs="Arial"/>
                <w:sz w:val="20"/>
                <w:lang w:val="es-ES" w:eastAsia="es-ES"/>
              </w:rPr>
              <w:t>.</w:t>
            </w:r>
          </w:p>
        </w:tc>
      </w:tr>
      <w:tr w:rsidR="00A1321B" w:rsidRPr="008609D1" w14:paraId="694A7919" w14:textId="77777777" w:rsidTr="00505CF2">
        <w:trPr>
          <w:trHeight w:val="340"/>
          <w:jc w:val="center"/>
        </w:trPr>
        <w:tc>
          <w:tcPr>
            <w:tcW w:w="1363" w:type="pct"/>
            <w:shd w:val="clear" w:color="auto" w:fill="D0D1DB"/>
            <w:noWrap/>
            <w:vAlign w:val="center"/>
            <w:hideMark/>
          </w:tcPr>
          <w:p w14:paraId="6EB835CC"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Costos directos de la venta de </w:t>
            </w:r>
            <w:r w:rsidR="0024299C">
              <w:rPr>
                <w:rFonts w:ascii="ITC Avant Garde" w:eastAsia="Times New Roman" w:hAnsi="ITC Avant Garde" w:cs="Arial"/>
                <w:sz w:val="20"/>
                <w:lang w:val="es-ES" w:eastAsia="es-ES"/>
              </w:rPr>
              <w:t xml:space="preserve">equipos </w:t>
            </w:r>
            <w:r w:rsidRPr="008609D1">
              <w:rPr>
                <w:rFonts w:ascii="ITC Avant Garde" w:eastAsia="Times New Roman" w:hAnsi="ITC Avant Garde" w:cs="Arial"/>
                <w:sz w:val="20"/>
                <w:lang w:val="es-ES" w:eastAsia="es-ES"/>
              </w:rPr>
              <w:t>terminales</w:t>
            </w:r>
          </w:p>
        </w:tc>
        <w:tc>
          <w:tcPr>
            <w:tcW w:w="3637" w:type="pct"/>
            <w:vAlign w:val="center"/>
            <w:hideMark/>
          </w:tcPr>
          <w:p w14:paraId="2BF4CC33"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Contiene los costos relativos a los terminales vendidos a los usuarios finales</w:t>
            </w:r>
            <w:r>
              <w:rPr>
                <w:rFonts w:ascii="ITC Avant Garde" w:eastAsia="Times New Roman" w:hAnsi="ITC Avant Garde" w:cs="Arial"/>
                <w:sz w:val="20"/>
                <w:lang w:val="es-ES" w:eastAsia="es-ES"/>
              </w:rPr>
              <w:t>.</w:t>
            </w:r>
          </w:p>
        </w:tc>
      </w:tr>
      <w:tr w:rsidR="00A1321B" w:rsidRPr="008609D1" w14:paraId="55617F39" w14:textId="77777777" w:rsidTr="00505CF2">
        <w:trPr>
          <w:trHeight w:val="340"/>
          <w:jc w:val="center"/>
        </w:trPr>
        <w:tc>
          <w:tcPr>
            <w:tcW w:w="5000" w:type="pct"/>
            <w:gridSpan w:val="2"/>
            <w:shd w:val="clear" w:color="auto" w:fill="F2F2F2" w:themeFill="background1" w:themeFillShade="F2"/>
            <w:noWrap/>
            <w:vAlign w:val="center"/>
          </w:tcPr>
          <w:p w14:paraId="6914933D"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535E45">
              <w:rPr>
                <w:rFonts w:ascii="ITC Avant Garde" w:eastAsia="Times New Roman" w:hAnsi="ITC Avant Garde" w:cs="Arial"/>
                <w:b/>
                <w:sz w:val="20"/>
                <w:lang w:val="es-ES" w:eastAsia="es-ES"/>
              </w:rPr>
              <w:t>Costos comunes</w:t>
            </w:r>
          </w:p>
        </w:tc>
      </w:tr>
      <w:tr w:rsidR="00A1321B" w:rsidRPr="008609D1" w14:paraId="5951DB91" w14:textId="77777777" w:rsidTr="00505CF2">
        <w:trPr>
          <w:trHeight w:val="340"/>
          <w:jc w:val="center"/>
        </w:trPr>
        <w:tc>
          <w:tcPr>
            <w:tcW w:w="1363" w:type="pct"/>
            <w:shd w:val="clear" w:color="auto" w:fill="D0D1DB"/>
            <w:noWrap/>
            <w:vAlign w:val="center"/>
          </w:tcPr>
          <w:p w14:paraId="185A9569"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generales y de gestión – minoristas</w:t>
            </w:r>
          </w:p>
        </w:tc>
        <w:tc>
          <w:tcPr>
            <w:tcW w:w="3637" w:type="pct"/>
            <w:vAlign w:val="center"/>
          </w:tcPr>
          <w:p w14:paraId="66229F9B"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 de gestión del operador dedicado a la prestación de servicios minoristas</w:t>
            </w:r>
            <w:r>
              <w:rPr>
                <w:rFonts w:ascii="ITC Avant Garde" w:eastAsia="Times New Roman" w:hAnsi="ITC Avant Garde" w:cs="Arial"/>
                <w:sz w:val="20"/>
                <w:lang w:val="es-ES" w:eastAsia="es-ES"/>
              </w:rPr>
              <w:t>.</w:t>
            </w:r>
          </w:p>
        </w:tc>
      </w:tr>
      <w:tr w:rsidR="00A1321B" w:rsidRPr="008609D1" w14:paraId="63C49B4E" w14:textId="77777777" w:rsidTr="00505CF2">
        <w:trPr>
          <w:trHeight w:val="340"/>
          <w:jc w:val="center"/>
        </w:trPr>
        <w:tc>
          <w:tcPr>
            <w:tcW w:w="1363" w:type="pct"/>
            <w:shd w:val="clear" w:color="auto" w:fill="D0D1DB"/>
            <w:noWrap/>
            <w:vAlign w:val="center"/>
            <w:hideMark/>
          </w:tcPr>
          <w:p w14:paraId="346136D9"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generales y de gestión – red</w:t>
            </w:r>
          </w:p>
        </w:tc>
        <w:tc>
          <w:tcPr>
            <w:tcW w:w="3637" w:type="pct"/>
            <w:vAlign w:val="center"/>
            <w:hideMark/>
          </w:tcPr>
          <w:p w14:paraId="1081EF43"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 de gestión del operador dedicado a la planeación, gestión monitoreo, etc. de la red</w:t>
            </w:r>
            <w:r>
              <w:rPr>
                <w:rFonts w:ascii="ITC Avant Garde" w:eastAsia="Times New Roman" w:hAnsi="ITC Avant Garde" w:cs="Arial"/>
                <w:sz w:val="20"/>
                <w:lang w:val="es-ES" w:eastAsia="es-ES"/>
              </w:rPr>
              <w:t>.</w:t>
            </w:r>
          </w:p>
        </w:tc>
      </w:tr>
      <w:tr w:rsidR="00A1321B" w:rsidRPr="008609D1" w14:paraId="50263412" w14:textId="77777777" w:rsidTr="00505CF2">
        <w:trPr>
          <w:trHeight w:val="340"/>
          <w:jc w:val="center"/>
        </w:trPr>
        <w:tc>
          <w:tcPr>
            <w:tcW w:w="1363" w:type="pct"/>
            <w:shd w:val="clear" w:color="auto" w:fill="D0D1DB"/>
            <w:noWrap/>
            <w:vAlign w:val="center"/>
          </w:tcPr>
          <w:p w14:paraId="0886E17F" w14:textId="77777777" w:rsidR="00A1321B" w:rsidRPr="008609D1" w:rsidRDefault="00A1321B" w:rsidP="008B4286">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lastRenderedPageBreak/>
              <w:t>Servicios generales y de gestión – negocio</w:t>
            </w:r>
          </w:p>
        </w:tc>
        <w:tc>
          <w:tcPr>
            <w:tcW w:w="3637" w:type="pct"/>
            <w:vAlign w:val="center"/>
          </w:tcPr>
          <w:p w14:paraId="398576AA" w14:textId="77777777" w:rsidR="00A1321B" w:rsidRPr="008609D1" w:rsidDel="00C16A1E" w:rsidRDefault="00A1321B" w:rsidP="008B4286">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Equipo de gestión del operador dedicado al funcionamiento del negocio en general</w:t>
            </w:r>
            <w:r>
              <w:rPr>
                <w:rFonts w:ascii="ITC Avant Garde" w:eastAsia="Times New Roman" w:hAnsi="ITC Avant Garde" w:cs="Arial"/>
                <w:sz w:val="20"/>
                <w:lang w:eastAsia="es-ES"/>
              </w:rPr>
              <w:t>.</w:t>
            </w:r>
          </w:p>
        </w:tc>
      </w:tr>
      <w:tr w:rsidR="00A1321B" w:rsidRPr="008609D1" w14:paraId="2BAA1965" w14:textId="77777777" w:rsidTr="00505CF2">
        <w:trPr>
          <w:trHeight w:val="340"/>
          <w:jc w:val="center"/>
        </w:trPr>
        <w:tc>
          <w:tcPr>
            <w:tcW w:w="5000" w:type="pct"/>
            <w:gridSpan w:val="2"/>
            <w:shd w:val="clear" w:color="auto" w:fill="F2F2F2" w:themeFill="background1" w:themeFillShade="F2"/>
            <w:noWrap/>
            <w:vAlign w:val="center"/>
          </w:tcPr>
          <w:p w14:paraId="64A867FC" w14:textId="77777777" w:rsidR="00A1321B" w:rsidRPr="008609D1" w:rsidRDefault="00A1321B" w:rsidP="008B4286">
            <w:pPr>
              <w:keepNext/>
              <w:spacing w:before="40" w:after="40" w:line="240" w:lineRule="auto"/>
              <w:rPr>
                <w:rFonts w:ascii="ITC Avant Garde" w:eastAsia="Times New Roman" w:hAnsi="ITC Avant Garde" w:cs="Arial"/>
                <w:sz w:val="20"/>
                <w:lang w:val="es-ES" w:eastAsia="es-ES"/>
              </w:rPr>
            </w:pPr>
            <w:r w:rsidRPr="00535E45">
              <w:rPr>
                <w:rFonts w:ascii="ITC Avant Garde" w:eastAsia="Times New Roman" w:hAnsi="ITC Avant Garde" w:cs="Arial"/>
                <w:b/>
                <w:sz w:val="20"/>
                <w:lang w:val="es-ES" w:eastAsia="es-ES"/>
              </w:rPr>
              <w:t>Costos no relevantes para la separación contable</w:t>
            </w:r>
          </w:p>
        </w:tc>
      </w:tr>
      <w:tr w:rsidR="00A1321B" w:rsidRPr="008609D1" w14:paraId="0150DB91" w14:textId="77777777" w:rsidTr="00505CF2">
        <w:trPr>
          <w:trHeight w:val="340"/>
          <w:jc w:val="center"/>
        </w:trPr>
        <w:tc>
          <w:tcPr>
            <w:tcW w:w="1363" w:type="pct"/>
            <w:shd w:val="clear" w:color="auto" w:fill="D0D1DB"/>
            <w:noWrap/>
            <w:vAlign w:val="center"/>
            <w:hideMark/>
          </w:tcPr>
          <w:p w14:paraId="379D1248"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Partidas no relevantes para la separación contable</w:t>
            </w:r>
          </w:p>
        </w:tc>
        <w:tc>
          <w:tcPr>
            <w:tcW w:w="3637" w:type="pct"/>
            <w:vAlign w:val="center"/>
            <w:hideMark/>
          </w:tcPr>
          <w:p w14:paraId="1FD31ECA" w14:textId="2C9B4765" w:rsidR="00A1321B" w:rsidRPr="008609D1" w:rsidRDefault="00A1321B" w:rsidP="0024299C">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Partidas de costos relativas a los servicios no relevantes para la</w:t>
            </w:r>
            <w:r w:rsidR="0079001E">
              <w:rPr>
                <w:rFonts w:ascii="ITC Avant Garde" w:eastAsia="Times New Roman" w:hAnsi="ITC Avant Garde" w:cs="Arial"/>
                <w:sz w:val="20"/>
                <w:lang w:val="es-ES" w:eastAsia="es-ES"/>
              </w:rPr>
              <w:t xml:space="preserve"> prestación</w:t>
            </w:r>
            <w:r w:rsidR="0024299C">
              <w:rPr>
                <w:rFonts w:ascii="ITC Avant Garde" w:eastAsia="Times New Roman" w:hAnsi="ITC Avant Garde" w:cs="Arial"/>
                <w:sz w:val="20"/>
                <w:lang w:val="es-ES" w:eastAsia="es-ES"/>
              </w:rPr>
              <w:t xml:space="preserve"> de</w:t>
            </w:r>
            <w:r w:rsidRPr="008609D1">
              <w:rPr>
                <w:rFonts w:ascii="ITC Avant Garde" w:eastAsia="Times New Roman" w:hAnsi="ITC Avant Garde" w:cs="Arial"/>
                <w:sz w:val="20"/>
                <w:lang w:val="es-ES" w:eastAsia="es-ES"/>
              </w:rPr>
              <w:t xml:space="preserve"> </w:t>
            </w:r>
            <w:r w:rsidR="0024299C">
              <w:rPr>
                <w:rFonts w:ascii="ITC Avant Garde" w:eastAsia="Times New Roman" w:hAnsi="ITC Avant Garde" w:cs="Arial"/>
                <w:sz w:val="20"/>
                <w:lang w:val="es-ES" w:eastAsia="es-ES"/>
              </w:rPr>
              <w:t>servicios</w:t>
            </w:r>
            <w:r w:rsidRPr="008609D1">
              <w:rPr>
                <w:rFonts w:ascii="ITC Avant Garde" w:eastAsia="Times New Roman" w:hAnsi="ITC Avant Garde" w:cs="Arial"/>
                <w:sz w:val="20"/>
                <w:lang w:val="es-ES" w:eastAsia="es-ES"/>
              </w:rPr>
              <w:t xml:space="preserve"> de telecomunicaciones fij</w:t>
            </w:r>
            <w:r w:rsidR="0024299C">
              <w:rPr>
                <w:rFonts w:ascii="ITC Avant Garde" w:eastAsia="Times New Roman" w:hAnsi="ITC Avant Garde" w:cs="Arial"/>
                <w:sz w:val="20"/>
                <w:lang w:val="es-ES" w:eastAsia="es-ES"/>
              </w:rPr>
              <w:t>o</w:t>
            </w:r>
            <w:r w:rsidRPr="008609D1">
              <w:rPr>
                <w:rFonts w:ascii="ITC Avant Garde" w:eastAsia="Times New Roman" w:hAnsi="ITC Avant Garde" w:cs="Arial"/>
                <w:sz w:val="20"/>
                <w:lang w:val="es-ES" w:eastAsia="es-ES"/>
              </w:rPr>
              <w:t>s</w:t>
            </w:r>
            <w:r>
              <w:rPr>
                <w:rFonts w:ascii="ITC Avant Garde" w:eastAsia="Times New Roman" w:hAnsi="ITC Avant Garde" w:cs="Arial"/>
                <w:sz w:val="20"/>
                <w:lang w:val="es-ES" w:eastAsia="es-ES"/>
              </w:rPr>
              <w:t>.</w:t>
            </w:r>
          </w:p>
        </w:tc>
      </w:tr>
    </w:tbl>
    <w:p w14:paraId="13FDFC87" w14:textId="77777777" w:rsidR="00FA4D4D" w:rsidRDefault="00FA4D4D" w:rsidP="00A1321B">
      <w:pPr>
        <w:pStyle w:val="Normalresolucion"/>
      </w:pPr>
    </w:p>
    <w:p w14:paraId="30E5C06C" w14:textId="77777777" w:rsidR="00A1321B" w:rsidRDefault="00A1321B" w:rsidP="00A1321B">
      <w:pPr>
        <w:pStyle w:val="Normalresolucion"/>
      </w:pPr>
      <w:r w:rsidRPr="008609D1">
        <w:t>Listado de servicios a desagregar en el Nivel 3. El listado de servicios expuesto a continuación pretende capturar aquellos servicios prestados (actual o potencialmente) por el concesionario</w:t>
      </w:r>
      <w:r w:rsidRPr="008609D1">
        <w:rPr>
          <w:rStyle w:val="Refdenotaalpie"/>
        </w:rPr>
        <w:footnoteReference w:id="35"/>
      </w:r>
      <w:r w:rsidRPr="008609D1">
        <w:t xml:space="preserve">, el cual debe alinearse de acuerdo a los principios de materialidad y relevancia. Estos deben incluir todos los principales servicios ofrecidos por el concesionario (ya sean regulados o no) con el fin de asegurar la causalidad y transparencia de las imputaciones de costos realizadas en la separación contable. </w:t>
      </w:r>
    </w:p>
    <w:p w14:paraId="0A18E9E5" w14:textId="77777777" w:rsidR="00600DB6" w:rsidRPr="008609D1" w:rsidRDefault="00600DB6" w:rsidP="00600DB6">
      <w:pPr>
        <w:pStyle w:val="Descripcin"/>
        <w:spacing w:after="240" w:line="240" w:lineRule="auto"/>
        <w:rPr>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Pr="008609D1">
        <w:rPr>
          <w:rFonts w:ascii="ITC Avant Garde" w:hAnsi="ITC Avant Garde"/>
          <w:iCs/>
          <w:noProof/>
          <w:sz w:val="20"/>
          <w:lang w:val="es-MX"/>
        </w:rPr>
        <w:t>6</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servicios a desagregar en el Nivel 3 de operadores de telecomunicaciones fijas</w:t>
      </w:r>
    </w:p>
    <w:tbl>
      <w:tblPr>
        <w:tblW w:w="5000" w:type="pct"/>
        <w:jc w:val="center"/>
        <w:tblBorders>
          <w:top w:val="single" w:sz="4" w:space="0" w:color="244062"/>
          <w:bottom w:val="single" w:sz="4" w:space="0" w:color="244062"/>
          <w:insideH w:val="single" w:sz="4" w:space="0" w:color="244062"/>
        </w:tblBorders>
        <w:tblLayout w:type="fixed"/>
        <w:tblCellMar>
          <w:left w:w="70" w:type="dxa"/>
          <w:right w:w="70" w:type="dxa"/>
        </w:tblCellMar>
        <w:tblLook w:val="04A0" w:firstRow="1" w:lastRow="0" w:firstColumn="1" w:lastColumn="0" w:noHBand="0" w:noVBand="1"/>
      </w:tblPr>
      <w:tblGrid>
        <w:gridCol w:w="2409"/>
        <w:gridCol w:w="6420"/>
        <w:gridCol w:w="9"/>
      </w:tblGrid>
      <w:tr w:rsidR="00A1321B" w:rsidRPr="008609D1" w14:paraId="7C10D51E" w14:textId="77777777" w:rsidTr="00505CF2">
        <w:trPr>
          <w:gridAfter w:val="1"/>
          <w:wAfter w:w="5" w:type="pct"/>
          <w:cantSplit/>
          <w:trHeight w:val="20"/>
          <w:tblHeader/>
          <w:jc w:val="center"/>
        </w:trPr>
        <w:tc>
          <w:tcPr>
            <w:tcW w:w="1363" w:type="pct"/>
            <w:shd w:val="clear" w:color="auto" w:fill="4F629B"/>
            <w:vAlign w:val="center"/>
            <w:hideMark/>
          </w:tcPr>
          <w:p w14:paraId="7913B879" w14:textId="77777777" w:rsidR="00A1321B" w:rsidRPr="008609D1" w:rsidRDefault="00A1321B" w:rsidP="008B4286">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Servicios</w:t>
            </w:r>
          </w:p>
        </w:tc>
        <w:tc>
          <w:tcPr>
            <w:tcW w:w="3631" w:type="pct"/>
            <w:shd w:val="clear" w:color="auto" w:fill="4F629B"/>
            <w:vAlign w:val="center"/>
            <w:hideMark/>
          </w:tcPr>
          <w:p w14:paraId="0498FC39" w14:textId="77777777" w:rsidR="00A1321B" w:rsidRPr="008609D1" w:rsidRDefault="00A1321B" w:rsidP="008B4286">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Descripción</w:t>
            </w:r>
          </w:p>
        </w:tc>
      </w:tr>
      <w:tr w:rsidR="00A1321B" w:rsidRPr="008609D1" w14:paraId="4C8162D0" w14:textId="77777777" w:rsidTr="00505CF2">
        <w:trPr>
          <w:gridAfter w:val="1"/>
          <w:wAfter w:w="5" w:type="pct"/>
          <w:cantSplit/>
          <w:trHeight w:val="20"/>
          <w:jc w:val="center"/>
        </w:trPr>
        <w:tc>
          <w:tcPr>
            <w:tcW w:w="4995" w:type="pct"/>
            <w:gridSpan w:val="2"/>
            <w:shd w:val="clear" w:color="auto" w:fill="F2F2F2" w:themeFill="background1" w:themeFillShade="F2"/>
            <w:noWrap/>
            <w:vAlign w:val="center"/>
          </w:tcPr>
          <w:p w14:paraId="2CCCEBDE"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Servicios minoristas</w:t>
            </w:r>
          </w:p>
        </w:tc>
      </w:tr>
      <w:tr w:rsidR="00A1321B" w:rsidRPr="008609D1" w14:paraId="387D1BF1" w14:textId="77777777" w:rsidTr="00505CF2">
        <w:trPr>
          <w:gridAfter w:val="1"/>
          <w:wAfter w:w="5" w:type="pct"/>
          <w:cantSplit/>
          <w:trHeight w:val="20"/>
          <w:jc w:val="center"/>
        </w:trPr>
        <w:tc>
          <w:tcPr>
            <w:tcW w:w="4995" w:type="pct"/>
            <w:gridSpan w:val="2"/>
            <w:shd w:val="clear" w:color="auto" w:fill="auto"/>
            <w:noWrap/>
            <w:vAlign w:val="center"/>
          </w:tcPr>
          <w:p w14:paraId="1AB8A420"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Tráfico de voz saliente</w:t>
            </w:r>
            <w:r>
              <w:rPr>
                <w:rStyle w:val="Refdenotaalpie"/>
                <w:rFonts w:ascii="ITC Avant Garde" w:eastAsia="Times New Roman" w:hAnsi="ITC Avant Garde" w:cs="Arial"/>
                <w:b/>
                <w:bCs/>
                <w:sz w:val="20"/>
                <w:lang w:val="es-ES" w:eastAsia="es-ES"/>
              </w:rPr>
              <w:footnoteReference w:id="36"/>
            </w:r>
          </w:p>
        </w:tc>
      </w:tr>
      <w:tr w:rsidR="00A1321B" w:rsidRPr="008609D1" w14:paraId="2325E309" w14:textId="77777777" w:rsidTr="00505CF2">
        <w:trPr>
          <w:gridAfter w:val="1"/>
          <w:wAfter w:w="5" w:type="pct"/>
          <w:cantSplit/>
          <w:trHeight w:val="20"/>
          <w:jc w:val="center"/>
        </w:trPr>
        <w:tc>
          <w:tcPr>
            <w:tcW w:w="1363" w:type="pct"/>
            <w:shd w:val="clear" w:color="auto" w:fill="D0D1DB"/>
            <w:noWrap/>
            <w:vAlign w:val="center"/>
            <w:hideMark/>
          </w:tcPr>
          <w:p w14:paraId="32A5CEDC"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fijo dentro de la red</w:t>
            </w:r>
          </w:p>
        </w:tc>
        <w:tc>
          <w:tcPr>
            <w:tcW w:w="3631" w:type="pct"/>
            <w:vAlign w:val="center"/>
            <w:hideMark/>
          </w:tcPr>
          <w:p w14:paraId="1DFD8D63"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Conducción de tráfico conmutado entre usuarios fijos de la misma red del concesionario</w:t>
            </w:r>
            <w:r>
              <w:rPr>
                <w:rFonts w:ascii="ITC Avant Garde" w:eastAsia="Times New Roman" w:hAnsi="ITC Avant Garde" w:cs="Arial"/>
                <w:sz w:val="20"/>
                <w:lang w:val="es-ES" w:eastAsia="es-ES"/>
              </w:rPr>
              <w:t>.</w:t>
            </w:r>
          </w:p>
        </w:tc>
      </w:tr>
      <w:tr w:rsidR="00A1321B" w:rsidRPr="008609D1" w14:paraId="2FA19803" w14:textId="77777777" w:rsidTr="00505CF2">
        <w:trPr>
          <w:gridAfter w:val="1"/>
          <w:wAfter w:w="5" w:type="pct"/>
          <w:cantSplit/>
          <w:trHeight w:val="20"/>
          <w:jc w:val="center"/>
        </w:trPr>
        <w:tc>
          <w:tcPr>
            <w:tcW w:w="1363" w:type="pct"/>
            <w:shd w:val="clear" w:color="auto" w:fill="D0D1DB"/>
            <w:noWrap/>
            <w:vAlign w:val="center"/>
            <w:hideMark/>
          </w:tcPr>
          <w:p w14:paraId="7F83A276"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fijo nacional fuera de la red</w:t>
            </w:r>
          </w:p>
        </w:tc>
        <w:tc>
          <w:tcPr>
            <w:tcW w:w="3631" w:type="pct"/>
            <w:vAlign w:val="center"/>
            <w:hideMark/>
          </w:tcPr>
          <w:p w14:paraId="77FC9308"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Conducción de tráfico conmutado de un usuario fijo del concesionario a un usuario fijo de otro concesionario presente en México</w:t>
            </w:r>
            <w:r>
              <w:rPr>
                <w:rFonts w:ascii="ITC Avant Garde" w:eastAsia="Times New Roman" w:hAnsi="ITC Avant Garde" w:cs="Arial"/>
                <w:sz w:val="20"/>
                <w:lang w:val="es-ES" w:eastAsia="es-ES"/>
              </w:rPr>
              <w:t>.</w:t>
            </w:r>
          </w:p>
        </w:tc>
      </w:tr>
      <w:tr w:rsidR="00A1321B" w:rsidRPr="008609D1" w14:paraId="6BBCC25C" w14:textId="77777777" w:rsidTr="00505CF2">
        <w:trPr>
          <w:gridAfter w:val="1"/>
          <w:wAfter w:w="5" w:type="pct"/>
          <w:cantSplit/>
          <w:trHeight w:val="20"/>
          <w:jc w:val="center"/>
        </w:trPr>
        <w:tc>
          <w:tcPr>
            <w:tcW w:w="1363" w:type="pct"/>
            <w:shd w:val="clear" w:color="auto" w:fill="D0D1DB"/>
            <w:noWrap/>
            <w:vAlign w:val="center"/>
            <w:hideMark/>
          </w:tcPr>
          <w:p w14:paraId="6551798A"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móviles nacionales</w:t>
            </w:r>
          </w:p>
        </w:tc>
        <w:tc>
          <w:tcPr>
            <w:tcW w:w="3631" w:type="pct"/>
            <w:vAlign w:val="center"/>
            <w:hideMark/>
          </w:tcPr>
          <w:p w14:paraId="01B083CB"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Conducción de tráfico conmutado de un usuario fijo del concesionario a un usuario móvil nacional (servicio también referido como ‘El que llama paga’ (EQLLP))</w:t>
            </w:r>
            <w:r>
              <w:rPr>
                <w:rFonts w:ascii="ITC Avant Garde" w:eastAsia="Times New Roman" w:hAnsi="ITC Avant Garde" w:cs="Arial"/>
                <w:sz w:val="20"/>
                <w:lang w:val="es-ES" w:eastAsia="es-ES"/>
              </w:rPr>
              <w:t>.</w:t>
            </w:r>
          </w:p>
        </w:tc>
      </w:tr>
      <w:tr w:rsidR="00A1321B" w:rsidRPr="008609D1" w14:paraId="55F46BBA" w14:textId="77777777" w:rsidTr="00505CF2">
        <w:trPr>
          <w:gridAfter w:val="1"/>
          <w:wAfter w:w="5" w:type="pct"/>
          <w:cantSplit/>
          <w:trHeight w:val="20"/>
          <w:jc w:val="center"/>
        </w:trPr>
        <w:tc>
          <w:tcPr>
            <w:tcW w:w="1363" w:type="pct"/>
            <w:shd w:val="clear" w:color="auto" w:fill="D0D1DB"/>
            <w:noWrap/>
            <w:vAlign w:val="center"/>
            <w:hideMark/>
          </w:tcPr>
          <w:p w14:paraId="4379256E"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Larga Distancia Internacional (LDI)</w:t>
            </w:r>
          </w:p>
        </w:tc>
        <w:tc>
          <w:tcPr>
            <w:tcW w:w="3631" w:type="pct"/>
            <w:vAlign w:val="center"/>
            <w:hideMark/>
          </w:tcPr>
          <w:p w14:paraId="199DCDFF" w14:textId="77777777"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t xml:space="preserve"> </w:t>
            </w:r>
            <w:r w:rsidRPr="006D334F">
              <w:rPr>
                <w:rFonts w:ascii="ITC Avant Garde" w:eastAsia="Times New Roman" w:hAnsi="ITC Avant Garde" w:cs="Arial"/>
                <w:sz w:val="20"/>
                <w:lang w:val="es-ES" w:eastAsia="es-ES"/>
              </w:rPr>
              <w:t>Aquél por el que se conduce tráfico público conmutado que se origina o termina fuera del territorio nacional.</w:t>
            </w:r>
          </w:p>
        </w:tc>
      </w:tr>
      <w:tr w:rsidR="00A1321B" w:rsidRPr="008609D1" w14:paraId="4D275912" w14:textId="77777777" w:rsidTr="00505CF2">
        <w:trPr>
          <w:gridAfter w:val="1"/>
          <w:wAfter w:w="5" w:type="pct"/>
          <w:cantSplit/>
          <w:trHeight w:val="20"/>
          <w:jc w:val="center"/>
        </w:trPr>
        <w:tc>
          <w:tcPr>
            <w:tcW w:w="4995" w:type="pct"/>
            <w:gridSpan w:val="2"/>
            <w:shd w:val="clear" w:color="auto" w:fill="auto"/>
            <w:noWrap/>
            <w:vAlign w:val="center"/>
          </w:tcPr>
          <w:p w14:paraId="1CD5B256"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lastRenderedPageBreak/>
              <w:t>Internet de banda ancha</w:t>
            </w:r>
            <w:r>
              <w:rPr>
                <w:rStyle w:val="Refdenotaalpie"/>
                <w:rFonts w:ascii="ITC Avant Garde" w:eastAsia="Times New Roman" w:hAnsi="ITC Avant Garde" w:cs="Arial"/>
                <w:b/>
                <w:bCs/>
                <w:sz w:val="20"/>
                <w:lang w:val="es-ES" w:eastAsia="es-ES"/>
              </w:rPr>
              <w:footnoteReference w:id="37"/>
            </w:r>
          </w:p>
        </w:tc>
      </w:tr>
      <w:tr w:rsidR="00A1321B" w:rsidRPr="008609D1" w14:paraId="2A0B113F" w14:textId="77777777" w:rsidTr="00505CF2">
        <w:trPr>
          <w:gridAfter w:val="1"/>
          <w:wAfter w:w="5" w:type="pct"/>
          <w:cantSplit/>
          <w:trHeight w:val="20"/>
          <w:jc w:val="center"/>
        </w:trPr>
        <w:tc>
          <w:tcPr>
            <w:tcW w:w="1363" w:type="pct"/>
            <w:shd w:val="clear" w:color="auto" w:fill="D0D1DB"/>
            <w:noWrap/>
            <w:vAlign w:val="center"/>
            <w:hideMark/>
          </w:tcPr>
          <w:p w14:paraId="7990DA7B"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Datos (Acceso a Internet de banda ancha) residencial</w:t>
            </w:r>
          </w:p>
        </w:tc>
        <w:tc>
          <w:tcPr>
            <w:tcW w:w="3631" w:type="pct"/>
            <w:vAlign w:val="center"/>
            <w:hideMark/>
          </w:tcPr>
          <w:p w14:paraId="451AA3CF" w14:textId="0143CA14"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Servicio de acceso a </w:t>
            </w:r>
            <w:r>
              <w:rPr>
                <w:rFonts w:ascii="ITC Avant Garde" w:eastAsia="Times New Roman" w:hAnsi="ITC Avant Garde" w:cs="Arial"/>
                <w:sz w:val="20"/>
                <w:lang w:val="es-ES" w:eastAsia="es-ES"/>
              </w:rPr>
              <w:t>I</w:t>
            </w:r>
            <w:r w:rsidRPr="008609D1">
              <w:rPr>
                <w:rFonts w:ascii="ITC Avant Garde" w:eastAsia="Times New Roman" w:hAnsi="ITC Avant Garde" w:cs="Arial"/>
                <w:sz w:val="20"/>
                <w:lang w:val="es-ES" w:eastAsia="es-ES"/>
              </w:rPr>
              <w:t>nternet mediante tecnologías xDSL, FTTH, coaxial u otra, ofrecido a usuarios finales de ámbito residencial</w:t>
            </w:r>
            <w:r>
              <w:rPr>
                <w:rFonts w:ascii="ITC Avant Garde" w:eastAsia="Times New Roman" w:hAnsi="ITC Avant Garde" w:cs="Arial"/>
                <w:sz w:val="20"/>
                <w:lang w:val="es-ES" w:eastAsia="es-ES"/>
              </w:rPr>
              <w:t>.</w:t>
            </w:r>
          </w:p>
        </w:tc>
      </w:tr>
      <w:tr w:rsidR="00A1321B" w:rsidRPr="008609D1" w14:paraId="20C66CD2" w14:textId="77777777" w:rsidTr="00505CF2">
        <w:trPr>
          <w:gridAfter w:val="1"/>
          <w:wAfter w:w="5" w:type="pct"/>
          <w:cantSplit/>
          <w:trHeight w:val="20"/>
          <w:jc w:val="center"/>
        </w:trPr>
        <w:tc>
          <w:tcPr>
            <w:tcW w:w="1363" w:type="pct"/>
            <w:shd w:val="clear" w:color="auto" w:fill="D0D1DB"/>
            <w:noWrap/>
            <w:vAlign w:val="center"/>
            <w:hideMark/>
          </w:tcPr>
          <w:p w14:paraId="05A15796"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Datos (Acceso a Internet de banda ancha) comercial)</w:t>
            </w:r>
          </w:p>
        </w:tc>
        <w:tc>
          <w:tcPr>
            <w:tcW w:w="3631" w:type="pct"/>
            <w:vAlign w:val="center"/>
            <w:hideMark/>
          </w:tcPr>
          <w:p w14:paraId="19A9C3BA" w14:textId="20AC1EDC"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Servicio de acceso a </w:t>
            </w:r>
            <w:r>
              <w:rPr>
                <w:rFonts w:ascii="ITC Avant Garde" w:eastAsia="Times New Roman" w:hAnsi="ITC Avant Garde" w:cs="Arial"/>
                <w:sz w:val="20"/>
                <w:lang w:val="es-ES" w:eastAsia="es-ES"/>
              </w:rPr>
              <w:t>I</w:t>
            </w:r>
            <w:r w:rsidRPr="008609D1">
              <w:rPr>
                <w:rFonts w:ascii="ITC Avant Garde" w:eastAsia="Times New Roman" w:hAnsi="ITC Avant Garde" w:cs="Arial"/>
                <w:sz w:val="20"/>
                <w:lang w:val="es-ES" w:eastAsia="es-ES"/>
              </w:rPr>
              <w:t>nternet mediante tecnologías xDSL, FTTH, coaxial u otra, ofrecido a usuarios finales de ámbito corporativo</w:t>
            </w:r>
            <w:r>
              <w:rPr>
                <w:rFonts w:ascii="ITC Avant Garde" w:eastAsia="Times New Roman" w:hAnsi="ITC Avant Garde" w:cs="Arial"/>
                <w:sz w:val="20"/>
                <w:lang w:val="es-ES" w:eastAsia="es-ES"/>
              </w:rPr>
              <w:t>.</w:t>
            </w:r>
          </w:p>
        </w:tc>
      </w:tr>
      <w:tr w:rsidR="00A1321B" w:rsidRPr="008609D1" w14:paraId="5909FA40" w14:textId="77777777" w:rsidTr="00505CF2">
        <w:trPr>
          <w:gridAfter w:val="1"/>
          <w:wAfter w:w="5" w:type="pct"/>
          <w:cantSplit/>
          <w:trHeight w:val="20"/>
          <w:jc w:val="center"/>
        </w:trPr>
        <w:tc>
          <w:tcPr>
            <w:tcW w:w="4995" w:type="pct"/>
            <w:gridSpan w:val="2"/>
            <w:shd w:val="clear" w:color="auto" w:fill="auto"/>
            <w:noWrap/>
            <w:vAlign w:val="center"/>
          </w:tcPr>
          <w:p w14:paraId="77497B3E"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Enlaces dedicados</w:t>
            </w:r>
          </w:p>
        </w:tc>
      </w:tr>
      <w:tr w:rsidR="00A1321B" w:rsidRPr="008609D1" w14:paraId="5E697195" w14:textId="77777777" w:rsidTr="00505CF2">
        <w:trPr>
          <w:gridAfter w:val="1"/>
          <w:wAfter w:w="5" w:type="pct"/>
          <w:cantSplit/>
          <w:trHeight w:val="20"/>
          <w:jc w:val="center"/>
        </w:trPr>
        <w:tc>
          <w:tcPr>
            <w:tcW w:w="1363" w:type="pct"/>
            <w:shd w:val="clear" w:color="auto" w:fill="D0D1DB"/>
            <w:noWrap/>
            <w:vAlign w:val="center"/>
            <w:hideMark/>
          </w:tcPr>
          <w:p w14:paraId="6ED2457C"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dedicados minoristas locales</w:t>
            </w:r>
          </w:p>
        </w:tc>
        <w:tc>
          <w:tcPr>
            <w:tcW w:w="3631" w:type="pct"/>
            <w:vAlign w:val="center"/>
            <w:hideMark/>
          </w:tcPr>
          <w:p w14:paraId="13C096E4"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Consiste en el servicio de arrendamiento de circuitos de transmisión al usuario final entre dos puntas que se ubican en una misma localidad del territorio nacional, y por el que se paga una tarifa que se cobra por periodos de tiempo determinados</w:t>
            </w:r>
            <w:r>
              <w:rPr>
                <w:rFonts w:ascii="ITC Avant Garde" w:eastAsia="Times New Roman" w:hAnsi="ITC Avant Garde" w:cs="Arial"/>
                <w:sz w:val="20"/>
                <w:lang w:val="es-ES" w:eastAsia="es-ES"/>
              </w:rPr>
              <w:t>.</w:t>
            </w:r>
          </w:p>
        </w:tc>
      </w:tr>
      <w:tr w:rsidR="00A1321B" w:rsidRPr="008609D1" w14:paraId="634BF2B5" w14:textId="77777777" w:rsidTr="00505CF2">
        <w:trPr>
          <w:gridAfter w:val="1"/>
          <w:wAfter w:w="5" w:type="pct"/>
          <w:cantSplit/>
          <w:trHeight w:val="20"/>
          <w:jc w:val="center"/>
        </w:trPr>
        <w:tc>
          <w:tcPr>
            <w:tcW w:w="1363" w:type="pct"/>
            <w:shd w:val="clear" w:color="auto" w:fill="D0D1DB"/>
            <w:noWrap/>
            <w:vAlign w:val="center"/>
            <w:hideMark/>
          </w:tcPr>
          <w:p w14:paraId="0E374948"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dedicados minoristas entre localidades</w:t>
            </w:r>
          </w:p>
        </w:tc>
        <w:tc>
          <w:tcPr>
            <w:tcW w:w="3631" w:type="pct"/>
            <w:vAlign w:val="center"/>
            <w:hideMark/>
          </w:tcPr>
          <w:p w14:paraId="7A031510"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Consiste en el servicio de arrendamiento de circuitos de transmisión al usuario final entre dos puntas que se ubican en localidades distintas del territorio nacional, y por el que se paga una tarifa que se cobra por periodos de tiempo determinados</w:t>
            </w:r>
            <w:r>
              <w:rPr>
                <w:rFonts w:ascii="ITC Avant Garde" w:eastAsia="Times New Roman" w:hAnsi="ITC Avant Garde" w:cs="Arial"/>
                <w:sz w:val="20"/>
                <w:lang w:val="es-ES" w:eastAsia="es-ES"/>
              </w:rPr>
              <w:t>.</w:t>
            </w:r>
          </w:p>
        </w:tc>
      </w:tr>
      <w:tr w:rsidR="00A1321B" w:rsidRPr="008609D1" w14:paraId="26A797E1" w14:textId="77777777" w:rsidTr="00505CF2">
        <w:trPr>
          <w:gridAfter w:val="1"/>
          <w:wAfter w:w="5" w:type="pct"/>
          <w:cantSplit/>
          <w:trHeight w:val="20"/>
          <w:jc w:val="center"/>
        </w:trPr>
        <w:tc>
          <w:tcPr>
            <w:tcW w:w="1363" w:type="pct"/>
            <w:shd w:val="clear" w:color="auto" w:fill="D0D1DB"/>
            <w:noWrap/>
            <w:vAlign w:val="center"/>
            <w:hideMark/>
          </w:tcPr>
          <w:p w14:paraId="73AAF92B"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dedicados minoristas de larga distancia internacional (LDIM)</w:t>
            </w:r>
          </w:p>
        </w:tc>
        <w:tc>
          <w:tcPr>
            <w:tcW w:w="3631" w:type="pct"/>
            <w:vAlign w:val="center"/>
            <w:hideMark/>
          </w:tcPr>
          <w:p w14:paraId="0125EAA6"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Consiste en el servicio de arrendamiento de circuitos de transmisión al usuario final en el cual una de las puntas se ubica en alguna localidad del territorio nacional y otra en el extranjero, y por el que se paga una tarifa que se cobra por periodos de tiempo determinados. Este servicio tiene un ámbito geográfico nacional, cuya responsabilidad se limita hasta la frontera del país.</w:t>
            </w:r>
          </w:p>
        </w:tc>
      </w:tr>
      <w:tr w:rsidR="00A1321B" w:rsidRPr="008609D1" w14:paraId="20E96F59" w14:textId="77777777" w:rsidTr="00505CF2">
        <w:trPr>
          <w:gridAfter w:val="1"/>
          <w:wAfter w:w="5" w:type="pct"/>
          <w:cantSplit/>
          <w:trHeight w:val="20"/>
          <w:jc w:val="center"/>
        </w:trPr>
        <w:tc>
          <w:tcPr>
            <w:tcW w:w="4995" w:type="pct"/>
            <w:gridSpan w:val="2"/>
            <w:shd w:val="clear" w:color="auto" w:fill="auto"/>
            <w:noWrap/>
            <w:vAlign w:val="center"/>
          </w:tcPr>
          <w:p w14:paraId="067A67B6"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5C1CF5">
              <w:rPr>
                <w:rFonts w:ascii="ITC Avant Garde" w:eastAsia="Times New Roman" w:hAnsi="ITC Avant Garde" w:cs="Arial"/>
                <w:b/>
                <w:sz w:val="20"/>
                <w:lang w:val="es-ES" w:eastAsia="es-ES"/>
              </w:rPr>
              <w:t>Otros</w:t>
            </w:r>
          </w:p>
        </w:tc>
      </w:tr>
      <w:tr w:rsidR="00A1321B" w:rsidRPr="008609D1" w14:paraId="73E1E7B3" w14:textId="77777777" w:rsidTr="00505CF2">
        <w:trPr>
          <w:gridAfter w:val="1"/>
          <w:wAfter w:w="5" w:type="pct"/>
          <w:cantSplit/>
          <w:trHeight w:val="20"/>
          <w:jc w:val="center"/>
        </w:trPr>
        <w:tc>
          <w:tcPr>
            <w:tcW w:w="1363" w:type="pct"/>
            <w:tcBorders>
              <w:bottom w:val="single" w:sz="4" w:space="0" w:color="244062"/>
            </w:tcBorders>
            <w:shd w:val="clear" w:color="auto" w:fill="D0D1DB"/>
            <w:noWrap/>
            <w:vAlign w:val="center"/>
            <w:hideMark/>
          </w:tcPr>
          <w:p w14:paraId="36616A55"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Instalación de línea</w:t>
            </w:r>
          </w:p>
        </w:tc>
        <w:tc>
          <w:tcPr>
            <w:tcW w:w="3631" w:type="pct"/>
            <w:tcBorders>
              <w:bottom w:val="single" w:sz="4" w:space="0" w:color="244062"/>
            </w:tcBorders>
            <w:vAlign w:val="center"/>
            <w:hideMark/>
          </w:tcPr>
          <w:p w14:paraId="52391B87"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Consistente en el suministro de una conexión a la red telefónica pública en una ubicación fija a efectos de la realización y/o recepción de llamadas telefónicas y servicios conexos</w:t>
            </w:r>
            <w:r>
              <w:rPr>
                <w:rFonts w:ascii="ITC Avant Garde" w:eastAsia="Times New Roman" w:hAnsi="ITC Avant Garde" w:cs="Arial"/>
                <w:sz w:val="20"/>
                <w:lang w:val="es-ES" w:eastAsia="es-ES"/>
              </w:rPr>
              <w:t>.</w:t>
            </w:r>
          </w:p>
        </w:tc>
      </w:tr>
      <w:tr w:rsidR="00A1321B" w:rsidRPr="008609D1" w14:paraId="271C193A" w14:textId="77777777" w:rsidTr="00505CF2">
        <w:trPr>
          <w:gridAfter w:val="1"/>
          <w:wAfter w:w="5" w:type="pct"/>
          <w:cantSplit/>
          <w:trHeight w:val="20"/>
          <w:jc w:val="center"/>
        </w:trPr>
        <w:tc>
          <w:tcPr>
            <w:tcW w:w="1363" w:type="pct"/>
            <w:tcBorders>
              <w:left w:val="nil"/>
              <w:right w:val="nil"/>
            </w:tcBorders>
            <w:shd w:val="clear" w:color="auto" w:fill="D0D1DB"/>
            <w:noWrap/>
            <w:vAlign w:val="center"/>
            <w:hideMark/>
          </w:tcPr>
          <w:p w14:paraId="3C82C02E"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básica por línea</w:t>
            </w:r>
          </w:p>
        </w:tc>
        <w:tc>
          <w:tcPr>
            <w:tcW w:w="3631" w:type="pct"/>
            <w:tcBorders>
              <w:left w:val="nil"/>
              <w:right w:val="nil"/>
            </w:tcBorders>
            <w:vAlign w:val="center"/>
            <w:hideMark/>
          </w:tcPr>
          <w:p w14:paraId="7F136BD0"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Consistente en la cuota recurrente aplicada a los usuarios finales con motivo del alquiler y mantenimiento de la línea telefónica</w:t>
            </w:r>
            <w:r>
              <w:rPr>
                <w:rFonts w:ascii="ITC Avant Garde" w:eastAsia="Times New Roman" w:hAnsi="ITC Avant Garde" w:cs="Arial"/>
                <w:sz w:val="20"/>
                <w:lang w:val="es-ES" w:eastAsia="es-ES"/>
              </w:rPr>
              <w:t>.</w:t>
            </w:r>
          </w:p>
        </w:tc>
      </w:tr>
      <w:tr w:rsidR="00A1321B" w:rsidRPr="008609D1" w14:paraId="0E3708B7" w14:textId="77777777" w:rsidTr="00505CF2">
        <w:trPr>
          <w:gridAfter w:val="1"/>
          <w:wAfter w:w="5" w:type="pct"/>
          <w:cantSplit/>
          <w:trHeight w:val="20"/>
          <w:jc w:val="center"/>
        </w:trPr>
        <w:tc>
          <w:tcPr>
            <w:tcW w:w="1363" w:type="pct"/>
            <w:tcBorders>
              <w:left w:val="nil"/>
              <w:right w:val="nil"/>
            </w:tcBorders>
            <w:shd w:val="clear" w:color="auto" w:fill="D0D1DB"/>
            <w:noWrap/>
            <w:vAlign w:val="center"/>
            <w:hideMark/>
          </w:tcPr>
          <w:p w14:paraId="7C0099E9"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Comercialización y mantenimiento de cableado y equipo terminal</w:t>
            </w:r>
          </w:p>
        </w:tc>
        <w:tc>
          <w:tcPr>
            <w:tcW w:w="3631" w:type="pct"/>
            <w:tcBorders>
              <w:left w:val="nil"/>
              <w:right w:val="nil"/>
            </w:tcBorders>
            <w:vAlign w:val="center"/>
            <w:hideMark/>
          </w:tcPr>
          <w:p w14:paraId="3E1D89AA"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 refiere a la comercialización de cableados, aparatos telefónicos o cualquier equipo de telecomunicaciones para usuarios, así como el mantenimiento de dichos equipos</w:t>
            </w:r>
            <w:r>
              <w:rPr>
                <w:rFonts w:ascii="ITC Avant Garde" w:eastAsia="Times New Roman" w:hAnsi="ITC Avant Garde" w:cs="Arial"/>
                <w:sz w:val="20"/>
                <w:lang w:val="es-ES" w:eastAsia="es-ES"/>
              </w:rPr>
              <w:t>.</w:t>
            </w:r>
          </w:p>
        </w:tc>
      </w:tr>
      <w:tr w:rsidR="00A1321B" w:rsidRPr="008609D1" w14:paraId="5F60D3AD" w14:textId="77777777" w:rsidTr="00505CF2">
        <w:trPr>
          <w:gridAfter w:val="1"/>
          <w:wAfter w:w="5" w:type="pct"/>
          <w:cantSplit/>
          <w:trHeight w:val="20"/>
          <w:jc w:val="center"/>
        </w:trPr>
        <w:tc>
          <w:tcPr>
            <w:tcW w:w="1363" w:type="pct"/>
            <w:tcBorders>
              <w:left w:val="nil"/>
              <w:right w:val="nil"/>
            </w:tcBorders>
            <w:shd w:val="clear" w:color="auto" w:fill="D0D1DB"/>
            <w:noWrap/>
            <w:vAlign w:val="center"/>
            <w:hideMark/>
          </w:tcPr>
          <w:p w14:paraId="705612AB"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D407F5">
              <w:rPr>
                <w:rFonts w:ascii="ITC Avant Garde" w:eastAsia="Times New Roman" w:hAnsi="ITC Avant Garde" w:cs="Arial"/>
                <w:sz w:val="20"/>
                <w:lang w:val="es-ES" w:eastAsia="es-ES"/>
              </w:rPr>
              <w:t>Servicios OTT de video</w:t>
            </w:r>
          </w:p>
        </w:tc>
        <w:tc>
          <w:tcPr>
            <w:tcW w:w="3631" w:type="pct"/>
            <w:tcBorders>
              <w:left w:val="nil"/>
              <w:right w:val="nil"/>
            </w:tcBorders>
            <w:vAlign w:val="center"/>
            <w:hideMark/>
          </w:tcPr>
          <w:p w14:paraId="3117212F"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 xml:space="preserve">Se refiere a la prestación de servicios </w:t>
            </w:r>
            <w:r w:rsidRPr="008609D1">
              <w:rPr>
                <w:rFonts w:ascii="ITC Avant Garde" w:eastAsia="Times New Roman" w:hAnsi="ITC Avant Garde" w:cs="Arial"/>
                <w:i/>
                <w:iCs/>
                <w:sz w:val="20"/>
                <w:szCs w:val="20"/>
                <w:lang w:val="es-ES" w:eastAsia="es-ES"/>
              </w:rPr>
              <w:t xml:space="preserve">over-the-top </w:t>
            </w:r>
            <w:r w:rsidRPr="008609D1">
              <w:rPr>
                <w:rFonts w:ascii="ITC Avant Garde" w:eastAsia="Times New Roman" w:hAnsi="ITC Avant Garde" w:cs="Arial"/>
                <w:sz w:val="20"/>
                <w:szCs w:val="20"/>
                <w:lang w:val="es-ES" w:eastAsia="es-ES"/>
              </w:rPr>
              <w:t>de video bajo demanda</w:t>
            </w:r>
            <w:r>
              <w:rPr>
                <w:rFonts w:ascii="ITC Avant Garde" w:eastAsia="Times New Roman" w:hAnsi="ITC Avant Garde" w:cs="Arial"/>
                <w:sz w:val="20"/>
                <w:szCs w:val="20"/>
                <w:lang w:val="es-ES" w:eastAsia="es-ES"/>
              </w:rPr>
              <w:t>.</w:t>
            </w:r>
            <w:r w:rsidRPr="008609D1">
              <w:rPr>
                <w:rFonts w:ascii="ITC Avant Garde" w:eastAsia="Times New Roman" w:hAnsi="ITC Avant Garde" w:cs="Arial"/>
                <w:sz w:val="20"/>
                <w:szCs w:val="20"/>
                <w:lang w:val="es-ES" w:eastAsia="es-ES"/>
              </w:rPr>
              <w:t xml:space="preserve"> </w:t>
            </w:r>
          </w:p>
        </w:tc>
      </w:tr>
      <w:tr w:rsidR="00A1321B" w:rsidRPr="008609D1" w14:paraId="1CCAEEA6" w14:textId="77777777" w:rsidTr="00505CF2">
        <w:trPr>
          <w:gridAfter w:val="1"/>
          <w:wAfter w:w="5" w:type="pct"/>
          <w:cantSplit/>
          <w:trHeight w:val="20"/>
          <w:jc w:val="center"/>
        </w:trPr>
        <w:tc>
          <w:tcPr>
            <w:tcW w:w="1363" w:type="pct"/>
            <w:tcBorders>
              <w:left w:val="nil"/>
              <w:right w:val="nil"/>
            </w:tcBorders>
            <w:shd w:val="clear" w:color="auto" w:fill="D0D1DB"/>
            <w:noWrap/>
            <w:vAlign w:val="center"/>
            <w:hideMark/>
          </w:tcPr>
          <w:p w14:paraId="20A57841"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D407F5">
              <w:rPr>
                <w:rFonts w:ascii="ITC Avant Garde" w:eastAsia="Times New Roman" w:hAnsi="ITC Avant Garde" w:cs="Arial"/>
                <w:sz w:val="20"/>
                <w:lang w:val="es-ES" w:eastAsia="es-ES"/>
              </w:rPr>
              <w:t>Servicios OTT de audio</w:t>
            </w:r>
          </w:p>
        </w:tc>
        <w:tc>
          <w:tcPr>
            <w:tcW w:w="3631" w:type="pct"/>
            <w:tcBorders>
              <w:left w:val="nil"/>
              <w:right w:val="nil"/>
            </w:tcBorders>
            <w:vAlign w:val="center"/>
            <w:hideMark/>
          </w:tcPr>
          <w:p w14:paraId="07031861"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 xml:space="preserve">Se refiere a la prestación de servicios </w:t>
            </w:r>
            <w:r w:rsidRPr="008609D1">
              <w:rPr>
                <w:rFonts w:ascii="ITC Avant Garde" w:eastAsia="Times New Roman" w:hAnsi="ITC Avant Garde" w:cs="Arial"/>
                <w:i/>
                <w:iCs/>
                <w:sz w:val="20"/>
                <w:szCs w:val="20"/>
                <w:lang w:val="es-ES" w:eastAsia="es-ES"/>
              </w:rPr>
              <w:t>over-the-top</w:t>
            </w:r>
            <w:r w:rsidRPr="008609D1">
              <w:rPr>
                <w:rFonts w:ascii="ITC Avant Garde" w:eastAsia="Times New Roman" w:hAnsi="ITC Avant Garde" w:cs="Arial"/>
                <w:sz w:val="20"/>
                <w:szCs w:val="20"/>
                <w:lang w:val="es-ES" w:eastAsia="es-ES"/>
              </w:rPr>
              <w:t xml:space="preserve"> de audio bajo demanda</w:t>
            </w:r>
            <w:r>
              <w:rPr>
                <w:rFonts w:ascii="ITC Avant Garde" w:eastAsia="Times New Roman" w:hAnsi="ITC Avant Garde" w:cs="Arial"/>
                <w:sz w:val="20"/>
                <w:szCs w:val="20"/>
                <w:lang w:val="es-ES" w:eastAsia="es-ES"/>
              </w:rPr>
              <w:t>.</w:t>
            </w:r>
            <w:r w:rsidRPr="008609D1">
              <w:rPr>
                <w:rFonts w:ascii="ITC Avant Garde" w:eastAsia="Times New Roman" w:hAnsi="ITC Avant Garde" w:cs="Arial"/>
                <w:sz w:val="20"/>
                <w:szCs w:val="20"/>
                <w:lang w:val="es-ES" w:eastAsia="es-ES"/>
              </w:rPr>
              <w:t xml:space="preserve"> </w:t>
            </w:r>
          </w:p>
        </w:tc>
      </w:tr>
      <w:tr w:rsidR="00A1321B" w:rsidRPr="008609D1" w14:paraId="31029AC0" w14:textId="77777777" w:rsidTr="00505CF2">
        <w:trPr>
          <w:gridAfter w:val="1"/>
          <w:wAfter w:w="5" w:type="pct"/>
          <w:cantSplit/>
          <w:trHeight w:val="20"/>
          <w:jc w:val="center"/>
        </w:trPr>
        <w:tc>
          <w:tcPr>
            <w:tcW w:w="1363" w:type="pct"/>
            <w:tcBorders>
              <w:left w:val="nil"/>
              <w:right w:val="nil"/>
            </w:tcBorders>
            <w:shd w:val="clear" w:color="auto" w:fill="D0D1DB"/>
            <w:noWrap/>
            <w:vAlign w:val="center"/>
            <w:hideMark/>
          </w:tcPr>
          <w:p w14:paraId="30320CA1"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lastRenderedPageBreak/>
              <w:t>Servicio de telefonía pública</w:t>
            </w:r>
          </w:p>
        </w:tc>
        <w:tc>
          <w:tcPr>
            <w:tcW w:w="3631" w:type="pct"/>
            <w:tcBorders>
              <w:left w:val="nil"/>
              <w:right w:val="nil"/>
            </w:tcBorders>
            <w:vAlign w:val="center"/>
            <w:hideMark/>
          </w:tcPr>
          <w:p w14:paraId="0B1B4A6B" w14:textId="294F9AD6"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Servicio de </w:t>
            </w:r>
            <w:r>
              <w:rPr>
                <w:rFonts w:ascii="ITC Avant Garde" w:eastAsia="Times New Roman" w:hAnsi="ITC Avant Garde" w:cs="Arial"/>
                <w:sz w:val="20"/>
                <w:lang w:val="es-ES" w:eastAsia="es-ES"/>
              </w:rPr>
              <w:t>t</w:t>
            </w:r>
            <w:r w:rsidRPr="006D334F">
              <w:rPr>
                <w:rFonts w:ascii="ITC Avant Garde" w:eastAsia="Times New Roman" w:hAnsi="ITC Avant Garde" w:cs="Arial"/>
                <w:sz w:val="20"/>
                <w:lang w:val="es-ES" w:eastAsia="es-ES"/>
              </w:rPr>
              <w:t xml:space="preserve">elefonía y en algunos casos de </w:t>
            </w:r>
            <w:r>
              <w:rPr>
                <w:rFonts w:ascii="ITC Avant Garde" w:eastAsia="Times New Roman" w:hAnsi="ITC Avant Garde" w:cs="Arial"/>
                <w:sz w:val="20"/>
                <w:lang w:val="es-ES" w:eastAsia="es-ES"/>
              </w:rPr>
              <w:t>a</w:t>
            </w:r>
            <w:r w:rsidRPr="006D334F">
              <w:rPr>
                <w:rFonts w:ascii="ITC Avant Garde" w:eastAsia="Times New Roman" w:hAnsi="ITC Avant Garde" w:cs="Arial"/>
                <w:sz w:val="20"/>
                <w:lang w:val="es-ES" w:eastAsia="es-ES"/>
              </w:rPr>
              <w:t>cceso a Internet que se presta al público en general por medio de la instalación, operación y/o explotación de aparatos telefónicos de uso público.</w:t>
            </w:r>
          </w:p>
        </w:tc>
      </w:tr>
      <w:tr w:rsidR="00A1321B" w:rsidRPr="008609D1" w14:paraId="67FBD19B" w14:textId="77777777" w:rsidTr="00505CF2">
        <w:trPr>
          <w:gridAfter w:val="1"/>
          <w:wAfter w:w="5" w:type="pct"/>
          <w:cantSplit/>
          <w:trHeight w:val="20"/>
          <w:jc w:val="center"/>
        </w:trPr>
        <w:tc>
          <w:tcPr>
            <w:tcW w:w="1363" w:type="pct"/>
            <w:tcBorders>
              <w:left w:val="nil"/>
              <w:right w:val="nil"/>
            </w:tcBorders>
            <w:shd w:val="clear" w:color="auto" w:fill="D0D1DB"/>
            <w:noWrap/>
            <w:vAlign w:val="center"/>
            <w:hideMark/>
          </w:tcPr>
          <w:p w14:paraId="4BF79436"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Ventas en tiendas del concesionario</w:t>
            </w:r>
          </w:p>
        </w:tc>
        <w:tc>
          <w:tcPr>
            <w:tcW w:w="3631" w:type="pct"/>
            <w:tcBorders>
              <w:left w:val="nil"/>
              <w:right w:val="nil"/>
            </w:tcBorders>
            <w:vAlign w:val="center"/>
            <w:hideMark/>
          </w:tcPr>
          <w:p w14:paraId="73FDBB00"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Contiene las ventas de equipos y demás objetos en las tiendas físicas y virtuales de los concesionarios</w:t>
            </w:r>
            <w:r>
              <w:rPr>
                <w:rFonts w:ascii="ITC Avant Garde" w:eastAsia="Times New Roman" w:hAnsi="ITC Avant Garde" w:cs="Arial"/>
                <w:sz w:val="20"/>
                <w:lang w:val="es-ES" w:eastAsia="es-ES"/>
              </w:rPr>
              <w:t>.</w:t>
            </w:r>
          </w:p>
        </w:tc>
      </w:tr>
      <w:tr w:rsidR="00A1321B" w:rsidRPr="008609D1" w14:paraId="3215C786" w14:textId="77777777" w:rsidTr="00505CF2">
        <w:trPr>
          <w:gridAfter w:val="1"/>
          <w:wAfter w:w="5" w:type="pct"/>
          <w:cantSplit/>
          <w:trHeight w:val="20"/>
          <w:jc w:val="center"/>
        </w:trPr>
        <w:tc>
          <w:tcPr>
            <w:tcW w:w="1363" w:type="pct"/>
            <w:tcBorders>
              <w:left w:val="nil"/>
              <w:right w:val="nil"/>
            </w:tcBorders>
            <w:shd w:val="clear" w:color="auto" w:fill="D0D1DB"/>
            <w:noWrap/>
            <w:vAlign w:val="center"/>
            <w:hideMark/>
          </w:tcPr>
          <w:p w14:paraId="42A502A5"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suplementarios</w:t>
            </w:r>
          </w:p>
        </w:tc>
        <w:tc>
          <w:tcPr>
            <w:tcW w:w="3631" w:type="pct"/>
            <w:tcBorders>
              <w:left w:val="nil"/>
              <w:right w:val="nil"/>
            </w:tcBorders>
            <w:vAlign w:val="center"/>
            <w:hideMark/>
          </w:tcPr>
          <w:p w14:paraId="4F635DE4"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Contiene servicios suplementarios ofrecidos por el operador, tal y como el desvío de llamadas, el servicio de contestador y la identificación de número llamante</w:t>
            </w:r>
            <w:r>
              <w:rPr>
                <w:rFonts w:ascii="ITC Avant Garde" w:eastAsia="Times New Roman" w:hAnsi="ITC Avant Garde" w:cs="Arial"/>
                <w:sz w:val="20"/>
                <w:lang w:val="es-ES" w:eastAsia="es-ES"/>
              </w:rPr>
              <w:t>.</w:t>
            </w:r>
          </w:p>
        </w:tc>
      </w:tr>
      <w:tr w:rsidR="00A1321B" w:rsidRPr="008609D1" w14:paraId="52C72750" w14:textId="77777777" w:rsidTr="00505CF2">
        <w:trPr>
          <w:gridAfter w:val="1"/>
          <w:wAfter w:w="5" w:type="pct"/>
          <w:cantSplit/>
          <w:trHeight w:val="20"/>
          <w:jc w:val="center"/>
        </w:trPr>
        <w:tc>
          <w:tcPr>
            <w:tcW w:w="1363" w:type="pct"/>
            <w:tcBorders>
              <w:left w:val="nil"/>
              <w:right w:val="nil"/>
            </w:tcBorders>
            <w:shd w:val="clear" w:color="auto" w:fill="E7E6E6" w:themeFill="background2"/>
            <w:noWrap/>
            <w:vAlign w:val="center"/>
          </w:tcPr>
          <w:p w14:paraId="08943567" w14:textId="77777777" w:rsidR="00A1321B" w:rsidRPr="00D407F5" w:rsidRDefault="00A1321B" w:rsidP="008B4286">
            <w:pPr>
              <w:keepNext/>
              <w:keepLines/>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mayoristas</w:t>
            </w:r>
          </w:p>
        </w:tc>
        <w:tc>
          <w:tcPr>
            <w:tcW w:w="3631" w:type="pct"/>
            <w:tcBorders>
              <w:left w:val="nil"/>
              <w:right w:val="nil"/>
            </w:tcBorders>
            <w:shd w:val="clear" w:color="auto" w:fill="E7E6E6" w:themeFill="background2"/>
            <w:vAlign w:val="center"/>
          </w:tcPr>
          <w:p w14:paraId="38D15C1A"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p>
        </w:tc>
      </w:tr>
      <w:tr w:rsidR="00A1321B" w:rsidRPr="008609D1" w14:paraId="430D81FC" w14:textId="77777777" w:rsidTr="00505CF2">
        <w:trPr>
          <w:gridAfter w:val="1"/>
          <w:wAfter w:w="5" w:type="pct"/>
          <w:cantSplit/>
          <w:trHeight w:val="20"/>
          <w:jc w:val="center"/>
        </w:trPr>
        <w:tc>
          <w:tcPr>
            <w:tcW w:w="4995" w:type="pct"/>
            <w:gridSpan w:val="2"/>
            <w:tcBorders>
              <w:left w:val="nil"/>
              <w:right w:val="nil"/>
            </w:tcBorders>
            <w:shd w:val="clear" w:color="auto" w:fill="auto"/>
            <w:noWrap/>
            <w:vAlign w:val="center"/>
          </w:tcPr>
          <w:p w14:paraId="3D3C080C"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Servicios de interconexión</w:t>
            </w:r>
          </w:p>
        </w:tc>
      </w:tr>
      <w:tr w:rsidR="00A1321B" w:rsidRPr="008609D1" w14:paraId="3AFAC9B2" w14:textId="77777777" w:rsidTr="00505CF2">
        <w:trPr>
          <w:gridAfter w:val="1"/>
          <w:wAfter w:w="5" w:type="pct"/>
          <w:cantSplit/>
          <w:trHeight w:val="20"/>
          <w:jc w:val="center"/>
        </w:trPr>
        <w:tc>
          <w:tcPr>
            <w:tcW w:w="1363" w:type="pct"/>
            <w:tcBorders>
              <w:left w:val="nil"/>
              <w:right w:val="nil"/>
            </w:tcBorders>
            <w:shd w:val="clear" w:color="auto" w:fill="D0D1DB"/>
            <w:noWrap/>
            <w:vAlign w:val="center"/>
            <w:hideMark/>
          </w:tcPr>
          <w:p w14:paraId="78408147"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otros operadores fijos</w:t>
            </w:r>
          </w:p>
        </w:tc>
        <w:tc>
          <w:tcPr>
            <w:tcW w:w="3631" w:type="pct"/>
            <w:tcBorders>
              <w:left w:val="nil"/>
              <w:right w:val="nil"/>
            </w:tcBorders>
            <w:vAlign w:val="center"/>
            <w:hideMark/>
          </w:tcPr>
          <w:p w14:paraId="5DAC6DBD"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la conmutación de tráfico procedente de redes fijas nacionales en una o más centrales del concesionario, el transporte del servicio correspondiente por la red troncal, y su entrega al equipo terminal del usuario de destino</w:t>
            </w:r>
            <w:r>
              <w:rPr>
                <w:rFonts w:ascii="ITC Avant Garde" w:eastAsia="Times New Roman" w:hAnsi="ITC Avant Garde" w:cs="Arial"/>
                <w:sz w:val="20"/>
                <w:lang w:val="es-ES" w:eastAsia="es-ES"/>
              </w:rPr>
              <w:t>.</w:t>
            </w:r>
          </w:p>
        </w:tc>
      </w:tr>
      <w:tr w:rsidR="00A1321B" w:rsidRPr="008609D1" w14:paraId="6890A274" w14:textId="77777777" w:rsidTr="00505CF2">
        <w:trPr>
          <w:gridAfter w:val="1"/>
          <w:wAfter w:w="5" w:type="pct"/>
          <w:cantSplit/>
          <w:trHeight w:val="20"/>
          <w:jc w:val="center"/>
        </w:trPr>
        <w:tc>
          <w:tcPr>
            <w:tcW w:w="1363" w:type="pct"/>
            <w:tcBorders>
              <w:left w:val="nil"/>
              <w:right w:val="nil"/>
            </w:tcBorders>
            <w:shd w:val="clear" w:color="auto" w:fill="D0D1DB"/>
            <w:noWrap/>
            <w:vAlign w:val="center"/>
            <w:hideMark/>
          </w:tcPr>
          <w:p w14:paraId="421889EE"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móviles</w:t>
            </w:r>
          </w:p>
        </w:tc>
        <w:tc>
          <w:tcPr>
            <w:tcW w:w="3631" w:type="pct"/>
            <w:tcBorders>
              <w:left w:val="nil"/>
              <w:right w:val="nil"/>
            </w:tcBorders>
            <w:vAlign w:val="center"/>
            <w:hideMark/>
          </w:tcPr>
          <w:p w14:paraId="42704840"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la conmutación de tráfico procedente de redes móviles nacionales en una o más centrales del concesionario, el transporte del servicio correspondiente por la red troncal, y su entrega al equipo terminal del usuario de destino</w:t>
            </w:r>
            <w:r>
              <w:rPr>
                <w:rFonts w:ascii="ITC Avant Garde" w:eastAsia="Times New Roman" w:hAnsi="ITC Avant Garde" w:cs="Arial"/>
                <w:sz w:val="20"/>
                <w:lang w:val="es-ES" w:eastAsia="es-ES"/>
              </w:rPr>
              <w:t>.</w:t>
            </w:r>
          </w:p>
        </w:tc>
      </w:tr>
      <w:tr w:rsidR="00A1321B" w:rsidRPr="008609D1" w14:paraId="36D25A65" w14:textId="77777777" w:rsidTr="00505CF2">
        <w:trPr>
          <w:gridAfter w:val="1"/>
          <w:wAfter w:w="5" w:type="pct"/>
          <w:cantSplit/>
          <w:trHeight w:val="20"/>
          <w:jc w:val="center"/>
        </w:trPr>
        <w:tc>
          <w:tcPr>
            <w:tcW w:w="1363" w:type="pct"/>
            <w:tcBorders>
              <w:left w:val="nil"/>
              <w:right w:val="nil"/>
            </w:tcBorders>
            <w:shd w:val="clear" w:color="auto" w:fill="D0D1DB"/>
            <w:noWrap/>
            <w:vAlign w:val="center"/>
            <w:hideMark/>
          </w:tcPr>
          <w:p w14:paraId="0FB528DD"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tráfico internacional</w:t>
            </w:r>
          </w:p>
        </w:tc>
        <w:tc>
          <w:tcPr>
            <w:tcW w:w="3631" w:type="pct"/>
            <w:tcBorders>
              <w:left w:val="nil"/>
              <w:right w:val="nil"/>
            </w:tcBorders>
            <w:vAlign w:val="center"/>
            <w:hideMark/>
          </w:tcPr>
          <w:p w14:paraId="33ED6F44"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la conmutación de tráfico procedente de redes fijas internacionales en una o más centrales del concesionario, el transporte del servicio correspondiente por la red troncal, y su entrega al equipo terminal del usuario de destino</w:t>
            </w:r>
            <w:r>
              <w:rPr>
                <w:rFonts w:ascii="ITC Avant Garde" w:eastAsia="Times New Roman" w:hAnsi="ITC Avant Garde" w:cs="Arial"/>
                <w:sz w:val="20"/>
                <w:lang w:val="es-ES" w:eastAsia="es-ES"/>
              </w:rPr>
              <w:t>.</w:t>
            </w:r>
          </w:p>
        </w:tc>
      </w:tr>
      <w:tr w:rsidR="00A1321B" w:rsidRPr="008609D1" w14:paraId="54697ECC" w14:textId="77777777" w:rsidTr="00505CF2">
        <w:trPr>
          <w:gridAfter w:val="1"/>
          <w:wAfter w:w="5" w:type="pct"/>
          <w:cantSplit/>
          <w:trHeight w:val="20"/>
          <w:jc w:val="center"/>
        </w:trPr>
        <w:tc>
          <w:tcPr>
            <w:tcW w:w="1363" w:type="pct"/>
            <w:tcBorders>
              <w:left w:val="nil"/>
              <w:right w:val="nil"/>
            </w:tcBorders>
            <w:shd w:val="clear" w:color="auto" w:fill="D0D1DB"/>
            <w:noWrap/>
            <w:vAlign w:val="center"/>
            <w:hideMark/>
          </w:tcPr>
          <w:p w14:paraId="3EE2B49A"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Originación de llamadas desde red fija a usuarios en redes fijas</w:t>
            </w:r>
          </w:p>
        </w:tc>
        <w:tc>
          <w:tcPr>
            <w:tcW w:w="3631" w:type="pct"/>
            <w:tcBorders>
              <w:left w:val="nil"/>
              <w:right w:val="nil"/>
            </w:tcBorders>
            <w:vAlign w:val="center"/>
            <w:hideMark/>
          </w:tcPr>
          <w:p w14:paraId="1A373E9B"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recoger el tráfico público conmutado desde el punto de acceso del usuario en una ubicación fija, transportar la comunicación y entregarla en el punto de interconexión con el tercer operador nacional fijo</w:t>
            </w:r>
            <w:r>
              <w:rPr>
                <w:rFonts w:ascii="ITC Avant Garde" w:eastAsia="Times New Roman" w:hAnsi="ITC Avant Garde" w:cs="Arial"/>
                <w:sz w:val="20"/>
                <w:lang w:val="es-ES" w:eastAsia="es-ES"/>
              </w:rPr>
              <w:t>.</w:t>
            </w:r>
          </w:p>
        </w:tc>
      </w:tr>
      <w:tr w:rsidR="00A1321B" w:rsidRPr="008609D1" w14:paraId="1E2E9456" w14:textId="77777777" w:rsidTr="00505CF2">
        <w:trPr>
          <w:gridAfter w:val="1"/>
          <w:wAfter w:w="5" w:type="pct"/>
          <w:cantSplit/>
          <w:trHeight w:val="20"/>
          <w:jc w:val="center"/>
        </w:trPr>
        <w:tc>
          <w:tcPr>
            <w:tcW w:w="1363" w:type="pct"/>
            <w:tcBorders>
              <w:left w:val="nil"/>
              <w:right w:val="nil"/>
            </w:tcBorders>
            <w:shd w:val="clear" w:color="auto" w:fill="D0D1DB"/>
            <w:noWrap/>
            <w:vAlign w:val="center"/>
            <w:hideMark/>
          </w:tcPr>
          <w:p w14:paraId="6E3244AE"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Originación de llamadas desde red fija a usuarios en redes móviles</w:t>
            </w:r>
          </w:p>
        </w:tc>
        <w:tc>
          <w:tcPr>
            <w:tcW w:w="3631" w:type="pct"/>
            <w:tcBorders>
              <w:left w:val="nil"/>
              <w:right w:val="nil"/>
            </w:tcBorders>
            <w:vAlign w:val="center"/>
            <w:hideMark/>
          </w:tcPr>
          <w:p w14:paraId="1981A89F"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recoger el tráfico público conmutado desde el punto de acceso del usuario en una ubicación fija, transportar la comunicación y entregarla en el punto de interconexión con el tercer operador nacional móvil</w:t>
            </w:r>
            <w:r>
              <w:rPr>
                <w:rFonts w:ascii="ITC Avant Garde" w:eastAsia="Times New Roman" w:hAnsi="ITC Avant Garde" w:cs="Arial"/>
                <w:sz w:val="20"/>
                <w:lang w:val="es-ES" w:eastAsia="es-ES"/>
              </w:rPr>
              <w:t>.</w:t>
            </w:r>
          </w:p>
        </w:tc>
      </w:tr>
      <w:tr w:rsidR="00A1321B" w:rsidRPr="008609D1" w14:paraId="1889FDA8" w14:textId="77777777" w:rsidTr="00505CF2">
        <w:trPr>
          <w:gridAfter w:val="1"/>
          <w:wAfter w:w="5" w:type="pct"/>
          <w:cantSplit/>
          <w:trHeight w:val="20"/>
          <w:jc w:val="center"/>
        </w:trPr>
        <w:tc>
          <w:tcPr>
            <w:tcW w:w="1363" w:type="pct"/>
            <w:tcBorders>
              <w:left w:val="nil"/>
              <w:right w:val="nil"/>
            </w:tcBorders>
            <w:shd w:val="clear" w:color="auto" w:fill="D0D1DB"/>
            <w:noWrap/>
            <w:vAlign w:val="center"/>
            <w:hideMark/>
          </w:tcPr>
          <w:p w14:paraId="7BFD6009"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Originación de llamadas desde red fija a destinos internacionales</w:t>
            </w:r>
          </w:p>
        </w:tc>
        <w:tc>
          <w:tcPr>
            <w:tcW w:w="3631" w:type="pct"/>
            <w:tcBorders>
              <w:left w:val="nil"/>
              <w:right w:val="nil"/>
            </w:tcBorders>
            <w:vAlign w:val="center"/>
            <w:hideMark/>
          </w:tcPr>
          <w:p w14:paraId="425A2D55"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recoger el tráfico público conmutado desde el punto de acceso del usuario en una ubicación fija, transportar la comunicación y entregarla en el punto de interconexión con el tercer operador internacional</w:t>
            </w:r>
            <w:r>
              <w:rPr>
                <w:rFonts w:ascii="ITC Avant Garde" w:eastAsia="Times New Roman" w:hAnsi="ITC Avant Garde" w:cs="Arial"/>
                <w:sz w:val="20"/>
                <w:lang w:val="es-ES" w:eastAsia="es-ES"/>
              </w:rPr>
              <w:t>.</w:t>
            </w:r>
          </w:p>
        </w:tc>
      </w:tr>
      <w:tr w:rsidR="00A1321B" w:rsidRPr="008609D1" w14:paraId="2E40EFE9" w14:textId="77777777" w:rsidTr="00505CF2">
        <w:trPr>
          <w:cantSplit/>
          <w:trHeight w:val="20"/>
          <w:jc w:val="center"/>
        </w:trPr>
        <w:tc>
          <w:tcPr>
            <w:tcW w:w="1363" w:type="pct"/>
            <w:tcBorders>
              <w:left w:val="nil"/>
              <w:right w:val="nil"/>
            </w:tcBorders>
            <w:shd w:val="clear" w:color="auto" w:fill="D0D1DB"/>
            <w:noWrap/>
            <w:vAlign w:val="center"/>
            <w:hideMark/>
          </w:tcPr>
          <w:p w14:paraId="00D4DF77"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Tránsito de voz</w:t>
            </w:r>
          </w:p>
        </w:tc>
        <w:tc>
          <w:tcPr>
            <w:tcW w:w="3637" w:type="pct"/>
            <w:gridSpan w:val="2"/>
            <w:tcBorders>
              <w:left w:val="nil"/>
              <w:right w:val="nil"/>
            </w:tcBorders>
            <w:vAlign w:val="center"/>
            <w:hideMark/>
          </w:tcPr>
          <w:p w14:paraId="018D8C03"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el transporte de llamadas de voz recibidas de otro operador internacional, móvil o fijo y terminadas en la red de otro operador internacional, móvil o fijo</w:t>
            </w:r>
            <w:r>
              <w:rPr>
                <w:rFonts w:ascii="ITC Avant Garde" w:eastAsia="Times New Roman" w:hAnsi="ITC Avant Garde" w:cs="Arial"/>
                <w:sz w:val="20"/>
                <w:lang w:val="es-ES" w:eastAsia="es-ES"/>
              </w:rPr>
              <w:t>.</w:t>
            </w:r>
          </w:p>
        </w:tc>
      </w:tr>
      <w:tr w:rsidR="00A1321B" w:rsidRPr="008609D1" w14:paraId="242FC418" w14:textId="77777777" w:rsidTr="00505CF2">
        <w:trPr>
          <w:cantSplit/>
          <w:trHeight w:val="20"/>
          <w:jc w:val="center"/>
        </w:trPr>
        <w:tc>
          <w:tcPr>
            <w:tcW w:w="5000" w:type="pct"/>
            <w:gridSpan w:val="3"/>
            <w:tcBorders>
              <w:left w:val="nil"/>
              <w:right w:val="nil"/>
            </w:tcBorders>
            <w:shd w:val="clear" w:color="auto" w:fill="auto"/>
            <w:noWrap/>
            <w:vAlign w:val="center"/>
          </w:tcPr>
          <w:p w14:paraId="0C40920D" w14:textId="77777777"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Servicios de enlaces dedicados</w:t>
            </w:r>
          </w:p>
        </w:tc>
      </w:tr>
      <w:tr w:rsidR="00A1321B" w:rsidRPr="008609D1" w14:paraId="1671B279" w14:textId="77777777" w:rsidTr="00505CF2">
        <w:trPr>
          <w:cantSplit/>
          <w:trHeight w:val="20"/>
          <w:jc w:val="center"/>
        </w:trPr>
        <w:tc>
          <w:tcPr>
            <w:tcW w:w="1363" w:type="pct"/>
            <w:tcBorders>
              <w:left w:val="nil"/>
              <w:right w:val="nil"/>
            </w:tcBorders>
            <w:shd w:val="clear" w:color="auto" w:fill="D0D1DB"/>
            <w:noWrap/>
            <w:vAlign w:val="center"/>
            <w:hideMark/>
          </w:tcPr>
          <w:p w14:paraId="578293DD"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Enlaces dedicados locales </w:t>
            </w:r>
          </w:p>
        </w:tc>
        <w:tc>
          <w:tcPr>
            <w:tcW w:w="3637" w:type="pct"/>
            <w:gridSpan w:val="2"/>
            <w:tcBorders>
              <w:left w:val="nil"/>
              <w:right w:val="nil"/>
            </w:tcBorders>
            <w:hideMark/>
          </w:tcPr>
          <w:p w14:paraId="476F5DE3" w14:textId="77777777"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arrendamiento de enlaces de transmisión, cuyas puntas se ubican en una misma localidad del territorio nacional</w:t>
            </w:r>
            <w:r>
              <w:rPr>
                <w:rFonts w:ascii="ITC Avant Garde" w:eastAsia="Times New Roman" w:hAnsi="ITC Avant Garde" w:cs="Arial"/>
                <w:sz w:val="20"/>
                <w:lang w:val="es-ES" w:eastAsia="es-ES"/>
              </w:rPr>
              <w:t>.</w:t>
            </w:r>
          </w:p>
        </w:tc>
      </w:tr>
      <w:tr w:rsidR="00A1321B" w:rsidRPr="008609D1" w14:paraId="09CF1E57" w14:textId="77777777" w:rsidTr="00505CF2">
        <w:trPr>
          <w:cantSplit/>
          <w:trHeight w:val="20"/>
          <w:jc w:val="center"/>
        </w:trPr>
        <w:tc>
          <w:tcPr>
            <w:tcW w:w="1363" w:type="pct"/>
            <w:tcBorders>
              <w:left w:val="nil"/>
              <w:right w:val="nil"/>
            </w:tcBorders>
            <w:shd w:val="clear" w:color="auto" w:fill="D0D1DB"/>
            <w:noWrap/>
            <w:vAlign w:val="center"/>
            <w:hideMark/>
          </w:tcPr>
          <w:p w14:paraId="22D879BE"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lastRenderedPageBreak/>
              <w:t>Enlaces dedicados entre localidades (Lada enlaces)</w:t>
            </w:r>
          </w:p>
        </w:tc>
        <w:tc>
          <w:tcPr>
            <w:tcW w:w="3637" w:type="pct"/>
            <w:gridSpan w:val="2"/>
            <w:tcBorders>
              <w:left w:val="nil"/>
              <w:right w:val="nil"/>
            </w:tcBorders>
            <w:hideMark/>
          </w:tcPr>
          <w:p w14:paraId="65C320D3" w14:textId="77777777"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arrendamiento de enlaces de transmisión, cuyas puntas se ubican en localidades distintas del territorio nacional</w:t>
            </w:r>
            <w:r>
              <w:rPr>
                <w:rFonts w:ascii="ITC Avant Garde" w:eastAsia="Times New Roman" w:hAnsi="ITC Avant Garde" w:cs="Arial"/>
                <w:sz w:val="20"/>
                <w:lang w:val="es-ES" w:eastAsia="es-ES"/>
              </w:rPr>
              <w:t>.</w:t>
            </w:r>
          </w:p>
        </w:tc>
      </w:tr>
      <w:tr w:rsidR="00A1321B" w:rsidRPr="008609D1" w14:paraId="6B7595E0" w14:textId="77777777" w:rsidTr="00505CF2">
        <w:trPr>
          <w:cantSplit/>
          <w:trHeight w:val="20"/>
          <w:jc w:val="center"/>
        </w:trPr>
        <w:tc>
          <w:tcPr>
            <w:tcW w:w="1363" w:type="pct"/>
            <w:tcBorders>
              <w:left w:val="nil"/>
              <w:right w:val="nil"/>
            </w:tcBorders>
            <w:shd w:val="clear" w:color="auto" w:fill="D0D1DB"/>
            <w:noWrap/>
            <w:vAlign w:val="center"/>
            <w:hideMark/>
          </w:tcPr>
          <w:p w14:paraId="69CBA15B" w14:textId="74B71BCF"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Enlaces dedicados de </w:t>
            </w:r>
            <w:r>
              <w:rPr>
                <w:rFonts w:ascii="ITC Avant Garde" w:eastAsia="Times New Roman" w:hAnsi="ITC Avant Garde" w:cs="Arial"/>
                <w:sz w:val="20"/>
                <w:lang w:val="es-ES" w:eastAsia="es-ES"/>
              </w:rPr>
              <w:t>l</w:t>
            </w:r>
            <w:r w:rsidRPr="006D334F">
              <w:rPr>
                <w:rFonts w:ascii="ITC Avant Garde" w:eastAsia="Times New Roman" w:hAnsi="ITC Avant Garde" w:cs="Arial"/>
                <w:sz w:val="20"/>
                <w:lang w:val="es-ES" w:eastAsia="es-ES"/>
              </w:rPr>
              <w:t xml:space="preserve">arga </w:t>
            </w:r>
            <w:r>
              <w:rPr>
                <w:rFonts w:ascii="ITC Avant Garde" w:eastAsia="Times New Roman" w:hAnsi="ITC Avant Garde" w:cs="Arial"/>
                <w:sz w:val="20"/>
                <w:lang w:val="es-ES" w:eastAsia="es-ES"/>
              </w:rPr>
              <w:t>d</w:t>
            </w:r>
            <w:r w:rsidRPr="006D334F">
              <w:rPr>
                <w:rFonts w:ascii="ITC Avant Garde" w:eastAsia="Times New Roman" w:hAnsi="ITC Avant Garde" w:cs="Arial"/>
                <w:sz w:val="20"/>
                <w:lang w:val="es-ES" w:eastAsia="es-ES"/>
              </w:rPr>
              <w:t xml:space="preserve">istancia </w:t>
            </w:r>
            <w:r>
              <w:rPr>
                <w:rFonts w:ascii="ITC Avant Garde" w:eastAsia="Times New Roman" w:hAnsi="ITC Avant Garde" w:cs="Arial"/>
                <w:sz w:val="20"/>
                <w:lang w:val="es-ES" w:eastAsia="es-ES"/>
              </w:rPr>
              <w:t>i</w:t>
            </w:r>
            <w:r w:rsidRPr="006D334F">
              <w:rPr>
                <w:rFonts w:ascii="ITC Avant Garde" w:eastAsia="Times New Roman" w:hAnsi="ITC Avant Garde" w:cs="Arial"/>
                <w:sz w:val="20"/>
                <w:lang w:val="es-ES" w:eastAsia="es-ES"/>
              </w:rPr>
              <w:t>nternacional (LDIM)</w:t>
            </w:r>
          </w:p>
        </w:tc>
        <w:tc>
          <w:tcPr>
            <w:tcW w:w="3637" w:type="pct"/>
            <w:gridSpan w:val="2"/>
            <w:tcBorders>
              <w:left w:val="nil"/>
              <w:right w:val="nil"/>
            </w:tcBorders>
            <w:hideMark/>
          </w:tcPr>
          <w:p w14:paraId="43FA1146" w14:textId="77777777"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Servicio de arrendamiento de enlaces de transmisión, en los cuales una de las puntas se ubica en alguna localidad del territorio nacional y otra en el extranjero. </w:t>
            </w:r>
          </w:p>
        </w:tc>
      </w:tr>
      <w:tr w:rsidR="00A1321B" w:rsidRPr="008609D1" w14:paraId="3ADE8C6E" w14:textId="77777777" w:rsidTr="00505CF2">
        <w:trPr>
          <w:cantSplit/>
          <w:trHeight w:val="20"/>
          <w:jc w:val="center"/>
        </w:trPr>
        <w:tc>
          <w:tcPr>
            <w:tcW w:w="5000" w:type="pct"/>
            <w:gridSpan w:val="3"/>
            <w:tcBorders>
              <w:left w:val="nil"/>
              <w:right w:val="nil"/>
            </w:tcBorders>
            <w:shd w:val="clear" w:color="auto" w:fill="auto"/>
            <w:noWrap/>
            <w:vAlign w:val="center"/>
          </w:tcPr>
          <w:p w14:paraId="19039E59"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Servicios de compartición de infraestructura fija</w:t>
            </w:r>
          </w:p>
        </w:tc>
      </w:tr>
      <w:tr w:rsidR="00A1321B" w:rsidRPr="008609D1" w14:paraId="0B5BD01A" w14:textId="77777777" w:rsidTr="00505CF2">
        <w:trPr>
          <w:cantSplit/>
          <w:trHeight w:val="20"/>
          <w:jc w:val="center"/>
        </w:trPr>
        <w:tc>
          <w:tcPr>
            <w:tcW w:w="1363" w:type="pct"/>
            <w:tcBorders>
              <w:left w:val="nil"/>
              <w:right w:val="nil"/>
            </w:tcBorders>
            <w:shd w:val="clear" w:color="auto" w:fill="D0D1DB"/>
            <w:noWrap/>
            <w:vAlign w:val="center"/>
            <w:hideMark/>
          </w:tcPr>
          <w:p w14:paraId="06BE3879"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Acceso y uso compartido de canalizaciones </w:t>
            </w:r>
          </w:p>
        </w:tc>
        <w:tc>
          <w:tcPr>
            <w:tcW w:w="3637" w:type="pct"/>
            <w:gridSpan w:val="2"/>
            <w:tcBorders>
              <w:left w:val="nil"/>
              <w:right w:val="nil"/>
            </w:tcBorders>
            <w:vAlign w:val="center"/>
            <w:hideMark/>
          </w:tcPr>
          <w:p w14:paraId="4A892BA2"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al operador alternativo utilizar las canalizaciones del concesionario (medido en metro lineal ocupado)</w:t>
            </w:r>
            <w:r>
              <w:rPr>
                <w:rFonts w:ascii="ITC Avant Garde" w:eastAsia="Times New Roman" w:hAnsi="ITC Avant Garde" w:cs="Arial"/>
                <w:sz w:val="20"/>
                <w:lang w:val="es-ES" w:eastAsia="es-ES"/>
              </w:rPr>
              <w:t>.</w:t>
            </w:r>
          </w:p>
        </w:tc>
      </w:tr>
      <w:tr w:rsidR="00A1321B" w:rsidRPr="008609D1" w14:paraId="59E5DE76" w14:textId="77777777" w:rsidTr="00505CF2">
        <w:trPr>
          <w:cantSplit/>
          <w:trHeight w:val="20"/>
          <w:jc w:val="center"/>
        </w:trPr>
        <w:tc>
          <w:tcPr>
            <w:tcW w:w="1363" w:type="pct"/>
            <w:tcBorders>
              <w:left w:val="nil"/>
              <w:right w:val="nil"/>
            </w:tcBorders>
            <w:shd w:val="clear" w:color="auto" w:fill="D0D1DB"/>
            <w:noWrap/>
            <w:vAlign w:val="center"/>
            <w:hideMark/>
          </w:tcPr>
          <w:p w14:paraId="5C4B3EA6"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Acceso y uso compartido de ductos </w:t>
            </w:r>
          </w:p>
        </w:tc>
        <w:tc>
          <w:tcPr>
            <w:tcW w:w="3637" w:type="pct"/>
            <w:gridSpan w:val="2"/>
            <w:tcBorders>
              <w:left w:val="nil"/>
              <w:right w:val="nil"/>
            </w:tcBorders>
            <w:vAlign w:val="center"/>
            <w:hideMark/>
          </w:tcPr>
          <w:p w14:paraId="4DAF51E7"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al operador alternativo utilizar los ductos del concesionario (medido en metro lineal ocupado)</w:t>
            </w:r>
            <w:r>
              <w:rPr>
                <w:rFonts w:ascii="ITC Avant Garde" w:eastAsia="Times New Roman" w:hAnsi="ITC Avant Garde" w:cs="Arial"/>
                <w:sz w:val="20"/>
                <w:lang w:val="es-ES" w:eastAsia="es-ES"/>
              </w:rPr>
              <w:t>.</w:t>
            </w:r>
          </w:p>
        </w:tc>
      </w:tr>
      <w:tr w:rsidR="00A1321B" w:rsidRPr="008609D1" w14:paraId="413DF25B" w14:textId="77777777" w:rsidTr="00505CF2">
        <w:trPr>
          <w:cantSplit/>
          <w:trHeight w:val="20"/>
          <w:jc w:val="center"/>
        </w:trPr>
        <w:tc>
          <w:tcPr>
            <w:tcW w:w="1363" w:type="pct"/>
            <w:tcBorders>
              <w:left w:val="nil"/>
              <w:right w:val="nil"/>
            </w:tcBorders>
            <w:shd w:val="clear" w:color="auto" w:fill="D0D1DB"/>
            <w:noWrap/>
            <w:vAlign w:val="center"/>
            <w:hideMark/>
          </w:tcPr>
          <w:p w14:paraId="62944303"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Acceso y uso compartido de pozos </w:t>
            </w:r>
          </w:p>
        </w:tc>
        <w:tc>
          <w:tcPr>
            <w:tcW w:w="3637" w:type="pct"/>
            <w:gridSpan w:val="2"/>
            <w:tcBorders>
              <w:left w:val="nil"/>
              <w:right w:val="nil"/>
            </w:tcBorders>
            <w:vAlign w:val="center"/>
            <w:hideMark/>
          </w:tcPr>
          <w:p w14:paraId="6CDBA460"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al operador alternativo utilizar los pozos del concesionario (medido por número de pozos compartidos)</w:t>
            </w:r>
            <w:r>
              <w:rPr>
                <w:rFonts w:ascii="ITC Avant Garde" w:eastAsia="Times New Roman" w:hAnsi="ITC Avant Garde" w:cs="Arial"/>
                <w:sz w:val="20"/>
                <w:lang w:val="es-ES" w:eastAsia="es-ES"/>
              </w:rPr>
              <w:t>.</w:t>
            </w:r>
          </w:p>
        </w:tc>
      </w:tr>
      <w:tr w:rsidR="00A1321B" w:rsidRPr="008609D1" w14:paraId="4B1EF238" w14:textId="77777777" w:rsidTr="00505CF2">
        <w:trPr>
          <w:cantSplit/>
          <w:trHeight w:val="20"/>
          <w:jc w:val="center"/>
        </w:trPr>
        <w:tc>
          <w:tcPr>
            <w:tcW w:w="1363" w:type="pct"/>
            <w:tcBorders>
              <w:left w:val="nil"/>
              <w:right w:val="nil"/>
            </w:tcBorders>
            <w:shd w:val="clear" w:color="auto" w:fill="D0D1DB"/>
            <w:noWrap/>
            <w:vAlign w:val="center"/>
            <w:hideMark/>
          </w:tcPr>
          <w:p w14:paraId="00877417"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Acceso y uso compartido de postes </w:t>
            </w:r>
          </w:p>
        </w:tc>
        <w:tc>
          <w:tcPr>
            <w:tcW w:w="3637" w:type="pct"/>
            <w:gridSpan w:val="2"/>
            <w:tcBorders>
              <w:left w:val="nil"/>
              <w:right w:val="nil"/>
            </w:tcBorders>
            <w:vAlign w:val="center"/>
            <w:hideMark/>
          </w:tcPr>
          <w:p w14:paraId="677D4077"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al operador alternativo utilizar los postes del concesionario (medido por número de postes compartidos)</w:t>
            </w:r>
            <w:r>
              <w:rPr>
                <w:rFonts w:ascii="ITC Avant Garde" w:eastAsia="Times New Roman" w:hAnsi="ITC Avant Garde" w:cs="Arial"/>
                <w:sz w:val="20"/>
                <w:lang w:val="es-ES" w:eastAsia="es-ES"/>
              </w:rPr>
              <w:t>.</w:t>
            </w:r>
          </w:p>
        </w:tc>
      </w:tr>
      <w:tr w:rsidR="00A1321B" w:rsidRPr="008609D1" w14:paraId="4EFE68BD" w14:textId="77777777" w:rsidTr="00505CF2">
        <w:trPr>
          <w:cantSplit/>
          <w:trHeight w:val="20"/>
          <w:jc w:val="center"/>
        </w:trPr>
        <w:tc>
          <w:tcPr>
            <w:tcW w:w="1363" w:type="pct"/>
            <w:tcBorders>
              <w:left w:val="nil"/>
              <w:right w:val="nil"/>
            </w:tcBorders>
            <w:shd w:val="clear" w:color="auto" w:fill="D0D1DB"/>
            <w:noWrap/>
            <w:vAlign w:val="center"/>
            <w:hideMark/>
          </w:tcPr>
          <w:p w14:paraId="7D3F1D3D"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Acceso y uso compartido de torres</w:t>
            </w:r>
          </w:p>
        </w:tc>
        <w:tc>
          <w:tcPr>
            <w:tcW w:w="3637" w:type="pct"/>
            <w:gridSpan w:val="2"/>
            <w:tcBorders>
              <w:left w:val="nil"/>
              <w:right w:val="nil"/>
            </w:tcBorders>
            <w:vAlign w:val="center"/>
            <w:hideMark/>
          </w:tcPr>
          <w:p w14:paraId="7951B7A0" w14:textId="77777777"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Permite a los solicitantes desplegar sistemas de radiofrecuencia en bandas autorizadas para la provisión de servicios de telecomunicaciones.</w:t>
            </w:r>
          </w:p>
        </w:tc>
      </w:tr>
      <w:tr w:rsidR="00A1321B" w:rsidRPr="008609D1" w14:paraId="153CEE12" w14:textId="77777777" w:rsidTr="00505CF2">
        <w:trPr>
          <w:cantSplit/>
          <w:trHeight w:val="20"/>
          <w:jc w:val="center"/>
        </w:trPr>
        <w:tc>
          <w:tcPr>
            <w:tcW w:w="1363" w:type="pct"/>
            <w:tcBorders>
              <w:left w:val="nil"/>
              <w:right w:val="nil"/>
            </w:tcBorders>
            <w:shd w:val="clear" w:color="auto" w:fill="D0D1DB"/>
            <w:noWrap/>
            <w:vAlign w:val="center"/>
            <w:hideMark/>
          </w:tcPr>
          <w:p w14:paraId="1104FEFE"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Acceso y uso compartido de infraestructura fija (coubicación interna/externa)</w:t>
            </w:r>
          </w:p>
        </w:tc>
        <w:tc>
          <w:tcPr>
            <w:tcW w:w="3637" w:type="pct"/>
            <w:gridSpan w:val="2"/>
            <w:tcBorders>
              <w:left w:val="nil"/>
              <w:right w:val="nil"/>
            </w:tcBorders>
            <w:vAlign w:val="center"/>
            <w:hideMark/>
          </w:tcPr>
          <w:p w14:paraId="07B71212"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 un operador alternativo utilizar los predios, sitios y espacios físicos existentes del concesionario, así como acceder a equipos activos en dichos espacios físicos (medido por número de metros cuadrados compartidos)</w:t>
            </w:r>
            <w:r>
              <w:rPr>
                <w:rFonts w:ascii="ITC Avant Garde" w:eastAsia="Times New Roman" w:hAnsi="ITC Avant Garde" w:cs="Arial"/>
                <w:sz w:val="20"/>
                <w:lang w:val="es-ES" w:eastAsia="es-ES"/>
              </w:rPr>
              <w:t>.</w:t>
            </w:r>
          </w:p>
        </w:tc>
      </w:tr>
      <w:tr w:rsidR="00A1321B" w:rsidRPr="008609D1" w14:paraId="096CE669" w14:textId="77777777" w:rsidTr="00505CF2">
        <w:trPr>
          <w:cantSplit/>
          <w:trHeight w:val="20"/>
          <w:jc w:val="center"/>
        </w:trPr>
        <w:tc>
          <w:tcPr>
            <w:tcW w:w="1363" w:type="pct"/>
            <w:tcBorders>
              <w:left w:val="nil"/>
              <w:right w:val="nil"/>
            </w:tcBorders>
            <w:shd w:val="clear" w:color="auto" w:fill="D0D1DB"/>
            <w:noWrap/>
            <w:vAlign w:val="center"/>
            <w:hideMark/>
          </w:tcPr>
          <w:p w14:paraId="5D85DE7C"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Uso de subestaciones eléctricas</w:t>
            </w:r>
          </w:p>
        </w:tc>
        <w:tc>
          <w:tcPr>
            <w:tcW w:w="3637" w:type="pct"/>
            <w:gridSpan w:val="2"/>
            <w:tcBorders>
              <w:left w:val="nil"/>
              <w:right w:val="nil"/>
            </w:tcBorders>
            <w:vAlign w:val="center"/>
            <w:hideMark/>
          </w:tcPr>
          <w:p w14:paraId="73B532DB"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 un operador alternativo acceder a sistemas de suministro de energía eléctrica del concesionario (medido por KWh de potencia utilizada)</w:t>
            </w:r>
            <w:r>
              <w:rPr>
                <w:rFonts w:ascii="ITC Avant Garde" w:eastAsia="Times New Roman" w:hAnsi="ITC Avant Garde" w:cs="Arial"/>
                <w:sz w:val="20"/>
                <w:lang w:val="es-ES" w:eastAsia="es-ES"/>
              </w:rPr>
              <w:t>.</w:t>
            </w:r>
          </w:p>
        </w:tc>
      </w:tr>
      <w:tr w:rsidR="00A1321B" w:rsidRPr="008609D1" w14:paraId="004F0868" w14:textId="77777777" w:rsidTr="00505CF2">
        <w:trPr>
          <w:cantSplit/>
          <w:trHeight w:val="20"/>
          <w:jc w:val="center"/>
        </w:trPr>
        <w:tc>
          <w:tcPr>
            <w:tcW w:w="1363" w:type="pct"/>
            <w:tcBorders>
              <w:left w:val="nil"/>
              <w:right w:val="nil"/>
            </w:tcBorders>
            <w:shd w:val="clear" w:color="auto" w:fill="D0D1DB"/>
            <w:noWrap/>
            <w:vAlign w:val="center"/>
            <w:hideMark/>
          </w:tcPr>
          <w:p w14:paraId="31CFFE85"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Uso de fuentes de energía de respaldo</w:t>
            </w:r>
          </w:p>
        </w:tc>
        <w:tc>
          <w:tcPr>
            <w:tcW w:w="3637" w:type="pct"/>
            <w:gridSpan w:val="2"/>
            <w:tcBorders>
              <w:left w:val="nil"/>
              <w:right w:val="nil"/>
            </w:tcBorders>
            <w:vAlign w:val="center"/>
            <w:hideMark/>
          </w:tcPr>
          <w:p w14:paraId="13640CE2"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 un operador alternativo acceder a fuentes de energía de respaldo del concesionario (medido por KWh de potencia utilizada)</w:t>
            </w:r>
            <w:r>
              <w:rPr>
                <w:rFonts w:ascii="ITC Avant Garde" w:eastAsia="Times New Roman" w:hAnsi="ITC Avant Garde" w:cs="Arial"/>
                <w:sz w:val="20"/>
                <w:lang w:val="es-ES" w:eastAsia="es-ES"/>
              </w:rPr>
              <w:t>.</w:t>
            </w:r>
          </w:p>
        </w:tc>
      </w:tr>
      <w:tr w:rsidR="00A1321B" w:rsidRPr="008609D1" w14:paraId="5F07B68A" w14:textId="77777777" w:rsidTr="00505CF2">
        <w:trPr>
          <w:cantSplit/>
          <w:trHeight w:val="20"/>
          <w:jc w:val="center"/>
        </w:trPr>
        <w:tc>
          <w:tcPr>
            <w:tcW w:w="1363" w:type="pct"/>
            <w:tcBorders>
              <w:left w:val="nil"/>
              <w:right w:val="nil"/>
            </w:tcBorders>
            <w:shd w:val="clear" w:color="auto" w:fill="D0D1DB"/>
            <w:noWrap/>
            <w:vAlign w:val="center"/>
            <w:hideMark/>
          </w:tcPr>
          <w:p w14:paraId="73022A23"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Uso de canales ópticos de alta capacidad de transporte</w:t>
            </w:r>
          </w:p>
        </w:tc>
        <w:tc>
          <w:tcPr>
            <w:tcW w:w="3637" w:type="pct"/>
            <w:gridSpan w:val="2"/>
            <w:tcBorders>
              <w:left w:val="nil"/>
              <w:right w:val="nil"/>
            </w:tcBorders>
            <w:vAlign w:val="center"/>
            <w:hideMark/>
          </w:tcPr>
          <w:p w14:paraId="35176EF0" w14:textId="77777777"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Consiste en el aprovisionamiento de un canal de transmisión, que puede ser de diferentes capacidades, que van desde, NxSTM16 Gbps, NxSTM64, Nx1 Gbps Ethernet hasta Nx10 Gbps Ethernet.</w:t>
            </w:r>
          </w:p>
        </w:tc>
      </w:tr>
      <w:tr w:rsidR="00A1321B" w:rsidRPr="008609D1" w14:paraId="4E01AA21" w14:textId="77777777" w:rsidTr="00505CF2">
        <w:trPr>
          <w:cantSplit/>
          <w:trHeight w:val="20"/>
          <w:jc w:val="center"/>
        </w:trPr>
        <w:tc>
          <w:tcPr>
            <w:tcW w:w="1363" w:type="pct"/>
            <w:tcBorders>
              <w:left w:val="nil"/>
              <w:right w:val="nil"/>
            </w:tcBorders>
            <w:shd w:val="clear" w:color="auto" w:fill="D0D1DB"/>
            <w:noWrap/>
            <w:vAlign w:val="center"/>
            <w:hideMark/>
          </w:tcPr>
          <w:p w14:paraId="45F2C5AB"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Actividades de apoyo para la compartición de infraestructura pasiva</w:t>
            </w:r>
          </w:p>
        </w:tc>
        <w:tc>
          <w:tcPr>
            <w:tcW w:w="3637" w:type="pct"/>
            <w:gridSpan w:val="2"/>
            <w:tcBorders>
              <w:left w:val="nil"/>
              <w:right w:val="nil"/>
            </w:tcBorders>
            <w:vAlign w:val="center"/>
            <w:hideMark/>
          </w:tcPr>
          <w:p w14:paraId="0D95FC6D"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comprende las actividades realizadas para evaluar la factibilidad técnica de la compartición de la infraestructura pasiva o para garantizar la salvaguarda de la infraestructura.</w:t>
            </w:r>
          </w:p>
        </w:tc>
      </w:tr>
      <w:tr w:rsidR="00A1321B" w:rsidRPr="008609D1" w14:paraId="7A1905F2" w14:textId="77777777" w:rsidTr="00505CF2">
        <w:trPr>
          <w:cantSplit/>
          <w:trHeight w:val="20"/>
          <w:jc w:val="center"/>
        </w:trPr>
        <w:tc>
          <w:tcPr>
            <w:tcW w:w="1363" w:type="pct"/>
            <w:tcBorders>
              <w:left w:val="nil"/>
              <w:right w:val="nil"/>
            </w:tcBorders>
            <w:shd w:val="clear" w:color="auto" w:fill="D0D1DB"/>
            <w:noWrap/>
            <w:vAlign w:val="center"/>
            <w:hideMark/>
          </w:tcPr>
          <w:p w14:paraId="30E8873C"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Trabajos especiales asociados a los servicios de acceso y uso compartido de la infraestructura pasiva</w:t>
            </w:r>
          </w:p>
        </w:tc>
        <w:tc>
          <w:tcPr>
            <w:tcW w:w="3637" w:type="pct"/>
            <w:gridSpan w:val="2"/>
            <w:tcBorders>
              <w:left w:val="nil"/>
              <w:right w:val="nil"/>
            </w:tcBorders>
            <w:vAlign w:val="center"/>
            <w:hideMark/>
          </w:tcPr>
          <w:p w14:paraId="6398DB11"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relativo a otros trabajos especiales para que el operador alternativo pueda hacer uso de los servicios de compartición de infraestructura fija.</w:t>
            </w:r>
          </w:p>
        </w:tc>
      </w:tr>
      <w:tr w:rsidR="00A1321B" w:rsidRPr="008609D1" w14:paraId="5C765C4E" w14:textId="77777777" w:rsidTr="00505CF2">
        <w:trPr>
          <w:cantSplit/>
          <w:trHeight w:val="20"/>
          <w:jc w:val="center"/>
        </w:trPr>
        <w:tc>
          <w:tcPr>
            <w:tcW w:w="5000" w:type="pct"/>
            <w:gridSpan w:val="3"/>
            <w:tcBorders>
              <w:left w:val="nil"/>
              <w:right w:val="nil"/>
            </w:tcBorders>
            <w:shd w:val="clear" w:color="auto" w:fill="auto"/>
            <w:noWrap/>
            <w:vAlign w:val="center"/>
          </w:tcPr>
          <w:p w14:paraId="2D060EE6" w14:textId="77777777"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lastRenderedPageBreak/>
              <w:t>Servicios de desagregación</w:t>
            </w:r>
          </w:p>
        </w:tc>
      </w:tr>
      <w:tr w:rsidR="00A1321B" w:rsidRPr="008609D1" w14:paraId="3164CA91" w14:textId="77777777" w:rsidTr="00505CF2">
        <w:trPr>
          <w:cantSplit/>
          <w:trHeight w:val="20"/>
          <w:jc w:val="center"/>
        </w:trPr>
        <w:tc>
          <w:tcPr>
            <w:tcW w:w="1363" w:type="pct"/>
            <w:tcBorders>
              <w:left w:val="nil"/>
              <w:right w:val="nil"/>
            </w:tcBorders>
            <w:shd w:val="clear" w:color="auto" w:fill="D0D1DB"/>
            <w:noWrap/>
            <w:vAlign w:val="center"/>
            <w:hideMark/>
          </w:tcPr>
          <w:p w14:paraId="43BFF281"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Desagregación total del bucle local</w:t>
            </w:r>
          </w:p>
        </w:tc>
        <w:tc>
          <w:tcPr>
            <w:tcW w:w="3637" w:type="pct"/>
            <w:gridSpan w:val="2"/>
            <w:tcBorders>
              <w:left w:val="nil"/>
              <w:right w:val="nil"/>
            </w:tcBorders>
            <w:vAlign w:val="center"/>
            <w:hideMark/>
          </w:tcPr>
          <w:p w14:paraId="35C7145B" w14:textId="61737AB9"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Aquella en la que el proveedor de servicios mayoristas le permite el uso del </w:t>
            </w:r>
            <w:r>
              <w:rPr>
                <w:rFonts w:ascii="ITC Avant Garde" w:eastAsia="Times New Roman" w:hAnsi="ITC Avant Garde" w:cs="Arial"/>
                <w:sz w:val="20"/>
                <w:lang w:val="es-ES" w:eastAsia="es-ES"/>
              </w:rPr>
              <w:t>b</w:t>
            </w:r>
            <w:r w:rsidRPr="006D334F">
              <w:rPr>
                <w:rFonts w:ascii="ITC Avant Garde" w:eastAsia="Times New Roman" w:hAnsi="ITC Avant Garde" w:cs="Arial"/>
                <w:sz w:val="20"/>
                <w:lang w:val="es-ES" w:eastAsia="es-ES"/>
              </w:rPr>
              <w:t xml:space="preserve">ucle </w:t>
            </w:r>
            <w:r>
              <w:rPr>
                <w:rFonts w:ascii="ITC Avant Garde" w:eastAsia="Times New Roman" w:hAnsi="ITC Avant Garde" w:cs="Arial"/>
                <w:sz w:val="20"/>
                <w:lang w:val="es-ES" w:eastAsia="es-ES"/>
              </w:rPr>
              <w:t>l</w:t>
            </w:r>
            <w:r w:rsidRPr="006D334F">
              <w:rPr>
                <w:rFonts w:ascii="ITC Avant Garde" w:eastAsia="Times New Roman" w:hAnsi="ITC Avant Garde" w:cs="Arial"/>
                <w:sz w:val="20"/>
                <w:lang w:val="es-ES" w:eastAsia="es-ES"/>
              </w:rPr>
              <w:t xml:space="preserve">ocal al adquiriente de servicios mayoristas, de tal manera que este último puede hacer uso de la capacidad de transmisión completa, entregando el circuito en la </w:t>
            </w:r>
            <w:r>
              <w:rPr>
                <w:rFonts w:ascii="ITC Avant Garde" w:eastAsia="Times New Roman" w:hAnsi="ITC Avant Garde" w:cs="Arial"/>
                <w:sz w:val="20"/>
                <w:lang w:val="es-ES" w:eastAsia="es-ES"/>
              </w:rPr>
              <w:t>c</w:t>
            </w:r>
            <w:r w:rsidRPr="006D334F">
              <w:rPr>
                <w:rFonts w:ascii="ITC Avant Garde" w:eastAsia="Times New Roman" w:hAnsi="ITC Avant Garde" w:cs="Arial"/>
                <w:sz w:val="20"/>
                <w:lang w:val="es-ES" w:eastAsia="es-ES"/>
              </w:rPr>
              <w:t>entral telefónica o instalación equivalente.</w:t>
            </w:r>
          </w:p>
        </w:tc>
      </w:tr>
      <w:tr w:rsidR="00A1321B" w:rsidRPr="008609D1" w14:paraId="72DF1A40" w14:textId="77777777" w:rsidTr="00505CF2">
        <w:trPr>
          <w:cantSplit/>
          <w:trHeight w:val="20"/>
          <w:jc w:val="center"/>
        </w:trPr>
        <w:tc>
          <w:tcPr>
            <w:tcW w:w="1363" w:type="pct"/>
            <w:tcBorders>
              <w:left w:val="nil"/>
              <w:right w:val="nil"/>
            </w:tcBorders>
            <w:shd w:val="clear" w:color="auto" w:fill="D0D1DB"/>
            <w:noWrap/>
            <w:vAlign w:val="center"/>
            <w:hideMark/>
          </w:tcPr>
          <w:p w14:paraId="02BBD88C"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Desagregación compartida del bucle local</w:t>
            </w:r>
          </w:p>
        </w:tc>
        <w:tc>
          <w:tcPr>
            <w:tcW w:w="3637" w:type="pct"/>
            <w:gridSpan w:val="2"/>
            <w:tcBorders>
              <w:left w:val="nil"/>
              <w:right w:val="nil"/>
            </w:tcBorders>
            <w:vAlign w:val="center"/>
            <w:hideMark/>
          </w:tcPr>
          <w:p w14:paraId="7B6F2B5A" w14:textId="5D134D3C"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Aquella donde el proveedor de servicios mayoristas le permite el uso del </w:t>
            </w:r>
            <w:r>
              <w:rPr>
                <w:rFonts w:ascii="ITC Avant Garde" w:eastAsia="Times New Roman" w:hAnsi="ITC Avant Garde" w:cs="Arial"/>
                <w:sz w:val="20"/>
                <w:lang w:val="es-ES" w:eastAsia="es-ES"/>
              </w:rPr>
              <w:t>b</w:t>
            </w:r>
            <w:r w:rsidRPr="006D334F">
              <w:rPr>
                <w:rFonts w:ascii="ITC Avant Garde" w:eastAsia="Times New Roman" w:hAnsi="ITC Avant Garde" w:cs="Arial"/>
                <w:sz w:val="20"/>
                <w:lang w:val="es-ES" w:eastAsia="es-ES"/>
              </w:rPr>
              <w:t xml:space="preserve">ucle </w:t>
            </w:r>
            <w:r>
              <w:rPr>
                <w:rFonts w:ascii="ITC Avant Garde" w:eastAsia="Times New Roman" w:hAnsi="ITC Avant Garde" w:cs="Arial"/>
                <w:sz w:val="20"/>
                <w:lang w:val="es-ES" w:eastAsia="es-ES"/>
              </w:rPr>
              <w:t>l</w:t>
            </w:r>
            <w:r w:rsidRPr="006D334F">
              <w:rPr>
                <w:rFonts w:ascii="ITC Avant Garde" w:eastAsia="Times New Roman" w:hAnsi="ITC Avant Garde" w:cs="Arial"/>
                <w:sz w:val="20"/>
                <w:lang w:val="es-ES" w:eastAsia="es-ES"/>
              </w:rPr>
              <w:t xml:space="preserve">ocal al adquiriente de servicios mayoristas, de tal manera que este último pueda hacer uso parcial de la capacidad de transmisión, entregando el circuito en la </w:t>
            </w:r>
            <w:r>
              <w:rPr>
                <w:rFonts w:ascii="ITC Avant Garde" w:eastAsia="Times New Roman" w:hAnsi="ITC Avant Garde" w:cs="Arial"/>
                <w:sz w:val="20"/>
                <w:lang w:val="es-ES" w:eastAsia="es-ES"/>
              </w:rPr>
              <w:t>c</w:t>
            </w:r>
            <w:r w:rsidRPr="006D334F">
              <w:rPr>
                <w:rFonts w:ascii="ITC Avant Garde" w:eastAsia="Times New Roman" w:hAnsi="ITC Avant Garde" w:cs="Arial"/>
                <w:sz w:val="20"/>
                <w:lang w:val="es-ES" w:eastAsia="es-ES"/>
              </w:rPr>
              <w:t>entral telefónica o instalación equivalente.</w:t>
            </w:r>
          </w:p>
        </w:tc>
      </w:tr>
      <w:tr w:rsidR="00A1321B" w:rsidRPr="008609D1" w14:paraId="1ECB6F03" w14:textId="77777777" w:rsidTr="00505CF2">
        <w:trPr>
          <w:cantSplit/>
          <w:trHeight w:val="20"/>
          <w:jc w:val="center"/>
        </w:trPr>
        <w:tc>
          <w:tcPr>
            <w:tcW w:w="1363" w:type="pct"/>
            <w:tcBorders>
              <w:left w:val="nil"/>
              <w:right w:val="nil"/>
            </w:tcBorders>
            <w:shd w:val="clear" w:color="auto" w:fill="D0D1DB"/>
            <w:noWrap/>
            <w:vAlign w:val="center"/>
            <w:hideMark/>
          </w:tcPr>
          <w:p w14:paraId="73FEF212"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Desagregación total de fibra óptica</w:t>
            </w:r>
          </w:p>
        </w:tc>
        <w:tc>
          <w:tcPr>
            <w:tcW w:w="3637" w:type="pct"/>
            <w:gridSpan w:val="2"/>
            <w:tcBorders>
              <w:left w:val="nil"/>
              <w:right w:val="nil"/>
            </w:tcBorders>
            <w:vAlign w:val="center"/>
            <w:hideMark/>
          </w:tcPr>
          <w:p w14:paraId="1699A13D" w14:textId="77777777"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que consiste en la provisión de la fibra óptica de la red local del concesionario a un operador alternativo, bajo una conexión punto a punto (PTP) en el Distribuidor de Fibra Óptica (DFO) en sus instalaciones, para permitir la provisión de servicio de telecomunicaciones a los usuarios finales</w:t>
            </w:r>
            <w:r>
              <w:rPr>
                <w:rFonts w:ascii="ITC Avant Garde" w:eastAsia="Times New Roman" w:hAnsi="ITC Avant Garde" w:cs="Arial"/>
                <w:sz w:val="20"/>
                <w:lang w:val="es-ES" w:eastAsia="es-ES"/>
              </w:rPr>
              <w:t>.</w:t>
            </w:r>
          </w:p>
        </w:tc>
      </w:tr>
      <w:tr w:rsidR="00A1321B" w:rsidRPr="008609D1" w14:paraId="398C823C" w14:textId="77777777" w:rsidTr="00505CF2">
        <w:trPr>
          <w:cantSplit/>
          <w:trHeight w:val="20"/>
          <w:jc w:val="center"/>
        </w:trPr>
        <w:tc>
          <w:tcPr>
            <w:tcW w:w="1363" w:type="pct"/>
            <w:tcBorders>
              <w:left w:val="nil"/>
              <w:right w:val="nil"/>
            </w:tcBorders>
            <w:shd w:val="clear" w:color="auto" w:fill="D0D1DB"/>
            <w:noWrap/>
            <w:vAlign w:val="center"/>
          </w:tcPr>
          <w:p w14:paraId="7D6E955C" w14:textId="4886E77D"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Desagregación </w:t>
            </w:r>
            <w:r>
              <w:rPr>
                <w:rFonts w:ascii="ITC Avant Garde" w:eastAsia="Times New Roman" w:hAnsi="ITC Avant Garde" w:cs="Arial"/>
                <w:sz w:val="20"/>
                <w:lang w:val="es-ES" w:eastAsia="es-ES"/>
              </w:rPr>
              <w:t>v</w:t>
            </w:r>
            <w:r w:rsidRPr="006D334F">
              <w:rPr>
                <w:rFonts w:ascii="ITC Avant Garde" w:eastAsia="Times New Roman" w:hAnsi="ITC Avant Garde" w:cs="Arial"/>
                <w:sz w:val="20"/>
                <w:lang w:val="es-ES" w:eastAsia="es-ES"/>
              </w:rPr>
              <w:t>irtual de fibra óptica</w:t>
            </w:r>
          </w:p>
        </w:tc>
        <w:tc>
          <w:tcPr>
            <w:tcW w:w="3637" w:type="pct"/>
            <w:gridSpan w:val="2"/>
            <w:tcBorders>
              <w:left w:val="nil"/>
              <w:right w:val="nil"/>
            </w:tcBorders>
            <w:vAlign w:val="center"/>
          </w:tcPr>
          <w:p w14:paraId="1664F15F" w14:textId="77777777"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que consiste en la provisión de la fibra óptica de la red local del concesionario a un operador alternativo, bajo una conexión punto a multipunto en el Distribuidor de Fibra Óptica (DFO) en sus instalaciones, para permitir la provisión de servicio de telecomunicaciones a los usuarios finales</w:t>
            </w:r>
            <w:r>
              <w:rPr>
                <w:rFonts w:ascii="ITC Avant Garde" w:eastAsia="Times New Roman" w:hAnsi="ITC Avant Garde" w:cs="Arial"/>
                <w:sz w:val="20"/>
                <w:lang w:val="es-ES" w:eastAsia="es-ES"/>
              </w:rPr>
              <w:t>.</w:t>
            </w:r>
          </w:p>
        </w:tc>
      </w:tr>
      <w:tr w:rsidR="00A1321B" w:rsidRPr="008609D1" w14:paraId="7EF642BB" w14:textId="77777777" w:rsidTr="00505CF2">
        <w:trPr>
          <w:cantSplit/>
          <w:trHeight w:val="20"/>
          <w:jc w:val="center"/>
        </w:trPr>
        <w:tc>
          <w:tcPr>
            <w:tcW w:w="1363" w:type="pct"/>
            <w:tcBorders>
              <w:left w:val="nil"/>
              <w:right w:val="nil"/>
            </w:tcBorders>
            <w:shd w:val="clear" w:color="auto" w:fill="D0D1DB"/>
            <w:noWrap/>
            <w:vAlign w:val="center"/>
            <w:hideMark/>
          </w:tcPr>
          <w:p w14:paraId="5E6CFE87"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Desagregación total del</w:t>
            </w:r>
            <w:r w:rsidRPr="006D334F">
              <w:rPr>
                <w:rFonts w:ascii="ITC Avant Garde" w:eastAsia="Times New Roman" w:hAnsi="ITC Avant Garde" w:cs="Arial"/>
                <w:sz w:val="20"/>
                <w:lang w:val="es-ES" w:eastAsia="es-ES"/>
              </w:rPr>
              <w:br/>
              <w:t xml:space="preserve">sub-bucle </w:t>
            </w:r>
          </w:p>
        </w:tc>
        <w:tc>
          <w:tcPr>
            <w:tcW w:w="3637" w:type="pct"/>
            <w:gridSpan w:val="2"/>
            <w:tcBorders>
              <w:left w:val="nil"/>
              <w:right w:val="nil"/>
            </w:tcBorders>
            <w:vAlign w:val="center"/>
            <w:hideMark/>
          </w:tcPr>
          <w:p w14:paraId="166D6CDE" w14:textId="1C1334C8"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Aquella donde el proveedor de servicios mayoristas le permite el uso del </w:t>
            </w:r>
            <w:r>
              <w:rPr>
                <w:rFonts w:ascii="ITC Avant Garde" w:eastAsia="Times New Roman" w:hAnsi="ITC Avant Garde" w:cs="Arial"/>
                <w:sz w:val="20"/>
                <w:lang w:val="es-ES" w:eastAsia="es-ES"/>
              </w:rPr>
              <w:t>s</w:t>
            </w:r>
            <w:r w:rsidRPr="006D334F">
              <w:rPr>
                <w:rFonts w:ascii="ITC Avant Garde" w:eastAsia="Times New Roman" w:hAnsi="ITC Avant Garde" w:cs="Arial"/>
                <w:sz w:val="20"/>
                <w:lang w:val="es-ES" w:eastAsia="es-ES"/>
              </w:rPr>
              <w:t xml:space="preserve">ub-bucle </w:t>
            </w:r>
            <w:r>
              <w:rPr>
                <w:rFonts w:ascii="ITC Avant Garde" w:eastAsia="Times New Roman" w:hAnsi="ITC Avant Garde" w:cs="Arial"/>
                <w:sz w:val="20"/>
                <w:lang w:val="es-ES" w:eastAsia="es-ES"/>
              </w:rPr>
              <w:t>l</w:t>
            </w:r>
            <w:r w:rsidRPr="006D334F">
              <w:rPr>
                <w:rFonts w:ascii="ITC Avant Garde" w:eastAsia="Times New Roman" w:hAnsi="ITC Avant Garde" w:cs="Arial"/>
                <w:sz w:val="20"/>
                <w:lang w:val="es-ES" w:eastAsia="es-ES"/>
              </w:rPr>
              <w:t xml:space="preserve">ocal al adquiriente de servicios mayoristas, de tal manera que este último puede hacer uso de la capacidad de transmisión completa, entregando el circuito en un punto técnicamente factible entre el domicilio del usuario final y la </w:t>
            </w:r>
            <w:r>
              <w:rPr>
                <w:rFonts w:ascii="ITC Avant Garde" w:eastAsia="Times New Roman" w:hAnsi="ITC Avant Garde" w:cs="Arial"/>
                <w:sz w:val="20"/>
                <w:lang w:val="es-ES" w:eastAsia="es-ES"/>
              </w:rPr>
              <w:t>c</w:t>
            </w:r>
            <w:r w:rsidRPr="006D334F">
              <w:rPr>
                <w:rFonts w:ascii="ITC Avant Garde" w:eastAsia="Times New Roman" w:hAnsi="ITC Avant Garde" w:cs="Arial"/>
                <w:sz w:val="20"/>
                <w:lang w:val="es-ES" w:eastAsia="es-ES"/>
              </w:rPr>
              <w:t>entral telefónica o instalación equivalente.</w:t>
            </w:r>
          </w:p>
        </w:tc>
      </w:tr>
      <w:tr w:rsidR="00A1321B" w:rsidRPr="008609D1" w14:paraId="233937A3" w14:textId="77777777" w:rsidTr="00505CF2">
        <w:trPr>
          <w:cantSplit/>
          <w:trHeight w:val="20"/>
          <w:jc w:val="center"/>
        </w:trPr>
        <w:tc>
          <w:tcPr>
            <w:tcW w:w="1363" w:type="pct"/>
            <w:tcBorders>
              <w:left w:val="nil"/>
              <w:right w:val="nil"/>
            </w:tcBorders>
            <w:shd w:val="clear" w:color="auto" w:fill="D0D1DB"/>
            <w:noWrap/>
            <w:vAlign w:val="center"/>
            <w:hideMark/>
          </w:tcPr>
          <w:p w14:paraId="486B0814"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Desagregación compartida del sub-bucle </w:t>
            </w:r>
          </w:p>
        </w:tc>
        <w:tc>
          <w:tcPr>
            <w:tcW w:w="3637" w:type="pct"/>
            <w:gridSpan w:val="2"/>
            <w:tcBorders>
              <w:left w:val="nil"/>
              <w:right w:val="nil"/>
            </w:tcBorders>
            <w:vAlign w:val="center"/>
            <w:hideMark/>
          </w:tcPr>
          <w:p w14:paraId="4D21C2C1" w14:textId="4ED04C10"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Aquella donde el proveedor de servicios mayoristas le permite el uso del </w:t>
            </w:r>
            <w:r>
              <w:rPr>
                <w:rFonts w:ascii="ITC Avant Garde" w:eastAsia="Times New Roman" w:hAnsi="ITC Avant Garde" w:cs="Arial"/>
                <w:sz w:val="20"/>
                <w:lang w:val="es-ES" w:eastAsia="es-ES"/>
              </w:rPr>
              <w:t>s</w:t>
            </w:r>
            <w:r w:rsidRPr="006D334F">
              <w:rPr>
                <w:rFonts w:ascii="ITC Avant Garde" w:eastAsia="Times New Roman" w:hAnsi="ITC Avant Garde" w:cs="Arial"/>
                <w:sz w:val="20"/>
                <w:lang w:val="es-ES" w:eastAsia="es-ES"/>
              </w:rPr>
              <w:t>ub-</w:t>
            </w:r>
            <w:r>
              <w:rPr>
                <w:rFonts w:ascii="ITC Avant Garde" w:eastAsia="Times New Roman" w:hAnsi="ITC Avant Garde" w:cs="Arial"/>
                <w:sz w:val="20"/>
                <w:lang w:val="es-ES" w:eastAsia="es-ES"/>
              </w:rPr>
              <w:t>b</w:t>
            </w:r>
            <w:r w:rsidRPr="006D334F">
              <w:rPr>
                <w:rFonts w:ascii="ITC Avant Garde" w:eastAsia="Times New Roman" w:hAnsi="ITC Avant Garde" w:cs="Arial"/>
                <w:sz w:val="20"/>
                <w:lang w:val="es-ES" w:eastAsia="es-ES"/>
              </w:rPr>
              <w:t xml:space="preserve">ucle </w:t>
            </w:r>
            <w:r>
              <w:rPr>
                <w:rFonts w:ascii="ITC Avant Garde" w:eastAsia="Times New Roman" w:hAnsi="ITC Avant Garde" w:cs="Arial"/>
                <w:sz w:val="20"/>
                <w:lang w:val="es-ES" w:eastAsia="es-ES"/>
              </w:rPr>
              <w:t>l</w:t>
            </w:r>
            <w:r w:rsidRPr="006D334F">
              <w:rPr>
                <w:rFonts w:ascii="ITC Avant Garde" w:eastAsia="Times New Roman" w:hAnsi="ITC Avant Garde" w:cs="Arial"/>
                <w:sz w:val="20"/>
                <w:lang w:val="es-ES" w:eastAsia="es-ES"/>
              </w:rPr>
              <w:t xml:space="preserve">ocal al adquiriente de servicios mayoristas, de tal manera que este último puede hacer uso parcial de la capacidad de transmisión, entregando el circuito en un punto técnicamente factible entre el domicilio del usuario final y la </w:t>
            </w:r>
            <w:r>
              <w:rPr>
                <w:rFonts w:ascii="ITC Avant Garde" w:eastAsia="Times New Roman" w:hAnsi="ITC Avant Garde" w:cs="Arial"/>
                <w:sz w:val="20"/>
                <w:lang w:val="es-ES" w:eastAsia="es-ES"/>
              </w:rPr>
              <w:t>c</w:t>
            </w:r>
            <w:r w:rsidRPr="006D334F">
              <w:rPr>
                <w:rFonts w:ascii="ITC Avant Garde" w:eastAsia="Times New Roman" w:hAnsi="ITC Avant Garde" w:cs="Arial"/>
                <w:sz w:val="20"/>
                <w:lang w:val="es-ES" w:eastAsia="es-ES"/>
              </w:rPr>
              <w:t>entral telefónica o instalación equivalente.</w:t>
            </w:r>
          </w:p>
        </w:tc>
      </w:tr>
      <w:tr w:rsidR="00A1321B" w:rsidRPr="008609D1" w14:paraId="784754DB" w14:textId="77777777" w:rsidTr="00505CF2">
        <w:trPr>
          <w:cantSplit/>
          <w:trHeight w:val="20"/>
          <w:jc w:val="center"/>
        </w:trPr>
        <w:tc>
          <w:tcPr>
            <w:tcW w:w="1363" w:type="pct"/>
            <w:tcBorders>
              <w:left w:val="nil"/>
              <w:right w:val="nil"/>
            </w:tcBorders>
            <w:shd w:val="clear" w:color="auto" w:fill="D0D1DB"/>
            <w:noWrap/>
            <w:vAlign w:val="center"/>
            <w:hideMark/>
          </w:tcPr>
          <w:p w14:paraId="651833AA"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auxiliares a la desagregación</w:t>
            </w:r>
          </w:p>
        </w:tc>
        <w:tc>
          <w:tcPr>
            <w:tcW w:w="3637" w:type="pct"/>
            <w:gridSpan w:val="2"/>
            <w:tcBorders>
              <w:left w:val="nil"/>
              <w:right w:val="nil"/>
            </w:tcBorders>
            <w:vAlign w:val="center"/>
            <w:hideMark/>
          </w:tcPr>
          <w:p w14:paraId="6C82FD96" w14:textId="2802D11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Otros servicios necesarios para la prestación de servicios </w:t>
            </w:r>
            <w:r>
              <w:rPr>
                <w:rFonts w:ascii="ITC Avant Garde" w:eastAsia="Times New Roman" w:hAnsi="ITC Avant Garde" w:cs="Arial"/>
                <w:sz w:val="20"/>
                <w:lang w:val="es-ES" w:eastAsia="es-ES"/>
              </w:rPr>
              <w:t xml:space="preserve">de </w:t>
            </w:r>
            <w:r w:rsidRPr="008609D1">
              <w:rPr>
                <w:rFonts w:ascii="ITC Avant Garde" w:eastAsia="Times New Roman" w:hAnsi="ITC Avant Garde" w:cs="Arial"/>
                <w:sz w:val="20"/>
                <w:lang w:val="es-ES" w:eastAsia="es-ES"/>
              </w:rPr>
              <w:t>desagregación, incluyendo la desagregación de cableado multipar, desagregación de la caja de distribución, servicio de tendido de fibra óptica</w:t>
            </w:r>
            <w:r>
              <w:rPr>
                <w:rFonts w:ascii="ITC Avant Garde" w:eastAsia="Times New Roman" w:hAnsi="ITC Avant Garde" w:cs="Arial"/>
                <w:sz w:val="20"/>
                <w:lang w:val="es-ES" w:eastAsia="es-ES"/>
              </w:rPr>
              <w:t>.</w:t>
            </w:r>
          </w:p>
        </w:tc>
      </w:tr>
      <w:tr w:rsidR="00A1321B" w:rsidRPr="008609D1" w14:paraId="5A6E7FB0" w14:textId="77777777" w:rsidTr="00505CF2">
        <w:trPr>
          <w:cantSplit/>
          <w:trHeight w:val="20"/>
          <w:jc w:val="center"/>
        </w:trPr>
        <w:tc>
          <w:tcPr>
            <w:tcW w:w="1363" w:type="pct"/>
            <w:tcBorders>
              <w:left w:val="nil"/>
              <w:right w:val="nil"/>
            </w:tcBorders>
            <w:shd w:val="clear" w:color="auto" w:fill="D0D1DB"/>
            <w:noWrap/>
            <w:vAlign w:val="center"/>
            <w:hideMark/>
          </w:tcPr>
          <w:p w14:paraId="638F4F04"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coubicación para desagregación del bucle</w:t>
            </w:r>
          </w:p>
        </w:tc>
        <w:tc>
          <w:tcPr>
            <w:tcW w:w="3637" w:type="pct"/>
            <w:gridSpan w:val="2"/>
            <w:tcBorders>
              <w:left w:val="nil"/>
              <w:right w:val="nil"/>
            </w:tcBorders>
            <w:vAlign w:val="center"/>
            <w:hideMark/>
          </w:tcPr>
          <w:p w14:paraId="0BD7373B" w14:textId="0F1C1994"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alquiler de espacio y servicios auxiliares tales como suministro de energía, medidas de seguridad, aire acondicionado, y demás facilidades necesarias para su adecuada operación, así como el acceso a los espacios físicos, para la colocación de equipos y dispositivos de</w:t>
            </w:r>
            <w:r>
              <w:rPr>
                <w:rFonts w:ascii="ITC Avant Garde" w:eastAsia="Times New Roman" w:hAnsi="ITC Avant Garde" w:cs="Arial"/>
                <w:sz w:val="20"/>
                <w:lang w:val="es-ES" w:eastAsia="es-ES"/>
              </w:rPr>
              <w:t xml:space="preserve"> </w:t>
            </w:r>
            <w:r w:rsidRPr="006D334F">
              <w:rPr>
                <w:rFonts w:ascii="ITC Avant Garde" w:eastAsia="Times New Roman" w:hAnsi="ITC Avant Garde" w:cs="Arial"/>
                <w:sz w:val="20"/>
                <w:lang w:val="es-ES" w:eastAsia="es-ES"/>
              </w:rPr>
              <w:t>l</w:t>
            </w:r>
            <w:r>
              <w:rPr>
                <w:rFonts w:ascii="ITC Avant Garde" w:eastAsia="Times New Roman" w:hAnsi="ITC Avant Garde" w:cs="Arial"/>
                <w:sz w:val="20"/>
                <w:lang w:val="es-ES" w:eastAsia="es-ES"/>
              </w:rPr>
              <w:t>os</w:t>
            </w:r>
            <w:r w:rsidRPr="006D334F">
              <w:rPr>
                <w:rFonts w:ascii="ITC Avant Garde" w:eastAsia="Times New Roman" w:hAnsi="ITC Avant Garde" w:cs="Arial"/>
                <w:sz w:val="20"/>
                <w:lang w:val="es-ES" w:eastAsia="es-ES"/>
              </w:rPr>
              <w:t xml:space="preserve"> adquirientes de servicios m</w:t>
            </w:r>
            <w:r>
              <w:rPr>
                <w:rFonts w:ascii="ITC Avant Garde" w:eastAsia="Times New Roman" w:hAnsi="ITC Avant Garde" w:cs="Arial"/>
                <w:sz w:val="20"/>
                <w:lang w:val="es-ES" w:eastAsia="es-ES"/>
              </w:rPr>
              <w:t>ayorista</w:t>
            </w:r>
            <w:r w:rsidRPr="006D334F">
              <w:rPr>
                <w:rFonts w:ascii="ITC Avant Garde" w:eastAsia="Times New Roman" w:hAnsi="ITC Avant Garde" w:cs="Arial"/>
                <w:sz w:val="20"/>
                <w:lang w:val="es-ES" w:eastAsia="es-ES"/>
              </w:rPr>
              <w:t>s, necesarios para el funcionamiento del servicio de desagregación de bucle.</w:t>
            </w:r>
          </w:p>
        </w:tc>
      </w:tr>
      <w:tr w:rsidR="00A1321B" w:rsidRPr="008609D1" w14:paraId="2C40E053" w14:textId="77777777" w:rsidTr="00505CF2">
        <w:trPr>
          <w:cantSplit/>
          <w:trHeight w:val="20"/>
          <w:jc w:val="center"/>
        </w:trPr>
        <w:tc>
          <w:tcPr>
            <w:tcW w:w="1363" w:type="pct"/>
            <w:tcBorders>
              <w:left w:val="nil"/>
              <w:right w:val="nil"/>
            </w:tcBorders>
            <w:shd w:val="clear" w:color="auto" w:fill="D0D1DB"/>
            <w:noWrap/>
            <w:vAlign w:val="center"/>
            <w:hideMark/>
          </w:tcPr>
          <w:p w14:paraId="5C25780D"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opcional de cableado interior de usuario final</w:t>
            </w:r>
          </w:p>
        </w:tc>
        <w:tc>
          <w:tcPr>
            <w:tcW w:w="3637" w:type="pct"/>
            <w:gridSpan w:val="2"/>
            <w:tcBorders>
              <w:left w:val="nil"/>
              <w:right w:val="nil"/>
            </w:tcBorders>
            <w:vAlign w:val="center"/>
            <w:hideMark/>
          </w:tcPr>
          <w:p w14:paraId="247B60E4"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la instalación del cableado interior de un usuario final a petición de un operador alternativo</w:t>
            </w:r>
            <w:r>
              <w:rPr>
                <w:rFonts w:ascii="ITC Avant Garde" w:eastAsia="Times New Roman" w:hAnsi="ITC Avant Garde" w:cs="Arial"/>
                <w:sz w:val="20"/>
                <w:lang w:val="es-ES" w:eastAsia="es-ES"/>
              </w:rPr>
              <w:t>.</w:t>
            </w:r>
          </w:p>
        </w:tc>
      </w:tr>
      <w:tr w:rsidR="00A1321B" w:rsidRPr="008609D1" w14:paraId="23BE1F2E" w14:textId="77777777" w:rsidTr="00505CF2">
        <w:trPr>
          <w:cantSplit/>
          <w:trHeight w:val="20"/>
          <w:jc w:val="center"/>
        </w:trPr>
        <w:tc>
          <w:tcPr>
            <w:tcW w:w="1363" w:type="pct"/>
            <w:tcBorders>
              <w:left w:val="nil"/>
              <w:right w:val="nil"/>
            </w:tcBorders>
            <w:shd w:val="clear" w:color="auto" w:fill="D0D1DB"/>
            <w:noWrap/>
            <w:vAlign w:val="center"/>
            <w:hideMark/>
          </w:tcPr>
          <w:p w14:paraId="4FEA8D4B"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Trabajos especiales</w:t>
            </w:r>
          </w:p>
        </w:tc>
        <w:tc>
          <w:tcPr>
            <w:tcW w:w="3637" w:type="pct"/>
            <w:gridSpan w:val="2"/>
            <w:tcBorders>
              <w:left w:val="nil"/>
              <w:right w:val="nil"/>
            </w:tcBorders>
            <w:vAlign w:val="center"/>
            <w:hideMark/>
          </w:tcPr>
          <w:p w14:paraId="743B5879"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trabajos especiales asociados a la prestación de los servicios de desagregación</w:t>
            </w:r>
            <w:r>
              <w:rPr>
                <w:rFonts w:ascii="ITC Avant Garde" w:eastAsia="Times New Roman" w:hAnsi="ITC Avant Garde" w:cs="Arial"/>
                <w:sz w:val="20"/>
                <w:lang w:val="es-ES" w:eastAsia="es-ES"/>
              </w:rPr>
              <w:t>.</w:t>
            </w:r>
          </w:p>
        </w:tc>
      </w:tr>
      <w:tr w:rsidR="00A1321B" w:rsidRPr="008609D1" w14:paraId="42A497C5" w14:textId="77777777" w:rsidTr="00505CF2">
        <w:trPr>
          <w:cantSplit/>
          <w:trHeight w:val="20"/>
          <w:jc w:val="center"/>
        </w:trPr>
        <w:tc>
          <w:tcPr>
            <w:tcW w:w="1363" w:type="pct"/>
            <w:tcBorders>
              <w:left w:val="nil"/>
              <w:right w:val="nil"/>
            </w:tcBorders>
            <w:shd w:val="clear" w:color="auto" w:fill="D0D1DB"/>
            <w:noWrap/>
            <w:vAlign w:val="center"/>
            <w:hideMark/>
          </w:tcPr>
          <w:p w14:paraId="4FBF000D"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reventa de línea telefónica (WLR</w:t>
            </w:r>
            <w:r w:rsidRPr="006D334F">
              <w:rPr>
                <w:rFonts w:ascii="ITC Avant Garde" w:eastAsia="Times New Roman" w:hAnsi="ITC Avant Garde" w:cs="Arial"/>
                <w:sz w:val="20"/>
                <w:vertAlign w:val="superscript"/>
                <w:lang w:val="es-ES" w:eastAsia="es-ES"/>
              </w:rPr>
              <w:footnoteReference w:id="38"/>
            </w:r>
            <w:r w:rsidRPr="006D334F">
              <w:rPr>
                <w:rFonts w:ascii="ITC Avant Garde" w:eastAsia="Times New Roman" w:hAnsi="ITC Avant Garde" w:cs="Arial"/>
                <w:sz w:val="20"/>
                <w:lang w:val="es-ES" w:eastAsia="es-ES"/>
              </w:rPr>
              <w:t>)</w:t>
            </w:r>
          </w:p>
        </w:tc>
        <w:tc>
          <w:tcPr>
            <w:tcW w:w="3637" w:type="pct"/>
            <w:gridSpan w:val="2"/>
            <w:tcBorders>
              <w:left w:val="nil"/>
              <w:right w:val="nil"/>
            </w:tcBorders>
            <w:vAlign w:val="center"/>
            <w:hideMark/>
          </w:tcPr>
          <w:p w14:paraId="6D71D27B" w14:textId="77777777"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Permite a los adquirientes de servicios mayoristas la reventa o comercialización a usuarios residenciales y no residenciales del servicio de línea telefónica que el proveedor de servicios mayoristas tenga autorizado y registrado ante el Instituto.</w:t>
            </w:r>
          </w:p>
        </w:tc>
      </w:tr>
      <w:tr w:rsidR="00A1321B" w:rsidRPr="008609D1" w14:paraId="1773204E" w14:textId="77777777" w:rsidTr="00505CF2">
        <w:trPr>
          <w:cantSplit/>
          <w:trHeight w:val="20"/>
          <w:jc w:val="center"/>
        </w:trPr>
        <w:tc>
          <w:tcPr>
            <w:tcW w:w="1363" w:type="pct"/>
            <w:tcBorders>
              <w:left w:val="nil"/>
              <w:right w:val="nil"/>
            </w:tcBorders>
            <w:shd w:val="clear" w:color="auto" w:fill="D0D1DB"/>
            <w:noWrap/>
            <w:vAlign w:val="center"/>
            <w:hideMark/>
          </w:tcPr>
          <w:p w14:paraId="3F5F2760"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reventa de Internet</w:t>
            </w:r>
          </w:p>
        </w:tc>
        <w:tc>
          <w:tcPr>
            <w:tcW w:w="3637" w:type="pct"/>
            <w:gridSpan w:val="2"/>
            <w:tcBorders>
              <w:left w:val="nil"/>
              <w:right w:val="nil"/>
            </w:tcBorders>
            <w:vAlign w:val="center"/>
            <w:hideMark/>
          </w:tcPr>
          <w:p w14:paraId="40765A4D" w14:textId="440DFB69"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Permite a los adquirientes de servicios mayoristas la reventa o comercialización a usuarios residenciales y no residenciales del servicio de acceso a </w:t>
            </w:r>
            <w:r>
              <w:rPr>
                <w:rFonts w:ascii="ITC Avant Garde" w:eastAsia="Times New Roman" w:hAnsi="ITC Avant Garde" w:cs="Arial"/>
                <w:sz w:val="20"/>
                <w:lang w:val="es-ES" w:eastAsia="es-ES"/>
              </w:rPr>
              <w:t>I</w:t>
            </w:r>
            <w:r w:rsidRPr="006D334F">
              <w:rPr>
                <w:rFonts w:ascii="ITC Avant Garde" w:eastAsia="Times New Roman" w:hAnsi="ITC Avant Garde" w:cs="Arial"/>
                <w:sz w:val="20"/>
                <w:lang w:val="es-ES" w:eastAsia="es-ES"/>
              </w:rPr>
              <w:t>nternet que el proveedor de servicios mayoristas tenga autorizado y registrado ante el Instituto</w:t>
            </w:r>
          </w:p>
        </w:tc>
      </w:tr>
      <w:tr w:rsidR="00A1321B" w:rsidRPr="008609D1" w14:paraId="3CA3050D" w14:textId="77777777" w:rsidTr="00505CF2">
        <w:trPr>
          <w:cantSplit/>
          <w:trHeight w:val="20"/>
          <w:jc w:val="center"/>
        </w:trPr>
        <w:tc>
          <w:tcPr>
            <w:tcW w:w="1363" w:type="pct"/>
            <w:tcBorders>
              <w:left w:val="nil"/>
              <w:right w:val="nil"/>
            </w:tcBorders>
            <w:shd w:val="clear" w:color="auto" w:fill="D0D1DB"/>
            <w:noWrap/>
            <w:vAlign w:val="center"/>
            <w:hideMark/>
          </w:tcPr>
          <w:p w14:paraId="36AB0C21"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reventa de paquetes</w:t>
            </w:r>
          </w:p>
        </w:tc>
        <w:tc>
          <w:tcPr>
            <w:tcW w:w="3637" w:type="pct"/>
            <w:gridSpan w:val="2"/>
            <w:tcBorders>
              <w:left w:val="nil"/>
              <w:right w:val="nil"/>
            </w:tcBorders>
            <w:vAlign w:val="center"/>
            <w:hideMark/>
          </w:tcPr>
          <w:p w14:paraId="5AFD25E1" w14:textId="77777777"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Permite a los adquirientes de servicios mayoristas la reventa o comercialización a usuarios residenciales y no residenciales de los servicios que el proveedor de servicios mayoristas tenga autorizado y registrado ante el Instituto, en la modalidad de paquetes.</w:t>
            </w:r>
          </w:p>
        </w:tc>
      </w:tr>
      <w:tr w:rsidR="00A1321B" w:rsidRPr="008609D1" w14:paraId="5C323F2E" w14:textId="77777777" w:rsidTr="00505CF2">
        <w:trPr>
          <w:cantSplit/>
          <w:trHeight w:val="20"/>
          <w:jc w:val="center"/>
        </w:trPr>
        <w:tc>
          <w:tcPr>
            <w:tcW w:w="1363" w:type="pct"/>
            <w:tcBorders>
              <w:left w:val="nil"/>
              <w:right w:val="nil"/>
            </w:tcBorders>
            <w:shd w:val="clear" w:color="auto" w:fill="D0D1DB"/>
            <w:noWrap/>
            <w:vAlign w:val="center"/>
            <w:hideMark/>
          </w:tcPr>
          <w:p w14:paraId="5505952B" w14:textId="77777777"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de acceso indirecto al bucle (SAIB)</w:t>
            </w:r>
          </w:p>
        </w:tc>
        <w:tc>
          <w:tcPr>
            <w:tcW w:w="3637" w:type="pct"/>
            <w:gridSpan w:val="2"/>
            <w:tcBorders>
              <w:left w:val="nil"/>
              <w:right w:val="nil"/>
            </w:tcBorders>
            <w:vAlign w:val="center"/>
            <w:hideMark/>
          </w:tcPr>
          <w:p w14:paraId="52387D78" w14:textId="77777777"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Mediante este servicio, el proveedor de servicios mayoristas pone a disposición del adquiriente de servicios mayoristas capacidad de transmisión entre el usuario final y un punto de interconexión del adquiriente de servicios mayoristas, de tal forma que se permita la provisión de servicios de telecomunicaciones a un usuario final que se conecta a la red pública de telecomunicaciones mediante una acometida del proveedor de servicios mayoristas.</w:t>
            </w:r>
          </w:p>
        </w:tc>
      </w:tr>
      <w:tr w:rsidR="00A1321B" w:rsidRPr="008609D1" w14:paraId="2E674DCC" w14:textId="77777777" w:rsidTr="00505CF2">
        <w:trPr>
          <w:cantSplit/>
          <w:trHeight w:val="20"/>
          <w:jc w:val="center"/>
        </w:trPr>
        <w:tc>
          <w:tcPr>
            <w:tcW w:w="1363" w:type="pct"/>
            <w:tcBorders>
              <w:left w:val="nil"/>
              <w:right w:val="nil"/>
            </w:tcBorders>
            <w:shd w:val="clear" w:color="auto" w:fill="D0D1DB"/>
            <w:noWrap/>
            <w:vAlign w:val="center"/>
          </w:tcPr>
          <w:p w14:paraId="0EAEB8B5" w14:textId="3AD33403" w:rsidR="00A1321B" w:rsidRPr="006D334F" w:rsidRDefault="00A1321B" w:rsidP="008B4286">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Servicio de </w:t>
            </w:r>
            <w:r>
              <w:rPr>
                <w:rFonts w:ascii="ITC Avant Garde" w:eastAsia="Times New Roman" w:hAnsi="ITC Avant Garde" w:cs="Arial"/>
                <w:sz w:val="20"/>
                <w:lang w:val="es-ES" w:eastAsia="es-ES"/>
              </w:rPr>
              <w:t>c</w:t>
            </w:r>
            <w:r w:rsidRPr="006D334F">
              <w:rPr>
                <w:rFonts w:ascii="ITC Avant Garde" w:eastAsia="Times New Roman" w:hAnsi="ITC Avant Garde" w:cs="Arial"/>
                <w:sz w:val="20"/>
                <w:lang w:val="es-ES" w:eastAsia="es-ES"/>
              </w:rPr>
              <w:t xml:space="preserve">oncentración y </w:t>
            </w:r>
            <w:r>
              <w:rPr>
                <w:rFonts w:ascii="ITC Avant Garde" w:eastAsia="Times New Roman" w:hAnsi="ITC Avant Garde" w:cs="Arial"/>
                <w:sz w:val="20"/>
                <w:lang w:val="es-ES" w:eastAsia="es-ES"/>
              </w:rPr>
              <w:t>d</w:t>
            </w:r>
            <w:r w:rsidRPr="006D334F">
              <w:rPr>
                <w:rFonts w:ascii="ITC Avant Garde" w:eastAsia="Times New Roman" w:hAnsi="ITC Avant Garde" w:cs="Arial"/>
                <w:sz w:val="20"/>
                <w:lang w:val="es-ES" w:eastAsia="es-ES"/>
              </w:rPr>
              <w:t>istribución</w:t>
            </w:r>
          </w:p>
        </w:tc>
        <w:tc>
          <w:tcPr>
            <w:tcW w:w="3637" w:type="pct"/>
            <w:gridSpan w:val="2"/>
            <w:tcBorders>
              <w:left w:val="nil"/>
              <w:right w:val="nil"/>
            </w:tcBorders>
            <w:vAlign w:val="center"/>
          </w:tcPr>
          <w:p w14:paraId="5FF0A7EE" w14:textId="064C1E31" w:rsidR="00A1321B" w:rsidRPr="006D334F" w:rsidRDefault="00A1321B" w:rsidP="008B4286">
            <w:pPr>
              <w:keepNext/>
              <w:keepLines/>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Conjunto de funcionalidades que permiten la administración del tráfico, al menos un Nodo de Concentración de Acceso Indirecto (NCAl), y, al menos un Puerto de Conexión de Acceso Indirecto (pCAI) que físicamente se ubica en un </w:t>
            </w:r>
            <w:r>
              <w:rPr>
                <w:rFonts w:ascii="ITC Avant Garde" w:eastAsia="Times New Roman" w:hAnsi="ITC Avant Garde" w:cs="Arial"/>
                <w:sz w:val="20"/>
                <w:lang w:val="es-ES" w:eastAsia="es-ES"/>
              </w:rPr>
              <w:t>p</w:t>
            </w:r>
            <w:r w:rsidRPr="006D334F">
              <w:rPr>
                <w:rFonts w:ascii="ITC Avant Garde" w:eastAsia="Times New Roman" w:hAnsi="ITC Avant Garde" w:cs="Arial"/>
                <w:sz w:val="20"/>
                <w:lang w:val="es-ES" w:eastAsia="es-ES"/>
              </w:rPr>
              <w:t xml:space="preserve">unto de </w:t>
            </w:r>
            <w:r>
              <w:rPr>
                <w:rFonts w:ascii="ITC Avant Garde" w:eastAsia="Times New Roman" w:hAnsi="ITC Avant Garde" w:cs="Arial"/>
                <w:sz w:val="20"/>
                <w:lang w:val="es-ES" w:eastAsia="es-ES"/>
              </w:rPr>
              <w:t>c</w:t>
            </w:r>
            <w:r w:rsidRPr="006D334F">
              <w:rPr>
                <w:rFonts w:ascii="ITC Avant Garde" w:eastAsia="Times New Roman" w:hAnsi="ITC Avant Garde" w:cs="Arial"/>
                <w:sz w:val="20"/>
                <w:lang w:val="es-ES" w:eastAsia="es-ES"/>
              </w:rPr>
              <w:t xml:space="preserve">oncentración local, regional o nacional, así como las VLAN's respectivas por cada pCAI habilitado en el punto de concentración. El servicio permite la agregación del tráfico del </w:t>
            </w:r>
            <w:r>
              <w:rPr>
                <w:rFonts w:ascii="ITC Avant Garde" w:eastAsia="Times New Roman" w:hAnsi="ITC Avant Garde" w:cs="Arial"/>
                <w:sz w:val="20"/>
                <w:lang w:val="es-ES" w:eastAsia="es-ES"/>
              </w:rPr>
              <w:t>s</w:t>
            </w:r>
            <w:r w:rsidRPr="006D334F">
              <w:rPr>
                <w:rFonts w:ascii="ITC Avant Garde" w:eastAsia="Times New Roman" w:hAnsi="ITC Avant Garde" w:cs="Arial"/>
                <w:sz w:val="20"/>
                <w:lang w:val="es-ES" w:eastAsia="es-ES"/>
              </w:rPr>
              <w:t xml:space="preserve">ervicio de </w:t>
            </w:r>
            <w:r>
              <w:rPr>
                <w:rFonts w:ascii="ITC Avant Garde" w:eastAsia="Times New Roman" w:hAnsi="ITC Avant Garde" w:cs="Arial"/>
                <w:sz w:val="20"/>
                <w:lang w:val="es-ES" w:eastAsia="es-ES"/>
              </w:rPr>
              <w:t>a</w:t>
            </w:r>
            <w:r w:rsidRPr="006D334F">
              <w:rPr>
                <w:rFonts w:ascii="ITC Avant Garde" w:eastAsia="Times New Roman" w:hAnsi="ITC Avant Garde" w:cs="Arial"/>
                <w:sz w:val="20"/>
                <w:lang w:val="es-ES" w:eastAsia="es-ES"/>
              </w:rPr>
              <w:t xml:space="preserve">cceso </w:t>
            </w:r>
            <w:r>
              <w:rPr>
                <w:rFonts w:ascii="ITC Avant Garde" w:eastAsia="Times New Roman" w:hAnsi="ITC Avant Garde" w:cs="Arial"/>
                <w:sz w:val="20"/>
                <w:lang w:val="es-ES" w:eastAsia="es-ES"/>
              </w:rPr>
              <w:t>i</w:t>
            </w:r>
            <w:r w:rsidRPr="006D334F">
              <w:rPr>
                <w:rFonts w:ascii="ITC Avant Garde" w:eastAsia="Times New Roman" w:hAnsi="ITC Avant Garde" w:cs="Arial"/>
                <w:sz w:val="20"/>
                <w:lang w:val="es-ES" w:eastAsia="es-ES"/>
              </w:rPr>
              <w:t>ndirecto generado por los usuarios y la entrega del mismo a los adquirientes de servicios mayoristas.</w:t>
            </w:r>
          </w:p>
        </w:tc>
      </w:tr>
      <w:tr w:rsidR="00A1321B" w:rsidRPr="008609D1" w14:paraId="1029E2D6" w14:textId="77777777" w:rsidTr="00505CF2">
        <w:trPr>
          <w:cantSplit/>
          <w:trHeight w:val="20"/>
          <w:jc w:val="center"/>
        </w:trPr>
        <w:tc>
          <w:tcPr>
            <w:tcW w:w="5000" w:type="pct"/>
            <w:gridSpan w:val="3"/>
            <w:tcBorders>
              <w:left w:val="nil"/>
              <w:right w:val="nil"/>
            </w:tcBorders>
            <w:shd w:val="clear" w:color="auto" w:fill="E7E6E6" w:themeFill="background2"/>
            <w:noWrap/>
            <w:vAlign w:val="center"/>
          </w:tcPr>
          <w:p w14:paraId="4C205A02" w14:textId="77777777" w:rsidR="00A1321B" w:rsidRPr="008609D1" w:rsidRDefault="00A1321B" w:rsidP="008B4286">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Servicios no relevantes para la separación contable</w:t>
            </w:r>
          </w:p>
        </w:tc>
      </w:tr>
      <w:tr w:rsidR="00A1321B" w:rsidRPr="008609D1" w14:paraId="6789AA36" w14:textId="77777777" w:rsidTr="00505CF2">
        <w:trPr>
          <w:cantSplit/>
          <w:trHeight w:val="20"/>
          <w:jc w:val="center"/>
        </w:trPr>
        <w:tc>
          <w:tcPr>
            <w:tcW w:w="1363" w:type="pct"/>
            <w:tcBorders>
              <w:left w:val="nil"/>
              <w:right w:val="nil"/>
            </w:tcBorders>
            <w:shd w:val="clear" w:color="auto" w:fill="D0D1DB"/>
            <w:noWrap/>
            <w:vAlign w:val="center"/>
            <w:hideMark/>
          </w:tcPr>
          <w:p w14:paraId="31EFD2A2"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no relevantes para la separación contable</w:t>
            </w:r>
          </w:p>
        </w:tc>
        <w:tc>
          <w:tcPr>
            <w:tcW w:w="3637" w:type="pct"/>
            <w:gridSpan w:val="2"/>
            <w:tcBorders>
              <w:left w:val="nil"/>
              <w:right w:val="nil"/>
            </w:tcBorders>
            <w:vAlign w:val="center"/>
            <w:hideMark/>
          </w:tcPr>
          <w:p w14:paraId="58704EBE" w14:textId="6E8C7DC0" w:rsidR="00A1321B" w:rsidRPr="008609D1" w:rsidRDefault="00A1321B" w:rsidP="00D32F5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Partidas de costos relativas a los servicios no relevantes para la</w:t>
            </w:r>
            <w:r w:rsidR="00D32F55">
              <w:rPr>
                <w:rFonts w:ascii="ITC Avant Garde" w:eastAsia="Times New Roman" w:hAnsi="ITC Avant Garde" w:cs="Arial"/>
                <w:sz w:val="20"/>
                <w:lang w:val="es-ES" w:eastAsia="es-ES"/>
              </w:rPr>
              <w:t xml:space="preserve"> prestación de servicios</w:t>
            </w:r>
            <w:r w:rsidRPr="008609D1">
              <w:rPr>
                <w:rFonts w:ascii="ITC Avant Garde" w:eastAsia="Times New Roman" w:hAnsi="ITC Avant Garde" w:cs="Arial"/>
                <w:sz w:val="20"/>
                <w:lang w:val="es-ES" w:eastAsia="es-ES"/>
              </w:rPr>
              <w:t xml:space="preserve"> de telecomunicaciones fij</w:t>
            </w:r>
            <w:r w:rsidR="00A2661B">
              <w:rPr>
                <w:rFonts w:ascii="ITC Avant Garde" w:eastAsia="Times New Roman" w:hAnsi="ITC Avant Garde" w:cs="Arial"/>
                <w:sz w:val="20"/>
                <w:lang w:val="es-ES" w:eastAsia="es-ES"/>
              </w:rPr>
              <w:t>o</w:t>
            </w:r>
            <w:r w:rsidRPr="008609D1">
              <w:rPr>
                <w:rFonts w:ascii="ITC Avant Garde" w:eastAsia="Times New Roman" w:hAnsi="ITC Avant Garde" w:cs="Arial"/>
                <w:sz w:val="20"/>
                <w:lang w:val="es-ES" w:eastAsia="es-ES"/>
              </w:rPr>
              <w:t>s</w:t>
            </w:r>
            <w:r>
              <w:rPr>
                <w:rFonts w:ascii="ITC Avant Garde" w:eastAsia="Times New Roman" w:hAnsi="ITC Avant Garde" w:cs="Arial"/>
                <w:sz w:val="20"/>
                <w:lang w:val="es-ES" w:eastAsia="es-ES"/>
              </w:rPr>
              <w:t>.</w:t>
            </w:r>
          </w:p>
        </w:tc>
      </w:tr>
    </w:tbl>
    <w:p w14:paraId="11CD7B59" w14:textId="77777777" w:rsidR="00FA4D4D" w:rsidRDefault="00FA4D4D" w:rsidP="00A1321B">
      <w:pPr>
        <w:pStyle w:val="HeadingAnexo1L3"/>
      </w:pPr>
    </w:p>
    <w:p w14:paraId="1301B092" w14:textId="77777777" w:rsidR="00FA4D4D" w:rsidRDefault="00FA4D4D" w:rsidP="00A1321B">
      <w:pPr>
        <w:pStyle w:val="HeadingAnexo1L3"/>
      </w:pPr>
    </w:p>
    <w:p w14:paraId="42DF7D19" w14:textId="77777777" w:rsidR="00FA4D4D" w:rsidRDefault="00FA4D4D" w:rsidP="00A1321B">
      <w:pPr>
        <w:pStyle w:val="HeadingAnexo1L3"/>
      </w:pPr>
    </w:p>
    <w:p w14:paraId="516BBD6D" w14:textId="77777777" w:rsidR="00A1321B" w:rsidRPr="008609D1" w:rsidRDefault="00A1321B" w:rsidP="00A1321B">
      <w:pPr>
        <w:pStyle w:val="HeadingAnexo1L3"/>
      </w:pPr>
      <w:r w:rsidRPr="008609D1">
        <w:lastRenderedPageBreak/>
        <w:t>Segmento Móvil</w:t>
      </w:r>
    </w:p>
    <w:p w14:paraId="2D4ED391" w14:textId="77777777" w:rsidR="00A1321B" w:rsidRDefault="00A1321B" w:rsidP="00A1321B">
      <w:pPr>
        <w:pStyle w:val="Normalresolucion"/>
      </w:pPr>
      <w:r w:rsidRPr="008609D1">
        <w:t xml:space="preserve">Listado </w:t>
      </w:r>
      <w:r w:rsidRPr="006D334F">
        <w:rPr>
          <w:bCs/>
        </w:rPr>
        <w:t>mínimo</w:t>
      </w:r>
      <w:r w:rsidRPr="008609D1">
        <w:t xml:space="preserve"> de cuentas de ingresos a desagregar en el Nivel 1:</w:t>
      </w:r>
    </w:p>
    <w:p w14:paraId="7F650B3A" w14:textId="77777777" w:rsidR="00600DB6" w:rsidRPr="008609D1" w:rsidRDefault="00600DB6" w:rsidP="00600DB6">
      <w:pPr>
        <w:pStyle w:val="Descripcin"/>
        <w:spacing w:after="240" w:line="240" w:lineRule="auto"/>
        <w:rPr>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Pr="008609D1">
        <w:rPr>
          <w:rFonts w:ascii="ITC Avant Garde" w:hAnsi="ITC Avant Garde"/>
          <w:iCs/>
          <w:noProof/>
          <w:sz w:val="20"/>
          <w:lang w:val="es-MX"/>
        </w:rPr>
        <w:t>7</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de ingresos a desagregar en el Nivel 1 de operadores de telecomunicaciones móviles</w:t>
      </w:r>
    </w:p>
    <w:tbl>
      <w:tblPr>
        <w:tblW w:w="5000" w:type="pct"/>
        <w:jc w:val="center"/>
        <w:tblLayout w:type="fixed"/>
        <w:tblCellMar>
          <w:left w:w="70" w:type="dxa"/>
          <w:right w:w="70" w:type="dxa"/>
        </w:tblCellMar>
        <w:tblLook w:val="04A0" w:firstRow="1" w:lastRow="0" w:firstColumn="1" w:lastColumn="0" w:noHBand="0" w:noVBand="1"/>
      </w:tblPr>
      <w:tblGrid>
        <w:gridCol w:w="2405"/>
        <w:gridCol w:w="6423"/>
      </w:tblGrid>
      <w:tr w:rsidR="00A1321B" w:rsidRPr="008609D1" w14:paraId="1FBE989C" w14:textId="77777777" w:rsidTr="00505CF2">
        <w:trPr>
          <w:trHeight w:val="340"/>
          <w:tblHeader/>
          <w:jc w:val="center"/>
        </w:trPr>
        <w:tc>
          <w:tcPr>
            <w:tcW w:w="1362" w:type="pct"/>
            <w:tcBorders>
              <w:top w:val="nil"/>
              <w:left w:val="single" w:sz="4" w:space="0" w:color="FFFFFF"/>
              <w:bottom w:val="single" w:sz="4" w:space="0" w:color="244062"/>
              <w:right w:val="single" w:sz="4" w:space="0" w:color="FFFFFF"/>
            </w:tcBorders>
            <w:shd w:val="clear" w:color="auto" w:fill="4F629B"/>
            <w:vAlign w:val="center"/>
            <w:hideMark/>
          </w:tcPr>
          <w:p w14:paraId="44173AC4" w14:textId="77777777" w:rsidR="00A1321B" w:rsidRPr="008609D1" w:rsidRDefault="00A1321B" w:rsidP="008B4286">
            <w:pPr>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Categoría</w:t>
            </w:r>
          </w:p>
        </w:tc>
        <w:tc>
          <w:tcPr>
            <w:tcW w:w="3638" w:type="pct"/>
            <w:tcBorders>
              <w:top w:val="nil"/>
              <w:left w:val="single" w:sz="4" w:space="0" w:color="FFFFFF"/>
              <w:bottom w:val="single" w:sz="4" w:space="0" w:color="244062"/>
              <w:right w:val="single" w:sz="4" w:space="0" w:color="FFFFFF"/>
            </w:tcBorders>
            <w:shd w:val="clear" w:color="auto" w:fill="4F629B"/>
            <w:vAlign w:val="center"/>
            <w:hideMark/>
          </w:tcPr>
          <w:p w14:paraId="4A3649EB" w14:textId="77777777" w:rsidR="00A1321B" w:rsidRPr="008609D1" w:rsidRDefault="00A1321B" w:rsidP="008B4286">
            <w:pPr>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Descripción</w:t>
            </w:r>
          </w:p>
        </w:tc>
      </w:tr>
      <w:tr w:rsidR="00A1321B" w:rsidRPr="00065393" w14:paraId="607597C6" w14:textId="77777777" w:rsidTr="00505CF2">
        <w:trPr>
          <w:trHeight w:val="510"/>
          <w:jc w:val="center"/>
        </w:trPr>
        <w:tc>
          <w:tcPr>
            <w:tcW w:w="5000" w:type="pct"/>
            <w:gridSpan w:val="2"/>
            <w:tcBorders>
              <w:top w:val="single" w:sz="4" w:space="0" w:color="244062"/>
              <w:left w:val="nil"/>
              <w:bottom w:val="single" w:sz="4" w:space="0" w:color="244062"/>
              <w:right w:val="nil"/>
            </w:tcBorders>
            <w:shd w:val="clear" w:color="auto" w:fill="EDEDED" w:themeFill="accent3" w:themeFillTint="33"/>
            <w:noWrap/>
            <w:vAlign w:val="center"/>
          </w:tcPr>
          <w:p w14:paraId="6DF16326" w14:textId="77777777" w:rsidR="00A1321B" w:rsidRPr="00065393" w:rsidRDefault="00A1321B" w:rsidP="008B4286">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Ingresos operativos</w:t>
            </w:r>
            <w:r w:rsidRPr="00065393">
              <w:rPr>
                <w:rFonts w:ascii="ITC Avant Garde" w:eastAsia="Times New Roman" w:hAnsi="ITC Avant Garde" w:cs="Arial"/>
                <w:b/>
                <w:bCs/>
                <w:sz w:val="20"/>
                <w:vertAlign w:val="superscript"/>
                <w:lang w:val="es-ES" w:eastAsia="es-ES"/>
              </w:rPr>
              <w:footnoteReference w:id="39"/>
            </w:r>
          </w:p>
        </w:tc>
      </w:tr>
      <w:tr w:rsidR="00A1321B" w:rsidRPr="008609D1" w14:paraId="00DF73E6" w14:textId="77777777" w:rsidTr="00505CF2">
        <w:trPr>
          <w:trHeight w:val="51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1A4C6139"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Pago recurrente</w:t>
            </w:r>
          </w:p>
        </w:tc>
        <w:tc>
          <w:tcPr>
            <w:tcW w:w="3638" w:type="pct"/>
            <w:tcBorders>
              <w:top w:val="single" w:sz="4" w:space="0" w:color="244062"/>
              <w:left w:val="nil"/>
              <w:bottom w:val="single" w:sz="4" w:space="0" w:color="244062"/>
              <w:right w:val="nil"/>
            </w:tcBorders>
            <w:vAlign w:val="center"/>
            <w:hideMark/>
          </w:tcPr>
          <w:p w14:paraId="7F3A7675"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recibidos por los pagos mensuales asociadas a servicios de telefonía móvil por parte del usuario final</w:t>
            </w:r>
            <w:r>
              <w:rPr>
                <w:rFonts w:ascii="ITC Avant Garde" w:eastAsia="Times New Roman" w:hAnsi="ITC Avant Garde" w:cs="Arial"/>
                <w:sz w:val="20"/>
                <w:szCs w:val="20"/>
                <w:lang w:val="es-ES" w:eastAsia="es-ES"/>
              </w:rPr>
              <w:t>.</w:t>
            </w:r>
          </w:p>
        </w:tc>
      </w:tr>
      <w:tr w:rsidR="00A1321B" w:rsidRPr="008609D1" w14:paraId="38B43E37" w14:textId="77777777" w:rsidTr="00505CF2">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176DE8BE" w14:textId="19430594"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 xml:space="preserve">Servicio de </w:t>
            </w:r>
            <w:r>
              <w:rPr>
                <w:rFonts w:ascii="ITC Avant Garde" w:hAnsi="ITC Avant Garde"/>
                <w:sz w:val="20"/>
                <w:szCs w:val="20"/>
              </w:rPr>
              <w:t>t</w:t>
            </w:r>
            <w:r w:rsidRPr="006D334F">
              <w:rPr>
                <w:rFonts w:ascii="ITC Avant Garde" w:hAnsi="ITC Avant Garde"/>
                <w:sz w:val="20"/>
                <w:szCs w:val="20"/>
              </w:rPr>
              <w:t xml:space="preserve">elefonía </w:t>
            </w:r>
            <w:r>
              <w:rPr>
                <w:rFonts w:ascii="ITC Avant Garde" w:hAnsi="ITC Avant Garde"/>
                <w:sz w:val="20"/>
                <w:szCs w:val="20"/>
              </w:rPr>
              <w:t>m</w:t>
            </w:r>
            <w:r w:rsidRPr="006D334F">
              <w:rPr>
                <w:rFonts w:ascii="ITC Avant Garde" w:hAnsi="ITC Avant Garde"/>
                <w:sz w:val="20"/>
                <w:szCs w:val="20"/>
              </w:rPr>
              <w:t>óvil</w:t>
            </w:r>
            <w:r w:rsidRPr="006D334F">
              <w:rPr>
                <w:rFonts w:ascii="ITC Avant Garde" w:eastAsia="Times New Roman" w:hAnsi="ITC Avant Garde" w:cs="Arial"/>
                <w:sz w:val="20"/>
                <w:szCs w:val="20"/>
                <w:lang w:val="es-ES" w:eastAsia="es-ES"/>
              </w:rPr>
              <w:t xml:space="preserve"> - voz</w:t>
            </w:r>
          </w:p>
        </w:tc>
        <w:tc>
          <w:tcPr>
            <w:tcW w:w="3638" w:type="pct"/>
            <w:tcBorders>
              <w:top w:val="single" w:sz="4" w:space="0" w:color="244062"/>
              <w:left w:val="nil"/>
              <w:bottom w:val="single" w:sz="4" w:space="0" w:color="244062"/>
              <w:right w:val="nil"/>
            </w:tcBorders>
            <w:vAlign w:val="center"/>
            <w:hideMark/>
          </w:tcPr>
          <w:p w14:paraId="6E867E9D"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el consumo de tráfico de minutos de voz no incluidos en el pago recurrente</w:t>
            </w:r>
            <w:r>
              <w:rPr>
                <w:rFonts w:ascii="ITC Avant Garde" w:eastAsia="Times New Roman" w:hAnsi="ITC Avant Garde" w:cs="Arial"/>
                <w:sz w:val="20"/>
                <w:szCs w:val="20"/>
                <w:lang w:val="es-ES" w:eastAsia="es-ES"/>
              </w:rPr>
              <w:t>.</w:t>
            </w:r>
          </w:p>
        </w:tc>
      </w:tr>
      <w:tr w:rsidR="00A1321B" w:rsidRPr="008609D1" w14:paraId="237633FA" w14:textId="77777777" w:rsidTr="00505CF2">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5C398DF" w14:textId="30E7B5A5"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 xml:space="preserve">Servicio de </w:t>
            </w:r>
            <w:r>
              <w:rPr>
                <w:rFonts w:ascii="ITC Avant Garde" w:hAnsi="ITC Avant Garde"/>
                <w:sz w:val="20"/>
                <w:szCs w:val="20"/>
              </w:rPr>
              <w:t>a</w:t>
            </w:r>
            <w:r w:rsidRPr="006D334F">
              <w:rPr>
                <w:rFonts w:ascii="ITC Avant Garde" w:hAnsi="ITC Avant Garde"/>
                <w:sz w:val="20"/>
                <w:szCs w:val="20"/>
              </w:rPr>
              <w:t xml:space="preserve">cceso a Internet </w:t>
            </w:r>
            <w:r>
              <w:rPr>
                <w:rFonts w:ascii="ITC Avant Garde" w:hAnsi="ITC Avant Garde"/>
                <w:sz w:val="20"/>
                <w:szCs w:val="20"/>
              </w:rPr>
              <w:t>m</w:t>
            </w:r>
            <w:r w:rsidRPr="006D334F">
              <w:rPr>
                <w:rFonts w:ascii="ITC Avant Garde" w:hAnsi="ITC Avant Garde"/>
                <w:sz w:val="20"/>
                <w:szCs w:val="20"/>
              </w:rPr>
              <w:t>óvil</w:t>
            </w:r>
          </w:p>
        </w:tc>
        <w:tc>
          <w:tcPr>
            <w:tcW w:w="3638" w:type="pct"/>
            <w:tcBorders>
              <w:top w:val="single" w:sz="4" w:space="0" w:color="244062"/>
              <w:left w:val="nil"/>
              <w:bottom w:val="single" w:sz="4" w:space="0" w:color="244062"/>
              <w:right w:val="nil"/>
            </w:tcBorders>
            <w:vAlign w:val="center"/>
            <w:hideMark/>
          </w:tcPr>
          <w:p w14:paraId="6BCC9B7E"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el consumo de tráfico de datos móviles no incluidos en el pago recurrente</w:t>
            </w:r>
            <w:r>
              <w:rPr>
                <w:rFonts w:ascii="ITC Avant Garde" w:eastAsia="Times New Roman" w:hAnsi="ITC Avant Garde" w:cs="Arial"/>
                <w:sz w:val="20"/>
                <w:szCs w:val="20"/>
                <w:lang w:val="es-ES" w:eastAsia="es-ES"/>
              </w:rPr>
              <w:t>.</w:t>
            </w:r>
          </w:p>
        </w:tc>
      </w:tr>
      <w:tr w:rsidR="00A1321B" w:rsidRPr="008609D1" w14:paraId="6600727B" w14:textId="77777777" w:rsidTr="00505CF2">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08B4B366" w14:textId="08D040C5"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 xml:space="preserve">Servicio de </w:t>
            </w:r>
            <w:r>
              <w:rPr>
                <w:rFonts w:ascii="ITC Avant Garde" w:hAnsi="ITC Avant Garde"/>
                <w:sz w:val="20"/>
                <w:szCs w:val="20"/>
              </w:rPr>
              <w:t>t</w:t>
            </w:r>
            <w:r w:rsidRPr="006D334F">
              <w:rPr>
                <w:rFonts w:ascii="ITC Avant Garde" w:hAnsi="ITC Avant Garde"/>
                <w:sz w:val="20"/>
                <w:szCs w:val="20"/>
              </w:rPr>
              <w:t xml:space="preserve">elefonía </w:t>
            </w:r>
            <w:r>
              <w:rPr>
                <w:rFonts w:ascii="ITC Avant Garde" w:hAnsi="ITC Avant Garde"/>
                <w:sz w:val="20"/>
                <w:szCs w:val="20"/>
              </w:rPr>
              <w:t>m</w:t>
            </w:r>
            <w:r w:rsidRPr="006D334F">
              <w:rPr>
                <w:rFonts w:ascii="ITC Avant Garde" w:hAnsi="ITC Avant Garde"/>
                <w:sz w:val="20"/>
                <w:szCs w:val="20"/>
              </w:rPr>
              <w:t xml:space="preserve">óvil </w:t>
            </w:r>
            <w:r w:rsidRPr="006D334F">
              <w:rPr>
                <w:rFonts w:ascii="ITC Avant Garde" w:eastAsia="Times New Roman" w:hAnsi="ITC Avant Garde" w:cs="Arial"/>
                <w:sz w:val="20"/>
                <w:szCs w:val="20"/>
                <w:lang w:val="es-ES" w:eastAsia="es-ES"/>
              </w:rPr>
              <w:t>- mensajes</w:t>
            </w:r>
          </w:p>
        </w:tc>
        <w:tc>
          <w:tcPr>
            <w:tcW w:w="3638" w:type="pct"/>
            <w:tcBorders>
              <w:top w:val="single" w:sz="4" w:space="0" w:color="244062"/>
              <w:left w:val="nil"/>
              <w:bottom w:val="single" w:sz="4" w:space="0" w:color="244062"/>
              <w:right w:val="nil"/>
            </w:tcBorders>
            <w:vAlign w:val="center"/>
            <w:hideMark/>
          </w:tcPr>
          <w:p w14:paraId="1752FEAA"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el consumo de tráfico de mensajes no incluido en el pago recurrente</w:t>
            </w:r>
            <w:r>
              <w:rPr>
                <w:rFonts w:ascii="ITC Avant Garde" w:eastAsia="Times New Roman" w:hAnsi="ITC Avant Garde" w:cs="Arial"/>
                <w:sz w:val="20"/>
                <w:szCs w:val="20"/>
                <w:lang w:val="es-ES" w:eastAsia="es-ES"/>
              </w:rPr>
              <w:t>.</w:t>
            </w:r>
          </w:p>
        </w:tc>
      </w:tr>
      <w:tr w:rsidR="00A1321B" w:rsidRPr="008609D1" w14:paraId="57AF39BE" w14:textId="77777777" w:rsidTr="00505CF2">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3A34D7C3" w14:textId="27F0F46E"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 xml:space="preserve">Servicio de </w:t>
            </w:r>
            <w:r>
              <w:rPr>
                <w:rFonts w:ascii="ITC Avant Garde" w:eastAsia="Times New Roman" w:hAnsi="ITC Avant Garde" w:cs="Arial"/>
                <w:sz w:val="20"/>
                <w:szCs w:val="20"/>
                <w:lang w:val="es-ES" w:eastAsia="es-ES"/>
              </w:rPr>
              <w:t>r</w:t>
            </w:r>
            <w:r w:rsidRPr="006D334F">
              <w:rPr>
                <w:rFonts w:ascii="ITC Avant Garde" w:eastAsia="Times New Roman" w:hAnsi="ITC Avant Garde" w:cs="Arial"/>
                <w:sz w:val="20"/>
                <w:szCs w:val="20"/>
                <w:lang w:val="es-ES" w:eastAsia="es-ES"/>
              </w:rPr>
              <w:t xml:space="preserve">oaming o </w:t>
            </w:r>
            <w:r>
              <w:rPr>
                <w:rFonts w:ascii="ITC Avant Garde" w:eastAsia="Times New Roman" w:hAnsi="ITC Avant Garde" w:cs="Arial"/>
                <w:sz w:val="20"/>
                <w:szCs w:val="20"/>
                <w:lang w:val="es-ES" w:eastAsia="es-ES"/>
              </w:rPr>
              <w:t>i</w:t>
            </w:r>
            <w:r w:rsidRPr="006D334F">
              <w:rPr>
                <w:rFonts w:ascii="ITC Avant Garde" w:eastAsia="Times New Roman" w:hAnsi="ITC Avant Garde" w:cs="Arial"/>
                <w:sz w:val="20"/>
                <w:szCs w:val="20"/>
                <w:lang w:val="es-ES" w:eastAsia="es-ES"/>
              </w:rPr>
              <w:t>tinerancia nacional</w:t>
            </w:r>
          </w:p>
        </w:tc>
        <w:tc>
          <w:tcPr>
            <w:tcW w:w="3638" w:type="pct"/>
            <w:tcBorders>
              <w:top w:val="single" w:sz="4" w:space="0" w:color="244062"/>
              <w:left w:val="nil"/>
              <w:bottom w:val="single" w:sz="4" w:space="0" w:color="244062"/>
              <w:right w:val="nil"/>
            </w:tcBorders>
            <w:vAlign w:val="center"/>
            <w:hideMark/>
          </w:tcPr>
          <w:p w14:paraId="18463014" w14:textId="188364A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Ingresos por la prestación del servicio de </w:t>
            </w:r>
            <w:r>
              <w:rPr>
                <w:rFonts w:ascii="ITC Avant Garde" w:eastAsia="Times New Roman" w:hAnsi="ITC Avant Garde" w:cs="Arial"/>
                <w:sz w:val="20"/>
                <w:szCs w:val="20"/>
                <w:lang w:val="es-ES" w:eastAsia="es-ES"/>
              </w:rPr>
              <w:t>r</w:t>
            </w:r>
            <w:r w:rsidRPr="008609D1">
              <w:rPr>
                <w:rFonts w:ascii="ITC Avant Garde" w:eastAsia="Times New Roman" w:hAnsi="ITC Avant Garde" w:cs="Arial"/>
                <w:sz w:val="20"/>
                <w:szCs w:val="20"/>
                <w:lang w:val="es-ES" w:eastAsia="es-ES"/>
              </w:rPr>
              <w:t xml:space="preserve">oaming o </w:t>
            </w:r>
            <w:r>
              <w:rPr>
                <w:rFonts w:ascii="ITC Avant Garde" w:eastAsia="Times New Roman" w:hAnsi="ITC Avant Garde" w:cs="Arial"/>
                <w:sz w:val="20"/>
                <w:szCs w:val="20"/>
                <w:lang w:val="es-ES" w:eastAsia="es-ES"/>
              </w:rPr>
              <w:t>i</w:t>
            </w:r>
            <w:r w:rsidRPr="008609D1">
              <w:rPr>
                <w:rFonts w:ascii="ITC Avant Garde" w:eastAsia="Times New Roman" w:hAnsi="ITC Avant Garde" w:cs="Arial"/>
                <w:sz w:val="20"/>
                <w:szCs w:val="20"/>
                <w:lang w:val="es-ES" w:eastAsia="es-ES"/>
              </w:rPr>
              <w:t>tinerancia nacional</w:t>
            </w:r>
            <w:r>
              <w:rPr>
                <w:rFonts w:ascii="ITC Avant Garde" w:eastAsia="Times New Roman" w:hAnsi="ITC Avant Garde" w:cs="Arial"/>
                <w:sz w:val="20"/>
                <w:szCs w:val="20"/>
                <w:lang w:val="es-ES" w:eastAsia="es-ES"/>
              </w:rPr>
              <w:t>.</w:t>
            </w:r>
          </w:p>
        </w:tc>
      </w:tr>
      <w:tr w:rsidR="00A1321B" w:rsidRPr="008609D1" w14:paraId="5EDB878F" w14:textId="77777777" w:rsidTr="00505CF2">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8471CFD" w14:textId="6E2F69CD"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 xml:space="preserve">Servicio de </w:t>
            </w:r>
            <w:r>
              <w:rPr>
                <w:rFonts w:ascii="ITC Avant Garde" w:eastAsia="Times New Roman" w:hAnsi="ITC Avant Garde" w:cs="Arial"/>
                <w:sz w:val="20"/>
                <w:szCs w:val="20"/>
                <w:lang w:val="es-ES" w:eastAsia="es-ES"/>
              </w:rPr>
              <w:t>r</w:t>
            </w:r>
            <w:r w:rsidRPr="006D334F">
              <w:rPr>
                <w:rFonts w:ascii="ITC Avant Garde" w:eastAsia="Times New Roman" w:hAnsi="ITC Avant Garde" w:cs="Arial"/>
                <w:sz w:val="20"/>
                <w:szCs w:val="20"/>
                <w:lang w:val="es-ES" w:eastAsia="es-ES"/>
              </w:rPr>
              <w:t xml:space="preserve">oaming o </w:t>
            </w:r>
            <w:r>
              <w:rPr>
                <w:rFonts w:ascii="ITC Avant Garde" w:eastAsia="Times New Roman" w:hAnsi="ITC Avant Garde" w:cs="Arial"/>
                <w:sz w:val="20"/>
                <w:szCs w:val="20"/>
                <w:lang w:val="es-ES" w:eastAsia="es-ES"/>
              </w:rPr>
              <w:t>i</w:t>
            </w:r>
            <w:r w:rsidRPr="006D334F">
              <w:rPr>
                <w:rFonts w:ascii="ITC Avant Garde" w:eastAsia="Times New Roman" w:hAnsi="ITC Avant Garde" w:cs="Arial"/>
                <w:sz w:val="20"/>
                <w:szCs w:val="20"/>
                <w:lang w:val="es-ES" w:eastAsia="es-ES"/>
              </w:rPr>
              <w:t>tinerancia internacional</w:t>
            </w:r>
          </w:p>
        </w:tc>
        <w:tc>
          <w:tcPr>
            <w:tcW w:w="3638" w:type="pct"/>
            <w:tcBorders>
              <w:top w:val="single" w:sz="4" w:space="0" w:color="244062"/>
              <w:left w:val="nil"/>
              <w:bottom w:val="single" w:sz="4" w:space="0" w:color="244062"/>
              <w:right w:val="nil"/>
            </w:tcBorders>
            <w:vAlign w:val="center"/>
            <w:hideMark/>
          </w:tcPr>
          <w:p w14:paraId="5B30167C" w14:textId="4DCCF8FF"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Ingresos por la prestación del servicio de </w:t>
            </w:r>
            <w:r>
              <w:rPr>
                <w:rFonts w:ascii="ITC Avant Garde" w:eastAsia="Times New Roman" w:hAnsi="ITC Avant Garde" w:cs="Arial"/>
                <w:sz w:val="20"/>
                <w:szCs w:val="20"/>
                <w:lang w:val="es-ES" w:eastAsia="es-ES"/>
              </w:rPr>
              <w:t>r</w:t>
            </w:r>
            <w:r w:rsidRPr="008609D1">
              <w:rPr>
                <w:rFonts w:ascii="ITC Avant Garde" w:eastAsia="Times New Roman" w:hAnsi="ITC Avant Garde" w:cs="Arial"/>
                <w:sz w:val="20"/>
                <w:szCs w:val="20"/>
                <w:lang w:val="es-ES" w:eastAsia="es-ES"/>
              </w:rPr>
              <w:t xml:space="preserve">oaming o </w:t>
            </w:r>
            <w:r>
              <w:rPr>
                <w:rFonts w:ascii="ITC Avant Garde" w:eastAsia="Times New Roman" w:hAnsi="ITC Avant Garde" w:cs="Arial"/>
                <w:sz w:val="20"/>
                <w:szCs w:val="20"/>
                <w:lang w:val="es-ES" w:eastAsia="es-ES"/>
              </w:rPr>
              <w:t>i</w:t>
            </w:r>
            <w:r w:rsidRPr="008609D1">
              <w:rPr>
                <w:rFonts w:ascii="ITC Avant Garde" w:eastAsia="Times New Roman" w:hAnsi="ITC Avant Garde" w:cs="Arial"/>
                <w:sz w:val="20"/>
                <w:szCs w:val="20"/>
                <w:lang w:val="es-ES" w:eastAsia="es-ES"/>
              </w:rPr>
              <w:t>tinerancia internacional</w:t>
            </w:r>
            <w:r>
              <w:rPr>
                <w:rFonts w:ascii="ITC Avant Garde" w:eastAsia="Times New Roman" w:hAnsi="ITC Avant Garde" w:cs="Arial"/>
                <w:sz w:val="20"/>
                <w:szCs w:val="20"/>
                <w:lang w:val="es-ES" w:eastAsia="es-ES"/>
              </w:rPr>
              <w:t>.</w:t>
            </w:r>
          </w:p>
        </w:tc>
      </w:tr>
      <w:tr w:rsidR="00A1321B" w:rsidRPr="008609D1" w14:paraId="16C03C39" w14:textId="77777777" w:rsidTr="00505CF2">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6EC6419" w14:textId="0340746B" w:rsidR="00A1321B" w:rsidRPr="006D334F" w:rsidRDefault="00A1321B" w:rsidP="008B4286">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 xml:space="preserve">Reventa de </w:t>
            </w:r>
            <w:r>
              <w:rPr>
                <w:rFonts w:ascii="ITC Avant Garde" w:hAnsi="ITC Avant Garde"/>
                <w:sz w:val="20"/>
                <w:szCs w:val="20"/>
              </w:rPr>
              <w:t>s</w:t>
            </w:r>
            <w:r w:rsidRPr="006D334F">
              <w:rPr>
                <w:rFonts w:ascii="ITC Avant Garde" w:hAnsi="ITC Avant Garde"/>
                <w:sz w:val="20"/>
                <w:szCs w:val="20"/>
              </w:rPr>
              <w:t xml:space="preserve">ervicios </w:t>
            </w:r>
            <w:r>
              <w:rPr>
                <w:rFonts w:ascii="ITC Avant Garde" w:hAnsi="ITC Avant Garde"/>
                <w:sz w:val="20"/>
                <w:szCs w:val="20"/>
              </w:rPr>
              <w:t>m</w:t>
            </w:r>
            <w:r w:rsidRPr="006D334F">
              <w:rPr>
                <w:rFonts w:ascii="ITC Avant Garde" w:hAnsi="ITC Avant Garde"/>
                <w:sz w:val="20"/>
                <w:szCs w:val="20"/>
              </w:rPr>
              <w:t>óviles</w:t>
            </w:r>
          </w:p>
        </w:tc>
        <w:tc>
          <w:tcPr>
            <w:tcW w:w="3638" w:type="pct"/>
            <w:tcBorders>
              <w:top w:val="single" w:sz="4" w:space="0" w:color="244062"/>
              <w:left w:val="nil"/>
              <w:bottom w:val="single" w:sz="4" w:space="0" w:color="244062"/>
              <w:right w:val="nil"/>
            </w:tcBorders>
            <w:vAlign w:val="center"/>
            <w:hideMark/>
          </w:tcPr>
          <w:p w14:paraId="55C8E32E" w14:textId="71BFDD0B" w:rsidR="00A1321B" w:rsidRPr="006D334F" w:rsidRDefault="00A1321B" w:rsidP="008B4286">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Ingresos por el suministro de acceso a elementos individuales, a capacidades técnicas, económicas, operativas y comerciales de una red o servicios, incluyendo los de interconexión, que son utilizados por </w:t>
            </w:r>
            <w:r>
              <w:rPr>
                <w:rFonts w:ascii="ITC Avant Garde" w:eastAsia="Times New Roman" w:hAnsi="ITC Avant Garde" w:cs="Arial"/>
                <w:sz w:val="20"/>
                <w:szCs w:val="20"/>
                <w:lang w:val="es-ES" w:eastAsia="es-ES"/>
              </w:rPr>
              <w:t>o</w:t>
            </w:r>
            <w:r w:rsidRPr="006D334F">
              <w:rPr>
                <w:rFonts w:ascii="ITC Avant Garde" w:eastAsia="Times New Roman" w:hAnsi="ITC Avant Garde" w:cs="Arial"/>
                <w:sz w:val="20"/>
                <w:szCs w:val="20"/>
                <w:lang w:val="es-ES" w:eastAsia="es-ES"/>
              </w:rPr>
              <w:t xml:space="preserve">peradores </w:t>
            </w:r>
            <w:r>
              <w:rPr>
                <w:rFonts w:ascii="ITC Avant Garde" w:eastAsia="Times New Roman" w:hAnsi="ITC Avant Garde" w:cs="Arial"/>
                <w:sz w:val="20"/>
                <w:szCs w:val="20"/>
                <w:lang w:val="es-ES" w:eastAsia="es-ES"/>
              </w:rPr>
              <w:t>m</w:t>
            </w:r>
            <w:r w:rsidRPr="006D334F">
              <w:rPr>
                <w:rFonts w:ascii="ITC Avant Garde" w:eastAsia="Times New Roman" w:hAnsi="ITC Avant Garde" w:cs="Arial"/>
                <w:sz w:val="20"/>
                <w:szCs w:val="20"/>
                <w:lang w:val="es-ES" w:eastAsia="es-ES"/>
              </w:rPr>
              <w:t xml:space="preserve">óviles </w:t>
            </w:r>
            <w:r>
              <w:rPr>
                <w:rFonts w:ascii="ITC Avant Garde" w:eastAsia="Times New Roman" w:hAnsi="ITC Avant Garde" w:cs="Arial"/>
                <w:sz w:val="20"/>
                <w:szCs w:val="20"/>
                <w:lang w:val="es-ES" w:eastAsia="es-ES"/>
              </w:rPr>
              <w:t>v</w:t>
            </w:r>
            <w:r w:rsidRPr="006D334F">
              <w:rPr>
                <w:rFonts w:ascii="ITC Avant Garde" w:eastAsia="Times New Roman" w:hAnsi="ITC Avant Garde" w:cs="Arial"/>
                <w:sz w:val="20"/>
                <w:szCs w:val="20"/>
                <w:lang w:val="es-ES" w:eastAsia="es-ES"/>
              </w:rPr>
              <w:t>irtuales para proveer dichos servicios a los usuarios finales móviles</w:t>
            </w:r>
            <w:r>
              <w:rPr>
                <w:rFonts w:ascii="ITC Avant Garde" w:eastAsia="Times New Roman" w:hAnsi="ITC Avant Garde" w:cs="Arial"/>
                <w:sz w:val="20"/>
                <w:szCs w:val="20"/>
                <w:lang w:val="es-ES" w:eastAsia="es-ES"/>
              </w:rPr>
              <w:t>.</w:t>
            </w:r>
          </w:p>
        </w:tc>
      </w:tr>
      <w:tr w:rsidR="00A1321B" w:rsidRPr="008609D1" w14:paraId="56835166" w14:textId="77777777" w:rsidTr="00505CF2">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7D30862"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Venta de equipos terminales</w:t>
            </w:r>
          </w:p>
        </w:tc>
        <w:tc>
          <w:tcPr>
            <w:tcW w:w="3638" w:type="pct"/>
            <w:tcBorders>
              <w:top w:val="single" w:sz="4" w:space="0" w:color="244062"/>
              <w:left w:val="nil"/>
              <w:bottom w:val="single" w:sz="4" w:space="0" w:color="244062"/>
              <w:right w:val="nil"/>
            </w:tcBorders>
            <w:vAlign w:val="center"/>
            <w:hideMark/>
          </w:tcPr>
          <w:p w14:paraId="25F581DA"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relativos a la venta de equipos terminales a usuarios finales</w:t>
            </w:r>
            <w:r>
              <w:rPr>
                <w:rFonts w:ascii="ITC Avant Garde" w:eastAsia="Times New Roman" w:hAnsi="ITC Avant Garde" w:cs="Arial"/>
                <w:sz w:val="20"/>
                <w:szCs w:val="20"/>
                <w:lang w:val="es-ES" w:eastAsia="es-ES"/>
              </w:rPr>
              <w:t>.</w:t>
            </w:r>
          </w:p>
        </w:tc>
      </w:tr>
      <w:tr w:rsidR="00A1321B" w:rsidRPr="008609D1" w14:paraId="0892A0C4" w14:textId="77777777" w:rsidTr="00505CF2">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06D6A1A8"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OTT de video</w:t>
            </w:r>
          </w:p>
        </w:tc>
        <w:tc>
          <w:tcPr>
            <w:tcW w:w="3638" w:type="pct"/>
            <w:tcBorders>
              <w:top w:val="single" w:sz="4" w:space="0" w:color="244062"/>
              <w:left w:val="nil"/>
              <w:bottom w:val="single" w:sz="4" w:space="0" w:color="244062"/>
              <w:right w:val="nil"/>
            </w:tcBorders>
            <w:vAlign w:val="center"/>
          </w:tcPr>
          <w:p w14:paraId="73045736"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relativos a la prestación de servicios OTT de video bajo demanda</w:t>
            </w:r>
            <w:r>
              <w:rPr>
                <w:rFonts w:ascii="ITC Avant Garde" w:eastAsia="Times New Roman" w:hAnsi="ITC Avant Garde" w:cs="Arial"/>
                <w:sz w:val="20"/>
                <w:szCs w:val="20"/>
                <w:lang w:val="es-ES" w:eastAsia="es-ES"/>
              </w:rPr>
              <w:t>.</w:t>
            </w:r>
          </w:p>
        </w:tc>
      </w:tr>
      <w:tr w:rsidR="00A1321B" w:rsidRPr="008609D1" w14:paraId="198A1CC5" w14:textId="77777777" w:rsidTr="00505CF2">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7C2E3346"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OTT de audio</w:t>
            </w:r>
          </w:p>
        </w:tc>
        <w:tc>
          <w:tcPr>
            <w:tcW w:w="3638" w:type="pct"/>
            <w:tcBorders>
              <w:top w:val="single" w:sz="4" w:space="0" w:color="244062"/>
              <w:left w:val="nil"/>
              <w:bottom w:val="single" w:sz="4" w:space="0" w:color="244062"/>
              <w:right w:val="nil"/>
            </w:tcBorders>
            <w:vAlign w:val="center"/>
          </w:tcPr>
          <w:p w14:paraId="13720DDA"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relativos a la prestación de servicios OTT de audio bajo demanda</w:t>
            </w:r>
            <w:r>
              <w:rPr>
                <w:rFonts w:ascii="ITC Avant Garde" w:eastAsia="Times New Roman" w:hAnsi="ITC Avant Garde" w:cs="Arial"/>
                <w:sz w:val="20"/>
                <w:szCs w:val="20"/>
                <w:lang w:val="es-ES" w:eastAsia="es-ES"/>
              </w:rPr>
              <w:t>.</w:t>
            </w:r>
          </w:p>
        </w:tc>
      </w:tr>
      <w:tr w:rsidR="00A1321B" w:rsidRPr="008609D1" w14:paraId="2B675FC0" w14:textId="77777777" w:rsidTr="00505CF2">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27E6A5C"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servicios minoristas</w:t>
            </w:r>
          </w:p>
        </w:tc>
        <w:tc>
          <w:tcPr>
            <w:tcW w:w="3638" w:type="pct"/>
            <w:tcBorders>
              <w:top w:val="single" w:sz="4" w:space="0" w:color="244062"/>
              <w:left w:val="nil"/>
              <w:bottom w:val="single" w:sz="4" w:space="0" w:color="244062"/>
              <w:right w:val="nil"/>
            </w:tcBorders>
            <w:vAlign w:val="center"/>
            <w:hideMark/>
          </w:tcPr>
          <w:p w14:paraId="26C33F7D"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la prestación de otros servicios minoristas a usuarios finales (por ejemplo, contenidos, servicios de valor agregado, etc.)</w:t>
            </w:r>
            <w:r>
              <w:rPr>
                <w:rFonts w:ascii="ITC Avant Garde" w:eastAsia="Times New Roman" w:hAnsi="ITC Avant Garde" w:cs="Arial"/>
                <w:sz w:val="20"/>
                <w:szCs w:val="20"/>
                <w:lang w:val="es-ES" w:eastAsia="es-ES"/>
              </w:rPr>
              <w:t>.</w:t>
            </w:r>
          </w:p>
        </w:tc>
      </w:tr>
      <w:tr w:rsidR="00A1321B" w:rsidRPr="008609D1" w14:paraId="6B6A228B" w14:textId="77777777" w:rsidTr="00505CF2">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37D10B36" w14:textId="688FEF6C" w:rsidR="00A1321B" w:rsidRPr="008609D1" w:rsidRDefault="00F33926" w:rsidP="00F33926">
            <w:pPr>
              <w:spacing w:before="40" w:after="40" w:line="240" w:lineRule="auto"/>
              <w:rPr>
                <w:rFonts w:ascii="ITC Avant Garde" w:eastAsia="Times New Roman" w:hAnsi="ITC Avant Garde" w:cs="Arial"/>
                <w:sz w:val="20"/>
                <w:szCs w:val="20"/>
                <w:lang w:val="es-ES" w:eastAsia="es-ES"/>
              </w:rPr>
            </w:pPr>
            <w:r>
              <w:rPr>
                <w:rFonts w:ascii="ITC Avant Garde" w:eastAsia="Times New Roman" w:hAnsi="ITC Avant Garde" w:cs="Arial"/>
                <w:sz w:val="20"/>
                <w:szCs w:val="20"/>
                <w:lang w:val="es-ES" w:eastAsia="es-ES"/>
              </w:rPr>
              <w:t>Servicios de i</w:t>
            </w:r>
            <w:r w:rsidR="00A1321B" w:rsidRPr="008609D1">
              <w:rPr>
                <w:rFonts w:ascii="ITC Avant Garde" w:eastAsia="Times New Roman" w:hAnsi="ITC Avant Garde" w:cs="Arial"/>
                <w:sz w:val="20"/>
                <w:szCs w:val="20"/>
                <w:lang w:val="es-ES" w:eastAsia="es-ES"/>
              </w:rPr>
              <w:t>nterconexión</w:t>
            </w:r>
          </w:p>
        </w:tc>
        <w:tc>
          <w:tcPr>
            <w:tcW w:w="3638" w:type="pct"/>
            <w:tcBorders>
              <w:top w:val="single" w:sz="4" w:space="0" w:color="244062"/>
              <w:left w:val="nil"/>
              <w:bottom w:val="single" w:sz="4" w:space="0" w:color="244062"/>
              <w:right w:val="nil"/>
            </w:tcBorders>
            <w:vAlign w:val="center"/>
            <w:hideMark/>
          </w:tcPr>
          <w:p w14:paraId="69A7F4E0"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la provisión de servicios de interconexión</w:t>
            </w:r>
            <w:r>
              <w:rPr>
                <w:rFonts w:ascii="ITC Avant Garde" w:eastAsia="Times New Roman" w:hAnsi="ITC Avant Garde" w:cs="Arial"/>
                <w:sz w:val="20"/>
                <w:szCs w:val="20"/>
                <w:lang w:val="es-ES" w:eastAsia="es-ES"/>
              </w:rPr>
              <w:t>.</w:t>
            </w:r>
          </w:p>
        </w:tc>
      </w:tr>
      <w:tr w:rsidR="00A1321B" w:rsidRPr="008609D1" w14:paraId="3C6053FD" w14:textId="77777777" w:rsidTr="00505CF2">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1BC2149"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servicios mayoristas</w:t>
            </w:r>
          </w:p>
        </w:tc>
        <w:tc>
          <w:tcPr>
            <w:tcW w:w="3638" w:type="pct"/>
            <w:tcBorders>
              <w:top w:val="single" w:sz="4" w:space="0" w:color="244062"/>
              <w:left w:val="nil"/>
              <w:bottom w:val="single" w:sz="4" w:space="0" w:color="244062"/>
              <w:right w:val="nil"/>
            </w:tcBorders>
            <w:vAlign w:val="center"/>
            <w:hideMark/>
          </w:tcPr>
          <w:p w14:paraId="0955D1DA" w14:textId="74E0E8F5" w:rsidR="00A1321B" w:rsidRPr="008609D1" w:rsidRDefault="00A1321B" w:rsidP="00F3392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Ingresos por la prestación de otros servicios mayoristas a operadores</w:t>
            </w:r>
            <w:r>
              <w:rPr>
                <w:rFonts w:ascii="ITC Avant Garde" w:eastAsia="Times New Roman" w:hAnsi="ITC Avant Garde" w:cs="Arial"/>
                <w:sz w:val="20"/>
                <w:szCs w:val="20"/>
                <w:lang w:val="es-ES" w:eastAsia="es-ES"/>
              </w:rPr>
              <w:t>.</w:t>
            </w:r>
          </w:p>
        </w:tc>
      </w:tr>
      <w:tr w:rsidR="00A1321B" w:rsidRPr="00065393" w14:paraId="7729DCC8" w14:textId="77777777" w:rsidTr="00505CF2">
        <w:trPr>
          <w:trHeight w:val="340"/>
          <w:jc w:val="center"/>
        </w:trPr>
        <w:tc>
          <w:tcPr>
            <w:tcW w:w="5000" w:type="pct"/>
            <w:gridSpan w:val="2"/>
            <w:tcBorders>
              <w:top w:val="single" w:sz="4" w:space="0" w:color="244062"/>
              <w:left w:val="nil"/>
              <w:bottom w:val="single" w:sz="4" w:space="0" w:color="244062"/>
              <w:right w:val="nil"/>
            </w:tcBorders>
            <w:shd w:val="clear" w:color="auto" w:fill="EDEDED" w:themeFill="accent3" w:themeFillTint="33"/>
            <w:noWrap/>
            <w:vAlign w:val="center"/>
          </w:tcPr>
          <w:p w14:paraId="5682E8CD" w14:textId="77777777" w:rsidR="00A1321B" w:rsidRPr="00065393" w:rsidRDefault="00A1321B" w:rsidP="008B4286">
            <w:pPr>
              <w:spacing w:before="40" w:after="40" w:line="240" w:lineRule="auto"/>
              <w:rPr>
                <w:rFonts w:ascii="ITC Avant Garde" w:eastAsia="Times New Roman" w:hAnsi="ITC Avant Garde" w:cs="Arial"/>
                <w:b/>
                <w:bCs/>
                <w:sz w:val="20"/>
                <w:lang w:val="es-ES" w:eastAsia="es-ES"/>
              </w:rPr>
            </w:pPr>
            <w:r w:rsidRPr="00065393">
              <w:rPr>
                <w:rFonts w:ascii="ITC Avant Garde" w:eastAsia="Times New Roman" w:hAnsi="ITC Avant Garde" w:cs="Arial"/>
                <w:b/>
                <w:bCs/>
                <w:sz w:val="20"/>
                <w:lang w:val="es-ES" w:eastAsia="es-ES"/>
              </w:rPr>
              <w:t>Ingresos no operativos</w:t>
            </w:r>
          </w:p>
        </w:tc>
      </w:tr>
      <w:tr w:rsidR="00A1321B" w:rsidRPr="008609D1" w14:paraId="795635B9" w14:textId="77777777" w:rsidTr="00505CF2">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1C07DC78" w14:textId="45578423" w:rsidR="00A1321B" w:rsidRPr="008609D1" w:rsidRDefault="00F33926" w:rsidP="004B4500">
            <w:pPr>
              <w:spacing w:before="40" w:after="40" w:line="240" w:lineRule="auto"/>
              <w:rPr>
                <w:rFonts w:ascii="ITC Avant Garde" w:eastAsia="Times New Roman" w:hAnsi="ITC Avant Garde" w:cs="Arial"/>
                <w:sz w:val="20"/>
                <w:szCs w:val="20"/>
                <w:lang w:val="es-ES" w:eastAsia="es-ES"/>
              </w:rPr>
            </w:pPr>
            <w:r>
              <w:rPr>
                <w:rFonts w:ascii="ITC Avant Garde" w:eastAsia="Times New Roman" w:hAnsi="ITC Avant Garde" w:cs="Arial"/>
                <w:sz w:val="20"/>
                <w:szCs w:val="20"/>
                <w:lang w:val="es-ES" w:eastAsia="es-ES"/>
              </w:rPr>
              <w:lastRenderedPageBreak/>
              <w:t>Operaciones</w:t>
            </w:r>
            <w:r w:rsidRPr="008609D1">
              <w:rPr>
                <w:rFonts w:ascii="ITC Avant Garde" w:eastAsia="Times New Roman" w:hAnsi="ITC Avant Garde" w:cs="Arial"/>
                <w:sz w:val="20"/>
                <w:szCs w:val="20"/>
                <w:lang w:val="es-ES" w:eastAsia="es-ES"/>
              </w:rPr>
              <w:t xml:space="preserve"> </w:t>
            </w:r>
            <w:r w:rsidR="00A1321B" w:rsidRPr="008609D1">
              <w:rPr>
                <w:rFonts w:ascii="ITC Avant Garde" w:eastAsia="Times New Roman" w:hAnsi="ITC Avant Garde" w:cs="Arial"/>
                <w:sz w:val="20"/>
                <w:szCs w:val="20"/>
                <w:lang w:val="es-ES" w:eastAsia="es-ES"/>
              </w:rPr>
              <w:t>financier</w:t>
            </w:r>
            <w:r w:rsidR="004B4500">
              <w:rPr>
                <w:rFonts w:ascii="ITC Avant Garde" w:eastAsia="Times New Roman" w:hAnsi="ITC Avant Garde" w:cs="Arial"/>
                <w:sz w:val="20"/>
                <w:szCs w:val="20"/>
                <w:lang w:val="es-ES" w:eastAsia="es-ES"/>
              </w:rPr>
              <w:t>a</w:t>
            </w:r>
            <w:r w:rsidR="00A1321B" w:rsidRPr="008609D1">
              <w:rPr>
                <w:rFonts w:ascii="ITC Avant Garde" w:eastAsia="Times New Roman" w:hAnsi="ITC Avant Garde" w:cs="Arial"/>
                <w:sz w:val="20"/>
                <w:szCs w:val="20"/>
                <w:lang w:val="es-ES" w:eastAsia="es-ES"/>
              </w:rPr>
              <w:t>s</w:t>
            </w:r>
          </w:p>
        </w:tc>
        <w:tc>
          <w:tcPr>
            <w:tcW w:w="3638" w:type="pct"/>
            <w:tcBorders>
              <w:top w:val="single" w:sz="4" w:space="0" w:color="244062"/>
              <w:left w:val="nil"/>
              <w:bottom w:val="single" w:sz="4" w:space="0" w:color="244062"/>
              <w:right w:val="nil"/>
            </w:tcBorders>
            <w:vAlign w:val="center"/>
            <w:hideMark/>
          </w:tcPr>
          <w:p w14:paraId="74A1AC26" w14:textId="497502AA" w:rsidR="00A1321B" w:rsidRPr="008609D1" w:rsidRDefault="00A1321B" w:rsidP="00F3392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Ingresos procedentes de otras operaciones financieras realizadas por el </w:t>
            </w:r>
            <w:r w:rsidR="00F33926">
              <w:rPr>
                <w:rFonts w:ascii="ITC Avant Garde" w:eastAsia="Times New Roman" w:hAnsi="ITC Avant Garde" w:cs="Arial"/>
                <w:sz w:val="20"/>
                <w:szCs w:val="20"/>
                <w:lang w:val="es-ES" w:eastAsia="es-ES"/>
              </w:rPr>
              <w:t>concesionario o autorizado</w:t>
            </w:r>
            <w:r>
              <w:rPr>
                <w:rFonts w:ascii="ITC Avant Garde" w:eastAsia="Times New Roman" w:hAnsi="ITC Avant Garde" w:cs="Arial"/>
                <w:sz w:val="20"/>
                <w:szCs w:val="20"/>
                <w:lang w:val="es-ES" w:eastAsia="es-ES"/>
              </w:rPr>
              <w:t>.</w:t>
            </w:r>
          </w:p>
        </w:tc>
      </w:tr>
      <w:tr w:rsidR="00A1321B" w:rsidRPr="008609D1" w14:paraId="3CB7AA40" w14:textId="77777777" w:rsidTr="00505CF2">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B57E739" w14:textId="28F40655" w:rsidR="00A1321B" w:rsidRPr="008609D1" w:rsidRDefault="00F33926" w:rsidP="00F33926">
            <w:pPr>
              <w:spacing w:before="40" w:after="40" w:line="240" w:lineRule="auto"/>
              <w:rPr>
                <w:rFonts w:ascii="ITC Avant Garde" w:eastAsia="Times New Roman" w:hAnsi="ITC Avant Garde" w:cs="Arial"/>
                <w:sz w:val="20"/>
                <w:szCs w:val="20"/>
                <w:lang w:val="es-ES" w:eastAsia="es-ES"/>
              </w:rPr>
            </w:pPr>
            <w:r>
              <w:rPr>
                <w:rFonts w:ascii="ITC Avant Garde" w:eastAsia="Times New Roman" w:hAnsi="ITC Avant Garde" w:cs="Arial"/>
                <w:sz w:val="20"/>
                <w:szCs w:val="20"/>
                <w:lang w:val="es-ES" w:eastAsia="es-ES"/>
              </w:rPr>
              <w:t>E</w:t>
            </w:r>
            <w:r w:rsidR="00A1321B" w:rsidRPr="008609D1">
              <w:rPr>
                <w:rFonts w:ascii="ITC Avant Garde" w:eastAsia="Times New Roman" w:hAnsi="ITC Avant Garde" w:cs="Arial"/>
                <w:sz w:val="20"/>
                <w:szCs w:val="20"/>
                <w:lang w:val="es-ES" w:eastAsia="es-ES"/>
              </w:rPr>
              <w:t>najenación de activos</w:t>
            </w:r>
          </w:p>
        </w:tc>
        <w:tc>
          <w:tcPr>
            <w:tcW w:w="3638" w:type="pct"/>
            <w:tcBorders>
              <w:top w:val="single" w:sz="4" w:space="0" w:color="244062"/>
              <w:left w:val="nil"/>
              <w:bottom w:val="single" w:sz="4" w:space="0" w:color="244062"/>
              <w:right w:val="nil"/>
            </w:tcBorders>
            <w:vAlign w:val="center"/>
            <w:hideMark/>
          </w:tcPr>
          <w:p w14:paraId="764E80FF" w14:textId="34A3A4CD" w:rsidR="00A1321B" w:rsidRPr="008609D1" w:rsidRDefault="00A1321B" w:rsidP="00F3392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Ingresos recibidos </w:t>
            </w:r>
            <w:r w:rsidR="00F33926">
              <w:rPr>
                <w:rFonts w:ascii="ITC Avant Garde" w:eastAsia="Times New Roman" w:hAnsi="ITC Avant Garde" w:cs="Arial"/>
                <w:sz w:val="20"/>
                <w:szCs w:val="20"/>
                <w:lang w:val="es-ES" w:eastAsia="es-ES"/>
              </w:rPr>
              <w:t>por la venta</w:t>
            </w:r>
            <w:r w:rsidRPr="008609D1">
              <w:rPr>
                <w:rFonts w:ascii="ITC Avant Garde" w:eastAsia="Times New Roman" w:hAnsi="ITC Avant Garde" w:cs="Arial"/>
                <w:sz w:val="20"/>
                <w:szCs w:val="20"/>
                <w:lang w:val="es-ES" w:eastAsia="es-ES"/>
              </w:rPr>
              <w:t xml:space="preserve"> de activos</w:t>
            </w:r>
            <w:r>
              <w:rPr>
                <w:rFonts w:ascii="ITC Avant Garde" w:eastAsia="Times New Roman" w:hAnsi="ITC Avant Garde" w:cs="Arial"/>
                <w:sz w:val="20"/>
                <w:szCs w:val="20"/>
                <w:lang w:val="es-ES" w:eastAsia="es-ES"/>
              </w:rPr>
              <w:t>.</w:t>
            </w:r>
          </w:p>
        </w:tc>
      </w:tr>
      <w:tr w:rsidR="00A1321B" w:rsidRPr="008609D1" w14:paraId="18028DC7" w14:textId="77777777" w:rsidTr="00505CF2">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D0B3D94" w14:textId="04F60F9D" w:rsidR="00A1321B" w:rsidRPr="008609D1" w:rsidRDefault="00A1321B" w:rsidP="00F3392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Otros ingresos </w:t>
            </w:r>
          </w:p>
        </w:tc>
        <w:tc>
          <w:tcPr>
            <w:tcW w:w="3638" w:type="pct"/>
            <w:tcBorders>
              <w:top w:val="single" w:sz="4" w:space="0" w:color="244062"/>
              <w:left w:val="nil"/>
              <w:bottom w:val="single" w:sz="4" w:space="0" w:color="244062"/>
              <w:right w:val="nil"/>
            </w:tcBorders>
            <w:vAlign w:val="center"/>
            <w:hideMark/>
          </w:tcPr>
          <w:p w14:paraId="634638EB" w14:textId="505A9CF2" w:rsidR="00A1321B" w:rsidRPr="008609D1" w:rsidRDefault="00A1321B" w:rsidP="004B4500">
            <w:pPr>
              <w:keepNext/>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Incluye aquellos ingresos no </w:t>
            </w:r>
            <w:r w:rsidR="00F33926">
              <w:rPr>
                <w:rFonts w:ascii="ITC Avant Garde" w:eastAsia="Times New Roman" w:hAnsi="ITC Avant Garde" w:cs="Arial"/>
                <w:sz w:val="20"/>
                <w:szCs w:val="20"/>
                <w:lang w:val="es-ES" w:eastAsia="es-ES"/>
              </w:rPr>
              <w:t>relacionados</w:t>
            </w:r>
            <w:r w:rsidR="00F33926" w:rsidRPr="008609D1">
              <w:rPr>
                <w:rFonts w:ascii="ITC Avant Garde" w:eastAsia="Times New Roman" w:hAnsi="ITC Avant Garde" w:cs="Arial"/>
                <w:sz w:val="20"/>
                <w:szCs w:val="20"/>
                <w:lang w:val="es-ES" w:eastAsia="es-ES"/>
              </w:rPr>
              <w:t xml:space="preserve"> </w:t>
            </w:r>
            <w:r w:rsidR="00F33926">
              <w:rPr>
                <w:rFonts w:ascii="ITC Avant Garde" w:eastAsia="Times New Roman" w:hAnsi="ITC Avant Garde" w:cs="Arial"/>
                <w:sz w:val="20"/>
                <w:szCs w:val="20"/>
                <w:lang w:val="es-ES" w:eastAsia="es-ES"/>
              </w:rPr>
              <w:t xml:space="preserve">con </w:t>
            </w:r>
            <w:r w:rsidRPr="008609D1">
              <w:rPr>
                <w:rFonts w:ascii="ITC Avant Garde" w:eastAsia="Times New Roman" w:hAnsi="ITC Avant Garde" w:cs="Arial"/>
                <w:sz w:val="20"/>
                <w:szCs w:val="20"/>
                <w:lang w:val="es-ES" w:eastAsia="es-ES"/>
              </w:rPr>
              <w:t xml:space="preserve">la </w:t>
            </w:r>
            <w:r w:rsidR="00F33926">
              <w:rPr>
                <w:rFonts w:ascii="ITC Avant Garde" w:eastAsia="Times New Roman" w:hAnsi="ITC Avant Garde" w:cs="Arial"/>
                <w:sz w:val="20"/>
                <w:szCs w:val="20"/>
                <w:lang w:val="es-ES" w:eastAsia="es-ES"/>
              </w:rPr>
              <w:t>prestación</w:t>
            </w:r>
            <w:r w:rsidRPr="008609D1">
              <w:rPr>
                <w:rFonts w:ascii="ITC Avant Garde" w:eastAsia="Times New Roman" w:hAnsi="ITC Avant Garde" w:cs="Arial"/>
                <w:sz w:val="20"/>
                <w:szCs w:val="20"/>
                <w:lang w:val="es-ES" w:eastAsia="es-ES"/>
              </w:rPr>
              <w:t xml:space="preserve"> de </w:t>
            </w:r>
            <w:r w:rsidR="00F33926">
              <w:rPr>
                <w:rFonts w:ascii="ITC Avant Garde" w:eastAsia="Times New Roman" w:hAnsi="ITC Avant Garde" w:cs="Arial"/>
                <w:sz w:val="20"/>
                <w:szCs w:val="20"/>
                <w:lang w:val="es-ES" w:eastAsia="es-ES"/>
              </w:rPr>
              <w:t xml:space="preserve">servicios de </w:t>
            </w:r>
            <w:r w:rsidRPr="008609D1">
              <w:rPr>
                <w:rFonts w:ascii="ITC Avant Garde" w:eastAsia="Times New Roman" w:hAnsi="ITC Avant Garde" w:cs="Arial"/>
                <w:sz w:val="20"/>
                <w:szCs w:val="20"/>
                <w:lang w:val="es-ES" w:eastAsia="es-ES"/>
              </w:rPr>
              <w:t>telecomunicaciones móviles</w:t>
            </w:r>
            <w:r>
              <w:rPr>
                <w:rFonts w:ascii="ITC Avant Garde" w:eastAsia="Times New Roman" w:hAnsi="ITC Avant Garde" w:cs="Arial"/>
                <w:sz w:val="20"/>
                <w:szCs w:val="20"/>
                <w:lang w:val="es-ES" w:eastAsia="es-ES"/>
              </w:rPr>
              <w:t>.</w:t>
            </w:r>
          </w:p>
        </w:tc>
      </w:tr>
    </w:tbl>
    <w:p w14:paraId="12CEFA6E" w14:textId="77777777" w:rsidR="00FA4D4D" w:rsidRDefault="00FA4D4D" w:rsidP="00A1321B">
      <w:pPr>
        <w:pStyle w:val="Normalresolucion"/>
        <w:keepNext/>
        <w:keepLines/>
      </w:pPr>
    </w:p>
    <w:p w14:paraId="3AE9E0EB" w14:textId="77777777" w:rsidR="00A1321B" w:rsidRDefault="00A1321B" w:rsidP="00A1321B">
      <w:pPr>
        <w:pStyle w:val="Normalresolucion"/>
        <w:keepNext/>
        <w:keepLines/>
      </w:pPr>
      <w:r w:rsidRPr="008609D1">
        <w:t xml:space="preserve">Listado </w:t>
      </w:r>
      <w:r w:rsidRPr="006D334F">
        <w:rPr>
          <w:bCs/>
        </w:rPr>
        <w:t>mínimo</w:t>
      </w:r>
      <w:r w:rsidRPr="008609D1">
        <w:t xml:space="preserve"> de cuentas de costos a desagregar en el Nivel 1:</w:t>
      </w:r>
    </w:p>
    <w:p w14:paraId="4388F73C" w14:textId="77777777" w:rsidR="00600DB6" w:rsidRPr="008609D1" w:rsidRDefault="00600DB6" w:rsidP="00600DB6">
      <w:pPr>
        <w:pStyle w:val="Descripcin"/>
        <w:spacing w:after="240" w:line="240" w:lineRule="auto"/>
        <w:rPr>
          <w:rFonts w:ascii="ITC Avant Garde" w:hAnsi="ITC Avant Garde"/>
          <w:iCs/>
          <w:sz w:val="20"/>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Pr="008609D1">
        <w:rPr>
          <w:rFonts w:ascii="ITC Avant Garde" w:hAnsi="ITC Avant Garde"/>
          <w:iCs/>
          <w:noProof/>
          <w:sz w:val="20"/>
          <w:lang w:val="es-MX"/>
        </w:rPr>
        <w:t>8</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de costos a desagregar en el Nivel 1 de operadores de telecomunicaciones móviles</w:t>
      </w:r>
    </w:p>
    <w:tbl>
      <w:tblPr>
        <w:tblW w:w="5000" w:type="pct"/>
        <w:jc w:val="center"/>
        <w:tblLayout w:type="fixed"/>
        <w:tblCellMar>
          <w:left w:w="70" w:type="dxa"/>
          <w:right w:w="70" w:type="dxa"/>
        </w:tblCellMar>
        <w:tblLook w:val="04A0" w:firstRow="1" w:lastRow="0" w:firstColumn="1" w:lastColumn="0" w:noHBand="0" w:noVBand="1"/>
      </w:tblPr>
      <w:tblGrid>
        <w:gridCol w:w="2409"/>
        <w:gridCol w:w="6429"/>
      </w:tblGrid>
      <w:tr w:rsidR="00A1321B" w:rsidRPr="008609D1" w14:paraId="187E8E58" w14:textId="77777777" w:rsidTr="00505CF2">
        <w:trPr>
          <w:trHeight w:val="340"/>
          <w:tblHeader/>
          <w:jc w:val="center"/>
        </w:trPr>
        <w:tc>
          <w:tcPr>
            <w:tcW w:w="1363" w:type="pct"/>
            <w:tcBorders>
              <w:top w:val="nil"/>
              <w:left w:val="nil"/>
              <w:bottom w:val="single" w:sz="4" w:space="0" w:color="244062"/>
              <w:right w:val="single" w:sz="4" w:space="0" w:color="FFFFFF" w:themeColor="background1"/>
            </w:tcBorders>
            <w:shd w:val="clear" w:color="auto" w:fill="4F629B"/>
            <w:vAlign w:val="center"/>
            <w:hideMark/>
          </w:tcPr>
          <w:p w14:paraId="39665C9B" w14:textId="77777777" w:rsidR="00A1321B" w:rsidRPr="008609D1" w:rsidRDefault="00A1321B" w:rsidP="008B4286">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Categoría</w:t>
            </w:r>
          </w:p>
        </w:tc>
        <w:tc>
          <w:tcPr>
            <w:tcW w:w="3637" w:type="pct"/>
            <w:tcBorders>
              <w:top w:val="nil"/>
              <w:left w:val="single" w:sz="4" w:space="0" w:color="FFFFFF" w:themeColor="background1"/>
              <w:bottom w:val="single" w:sz="4" w:space="0" w:color="244062"/>
              <w:right w:val="nil"/>
            </w:tcBorders>
            <w:shd w:val="clear" w:color="auto" w:fill="4F629B"/>
            <w:vAlign w:val="center"/>
            <w:hideMark/>
          </w:tcPr>
          <w:p w14:paraId="26FB79DB" w14:textId="77777777" w:rsidR="00A1321B" w:rsidRPr="008609D1" w:rsidRDefault="00A1321B" w:rsidP="008B4286">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Descripción</w:t>
            </w:r>
          </w:p>
        </w:tc>
      </w:tr>
      <w:tr w:rsidR="00A1321B" w:rsidRPr="00065393" w14:paraId="677C1B4F" w14:textId="77777777" w:rsidTr="00505CF2">
        <w:trPr>
          <w:trHeight w:val="340"/>
          <w:jc w:val="center"/>
        </w:trPr>
        <w:tc>
          <w:tcPr>
            <w:tcW w:w="5000" w:type="pct"/>
            <w:gridSpan w:val="2"/>
            <w:tcBorders>
              <w:top w:val="single" w:sz="4" w:space="0" w:color="244062"/>
              <w:left w:val="nil"/>
              <w:bottom w:val="single" w:sz="4" w:space="0" w:color="244062"/>
              <w:right w:val="nil"/>
            </w:tcBorders>
            <w:shd w:val="clear" w:color="auto" w:fill="EDEDED" w:themeFill="accent3" w:themeFillTint="33"/>
            <w:noWrap/>
            <w:vAlign w:val="center"/>
          </w:tcPr>
          <w:p w14:paraId="4A2779E5" w14:textId="77777777" w:rsidR="00A1321B" w:rsidRPr="00065393" w:rsidRDefault="00A1321B" w:rsidP="00065393">
            <w:pPr>
              <w:spacing w:before="40" w:after="40" w:line="240" w:lineRule="auto"/>
              <w:rPr>
                <w:rFonts w:ascii="ITC Avant Garde" w:eastAsia="Times New Roman" w:hAnsi="ITC Avant Garde" w:cs="Arial"/>
                <w:b/>
                <w:bCs/>
                <w:sz w:val="20"/>
                <w:lang w:val="es-ES" w:eastAsia="es-ES"/>
              </w:rPr>
            </w:pPr>
            <w:r w:rsidRPr="00065393">
              <w:rPr>
                <w:rFonts w:ascii="ITC Avant Garde" w:eastAsia="Times New Roman" w:hAnsi="ITC Avant Garde" w:cs="Arial"/>
                <w:b/>
                <w:bCs/>
                <w:sz w:val="20"/>
                <w:lang w:val="es-ES" w:eastAsia="es-ES"/>
              </w:rPr>
              <w:t>Costos operativos</w:t>
            </w:r>
          </w:p>
        </w:tc>
      </w:tr>
      <w:tr w:rsidR="00A1321B" w:rsidRPr="008609D1" w14:paraId="4B705EFB"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1F308CBA" w14:textId="77777777" w:rsidR="00A1321B" w:rsidRPr="008609D1"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Acceso Internet internacional</w:t>
            </w:r>
          </w:p>
        </w:tc>
        <w:tc>
          <w:tcPr>
            <w:tcW w:w="3637" w:type="pct"/>
            <w:tcBorders>
              <w:top w:val="single" w:sz="4" w:space="0" w:color="244062"/>
              <w:left w:val="nil"/>
              <w:bottom w:val="single" w:sz="4" w:space="0" w:color="244062"/>
              <w:right w:val="nil"/>
            </w:tcBorders>
            <w:vAlign w:val="center"/>
            <w:hideMark/>
          </w:tcPr>
          <w:p w14:paraId="24938C0C" w14:textId="77777777" w:rsidR="00A1321B" w:rsidRPr="008609D1"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 por el acceso a Internet internacional</w:t>
            </w:r>
            <w:r>
              <w:rPr>
                <w:rFonts w:ascii="ITC Avant Garde" w:eastAsia="Times New Roman" w:hAnsi="ITC Avant Garde" w:cs="Arial"/>
                <w:sz w:val="20"/>
                <w:szCs w:val="20"/>
                <w:lang w:val="es-ES" w:eastAsia="es-ES"/>
              </w:rPr>
              <w:t>.</w:t>
            </w:r>
          </w:p>
        </w:tc>
      </w:tr>
      <w:tr w:rsidR="00A1321B" w:rsidRPr="008609D1" w14:paraId="5B055F4B"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30F8ACFC" w14:textId="77777777" w:rsidR="00A1321B" w:rsidRPr="006D334F"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Terminación móvil de voz nacional</w:t>
            </w:r>
          </w:p>
        </w:tc>
        <w:tc>
          <w:tcPr>
            <w:tcW w:w="3637" w:type="pct"/>
            <w:tcBorders>
              <w:top w:val="single" w:sz="4" w:space="0" w:color="244062"/>
              <w:left w:val="nil"/>
              <w:bottom w:val="single" w:sz="4" w:space="0" w:color="244062"/>
              <w:right w:val="nil"/>
            </w:tcBorders>
            <w:vAlign w:val="center"/>
            <w:hideMark/>
          </w:tcPr>
          <w:p w14:paraId="4F11054E" w14:textId="77777777" w:rsidR="00A1321B" w:rsidRPr="006D334F" w:rsidRDefault="00A1321B" w:rsidP="008B4286">
            <w:pPr>
              <w:keepNext/>
              <w:keepLines/>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Pago causado por el servicio de terminación de tráfico de voz en una red móvil, en concepto de conmutación y transmisión del tráfico de minutos de voz que el proveedor recibe en un punto de interconexión convenido para su entrega al usuario final</w:t>
            </w:r>
            <w:r>
              <w:rPr>
                <w:rFonts w:ascii="ITC Avant Garde" w:eastAsia="Times New Roman" w:hAnsi="ITC Avant Garde" w:cs="Arial"/>
                <w:sz w:val="20"/>
                <w:szCs w:val="20"/>
                <w:lang w:val="es-ES" w:eastAsia="es-ES"/>
              </w:rPr>
              <w:t>.</w:t>
            </w:r>
          </w:p>
        </w:tc>
      </w:tr>
      <w:tr w:rsidR="00A1321B" w:rsidRPr="008609D1" w14:paraId="43FF66A2"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7825B7E7"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Terminación móvil de voz internacional</w:t>
            </w:r>
          </w:p>
        </w:tc>
        <w:tc>
          <w:tcPr>
            <w:tcW w:w="3637" w:type="pct"/>
            <w:tcBorders>
              <w:top w:val="single" w:sz="4" w:space="0" w:color="244062"/>
              <w:left w:val="nil"/>
              <w:bottom w:val="single" w:sz="4" w:space="0" w:color="244062"/>
              <w:right w:val="nil"/>
            </w:tcBorders>
            <w:vAlign w:val="center"/>
            <w:hideMark/>
          </w:tcPr>
          <w:p w14:paraId="5A0D1C31"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 por la terminación de tráfico de la red de telefonía móvil en las redes de terceros operadores internacionales</w:t>
            </w:r>
            <w:r>
              <w:rPr>
                <w:rFonts w:ascii="ITC Avant Garde" w:eastAsia="Times New Roman" w:hAnsi="ITC Avant Garde" w:cs="Arial"/>
                <w:sz w:val="20"/>
                <w:szCs w:val="20"/>
                <w:lang w:val="es-ES" w:eastAsia="es-ES"/>
              </w:rPr>
              <w:t>.</w:t>
            </w:r>
          </w:p>
        </w:tc>
      </w:tr>
      <w:tr w:rsidR="00A1321B" w:rsidRPr="008609D1" w14:paraId="1543C823"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38111EBB"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Roaming nacional – voz</w:t>
            </w:r>
          </w:p>
        </w:tc>
        <w:tc>
          <w:tcPr>
            <w:tcW w:w="3637" w:type="pct"/>
            <w:tcBorders>
              <w:top w:val="single" w:sz="4" w:space="0" w:color="244062"/>
              <w:left w:val="nil"/>
              <w:bottom w:val="single" w:sz="4" w:space="0" w:color="244062"/>
              <w:right w:val="nil"/>
            </w:tcBorders>
            <w:vAlign w:val="center"/>
            <w:hideMark/>
          </w:tcPr>
          <w:p w14:paraId="03D4C986"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 por el uso de la red de terceros en México para cursar tráfico de voz</w:t>
            </w:r>
            <w:r>
              <w:rPr>
                <w:rFonts w:ascii="ITC Avant Garde" w:eastAsia="Times New Roman" w:hAnsi="ITC Avant Garde" w:cs="Arial"/>
                <w:sz w:val="20"/>
                <w:szCs w:val="20"/>
                <w:lang w:val="es-ES" w:eastAsia="es-ES"/>
              </w:rPr>
              <w:t>.</w:t>
            </w:r>
          </w:p>
        </w:tc>
      </w:tr>
      <w:tr w:rsidR="00A1321B" w:rsidRPr="008609D1" w14:paraId="53C67FCC"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6461B1DE"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Roaming nacional – datos</w:t>
            </w:r>
          </w:p>
        </w:tc>
        <w:tc>
          <w:tcPr>
            <w:tcW w:w="3637" w:type="pct"/>
            <w:tcBorders>
              <w:top w:val="single" w:sz="4" w:space="0" w:color="244062"/>
              <w:left w:val="nil"/>
              <w:bottom w:val="single" w:sz="4" w:space="0" w:color="244062"/>
              <w:right w:val="nil"/>
            </w:tcBorders>
            <w:vAlign w:val="center"/>
            <w:hideMark/>
          </w:tcPr>
          <w:p w14:paraId="12F1729C"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 por el uso de la red de terceros en México para cursar tráfico de datos</w:t>
            </w:r>
            <w:r>
              <w:rPr>
                <w:rFonts w:ascii="ITC Avant Garde" w:eastAsia="Times New Roman" w:hAnsi="ITC Avant Garde" w:cs="Arial"/>
                <w:sz w:val="20"/>
                <w:szCs w:val="20"/>
                <w:lang w:val="es-ES" w:eastAsia="es-ES"/>
              </w:rPr>
              <w:t>.</w:t>
            </w:r>
          </w:p>
        </w:tc>
      </w:tr>
      <w:tr w:rsidR="00A1321B" w:rsidRPr="008609D1" w14:paraId="157C46CF"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012186A3"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Roaming nacional – mensajes</w:t>
            </w:r>
          </w:p>
        </w:tc>
        <w:tc>
          <w:tcPr>
            <w:tcW w:w="3637" w:type="pct"/>
            <w:tcBorders>
              <w:top w:val="single" w:sz="4" w:space="0" w:color="244062"/>
              <w:left w:val="nil"/>
              <w:bottom w:val="single" w:sz="4" w:space="0" w:color="244062"/>
              <w:right w:val="nil"/>
            </w:tcBorders>
            <w:vAlign w:val="center"/>
            <w:hideMark/>
          </w:tcPr>
          <w:p w14:paraId="7E36C04D"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 por el uso de la red de terceros en México para cursar tráfico de mensajes</w:t>
            </w:r>
            <w:r>
              <w:rPr>
                <w:rFonts w:ascii="ITC Avant Garde" w:eastAsia="Times New Roman" w:hAnsi="ITC Avant Garde" w:cs="Arial"/>
                <w:sz w:val="20"/>
                <w:szCs w:val="20"/>
                <w:lang w:val="es-ES" w:eastAsia="es-ES"/>
              </w:rPr>
              <w:t>.</w:t>
            </w:r>
          </w:p>
        </w:tc>
      </w:tr>
      <w:tr w:rsidR="00A1321B" w:rsidRPr="008609D1" w14:paraId="5C967084"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5BB52360"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Roaming internacional – voz</w:t>
            </w:r>
          </w:p>
        </w:tc>
        <w:tc>
          <w:tcPr>
            <w:tcW w:w="3637" w:type="pct"/>
            <w:tcBorders>
              <w:top w:val="single" w:sz="4" w:space="0" w:color="244062"/>
              <w:left w:val="nil"/>
              <w:bottom w:val="single" w:sz="4" w:space="0" w:color="244062"/>
              <w:right w:val="nil"/>
            </w:tcBorders>
            <w:vAlign w:val="center"/>
            <w:hideMark/>
          </w:tcPr>
          <w:p w14:paraId="4F1B1236"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 por el uso de la red internacional de terceros para cursar tráfico de voz</w:t>
            </w:r>
            <w:r>
              <w:rPr>
                <w:rFonts w:ascii="ITC Avant Garde" w:eastAsia="Times New Roman" w:hAnsi="ITC Avant Garde" w:cs="Arial"/>
                <w:sz w:val="20"/>
                <w:szCs w:val="20"/>
                <w:lang w:val="es-ES" w:eastAsia="es-ES"/>
              </w:rPr>
              <w:t>.</w:t>
            </w:r>
          </w:p>
        </w:tc>
      </w:tr>
      <w:tr w:rsidR="00A1321B" w:rsidRPr="008609D1" w14:paraId="117A4F49"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12675C0F"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Roaming internacional – datos</w:t>
            </w:r>
          </w:p>
        </w:tc>
        <w:tc>
          <w:tcPr>
            <w:tcW w:w="3637" w:type="pct"/>
            <w:tcBorders>
              <w:top w:val="single" w:sz="4" w:space="0" w:color="244062"/>
              <w:left w:val="nil"/>
              <w:bottom w:val="single" w:sz="4" w:space="0" w:color="244062"/>
              <w:right w:val="nil"/>
            </w:tcBorders>
            <w:vAlign w:val="center"/>
            <w:hideMark/>
          </w:tcPr>
          <w:p w14:paraId="224378B4"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 por el uso de la red internacional de terceros para cursar tráfico de datos</w:t>
            </w:r>
            <w:r>
              <w:rPr>
                <w:rFonts w:ascii="ITC Avant Garde" w:eastAsia="Times New Roman" w:hAnsi="ITC Avant Garde" w:cs="Arial"/>
                <w:sz w:val="20"/>
                <w:szCs w:val="20"/>
                <w:lang w:val="es-ES" w:eastAsia="es-ES"/>
              </w:rPr>
              <w:t>.</w:t>
            </w:r>
          </w:p>
        </w:tc>
      </w:tr>
      <w:tr w:rsidR="00A1321B" w:rsidRPr="008609D1" w14:paraId="28C7901F"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1C405859"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Roaming internacional - mensajes</w:t>
            </w:r>
          </w:p>
        </w:tc>
        <w:tc>
          <w:tcPr>
            <w:tcW w:w="3637" w:type="pct"/>
            <w:tcBorders>
              <w:top w:val="single" w:sz="4" w:space="0" w:color="244062"/>
              <w:left w:val="nil"/>
              <w:bottom w:val="single" w:sz="4" w:space="0" w:color="244062"/>
              <w:right w:val="nil"/>
            </w:tcBorders>
            <w:vAlign w:val="center"/>
            <w:hideMark/>
          </w:tcPr>
          <w:p w14:paraId="6B8A03FA"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 por el uso de la red internacional de terceros para cursar tráfico de mensajes</w:t>
            </w:r>
            <w:r>
              <w:rPr>
                <w:rFonts w:ascii="ITC Avant Garde" w:eastAsia="Times New Roman" w:hAnsi="ITC Avant Garde" w:cs="Arial"/>
                <w:sz w:val="20"/>
                <w:szCs w:val="20"/>
                <w:lang w:val="es-ES" w:eastAsia="es-ES"/>
              </w:rPr>
              <w:t>.</w:t>
            </w:r>
          </w:p>
        </w:tc>
      </w:tr>
      <w:tr w:rsidR="00A1321B" w:rsidRPr="008609D1" w14:paraId="2A98E149"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0AF0CA4F"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directos de la venta de equipos terminales</w:t>
            </w:r>
          </w:p>
        </w:tc>
        <w:tc>
          <w:tcPr>
            <w:tcW w:w="3637" w:type="pct"/>
            <w:tcBorders>
              <w:top w:val="single" w:sz="4" w:space="0" w:color="244062"/>
              <w:left w:val="nil"/>
              <w:bottom w:val="single" w:sz="4" w:space="0" w:color="244062"/>
              <w:right w:val="nil"/>
            </w:tcBorders>
            <w:vAlign w:val="center"/>
            <w:hideMark/>
          </w:tcPr>
          <w:p w14:paraId="528DF265"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Contiene los costos relativos a los equipos terminales vendidos a los usuarios finales</w:t>
            </w:r>
            <w:r>
              <w:rPr>
                <w:rFonts w:ascii="ITC Avant Garde" w:eastAsia="Times New Roman" w:hAnsi="ITC Avant Garde" w:cs="Arial"/>
                <w:sz w:val="20"/>
                <w:szCs w:val="20"/>
                <w:lang w:val="es-ES" w:eastAsia="es-ES"/>
              </w:rPr>
              <w:t>.</w:t>
            </w:r>
          </w:p>
        </w:tc>
      </w:tr>
      <w:tr w:rsidR="00A1321B" w:rsidRPr="008609D1" w14:paraId="1A7E0E11"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46078A21"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Personal</w:t>
            </w:r>
          </w:p>
        </w:tc>
        <w:tc>
          <w:tcPr>
            <w:tcW w:w="3637" w:type="pct"/>
            <w:tcBorders>
              <w:top w:val="single" w:sz="4" w:space="0" w:color="244062"/>
              <w:left w:val="nil"/>
              <w:bottom w:val="single" w:sz="4" w:space="0" w:color="244062"/>
              <w:right w:val="nil"/>
            </w:tcBorders>
            <w:vAlign w:val="center"/>
            <w:hideMark/>
          </w:tcPr>
          <w:p w14:paraId="2A4B014F"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de sueldos y salarios, incentivos, aportaciones a planes de pensiones y costos del seguro social</w:t>
            </w:r>
            <w:r>
              <w:rPr>
                <w:rFonts w:ascii="ITC Avant Garde" w:eastAsia="Times New Roman" w:hAnsi="ITC Avant Garde" w:cs="Arial"/>
                <w:sz w:val="20"/>
                <w:szCs w:val="20"/>
                <w:lang w:val="es-ES" w:eastAsia="es-ES"/>
              </w:rPr>
              <w:t>.</w:t>
            </w:r>
          </w:p>
        </w:tc>
      </w:tr>
      <w:tr w:rsidR="00A1321B" w:rsidRPr="008609D1" w14:paraId="0D0B80B8"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70EE57E6"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Arrendamientos</w:t>
            </w:r>
          </w:p>
        </w:tc>
        <w:tc>
          <w:tcPr>
            <w:tcW w:w="3637" w:type="pct"/>
            <w:tcBorders>
              <w:top w:val="single" w:sz="4" w:space="0" w:color="244062"/>
              <w:left w:val="nil"/>
              <w:bottom w:val="single" w:sz="4" w:space="0" w:color="244062"/>
              <w:right w:val="nil"/>
            </w:tcBorders>
            <w:vAlign w:val="center"/>
            <w:hideMark/>
          </w:tcPr>
          <w:p w14:paraId="02AEF577"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de arrendamiento de estaciones base, edificios, circuitos de red, etc.</w:t>
            </w:r>
          </w:p>
        </w:tc>
      </w:tr>
      <w:tr w:rsidR="00A1321B" w:rsidRPr="008609D1" w14:paraId="0ED7D81F"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0D55C5F3"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lastRenderedPageBreak/>
              <w:t>Reparaciones y mantenimiento</w:t>
            </w:r>
          </w:p>
        </w:tc>
        <w:tc>
          <w:tcPr>
            <w:tcW w:w="3637" w:type="pct"/>
            <w:tcBorders>
              <w:top w:val="single" w:sz="4" w:space="0" w:color="244062"/>
              <w:left w:val="nil"/>
              <w:bottom w:val="single" w:sz="4" w:space="0" w:color="244062"/>
              <w:right w:val="nil"/>
            </w:tcBorders>
            <w:vAlign w:val="center"/>
            <w:hideMark/>
          </w:tcPr>
          <w:p w14:paraId="2E97C11A"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de reparaciones y mantenimiento de los elementos de red y otros que no pertenecen a la red</w:t>
            </w:r>
            <w:r>
              <w:rPr>
                <w:rFonts w:ascii="ITC Avant Garde" w:eastAsia="Times New Roman" w:hAnsi="ITC Avant Garde" w:cs="Arial"/>
                <w:sz w:val="20"/>
                <w:szCs w:val="20"/>
                <w:lang w:val="es-ES" w:eastAsia="es-ES"/>
              </w:rPr>
              <w:t>.</w:t>
            </w:r>
          </w:p>
        </w:tc>
      </w:tr>
      <w:tr w:rsidR="00A1321B" w:rsidRPr="008609D1" w14:paraId="06FC70FD"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098AC966"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Energía</w:t>
            </w:r>
          </w:p>
        </w:tc>
        <w:tc>
          <w:tcPr>
            <w:tcW w:w="3637" w:type="pct"/>
            <w:tcBorders>
              <w:top w:val="single" w:sz="4" w:space="0" w:color="244062"/>
              <w:left w:val="nil"/>
              <w:bottom w:val="single" w:sz="4" w:space="0" w:color="244062"/>
              <w:right w:val="nil"/>
            </w:tcBorders>
            <w:vAlign w:val="center"/>
            <w:hideMark/>
          </w:tcPr>
          <w:p w14:paraId="2C5D0102"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Contiene los costos derivados del uso de energía eléctrica por el operador</w:t>
            </w:r>
            <w:r>
              <w:rPr>
                <w:rFonts w:ascii="ITC Avant Garde" w:eastAsia="Times New Roman" w:hAnsi="ITC Avant Garde" w:cs="Arial"/>
                <w:sz w:val="20"/>
                <w:szCs w:val="20"/>
                <w:lang w:val="es-ES" w:eastAsia="es-ES"/>
              </w:rPr>
              <w:t>.</w:t>
            </w:r>
          </w:p>
        </w:tc>
      </w:tr>
      <w:tr w:rsidR="00A1321B" w:rsidRPr="008609D1" w14:paraId="4A7A6325"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1D87436C"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Comisiones</w:t>
            </w:r>
          </w:p>
        </w:tc>
        <w:tc>
          <w:tcPr>
            <w:tcW w:w="3637" w:type="pct"/>
            <w:tcBorders>
              <w:top w:val="single" w:sz="4" w:space="0" w:color="244062"/>
              <w:left w:val="nil"/>
              <w:bottom w:val="single" w:sz="4" w:space="0" w:color="244062"/>
              <w:right w:val="nil"/>
            </w:tcBorders>
            <w:vAlign w:val="center"/>
            <w:hideMark/>
          </w:tcPr>
          <w:p w14:paraId="693251D6"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de las liquidaciones realizadas a los distribuidores por comisiones asociadas a la suscripción, permanencia y fidelización de clientes, entre otros</w:t>
            </w:r>
            <w:r>
              <w:rPr>
                <w:rFonts w:ascii="ITC Avant Garde" w:eastAsia="Times New Roman" w:hAnsi="ITC Avant Garde" w:cs="Arial"/>
                <w:sz w:val="20"/>
                <w:szCs w:val="20"/>
                <w:lang w:val="es-ES" w:eastAsia="es-ES"/>
              </w:rPr>
              <w:t>.</w:t>
            </w:r>
          </w:p>
        </w:tc>
      </w:tr>
      <w:tr w:rsidR="00A1321B" w:rsidRPr="008609D1" w14:paraId="2F9C8B1A"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543A6B91"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profesionales</w:t>
            </w:r>
          </w:p>
        </w:tc>
        <w:tc>
          <w:tcPr>
            <w:tcW w:w="3637" w:type="pct"/>
            <w:tcBorders>
              <w:top w:val="single" w:sz="4" w:space="0" w:color="244062"/>
              <w:left w:val="nil"/>
              <w:bottom w:val="single" w:sz="4" w:space="0" w:color="244062"/>
              <w:right w:val="nil"/>
            </w:tcBorders>
            <w:vAlign w:val="center"/>
            <w:hideMark/>
          </w:tcPr>
          <w:p w14:paraId="603D6D72"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Pagos a profesiones (auditores, consultores, etc.) y por servicios suplementarios o contenidos a terceros</w:t>
            </w:r>
            <w:r>
              <w:rPr>
                <w:rFonts w:ascii="ITC Avant Garde" w:eastAsia="Times New Roman" w:hAnsi="ITC Avant Garde" w:cs="Arial"/>
                <w:sz w:val="20"/>
                <w:szCs w:val="20"/>
                <w:lang w:val="es-ES" w:eastAsia="es-ES"/>
              </w:rPr>
              <w:t>.</w:t>
            </w:r>
          </w:p>
        </w:tc>
      </w:tr>
      <w:tr w:rsidR="00A1321B" w:rsidRPr="008609D1" w14:paraId="65959493"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2391325F"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Publicidad</w:t>
            </w:r>
          </w:p>
        </w:tc>
        <w:tc>
          <w:tcPr>
            <w:tcW w:w="3637" w:type="pct"/>
            <w:tcBorders>
              <w:top w:val="single" w:sz="4" w:space="0" w:color="244062"/>
              <w:left w:val="nil"/>
              <w:bottom w:val="single" w:sz="4" w:space="0" w:color="244062"/>
              <w:right w:val="nil"/>
            </w:tcBorders>
            <w:vAlign w:val="center"/>
            <w:hideMark/>
          </w:tcPr>
          <w:p w14:paraId="14463CC2"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Compra de espacios publicitarios y patrocinios, campañas publicitarias, eventos, ferias y exposiciones, etc.</w:t>
            </w:r>
          </w:p>
        </w:tc>
      </w:tr>
      <w:tr w:rsidR="00A1321B" w:rsidRPr="008609D1" w14:paraId="5BAAAC76"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3671AAC9"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Suministros</w:t>
            </w:r>
          </w:p>
        </w:tc>
        <w:tc>
          <w:tcPr>
            <w:tcW w:w="3637" w:type="pct"/>
            <w:tcBorders>
              <w:top w:val="single" w:sz="4" w:space="0" w:color="244062"/>
              <w:left w:val="nil"/>
              <w:bottom w:val="single" w:sz="4" w:space="0" w:color="244062"/>
              <w:right w:val="nil"/>
            </w:tcBorders>
            <w:vAlign w:val="center"/>
            <w:hideMark/>
          </w:tcPr>
          <w:p w14:paraId="41B1C3A0"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asociados al alquiler de circuitos y otros suministros</w:t>
            </w:r>
            <w:r>
              <w:rPr>
                <w:rFonts w:ascii="ITC Avant Garde" w:eastAsia="Times New Roman" w:hAnsi="ITC Avant Garde" w:cs="Arial"/>
                <w:sz w:val="20"/>
                <w:szCs w:val="20"/>
                <w:lang w:val="es-ES" w:eastAsia="es-ES"/>
              </w:rPr>
              <w:t>.</w:t>
            </w:r>
          </w:p>
        </w:tc>
      </w:tr>
      <w:tr w:rsidR="00A1321B" w:rsidRPr="008609D1" w14:paraId="359ECE7B"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3DA714D1"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Tasas e impuestos</w:t>
            </w:r>
          </w:p>
        </w:tc>
        <w:tc>
          <w:tcPr>
            <w:tcW w:w="3637" w:type="pct"/>
            <w:tcBorders>
              <w:top w:val="single" w:sz="4" w:space="0" w:color="244062"/>
              <w:left w:val="nil"/>
              <w:bottom w:val="single" w:sz="4" w:space="0" w:color="244062"/>
              <w:right w:val="nil"/>
            </w:tcBorders>
            <w:vAlign w:val="center"/>
            <w:hideMark/>
          </w:tcPr>
          <w:p w14:paraId="4DD6699F"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Pagos realizados en concepto de tasas e impuestos. Estos deberán estar relacionados con la actividad del negocio y no incluirán impuestos por beneficios.</w:t>
            </w:r>
          </w:p>
        </w:tc>
      </w:tr>
      <w:tr w:rsidR="00A1321B" w:rsidRPr="008609D1" w14:paraId="0E586D76"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286416BB"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Inventarios</w:t>
            </w:r>
          </w:p>
        </w:tc>
        <w:tc>
          <w:tcPr>
            <w:tcW w:w="3637" w:type="pct"/>
            <w:tcBorders>
              <w:top w:val="single" w:sz="4" w:space="0" w:color="244062"/>
              <w:left w:val="nil"/>
              <w:bottom w:val="single" w:sz="4" w:space="0" w:color="244062"/>
              <w:right w:val="nil"/>
            </w:tcBorders>
            <w:vAlign w:val="center"/>
            <w:hideMark/>
          </w:tcPr>
          <w:p w14:paraId="22C8D9CE"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relativos a la variación de inventarios</w:t>
            </w:r>
            <w:r>
              <w:rPr>
                <w:rFonts w:ascii="ITC Avant Garde" w:eastAsia="Times New Roman" w:hAnsi="ITC Avant Garde" w:cs="Arial"/>
                <w:sz w:val="20"/>
                <w:szCs w:val="20"/>
                <w:lang w:val="es-ES" w:eastAsia="es-ES"/>
              </w:rPr>
              <w:t>.</w:t>
            </w:r>
          </w:p>
        </w:tc>
      </w:tr>
      <w:tr w:rsidR="00A1321B" w:rsidRPr="008609D1" w14:paraId="23FF70DE"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716BEF20"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costos por operaciones</w:t>
            </w:r>
          </w:p>
        </w:tc>
        <w:tc>
          <w:tcPr>
            <w:tcW w:w="3637" w:type="pct"/>
            <w:tcBorders>
              <w:top w:val="single" w:sz="4" w:space="0" w:color="244062"/>
              <w:left w:val="nil"/>
              <w:bottom w:val="single" w:sz="4" w:space="0" w:color="244062"/>
              <w:right w:val="nil"/>
            </w:tcBorders>
            <w:vAlign w:val="center"/>
            <w:hideMark/>
          </w:tcPr>
          <w:p w14:paraId="54C1A5B8" w14:textId="77777777" w:rsidR="00A1321B" w:rsidRPr="008609D1" w:rsidRDefault="00A1321B" w:rsidP="008B4286">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relativos a la subcontratación de determinados servicios, costos de facturación, etc.</w:t>
            </w:r>
          </w:p>
        </w:tc>
      </w:tr>
      <w:tr w:rsidR="00A1321B" w:rsidRPr="00065393" w14:paraId="387A3249" w14:textId="77777777" w:rsidTr="00505CF2">
        <w:trPr>
          <w:trHeight w:val="340"/>
          <w:jc w:val="center"/>
        </w:trPr>
        <w:tc>
          <w:tcPr>
            <w:tcW w:w="5000" w:type="pct"/>
            <w:gridSpan w:val="2"/>
            <w:tcBorders>
              <w:top w:val="single" w:sz="4" w:space="0" w:color="244062"/>
              <w:left w:val="nil"/>
              <w:bottom w:val="single" w:sz="4" w:space="0" w:color="244062"/>
              <w:right w:val="nil"/>
            </w:tcBorders>
            <w:shd w:val="clear" w:color="auto" w:fill="EDEDED" w:themeFill="accent3" w:themeFillTint="33"/>
            <w:noWrap/>
            <w:vAlign w:val="center"/>
          </w:tcPr>
          <w:p w14:paraId="1999B324" w14:textId="77777777" w:rsidR="00A1321B" w:rsidRPr="00065393" w:rsidRDefault="00A1321B" w:rsidP="008B4286">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Capital empleado y costos asociados al mismo</w:t>
            </w:r>
          </w:p>
        </w:tc>
      </w:tr>
      <w:tr w:rsidR="00A1321B" w:rsidRPr="008609D1" w14:paraId="3BC71C11"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42E7FBED"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Propiedad industrial</w:t>
            </w:r>
          </w:p>
        </w:tc>
        <w:tc>
          <w:tcPr>
            <w:tcW w:w="3637" w:type="pct"/>
            <w:tcBorders>
              <w:top w:val="single" w:sz="4" w:space="0" w:color="244062"/>
              <w:left w:val="nil"/>
              <w:bottom w:val="single" w:sz="4" w:space="0" w:color="244062"/>
              <w:right w:val="nil"/>
            </w:tcBorders>
            <w:vAlign w:val="center"/>
            <w:hideMark/>
          </w:tcPr>
          <w:p w14:paraId="58B89208"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al distintivo comercial y la marca</w:t>
            </w:r>
            <w:r>
              <w:rPr>
                <w:rFonts w:ascii="ITC Avant Garde" w:eastAsia="Times New Roman" w:hAnsi="ITC Avant Garde" w:cs="Arial"/>
                <w:sz w:val="20"/>
                <w:lang w:val="es-ES" w:eastAsia="es-ES"/>
              </w:rPr>
              <w:t>.</w:t>
            </w:r>
          </w:p>
        </w:tc>
      </w:tr>
      <w:tr w:rsidR="00A1321B" w:rsidRPr="008609D1" w14:paraId="286D23BB"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608C85E0"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Aplicaciones informáticas</w:t>
            </w:r>
          </w:p>
        </w:tc>
        <w:tc>
          <w:tcPr>
            <w:tcW w:w="3637" w:type="pct"/>
            <w:tcBorders>
              <w:top w:val="single" w:sz="4" w:space="0" w:color="244062"/>
              <w:left w:val="nil"/>
              <w:bottom w:val="single" w:sz="4" w:space="0" w:color="244062"/>
              <w:right w:val="nil"/>
            </w:tcBorders>
            <w:vAlign w:val="center"/>
            <w:hideMark/>
          </w:tcPr>
          <w:p w14:paraId="09F8CA14"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Contiene los costos de los elementos de software de equipos de red y de los sistemas informáticos corporativos</w:t>
            </w:r>
            <w:r>
              <w:rPr>
                <w:rFonts w:ascii="ITC Avant Garde" w:eastAsia="Times New Roman" w:hAnsi="ITC Avant Garde" w:cs="Arial"/>
                <w:sz w:val="20"/>
                <w:lang w:val="es-ES" w:eastAsia="es-ES"/>
              </w:rPr>
              <w:t>.</w:t>
            </w:r>
          </w:p>
        </w:tc>
      </w:tr>
      <w:tr w:rsidR="00A1321B" w:rsidRPr="008609D1" w14:paraId="6CBBBBF0"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7E0074D4"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Terrenos y construcciones</w:t>
            </w:r>
          </w:p>
        </w:tc>
        <w:tc>
          <w:tcPr>
            <w:tcW w:w="3637" w:type="pct"/>
            <w:tcBorders>
              <w:top w:val="single" w:sz="4" w:space="0" w:color="244062"/>
              <w:left w:val="nil"/>
              <w:bottom w:val="single" w:sz="4" w:space="0" w:color="244062"/>
              <w:right w:val="nil"/>
            </w:tcBorders>
            <w:vAlign w:val="center"/>
            <w:hideMark/>
          </w:tcPr>
          <w:p w14:paraId="728ED62F"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relacionados al capital de los bienes raíces (terrenos baldíos, edificios, etc.)</w:t>
            </w:r>
          </w:p>
        </w:tc>
      </w:tr>
      <w:tr w:rsidR="00A1321B" w:rsidRPr="008609D1" w14:paraId="07D627BC"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tcPr>
          <w:p w14:paraId="7925D18E"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Sistemas de alimentación de energía</w:t>
            </w:r>
          </w:p>
        </w:tc>
        <w:tc>
          <w:tcPr>
            <w:tcW w:w="3637" w:type="pct"/>
            <w:tcBorders>
              <w:top w:val="single" w:sz="4" w:space="0" w:color="244062"/>
              <w:left w:val="nil"/>
              <w:bottom w:val="single" w:sz="4" w:space="0" w:color="244062"/>
              <w:right w:val="nil"/>
            </w:tcBorders>
            <w:vAlign w:val="center"/>
          </w:tcPr>
          <w:p w14:paraId="3AE54007"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 la planta de energía requerida para la puesta en funcionamiento de los equipos de red</w:t>
            </w:r>
            <w:r>
              <w:rPr>
                <w:rFonts w:ascii="ITC Avant Garde" w:eastAsia="Times New Roman" w:hAnsi="ITC Avant Garde" w:cs="Arial"/>
                <w:sz w:val="20"/>
                <w:lang w:val="es-ES" w:eastAsia="es-ES"/>
              </w:rPr>
              <w:t>.</w:t>
            </w:r>
          </w:p>
        </w:tc>
      </w:tr>
      <w:tr w:rsidR="00A1321B" w:rsidRPr="008609D1" w14:paraId="417C2F2A"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tcPr>
          <w:p w14:paraId="3DBF0CF2"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móvil</w:t>
            </w:r>
          </w:p>
        </w:tc>
        <w:tc>
          <w:tcPr>
            <w:tcW w:w="3637" w:type="pct"/>
            <w:tcBorders>
              <w:top w:val="single" w:sz="4" w:space="0" w:color="244062"/>
              <w:left w:val="nil"/>
              <w:bottom w:val="single" w:sz="4" w:space="0" w:color="244062"/>
              <w:right w:val="nil"/>
            </w:tcBorders>
            <w:vAlign w:val="center"/>
          </w:tcPr>
          <w:p w14:paraId="65607BD9"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Contiene los costos relativos a las </w:t>
            </w:r>
            <w:r w:rsidRPr="006D334F">
              <w:rPr>
                <w:rFonts w:ascii="ITC Avant Garde" w:eastAsia="Times New Roman" w:hAnsi="ITC Avant Garde" w:cs="Arial"/>
                <w:sz w:val="20"/>
                <w:lang w:val="es-ES" w:eastAsia="es-ES"/>
              </w:rPr>
              <w:t>radio bases</w:t>
            </w:r>
            <w:r w:rsidRPr="008609D1">
              <w:rPr>
                <w:rFonts w:ascii="ITC Avant Garde" w:eastAsia="Times New Roman" w:hAnsi="ITC Avant Garde" w:cs="Arial"/>
                <w:sz w:val="20"/>
                <w:lang w:val="es-ES" w:eastAsia="es-ES"/>
              </w:rPr>
              <w:t xml:space="preserve"> de la red móvil</w:t>
            </w:r>
            <w:r>
              <w:rPr>
                <w:rFonts w:ascii="ITC Avant Garde" w:eastAsia="Times New Roman" w:hAnsi="ITC Avant Garde" w:cs="Arial"/>
                <w:sz w:val="20"/>
                <w:lang w:val="es-ES" w:eastAsia="es-ES"/>
              </w:rPr>
              <w:t>.</w:t>
            </w:r>
          </w:p>
        </w:tc>
      </w:tr>
      <w:tr w:rsidR="00A1321B" w:rsidRPr="008609D1" w14:paraId="1F4BEA99"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tcPr>
          <w:p w14:paraId="542A3759" w14:textId="77777777" w:rsidR="00A1321B" w:rsidRPr="00E025D5" w:rsidRDefault="00A1321B" w:rsidP="008B4286">
            <w:pPr>
              <w:spacing w:before="40" w:after="40" w:line="240" w:lineRule="auto"/>
              <w:rPr>
                <w:rFonts w:ascii="ITC Avant Garde" w:eastAsia="Times New Roman" w:hAnsi="ITC Avant Garde" w:cs="Arial"/>
                <w:sz w:val="20"/>
                <w:lang w:val="es-ES" w:eastAsia="es-ES"/>
              </w:rPr>
            </w:pPr>
            <w:r w:rsidRPr="00E025D5">
              <w:rPr>
                <w:rFonts w:ascii="ITC Avant Garde" w:eastAsia="Times New Roman" w:hAnsi="ITC Avant Garde" w:cs="Arial"/>
                <w:sz w:val="20"/>
                <w:lang w:val="es-ES" w:eastAsia="es-ES"/>
              </w:rPr>
              <w:t>Infraestructura de radio bases de acceso</w:t>
            </w:r>
          </w:p>
        </w:tc>
        <w:tc>
          <w:tcPr>
            <w:tcW w:w="3637" w:type="pct"/>
            <w:tcBorders>
              <w:top w:val="single" w:sz="4" w:space="0" w:color="244062"/>
              <w:left w:val="nil"/>
              <w:bottom w:val="single" w:sz="4" w:space="0" w:color="244062"/>
              <w:right w:val="nil"/>
            </w:tcBorders>
            <w:vAlign w:val="center"/>
          </w:tcPr>
          <w:p w14:paraId="729A2A0B" w14:textId="77777777" w:rsidR="00A1321B" w:rsidRPr="008609D1" w:rsidRDefault="00A1321B" w:rsidP="008B4286">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 xml:space="preserve">Infraestructura pasiva ubicada en las </w:t>
            </w:r>
            <w:r w:rsidRPr="006D334F">
              <w:rPr>
                <w:rFonts w:ascii="ITC Avant Garde" w:eastAsia="Times New Roman" w:hAnsi="ITC Avant Garde" w:cs="Arial"/>
                <w:sz w:val="20"/>
                <w:lang w:eastAsia="es-ES"/>
              </w:rPr>
              <w:t>radio bases</w:t>
            </w:r>
            <w:r w:rsidRPr="008609D1">
              <w:rPr>
                <w:rFonts w:ascii="ITC Avant Garde" w:eastAsia="Times New Roman" w:hAnsi="ITC Avant Garde" w:cs="Arial"/>
                <w:sz w:val="20"/>
                <w:lang w:eastAsia="es-ES"/>
              </w:rPr>
              <w:t xml:space="preserve"> de acceso, tal y como casetas, torres, etc.</w:t>
            </w:r>
          </w:p>
        </w:tc>
      </w:tr>
      <w:tr w:rsidR="00A1321B" w:rsidRPr="008609D1" w14:paraId="5DEA0CF9"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tcPr>
          <w:p w14:paraId="3E73BA23" w14:textId="77777777" w:rsidR="00A1321B" w:rsidRPr="00E025D5" w:rsidRDefault="00A1321B" w:rsidP="008B4286">
            <w:pPr>
              <w:spacing w:before="40" w:after="40" w:line="240" w:lineRule="auto"/>
              <w:rPr>
                <w:rFonts w:ascii="ITC Avant Garde" w:eastAsia="Times New Roman" w:hAnsi="ITC Avant Garde" w:cs="Arial"/>
                <w:sz w:val="20"/>
                <w:lang w:val="es-ES" w:eastAsia="es-ES"/>
              </w:rPr>
            </w:pPr>
            <w:r w:rsidRPr="00E025D5">
              <w:rPr>
                <w:rFonts w:ascii="ITC Avant Garde" w:eastAsia="Times New Roman" w:hAnsi="ITC Avant Garde" w:cs="Arial"/>
                <w:sz w:val="20"/>
                <w:lang w:val="es-ES" w:eastAsia="es-ES"/>
              </w:rPr>
              <w:t>Red de transmisión para telefonía móvil</w:t>
            </w:r>
          </w:p>
        </w:tc>
        <w:tc>
          <w:tcPr>
            <w:tcW w:w="3637" w:type="pct"/>
            <w:tcBorders>
              <w:top w:val="single" w:sz="4" w:space="0" w:color="244062"/>
              <w:left w:val="nil"/>
              <w:bottom w:val="single" w:sz="4" w:space="0" w:color="244062"/>
              <w:right w:val="nil"/>
            </w:tcBorders>
            <w:vAlign w:val="center"/>
          </w:tcPr>
          <w:p w14:paraId="78B8A049"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la red de transmisión existente entre las radio bases y la red de núcleo</w:t>
            </w:r>
            <w:r>
              <w:rPr>
                <w:rFonts w:ascii="ITC Avant Garde" w:eastAsia="Times New Roman" w:hAnsi="ITC Avant Garde" w:cs="Arial"/>
                <w:sz w:val="20"/>
                <w:lang w:val="es-ES" w:eastAsia="es-ES"/>
              </w:rPr>
              <w:t>.</w:t>
            </w:r>
          </w:p>
        </w:tc>
      </w:tr>
      <w:tr w:rsidR="00A1321B" w:rsidRPr="008609D1" w14:paraId="46A9D6F7"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tcPr>
          <w:p w14:paraId="7700A16B"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conmutación para telefonía móvil</w:t>
            </w:r>
          </w:p>
        </w:tc>
        <w:tc>
          <w:tcPr>
            <w:tcW w:w="3637" w:type="pct"/>
            <w:tcBorders>
              <w:top w:val="single" w:sz="4" w:space="0" w:color="244062"/>
              <w:left w:val="nil"/>
              <w:bottom w:val="single" w:sz="4" w:space="0" w:color="244062"/>
              <w:right w:val="nil"/>
            </w:tcBorders>
            <w:vAlign w:val="center"/>
          </w:tcPr>
          <w:p w14:paraId="6E3D7476"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Costos relacionados con la red de conmutación para redes móviles. Se incluirán aquí los costos de controladores y </w:t>
            </w:r>
            <w:r w:rsidRPr="008609D1">
              <w:rPr>
                <w:rFonts w:ascii="ITC Avant Garde" w:eastAsia="Times New Roman" w:hAnsi="ITC Avant Garde" w:cs="Arial"/>
                <w:i/>
                <w:iCs/>
                <w:sz w:val="20"/>
                <w:lang w:val="es-ES" w:eastAsia="es-ES"/>
              </w:rPr>
              <w:t>hubs</w:t>
            </w:r>
            <w:r w:rsidRPr="008609D1">
              <w:rPr>
                <w:rFonts w:ascii="ITC Avant Garde" w:eastAsia="Times New Roman" w:hAnsi="ITC Avant Garde" w:cs="Arial"/>
                <w:sz w:val="20"/>
                <w:lang w:val="es-ES" w:eastAsia="es-ES"/>
              </w:rPr>
              <w:t>.</w:t>
            </w:r>
          </w:p>
        </w:tc>
      </w:tr>
      <w:tr w:rsidR="00A1321B" w:rsidRPr="008609D1" w14:paraId="4E011F89"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tcPr>
          <w:p w14:paraId="7CA8A48F"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núcleo para telefonía móvil</w:t>
            </w:r>
          </w:p>
        </w:tc>
        <w:tc>
          <w:tcPr>
            <w:tcW w:w="3637" w:type="pct"/>
            <w:tcBorders>
              <w:top w:val="single" w:sz="4" w:space="0" w:color="244062"/>
              <w:left w:val="nil"/>
              <w:bottom w:val="single" w:sz="4" w:space="0" w:color="244062"/>
              <w:right w:val="nil"/>
            </w:tcBorders>
            <w:vAlign w:val="center"/>
          </w:tcPr>
          <w:p w14:paraId="6CBDF230"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y plataformas que conforman la red de núcleo de las redes móviles tales como MGWs, MSCs o GGSNs</w:t>
            </w:r>
            <w:r>
              <w:rPr>
                <w:rFonts w:ascii="ITC Avant Garde" w:eastAsia="Times New Roman" w:hAnsi="ITC Avant Garde" w:cs="Arial"/>
                <w:sz w:val="20"/>
                <w:lang w:val="es-ES" w:eastAsia="es-ES"/>
              </w:rPr>
              <w:t>.</w:t>
            </w:r>
          </w:p>
        </w:tc>
      </w:tr>
      <w:tr w:rsidR="00A1321B" w:rsidRPr="008609D1" w14:paraId="4BBD9A3D"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tcPr>
          <w:p w14:paraId="1C23AD9A" w14:textId="77777777" w:rsidR="00A1321B" w:rsidRPr="00E025D5"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Otra infraestructura de red</w:t>
            </w:r>
          </w:p>
        </w:tc>
        <w:tc>
          <w:tcPr>
            <w:tcW w:w="3637" w:type="pct"/>
            <w:tcBorders>
              <w:top w:val="single" w:sz="4" w:space="0" w:color="244062"/>
              <w:left w:val="nil"/>
              <w:bottom w:val="single" w:sz="4" w:space="0" w:color="244062"/>
              <w:right w:val="nil"/>
            </w:tcBorders>
            <w:vAlign w:val="center"/>
          </w:tcPr>
          <w:p w14:paraId="1FC7B6D4"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Otras infraestructuras asociadas a la red, como ductos o postes</w:t>
            </w:r>
            <w:r>
              <w:rPr>
                <w:rFonts w:ascii="ITC Avant Garde" w:eastAsia="Times New Roman" w:hAnsi="ITC Avant Garde" w:cs="Arial"/>
                <w:sz w:val="20"/>
                <w:lang w:val="es-ES" w:eastAsia="es-ES"/>
              </w:rPr>
              <w:t>.</w:t>
            </w:r>
          </w:p>
        </w:tc>
      </w:tr>
      <w:tr w:rsidR="00A1321B" w:rsidRPr="008609D1" w14:paraId="05354634"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tcPr>
          <w:p w14:paraId="43D2EAFB" w14:textId="77777777" w:rsidR="00A1321B" w:rsidRPr="00E025D5"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soporte</w:t>
            </w:r>
          </w:p>
        </w:tc>
        <w:tc>
          <w:tcPr>
            <w:tcW w:w="3637" w:type="pct"/>
            <w:tcBorders>
              <w:top w:val="single" w:sz="4" w:space="0" w:color="244062"/>
              <w:left w:val="nil"/>
              <w:bottom w:val="single" w:sz="4" w:space="0" w:color="244062"/>
              <w:right w:val="nil"/>
            </w:tcBorders>
            <w:vAlign w:val="center"/>
          </w:tcPr>
          <w:p w14:paraId="0D8D6A57"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Incluye otros equipos de soporte necesarios para el desarrollo de la actividad de telecomunicaciones móviles</w:t>
            </w:r>
            <w:r>
              <w:rPr>
                <w:rFonts w:ascii="ITC Avant Garde" w:eastAsia="Times New Roman" w:hAnsi="ITC Avant Garde" w:cs="Arial"/>
                <w:sz w:val="20"/>
                <w:lang w:val="es-ES" w:eastAsia="es-ES"/>
              </w:rPr>
              <w:t>.</w:t>
            </w:r>
          </w:p>
        </w:tc>
      </w:tr>
      <w:tr w:rsidR="00A1321B" w:rsidRPr="008609D1" w14:paraId="3D20A246"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67D2EE03"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terminales</w:t>
            </w:r>
          </w:p>
        </w:tc>
        <w:tc>
          <w:tcPr>
            <w:tcW w:w="3637" w:type="pct"/>
            <w:tcBorders>
              <w:top w:val="single" w:sz="4" w:space="0" w:color="244062"/>
              <w:left w:val="nil"/>
              <w:bottom w:val="single" w:sz="4" w:space="0" w:color="244062"/>
              <w:right w:val="nil"/>
            </w:tcBorders>
            <w:vAlign w:val="center"/>
            <w:hideMark/>
          </w:tcPr>
          <w:p w14:paraId="2201E0FA"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los equipos terminales instalados en el domicilio del usuario final</w:t>
            </w:r>
            <w:r>
              <w:rPr>
                <w:rFonts w:ascii="ITC Avant Garde" w:eastAsia="Times New Roman" w:hAnsi="ITC Avant Garde" w:cs="Arial"/>
                <w:sz w:val="20"/>
                <w:lang w:val="es-ES" w:eastAsia="es-ES"/>
              </w:rPr>
              <w:t>.</w:t>
            </w:r>
          </w:p>
        </w:tc>
      </w:tr>
      <w:tr w:rsidR="00A1321B" w:rsidRPr="008609D1" w14:paraId="1FE38FF9"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27FE2DE6"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Activos accesorios</w:t>
            </w:r>
          </w:p>
        </w:tc>
        <w:tc>
          <w:tcPr>
            <w:tcW w:w="3637" w:type="pct"/>
            <w:tcBorders>
              <w:top w:val="single" w:sz="4" w:space="0" w:color="244062"/>
              <w:left w:val="nil"/>
              <w:bottom w:val="single" w:sz="4" w:space="0" w:color="244062"/>
              <w:right w:val="nil"/>
            </w:tcBorders>
            <w:vAlign w:val="center"/>
            <w:hideMark/>
          </w:tcPr>
          <w:p w14:paraId="5D339B8E"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 elementos de soporte a las operaciones tales como mobiliario, herramientas y elementos de transporte</w:t>
            </w:r>
            <w:r>
              <w:rPr>
                <w:rFonts w:ascii="ITC Avant Garde" w:eastAsia="Times New Roman" w:hAnsi="ITC Avant Garde" w:cs="Arial"/>
                <w:sz w:val="20"/>
                <w:lang w:val="es-ES" w:eastAsia="es-ES"/>
              </w:rPr>
              <w:t>.</w:t>
            </w:r>
          </w:p>
        </w:tc>
      </w:tr>
      <w:tr w:rsidR="00A1321B" w:rsidRPr="00065393" w14:paraId="25876F6D" w14:textId="77777777" w:rsidTr="00505CF2">
        <w:trPr>
          <w:trHeight w:val="345"/>
          <w:jc w:val="center"/>
        </w:trPr>
        <w:tc>
          <w:tcPr>
            <w:tcW w:w="5000" w:type="pct"/>
            <w:gridSpan w:val="2"/>
            <w:tcBorders>
              <w:top w:val="single" w:sz="4" w:space="0" w:color="244062"/>
              <w:left w:val="nil"/>
              <w:right w:val="nil"/>
            </w:tcBorders>
            <w:shd w:val="clear" w:color="auto" w:fill="EDEDED" w:themeFill="accent3" w:themeFillTint="33"/>
            <w:noWrap/>
            <w:vAlign w:val="center"/>
          </w:tcPr>
          <w:p w14:paraId="781700D2" w14:textId="77777777" w:rsidR="00A1321B" w:rsidRPr="00065393" w:rsidRDefault="00A1321B" w:rsidP="008B4286">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Activo y pasivo circulante</w:t>
            </w:r>
          </w:p>
        </w:tc>
      </w:tr>
      <w:tr w:rsidR="00A1321B" w:rsidRPr="008609D1" w14:paraId="6D49F14E" w14:textId="77777777" w:rsidTr="00505CF2">
        <w:trPr>
          <w:trHeight w:val="345"/>
          <w:jc w:val="center"/>
        </w:trPr>
        <w:tc>
          <w:tcPr>
            <w:tcW w:w="1363" w:type="pct"/>
            <w:tcBorders>
              <w:top w:val="single" w:sz="4" w:space="0" w:color="244062"/>
              <w:left w:val="nil"/>
              <w:right w:val="nil"/>
            </w:tcBorders>
            <w:shd w:val="clear" w:color="auto" w:fill="D0D1DB"/>
            <w:noWrap/>
            <w:vAlign w:val="center"/>
          </w:tcPr>
          <w:p w14:paraId="57CA7B3E"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Efectivo y equivalentes</w:t>
            </w:r>
          </w:p>
        </w:tc>
        <w:tc>
          <w:tcPr>
            <w:tcW w:w="3637" w:type="pct"/>
            <w:tcBorders>
              <w:top w:val="single" w:sz="4" w:space="0" w:color="244062"/>
              <w:left w:val="nil"/>
              <w:right w:val="nil"/>
            </w:tcBorders>
            <w:vAlign w:val="center"/>
          </w:tcPr>
          <w:p w14:paraId="0DE6E0C7"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Aquellos bienes que proporcionan liquidez inmediata al operador necesaria para realizar sus operaciones de telecomunicaciones</w:t>
            </w:r>
            <w:r>
              <w:rPr>
                <w:rFonts w:ascii="ITC Avant Garde" w:eastAsia="Times New Roman" w:hAnsi="ITC Avant Garde" w:cs="Arial"/>
                <w:sz w:val="20"/>
                <w:lang w:val="es-ES" w:eastAsia="es-ES"/>
              </w:rPr>
              <w:t>.</w:t>
            </w:r>
          </w:p>
        </w:tc>
      </w:tr>
      <w:tr w:rsidR="00A1321B" w:rsidRPr="008609D1" w14:paraId="4D67DFAC" w14:textId="77777777" w:rsidTr="00505CF2">
        <w:trPr>
          <w:trHeight w:val="345"/>
          <w:jc w:val="center"/>
        </w:trPr>
        <w:tc>
          <w:tcPr>
            <w:tcW w:w="1363" w:type="pct"/>
            <w:tcBorders>
              <w:top w:val="single" w:sz="4" w:space="0" w:color="244062"/>
              <w:left w:val="nil"/>
              <w:right w:val="nil"/>
            </w:tcBorders>
            <w:shd w:val="clear" w:color="auto" w:fill="D0D1DB"/>
            <w:noWrap/>
            <w:vAlign w:val="center"/>
          </w:tcPr>
          <w:p w14:paraId="48BB3452"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Cuentas por cobrar</w:t>
            </w:r>
          </w:p>
        </w:tc>
        <w:tc>
          <w:tcPr>
            <w:tcW w:w="3637" w:type="pct"/>
            <w:tcBorders>
              <w:top w:val="single" w:sz="4" w:space="0" w:color="244062"/>
              <w:left w:val="nil"/>
              <w:right w:val="nil"/>
            </w:tcBorders>
            <w:vAlign w:val="center"/>
          </w:tcPr>
          <w:p w14:paraId="50D318B6"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que recibirá el operador por la provisión de servicios a clientes a través de crédito documentado</w:t>
            </w:r>
            <w:r>
              <w:rPr>
                <w:rFonts w:ascii="ITC Avant Garde" w:eastAsia="Times New Roman" w:hAnsi="ITC Avant Garde" w:cs="Arial"/>
                <w:sz w:val="20"/>
                <w:lang w:val="es-ES" w:eastAsia="es-ES"/>
              </w:rPr>
              <w:t>.</w:t>
            </w:r>
          </w:p>
        </w:tc>
      </w:tr>
      <w:tr w:rsidR="00A1321B" w:rsidRPr="008609D1" w14:paraId="488F2045" w14:textId="77777777" w:rsidTr="00505CF2">
        <w:trPr>
          <w:trHeight w:val="345"/>
          <w:jc w:val="center"/>
        </w:trPr>
        <w:tc>
          <w:tcPr>
            <w:tcW w:w="1363" w:type="pct"/>
            <w:tcBorders>
              <w:top w:val="single" w:sz="4" w:space="0" w:color="244062"/>
              <w:left w:val="nil"/>
              <w:right w:val="nil"/>
            </w:tcBorders>
            <w:shd w:val="clear" w:color="auto" w:fill="D0D1DB"/>
            <w:noWrap/>
            <w:vAlign w:val="center"/>
          </w:tcPr>
          <w:p w14:paraId="24FCB65B" w14:textId="77777777" w:rsidR="00A1321B" w:rsidRPr="00E025D5" w:rsidRDefault="00A1321B" w:rsidP="008B4286">
            <w:pPr>
              <w:spacing w:before="40" w:after="40" w:line="240" w:lineRule="auto"/>
              <w:rPr>
                <w:rFonts w:ascii="ITC Avant Garde" w:eastAsia="Times New Roman" w:hAnsi="ITC Avant Garde" w:cs="Arial"/>
                <w:sz w:val="20"/>
                <w:lang w:val="es-ES" w:eastAsia="es-ES"/>
              </w:rPr>
            </w:pPr>
            <w:r w:rsidRPr="00E025D5">
              <w:rPr>
                <w:rFonts w:ascii="ITC Avant Garde" w:eastAsia="Times New Roman" w:hAnsi="ITC Avant Garde" w:cs="Arial"/>
                <w:sz w:val="20"/>
                <w:lang w:val="es-ES" w:eastAsia="es-ES"/>
              </w:rPr>
              <w:t>Inventarios</w:t>
            </w:r>
          </w:p>
        </w:tc>
        <w:tc>
          <w:tcPr>
            <w:tcW w:w="3637" w:type="pct"/>
            <w:tcBorders>
              <w:top w:val="single" w:sz="4" w:space="0" w:color="244062"/>
              <w:left w:val="nil"/>
              <w:right w:val="nil"/>
            </w:tcBorders>
            <w:vAlign w:val="center"/>
          </w:tcPr>
          <w:p w14:paraId="0DEC97FB"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Aquellas mercancías provistas por el operador que se encuentran listas para su venta</w:t>
            </w:r>
            <w:r>
              <w:rPr>
                <w:rFonts w:ascii="ITC Avant Garde" w:eastAsia="Times New Roman" w:hAnsi="ITC Avant Garde" w:cs="Arial"/>
                <w:sz w:val="20"/>
                <w:lang w:val="es-ES" w:eastAsia="es-ES"/>
              </w:rPr>
              <w:t>.</w:t>
            </w:r>
          </w:p>
        </w:tc>
      </w:tr>
      <w:tr w:rsidR="00A1321B" w:rsidRPr="008609D1" w14:paraId="0E107F15" w14:textId="77777777" w:rsidTr="00505CF2">
        <w:trPr>
          <w:trHeight w:val="345"/>
          <w:jc w:val="center"/>
        </w:trPr>
        <w:tc>
          <w:tcPr>
            <w:tcW w:w="1363" w:type="pct"/>
            <w:tcBorders>
              <w:top w:val="single" w:sz="4" w:space="0" w:color="244062"/>
              <w:left w:val="nil"/>
              <w:right w:val="nil"/>
            </w:tcBorders>
            <w:shd w:val="clear" w:color="auto" w:fill="D0D1DB"/>
            <w:noWrap/>
            <w:vAlign w:val="center"/>
          </w:tcPr>
          <w:p w14:paraId="35D5D7BA" w14:textId="77777777" w:rsidR="00A1321B" w:rsidRPr="00E025D5" w:rsidRDefault="00A1321B" w:rsidP="008B4286">
            <w:pPr>
              <w:spacing w:before="40" w:after="40" w:line="240" w:lineRule="auto"/>
              <w:rPr>
                <w:rFonts w:ascii="ITC Avant Garde" w:eastAsia="Times New Roman" w:hAnsi="ITC Avant Garde" w:cs="Arial"/>
                <w:sz w:val="20"/>
                <w:lang w:val="es-ES" w:eastAsia="es-ES"/>
              </w:rPr>
            </w:pPr>
            <w:r w:rsidRPr="00E025D5">
              <w:rPr>
                <w:rFonts w:ascii="ITC Avant Garde" w:eastAsia="Times New Roman" w:hAnsi="ITC Avant Garde" w:cs="Arial"/>
                <w:sz w:val="20"/>
                <w:lang w:val="es-ES" w:eastAsia="es-ES"/>
              </w:rPr>
              <w:t>Otro activo circulante</w:t>
            </w:r>
          </w:p>
        </w:tc>
        <w:tc>
          <w:tcPr>
            <w:tcW w:w="3637" w:type="pct"/>
            <w:tcBorders>
              <w:top w:val="single" w:sz="4" w:space="0" w:color="244062"/>
              <w:left w:val="nil"/>
              <w:right w:val="nil"/>
            </w:tcBorders>
            <w:vAlign w:val="center"/>
          </w:tcPr>
          <w:p w14:paraId="67C1BA2F"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 activo circulante del operador necesario para el desarrollo de sus operaciones en el sector de telecomunicaciones</w:t>
            </w:r>
            <w:r>
              <w:rPr>
                <w:rFonts w:ascii="ITC Avant Garde" w:eastAsia="Times New Roman" w:hAnsi="ITC Avant Garde" w:cs="Arial"/>
                <w:sz w:val="20"/>
                <w:lang w:val="es-ES" w:eastAsia="es-ES"/>
              </w:rPr>
              <w:t>.</w:t>
            </w:r>
          </w:p>
        </w:tc>
      </w:tr>
      <w:tr w:rsidR="00A1321B" w:rsidRPr="008609D1" w14:paraId="5BC28445" w14:textId="77777777" w:rsidTr="00505CF2">
        <w:trPr>
          <w:trHeight w:val="345"/>
          <w:jc w:val="center"/>
        </w:trPr>
        <w:tc>
          <w:tcPr>
            <w:tcW w:w="1363" w:type="pct"/>
            <w:tcBorders>
              <w:top w:val="single" w:sz="4" w:space="0" w:color="244062"/>
              <w:left w:val="nil"/>
              <w:right w:val="nil"/>
            </w:tcBorders>
            <w:shd w:val="clear" w:color="auto" w:fill="D0D1DB"/>
            <w:noWrap/>
            <w:vAlign w:val="center"/>
          </w:tcPr>
          <w:p w14:paraId="29E81296" w14:textId="77777777" w:rsidR="00A1321B" w:rsidRPr="00E025D5" w:rsidRDefault="00A1321B" w:rsidP="008B4286">
            <w:pPr>
              <w:spacing w:before="40" w:after="40" w:line="240" w:lineRule="auto"/>
              <w:rPr>
                <w:rFonts w:ascii="ITC Avant Garde" w:eastAsia="Times New Roman" w:hAnsi="ITC Avant Garde" w:cs="Arial"/>
                <w:sz w:val="20"/>
                <w:lang w:val="es-ES" w:eastAsia="es-ES"/>
              </w:rPr>
            </w:pPr>
            <w:r w:rsidRPr="00E025D5">
              <w:rPr>
                <w:rFonts w:ascii="ITC Avant Garde" w:eastAsia="Times New Roman" w:hAnsi="ITC Avant Garde" w:cs="Arial"/>
                <w:sz w:val="20"/>
                <w:lang w:val="es-ES" w:eastAsia="es-ES"/>
              </w:rPr>
              <w:t>Deudas a proveedores (corto plazo)</w:t>
            </w:r>
          </w:p>
        </w:tc>
        <w:tc>
          <w:tcPr>
            <w:tcW w:w="3637" w:type="pct"/>
            <w:tcBorders>
              <w:top w:val="single" w:sz="4" w:space="0" w:color="244062"/>
              <w:left w:val="nil"/>
              <w:right w:val="nil"/>
            </w:tcBorders>
            <w:vAlign w:val="center"/>
          </w:tcPr>
          <w:p w14:paraId="471DC2AF" w14:textId="77777777" w:rsidR="00A1321B" w:rsidRPr="008609D1" w:rsidRDefault="00A1321B" w:rsidP="008B4286">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Deuda a corto plazo (menor a un año) que tiene la empresa con proveedores, así como la porción de deuda a largo plazo que se debe pagar durante este periodo</w:t>
            </w:r>
            <w:r>
              <w:rPr>
                <w:rFonts w:ascii="ITC Avant Garde" w:eastAsia="Times New Roman" w:hAnsi="ITC Avant Garde" w:cs="Arial"/>
                <w:sz w:val="20"/>
                <w:lang w:eastAsia="es-ES"/>
              </w:rPr>
              <w:t>.</w:t>
            </w:r>
          </w:p>
        </w:tc>
      </w:tr>
      <w:tr w:rsidR="00A1321B" w:rsidRPr="008609D1" w14:paraId="137495F0" w14:textId="77777777" w:rsidTr="00505CF2">
        <w:trPr>
          <w:trHeight w:val="345"/>
          <w:jc w:val="center"/>
        </w:trPr>
        <w:tc>
          <w:tcPr>
            <w:tcW w:w="1363" w:type="pct"/>
            <w:tcBorders>
              <w:top w:val="single" w:sz="4" w:space="0" w:color="244062"/>
              <w:left w:val="nil"/>
              <w:right w:val="nil"/>
            </w:tcBorders>
            <w:shd w:val="clear" w:color="auto" w:fill="D0D1DB"/>
            <w:noWrap/>
            <w:vAlign w:val="center"/>
          </w:tcPr>
          <w:p w14:paraId="50593CF5" w14:textId="77777777" w:rsidR="00A1321B" w:rsidRPr="00E025D5" w:rsidRDefault="00A1321B" w:rsidP="008B4286">
            <w:pPr>
              <w:spacing w:before="40" w:after="40" w:line="240" w:lineRule="auto"/>
              <w:rPr>
                <w:rFonts w:ascii="ITC Avant Garde" w:eastAsia="Times New Roman" w:hAnsi="ITC Avant Garde" w:cs="Arial"/>
                <w:sz w:val="20"/>
                <w:lang w:val="es-ES" w:eastAsia="es-ES"/>
              </w:rPr>
            </w:pPr>
            <w:r w:rsidRPr="00E025D5">
              <w:rPr>
                <w:rFonts w:ascii="ITC Avant Garde" w:eastAsia="Times New Roman" w:hAnsi="ITC Avant Garde" w:cs="Arial"/>
                <w:sz w:val="20"/>
                <w:lang w:val="es-ES" w:eastAsia="es-ES"/>
              </w:rPr>
              <w:t>Ingresos diferidos</w:t>
            </w:r>
          </w:p>
        </w:tc>
        <w:tc>
          <w:tcPr>
            <w:tcW w:w="3637" w:type="pct"/>
            <w:tcBorders>
              <w:top w:val="single" w:sz="4" w:space="0" w:color="244062"/>
              <w:left w:val="nil"/>
              <w:right w:val="nil"/>
            </w:tcBorders>
            <w:vAlign w:val="center"/>
          </w:tcPr>
          <w:p w14:paraId="0A846071"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Son los ingresos que la empresa ya recibió por parte de los clientes, mientras que los servicios por dichos ingresos no han sido proporcionados</w:t>
            </w:r>
            <w:r>
              <w:rPr>
                <w:rFonts w:ascii="ITC Avant Garde" w:eastAsia="Times New Roman" w:hAnsi="ITC Avant Garde" w:cs="Arial"/>
                <w:sz w:val="20"/>
                <w:lang w:val="es-ES" w:eastAsia="es-ES"/>
              </w:rPr>
              <w:t>.</w:t>
            </w:r>
          </w:p>
        </w:tc>
      </w:tr>
      <w:tr w:rsidR="00A1321B" w:rsidRPr="008609D1" w14:paraId="7CE764C0" w14:textId="77777777" w:rsidTr="00505CF2">
        <w:trPr>
          <w:trHeight w:val="345"/>
          <w:jc w:val="center"/>
        </w:trPr>
        <w:tc>
          <w:tcPr>
            <w:tcW w:w="1363" w:type="pct"/>
            <w:tcBorders>
              <w:top w:val="single" w:sz="4" w:space="0" w:color="244062"/>
              <w:left w:val="nil"/>
              <w:right w:val="nil"/>
            </w:tcBorders>
            <w:shd w:val="clear" w:color="auto" w:fill="D0D1DB"/>
            <w:noWrap/>
            <w:vAlign w:val="center"/>
          </w:tcPr>
          <w:p w14:paraId="7AA8C537" w14:textId="77777777" w:rsidR="00A1321B" w:rsidRPr="00E025D5" w:rsidRDefault="00A1321B" w:rsidP="008B4286">
            <w:pPr>
              <w:spacing w:before="40" w:after="40" w:line="240" w:lineRule="auto"/>
              <w:rPr>
                <w:rFonts w:ascii="ITC Avant Garde" w:eastAsia="Times New Roman" w:hAnsi="ITC Avant Garde" w:cs="Arial"/>
                <w:sz w:val="20"/>
                <w:lang w:val="es-ES" w:eastAsia="es-ES"/>
              </w:rPr>
            </w:pPr>
            <w:r w:rsidRPr="00E025D5">
              <w:rPr>
                <w:rFonts w:ascii="ITC Avant Garde" w:eastAsia="Times New Roman" w:hAnsi="ITC Avant Garde" w:cs="Arial"/>
                <w:sz w:val="20"/>
                <w:lang w:val="es-ES" w:eastAsia="es-ES"/>
              </w:rPr>
              <w:t>Otro pasivo circulante</w:t>
            </w:r>
          </w:p>
        </w:tc>
        <w:tc>
          <w:tcPr>
            <w:tcW w:w="3637" w:type="pct"/>
            <w:tcBorders>
              <w:top w:val="single" w:sz="4" w:space="0" w:color="244062"/>
              <w:left w:val="nil"/>
              <w:right w:val="nil"/>
            </w:tcBorders>
            <w:vAlign w:val="center"/>
          </w:tcPr>
          <w:p w14:paraId="37A2D58D"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 pasivo circulante del operador asociado con sus actividades en el sector de telecomunicaciones</w:t>
            </w:r>
            <w:r>
              <w:rPr>
                <w:rFonts w:ascii="ITC Avant Garde" w:eastAsia="Times New Roman" w:hAnsi="ITC Avant Garde" w:cs="Arial"/>
                <w:sz w:val="20"/>
                <w:lang w:val="es-ES" w:eastAsia="es-ES"/>
              </w:rPr>
              <w:t>.</w:t>
            </w:r>
          </w:p>
        </w:tc>
      </w:tr>
      <w:tr w:rsidR="00A1321B" w:rsidRPr="00065393" w14:paraId="2E4BA0E8" w14:textId="77777777" w:rsidTr="00505CF2">
        <w:trPr>
          <w:trHeight w:val="340"/>
          <w:jc w:val="center"/>
        </w:trPr>
        <w:tc>
          <w:tcPr>
            <w:tcW w:w="5000" w:type="pct"/>
            <w:gridSpan w:val="2"/>
            <w:tcBorders>
              <w:top w:val="single" w:sz="4" w:space="0" w:color="244062"/>
              <w:left w:val="nil"/>
              <w:bottom w:val="single" w:sz="4" w:space="0" w:color="244062"/>
              <w:right w:val="nil"/>
            </w:tcBorders>
            <w:shd w:val="clear" w:color="auto" w:fill="EDEDED" w:themeFill="accent3" w:themeFillTint="33"/>
            <w:noWrap/>
            <w:vAlign w:val="center"/>
          </w:tcPr>
          <w:p w14:paraId="5411147B" w14:textId="77777777" w:rsidR="00A1321B" w:rsidRPr="00065393" w:rsidRDefault="00A1321B" w:rsidP="008B4286">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no relevantes para la separación contable</w:t>
            </w:r>
          </w:p>
        </w:tc>
      </w:tr>
      <w:tr w:rsidR="00A1321B" w:rsidRPr="008609D1" w14:paraId="5EF6E15E"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26689F2D"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financieros</w:t>
            </w:r>
          </w:p>
        </w:tc>
        <w:tc>
          <w:tcPr>
            <w:tcW w:w="3637" w:type="pct"/>
            <w:tcBorders>
              <w:top w:val="single" w:sz="4" w:space="0" w:color="244062"/>
              <w:left w:val="nil"/>
              <w:bottom w:val="single" w:sz="4" w:space="0" w:color="244062"/>
              <w:right w:val="nil"/>
            </w:tcBorders>
            <w:vAlign w:val="center"/>
            <w:hideMark/>
          </w:tcPr>
          <w:p w14:paraId="16AF5259"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Gastos por intereses derivados de los préstamos solicitados por la inversión para el conjunto de bienes patrimoniales y resto de costos financieros no asignables a planta</w:t>
            </w:r>
            <w:r>
              <w:rPr>
                <w:rFonts w:ascii="ITC Avant Garde" w:eastAsia="Times New Roman" w:hAnsi="ITC Avant Garde" w:cs="Arial"/>
                <w:sz w:val="20"/>
                <w:lang w:val="es-ES" w:eastAsia="es-ES"/>
              </w:rPr>
              <w:t>.</w:t>
            </w:r>
          </w:p>
        </w:tc>
      </w:tr>
      <w:tr w:rsidR="00A1321B" w:rsidRPr="008609D1" w14:paraId="230ACB59"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4030C677"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Ajustes de depreciación</w:t>
            </w:r>
          </w:p>
        </w:tc>
        <w:tc>
          <w:tcPr>
            <w:tcW w:w="3637" w:type="pct"/>
            <w:tcBorders>
              <w:top w:val="single" w:sz="4" w:space="0" w:color="244062"/>
              <w:left w:val="nil"/>
              <w:bottom w:val="single" w:sz="4" w:space="0" w:color="244062"/>
              <w:right w:val="nil"/>
            </w:tcBorders>
            <w:vAlign w:val="center"/>
            <w:hideMark/>
          </w:tcPr>
          <w:p w14:paraId="2A3A8B9D" w14:textId="77777777" w:rsidR="00A1321B" w:rsidRPr="008609D1" w:rsidRDefault="00A1321B" w:rsidP="008B428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Recoge los ajustes de la dotación a la amortización de los activos tras su revaluación a la CCA. Estos ajustes, corresponderán a la diferencia, con signo negativo, entre el costo asociado al capital en la contabilidad financiera y la CCA</w:t>
            </w:r>
            <w:r w:rsidR="003252A6">
              <w:rPr>
                <w:rFonts w:ascii="ITC Avant Garde" w:eastAsia="Times New Roman" w:hAnsi="ITC Avant Garde" w:cs="Arial"/>
                <w:sz w:val="20"/>
                <w:lang w:val="es-ES" w:eastAsia="es-ES"/>
              </w:rPr>
              <w:t>.</w:t>
            </w:r>
          </w:p>
        </w:tc>
      </w:tr>
      <w:tr w:rsidR="00A1321B" w:rsidRPr="008609D1" w14:paraId="023CC37F" w14:textId="77777777" w:rsidTr="00505CF2">
        <w:trPr>
          <w:trHeight w:val="340"/>
          <w:jc w:val="center"/>
        </w:trPr>
        <w:tc>
          <w:tcPr>
            <w:tcW w:w="1363" w:type="pct"/>
            <w:tcBorders>
              <w:top w:val="single" w:sz="4" w:space="0" w:color="244062"/>
              <w:left w:val="nil"/>
              <w:bottom w:val="single" w:sz="4" w:space="0" w:color="244062"/>
              <w:right w:val="nil"/>
            </w:tcBorders>
            <w:shd w:val="clear" w:color="auto" w:fill="D0D1DB"/>
            <w:noWrap/>
            <w:vAlign w:val="center"/>
            <w:hideMark/>
          </w:tcPr>
          <w:p w14:paraId="7027C97B" w14:textId="77777777" w:rsidR="00A1321B" w:rsidRPr="008609D1" w:rsidRDefault="00A1321B" w:rsidP="008B4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Otras partidas de costos</w:t>
            </w:r>
          </w:p>
        </w:tc>
        <w:tc>
          <w:tcPr>
            <w:tcW w:w="3637" w:type="pct"/>
            <w:tcBorders>
              <w:top w:val="single" w:sz="4" w:space="0" w:color="244062"/>
              <w:left w:val="nil"/>
              <w:bottom w:val="single" w:sz="4" w:space="0" w:color="244062"/>
              <w:right w:val="nil"/>
            </w:tcBorders>
            <w:vAlign w:val="center"/>
            <w:hideMark/>
          </w:tcPr>
          <w:p w14:paraId="41695DB5" w14:textId="26090C41" w:rsidR="00A1321B" w:rsidRPr="008609D1" w:rsidRDefault="00A1321B" w:rsidP="00887720">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Partidas de costos</w:t>
            </w:r>
            <w:r w:rsidR="00887720">
              <w:rPr>
                <w:rFonts w:ascii="ITC Avant Garde" w:eastAsia="Times New Roman" w:hAnsi="ITC Avant Garde" w:cs="Arial"/>
                <w:sz w:val="20"/>
                <w:lang w:val="es-ES" w:eastAsia="es-ES"/>
              </w:rPr>
              <w:t xml:space="preserve"> relativas a los servicios no relevantes para </w:t>
            </w:r>
            <w:r w:rsidRPr="008609D1">
              <w:rPr>
                <w:rFonts w:ascii="ITC Avant Garde" w:eastAsia="Times New Roman" w:hAnsi="ITC Avant Garde" w:cs="Arial"/>
                <w:sz w:val="20"/>
                <w:lang w:val="es-ES" w:eastAsia="es-ES"/>
              </w:rPr>
              <w:t>la prestación de los servicios de telecomunicaciones móviles</w:t>
            </w:r>
            <w:r w:rsidR="00887720">
              <w:rPr>
                <w:rFonts w:ascii="ITC Avant Garde" w:eastAsia="Times New Roman" w:hAnsi="ITC Avant Garde" w:cs="Arial"/>
                <w:sz w:val="20"/>
                <w:lang w:val="es-ES" w:eastAsia="es-ES"/>
              </w:rPr>
              <w:t>.</w:t>
            </w:r>
          </w:p>
        </w:tc>
      </w:tr>
    </w:tbl>
    <w:p w14:paraId="296A1957" w14:textId="77777777" w:rsidR="00FA4D4D" w:rsidRDefault="00FA4D4D" w:rsidP="007D37BE">
      <w:pPr>
        <w:pStyle w:val="Normalresolucion"/>
      </w:pPr>
    </w:p>
    <w:p w14:paraId="45E884E8" w14:textId="77777777" w:rsidR="007D37BE" w:rsidRDefault="007D37BE" w:rsidP="007D37BE">
      <w:pPr>
        <w:pStyle w:val="Normalresolucion"/>
      </w:pPr>
      <w:r w:rsidRPr="008609D1">
        <w:t xml:space="preserve">Listado </w:t>
      </w:r>
      <w:r w:rsidRPr="006D334F">
        <w:rPr>
          <w:bCs/>
        </w:rPr>
        <w:t>mínimo</w:t>
      </w:r>
      <w:r w:rsidRPr="008609D1">
        <w:t xml:space="preserve"> de cuentas a desagregar en el Nivel 2:</w:t>
      </w:r>
    </w:p>
    <w:p w14:paraId="2957413C" w14:textId="77777777" w:rsidR="00600DB6" w:rsidRPr="008609D1" w:rsidRDefault="00600DB6" w:rsidP="00600DB6">
      <w:pPr>
        <w:pStyle w:val="Descripcin"/>
        <w:spacing w:after="240" w:line="240" w:lineRule="auto"/>
        <w:rPr>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Pr="008609D1">
        <w:rPr>
          <w:rFonts w:ascii="ITC Avant Garde" w:hAnsi="ITC Avant Garde"/>
          <w:iCs/>
          <w:noProof/>
          <w:sz w:val="20"/>
          <w:lang w:val="es-MX"/>
        </w:rPr>
        <w:t>9</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a desagregar en el Nivel 2 de operadores de telecomunicaciones móviles</w:t>
      </w:r>
    </w:p>
    <w:tbl>
      <w:tblPr>
        <w:tblW w:w="5000" w:type="pct"/>
        <w:jc w:val="center"/>
        <w:tblLayout w:type="fixed"/>
        <w:tblCellMar>
          <w:left w:w="70" w:type="dxa"/>
          <w:right w:w="70" w:type="dxa"/>
        </w:tblCellMar>
        <w:tblLook w:val="04A0" w:firstRow="1" w:lastRow="0" w:firstColumn="1" w:lastColumn="0" w:noHBand="0" w:noVBand="1"/>
      </w:tblPr>
      <w:tblGrid>
        <w:gridCol w:w="2405"/>
        <w:gridCol w:w="6423"/>
      </w:tblGrid>
      <w:tr w:rsidR="000A4498" w:rsidRPr="008609D1" w14:paraId="0D0FDB0A" w14:textId="77777777" w:rsidTr="000A4498">
        <w:trPr>
          <w:trHeight w:val="340"/>
          <w:tblHeader/>
          <w:jc w:val="center"/>
        </w:trPr>
        <w:tc>
          <w:tcPr>
            <w:tcW w:w="1362" w:type="pct"/>
            <w:tcBorders>
              <w:top w:val="nil"/>
              <w:left w:val="single" w:sz="4" w:space="0" w:color="FFFFFF"/>
              <w:bottom w:val="single" w:sz="4" w:space="0" w:color="244062"/>
              <w:right w:val="single" w:sz="4" w:space="0" w:color="FFFFFF"/>
            </w:tcBorders>
            <w:shd w:val="clear" w:color="auto" w:fill="4F629B"/>
            <w:vAlign w:val="center"/>
            <w:hideMark/>
          </w:tcPr>
          <w:p w14:paraId="043FA202" w14:textId="77777777" w:rsidR="000A4498" w:rsidRPr="008609D1" w:rsidRDefault="000A4498" w:rsidP="004B3901">
            <w:pPr>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Categoría</w:t>
            </w:r>
          </w:p>
        </w:tc>
        <w:tc>
          <w:tcPr>
            <w:tcW w:w="3638" w:type="pct"/>
            <w:tcBorders>
              <w:top w:val="nil"/>
              <w:left w:val="single" w:sz="4" w:space="0" w:color="FFFFFF"/>
              <w:bottom w:val="single" w:sz="4" w:space="0" w:color="244062"/>
              <w:right w:val="single" w:sz="4" w:space="0" w:color="FFFFFF"/>
            </w:tcBorders>
            <w:shd w:val="clear" w:color="auto" w:fill="4F629B"/>
            <w:vAlign w:val="center"/>
            <w:hideMark/>
          </w:tcPr>
          <w:p w14:paraId="1836E585" w14:textId="77777777" w:rsidR="000A4498" w:rsidRPr="008609D1" w:rsidRDefault="000A4498" w:rsidP="004B3901">
            <w:pPr>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Descripción</w:t>
            </w:r>
          </w:p>
        </w:tc>
      </w:tr>
      <w:tr w:rsidR="000A4498" w:rsidRPr="008609D1" w14:paraId="64976D3B" w14:textId="77777777" w:rsidTr="000A4498">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3452B931" w14:textId="77777777" w:rsidR="000A4498" w:rsidRPr="008609D1" w:rsidRDefault="000A4498"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Componentes de red</w:t>
            </w:r>
          </w:p>
        </w:tc>
      </w:tr>
      <w:tr w:rsidR="000A4498" w:rsidRPr="008609D1" w14:paraId="480B9E05" w14:textId="77777777" w:rsidTr="000A4498">
        <w:trPr>
          <w:trHeight w:val="340"/>
          <w:jc w:val="center"/>
        </w:trPr>
        <w:tc>
          <w:tcPr>
            <w:tcW w:w="5000" w:type="pct"/>
            <w:gridSpan w:val="2"/>
            <w:tcBorders>
              <w:top w:val="single" w:sz="4" w:space="0" w:color="244062"/>
              <w:left w:val="nil"/>
              <w:bottom w:val="single" w:sz="4" w:space="0" w:color="244062"/>
              <w:right w:val="nil"/>
            </w:tcBorders>
            <w:noWrap/>
            <w:vAlign w:val="center"/>
            <w:hideMark/>
          </w:tcPr>
          <w:p w14:paraId="204667DF" w14:textId="77777777" w:rsidR="000A4498" w:rsidRPr="008609D1" w:rsidRDefault="000A4498"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Red de acceso</w:t>
            </w:r>
          </w:p>
        </w:tc>
      </w:tr>
      <w:tr w:rsidR="000A4498" w:rsidRPr="008609D1" w14:paraId="78051F0F" w14:textId="77777777" w:rsidTr="000A4498">
        <w:trPr>
          <w:trHeight w:val="340"/>
          <w:jc w:val="center"/>
        </w:trPr>
        <w:tc>
          <w:tcPr>
            <w:tcW w:w="5000" w:type="pct"/>
            <w:gridSpan w:val="2"/>
            <w:tcBorders>
              <w:top w:val="single" w:sz="4" w:space="0" w:color="244062"/>
              <w:left w:val="nil"/>
              <w:bottom w:val="single" w:sz="4" w:space="0" w:color="244062"/>
              <w:right w:val="nil"/>
            </w:tcBorders>
            <w:noWrap/>
            <w:vAlign w:val="center"/>
          </w:tcPr>
          <w:p w14:paraId="00B9EEA7" w14:textId="77777777" w:rsidR="000A4498" w:rsidRPr="008609D1" w:rsidRDefault="000A4498"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Elementos de infraestructura pasiva</w:t>
            </w:r>
          </w:p>
        </w:tc>
      </w:tr>
      <w:tr w:rsidR="000A4498" w:rsidRPr="008609D1" w14:paraId="38265240"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7856A99" w14:textId="5C000678" w:rsidR="000A4498" w:rsidRPr="006D334F" w:rsidRDefault="000A4498" w:rsidP="00754047">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lastRenderedPageBreak/>
              <w:t xml:space="preserve">Espacio en </w:t>
            </w:r>
            <w:r w:rsidR="00754047">
              <w:rPr>
                <w:rFonts w:ascii="ITC Avant Garde" w:eastAsia="Times New Roman" w:hAnsi="ITC Avant Garde" w:cs="Arial"/>
                <w:sz w:val="20"/>
                <w:lang w:val="es-ES" w:eastAsia="es-ES"/>
              </w:rPr>
              <w:t>t</w:t>
            </w:r>
            <w:r w:rsidRPr="006D334F">
              <w:rPr>
                <w:rFonts w:ascii="ITC Avant Garde" w:eastAsia="Times New Roman" w:hAnsi="ITC Avant Garde" w:cs="Arial"/>
                <w:sz w:val="20"/>
                <w:lang w:val="es-ES" w:eastAsia="es-ES"/>
              </w:rPr>
              <w:t>orre</w:t>
            </w:r>
          </w:p>
        </w:tc>
        <w:tc>
          <w:tcPr>
            <w:tcW w:w="3638" w:type="pct"/>
            <w:tcBorders>
              <w:top w:val="single" w:sz="4" w:space="0" w:color="244062"/>
              <w:left w:val="nil"/>
              <w:bottom w:val="single" w:sz="4" w:space="0" w:color="244062"/>
              <w:right w:val="nil"/>
            </w:tcBorders>
            <w:vAlign w:val="center"/>
            <w:hideMark/>
          </w:tcPr>
          <w:p w14:paraId="54576764" w14:textId="77777777" w:rsidR="000A4498" w:rsidRPr="006D334F" w:rsidRDefault="000A4498"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Espacio en estructuras arriostradas o auto-soportas, sean mástiles, postes o torres y cualquier otra destinadas a la instalación de antenas de radiocomunicación</w:t>
            </w:r>
            <w:r w:rsidR="00447BCC">
              <w:rPr>
                <w:rFonts w:ascii="ITC Avant Garde" w:eastAsia="Times New Roman" w:hAnsi="ITC Avant Garde" w:cs="Arial"/>
                <w:sz w:val="20"/>
                <w:lang w:val="es-ES" w:eastAsia="es-ES"/>
              </w:rPr>
              <w:t>.</w:t>
            </w:r>
          </w:p>
        </w:tc>
      </w:tr>
      <w:tr w:rsidR="000A4498" w:rsidRPr="008609D1" w14:paraId="7C3E87AB"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312E42CF" w14:textId="08050C21" w:rsidR="000A4498" w:rsidRPr="006D334F" w:rsidRDefault="000A4498" w:rsidP="001735D4">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Espacio en </w:t>
            </w:r>
            <w:r w:rsidR="00754047">
              <w:rPr>
                <w:rFonts w:ascii="ITC Avant Garde" w:eastAsia="Times New Roman" w:hAnsi="ITC Avant Garde" w:cs="Arial"/>
                <w:sz w:val="20"/>
                <w:lang w:val="es-ES" w:eastAsia="es-ES"/>
              </w:rPr>
              <w:t>p</w:t>
            </w:r>
            <w:r w:rsidRPr="006D334F">
              <w:rPr>
                <w:rFonts w:ascii="ITC Avant Garde" w:eastAsia="Times New Roman" w:hAnsi="ITC Avant Garde" w:cs="Arial"/>
                <w:sz w:val="20"/>
                <w:lang w:val="es-ES" w:eastAsia="es-ES"/>
              </w:rPr>
              <w:t>iso</w:t>
            </w:r>
          </w:p>
        </w:tc>
        <w:tc>
          <w:tcPr>
            <w:tcW w:w="3638" w:type="pct"/>
            <w:tcBorders>
              <w:top w:val="single" w:sz="4" w:space="0" w:color="244062"/>
              <w:left w:val="nil"/>
              <w:bottom w:val="single" w:sz="4" w:space="0" w:color="244062"/>
              <w:right w:val="nil"/>
            </w:tcBorders>
            <w:vAlign w:val="center"/>
            <w:hideMark/>
          </w:tcPr>
          <w:p w14:paraId="56C5C5B5" w14:textId="44AEFBFF" w:rsidR="000A4498" w:rsidRPr="006D334F" w:rsidRDefault="000A4498" w:rsidP="008938FC">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Espacios físicos en sitios diversos a las </w:t>
            </w:r>
            <w:r w:rsidR="008938FC">
              <w:rPr>
                <w:rFonts w:ascii="ITC Avant Garde" w:eastAsia="Times New Roman" w:hAnsi="ITC Avant Garde" w:cs="Arial"/>
                <w:sz w:val="20"/>
                <w:lang w:val="es-ES" w:eastAsia="es-ES"/>
              </w:rPr>
              <w:t>t</w:t>
            </w:r>
            <w:r w:rsidRPr="006D334F">
              <w:rPr>
                <w:rFonts w:ascii="ITC Avant Garde" w:eastAsia="Times New Roman" w:hAnsi="ITC Avant Garde" w:cs="Arial"/>
                <w:sz w:val="20"/>
                <w:lang w:val="es-ES" w:eastAsia="es-ES"/>
              </w:rPr>
              <w:t>orres, tales como suelo, tejados, techos, azoteas, para la instalación de equipos transceptores, así como sus auxiliares (tales como sistemas de fuerza y/o bancos de batería de respaldo, sistemas de aire acondicionado, alarmas y demás elementos activos)</w:t>
            </w:r>
            <w:r w:rsidR="00447BCC">
              <w:rPr>
                <w:rFonts w:ascii="ITC Avant Garde" w:eastAsia="Times New Roman" w:hAnsi="ITC Avant Garde" w:cs="Arial"/>
                <w:sz w:val="20"/>
                <w:lang w:val="es-ES" w:eastAsia="es-ES"/>
              </w:rPr>
              <w:t>.</w:t>
            </w:r>
          </w:p>
        </w:tc>
      </w:tr>
      <w:tr w:rsidR="000A4498" w:rsidRPr="008609D1" w14:paraId="21EF748F" w14:textId="77777777" w:rsidTr="00154F13">
        <w:trPr>
          <w:trHeight w:val="340"/>
          <w:jc w:val="center"/>
        </w:trPr>
        <w:tc>
          <w:tcPr>
            <w:tcW w:w="5000" w:type="pct"/>
            <w:gridSpan w:val="2"/>
            <w:tcBorders>
              <w:top w:val="single" w:sz="4" w:space="0" w:color="244062"/>
              <w:left w:val="nil"/>
              <w:bottom w:val="single" w:sz="4" w:space="0" w:color="244062"/>
            </w:tcBorders>
            <w:shd w:val="clear" w:color="auto" w:fill="auto"/>
            <w:noWrap/>
            <w:vAlign w:val="center"/>
          </w:tcPr>
          <w:p w14:paraId="05E79FF0"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Elementos de infraestructura activa</w:t>
            </w:r>
          </w:p>
        </w:tc>
      </w:tr>
      <w:tr w:rsidR="000A4498" w:rsidRPr="008609D1" w14:paraId="181202A7"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A575887" w14:textId="77777777" w:rsidR="000A4498" w:rsidRPr="006D334F" w:rsidRDefault="000A4498" w:rsidP="001735D4">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Equipos de acceso 2G</w:t>
            </w:r>
          </w:p>
        </w:tc>
        <w:tc>
          <w:tcPr>
            <w:tcW w:w="3638" w:type="pct"/>
            <w:tcBorders>
              <w:top w:val="single" w:sz="4" w:space="0" w:color="244062"/>
              <w:left w:val="nil"/>
              <w:bottom w:val="single" w:sz="4" w:space="0" w:color="244062"/>
              <w:right w:val="nil"/>
            </w:tcBorders>
            <w:vAlign w:val="center"/>
            <w:hideMark/>
          </w:tcPr>
          <w:p w14:paraId="03EC374C" w14:textId="77777777" w:rsidR="000A4498" w:rsidRPr="006D334F" w:rsidRDefault="000A4498"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Elementos de infraestructura activos para las estaciones base de la red de acceso 2G. Incluyendo las BTS</w:t>
            </w:r>
            <w:r w:rsidRPr="006D334F">
              <w:rPr>
                <w:rStyle w:val="Refdenotaalpie"/>
                <w:rFonts w:ascii="ITC Avant Garde" w:eastAsia="Times New Roman" w:hAnsi="ITC Avant Garde" w:cs="Arial"/>
                <w:sz w:val="20"/>
                <w:lang w:val="es-ES" w:eastAsia="es-ES"/>
              </w:rPr>
              <w:footnoteReference w:id="40"/>
            </w:r>
            <w:r w:rsidRPr="006D334F">
              <w:rPr>
                <w:rFonts w:ascii="ITC Avant Garde" w:eastAsia="Times New Roman" w:hAnsi="ITC Avant Garde" w:cs="Arial"/>
                <w:sz w:val="20"/>
                <w:lang w:val="es-ES" w:eastAsia="es-ES"/>
              </w:rPr>
              <w:t>, así como sus antenas y transmisores correspondientes</w:t>
            </w:r>
            <w:r w:rsidR="00447BCC">
              <w:rPr>
                <w:rFonts w:ascii="ITC Avant Garde" w:eastAsia="Times New Roman" w:hAnsi="ITC Avant Garde" w:cs="Arial"/>
                <w:sz w:val="20"/>
                <w:lang w:val="es-ES" w:eastAsia="es-ES"/>
              </w:rPr>
              <w:t>.</w:t>
            </w:r>
          </w:p>
        </w:tc>
      </w:tr>
      <w:tr w:rsidR="000A4498" w:rsidRPr="008609D1" w14:paraId="35623C43"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05FC824F" w14:textId="77777777" w:rsidR="000A4498" w:rsidRPr="006D334F" w:rsidRDefault="000A4498" w:rsidP="001735D4">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Equipos de acceso 3G</w:t>
            </w:r>
          </w:p>
        </w:tc>
        <w:tc>
          <w:tcPr>
            <w:tcW w:w="3638" w:type="pct"/>
            <w:tcBorders>
              <w:top w:val="single" w:sz="4" w:space="0" w:color="244062"/>
              <w:left w:val="nil"/>
              <w:bottom w:val="single" w:sz="4" w:space="0" w:color="244062"/>
              <w:right w:val="nil"/>
            </w:tcBorders>
            <w:vAlign w:val="center"/>
            <w:hideMark/>
          </w:tcPr>
          <w:p w14:paraId="431FC8AC" w14:textId="77777777" w:rsidR="000A4498" w:rsidRPr="006D334F" w:rsidRDefault="000A4498"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Elementos de infraestructura activos para las estaciones base de la red de acceso 3G. Incluyendo los NodosB, así como sus antenas y transmisores correspondientes</w:t>
            </w:r>
            <w:r w:rsidR="00447BCC">
              <w:rPr>
                <w:rFonts w:ascii="ITC Avant Garde" w:eastAsia="Times New Roman" w:hAnsi="ITC Avant Garde" w:cs="Arial"/>
                <w:sz w:val="20"/>
                <w:lang w:val="es-ES" w:eastAsia="es-ES"/>
              </w:rPr>
              <w:t>.</w:t>
            </w:r>
          </w:p>
        </w:tc>
      </w:tr>
      <w:tr w:rsidR="000A4498" w:rsidRPr="008609D1" w14:paraId="17040C94"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14AE9EA6" w14:textId="77777777" w:rsidR="000A4498" w:rsidRPr="006D334F" w:rsidRDefault="000A4498" w:rsidP="001735D4">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Equipos de acceso 4G</w:t>
            </w:r>
          </w:p>
        </w:tc>
        <w:tc>
          <w:tcPr>
            <w:tcW w:w="3638" w:type="pct"/>
            <w:tcBorders>
              <w:top w:val="single" w:sz="4" w:space="0" w:color="244062"/>
              <w:left w:val="nil"/>
              <w:bottom w:val="single" w:sz="4" w:space="0" w:color="244062"/>
              <w:right w:val="nil"/>
            </w:tcBorders>
            <w:vAlign w:val="center"/>
            <w:hideMark/>
          </w:tcPr>
          <w:p w14:paraId="0A0904A6" w14:textId="77777777" w:rsidR="000A4498" w:rsidRPr="006D334F" w:rsidRDefault="000A4498"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Elementos de infraestructura activos para las estaciones base de la red de acceso 4G. Incluyendo los eNodosB, así como sus antenas y transmisores correspondientes</w:t>
            </w:r>
            <w:r w:rsidR="00447BCC">
              <w:rPr>
                <w:rFonts w:ascii="ITC Avant Garde" w:eastAsia="Times New Roman" w:hAnsi="ITC Avant Garde" w:cs="Arial"/>
                <w:sz w:val="20"/>
                <w:lang w:val="es-ES" w:eastAsia="es-ES"/>
              </w:rPr>
              <w:t>.</w:t>
            </w:r>
          </w:p>
        </w:tc>
      </w:tr>
      <w:tr w:rsidR="000A4498" w:rsidRPr="008609D1" w14:paraId="0C41AF7D"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11634D0E"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Single RAN</w:t>
            </w:r>
          </w:p>
        </w:tc>
        <w:tc>
          <w:tcPr>
            <w:tcW w:w="3638" w:type="pct"/>
            <w:tcBorders>
              <w:top w:val="single" w:sz="4" w:space="0" w:color="244062"/>
              <w:left w:val="nil"/>
              <w:bottom w:val="single" w:sz="4" w:space="0" w:color="244062"/>
              <w:right w:val="nil"/>
            </w:tcBorders>
            <w:vAlign w:val="center"/>
            <w:hideMark/>
          </w:tcPr>
          <w:p w14:paraId="298FC9E9" w14:textId="08062D59" w:rsidR="000A4498" w:rsidRPr="008609D1" w:rsidRDefault="000A4498" w:rsidP="00754047">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Conjunto de equipos de acceso que permiten la prestación simult</w:t>
            </w:r>
            <w:r w:rsidR="00754047">
              <w:rPr>
                <w:rFonts w:ascii="ITC Avant Garde" w:eastAsia="Times New Roman" w:hAnsi="ITC Avant Garde" w:cs="Arial"/>
                <w:sz w:val="20"/>
                <w:lang w:val="es-ES" w:eastAsia="es-ES"/>
              </w:rPr>
              <w:t>á</w:t>
            </w:r>
            <w:r w:rsidRPr="008609D1">
              <w:rPr>
                <w:rFonts w:ascii="ITC Avant Garde" w:eastAsia="Times New Roman" w:hAnsi="ITC Avant Garde" w:cs="Arial"/>
                <w:sz w:val="20"/>
                <w:lang w:val="es-ES" w:eastAsia="es-ES"/>
              </w:rPr>
              <w:t>nea de servicios de telefonía móvil bajo tecnologías 2G, 3G y 4G indistintamente.</w:t>
            </w:r>
          </w:p>
        </w:tc>
      </w:tr>
      <w:tr w:rsidR="000A4498" w:rsidRPr="008609D1" w14:paraId="61A254A9"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4EF5F898"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Sistemas de aire acondicionado</w:t>
            </w:r>
          </w:p>
        </w:tc>
        <w:tc>
          <w:tcPr>
            <w:tcW w:w="3638" w:type="pct"/>
            <w:tcBorders>
              <w:top w:val="single" w:sz="4" w:space="0" w:color="244062"/>
              <w:left w:val="nil"/>
              <w:bottom w:val="single" w:sz="4" w:space="0" w:color="244062"/>
              <w:right w:val="nil"/>
            </w:tcBorders>
            <w:vAlign w:val="center"/>
          </w:tcPr>
          <w:p w14:paraId="4D4EC32C" w14:textId="3F0F5C1F" w:rsidR="000A4498" w:rsidRPr="008609D1" w:rsidRDefault="000A4498" w:rsidP="00754047">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Constituido por aquellos que se encuentren al interior del </w:t>
            </w:r>
            <w:r w:rsidR="00754047">
              <w:rPr>
                <w:rFonts w:ascii="ITC Avant Garde" w:eastAsia="Times New Roman" w:hAnsi="ITC Avant Garde" w:cs="Arial"/>
                <w:sz w:val="20"/>
                <w:lang w:val="es-ES" w:eastAsia="es-ES"/>
              </w:rPr>
              <w:t>s</w:t>
            </w:r>
            <w:r w:rsidRPr="008609D1">
              <w:rPr>
                <w:rFonts w:ascii="ITC Avant Garde" w:eastAsia="Times New Roman" w:hAnsi="ITC Avant Garde" w:cs="Arial"/>
                <w:sz w:val="20"/>
                <w:lang w:val="es-ES" w:eastAsia="es-ES"/>
              </w:rPr>
              <w:t xml:space="preserve">itio y que no formen parte o se encuentren integrados a cualquier elemento activo en el </w:t>
            </w:r>
            <w:r w:rsidR="00754047">
              <w:rPr>
                <w:rFonts w:ascii="ITC Avant Garde" w:eastAsia="Times New Roman" w:hAnsi="ITC Avant Garde" w:cs="Arial"/>
                <w:sz w:val="20"/>
                <w:lang w:val="es-ES" w:eastAsia="es-ES"/>
              </w:rPr>
              <w:t>s</w:t>
            </w:r>
            <w:r w:rsidRPr="008609D1">
              <w:rPr>
                <w:rFonts w:ascii="ITC Avant Garde" w:eastAsia="Times New Roman" w:hAnsi="ITC Avant Garde" w:cs="Arial"/>
                <w:sz w:val="20"/>
                <w:lang w:val="es-ES" w:eastAsia="es-ES"/>
              </w:rPr>
              <w:t>itio.</w:t>
            </w:r>
          </w:p>
        </w:tc>
      </w:tr>
      <w:tr w:rsidR="000A4498" w:rsidRPr="008609D1" w14:paraId="7A3FFFC1"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2B96C3E4" w14:textId="4B4DF7FD" w:rsidR="000A4498" w:rsidRPr="006D334F" w:rsidRDefault="000A4498" w:rsidP="00754047">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Elementos </w:t>
            </w:r>
            <w:r w:rsidR="00754047">
              <w:rPr>
                <w:rFonts w:ascii="ITC Avant Garde" w:eastAsia="Times New Roman" w:hAnsi="ITC Avant Garde" w:cs="Arial"/>
                <w:sz w:val="20"/>
                <w:lang w:val="es-ES" w:eastAsia="es-ES"/>
              </w:rPr>
              <w:t>a</w:t>
            </w:r>
            <w:r w:rsidRPr="006D334F">
              <w:rPr>
                <w:rFonts w:ascii="ITC Avant Garde" w:eastAsia="Times New Roman" w:hAnsi="ITC Avant Garde" w:cs="Arial"/>
                <w:sz w:val="20"/>
                <w:lang w:val="es-ES" w:eastAsia="es-ES"/>
              </w:rPr>
              <w:t>uxiliares</w:t>
            </w:r>
          </w:p>
        </w:tc>
        <w:tc>
          <w:tcPr>
            <w:tcW w:w="3638" w:type="pct"/>
            <w:tcBorders>
              <w:top w:val="single" w:sz="4" w:space="0" w:color="244062"/>
              <w:left w:val="nil"/>
              <w:bottom w:val="single" w:sz="4" w:space="0" w:color="244062"/>
              <w:right w:val="nil"/>
            </w:tcBorders>
            <w:vAlign w:val="center"/>
          </w:tcPr>
          <w:p w14:paraId="51E5DC44" w14:textId="092F7FE0" w:rsidR="000A4498" w:rsidRPr="006D334F" w:rsidRDefault="000A4498" w:rsidP="00754047">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Canalizaciones, elementos de seguridad (restrictores de acceso), instalaciones de equipo y alimentaciones conexas, existentes en el </w:t>
            </w:r>
            <w:r w:rsidR="00754047">
              <w:rPr>
                <w:rFonts w:ascii="ITC Avant Garde" w:eastAsia="Times New Roman" w:hAnsi="ITC Avant Garde" w:cs="Arial"/>
                <w:sz w:val="20"/>
                <w:lang w:val="es-ES" w:eastAsia="es-ES"/>
              </w:rPr>
              <w:t>s</w:t>
            </w:r>
            <w:r w:rsidRPr="006D334F">
              <w:rPr>
                <w:rFonts w:ascii="ITC Avant Garde" w:eastAsia="Times New Roman" w:hAnsi="ITC Avant Garde" w:cs="Arial"/>
                <w:sz w:val="20"/>
                <w:lang w:val="es-ES" w:eastAsia="es-ES"/>
              </w:rPr>
              <w:t>itio.</w:t>
            </w:r>
          </w:p>
        </w:tc>
      </w:tr>
      <w:tr w:rsidR="000A4498" w:rsidRPr="008609D1" w14:paraId="00480D21"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04439444"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elementos de la red de acceso</w:t>
            </w:r>
          </w:p>
        </w:tc>
        <w:tc>
          <w:tcPr>
            <w:tcW w:w="3638" w:type="pct"/>
            <w:tcBorders>
              <w:top w:val="single" w:sz="4" w:space="0" w:color="244062"/>
              <w:left w:val="nil"/>
              <w:bottom w:val="single" w:sz="4" w:space="0" w:color="244062"/>
              <w:right w:val="nil"/>
            </w:tcBorders>
            <w:vAlign w:val="center"/>
            <w:hideMark/>
          </w:tcPr>
          <w:p w14:paraId="2F9B9FA3" w14:textId="77777777" w:rsidR="000A4498" w:rsidRPr="008609D1" w:rsidRDefault="000A4498"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la red de acceso móvil</w:t>
            </w:r>
            <w:r w:rsidR="00447BCC">
              <w:rPr>
                <w:rFonts w:ascii="ITC Avant Garde" w:eastAsia="Times New Roman" w:hAnsi="ITC Avant Garde" w:cs="Arial"/>
                <w:sz w:val="20"/>
                <w:lang w:val="es-ES" w:eastAsia="es-ES"/>
              </w:rPr>
              <w:t>.</w:t>
            </w:r>
          </w:p>
        </w:tc>
      </w:tr>
      <w:tr w:rsidR="000A4498" w:rsidRPr="008609D1" w14:paraId="2D89BD63" w14:textId="77777777" w:rsidTr="000A4498">
        <w:trPr>
          <w:trHeight w:val="340"/>
          <w:jc w:val="center"/>
        </w:trPr>
        <w:tc>
          <w:tcPr>
            <w:tcW w:w="5000" w:type="pct"/>
            <w:gridSpan w:val="2"/>
            <w:tcBorders>
              <w:top w:val="single" w:sz="4" w:space="0" w:color="244062"/>
              <w:left w:val="nil"/>
              <w:bottom w:val="single" w:sz="4" w:space="0" w:color="244062"/>
              <w:right w:val="nil"/>
            </w:tcBorders>
            <w:noWrap/>
            <w:vAlign w:val="center"/>
            <w:hideMark/>
          </w:tcPr>
          <w:p w14:paraId="672C6774" w14:textId="77777777" w:rsidR="000A4498" w:rsidRPr="008609D1" w:rsidRDefault="000A4498"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Red de agregación y transporte</w:t>
            </w:r>
          </w:p>
        </w:tc>
      </w:tr>
      <w:tr w:rsidR="000A4498" w:rsidRPr="008609D1" w14:paraId="3823AE23"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18334493"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Enlaces sitios de acceso - controladores</w:t>
            </w:r>
          </w:p>
        </w:tc>
        <w:tc>
          <w:tcPr>
            <w:tcW w:w="3638" w:type="pct"/>
            <w:tcBorders>
              <w:top w:val="single" w:sz="4" w:space="0" w:color="244062"/>
              <w:left w:val="nil"/>
              <w:bottom w:val="single" w:sz="4" w:space="0" w:color="244062"/>
              <w:right w:val="nil"/>
            </w:tcBorders>
            <w:vAlign w:val="center"/>
            <w:hideMark/>
          </w:tcPr>
          <w:p w14:paraId="01DA8B6E" w14:textId="7E497B7A"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Elementos de conexión entre equipos de acceso (BTS, NodosB o eNodosB) y equipos controladores (BSC</w:t>
            </w:r>
            <w:r w:rsidRPr="008609D1">
              <w:rPr>
                <w:rStyle w:val="Refdenotaalpie"/>
                <w:rFonts w:ascii="ITC Avant Garde" w:eastAsia="Times New Roman" w:hAnsi="ITC Avant Garde" w:cs="Arial"/>
                <w:sz w:val="20"/>
                <w:szCs w:val="20"/>
                <w:lang w:val="es-ES" w:eastAsia="es-ES"/>
              </w:rPr>
              <w:footnoteReference w:id="41"/>
            </w:r>
            <w:r w:rsidRPr="008609D1">
              <w:rPr>
                <w:rFonts w:ascii="ITC Avant Garde" w:eastAsia="Times New Roman" w:hAnsi="ITC Avant Garde" w:cs="Arial"/>
                <w:sz w:val="20"/>
                <w:szCs w:val="20"/>
                <w:lang w:val="es-ES" w:eastAsia="es-ES"/>
              </w:rPr>
              <w:t>, RNC</w:t>
            </w:r>
            <w:r w:rsidRPr="008609D1">
              <w:rPr>
                <w:rStyle w:val="Refdenotaalpie"/>
                <w:rFonts w:ascii="ITC Avant Garde" w:eastAsia="Times New Roman" w:hAnsi="ITC Avant Garde" w:cs="Arial"/>
                <w:sz w:val="20"/>
                <w:szCs w:val="20"/>
                <w:lang w:val="es-ES" w:eastAsia="es-ES"/>
              </w:rPr>
              <w:footnoteReference w:id="42"/>
            </w:r>
            <w:r w:rsidRPr="008609D1">
              <w:rPr>
                <w:rFonts w:ascii="ITC Avant Garde" w:eastAsia="Times New Roman" w:hAnsi="ITC Avant Garde" w:cs="Arial"/>
                <w:sz w:val="20"/>
                <w:szCs w:val="20"/>
                <w:lang w:val="es-ES" w:eastAsia="es-ES"/>
              </w:rPr>
              <w:t>)</w:t>
            </w:r>
            <w:r w:rsidR="00447BCC">
              <w:rPr>
                <w:rFonts w:ascii="ITC Avant Garde" w:eastAsia="Times New Roman" w:hAnsi="ITC Avant Garde" w:cs="Arial"/>
                <w:sz w:val="20"/>
                <w:szCs w:val="20"/>
                <w:lang w:val="es-ES" w:eastAsia="es-ES"/>
              </w:rPr>
              <w:t>.</w:t>
            </w:r>
          </w:p>
        </w:tc>
      </w:tr>
      <w:tr w:rsidR="000A4498" w:rsidRPr="008609D1" w14:paraId="4BB85B46"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4BDC50E1"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Enlaces controladores - núcleo </w:t>
            </w:r>
          </w:p>
        </w:tc>
        <w:tc>
          <w:tcPr>
            <w:tcW w:w="3638" w:type="pct"/>
            <w:tcBorders>
              <w:top w:val="single" w:sz="4" w:space="0" w:color="244062"/>
              <w:left w:val="nil"/>
              <w:bottom w:val="single" w:sz="4" w:space="0" w:color="244062"/>
              <w:right w:val="nil"/>
            </w:tcBorders>
            <w:vAlign w:val="center"/>
            <w:hideMark/>
          </w:tcPr>
          <w:p w14:paraId="5E17A240"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Elementos de conexión entre controladores de red y centrales de núcleo</w:t>
            </w:r>
            <w:r w:rsidR="00447BCC">
              <w:rPr>
                <w:rFonts w:ascii="ITC Avant Garde" w:eastAsia="Times New Roman" w:hAnsi="ITC Avant Garde" w:cs="Arial"/>
                <w:sz w:val="20"/>
                <w:szCs w:val="20"/>
                <w:lang w:val="es-ES" w:eastAsia="es-ES"/>
              </w:rPr>
              <w:t>.</w:t>
            </w:r>
          </w:p>
        </w:tc>
      </w:tr>
      <w:tr w:rsidR="000A4498" w:rsidRPr="008609D1" w14:paraId="0BC956ED"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A926717"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Enlaces controlador - controlador</w:t>
            </w:r>
          </w:p>
        </w:tc>
        <w:tc>
          <w:tcPr>
            <w:tcW w:w="3638" w:type="pct"/>
            <w:tcBorders>
              <w:top w:val="single" w:sz="4" w:space="0" w:color="244062"/>
              <w:left w:val="nil"/>
              <w:bottom w:val="single" w:sz="4" w:space="0" w:color="244062"/>
              <w:right w:val="nil"/>
            </w:tcBorders>
            <w:vAlign w:val="center"/>
            <w:hideMark/>
          </w:tcPr>
          <w:p w14:paraId="5D89D550"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Elementos de conexión entre controladores de red</w:t>
            </w:r>
            <w:r w:rsidR="00447BCC">
              <w:rPr>
                <w:rFonts w:ascii="ITC Avant Garde" w:eastAsia="Times New Roman" w:hAnsi="ITC Avant Garde" w:cs="Arial"/>
                <w:sz w:val="20"/>
                <w:szCs w:val="20"/>
                <w:lang w:val="es-ES" w:eastAsia="es-ES"/>
              </w:rPr>
              <w:t>.</w:t>
            </w:r>
          </w:p>
        </w:tc>
      </w:tr>
      <w:tr w:rsidR="000A4498" w:rsidRPr="008609D1" w14:paraId="01967F10"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4618750D"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Enlaces núcleo - núcleo</w:t>
            </w:r>
          </w:p>
        </w:tc>
        <w:tc>
          <w:tcPr>
            <w:tcW w:w="3638" w:type="pct"/>
            <w:tcBorders>
              <w:top w:val="single" w:sz="4" w:space="0" w:color="244062"/>
              <w:left w:val="nil"/>
              <w:bottom w:val="single" w:sz="4" w:space="0" w:color="244062"/>
              <w:right w:val="nil"/>
            </w:tcBorders>
            <w:vAlign w:val="center"/>
            <w:hideMark/>
          </w:tcPr>
          <w:p w14:paraId="334F3AFB"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Elementos de conexión entre centrales de núcleo</w:t>
            </w:r>
            <w:r w:rsidR="00447BCC">
              <w:rPr>
                <w:rFonts w:ascii="ITC Avant Garde" w:eastAsia="Times New Roman" w:hAnsi="ITC Avant Garde" w:cs="Arial"/>
                <w:sz w:val="20"/>
                <w:szCs w:val="20"/>
                <w:lang w:val="es-ES" w:eastAsia="es-ES"/>
              </w:rPr>
              <w:t>.</w:t>
            </w:r>
          </w:p>
        </w:tc>
      </w:tr>
      <w:tr w:rsidR="000A4498" w:rsidRPr="008609D1" w14:paraId="7A76F93E"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05952E0E"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Enlaces submarinos</w:t>
            </w:r>
          </w:p>
        </w:tc>
        <w:tc>
          <w:tcPr>
            <w:tcW w:w="3638" w:type="pct"/>
            <w:tcBorders>
              <w:top w:val="single" w:sz="4" w:space="0" w:color="244062"/>
              <w:left w:val="nil"/>
              <w:bottom w:val="single" w:sz="4" w:space="0" w:color="244062"/>
              <w:right w:val="nil"/>
            </w:tcBorders>
            <w:vAlign w:val="center"/>
            <w:hideMark/>
          </w:tcPr>
          <w:p w14:paraId="47148D21"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Elementos de transmisión submarinos</w:t>
            </w:r>
            <w:r w:rsidR="00447BCC">
              <w:rPr>
                <w:rFonts w:ascii="ITC Avant Garde" w:eastAsia="Times New Roman" w:hAnsi="ITC Avant Garde" w:cs="Arial"/>
                <w:sz w:val="20"/>
                <w:szCs w:val="20"/>
                <w:lang w:val="es-ES" w:eastAsia="es-ES"/>
              </w:rPr>
              <w:t>.</w:t>
            </w:r>
          </w:p>
        </w:tc>
      </w:tr>
      <w:tr w:rsidR="000A4498" w:rsidRPr="008609D1" w14:paraId="1DB4C87E"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4144C0B3"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lastRenderedPageBreak/>
              <w:t>Otros enlaces de transmisión</w:t>
            </w:r>
          </w:p>
        </w:tc>
        <w:tc>
          <w:tcPr>
            <w:tcW w:w="3638" w:type="pct"/>
            <w:tcBorders>
              <w:top w:val="single" w:sz="4" w:space="0" w:color="244062"/>
              <w:left w:val="nil"/>
              <w:bottom w:val="single" w:sz="4" w:space="0" w:color="244062"/>
              <w:right w:val="nil"/>
            </w:tcBorders>
            <w:vAlign w:val="center"/>
            <w:hideMark/>
          </w:tcPr>
          <w:p w14:paraId="05A17291"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enlaces en la red de transmisión móvil</w:t>
            </w:r>
            <w:r w:rsidR="00447BCC">
              <w:rPr>
                <w:rFonts w:ascii="ITC Avant Garde" w:eastAsia="Times New Roman" w:hAnsi="ITC Avant Garde" w:cs="Arial"/>
                <w:sz w:val="20"/>
                <w:szCs w:val="20"/>
                <w:lang w:val="es-ES" w:eastAsia="es-ES"/>
              </w:rPr>
              <w:t>.</w:t>
            </w:r>
          </w:p>
        </w:tc>
      </w:tr>
      <w:tr w:rsidR="000A4498" w:rsidRPr="008609D1" w14:paraId="2D039B59" w14:textId="77777777" w:rsidTr="000A4498">
        <w:trPr>
          <w:trHeight w:val="340"/>
          <w:jc w:val="center"/>
        </w:trPr>
        <w:tc>
          <w:tcPr>
            <w:tcW w:w="5000" w:type="pct"/>
            <w:gridSpan w:val="2"/>
            <w:tcBorders>
              <w:top w:val="single" w:sz="4" w:space="0" w:color="244062"/>
              <w:left w:val="nil"/>
              <w:bottom w:val="single" w:sz="4" w:space="0" w:color="244062"/>
              <w:right w:val="nil"/>
            </w:tcBorders>
            <w:noWrap/>
            <w:vAlign w:val="center"/>
            <w:hideMark/>
          </w:tcPr>
          <w:p w14:paraId="3B7C5CDF" w14:textId="77777777" w:rsidR="000A4498" w:rsidRPr="008609D1" w:rsidRDefault="000A4498" w:rsidP="001735D4">
            <w:pPr>
              <w:spacing w:before="40" w:after="40" w:line="240" w:lineRule="auto"/>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Red de núcleo</w:t>
            </w:r>
          </w:p>
        </w:tc>
      </w:tr>
      <w:tr w:rsidR="000A4498" w:rsidRPr="008609D1" w14:paraId="628A15D0"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E6B71FB" w14:textId="77777777" w:rsidR="000A4498" w:rsidRPr="006D334F" w:rsidRDefault="000A4498" w:rsidP="001735D4">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BSC</w:t>
            </w:r>
          </w:p>
        </w:tc>
        <w:tc>
          <w:tcPr>
            <w:tcW w:w="3638" w:type="pct"/>
            <w:tcBorders>
              <w:top w:val="single" w:sz="4" w:space="0" w:color="244062"/>
              <w:left w:val="nil"/>
              <w:bottom w:val="single" w:sz="4" w:space="0" w:color="244062"/>
              <w:right w:val="nil"/>
            </w:tcBorders>
            <w:vAlign w:val="center"/>
            <w:hideMark/>
          </w:tcPr>
          <w:p w14:paraId="7B00A36A" w14:textId="77777777" w:rsidR="000A4498" w:rsidRPr="006D334F" w:rsidRDefault="000A4498" w:rsidP="004B3901">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Componente con las funciones de control de una o más estaciones transceptoras base (BTS, por sus siglas en inglés), así como también es responsable del control de la utilización y la integridad de los recursos radioeléctricos</w:t>
            </w:r>
            <w:r w:rsidR="00447BCC">
              <w:rPr>
                <w:rFonts w:ascii="ITC Avant Garde" w:eastAsia="Times New Roman" w:hAnsi="ITC Avant Garde" w:cs="Arial"/>
                <w:sz w:val="20"/>
                <w:szCs w:val="20"/>
                <w:lang w:val="es-ES" w:eastAsia="es-ES"/>
              </w:rPr>
              <w:t>.</w:t>
            </w:r>
          </w:p>
        </w:tc>
      </w:tr>
      <w:tr w:rsidR="000A4498" w:rsidRPr="008609D1" w14:paraId="22BE0B81"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673B396" w14:textId="77777777" w:rsidR="000A4498" w:rsidRPr="006D334F" w:rsidRDefault="000A4498" w:rsidP="001735D4">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RNC</w:t>
            </w:r>
          </w:p>
        </w:tc>
        <w:tc>
          <w:tcPr>
            <w:tcW w:w="3638" w:type="pct"/>
            <w:tcBorders>
              <w:top w:val="single" w:sz="4" w:space="0" w:color="244062"/>
              <w:left w:val="nil"/>
              <w:bottom w:val="single" w:sz="4" w:space="0" w:color="244062"/>
              <w:right w:val="nil"/>
            </w:tcBorders>
            <w:vAlign w:val="center"/>
            <w:hideMark/>
          </w:tcPr>
          <w:p w14:paraId="7FBD7853" w14:textId="77777777" w:rsidR="000A4498" w:rsidRPr="006D334F" w:rsidRDefault="000A4498" w:rsidP="004B3901">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Componente dentro de la Red Móvil Terrestre Pública (PLMN, por sus siglas en inglés) con las funciones de control de uno o más Node B, así como también es responsable del control de la utilización y la integridad de los recursos radioeléctricos</w:t>
            </w:r>
            <w:r w:rsidR="00447BCC">
              <w:rPr>
                <w:rFonts w:ascii="ITC Avant Garde" w:eastAsia="Times New Roman" w:hAnsi="ITC Avant Garde" w:cs="Arial"/>
                <w:sz w:val="20"/>
                <w:szCs w:val="20"/>
                <w:lang w:val="es-ES" w:eastAsia="es-ES"/>
              </w:rPr>
              <w:t>.</w:t>
            </w:r>
          </w:p>
        </w:tc>
      </w:tr>
      <w:tr w:rsidR="000A4498" w:rsidRPr="008609D1" w14:paraId="1A370FC9"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FCC175F" w14:textId="77777777" w:rsidR="000A4498" w:rsidRPr="006D334F"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Sitios de núcleo (edificaciones)</w:t>
            </w:r>
          </w:p>
        </w:tc>
        <w:tc>
          <w:tcPr>
            <w:tcW w:w="3638" w:type="pct"/>
            <w:tcBorders>
              <w:top w:val="single" w:sz="4" w:space="0" w:color="244062"/>
              <w:left w:val="nil"/>
              <w:bottom w:val="single" w:sz="4" w:space="0" w:color="244062"/>
              <w:right w:val="nil"/>
            </w:tcBorders>
            <w:vAlign w:val="center"/>
            <w:hideMark/>
          </w:tcPr>
          <w:p w14:paraId="03A98A9B" w14:textId="77777777" w:rsidR="000A4498" w:rsidRPr="006D334F" w:rsidRDefault="000A4498" w:rsidP="004B3901">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Componente que funge como interfaz de traducción bidireccional entre una red de conmutación de paquetes y una red de conmutación de circuitos</w:t>
            </w:r>
            <w:r>
              <w:rPr>
                <w:rFonts w:ascii="ITC Avant Garde" w:eastAsia="Times New Roman" w:hAnsi="ITC Avant Garde" w:cs="Arial"/>
                <w:sz w:val="20"/>
                <w:szCs w:val="20"/>
                <w:lang w:val="es-ES" w:eastAsia="es-ES"/>
              </w:rPr>
              <w:t>.</w:t>
            </w:r>
          </w:p>
        </w:tc>
      </w:tr>
      <w:tr w:rsidR="000A4498" w:rsidRPr="008609D1" w14:paraId="4C409287"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4D6563B1"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i/>
                <w:sz w:val="20"/>
                <w:szCs w:val="20"/>
                <w:lang w:val="es-ES" w:eastAsia="es-ES"/>
              </w:rPr>
              <w:t>Media Gateway</w:t>
            </w:r>
            <w:r w:rsidRPr="008609D1">
              <w:rPr>
                <w:rFonts w:ascii="ITC Avant Garde" w:eastAsia="Times New Roman" w:hAnsi="ITC Avant Garde" w:cs="Arial"/>
                <w:sz w:val="20"/>
                <w:szCs w:val="20"/>
                <w:lang w:val="es-ES" w:eastAsia="es-ES"/>
              </w:rPr>
              <w:t xml:space="preserve"> (MGW)</w:t>
            </w:r>
          </w:p>
        </w:tc>
        <w:tc>
          <w:tcPr>
            <w:tcW w:w="3638" w:type="pct"/>
            <w:tcBorders>
              <w:top w:val="single" w:sz="4" w:space="0" w:color="244062"/>
              <w:left w:val="nil"/>
              <w:bottom w:val="single" w:sz="4" w:space="0" w:color="244062"/>
              <w:right w:val="nil"/>
            </w:tcBorders>
            <w:vAlign w:val="center"/>
            <w:hideMark/>
          </w:tcPr>
          <w:p w14:paraId="45AE56B1"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del transporte a nivel físico de las llamadas de voz y video en la red móvil.</w:t>
            </w:r>
          </w:p>
        </w:tc>
      </w:tr>
      <w:tr w:rsidR="000A4498" w:rsidRPr="008609D1" w14:paraId="5773E2E0"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44210CB" w14:textId="77777777" w:rsidR="000A4498" w:rsidRPr="008609D1" w:rsidRDefault="000A4498" w:rsidP="001735D4">
            <w:pPr>
              <w:spacing w:before="40" w:after="40" w:line="240" w:lineRule="auto"/>
              <w:rPr>
                <w:rFonts w:ascii="ITC Avant Garde" w:eastAsia="Times New Roman" w:hAnsi="ITC Avant Garde" w:cs="Arial"/>
                <w:sz w:val="20"/>
                <w:szCs w:val="20"/>
                <w:lang w:val="en-GB" w:eastAsia="es-ES"/>
              </w:rPr>
            </w:pPr>
            <w:r w:rsidRPr="008609D1">
              <w:rPr>
                <w:rFonts w:ascii="ITC Avant Garde" w:eastAsia="Times New Roman" w:hAnsi="ITC Avant Garde" w:cs="Arial"/>
                <w:i/>
                <w:sz w:val="20"/>
                <w:szCs w:val="20"/>
                <w:lang w:val="en-GB" w:eastAsia="es-ES"/>
              </w:rPr>
              <w:t>Mobile Switching Center Server</w:t>
            </w:r>
            <w:r w:rsidRPr="008609D1">
              <w:rPr>
                <w:rFonts w:ascii="ITC Avant Garde" w:eastAsia="Times New Roman" w:hAnsi="ITC Avant Garde" w:cs="Arial"/>
                <w:sz w:val="20"/>
                <w:szCs w:val="20"/>
                <w:lang w:val="en-GB" w:eastAsia="es-ES"/>
              </w:rPr>
              <w:t xml:space="preserve"> (MSCS)</w:t>
            </w:r>
          </w:p>
        </w:tc>
        <w:tc>
          <w:tcPr>
            <w:tcW w:w="3638" w:type="pct"/>
            <w:tcBorders>
              <w:top w:val="single" w:sz="4" w:space="0" w:color="244062"/>
              <w:left w:val="nil"/>
              <w:bottom w:val="single" w:sz="4" w:space="0" w:color="244062"/>
              <w:right w:val="nil"/>
            </w:tcBorders>
            <w:vAlign w:val="center"/>
            <w:hideMark/>
          </w:tcPr>
          <w:p w14:paraId="558B2E16"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 la gestión de control de llamadas de voz y vídeo en la red móvil</w:t>
            </w:r>
            <w:r>
              <w:rPr>
                <w:rFonts w:ascii="ITC Avant Garde" w:eastAsia="Times New Roman" w:hAnsi="ITC Avant Garde" w:cs="Arial"/>
                <w:sz w:val="20"/>
                <w:szCs w:val="20"/>
                <w:lang w:val="es-ES" w:eastAsia="es-ES"/>
              </w:rPr>
              <w:t>.</w:t>
            </w:r>
          </w:p>
        </w:tc>
      </w:tr>
      <w:tr w:rsidR="000A4498" w:rsidRPr="008609D1" w14:paraId="71C361D1"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13D37FE6" w14:textId="77777777" w:rsidR="000A4498" w:rsidRPr="008609D1" w:rsidRDefault="000A4498" w:rsidP="001735D4">
            <w:pPr>
              <w:spacing w:before="40" w:after="40" w:line="240" w:lineRule="auto"/>
              <w:rPr>
                <w:rFonts w:ascii="ITC Avant Garde" w:eastAsia="Times New Roman" w:hAnsi="ITC Avant Garde" w:cs="Arial"/>
                <w:sz w:val="20"/>
                <w:szCs w:val="20"/>
                <w:lang w:val="en-GB" w:eastAsia="es-ES"/>
              </w:rPr>
            </w:pPr>
            <w:r w:rsidRPr="008609D1">
              <w:rPr>
                <w:rFonts w:ascii="ITC Avant Garde" w:eastAsia="Times New Roman" w:hAnsi="ITC Avant Garde" w:cs="Arial"/>
                <w:i/>
                <w:sz w:val="20"/>
                <w:szCs w:val="20"/>
                <w:lang w:val="en-GB" w:eastAsia="es-ES"/>
              </w:rPr>
              <w:t>Short Message Service Centre</w:t>
            </w:r>
            <w:r w:rsidRPr="008609D1">
              <w:rPr>
                <w:rFonts w:ascii="ITC Avant Garde" w:eastAsia="Times New Roman" w:hAnsi="ITC Avant Garde" w:cs="Arial"/>
                <w:sz w:val="20"/>
                <w:szCs w:val="20"/>
                <w:lang w:val="en-GB" w:eastAsia="es-ES"/>
              </w:rPr>
              <w:t xml:space="preserve"> (SMSC)</w:t>
            </w:r>
          </w:p>
        </w:tc>
        <w:tc>
          <w:tcPr>
            <w:tcW w:w="3638" w:type="pct"/>
            <w:tcBorders>
              <w:top w:val="single" w:sz="4" w:space="0" w:color="244062"/>
              <w:left w:val="nil"/>
              <w:bottom w:val="single" w:sz="4" w:space="0" w:color="244062"/>
              <w:right w:val="nil"/>
            </w:tcBorders>
            <w:vAlign w:val="center"/>
            <w:hideMark/>
          </w:tcPr>
          <w:p w14:paraId="33DE49D6"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 la gestión, entrega y almacenamiento de mensajes de texto cortos en la red móvil</w:t>
            </w:r>
            <w:r>
              <w:rPr>
                <w:rFonts w:ascii="ITC Avant Garde" w:eastAsia="Times New Roman" w:hAnsi="ITC Avant Garde" w:cs="Arial"/>
                <w:sz w:val="20"/>
                <w:szCs w:val="20"/>
                <w:lang w:val="es-ES" w:eastAsia="es-ES"/>
              </w:rPr>
              <w:t>.</w:t>
            </w:r>
          </w:p>
        </w:tc>
      </w:tr>
      <w:tr w:rsidR="000A4498" w:rsidRPr="008609D1" w14:paraId="7C0AFE82"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F8C8F46" w14:textId="77777777" w:rsidR="000A4498" w:rsidRPr="008609D1" w:rsidRDefault="000A4498" w:rsidP="001735D4">
            <w:pPr>
              <w:spacing w:before="40" w:after="40" w:line="240" w:lineRule="auto"/>
              <w:rPr>
                <w:rFonts w:ascii="ITC Avant Garde" w:eastAsia="Times New Roman" w:hAnsi="ITC Avant Garde" w:cs="Arial"/>
                <w:sz w:val="20"/>
                <w:szCs w:val="20"/>
                <w:lang w:val="en-GB" w:eastAsia="es-ES"/>
              </w:rPr>
            </w:pPr>
            <w:r w:rsidRPr="008609D1">
              <w:rPr>
                <w:rFonts w:ascii="ITC Avant Garde" w:eastAsia="Times New Roman" w:hAnsi="ITC Avant Garde" w:cs="Arial"/>
                <w:i/>
                <w:sz w:val="20"/>
                <w:szCs w:val="20"/>
                <w:lang w:val="en-GB" w:eastAsia="es-ES"/>
              </w:rPr>
              <w:t>Multimedia Messaging Service Centre</w:t>
            </w:r>
            <w:r w:rsidRPr="008609D1">
              <w:rPr>
                <w:rFonts w:ascii="ITC Avant Garde" w:eastAsia="Times New Roman" w:hAnsi="ITC Avant Garde" w:cs="Arial"/>
                <w:sz w:val="20"/>
                <w:szCs w:val="20"/>
                <w:lang w:val="en-GB" w:eastAsia="es-ES"/>
              </w:rPr>
              <w:t xml:space="preserve"> (MMSC)</w:t>
            </w:r>
          </w:p>
        </w:tc>
        <w:tc>
          <w:tcPr>
            <w:tcW w:w="3638" w:type="pct"/>
            <w:tcBorders>
              <w:top w:val="single" w:sz="4" w:space="0" w:color="244062"/>
              <w:left w:val="nil"/>
              <w:bottom w:val="single" w:sz="4" w:space="0" w:color="244062"/>
              <w:right w:val="nil"/>
            </w:tcBorders>
            <w:vAlign w:val="center"/>
            <w:hideMark/>
          </w:tcPr>
          <w:p w14:paraId="7E617679"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 la gestión, entrega y almacenamiento de mensajes multimedia en la red móvil</w:t>
            </w:r>
            <w:r>
              <w:rPr>
                <w:rFonts w:ascii="ITC Avant Garde" w:eastAsia="Times New Roman" w:hAnsi="ITC Avant Garde" w:cs="Arial"/>
                <w:sz w:val="20"/>
                <w:szCs w:val="20"/>
                <w:lang w:val="es-ES" w:eastAsia="es-ES"/>
              </w:rPr>
              <w:t>.</w:t>
            </w:r>
          </w:p>
        </w:tc>
      </w:tr>
      <w:tr w:rsidR="000A4498" w:rsidRPr="008609D1" w14:paraId="0E09A9B4"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4CD2B97C" w14:textId="77777777" w:rsidR="000A4498" w:rsidRPr="008609D1" w:rsidRDefault="000A4498" w:rsidP="001735D4">
            <w:pPr>
              <w:spacing w:before="40" w:after="40" w:line="240" w:lineRule="auto"/>
              <w:rPr>
                <w:rFonts w:ascii="ITC Avant Garde" w:eastAsia="Times New Roman" w:hAnsi="ITC Avant Garde" w:cs="Arial"/>
                <w:sz w:val="20"/>
                <w:szCs w:val="20"/>
                <w:lang w:val="en-GB" w:eastAsia="es-ES"/>
              </w:rPr>
            </w:pPr>
            <w:r w:rsidRPr="008609D1">
              <w:rPr>
                <w:rFonts w:ascii="ITC Avant Garde" w:eastAsia="Times New Roman" w:hAnsi="ITC Avant Garde" w:cs="Arial"/>
                <w:i/>
                <w:sz w:val="20"/>
                <w:szCs w:val="20"/>
                <w:lang w:val="en-GB" w:eastAsia="es-ES"/>
              </w:rPr>
              <w:t>Gateway GPRS Support Node</w:t>
            </w:r>
            <w:r w:rsidRPr="008609D1">
              <w:rPr>
                <w:rFonts w:ascii="ITC Avant Garde" w:eastAsia="Times New Roman" w:hAnsi="ITC Avant Garde" w:cs="Arial"/>
                <w:sz w:val="20"/>
                <w:szCs w:val="20"/>
                <w:lang w:val="en-GB" w:eastAsia="es-ES"/>
              </w:rPr>
              <w:t xml:space="preserve"> (GGSN)</w:t>
            </w:r>
          </w:p>
        </w:tc>
        <w:tc>
          <w:tcPr>
            <w:tcW w:w="3638" w:type="pct"/>
            <w:tcBorders>
              <w:top w:val="single" w:sz="4" w:space="0" w:color="244062"/>
              <w:left w:val="nil"/>
              <w:bottom w:val="single" w:sz="4" w:space="0" w:color="244062"/>
              <w:right w:val="nil"/>
            </w:tcBorders>
            <w:vAlign w:val="center"/>
            <w:hideMark/>
          </w:tcPr>
          <w:p w14:paraId="4B22B86A" w14:textId="641305FB" w:rsidR="000A4498" w:rsidRPr="008609D1" w:rsidRDefault="000A4498" w:rsidP="00E24BE3">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 la gestión del tráfico de paquetes en la red, habilitando la conectividad entre la red móvil y otras redes de paquetes, como el acceso a Internet</w:t>
            </w:r>
            <w:r>
              <w:rPr>
                <w:rFonts w:ascii="ITC Avant Garde" w:eastAsia="Times New Roman" w:hAnsi="ITC Avant Garde" w:cs="Arial"/>
                <w:sz w:val="20"/>
                <w:szCs w:val="20"/>
                <w:lang w:val="es-ES" w:eastAsia="es-ES"/>
              </w:rPr>
              <w:t>.</w:t>
            </w:r>
          </w:p>
        </w:tc>
      </w:tr>
      <w:tr w:rsidR="000A4498" w:rsidRPr="008609D1" w14:paraId="3592F321"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3C02726" w14:textId="77777777" w:rsidR="000A4498" w:rsidRPr="008609D1" w:rsidRDefault="000A4498" w:rsidP="001735D4">
            <w:pPr>
              <w:spacing w:before="40" w:after="40" w:line="240" w:lineRule="auto"/>
              <w:rPr>
                <w:rFonts w:ascii="ITC Avant Garde" w:eastAsia="Times New Roman" w:hAnsi="ITC Avant Garde" w:cs="Arial"/>
                <w:sz w:val="20"/>
                <w:szCs w:val="20"/>
                <w:lang w:val="en-GB" w:eastAsia="es-ES"/>
              </w:rPr>
            </w:pPr>
            <w:r w:rsidRPr="008609D1">
              <w:rPr>
                <w:rFonts w:ascii="ITC Avant Garde" w:eastAsia="Times New Roman" w:hAnsi="ITC Avant Garde" w:cs="Arial"/>
                <w:i/>
                <w:sz w:val="20"/>
                <w:szCs w:val="20"/>
                <w:lang w:val="en-GB" w:eastAsia="es-ES"/>
              </w:rPr>
              <w:t>Serving GPRS Support Node</w:t>
            </w:r>
            <w:r w:rsidRPr="008609D1">
              <w:rPr>
                <w:rFonts w:ascii="ITC Avant Garde" w:eastAsia="Times New Roman" w:hAnsi="ITC Avant Garde" w:cs="Arial"/>
                <w:sz w:val="20"/>
                <w:szCs w:val="20"/>
                <w:lang w:val="en-GB" w:eastAsia="es-ES"/>
              </w:rPr>
              <w:t xml:space="preserve"> (SGSN)</w:t>
            </w:r>
          </w:p>
        </w:tc>
        <w:tc>
          <w:tcPr>
            <w:tcW w:w="3638" w:type="pct"/>
            <w:tcBorders>
              <w:top w:val="single" w:sz="4" w:space="0" w:color="244062"/>
              <w:left w:val="nil"/>
              <w:bottom w:val="single" w:sz="4" w:space="0" w:color="244062"/>
              <w:right w:val="nil"/>
            </w:tcBorders>
            <w:vAlign w:val="center"/>
            <w:hideMark/>
          </w:tcPr>
          <w:p w14:paraId="1DAA9E98" w14:textId="77777777" w:rsidR="000A4498" w:rsidRPr="006D334F" w:rsidRDefault="000A4498" w:rsidP="004B3901">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Componente que realiza las funciones de interfaz y conmutación de paquetes para una red pública de telecomunicaciones móvil de segunda y tercera generación que se localizan dentro de su área servicio</w:t>
            </w:r>
            <w:r>
              <w:rPr>
                <w:rFonts w:ascii="ITC Avant Garde" w:eastAsia="Times New Roman" w:hAnsi="ITC Avant Garde" w:cs="Arial"/>
                <w:sz w:val="20"/>
                <w:szCs w:val="20"/>
                <w:lang w:val="es-ES" w:eastAsia="es-ES"/>
              </w:rPr>
              <w:t>.</w:t>
            </w:r>
          </w:p>
        </w:tc>
      </w:tr>
      <w:tr w:rsidR="000A4498" w:rsidRPr="008609D1" w14:paraId="57A1C0F5"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185FE85"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i/>
                <w:sz w:val="20"/>
                <w:szCs w:val="20"/>
                <w:lang w:val="es-ES" w:eastAsia="es-ES"/>
              </w:rPr>
              <w:t>Home Location Register</w:t>
            </w:r>
            <w:r w:rsidRPr="008609D1">
              <w:rPr>
                <w:rFonts w:ascii="ITC Avant Garde" w:eastAsia="Times New Roman" w:hAnsi="ITC Avant Garde" w:cs="Arial"/>
                <w:sz w:val="20"/>
                <w:szCs w:val="20"/>
                <w:lang w:val="es-ES" w:eastAsia="es-ES"/>
              </w:rPr>
              <w:t xml:space="preserve"> (HLR)</w:t>
            </w:r>
          </w:p>
        </w:tc>
        <w:tc>
          <w:tcPr>
            <w:tcW w:w="3638" w:type="pct"/>
            <w:tcBorders>
              <w:top w:val="single" w:sz="4" w:space="0" w:color="244062"/>
              <w:left w:val="nil"/>
              <w:bottom w:val="single" w:sz="4" w:space="0" w:color="244062"/>
              <w:right w:val="nil"/>
            </w:tcBorders>
            <w:vAlign w:val="center"/>
            <w:hideMark/>
          </w:tcPr>
          <w:p w14:paraId="6C8223BB"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Base de datos central que contiene los detalles de todos los suscriptores de la red, incluyendo datos de las tarjetas SIM y números MSISDN asociados a cada uno.</w:t>
            </w:r>
          </w:p>
        </w:tc>
      </w:tr>
      <w:tr w:rsidR="000A4498" w:rsidRPr="008609D1" w14:paraId="74B3138E"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37452F0"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i/>
                <w:sz w:val="20"/>
                <w:szCs w:val="20"/>
                <w:lang w:val="es-ES" w:eastAsia="es-ES"/>
              </w:rPr>
              <w:t>Mobile Management Entity</w:t>
            </w:r>
            <w:r w:rsidRPr="008609D1">
              <w:rPr>
                <w:rFonts w:ascii="ITC Avant Garde" w:eastAsia="Times New Roman" w:hAnsi="ITC Avant Garde" w:cs="Arial"/>
                <w:sz w:val="20"/>
                <w:szCs w:val="20"/>
                <w:lang w:val="es-ES" w:eastAsia="es-ES"/>
              </w:rPr>
              <w:t xml:space="preserve"> (MME)</w:t>
            </w:r>
          </w:p>
        </w:tc>
        <w:tc>
          <w:tcPr>
            <w:tcW w:w="3638" w:type="pct"/>
            <w:tcBorders>
              <w:top w:val="single" w:sz="4" w:space="0" w:color="244062"/>
              <w:left w:val="nil"/>
              <w:bottom w:val="single" w:sz="4" w:space="0" w:color="244062"/>
              <w:right w:val="nil"/>
            </w:tcBorders>
            <w:vAlign w:val="center"/>
            <w:hideMark/>
          </w:tcPr>
          <w:p w14:paraId="509EBC85" w14:textId="77777777" w:rsidR="000A4498" w:rsidRPr="006D334F" w:rsidRDefault="000A4498" w:rsidP="004B3901">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Componente con las funciones de control de uno o más eNodos B, así como también es responsable del control de la utilización y la integridad de los recursos radioeléctricos</w:t>
            </w:r>
            <w:r>
              <w:rPr>
                <w:rFonts w:ascii="ITC Avant Garde" w:eastAsia="Times New Roman" w:hAnsi="ITC Avant Garde" w:cs="Arial"/>
                <w:sz w:val="20"/>
                <w:szCs w:val="20"/>
                <w:lang w:val="es-ES" w:eastAsia="es-ES"/>
              </w:rPr>
              <w:t>.</w:t>
            </w:r>
          </w:p>
        </w:tc>
      </w:tr>
      <w:tr w:rsidR="000A4498" w:rsidRPr="008609D1" w14:paraId="68071E80"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1502153E"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i/>
                <w:sz w:val="20"/>
                <w:szCs w:val="20"/>
                <w:lang w:val="es-ES" w:eastAsia="es-ES"/>
              </w:rPr>
              <w:t>Serving Gateway</w:t>
            </w:r>
            <w:r w:rsidRPr="008609D1">
              <w:rPr>
                <w:rFonts w:ascii="ITC Avant Garde" w:eastAsia="Times New Roman" w:hAnsi="ITC Avant Garde" w:cs="Arial"/>
                <w:sz w:val="20"/>
                <w:szCs w:val="20"/>
                <w:lang w:val="es-ES" w:eastAsia="es-ES"/>
              </w:rPr>
              <w:t xml:space="preserve"> (SGW)</w:t>
            </w:r>
          </w:p>
        </w:tc>
        <w:tc>
          <w:tcPr>
            <w:tcW w:w="3638" w:type="pct"/>
            <w:tcBorders>
              <w:top w:val="single" w:sz="4" w:space="0" w:color="244062"/>
              <w:left w:val="nil"/>
              <w:bottom w:val="single" w:sz="4" w:space="0" w:color="244062"/>
              <w:right w:val="nil"/>
            </w:tcBorders>
            <w:vAlign w:val="center"/>
            <w:hideMark/>
          </w:tcPr>
          <w:p w14:paraId="0BF5994F"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del enrutamiento y entrega de paquetes, sustituyendo las funciones del MGW y SGSN en una red tradicional</w:t>
            </w:r>
            <w:r>
              <w:rPr>
                <w:rFonts w:ascii="ITC Avant Garde" w:eastAsia="Times New Roman" w:hAnsi="ITC Avant Garde" w:cs="Arial"/>
                <w:sz w:val="20"/>
                <w:szCs w:val="20"/>
                <w:lang w:val="es-ES" w:eastAsia="es-ES"/>
              </w:rPr>
              <w:t>.</w:t>
            </w:r>
          </w:p>
        </w:tc>
      </w:tr>
      <w:tr w:rsidR="000A4498" w:rsidRPr="008609D1" w14:paraId="1F142DA8"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429F42E" w14:textId="77777777" w:rsidR="000A4498" w:rsidRPr="008609D1" w:rsidRDefault="000A4498" w:rsidP="001735D4">
            <w:pPr>
              <w:spacing w:before="40" w:after="40" w:line="240" w:lineRule="auto"/>
              <w:rPr>
                <w:rFonts w:ascii="ITC Avant Garde" w:eastAsia="Times New Roman" w:hAnsi="ITC Avant Garde" w:cs="Arial"/>
                <w:sz w:val="20"/>
                <w:szCs w:val="20"/>
                <w:lang w:val="en-GB" w:eastAsia="es-ES"/>
              </w:rPr>
            </w:pPr>
            <w:r w:rsidRPr="008609D1">
              <w:rPr>
                <w:rFonts w:ascii="ITC Avant Garde" w:eastAsia="Times New Roman" w:hAnsi="ITC Avant Garde" w:cs="Arial"/>
                <w:i/>
                <w:sz w:val="20"/>
                <w:szCs w:val="20"/>
                <w:lang w:val="en-GB" w:eastAsia="es-ES"/>
              </w:rPr>
              <w:t>Packet Data Network Gateway</w:t>
            </w:r>
            <w:r w:rsidRPr="008609D1">
              <w:rPr>
                <w:rFonts w:ascii="ITC Avant Garde" w:eastAsia="Times New Roman" w:hAnsi="ITC Avant Garde" w:cs="Arial"/>
                <w:sz w:val="20"/>
                <w:szCs w:val="20"/>
                <w:lang w:val="en-GB" w:eastAsia="es-ES"/>
              </w:rPr>
              <w:t xml:space="preserve"> (PGW)</w:t>
            </w:r>
          </w:p>
        </w:tc>
        <w:tc>
          <w:tcPr>
            <w:tcW w:w="3638" w:type="pct"/>
            <w:tcBorders>
              <w:top w:val="single" w:sz="4" w:space="0" w:color="244062"/>
              <w:left w:val="nil"/>
              <w:bottom w:val="single" w:sz="4" w:space="0" w:color="244062"/>
              <w:right w:val="nil"/>
            </w:tcBorders>
            <w:vAlign w:val="center"/>
            <w:hideMark/>
          </w:tcPr>
          <w:p w14:paraId="08898732"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que conecta la red del concesionario con otras redes externas.</w:t>
            </w:r>
          </w:p>
        </w:tc>
      </w:tr>
      <w:tr w:rsidR="000A4498" w:rsidRPr="008609D1" w14:paraId="587FE240"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4284B1D" w14:textId="77777777" w:rsidR="000A4498" w:rsidRPr="008609D1" w:rsidRDefault="000A4498" w:rsidP="001735D4">
            <w:pPr>
              <w:spacing w:before="40" w:after="40" w:line="240" w:lineRule="auto"/>
              <w:rPr>
                <w:rFonts w:ascii="ITC Avant Garde" w:eastAsia="Times New Roman" w:hAnsi="ITC Avant Garde" w:cs="Arial"/>
                <w:sz w:val="20"/>
                <w:szCs w:val="20"/>
                <w:lang w:val="en-GB" w:eastAsia="es-ES"/>
              </w:rPr>
            </w:pPr>
            <w:r w:rsidRPr="008609D1">
              <w:rPr>
                <w:rFonts w:ascii="ITC Avant Garde" w:eastAsia="Times New Roman" w:hAnsi="ITC Avant Garde" w:cs="Arial"/>
                <w:i/>
                <w:sz w:val="20"/>
                <w:szCs w:val="20"/>
                <w:lang w:val="en-GB" w:eastAsia="es-ES"/>
              </w:rPr>
              <w:t>Policy and Charging Rules Function</w:t>
            </w:r>
            <w:r w:rsidRPr="008609D1">
              <w:rPr>
                <w:rFonts w:ascii="ITC Avant Garde" w:eastAsia="Times New Roman" w:hAnsi="ITC Avant Garde" w:cs="Arial"/>
                <w:sz w:val="20"/>
                <w:szCs w:val="20"/>
                <w:lang w:val="en-GB" w:eastAsia="es-ES"/>
              </w:rPr>
              <w:t xml:space="preserve"> (PCRF)</w:t>
            </w:r>
          </w:p>
        </w:tc>
        <w:tc>
          <w:tcPr>
            <w:tcW w:w="3638" w:type="pct"/>
            <w:tcBorders>
              <w:top w:val="single" w:sz="4" w:space="0" w:color="244062"/>
              <w:left w:val="nil"/>
              <w:bottom w:val="single" w:sz="4" w:space="0" w:color="244062"/>
              <w:right w:val="nil"/>
            </w:tcBorders>
            <w:vAlign w:val="center"/>
            <w:hideMark/>
          </w:tcPr>
          <w:p w14:paraId="78D68381"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 gestionar las políticas de red y de facturación</w:t>
            </w:r>
            <w:r>
              <w:rPr>
                <w:rFonts w:ascii="ITC Avant Garde" w:eastAsia="Times New Roman" w:hAnsi="ITC Avant Garde" w:cs="Arial"/>
                <w:sz w:val="20"/>
                <w:szCs w:val="20"/>
                <w:lang w:val="es-ES" w:eastAsia="es-ES"/>
              </w:rPr>
              <w:t>.</w:t>
            </w:r>
          </w:p>
        </w:tc>
      </w:tr>
      <w:tr w:rsidR="000A4498" w:rsidRPr="008609D1" w14:paraId="2F10155F"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3D178ACA" w14:textId="77777777" w:rsidR="000A4498" w:rsidRPr="008609D1" w:rsidRDefault="000A4498" w:rsidP="001735D4">
            <w:pPr>
              <w:spacing w:before="40" w:after="40" w:line="240" w:lineRule="auto"/>
              <w:rPr>
                <w:rFonts w:ascii="ITC Avant Garde" w:eastAsia="Times New Roman" w:hAnsi="ITC Avant Garde" w:cs="Arial"/>
                <w:sz w:val="20"/>
                <w:szCs w:val="20"/>
                <w:lang w:val="en-GB" w:eastAsia="es-ES"/>
              </w:rPr>
            </w:pPr>
            <w:r w:rsidRPr="008609D1">
              <w:rPr>
                <w:rFonts w:ascii="ITC Avant Garde" w:eastAsia="Times New Roman" w:hAnsi="ITC Avant Garde" w:cs="Arial"/>
                <w:i/>
                <w:sz w:val="20"/>
                <w:szCs w:val="20"/>
                <w:lang w:val="en-GB" w:eastAsia="es-ES"/>
              </w:rPr>
              <w:t>Call Session Control Function</w:t>
            </w:r>
            <w:r w:rsidRPr="008609D1">
              <w:rPr>
                <w:rFonts w:ascii="ITC Avant Garde" w:eastAsia="Times New Roman" w:hAnsi="ITC Avant Garde" w:cs="Arial"/>
                <w:sz w:val="20"/>
                <w:szCs w:val="20"/>
                <w:lang w:val="en-GB" w:eastAsia="es-ES"/>
              </w:rPr>
              <w:t xml:space="preserve"> (CSCF)</w:t>
            </w:r>
          </w:p>
        </w:tc>
        <w:tc>
          <w:tcPr>
            <w:tcW w:w="3638" w:type="pct"/>
            <w:tcBorders>
              <w:top w:val="single" w:sz="4" w:space="0" w:color="244062"/>
              <w:left w:val="nil"/>
              <w:bottom w:val="single" w:sz="4" w:space="0" w:color="244062"/>
              <w:right w:val="nil"/>
            </w:tcBorders>
            <w:vAlign w:val="center"/>
            <w:hideMark/>
          </w:tcPr>
          <w:p w14:paraId="4B34438B"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 gestionar los servicios multimedia basados en SIP</w:t>
            </w:r>
            <w:r>
              <w:rPr>
                <w:rFonts w:ascii="ITC Avant Garde" w:eastAsia="Times New Roman" w:hAnsi="ITC Avant Garde" w:cs="Arial"/>
                <w:sz w:val="20"/>
                <w:szCs w:val="20"/>
                <w:lang w:val="es-ES" w:eastAsia="es-ES"/>
              </w:rPr>
              <w:t>.</w:t>
            </w:r>
          </w:p>
        </w:tc>
      </w:tr>
      <w:tr w:rsidR="000A4498" w:rsidRPr="008609D1" w14:paraId="755591AB"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1710AA3E"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i/>
                <w:sz w:val="20"/>
                <w:szCs w:val="20"/>
                <w:lang w:val="es-ES" w:eastAsia="es-ES"/>
              </w:rPr>
              <w:lastRenderedPageBreak/>
              <w:t>Session Border Controller</w:t>
            </w:r>
            <w:r w:rsidRPr="008609D1">
              <w:rPr>
                <w:rFonts w:ascii="ITC Avant Garde" w:eastAsia="Times New Roman" w:hAnsi="ITC Avant Garde" w:cs="Arial"/>
                <w:sz w:val="20"/>
                <w:szCs w:val="20"/>
                <w:lang w:val="es-ES" w:eastAsia="es-ES"/>
              </w:rPr>
              <w:t xml:space="preserve"> (SBC)</w:t>
            </w:r>
          </w:p>
        </w:tc>
        <w:tc>
          <w:tcPr>
            <w:tcW w:w="3638" w:type="pct"/>
            <w:tcBorders>
              <w:top w:val="single" w:sz="4" w:space="0" w:color="244062"/>
              <w:left w:val="nil"/>
              <w:bottom w:val="single" w:sz="4" w:space="0" w:color="244062"/>
              <w:right w:val="nil"/>
            </w:tcBorders>
            <w:vAlign w:val="center"/>
            <w:hideMark/>
          </w:tcPr>
          <w:p w14:paraId="755FBFFF"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Componente o aplicación de software que rige la manera en la cual las llamadas telefónicas son iniciadas, conducidas y terminadas en una red VoIP</w:t>
            </w:r>
            <w:r>
              <w:rPr>
                <w:rFonts w:ascii="ITC Avant Garde" w:eastAsia="Times New Roman" w:hAnsi="ITC Avant Garde" w:cs="Arial"/>
                <w:sz w:val="20"/>
                <w:szCs w:val="20"/>
                <w:lang w:val="es-ES" w:eastAsia="es-ES"/>
              </w:rPr>
              <w:t>.</w:t>
            </w:r>
          </w:p>
        </w:tc>
      </w:tr>
      <w:tr w:rsidR="000A4498" w:rsidRPr="008609D1" w14:paraId="564FC26C"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EC24D05"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i/>
                <w:sz w:val="20"/>
                <w:szCs w:val="20"/>
                <w:lang w:val="es-ES" w:eastAsia="es-ES"/>
              </w:rPr>
              <w:t>Voicemail System</w:t>
            </w:r>
            <w:r w:rsidRPr="008609D1">
              <w:rPr>
                <w:rFonts w:ascii="ITC Avant Garde" w:eastAsia="Times New Roman" w:hAnsi="ITC Avant Garde" w:cs="Arial"/>
                <w:sz w:val="20"/>
                <w:szCs w:val="20"/>
                <w:lang w:val="es-ES" w:eastAsia="es-ES"/>
              </w:rPr>
              <w:t xml:space="preserve"> (VMS)</w:t>
            </w:r>
          </w:p>
        </w:tc>
        <w:tc>
          <w:tcPr>
            <w:tcW w:w="3638" w:type="pct"/>
            <w:tcBorders>
              <w:top w:val="single" w:sz="4" w:space="0" w:color="244062"/>
              <w:left w:val="nil"/>
              <w:bottom w:val="single" w:sz="4" w:space="0" w:color="244062"/>
              <w:right w:val="nil"/>
            </w:tcBorders>
            <w:vAlign w:val="center"/>
            <w:hideMark/>
          </w:tcPr>
          <w:p w14:paraId="2F11BB6B"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Sistema que permite a los usuarios y suscriptores intercambiar mensajes de voz personales y gestionar su buzón de voz</w:t>
            </w:r>
            <w:r>
              <w:rPr>
                <w:rFonts w:ascii="ITC Avant Garde" w:eastAsia="Times New Roman" w:hAnsi="ITC Avant Garde" w:cs="Arial"/>
                <w:sz w:val="20"/>
                <w:szCs w:val="20"/>
                <w:lang w:val="es-ES" w:eastAsia="es-ES"/>
              </w:rPr>
              <w:t>.</w:t>
            </w:r>
          </w:p>
        </w:tc>
      </w:tr>
      <w:tr w:rsidR="000A4498" w:rsidRPr="008609D1" w14:paraId="21C49ACB"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4CE29F2C"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i/>
                <w:sz w:val="20"/>
                <w:szCs w:val="20"/>
                <w:lang w:val="es-ES" w:eastAsia="es-ES"/>
              </w:rPr>
              <w:t xml:space="preserve">IP Multimedia Subsystem </w:t>
            </w:r>
            <w:r w:rsidRPr="008609D1">
              <w:rPr>
                <w:rFonts w:ascii="ITC Avant Garde" w:eastAsia="Times New Roman" w:hAnsi="ITC Avant Garde" w:cs="Arial"/>
                <w:sz w:val="20"/>
                <w:szCs w:val="20"/>
                <w:lang w:val="es-ES" w:eastAsia="es-ES"/>
              </w:rPr>
              <w:t>(IMS)</w:t>
            </w:r>
          </w:p>
        </w:tc>
        <w:tc>
          <w:tcPr>
            <w:tcW w:w="3638" w:type="pct"/>
            <w:tcBorders>
              <w:top w:val="single" w:sz="4" w:space="0" w:color="244062"/>
              <w:left w:val="nil"/>
              <w:bottom w:val="single" w:sz="4" w:space="0" w:color="244062"/>
              <w:right w:val="nil"/>
            </w:tcBorders>
            <w:vAlign w:val="center"/>
          </w:tcPr>
          <w:p w14:paraId="2D013114"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de la red de núcleo que ofrece servicios de comunicación en tiempo real</w:t>
            </w:r>
            <w:r>
              <w:rPr>
                <w:rFonts w:ascii="ITC Avant Garde" w:eastAsia="Times New Roman" w:hAnsi="ITC Avant Garde" w:cs="Arial"/>
                <w:sz w:val="20"/>
                <w:szCs w:val="20"/>
                <w:lang w:val="es-ES" w:eastAsia="es-ES"/>
              </w:rPr>
              <w:t>.</w:t>
            </w:r>
          </w:p>
        </w:tc>
      </w:tr>
      <w:tr w:rsidR="000A4498" w:rsidRPr="008609D1" w14:paraId="5B074382"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0E731F03"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i/>
                <w:sz w:val="20"/>
                <w:szCs w:val="20"/>
                <w:lang w:val="es-ES" w:eastAsia="es-ES"/>
              </w:rPr>
              <w:t xml:space="preserve">Home Subscriber Server </w:t>
            </w:r>
            <w:r w:rsidRPr="008609D1">
              <w:rPr>
                <w:rFonts w:ascii="ITC Avant Garde" w:eastAsia="Times New Roman" w:hAnsi="ITC Avant Garde" w:cs="Arial"/>
                <w:sz w:val="20"/>
                <w:szCs w:val="20"/>
                <w:lang w:val="es-ES" w:eastAsia="es-ES"/>
              </w:rPr>
              <w:t>(HSS)</w:t>
            </w:r>
          </w:p>
        </w:tc>
        <w:tc>
          <w:tcPr>
            <w:tcW w:w="3638" w:type="pct"/>
            <w:tcBorders>
              <w:top w:val="single" w:sz="4" w:space="0" w:color="244062"/>
              <w:left w:val="nil"/>
              <w:bottom w:val="single" w:sz="4" w:space="0" w:color="244062"/>
              <w:right w:val="nil"/>
            </w:tcBorders>
            <w:vAlign w:val="center"/>
          </w:tcPr>
          <w:p w14:paraId="71797195"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Base de datos principal de usuarios que da soporte a las entidades de red IMS que manejan las llamadas</w:t>
            </w:r>
            <w:r>
              <w:rPr>
                <w:rFonts w:ascii="ITC Avant Garde" w:eastAsia="Times New Roman" w:hAnsi="ITC Avant Garde" w:cs="Arial"/>
                <w:sz w:val="20"/>
                <w:szCs w:val="20"/>
                <w:lang w:val="es-ES" w:eastAsia="es-ES"/>
              </w:rPr>
              <w:t>.</w:t>
            </w:r>
          </w:p>
        </w:tc>
      </w:tr>
      <w:tr w:rsidR="000A4498" w:rsidRPr="008609D1" w14:paraId="640D4373"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40B5BF19"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Equipos para conmutación de tráfico internacional</w:t>
            </w:r>
          </w:p>
        </w:tc>
        <w:tc>
          <w:tcPr>
            <w:tcW w:w="3638" w:type="pct"/>
            <w:tcBorders>
              <w:top w:val="single" w:sz="4" w:space="0" w:color="244062"/>
              <w:left w:val="nil"/>
              <w:bottom w:val="single" w:sz="4" w:space="0" w:color="244062"/>
              <w:right w:val="nil"/>
            </w:tcBorders>
            <w:vAlign w:val="center"/>
            <w:hideMark/>
          </w:tcPr>
          <w:p w14:paraId="1770F900"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Equipos responsables de la conmutación de tráfico con otras redes internacionales</w:t>
            </w:r>
            <w:r>
              <w:rPr>
                <w:rFonts w:ascii="ITC Avant Garde" w:eastAsia="Times New Roman" w:hAnsi="ITC Avant Garde" w:cs="Arial"/>
                <w:sz w:val="20"/>
                <w:szCs w:val="20"/>
                <w:lang w:val="es-ES" w:eastAsia="es-ES"/>
              </w:rPr>
              <w:t>.</w:t>
            </w:r>
          </w:p>
        </w:tc>
      </w:tr>
      <w:tr w:rsidR="000A4498" w:rsidRPr="008609D1" w14:paraId="49ED1F0E"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BE1736F"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Facturador</w:t>
            </w:r>
          </w:p>
        </w:tc>
        <w:tc>
          <w:tcPr>
            <w:tcW w:w="3638" w:type="pct"/>
            <w:tcBorders>
              <w:top w:val="single" w:sz="4" w:space="0" w:color="244062"/>
              <w:left w:val="nil"/>
              <w:bottom w:val="single" w:sz="4" w:space="0" w:color="244062"/>
              <w:right w:val="nil"/>
            </w:tcBorders>
            <w:vAlign w:val="center"/>
            <w:hideMark/>
          </w:tcPr>
          <w:p w14:paraId="43164F4D"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 responsable de colectar y tratar los eventos de cargos para fines de facturación</w:t>
            </w:r>
            <w:r>
              <w:rPr>
                <w:rFonts w:ascii="ITC Avant Garde" w:eastAsia="Times New Roman" w:hAnsi="ITC Avant Garde" w:cs="Arial"/>
                <w:sz w:val="20"/>
                <w:szCs w:val="20"/>
                <w:lang w:val="es-ES" w:eastAsia="es-ES"/>
              </w:rPr>
              <w:t>.</w:t>
            </w:r>
          </w:p>
        </w:tc>
      </w:tr>
      <w:tr w:rsidR="000A4498" w:rsidRPr="008609D1" w14:paraId="79DBA3F7"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8CD2D03" w14:textId="77777777" w:rsidR="000A4498" w:rsidRPr="008609D1" w:rsidRDefault="000A4498"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elementos de la red de núcleo</w:t>
            </w:r>
          </w:p>
        </w:tc>
        <w:tc>
          <w:tcPr>
            <w:tcW w:w="3638" w:type="pct"/>
            <w:tcBorders>
              <w:top w:val="single" w:sz="4" w:space="0" w:color="244062"/>
              <w:left w:val="nil"/>
              <w:bottom w:val="single" w:sz="4" w:space="0" w:color="244062"/>
              <w:right w:val="nil"/>
            </w:tcBorders>
            <w:vAlign w:val="center"/>
            <w:hideMark/>
          </w:tcPr>
          <w:p w14:paraId="62448628" w14:textId="77777777" w:rsidR="000A4498" w:rsidRPr="008609D1" w:rsidRDefault="000A4498"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elementos en la red de núcleo móvil</w:t>
            </w:r>
            <w:r>
              <w:rPr>
                <w:rFonts w:ascii="ITC Avant Garde" w:eastAsia="Times New Roman" w:hAnsi="ITC Avant Garde" w:cs="Arial"/>
                <w:sz w:val="20"/>
                <w:szCs w:val="20"/>
                <w:lang w:val="es-ES" w:eastAsia="es-ES"/>
              </w:rPr>
              <w:t>.</w:t>
            </w:r>
          </w:p>
        </w:tc>
      </w:tr>
      <w:tr w:rsidR="000A4498" w:rsidRPr="008609D1" w14:paraId="57EB9359" w14:textId="77777777" w:rsidTr="000A4498">
        <w:trPr>
          <w:trHeight w:val="340"/>
          <w:jc w:val="center"/>
        </w:trPr>
        <w:tc>
          <w:tcPr>
            <w:tcW w:w="5000" w:type="pct"/>
            <w:gridSpan w:val="2"/>
            <w:tcBorders>
              <w:top w:val="single" w:sz="4" w:space="0" w:color="244062"/>
              <w:left w:val="nil"/>
              <w:bottom w:val="single" w:sz="4" w:space="0" w:color="244062"/>
              <w:right w:val="nil"/>
            </w:tcBorders>
            <w:noWrap/>
            <w:vAlign w:val="center"/>
            <w:hideMark/>
          </w:tcPr>
          <w:p w14:paraId="7A2E2919" w14:textId="77777777" w:rsidR="000A4498" w:rsidRPr="008609D1" w:rsidRDefault="000A4498" w:rsidP="001735D4">
            <w:pPr>
              <w:spacing w:before="40" w:after="40" w:line="240" w:lineRule="auto"/>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Otros</w:t>
            </w:r>
          </w:p>
        </w:tc>
      </w:tr>
      <w:tr w:rsidR="000A4498" w:rsidRPr="008609D1" w14:paraId="7F331516"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0380B37F"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eléctrica y aire acondicionado</w:t>
            </w:r>
          </w:p>
        </w:tc>
        <w:tc>
          <w:tcPr>
            <w:tcW w:w="3638" w:type="pct"/>
            <w:tcBorders>
              <w:top w:val="single" w:sz="4" w:space="0" w:color="244062"/>
              <w:left w:val="nil"/>
              <w:bottom w:val="single" w:sz="4" w:space="0" w:color="244062"/>
              <w:right w:val="nil"/>
            </w:tcBorders>
            <w:vAlign w:val="center"/>
            <w:hideMark/>
          </w:tcPr>
          <w:p w14:paraId="7B72D3C5" w14:textId="48D96864" w:rsidR="000A4498" w:rsidRPr="008609D1" w:rsidRDefault="000A4498" w:rsidP="00614372">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auxiliares al funcionamiento de la red móvil asociados a energía y refrigeración, incluyendo subestación eléctrica, fuentes de energía de respaldo (planta de emergencia)</w:t>
            </w:r>
            <w:r>
              <w:rPr>
                <w:rFonts w:ascii="ITC Avant Garde" w:eastAsia="Times New Roman" w:hAnsi="ITC Avant Garde" w:cs="Arial"/>
                <w:sz w:val="20"/>
                <w:lang w:val="es-ES" w:eastAsia="es-ES"/>
              </w:rPr>
              <w:t xml:space="preserve"> y</w:t>
            </w:r>
            <w:r w:rsidRPr="008609D1">
              <w:rPr>
                <w:rFonts w:ascii="ITC Avant Garde" w:eastAsia="Times New Roman" w:hAnsi="ITC Avant Garde" w:cs="Arial"/>
                <w:sz w:val="20"/>
                <w:lang w:val="es-ES" w:eastAsia="es-ES"/>
              </w:rPr>
              <w:t xml:space="preserve"> aire acondicionado</w:t>
            </w:r>
            <w:r>
              <w:rPr>
                <w:rFonts w:ascii="ITC Avant Garde" w:eastAsia="Times New Roman" w:hAnsi="ITC Avant Garde" w:cs="Arial"/>
                <w:sz w:val="20"/>
                <w:lang w:val="es-ES" w:eastAsia="es-ES"/>
              </w:rPr>
              <w:t>.</w:t>
            </w:r>
          </w:p>
        </w:tc>
      </w:tr>
      <w:tr w:rsidR="000A4498" w:rsidRPr="008609D1" w14:paraId="1E234F0C" w14:textId="77777777" w:rsidTr="000A4498">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65BCFC2E" w14:textId="5786A7FB" w:rsidR="000A4498" w:rsidRPr="008609D1" w:rsidRDefault="000A4498"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Componentes no relacionados con la red</w:t>
            </w:r>
          </w:p>
        </w:tc>
      </w:tr>
      <w:tr w:rsidR="000A4498" w:rsidRPr="008609D1" w14:paraId="5335A485"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4B9C4D22"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638" w:type="pct"/>
            <w:tcBorders>
              <w:top w:val="single" w:sz="4" w:space="0" w:color="244062"/>
              <w:left w:val="nil"/>
              <w:bottom w:val="single" w:sz="4" w:space="0" w:color="244062"/>
              <w:right w:val="nil"/>
            </w:tcBorders>
            <w:vAlign w:val="center"/>
            <w:hideMark/>
          </w:tcPr>
          <w:p w14:paraId="46480005" w14:textId="63E73859" w:rsidR="000A4498" w:rsidRPr="008609D1" w:rsidRDefault="000A4498" w:rsidP="00614372">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Funciones comerciales</w:t>
            </w:r>
            <w:r>
              <w:rPr>
                <w:rFonts w:ascii="ITC Avant Garde" w:eastAsia="Times New Roman" w:hAnsi="ITC Avant Garde" w:cs="Arial"/>
                <w:sz w:val="20"/>
                <w:lang w:val="es-ES" w:eastAsia="es-ES"/>
              </w:rPr>
              <w:t>,</w:t>
            </w:r>
            <w:r w:rsidRPr="008609D1">
              <w:rPr>
                <w:rFonts w:ascii="ITC Avant Garde" w:eastAsia="Times New Roman" w:hAnsi="ITC Avant Garde" w:cs="Arial"/>
                <w:sz w:val="20"/>
                <w:lang w:val="es-ES" w:eastAsia="es-ES"/>
              </w:rPr>
              <w:t xml:space="preserve"> tal</w:t>
            </w:r>
            <w:r>
              <w:rPr>
                <w:rFonts w:ascii="ITC Avant Garde" w:eastAsia="Times New Roman" w:hAnsi="ITC Avant Garde" w:cs="Arial"/>
                <w:sz w:val="20"/>
                <w:lang w:val="es-ES" w:eastAsia="es-ES"/>
              </w:rPr>
              <w:t>es</w:t>
            </w:r>
            <w:r w:rsidRPr="008609D1">
              <w:rPr>
                <w:rFonts w:ascii="ITC Avant Garde" w:eastAsia="Times New Roman" w:hAnsi="ITC Avant Garde" w:cs="Arial"/>
                <w:sz w:val="20"/>
                <w:lang w:val="es-ES" w:eastAsia="es-ES"/>
              </w:rPr>
              <w:t xml:space="preserve"> como adquisición y mantenimiento de clientes, publicidad, marca, desarrollo de productos, etc.</w:t>
            </w:r>
          </w:p>
        </w:tc>
      </w:tr>
      <w:tr w:rsidR="000A4498" w:rsidRPr="008609D1" w14:paraId="39F5E949"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4BF560F3"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w:t>
            </w:r>
          </w:p>
        </w:tc>
        <w:tc>
          <w:tcPr>
            <w:tcW w:w="3638" w:type="pct"/>
            <w:tcBorders>
              <w:top w:val="single" w:sz="4" w:space="0" w:color="244062"/>
              <w:left w:val="nil"/>
              <w:bottom w:val="single" w:sz="4" w:space="0" w:color="244062"/>
              <w:right w:val="nil"/>
            </w:tcBorders>
            <w:vAlign w:val="center"/>
            <w:hideMark/>
          </w:tcPr>
          <w:p w14:paraId="1F9533EE" w14:textId="77777777" w:rsidR="000A4498" w:rsidRPr="008609D1" w:rsidRDefault="000A4498"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Control y gestión de la facturación a usuarios finales</w:t>
            </w:r>
            <w:r>
              <w:rPr>
                <w:rFonts w:ascii="ITC Avant Garde" w:eastAsia="Times New Roman" w:hAnsi="ITC Avant Garde" w:cs="Arial"/>
                <w:sz w:val="20"/>
                <w:lang w:val="es-ES" w:eastAsia="es-ES"/>
              </w:rPr>
              <w:t>.</w:t>
            </w:r>
          </w:p>
        </w:tc>
      </w:tr>
      <w:tr w:rsidR="000A4498" w:rsidRPr="008609D1" w14:paraId="43F0600C"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A03555C"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Cobranza</w:t>
            </w:r>
          </w:p>
        </w:tc>
        <w:tc>
          <w:tcPr>
            <w:tcW w:w="3638" w:type="pct"/>
            <w:tcBorders>
              <w:top w:val="single" w:sz="4" w:space="0" w:color="244062"/>
              <w:left w:val="nil"/>
              <w:bottom w:val="single" w:sz="4" w:space="0" w:color="244062"/>
              <w:right w:val="nil"/>
            </w:tcBorders>
            <w:vAlign w:val="center"/>
            <w:hideMark/>
          </w:tcPr>
          <w:p w14:paraId="5CEE7AF8" w14:textId="77777777" w:rsidR="000A4498" w:rsidRPr="008609D1" w:rsidRDefault="000A4498"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Control y gestión del cobro a usuarios finales</w:t>
            </w:r>
            <w:r>
              <w:rPr>
                <w:rFonts w:ascii="ITC Avant Garde" w:eastAsia="Times New Roman" w:hAnsi="ITC Avant Garde" w:cs="Arial"/>
                <w:sz w:val="20"/>
                <w:lang w:val="es-ES" w:eastAsia="es-ES"/>
              </w:rPr>
              <w:t>.</w:t>
            </w:r>
          </w:p>
        </w:tc>
      </w:tr>
      <w:tr w:rsidR="000A4498" w:rsidRPr="008609D1" w14:paraId="323CECA5"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7A19209"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Tarificación</w:t>
            </w:r>
          </w:p>
        </w:tc>
        <w:tc>
          <w:tcPr>
            <w:tcW w:w="3638" w:type="pct"/>
            <w:tcBorders>
              <w:top w:val="single" w:sz="4" w:space="0" w:color="244062"/>
              <w:left w:val="nil"/>
              <w:bottom w:val="single" w:sz="4" w:space="0" w:color="244062"/>
              <w:right w:val="nil"/>
            </w:tcBorders>
            <w:vAlign w:val="center"/>
            <w:hideMark/>
          </w:tcPr>
          <w:p w14:paraId="0C6C4FC5" w14:textId="77777777" w:rsidR="000A4498" w:rsidRPr="008609D1" w:rsidRDefault="000A4498"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Control y gestión de la facturación a otros operadores</w:t>
            </w:r>
            <w:r>
              <w:rPr>
                <w:rFonts w:ascii="ITC Avant Garde" w:eastAsia="Times New Roman" w:hAnsi="ITC Avant Garde" w:cs="Arial"/>
                <w:sz w:val="20"/>
                <w:lang w:val="es-ES" w:eastAsia="es-ES"/>
              </w:rPr>
              <w:t>.</w:t>
            </w:r>
          </w:p>
        </w:tc>
      </w:tr>
      <w:tr w:rsidR="000A4498" w:rsidRPr="008609D1" w14:paraId="1539F171"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64F32A2"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Tasas e impuestos</w:t>
            </w:r>
          </w:p>
        </w:tc>
        <w:tc>
          <w:tcPr>
            <w:tcW w:w="3638" w:type="pct"/>
            <w:tcBorders>
              <w:top w:val="single" w:sz="4" w:space="0" w:color="244062"/>
              <w:left w:val="nil"/>
              <w:bottom w:val="single" w:sz="4" w:space="0" w:color="244062"/>
              <w:right w:val="nil"/>
            </w:tcBorders>
            <w:vAlign w:val="center"/>
            <w:hideMark/>
          </w:tcPr>
          <w:p w14:paraId="07564FA4" w14:textId="77777777" w:rsidR="000A4498" w:rsidRPr="008609D1" w:rsidRDefault="000A4498"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0A4498" w:rsidRPr="008609D1" w14:paraId="51EC06B4"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AF02BA1"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Programas de fidelización</w:t>
            </w:r>
          </w:p>
        </w:tc>
        <w:tc>
          <w:tcPr>
            <w:tcW w:w="3638" w:type="pct"/>
            <w:tcBorders>
              <w:top w:val="single" w:sz="4" w:space="0" w:color="244062"/>
              <w:left w:val="nil"/>
              <w:bottom w:val="single" w:sz="4" w:space="0" w:color="244062"/>
              <w:right w:val="nil"/>
            </w:tcBorders>
            <w:vAlign w:val="center"/>
            <w:hideMark/>
          </w:tcPr>
          <w:p w14:paraId="1AC6A671" w14:textId="77777777" w:rsidR="000A4498" w:rsidRPr="008609D1" w:rsidRDefault="000A4498"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Gestión de la fidelización de clientes</w:t>
            </w:r>
            <w:r>
              <w:rPr>
                <w:rFonts w:ascii="ITC Avant Garde" w:eastAsia="Times New Roman" w:hAnsi="ITC Avant Garde" w:cs="Arial"/>
                <w:sz w:val="20"/>
                <w:lang w:val="es-ES" w:eastAsia="es-ES"/>
              </w:rPr>
              <w:t>.</w:t>
            </w:r>
          </w:p>
        </w:tc>
      </w:tr>
      <w:tr w:rsidR="000A4498" w:rsidRPr="008609D1" w14:paraId="71CB8181" w14:textId="77777777" w:rsidTr="000A4498">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66CA166F" w14:textId="77777777" w:rsidR="000A4498" w:rsidRPr="008609D1" w:rsidRDefault="000A4498"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directos de ventas</w:t>
            </w:r>
          </w:p>
        </w:tc>
      </w:tr>
      <w:tr w:rsidR="000A4498" w:rsidRPr="008609D1" w14:paraId="726C224A"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7342242"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Acceso Internet internacional</w:t>
            </w:r>
          </w:p>
        </w:tc>
        <w:tc>
          <w:tcPr>
            <w:tcW w:w="3638" w:type="pct"/>
            <w:tcBorders>
              <w:top w:val="single" w:sz="4" w:space="0" w:color="244062"/>
              <w:left w:val="nil"/>
              <w:bottom w:val="single" w:sz="4" w:space="0" w:color="244062"/>
              <w:right w:val="nil"/>
            </w:tcBorders>
            <w:vAlign w:val="center"/>
            <w:hideMark/>
          </w:tcPr>
          <w:p w14:paraId="16130323" w14:textId="77777777" w:rsidR="000A4498" w:rsidRPr="008609D1" w:rsidRDefault="000A4498"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el acceso a Internet internacional</w:t>
            </w:r>
            <w:r>
              <w:rPr>
                <w:rFonts w:ascii="ITC Avant Garde" w:eastAsia="Times New Roman" w:hAnsi="ITC Avant Garde" w:cs="Arial"/>
                <w:sz w:val="20"/>
                <w:lang w:val="es-ES" w:eastAsia="es-ES"/>
              </w:rPr>
              <w:t>.</w:t>
            </w:r>
          </w:p>
        </w:tc>
      </w:tr>
      <w:tr w:rsidR="000A4498" w:rsidRPr="008609D1" w14:paraId="29BA855B"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396C6326"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en destinos nacionales</w:t>
            </w:r>
          </w:p>
        </w:tc>
        <w:tc>
          <w:tcPr>
            <w:tcW w:w="3638" w:type="pct"/>
            <w:tcBorders>
              <w:top w:val="single" w:sz="4" w:space="0" w:color="244062"/>
              <w:left w:val="nil"/>
              <w:bottom w:val="single" w:sz="4" w:space="0" w:color="244062"/>
              <w:right w:val="nil"/>
            </w:tcBorders>
            <w:vAlign w:val="center"/>
            <w:hideMark/>
          </w:tcPr>
          <w:p w14:paraId="0E2482CC" w14:textId="77777777" w:rsidR="000A4498" w:rsidRPr="008609D1" w:rsidRDefault="000A4498"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la terminación de tráfico de la red de telefonía móvil en las redes de terceros operadores nacionales</w:t>
            </w:r>
            <w:r>
              <w:rPr>
                <w:rFonts w:ascii="ITC Avant Garde" w:eastAsia="Times New Roman" w:hAnsi="ITC Avant Garde" w:cs="Arial"/>
                <w:sz w:val="20"/>
                <w:lang w:val="es-ES" w:eastAsia="es-ES"/>
              </w:rPr>
              <w:t>.</w:t>
            </w:r>
          </w:p>
        </w:tc>
      </w:tr>
      <w:tr w:rsidR="000A4498" w:rsidRPr="008609D1" w14:paraId="0915094C"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39AC534"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en destinos internacionales</w:t>
            </w:r>
          </w:p>
        </w:tc>
        <w:tc>
          <w:tcPr>
            <w:tcW w:w="3638" w:type="pct"/>
            <w:tcBorders>
              <w:top w:val="single" w:sz="4" w:space="0" w:color="244062"/>
              <w:left w:val="nil"/>
              <w:bottom w:val="single" w:sz="4" w:space="0" w:color="244062"/>
              <w:right w:val="nil"/>
            </w:tcBorders>
            <w:vAlign w:val="center"/>
            <w:hideMark/>
          </w:tcPr>
          <w:p w14:paraId="138C513B" w14:textId="77777777" w:rsidR="000A4498" w:rsidRPr="008609D1" w:rsidRDefault="000A4498"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la terminación de tráfico de la red de telefonía móvil en las redes de terceros operadores internacionales</w:t>
            </w:r>
            <w:r>
              <w:rPr>
                <w:rFonts w:ascii="ITC Avant Garde" w:eastAsia="Times New Roman" w:hAnsi="ITC Avant Garde" w:cs="Arial"/>
                <w:sz w:val="20"/>
                <w:lang w:val="es-ES" w:eastAsia="es-ES"/>
              </w:rPr>
              <w:t>.</w:t>
            </w:r>
          </w:p>
        </w:tc>
      </w:tr>
      <w:tr w:rsidR="000A4498" w:rsidRPr="008609D1" w14:paraId="2377CA32"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07125951"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154F13">
              <w:rPr>
                <w:rFonts w:ascii="ITC Avant Garde" w:eastAsia="Times New Roman" w:hAnsi="ITC Avant Garde" w:cs="Arial"/>
                <w:i/>
                <w:sz w:val="20"/>
                <w:lang w:val="es-ES" w:eastAsia="es-ES"/>
              </w:rPr>
              <w:lastRenderedPageBreak/>
              <w:t>Roaming</w:t>
            </w:r>
            <w:r w:rsidRPr="008609D1">
              <w:rPr>
                <w:rFonts w:ascii="ITC Avant Garde" w:eastAsia="Times New Roman" w:hAnsi="ITC Avant Garde" w:cs="Arial"/>
                <w:sz w:val="20"/>
                <w:lang w:val="es-ES" w:eastAsia="es-ES"/>
              </w:rPr>
              <w:t xml:space="preserve"> nacional</w:t>
            </w:r>
          </w:p>
        </w:tc>
        <w:tc>
          <w:tcPr>
            <w:tcW w:w="3638" w:type="pct"/>
            <w:tcBorders>
              <w:top w:val="single" w:sz="4" w:space="0" w:color="244062"/>
              <w:left w:val="nil"/>
              <w:bottom w:val="single" w:sz="4" w:space="0" w:color="244062"/>
              <w:right w:val="nil"/>
            </w:tcBorders>
            <w:vAlign w:val="center"/>
            <w:hideMark/>
          </w:tcPr>
          <w:p w14:paraId="65F92E72" w14:textId="77777777" w:rsidR="000A4498" w:rsidRPr="008609D1" w:rsidRDefault="000A4498"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el uso de la red de terceros en México para cursar tráfico</w:t>
            </w:r>
            <w:r>
              <w:rPr>
                <w:rFonts w:ascii="ITC Avant Garde" w:eastAsia="Times New Roman" w:hAnsi="ITC Avant Garde" w:cs="Arial"/>
                <w:sz w:val="20"/>
                <w:lang w:val="es-ES" w:eastAsia="es-ES"/>
              </w:rPr>
              <w:t>.</w:t>
            </w:r>
          </w:p>
        </w:tc>
      </w:tr>
      <w:tr w:rsidR="000A4498" w:rsidRPr="008609D1" w14:paraId="1B27B1D6"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4594A087"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154F13">
              <w:rPr>
                <w:rFonts w:ascii="ITC Avant Garde" w:eastAsia="Times New Roman" w:hAnsi="ITC Avant Garde" w:cs="Arial"/>
                <w:i/>
                <w:sz w:val="20"/>
                <w:lang w:val="es-ES" w:eastAsia="es-ES"/>
              </w:rPr>
              <w:t>Roaming</w:t>
            </w:r>
            <w:r w:rsidRPr="008609D1">
              <w:rPr>
                <w:rFonts w:ascii="ITC Avant Garde" w:eastAsia="Times New Roman" w:hAnsi="ITC Avant Garde" w:cs="Arial"/>
                <w:sz w:val="20"/>
                <w:lang w:val="es-ES" w:eastAsia="es-ES"/>
              </w:rPr>
              <w:t xml:space="preserve"> internacional</w:t>
            </w:r>
          </w:p>
        </w:tc>
        <w:tc>
          <w:tcPr>
            <w:tcW w:w="3638" w:type="pct"/>
            <w:tcBorders>
              <w:top w:val="single" w:sz="4" w:space="0" w:color="244062"/>
              <w:left w:val="nil"/>
              <w:bottom w:val="single" w:sz="4" w:space="0" w:color="244062"/>
              <w:right w:val="nil"/>
            </w:tcBorders>
            <w:vAlign w:val="center"/>
            <w:hideMark/>
          </w:tcPr>
          <w:p w14:paraId="71DF3601" w14:textId="77777777" w:rsidR="000A4498" w:rsidRPr="008609D1" w:rsidRDefault="000A4498"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 por el uso de la red internacional de terceros para cursar tráfico</w:t>
            </w:r>
            <w:r>
              <w:rPr>
                <w:rFonts w:ascii="ITC Avant Garde" w:eastAsia="Times New Roman" w:hAnsi="ITC Avant Garde" w:cs="Arial"/>
                <w:sz w:val="20"/>
                <w:lang w:val="es-ES" w:eastAsia="es-ES"/>
              </w:rPr>
              <w:t>.</w:t>
            </w:r>
          </w:p>
        </w:tc>
      </w:tr>
      <w:tr w:rsidR="000A4498" w:rsidRPr="008609D1" w14:paraId="74C871A1"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5CDE20C1"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Provisiones</w:t>
            </w:r>
          </w:p>
        </w:tc>
        <w:tc>
          <w:tcPr>
            <w:tcW w:w="3638" w:type="pct"/>
            <w:tcBorders>
              <w:top w:val="single" w:sz="4" w:space="0" w:color="244062"/>
              <w:left w:val="nil"/>
              <w:bottom w:val="single" w:sz="4" w:space="0" w:color="244062"/>
              <w:right w:val="nil"/>
            </w:tcBorders>
            <w:vAlign w:val="center"/>
            <w:hideMark/>
          </w:tcPr>
          <w:p w14:paraId="509B66ED" w14:textId="77777777" w:rsidR="000A4498" w:rsidRPr="008609D1" w:rsidRDefault="000A4498"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Gestión de las provisiones por insolvencias</w:t>
            </w:r>
            <w:r>
              <w:rPr>
                <w:rFonts w:ascii="ITC Avant Garde" w:eastAsia="Times New Roman" w:hAnsi="ITC Avant Garde" w:cs="Arial"/>
                <w:sz w:val="20"/>
                <w:lang w:val="es-ES" w:eastAsia="es-ES"/>
              </w:rPr>
              <w:t>.</w:t>
            </w:r>
          </w:p>
        </w:tc>
      </w:tr>
      <w:tr w:rsidR="000A4498" w:rsidRPr="008609D1" w14:paraId="63E86670"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48BC1E08"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Costos directos de la venta de </w:t>
            </w:r>
            <w:r>
              <w:rPr>
                <w:rFonts w:ascii="ITC Avant Garde" w:eastAsia="Times New Roman" w:hAnsi="ITC Avant Garde" w:cs="Arial"/>
                <w:sz w:val="20"/>
                <w:lang w:val="es-ES" w:eastAsia="es-ES"/>
              </w:rPr>
              <w:t xml:space="preserve">equipos </w:t>
            </w:r>
            <w:r w:rsidRPr="008609D1">
              <w:rPr>
                <w:rFonts w:ascii="ITC Avant Garde" w:eastAsia="Times New Roman" w:hAnsi="ITC Avant Garde" w:cs="Arial"/>
                <w:sz w:val="20"/>
                <w:lang w:val="es-ES" w:eastAsia="es-ES"/>
              </w:rPr>
              <w:t>terminales</w:t>
            </w:r>
          </w:p>
        </w:tc>
        <w:tc>
          <w:tcPr>
            <w:tcW w:w="3638" w:type="pct"/>
            <w:tcBorders>
              <w:top w:val="single" w:sz="4" w:space="0" w:color="244062"/>
              <w:left w:val="nil"/>
              <w:bottom w:val="single" w:sz="4" w:space="0" w:color="244062"/>
              <w:right w:val="nil"/>
            </w:tcBorders>
            <w:vAlign w:val="center"/>
            <w:hideMark/>
          </w:tcPr>
          <w:p w14:paraId="73D8EC26" w14:textId="77777777" w:rsidR="000A4498" w:rsidRPr="008609D1" w:rsidRDefault="000A4498"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Contiene los costos relativos a los </w:t>
            </w:r>
            <w:r>
              <w:rPr>
                <w:rFonts w:ascii="ITC Avant Garde" w:eastAsia="Times New Roman" w:hAnsi="ITC Avant Garde" w:cs="Arial"/>
                <w:sz w:val="20"/>
                <w:lang w:val="es-ES" w:eastAsia="es-ES"/>
              </w:rPr>
              <w:t xml:space="preserve">equipos </w:t>
            </w:r>
            <w:r w:rsidRPr="008609D1">
              <w:rPr>
                <w:rFonts w:ascii="ITC Avant Garde" w:eastAsia="Times New Roman" w:hAnsi="ITC Avant Garde" w:cs="Arial"/>
                <w:sz w:val="20"/>
                <w:lang w:val="es-ES" w:eastAsia="es-ES"/>
              </w:rPr>
              <w:t>terminales vendidos a los usuarios finales</w:t>
            </w:r>
            <w:r>
              <w:rPr>
                <w:rFonts w:ascii="ITC Avant Garde" w:eastAsia="Times New Roman" w:hAnsi="ITC Avant Garde" w:cs="Arial"/>
                <w:sz w:val="20"/>
                <w:lang w:val="es-ES" w:eastAsia="es-ES"/>
              </w:rPr>
              <w:t>.</w:t>
            </w:r>
          </w:p>
        </w:tc>
      </w:tr>
      <w:tr w:rsidR="000A4498" w:rsidRPr="008609D1" w14:paraId="7C465F3A" w14:textId="77777777" w:rsidTr="000A4498">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65AEC19C" w14:textId="77777777" w:rsidR="000A4498" w:rsidRPr="008609D1" w:rsidRDefault="000A4498"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comunes</w:t>
            </w:r>
          </w:p>
        </w:tc>
      </w:tr>
      <w:tr w:rsidR="000A4498" w:rsidRPr="008609D1" w14:paraId="509B6DEA"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32C020F1"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generales y de gestión – minoristas</w:t>
            </w:r>
          </w:p>
        </w:tc>
        <w:tc>
          <w:tcPr>
            <w:tcW w:w="3638" w:type="pct"/>
            <w:tcBorders>
              <w:top w:val="single" w:sz="4" w:space="0" w:color="244062"/>
              <w:left w:val="nil"/>
              <w:bottom w:val="single" w:sz="4" w:space="0" w:color="244062"/>
              <w:right w:val="nil"/>
            </w:tcBorders>
            <w:vAlign w:val="center"/>
          </w:tcPr>
          <w:p w14:paraId="0FBC948C" w14:textId="77777777" w:rsidR="000A4498" w:rsidRPr="008609D1" w:rsidRDefault="000A4498"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 de gestión del operador dedicado a la prestación de servicios minoristas</w:t>
            </w:r>
            <w:r>
              <w:rPr>
                <w:rFonts w:ascii="ITC Avant Garde" w:eastAsia="Times New Roman" w:hAnsi="ITC Avant Garde" w:cs="Arial"/>
                <w:sz w:val="20"/>
                <w:lang w:val="es-ES" w:eastAsia="es-ES"/>
              </w:rPr>
              <w:t>.</w:t>
            </w:r>
          </w:p>
        </w:tc>
      </w:tr>
      <w:tr w:rsidR="000A4498" w:rsidRPr="008609D1" w14:paraId="5CD52B77"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5D4868B" w14:textId="77777777" w:rsidR="000A4498" w:rsidRPr="008609D1" w:rsidRDefault="000A4498"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generales y de gestión – red</w:t>
            </w:r>
          </w:p>
        </w:tc>
        <w:tc>
          <w:tcPr>
            <w:tcW w:w="3638" w:type="pct"/>
            <w:tcBorders>
              <w:top w:val="single" w:sz="4" w:space="0" w:color="244062"/>
              <w:left w:val="nil"/>
              <w:bottom w:val="single" w:sz="4" w:space="0" w:color="244062"/>
              <w:right w:val="nil"/>
            </w:tcBorders>
            <w:vAlign w:val="center"/>
            <w:hideMark/>
          </w:tcPr>
          <w:p w14:paraId="753A68D8" w14:textId="77777777" w:rsidR="000A4498" w:rsidRPr="008609D1" w:rsidRDefault="000A4498"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 de gestión del operador dedicado a la gestión, monitoreo, etc. de la red</w:t>
            </w:r>
            <w:r>
              <w:rPr>
                <w:rFonts w:ascii="ITC Avant Garde" w:eastAsia="Times New Roman" w:hAnsi="ITC Avant Garde" w:cs="Arial"/>
                <w:sz w:val="20"/>
                <w:lang w:val="es-ES" w:eastAsia="es-ES"/>
              </w:rPr>
              <w:t>.</w:t>
            </w:r>
          </w:p>
        </w:tc>
      </w:tr>
      <w:tr w:rsidR="000A4498" w:rsidRPr="008609D1" w14:paraId="5DABD3FA"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78F15DF3" w14:textId="77777777" w:rsidR="000A4498" w:rsidRPr="008609D1" w:rsidRDefault="000A4498" w:rsidP="001735D4">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Servicios generales y de gestión – negocio</w:t>
            </w:r>
          </w:p>
        </w:tc>
        <w:tc>
          <w:tcPr>
            <w:tcW w:w="3638" w:type="pct"/>
            <w:tcBorders>
              <w:top w:val="single" w:sz="4" w:space="0" w:color="244062"/>
              <w:left w:val="nil"/>
              <w:bottom w:val="single" w:sz="4" w:space="0" w:color="244062"/>
              <w:right w:val="nil"/>
            </w:tcBorders>
            <w:vAlign w:val="center"/>
          </w:tcPr>
          <w:p w14:paraId="5EAE3ECB" w14:textId="77777777" w:rsidR="000A4498" w:rsidRPr="008609D1" w:rsidRDefault="000A4498" w:rsidP="004B3901">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Equipo de gestión del operador dedicado al funcionamiento del negocio en general</w:t>
            </w:r>
            <w:r>
              <w:rPr>
                <w:rFonts w:ascii="ITC Avant Garde" w:eastAsia="Times New Roman" w:hAnsi="ITC Avant Garde" w:cs="Arial"/>
                <w:sz w:val="20"/>
                <w:lang w:eastAsia="es-ES"/>
              </w:rPr>
              <w:t>.</w:t>
            </w:r>
          </w:p>
        </w:tc>
      </w:tr>
      <w:tr w:rsidR="000A4498" w:rsidRPr="008609D1" w14:paraId="48BD7767" w14:textId="77777777" w:rsidTr="000A4498">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23EFFCAE" w14:textId="77777777" w:rsidR="000A4498" w:rsidRPr="008609D1" w:rsidRDefault="000A4498"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no relevantes para la separación contable</w:t>
            </w:r>
          </w:p>
        </w:tc>
      </w:tr>
      <w:tr w:rsidR="000A4498" w:rsidRPr="008609D1" w14:paraId="619ADC64" w14:textId="77777777" w:rsidTr="000A4498">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79A7C3E" w14:textId="77777777" w:rsidR="000A4498" w:rsidRPr="008609D1" w:rsidRDefault="000A4498" w:rsidP="00F3392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Partidas no relevantes para la separación contable</w:t>
            </w:r>
          </w:p>
        </w:tc>
        <w:tc>
          <w:tcPr>
            <w:tcW w:w="3638" w:type="pct"/>
            <w:tcBorders>
              <w:top w:val="single" w:sz="4" w:space="0" w:color="244062"/>
              <w:left w:val="nil"/>
              <w:bottom w:val="single" w:sz="4" w:space="0" w:color="244062"/>
              <w:right w:val="nil"/>
            </w:tcBorders>
            <w:vAlign w:val="center"/>
            <w:hideMark/>
          </w:tcPr>
          <w:p w14:paraId="6C9D177C" w14:textId="3869AB50" w:rsidR="000A4498" w:rsidRPr="008609D1" w:rsidRDefault="000A4498" w:rsidP="0024299C">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Partidas de costos relativas a los servicios no relevantes para la </w:t>
            </w:r>
            <w:r w:rsidR="00A2661B">
              <w:rPr>
                <w:rFonts w:ascii="ITC Avant Garde" w:eastAsia="Times New Roman" w:hAnsi="ITC Avant Garde" w:cs="Arial"/>
                <w:sz w:val="20"/>
                <w:lang w:val="es-ES" w:eastAsia="es-ES"/>
              </w:rPr>
              <w:t>prestación</w:t>
            </w:r>
            <w:r w:rsidR="0024299C">
              <w:rPr>
                <w:rFonts w:ascii="ITC Avant Garde" w:eastAsia="Times New Roman" w:hAnsi="ITC Avant Garde" w:cs="Arial"/>
                <w:sz w:val="20"/>
                <w:lang w:val="es-ES" w:eastAsia="es-ES"/>
              </w:rPr>
              <w:t xml:space="preserve"> de servicios</w:t>
            </w:r>
            <w:r w:rsidR="0024299C" w:rsidRPr="008609D1">
              <w:rPr>
                <w:rFonts w:ascii="ITC Avant Garde" w:eastAsia="Times New Roman" w:hAnsi="ITC Avant Garde" w:cs="Arial"/>
                <w:sz w:val="20"/>
                <w:lang w:val="es-ES" w:eastAsia="es-ES"/>
              </w:rPr>
              <w:t xml:space="preserve"> </w:t>
            </w:r>
            <w:r w:rsidRPr="008609D1">
              <w:rPr>
                <w:rFonts w:ascii="ITC Avant Garde" w:eastAsia="Times New Roman" w:hAnsi="ITC Avant Garde" w:cs="Arial"/>
                <w:sz w:val="20"/>
                <w:lang w:val="es-ES" w:eastAsia="es-ES"/>
              </w:rPr>
              <w:t>de telecomunicaciones móviles</w:t>
            </w:r>
            <w:r>
              <w:rPr>
                <w:rFonts w:ascii="ITC Avant Garde" w:eastAsia="Times New Roman" w:hAnsi="ITC Avant Garde" w:cs="Arial"/>
                <w:sz w:val="20"/>
                <w:lang w:val="es-ES" w:eastAsia="es-ES"/>
              </w:rPr>
              <w:t>.</w:t>
            </w:r>
          </w:p>
        </w:tc>
      </w:tr>
    </w:tbl>
    <w:p w14:paraId="665AEE1A" w14:textId="77777777" w:rsidR="00FA4D4D" w:rsidRDefault="00FA4D4D" w:rsidP="007D37BE">
      <w:pPr>
        <w:pStyle w:val="Normalresolucion"/>
      </w:pPr>
    </w:p>
    <w:p w14:paraId="34BC91D7" w14:textId="77777777" w:rsidR="007D37BE" w:rsidRDefault="007D37BE" w:rsidP="007D37BE">
      <w:pPr>
        <w:pStyle w:val="Normalresolucion"/>
      </w:pPr>
      <w:r w:rsidRPr="008609D1">
        <w:t>Listado de servicios a desagregar en el Nivel 3. El listado de servicios expuesto a continuación pretende capturar aquellos servicios prestados (actual o potencialmente) por el concesionario</w:t>
      </w:r>
      <w:r w:rsidRPr="008609D1">
        <w:rPr>
          <w:rStyle w:val="Refdenotaalpie"/>
        </w:rPr>
        <w:footnoteReference w:id="43"/>
      </w:r>
      <w:r w:rsidRPr="008609D1">
        <w:t xml:space="preserve">, de acuerdo a los principios de materialidad y relevancia. Estos deben incluir todos los principales servicios ofrecidos por los concesionarios (ya sean regulados o no) con el fin de asegurar la causalidad y transparencia de las imputaciones de costos realizadas en la separación contable. </w:t>
      </w:r>
    </w:p>
    <w:p w14:paraId="3BD26B9F" w14:textId="77777777" w:rsidR="00035EFD" w:rsidRPr="008609D1" w:rsidRDefault="00035EFD" w:rsidP="00035EFD">
      <w:pPr>
        <w:pStyle w:val="Descripcin"/>
        <w:spacing w:after="240" w:line="240" w:lineRule="auto"/>
        <w:rPr>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Pr="008609D1">
        <w:rPr>
          <w:rFonts w:ascii="ITC Avant Garde" w:hAnsi="ITC Avant Garde"/>
          <w:iCs/>
          <w:noProof/>
          <w:sz w:val="20"/>
          <w:lang w:val="es-MX"/>
        </w:rPr>
        <w:t>10</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servicios a desagregar en el Nivel 3 de operadores de telecomunicaciones móviles</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6423"/>
      </w:tblGrid>
      <w:tr w:rsidR="0085633E" w:rsidRPr="008609D1" w14:paraId="2921CCCA" w14:textId="77777777" w:rsidTr="0085633E">
        <w:trPr>
          <w:trHeight w:val="340"/>
          <w:tblHeader/>
          <w:jc w:val="center"/>
        </w:trPr>
        <w:tc>
          <w:tcPr>
            <w:tcW w:w="1362" w:type="pct"/>
            <w:tcBorders>
              <w:top w:val="nil"/>
              <w:left w:val="single" w:sz="4" w:space="0" w:color="FFFFFF"/>
              <w:bottom w:val="single" w:sz="4" w:space="0" w:color="244062"/>
              <w:right w:val="single" w:sz="4" w:space="0" w:color="FFFFFF"/>
            </w:tcBorders>
            <w:shd w:val="clear" w:color="auto" w:fill="4F629B"/>
            <w:vAlign w:val="center"/>
            <w:hideMark/>
          </w:tcPr>
          <w:p w14:paraId="4133BAE6" w14:textId="373ACA45" w:rsidR="0085633E" w:rsidRPr="008609D1" w:rsidRDefault="0085633E" w:rsidP="004B3901">
            <w:pPr>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Servicios</w:t>
            </w:r>
          </w:p>
        </w:tc>
        <w:tc>
          <w:tcPr>
            <w:tcW w:w="3638" w:type="pct"/>
            <w:tcBorders>
              <w:top w:val="nil"/>
              <w:left w:val="single" w:sz="4" w:space="0" w:color="FFFFFF"/>
              <w:bottom w:val="single" w:sz="4" w:space="0" w:color="244062"/>
              <w:right w:val="single" w:sz="4" w:space="0" w:color="FFFFFF"/>
            </w:tcBorders>
            <w:shd w:val="clear" w:color="auto" w:fill="4F629B"/>
            <w:vAlign w:val="center"/>
            <w:hideMark/>
          </w:tcPr>
          <w:p w14:paraId="7895E291" w14:textId="77777777" w:rsidR="0085633E" w:rsidRPr="008609D1" w:rsidRDefault="0085633E" w:rsidP="004B3901">
            <w:pPr>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Descripción</w:t>
            </w:r>
          </w:p>
        </w:tc>
      </w:tr>
      <w:tr w:rsidR="0085633E" w:rsidRPr="008609D1" w14:paraId="4EBC0236" w14:textId="77777777" w:rsidTr="0085633E">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10BA1B75" w14:textId="77777777" w:rsidR="0085633E" w:rsidRPr="008609D1" w:rsidRDefault="0085633E"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minoristas</w:t>
            </w:r>
          </w:p>
        </w:tc>
      </w:tr>
      <w:tr w:rsidR="0085633E" w:rsidRPr="008609D1" w14:paraId="176DE2C8"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1DADBFFD" w14:textId="5AD644AE" w:rsidR="0085633E" w:rsidRPr="006D334F" w:rsidRDefault="0085633E" w:rsidP="007D5919">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Llamadas locales realizadas a la misma red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m</w:t>
            </w:r>
            <w:r w:rsidRPr="006D334F">
              <w:rPr>
                <w:rFonts w:ascii="ITC Avant Garde" w:eastAsia="Times New Roman" w:hAnsi="ITC Avant Garde" w:cs="Arial"/>
                <w:sz w:val="20"/>
                <w:szCs w:val="20"/>
                <w:lang w:val="es-ES" w:eastAsia="es-ES"/>
              </w:rPr>
              <w:t>óvil</w:t>
            </w:r>
          </w:p>
        </w:tc>
        <w:tc>
          <w:tcPr>
            <w:tcW w:w="3638" w:type="pct"/>
            <w:tcBorders>
              <w:top w:val="single" w:sz="4" w:space="0" w:color="244062"/>
              <w:left w:val="nil"/>
              <w:bottom w:val="single" w:sz="4" w:space="0" w:color="244062"/>
              <w:right w:val="nil"/>
            </w:tcBorders>
            <w:hideMark/>
          </w:tcPr>
          <w:p w14:paraId="2DAB15BE" w14:textId="2346A950" w:rsidR="0085633E" w:rsidRPr="006D334F" w:rsidRDefault="0085633E" w:rsidP="007D5919">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Número de minutos efectivos de las llamadas locales originadas y terminadas en la red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m</w:t>
            </w:r>
            <w:r w:rsidRPr="006D334F">
              <w:rPr>
                <w:rFonts w:ascii="ITC Avant Garde" w:eastAsia="Times New Roman" w:hAnsi="ITC Avant Garde" w:cs="Arial"/>
                <w:sz w:val="20"/>
                <w:szCs w:val="20"/>
                <w:lang w:val="es-ES" w:eastAsia="es-ES"/>
              </w:rPr>
              <w:t xml:space="preserve">óvil del </w:t>
            </w:r>
            <w:r w:rsidR="007D5919">
              <w:rPr>
                <w:rFonts w:ascii="ITC Avant Garde" w:eastAsia="Times New Roman" w:hAnsi="ITC Avant Garde" w:cs="Arial"/>
                <w:sz w:val="20"/>
                <w:szCs w:val="20"/>
                <w:lang w:val="es-ES" w:eastAsia="es-ES"/>
              </w:rPr>
              <w:t>o</w:t>
            </w:r>
            <w:r w:rsidRPr="006D334F">
              <w:rPr>
                <w:rFonts w:ascii="ITC Avant Garde" w:eastAsia="Times New Roman" w:hAnsi="ITC Avant Garde" w:cs="Arial"/>
                <w:sz w:val="20"/>
                <w:szCs w:val="20"/>
                <w:lang w:val="es-ES" w:eastAsia="es-ES"/>
              </w:rPr>
              <w:t>perador a través de suscripciones propias. Solo se entregarán los minutos efectivos originados, para evitar doble contabilidad. Se excluye el tráfico generado por servicios de reventa y los destinos de numeración especial.</w:t>
            </w:r>
          </w:p>
        </w:tc>
      </w:tr>
      <w:tr w:rsidR="0085633E" w:rsidRPr="008609D1" w14:paraId="1D0738C3"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DA1D471" w14:textId="127EC08A" w:rsidR="0085633E" w:rsidRPr="006D334F" w:rsidRDefault="0085633E" w:rsidP="007D5919">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lastRenderedPageBreak/>
              <w:t xml:space="preserve">Llamadas locales realizadas a redes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f</w:t>
            </w:r>
            <w:r w:rsidRPr="006D334F">
              <w:rPr>
                <w:rFonts w:ascii="ITC Avant Garde" w:eastAsia="Times New Roman" w:hAnsi="ITC Avant Garde" w:cs="Arial"/>
                <w:sz w:val="20"/>
                <w:szCs w:val="20"/>
                <w:lang w:val="es-ES" w:eastAsia="es-ES"/>
              </w:rPr>
              <w:t>ija</w:t>
            </w:r>
          </w:p>
        </w:tc>
        <w:tc>
          <w:tcPr>
            <w:tcW w:w="3638" w:type="pct"/>
            <w:tcBorders>
              <w:top w:val="single" w:sz="4" w:space="0" w:color="244062"/>
              <w:left w:val="nil"/>
              <w:bottom w:val="single" w:sz="4" w:space="0" w:color="244062"/>
              <w:right w:val="nil"/>
            </w:tcBorders>
            <w:hideMark/>
          </w:tcPr>
          <w:p w14:paraId="745FDF52" w14:textId="70531A99" w:rsidR="0085633E" w:rsidRPr="006D334F" w:rsidRDefault="0085633E" w:rsidP="007D5919">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Número de minutos efectivos de las llamadas locales originadas en la red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m</w:t>
            </w:r>
            <w:r w:rsidRPr="006D334F">
              <w:rPr>
                <w:rFonts w:ascii="ITC Avant Garde" w:eastAsia="Times New Roman" w:hAnsi="ITC Avant Garde" w:cs="Arial"/>
                <w:sz w:val="20"/>
                <w:szCs w:val="20"/>
                <w:lang w:val="es-ES" w:eastAsia="es-ES"/>
              </w:rPr>
              <w:t xml:space="preserve">óvil del </w:t>
            </w:r>
            <w:r w:rsidR="007D5919">
              <w:rPr>
                <w:rFonts w:ascii="ITC Avant Garde" w:eastAsia="Times New Roman" w:hAnsi="ITC Avant Garde" w:cs="Arial"/>
                <w:sz w:val="20"/>
                <w:szCs w:val="20"/>
                <w:lang w:val="es-ES" w:eastAsia="es-ES"/>
              </w:rPr>
              <w:t>o</w:t>
            </w:r>
            <w:r w:rsidRPr="006D334F">
              <w:rPr>
                <w:rFonts w:ascii="ITC Avant Garde" w:eastAsia="Times New Roman" w:hAnsi="ITC Avant Garde" w:cs="Arial"/>
                <w:sz w:val="20"/>
                <w:szCs w:val="20"/>
                <w:lang w:val="es-ES" w:eastAsia="es-ES"/>
              </w:rPr>
              <w:t xml:space="preserve">perador a través de suscripciones propias con destino a otras redes nacionales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f</w:t>
            </w:r>
            <w:r w:rsidRPr="006D334F">
              <w:rPr>
                <w:rFonts w:ascii="ITC Avant Garde" w:eastAsia="Times New Roman" w:hAnsi="ITC Avant Garde" w:cs="Arial"/>
                <w:sz w:val="20"/>
                <w:szCs w:val="20"/>
                <w:lang w:val="es-ES" w:eastAsia="es-ES"/>
              </w:rPr>
              <w:t>ija. Se excluye el tráfico generado por servicios de reventa y los destinos de numeración especial.</w:t>
            </w:r>
          </w:p>
        </w:tc>
      </w:tr>
      <w:tr w:rsidR="0085633E" w:rsidRPr="008609D1" w14:paraId="6C9BFFB4"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391960F0" w14:textId="3CCEFFAA" w:rsidR="0085633E" w:rsidRPr="006D334F" w:rsidRDefault="0085633E" w:rsidP="007D5919">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Llamadas locales realizadas a otras redes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m</w:t>
            </w:r>
            <w:r w:rsidRPr="006D334F">
              <w:rPr>
                <w:rFonts w:ascii="ITC Avant Garde" w:eastAsia="Times New Roman" w:hAnsi="ITC Avant Garde" w:cs="Arial"/>
                <w:sz w:val="20"/>
                <w:szCs w:val="20"/>
                <w:lang w:val="es-ES" w:eastAsia="es-ES"/>
              </w:rPr>
              <w:t>óvil</w:t>
            </w:r>
          </w:p>
        </w:tc>
        <w:tc>
          <w:tcPr>
            <w:tcW w:w="3638" w:type="pct"/>
            <w:tcBorders>
              <w:top w:val="single" w:sz="4" w:space="0" w:color="244062"/>
              <w:left w:val="nil"/>
              <w:bottom w:val="single" w:sz="4" w:space="0" w:color="244062"/>
              <w:right w:val="nil"/>
            </w:tcBorders>
            <w:hideMark/>
          </w:tcPr>
          <w:p w14:paraId="1DA8B7B3" w14:textId="10073156" w:rsidR="0085633E" w:rsidRPr="006D334F" w:rsidRDefault="0085633E" w:rsidP="007D5919">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Número de minutos efectivos de las llamadas locales originadas en la red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m</w:t>
            </w:r>
            <w:r w:rsidRPr="006D334F">
              <w:rPr>
                <w:rFonts w:ascii="ITC Avant Garde" w:eastAsia="Times New Roman" w:hAnsi="ITC Avant Garde" w:cs="Arial"/>
                <w:sz w:val="20"/>
                <w:szCs w:val="20"/>
                <w:lang w:val="es-ES" w:eastAsia="es-ES"/>
              </w:rPr>
              <w:t xml:space="preserve">óvil del </w:t>
            </w:r>
            <w:r w:rsidR="007D5919">
              <w:rPr>
                <w:rFonts w:ascii="ITC Avant Garde" w:eastAsia="Times New Roman" w:hAnsi="ITC Avant Garde" w:cs="Arial"/>
                <w:sz w:val="20"/>
                <w:szCs w:val="20"/>
                <w:lang w:val="es-ES" w:eastAsia="es-ES"/>
              </w:rPr>
              <w:t>o</w:t>
            </w:r>
            <w:r w:rsidRPr="006D334F">
              <w:rPr>
                <w:rFonts w:ascii="ITC Avant Garde" w:eastAsia="Times New Roman" w:hAnsi="ITC Avant Garde" w:cs="Arial"/>
                <w:sz w:val="20"/>
                <w:szCs w:val="20"/>
                <w:lang w:val="es-ES" w:eastAsia="es-ES"/>
              </w:rPr>
              <w:t xml:space="preserve">perador a través de suscripciones propias con destino a otras redes nacionales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m</w:t>
            </w:r>
            <w:r w:rsidRPr="006D334F">
              <w:rPr>
                <w:rFonts w:ascii="ITC Avant Garde" w:eastAsia="Times New Roman" w:hAnsi="ITC Avant Garde" w:cs="Arial"/>
                <w:sz w:val="20"/>
                <w:szCs w:val="20"/>
                <w:lang w:val="es-ES" w:eastAsia="es-ES"/>
              </w:rPr>
              <w:t>óvil. Se excluye el tráfico generado por servicios de reventa y los destinos de numeración especial</w:t>
            </w:r>
            <w:r>
              <w:rPr>
                <w:rFonts w:ascii="ITC Avant Garde" w:eastAsia="Times New Roman" w:hAnsi="ITC Avant Garde" w:cs="Arial"/>
                <w:sz w:val="20"/>
                <w:szCs w:val="20"/>
                <w:lang w:val="es-ES" w:eastAsia="es-ES"/>
              </w:rPr>
              <w:t>.</w:t>
            </w:r>
          </w:p>
        </w:tc>
      </w:tr>
      <w:tr w:rsidR="0085633E" w:rsidRPr="008609D1" w14:paraId="509745FE"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37AD86A4" w14:textId="77777777" w:rsidR="0085633E" w:rsidRPr="006D334F" w:rsidRDefault="0085633E" w:rsidP="001735D4">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Minutos efectivos de las llamadas de Larga Distancia Internacional (LDI) realizadas</w:t>
            </w:r>
          </w:p>
        </w:tc>
        <w:tc>
          <w:tcPr>
            <w:tcW w:w="3638" w:type="pct"/>
            <w:tcBorders>
              <w:top w:val="single" w:sz="4" w:space="0" w:color="244062"/>
              <w:left w:val="nil"/>
              <w:bottom w:val="single" w:sz="4" w:space="0" w:color="244062"/>
              <w:right w:val="nil"/>
            </w:tcBorders>
            <w:hideMark/>
          </w:tcPr>
          <w:p w14:paraId="17130AF0" w14:textId="7B65F64D" w:rsidR="0085633E" w:rsidRPr="006D334F" w:rsidRDefault="0085633E" w:rsidP="007D5919">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 xml:space="preserve">Número de minutos efectivos de las llamadas originadas en la red de </w:t>
            </w:r>
            <w:r w:rsidR="007D5919">
              <w:rPr>
                <w:rFonts w:ascii="ITC Avant Garde" w:eastAsia="Times New Roman" w:hAnsi="ITC Avant Garde" w:cs="Arial"/>
                <w:sz w:val="20"/>
                <w:szCs w:val="20"/>
                <w:lang w:val="es-ES" w:eastAsia="es-ES"/>
              </w:rPr>
              <w:t>t</w:t>
            </w:r>
            <w:r w:rsidRPr="006D334F">
              <w:rPr>
                <w:rFonts w:ascii="ITC Avant Garde" w:eastAsia="Times New Roman" w:hAnsi="ITC Avant Garde" w:cs="Arial"/>
                <w:sz w:val="20"/>
                <w:szCs w:val="20"/>
                <w:lang w:val="es-ES" w:eastAsia="es-ES"/>
              </w:rPr>
              <w:t xml:space="preserve">elefonía </w:t>
            </w:r>
            <w:r w:rsidR="007D5919">
              <w:rPr>
                <w:rFonts w:ascii="ITC Avant Garde" w:eastAsia="Times New Roman" w:hAnsi="ITC Avant Garde" w:cs="Arial"/>
                <w:sz w:val="20"/>
                <w:szCs w:val="20"/>
                <w:lang w:val="es-ES" w:eastAsia="es-ES"/>
              </w:rPr>
              <w:t>m</w:t>
            </w:r>
            <w:r w:rsidRPr="006D334F">
              <w:rPr>
                <w:rFonts w:ascii="ITC Avant Garde" w:eastAsia="Times New Roman" w:hAnsi="ITC Avant Garde" w:cs="Arial"/>
                <w:sz w:val="20"/>
                <w:szCs w:val="20"/>
                <w:lang w:val="es-ES" w:eastAsia="es-ES"/>
              </w:rPr>
              <w:t xml:space="preserve">óvil del </w:t>
            </w:r>
            <w:r w:rsidR="007D5919">
              <w:rPr>
                <w:rFonts w:ascii="ITC Avant Garde" w:eastAsia="Times New Roman" w:hAnsi="ITC Avant Garde" w:cs="Arial"/>
                <w:sz w:val="20"/>
                <w:szCs w:val="20"/>
                <w:lang w:val="es-ES" w:eastAsia="es-ES"/>
              </w:rPr>
              <w:t>o</w:t>
            </w:r>
            <w:r w:rsidRPr="006D334F">
              <w:rPr>
                <w:rFonts w:ascii="ITC Avant Garde" w:eastAsia="Times New Roman" w:hAnsi="ITC Avant Garde" w:cs="Arial"/>
                <w:sz w:val="20"/>
                <w:szCs w:val="20"/>
                <w:lang w:val="es-ES" w:eastAsia="es-ES"/>
              </w:rPr>
              <w:t>perador a través de suscripciones propias con destino a otras redes internacionales. Se excluye el tráfico generado por líneas de servicios de reventa.</w:t>
            </w:r>
          </w:p>
        </w:tc>
      </w:tr>
      <w:tr w:rsidR="0085633E" w:rsidRPr="008609D1" w14:paraId="1F9CA8E0"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566512F0" w14:textId="77777777" w:rsidR="0085633E" w:rsidRPr="008609D1" w:rsidRDefault="0085633E"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Mensajes dentro de la red</w:t>
            </w:r>
          </w:p>
        </w:tc>
        <w:tc>
          <w:tcPr>
            <w:tcW w:w="3638" w:type="pct"/>
            <w:tcBorders>
              <w:top w:val="single" w:sz="4" w:space="0" w:color="244062"/>
              <w:left w:val="nil"/>
              <w:bottom w:val="single" w:sz="4" w:space="0" w:color="244062"/>
              <w:right w:val="nil"/>
            </w:tcBorders>
            <w:hideMark/>
          </w:tcPr>
          <w:p w14:paraId="7E947014" w14:textId="77777777" w:rsidR="0085633E" w:rsidRPr="008609D1" w:rsidRDefault="0085633E"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Transmisión de mensajes de datos cortos, o mensajes multimedia generados desde diversas fuentes externas hasta los equipos terminales de los usuarios pertenecientes a la misma red a la cual pertenece el usuario que envía el mensaje</w:t>
            </w:r>
            <w:r>
              <w:rPr>
                <w:rFonts w:ascii="ITC Avant Garde" w:eastAsia="Times New Roman" w:hAnsi="ITC Avant Garde" w:cs="Arial"/>
                <w:sz w:val="20"/>
                <w:szCs w:val="20"/>
                <w:lang w:val="es-ES" w:eastAsia="es-ES"/>
              </w:rPr>
              <w:t>.</w:t>
            </w:r>
          </w:p>
        </w:tc>
      </w:tr>
      <w:tr w:rsidR="0085633E" w:rsidRPr="008609D1" w14:paraId="694540FD"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58076BB8" w14:textId="77777777" w:rsidR="0085633E" w:rsidRPr="006D334F" w:rsidRDefault="0085633E" w:rsidP="001735D4">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SMS de salida a destinos nacionales</w:t>
            </w:r>
          </w:p>
        </w:tc>
        <w:tc>
          <w:tcPr>
            <w:tcW w:w="3638" w:type="pct"/>
            <w:tcBorders>
              <w:top w:val="single" w:sz="4" w:space="0" w:color="244062"/>
              <w:left w:val="nil"/>
              <w:bottom w:val="single" w:sz="4" w:space="0" w:color="244062"/>
              <w:right w:val="nil"/>
            </w:tcBorders>
            <w:hideMark/>
          </w:tcPr>
          <w:p w14:paraId="2FBC6396" w14:textId="77777777" w:rsidR="0085633E" w:rsidRPr="006D334F" w:rsidRDefault="0085633E" w:rsidP="004B3901">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Número de SMS enviados a destinos nacionales mediante líneas en las modalidades de prepago y pospago. Se excluyen SMS de valor añadido, SMS Premium y SMS enviados desde servicios web.</w:t>
            </w:r>
          </w:p>
        </w:tc>
      </w:tr>
      <w:tr w:rsidR="0085633E" w:rsidRPr="008609D1" w14:paraId="534DE047"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0DB1F66" w14:textId="77777777" w:rsidR="0085633E" w:rsidRPr="006D334F" w:rsidRDefault="0085633E" w:rsidP="001735D4">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SMS de salida a destinos internacionales</w:t>
            </w:r>
          </w:p>
        </w:tc>
        <w:tc>
          <w:tcPr>
            <w:tcW w:w="3638" w:type="pct"/>
            <w:tcBorders>
              <w:top w:val="single" w:sz="4" w:space="0" w:color="244062"/>
              <w:left w:val="nil"/>
              <w:bottom w:val="single" w:sz="4" w:space="0" w:color="244062"/>
              <w:right w:val="nil"/>
            </w:tcBorders>
            <w:hideMark/>
          </w:tcPr>
          <w:p w14:paraId="11505EB4" w14:textId="77777777" w:rsidR="0085633E" w:rsidRPr="006D334F" w:rsidRDefault="0085633E" w:rsidP="004B3901">
            <w:pPr>
              <w:spacing w:before="40" w:after="40" w:line="240" w:lineRule="auto"/>
              <w:rPr>
                <w:rFonts w:ascii="ITC Avant Garde" w:eastAsia="Times New Roman" w:hAnsi="ITC Avant Garde" w:cs="Arial"/>
                <w:sz w:val="20"/>
                <w:szCs w:val="20"/>
                <w:lang w:val="es-ES" w:eastAsia="es-ES"/>
              </w:rPr>
            </w:pPr>
            <w:r w:rsidRPr="006D334F">
              <w:rPr>
                <w:rFonts w:ascii="ITC Avant Garde" w:eastAsia="Times New Roman" w:hAnsi="ITC Avant Garde" w:cs="Arial"/>
                <w:sz w:val="20"/>
                <w:szCs w:val="20"/>
                <w:lang w:val="es-ES" w:eastAsia="es-ES"/>
              </w:rPr>
              <w:t>Número de SMS enviados a destinos internacionales mediante líneas en las modalidades de prepago y pospago. Se excluyen SMS de valor añadido, SMS Premium y SMS enviados desde servicios web.</w:t>
            </w:r>
          </w:p>
        </w:tc>
      </w:tr>
      <w:tr w:rsidR="0085633E" w:rsidRPr="008609D1" w14:paraId="46C5DE3B"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DA1E92B" w14:textId="77777777" w:rsidR="0085633E" w:rsidRPr="008609D1" w:rsidRDefault="0085633E"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Acceso a Internet móvil</w:t>
            </w:r>
          </w:p>
        </w:tc>
        <w:tc>
          <w:tcPr>
            <w:tcW w:w="3638" w:type="pct"/>
            <w:tcBorders>
              <w:top w:val="single" w:sz="4" w:space="0" w:color="244062"/>
              <w:left w:val="nil"/>
              <w:bottom w:val="single" w:sz="4" w:space="0" w:color="244062"/>
              <w:right w:val="nil"/>
            </w:tcBorders>
            <w:vAlign w:val="center"/>
            <w:hideMark/>
          </w:tcPr>
          <w:p w14:paraId="777B0D9B" w14:textId="77777777" w:rsidR="0085633E" w:rsidRPr="008609D1" w:rsidRDefault="0085633E"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Consiste en la provisión de conexión inalámbrica y móvil para el intercambio de datos, incluyendo el intercambio de datos por medio de Internet</w:t>
            </w:r>
            <w:r>
              <w:rPr>
                <w:rFonts w:ascii="ITC Avant Garde" w:eastAsia="Times New Roman" w:hAnsi="ITC Avant Garde" w:cs="Arial"/>
                <w:sz w:val="20"/>
                <w:szCs w:val="20"/>
                <w:lang w:val="es-ES" w:eastAsia="es-ES"/>
              </w:rPr>
              <w:t>.</w:t>
            </w:r>
          </w:p>
        </w:tc>
      </w:tr>
      <w:tr w:rsidR="0085633E" w:rsidRPr="008609D1" w14:paraId="7CDFC576" w14:textId="77777777" w:rsidTr="0085633E">
        <w:trPr>
          <w:cantSplit/>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FEB5F11" w14:textId="77777777" w:rsidR="0085633E" w:rsidRPr="008609D1" w:rsidRDefault="0085633E"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OTT de video</w:t>
            </w:r>
          </w:p>
        </w:tc>
        <w:tc>
          <w:tcPr>
            <w:tcW w:w="3638" w:type="pct"/>
            <w:tcBorders>
              <w:top w:val="single" w:sz="4" w:space="0" w:color="244062"/>
              <w:left w:val="nil"/>
              <w:bottom w:val="single" w:sz="4" w:space="0" w:color="244062"/>
              <w:right w:val="nil"/>
            </w:tcBorders>
            <w:vAlign w:val="center"/>
            <w:hideMark/>
          </w:tcPr>
          <w:p w14:paraId="73AADCA6" w14:textId="77777777" w:rsidR="0085633E" w:rsidRPr="008609D1" w:rsidRDefault="0085633E"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Se refiere a la prestación de servicios </w:t>
            </w:r>
            <w:r w:rsidRPr="008609D1">
              <w:rPr>
                <w:rFonts w:ascii="ITC Avant Garde" w:eastAsia="Times New Roman" w:hAnsi="ITC Avant Garde" w:cs="Arial"/>
                <w:i/>
                <w:iCs/>
                <w:sz w:val="20"/>
                <w:szCs w:val="20"/>
                <w:lang w:val="es-ES" w:eastAsia="es-ES"/>
              </w:rPr>
              <w:t xml:space="preserve">over-the-top </w:t>
            </w:r>
            <w:r w:rsidRPr="008609D1">
              <w:rPr>
                <w:rFonts w:ascii="ITC Avant Garde" w:eastAsia="Times New Roman" w:hAnsi="ITC Avant Garde" w:cs="Arial"/>
                <w:sz w:val="20"/>
                <w:szCs w:val="20"/>
                <w:lang w:val="es-ES" w:eastAsia="es-ES"/>
              </w:rPr>
              <w:t>de video bajo demanda</w:t>
            </w:r>
            <w:r>
              <w:rPr>
                <w:rFonts w:ascii="ITC Avant Garde" w:eastAsia="Times New Roman" w:hAnsi="ITC Avant Garde" w:cs="Arial"/>
                <w:sz w:val="20"/>
                <w:szCs w:val="20"/>
                <w:lang w:val="es-ES" w:eastAsia="es-ES"/>
              </w:rPr>
              <w:t>.</w:t>
            </w:r>
          </w:p>
        </w:tc>
      </w:tr>
      <w:tr w:rsidR="0085633E" w:rsidRPr="008609D1" w14:paraId="7DBBA0D6" w14:textId="77777777" w:rsidTr="0085633E">
        <w:trPr>
          <w:cantSplit/>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FA73522" w14:textId="77777777" w:rsidR="0085633E" w:rsidRPr="008609D1" w:rsidRDefault="0085633E"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OTT de audio</w:t>
            </w:r>
          </w:p>
        </w:tc>
        <w:tc>
          <w:tcPr>
            <w:tcW w:w="3638" w:type="pct"/>
            <w:tcBorders>
              <w:top w:val="single" w:sz="4" w:space="0" w:color="244062"/>
              <w:left w:val="nil"/>
              <w:bottom w:val="single" w:sz="4" w:space="0" w:color="244062"/>
              <w:right w:val="nil"/>
            </w:tcBorders>
            <w:vAlign w:val="center"/>
            <w:hideMark/>
          </w:tcPr>
          <w:p w14:paraId="3CAE172B" w14:textId="77777777" w:rsidR="0085633E" w:rsidRPr="008609D1" w:rsidRDefault="0085633E"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Se refiere a la prestación de servicios </w:t>
            </w:r>
            <w:r w:rsidRPr="008609D1">
              <w:rPr>
                <w:rFonts w:ascii="ITC Avant Garde" w:eastAsia="Times New Roman" w:hAnsi="ITC Avant Garde" w:cs="Arial"/>
                <w:i/>
                <w:iCs/>
                <w:sz w:val="20"/>
                <w:szCs w:val="20"/>
                <w:lang w:val="es-ES" w:eastAsia="es-ES"/>
              </w:rPr>
              <w:t>over-the-top</w:t>
            </w:r>
            <w:r w:rsidRPr="008609D1">
              <w:rPr>
                <w:rFonts w:ascii="ITC Avant Garde" w:eastAsia="Times New Roman" w:hAnsi="ITC Avant Garde" w:cs="Arial"/>
                <w:sz w:val="20"/>
                <w:szCs w:val="20"/>
                <w:lang w:val="es-ES" w:eastAsia="es-ES"/>
              </w:rPr>
              <w:t xml:space="preserve"> de audio bajo demanda</w:t>
            </w:r>
            <w:r>
              <w:rPr>
                <w:rFonts w:ascii="ITC Avant Garde" w:eastAsia="Times New Roman" w:hAnsi="ITC Avant Garde" w:cs="Arial"/>
                <w:sz w:val="20"/>
                <w:szCs w:val="20"/>
                <w:lang w:val="es-ES" w:eastAsia="es-ES"/>
              </w:rPr>
              <w:t>.</w:t>
            </w:r>
          </w:p>
        </w:tc>
      </w:tr>
      <w:tr w:rsidR="0085633E" w:rsidRPr="008609D1" w14:paraId="28CD0C92"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216383E" w14:textId="77777777" w:rsidR="0085633E" w:rsidRPr="008609D1" w:rsidRDefault="0085633E"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suplementarios</w:t>
            </w:r>
          </w:p>
        </w:tc>
        <w:tc>
          <w:tcPr>
            <w:tcW w:w="3638" w:type="pct"/>
            <w:tcBorders>
              <w:top w:val="single" w:sz="4" w:space="0" w:color="244062"/>
              <w:left w:val="nil"/>
              <w:bottom w:val="single" w:sz="4" w:space="0" w:color="244062"/>
              <w:right w:val="nil"/>
            </w:tcBorders>
            <w:vAlign w:val="center"/>
            <w:hideMark/>
          </w:tcPr>
          <w:p w14:paraId="497857CC" w14:textId="77777777" w:rsidR="0085633E" w:rsidRPr="008609D1" w:rsidRDefault="0085633E"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Contiene servicios suplementarios ofrecidos por el operador, tal y como el desvío de llamadas o el servicio de contestador</w:t>
            </w:r>
            <w:r>
              <w:rPr>
                <w:rFonts w:ascii="ITC Avant Garde" w:eastAsia="Times New Roman" w:hAnsi="ITC Avant Garde" w:cs="Arial"/>
                <w:sz w:val="20"/>
                <w:szCs w:val="20"/>
                <w:lang w:val="es-ES" w:eastAsia="es-ES"/>
              </w:rPr>
              <w:t>.</w:t>
            </w:r>
          </w:p>
        </w:tc>
      </w:tr>
      <w:tr w:rsidR="0085633E" w:rsidRPr="008609D1" w14:paraId="6540B58D"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5D680040" w14:textId="77777777" w:rsidR="0085633E" w:rsidRPr="008609D1" w:rsidRDefault="0085633E"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Otros servicios minoristas </w:t>
            </w:r>
          </w:p>
        </w:tc>
        <w:tc>
          <w:tcPr>
            <w:tcW w:w="3638" w:type="pct"/>
            <w:tcBorders>
              <w:top w:val="single" w:sz="4" w:space="0" w:color="244062"/>
              <w:left w:val="nil"/>
              <w:bottom w:val="single" w:sz="4" w:space="0" w:color="244062"/>
              <w:right w:val="nil"/>
            </w:tcBorders>
            <w:vAlign w:val="center"/>
            <w:hideMark/>
          </w:tcPr>
          <w:p w14:paraId="79DE6E77" w14:textId="77777777" w:rsidR="0085633E" w:rsidRPr="008609D1" w:rsidRDefault="0085633E"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Contiene otros servicios minoristas no especificados con anterioridad, tal y como llamadas en espera, identificación de llamada entrante o buzón de voz</w:t>
            </w:r>
            <w:r>
              <w:rPr>
                <w:rFonts w:ascii="ITC Avant Garde" w:eastAsia="Times New Roman" w:hAnsi="ITC Avant Garde" w:cs="Arial"/>
                <w:sz w:val="20"/>
                <w:szCs w:val="20"/>
                <w:lang w:val="es-ES" w:eastAsia="es-ES"/>
              </w:rPr>
              <w:t>.</w:t>
            </w:r>
          </w:p>
        </w:tc>
      </w:tr>
      <w:tr w:rsidR="0085633E" w:rsidRPr="008609D1" w14:paraId="566851D2" w14:textId="77777777" w:rsidTr="0085633E">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7E81D8D5" w14:textId="77777777" w:rsidR="0085633E" w:rsidRPr="008609D1" w:rsidRDefault="0085633E"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mayoristas</w:t>
            </w:r>
          </w:p>
        </w:tc>
      </w:tr>
      <w:tr w:rsidR="0085633E" w:rsidRPr="008609D1" w14:paraId="5D507584" w14:textId="77777777" w:rsidTr="0085633E">
        <w:trPr>
          <w:trHeight w:val="340"/>
          <w:jc w:val="center"/>
        </w:trPr>
        <w:tc>
          <w:tcPr>
            <w:tcW w:w="5000" w:type="pct"/>
            <w:gridSpan w:val="2"/>
            <w:tcBorders>
              <w:top w:val="single" w:sz="4" w:space="0" w:color="244062"/>
              <w:left w:val="nil"/>
              <w:bottom w:val="single" w:sz="4" w:space="0" w:color="244062"/>
              <w:right w:val="nil"/>
            </w:tcBorders>
            <w:noWrap/>
            <w:vAlign w:val="center"/>
            <w:hideMark/>
          </w:tcPr>
          <w:p w14:paraId="7B17DB99" w14:textId="77777777" w:rsidR="0085633E" w:rsidRPr="008609D1" w:rsidRDefault="0085633E"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de interconexión</w:t>
            </w:r>
          </w:p>
        </w:tc>
      </w:tr>
      <w:tr w:rsidR="0085633E" w:rsidRPr="008609D1" w14:paraId="6C8A23C9"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2B92962"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otros operadores móviles nacionales</w:t>
            </w:r>
          </w:p>
        </w:tc>
        <w:tc>
          <w:tcPr>
            <w:tcW w:w="3638" w:type="pct"/>
            <w:tcBorders>
              <w:top w:val="single" w:sz="4" w:space="0" w:color="244062"/>
              <w:left w:val="nil"/>
              <w:bottom w:val="single" w:sz="4" w:space="0" w:color="244062"/>
              <w:right w:val="nil"/>
            </w:tcBorders>
            <w:vAlign w:val="center"/>
            <w:hideMark/>
          </w:tcPr>
          <w:p w14:paraId="44758C0A" w14:textId="77777777" w:rsidR="0085633E" w:rsidRPr="008609D1" w:rsidRDefault="0085633E"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Este servicio consiste en la entrega de llamadas conmutadas de voz procedentes de redes móviles nacionales a usuarios móviles suscritos a la red del concesionario</w:t>
            </w:r>
            <w:r>
              <w:rPr>
                <w:rFonts w:ascii="ITC Avant Garde" w:eastAsia="Times New Roman" w:hAnsi="ITC Avant Garde" w:cs="Arial"/>
                <w:sz w:val="20"/>
                <w:lang w:val="es-ES" w:eastAsia="es-ES"/>
              </w:rPr>
              <w:t>.</w:t>
            </w:r>
          </w:p>
        </w:tc>
      </w:tr>
      <w:tr w:rsidR="0085633E" w:rsidRPr="008609D1" w14:paraId="230D9EDB"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0A8BD327"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Terminación de llamadas entrantes de operadores fijos nacionales</w:t>
            </w:r>
          </w:p>
        </w:tc>
        <w:tc>
          <w:tcPr>
            <w:tcW w:w="3638" w:type="pct"/>
            <w:tcBorders>
              <w:top w:val="single" w:sz="4" w:space="0" w:color="244062"/>
              <w:left w:val="nil"/>
              <w:bottom w:val="single" w:sz="4" w:space="0" w:color="244062"/>
              <w:right w:val="nil"/>
            </w:tcBorders>
            <w:vAlign w:val="center"/>
            <w:hideMark/>
          </w:tcPr>
          <w:p w14:paraId="31303FD5" w14:textId="77777777" w:rsidR="0085633E" w:rsidRPr="008609D1" w:rsidRDefault="0085633E"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Este servicio consiste en la entrega de llamadas conmutadas de voz procedentes de redes fijas nacionales a usuarios móviles suscritos a la red del concesionario</w:t>
            </w:r>
            <w:r>
              <w:rPr>
                <w:rFonts w:ascii="ITC Avant Garde" w:eastAsia="Times New Roman" w:hAnsi="ITC Avant Garde" w:cs="Arial"/>
                <w:sz w:val="20"/>
                <w:lang w:val="es-ES" w:eastAsia="es-ES"/>
              </w:rPr>
              <w:t>.</w:t>
            </w:r>
          </w:p>
        </w:tc>
      </w:tr>
      <w:tr w:rsidR="0085633E" w:rsidRPr="008609D1" w14:paraId="5AC21B59"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5C93EE2E"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operadores internacionales</w:t>
            </w:r>
          </w:p>
        </w:tc>
        <w:tc>
          <w:tcPr>
            <w:tcW w:w="3638" w:type="pct"/>
            <w:tcBorders>
              <w:top w:val="single" w:sz="4" w:space="0" w:color="244062"/>
              <w:left w:val="nil"/>
              <w:bottom w:val="single" w:sz="4" w:space="0" w:color="244062"/>
              <w:right w:val="nil"/>
            </w:tcBorders>
            <w:vAlign w:val="center"/>
            <w:hideMark/>
          </w:tcPr>
          <w:p w14:paraId="32254483" w14:textId="77777777" w:rsidR="0085633E" w:rsidRPr="008609D1" w:rsidRDefault="0085633E"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Este servicio consiste en la entrega de llamadas conmutadas de voz procedentes de redes fijas internacionales a usuarios móviles suscritos a la red del concesionario</w:t>
            </w:r>
            <w:r>
              <w:rPr>
                <w:rFonts w:ascii="ITC Avant Garde" w:eastAsia="Times New Roman" w:hAnsi="ITC Avant Garde" w:cs="Arial"/>
                <w:sz w:val="20"/>
                <w:lang w:val="es-ES" w:eastAsia="es-ES"/>
              </w:rPr>
              <w:t>.</w:t>
            </w:r>
          </w:p>
        </w:tc>
      </w:tr>
      <w:tr w:rsidR="0085633E" w:rsidRPr="008609D1" w14:paraId="1CCC2269"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3A0034A"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Originación de llamadas desde red móvil a usuario en red fija</w:t>
            </w:r>
          </w:p>
        </w:tc>
        <w:tc>
          <w:tcPr>
            <w:tcW w:w="3638" w:type="pct"/>
            <w:tcBorders>
              <w:top w:val="single" w:sz="4" w:space="0" w:color="244062"/>
              <w:left w:val="nil"/>
              <w:bottom w:val="single" w:sz="4" w:space="0" w:color="244062"/>
              <w:right w:val="nil"/>
            </w:tcBorders>
            <w:vAlign w:val="center"/>
            <w:hideMark/>
          </w:tcPr>
          <w:p w14:paraId="0CAB258C" w14:textId="77777777" w:rsidR="0085633E" w:rsidRPr="008609D1" w:rsidRDefault="0085633E"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llevar el tráfico público conmutado desde el punto de acceso del usuario en una ubicación móvil y entregarlo en el punto de interconexión con el tercer operador nacional fijo</w:t>
            </w:r>
            <w:r>
              <w:rPr>
                <w:rFonts w:ascii="ITC Avant Garde" w:eastAsia="Times New Roman" w:hAnsi="ITC Avant Garde" w:cs="Arial"/>
                <w:sz w:val="20"/>
                <w:lang w:val="es-ES" w:eastAsia="es-ES"/>
              </w:rPr>
              <w:t>.</w:t>
            </w:r>
          </w:p>
        </w:tc>
      </w:tr>
      <w:tr w:rsidR="0085633E" w:rsidRPr="008609D1" w14:paraId="41BFE098"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5E50D29C"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Originación de llamadas desde red móvil a usuario en otra red móvil</w:t>
            </w:r>
          </w:p>
        </w:tc>
        <w:tc>
          <w:tcPr>
            <w:tcW w:w="3638" w:type="pct"/>
            <w:tcBorders>
              <w:top w:val="single" w:sz="4" w:space="0" w:color="244062"/>
              <w:left w:val="nil"/>
              <w:bottom w:val="single" w:sz="4" w:space="0" w:color="244062"/>
              <w:right w:val="nil"/>
            </w:tcBorders>
            <w:vAlign w:val="center"/>
            <w:hideMark/>
          </w:tcPr>
          <w:p w14:paraId="5DAC9AEA" w14:textId="77777777" w:rsidR="0085633E" w:rsidRPr="008609D1" w:rsidRDefault="0085633E"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llevar el tráfico público conmutado desde el punto de acceso del usuario en una ubicación móvil y entregarlo en el punto de interconexión con el tercer operador nacional móvil</w:t>
            </w:r>
            <w:r>
              <w:rPr>
                <w:rFonts w:ascii="ITC Avant Garde" w:eastAsia="Times New Roman" w:hAnsi="ITC Avant Garde" w:cs="Arial"/>
                <w:sz w:val="20"/>
                <w:lang w:val="es-ES" w:eastAsia="es-ES"/>
              </w:rPr>
              <w:t>.</w:t>
            </w:r>
          </w:p>
        </w:tc>
      </w:tr>
      <w:tr w:rsidR="0085633E" w:rsidRPr="008609D1" w14:paraId="5B38BE0D"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917FC09"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Originación de llamadas desde red móvil a destino internacional</w:t>
            </w:r>
          </w:p>
        </w:tc>
        <w:tc>
          <w:tcPr>
            <w:tcW w:w="3638" w:type="pct"/>
            <w:tcBorders>
              <w:top w:val="single" w:sz="4" w:space="0" w:color="244062"/>
              <w:left w:val="nil"/>
              <w:bottom w:val="single" w:sz="4" w:space="0" w:color="244062"/>
              <w:right w:val="nil"/>
            </w:tcBorders>
            <w:vAlign w:val="center"/>
            <w:hideMark/>
          </w:tcPr>
          <w:p w14:paraId="282CD6CA" w14:textId="77777777" w:rsidR="0085633E" w:rsidRPr="008609D1" w:rsidRDefault="0085633E"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llevar el tráfico público conmutado desde el punto de acceso del usuario en una ubicación móvil y entregarlo en el punto de interconexión con el tercer operador internacional</w:t>
            </w:r>
            <w:r>
              <w:rPr>
                <w:rFonts w:ascii="ITC Avant Garde" w:eastAsia="Times New Roman" w:hAnsi="ITC Avant Garde" w:cs="Arial"/>
                <w:sz w:val="20"/>
                <w:lang w:val="es-ES" w:eastAsia="es-ES"/>
              </w:rPr>
              <w:t>.</w:t>
            </w:r>
          </w:p>
        </w:tc>
      </w:tr>
      <w:tr w:rsidR="0085633E" w:rsidRPr="008609D1" w14:paraId="3116C15D"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ADFDB2E"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mensajes cortos de operadores nacionales</w:t>
            </w:r>
          </w:p>
        </w:tc>
        <w:tc>
          <w:tcPr>
            <w:tcW w:w="3638" w:type="pct"/>
            <w:tcBorders>
              <w:top w:val="single" w:sz="4" w:space="0" w:color="244062"/>
              <w:left w:val="nil"/>
              <w:bottom w:val="single" w:sz="4" w:space="0" w:color="244062"/>
              <w:right w:val="nil"/>
            </w:tcBorders>
            <w:vAlign w:val="center"/>
            <w:hideMark/>
          </w:tcPr>
          <w:p w14:paraId="68E8411C" w14:textId="77777777" w:rsidR="0085633E" w:rsidRPr="008609D1" w:rsidRDefault="0085633E"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Consiste en la entrega de mensajes cortos procedentes de redes móviles nacionales a usuarios móviles suscritos a la red del operador</w:t>
            </w:r>
            <w:r>
              <w:rPr>
                <w:rFonts w:ascii="ITC Avant Garde" w:eastAsia="Times New Roman" w:hAnsi="ITC Avant Garde" w:cs="Arial"/>
                <w:sz w:val="20"/>
                <w:lang w:val="es-ES" w:eastAsia="es-ES"/>
              </w:rPr>
              <w:t>.</w:t>
            </w:r>
          </w:p>
        </w:tc>
      </w:tr>
      <w:tr w:rsidR="0085633E" w:rsidRPr="008609D1" w14:paraId="2103B28F"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5104DFBB"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mensajes cortos de operadores internacionales</w:t>
            </w:r>
          </w:p>
        </w:tc>
        <w:tc>
          <w:tcPr>
            <w:tcW w:w="3638" w:type="pct"/>
            <w:tcBorders>
              <w:top w:val="single" w:sz="4" w:space="0" w:color="244062"/>
              <w:left w:val="nil"/>
              <w:bottom w:val="single" w:sz="4" w:space="0" w:color="244062"/>
              <w:right w:val="nil"/>
            </w:tcBorders>
            <w:vAlign w:val="center"/>
            <w:hideMark/>
          </w:tcPr>
          <w:p w14:paraId="4307E5B2" w14:textId="77777777" w:rsidR="0085633E" w:rsidRPr="008609D1" w:rsidRDefault="0085633E"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Consiste en la entrega de mensajes cortos procedentes de redes móviles internacionales a usuarios móviles suscritos a la red del operador</w:t>
            </w:r>
            <w:r>
              <w:rPr>
                <w:rFonts w:ascii="ITC Avant Garde" w:eastAsia="Times New Roman" w:hAnsi="ITC Avant Garde" w:cs="Arial"/>
                <w:sz w:val="20"/>
                <w:lang w:val="es-ES" w:eastAsia="es-ES"/>
              </w:rPr>
              <w:t>.</w:t>
            </w:r>
          </w:p>
        </w:tc>
      </w:tr>
      <w:tr w:rsidR="0085633E" w:rsidRPr="008609D1" w14:paraId="5442EBBC"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5E5EA13"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Tránsito de voz</w:t>
            </w:r>
          </w:p>
        </w:tc>
        <w:tc>
          <w:tcPr>
            <w:tcW w:w="3638" w:type="pct"/>
            <w:tcBorders>
              <w:top w:val="single" w:sz="4" w:space="0" w:color="244062"/>
              <w:left w:val="nil"/>
              <w:bottom w:val="single" w:sz="4" w:space="0" w:color="244062"/>
              <w:right w:val="nil"/>
            </w:tcBorders>
            <w:vAlign w:val="center"/>
            <w:hideMark/>
          </w:tcPr>
          <w:p w14:paraId="00519161" w14:textId="4C9E673A" w:rsidR="0085633E" w:rsidRPr="008609D1" w:rsidRDefault="0085633E" w:rsidP="00AD1B38">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el transporte de llamadas de voz recibidas de otro operador internacional (móvil o fijo) y terminadas en la red de otro operador internacional (móvil o fijo).</w:t>
            </w:r>
          </w:p>
        </w:tc>
      </w:tr>
      <w:tr w:rsidR="0085633E" w:rsidRPr="008609D1" w14:paraId="78E061FD" w14:textId="77777777" w:rsidTr="0085633E">
        <w:trPr>
          <w:trHeight w:val="340"/>
          <w:jc w:val="center"/>
        </w:trPr>
        <w:tc>
          <w:tcPr>
            <w:tcW w:w="5000" w:type="pct"/>
            <w:gridSpan w:val="2"/>
            <w:tcBorders>
              <w:top w:val="single" w:sz="4" w:space="0" w:color="244062"/>
              <w:left w:val="nil"/>
              <w:bottom w:val="single" w:sz="4" w:space="0" w:color="244062"/>
              <w:right w:val="nil"/>
            </w:tcBorders>
            <w:noWrap/>
            <w:vAlign w:val="center"/>
            <w:hideMark/>
          </w:tcPr>
          <w:p w14:paraId="265A7FAA" w14:textId="77777777" w:rsidR="0085633E" w:rsidRPr="008609D1" w:rsidRDefault="0085633E"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de Acceso y Uso Compartido de Infraestructura Pasiva</w:t>
            </w:r>
          </w:p>
        </w:tc>
      </w:tr>
      <w:tr w:rsidR="0085633E" w:rsidRPr="008609D1" w14:paraId="705ACCB2"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531C20D1"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Acceso y uso compartido de espacio en piso</w:t>
            </w:r>
          </w:p>
        </w:tc>
        <w:tc>
          <w:tcPr>
            <w:tcW w:w="3638" w:type="pct"/>
            <w:tcBorders>
              <w:top w:val="single" w:sz="4" w:space="0" w:color="244062"/>
              <w:left w:val="nil"/>
              <w:bottom w:val="single" w:sz="4" w:space="0" w:color="244062"/>
              <w:right w:val="nil"/>
            </w:tcBorders>
            <w:vAlign w:val="center"/>
            <w:hideMark/>
          </w:tcPr>
          <w:p w14:paraId="7923E024" w14:textId="77777777" w:rsidR="0085633E" w:rsidRPr="008609D1" w:rsidRDefault="0085633E"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compartición de infraestructura pasiva que permite a un operador alternativo utilizar el espacio físico en piso del concesionario, mediante cobro por unidad de área ocupada</w:t>
            </w:r>
            <w:r>
              <w:rPr>
                <w:rFonts w:ascii="ITC Avant Garde" w:eastAsia="Times New Roman" w:hAnsi="ITC Avant Garde" w:cs="Arial"/>
                <w:sz w:val="20"/>
                <w:lang w:val="es-ES" w:eastAsia="es-ES"/>
              </w:rPr>
              <w:t>.</w:t>
            </w:r>
          </w:p>
        </w:tc>
      </w:tr>
      <w:tr w:rsidR="0085633E" w:rsidRPr="008609D1" w14:paraId="0F7E0DBC"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66BC02C"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Acceso y uso compartido de espacio en torres</w:t>
            </w:r>
          </w:p>
        </w:tc>
        <w:tc>
          <w:tcPr>
            <w:tcW w:w="3638" w:type="pct"/>
            <w:tcBorders>
              <w:top w:val="single" w:sz="4" w:space="0" w:color="244062"/>
              <w:left w:val="nil"/>
              <w:bottom w:val="single" w:sz="4" w:space="0" w:color="244062"/>
              <w:right w:val="nil"/>
            </w:tcBorders>
            <w:vAlign w:val="center"/>
            <w:hideMark/>
          </w:tcPr>
          <w:p w14:paraId="4EB84D65" w14:textId="77777777" w:rsidR="0085633E" w:rsidRPr="008609D1" w:rsidRDefault="0085633E"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compartición de infraestructura pasiva que permite a un operador alternativo utilizar el espacio físico en torres del concesionario, mediante cobro por número de torres</w:t>
            </w:r>
            <w:r>
              <w:rPr>
                <w:rFonts w:ascii="ITC Avant Garde" w:eastAsia="Times New Roman" w:hAnsi="ITC Avant Garde" w:cs="Arial"/>
                <w:sz w:val="20"/>
                <w:lang w:val="es-ES" w:eastAsia="es-ES"/>
              </w:rPr>
              <w:t>.</w:t>
            </w:r>
          </w:p>
        </w:tc>
      </w:tr>
      <w:tr w:rsidR="0085633E" w:rsidRPr="008609D1" w14:paraId="73D678BF"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1E1AA4E"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Acceso y uso de elementos auxiliares de infraestructura pasiva</w:t>
            </w:r>
          </w:p>
        </w:tc>
        <w:tc>
          <w:tcPr>
            <w:tcW w:w="3638" w:type="pct"/>
            <w:tcBorders>
              <w:top w:val="single" w:sz="4" w:space="0" w:color="244062"/>
              <w:left w:val="nil"/>
              <w:bottom w:val="single" w:sz="4" w:space="0" w:color="244062"/>
              <w:right w:val="nil"/>
            </w:tcBorders>
            <w:vAlign w:val="center"/>
            <w:hideMark/>
          </w:tcPr>
          <w:p w14:paraId="794F5756" w14:textId="77777777" w:rsidR="0085633E" w:rsidRPr="008609D1" w:rsidRDefault="0085633E"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 un operador alternativo acceder a otros elementos disponibles de la infraestructura pasiva del concesionario, tales como sistemas de aire acondicionado, fuentes de energía de respaldo, etc.</w:t>
            </w:r>
          </w:p>
        </w:tc>
      </w:tr>
      <w:tr w:rsidR="0085633E" w:rsidRPr="008609D1" w14:paraId="2FBE3E2E"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05E336FE"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complementarios a la compartición de infraestructura pasiva</w:t>
            </w:r>
          </w:p>
        </w:tc>
        <w:tc>
          <w:tcPr>
            <w:tcW w:w="3638" w:type="pct"/>
            <w:tcBorders>
              <w:top w:val="single" w:sz="4" w:space="0" w:color="244062"/>
              <w:left w:val="nil"/>
              <w:bottom w:val="single" w:sz="4" w:space="0" w:color="244062"/>
              <w:right w:val="nil"/>
            </w:tcBorders>
            <w:vAlign w:val="center"/>
            <w:hideMark/>
          </w:tcPr>
          <w:p w14:paraId="78C16EA2" w14:textId="7008CC41" w:rsidR="0085633E" w:rsidRPr="008609D1" w:rsidRDefault="0085633E" w:rsidP="00AD1B38">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Otros servicios diversos de soporte para la provisión de los servicios de acceso y uso compartido de infraestructura pasiva (p.ej. </w:t>
            </w:r>
            <w:r>
              <w:rPr>
                <w:rFonts w:ascii="ITC Avant Garde" w:eastAsia="Times New Roman" w:hAnsi="ITC Avant Garde" w:cs="Arial"/>
                <w:sz w:val="20"/>
                <w:lang w:val="es-ES" w:eastAsia="es-ES"/>
              </w:rPr>
              <w:t>v</w:t>
            </w:r>
            <w:r w:rsidRPr="008609D1">
              <w:rPr>
                <w:rFonts w:ascii="ITC Avant Garde" w:eastAsia="Times New Roman" w:hAnsi="ITC Avant Garde" w:cs="Arial"/>
                <w:sz w:val="20"/>
                <w:lang w:val="es-ES" w:eastAsia="es-ES"/>
              </w:rPr>
              <w:t xml:space="preserve">isita </w:t>
            </w:r>
            <w:r>
              <w:rPr>
                <w:rFonts w:ascii="ITC Avant Garde" w:eastAsia="Times New Roman" w:hAnsi="ITC Avant Garde" w:cs="Arial"/>
                <w:sz w:val="20"/>
                <w:lang w:val="es-ES" w:eastAsia="es-ES"/>
              </w:rPr>
              <w:t>t</w:t>
            </w:r>
            <w:r w:rsidRPr="008609D1">
              <w:rPr>
                <w:rFonts w:ascii="ITC Avant Garde" w:eastAsia="Times New Roman" w:hAnsi="ITC Avant Garde" w:cs="Arial"/>
                <w:sz w:val="20"/>
                <w:lang w:val="es-ES" w:eastAsia="es-ES"/>
              </w:rPr>
              <w:t xml:space="preserve">écnica, </w:t>
            </w:r>
            <w:r>
              <w:rPr>
                <w:rFonts w:ascii="ITC Avant Garde" w:eastAsia="Times New Roman" w:hAnsi="ITC Avant Garde" w:cs="Arial"/>
                <w:sz w:val="20"/>
                <w:lang w:val="es-ES" w:eastAsia="es-ES"/>
              </w:rPr>
              <w:t>a</w:t>
            </w:r>
            <w:r w:rsidRPr="008609D1">
              <w:rPr>
                <w:rFonts w:ascii="ITC Avant Garde" w:eastAsia="Times New Roman" w:hAnsi="ITC Avant Garde" w:cs="Arial"/>
                <w:sz w:val="20"/>
                <w:lang w:val="es-ES" w:eastAsia="es-ES"/>
              </w:rPr>
              <w:t>nálisis de factibilidad), mediante cobro por contraprestación</w:t>
            </w:r>
            <w:r>
              <w:rPr>
                <w:rFonts w:ascii="ITC Avant Garde" w:eastAsia="Times New Roman" w:hAnsi="ITC Avant Garde" w:cs="Arial"/>
                <w:sz w:val="20"/>
                <w:lang w:val="es-ES" w:eastAsia="es-ES"/>
              </w:rPr>
              <w:t>.</w:t>
            </w:r>
          </w:p>
        </w:tc>
      </w:tr>
      <w:tr w:rsidR="0085633E" w:rsidRPr="008609D1" w14:paraId="0EDDC6F8" w14:textId="77777777" w:rsidTr="0085633E">
        <w:trPr>
          <w:trHeight w:val="340"/>
          <w:jc w:val="center"/>
        </w:trPr>
        <w:tc>
          <w:tcPr>
            <w:tcW w:w="5000" w:type="pct"/>
            <w:gridSpan w:val="2"/>
            <w:tcBorders>
              <w:top w:val="single" w:sz="4" w:space="0" w:color="244062"/>
              <w:left w:val="nil"/>
              <w:bottom w:val="single" w:sz="4" w:space="0" w:color="244062"/>
              <w:right w:val="nil"/>
            </w:tcBorders>
            <w:noWrap/>
            <w:vAlign w:val="center"/>
            <w:hideMark/>
          </w:tcPr>
          <w:p w14:paraId="306431F8" w14:textId="77777777" w:rsidR="0085633E" w:rsidRPr="008609D1" w:rsidRDefault="0085633E"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lastRenderedPageBreak/>
              <w:t>Servicios a Operadores Móviles Virtuales (OMV)</w:t>
            </w:r>
          </w:p>
        </w:tc>
      </w:tr>
      <w:tr w:rsidR="0085633E" w:rsidRPr="008609D1" w14:paraId="1E145D4D"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D26E3B2"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voz de OMV</w:t>
            </w:r>
          </w:p>
        </w:tc>
        <w:tc>
          <w:tcPr>
            <w:tcW w:w="3638" w:type="pct"/>
            <w:tcBorders>
              <w:top w:val="single" w:sz="4" w:space="0" w:color="244062"/>
              <w:left w:val="nil"/>
              <w:bottom w:val="single" w:sz="4" w:space="0" w:color="244062"/>
              <w:right w:val="nil"/>
            </w:tcBorders>
            <w:vAlign w:val="center"/>
            <w:hideMark/>
          </w:tcPr>
          <w:p w14:paraId="07FA0812" w14:textId="77777777" w:rsidR="0085633E" w:rsidRPr="008609D1" w:rsidRDefault="0085633E"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consiste en la transmisión o recepción de voz a través de la red del concesionario, permitiendo a los usuarios del OMV realizar y recibir llamadas telefónicas de voz y de originar llamadas de voz a otros números de abonado pertenecientes a la misma o una red diferente a la del usuario llamante</w:t>
            </w:r>
            <w:r>
              <w:rPr>
                <w:rFonts w:ascii="ITC Avant Garde" w:eastAsia="Times New Roman" w:hAnsi="ITC Avant Garde" w:cs="Arial"/>
                <w:sz w:val="20"/>
                <w:lang w:val="es-ES" w:eastAsia="es-ES"/>
              </w:rPr>
              <w:t>.</w:t>
            </w:r>
          </w:p>
        </w:tc>
      </w:tr>
      <w:tr w:rsidR="0085633E" w:rsidRPr="008609D1" w14:paraId="67A1CB0A"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0E4C26BF"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mensajes de texto de OMV</w:t>
            </w:r>
          </w:p>
        </w:tc>
        <w:tc>
          <w:tcPr>
            <w:tcW w:w="3638" w:type="pct"/>
            <w:tcBorders>
              <w:top w:val="single" w:sz="4" w:space="0" w:color="244062"/>
              <w:left w:val="nil"/>
              <w:bottom w:val="single" w:sz="4" w:space="0" w:color="244062"/>
              <w:right w:val="nil"/>
            </w:tcBorders>
            <w:vAlign w:val="center"/>
            <w:hideMark/>
          </w:tcPr>
          <w:p w14:paraId="1A7723B6" w14:textId="77777777" w:rsidR="0085633E" w:rsidRPr="008609D1" w:rsidRDefault="0085633E"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por medio del que se proporciona al OMV la transmisión de mensajes de datos cortos a través de la red del concesionario, permitiendo a los usuarios del OMV enviar y recibir mensajes de texto a otros usuarios pertenecientes a la misma red o a una red diferente a la cual pertenece el usuario que envía el mensaje</w:t>
            </w:r>
            <w:r>
              <w:rPr>
                <w:rFonts w:ascii="ITC Avant Garde" w:eastAsia="Times New Roman" w:hAnsi="ITC Avant Garde" w:cs="Arial"/>
                <w:sz w:val="20"/>
                <w:lang w:val="es-ES" w:eastAsia="es-ES"/>
              </w:rPr>
              <w:t>.</w:t>
            </w:r>
          </w:p>
        </w:tc>
      </w:tr>
      <w:tr w:rsidR="0085633E" w:rsidRPr="008609D1" w14:paraId="67CF0625"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44F73B3D"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móvil de datos de OMV</w:t>
            </w:r>
          </w:p>
        </w:tc>
        <w:tc>
          <w:tcPr>
            <w:tcW w:w="3638" w:type="pct"/>
            <w:tcBorders>
              <w:top w:val="single" w:sz="4" w:space="0" w:color="244062"/>
              <w:left w:val="nil"/>
              <w:bottom w:val="single" w:sz="4" w:space="0" w:color="244062"/>
              <w:right w:val="nil"/>
            </w:tcBorders>
            <w:vAlign w:val="center"/>
            <w:hideMark/>
          </w:tcPr>
          <w:p w14:paraId="5BA86F9F" w14:textId="1C90BE05" w:rsidR="0085633E" w:rsidRPr="008609D1" w:rsidRDefault="0085633E" w:rsidP="00F6211C">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Consiste en la provisión de </w:t>
            </w:r>
            <w:r w:rsidRPr="006D334F">
              <w:rPr>
                <w:rFonts w:ascii="ITC Avant Garde" w:eastAsia="Times New Roman" w:hAnsi="ITC Avant Garde" w:cs="Arial"/>
                <w:sz w:val="20"/>
                <w:lang w:val="es-ES" w:eastAsia="es-ES"/>
              </w:rPr>
              <w:t>conexión móvil</w:t>
            </w:r>
            <w:r w:rsidRPr="008609D1">
              <w:rPr>
                <w:rFonts w:ascii="ITC Avant Garde" w:eastAsia="Times New Roman" w:hAnsi="ITC Avant Garde" w:cs="Arial"/>
                <w:sz w:val="20"/>
                <w:lang w:val="es-ES" w:eastAsia="es-ES"/>
              </w:rPr>
              <w:t xml:space="preserve"> para el intercambio de datos, incluyendo el intercambio de datos por medio de Internet, a usuarios del OMV a través de la red del concesionario</w:t>
            </w:r>
            <w:r>
              <w:rPr>
                <w:rFonts w:ascii="ITC Avant Garde" w:eastAsia="Times New Roman" w:hAnsi="ITC Avant Garde" w:cs="Arial"/>
                <w:sz w:val="20"/>
                <w:lang w:val="es-ES" w:eastAsia="es-ES"/>
              </w:rPr>
              <w:t>.</w:t>
            </w:r>
          </w:p>
        </w:tc>
      </w:tr>
      <w:tr w:rsidR="0085633E" w:rsidRPr="008609D1" w14:paraId="40ADBD9D"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0C2B9C0D"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servicios ofrecidos a OMV</w:t>
            </w:r>
          </w:p>
        </w:tc>
        <w:tc>
          <w:tcPr>
            <w:tcW w:w="3638" w:type="pct"/>
            <w:tcBorders>
              <w:top w:val="single" w:sz="4" w:space="0" w:color="244062"/>
              <w:left w:val="nil"/>
              <w:bottom w:val="single" w:sz="4" w:space="0" w:color="244062"/>
              <w:right w:val="nil"/>
            </w:tcBorders>
            <w:vAlign w:val="center"/>
            <w:hideMark/>
          </w:tcPr>
          <w:p w14:paraId="000E53B4" w14:textId="77D68893" w:rsidR="0085633E" w:rsidRPr="008609D1" w:rsidRDefault="0085633E" w:rsidP="00F6211C">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Incluye otros servicios disponibles para OMVs tal</w:t>
            </w:r>
            <w:r>
              <w:rPr>
                <w:rFonts w:ascii="ITC Avant Garde" w:eastAsia="Times New Roman" w:hAnsi="ITC Avant Garde" w:cs="Arial"/>
                <w:sz w:val="20"/>
                <w:lang w:val="es-ES" w:eastAsia="es-ES"/>
              </w:rPr>
              <w:t>es</w:t>
            </w:r>
            <w:r w:rsidRPr="008609D1">
              <w:rPr>
                <w:rFonts w:ascii="ITC Avant Garde" w:eastAsia="Times New Roman" w:hAnsi="ITC Avant Garde" w:cs="Arial"/>
                <w:sz w:val="20"/>
                <w:lang w:val="es-ES" w:eastAsia="es-ES"/>
              </w:rPr>
              <w:t xml:space="preserve"> como administración de usuarios pospago y prepago, activación de servicios de valor agregado básicos, etc.</w:t>
            </w:r>
          </w:p>
        </w:tc>
      </w:tr>
      <w:tr w:rsidR="0085633E" w:rsidRPr="008609D1" w14:paraId="6CAC0049" w14:textId="77777777" w:rsidTr="0085633E">
        <w:trPr>
          <w:trHeight w:val="340"/>
          <w:jc w:val="center"/>
        </w:trPr>
        <w:tc>
          <w:tcPr>
            <w:tcW w:w="5000" w:type="pct"/>
            <w:gridSpan w:val="2"/>
            <w:tcBorders>
              <w:top w:val="single" w:sz="4" w:space="0" w:color="244062"/>
              <w:left w:val="nil"/>
              <w:bottom w:val="single" w:sz="4" w:space="0" w:color="244062"/>
              <w:right w:val="nil"/>
            </w:tcBorders>
            <w:noWrap/>
            <w:vAlign w:val="center"/>
            <w:hideMark/>
          </w:tcPr>
          <w:p w14:paraId="645003BB" w14:textId="77777777" w:rsidR="0085633E" w:rsidRPr="008609D1" w:rsidRDefault="0085633E"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de Usuario Visitante</w:t>
            </w:r>
          </w:p>
        </w:tc>
      </w:tr>
      <w:tr w:rsidR="0085633E" w:rsidRPr="008609D1" w14:paraId="1E646717"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1D93EB2E"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voz de usuario visitante</w:t>
            </w:r>
          </w:p>
        </w:tc>
        <w:tc>
          <w:tcPr>
            <w:tcW w:w="3638" w:type="pct"/>
            <w:tcBorders>
              <w:top w:val="single" w:sz="4" w:space="0" w:color="244062"/>
              <w:left w:val="nil"/>
              <w:bottom w:val="single" w:sz="4" w:space="0" w:color="244062"/>
              <w:right w:val="nil"/>
            </w:tcBorders>
            <w:vAlign w:val="center"/>
            <w:hideMark/>
          </w:tcPr>
          <w:p w14:paraId="4EB20486" w14:textId="77777777" w:rsidR="0085633E" w:rsidRPr="008609D1" w:rsidRDefault="0085633E"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Servicio que permite al operador alternativo prestar servicios de voz a sus usuarios cuando a éste no le resulta técnicamente factible prestar el servicio, mediante el uso de la red del concesionario. </w:t>
            </w:r>
          </w:p>
        </w:tc>
      </w:tr>
      <w:tr w:rsidR="0085633E" w:rsidRPr="008609D1" w14:paraId="13E92C92"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0CD3B21A"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mensajes de texto de usuario visitante</w:t>
            </w:r>
          </w:p>
        </w:tc>
        <w:tc>
          <w:tcPr>
            <w:tcW w:w="3638" w:type="pct"/>
            <w:tcBorders>
              <w:top w:val="single" w:sz="4" w:space="0" w:color="244062"/>
              <w:left w:val="nil"/>
              <w:bottom w:val="single" w:sz="4" w:space="0" w:color="244062"/>
              <w:right w:val="nil"/>
            </w:tcBorders>
            <w:vAlign w:val="center"/>
            <w:hideMark/>
          </w:tcPr>
          <w:p w14:paraId="306453A2" w14:textId="77777777" w:rsidR="0085633E" w:rsidRPr="008609D1" w:rsidRDefault="0085633E"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al operador alternativo prestar servicios de mensajería de texto a sus usuarios cuando a éste no le resulta técnicamente factible prestar el servicio, mediante el uso de la red del concesionario.</w:t>
            </w:r>
          </w:p>
        </w:tc>
      </w:tr>
      <w:tr w:rsidR="0085633E" w:rsidRPr="008609D1" w14:paraId="32B780BB"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35F91C9"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móvil de datos de usuario visitante</w:t>
            </w:r>
          </w:p>
        </w:tc>
        <w:tc>
          <w:tcPr>
            <w:tcW w:w="3638" w:type="pct"/>
            <w:tcBorders>
              <w:top w:val="single" w:sz="4" w:space="0" w:color="244062"/>
              <w:left w:val="nil"/>
              <w:bottom w:val="single" w:sz="4" w:space="0" w:color="244062"/>
              <w:right w:val="nil"/>
            </w:tcBorders>
            <w:vAlign w:val="center"/>
            <w:hideMark/>
          </w:tcPr>
          <w:p w14:paraId="3468C76D" w14:textId="77777777" w:rsidR="0085633E" w:rsidRPr="008609D1" w:rsidRDefault="0085633E"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que permite al operador alternativo prestar servicios de datos móviles a sus usuarios cuando a éste no le resulta técnicamente factible prestar el servicio, mediante el uso de la red del concesionario.</w:t>
            </w:r>
          </w:p>
        </w:tc>
      </w:tr>
      <w:tr w:rsidR="0085633E" w:rsidRPr="008609D1" w14:paraId="55F31DA0" w14:textId="77777777" w:rsidTr="0085633E">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44D2617F" w14:textId="77777777" w:rsidR="0085633E" w:rsidRPr="008609D1" w:rsidRDefault="0085633E"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no relevantes para la separación contable</w:t>
            </w:r>
          </w:p>
        </w:tc>
      </w:tr>
      <w:tr w:rsidR="0085633E" w:rsidRPr="008609D1" w14:paraId="78D082E8" w14:textId="77777777" w:rsidTr="0085633E">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AC470D1" w14:textId="77777777" w:rsidR="0085633E" w:rsidRPr="008609D1" w:rsidRDefault="0085633E"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no relevantes para la separación contable</w:t>
            </w:r>
          </w:p>
        </w:tc>
        <w:tc>
          <w:tcPr>
            <w:tcW w:w="3638" w:type="pct"/>
            <w:tcBorders>
              <w:top w:val="single" w:sz="4" w:space="0" w:color="244062"/>
              <w:left w:val="nil"/>
              <w:bottom w:val="single" w:sz="4" w:space="0" w:color="244062"/>
              <w:right w:val="nil"/>
            </w:tcBorders>
            <w:vAlign w:val="center"/>
            <w:hideMark/>
          </w:tcPr>
          <w:p w14:paraId="0D28FF22" w14:textId="7C426988" w:rsidR="0085633E" w:rsidRPr="008609D1" w:rsidRDefault="0085633E" w:rsidP="00A2661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Partidas de costos relativas a los servicios no relevantes para la </w:t>
            </w:r>
            <w:r w:rsidR="00A2661B">
              <w:rPr>
                <w:rFonts w:ascii="ITC Avant Garde" w:eastAsia="Times New Roman" w:hAnsi="ITC Avant Garde" w:cs="Arial"/>
                <w:sz w:val="20"/>
                <w:lang w:val="es-ES" w:eastAsia="es-ES"/>
              </w:rPr>
              <w:t>prestación de servicios</w:t>
            </w:r>
            <w:r w:rsidR="00A2661B" w:rsidRPr="008609D1">
              <w:rPr>
                <w:rFonts w:ascii="ITC Avant Garde" w:eastAsia="Times New Roman" w:hAnsi="ITC Avant Garde" w:cs="Arial"/>
                <w:sz w:val="20"/>
                <w:lang w:val="es-ES" w:eastAsia="es-ES"/>
              </w:rPr>
              <w:t xml:space="preserve"> </w:t>
            </w:r>
            <w:r w:rsidRPr="008609D1">
              <w:rPr>
                <w:rFonts w:ascii="ITC Avant Garde" w:eastAsia="Times New Roman" w:hAnsi="ITC Avant Garde" w:cs="Arial"/>
                <w:sz w:val="20"/>
                <w:lang w:val="es-ES" w:eastAsia="es-ES"/>
              </w:rPr>
              <w:t>de telecomunicaciones móviles</w:t>
            </w:r>
            <w:r>
              <w:rPr>
                <w:rFonts w:ascii="ITC Avant Garde" w:eastAsia="Times New Roman" w:hAnsi="ITC Avant Garde" w:cs="Arial"/>
                <w:sz w:val="20"/>
                <w:lang w:val="es-ES" w:eastAsia="es-ES"/>
              </w:rPr>
              <w:t>.</w:t>
            </w:r>
          </w:p>
        </w:tc>
      </w:tr>
    </w:tbl>
    <w:p w14:paraId="496D50EF" w14:textId="77777777" w:rsidR="00FA4D4D" w:rsidRDefault="00FA4D4D" w:rsidP="007D37BE">
      <w:pPr>
        <w:pStyle w:val="HeadingAnexo1L3"/>
        <w:keepNext/>
        <w:keepLines/>
      </w:pPr>
    </w:p>
    <w:p w14:paraId="5930F02C" w14:textId="77777777" w:rsidR="007D37BE" w:rsidRPr="008609D1" w:rsidRDefault="007D37BE" w:rsidP="007D37BE">
      <w:pPr>
        <w:pStyle w:val="HeadingAnexo1L3"/>
        <w:keepNext/>
        <w:keepLines/>
      </w:pPr>
      <w:r w:rsidRPr="008609D1">
        <w:t>Segmento de Televisión Restringida</w:t>
      </w:r>
    </w:p>
    <w:p w14:paraId="457ABBE6" w14:textId="77777777" w:rsidR="007D37BE" w:rsidRDefault="007D37BE" w:rsidP="007D37BE">
      <w:pPr>
        <w:pStyle w:val="Normalresolucion"/>
        <w:keepNext/>
        <w:keepLines/>
      </w:pPr>
      <w:r w:rsidRPr="008609D1">
        <w:t xml:space="preserve">Listado </w:t>
      </w:r>
      <w:r w:rsidRPr="006D334F">
        <w:t>mínimo</w:t>
      </w:r>
      <w:r w:rsidRPr="008609D1">
        <w:t xml:space="preserve"> de cuentas de ingresos a desagregar en el Nivel 1:</w:t>
      </w:r>
    </w:p>
    <w:p w14:paraId="46FEB89E" w14:textId="77777777" w:rsidR="00035EFD" w:rsidRPr="008609D1" w:rsidRDefault="00035EFD" w:rsidP="00035EFD">
      <w:pPr>
        <w:pStyle w:val="Descripcin"/>
        <w:spacing w:after="240" w:line="240" w:lineRule="auto"/>
        <w:rPr>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Pr="008609D1">
        <w:rPr>
          <w:rFonts w:ascii="ITC Avant Garde" w:hAnsi="ITC Avant Garde"/>
          <w:iCs/>
          <w:noProof/>
          <w:sz w:val="20"/>
          <w:lang w:val="es-MX"/>
        </w:rPr>
        <w:t>11</w:t>
      </w:r>
      <w:r w:rsidRPr="006D334F">
        <w:rPr>
          <w:rFonts w:ascii="ITC Avant Garde" w:hAnsi="ITC Avant Garde"/>
          <w:iCs/>
          <w:sz w:val="20"/>
          <w:lang w:val="es-MX"/>
        </w:rPr>
        <w:fldChar w:fldCharType="end"/>
      </w:r>
      <w:r w:rsidRPr="008609D1">
        <w:rPr>
          <w:rFonts w:ascii="ITC Avant Garde" w:hAnsi="ITC Avant Garde"/>
          <w:iCs/>
          <w:sz w:val="20"/>
          <w:lang w:val="es-MX"/>
        </w:rPr>
        <w:t xml:space="preserve">: Listado mínimo de cuentas de ingresos a desagregar en el Nivel 1 de operadores de televisión restringida </w:t>
      </w:r>
    </w:p>
    <w:tbl>
      <w:tblPr>
        <w:tblW w:w="5000" w:type="pct"/>
        <w:jc w:val="center"/>
        <w:tblLayout w:type="fixed"/>
        <w:tblCellMar>
          <w:left w:w="70" w:type="dxa"/>
          <w:right w:w="70" w:type="dxa"/>
        </w:tblCellMar>
        <w:tblLook w:val="04A0" w:firstRow="1" w:lastRow="0" w:firstColumn="1" w:lastColumn="0" w:noHBand="0" w:noVBand="1"/>
      </w:tblPr>
      <w:tblGrid>
        <w:gridCol w:w="2405"/>
        <w:gridCol w:w="6423"/>
      </w:tblGrid>
      <w:tr w:rsidR="00144651" w:rsidRPr="008609D1" w14:paraId="40A54349" w14:textId="77777777" w:rsidTr="00144651">
        <w:trPr>
          <w:trHeight w:val="340"/>
          <w:tblHeader/>
          <w:jc w:val="center"/>
        </w:trPr>
        <w:tc>
          <w:tcPr>
            <w:tcW w:w="1362" w:type="pct"/>
            <w:tcBorders>
              <w:top w:val="nil"/>
              <w:left w:val="single" w:sz="4" w:space="0" w:color="FFFFFF"/>
              <w:bottom w:val="single" w:sz="4" w:space="0" w:color="244062"/>
              <w:right w:val="single" w:sz="4" w:space="0" w:color="FFFFFF"/>
            </w:tcBorders>
            <w:shd w:val="clear" w:color="auto" w:fill="4F629B"/>
            <w:vAlign w:val="center"/>
            <w:hideMark/>
          </w:tcPr>
          <w:p w14:paraId="10874052" w14:textId="77777777" w:rsidR="00144651" w:rsidRPr="008609D1" w:rsidRDefault="00144651" w:rsidP="004B3901">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Categoría</w:t>
            </w:r>
          </w:p>
        </w:tc>
        <w:tc>
          <w:tcPr>
            <w:tcW w:w="3638" w:type="pct"/>
            <w:tcBorders>
              <w:top w:val="nil"/>
              <w:left w:val="single" w:sz="4" w:space="0" w:color="FFFFFF"/>
              <w:bottom w:val="single" w:sz="4" w:space="0" w:color="244062"/>
              <w:right w:val="single" w:sz="4" w:space="0" w:color="FFFFFF"/>
            </w:tcBorders>
            <w:shd w:val="clear" w:color="auto" w:fill="4F629B"/>
            <w:vAlign w:val="center"/>
            <w:hideMark/>
          </w:tcPr>
          <w:p w14:paraId="2FBB547E" w14:textId="77777777" w:rsidR="00144651" w:rsidRPr="008609D1" w:rsidRDefault="00144651" w:rsidP="004B3901">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Descripción</w:t>
            </w:r>
          </w:p>
        </w:tc>
      </w:tr>
      <w:tr w:rsidR="00144651" w:rsidRPr="008609D1" w14:paraId="3A27ACC9" w14:textId="77777777" w:rsidTr="00144651">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1F13155F" w14:textId="77777777" w:rsidR="00144651" w:rsidRPr="008609D1" w:rsidRDefault="00144651" w:rsidP="004B3901">
            <w:pPr>
              <w:keepNext/>
              <w:keepLines/>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Ingresos operativos</w:t>
            </w:r>
            <w:r w:rsidRPr="008609D1">
              <w:rPr>
                <w:rFonts w:ascii="ITC Avant Garde" w:eastAsia="Times New Roman" w:hAnsi="ITC Avant Garde" w:cs="Arial"/>
                <w:b/>
                <w:bCs/>
                <w:sz w:val="20"/>
                <w:vertAlign w:val="superscript"/>
                <w:lang w:val="es-ES" w:eastAsia="es-ES"/>
              </w:rPr>
              <w:footnoteReference w:id="44"/>
            </w:r>
          </w:p>
        </w:tc>
      </w:tr>
      <w:tr w:rsidR="00144651" w:rsidRPr="008609D1" w14:paraId="0657F3C6" w14:textId="77777777" w:rsidTr="00144651">
        <w:tblPrEx>
          <w:tblBorders>
            <w:top w:val="single" w:sz="4" w:space="0" w:color="auto"/>
            <w:bottom w:val="single" w:sz="4" w:space="0" w:color="auto"/>
            <w:insideH w:val="single" w:sz="4" w:space="0" w:color="auto"/>
            <w:insideV w:val="single" w:sz="4" w:space="0" w:color="auto"/>
          </w:tblBorders>
        </w:tblPrEx>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1F1C7B9B"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Cargos de instalación - televisión por cable</w:t>
            </w:r>
          </w:p>
        </w:tc>
        <w:tc>
          <w:tcPr>
            <w:tcW w:w="3638" w:type="pct"/>
            <w:tcBorders>
              <w:top w:val="single" w:sz="4" w:space="0" w:color="244062"/>
              <w:left w:val="nil"/>
              <w:bottom w:val="single" w:sz="4" w:space="0" w:color="244062"/>
              <w:right w:val="nil"/>
            </w:tcBorders>
            <w:hideMark/>
          </w:tcPr>
          <w:p w14:paraId="22BEA1F5"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los cargos asociados a la instalación de la conexión por cable, incluyendo equipos descodificadores para la provisión de servicios televisión restringida</w:t>
            </w:r>
            <w:r>
              <w:rPr>
                <w:rFonts w:ascii="ITC Avant Garde" w:eastAsia="Times New Roman" w:hAnsi="ITC Avant Garde" w:cs="Arial"/>
                <w:sz w:val="20"/>
                <w:lang w:val="es-ES" w:eastAsia="es-ES"/>
              </w:rPr>
              <w:t>.</w:t>
            </w:r>
          </w:p>
        </w:tc>
      </w:tr>
      <w:tr w:rsidR="00144651" w:rsidRPr="008609D1" w14:paraId="4E013A55" w14:textId="77777777" w:rsidTr="00144651">
        <w:tblPrEx>
          <w:tblBorders>
            <w:top w:val="single" w:sz="4" w:space="0" w:color="auto"/>
            <w:bottom w:val="single" w:sz="4" w:space="0" w:color="auto"/>
            <w:insideH w:val="single" w:sz="4" w:space="0" w:color="auto"/>
            <w:insideV w:val="single" w:sz="4" w:space="0" w:color="auto"/>
          </w:tblBorders>
        </w:tblPrEx>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772F9625"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de servicios de televisión de cable</w:t>
            </w:r>
          </w:p>
        </w:tc>
        <w:tc>
          <w:tcPr>
            <w:tcW w:w="3638" w:type="pct"/>
            <w:tcBorders>
              <w:top w:val="single" w:sz="4" w:space="0" w:color="244062"/>
              <w:left w:val="nil"/>
              <w:bottom w:val="single" w:sz="4" w:space="0" w:color="244062"/>
              <w:right w:val="nil"/>
            </w:tcBorders>
            <w:hideMark/>
          </w:tcPr>
          <w:p w14:paraId="779FF184" w14:textId="0279E5E2"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los pagos recurrentes de suscripción aplicad</w:t>
            </w:r>
            <w:r>
              <w:rPr>
                <w:rFonts w:ascii="ITC Avant Garde" w:eastAsia="Times New Roman" w:hAnsi="ITC Avant Garde" w:cs="Arial"/>
                <w:sz w:val="20"/>
                <w:lang w:val="es-ES" w:eastAsia="es-ES"/>
              </w:rPr>
              <w:t>o</w:t>
            </w:r>
            <w:r w:rsidRPr="008609D1">
              <w:rPr>
                <w:rFonts w:ascii="ITC Avant Garde" w:eastAsia="Times New Roman" w:hAnsi="ITC Avant Garde" w:cs="Arial"/>
                <w:sz w:val="20"/>
                <w:lang w:val="es-ES" w:eastAsia="es-ES"/>
              </w:rPr>
              <w:t>s a usuarios finales de televisión restringida por cable</w:t>
            </w:r>
            <w:r>
              <w:rPr>
                <w:rFonts w:ascii="ITC Avant Garde" w:eastAsia="Times New Roman" w:hAnsi="ITC Avant Garde" w:cs="Arial"/>
                <w:sz w:val="20"/>
                <w:lang w:val="es-ES" w:eastAsia="es-ES"/>
              </w:rPr>
              <w:t>.</w:t>
            </w:r>
          </w:p>
        </w:tc>
      </w:tr>
      <w:tr w:rsidR="00144651" w:rsidRPr="008609D1" w14:paraId="484166AE" w14:textId="77777777" w:rsidTr="00144651">
        <w:tblPrEx>
          <w:tblBorders>
            <w:top w:val="single" w:sz="4" w:space="0" w:color="auto"/>
            <w:bottom w:val="single" w:sz="4" w:space="0" w:color="auto"/>
            <w:insideH w:val="single" w:sz="4" w:space="0" w:color="auto"/>
            <w:insideV w:val="single" w:sz="4" w:space="0" w:color="auto"/>
          </w:tblBorders>
        </w:tblPrEx>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20279F94"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programación - televisión por cable</w:t>
            </w:r>
          </w:p>
        </w:tc>
        <w:tc>
          <w:tcPr>
            <w:tcW w:w="3638" w:type="pct"/>
            <w:tcBorders>
              <w:top w:val="single" w:sz="4" w:space="0" w:color="244062"/>
              <w:left w:val="nil"/>
              <w:bottom w:val="single" w:sz="4" w:space="0" w:color="244062"/>
              <w:right w:val="nil"/>
            </w:tcBorders>
            <w:hideMark/>
          </w:tcPr>
          <w:p w14:paraId="2B21BC4C"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los pagos por eventos aplicados a usuarios finales de televisión restringida por cable por servicios de programación (p.ej. programas especiales, películas, etc.)</w:t>
            </w:r>
            <w:r>
              <w:rPr>
                <w:rFonts w:ascii="ITC Avant Garde" w:eastAsia="Times New Roman" w:hAnsi="ITC Avant Garde" w:cs="Arial"/>
                <w:sz w:val="20"/>
                <w:lang w:val="es-ES" w:eastAsia="es-ES"/>
              </w:rPr>
              <w:t>.</w:t>
            </w:r>
          </w:p>
        </w:tc>
      </w:tr>
      <w:tr w:rsidR="00144651" w:rsidRPr="008609D1" w14:paraId="264E64C4"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100D0E76"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Cargos de instalación - televisión vía satélite</w:t>
            </w:r>
          </w:p>
        </w:tc>
        <w:tc>
          <w:tcPr>
            <w:tcW w:w="3638" w:type="pct"/>
            <w:tcBorders>
              <w:top w:val="single" w:sz="4" w:space="0" w:color="244062"/>
              <w:left w:val="nil"/>
              <w:bottom w:val="single" w:sz="4" w:space="0" w:color="244062"/>
              <w:right w:val="nil"/>
            </w:tcBorders>
            <w:hideMark/>
          </w:tcPr>
          <w:p w14:paraId="5FF071E6" w14:textId="1974C0EE" w:rsidR="00144651" w:rsidRPr="008609D1" w:rsidRDefault="00144651" w:rsidP="001A1286">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los cargos asociados a la instalación de la conexión vía satélite, incluyendo equipos decodificadores, para la provisión de servicios televisión restringida</w:t>
            </w:r>
            <w:r>
              <w:rPr>
                <w:rFonts w:ascii="ITC Avant Garde" w:eastAsia="Times New Roman" w:hAnsi="ITC Avant Garde" w:cs="Arial"/>
                <w:sz w:val="20"/>
                <w:lang w:val="es-ES" w:eastAsia="es-ES"/>
              </w:rPr>
              <w:t>.</w:t>
            </w:r>
          </w:p>
        </w:tc>
      </w:tr>
      <w:tr w:rsidR="00144651" w:rsidRPr="008609D1" w14:paraId="71099CCE"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287C6F5F"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de servicios de televisión vía satélite</w:t>
            </w:r>
          </w:p>
        </w:tc>
        <w:tc>
          <w:tcPr>
            <w:tcW w:w="3638" w:type="pct"/>
            <w:tcBorders>
              <w:top w:val="single" w:sz="4" w:space="0" w:color="244062"/>
              <w:left w:val="nil"/>
              <w:bottom w:val="single" w:sz="4" w:space="0" w:color="244062"/>
              <w:right w:val="nil"/>
            </w:tcBorders>
            <w:hideMark/>
          </w:tcPr>
          <w:p w14:paraId="48C963E1" w14:textId="1C87947D" w:rsidR="00144651" w:rsidRPr="008609D1" w:rsidRDefault="00144651" w:rsidP="00FA45C7">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w:t>
            </w:r>
            <w:r>
              <w:rPr>
                <w:rFonts w:ascii="ITC Avant Garde" w:eastAsia="Times New Roman" w:hAnsi="ITC Avant Garde" w:cs="Arial"/>
                <w:sz w:val="20"/>
                <w:lang w:val="es-ES" w:eastAsia="es-ES"/>
              </w:rPr>
              <w:t>o</w:t>
            </w:r>
            <w:r w:rsidRPr="008609D1">
              <w:rPr>
                <w:rFonts w:ascii="ITC Avant Garde" w:eastAsia="Times New Roman" w:hAnsi="ITC Avant Garde" w:cs="Arial"/>
                <w:sz w:val="20"/>
                <w:lang w:val="es-ES" w:eastAsia="es-ES"/>
              </w:rPr>
              <w:t xml:space="preserve">s </w:t>
            </w:r>
            <w:r>
              <w:rPr>
                <w:rFonts w:ascii="ITC Avant Garde" w:eastAsia="Times New Roman" w:hAnsi="ITC Avant Garde" w:cs="Arial"/>
                <w:sz w:val="20"/>
                <w:lang w:val="es-ES" w:eastAsia="es-ES"/>
              </w:rPr>
              <w:t>pago</w:t>
            </w:r>
            <w:r w:rsidRPr="008609D1">
              <w:rPr>
                <w:rFonts w:ascii="ITC Avant Garde" w:eastAsia="Times New Roman" w:hAnsi="ITC Avant Garde" w:cs="Arial"/>
                <w:sz w:val="20"/>
                <w:lang w:val="es-ES" w:eastAsia="es-ES"/>
              </w:rPr>
              <w:t>s recurrentes de suscripción aplicadas a usuarios finales de televisión restringida vía satélite</w:t>
            </w:r>
            <w:r>
              <w:rPr>
                <w:rFonts w:ascii="ITC Avant Garde" w:eastAsia="Times New Roman" w:hAnsi="ITC Avant Garde" w:cs="Arial"/>
                <w:sz w:val="20"/>
                <w:lang w:val="es-ES" w:eastAsia="es-ES"/>
              </w:rPr>
              <w:t>.</w:t>
            </w:r>
          </w:p>
        </w:tc>
      </w:tr>
      <w:tr w:rsidR="00144651" w:rsidRPr="008609D1" w14:paraId="7A891D3C"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18D18486"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programación - televisión vía satélite</w:t>
            </w:r>
          </w:p>
        </w:tc>
        <w:tc>
          <w:tcPr>
            <w:tcW w:w="3638" w:type="pct"/>
            <w:tcBorders>
              <w:top w:val="single" w:sz="4" w:space="0" w:color="244062"/>
              <w:left w:val="nil"/>
              <w:bottom w:val="single" w:sz="4" w:space="0" w:color="244062"/>
              <w:right w:val="nil"/>
            </w:tcBorders>
            <w:hideMark/>
          </w:tcPr>
          <w:p w14:paraId="38D5BB8F"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los pagos por eventos aplicados a usuarios finales de televisión restringida vía satélite por servicios de programación (p.ej. programas especiales, películas, etc.)</w:t>
            </w:r>
            <w:r>
              <w:rPr>
                <w:rFonts w:ascii="ITC Avant Garde" w:eastAsia="Times New Roman" w:hAnsi="ITC Avant Garde" w:cs="Arial"/>
                <w:sz w:val="20"/>
                <w:lang w:val="es-ES" w:eastAsia="es-ES"/>
              </w:rPr>
              <w:t>.</w:t>
            </w:r>
          </w:p>
        </w:tc>
      </w:tr>
      <w:tr w:rsidR="00144651" w:rsidRPr="008609D1" w14:paraId="29832859"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tcPr>
          <w:p w14:paraId="79338127"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Cargos de instalación - IPTV </w:t>
            </w:r>
          </w:p>
        </w:tc>
        <w:tc>
          <w:tcPr>
            <w:tcW w:w="3638" w:type="pct"/>
            <w:tcBorders>
              <w:top w:val="single" w:sz="4" w:space="0" w:color="244062"/>
              <w:left w:val="nil"/>
              <w:bottom w:val="single" w:sz="4" w:space="0" w:color="244062"/>
              <w:right w:val="nil"/>
            </w:tcBorders>
          </w:tcPr>
          <w:p w14:paraId="47EEA6D6"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los cargos asociados a la instalación de la conexión para el servicio IPTV</w:t>
            </w:r>
            <w:r>
              <w:rPr>
                <w:rFonts w:ascii="ITC Avant Garde" w:eastAsia="Times New Roman" w:hAnsi="ITC Avant Garde" w:cs="Arial"/>
                <w:sz w:val="20"/>
                <w:lang w:val="es-ES" w:eastAsia="es-ES"/>
              </w:rPr>
              <w:t>.</w:t>
            </w:r>
          </w:p>
        </w:tc>
      </w:tr>
      <w:tr w:rsidR="00144651" w:rsidRPr="008609D1" w14:paraId="25F8B4E0"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tcPr>
          <w:p w14:paraId="27AFB88C"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de servicios de IPTV</w:t>
            </w:r>
          </w:p>
        </w:tc>
        <w:tc>
          <w:tcPr>
            <w:tcW w:w="3638" w:type="pct"/>
            <w:tcBorders>
              <w:top w:val="single" w:sz="4" w:space="0" w:color="244062"/>
              <w:left w:val="nil"/>
              <w:bottom w:val="single" w:sz="4" w:space="0" w:color="244062"/>
              <w:right w:val="nil"/>
            </w:tcBorders>
          </w:tcPr>
          <w:p w14:paraId="1B47A103" w14:textId="3DAB3654" w:rsidR="00144651" w:rsidRPr="008609D1" w:rsidRDefault="00144651" w:rsidP="00FA45C7">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w:t>
            </w:r>
            <w:r>
              <w:rPr>
                <w:rFonts w:ascii="ITC Avant Garde" w:eastAsia="Times New Roman" w:hAnsi="ITC Avant Garde" w:cs="Arial"/>
                <w:sz w:val="20"/>
                <w:lang w:val="es-ES" w:eastAsia="es-ES"/>
              </w:rPr>
              <w:t>o</w:t>
            </w:r>
            <w:r w:rsidRPr="008609D1">
              <w:rPr>
                <w:rFonts w:ascii="ITC Avant Garde" w:eastAsia="Times New Roman" w:hAnsi="ITC Avant Garde" w:cs="Arial"/>
                <w:sz w:val="20"/>
                <w:lang w:val="es-ES" w:eastAsia="es-ES"/>
              </w:rPr>
              <w:t xml:space="preserve">s </w:t>
            </w:r>
            <w:r>
              <w:rPr>
                <w:rFonts w:ascii="ITC Avant Garde" w:eastAsia="Times New Roman" w:hAnsi="ITC Avant Garde" w:cs="Arial"/>
                <w:sz w:val="20"/>
                <w:lang w:val="es-ES" w:eastAsia="es-ES"/>
              </w:rPr>
              <w:t>pago</w:t>
            </w:r>
            <w:r w:rsidRPr="008609D1">
              <w:rPr>
                <w:rFonts w:ascii="ITC Avant Garde" w:eastAsia="Times New Roman" w:hAnsi="ITC Avant Garde" w:cs="Arial"/>
                <w:sz w:val="20"/>
                <w:lang w:val="es-ES" w:eastAsia="es-ES"/>
              </w:rPr>
              <w:t>s recurrentes de suscripción aplicad</w:t>
            </w:r>
            <w:r>
              <w:rPr>
                <w:rFonts w:ascii="ITC Avant Garde" w:eastAsia="Times New Roman" w:hAnsi="ITC Avant Garde" w:cs="Arial"/>
                <w:sz w:val="20"/>
                <w:lang w:val="es-ES" w:eastAsia="es-ES"/>
              </w:rPr>
              <w:t>o</w:t>
            </w:r>
            <w:r w:rsidRPr="008609D1">
              <w:rPr>
                <w:rFonts w:ascii="ITC Avant Garde" w:eastAsia="Times New Roman" w:hAnsi="ITC Avant Garde" w:cs="Arial"/>
                <w:sz w:val="20"/>
                <w:lang w:val="es-ES" w:eastAsia="es-ES"/>
              </w:rPr>
              <w:t>s a usuarios finales de IPTV</w:t>
            </w:r>
            <w:r>
              <w:rPr>
                <w:rFonts w:ascii="ITC Avant Garde" w:eastAsia="Times New Roman" w:hAnsi="ITC Avant Garde" w:cs="Arial"/>
                <w:sz w:val="20"/>
                <w:lang w:val="es-ES" w:eastAsia="es-ES"/>
              </w:rPr>
              <w:t>.</w:t>
            </w:r>
          </w:p>
        </w:tc>
      </w:tr>
      <w:tr w:rsidR="00144651" w:rsidRPr="008609D1" w14:paraId="6A311445"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tcPr>
          <w:p w14:paraId="513FC579"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programación - IPTV</w:t>
            </w:r>
          </w:p>
        </w:tc>
        <w:tc>
          <w:tcPr>
            <w:tcW w:w="3638" w:type="pct"/>
            <w:tcBorders>
              <w:top w:val="single" w:sz="4" w:space="0" w:color="244062"/>
              <w:left w:val="nil"/>
              <w:bottom w:val="single" w:sz="4" w:space="0" w:color="244062"/>
              <w:right w:val="nil"/>
            </w:tcBorders>
          </w:tcPr>
          <w:p w14:paraId="16879378"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provenientes de los pagos por eventos aplicados a usuarios finales de IPTV por servicios de programación (p.ej. programas especiales, películas, etc.)</w:t>
            </w:r>
            <w:r>
              <w:rPr>
                <w:rFonts w:ascii="ITC Avant Garde" w:eastAsia="Times New Roman" w:hAnsi="ITC Avant Garde" w:cs="Arial"/>
                <w:sz w:val="20"/>
                <w:lang w:val="es-ES" w:eastAsia="es-ES"/>
              </w:rPr>
              <w:t>.</w:t>
            </w:r>
          </w:p>
        </w:tc>
      </w:tr>
      <w:tr w:rsidR="00144651" w:rsidRPr="008609D1" w14:paraId="7C0F3528"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77E38550" w14:textId="77777777" w:rsidR="00144651" w:rsidRPr="006D334F" w:rsidRDefault="00144651"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Venta de espacios publicitarios en contenidos exclusivos para televisión restringida</w:t>
            </w:r>
          </w:p>
        </w:tc>
        <w:tc>
          <w:tcPr>
            <w:tcW w:w="3638" w:type="pct"/>
            <w:tcBorders>
              <w:top w:val="single" w:sz="4" w:space="0" w:color="244062"/>
              <w:left w:val="nil"/>
              <w:bottom w:val="single" w:sz="4" w:space="0" w:color="244062"/>
              <w:right w:val="nil"/>
            </w:tcBorders>
            <w:hideMark/>
          </w:tcPr>
          <w:p w14:paraId="6E7E3DA1" w14:textId="77777777" w:rsidR="00144651" w:rsidRPr="006D334F" w:rsidRDefault="00144651"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Ingresos obtenidos por el servicio de publicidad en concepto de venta de espacios publicitarios en contenidos exclusivos para televisión restringida</w:t>
            </w:r>
            <w:r>
              <w:rPr>
                <w:rFonts w:ascii="ITC Avant Garde" w:eastAsia="Times New Roman" w:hAnsi="ITC Avant Garde" w:cs="Arial"/>
                <w:sz w:val="20"/>
                <w:lang w:val="es-ES" w:eastAsia="es-ES"/>
              </w:rPr>
              <w:t>.</w:t>
            </w:r>
          </w:p>
        </w:tc>
      </w:tr>
      <w:tr w:rsidR="00144651" w:rsidRPr="008609D1" w14:paraId="238A6656"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6E77407B" w14:textId="77777777" w:rsidR="00144651" w:rsidRPr="006D334F" w:rsidRDefault="00144651"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Otros ingresos por la venta de espacios publicitarios</w:t>
            </w:r>
          </w:p>
        </w:tc>
        <w:tc>
          <w:tcPr>
            <w:tcW w:w="3638" w:type="pct"/>
            <w:tcBorders>
              <w:top w:val="single" w:sz="4" w:space="0" w:color="244062"/>
              <w:left w:val="nil"/>
              <w:bottom w:val="single" w:sz="4" w:space="0" w:color="244062"/>
              <w:right w:val="nil"/>
            </w:tcBorders>
            <w:hideMark/>
          </w:tcPr>
          <w:p w14:paraId="6FF19FBF" w14:textId="77777777" w:rsidR="00144651" w:rsidRPr="006D334F" w:rsidRDefault="00144651"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Ingresos obtenidos por la venta de espacios publicitarios de contenidos no exclusivos, o los ingresos por infomerciales, entre otros</w:t>
            </w:r>
            <w:r>
              <w:rPr>
                <w:rFonts w:ascii="ITC Avant Garde" w:eastAsia="Times New Roman" w:hAnsi="ITC Avant Garde" w:cs="Arial"/>
                <w:sz w:val="20"/>
                <w:lang w:val="es-ES" w:eastAsia="es-ES"/>
              </w:rPr>
              <w:t>.</w:t>
            </w:r>
          </w:p>
        </w:tc>
      </w:tr>
      <w:tr w:rsidR="00144651" w:rsidRPr="008609D1" w14:paraId="0E8A3495"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0F84C624" w14:textId="77777777" w:rsidR="00144651" w:rsidRPr="006D334F" w:rsidRDefault="00144651"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lastRenderedPageBreak/>
              <w:t>Comercialización de canales para televisión restringida</w:t>
            </w:r>
          </w:p>
        </w:tc>
        <w:tc>
          <w:tcPr>
            <w:tcW w:w="3638" w:type="pct"/>
            <w:tcBorders>
              <w:top w:val="single" w:sz="4" w:space="0" w:color="244062"/>
              <w:left w:val="nil"/>
              <w:bottom w:val="single" w:sz="4" w:space="0" w:color="244062"/>
              <w:right w:val="nil"/>
            </w:tcBorders>
            <w:hideMark/>
          </w:tcPr>
          <w:p w14:paraId="73B1FED5" w14:textId="77777777" w:rsidR="00144651" w:rsidRPr="006D334F" w:rsidRDefault="00144651"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Ingresos obtenidos por la comercialización de contenidos mediante canales no exclusivos provistos</w:t>
            </w:r>
            <w:r>
              <w:rPr>
                <w:rFonts w:ascii="ITC Avant Garde" w:eastAsia="Times New Roman" w:hAnsi="ITC Avant Garde" w:cs="Arial"/>
                <w:sz w:val="20"/>
                <w:lang w:val="es-ES" w:eastAsia="es-ES"/>
              </w:rPr>
              <w:t>.</w:t>
            </w:r>
          </w:p>
        </w:tc>
      </w:tr>
      <w:tr w:rsidR="00144651" w:rsidRPr="008609D1" w14:paraId="619E8D83"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670FEDB3" w14:textId="77777777" w:rsidR="00144651" w:rsidRPr="006D334F" w:rsidRDefault="00144651"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Comercialización de canales exclusivos de televisión restringida</w:t>
            </w:r>
          </w:p>
        </w:tc>
        <w:tc>
          <w:tcPr>
            <w:tcW w:w="3638" w:type="pct"/>
            <w:tcBorders>
              <w:top w:val="single" w:sz="4" w:space="0" w:color="244062"/>
              <w:left w:val="nil"/>
              <w:bottom w:val="single" w:sz="4" w:space="0" w:color="244062"/>
              <w:right w:val="nil"/>
            </w:tcBorders>
            <w:hideMark/>
          </w:tcPr>
          <w:p w14:paraId="691EE75B" w14:textId="77777777" w:rsidR="00144651" w:rsidRPr="006D334F" w:rsidRDefault="00144651"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Ingresos obtenidos por la comercialización de contenidos mediante canales exclusivos provistos</w:t>
            </w:r>
            <w:r>
              <w:rPr>
                <w:rFonts w:ascii="ITC Avant Garde" w:eastAsia="Times New Roman" w:hAnsi="ITC Avant Garde" w:cs="Arial"/>
                <w:sz w:val="20"/>
                <w:lang w:val="es-ES" w:eastAsia="es-ES"/>
              </w:rPr>
              <w:t>.</w:t>
            </w:r>
          </w:p>
        </w:tc>
      </w:tr>
      <w:tr w:rsidR="00144651" w:rsidRPr="008609D1" w14:paraId="61A838E1"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1AA7B34F"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venta de programas y licencias</w:t>
            </w:r>
          </w:p>
        </w:tc>
        <w:tc>
          <w:tcPr>
            <w:tcW w:w="3638" w:type="pct"/>
            <w:tcBorders>
              <w:top w:val="single" w:sz="4" w:space="0" w:color="244062"/>
              <w:left w:val="nil"/>
              <w:bottom w:val="single" w:sz="4" w:space="0" w:color="244062"/>
              <w:right w:val="nil"/>
            </w:tcBorders>
            <w:hideMark/>
          </w:tcPr>
          <w:p w14:paraId="2E969393"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la venta de derechos de concesión de programas y licencias, otorgados a otras empresas nacionales o internacionales</w:t>
            </w:r>
            <w:r>
              <w:rPr>
                <w:rFonts w:ascii="ITC Avant Garde" w:eastAsia="Times New Roman" w:hAnsi="ITC Avant Garde" w:cs="Arial"/>
                <w:sz w:val="20"/>
                <w:lang w:val="es-ES" w:eastAsia="es-ES"/>
              </w:rPr>
              <w:t>.</w:t>
            </w:r>
          </w:p>
        </w:tc>
      </w:tr>
      <w:tr w:rsidR="00144651" w:rsidRPr="008609D1" w14:paraId="05E4DB3F"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0D9AFEB6"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servicios de compartición de infraestructura</w:t>
            </w:r>
          </w:p>
        </w:tc>
        <w:tc>
          <w:tcPr>
            <w:tcW w:w="3638" w:type="pct"/>
            <w:tcBorders>
              <w:top w:val="single" w:sz="4" w:space="0" w:color="244062"/>
              <w:left w:val="nil"/>
              <w:bottom w:val="single" w:sz="4" w:space="0" w:color="244062"/>
              <w:right w:val="nil"/>
            </w:tcBorders>
            <w:hideMark/>
          </w:tcPr>
          <w:p w14:paraId="0E2A3FF9"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de la provisión de servicios de compartición de infraestructura (activa y pasiva) de la red de televisión restringida a otros operadores</w:t>
            </w:r>
            <w:r>
              <w:rPr>
                <w:rFonts w:ascii="ITC Avant Garde" w:eastAsia="Times New Roman" w:hAnsi="ITC Avant Garde" w:cs="Arial"/>
                <w:sz w:val="20"/>
                <w:lang w:val="es-ES" w:eastAsia="es-ES"/>
              </w:rPr>
              <w:t>.</w:t>
            </w:r>
          </w:p>
        </w:tc>
      </w:tr>
      <w:tr w:rsidR="00144651" w:rsidRPr="008609D1" w14:paraId="508C96A3"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37BBC4AC"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otros servicios mayoristas</w:t>
            </w:r>
          </w:p>
        </w:tc>
        <w:tc>
          <w:tcPr>
            <w:tcW w:w="3638" w:type="pct"/>
            <w:tcBorders>
              <w:top w:val="single" w:sz="4" w:space="0" w:color="244062"/>
              <w:left w:val="nil"/>
              <w:bottom w:val="single" w:sz="4" w:space="0" w:color="244062"/>
              <w:right w:val="nil"/>
            </w:tcBorders>
            <w:vAlign w:val="center"/>
          </w:tcPr>
          <w:p w14:paraId="3974CA95" w14:textId="6C500B94" w:rsidR="00144651" w:rsidRPr="008609D1" w:rsidRDefault="00144651" w:rsidP="00E0628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la prestación de servicios mayoristas a otros operadores</w:t>
            </w:r>
            <w:r>
              <w:rPr>
                <w:rFonts w:ascii="ITC Avant Garde" w:eastAsia="Times New Roman" w:hAnsi="ITC Avant Garde" w:cs="Arial"/>
                <w:sz w:val="20"/>
                <w:lang w:val="es-ES" w:eastAsia="es-ES"/>
              </w:rPr>
              <w:t>.</w:t>
            </w:r>
          </w:p>
        </w:tc>
      </w:tr>
      <w:tr w:rsidR="00144651" w:rsidRPr="008609D1" w14:paraId="72FE7EDC" w14:textId="77777777" w:rsidTr="00144651">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3C7BC342" w14:textId="77777777" w:rsidR="00144651" w:rsidRPr="008609D1" w:rsidRDefault="00144651" w:rsidP="004B3901">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Ingresos no operativos</w:t>
            </w:r>
          </w:p>
        </w:tc>
      </w:tr>
      <w:tr w:rsidR="00144651" w:rsidRPr="008609D1" w14:paraId="27578025"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855AD7E" w14:textId="0800B372" w:rsidR="00144651" w:rsidRPr="008609D1" w:rsidRDefault="004B4500" w:rsidP="004B4500">
            <w:pPr>
              <w:spacing w:before="40" w:after="40" w:line="240" w:lineRule="auto"/>
              <w:rPr>
                <w:rFonts w:ascii="ITC Avant Garde" w:eastAsia="Times New Roman" w:hAnsi="ITC Avant Garde" w:cs="Arial"/>
                <w:sz w:val="20"/>
                <w:lang w:val="es-ES" w:eastAsia="es-ES"/>
              </w:rPr>
            </w:pPr>
            <w:r>
              <w:rPr>
                <w:rFonts w:ascii="ITC Avant Garde" w:eastAsia="Times New Roman" w:hAnsi="ITC Avant Garde" w:cs="Arial"/>
                <w:sz w:val="20"/>
                <w:lang w:val="es-ES" w:eastAsia="es-ES"/>
              </w:rPr>
              <w:t>Operaciones</w:t>
            </w:r>
            <w:r w:rsidRPr="008609D1">
              <w:rPr>
                <w:rFonts w:ascii="ITC Avant Garde" w:eastAsia="Times New Roman" w:hAnsi="ITC Avant Garde" w:cs="Arial"/>
                <w:sz w:val="20"/>
                <w:lang w:val="es-ES" w:eastAsia="es-ES"/>
              </w:rPr>
              <w:t xml:space="preserve"> </w:t>
            </w:r>
            <w:r w:rsidR="00144651" w:rsidRPr="008609D1">
              <w:rPr>
                <w:rFonts w:ascii="ITC Avant Garde" w:eastAsia="Times New Roman" w:hAnsi="ITC Avant Garde" w:cs="Arial"/>
                <w:sz w:val="20"/>
                <w:lang w:val="es-ES" w:eastAsia="es-ES"/>
              </w:rPr>
              <w:t>financier</w:t>
            </w:r>
            <w:r>
              <w:rPr>
                <w:rFonts w:ascii="ITC Avant Garde" w:eastAsia="Times New Roman" w:hAnsi="ITC Avant Garde" w:cs="Arial"/>
                <w:sz w:val="20"/>
                <w:lang w:val="es-ES" w:eastAsia="es-ES"/>
              </w:rPr>
              <w:t>a</w:t>
            </w:r>
            <w:r w:rsidR="00144651" w:rsidRPr="008609D1">
              <w:rPr>
                <w:rFonts w:ascii="ITC Avant Garde" w:eastAsia="Times New Roman" w:hAnsi="ITC Avant Garde" w:cs="Arial"/>
                <w:sz w:val="20"/>
                <w:lang w:val="es-ES" w:eastAsia="es-ES"/>
              </w:rPr>
              <w:t>s</w:t>
            </w:r>
          </w:p>
        </w:tc>
        <w:tc>
          <w:tcPr>
            <w:tcW w:w="3638" w:type="pct"/>
            <w:tcBorders>
              <w:top w:val="single" w:sz="4" w:space="0" w:color="244062"/>
              <w:left w:val="nil"/>
              <w:bottom w:val="single" w:sz="4" w:space="0" w:color="244062"/>
              <w:right w:val="nil"/>
            </w:tcBorders>
            <w:vAlign w:val="center"/>
            <w:hideMark/>
          </w:tcPr>
          <w:p w14:paraId="79ED8014" w14:textId="1DF0E3C0" w:rsidR="00144651" w:rsidRPr="008609D1" w:rsidRDefault="00144651" w:rsidP="004B4500">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Ingresos procedentes de otras operaciones financieras realizadas por el </w:t>
            </w:r>
            <w:r w:rsidR="004B4500">
              <w:rPr>
                <w:rFonts w:ascii="ITC Avant Garde" w:eastAsia="Times New Roman" w:hAnsi="ITC Avant Garde" w:cs="Arial"/>
                <w:sz w:val="20"/>
                <w:lang w:val="es-ES" w:eastAsia="es-ES"/>
              </w:rPr>
              <w:t>concesionario o autorizado</w:t>
            </w:r>
            <w:r>
              <w:rPr>
                <w:rFonts w:ascii="ITC Avant Garde" w:eastAsia="Times New Roman" w:hAnsi="ITC Avant Garde" w:cs="Arial"/>
                <w:sz w:val="20"/>
                <w:lang w:val="es-ES" w:eastAsia="es-ES"/>
              </w:rPr>
              <w:t>.</w:t>
            </w:r>
          </w:p>
        </w:tc>
      </w:tr>
      <w:tr w:rsidR="00144651" w:rsidRPr="008609D1" w14:paraId="440F4AC5"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2DBCF1A" w14:textId="3D5DED3B" w:rsidR="00144651" w:rsidRPr="008609D1" w:rsidRDefault="004B4500" w:rsidP="004B4500">
            <w:pPr>
              <w:spacing w:before="40" w:after="40" w:line="240" w:lineRule="auto"/>
              <w:rPr>
                <w:rFonts w:ascii="ITC Avant Garde" w:eastAsia="Times New Roman" w:hAnsi="ITC Avant Garde" w:cs="Arial"/>
                <w:sz w:val="20"/>
                <w:lang w:val="es-ES" w:eastAsia="es-ES"/>
              </w:rPr>
            </w:pPr>
            <w:r>
              <w:rPr>
                <w:rFonts w:ascii="ITC Avant Garde" w:eastAsia="Times New Roman" w:hAnsi="ITC Avant Garde" w:cs="Arial"/>
                <w:sz w:val="20"/>
                <w:lang w:val="es-ES" w:eastAsia="es-ES"/>
              </w:rPr>
              <w:t>E</w:t>
            </w:r>
            <w:r w:rsidR="00144651" w:rsidRPr="008609D1">
              <w:rPr>
                <w:rFonts w:ascii="ITC Avant Garde" w:eastAsia="Times New Roman" w:hAnsi="ITC Avant Garde" w:cs="Arial"/>
                <w:sz w:val="20"/>
                <w:lang w:val="es-ES" w:eastAsia="es-ES"/>
              </w:rPr>
              <w:t>najenación de activos</w:t>
            </w:r>
          </w:p>
        </w:tc>
        <w:tc>
          <w:tcPr>
            <w:tcW w:w="3638" w:type="pct"/>
            <w:tcBorders>
              <w:top w:val="single" w:sz="4" w:space="0" w:color="244062"/>
              <w:left w:val="nil"/>
              <w:bottom w:val="single" w:sz="4" w:space="0" w:color="244062"/>
              <w:right w:val="nil"/>
            </w:tcBorders>
            <w:vAlign w:val="center"/>
            <w:hideMark/>
          </w:tcPr>
          <w:p w14:paraId="25A4F31C" w14:textId="5762B7EA" w:rsidR="00144651" w:rsidRPr="008609D1" w:rsidRDefault="00144651" w:rsidP="004B4500">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Ingresos recibidos </w:t>
            </w:r>
            <w:r w:rsidR="004B4500">
              <w:rPr>
                <w:rFonts w:ascii="ITC Avant Garde" w:eastAsia="Times New Roman" w:hAnsi="ITC Avant Garde" w:cs="Arial"/>
                <w:sz w:val="20"/>
                <w:lang w:val="es-ES" w:eastAsia="es-ES"/>
              </w:rPr>
              <w:t>por la venta</w:t>
            </w:r>
            <w:r w:rsidRPr="008609D1">
              <w:rPr>
                <w:rFonts w:ascii="ITC Avant Garde" w:eastAsia="Times New Roman" w:hAnsi="ITC Avant Garde" w:cs="Arial"/>
                <w:sz w:val="20"/>
                <w:lang w:val="es-ES" w:eastAsia="es-ES"/>
              </w:rPr>
              <w:t xml:space="preserve"> de activos</w:t>
            </w:r>
            <w:r>
              <w:rPr>
                <w:rFonts w:ascii="ITC Avant Garde" w:eastAsia="Times New Roman" w:hAnsi="ITC Avant Garde" w:cs="Arial"/>
                <w:sz w:val="20"/>
                <w:lang w:val="es-ES" w:eastAsia="es-ES"/>
              </w:rPr>
              <w:t>.</w:t>
            </w:r>
          </w:p>
        </w:tc>
      </w:tr>
      <w:tr w:rsidR="00144651" w:rsidRPr="008609D1" w14:paraId="4802BC5B"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19B439FD" w14:textId="013670CA" w:rsidR="00144651" w:rsidRPr="008609D1" w:rsidRDefault="00144651" w:rsidP="009711F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Otros ingresos </w:t>
            </w:r>
          </w:p>
        </w:tc>
        <w:tc>
          <w:tcPr>
            <w:tcW w:w="3638" w:type="pct"/>
            <w:tcBorders>
              <w:top w:val="single" w:sz="4" w:space="0" w:color="244062"/>
              <w:left w:val="nil"/>
              <w:bottom w:val="single" w:sz="4" w:space="0" w:color="244062"/>
              <w:right w:val="nil"/>
            </w:tcBorders>
            <w:vAlign w:val="center"/>
            <w:hideMark/>
          </w:tcPr>
          <w:p w14:paraId="32217142" w14:textId="5B2F89F1" w:rsidR="00144651" w:rsidRPr="008609D1" w:rsidRDefault="00144651" w:rsidP="004B4500">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Incluye aquellos ingresos relativos a los servicios no </w:t>
            </w:r>
            <w:r w:rsidR="009711F1">
              <w:rPr>
                <w:rFonts w:ascii="ITC Avant Garde" w:eastAsia="Times New Roman" w:hAnsi="ITC Avant Garde" w:cs="Arial"/>
                <w:sz w:val="20"/>
                <w:lang w:val="es-ES" w:eastAsia="es-ES"/>
              </w:rPr>
              <w:t xml:space="preserve">relacionados con </w:t>
            </w:r>
            <w:r w:rsidRPr="008609D1">
              <w:rPr>
                <w:rFonts w:ascii="ITC Avant Garde" w:eastAsia="Times New Roman" w:hAnsi="ITC Avant Garde" w:cs="Arial"/>
                <w:sz w:val="20"/>
                <w:lang w:val="es-ES" w:eastAsia="es-ES"/>
              </w:rPr>
              <w:t>la</w:t>
            </w:r>
            <w:r w:rsidR="009711F1">
              <w:rPr>
                <w:rFonts w:ascii="ITC Avant Garde" w:eastAsia="Times New Roman" w:hAnsi="ITC Avant Garde" w:cs="Arial"/>
                <w:sz w:val="20"/>
                <w:lang w:val="es-ES" w:eastAsia="es-ES"/>
              </w:rPr>
              <w:t xml:space="preserve"> prestaci</w:t>
            </w:r>
            <w:r w:rsidR="00306DA8">
              <w:rPr>
                <w:rFonts w:ascii="ITC Avant Garde" w:eastAsia="Times New Roman" w:hAnsi="ITC Avant Garde" w:cs="Arial"/>
                <w:sz w:val="20"/>
                <w:lang w:val="es-ES" w:eastAsia="es-ES"/>
              </w:rPr>
              <w:t>ón de</w:t>
            </w:r>
            <w:r w:rsidR="009711F1">
              <w:rPr>
                <w:rFonts w:ascii="ITC Avant Garde" w:eastAsia="Times New Roman" w:hAnsi="ITC Avant Garde" w:cs="Arial"/>
                <w:sz w:val="20"/>
                <w:lang w:val="es-ES" w:eastAsia="es-ES"/>
              </w:rPr>
              <w:t xml:space="preserve"> servicio</w:t>
            </w:r>
            <w:r w:rsidR="00306DA8">
              <w:rPr>
                <w:rFonts w:ascii="ITC Avant Garde" w:eastAsia="Times New Roman" w:hAnsi="ITC Avant Garde" w:cs="Arial"/>
                <w:sz w:val="20"/>
                <w:lang w:val="es-ES" w:eastAsia="es-ES"/>
              </w:rPr>
              <w:t>s</w:t>
            </w:r>
            <w:r w:rsidR="009711F1">
              <w:rPr>
                <w:rFonts w:ascii="ITC Avant Garde" w:eastAsia="Times New Roman" w:hAnsi="ITC Avant Garde" w:cs="Arial"/>
                <w:sz w:val="20"/>
                <w:lang w:val="es-ES" w:eastAsia="es-ES"/>
              </w:rPr>
              <w:t xml:space="preserve"> </w:t>
            </w:r>
            <w:r w:rsidRPr="008609D1">
              <w:rPr>
                <w:rFonts w:ascii="ITC Avant Garde" w:eastAsia="Times New Roman" w:hAnsi="ITC Avant Garde" w:cs="Arial"/>
                <w:sz w:val="20"/>
                <w:lang w:val="es-ES" w:eastAsia="es-ES"/>
              </w:rPr>
              <w:t>de televisión restringida</w:t>
            </w:r>
            <w:r>
              <w:rPr>
                <w:rFonts w:ascii="ITC Avant Garde" w:eastAsia="Times New Roman" w:hAnsi="ITC Avant Garde" w:cs="Arial"/>
                <w:sz w:val="20"/>
                <w:lang w:val="es-ES" w:eastAsia="es-ES"/>
              </w:rPr>
              <w:t>.</w:t>
            </w:r>
          </w:p>
        </w:tc>
      </w:tr>
    </w:tbl>
    <w:p w14:paraId="01C6B379" w14:textId="77777777" w:rsidR="00FA4D4D" w:rsidRDefault="00FA4D4D" w:rsidP="007D37BE">
      <w:pPr>
        <w:pStyle w:val="Normalresolucion"/>
      </w:pPr>
    </w:p>
    <w:p w14:paraId="388A0853" w14:textId="77777777" w:rsidR="007D37BE" w:rsidRDefault="007D37BE" w:rsidP="007D37BE">
      <w:pPr>
        <w:pStyle w:val="Normalresolucion"/>
      </w:pPr>
      <w:r w:rsidRPr="008609D1">
        <w:t xml:space="preserve">Listado </w:t>
      </w:r>
      <w:r w:rsidRPr="00154F13">
        <w:t>mínimo</w:t>
      </w:r>
      <w:r w:rsidRPr="008609D1">
        <w:t xml:space="preserve"> de cuentas de costos a desagregar en el Nivel 1:</w:t>
      </w:r>
    </w:p>
    <w:p w14:paraId="0907878B" w14:textId="77777777" w:rsidR="00035EFD" w:rsidRPr="008609D1" w:rsidRDefault="00035EFD" w:rsidP="00035EFD">
      <w:pPr>
        <w:pStyle w:val="Descripcin"/>
        <w:spacing w:after="240" w:line="240" w:lineRule="auto"/>
        <w:rPr>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Pr="008609D1">
        <w:rPr>
          <w:rFonts w:ascii="ITC Avant Garde" w:hAnsi="ITC Avant Garde"/>
          <w:iCs/>
          <w:noProof/>
          <w:sz w:val="20"/>
          <w:lang w:val="es-MX"/>
        </w:rPr>
        <w:t>12</w:t>
      </w:r>
      <w:r w:rsidRPr="006D334F">
        <w:rPr>
          <w:rFonts w:ascii="ITC Avant Garde" w:hAnsi="ITC Avant Garde"/>
          <w:iCs/>
          <w:sz w:val="20"/>
          <w:lang w:val="es-MX"/>
        </w:rPr>
        <w:fldChar w:fldCharType="end"/>
      </w:r>
      <w:r w:rsidRPr="008609D1">
        <w:rPr>
          <w:rFonts w:ascii="ITC Avant Garde" w:hAnsi="ITC Avant Garde"/>
          <w:iCs/>
          <w:sz w:val="20"/>
          <w:lang w:val="es-MX"/>
        </w:rPr>
        <w:t xml:space="preserve">: Listado mínimo de cuentas de costos a desagregar en el Nivel 1 de operadores de televisión restringida </w:t>
      </w:r>
    </w:p>
    <w:tbl>
      <w:tblPr>
        <w:tblW w:w="5000" w:type="pct"/>
        <w:jc w:val="center"/>
        <w:tblLayout w:type="fixed"/>
        <w:tblCellMar>
          <w:left w:w="70" w:type="dxa"/>
          <w:right w:w="70" w:type="dxa"/>
        </w:tblCellMar>
        <w:tblLook w:val="04A0" w:firstRow="1" w:lastRow="0" w:firstColumn="1" w:lastColumn="0" w:noHBand="0" w:noVBand="1"/>
      </w:tblPr>
      <w:tblGrid>
        <w:gridCol w:w="2405"/>
        <w:gridCol w:w="6423"/>
      </w:tblGrid>
      <w:tr w:rsidR="00144651" w:rsidRPr="008609D1" w14:paraId="2ECBF75B" w14:textId="77777777" w:rsidTr="00144651">
        <w:trPr>
          <w:trHeight w:val="340"/>
          <w:tblHeader/>
          <w:jc w:val="center"/>
        </w:trPr>
        <w:tc>
          <w:tcPr>
            <w:tcW w:w="1362" w:type="pct"/>
            <w:tcBorders>
              <w:top w:val="nil"/>
              <w:left w:val="single" w:sz="4" w:space="0" w:color="FFFFFF"/>
              <w:bottom w:val="single" w:sz="4" w:space="0" w:color="244062"/>
              <w:right w:val="single" w:sz="4" w:space="0" w:color="FFFFFF"/>
            </w:tcBorders>
            <w:shd w:val="clear" w:color="auto" w:fill="4F629B"/>
            <w:vAlign w:val="center"/>
            <w:hideMark/>
          </w:tcPr>
          <w:p w14:paraId="226E38D0" w14:textId="77777777" w:rsidR="00144651" w:rsidRPr="008609D1" w:rsidRDefault="00144651" w:rsidP="004B3901">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Categoría</w:t>
            </w:r>
          </w:p>
        </w:tc>
        <w:tc>
          <w:tcPr>
            <w:tcW w:w="3638" w:type="pct"/>
            <w:tcBorders>
              <w:top w:val="nil"/>
              <w:left w:val="single" w:sz="4" w:space="0" w:color="FFFFFF"/>
              <w:bottom w:val="single" w:sz="4" w:space="0" w:color="244062"/>
              <w:right w:val="single" w:sz="4" w:space="0" w:color="FFFFFF"/>
            </w:tcBorders>
            <w:shd w:val="clear" w:color="auto" w:fill="4F629B"/>
            <w:vAlign w:val="center"/>
            <w:hideMark/>
          </w:tcPr>
          <w:p w14:paraId="7986432C" w14:textId="77777777" w:rsidR="00144651" w:rsidRPr="008609D1" w:rsidRDefault="00144651" w:rsidP="004B3901">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Descripción</w:t>
            </w:r>
          </w:p>
        </w:tc>
      </w:tr>
      <w:tr w:rsidR="00144651" w:rsidRPr="008609D1" w14:paraId="7C54DFA4" w14:textId="77777777" w:rsidTr="00144651">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61DD2803" w14:textId="77777777" w:rsidR="00144651" w:rsidRPr="008609D1" w:rsidRDefault="00144651" w:rsidP="004B3901">
            <w:pPr>
              <w:keepNext/>
              <w:keepLines/>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operativos</w:t>
            </w:r>
          </w:p>
        </w:tc>
      </w:tr>
      <w:tr w:rsidR="00144651" w:rsidRPr="008609D1" w14:paraId="09FD011E"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5F148DA3" w14:textId="77777777" w:rsidR="00144651" w:rsidRPr="006D334F" w:rsidRDefault="00144651"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Adquisición de canales</w:t>
            </w:r>
          </w:p>
        </w:tc>
        <w:tc>
          <w:tcPr>
            <w:tcW w:w="3638" w:type="pct"/>
            <w:tcBorders>
              <w:top w:val="single" w:sz="4" w:space="0" w:color="244062"/>
              <w:left w:val="nil"/>
              <w:bottom w:val="single" w:sz="4" w:space="0" w:color="244062"/>
              <w:right w:val="nil"/>
            </w:tcBorders>
            <w:hideMark/>
          </w:tcPr>
          <w:p w14:paraId="328A982F" w14:textId="77777777" w:rsidR="00144651" w:rsidRPr="006D334F" w:rsidRDefault="00144651" w:rsidP="00571D1B">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Costos causados por la adquisición de canales de televisión restringida a los proveedores.</w:t>
            </w:r>
          </w:p>
        </w:tc>
      </w:tr>
      <w:tr w:rsidR="00144651" w:rsidRPr="008609D1" w14:paraId="4BFB60F2"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4A209EA9" w14:textId="77777777" w:rsidR="00144651" w:rsidRPr="006D334F" w:rsidRDefault="00144651"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Contenidos para televisión restringida</w:t>
            </w:r>
          </w:p>
        </w:tc>
        <w:tc>
          <w:tcPr>
            <w:tcW w:w="3638" w:type="pct"/>
            <w:tcBorders>
              <w:top w:val="single" w:sz="4" w:space="0" w:color="244062"/>
              <w:left w:val="nil"/>
              <w:bottom w:val="single" w:sz="4" w:space="0" w:color="244062"/>
              <w:right w:val="nil"/>
            </w:tcBorders>
            <w:hideMark/>
          </w:tcPr>
          <w:p w14:paraId="60738D2A" w14:textId="77777777" w:rsidR="00144651" w:rsidRPr="006D334F" w:rsidRDefault="00144651" w:rsidP="00571D1B">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Costos causados por la adquisición de contenidos adquiridos mediante un formato distinto al de canal, tales como Video bajo Demanda (VoD), eventos deportivos, programas, series, o telenovelas entre otros.</w:t>
            </w:r>
          </w:p>
        </w:tc>
      </w:tr>
      <w:tr w:rsidR="00144651" w:rsidRPr="008609D1" w14:paraId="6B8881CB"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05C2F1D8"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Generación de contenidos</w:t>
            </w:r>
          </w:p>
        </w:tc>
        <w:tc>
          <w:tcPr>
            <w:tcW w:w="3638" w:type="pct"/>
            <w:tcBorders>
              <w:top w:val="single" w:sz="4" w:space="0" w:color="244062"/>
              <w:left w:val="nil"/>
              <w:bottom w:val="single" w:sz="4" w:space="0" w:color="244062"/>
              <w:right w:val="nil"/>
            </w:tcBorders>
            <w:hideMark/>
          </w:tcPr>
          <w:p w14:paraId="22C49B5A"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 la producción de contenidos audiovisuales propios para su retransmisión</w:t>
            </w:r>
            <w:r>
              <w:rPr>
                <w:rFonts w:ascii="ITC Avant Garde" w:eastAsia="Times New Roman" w:hAnsi="ITC Avant Garde" w:cs="Arial"/>
                <w:sz w:val="20"/>
                <w:lang w:val="es-ES" w:eastAsia="es-ES"/>
              </w:rPr>
              <w:t>.</w:t>
            </w:r>
          </w:p>
        </w:tc>
      </w:tr>
      <w:tr w:rsidR="00144651" w:rsidRPr="008609D1" w14:paraId="67E7EE80"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6EE82821"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Personal</w:t>
            </w:r>
          </w:p>
        </w:tc>
        <w:tc>
          <w:tcPr>
            <w:tcW w:w="3638" w:type="pct"/>
            <w:tcBorders>
              <w:top w:val="single" w:sz="4" w:space="0" w:color="244062"/>
              <w:left w:val="nil"/>
              <w:bottom w:val="single" w:sz="4" w:space="0" w:color="244062"/>
              <w:right w:val="nil"/>
            </w:tcBorders>
            <w:hideMark/>
          </w:tcPr>
          <w:p w14:paraId="5B585CAB"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de sueldos y salarios, incentivos, aportaciones a planes de pensiones y costos de la seguridad social</w:t>
            </w:r>
            <w:r>
              <w:rPr>
                <w:rFonts w:ascii="ITC Avant Garde" w:eastAsia="Times New Roman" w:hAnsi="ITC Avant Garde" w:cs="Arial"/>
                <w:sz w:val="20"/>
                <w:lang w:val="es-ES" w:eastAsia="es-ES"/>
              </w:rPr>
              <w:t>.</w:t>
            </w:r>
          </w:p>
        </w:tc>
      </w:tr>
      <w:tr w:rsidR="00144651" w:rsidRPr="008609D1" w14:paraId="131AA086"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47B5914C"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Arrendamientos</w:t>
            </w:r>
          </w:p>
        </w:tc>
        <w:tc>
          <w:tcPr>
            <w:tcW w:w="3638" w:type="pct"/>
            <w:tcBorders>
              <w:top w:val="single" w:sz="4" w:space="0" w:color="244062"/>
              <w:left w:val="nil"/>
              <w:bottom w:val="single" w:sz="4" w:space="0" w:color="244062"/>
              <w:right w:val="nil"/>
            </w:tcBorders>
            <w:hideMark/>
          </w:tcPr>
          <w:p w14:paraId="1B93E08F"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de alquiler de estaciones base, edificios, circuitos de red, etc.</w:t>
            </w:r>
          </w:p>
        </w:tc>
      </w:tr>
      <w:tr w:rsidR="00144651" w:rsidRPr="008609D1" w14:paraId="0C5BEEE1"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7F8CEE99"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Reparaciones y mantenimiento</w:t>
            </w:r>
          </w:p>
        </w:tc>
        <w:tc>
          <w:tcPr>
            <w:tcW w:w="3638" w:type="pct"/>
            <w:tcBorders>
              <w:top w:val="single" w:sz="4" w:space="0" w:color="244062"/>
              <w:left w:val="nil"/>
              <w:bottom w:val="single" w:sz="4" w:space="0" w:color="244062"/>
              <w:right w:val="nil"/>
            </w:tcBorders>
            <w:hideMark/>
          </w:tcPr>
          <w:p w14:paraId="5CAA4D14"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de reparaciones y mantenimiento de los elementos de red y elementos no relacionados con la red.</w:t>
            </w:r>
          </w:p>
        </w:tc>
      </w:tr>
      <w:tr w:rsidR="00144651" w:rsidRPr="008609D1" w14:paraId="32D6BBFE"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3DE7F5D2"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Energía</w:t>
            </w:r>
          </w:p>
        </w:tc>
        <w:tc>
          <w:tcPr>
            <w:tcW w:w="3638" w:type="pct"/>
            <w:tcBorders>
              <w:top w:val="single" w:sz="4" w:space="0" w:color="244062"/>
              <w:left w:val="nil"/>
              <w:bottom w:val="single" w:sz="4" w:space="0" w:color="244062"/>
              <w:right w:val="nil"/>
            </w:tcBorders>
            <w:hideMark/>
          </w:tcPr>
          <w:p w14:paraId="06CE4917"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Contiene los costos derivados del uso de energía eléctrica por el operador</w:t>
            </w:r>
            <w:r>
              <w:rPr>
                <w:rFonts w:ascii="ITC Avant Garde" w:eastAsia="Times New Roman" w:hAnsi="ITC Avant Garde" w:cs="Arial"/>
                <w:sz w:val="20"/>
                <w:lang w:val="es-ES" w:eastAsia="es-ES"/>
              </w:rPr>
              <w:t>.</w:t>
            </w:r>
          </w:p>
        </w:tc>
      </w:tr>
      <w:tr w:rsidR="00144651" w:rsidRPr="008609D1" w14:paraId="46A7B858"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72F6C16F"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profesionales</w:t>
            </w:r>
          </w:p>
        </w:tc>
        <w:tc>
          <w:tcPr>
            <w:tcW w:w="3638" w:type="pct"/>
            <w:tcBorders>
              <w:top w:val="single" w:sz="4" w:space="0" w:color="244062"/>
              <w:left w:val="nil"/>
              <w:bottom w:val="single" w:sz="4" w:space="0" w:color="244062"/>
              <w:right w:val="nil"/>
            </w:tcBorders>
            <w:hideMark/>
          </w:tcPr>
          <w:p w14:paraId="7F67A812"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de costos a profesiones (auditores, consultores, etc.) y por servicios suplementarios o contenidos a terceros</w:t>
            </w:r>
            <w:r>
              <w:rPr>
                <w:rFonts w:ascii="ITC Avant Garde" w:eastAsia="Times New Roman" w:hAnsi="ITC Avant Garde" w:cs="Arial"/>
                <w:sz w:val="20"/>
                <w:lang w:val="es-ES" w:eastAsia="es-ES"/>
              </w:rPr>
              <w:t>.</w:t>
            </w:r>
          </w:p>
        </w:tc>
      </w:tr>
      <w:tr w:rsidR="00144651" w:rsidRPr="008609D1" w14:paraId="18AEB4B7"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2B57E0E9"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Publicidad</w:t>
            </w:r>
          </w:p>
        </w:tc>
        <w:tc>
          <w:tcPr>
            <w:tcW w:w="3638" w:type="pct"/>
            <w:tcBorders>
              <w:top w:val="single" w:sz="4" w:space="0" w:color="244062"/>
              <w:left w:val="nil"/>
              <w:bottom w:val="single" w:sz="4" w:space="0" w:color="244062"/>
              <w:right w:val="nil"/>
            </w:tcBorders>
            <w:hideMark/>
          </w:tcPr>
          <w:p w14:paraId="655C156C"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Compra de espacios publicitarios y patrocinios, campañas publicitarias, eventos, ferias y exposiciones, etc.</w:t>
            </w:r>
          </w:p>
        </w:tc>
      </w:tr>
      <w:tr w:rsidR="00144651" w:rsidRPr="008609D1" w14:paraId="2C72E2C4"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hideMark/>
          </w:tcPr>
          <w:p w14:paraId="01579A37"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Suministros</w:t>
            </w:r>
          </w:p>
        </w:tc>
        <w:tc>
          <w:tcPr>
            <w:tcW w:w="3638" w:type="pct"/>
            <w:tcBorders>
              <w:top w:val="single" w:sz="4" w:space="0" w:color="244062"/>
              <w:left w:val="nil"/>
              <w:bottom w:val="single" w:sz="4" w:space="0" w:color="244062"/>
              <w:right w:val="nil"/>
            </w:tcBorders>
            <w:hideMark/>
          </w:tcPr>
          <w:p w14:paraId="18C3D945"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al alquiler de circuitos y otros suministros</w:t>
            </w:r>
            <w:r>
              <w:rPr>
                <w:rFonts w:ascii="ITC Avant Garde" w:eastAsia="Times New Roman" w:hAnsi="ITC Avant Garde" w:cs="Arial"/>
                <w:sz w:val="20"/>
                <w:lang w:val="es-ES" w:eastAsia="es-ES"/>
              </w:rPr>
              <w:t>.</w:t>
            </w:r>
          </w:p>
        </w:tc>
      </w:tr>
      <w:tr w:rsidR="00144651" w:rsidRPr="008609D1" w14:paraId="63AB2836"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tcPr>
          <w:p w14:paraId="4E724F1C"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Tasas e impuestos</w:t>
            </w:r>
          </w:p>
        </w:tc>
        <w:tc>
          <w:tcPr>
            <w:tcW w:w="3638" w:type="pct"/>
            <w:tcBorders>
              <w:top w:val="single" w:sz="4" w:space="0" w:color="244062"/>
              <w:left w:val="nil"/>
              <w:bottom w:val="single" w:sz="4" w:space="0" w:color="244062"/>
              <w:right w:val="nil"/>
            </w:tcBorders>
          </w:tcPr>
          <w:p w14:paraId="1251B576"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144651" w:rsidRPr="008609D1" w14:paraId="140A0980"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tcPr>
          <w:p w14:paraId="3832903C"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Inventarios</w:t>
            </w:r>
          </w:p>
        </w:tc>
        <w:tc>
          <w:tcPr>
            <w:tcW w:w="3638" w:type="pct"/>
            <w:tcBorders>
              <w:top w:val="single" w:sz="4" w:space="0" w:color="244062"/>
              <w:left w:val="nil"/>
              <w:bottom w:val="single" w:sz="4" w:space="0" w:color="244062"/>
              <w:right w:val="nil"/>
            </w:tcBorders>
          </w:tcPr>
          <w:p w14:paraId="06D427DD"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la variación de inventarios.</w:t>
            </w:r>
          </w:p>
        </w:tc>
      </w:tr>
      <w:tr w:rsidR="00144651" w:rsidRPr="008609D1" w14:paraId="313DC5E1"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tcPr>
          <w:p w14:paraId="601B4086"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costos por operaciones</w:t>
            </w:r>
          </w:p>
        </w:tc>
        <w:tc>
          <w:tcPr>
            <w:tcW w:w="3638" w:type="pct"/>
            <w:tcBorders>
              <w:top w:val="single" w:sz="4" w:space="0" w:color="244062"/>
              <w:left w:val="nil"/>
              <w:bottom w:val="single" w:sz="4" w:space="0" w:color="244062"/>
              <w:right w:val="nil"/>
            </w:tcBorders>
          </w:tcPr>
          <w:p w14:paraId="10874A65" w14:textId="77777777" w:rsidR="00144651" w:rsidRPr="008609D1" w:rsidRDefault="00144651"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la subcontratación de determinados servicios, costos de facturación, etc.</w:t>
            </w:r>
          </w:p>
        </w:tc>
      </w:tr>
      <w:tr w:rsidR="00412D6E" w:rsidRPr="008609D1" w14:paraId="23AC97A1" w14:textId="77777777" w:rsidTr="00412D6E">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tcPr>
          <w:p w14:paraId="29DD23A1"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b/>
                <w:bCs/>
                <w:sz w:val="20"/>
                <w:szCs w:val="20"/>
                <w:lang w:val="es-ES" w:eastAsia="es-ES"/>
              </w:rPr>
              <w:t>Costos asociados al capital</w:t>
            </w:r>
          </w:p>
        </w:tc>
      </w:tr>
      <w:tr w:rsidR="00412D6E" w:rsidRPr="008609D1" w14:paraId="2012DCB2" w14:textId="77777777" w:rsidTr="00412D6E">
        <w:trPr>
          <w:trHeight w:val="340"/>
          <w:jc w:val="center"/>
        </w:trPr>
        <w:tc>
          <w:tcPr>
            <w:tcW w:w="1362" w:type="pct"/>
            <w:tcBorders>
              <w:top w:val="single" w:sz="4" w:space="0" w:color="244062"/>
              <w:left w:val="nil"/>
              <w:bottom w:val="single" w:sz="4" w:space="0" w:color="244062"/>
              <w:right w:val="nil"/>
            </w:tcBorders>
            <w:shd w:val="clear" w:color="auto" w:fill="D0D1DB"/>
            <w:noWrap/>
          </w:tcPr>
          <w:p w14:paraId="2F41C18C"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Propiedad industrial</w:t>
            </w:r>
          </w:p>
        </w:tc>
        <w:tc>
          <w:tcPr>
            <w:tcW w:w="3638" w:type="pct"/>
            <w:tcBorders>
              <w:top w:val="single" w:sz="4" w:space="0" w:color="244062"/>
              <w:left w:val="nil"/>
              <w:bottom w:val="single" w:sz="4" w:space="0" w:color="244062"/>
              <w:right w:val="nil"/>
            </w:tcBorders>
            <w:shd w:val="clear" w:color="auto" w:fill="FFFFFF" w:themeFill="background1"/>
          </w:tcPr>
          <w:p w14:paraId="08AAEB55"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Costos asociados al distintivo comercial y la marca</w:t>
            </w:r>
          </w:p>
        </w:tc>
      </w:tr>
      <w:tr w:rsidR="00412D6E" w:rsidRPr="008609D1" w14:paraId="1F9B2479" w14:textId="77777777" w:rsidTr="00412D6E">
        <w:trPr>
          <w:trHeight w:val="340"/>
          <w:jc w:val="center"/>
        </w:trPr>
        <w:tc>
          <w:tcPr>
            <w:tcW w:w="1362" w:type="pct"/>
            <w:tcBorders>
              <w:top w:val="single" w:sz="4" w:space="0" w:color="244062"/>
              <w:left w:val="nil"/>
              <w:bottom w:val="single" w:sz="4" w:space="0" w:color="244062"/>
              <w:right w:val="nil"/>
            </w:tcBorders>
            <w:shd w:val="clear" w:color="auto" w:fill="D0D1DB"/>
            <w:noWrap/>
          </w:tcPr>
          <w:p w14:paraId="0EA950B7"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Derechos de transmisión y programación</w:t>
            </w:r>
          </w:p>
        </w:tc>
        <w:tc>
          <w:tcPr>
            <w:tcW w:w="3638" w:type="pct"/>
            <w:tcBorders>
              <w:top w:val="single" w:sz="4" w:space="0" w:color="244062"/>
              <w:left w:val="nil"/>
              <w:bottom w:val="single" w:sz="4" w:space="0" w:color="244062"/>
              <w:right w:val="nil"/>
            </w:tcBorders>
            <w:shd w:val="clear" w:color="auto" w:fill="FFFFFF" w:themeFill="background1"/>
          </w:tcPr>
          <w:p w14:paraId="108A2ADD"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Costos asociados a la adquisición de derechos para la transmisión de contenidos audiovisuales y producción de programas</w:t>
            </w:r>
          </w:p>
        </w:tc>
      </w:tr>
      <w:tr w:rsidR="00412D6E" w:rsidRPr="008609D1" w14:paraId="68D7D3A0"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tcPr>
          <w:p w14:paraId="1DD2F4AD"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Aplicaciones informáticas</w:t>
            </w:r>
          </w:p>
        </w:tc>
        <w:tc>
          <w:tcPr>
            <w:tcW w:w="3638" w:type="pct"/>
            <w:tcBorders>
              <w:top w:val="single" w:sz="4" w:space="0" w:color="244062"/>
              <w:left w:val="nil"/>
              <w:bottom w:val="single" w:sz="4" w:space="0" w:color="244062"/>
              <w:right w:val="nil"/>
            </w:tcBorders>
          </w:tcPr>
          <w:p w14:paraId="41014599"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Contiene los costos de los elementos software de equipos de red y de los sistemas informáticos corporativos</w:t>
            </w:r>
          </w:p>
        </w:tc>
      </w:tr>
      <w:tr w:rsidR="00412D6E" w:rsidRPr="008609D1" w14:paraId="2168C8BC"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tcPr>
          <w:p w14:paraId="3ADE812F"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Terrenos y construcciones</w:t>
            </w:r>
          </w:p>
        </w:tc>
        <w:tc>
          <w:tcPr>
            <w:tcW w:w="3638" w:type="pct"/>
            <w:tcBorders>
              <w:top w:val="single" w:sz="4" w:space="0" w:color="244062"/>
              <w:left w:val="nil"/>
              <w:bottom w:val="single" w:sz="4" w:space="0" w:color="244062"/>
              <w:right w:val="nil"/>
            </w:tcBorders>
          </w:tcPr>
          <w:p w14:paraId="050EBCAC"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Recoge los costos relacionados al capital de los bienes raíces (terrenos baldíos, edificios, etc.)</w:t>
            </w:r>
          </w:p>
        </w:tc>
      </w:tr>
      <w:tr w:rsidR="00412D6E" w:rsidRPr="008609D1" w14:paraId="03AAE0E9"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tcPr>
          <w:p w14:paraId="4BE99B41"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Sistemas de alimentación de energía</w:t>
            </w:r>
          </w:p>
        </w:tc>
        <w:tc>
          <w:tcPr>
            <w:tcW w:w="3638" w:type="pct"/>
            <w:tcBorders>
              <w:top w:val="single" w:sz="4" w:space="0" w:color="244062"/>
              <w:left w:val="nil"/>
              <w:bottom w:val="single" w:sz="4" w:space="0" w:color="244062"/>
              <w:right w:val="nil"/>
            </w:tcBorders>
          </w:tcPr>
          <w:p w14:paraId="5BF5E6FA"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Costos asociados a la planta de energía requerida para la puesta en funcionamiento de los equipos de red</w:t>
            </w:r>
          </w:p>
        </w:tc>
      </w:tr>
      <w:tr w:rsidR="00412D6E" w:rsidRPr="008609D1" w14:paraId="3AB402FC"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tcPr>
          <w:p w14:paraId="4D830730"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Red de acceso</w:t>
            </w:r>
          </w:p>
        </w:tc>
        <w:tc>
          <w:tcPr>
            <w:tcW w:w="3638" w:type="pct"/>
            <w:tcBorders>
              <w:top w:val="single" w:sz="4" w:space="0" w:color="244062"/>
              <w:left w:val="nil"/>
              <w:bottom w:val="single" w:sz="4" w:space="0" w:color="244062"/>
              <w:right w:val="nil"/>
            </w:tcBorders>
          </w:tcPr>
          <w:p w14:paraId="36B78D49"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Costos relativos a la red de acceso del operador, incluyendo la infraestructura pasiva, elementos activos, etc.</w:t>
            </w:r>
          </w:p>
        </w:tc>
      </w:tr>
      <w:tr w:rsidR="00412D6E" w:rsidRPr="008609D1" w14:paraId="22A79B63"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tcPr>
          <w:p w14:paraId="26E352BE"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Red de distribución y cabecera</w:t>
            </w:r>
          </w:p>
        </w:tc>
        <w:tc>
          <w:tcPr>
            <w:tcW w:w="3638" w:type="pct"/>
            <w:tcBorders>
              <w:top w:val="single" w:sz="4" w:space="0" w:color="244062"/>
              <w:left w:val="nil"/>
              <w:bottom w:val="single" w:sz="4" w:space="0" w:color="244062"/>
              <w:right w:val="nil"/>
            </w:tcBorders>
          </w:tcPr>
          <w:p w14:paraId="79EA0AA7"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Costos relacionados con los elementos y plataformas para la distribución y gestión de la señal de TV</w:t>
            </w:r>
          </w:p>
        </w:tc>
      </w:tr>
      <w:tr w:rsidR="00412D6E" w:rsidRPr="008609D1" w14:paraId="3FCCC559"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tcPr>
          <w:p w14:paraId="1300DC0A"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Otros equipos de soporte</w:t>
            </w:r>
          </w:p>
        </w:tc>
        <w:tc>
          <w:tcPr>
            <w:tcW w:w="3638" w:type="pct"/>
            <w:tcBorders>
              <w:top w:val="single" w:sz="4" w:space="0" w:color="244062"/>
              <w:left w:val="nil"/>
              <w:bottom w:val="single" w:sz="4" w:space="0" w:color="244062"/>
              <w:right w:val="nil"/>
            </w:tcBorders>
          </w:tcPr>
          <w:p w14:paraId="23063284"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Incluye otros equipos de soporte necesarios para el desarrollo de la actividad de televisión restringida</w:t>
            </w:r>
          </w:p>
        </w:tc>
      </w:tr>
      <w:tr w:rsidR="00412D6E" w:rsidRPr="008609D1" w14:paraId="7511DD20"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tcPr>
          <w:p w14:paraId="2DBBC78B"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Activos accesorios</w:t>
            </w:r>
          </w:p>
        </w:tc>
        <w:tc>
          <w:tcPr>
            <w:tcW w:w="3638" w:type="pct"/>
            <w:tcBorders>
              <w:top w:val="single" w:sz="4" w:space="0" w:color="244062"/>
              <w:left w:val="nil"/>
              <w:bottom w:val="single" w:sz="4" w:space="0" w:color="244062"/>
              <w:right w:val="nil"/>
            </w:tcBorders>
          </w:tcPr>
          <w:p w14:paraId="17E2DBAB" w14:textId="77777777" w:rsidR="00412D6E" w:rsidRPr="008609D1" w:rsidRDefault="00412D6E" w:rsidP="00412D6E">
            <w:pPr>
              <w:spacing w:before="40" w:after="40" w:line="240" w:lineRule="auto"/>
              <w:rPr>
                <w:rFonts w:ascii="ITC Avant Garde" w:eastAsia="Times New Roman" w:hAnsi="ITC Avant Garde" w:cs="Arial"/>
                <w:sz w:val="20"/>
                <w:lang w:val="es-ES" w:eastAsia="es-ES"/>
              </w:rPr>
            </w:pPr>
            <w:r w:rsidRPr="008609D1">
              <w:rPr>
                <w:rFonts w:ascii="ITC Avant Garde" w:hAnsi="ITC Avant Garde"/>
                <w:sz w:val="20"/>
                <w:szCs w:val="20"/>
              </w:rPr>
              <w:t>Recoge los costos asociados a elementos de soporte a las operaciones tales como mobiliario, herramientas y elementos de transporte</w:t>
            </w:r>
          </w:p>
        </w:tc>
      </w:tr>
      <w:tr w:rsidR="00221E9F" w:rsidRPr="008609D1" w14:paraId="103D3A10" w14:textId="77777777" w:rsidTr="00221E9F">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tcPr>
          <w:p w14:paraId="495D02B2" w14:textId="77777777" w:rsidR="00221E9F" w:rsidRPr="008609D1" w:rsidRDefault="00221E9F" w:rsidP="00221E9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b/>
                <w:bCs/>
                <w:sz w:val="20"/>
                <w:szCs w:val="20"/>
                <w:lang w:val="es-ES" w:eastAsia="es-ES"/>
              </w:rPr>
              <w:t>Activo y pasivo circulante</w:t>
            </w:r>
          </w:p>
        </w:tc>
      </w:tr>
      <w:tr w:rsidR="00221E9F" w:rsidRPr="008609D1" w14:paraId="1C7454AF" w14:textId="77777777" w:rsidTr="00221E9F">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17E931A9" w14:textId="77777777" w:rsidR="00221E9F" w:rsidRPr="008609D1" w:rsidRDefault="00221E9F" w:rsidP="00221E9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Efectivo y equivalentes</w:t>
            </w:r>
          </w:p>
        </w:tc>
        <w:tc>
          <w:tcPr>
            <w:tcW w:w="3638" w:type="pct"/>
            <w:tcBorders>
              <w:top w:val="single" w:sz="4" w:space="0" w:color="244062"/>
              <w:left w:val="nil"/>
              <w:bottom w:val="single" w:sz="4" w:space="0" w:color="244062"/>
              <w:right w:val="nil"/>
            </w:tcBorders>
            <w:shd w:val="clear" w:color="auto" w:fill="FFFFFF" w:themeFill="background1"/>
            <w:vAlign w:val="center"/>
          </w:tcPr>
          <w:p w14:paraId="6822DC8F" w14:textId="77777777" w:rsidR="00221E9F" w:rsidRPr="008609D1" w:rsidRDefault="00221E9F" w:rsidP="00221E9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Aquellos bienes que proporcionan liquidez inmediata al operador necesaria para realizar sus operaciones en el segmento de televisión restringida</w:t>
            </w:r>
          </w:p>
        </w:tc>
      </w:tr>
      <w:tr w:rsidR="00221E9F" w:rsidRPr="008609D1" w14:paraId="7C43978E" w14:textId="77777777" w:rsidTr="00221E9F">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35E18548" w14:textId="77777777" w:rsidR="00221E9F" w:rsidRPr="008609D1" w:rsidRDefault="00221E9F" w:rsidP="00221E9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Cuentas por cobrar</w:t>
            </w:r>
          </w:p>
        </w:tc>
        <w:tc>
          <w:tcPr>
            <w:tcW w:w="3638" w:type="pct"/>
            <w:tcBorders>
              <w:top w:val="single" w:sz="4" w:space="0" w:color="244062"/>
              <w:left w:val="nil"/>
              <w:bottom w:val="single" w:sz="4" w:space="0" w:color="244062"/>
              <w:right w:val="nil"/>
            </w:tcBorders>
            <w:shd w:val="clear" w:color="auto" w:fill="FFFFFF" w:themeFill="background1"/>
            <w:vAlign w:val="center"/>
          </w:tcPr>
          <w:p w14:paraId="27C2EE7A" w14:textId="77777777" w:rsidR="00221E9F" w:rsidRPr="008609D1" w:rsidRDefault="00221E9F" w:rsidP="00221E9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Ingresos que recibirá el operador por la provisión de servicios a clientes a través de crédito documentado</w:t>
            </w:r>
          </w:p>
        </w:tc>
      </w:tr>
      <w:tr w:rsidR="00221E9F" w:rsidRPr="008609D1" w14:paraId="4DCD7A85" w14:textId="77777777" w:rsidTr="00F33926">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481A2F9A" w14:textId="77777777" w:rsidR="00221E9F" w:rsidRPr="008609D1" w:rsidRDefault="00221E9F" w:rsidP="00221E9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lastRenderedPageBreak/>
              <w:t>Inventarios</w:t>
            </w:r>
          </w:p>
        </w:tc>
        <w:tc>
          <w:tcPr>
            <w:tcW w:w="3638" w:type="pct"/>
            <w:tcBorders>
              <w:top w:val="single" w:sz="4" w:space="0" w:color="244062"/>
              <w:left w:val="nil"/>
              <w:bottom w:val="single" w:sz="4" w:space="0" w:color="244062"/>
              <w:right w:val="nil"/>
            </w:tcBorders>
            <w:vAlign w:val="center"/>
          </w:tcPr>
          <w:p w14:paraId="2FA0FB17" w14:textId="77777777" w:rsidR="00221E9F" w:rsidRPr="008609D1" w:rsidRDefault="00221E9F" w:rsidP="00221E9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Aquellas mercancías provistas por el operador que se encuentran listas para su venta.</w:t>
            </w:r>
          </w:p>
        </w:tc>
      </w:tr>
      <w:tr w:rsidR="00221E9F" w:rsidRPr="008609D1" w14:paraId="27F6E1C1" w14:textId="77777777" w:rsidTr="00F33926">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5EE22000" w14:textId="77777777" w:rsidR="00221E9F" w:rsidRPr="008609D1" w:rsidRDefault="00221E9F" w:rsidP="00221E9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Otro activo circulante</w:t>
            </w:r>
          </w:p>
        </w:tc>
        <w:tc>
          <w:tcPr>
            <w:tcW w:w="3638" w:type="pct"/>
            <w:tcBorders>
              <w:top w:val="single" w:sz="4" w:space="0" w:color="244062"/>
              <w:left w:val="nil"/>
              <w:bottom w:val="single" w:sz="4" w:space="0" w:color="244062"/>
              <w:right w:val="nil"/>
            </w:tcBorders>
            <w:vAlign w:val="center"/>
          </w:tcPr>
          <w:p w14:paraId="23F2781E" w14:textId="77777777" w:rsidR="00221E9F" w:rsidRPr="008609D1" w:rsidRDefault="00221E9F" w:rsidP="00221E9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Otro activo circulante del operador necesario para el desarrollo de sus operaciones en el segmento de televisión restringida</w:t>
            </w:r>
          </w:p>
        </w:tc>
      </w:tr>
      <w:tr w:rsidR="00221E9F" w:rsidRPr="008609D1" w14:paraId="3E3BEEBD" w14:textId="77777777" w:rsidTr="00F33926">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453F6E32" w14:textId="77777777" w:rsidR="00221E9F" w:rsidRPr="008609D1" w:rsidRDefault="00221E9F" w:rsidP="00221E9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Deudas a proveedores</w:t>
            </w:r>
            <w:r w:rsidRPr="008609D1">
              <w:rPr>
                <w:rFonts w:ascii="ITC Avant Garde" w:eastAsia="Times New Roman" w:hAnsi="ITC Avant Garde" w:cs="Arial"/>
                <w:sz w:val="20"/>
                <w:szCs w:val="20"/>
                <w:lang w:val="es-ES" w:eastAsia="es-ES"/>
              </w:rPr>
              <w:br/>
              <w:t>(corto plazo)</w:t>
            </w:r>
          </w:p>
        </w:tc>
        <w:tc>
          <w:tcPr>
            <w:tcW w:w="3638" w:type="pct"/>
            <w:tcBorders>
              <w:top w:val="single" w:sz="4" w:space="0" w:color="244062"/>
              <w:left w:val="nil"/>
              <w:bottom w:val="single" w:sz="4" w:space="0" w:color="244062"/>
              <w:right w:val="nil"/>
            </w:tcBorders>
            <w:vAlign w:val="center"/>
          </w:tcPr>
          <w:p w14:paraId="2D736023" w14:textId="77777777" w:rsidR="00221E9F" w:rsidRPr="008609D1" w:rsidRDefault="00221E9F" w:rsidP="00221E9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Deuda a corto plazo (menor a un año) que tiene la empresa con proveedores, así como la porción de deuda a largo plazo que se debe pagar durante este periodo.</w:t>
            </w:r>
          </w:p>
        </w:tc>
      </w:tr>
      <w:tr w:rsidR="00221E9F" w:rsidRPr="008609D1" w14:paraId="3C84FBD0" w14:textId="77777777" w:rsidTr="00F33926">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1C42A234" w14:textId="77777777" w:rsidR="00221E9F" w:rsidRPr="008609D1" w:rsidRDefault="00221E9F" w:rsidP="00221E9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Ingresos diferidos</w:t>
            </w:r>
          </w:p>
        </w:tc>
        <w:tc>
          <w:tcPr>
            <w:tcW w:w="3638" w:type="pct"/>
            <w:tcBorders>
              <w:top w:val="single" w:sz="4" w:space="0" w:color="244062"/>
              <w:left w:val="nil"/>
              <w:bottom w:val="single" w:sz="4" w:space="0" w:color="244062"/>
              <w:right w:val="nil"/>
            </w:tcBorders>
            <w:vAlign w:val="center"/>
          </w:tcPr>
          <w:p w14:paraId="43555AB0" w14:textId="77777777" w:rsidR="00221E9F" w:rsidRPr="008609D1" w:rsidRDefault="00221E9F" w:rsidP="00221E9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Son los ingresos que la empresa ya recibió por parte de los clientes, mientras que los servicios por dichos ingresos no han sido proporcionados.</w:t>
            </w:r>
          </w:p>
        </w:tc>
      </w:tr>
      <w:tr w:rsidR="00221E9F" w:rsidRPr="008609D1" w14:paraId="47C959E1" w14:textId="77777777" w:rsidTr="00F33926">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54BD274A" w14:textId="77777777" w:rsidR="00221E9F" w:rsidRPr="008609D1" w:rsidRDefault="00221E9F" w:rsidP="00221E9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Otro pasivo circulante</w:t>
            </w:r>
          </w:p>
        </w:tc>
        <w:tc>
          <w:tcPr>
            <w:tcW w:w="3638" w:type="pct"/>
            <w:tcBorders>
              <w:top w:val="single" w:sz="4" w:space="0" w:color="244062"/>
              <w:left w:val="nil"/>
              <w:bottom w:val="single" w:sz="4" w:space="0" w:color="244062"/>
              <w:right w:val="nil"/>
            </w:tcBorders>
            <w:vAlign w:val="center"/>
          </w:tcPr>
          <w:p w14:paraId="77991BB8" w14:textId="77777777" w:rsidR="00221E9F" w:rsidRPr="008609D1" w:rsidRDefault="00221E9F" w:rsidP="00221E9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Otro pasivo circulante del operador asociado con sus actividades en el segmento de televisión restringida</w:t>
            </w:r>
          </w:p>
        </w:tc>
      </w:tr>
      <w:tr w:rsidR="00221E9F" w:rsidRPr="008609D1" w14:paraId="4F540DF4" w14:textId="77777777" w:rsidTr="00221E9F">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tcPr>
          <w:p w14:paraId="1289E648" w14:textId="77777777" w:rsidR="00221E9F" w:rsidRPr="008609D1" w:rsidRDefault="00221E9F" w:rsidP="00221E9F">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b/>
                <w:bCs/>
                <w:sz w:val="20"/>
                <w:szCs w:val="20"/>
                <w:lang w:val="es-ES" w:eastAsia="es-ES"/>
              </w:rPr>
              <w:t>Costos no relevantes para la separación contable</w:t>
            </w:r>
          </w:p>
        </w:tc>
      </w:tr>
      <w:tr w:rsidR="00221E9F" w:rsidRPr="008609D1" w14:paraId="20ABBC0D" w14:textId="77777777" w:rsidTr="00221E9F">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66A83383" w14:textId="77777777" w:rsidR="00221E9F" w:rsidRPr="008609D1" w:rsidRDefault="00221E9F" w:rsidP="00221E9F">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financieros</w:t>
            </w:r>
          </w:p>
        </w:tc>
        <w:tc>
          <w:tcPr>
            <w:tcW w:w="3638" w:type="pct"/>
            <w:tcBorders>
              <w:top w:val="single" w:sz="4" w:space="0" w:color="244062"/>
              <w:left w:val="nil"/>
              <w:bottom w:val="single" w:sz="4" w:space="0" w:color="244062"/>
              <w:right w:val="nil"/>
            </w:tcBorders>
            <w:shd w:val="clear" w:color="auto" w:fill="FFFFFF" w:themeFill="background1"/>
            <w:vAlign w:val="center"/>
          </w:tcPr>
          <w:p w14:paraId="5DCD1BAE" w14:textId="77777777" w:rsidR="00221E9F" w:rsidRPr="008609D1" w:rsidRDefault="00221E9F" w:rsidP="00221E9F">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Gastos por intereses derivados de los préstamos solicitados por la inversión para el conjunto de bienes patrimoniales y resto de costos financieros no asignables a planta</w:t>
            </w:r>
          </w:p>
        </w:tc>
      </w:tr>
      <w:tr w:rsidR="00221E9F" w:rsidRPr="008609D1" w14:paraId="3F290FEE" w14:textId="77777777" w:rsidTr="00221E9F">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775A1064" w14:textId="77777777" w:rsidR="00221E9F" w:rsidRPr="008609D1" w:rsidRDefault="00221E9F" w:rsidP="00221E9F">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Ajustes de depreciación</w:t>
            </w:r>
          </w:p>
        </w:tc>
        <w:tc>
          <w:tcPr>
            <w:tcW w:w="3638" w:type="pct"/>
            <w:tcBorders>
              <w:top w:val="single" w:sz="4" w:space="0" w:color="244062"/>
              <w:left w:val="nil"/>
              <w:bottom w:val="single" w:sz="4" w:space="0" w:color="244062"/>
              <w:right w:val="nil"/>
            </w:tcBorders>
            <w:shd w:val="clear" w:color="auto" w:fill="FFFFFF" w:themeFill="background1"/>
            <w:vAlign w:val="center"/>
          </w:tcPr>
          <w:p w14:paraId="5533CC14" w14:textId="77777777" w:rsidR="00221E9F" w:rsidRPr="008609D1" w:rsidRDefault="00221E9F" w:rsidP="00221E9F">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Recoge los ajustes de la dotación a la amortización de los activos tras su revaluación a la CCA. Estos ajustes, corresponderán a la diferencia, con signo negativo, entre el costo asociado al capital en la contabilidad financiera y la CCA</w:t>
            </w:r>
          </w:p>
        </w:tc>
      </w:tr>
      <w:tr w:rsidR="00221E9F" w:rsidRPr="008609D1" w14:paraId="777045B7" w14:textId="77777777" w:rsidTr="00F33926">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2554F02F" w14:textId="77777777" w:rsidR="00221E9F" w:rsidRPr="008609D1" w:rsidRDefault="00221E9F" w:rsidP="00221E9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Otras partidas de costos</w:t>
            </w:r>
          </w:p>
        </w:tc>
        <w:tc>
          <w:tcPr>
            <w:tcW w:w="3638" w:type="pct"/>
            <w:tcBorders>
              <w:top w:val="single" w:sz="4" w:space="0" w:color="244062"/>
              <w:left w:val="nil"/>
              <w:bottom w:val="single" w:sz="4" w:space="0" w:color="244062"/>
              <w:right w:val="nil"/>
            </w:tcBorders>
            <w:vAlign w:val="center"/>
          </w:tcPr>
          <w:p w14:paraId="468F02EE" w14:textId="446FCD64" w:rsidR="00221E9F" w:rsidRPr="008609D1" w:rsidRDefault="00221E9F" w:rsidP="00991F25">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Partidas de costos</w:t>
            </w:r>
            <w:r w:rsidR="00991F25">
              <w:rPr>
                <w:rFonts w:ascii="ITC Avant Garde" w:eastAsia="Times New Roman" w:hAnsi="ITC Avant Garde" w:cs="Arial"/>
                <w:sz w:val="20"/>
                <w:szCs w:val="20"/>
                <w:lang w:val="es-ES" w:eastAsia="es-ES"/>
              </w:rPr>
              <w:t xml:space="preserve"> relativas a los servicios no relevantes para </w:t>
            </w:r>
            <w:r w:rsidRPr="008609D1">
              <w:rPr>
                <w:rFonts w:ascii="ITC Avant Garde" w:eastAsia="Times New Roman" w:hAnsi="ITC Avant Garde" w:cs="Arial"/>
                <w:sz w:val="20"/>
                <w:szCs w:val="20"/>
                <w:lang w:val="es-ES" w:eastAsia="es-ES"/>
              </w:rPr>
              <w:t>la prestación de los servicios de televisión restringida</w:t>
            </w:r>
            <w:r w:rsidR="00991F25">
              <w:rPr>
                <w:rFonts w:ascii="ITC Avant Garde" w:eastAsia="Times New Roman" w:hAnsi="ITC Avant Garde" w:cs="Arial"/>
                <w:sz w:val="20"/>
                <w:szCs w:val="20"/>
                <w:lang w:val="es-ES" w:eastAsia="es-ES"/>
              </w:rPr>
              <w:t>.</w:t>
            </w:r>
          </w:p>
        </w:tc>
      </w:tr>
    </w:tbl>
    <w:p w14:paraId="692095B4" w14:textId="77777777" w:rsidR="004722EF" w:rsidRDefault="004722EF" w:rsidP="007D37BE">
      <w:pPr>
        <w:pStyle w:val="Normalresolucion"/>
      </w:pPr>
    </w:p>
    <w:p w14:paraId="72A1D9FB" w14:textId="77777777" w:rsidR="007D37BE" w:rsidRDefault="007D37BE" w:rsidP="007D37BE">
      <w:pPr>
        <w:pStyle w:val="Normalresolucion"/>
      </w:pPr>
      <w:r w:rsidRPr="008609D1">
        <w:t xml:space="preserve">Listado </w:t>
      </w:r>
      <w:r w:rsidRPr="006D334F">
        <w:t>mínimo</w:t>
      </w:r>
      <w:r w:rsidRPr="008609D1">
        <w:t xml:space="preserve"> de cuentas a desagregar en el Nivel 2:</w:t>
      </w:r>
    </w:p>
    <w:p w14:paraId="75F64AD3" w14:textId="77777777" w:rsidR="00035EFD" w:rsidRPr="008609D1" w:rsidRDefault="00035EFD" w:rsidP="00035EFD">
      <w:pPr>
        <w:pStyle w:val="Descripcin"/>
        <w:spacing w:after="240" w:line="240" w:lineRule="auto"/>
        <w:rPr>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Pr="008609D1">
        <w:rPr>
          <w:rFonts w:ascii="ITC Avant Garde" w:hAnsi="ITC Avant Garde"/>
          <w:iCs/>
          <w:noProof/>
          <w:sz w:val="20"/>
          <w:lang w:val="es-MX"/>
        </w:rPr>
        <w:t>13</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a desagregar en el Nivel 2 de operadores de televisión restringida</w:t>
      </w:r>
    </w:p>
    <w:tbl>
      <w:tblPr>
        <w:tblW w:w="5000" w:type="pct"/>
        <w:jc w:val="center"/>
        <w:tblLayout w:type="fixed"/>
        <w:tblCellMar>
          <w:left w:w="70" w:type="dxa"/>
          <w:right w:w="70" w:type="dxa"/>
        </w:tblCellMar>
        <w:tblLook w:val="04A0" w:firstRow="1" w:lastRow="0" w:firstColumn="1" w:lastColumn="0" w:noHBand="0" w:noVBand="1"/>
      </w:tblPr>
      <w:tblGrid>
        <w:gridCol w:w="2405"/>
        <w:gridCol w:w="6423"/>
      </w:tblGrid>
      <w:tr w:rsidR="00144651" w:rsidRPr="008609D1" w14:paraId="145AEEC3" w14:textId="77777777" w:rsidTr="00144651">
        <w:trPr>
          <w:trHeight w:val="340"/>
          <w:tblHeader/>
          <w:jc w:val="center"/>
        </w:trPr>
        <w:tc>
          <w:tcPr>
            <w:tcW w:w="1362" w:type="pct"/>
            <w:tcBorders>
              <w:top w:val="nil"/>
              <w:left w:val="single" w:sz="4" w:space="0" w:color="FFFFFF"/>
              <w:bottom w:val="single" w:sz="4" w:space="0" w:color="244062"/>
              <w:right w:val="single" w:sz="4" w:space="0" w:color="FFFFFF"/>
            </w:tcBorders>
            <w:shd w:val="clear" w:color="auto" w:fill="4F629B"/>
            <w:vAlign w:val="center"/>
            <w:hideMark/>
          </w:tcPr>
          <w:p w14:paraId="46345E3B" w14:textId="77777777" w:rsidR="00144651" w:rsidRPr="008609D1" w:rsidRDefault="00144651" w:rsidP="004B3901">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Categoría</w:t>
            </w:r>
          </w:p>
        </w:tc>
        <w:tc>
          <w:tcPr>
            <w:tcW w:w="3638" w:type="pct"/>
            <w:tcBorders>
              <w:top w:val="nil"/>
              <w:left w:val="single" w:sz="4" w:space="0" w:color="FFFFFF"/>
              <w:bottom w:val="single" w:sz="4" w:space="0" w:color="244062"/>
              <w:right w:val="single" w:sz="4" w:space="0" w:color="FFFFFF"/>
            </w:tcBorders>
            <w:shd w:val="clear" w:color="auto" w:fill="4F629B"/>
            <w:vAlign w:val="center"/>
            <w:hideMark/>
          </w:tcPr>
          <w:p w14:paraId="620FD493" w14:textId="77777777" w:rsidR="00144651" w:rsidRPr="008609D1" w:rsidRDefault="00144651" w:rsidP="004B3901">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Descripción</w:t>
            </w:r>
          </w:p>
        </w:tc>
      </w:tr>
      <w:tr w:rsidR="00144651" w:rsidRPr="008609D1" w14:paraId="60A1D8AB" w14:textId="77777777" w:rsidTr="00144651">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7F865CC4" w14:textId="77777777" w:rsidR="00144651" w:rsidRPr="008609D1" w:rsidRDefault="00144651" w:rsidP="001735D4">
            <w:pPr>
              <w:keepNext/>
              <w:keepLines/>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Componentes de red</w:t>
            </w:r>
          </w:p>
        </w:tc>
      </w:tr>
      <w:tr w:rsidR="00144651" w:rsidRPr="008609D1" w14:paraId="3150402E" w14:textId="77777777" w:rsidTr="00144651">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14:paraId="3C01EF90" w14:textId="77777777" w:rsidR="00144651" w:rsidRPr="008609D1" w:rsidRDefault="00144651" w:rsidP="001735D4">
            <w:pPr>
              <w:keepNext/>
              <w:keepLines/>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Red de acceso</w:t>
            </w:r>
          </w:p>
        </w:tc>
      </w:tr>
      <w:tr w:rsidR="00144651" w:rsidRPr="008609D1" w14:paraId="5BE9E6B9"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EBAE885"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Emplazamientos (espacio físico)</w:t>
            </w:r>
          </w:p>
        </w:tc>
        <w:tc>
          <w:tcPr>
            <w:tcW w:w="3638" w:type="pct"/>
            <w:tcBorders>
              <w:top w:val="single" w:sz="4" w:space="0" w:color="244062"/>
              <w:left w:val="nil"/>
              <w:bottom w:val="single" w:sz="4" w:space="0" w:color="244062"/>
              <w:right w:val="nil"/>
            </w:tcBorders>
            <w:vAlign w:val="center"/>
            <w:hideMark/>
          </w:tcPr>
          <w:p w14:paraId="13771EEB" w14:textId="77777777" w:rsidR="00144651" w:rsidRPr="008609D1" w:rsidRDefault="00144651" w:rsidP="004B3901">
            <w:pPr>
              <w:spacing w:before="40" w:after="6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Espacios físicos para la ubicación de casetas, incluyendo el suelo para la construcción de obra civil, así como el acondicionamiento del terreno.</w:t>
            </w:r>
          </w:p>
        </w:tc>
      </w:tr>
      <w:tr w:rsidR="00144651" w:rsidRPr="008609D1" w14:paraId="5ECE530B"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374540BE"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Caseta de trasmisión</w:t>
            </w:r>
          </w:p>
        </w:tc>
        <w:tc>
          <w:tcPr>
            <w:tcW w:w="3638" w:type="pct"/>
            <w:tcBorders>
              <w:top w:val="single" w:sz="4" w:space="0" w:color="244062"/>
              <w:left w:val="nil"/>
              <w:bottom w:val="single" w:sz="4" w:space="0" w:color="244062"/>
              <w:right w:val="nil"/>
            </w:tcBorders>
            <w:vAlign w:val="center"/>
            <w:hideMark/>
          </w:tcPr>
          <w:p w14:paraId="76D18453" w14:textId="77777777" w:rsidR="00144651" w:rsidRPr="008609D1" w:rsidRDefault="00144651" w:rsidP="004B3901">
            <w:pPr>
              <w:spacing w:before="40" w:after="6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Ubicación debidamente habilitada para la instalación de equipos de transmisión (transmisores, reemisores, receptores, sistemas de gestión. etc.) en una sala del emplazamiento</w:t>
            </w:r>
            <w:r>
              <w:rPr>
                <w:rFonts w:ascii="ITC Avant Garde" w:hAnsi="ITC Avant Garde"/>
                <w:sz w:val="20"/>
                <w:szCs w:val="20"/>
              </w:rPr>
              <w:t>.</w:t>
            </w:r>
          </w:p>
        </w:tc>
      </w:tr>
      <w:tr w:rsidR="00144651" w:rsidRPr="008609D1" w14:paraId="6FC0EA89"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C54C69B"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Obra civil</w:t>
            </w:r>
          </w:p>
        </w:tc>
        <w:tc>
          <w:tcPr>
            <w:tcW w:w="3638" w:type="pct"/>
            <w:tcBorders>
              <w:top w:val="single" w:sz="4" w:space="0" w:color="244062"/>
              <w:left w:val="nil"/>
              <w:bottom w:val="single" w:sz="4" w:space="0" w:color="244062"/>
              <w:right w:val="nil"/>
            </w:tcBorders>
            <w:vAlign w:val="center"/>
            <w:hideMark/>
          </w:tcPr>
          <w:p w14:paraId="4B53FA94" w14:textId="77777777" w:rsidR="00144651" w:rsidRPr="008609D1" w:rsidRDefault="00144651" w:rsidP="004B3901">
            <w:pPr>
              <w:spacing w:before="40" w:after="6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Elemento que permite la instalación del cableado de la red del operador, incluyendo ductos, zanjas, etc.</w:t>
            </w:r>
          </w:p>
        </w:tc>
      </w:tr>
      <w:tr w:rsidR="00144651" w:rsidRPr="008609D1" w14:paraId="37126174"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56F283C0"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lastRenderedPageBreak/>
              <w:t>Cableado coaxial</w:t>
            </w:r>
          </w:p>
        </w:tc>
        <w:tc>
          <w:tcPr>
            <w:tcW w:w="3638" w:type="pct"/>
            <w:tcBorders>
              <w:top w:val="single" w:sz="4" w:space="0" w:color="244062"/>
              <w:left w:val="nil"/>
              <w:bottom w:val="single" w:sz="4" w:space="0" w:color="244062"/>
              <w:right w:val="nil"/>
            </w:tcBorders>
            <w:vAlign w:val="center"/>
          </w:tcPr>
          <w:p w14:paraId="30B551DD" w14:textId="77777777" w:rsidR="00144651" w:rsidRPr="008609D1" w:rsidRDefault="00144651" w:rsidP="004B3901">
            <w:pPr>
              <w:spacing w:before="40" w:after="6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Elementos de transmisión físicos de la señal hacia el usuario final para prestación del servicio de suscripción de televisión por cable</w:t>
            </w:r>
            <w:r>
              <w:rPr>
                <w:rFonts w:ascii="ITC Avant Garde" w:hAnsi="ITC Avant Garde"/>
                <w:sz w:val="20"/>
                <w:szCs w:val="20"/>
              </w:rPr>
              <w:t>.</w:t>
            </w:r>
          </w:p>
        </w:tc>
      </w:tr>
      <w:tr w:rsidR="00144651" w:rsidRPr="008609D1" w14:paraId="004EDB4B"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573174A2"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 xml:space="preserve">Transmisores </w:t>
            </w:r>
          </w:p>
        </w:tc>
        <w:tc>
          <w:tcPr>
            <w:tcW w:w="3638" w:type="pct"/>
            <w:tcBorders>
              <w:top w:val="single" w:sz="4" w:space="0" w:color="244062"/>
              <w:left w:val="nil"/>
              <w:bottom w:val="single" w:sz="4" w:space="0" w:color="244062"/>
              <w:right w:val="nil"/>
            </w:tcBorders>
            <w:vAlign w:val="center"/>
            <w:hideMark/>
          </w:tcPr>
          <w:p w14:paraId="1F544E5C" w14:textId="77777777" w:rsidR="00144651" w:rsidRPr="008609D1" w:rsidRDefault="00144651" w:rsidP="004B3901">
            <w:pPr>
              <w:spacing w:before="40" w:after="6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Equipos transmisores de la red de transmisión satelital, incluyendo moduladores de señal, conversores y amplificadores</w:t>
            </w:r>
            <w:r>
              <w:rPr>
                <w:rFonts w:ascii="ITC Avant Garde" w:hAnsi="ITC Avant Garde"/>
                <w:sz w:val="20"/>
                <w:szCs w:val="20"/>
              </w:rPr>
              <w:t>.</w:t>
            </w:r>
          </w:p>
        </w:tc>
      </w:tr>
      <w:tr w:rsidR="00144651" w:rsidRPr="008609D1" w14:paraId="79702F43"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C3F84BD"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Otros elementos de la red de acceso</w:t>
            </w:r>
          </w:p>
        </w:tc>
        <w:tc>
          <w:tcPr>
            <w:tcW w:w="3638" w:type="pct"/>
            <w:tcBorders>
              <w:top w:val="single" w:sz="4" w:space="0" w:color="244062"/>
              <w:left w:val="nil"/>
              <w:bottom w:val="single" w:sz="4" w:space="0" w:color="244062"/>
              <w:right w:val="nil"/>
            </w:tcBorders>
            <w:vAlign w:val="center"/>
            <w:hideMark/>
          </w:tcPr>
          <w:p w14:paraId="5BD44537"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Otros equipos de la red de acceso de televisión restringida</w:t>
            </w:r>
            <w:r>
              <w:rPr>
                <w:rFonts w:ascii="ITC Avant Garde" w:hAnsi="ITC Avant Garde"/>
                <w:sz w:val="20"/>
                <w:szCs w:val="20"/>
              </w:rPr>
              <w:t>.</w:t>
            </w:r>
          </w:p>
        </w:tc>
      </w:tr>
      <w:tr w:rsidR="00144651" w:rsidRPr="008609D1" w14:paraId="175D365B" w14:textId="77777777" w:rsidTr="00144651">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14:paraId="5FD206D6" w14:textId="77777777" w:rsidR="00144651" w:rsidRPr="008609D1" w:rsidRDefault="00144651" w:rsidP="001735D4">
            <w:pPr>
              <w:spacing w:before="40" w:after="40" w:line="240" w:lineRule="auto"/>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Gestión de la señal</w:t>
            </w:r>
          </w:p>
        </w:tc>
      </w:tr>
      <w:tr w:rsidR="00144651" w:rsidRPr="008609D1" w14:paraId="0B427173"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DFB0923"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Mezcladores</w:t>
            </w:r>
          </w:p>
        </w:tc>
        <w:tc>
          <w:tcPr>
            <w:tcW w:w="3638" w:type="pct"/>
            <w:tcBorders>
              <w:top w:val="single" w:sz="4" w:space="0" w:color="244062"/>
              <w:left w:val="nil"/>
              <w:bottom w:val="single" w:sz="4" w:space="0" w:color="244062"/>
              <w:right w:val="nil"/>
            </w:tcBorders>
            <w:vAlign w:val="center"/>
            <w:hideMark/>
          </w:tcPr>
          <w:p w14:paraId="529A79E0" w14:textId="77777777" w:rsidR="00144651" w:rsidRPr="008609D1" w:rsidRDefault="00144651" w:rsidP="004B3901">
            <w:pPr>
              <w:spacing w:before="40" w:after="6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Equipos combinadores de señales de salida de equipos transmisores</w:t>
            </w:r>
            <w:r>
              <w:rPr>
                <w:rFonts w:ascii="ITC Avant Garde" w:hAnsi="ITC Avant Garde"/>
                <w:sz w:val="20"/>
                <w:szCs w:val="20"/>
              </w:rPr>
              <w:t>.</w:t>
            </w:r>
          </w:p>
        </w:tc>
      </w:tr>
      <w:tr w:rsidR="00144651" w:rsidRPr="008609D1" w14:paraId="41892350"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0F0711E9"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Codificadores</w:t>
            </w:r>
          </w:p>
        </w:tc>
        <w:tc>
          <w:tcPr>
            <w:tcW w:w="3638" w:type="pct"/>
            <w:tcBorders>
              <w:top w:val="single" w:sz="4" w:space="0" w:color="244062"/>
              <w:left w:val="nil"/>
              <w:bottom w:val="single" w:sz="4" w:space="0" w:color="244062"/>
              <w:right w:val="nil"/>
            </w:tcBorders>
            <w:vAlign w:val="center"/>
            <w:hideMark/>
          </w:tcPr>
          <w:p w14:paraId="1D46D5EA"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Elementos responsables de la codificación de las señales a transmitir</w:t>
            </w:r>
            <w:r>
              <w:rPr>
                <w:rFonts w:ascii="ITC Avant Garde" w:hAnsi="ITC Avant Garde"/>
                <w:sz w:val="20"/>
                <w:szCs w:val="20"/>
              </w:rPr>
              <w:t>.</w:t>
            </w:r>
          </w:p>
        </w:tc>
      </w:tr>
      <w:tr w:rsidR="00144651" w:rsidRPr="008609D1" w14:paraId="18B2C125"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451C7B78"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CMTS</w:t>
            </w:r>
            <w:r w:rsidRPr="008609D1">
              <w:rPr>
                <w:rStyle w:val="Refdenotaalpie"/>
                <w:rFonts w:ascii="ITC Avant Garde" w:eastAsia="Times New Roman" w:hAnsi="ITC Avant Garde" w:cs="Arial"/>
                <w:sz w:val="20"/>
                <w:szCs w:val="20"/>
                <w:lang w:val="es-ES" w:eastAsia="es-ES"/>
              </w:rPr>
              <w:footnoteReference w:id="45"/>
            </w:r>
          </w:p>
        </w:tc>
        <w:tc>
          <w:tcPr>
            <w:tcW w:w="3638" w:type="pct"/>
            <w:tcBorders>
              <w:top w:val="single" w:sz="4" w:space="0" w:color="244062"/>
              <w:left w:val="nil"/>
              <w:bottom w:val="single" w:sz="4" w:space="0" w:color="244062"/>
              <w:right w:val="nil"/>
            </w:tcBorders>
            <w:vAlign w:val="center"/>
            <w:hideMark/>
          </w:tcPr>
          <w:p w14:paraId="70B98867"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Elemento que recibe y envía los flujos de datos en la red de cabecera</w:t>
            </w:r>
            <w:r>
              <w:rPr>
                <w:rFonts w:ascii="ITC Avant Garde" w:hAnsi="ITC Avant Garde"/>
                <w:sz w:val="20"/>
                <w:szCs w:val="20"/>
              </w:rPr>
              <w:t>.</w:t>
            </w:r>
          </w:p>
        </w:tc>
      </w:tr>
      <w:tr w:rsidR="00144651" w:rsidRPr="008609D1" w14:paraId="470516C4"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1CA8674F"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elementos de gestión de señal</w:t>
            </w:r>
          </w:p>
        </w:tc>
        <w:tc>
          <w:tcPr>
            <w:tcW w:w="3638" w:type="pct"/>
            <w:tcBorders>
              <w:top w:val="single" w:sz="4" w:space="0" w:color="244062"/>
              <w:left w:val="nil"/>
              <w:bottom w:val="single" w:sz="4" w:space="0" w:color="244062"/>
              <w:right w:val="nil"/>
            </w:tcBorders>
            <w:vAlign w:val="center"/>
            <w:hideMark/>
          </w:tcPr>
          <w:p w14:paraId="03900464"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Otros elementos de gestión de la señal en la red de televisión restringida</w:t>
            </w:r>
            <w:r>
              <w:rPr>
                <w:rFonts w:ascii="ITC Avant Garde" w:hAnsi="ITC Avant Garde"/>
                <w:sz w:val="20"/>
                <w:szCs w:val="20"/>
              </w:rPr>
              <w:t>.</w:t>
            </w:r>
          </w:p>
        </w:tc>
      </w:tr>
      <w:tr w:rsidR="00144651" w:rsidRPr="008609D1" w14:paraId="2D22C6A4" w14:textId="77777777" w:rsidTr="00144651">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14:paraId="29473E03" w14:textId="77777777" w:rsidR="00144651" w:rsidRPr="008609D1" w:rsidRDefault="00144651" w:rsidP="001735D4">
            <w:pPr>
              <w:spacing w:before="40" w:after="40" w:line="240" w:lineRule="auto"/>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Red de distribución</w:t>
            </w:r>
          </w:p>
        </w:tc>
      </w:tr>
      <w:tr w:rsidR="00144651" w:rsidRPr="008609D1" w14:paraId="51EBE8FE"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A2B5B58"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Enlaces de transmisión</w:t>
            </w:r>
          </w:p>
        </w:tc>
        <w:tc>
          <w:tcPr>
            <w:tcW w:w="3638" w:type="pct"/>
            <w:tcBorders>
              <w:top w:val="single" w:sz="4" w:space="0" w:color="244062"/>
              <w:left w:val="nil"/>
              <w:bottom w:val="single" w:sz="4" w:space="0" w:color="244062"/>
              <w:right w:val="nil"/>
            </w:tcBorders>
            <w:vAlign w:val="center"/>
            <w:hideMark/>
          </w:tcPr>
          <w:p w14:paraId="5C5C09AC"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Enlaces de transmisión entre elementos de la red de televisión restringida</w:t>
            </w:r>
            <w:r>
              <w:rPr>
                <w:rFonts w:ascii="ITC Avant Garde" w:eastAsia="Times New Roman" w:hAnsi="ITC Avant Garde" w:cs="Arial"/>
                <w:sz w:val="20"/>
                <w:szCs w:val="20"/>
                <w:lang w:val="es-ES" w:eastAsia="es-ES"/>
              </w:rPr>
              <w:t>.</w:t>
            </w:r>
          </w:p>
        </w:tc>
      </w:tr>
      <w:tr w:rsidR="00144651" w:rsidRPr="008609D1" w14:paraId="43F5E828"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2564C7C"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Receptores y emisores satelitales</w:t>
            </w:r>
          </w:p>
        </w:tc>
        <w:tc>
          <w:tcPr>
            <w:tcW w:w="3638" w:type="pct"/>
            <w:tcBorders>
              <w:top w:val="single" w:sz="4" w:space="0" w:color="244062"/>
              <w:left w:val="nil"/>
              <w:bottom w:val="single" w:sz="4" w:space="0" w:color="244062"/>
              <w:right w:val="nil"/>
            </w:tcBorders>
            <w:vAlign w:val="center"/>
            <w:hideMark/>
          </w:tcPr>
          <w:p w14:paraId="23C126B0" w14:textId="227C6292" w:rsidR="00144651" w:rsidRPr="008609D1" w:rsidRDefault="00144651" w:rsidP="00271A6A">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Equipos utilizados para la emisión y recepción de señales </w:t>
            </w:r>
            <w:r>
              <w:rPr>
                <w:rFonts w:ascii="ITC Avant Garde" w:eastAsia="Times New Roman" w:hAnsi="ITC Avant Garde" w:cs="Arial"/>
                <w:sz w:val="20"/>
                <w:szCs w:val="20"/>
                <w:lang w:val="es-ES" w:eastAsia="es-ES"/>
              </w:rPr>
              <w:t>de televisión</w:t>
            </w:r>
            <w:r w:rsidRPr="008609D1">
              <w:rPr>
                <w:rFonts w:ascii="ITC Avant Garde" w:eastAsia="Times New Roman" w:hAnsi="ITC Avant Garde" w:cs="Arial"/>
                <w:sz w:val="20"/>
                <w:szCs w:val="20"/>
                <w:lang w:val="es-ES" w:eastAsia="es-ES"/>
              </w:rPr>
              <w:t xml:space="preserve"> satelitales</w:t>
            </w:r>
            <w:r>
              <w:rPr>
                <w:rFonts w:ascii="ITC Avant Garde" w:eastAsia="Times New Roman" w:hAnsi="ITC Avant Garde" w:cs="Arial"/>
                <w:sz w:val="20"/>
                <w:szCs w:val="20"/>
                <w:lang w:val="es-ES" w:eastAsia="es-ES"/>
              </w:rPr>
              <w:t>.</w:t>
            </w:r>
          </w:p>
        </w:tc>
      </w:tr>
      <w:tr w:rsidR="00144651" w:rsidRPr="008609D1" w14:paraId="2D47A4EC"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4BD8258A"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elementos de distribución</w:t>
            </w:r>
          </w:p>
        </w:tc>
        <w:tc>
          <w:tcPr>
            <w:tcW w:w="3638" w:type="pct"/>
            <w:tcBorders>
              <w:top w:val="single" w:sz="4" w:space="0" w:color="244062"/>
              <w:left w:val="nil"/>
              <w:bottom w:val="single" w:sz="4" w:space="0" w:color="244062"/>
              <w:right w:val="nil"/>
            </w:tcBorders>
            <w:vAlign w:val="center"/>
            <w:hideMark/>
          </w:tcPr>
          <w:p w14:paraId="3E250543"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elementos de distribución de señal en la red de televisión restringida</w:t>
            </w:r>
            <w:r>
              <w:rPr>
                <w:rFonts w:ascii="ITC Avant Garde" w:eastAsia="Times New Roman" w:hAnsi="ITC Avant Garde" w:cs="Arial"/>
                <w:sz w:val="20"/>
                <w:szCs w:val="20"/>
                <w:lang w:val="es-ES" w:eastAsia="es-ES"/>
              </w:rPr>
              <w:t>.</w:t>
            </w:r>
          </w:p>
        </w:tc>
      </w:tr>
      <w:tr w:rsidR="00144651" w:rsidRPr="008609D1" w14:paraId="6D8701B7" w14:textId="77777777" w:rsidTr="00144651">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14:paraId="308EB373" w14:textId="77777777" w:rsidR="00144651" w:rsidRPr="008609D1" w:rsidRDefault="00144651" w:rsidP="001735D4">
            <w:pPr>
              <w:spacing w:before="40" w:after="40" w:line="240" w:lineRule="auto"/>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Red de núcleo</w:t>
            </w:r>
          </w:p>
        </w:tc>
      </w:tr>
      <w:tr w:rsidR="00144651" w:rsidRPr="008609D1" w14:paraId="6664A1D6"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F59B97F"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Plataformas CATV</w:t>
            </w:r>
            <w:r w:rsidRPr="008609D1">
              <w:rPr>
                <w:rStyle w:val="Refdenotaalpie"/>
                <w:rFonts w:ascii="ITC Avant Garde" w:eastAsia="Times New Roman" w:hAnsi="ITC Avant Garde" w:cs="Arial"/>
                <w:sz w:val="20"/>
                <w:szCs w:val="20"/>
                <w:lang w:val="es-ES" w:eastAsia="es-ES"/>
              </w:rPr>
              <w:footnoteReference w:id="46"/>
            </w:r>
          </w:p>
        </w:tc>
        <w:tc>
          <w:tcPr>
            <w:tcW w:w="3638" w:type="pct"/>
            <w:tcBorders>
              <w:top w:val="single" w:sz="4" w:space="0" w:color="244062"/>
              <w:left w:val="nil"/>
              <w:bottom w:val="single" w:sz="4" w:space="0" w:color="244062"/>
              <w:right w:val="nil"/>
            </w:tcBorders>
            <w:hideMark/>
          </w:tcPr>
          <w:p w14:paraId="602E2C41"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Equipos y plataformas de gestión del servicio de televisión restringida sobre cable coaxial</w:t>
            </w:r>
            <w:r>
              <w:rPr>
                <w:rFonts w:ascii="ITC Avant Garde" w:eastAsia="Times New Roman" w:hAnsi="ITC Avant Garde" w:cs="Arial"/>
                <w:sz w:val="20"/>
                <w:szCs w:val="20"/>
                <w:lang w:val="es-ES" w:eastAsia="es-ES"/>
              </w:rPr>
              <w:t>.</w:t>
            </w:r>
          </w:p>
        </w:tc>
      </w:tr>
      <w:tr w:rsidR="00144651" w:rsidRPr="008609D1" w14:paraId="5B2EE3CC"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3DA181FB"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Servidor de VoD</w:t>
            </w:r>
          </w:p>
        </w:tc>
        <w:tc>
          <w:tcPr>
            <w:tcW w:w="3638" w:type="pct"/>
            <w:tcBorders>
              <w:top w:val="single" w:sz="4" w:space="0" w:color="244062"/>
              <w:left w:val="nil"/>
              <w:bottom w:val="single" w:sz="4" w:space="0" w:color="244062"/>
              <w:right w:val="nil"/>
            </w:tcBorders>
            <w:hideMark/>
          </w:tcPr>
          <w:p w14:paraId="780461F5"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Equipos y plataformas de gestión de servicios de </w:t>
            </w:r>
            <w:r w:rsidRPr="008609D1">
              <w:rPr>
                <w:rFonts w:ascii="ITC Avant Garde" w:eastAsia="Times New Roman" w:hAnsi="ITC Avant Garde" w:cs="Arial"/>
                <w:i/>
                <w:iCs/>
                <w:sz w:val="20"/>
                <w:szCs w:val="20"/>
                <w:lang w:val="es-ES" w:eastAsia="es-ES"/>
              </w:rPr>
              <w:t>video on demand</w:t>
            </w:r>
            <w:r>
              <w:rPr>
                <w:rFonts w:ascii="ITC Avant Garde" w:eastAsia="Times New Roman" w:hAnsi="ITC Avant Garde" w:cs="Arial"/>
                <w:i/>
                <w:iCs/>
                <w:sz w:val="20"/>
                <w:szCs w:val="20"/>
                <w:lang w:val="es-ES" w:eastAsia="es-ES"/>
              </w:rPr>
              <w:t>.</w:t>
            </w:r>
          </w:p>
        </w:tc>
      </w:tr>
      <w:tr w:rsidR="00144651" w:rsidRPr="008609D1" w14:paraId="3E47CC3B"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30E5E340"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Receptores de contenidos</w:t>
            </w:r>
          </w:p>
        </w:tc>
        <w:tc>
          <w:tcPr>
            <w:tcW w:w="3638" w:type="pct"/>
            <w:tcBorders>
              <w:top w:val="single" w:sz="4" w:space="0" w:color="244062"/>
              <w:left w:val="nil"/>
              <w:bottom w:val="single" w:sz="4" w:space="0" w:color="244062"/>
              <w:right w:val="nil"/>
            </w:tcBorders>
            <w:hideMark/>
          </w:tcPr>
          <w:p w14:paraId="7E4BD56E"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Equipos receptores de contenidos audiovisuales</w:t>
            </w:r>
            <w:r>
              <w:rPr>
                <w:rFonts w:ascii="ITC Avant Garde" w:eastAsia="Times New Roman" w:hAnsi="ITC Avant Garde" w:cs="Arial"/>
                <w:sz w:val="20"/>
                <w:szCs w:val="20"/>
                <w:lang w:val="es-ES" w:eastAsia="es-ES"/>
              </w:rPr>
              <w:t>.</w:t>
            </w:r>
          </w:p>
        </w:tc>
      </w:tr>
      <w:tr w:rsidR="00144651" w:rsidRPr="008609D1" w14:paraId="78E2F97C"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372C33B"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elementos de núcleo</w:t>
            </w:r>
          </w:p>
        </w:tc>
        <w:tc>
          <w:tcPr>
            <w:tcW w:w="3638" w:type="pct"/>
            <w:tcBorders>
              <w:top w:val="single" w:sz="4" w:space="0" w:color="244062"/>
              <w:left w:val="nil"/>
              <w:bottom w:val="single" w:sz="4" w:space="0" w:color="244062"/>
              <w:right w:val="nil"/>
            </w:tcBorders>
            <w:vAlign w:val="center"/>
            <w:hideMark/>
          </w:tcPr>
          <w:p w14:paraId="44B8996E"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equipos de la red de núcleo de televisión restringida</w:t>
            </w:r>
            <w:r>
              <w:rPr>
                <w:rFonts w:ascii="ITC Avant Garde" w:eastAsia="Times New Roman" w:hAnsi="ITC Avant Garde" w:cs="Arial"/>
                <w:sz w:val="20"/>
                <w:szCs w:val="20"/>
                <w:lang w:val="es-ES" w:eastAsia="es-ES"/>
              </w:rPr>
              <w:t>.</w:t>
            </w:r>
          </w:p>
        </w:tc>
      </w:tr>
      <w:tr w:rsidR="00144651" w:rsidRPr="008609D1" w14:paraId="6534538C" w14:textId="77777777" w:rsidTr="00144651">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14:paraId="3689F2CC" w14:textId="77777777" w:rsidR="00144651" w:rsidRPr="008609D1" w:rsidRDefault="00144651" w:rsidP="001735D4">
            <w:pPr>
              <w:spacing w:before="40" w:after="40" w:line="240" w:lineRule="auto"/>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Otros</w:t>
            </w:r>
          </w:p>
        </w:tc>
      </w:tr>
      <w:tr w:rsidR="00144651" w:rsidRPr="008609D1" w14:paraId="0517BADD"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3762117"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Red eléctrica y aire acondicionado</w:t>
            </w:r>
          </w:p>
        </w:tc>
        <w:tc>
          <w:tcPr>
            <w:tcW w:w="3638" w:type="pct"/>
            <w:tcBorders>
              <w:top w:val="single" w:sz="4" w:space="0" w:color="244062"/>
              <w:left w:val="nil"/>
              <w:bottom w:val="single" w:sz="4" w:space="0" w:color="244062"/>
              <w:right w:val="nil"/>
            </w:tcBorders>
            <w:vAlign w:val="center"/>
            <w:hideMark/>
          </w:tcPr>
          <w:p w14:paraId="05E0332B"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Elementos auxiliares al funcionamiento de la red de televisión restringida asociados a energía y refrigeración, incluyendo subestación eléctrica, fuentes de energía de respaldo (planta de emergencia), aire acondicionado</w:t>
            </w:r>
            <w:r>
              <w:rPr>
                <w:rFonts w:ascii="ITC Avant Garde" w:eastAsia="Times New Roman" w:hAnsi="ITC Avant Garde" w:cs="Arial"/>
                <w:sz w:val="20"/>
                <w:szCs w:val="20"/>
                <w:lang w:val="es-ES" w:eastAsia="es-ES"/>
              </w:rPr>
              <w:t>.</w:t>
            </w:r>
          </w:p>
        </w:tc>
      </w:tr>
      <w:tr w:rsidR="00144651" w:rsidRPr="008609D1" w14:paraId="0F4F9DF7" w14:textId="77777777" w:rsidTr="00144651">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7A685346" w14:textId="77777777" w:rsidR="00144651" w:rsidRPr="008609D1" w:rsidRDefault="00144651" w:rsidP="001735D4">
            <w:pPr>
              <w:spacing w:before="40" w:after="40" w:line="240" w:lineRule="auto"/>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Componentes no relacionados con la red</w:t>
            </w:r>
          </w:p>
        </w:tc>
      </w:tr>
      <w:tr w:rsidR="00144651" w:rsidRPr="008609D1" w14:paraId="5BE4F4A6"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7C6BD82E"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lastRenderedPageBreak/>
              <w:t>Programación</w:t>
            </w:r>
          </w:p>
        </w:tc>
        <w:tc>
          <w:tcPr>
            <w:tcW w:w="3638" w:type="pct"/>
            <w:tcBorders>
              <w:top w:val="single" w:sz="4" w:space="0" w:color="244062"/>
              <w:left w:val="nil"/>
              <w:bottom w:val="single" w:sz="4" w:space="0" w:color="244062"/>
              <w:right w:val="nil"/>
            </w:tcBorders>
            <w:vAlign w:val="center"/>
          </w:tcPr>
          <w:p w14:paraId="5051598A"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asociados a la compra de contenidos audiovisuales para su retransmisión.</w:t>
            </w:r>
          </w:p>
        </w:tc>
      </w:tr>
      <w:tr w:rsidR="00144651" w:rsidRPr="008609D1" w14:paraId="4DB6149D"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798A6542"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Generación de contenidos</w:t>
            </w:r>
          </w:p>
        </w:tc>
        <w:tc>
          <w:tcPr>
            <w:tcW w:w="3638" w:type="pct"/>
            <w:tcBorders>
              <w:top w:val="single" w:sz="4" w:space="0" w:color="244062"/>
              <w:left w:val="nil"/>
              <w:bottom w:val="single" w:sz="4" w:space="0" w:color="244062"/>
              <w:right w:val="nil"/>
            </w:tcBorders>
            <w:vAlign w:val="center"/>
          </w:tcPr>
          <w:p w14:paraId="4D5B96D4"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Costos asociados a la producción de contenidos audiovisuales propios para su retransmisión</w:t>
            </w:r>
            <w:r>
              <w:rPr>
                <w:rFonts w:ascii="ITC Avant Garde" w:eastAsia="Times New Roman" w:hAnsi="ITC Avant Garde" w:cs="Arial"/>
                <w:sz w:val="20"/>
                <w:szCs w:val="20"/>
                <w:lang w:val="es-ES" w:eastAsia="es-ES"/>
              </w:rPr>
              <w:t>.</w:t>
            </w:r>
          </w:p>
        </w:tc>
      </w:tr>
      <w:tr w:rsidR="00144651" w:rsidRPr="008609D1" w14:paraId="42FD6D93"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5D419D74"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Comerciales</w:t>
            </w:r>
          </w:p>
        </w:tc>
        <w:tc>
          <w:tcPr>
            <w:tcW w:w="3638" w:type="pct"/>
            <w:tcBorders>
              <w:top w:val="single" w:sz="4" w:space="0" w:color="244062"/>
              <w:left w:val="nil"/>
              <w:bottom w:val="single" w:sz="4" w:space="0" w:color="244062"/>
              <w:right w:val="nil"/>
            </w:tcBorders>
            <w:vAlign w:val="center"/>
            <w:hideMark/>
          </w:tcPr>
          <w:p w14:paraId="394263DA"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Funciones comerciales tal y como publicidad, marca, desarrollo de productos, etc.</w:t>
            </w:r>
          </w:p>
        </w:tc>
      </w:tr>
      <w:tr w:rsidR="00144651" w:rsidRPr="008609D1" w14:paraId="58EA38A4"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0F616FE8"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Facturación y cobranza</w:t>
            </w:r>
          </w:p>
        </w:tc>
        <w:tc>
          <w:tcPr>
            <w:tcW w:w="3638" w:type="pct"/>
            <w:tcBorders>
              <w:top w:val="single" w:sz="4" w:space="0" w:color="244062"/>
              <w:left w:val="nil"/>
              <w:bottom w:val="single" w:sz="4" w:space="0" w:color="244062"/>
              <w:right w:val="nil"/>
            </w:tcBorders>
            <w:vAlign w:val="center"/>
            <w:hideMark/>
          </w:tcPr>
          <w:p w14:paraId="280EC00B"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Control y gestión de la facturación y cobranza a clientes</w:t>
            </w:r>
            <w:r>
              <w:rPr>
                <w:rFonts w:ascii="ITC Avant Garde" w:eastAsia="Times New Roman" w:hAnsi="ITC Avant Garde" w:cs="Arial"/>
                <w:sz w:val="20"/>
                <w:szCs w:val="20"/>
                <w:lang w:val="es-ES" w:eastAsia="es-ES"/>
              </w:rPr>
              <w:t>.</w:t>
            </w:r>
          </w:p>
        </w:tc>
      </w:tr>
      <w:tr w:rsidR="00144651" w:rsidRPr="008609D1" w14:paraId="7D639750"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C8BD2D5"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Tasas e impuestos</w:t>
            </w:r>
          </w:p>
        </w:tc>
        <w:tc>
          <w:tcPr>
            <w:tcW w:w="3638" w:type="pct"/>
            <w:tcBorders>
              <w:top w:val="single" w:sz="4" w:space="0" w:color="244062"/>
              <w:left w:val="nil"/>
              <w:bottom w:val="single" w:sz="4" w:space="0" w:color="244062"/>
              <w:right w:val="nil"/>
            </w:tcBorders>
            <w:vAlign w:val="center"/>
            <w:hideMark/>
          </w:tcPr>
          <w:p w14:paraId="0B23F466"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Pagos satisfechos en concepto de tasas e impuestos. Estos deberán estar relacionados con la actividad del negocio y no incluirán impuestos por beneficios</w:t>
            </w:r>
            <w:r>
              <w:rPr>
                <w:rFonts w:ascii="ITC Avant Garde" w:eastAsia="Times New Roman" w:hAnsi="ITC Avant Garde" w:cs="Arial"/>
                <w:sz w:val="20"/>
                <w:szCs w:val="20"/>
                <w:lang w:val="es-ES" w:eastAsia="es-ES"/>
              </w:rPr>
              <w:t>.</w:t>
            </w:r>
          </w:p>
        </w:tc>
      </w:tr>
      <w:tr w:rsidR="00144651" w:rsidRPr="008609D1" w14:paraId="48351F2E" w14:textId="77777777" w:rsidTr="00144651">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70B0C2FC" w14:textId="77777777" w:rsidR="00144651" w:rsidRPr="008609D1" w:rsidRDefault="00144651" w:rsidP="001735D4">
            <w:pPr>
              <w:spacing w:before="40" w:after="40" w:line="240" w:lineRule="auto"/>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Costos directos de ventas</w:t>
            </w:r>
          </w:p>
        </w:tc>
      </w:tr>
      <w:tr w:rsidR="00144651" w:rsidRPr="008609D1" w14:paraId="695C0783"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38F9F543"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Provisiones</w:t>
            </w:r>
          </w:p>
        </w:tc>
        <w:tc>
          <w:tcPr>
            <w:tcW w:w="3638" w:type="pct"/>
            <w:tcBorders>
              <w:top w:val="single" w:sz="4" w:space="0" w:color="244062"/>
              <w:left w:val="nil"/>
              <w:bottom w:val="single" w:sz="4" w:space="0" w:color="244062"/>
              <w:right w:val="nil"/>
            </w:tcBorders>
            <w:vAlign w:val="center"/>
            <w:hideMark/>
          </w:tcPr>
          <w:p w14:paraId="6842E51A"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Gestión de las provisiones por insolvencias</w:t>
            </w:r>
            <w:r>
              <w:rPr>
                <w:rFonts w:ascii="ITC Avant Garde" w:eastAsia="Times New Roman" w:hAnsi="ITC Avant Garde" w:cs="Arial"/>
                <w:sz w:val="20"/>
                <w:szCs w:val="20"/>
                <w:lang w:val="es-ES" w:eastAsia="es-ES"/>
              </w:rPr>
              <w:t>.</w:t>
            </w:r>
          </w:p>
        </w:tc>
      </w:tr>
      <w:tr w:rsidR="00144651" w:rsidRPr="008609D1" w14:paraId="2C25554C" w14:textId="77777777" w:rsidTr="00144651">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0A990A1B" w14:textId="77777777" w:rsidR="00144651" w:rsidRPr="008609D1" w:rsidRDefault="00144651" w:rsidP="001735D4">
            <w:pPr>
              <w:spacing w:before="40" w:after="40" w:line="240" w:lineRule="auto"/>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Costos comunes</w:t>
            </w:r>
          </w:p>
        </w:tc>
      </w:tr>
      <w:tr w:rsidR="00144651" w:rsidRPr="008609D1" w14:paraId="72620995"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F4613E3"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generales y de gestión – minoristas</w:t>
            </w:r>
          </w:p>
        </w:tc>
        <w:tc>
          <w:tcPr>
            <w:tcW w:w="3638" w:type="pct"/>
            <w:tcBorders>
              <w:top w:val="single" w:sz="4" w:space="0" w:color="244062"/>
              <w:left w:val="nil"/>
              <w:bottom w:val="single" w:sz="4" w:space="0" w:color="244062"/>
              <w:right w:val="nil"/>
            </w:tcBorders>
            <w:vAlign w:val="center"/>
            <w:hideMark/>
          </w:tcPr>
          <w:p w14:paraId="2E75A5AF"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Equipo de gestión del operador dedicado a la prestación de servicios minoristas</w:t>
            </w:r>
            <w:r>
              <w:rPr>
                <w:rFonts w:ascii="ITC Avant Garde" w:eastAsia="Times New Roman" w:hAnsi="ITC Avant Garde" w:cs="Arial"/>
                <w:sz w:val="20"/>
                <w:szCs w:val="20"/>
                <w:lang w:val="es-ES" w:eastAsia="es-ES"/>
              </w:rPr>
              <w:t>.</w:t>
            </w:r>
            <w:r w:rsidRPr="008609D1">
              <w:rPr>
                <w:rFonts w:ascii="ITC Avant Garde" w:eastAsia="Times New Roman" w:hAnsi="ITC Avant Garde" w:cs="Arial"/>
                <w:sz w:val="20"/>
                <w:szCs w:val="20"/>
                <w:lang w:val="es-ES" w:eastAsia="es-ES"/>
              </w:rPr>
              <w:t xml:space="preserve"> </w:t>
            </w:r>
          </w:p>
        </w:tc>
      </w:tr>
      <w:tr w:rsidR="00144651" w:rsidRPr="008609D1" w14:paraId="247C9F89"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36167F42"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generales y de gestión – red</w:t>
            </w:r>
          </w:p>
        </w:tc>
        <w:tc>
          <w:tcPr>
            <w:tcW w:w="3638" w:type="pct"/>
            <w:tcBorders>
              <w:top w:val="single" w:sz="4" w:space="0" w:color="244062"/>
              <w:left w:val="nil"/>
              <w:bottom w:val="single" w:sz="4" w:space="0" w:color="244062"/>
              <w:right w:val="nil"/>
            </w:tcBorders>
            <w:vAlign w:val="center"/>
          </w:tcPr>
          <w:p w14:paraId="181CD0A2"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Equipo de gestión del operador dedicado a la planeación, gestión, monitoreo, etc. de la red</w:t>
            </w:r>
            <w:r>
              <w:rPr>
                <w:rFonts w:ascii="ITC Avant Garde" w:eastAsia="Times New Roman" w:hAnsi="ITC Avant Garde" w:cs="Arial"/>
                <w:sz w:val="20"/>
                <w:szCs w:val="20"/>
                <w:lang w:val="es-ES" w:eastAsia="es-ES"/>
              </w:rPr>
              <w:t>.</w:t>
            </w:r>
          </w:p>
        </w:tc>
      </w:tr>
      <w:tr w:rsidR="00144651" w:rsidRPr="008609D1" w14:paraId="7146389F"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5C010596" w14:textId="77777777" w:rsidR="00144651" w:rsidRPr="008609D1" w:rsidRDefault="00144651"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generales y de gestión - negocio</w:t>
            </w:r>
          </w:p>
        </w:tc>
        <w:tc>
          <w:tcPr>
            <w:tcW w:w="3638" w:type="pct"/>
            <w:tcBorders>
              <w:top w:val="single" w:sz="4" w:space="0" w:color="244062"/>
              <w:left w:val="nil"/>
              <w:bottom w:val="single" w:sz="4" w:space="0" w:color="244062"/>
              <w:right w:val="nil"/>
            </w:tcBorders>
            <w:vAlign w:val="center"/>
          </w:tcPr>
          <w:p w14:paraId="2E403BE3" w14:textId="77777777" w:rsidR="00144651" w:rsidRPr="008609D1" w:rsidRDefault="00144651"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Equipo de gestión del operador dedicado al funcionamiento del negocio en general</w:t>
            </w:r>
            <w:r>
              <w:rPr>
                <w:rFonts w:ascii="ITC Avant Garde" w:eastAsia="Times New Roman" w:hAnsi="ITC Avant Garde" w:cs="Arial"/>
                <w:sz w:val="20"/>
                <w:szCs w:val="20"/>
                <w:lang w:val="es-ES" w:eastAsia="es-ES"/>
              </w:rPr>
              <w:t>.</w:t>
            </w:r>
          </w:p>
        </w:tc>
      </w:tr>
      <w:tr w:rsidR="00144651" w:rsidRPr="008609D1" w14:paraId="7C61AB71" w14:textId="77777777" w:rsidTr="00144651">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2DF71EB4" w14:textId="77777777" w:rsidR="00144651" w:rsidRPr="008609D1" w:rsidRDefault="00144651" w:rsidP="001735D4">
            <w:pPr>
              <w:spacing w:before="40" w:after="40" w:line="240" w:lineRule="auto"/>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Costos no relevantes para la separación contable</w:t>
            </w:r>
          </w:p>
        </w:tc>
      </w:tr>
      <w:tr w:rsidR="00144651" w:rsidRPr="008609D1" w14:paraId="2D990C30" w14:textId="77777777" w:rsidTr="00144651">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49FAF5E7" w14:textId="77777777" w:rsidR="00144651" w:rsidRPr="008609D1" w:rsidRDefault="00144651" w:rsidP="00BB7D49">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Partidas no relevantes para la separación contable</w:t>
            </w:r>
          </w:p>
        </w:tc>
        <w:tc>
          <w:tcPr>
            <w:tcW w:w="3638" w:type="pct"/>
            <w:tcBorders>
              <w:top w:val="single" w:sz="4" w:space="0" w:color="244062"/>
              <w:left w:val="nil"/>
              <w:bottom w:val="single" w:sz="4" w:space="0" w:color="244062"/>
              <w:right w:val="nil"/>
            </w:tcBorders>
            <w:vAlign w:val="center"/>
            <w:hideMark/>
          </w:tcPr>
          <w:p w14:paraId="3BB86F77" w14:textId="20493D01" w:rsidR="00144651" w:rsidRPr="008609D1" w:rsidRDefault="00144651" w:rsidP="00BB7D49">
            <w:pPr>
              <w:keepNext/>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Partidas de costos relativas a los servicios no relevantes para la </w:t>
            </w:r>
            <w:r w:rsidR="00A2661B">
              <w:rPr>
                <w:rFonts w:ascii="ITC Avant Garde" w:eastAsia="Times New Roman" w:hAnsi="ITC Avant Garde" w:cs="Arial"/>
                <w:sz w:val="20"/>
                <w:szCs w:val="20"/>
                <w:lang w:val="es-ES" w:eastAsia="es-ES"/>
              </w:rPr>
              <w:t>prestación</w:t>
            </w:r>
            <w:r w:rsidR="00BB7D49">
              <w:rPr>
                <w:rFonts w:ascii="ITC Avant Garde" w:eastAsia="Times New Roman" w:hAnsi="ITC Avant Garde" w:cs="Arial"/>
                <w:sz w:val="20"/>
                <w:szCs w:val="20"/>
                <w:lang w:val="es-ES" w:eastAsia="es-ES"/>
              </w:rPr>
              <w:t xml:space="preserve"> de servicios</w:t>
            </w:r>
            <w:r w:rsidR="00BB7D49" w:rsidRPr="008609D1">
              <w:rPr>
                <w:rFonts w:ascii="ITC Avant Garde" w:eastAsia="Times New Roman" w:hAnsi="ITC Avant Garde" w:cs="Arial"/>
                <w:sz w:val="20"/>
                <w:szCs w:val="20"/>
                <w:lang w:val="es-ES" w:eastAsia="es-ES"/>
              </w:rPr>
              <w:t xml:space="preserve"> </w:t>
            </w:r>
            <w:r w:rsidRPr="008609D1">
              <w:rPr>
                <w:rFonts w:ascii="ITC Avant Garde" w:eastAsia="Times New Roman" w:hAnsi="ITC Avant Garde" w:cs="Arial"/>
                <w:sz w:val="20"/>
                <w:szCs w:val="20"/>
                <w:lang w:val="es-ES" w:eastAsia="es-ES"/>
              </w:rPr>
              <w:t xml:space="preserve">de televisión </w:t>
            </w:r>
            <w:r>
              <w:rPr>
                <w:rFonts w:ascii="ITC Avant Garde" w:eastAsia="Times New Roman" w:hAnsi="ITC Avant Garde" w:cs="Arial"/>
                <w:sz w:val="20"/>
                <w:szCs w:val="20"/>
                <w:lang w:val="es-ES" w:eastAsia="es-ES"/>
              </w:rPr>
              <w:t>restringida.</w:t>
            </w:r>
          </w:p>
        </w:tc>
      </w:tr>
    </w:tbl>
    <w:p w14:paraId="260E4E40" w14:textId="77777777" w:rsidR="007D37BE" w:rsidRDefault="007D37BE" w:rsidP="007D37BE">
      <w:pPr>
        <w:pStyle w:val="Normalresolucion"/>
      </w:pPr>
      <w:r w:rsidRPr="008609D1">
        <w:t>Listado de servicios a desagregar en el Nivel 3. El listado de servicios expuesto a continuación pretende capturar aquellos servicios prestados (actual o potencialmente) por los concesionarios</w:t>
      </w:r>
      <w:r w:rsidRPr="008609D1">
        <w:rPr>
          <w:rStyle w:val="Refdenotaalpie"/>
        </w:rPr>
        <w:footnoteReference w:id="47"/>
      </w:r>
      <w:r w:rsidRPr="008609D1">
        <w:t xml:space="preserve">, el cual debe alinearse de acuerdo a los principios de materialidad y relevancia. Estos deben incluir todos los principales servicios ofrecidos por el concesionario (ya sean regulados o no) con el fin de asegurar la causalidad y transparencia de las imputaciones de costos realizadas en la separación contable. </w:t>
      </w:r>
    </w:p>
    <w:p w14:paraId="3246E4F0" w14:textId="77777777" w:rsidR="00035EFD" w:rsidRPr="008609D1" w:rsidRDefault="00035EFD" w:rsidP="00035EFD">
      <w:pPr>
        <w:pStyle w:val="Descripcin"/>
        <w:spacing w:after="240" w:line="240" w:lineRule="auto"/>
        <w:rPr>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Pr="008609D1">
        <w:rPr>
          <w:rFonts w:ascii="ITC Avant Garde" w:hAnsi="ITC Avant Garde"/>
          <w:iCs/>
          <w:noProof/>
          <w:sz w:val="20"/>
          <w:lang w:val="es-MX"/>
        </w:rPr>
        <w:t>14</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a desagregar en el Nivel 3 de operadores de televisión restringida</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6423"/>
      </w:tblGrid>
      <w:tr w:rsidR="00992F19" w:rsidRPr="008609D1" w14:paraId="19B1600A" w14:textId="77777777" w:rsidTr="00992F19">
        <w:trPr>
          <w:trHeight w:val="340"/>
          <w:tblHeader/>
          <w:jc w:val="center"/>
        </w:trPr>
        <w:tc>
          <w:tcPr>
            <w:tcW w:w="1362" w:type="pct"/>
            <w:tcBorders>
              <w:top w:val="nil"/>
              <w:left w:val="single" w:sz="4" w:space="0" w:color="FFFFFF"/>
              <w:bottom w:val="single" w:sz="4" w:space="0" w:color="244062"/>
              <w:right w:val="single" w:sz="4" w:space="0" w:color="FFFFFF"/>
            </w:tcBorders>
            <w:shd w:val="clear" w:color="auto" w:fill="4F629B"/>
            <w:vAlign w:val="center"/>
            <w:hideMark/>
          </w:tcPr>
          <w:p w14:paraId="0DDCA154" w14:textId="77777777" w:rsidR="00992F19" w:rsidRPr="008609D1" w:rsidRDefault="00992F19" w:rsidP="004B3901">
            <w:pPr>
              <w:keepNext/>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Servicios</w:t>
            </w:r>
          </w:p>
        </w:tc>
        <w:tc>
          <w:tcPr>
            <w:tcW w:w="3638" w:type="pct"/>
            <w:tcBorders>
              <w:top w:val="nil"/>
              <w:left w:val="single" w:sz="4" w:space="0" w:color="FFFFFF"/>
              <w:bottom w:val="single" w:sz="4" w:space="0" w:color="244062"/>
              <w:right w:val="single" w:sz="4" w:space="0" w:color="FFFFFF"/>
            </w:tcBorders>
            <w:shd w:val="clear" w:color="auto" w:fill="4F629B"/>
            <w:vAlign w:val="center"/>
            <w:hideMark/>
          </w:tcPr>
          <w:p w14:paraId="6425D035" w14:textId="77777777" w:rsidR="00992F19" w:rsidRPr="008609D1" w:rsidRDefault="00992F19" w:rsidP="004B3901">
            <w:pPr>
              <w:keepNext/>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Descripción</w:t>
            </w:r>
          </w:p>
        </w:tc>
      </w:tr>
      <w:tr w:rsidR="00992F19" w:rsidRPr="008609D1" w14:paraId="4F651780" w14:textId="77777777" w:rsidTr="00992F19">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44BE30DB" w14:textId="77777777" w:rsidR="00992F19" w:rsidRPr="008609D1" w:rsidRDefault="00992F19" w:rsidP="001735D4">
            <w:pPr>
              <w:keepNext/>
              <w:spacing w:before="40" w:after="40" w:line="240" w:lineRule="auto"/>
              <w:rPr>
                <w:rFonts w:ascii="ITC Avant Garde" w:hAnsi="ITC Avant Garde"/>
                <w:b/>
                <w:bCs/>
                <w:sz w:val="20"/>
                <w:lang w:val="es-ES"/>
              </w:rPr>
            </w:pPr>
            <w:r w:rsidRPr="008609D1">
              <w:rPr>
                <w:rFonts w:ascii="ITC Avant Garde" w:hAnsi="ITC Avant Garde"/>
                <w:b/>
                <w:bCs/>
                <w:sz w:val="20"/>
                <w:lang w:val="es-ES"/>
              </w:rPr>
              <w:t xml:space="preserve">Servicios minoristas </w:t>
            </w:r>
          </w:p>
        </w:tc>
      </w:tr>
      <w:tr w:rsidR="00992F19" w:rsidRPr="008609D1" w14:paraId="12202A20"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4437073" w14:textId="68F13EFE" w:rsidR="00992F19" w:rsidRPr="006D334F" w:rsidRDefault="00992F19" w:rsidP="001735D4">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 xml:space="preserve">Acceso de </w:t>
            </w:r>
            <w:r w:rsidR="007D5919">
              <w:rPr>
                <w:rFonts w:ascii="ITC Avant Garde" w:hAnsi="ITC Avant Garde"/>
                <w:sz w:val="20"/>
                <w:szCs w:val="20"/>
              </w:rPr>
              <w:t>t</w:t>
            </w:r>
            <w:r w:rsidRPr="006D334F">
              <w:rPr>
                <w:rFonts w:ascii="ITC Avant Garde" w:hAnsi="ITC Avant Garde"/>
                <w:sz w:val="20"/>
                <w:szCs w:val="20"/>
              </w:rPr>
              <w:t>elevisión restringida - por cable</w:t>
            </w:r>
          </w:p>
        </w:tc>
        <w:tc>
          <w:tcPr>
            <w:tcW w:w="3638" w:type="pct"/>
            <w:tcBorders>
              <w:top w:val="single" w:sz="4" w:space="0" w:color="244062"/>
              <w:left w:val="nil"/>
              <w:bottom w:val="single" w:sz="4" w:space="0" w:color="244062"/>
              <w:right w:val="nil"/>
            </w:tcBorders>
            <w:vAlign w:val="center"/>
            <w:hideMark/>
          </w:tcPr>
          <w:p w14:paraId="5A3DDBA5" w14:textId="77777777" w:rsidR="00992F19" w:rsidRPr="006D334F" w:rsidRDefault="00992F19" w:rsidP="004B3901">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Número total de accesos activos provistos para el servicio de televisión restringida, bajo cualquier tipo de suscripción.</w:t>
            </w:r>
          </w:p>
        </w:tc>
      </w:tr>
      <w:tr w:rsidR="00992F19" w:rsidRPr="008609D1" w14:paraId="1A08DD74"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6FCD7A7" w14:textId="77777777" w:rsidR="00992F19" w:rsidRPr="008609D1" w:rsidRDefault="00992F19"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lastRenderedPageBreak/>
              <w:t xml:space="preserve">Suscripción – televisión por cable </w:t>
            </w:r>
          </w:p>
        </w:tc>
        <w:tc>
          <w:tcPr>
            <w:tcW w:w="3638" w:type="pct"/>
            <w:tcBorders>
              <w:top w:val="single" w:sz="4" w:space="0" w:color="244062"/>
              <w:left w:val="nil"/>
              <w:bottom w:val="single" w:sz="4" w:space="0" w:color="244062"/>
              <w:right w:val="nil"/>
            </w:tcBorders>
            <w:vAlign w:val="center"/>
            <w:hideMark/>
          </w:tcPr>
          <w:p w14:paraId="5CEA0D30" w14:textId="77777777" w:rsidR="00992F19" w:rsidRPr="008609D1" w:rsidRDefault="00992F19"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Servicio consistente en la distribución de un conjunto de canales de televisión de manera continua bajo redes de televisión restringida</w:t>
            </w:r>
            <w:r>
              <w:rPr>
                <w:rFonts w:ascii="ITC Avant Garde" w:hAnsi="ITC Avant Garde"/>
                <w:sz w:val="20"/>
                <w:szCs w:val="20"/>
              </w:rPr>
              <w:t>.</w:t>
            </w:r>
          </w:p>
        </w:tc>
      </w:tr>
      <w:tr w:rsidR="00992F19" w:rsidRPr="008609D1" w14:paraId="205ECD1E"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1247E02" w14:textId="77777777" w:rsidR="00992F19" w:rsidRPr="008609D1" w:rsidRDefault="00992F19"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Servicios de programación - televisión por cable</w:t>
            </w:r>
          </w:p>
        </w:tc>
        <w:tc>
          <w:tcPr>
            <w:tcW w:w="3638" w:type="pct"/>
            <w:tcBorders>
              <w:top w:val="single" w:sz="4" w:space="0" w:color="244062"/>
              <w:left w:val="nil"/>
              <w:bottom w:val="single" w:sz="4" w:space="0" w:color="244062"/>
              <w:right w:val="nil"/>
            </w:tcBorders>
            <w:vAlign w:val="center"/>
            <w:hideMark/>
          </w:tcPr>
          <w:p w14:paraId="50030EE2" w14:textId="77777777" w:rsidR="00992F19" w:rsidRPr="006D334F" w:rsidRDefault="00992F19" w:rsidP="004B3901">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Servicio de venta de canales no incluidos en el servicio de suscripción, de venta de contenidos específicos (incluido video a la carta) u otros servicios OTT a suscriptores de televisión restringida.</w:t>
            </w:r>
          </w:p>
        </w:tc>
      </w:tr>
      <w:tr w:rsidR="00992F19" w:rsidRPr="008609D1" w14:paraId="6E471739"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FEFC9A5" w14:textId="0A0A8565" w:rsidR="00992F19" w:rsidRPr="008609D1" w:rsidRDefault="00992F19" w:rsidP="001735D4">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 xml:space="preserve">Acceso de </w:t>
            </w:r>
            <w:r w:rsidR="007D5919">
              <w:rPr>
                <w:rFonts w:ascii="ITC Avant Garde" w:hAnsi="ITC Avant Garde"/>
                <w:sz w:val="20"/>
                <w:szCs w:val="20"/>
              </w:rPr>
              <w:t>t</w:t>
            </w:r>
            <w:r w:rsidRPr="006D334F">
              <w:rPr>
                <w:rFonts w:ascii="ITC Avant Garde" w:hAnsi="ITC Avant Garde"/>
                <w:sz w:val="20"/>
                <w:szCs w:val="20"/>
              </w:rPr>
              <w:t>elevisión restringida - vía satélite</w:t>
            </w:r>
          </w:p>
        </w:tc>
        <w:tc>
          <w:tcPr>
            <w:tcW w:w="3638" w:type="pct"/>
            <w:tcBorders>
              <w:top w:val="single" w:sz="4" w:space="0" w:color="244062"/>
              <w:left w:val="nil"/>
              <w:bottom w:val="single" w:sz="4" w:space="0" w:color="244062"/>
              <w:right w:val="nil"/>
            </w:tcBorders>
            <w:vAlign w:val="center"/>
            <w:hideMark/>
          </w:tcPr>
          <w:p w14:paraId="5D179F4C" w14:textId="798C7597" w:rsidR="00992F19" w:rsidRPr="008609D1" w:rsidRDefault="00992F19" w:rsidP="00271A6A">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 xml:space="preserve">Servicio asociado a la instalación de la conexión satelital, incluyendo equipos decodificadores, para la provisión de servicios de televisión </w:t>
            </w:r>
            <w:r>
              <w:rPr>
                <w:rFonts w:ascii="ITC Avant Garde" w:hAnsi="ITC Avant Garde"/>
                <w:sz w:val="20"/>
                <w:szCs w:val="20"/>
              </w:rPr>
              <w:t>restringida</w:t>
            </w:r>
            <w:r w:rsidRPr="008609D1">
              <w:rPr>
                <w:rFonts w:ascii="ITC Avant Garde" w:hAnsi="ITC Avant Garde"/>
                <w:sz w:val="20"/>
                <w:szCs w:val="20"/>
              </w:rPr>
              <w:t xml:space="preserve"> vía satélite</w:t>
            </w:r>
            <w:r>
              <w:rPr>
                <w:rFonts w:ascii="ITC Avant Garde" w:hAnsi="ITC Avant Garde"/>
                <w:sz w:val="20"/>
                <w:szCs w:val="20"/>
              </w:rPr>
              <w:t>.</w:t>
            </w:r>
          </w:p>
        </w:tc>
      </w:tr>
      <w:tr w:rsidR="00992F19" w:rsidRPr="008609D1" w14:paraId="2358133B"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3852E623" w14:textId="77777777" w:rsidR="00992F19" w:rsidRPr="006D334F" w:rsidRDefault="00992F19" w:rsidP="001735D4">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Servicio de televisión restringida vía satélite</w:t>
            </w:r>
          </w:p>
        </w:tc>
        <w:tc>
          <w:tcPr>
            <w:tcW w:w="3638" w:type="pct"/>
            <w:tcBorders>
              <w:top w:val="single" w:sz="4" w:space="0" w:color="244062"/>
              <w:left w:val="nil"/>
              <w:bottom w:val="single" w:sz="4" w:space="0" w:color="244062"/>
              <w:right w:val="nil"/>
            </w:tcBorders>
            <w:vAlign w:val="center"/>
            <w:hideMark/>
          </w:tcPr>
          <w:p w14:paraId="5F538D14" w14:textId="77777777" w:rsidR="00992F19" w:rsidRPr="006D334F" w:rsidRDefault="00992F19" w:rsidP="004B3901">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Servicio de televisión restringida en el que la transmisión de las señales y su recepción directa por parte de los suscriptores, se realiza utilizando uno o más satélites</w:t>
            </w:r>
            <w:r>
              <w:rPr>
                <w:rFonts w:ascii="ITC Avant Garde" w:hAnsi="ITC Avant Garde"/>
                <w:sz w:val="20"/>
                <w:szCs w:val="20"/>
              </w:rPr>
              <w:t>.</w:t>
            </w:r>
          </w:p>
        </w:tc>
      </w:tr>
      <w:tr w:rsidR="00992F19" w:rsidRPr="008609D1" w14:paraId="36C4612B"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04E6858B" w14:textId="77777777" w:rsidR="00992F19" w:rsidRPr="008609D1" w:rsidRDefault="00992F19"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Servicios de programación - televisión vía satélite</w:t>
            </w:r>
          </w:p>
        </w:tc>
        <w:tc>
          <w:tcPr>
            <w:tcW w:w="3638" w:type="pct"/>
            <w:tcBorders>
              <w:top w:val="single" w:sz="4" w:space="0" w:color="244062"/>
              <w:left w:val="nil"/>
              <w:bottom w:val="single" w:sz="4" w:space="0" w:color="244062"/>
              <w:right w:val="nil"/>
            </w:tcBorders>
            <w:vAlign w:val="center"/>
            <w:hideMark/>
          </w:tcPr>
          <w:p w14:paraId="1A9DE770" w14:textId="77777777" w:rsidR="00992F19" w:rsidRPr="008609D1" w:rsidRDefault="00992F19" w:rsidP="004B3901">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Servicio de venta de canales no incluidos en el servicio de suscripción, de venta de contenidos específicos (incluido video a la carta) u otros servicios OTT a suscriptores de televisión restringida.</w:t>
            </w:r>
          </w:p>
        </w:tc>
      </w:tr>
      <w:tr w:rsidR="00992F19" w:rsidRPr="008609D1" w14:paraId="5060FF33"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26D09247" w14:textId="77777777" w:rsidR="00992F19" w:rsidRPr="008609D1" w:rsidRDefault="00992F19"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Conexión - IPTV</w:t>
            </w:r>
          </w:p>
        </w:tc>
        <w:tc>
          <w:tcPr>
            <w:tcW w:w="3638" w:type="pct"/>
            <w:tcBorders>
              <w:top w:val="single" w:sz="4" w:space="0" w:color="244062"/>
              <w:left w:val="nil"/>
              <w:bottom w:val="single" w:sz="4" w:space="0" w:color="244062"/>
              <w:right w:val="nil"/>
            </w:tcBorders>
            <w:vAlign w:val="center"/>
          </w:tcPr>
          <w:p w14:paraId="2A887799" w14:textId="77777777" w:rsidR="00992F19" w:rsidRPr="008609D1" w:rsidRDefault="00992F19"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Servicio asociado a la instalación de la conexión para la provisión de servicios de IPTV</w:t>
            </w:r>
            <w:r>
              <w:rPr>
                <w:rFonts w:ascii="ITC Avant Garde" w:hAnsi="ITC Avant Garde"/>
                <w:sz w:val="20"/>
                <w:szCs w:val="20"/>
              </w:rPr>
              <w:t>.</w:t>
            </w:r>
          </w:p>
        </w:tc>
      </w:tr>
      <w:tr w:rsidR="00992F19" w:rsidRPr="008609D1" w14:paraId="33292EFE"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342B2078" w14:textId="77777777" w:rsidR="00992F19" w:rsidRPr="008609D1" w:rsidRDefault="00992F19"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 xml:space="preserve">Suscripción servicio – IPTV </w:t>
            </w:r>
          </w:p>
        </w:tc>
        <w:tc>
          <w:tcPr>
            <w:tcW w:w="3638" w:type="pct"/>
            <w:tcBorders>
              <w:top w:val="single" w:sz="4" w:space="0" w:color="244062"/>
              <w:left w:val="nil"/>
              <w:bottom w:val="single" w:sz="4" w:space="0" w:color="244062"/>
              <w:right w:val="nil"/>
            </w:tcBorders>
            <w:vAlign w:val="center"/>
          </w:tcPr>
          <w:p w14:paraId="7589665F" w14:textId="77777777" w:rsidR="00992F19" w:rsidRPr="008609D1" w:rsidRDefault="00992F19"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Servicio consistente en la distribución de un conjunto de canales de televisión de manera continua para IPTV</w:t>
            </w:r>
            <w:r>
              <w:rPr>
                <w:rFonts w:ascii="ITC Avant Garde" w:hAnsi="ITC Avant Garde"/>
                <w:sz w:val="20"/>
                <w:szCs w:val="20"/>
              </w:rPr>
              <w:t>.</w:t>
            </w:r>
          </w:p>
        </w:tc>
      </w:tr>
      <w:tr w:rsidR="00992F19" w:rsidRPr="008609D1" w14:paraId="6B2A280A"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4DFC9014" w14:textId="77777777" w:rsidR="00992F19" w:rsidRPr="008609D1" w:rsidRDefault="00992F19" w:rsidP="001735D4">
            <w:pPr>
              <w:spacing w:before="40" w:after="40" w:line="240" w:lineRule="auto"/>
              <w:rPr>
                <w:rFonts w:ascii="ITC Avant Garde" w:hAnsi="ITC Avant Garde"/>
                <w:sz w:val="20"/>
                <w:szCs w:val="20"/>
              </w:rPr>
            </w:pPr>
            <w:r w:rsidRPr="008609D1">
              <w:rPr>
                <w:rFonts w:ascii="ITC Avant Garde" w:hAnsi="ITC Avant Garde"/>
                <w:sz w:val="20"/>
                <w:szCs w:val="20"/>
              </w:rPr>
              <w:t>Comercialización y mantenimiento de cableado y equipo terminal</w:t>
            </w:r>
          </w:p>
        </w:tc>
        <w:tc>
          <w:tcPr>
            <w:tcW w:w="3638" w:type="pct"/>
            <w:tcBorders>
              <w:top w:val="single" w:sz="4" w:space="0" w:color="244062"/>
              <w:left w:val="nil"/>
              <w:bottom w:val="single" w:sz="4" w:space="0" w:color="244062"/>
              <w:right w:val="nil"/>
            </w:tcBorders>
            <w:hideMark/>
          </w:tcPr>
          <w:p w14:paraId="6D3025E1" w14:textId="77777777" w:rsidR="00992F19" w:rsidRPr="008609D1" w:rsidRDefault="00992F19" w:rsidP="004B3901">
            <w:pPr>
              <w:spacing w:before="40" w:after="40" w:line="240" w:lineRule="auto"/>
              <w:rPr>
                <w:rFonts w:ascii="ITC Avant Garde" w:hAnsi="ITC Avant Garde"/>
                <w:sz w:val="20"/>
                <w:szCs w:val="20"/>
              </w:rPr>
            </w:pPr>
            <w:r w:rsidRPr="008609D1">
              <w:rPr>
                <w:rFonts w:ascii="ITC Avant Garde" w:hAnsi="ITC Avant Garde"/>
                <w:sz w:val="20"/>
                <w:szCs w:val="20"/>
              </w:rPr>
              <w:t>Se refiere a la comercialización de cableado, aparatos telefónicos o cualquier equipo de telecomunicaciones para usuarios, así como el mantenimiento de dichos equipos</w:t>
            </w:r>
            <w:r>
              <w:rPr>
                <w:rFonts w:ascii="ITC Avant Garde" w:hAnsi="ITC Avant Garde"/>
                <w:sz w:val="20"/>
                <w:szCs w:val="20"/>
              </w:rPr>
              <w:t>.</w:t>
            </w:r>
          </w:p>
        </w:tc>
      </w:tr>
      <w:tr w:rsidR="00992F19" w:rsidRPr="008609D1" w14:paraId="2F54D7A3"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4B4EF8D9" w14:textId="77777777" w:rsidR="00992F19" w:rsidRPr="008609D1" w:rsidRDefault="00992F19" w:rsidP="001735D4">
            <w:pPr>
              <w:spacing w:before="40" w:after="40" w:line="240" w:lineRule="auto"/>
              <w:rPr>
                <w:rFonts w:ascii="ITC Avant Garde" w:hAnsi="ITC Avant Garde"/>
                <w:sz w:val="20"/>
                <w:szCs w:val="20"/>
              </w:rPr>
            </w:pPr>
            <w:r w:rsidRPr="008609D1">
              <w:rPr>
                <w:rFonts w:ascii="ITC Avant Garde" w:hAnsi="ITC Avant Garde"/>
                <w:sz w:val="20"/>
                <w:szCs w:val="20"/>
              </w:rPr>
              <w:t>Otros servicios minoristas</w:t>
            </w:r>
          </w:p>
        </w:tc>
        <w:tc>
          <w:tcPr>
            <w:tcW w:w="3638" w:type="pct"/>
            <w:tcBorders>
              <w:top w:val="single" w:sz="4" w:space="0" w:color="244062"/>
              <w:left w:val="nil"/>
              <w:bottom w:val="single" w:sz="4" w:space="0" w:color="244062"/>
              <w:right w:val="nil"/>
            </w:tcBorders>
          </w:tcPr>
          <w:p w14:paraId="2FAD885B" w14:textId="77777777" w:rsidR="00992F19" w:rsidRPr="008609D1" w:rsidRDefault="00992F19" w:rsidP="004B3901">
            <w:pPr>
              <w:spacing w:before="40" w:after="40" w:line="240" w:lineRule="auto"/>
              <w:rPr>
                <w:rFonts w:ascii="ITC Avant Garde" w:hAnsi="ITC Avant Garde"/>
                <w:sz w:val="20"/>
                <w:szCs w:val="20"/>
              </w:rPr>
            </w:pPr>
            <w:r w:rsidRPr="008609D1">
              <w:rPr>
                <w:rFonts w:ascii="ITC Avant Garde" w:hAnsi="ITC Avant Garde"/>
                <w:sz w:val="20"/>
                <w:szCs w:val="20"/>
              </w:rPr>
              <w:t>Otros servicios minoristas prestados a usuarios finales.</w:t>
            </w:r>
          </w:p>
        </w:tc>
      </w:tr>
      <w:tr w:rsidR="00992F19" w:rsidRPr="008609D1" w14:paraId="3364DCD0" w14:textId="77777777" w:rsidTr="00992F19">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64E1541E" w14:textId="77777777" w:rsidR="00992F19" w:rsidRPr="008609D1" w:rsidRDefault="00992F19" w:rsidP="001735D4">
            <w:pPr>
              <w:keepNext/>
              <w:spacing w:before="40" w:after="40" w:line="240" w:lineRule="auto"/>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Servicios mayoristas</w:t>
            </w:r>
          </w:p>
        </w:tc>
      </w:tr>
      <w:tr w:rsidR="00992F19" w:rsidRPr="008609D1" w14:paraId="7746D028" w14:textId="77777777" w:rsidTr="00992F19">
        <w:trPr>
          <w:cantSplit/>
          <w:trHeight w:val="340"/>
          <w:jc w:val="center"/>
        </w:trPr>
        <w:tc>
          <w:tcPr>
            <w:tcW w:w="5000" w:type="pct"/>
            <w:gridSpan w:val="2"/>
            <w:tcBorders>
              <w:top w:val="single" w:sz="4" w:space="0" w:color="244062"/>
              <w:left w:val="nil"/>
              <w:bottom w:val="single" w:sz="4" w:space="0" w:color="244062"/>
              <w:right w:val="nil"/>
            </w:tcBorders>
            <w:noWrap/>
            <w:vAlign w:val="center"/>
            <w:hideMark/>
          </w:tcPr>
          <w:p w14:paraId="3F77F034" w14:textId="77777777" w:rsidR="00992F19" w:rsidRPr="008609D1" w:rsidRDefault="00992F19" w:rsidP="001735D4">
            <w:pPr>
              <w:spacing w:before="40" w:after="40" w:line="240" w:lineRule="auto"/>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Servicios de contenidos</w:t>
            </w:r>
          </w:p>
        </w:tc>
      </w:tr>
      <w:tr w:rsidR="00992F19" w:rsidRPr="008609D1" w14:paraId="51B63ED4"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72AC837E" w14:textId="77777777" w:rsidR="00992F19" w:rsidRPr="008609D1" w:rsidRDefault="00992F19"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Servicios de publicidad</w:t>
            </w:r>
          </w:p>
        </w:tc>
        <w:tc>
          <w:tcPr>
            <w:tcW w:w="3638" w:type="pct"/>
            <w:tcBorders>
              <w:top w:val="single" w:sz="4" w:space="0" w:color="244062"/>
              <w:left w:val="nil"/>
              <w:bottom w:val="single" w:sz="4" w:space="0" w:color="244062"/>
              <w:right w:val="nil"/>
            </w:tcBorders>
            <w:vAlign w:val="center"/>
            <w:hideMark/>
          </w:tcPr>
          <w:p w14:paraId="5F3D6771" w14:textId="77777777" w:rsidR="00992F19" w:rsidRPr="008609D1" w:rsidRDefault="00992F19"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Servicios de venta de tiempo publicitario en las emisiones de televisión restringida</w:t>
            </w:r>
            <w:r>
              <w:rPr>
                <w:rFonts w:ascii="ITC Avant Garde" w:hAnsi="ITC Avant Garde"/>
                <w:sz w:val="20"/>
                <w:szCs w:val="20"/>
              </w:rPr>
              <w:t>.</w:t>
            </w:r>
          </w:p>
        </w:tc>
      </w:tr>
      <w:tr w:rsidR="00992F19" w:rsidRPr="008609D1" w14:paraId="1DB81CA9"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5795309E" w14:textId="77777777" w:rsidR="00992F19" w:rsidRPr="006D334F" w:rsidRDefault="00992F19" w:rsidP="001735D4">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Reventa de canales</w:t>
            </w:r>
          </w:p>
        </w:tc>
        <w:tc>
          <w:tcPr>
            <w:tcW w:w="3638" w:type="pct"/>
            <w:tcBorders>
              <w:top w:val="single" w:sz="4" w:space="0" w:color="244062"/>
              <w:left w:val="nil"/>
              <w:bottom w:val="single" w:sz="4" w:space="0" w:color="244062"/>
              <w:right w:val="nil"/>
            </w:tcBorders>
            <w:vAlign w:val="center"/>
            <w:hideMark/>
          </w:tcPr>
          <w:p w14:paraId="117702EE" w14:textId="77777777" w:rsidR="00992F19" w:rsidRPr="006D334F" w:rsidRDefault="00992F19" w:rsidP="006D334F">
            <w:pPr>
              <w:spacing w:after="0" w:line="240" w:lineRule="auto"/>
              <w:jc w:val="both"/>
              <w:rPr>
                <w:rFonts w:ascii="ITC Avant Garde" w:eastAsia="Times New Roman" w:hAnsi="ITC Avant Garde" w:cs="Arial"/>
                <w:sz w:val="20"/>
                <w:szCs w:val="20"/>
                <w:lang w:val="es-ES" w:eastAsia="es-ES"/>
              </w:rPr>
            </w:pPr>
            <w:r w:rsidRPr="006D334F">
              <w:rPr>
                <w:rFonts w:ascii="ITC Avant Garde" w:hAnsi="ITC Avant Garde"/>
                <w:sz w:val="20"/>
                <w:szCs w:val="20"/>
              </w:rPr>
              <w:t>Servicio de reventa de canales (programación nacional e internacional</w:t>
            </w:r>
            <w:r>
              <w:rPr>
                <w:rFonts w:ascii="ITC Avant Garde" w:hAnsi="ITC Avant Garde"/>
                <w:sz w:val="20"/>
                <w:szCs w:val="20"/>
              </w:rPr>
              <w:t>)</w:t>
            </w:r>
            <w:r w:rsidRPr="006D334F">
              <w:rPr>
                <w:rFonts w:ascii="ITC Avant Garde" w:hAnsi="ITC Avant Garde"/>
                <w:sz w:val="20"/>
                <w:szCs w:val="20"/>
              </w:rPr>
              <w:t xml:space="preserve"> a otras empresas de televisión abierta o restringida</w:t>
            </w:r>
            <w:r>
              <w:rPr>
                <w:rFonts w:ascii="ITC Avant Garde" w:hAnsi="ITC Avant Garde"/>
                <w:sz w:val="20"/>
                <w:szCs w:val="20"/>
              </w:rPr>
              <w:t>.</w:t>
            </w:r>
          </w:p>
        </w:tc>
      </w:tr>
      <w:tr w:rsidR="00992F19" w:rsidRPr="008609D1" w14:paraId="0810F011"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3B303BB6" w14:textId="77777777" w:rsidR="00992F19" w:rsidRPr="008609D1" w:rsidRDefault="00992F19"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Venta de programas y licencias relevantes</w:t>
            </w:r>
          </w:p>
        </w:tc>
        <w:tc>
          <w:tcPr>
            <w:tcW w:w="3638" w:type="pct"/>
            <w:tcBorders>
              <w:top w:val="single" w:sz="4" w:space="0" w:color="244062"/>
              <w:left w:val="nil"/>
              <w:bottom w:val="single" w:sz="4" w:space="0" w:color="244062"/>
              <w:right w:val="nil"/>
            </w:tcBorders>
            <w:vAlign w:val="center"/>
            <w:hideMark/>
          </w:tcPr>
          <w:p w14:paraId="446F976C" w14:textId="77777777" w:rsidR="00992F19" w:rsidRPr="008609D1" w:rsidRDefault="00992F19"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Servicios de venta de derechos de concesión de programas y licencias relativas a contenidos audiovisuales relevantes, otorgados a otras empresas nacionales o internacionales</w:t>
            </w:r>
            <w:r>
              <w:rPr>
                <w:rFonts w:ascii="ITC Avant Garde" w:hAnsi="ITC Avant Garde"/>
                <w:sz w:val="20"/>
                <w:szCs w:val="20"/>
              </w:rPr>
              <w:t>.</w:t>
            </w:r>
          </w:p>
        </w:tc>
      </w:tr>
      <w:tr w:rsidR="00992F19" w:rsidRPr="008609D1" w14:paraId="200BA86B"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tcPr>
          <w:p w14:paraId="0CD669E3" w14:textId="77777777" w:rsidR="00992F19" w:rsidRPr="008609D1" w:rsidRDefault="00992F19"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Venta de programas y licencias no relevantes</w:t>
            </w:r>
          </w:p>
        </w:tc>
        <w:tc>
          <w:tcPr>
            <w:tcW w:w="3638" w:type="pct"/>
            <w:tcBorders>
              <w:top w:val="single" w:sz="4" w:space="0" w:color="244062"/>
              <w:left w:val="nil"/>
              <w:bottom w:val="single" w:sz="4" w:space="0" w:color="244062"/>
              <w:right w:val="nil"/>
            </w:tcBorders>
            <w:vAlign w:val="center"/>
          </w:tcPr>
          <w:p w14:paraId="18A8D54D" w14:textId="77777777" w:rsidR="00992F19" w:rsidRPr="008609D1" w:rsidRDefault="00992F19"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Servicios de venta de derechos de concesión de programas y licencias relativas a contenidos audiovisuales no relevantes, otorgados a otras empresas nacionales o internacionales</w:t>
            </w:r>
            <w:r>
              <w:rPr>
                <w:rFonts w:ascii="ITC Avant Garde" w:hAnsi="ITC Avant Garde"/>
                <w:sz w:val="20"/>
                <w:szCs w:val="20"/>
              </w:rPr>
              <w:t>.</w:t>
            </w:r>
          </w:p>
        </w:tc>
      </w:tr>
      <w:tr w:rsidR="00992F19" w:rsidRPr="008609D1" w14:paraId="5450DFA0" w14:textId="77777777" w:rsidTr="00992F19">
        <w:trPr>
          <w:cantSplit/>
          <w:trHeight w:val="340"/>
          <w:jc w:val="center"/>
        </w:trPr>
        <w:tc>
          <w:tcPr>
            <w:tcW w:w="5000" w:type="pct"/>
            <w:gridSpan w:val="2"/>
            <w:tcBorders>
              <w:top w:val="single" w:sz="4" w:space="0" w:color="244062"/>
              <w:left w:val="nil"/>
              <w:bottom w:val="single" w:sz="4" w:space="0" w:color="244062"/>
              <w:right w:val="nil"/>
            </w:tcBorders>
            <w:noWrap/>
            <w:vAlign w:val="center"/>
            <w:hideMark/>
          </w:tcPr>
          <w:p w14:paraId="7A48C23F" w14:textId="77777777" w:rsidR="00992F19" w:rsidRPr="008609D1" w:rsidRDefault="00992F19" w:rsidP="001735D4">
            <w:pPr>
              <w:spacing w:before="40" w:after="40" w:line="240" w:lineRule="auto"/>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Servicios de compartición de infraestructura pasiva</w:t>
            </w:r>
          </w:p>
        </w:tc>
      </w:tr>
      <w:tr w:rsidR="00992F19" w:rsidRPr="008609D1" w14:paraId="6F51AFCE"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3D9FD6F7" w14:textId="77777777" w:rsidR="00992F19" w:rsidRPr="008609D1" w:rsidRDefault="00992F19"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Acceso y uso de espacio en sitios físicos</w:t>
            </w:r>
          </w:p>
        </w:tc>
        <w:tc>
          <w:tcPr>
            <w:tcW w:w="3638" w:type="pct"/>
            <w:tcBorders>
              <w:top w:val="single" w:sz="4" w:space="0" w:color="244062"/>
              <w:left w:val="nil"/>
              <w:bottom w:val="single" w:sz="4" w:space="0" w:color="244062"/>
              <w:right w:val="nil"/>
            </w:tcBorders>
            <w:vAlign w:val="center"/>
          </w:tcPr>
          <w:p w14:paraId="38069367" w14:textId="77777777" w:rsidR="00992F19" w:rsidRPr="008609D1" w:rsidRDefault="00992F19"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 xml:space="preserve">Servicio de compartición de infraestructura pasiva que permite a un operador alternativo utilizar el espacio físico perteneciente al concesionario, tales como suelo para la construcción de obra </w:t>
            </w:r>
            <w:r w:rsidRPr="008609D1">
              <w:rPr>
                <w:rFonts w:ascii="ITC Avant Garde" w:hAnsi="ITC Avant Garde"/>
                <w:sz w:val="20"/>
                <w:szCs w:val="20"/>
              </w:rPr>
              <w:lastRenderedPageBreak/>
              <w:t>civil y/o acondicionamiento de infraestructura y demás adecuaciones que requieran de espacio físico, mediante cobro por unidad de área ocupada</w:t>
            </w:r>
            <w:r>
              <w:rPr>
                <w:rFonts w:ascii="ITC Avant Garde" w:hAnsi="ITC Avant Garde"/>
                <w:sz w:val="20"/>
                <w:szCs w:val="20"/>
              </w:rPr>
              <w:t>.</w:t>
            </w:r>
          </w:p>
        </w:tc>
      </w:tr>
      <w:tr w:rsidR="00992F19" w:rsidRPr="008609D1" w14:paraId="1F155BAD"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BD2666D" w14:textId="77777777" w:rsidR="00992F19" w:rsidRPr="006D334F" w:rsidRDefault="00992F19" w:rsidP="001735D4">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lastRenderedPageBreak/>
              <w:t>Espacios físicos, sitios y predios compartidos</w:t>
            </w:r>
          </w:p>
        </w:tc>
        <w:tc>
          <w:tcPr>
            <w:tcW w:w="3638" w:type="pct"/>
            <w:tcBorders>
              <w:top w:val="single" w:sz="4" w:space="0" w:color="244062"/>
              <w:left w:val="nil"/>
              <w:bottom w:val="single" w:sz="4" w:space="0" w:color="244062"/>
              <w:right w:val="nil"/>
            </w:tcBorders>
            <w:vAlign w:val="center"/>
          </w:tcPr>
          <w:p w14:paraId="41B02F5A" w14:textId="77777777" w:rsidR="00992F19" w:rsidRPr="006D334F" w:rsidRDefault="00992F19" w:rsidP="004B3901">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Número de espacios físicos, sitios y predios compartidos.</w:t>
            </w:r>
          </w:p>
        </w:tc>
      </w:tr>
      <w:tr w:rsidR="00992F19" w:rsidRPr="008609D1" w14:paraId="31D05DC4"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116AB65F" w14:textId="77777777" w:rsidR="00992F19" w:rsidRPr="008609D1" w:rsidRDefault="00992F19"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Servicios auxiliares de compartición de infraestructura pasiva</w:t>
            </w:r>
          </w:p>
        </w:tc>
        <w:tc>
          <w:tcPr>
            <w:tcW w:w="3638" w:type="pct"/>
            <w:tcBorders>
              <w:top w:val="single" w:sz="4" w:space="0" w:color="244062"/>
              <w:left w:val="nil"/>
              <w:bottom w:val="single" w:sz="4" w:space="0" w:color="244062"/>
              <w:right w:val="nil"/>
            </w:tcBorders>
            <w:vAlign w:val="center"/>
          </w:tcPr>
          <w:p w14:paraId="45E308AB" w14:textId="77777777" w:rsidR="00992F19" w:rsidRPr="008609D1" w:rsidRDefault="00992F19"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hAnsi="ITC Avant Garde"/>
                <w:sz w:val="20"/>
                <w:szCs w:val="20"/>
              </w:rPr>
              <w:t>Servicios opcionales de la infraestructura pasiva del concesionario a que un operador alternativo puede acceder, tales como subestación eléctrica, sistemas de aire acondicionado, fuentes de energía de respaldo, etc.</w:t>
            </w:r>
          </w:p>
        </w:tc>
      </w:tr>
      <w:tr w:rsidR="00992F19" w:rsidRPr="008609D1" w14:paraId="28D7CA0D"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21A9F349" w14:textId="77777777" w:rsidR="00992F19" w:rsidRPr="006D334F" w:rsidRDefault="00992F19" w:rsidP="001735D4">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Servicios auxiliares de acceso y uso de obra civil prestados.</w:t>
            </w:r>
          </w:p>
        </w:tc>
        <w:tc>
          <w:tcPr>
            <w:tcW w:w="3638" w:type="pct"/>
            <w:tcBorders>
              <w:top w:val="single" w:sz="4" w:space="0" w:color="244062"/>
              <w:left w:val="nil"/>
              <w:bottom w:val="single" w:sz="4" w:space="0" w:color="244062"/>
              <w:right w:val="nil"/>
            </w:tcBorders>
            <w:vAlign w:val="center"/>
          </w:tcPr>
          <w:p w14:paraId="0FE6EB26" w14:textId="77777777" w:rsidR="00992F19" w:rsidRPr="006D334F" w:rsidRDefault="00992F19" w:rsidP="004B3901">
            <w:pPr>
              <w:spacing w:before="40" w:after="40" w:line="240" w:lineRule="auto"/>
              <w:rPr>
                <w:rFonts w:ascii="ITC Avant Garde" w:eastAsia="Times New Roman" w:hAnsi="ITC Avant Garde" w:cs="Arial"/>
                <w:sz w:val="20"/>
                <w:szCs w:val="20"/>
                <w:lang w:val="es-ES" w:eastAsia="es-ES"/>
              </w:rPr>
            </w:pPr>
            <w:r w:rsidRPr="006D334F">
              <w:rPr>
                <w:rFonts w:ascii="ITC Avant Garde" w:hAnsi="ITC Avant Garde"/>
                <w:sz w:val="20"/>
                <w:szCs w:val="20"/>
              </w:rPr>
              <w:t>Número de servicios auxiliares de acceso y uso de Obra Civil prestados. Estos contemplan todos los servicios auxiliares que se hayan facturado durante el mes solicitado, en concepto de instalaciones de equipo y de alimentaciones conexas, seguridad, equipos auxiliares, así como fuentes de energía y sistemas de aire acondicionado.</w:t>
            </w:r>
          </w:p>
        </w:tc>
      </w:tr>
      <w:tr w:rsidR="00992F19" w:rsidRPr="008609D1" w14:paraId="380CAAFD" w14:textId="77777777" w:rsidTr="00992F19">
        <w:trPr>
          <w:cantSplit/>
          <w:trHeight w:val="340"/>
          <w:jc w:val="center"/>
        </w:trPr>
        <w:tc>
          <w:tcPr>
            <w:tcW w:w="5000" w:type="pct"/>
            <w:gridSpan w:val="2"/>
            <w:tcBorders>
              <w:top w:val="single" w:sz="4" w:space="0" w:color="244062"/>
              <w:left w:val="nil"/>
              <w:bottom w:val="single" w:sz="4" w:space="0" w:color="244062"/>
              <w:right w:val="nil"/>
            </w:tcBorders>
            <w:noWrap/>
            <w:vAlign w:val="center"/>
            <w:hideMark/>
          </w:tcPr>
          <w:p w14:paraId="796F25DE" w14:textId="77777777" w:rsidR="00992F19" w:rsidRPr="008609D1" w:rsidRDefault="00992F19" w:rsidP="001735D4">
            <w:pPr>
              <w:spacing w:before="40" w:after="40" w:line="240" w:lineRule="auto"/>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Servicios de compartición de infraestructura activa</w:t>
            </w:r>
          </w:p>
        </w:tc>
      </w:tr>
      <w:tr w:rsidR="00992F19" w:rsidRPr="008609D1" w14:paraId="75807F3C" w14:textId="77777777" w:rsidTr="00992F19">
        <w:trPr>
          <w:cantSplit/>
          <w:trHeight w:val="345"/>
          <w:jc w:val="center"/>
        </w:trPr>
        <w:tc>
          <w:tcPr>
            <w:tcW w:w="1362" w:type="pct"/>
            <w:tcBorders>
              <w:top w:val="single" w:sz="4" w:space="0" w:color="244062"/>
              <w:left w:val="nil"/>
              <w:right w:val="nil"/>
            </w:tcBorders>
            <w:shd w:val="clear" w:color="auto" w:fill="D0D1DB"/>
            <w:noWrap/>
          </w:tcPr>
          <w:p w14:paraId="590870C5" w14:textId="77777777" w:rsidR="00992F19" w:rsidRPr="008609D1" w:rsidRDefault="00992F19" w:rsidP="001735D4">
            <w:pPr>
              <w:spacing w:before="40" w:after="40" w:line="240" w:lineRule="auto"/>
              <w:rPr>
                <w:rFonts w:ascii="ITC Avant Garde" w:hAnsi="ITC Avant Garde"/>
                <w:sz w:val="20"/>
                <w:szCs w:val="20"/>
              </w:rPr>
            </w:pPr>
            <w:r w:rsidRPr="008609D1">
              <w:rPr>
                <w:rFonts w:ascii="ITC Avant Garde" w:hAnsi="ITC Avant Garde"/>
                <w:sz w:val="20"/>
                <w:szCs w:val="20"/>
              </w:rPr>
              <w:t>Servicio de compartición de combinador</w:t>
            </w:r>
          </w:p>
        </w:tc>
        <w:tc>
          <w:tcPr>
            <w:tcW w:w="3638" w:type="pct"/>
            <w:tcBorders>
              <w:top w:val="single" w:sz="4" w:space="0" w:color="244062"/>
              <w:left w:val="nil"/>
              <w:right w:val="nil"/>
            </w:tcBorders>
          </w:tcPr>
          <w:p w14:paraId="33DB0CA2" w14:textId="77777777" w:rsidR="00992F19" w:rsidRPr="008609D1" w:rsidRDefault="00992F19" w:rsidP="004B3901">
            <w:pPr>
              <w:spacing w:before="40" w:after="40" w:line="240" w:lineRule="auto"/>
              <w:rPr>
                <w:rFonts w:ascii="ITC Avant Garde" w:hAnsi="ITC Avant Garde"/>
                <w:sz w:val="20"/>
                <w:szCs w:val="20"/>
              </w:rPr>
            </w:pPr>
            <w:r w:rsidRPr="008609D1">
              <w:rPr>
                <w:rFonts w:ascii="ITC Avant Garde" w:hAnsi="ITC Avant Garde"/>
                <w:sz w:val="20"/>
                <w:szCs w:val="20"/>
              </w:rPr>
              <w:t>Servicio a través del cual se arrendará el equipo combinador al concesionario solicitante</w:t>
            </w:r>
            <w:r>
              <w:rPr>
                <w:rFonts w:ascii="ITC Avant Garde" w:hAnsi="ITC Avant Garde"/>
                <w:sz w:val="20"/>
                <w:szCs w:val="20"/>
              </w:rPr>
              <w:t>.</w:t>
            </w:r>
          </w:p>
        </w:tc>
      </w:tr>
      <w:tr w:rsidR="00992F19" w:rsidRPr="008609D1" w14:paraId="051F99F5" w14:textId="77777777" w:rsidTr="00992F19">
        <w:trPr>
          <w:cantSplit/>
          <w:trHeight w:val="345"/>
          <w:jc w:val="center"/>
        </w:trPr>
        <w:tc>
          <w:tcPr>
            <w:tcW w:w="1362" w:type="pct"/>
            <w:tcBorders>
              <w:top w:val="single" w:sz="4" w:space="0" w:color="244062"/>
              <w:left w:val="nil"/>
              <w:right w:val="nil"/>
            </w:tcBorders>
            <w:shd w:val="clear" w:color="auto" w:fill="D0D1DB"/>
            <w:noWrap/>
          </w:tcPr>
          <w:p w14:paraId="5D9E1F93" w14:textId="77777777" w:rsidR="00992F19" w:rsidRPr="008609D1" w:rsidRDefault="00992F19" w:rsidP="001735D4">
            <w:pPr>
              <w:spacing w:before="40" w:after="40" w:line="240" w:lineRule="auto"/>
              <w:rPr>
                <w:rFonts w:ascii="ITC Avant Garde" w:hAnsi="ITC Avant Garde"/>
                <w:sz w:val="20"/>
                <w:szCs w:val="20"/>
              </w:rPr>
            </w:pPr>
            <w:r w:rsidRPr="008609D1">
              <w:rPr>
                <w:rFonts w:ascii="ITC Avant Garde" w:hAnsi="ITC Avant Garde"/>
                <w:sz w:val="20"/>
                <w:szCs w:val="20"/>
              </w:rPr>
              <w:t>Servicio de compartición del sistema radiante</w:t>
            </w:r>
          </w:p>
        </w:tc>
        <w:tc>
          <w:tcPr>
            <w:tcW w:w="3638" w:type="pct"/>
            <w:tcBorders>
              <w:top w:val="single" w:sz="4" w:space="0" w:color="244062"/>
              <w:left w:val="nil"/>
              <w:right w:val="nil"/>
            </w:tcBorders>
          </w:tcPr>
          <w:p w14:paraId="162E3122" w14:textId="77777777" w:rsidR="00992F19" w:rsidRPr="008609D1" w:rsidRDefault="00992F19" w:rsidP="004B3901">
            <w:pPr>
              <w:spacing w:before="40" w:after="40" w:line="240" w:lineRule="auto"/>
              <w:rPr>
                <w:rFonts w:ascii="ITC Avant Garde" w:hAnsi="ITC Avant Garde"/>
                <w:sz w:val="20"/>
                <w:szCs w:val="20"/>
              </w:rPr>
            </w:pPr>
            <w:r w:rsidRPr="008609D1">
              <w:rPr>
                <w:rFonts w:ascii="ITC Avant Garde" w:hAnsi="ITC Avant Garde"/>
                <w:sz w:val="20"/>
                <w:szCs w:val="20"/>
              </w:rPr>
              <w:t>Servicio a través del cual el concesionario arrendará las antenas de transmisión satelital para radiar las señales del concesionario solicitante</w:t>
            </w:r>
            <w:r>
              <w:rPr>
                <w:rFonts w:ascii="ITC Avant Garde" w:hAnsi="ITC Avant Garde"/>
                <w:sz w:val="20"/>
                <w:szCs w:val="20"/>
              </w:rPr>
              <w:t>.</w:t>
            </w:r>
          </w:p>
        </w:tc>
      </w:tr>
      <w:tr w:rsidR="00992F19" w:rsidRPr="008609D1" w14:paraId="37658AC8" w14:textId="77777777" w:rsidTr="00992F19">
        <w:trPr>
          <w:cantSplit/>
          <w:trHeight w:val="345"/>
          <w:jc w:val="center"/>
        </w:trPr>
        <w:tc>
          <w:tcPr>
            <w:tcW w:w="1362" w:type="pct"/>
            <w:tcBorders>
              <w:top w:val="single" w:sz="4" w:space="0" w:color="244062"/>
              <w:left w:val="nil"/>
              <w:right w:val="nil"/>
            </w:tcBorders>
            <w:shd w:val="clear" w:color="auto" w:fill="D0D1DB"/>
            <w:noWrap/>
          </w:tcPr>
          <w:p w14:paraId="2861ECC0" w14:textId="77777777" w:rsidR="00992F19" w:rsidRPr="008609D1" w:rsidRDefault="00992F19" w:rsidP="001735D4">
            <w:pPr>
              <w:spacing w:before="40" w:after="40" w:line="240" w:lineRule="auto"/>
              <w:rPr>
                <w:rFonts w:ascii="ITC Avant Garde" w:hAnsi="ITC Avant Garde"/>
                <w:sz w:val="20"/>
                <w:szCs w:val="20"/>
              </w:rPr>
            </w:pPr>
            <w:r w:rsidRPr="008609D1">
              <w:rPr>
                <w:rFonts w:ascii="ITC Avant Garde" w:hAnsi="ITC Avant Garde"/>
                <w:sz w:val="20"/>
                <w:szCs w:val="20"/>
              </w:rPr>
              <w:t>Servicio de compartición de líneas de transmisión</w:t>
            </w:r>
          </w:p>
        </w:tc>
        <w:tc>
          <w:tcPr>
            <w:tcW w:w="3638" w:type="pct"/>
            <w:tcBorders>
              <w:top w:val="single" w:sz="4" w:space="0" w:color="244062"/>
              <w:left w:val="nil"/>
              <w:right w:val="nil"/>
            </w:tcBorders>
          </w:tcPr>
          <w:p w14:paraId="4FC443B0" w14:textId="1C880DC1" w:rsidR="00992F19" w:rsidRPr="008609D1" w:rsidRDefault="00992F19" w:rsidP="00CC59A5">
            <w:pPr>
              <w:spacing w:before="40" w:after="40" w:line="240" w:lineRule="auto"/>
              <w:rPr>
                <w:rFonts w:ascii="ITC Avant Garde" w:hAnsi="ITC Avant Garde"/>
                <w:sz w:val="20"/>
                <w:szCs w:val="20"/>
              </w:rPr>
            </w:pPr>
            <w:r w:rsidRPr="008609D1">
              <w:rPr>
                <w:rFonts w:ascii="ITC Avant Garde" w:hAnsi="ITC Avant Garde"/>
                <w:sz w:val="20"/>
                <w:szCs w:val="20"/>
              </w:rPr>
              <w:t>Servicio mediante el que se arrienda al concesionario solicitante las líneas de transmisión del operador presta</w:t>
            </w:r>
            <w:r>
              <w:rPr>
                <w:rFonts w:ascii="ITC Avant Garde" w:hAnsi="ITC Avant Garde"/>
                <w:sz w:val="20"/>
                <w:szCs w:val="20"/>
              </w:rPr>
              <w:t>dor</w:t>
            </w:r>
            <w:r w:rsidRPr="008609D1">
              <w:rPr>
                <w:rFonts w:ascii="ITC Avant Garde" w:hAnsi="ITC Avant Garde"/>
                <w:sz w:val="20"/>
                <w:szCs w:val="20"/>
              </w:rPr>
              <w:t xml:space="preserve"> del servicio</w:t>
            </w:r>
            <w:r>
              <w:rPr>
                <w:rFonts w:ascii="ITC Avant Garde" w:hAnsi="ITC Avant Garde"/>
                <w:sz w:val="20"/>
                <w:szCs w:val="20"/>
              </w:rPr>
              <w:t>.</w:t>
            </w:r>
          </w:p>
        </w:tc>
      </w:tr>
      <w:tr w:rsidR="00992F19" w:rsidRPr="008609D1" w14:paraId="41EE0CDE" w14:textId="77777777" w:rsidTr="00992F19">
        <w:trPr>
          <w:cantSplit/>
          <w:trHeight w:val="340"/>
          <w:jc w:val="center"/>
        </w:trPr>
        <w:tc>
          <w:tcPr>
            <w:tcW w:w="5000" w:type="pct"/>
            <w:gridSpan w:val="2"/>
            <w:tcBorders>
              <w:top w:val="single" w:sz="4" w:space="0" w:color="244062"/>
              <w:left w:val="nil"/>
              <w:bottom w:val="single" w:sz="4" w:space="0" w:color="244062"/>
              <w:right w:val="nil"/>
            </w:tcBorders>
            <w:noWrap/>
            <w:vAlign w:val="center"/>
          </w:tcPr>
          <w:p w14:paraId="4D89FE4F" w14:textId="77777777" w:rsidR="00992F19" w:rsidRPr="008609D1" w:rsidRDefault="00992F19" w:rsidP="001735D4">
            <w:pPr>
              <w:spacing w:before="40" w:after="40" w:line="240" w:lineRule="auto"/>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Otros</w:t>
            </w:r>
          </w:p>
        </w:tc>
      </w:tr>
      <w:tr w:rsidR="00992F19" w:rsidRPr="008609D1" w14:paraId="0B0238B9"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64707743" w14:textId="77777777" w:rsidR="00992F19" w:rsidRPr="008609D1" w:rsidRDefault="00992F19" w:rsidP="001735D4">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Otros servicios mayoristas</w:t>
            </w:r>
          </w:p>
        </w:tc>
        <w:tc>
          <w:tcPr>
            <w:tcW w:w="3638" w:type="pct"/>
            <w:tcBorders>
              <w:top w:val="single" w:sz="4" w:space="0" w:color="244062"/>
              <w:left w:val="nil"/>
              <w:bottom w:val="single" w:sz="4" w:space="0" w:color="244062"/>
              <w:right w:val="nil"/>
            </w:tcBorders>
            <w:vAlign w:val="center"/>
            <w:hideMark/>
          </w:tcPr>
          <w:p w14:paraId="499C44A5" w14:textId="77777777" w:rsidR="00992F19" w:rsidRPr="008609D1" w:rsidRDefault="00992F19" w:rsidP="004B3901">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 refiere a la prestación de servicios mayoristas a otros operadores</w:t>
            </w:r>
            <w:r>
              <w:rPr>
                <w:rFonts w:ascii="ITC Avant Garde" w:eastAsia="Times New Roman" w:hAnsi="ITC Avant Garde" w:cs="Arial"/>
                <w:sz w:val="20"/>
                <w:szCs w:val="20"/>
                <w:lang w:val="es-ES" w:eastAsia="es-ES"/>
              </w:rPr>
              <w:t>.</w:t>
            </w:r>
          </w:p>
        </w:tc>
      </w:tr>
      <w:tr w:rsidR="00992F19" w:rsidRPr="008609D1" w14:paraId="0A8C6CE3" w14:textId="77777777" w:rsidTr="00992F19">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6F46CF52" w14:textId="77777777" w:rsidR="00992F19" w:rsidRPr="008609D1" w:rsidRDefault="00992F19" w:rsidP="001735D4">
            <w:pPr>
              <w:keepNext/>
              <w:spacing w:before="40" w:after="40" w:line="240" w:lineRule="auto"/>
              <w:rPr>
                <w:rFonts w:ascii="ITC Avant Garde" w:eastAsia="Times New Roman" w:hAnsi="ITC Avant Garde" w:cs="Arial"/>
                <w:b/>
                <w:bCs/>
                <w:sz w:val="20"/>
                <w:szCs w:val="20"/>
                <w:lang w:val="es-ES" w:eastAsia="es-ES"/>
              </w:rPr>
            </w:pPr>
            <w:r w:rsidRPr="008609D1">
              <w:rPr>
                <w:rFonts w:ascii="ITC Avant Garde" w:eastAsia="Times New Roman" w:hAnsi="ITC Avant Garde" w:cs="Arial"/>
                <w:b/>
                <w:bCs/>
                <w:sz w:val="20"/>
                <w:szCs w:val="20"/>
                <w:lang w:val="es-ES" w:eastAsia="es-ES"/>
              </w:rPr>
              <w:t>Servicios no relevantes para la separación contable</w:t>
            </w:r>
          </w:p>
        </w:tc>
      </w:tr>
      <w:tr w:rsidR="00992F19" w:rsidRPr="008609D1" w14:paraId="74D4C0F7" w14:textId="77777777" w:rsidTr="00992F19">
        <w:trPr>
          <w:trHeight w:val="340"/>
          <w:jc w:val="center"/>
        </w:trPr>
        <w:tc>
          <w:tcPr>
            <w:tcW w:w="1362" w:type="pct"/>
            <w:tcBorders>
              <w:top w:val="single" w:sz="4" w:space="0" w:color="244062"/>
              <w:left w:val="nil"/>
              <w:bottom w:val="single" w:sz="4" w:space="0" w:color="244062"/>
              <w:right w:val="nil"/>
            </w:tcBorders>
            <w:shd w:val="clear" w:color="auto" w:fill="D0D1DB"/>
            <w:noWrap/>
            <w:vAlign w:val="center"/>
            <w:hideMark/>
          </w:tcPr>
          <w:p w14:paraId="4839E9C0" w14:textId="77777777" w:rsidR="00992F19" w:rsidRPr="008609D1" w:rsidRDefault="00992F19" w:rsidP="001735D4">
            <w:pPr>
              <w:keepNext/>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Servicios no relevantes para la separación contable</w:t>
            </w:r>
          </w:p>
        </w:tc>
        <w:tc>
          <w:tcPr>
            <w:tcW w:w="3638" w:type="pct"/>
            <w:tcBorders>
              <w:top w:val="single" w:sz="4" w:space="0" w:color="244062"/>
              <w:left w:val="nil"/>
              <w:bottom w:val="single" w:sz="4" w:space="0" w:color="244062"/>
              <w:right w:val="nil"/>
            </w:tcBorders>
            <w:vAlign w:val="center"/>
            <w:hideMark/>
          </w:tcPr>
          <w:p w14:paraId="70C947CF" w14:textId="2A846E2C" w:rsidR="00992F19" w:rsidRPr="008609D1" w:rsidRDefault="00992F19" w:rsidP="00A2661B">
            <w:pPr>
              <w:spacing w:before="40" w:after="40" w:line="240" w:lineRule="auto"/>
              <w:rPr>
                <w:rFonts w:ascii="ITC Avant Garde" w:eastAsia="Times New Roman" w:hAnsi="ITC Avant Garde" w:cs="Arial"/>
                <w:sz w:val="20"/>
                <w:szCs w:val="20"/>
                <w:lang w:val="es-ES" w:eastAsia="es-ES"/>
              </w:rPr>
            </w:pPr>
            <w:r w:rsidRPr="008609D1">
              <w:rPr>
                <w:rFonts w:ascii="ITC Avant Garde" w:eastAsia="Times New Roman" w:hAnsi="ITC Avant Garde" w:cs="Arial"/>
                <w:sz w:val="20"/>
                <w:szCs w:val="20"/>
                <w:lang w:val="es-ES" w:eastAsia="es-ES"/>
              </w:rPr>
              <w:t xml:space="preserve">Partidas de costos relativas a los servicios no relevantes para la </w:t>
            </w:r>
            <w:r w:rsidR="00A2661B">
              <w:rPr>
                <w:rFonts w:ascii="ITC Avant Garde" w:eastAsia="Times New Roman" w:hAnsi="ITC Avant Garde" w:cs="Arial"/>
                <w:sz w:val="20"/>
                <w:szCs w:val="20"/>
                <w:lang w:val="es-ES" w:eastAsia="es-ES"/>
              </w:rPr>
              <w:t>prestación de servicios</w:t>
            </w:r>
            <w:r w:rsidR="00A2661B" w:rsidRPr="008609D1">
              <w:rPr>
                <w:rFonts w:ascii="ITC Avant Garde" w:eastAsia="Times New Roman" w:hAnsi="ITC Avant Garde" w:cs="Arial"/>
                <w:sz w:val="20"/>
                <w:szCs w:val="20"/>
                <w:lang w:val="es-ES" w:eastAsia="es-ES"/>
              </w:rPr>
              <w:t xml:space="preserve"> </w:t>
            </w:r>
            <w:r w:rsidRPr="008609D1">
              <w:rPr>
                <w:rFonts w:ascii="ITC Avant Garde" w:eastAsia="Times New Roman" w:hAnsi="ITC Avant Garde" w:cs="Arial"/>
                <w:sz w:val="20"/>
                <w:szCs w:val="20"/>
                <w:lang w:val="es-ES" w:eastAsia="es-ES"/>
              </w:rPr>
              <w:t>de televisión restringida</w:t>
            </w:r>
            <w:r>
              <w:rPr>
                <w:rFonts w:ascii="ITC Avant Garde" w:eastAsia="Times New Roman" w:hAnsi="ITC Avant Garde" w:cs="Arial"/>
                <w:sz w:val="20"/>
                <w:szCs w:val="20"/>
                <w:lang w:val="es-ES" w:eastAsia="es-ES"/>
              </w:rPr>
              <w:t>.</w:t>
            </w:r>
          </w:p>
        </w:tc>
      </w:tr>
    </w:tbl>
    <w:p w14:paraId="40EB859B" w14:textId="77777777" w:rsidR="007D37BE" w:rsidRPr="008609D1" w:rsidRDefault="007D37BE" w:rsidP="00147F6D">
      <w:pPr>
        <w:pStyle w:val="A1L3"/>
        <w:outlineLvl w:val="2"/>
      </w:pPr>
      <w:bookmarkStart w:id="129" w:name="_Toc484022109"/>
      <w:r w:rsidRPr="008609D1">
        <w:t>Sector de Radiodifusión</w:t>
      </w:r>
      <w:bookmarkEnd w:id="129"/>
    </w:p>
    <w:p w14:paraId="26714FDF" w14:textId="77777777" w:rsidR="007D37BE" w:rsidRPr="008609D1" w:rsidRDefault="007D37BE" w:rsidP="007D37BE">
      <w:pPr>
        <w:pStyle w:val="Normalresolucion"/>
      </w:pPr>
      <w:r w:rsidRPr="008609D1">
        <w:t>Esta sección presenta la desagregación mínima de los elementos de la separación contable aplicable a todos los concesionarios que ofrezcan servicios de radiodifusión dentro del territorio nacional. Los servicios de radiodifusión se definen como todos aquellos relativos a la puesta a disposición del público de contenidos audiovisuales vía señal abierta y pueden incluir los siguientes conceptos:</w:t>
      </w:r>
    </w:p>
    <w:p w14:paraId="6411D934" w14:textId="77777777" w:rsidR="007D37BE" w:rsidRPr="008609D1" w:rsidRDefault="007D37BE" w:rsidP="007D37BE">
      <w:pPr>
        <w:pStyle w:val="Indentadoresolucin"/>
      </w:pPr>
      <w:r w:rsidRPr="008609D1">
        <w:t>Televisión abierta o radiodifusión</w:t>
      </w:r>
    </w:p>
    <w:p w14:paraId="1BC68CC4" w14:textId="77777777" w:rsidR="007D37BE" w:rsidRPr="008609D1" w:rsidRDefault="007D37BE" w:rsidP="007D37BE">
      <w:pPr>
        <w:pStyle w:val="Indentadoresolucin"/>
      </w:pPr>
      <w:r w:rsidRPr="008609D1">
        <w:t>Radiodifusión sonora</w:t>
      </w:r>
    </w:p>
    <w:p w14:paraId="2B12EBC2" w14:textId="1C6D5B81" w:rsidR="007D37BE" w:rsidRPr="008609D1" w:rsidRDefault="007D37BE" w:rsidP="007D37BE">
      <w:pPr>
        <w:pStyle w:val="Normalresolucion"/>
      </w:pPr>
      <w:r w:rsidRPr="008609D1">
        <w:lastRenderedPageBreak/>
        <w:t xml:space="preserve">A continuación, se presentan las categorías de costos e ingresos a considerar en cada uno de los niveles de atribución definidos en la estructura mínima aplicable a operadores </w:t>
      </w:r>
      <w:r w:rsidR="00720744">
        <w:t>de radiodifusión</w:t>
      </w:r>
      <w:r w:rsidRPr="008609D1">
        <w:t>.</w:t>
      </w:r>
    </w:p>
    <w:p w14:paraId="3EDFE9D8" w14:textId="77777777" w:rsidR="00FA4D4D" w:rsidRDefault="00FA4D4D" w:rsidP="007D37BE">
      <w:pPr>
        <w:pStyle w:val="Normalresolucion"/>
      </w:pPr>
    </w:p>
    <w:p w14:paraId="0FEB3FEE" w14:textId="77777777" w:rsidR="007D37BE" w:rsidRDefault="007D37BE" w:rsidP="007D37BE">
      <w:pPr>
        <w:pStyle w:val="Normalresolucion"/>
      </w:pPr>
      <w:r w:rsidRPr="008609D1">
        <w:t xml:space="preserve">Listado </w:t>
      </w:r>
      <w:r w:rsidRPr="006D334F">
        <w:t>mínimo</w:t>
      </w:r>
      <w:r w:rsidRPr="008609D1">
        <w:t xml:space="preserve"> de cuentas de ingresos a desagregar en el Nivel 1:</w:t>
      </w:r>
    </w:p>
    <w:p w14:paraId="77329EC0" w14:textId="77777777" w:rsidR="00035EFD" w:rsidRPr="008609D1" w:rsidRDefault="00035EFD" w:rsidP="00035EFD">
      <w:pPr>
        <w:pStyle w:val="Descripcin"/>
        <w:spacing w:after="240" w:line="240" w:lineRule="auto"/>
        <w:rPr>
          <w:rFonts w:ascii="ITC Avant Garde" w:hAnsi="ITC Avant Garde"/>
          <w:iCs/>
          <w:sz w:val="20"/>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Pr="008609D1">
        <w:rPr>
          <w:rFonts w:ascii="ITC Avant Garde" w:hAnsi="ITC Avant Garde"/>
          <w:iCs/>
          <w:noProof/>
          <w:sz w:val="20"/>
          <w:lang w:val="es-MX"/>
        </w:rPr>
        <w:t>15</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de ingresos a desagregar en el Nivel 1 de operadores de radiodifusión</w:t>
      </w:r>
    </w:p>
    <w:tbl>
      <w:tblPr>
        <w:tblW w:w="5000" w:type="pct"/>
        <w:jc w:val="center"/>
        <w:tblLayout w:type="fixed"/>
        <w:tblCellMar>
          <w:left w:w="70" w:type="dxa"/>
          <w:right w:w="70" w:type="dxa"/>
        </w:tblCellMar>
        <w:tblLook w:val="04A0" w:firstRow="1" w:lastRow="0" w:firstColumn="1" w:lastColumn="0" w:noHBand="0" w:noVBand="1"/>
      </w:tblPr>
      <w:tblGrid>
        <w:gridCol w:w="2404"/>
        <w:gridCol w:w="6429"/>
      </w:tblGrid>
      <w:tr w:rsidR="00992F19" w:rsidRPr="008609D1" w14:paraId="63105D5C" w14:textId="77777777" w:rsidTr="00992F19">
        <w:trPr>
          <w:trHeight w:val="340"/>
          <w:tblHeader/>
          <w:jc w:val="center"/>
        </w:trPr>
        <w:tc>
          <w:tcPr>
            <w:tcW w:w="1361" w:type="pct"/>
            <w:tcBorders>
              <w:top w:val="nil"/>
              <w:left w:val="single" w:sz="4" w:space="0" w:color="FFFFFF"/>
              <w:bottom w:val="single" w:sz="4" w:space="0" w:color="244062"/>
            </w:tcBorders>
            <w:shd w:val="clear" w:color="auto" w:fill="4F629B"/>
            <w:vAlign w:val="center"/>
            <w:hideMark/>
          </w:tcPr>
          <w:p w14:paraId="4F0047C1" w14:textId="77777777" w:rsidR="00992F19" w:rsidRPr="008609D1" w:rsidRDefault="00992F19" w:rsidP="004B3901">
            <w:pPr>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Categoría</w:t>
            </w:r>
          </w:p>
        </w:tc>
        <w:tc>
          <w:tcPr>
            <w:tcW w:w="3639" w:type="pct"/>
            <w:tcBorders>
              <w:top w:val="nil"/>
              <w:bottom w:val="single" w:sz="4" w:space="0" w:color="244062"/>
            </w:tcBorders>
            <w:shd w:val="clear" w:color="auto" w:fill="4F629B"/>
            <w:vAlign w:val="center"/>
            <w:hideMark/>
          </w:tcPr>
          <w:p w14:paraId="58CD9D17" w14:textId="77777777" w:rsidR="00992F19" w:rsidRPr="008609D1" w:rsidRDefault="00992F19" w:rsidP="004B3901">
            <w:pPr>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Descripción</w:t>
            </w:r>
          </w:p>
        </w:tc>
      </w:tr>
      <w:tr w:rsidR="00992F19" w:rsidRPr="008609D1" w14:paraId="2AD67137" w14:textId="77777777" w:rsidTr="00992F19">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14:paraId="05DA82BE" w14:textId="77777777" w:rsidR="00992F19" w:rsidRPr="008609D1" w:rsidRDefault="00992F19" w:rsidP="004B3901">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Ingresos operativos</w:t>
            </w:r>
            <w:r w:rsidRPr="008609D1">
              <w:rPr>
                <w:rFonts w:ascii="ITC Avant Garde" w:eastAsia="Times New Roman" w:hAnsi="ITC Avant Garde" w:cs="Arial"/>
                <w:b/>
                <w:bCs/>
                <w:sz w:val="20"/>
                <w:vertAlign w:val="superscript"/>
                <w:lang w:val="es-ES" w:eastAsia="es-ES"/>
              </w:rPr>
              <w:footnoteReference w:id="48"/>
            </w:r>
          </w:p>
        </w:tc>
      </w:tr>
      <w:tr w:rsidR="00992F19" w:rsidRPr="008609D1" w14:paraId="7F920918" w14:textId="77777777" w:rsidTr="00992F1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7FC21BAD" w14:textId="77777777" w:rsidR="00992F19" w:rsidRPr="008609D1" w:rsidRDefault="00992F1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de publicidad</w:t>
            </w:r>
          </w:p>
        </w:tc>
        <w:tc>
          <w:tcPr>
            <w:tcW w:w="3639" w:type="pct"/>
            <w:tcBorders>
              <w:top w:val="single" w:sz="4" w:space="0" w:color="244062"/>
              <w:bottom w:val="single" w:sz="4" w:space="0" w:color="244062"/>
            </w:tcBorders>
            <w:vAlign w:val="center"/>
            <w:hideMark/>
          </w:tcPr>
          <w:p w14:paraId="54ACADBD" w14:textId="77777777" w:rsidR="00992F19" w:rsidRPr="008609D1" w:rsidRDefault="00992F1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de la venta de tiempo publicitario en las operaciones del concesionario de televisión de señal abierta y/o radio</w:t>
            </w:r>
            <w:r>
              <w:rPr>
                <w:rFonts w:ascii="ITC Avant Garde" w:eastAsia="Times New Roman" w:hAnsi="ITC Avant Garde" w:cs="Arial"/>
                <w:sz w:val="20"/>
                <w:lang w:val="es-ES" w:eastAsia="es-ES"/>
              </w:rPr>
              <w:t>.</w:t>
            </w:r>
          </w:p>
        </w:tc>
      </w:tr>
      <w:tr w:rsidR="00992F19" w:rsidRPr="008609D1" w14:paraId="0F282094" w14:textId="77777777" w:rsidTr="00992F1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2073CAF7" w14:textId="77777777" w:rsidR="00992F19" w:rsidRPr="008609D1" w:rsidRDefault="00992F1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venta de canales</w:t>
            </w:r>
          </w:p>
        </w:tc>
        <w:tc>
          <w:tcPr>
            <w:tcW w:w="3639" w:type="pct"/>
            <w:tcBorders>
              <w:top w:val="single" w:sz="4" w:space="0" w:color="244062"/>
              <w:bottom w:val="single" w:sz="4" w:space="0" w:color="244062"/>
            </w:tcBorders>
            <w:hideMark/>
          </w:tcPr>
          <w:p w14:paraId="153E3947" w14:textId="77777777" w:rsidR="00992F19" w:rsidRPr="008609D1" w:rsidRDefault="00992F1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la venta de canales (programación nacional e internacional) a otras empresas de televisión abierta o restringida</w:t>
            </w:r>
            <w:r>
              <w:rPr>
                <w:rFonts w:ascii="ITC Avant Garde" w:eastAsia="Times New Roman" w:hAnsi="ITC Avant Garde" w:cs="Arial"/>
                <w:sz w:val="20"/>
                <w:lang w:val="es-ES" w:eastAsia="es-ES"/>
              </w:rPr>
              <w:t>.</w:t>
            </w:r>
          </w:p>
        </w:tc>
      </w:tr>
      <w:tr w:rsidR="00992F19" w:rsidRPr="008609D1" w14:paraId="423347E6" w14:textId="77777777" w:rsidTr="00992F1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117681B2" w14:textId="77777777" w:rsidR="00992F19" w:rsidRPr="008609D1" w:rsidRDefault="00992F1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venta de programas y licencias</w:t>
            </w:r>
          </w:p>
        </w:tc>
        <w:tc>
          <w:tcPr>
            <w:tcW w:w="3639" w:type="pct"/>
            <w:tcBorders>
              <w:top w:val="single" w:sz="4" w:space="0" w:color="244062"/>
              <w:bottom w:val="single" w:sz="4" w:space="0" w:color="244062"/>
            </w:tcBorders>
            <w:vAlign w:val="center"/>
            <w:hideMark/>
          </w:tcPr>
          <w:p w14:paraId="0A5A386C" w14:textId="77777777" w:rsidR="00992F19" w:rsidRPr="008609D1" w:rsidRDefault="00992F1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la venta de derechos de concesión de programas y licencias, otorgados a otras empresas nacionales o internacionales</w:t>
            </w:r>
            <w:r>
              <w:rPr>
                <w:rFonts w:ascii="ITC Avant Garde" w:eastAsia="Times New Roman" w:hAnsi="ITC Avant Garde" w:cs="Arial"/>
                <w:sz w:val="20"/>
                <w:lang w:val="es-ES" w:eastAsia="es-ES"/>
              </w:rPr>
              <w:t>.</w:t>
            </w:r>
          </w:p>
        </w:tc>
      </w:tr>
      <w:tr w:rsidR="00992F19" w:rsidRPr="008609D1" w14:paraId="5784B4D7" w14:textId="77777777" w:rsidTr="00992F1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445A1307" w14:textId="77777777" w:rsidR="00992F19" w:rsidRPr="008609D1" w:rsidRDefault="00992F1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servicios de compartición de infraestructura</w:t>
            </w:r>
          </w:p>
        </w:tc>
        <w:tc>
          <w:tcPr>
            <w:tcW w:w="3639" w:type="pct"/>
            <w:tcBorders>
              <w:top w:val="single" w:sz="4" w:space="0" w:color="244062"/>
              <w:bottom w:val="single" w:sz="4" w:space="0" w:color="244062"/>
            </w:tcBorders>
            <w:vAlign w:val="center"/>
            <w:hideMark/>
          </w:tcPr>
          <w:p w14:paraId="4E98D087" w14:textId="77777777" w:rsidR="00992F19" w:rsidRPr="008609D1" w:rsidRDefault="00992F1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de la provisión de servicios de compartición de infraestructura (activa y pasiva) de la red de radiodifusión a otros operadores</w:t>
            </w:r>
            <w:r>
              <w:rPr>
                <w:rFonts w:ascii="ITC Avant Garde" w:eastAsia="Times New Roman" w:hAnsi="ITC Avant Garde" w:cs="Arial"/>
                <w:sz w:val="20"/>
                <w:lang w:val="es-ES" w:eastAsia="es-ES"/>
              </w:rPr>
              <w:t>.</w:t>
            </w:r>
          </w:p>
        </w:tc>
      </w:tr>
      <w:tr w:rsidR="00992F19" w:rsidRPr="008609D1" w14:paraId="6959BF34" w14:textId="77777777" w:rsidTr="00992F19">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191A883B" w14:textId="77777777" w:rsidR="00992F19" w:rsidRPr="008609D1" w:rsidRDefault="00992F1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multiprogramación</w:t>
            </w:r>
          </w:p>
        </w:tc>
        <w:tc>
          <w:tcPr>
            <w:tcW w:w="3639" w:type="pct"/>
            <w:tcBorders>
              <w:top w:val="single" w:sz="4" w:space="0" w:color="244062"/>
              <w:bottom w:val="single" w:sz="4" w:space="0" w:color="244062"/>
            </w:tcBorders>
            <w:vAlign w:val="center"/>
          </w:tcPr>
          <w:p w14:paraId="29E8F708" w14:textId="77777777" w:rsidR="00992F19" w:rsidRPr="008609D1" w:rsidRDefault="00992F1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obtenidos por coubicar la señal de un tercero en una de las señales multiprogramadas que posee el concesionario (alquiler de canales de programación para retransmisión)</w:t>
            </w:r>
            <w:r>
              <w:rPr>
                <w:rFonts w:ascii="ITC Avant Garde" w:eastAsia="Times New Roman" w:hAnsi="ITC Avant Garde" w:cs="Arial"/>
                <w:sz w:val="20"/>
                <w:lang w:val="es-ES" w:eastAsia="es-ES"/>
              </w:rPr>
              <w:t>.</w:t>
            </w:r>
          </w:p>
        </w:tc>
      </w:tr>
      <w:tr w:rsidR="00992F19" w:rsidRPr="008609D1" w14:paraId="276CA338" w14:textId="77777777" w:rsidTr="00992F1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33090ACE" w14:textId="77777777" w:rsidR="00992F19" w:rsidRPr="008609D1" w:rsidRDefault="00992F1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otros servicios</w:t>
            </w:r>
          </w:p>
        </w:tc>
        <w:tc>
          <w:tcPr>
            <w:tcW w:w="3639" w:type="pct"/>
            <w:tcBorders>
              <w:top w:val="single" w:sz="4" w:space="0" w:color="244062"/>
              <w:bottom w:val="single" w:sz="4" w:space="0" w:color="244062"/>
            </w:tcBorders>
            <w:vAlign w:val="center"/>
            <w:hideMark/>
          </w:tcPr>
          <w:p w14:paraId="7CF03D4D" w14:textId="00FC79CC" w:rsidR="00992F19" w:rsidRPr="008609D1" w:rsidRDefault="00992F19" w:rsidP="00B36D3F">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la prestación de otros servicios</w:t>
            </w:r>
            <w:r>
              <w:rPr>
                <w:rFonts w:ascii="ITC Avant Garde" w:eastAsia="Times New Roman" w:hAnsi="ITC Avant Garde" w:cs="Arial"/>
                <w:sz w:val="20"/>
                <w:lang w:val="es-ES" w:eastAsia="es-ES"/>
              </w:rPr>
              <w:t>.</w:t>
            </w:r>
          </w:p>
        </w:tc>
      </w:tr>
      <w:tr w:rsidR="00992F19" w:rsidRPr="008609D1" w14:paraId="5978193C" w14:textId="77777777" w:rsidTr="00992F19">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14:paraId="0DBE52B8" w14:textId="77777777" w:rsidR="00992F19" w:rsidRPr="008609D1" w:rsidRDefault="00992F19" w:rsidP="004B3901">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Ingresos no operativos</w:t>
            </w:r>
          </w:p>
        </w:tc>
      </w:tr>
      <w:tr w:rsidR="00992F19" w:rsidRPr="008609D1" w14:paraId="3654E555" w14:textId="77777777" w:rsidTr="00992F1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6F6CFC12" w14:textId="5AD42534" w:rsidR="00992F19" w:rsidRPr="008609D1" w:rsidRDefault="00BB7D49" w:rsidP="004B3901">
            <w:pPr>
              <w:spacing w:before="40" w:after="40" w:line="240" w:lineRule="auto"/>
              <w:rPr>
                <w:rFonts w:ascii="ITC Avant Garde" w:eastAsia="Times New Roman" w:hAnsi="ITC Avant Garde" w:cs="Arial"/>
                <w:sz w:val="20"/>
                <w:lang w:val="es-ES" w:eastAsia="es-ES"/>
              </w:rPr>
            </w:pPr>
            <w:r>
              <w:rPr>
                <w:rFonts w:ascii="ITC Avant Garde" w:eastAsia="Times New Roman" w:hAnsi="ITC Avant Garde" w:cs="Arial"/>
                <w:sz w:val="20"/>
                <w:lang w:val="es-ES" w:eastAsia="es-ES"/>
              </w:rPr>
              <w:t>Operaciones</w:t>
            </w:r>
            <w:r w:rsidRPr="008609D1">
              <w:rPr>
                <w:rFonts w:ascii="ITC Avant Garde" w:eastAsia="Times New Roman" w:hAnsi="ITC Avant Garde" w:cs="Arial"/>
                <w:sz w:val="20"/>
                <w:lang w:val="es-ES" w:eastAsia="es-ES"/>
              </w:rPr>
              <w:t xml:space="preserve"> </w:t>
            </w:r>
            <w:r w:rsidR="00992F19" w:rsidRPr="008609D1">
              <w:rPr>
                <w:rFonts w:ascii="ITC Avant Garde" w:eastAsia="Times New Roman" w:hAnsi="ITC Avant Garde" w:cs="Arial"/>
                <w:sz w:val="20"/>
                <w:lang w:val="es-ES" w:eastAsia="es-ES"/>
              </w:rPr>
              <w:t>financier</w:t>
            </w:r>
            <w:r>
              <w:rPr>
                <w:rFonts w:ascii="ITC Avant Garde" w:eastAsia="Times New Roman" w:hAnsi="ITC Avant Garde" w:cs="Arial"/>
                <w:sz w:val="20"/>
                <w:lang w:val="es-ES" w:eastAsia="es-ES"/>
              </w:rPr>
              <w:t>a</w:t>
            </w:r>
            <w:r w:rsidR="00992F19" w:rsidRPr="008609D1">
              <w:rPr>
                <w:rFonts w:ascii="ITC Avant Garde" w:eastAsia="Times New Roman" w:hAnsi="ITC Avant Garde" w:cs="Arial"/>
                <w:sz w:val="20"/>
                <w:lang w:val="es-ES" w:eastAsia="es-ES"/>
              </w:rPr>
              <w:t>s</w:t>
            </w:r>
          </w:p>
        </w:tc>
        <w:tc>
          <w:tcPr>
            <w:tcW w:w="3639" w:type="pct"/>
            <w:tcBorders>
              <w:top w:val="single" w:sz="4" w:space="0" w:color="244062"/>
              <w:bottom w:val="single" w:sz="4" w:space="0" w:color="244062"/>
            </w:tcBorders>
            <w:vAlign w:val="center"/>
            <w:hideMark/>
          </w:tcPr>
          <w:p w14:paraId="430F203F" w14:textId="17A42B29" w:rsidR="00992F19" w:rsidRPr="008609D1" w:rsidRDefault="00992F19" w:rsidP="00BB7D49">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Ingresos procedentes de otras operaciones financieras realizadas por el </w:t>
            </w:r>
            <w:r w:rsidR="00BB7D49">
              <w:rPr>
                <w:rFonts w:ascii="ITC Avant Garde" w:eastAsia="Times New Roman" w:hAnsi="ITC Avant Garde" w:cs="Arial"/>
                <w:sz w:val="20"/>
                <w:lang w:val="es-ES" w:eastAsia="es-ES"/>
              </w:rPr>
              <w:t>concesionario o autorizado</w:t>
            </w:r>
            <w:r>
              <w:rPr>
                <w:rFonts w:ascii="ITC Avant Garde" w:eastAsia="Times New Roman" w:hAnsi="ITC Avant Garde" w:cs="Arial"/>
                <w:sz w:val="20"/>
                <w:lang w:val="es-ES" w:eastAsia="es-ES"/>
              </w:rPr>
              <w:t>.</w:t>
            </w:r>
          </w:p>
        </w:tc>
      </w:tr>
      <w:tr w:rsidR="00992F19" w:rsidRPr="008609D1" w14:paraId="7F0E92B5" w14:textId="77777777" w:rsidTr="00992F1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71EEBC8D" w14:textId="1018939F" w:rsidR="00992F19" w:rsidRPr="008609D1" w:rsidRDefault="00BB7D49" w:rsidP="00BB7D49">
            <w:pPr>
              <w:spacing w:before="40" w:after="40" w:line="240" w:lineRule="auto"/>
              <w:rPr>
                <w:rFonts w:ascii="ITC Avant Garde" w:eastAsia="Times New Roman" w:hAnsi="ITC Avant Garde" w:cs="Arial"/>
                <w:sz w:val="20"/>
                <w:lang w:val="es-ES" w:eastAsia="es-ES"/>
              </w:rPr>
            </w:pPr>
            <w:r>
              <w:rPr>
                <w:rFonts w:ascii="ITC Avant Garde" w:eastAsia="Times New Roman" w:hAnsi="ITC Avant Garde" w:cs="Arial"/>
                <w:sz w:val="20"/>
                <w:lang w:val="es-ES" w:eastAsia="es-ES"/>
              </w:rPr>
              <w:t>E</w:t>
            </w:r>
            <w:r w:rsidR="00992F19" w:rsidRPr="008609D1">
              <w:rPr>
                <w:rFonts w:ascii="ITC Avant Garde" w:eastAsia="Times New Roman" w:hAnsi="ITC Avant Garde" w:cs="Arial"/>
                <w:sz w:val="20"/>
                <w:lang w:val="es-ES" w:eastAsia="es-ES"/>
              </w:rPr>
              <w:t>najenación de activos</w:t>
            </w:r>
          </w:p>
        </w:tc>
        <w:tc>
          <w:tcPr>
            <w:tcW w:w="3639" w:type="pct"/>
            <w:tcBorders>
              <w:top w:val="single" w:sz="4" w:space="0" w:color="244062"/>
              <w:bottom w:val="single" w:sz="4" w:space="0" w:color="244062"/>
            </w:tcBorders>
            <w:vAlign w:val="center"/>
            <w:hideMark/>
          </w:tcPr>
          <w:p w14:paraId="6EC462C8" w14:textId="19E3F86E" w:rsidR="00992F19" w:rsidRPr="008609D1" w:rsidRDefault="00992F19" w:rsidP="00BB7D49">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Ingresos recibidos </w:t>
            </w:r>
            <w:r w:rsidR="00BB7D49">
              <w:rPr>
                <w:rFonts w:ascii="ITC Avant Garde" w:eastAsia="Times New Roman" w:hAnsi="ITC Avant Garde" w:cs="Arial"/>
                <w:sz w:val="20"/>
                <w:lang w:val="es-ES" w:eastAsia="es-ES"/>
              </w:rPr>
              <w:t>por la venta</w:t>
            </w:r>
            <w:r w:rsidRPr="008609D1">
              <w:rPr>
                <w:rFonts w:ascii="ITC Avant Garde" w:eastAsia="Times New Roman" w:hAnsi="ITC Avant Garde" w:cs="Arial"/>
                <w:sz w:val="20"/>
                <w:lang w:val="es-ES" w:eastAsia="es-ES"/>
              </w:rPr>
              <w:t xml:space="preserve"> de activos</w:t>
            </w:r>
            <w:r>
              <w:rPr>
                <w:rFonts w:ascii="ITC Avant Garde" w:eastAsia="Times New Roman" w:hAnsi="ITC Avant Garde" w:cs="Arial"/>
                <w:sz w:val="20"/>
                <w:lang w:val="es-ES" w:eastAsia="es-ES"/>
              </w:rPr>
              <w:t>.</w:t>
            </w:r>
          </w:p>
        </w:tc>
      </w:tr>
      <w:tr w:rsidR="00992F19" w:rsidRPr="008609D1" w14:paraId="7736A353" w14:textId="77777777" w:rsidTr="00992F1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6D1F13ED" w14:textId="59BE5A3E" w:rsidR="00992F19" w:rsidRPr="008609D1" w:rsidRDefault="00992F19" w:rsidP="00306DA8">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Otros ingresos </w:t>
            </w:r>
          </w:p>
        </w:tc>
        <w:tc>
          <w:tcPr>
            <w:tcW w:w="3639" w:type="pct"/>
            <w:tcBorders>
              <w:top w:val="single" w:sz="4" w:space="0" w:color="244062"/>
              <w:bottom w:val="single" w:sz="4" w:space="0" w:color="244062"/>
            </w:tcBorders>
            <w:vAlign w:val="center"/>
            <w:hideMark/>
          </w:tcPr>
          <w:p w14:paraId="5C4C53C5" w14:textId="1BD6C3AF" w:rsidR="00992F19" w:rsidRPr="008609D1" w:rsidRDefault="00992F19" w:rsidP="00BB7D49">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Incluye aquellos ingresos relativos a los servicios no </w:t>
            </w:r>
            <w:r w:rsidR="00306DA8">
              <w:rPr>
                <w:rFonts w:ascii="ITC Avant Garde" w:eastAsia="Times New Roman" w:hAnsi="ITC Avant Garde" w:cs="Arial"/>
                <w:sz w:val="20"/>
                <w:lang w:val="es-ES" w:eastAsia="es-ES"/>
              </w:rPr>
              <w:t>relacionados con</w:t>
            </w:r>
            <w:r w:rsidR="00306DA8" w:rsidRPr="008609D1">
              <w:rPr>
                <w:rFonts w:ascii="ITC Avant Garde" w:eastAsia="Times New Roman" w:hAnsi="ITC Avant Garde" w:cs="Arial"/>
                <w:sz w:val="20"/>
                <w:lang w:val="es-ES" w:eastAsia="es-ES"/>
              </w:rPr>
              <w:t xml:space="preserve"> </w:t>
            </w:r>
            <w:r w:rsidRPr="008609D1">
              <w:rPr>
                <w:rFonts w:ascii="ITC Avant Garde" w:eastAsia="Times New Roman" w:hAnsi="ITC Avant Garde" w:cs="Arial"/>
                <w:sz w:val="20"/>
                <w:lang w:val="es-ES" w:eastAsia="es-ES"/>
              </w:rPr>
              <w:t xml:space="preserve">la </w:t>
            </w:r>
            <w:r w:rsidR="00306DA8">
              <w:rPr>
                <w:rFonts w:ascii="ITC Avant Garde" w:eastAsia="Times New Roman" w:hAnsi="ITC Avant Garde" w:cs="Arial"/>
                <w:sz w:val="20"/>
                <w:lang w:val="es-ES" w:eastAsia="es-ES"/>
              </w:rPr>
              <w:t>prestación de servicios</w:t>
            </w:r>
            <w:r w:rsidR="00306DA8" w:rsidRPr="008609D1">
              <w:rPr>
                <w:rFonts w:ascii="ITC Avant Garde" w:eastAsia="Times New Roman" w:hAnsi="ITC Avant Garde" w:cs="Arial"/>
                <w:sz w:val="20"/>
                <w:lang w:val="es-ES" w:eastAsia="es-ES"/>
              </w:rPr>
              <w:t xml:space="preserve"> </w:t>
            </w:r>
            <w:r w:rsidRPr="008609D1">
              <w:rPr>
                <w:rFonts w:ascii="ITC Avant Garde" w:eastAsia="Times New Roman" w:hAnsi="ITC Avant Garde" w:cs="Arial"/>
                <w:sz w:val="20"/>
                <w:lang w:val="es-ES" w:eastAsia="es-ES"/>
              </w:rPr>
              <w:t>de radiodifusión</w:t>
            </w:r>
            <w:r>
              <w:rPr>
                <w:rFonts w:ascii="ITC Avant Garde" w:eastAsia="Times New Roman" w:hAnsi="ITC Avant Garde" w:cs="Arial"/>
                <w:sz w:val="20"/>
                <w:lang w:val="es-ES" w:eastAsia="es-ES"/>
              </w:rPr>
              <w:t>.</w:t>
            </w:r>
          </w:p>
        </w:tc>
      </w:tr>
    </w:tbl>
    <w:p w14:paraId="640809E6" w14:textId="77777777" w:rsidR="003543E0" w:rsidRDefault="003543E0" w:rsidP="007D37BE">
      <w:pPr>
        <w:pStyle w:val="Normalresolucion"/>
      </w:pPr>
    </w:p>
    <w:p w14:paraId="2F1AE8DA" w14:textId="77777777" w:rsidR="00FA4D4D" w:rsidRDefault="00FA4D4D" w:rsidP="007D37BE">
      <w:pPr>
        <w:pStyle w:val="Normalresolucion"/>
      </w:pPr>
    </w:p>
    <w:p w14:paraId="3663B475" w14:textId="77777777" w:rsidR="00FA4D4D" w:rsidRDefault="00FA4D4D" w:rsidP="007D37BE">
      <w:pPr>
        <w:pStyle w:val="Normalresolucion"/>
      </w:pPr>
    </w:p>
    <w:p w14:paraId="23709E0A" w14:textId="77777777" w:rsidR="007D37BE" w:rsidRDefault="007D37BE" w:rsidP="007D37BE">
      <w:pPr>
        <w:pStyle w:val="Normalresolucion"/>
      </w:pPr>
      <w:r w:rsidRPr="008609D1">
        <w:lastRenderedPageBreak/>
        <w:t xml:space="preserve">Listado </w:t>
      </w:r>
      <w:r w:rsidRPr="006D334F">
        <w:rPr>
          <w:bCs/>
        </w:rPr>
        <w:t>mínimo</w:t>
      </w:r>
      <w:r w:rsidRPr="008609D1">
        <w:t xml:space="preserve"> de cuentas de costos a desagregar en el Nivel 1:</w:t>
      </w:r>
    </w:p>
    <w:p w14:paraId="2F5BDFC0" w14:textId="77777777" w:rsidR="00035EFD" w:rsidRDefault="00035EFD" w:rsidP="00035EFD">
      <w:pPr>
        <w:pStyle w:val="Descripcin"/>
        <w:spacing w:after="240" w:line="240" w:lineRule="auto"/>
        <w:rPr>
          <w:rFonts w:ascii="ITC Avant Garde" w:hAnsi="ITC Avant Garde"/>
          <w:iCs/>
          <w:sz w:val="20"/>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Pr="008609D1">
        <w:rPr>
          <w:rFonts w:ascii="ITC Avant Garde" w:hAnsi="ITC Avant Garde"/>
          <w:iCs/>
          <w:noProof/>
          <w:sz w:val="20"/>
          <w:lang w:val="es-MX"/>
        </w:rPr>
        <w:t>16</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de costos a desagregar en el Nivel 1 de operadores de radiodifusión</w:t>
      </w:r>
    </w:p>
    <w:tbl>
      <w:tblPr>
        <w:tblW w:w="5000" w:type="pct"/>
        <w:jc w:val="center"/>
        <w:tblLayout w:type="fixed"/>
        <w:tblCellMar>
          <w:left w:w="70" w:type="dxa"/>
          <w:right w:w="70" w:type="dxa"/>
        </w:tblCellMar>
        <w:tblLook w:val="04A0" w:firstRow="1" w:lastRow="0" w:firstColumn="1" w:lastColumn="0" w:noHBand="0" w:noVBand="1"/>
      </w:tblPr>
      <w:tblGrid>
        <w:gridCol w:w="2404"/>
        <w:gridCol w:w="6429"/>
      </w:tblGrid>
      <w:tr w:rsidR="00ED5896" w:rsidRPr="008609D1" w14:paraId="7E860840" w14:textId="77777777" w:rsidTr="00ED5896">
        <w:trPr>
          <w:trHeight w:val="340"/>
          <w:tblHeader/>
          <w:jc w:val="center"/>
        </w:trPr>
        <w:tc>
          <w:tcPr>
            <w:tcW w:w="1361" w:type="pct"/>
            <w:tcBorders>
              <w:top w:val="nil"/>
              <w:left w:val="single" w:sz="4" w:space="0" w:color="FFFFFF"/>
              <w:bottom w:val="single" w:sz="4" w:space="0" w:color="244062"/>
            </w:tcBorders>
            <w:shd w:val="clear" w:color="auto" w:fill="4F629B"/>
            <w:vAlign w:val="center"/>
            <w:hideMark/>
          </w:tcPr>
          <w:p w14:paraId="326BA52C" w14:textId="77777777" w:rsidR="00ED5896" w:rsidRPr="008609D1" w:rsidRDefault="00ED5896" w:rsidP="004B3901">
            <w:pPr>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Categoría</w:t>
            </w:r>
          </w:p>
        </w:tc>
        <w:tc>
          <w:tcPr>
            <w:tcW w:w="3639" w:type="pct"/>
            <w:tcBorders>
              <w:top w:val="nil"/>
              <w:bottom w:val="single" w:sz="4" w:space="0" w:color="244062"/>
            </w:tcBorders>
            <w:shd w:val="clear" w:color="auto" w:fill="4F629B"/>
            <w:vAlign w:val="center"/>
            <w:hideMark/>
          </w:tcPr>
          <w:p w14:paraId="66AC6405" w14:textId="77777777" w:rsidR="00ED5896" w:rsidRPr="008609D1" w:rsidRDefault="00ED5896" w:rsidP="004B3901">
            <w:pPr>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Descripción</w:t>
            </w:r>
          </w:p>
        </w:tc>
      </w:tr>
      <w:tr w:rsidR="00ED5896" w:rsidRPr="008609D1" w14:paraId="116E050B" w14:textId="77777777" w:rsidTr="00ED5896">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14:paraId="76F789CA" w14:textId="77777777" w:rsidR="00ED5896" w:rsidRPr="008609D1" w:rsidRDefault="00ED5896"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operativos</w:t>
            </w:r>
          </w:p>
        </w:tc>
      </w:tr>
      <w:tr w:rsidR="00ED5896" w:rsidRPr="008609D1" w14:paraId="6171DB6A"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44C437CF"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Programación</w:t>
            </w:r>
          </w:p>
        </w:tc>
        <w:tc>
          <w:tcPr>
            <w:tcW w:w="3639" w:type="pct"/>
            <w:tcBorders>
              <w:top w:val="single" w:sz="4" w:space="0" w:color="244062"/>
              <w:bottom w:val="single" w:sz="4" w:space="0" w:color="244062"/>
            </w:tcBorders>
            <w:vAlign w:val="center"/>
            <w:hideMark/>
          </w:tcPr>
          <w:p w14:paraId="369DDE9C"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 la compra de contenidos audiovisuales para su retransmisión.</w:t>
            </w:r>
          </w:p>
        </w:tc>
      </w:tr>
      <w:tr w:rsidR="00ED5896" w:rsidRPr="008609D1" w14:paraId="0480A860"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67FB5C0E"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Personal</w:t>
            </w:r>
          </w:p>
        </w:tc>
        <w:tc>
          <w:tcPr>
            <w:tcW w:w="3639" w:type="pct"/>
            <w:tcBorders>
              <w:top w:val="single" w:sz="4" w:space="0" w:color="244062"/>
              <w:bottom w:val="single" w:sz="4" w:space="0" w:color="244062"/>
            </w:tcBorders>
            <w:vAlign w:val="center"/>
            <w:hideMark/>
          </w:tcPr>
          <w:p w14:paraId="31076A2A"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de sueldos y salarios, incentivos, aportaciones a planes de pensiones y costos de la seguridad social</w:t>
            </w:r>
            <w:r>
              <w:rPr>
                <w:rFonts w:ascii="ITC Avant Garde" w:eastAsia="Times New Roman" w:hAnsi="ITC Avant Garde" w:cs="Arial"/>
                <w:sz w:val="20"/>
                <w:lang w:val="es-ES" w:eastAsia="es-ES"/>
              </w:rPr>
              <w:t>.</w:t>
            </w:r>
          </w:p>
        </w:tc>
      </w:tr>
      <w:tr w:rsidR="00ED5896" w:rsidRPr="008609D1" w14:paraId="0CE85A8A"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56C8198E"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Arrendamientos</w:t>
            </w:r>
          </w:p>
        </w:tc>
        <w:tc>
          <w:tcPr>
            <w:tcW w:w="3639" w:type="pct"/>
            <w:tcBorders>
              <w:top w:val="single" w:sz="4" w:space="0" w:color="244062"/>
              <w:bottom w:val="single" w:sz="4" w:space="0" w:color="244062"/>
            </w:tcBorders>
            <w:vAlign w:val="center"/>
            <w:hideMark/>
          </w:tcPr>
          <w:p w14:paraId="55893CA5"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de alquiler de emplazamientos, edificios, circuitos de red, etc.</w:t>
            </w:r>
          </w:p>
        </w:tc>
      </w:tr>
      <w:tr w:rsidR="00ED5896" w:rsidRPr="008609D1" w14:paraId="0C856C51"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48E61661" w14:textId="03E1934F"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Reparaciones y </w:t>
            </w:r>
            <w:r>
              <w:rPr>
                <w:rFonts w:ascii="ITC Avant Garde" w:eastAsia="Times New Roman" w:hAnsi="ITC Avant Garde" w:cs="Arial"/>
                <w:sz w:val="20"/>
                <w:lang w:val="es-ES" w:eastAsia="es-ES"/>
              </w:rPr>
              <w:t>mantenimiento</w:t>
            </w:r>
          </w:p>
        </w:tc>
        <w:tc>
          <w:tcPr>
            <w:tcW w:w="3639" w:type="pct"/>
            <w:tcBorders>
              <w:top w:val="single" w:sz="4" w:space="0" w:color="244062"/>
              <w:bottom w:val="single" w:sz="4" w:space="0" w:color="244062"/>
            </w:tcBorders>
            <w:vAlign w:val="center"/>
            <w:hideMark/>
          </w:tcPr>
          <w:p w14:paraId="3DF5748F" w14:textId="7FDD0268" w:rsidR="00ED5896" w:rsidRPr="008609D1" w:rsidRDefault="00ED5896" w:rsidP="000D4F7A">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Costos de reparaciones y </w:t>
            </w:r>
            <w:r>
              <w:rPr>
                <w:rFonts w:ascii="ITC Avant Garde" w:eastAsia="Times New Roman" w:hAnsi="ITC Avant Garde" w:cs="Arial"/>
                <w:sz w:val="20"/>
                <w:lang w:val="es-ES" w:eastAsia="es-ES"/>
              </w:rPr>
              <w:t>mantenimiento</w:t>
            </w:r>
            <w:r w:rsidRPr="008609D1">
              <w:rPr>
                <w:rFonts w:ascii="ITC Avant Garde" w:eastAsia="Times New Roman" w:hAnsi="ITC Avant Garde" w:cs="Arial"/>
                <w:sz w:val="20"/>
                <w:lang w:val="es-ES" w:eastAsia="es-ES"/>
              </w:rPr>
              <w:t xml:space="preserve"> de los elementos de red y elementos no relacionados con la red.</w:t>
            </w:r>
          </w:p>
        </w:tc>
      </w:tr>
      <w:tr w:rsidR="00ED5896" w:rsidRPr="008609D1" w14:paraId="379257F7"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75991525"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Energía</w:t>
            </w:r>
          </w:p>
        </w:tc>
        <w:tc>
          <w:tcPr>
            <w:tcW w:w="3639" w:type="pct"/>
            <w:tcBorders>
              <w:top w:val="single" w:sz="4" w:space="0" w:color="244062"/>
              <w:bottom w:val="single" w:sz="4" w:space="0" w:color="244062"/>
            </w:tcBorders>
            <w:vAlign w:val="center"/>
            <w:hideMark/>
          </w:tcPr>
          <w:p w14:paraId="0CCD35B7"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Contiene los costos derivados del uso de energía eléctrica por el operador</w:t>
            </w:r>
            <w:r>
              <w:rPr>
                <w:rFonts w:ascii="ITC Avant Garde" w:eastAsia="Times New Roman" w:hAnsi="ITC Avant Garde" w:cs="Arial"/>
                <w:sz w:val="20"/>
                <w:lang w:val="es-ES" w:eastAsia="es-ES"/>
              </w:rPr>
              <w:t>.</w:t>
            </w:r>
          </w:p>
        </w:tc>
      </w:tr>
      <w:tr w:rsidR="00ED5896" w:rsidRPr="008609D1" w14:paraId="21F1F00E"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04457833"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profesionales</w:t>
            </w:r>
          </w:p>
        </w:tc>
        <w:tc>
          <w:tcPr>
            <w:tcW w:w="3639" w:type="pct"/>
            <w:tcBorders>
              <w:top w:val="single" w:sz="4" w:space="0" w:color="244062"/>
              <w:bottom w:val="single" w:sz="4" w:space="0" w:color="244062"/>
            </w:tcBorders>
            <w:vAlign w:val="center"/>
            <w:hideMark/>
          </w:tcPr>
          <w:p w14:paraId="7820EB5B"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de costos a profesiones (auditores, consultores, etc.) y por servicios suplementarios o contenidos a terceros</w:t>
            </w:r>
            <w:r>
              <w:rPr>
                <w:rFonts w:ascii="ITC Avant Garde" w:eastAsia="Times New Roman" w:hAnsi="ITC Avant Garde" w:cs="Arial"/>
                <w:sz w:val="20"/>
                <w:lang w:val="es-ES" w:eastAsia="es-ES"/>
              </w:rPr>
              <w:t>.</w:t>
            </w:r>
          </w:p>
        </w:tc>
      </w:tr>
      <w:tr w:rsidR="00ED5896" w:rsidRPr="008609D1" w14:paraId="71747DA2"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59931570"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Publicidad</w:t>
            </w:r>
          </w:p>
        </w:tc>
        <w:tc>
          <w:tcPr>
            <w:tcW w:w="3639" w:type="pct"/>
            <w:tcBorders>
              <w:top w:val="single" w:sz="4" w:space="0" w:color="244062"/>
              <w:bottom w:val="single" w:sz="4" w:space="0" w:color="244062"/>
            </w:tcBorders>
            <w:vAlign w:val="center"/>
            <w:hideMark/>
          </w:tcPr>
          <w:p w14:paraId="7AAA470B"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Compra de espacios publicitarios y patrocinios, campañas publicitarias, eventos, ferias y exposiciones, etc.</w:t>
            </w:r>
          </w:p>
        </w:tc>
      </w:tr>
      <w:tr w:rsidR="00ED5896" w:rsidRPr="008609D1" w14:paraId="48B19504"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1D04ADCF"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Suministros</w:t>
            </w:r>
          </w:p>
        </w:tc>
        <w:tc>
          <w:tcPr>
            <w:tcW w:w="3639" w:type="pct"/>
            <w:tcBorders>
              <w:top w:val="single" w:sz="4" w:space="0" w:color="244062"/>
              <w:bottom w:val="single" w:sz="4" w:space="0" w:color="244062"/>
            </w:tcBorders>
            <w:vAlign w:val="center"/>
            <w:hideMark/>
          </w:tcPr>
          <w:p w14:paraId="578C9EB6"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al alquiler de circuitos y otros suministros</w:t>
            </w:r>
            <w:r>
              <w:rPr>
                <w:rFonts w:ascii="ITC Avant Garde" w:eastAsia="Times New Roman" w:hAnsi="ITC Avant Garde" w:cs="Arial"/>
                <w:sz w:val="20"/>
                <w:lang w:val="es-ES" w:eastAsia="es-ES"/>
              </w:rPr>
              <w:t>.</w:t>
            </w:r>
          </w:p>
        </w:tc>
      </w:tr>
      <w:tr w:rsidR="00ED5896" w:rsidRPr="008609D1" w14:paraId="6E263A24"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5FAE9FAE"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Tasas e impuestos</w:t>
            </w:r>
          </w:p>
        </w:tc>
        <w:tc>
          <w:tcPr>
            <w:tcW w:w="3639" w:type="pct"/>
            <w:tcBorders>
              <w:top w:val="single" w:sz="4" w:space="0" w:color="244062"/>
              <w:bottom w:val="single" w:sz="4" w:space="0" w:color="244062"/>
            </w:tcBorders>
            <w:vAlign w:val="center"/>
            <w:hideMark/>
          </w:tcPr>
          <w:p w14:paraId="4930BF43"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ED5896" w:rsidRPr="008609D1" w14:paraId="79940C37"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4B9157E3"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Inventarios</w:t>
            </w:r>
          </w:p>
        </w:tc>
        <w:tc>
          <w:tcPr>
            <w:tcW w:w="3639" w:type="pct"/>
            <w:tcBorders>
              <w:top w:val="single" w:sz="4" w:space="0" w:color="244062"/>
              <w:bottom w:val="single" w:sz="4" w:space="0" w:color="244062"/>
            </w:tcBorders>
            <w:vAlign w:val="center"/>
            <w:hideMark/>
          </w:tcPr>
          <w:p w14:paraId="21E56D05"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la variación de inventarios</w:t>
            </w:r>
            <w:r>
              <w:rPr>
                <w:rFonts w:ascii="ITC Avant Garde" w:eastAsia="Times New Roman" w:hAnsi="ITC Avant Garde" w:cs="Arial"/>
                <w:sz w:val="20"/>
                <w:lang w:val="es-ES" w:eastAsia="es-ES"/>
              </w:rPr>
              <w:t>.</w:t>
            </w:r>
          </w:p>
        </w:tc>
      </w:tr>
      <w:tr w:rsidR="00ED5896" w:rsidRPr="008609D1" w14:paraId="0233A0BD"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3FA58B0C"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costos por operaciones</w:t>
            </w:r>
          </w:p>
        </w:tc>
        <w:tc>
          <w:tcPr>
            <w:tcW w:w="3639" w:type="pct"/>
            <w:tcBorders>
              <w:top w:val="single" w:sz="4" w:space="0" w:color="244062"/>
              <w:bottom w:val="single" w:sz="4" w:space="0" w:color="244062"/>
            </w:tcBorders>
            <w:vAlign w:val="center"/>
            <w:hideMark/>
          </w:tcPr>
          <w:p w14:paraId="4CD428F2"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la subcontratación de determinados servicios, costos de facturación, etc.</w:t>
            </w:r>
          </w:p>
        </w:tc>
      </w:tr>
      <w:tr w:rsidR="00ED5896" w:rsidRPr="008609D1" w14:paraId="455277BD" w14:textId="77777777" w:rsidTr="00ED5896">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14:paraId="11AA1774" w14:textId="77777777" w:rsidR="00ED5896" w:rsidRPr="008609D1" w:rsidRDefault="00ED5896"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asociados al capital</w:t>
            </w:r>
          </w:p>
        </w:tc>
      </w:tr>
      <w:tr w:rsidR="00ED5896" w:rsidRPr="008609D1" w14:paraId="4AC19E62"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07C859CB"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Propiedad industrial</w:t>
            </w:r>
          </w:p>
        </w:tc>
        <w:tc>
          <w:tcPr>
            <w:tcW w:w="3639" w:type="pct"/>
            <w:tcBorders>
              <w:top w:val="single" w:sz="4" w:space="0" w:color="244062"/>
              <w:bottom w:val="single" w:sz="4" w:space="0" w:color="244062"/>
            </w:tcBorders>
            <w:vAlign w:val="center"/>
            <w:hideMark/>
          </w:tcPr>
          <w:p w14:paraId="2C2962D7"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al distintivo comercial y la marca</w:t>
            </w:r>
            <w:r>
              <w:rPr>
                <w:rFonts w:ascii="ITC Avant Garde" w:eastAsia="Times New Roman" w:hAnsi="ITC Avant Garde" w:cs="Arial"/>
                <w:sz w:val="20"/>
                <w:lang w:val="es-ES" w:eastAsia="es-ES"/>
              </w:rPr>
              <w:t>.</w:t>
            </w:r>
          </w:p>
        </w:tc>
      </w:tr>
      <w:tr w:rsidR="00ED5896" w:rsidRPr="008609D1" w14:paraId="55CBF2A0"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00E5EC00"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Derechos de transmisión y programación</w:t>
            </w:r>
          </w:p>
        </w:tc>
        <w:tc>
          <w:tcPr>
            <w:tcW w:w="3639" w:type="pct"/>
            <w:tcBorders>
              <w:top w:val="single" w:sz="4" w:space="0" w:color="244062"/>
              <w:bottom w:val="single" w:sz="4" w:space="0" w:color="244062"/>
            </w:tcBorders>
            <w:vAlign w:val="center"/>
            <w:hideMark/>
          </w:tcPr>
          <w:p w14:paraId="0F9B59AD"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 la adquisición de derechos para la transmisión de contenidos audiovisuales y producción de programas</w:t>
            </w:r>
            <w:r>
              <w:rPr>
                <w:rFonts w:ascii="ITC Avant Garde" w:eastAsia="Times New Roman" w:hAnsi="ITC Avant Garde" w:cs="Arial"/>
                <w:sz w:val="20"/>
                <w:lang w:val="es-ES" w:eastAsia="es-ES"/>
              </w:rPr>
              <w:t>.</w:t>
            </w:r>
          </w:p>
        </w:tc>
      </w:tr>
      <w:tr w:rsidR="00ED5896" w:rsidRPr="008609D1" w14:paraId="1AB6A535"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0C27D2FC"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Aplicaciones informáticas</w:t>
            </w:r>
          </w:p>
        </w:tc>
        <w:tc>
          <w:tcPr>
            <w:tcW w:w="3639" w:type="pct"/>
            <w:tcBorders>
              <w:top w:val="single" w:sz="4" w:space="0" w:color="244062"/>
              <w:bottom w:val="single" w:sz="4" w:space="0" w:color="244062"/>
            </w:tcBorders>
            <w:vAlign w:val="center"/>
            <w:hideMark/>
          </w:tcPr>
          <w:p w14:paraId="6ED5CA16"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Contiene los costos de los elementos </w:t>
            </w:r>
            <w:r>
              <w:rPr>
                <w:rFonts w:ascii="ITC Avant Garde" w:eastAsia="Times New Roman" w:hAnsi="ITC Avant Garde" w:cs="Arial"/>
                <w:sz w:val="20"/>
                <w:lang w:val="es-ES" w:eastAsia="es-ES"/>
              </w:rPr>
              <w:t xml:space="preserve">de </w:t>
            </w:r>
            <w:r w:rsidRPr="008609D1">
              <w:rPr>
                <w:rFonts w:ascii="ITC Avant Garde" w:eastAsia="Times New Roman" w:hAnsi="ITC Avant Garde" w:cs="Arial"/>
                <w:sz w:val="20"/>
                <w:lang w:val="es-ES" w:eastAsia="es-ES"/>
              </w:rPr>
              <w:t>software de equipos de red y de los sistemas informáticos corporativos</w:t>
            </w:r>
            <w:r>
              <w:rPr>
                <w:rFonts w:ascii="ITC Avant Garde" w:eastAsia="Times New Roman" w:hAnsi="ITC Avant Garde" w:cs="Arial"/>
                <w:sz w:val="20"/>
                <w:lang w:val="es-ES" w:eastAsia="es-ES"/>
              </w:rPr>
              <w:t>.</w:t>
            </w:r>
          </w:p>
        </w:tc>
      </w:tr>
      <w:tr w:rsidR="00ED5896" w:rsidRPr="008609D1" w14:paraId="618C8449"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6BEC956D"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Terrenos y construcciones</w:t>
            </w:r>
          </w:p>
        </w:tc>
        <w:tc>
          <w:tcPr>
            <w:tcW w:w="3639" w:type="pct"/>
            <w:tcBorders>
              <w:top w:val="single" w:sz="4" w:space="0" w:color="244062"/>
              <w:bottom w:val="single" w:sz="4" w:space="0" w:color="244062"/>
            </w:tcBorders>
            <w:vAlign w:val="center"/>
            <w:hideMark/>
          </w:tcPr>
          <w:p w14:paraId="6E2D791F"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Recoge los costos relacionados al capital de los bienes raíces (terrenos baldíos, edificios, etc.)</w:t>
            </w:r>
            <w:r>
              <w:rPr>
                <w:rFonts w:ascii="ITC Avant Garde" w:eastAsia="Times New Roman" w:hAnsi="ITC Avant Garde" w:cs="Arial"/>
                <w:sz w:val="20"/>
                <w:lang w:val="es-ES" w:eastAsia="es-ES"/>
              </w:rPr>
              <w:t>.</w:t>
            </w:r>
          </w:p>
        </w:tc>
      </w:tr>
      <w:tr w:rsidR="00ED5896" w:rsidRPr="008609D1" w14:paraId="18B7E5CD"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66BBBF41"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Sistemas de alimentación de energía</w:t>
            </w:r>
          </w:p>
        </w:tc>
        <w:tc>
          <w:tcPr>
            <w:tcW w:w="3639" w:type="pct"/>
            <w:tcBorders>
              <w:top w:val="single" w:sz="4" w:space="0" w:color="244062"/>
              <w:bottom w:val="single" w:sz="4" w:space="0" w:color="244062"/>
            </w:tcBorders>
            <w:vAlign w:val="center"/>
          </w:tcPr>
          <w:p w14:paraId="4BA51F8B"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asociados a la planta de energía requerida para la puesta en funcionamiento de los equipos de red</w:t>
            </w:r>
            <w:r>
              <w:rPr>
                <w:rFonts w:ascii="ITC Avant Garde" w:eastAsia="Times New Roman" w:hAnsi="ITC Avant Garde" w:cs="Arial"/>
                <w:sz w:val="20"/>
                <w:lang w:val="es-ES" w:eastAsia="es-ES"/>
              </w:rPr>
              <w:t>.</w:t>
            </w:r>
          </w:p>
        </w:tc>
      </w:tr>
      <w:tr w:rsidR="00ED5896" w:rsidRPr="008609D1" w14:paraId="7C49E30D"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61F795D4" w14:textId="77777777" w:rsidR="00ED5896" w:rsidRPr="008609D1" w:rsidRDefault="00ED5896" w:rsidP="001735D4">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Red de acceso</w:t>
            </w:r>
          </w:p>
        </w:tc>
        <w:tc>
          <w:tcPr>
            <w:tcW w:w="3639" w:type="pct"/>
            <w:tcBorders>
              <w:top w:val="single" w:sz="4" w:space="0" w:color="244062"/>
              <w:bottom w:val="single" w:sz="4" w:space="0" w:color="244062"/>
            </w:tcBorders>
            <w:vAlign w:val="center"/>
          </w:tcPr>
          <w:p w14:paraId="723BD43B"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relativos a la red de acceso del operador, incluyendo la infraestructura pasiva, elementos activos, etc.</w:t>
            </w:r>
          </w:p>
        </w:tc>
      </w:tr>
      <w:tr w:rsidR="00ED5896" w:rsidRPr="008609D1" w14:paraId="45A19582"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3998613C" w14:textId="77777777" w:rsidR="00ED5896" w:rsidRPr="008609D1" w:rsidRDefault="00ED5896" w:rsidP="001735D4">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Red de distribución y cabecera</w:t>
            </w:r>
          </w:p>
        </w:tc>
        <w:tc>
          <w:tcPr>
            <w:tcW w:w="3639" w:type="pct"/>
            <w:tcBorders>
              <w:top w:val="single" w:sz="4" w:space="0" w:color="244062"/>
              <w:bottom w:val="single" w:sz="4" w:space="0" w:color="244062"/>
            </w:tcBorders>
            <w:vAlign w:val="center"/>
          </w:tcPr>
          <w:p w14:paraId="25D709D9" w14:textId="5CB23F46" w:rsidR="00ED5896" w:rsidRPr="008609D1" w:rsidRDefault="00ED5896" w:rsidP="004B3901">
            <w:pPr>
              <w:spacing w:before="40" w:after="40" w:line="240" w:lineRule="auto"/>
              <w:rPr>
                <w:rFonts w:ascii="ITC Avant Garde" w:hAnsi="ITC Avant Garde"/>
                <w:sz w:val="20"/>
                <w:lang w:val="es-ES"/>
              </w:rPr>
            </w:pPr>
            <w:r w:rsidRPr="008609D1">
              <w:rPr>
                <w:rFonts w:ascii="ITC Avant Garde" w:hAnsi="ITC Avant Garde"/>
                <w:sz w:val="20"/>
                <w:lang w:val="es-ES"/>
              </w:rPr>
              <w:t xml:space="preserve">Costos relacionados con los elementos y plataformas para la distribución y gestión de la señal de </w:t>
            </w:r>
            <w:r>
              <w:rPr>
                <w:rFonts w:ascii="ITC Avant Garde" w:hAnsi="ITC Avant Garde"/>
                <w:sz w:val="20"/>
                <w:lang w:val="es-ES"/>
              </w:rPr>
              <w:t>televisión.</w:t>
            </w:r>
          </w:p>
        </w:tc>
      </w:tr>
      <w:tr w:rsidR="00ED5896" w:rsidRPr="008609D1" w14:paraId="01A097A4"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62F18799" w14:textId="77777777" w:rsidR="00ED5896" w:rsidRPr="008609D1" w:rsidRDefault="00ED5896" w:rsidP="001735D4">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val="es-ES" w:eastAsia="es-ES"/>
              </w:rPr>
              <w:lastRenderedPageBreak/>
              <w:t>Otros equipos de soporte</w:t>
            </w:r>
          </w:p>
        </w:tc>
        <w:tc>
          <w:tcPr>
            <w:tcW w:w="3639" w:type="pct"/>
            <w:tcBorders>
              <w:top w:val="single" w:sz="4" w:space="0" w:color="244062"/>
              <w:bottom w:val="single" w:sz="4" w:space="0" w:color="244062"/>
            </w:tcBorders>
            <w:vAlign w:val="center"/>
          </w:tcPr>
          <w:p w14:paraId="66EBDD95"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Incluye otros equipos de soporte necesarios para el desarrollo de la actividad de radiodifusión</w:t>
            </w:r>
            <w:r>
              <w:rPr>
                <w:rFonts w:ascii="ITC Avant Garde" w:eastAsia="Times New Roman" w:hAnsi="ITC Avant Garde" w:cs="Arial"/>
                <w:sz w:val="20"/>
                <w:lang w:val="es-ES" w:eastAsia="es-ES"/>
              </w:rPr>
              <w:t>.</w:t>
            </w:r>
          </w:p>
        </w:tc>
      </w:tr>
      <w:tr w:rsidR="00ED5896" w:rsidRPr="008609D1" w14:paraId="07A1F25B"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08E62162"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Activos accesorios</w:t>
            </w:r>
          </w:p>
        </w:tc>
        <w:tc>
          <w:tcPr>
            <w:tcW w:w="3639" w:type="pct"/>
            <w:tcBorders>
              <w:top w:val="single" w:sz="4" w:space="0" w:color="244062"/>
              <w:bottom w:val="single" w:sz="4" w:space="0" w:color="244062"/>
            </w:tcBorders>
            <w:vAlign w:val="center"/>
            <w:hideMark/>
          </w:tcPr>
          <w:p w14:paraId="7F9B65EB"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Recoge los costos asociados a elementos de soporte a las operaciones tales como mobiliario, herramientas y elementos de transporte</w:t>
            </w:r>
            <w:r>
              <w:rPr>
                <w:rFonts w:ascii="ITC Avant Garde" w:eastAsia="Times New Roman" w:hAnsi="ITC Avant Garde" w:cs="Arial"/>
                <w:sz w:val="20"/>
                <w:lang w:val="es-ES" w:eastAsia="es-ES"/>
              </w:rPr>
              <w:t>.</w:t>
            </w:r>
          </w:p>
        </w:tc>
      </w:tr>
      <w:tr w:rsidR="00ED5896" w:rsidRPr="008609D1" w14:paraId="783C19F5" w14:textId="77777777" w:rsidTr="00ED5896">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14:paraId="6ADB403B" w14:textId="77777777" w:rsidR="00ED5896" w:rsidRPr="008609D1" w:rsidRDefault="00ED5896" w:rsidP="001735D4">
            <w:pPr>
              <w:spacing w:before="40" w:after="6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Activo y pasivo circulante</w:t>
            </w:r>
          </w:p>
        </w:tc>
      </w:tr>
      <w:tr w:rsidR="00ED5896" w:rsidRPr="008609D1" w14:paraId="03F773BA"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34BCB607"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Efectivo y equivalentes</w:t>
            </w:r>
          </w:p>
        </w:tc>
        <w:tc>
          <w:tcPr>
            <w:tcW w:w="3639" w:type="pct"/>
            <w:tcBorders>
              <w:top w:val="single" w:sz="4" w:space="0" w:color="244062"/>
              <w:bottom w:val="single" w:sz="4" w:space="0" w:color="244062"/>
            </w:tcBorders>
            <w:shd w:val="clear" w:color="auto" w:fill="auto"/>
            <w:vAlign w:val="center"/>
          </w:tcPr>
          <w:p w14:paraId="46A00548"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Aquellos bienes que proporcionan liquidez inmediata al operador necesaria para realizar sus operaciones en el sector de radiodifusión</w:t>
            </w:r>
            <w:r>
              <w:rPr>
                <w:rFonts w:ascii="ITC Avant Garde" w:eastAsia="Times New Roman" w:hAnsi="ITC Avant Garde" w:cs="Arial"/>
                <w:sz w:val="20"/>
                <w:lang w:val="es-ES" w:eastAsia="es-ES"/>
              </w:rPr>
              <w:t>.</w:t>
            </w:r>
          </w:p>
        </w:tc>
      </w:tr>
      <w:tr w:rsidR="00ED5896" w:rsidRPr="008609D1" w14:paraId="67856922"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471F4E82" w14:textId="77777777" w:rsidR="00ED5896" w:rsidRPr="008609D1" w:rsidRDefault="00ED5896" w:rsidP="001735D4">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Cuentas por cobrar</w:t>
            </w:r>
          </w:p>
        </w:tc>
        <w:tc>
          <w:tcPr>
            <w:tcW w:w="3639" w:type="pct"/>
            <w:tcBorders>
              <w:top w:val="single" w:sz="4" w:space="0" w:color="244062"/>
              <w:bottom w:val="single" w:sz="4" w:space="0" w:color="244062"/>
            </w:tcBorders>
            <w:shd w:val="clear" w:color="auto" w:fill="auto"/>
            <w:vAlign w:val="center"/>
          </w:tcPr>
          <w:p w14:paraId="1713A3F3"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que recibirá el operador por la provisión de servicios a clientes a través de crédito documentado</w:t>
            </w:r>
            <w:r>
              <w:rPr>
                <w:rFonts w:ascii="ITC Avant Garde" w:eastAsia="Times New Roman" w:hAnsi="ITC Avant Garde" w:cs="Arial"/>
                <w:sz w:val="20"/>
                <w:lang w:val="es-ES" w:eastAsia="es-ES"/>
              </w:rPr>
              <w:t>.</w:t>
            </w:r>
          </w:p>
        </w:tc>
      </w:tr>
      <w:tr w:rsidR="00ED5896" w:rsidRPr="008609D1" w14:paraId="6E26E285"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041F1E9D" w14:textId="77777777" w:rsidR="00ED5896" w:rsidRPr="008609D1" w:rsidRDefault="00ED5896" w:rsidP="001735D4">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Inventarios</w:t>
            </w:r>
          </w:p>
        </w:tc>
        <w:tc>
          <w:tcPr>
            <w:tcW w:w="3639" w:type="pct"/>
            <w:tcBorders>
              <w:top w:val="single" w:sz="4" w:space="0" w:color="244062"/>
              <w:bottom w:val="single" w:sz="4" w:space="0" w:color="244062"/>
            </w:tcBorders>
            <w:shd w:val="clear" w:color="auto" w:fill="auto"/>
            <w:vAlign w:val="center"/>
          </w:tcPr>
          <w:p w14:paraId="38E617AC"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Aquellas mercancías provistas por el operador que se encuentran listas para su venta.</w:t>
            </w:r>
          </w:p>
        </w:tc>
      </w:tr>
      <w:tr w:rsidR="00ED5896" w:rsidRPr="008609D1" w14:paraId="370928FA"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64CCFBA1" w14:textId="77777777" w:rsidR="00ED5896" w:rsidRPr="008609D1" w:rsidRDefault="00ED5896" w:rsidP="001735D4">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Otro activo circulante</w:t>
            </w:r>
          </w:p>
        </w:tc>
        <w:tc>
          <w:tcPr>
            <w:tcW w:w="3639" w:type="pct"/>
            <w:tcBorders>
              <w:top w:val="single" w:sz="4" w:space="0" w:color="244062"/>
              <w:bottom w:val="single" w:sz="4" w:space="0" w:color="244062"/>
            </w:tcBorders>
            <w:shd w:val="clear" w:color="auto" w:fill="auto"/>
            <w:vAlign w:val="center"/>
          </w:tcPr>
          <w:p w14:paraId="26DE3E4F"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 activo circulante del operador necesario para el desarrollo de sus operaciones en el sector de radiodifusión</w:t>
            </w:r>
            <w:r>
              <w:rPr>
                <w:rFonts w:ascii="ITC Avant Garde" w:eastAsia="Times New Roman" w:hAnsi="ITC Avant Garde" w:cs="Arial"/>
                <w:sz w:val="20"/>
                <w:lang w:val="es-ES" w:eastAsia="es-ES"/>
              </w:rPr>
              <w:t>.</w:t>
            </w:r>
          </w:p>
        </w:tc>
      </w:tr>
      <w:tr w:rsidR="00ED5896" w:rsidRPr="008609D1" w14:paraId="32C06799"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7575D536" w14:textId="77777777" w:rsidR="00ED5896" w:rsidRPr="008609D1" w:rsidRDefault="00ED5896" w:rsidP="001735D4">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Deudas a proveedores (corto plazo)</w:t>
            </w:r>
          </w:p>
        </w:tc>
        <w:tc>
          <w:tcPr>
            <w:tcW w:w="3639" w:type="pct"/>
            <w:tcBorders>
              <w:top w:val="single" w:sz="4" w:space="0" w:color="244062"/>
              <w:bottom w:val="single" w:sz="4" w:space="0" w:color="244062"/>
            </w:tcBorders>
            <w:shd w:val="clear" w:color="auto" w:fill="auto"/>
            <w:vAlign w:val="center"/>
          </w:tcPr>
          <w:p w14:paraId="44816304"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Deuda a corto plazo (menor a un año) que tiene la empresa con proveedores, así como la porción de deuda a largo plazo que se debe pagar durante este periodo.</w:t>
            </w:r>
          </w:p>
        </w:tc>
      </w:tr>
      <w:tr w:rsidR="00ED5896" w:rsidRPr="008609D1" w14:paraId="500F9FC4"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1A531594" w14:textId="77777777" w:rsidR="00ED5896" w:rsidRPr="008609D1" w:rsidRDefault="00ED5896" w:rsidP="001735D4">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Ingresos diferidos</w:t>
            </w:r>
          </w:p>
        </w:tc>
        <w:tc>
          <w:tcPr>
            <w:tcW w:w="3639" w:type="pct"/>
            <w:tcBorders>
              <w:top w:val="single" w:sz="4" w:space="0" w:color="244062"/>
              <w:bottom w:val="single" w:sz="4" w:space="0" w:color="244062"/>
            </w:tcBorders>
            <w:shd w:val="clear" w:color="auto" w:fill="auto"/>
            <w:vAlign w:val="center"/>
          </w:tcPr>
          <w:p w14:paraId="006F7CB3"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Son los ingresos que la empresa ya recibió por parte de los clientes, mientras que los servicios por dichos ingresos no han sido proporcionados.</w:t>
            </w:r>
          </w:p>
        </w:tc>
      </w:tr>
      <w:tr w:rsidR="00ED5896" w:rsidRPr="008609D1" w14:paraId="26BE203A"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0270F9A6" w14:textId="77777777" w:rsidR="00ED5896" w:rsidRPr="008609D1" w:rsidRDefault="00ED5896" w:rsidP="001735D4">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Otro pasivo circulante</w:t>
            </w:r>
          </w:p>
        </w:tc>
        <w:tc>
          <w:tcPr>
            <w:tcW w:w="3639" w:type="pct"/>
            <w:tcBorders>
              <w:top w:val="single" w:sz="4" w:space="0" w:color="244062"/>
              <w:bottom w:val="single" w:sz="4" w:space="0" w:color="244062"/>
            </w:tcBorders>
            <w:shd w:val="clear" w:color="auto" w:fill="auto"/>
            <w:vAlign w:val="center"/>
          </w:tcPr>
          <w:p w14:paraId="43261345"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 pasivo circulante del operador asociado con sus actividades en el sector de radiodifusión</w:t>
            </w:r>
            <w:r>
              <w:rPr>
                <w:rFonts w:ascii="ITC Avant Garde" w:eastAsia="Times New Roman" w:hAnsi="ITC Avant Garde" w:cs="Arial"/>
                <w:sz w:val="20"/>
                <w:lang w:val="es-ES" w:eastAsia="es-ES"/>
              </w:rPr>
              <w:t>.</w:t>
            </w:r>
          </w:p>
        </w:tc>
      </w:tr>
      <w:tr w:rsidR="00ED5896" w:rsidRPr="008609D1" w14:paraId="4ACDFC31" w14:textId="77777777" w:rsidTr="00ED5896">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tcPr>
          <w:p w14:paraId="66E71999" w14:textId="77777777" w:rsidR="00ED5896" w:rsidRPr="008609D1" w:rsidRDefault="00ED5896" w:rsidP="001735D4">
            <w:pPr>
              <w:spacing w:before="40" w:after="6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no relevantes para la separación contable</w:t>
            </w:r>
          </w:p>
        </w:tc>
      </w:tr>
      <w:tr w:rsidR="00ED5896" w:rsidRPr="008609D1" w14:paraId="53CFBFAE"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5B50B612"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financieros</w:t>
            </w:r>
          </w:p>
        </w:tc>
        <w:tc>
          <w:tcPr>
            <w:tcW w:w="3639" w:type="pct"/>
            <w:tcBorders>
              <w:top w:val="single" w:sz="4" w:space="0" w:color="244062"/>
              <w:bottom w:val="single" w:sz="4" w:space="0" w:color="244062"/>
            </w:tcBorders>
            <w:vAlign w:val="center"/>
            <w:hideMark/>
          </w:tcPr>
          <w:p w14:paraId="4265BB50" w14:textId="77777777" w:rsidR="00ED5896" w:rsidRPr="008609D1" w:rsidRDefault="00ED5896"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Gastos por intereses derivados de los préstamos solicitados por la inversión para el conjunto de bienes patrimoniales y resto de costos financieros no asignables a planta</w:t>
            </w:r>
            <w:r>
              <w:rPr>
                <w:rFonts w:ascii="ITC Avant Garde" w:eastAsia="Times New Roman" w:hAnsi="ITC Avant Garde" w:cs="Arial"/>
                <w:sz w:val="20"/>
                <w:lang w:val="es-ES" w:eastAsia="es-ES"/>
              </w:rPr>
              <w:t>.</w:t>
            </w:r>
          </w:p>
        </w:tc>
      </w:tr>
      <w:tr w:rsidR="00ED5896" w:rsidRPr="008609D1" w14:paraId="2B7F9049"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63F96B52"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Ajustes de depreciación</w:t>
            </w:r>
          </w:p>
        </w:tc>
        <w:tc>
          <w:tcPr>
            <w:tcW w:w="3639" w:type="pct"/>
            <w:tcBorders>
              <w:top w:val="single" w:sz="4" w:space="0" w:color="244062"/>
              <w:bottom w:val="single" w:sz="4" w:space="0" w:color="244062"/>
            </w:tcBorders>
            <w:vAlign w:val="center"/>
            <w:hideMark/>
          </w:tcPr>
          <w:p w14:paraId="72972551" w14:textId="77777777" w:rsidR="003543E0" w:rsidRPr="008609D1" w:rsidRDefault="00ED5896">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Recoge los ajustes de la dotación a la amortización de los activos tras su revaluación a la CCA. Estos ajustes, corresponderán a la diferencia, con signo negativo, entre el costo asociado al capital en la contabilidad financiera y la CCA</w:t>
            </w:r>
            <w:r>
              <w:rPr>
                <w:rFonts w:ascii="ITC Avant Garde" w:eastAsia="Times New Roman" w:hAnsi="ITC Avant Garde" w:cs="Arial"/>
                <w:sz w:val="20"/>
                <w:lang w:val="es-ES" w:eastAsia="es-ES"/>
              </w:rPr>
              <w:t>.</w:t>
            </w:r>
          </w:p>
        </w:tc>
      </w:tr>
      <w:tr w:rsidR="00ED5896" w:rsidRPr="008609D1" w14:paraId="177828E1" w14:textId="77777777" w:rsidTr="00ED5896">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57CEFDBC" w14:textId="77777777" w:rsidR="00ED5896" w:rsidRPr="008609D1" w:rsidRDefault="00ED5896"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Otras partidas de costos</w:t>
            </w:r>
          </w:p>
        </w:tc>
        <w:tc>
          <w:tcPr>
            <w:tcW w:w="3639" w:type="pct"/>
            <w:tcBorders>
              <w:top w:val="single" w:sz="4" w:space="0" w:color="244062"/>
              <w:bottom w:val="single" w:sz="4" w:space="0" w:color="244062"/>
            </w:tcBorders>
            <w:vAlign w:val="center"/>
            <w:hideMark/>
          </w:tcPr>
          <w:p w14:paraId="3AE8FE7F" w14:textId="515FCE4E" w:rsidR="00ED5896" w:rsidRPr="008609D1" w:rsidRDefault="00ED5896" w:rsidP="00991F25">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Partidas de costos</w:t>
            </w:r>
            <w:r w:rsidR="00991F25">
              <w:rPr>
                <w:rFonts w:ascii="ITC Avant Garde" w:eastAsia="Times New Roman" w:hAnsi="ITC Avant Garde" w:cs="Arial"/>
                <w:sz w:val="20"/>
                <w:lang w:val="es-ES" w:eastAsia="es-ES"/>
              </w:rPr>
              <w:t xml:space="preserve"> relativas a los servicios no relevantes para </w:t>
            </w:r>
            <w:r w:rsidRPr="008609D1">
              <w:rPr>
                <w:rFonts w:ascii="ITC Avant Garde" w:eastAsia="Times New Roman" w:hAnsi="ITC Avant Garde" w:cs="Arial"/>
                <w:sz w:val="20"/>
                <w:lang w:val="es-ES" w:eastAsia="es-ES"/>
              </w:rPr>
              <w:t>la prestación de los servicios de radiodifusión</w:t>
            </w:r>
            <w:r w:rsidR="00991F25">
              <w:rPr>
                <w:rFonts w:ascii="ITC Avant Garde" w:eastAsia="Times New Roman" w:hAnsi="ITC Avant Garde" w:cs="Arial"/>
                <w:sz w:val="20"/>
                <w:lang w:val="es-ES" w:eastAsia="es-ES"/>
              </w:rPr>
              <w:t>.</w:t>
            </w:r>
          </w:p>
        </w:tc>
      </w:tr>
    </w:tbl>
    <w:p w14:paraId="598278DA" w14:textId="77777777" w:rsidR="003543E0" w:rsidRPr="000B2DD0" w:rsidRDefault="003543E0" w:rsidP="00154F13"/>
    <w:p w14:paraId="5D4F8019" w14:textId="77777777" w:rsidR="007D37BE" w:rsidRDefault="007D37BE" w:rsidP="007D37BE">
      <w:pPr>
        <w:pStyle w:val="Normalresolucion"/>
      </w:pPr>
      <w:r w:rsidRPr="008609D1">
        <w:t xml:space="preserve">Listado </w:t>
      </w:r>
      <w:r w:rsidRPr="006D334F">
        <w:rPr>
          <w:bCs/>
        </w:rPr>
        <w:t>mínimo</w:t>
      </w:r>
      <w:r w:rsidRPr="008609D1">
        <w:t xml:space="preserve"> de cuentas a desagregar en el Nivel 2:</w:t>
      </w:r>
    </w:p>
    <w:p w14:paraId="366B63BA" w14:textId="77777777" w:rsidR="00035EFD" w:rsidRPr="008609D1" w:rsidRDefault="00035EFD" w:rsidP="00035EFD">
      <w:pPr>
        <w:pStyle w:val="Descripcin"/>
        <w:spacing w:after="240" w:line="240" w:lineRule="auto"/>
        <w:rPr>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Pr="008609D1">
        <w:rPr>
          <w:rFonts w:ascii="ITC Avant Garde" w:hAnsi="ITC Avant Garde"/>
          <w:iCs/>
          <w:noProof/>
          <w:sz w:val="20"/>
          <w:lang w:val="es-MX"/>
        </w:rPr>
        <w:t>17</w:t>
      </w:r>
      <w:r w:rsidRPr="006D334F">
        <w:rPr>
          <w:rFonts w:ascii="ITC Avant Garde" w:hAnsi="ITC Avant Garde"/>
          <w:iCs/>
          <w:sz w:val="20"/>
          <w:lang w:val="es-MX"/>
        </w:rPr>
        <w:fldChar w:fldCharType="end"/>
      </w:r>
      <w:r w:rsidRPr="008609D1">
        <w:rPr>
          <w:rFonts w:ascii="ITC Avant Garde" w:hAnsi="ITC Avant Garde"/>
          <w:iCs/>
          <w:sz w:val="20"/>
          <w:lang w:val="es-MX"/>
        </w:rPr>
        <w:t>: Listado mínimo de cuentas a desagregar en el Nivel 2 de operadores de radiodifusión</w:t>
      </w:r>
    </w:p>
    <w:tbl>
      <w:tblPr>
        <w:tblW w:w="5000" w:type="pct"/>
        <w:jc w:val="center"/>
        <w:tblLayout w:type="fixed"/>
        <w:tblCellMar>
          <w:left w:w="70" w:type="dxa"/>
          <w:right w:w="70" w:type="dxa"/>
        </w:tblCellMar>
        <w:tblLook w:val="04A0" w:firstRow="1" w:lastRow="0" w:firstColumn="1" w:lastColumn="0" w:noHBand="0" w:noVBand="1"/>
      </w:tblPr>
      <w:tblGrid>
        <w:gridCol w:w="2404"/>
        <w:gridCol w:w="6429"/>
      </w:tblGrid>
      <w:tr w:rsidR="00132599" w:rsidRPr="008609D1" w14:paraId="6D7E8D5C" w14:textId="77777777" w:rsidTr="00132599">
        <w:trPr>
          <w:trHeight w:val="340"/>
          <w:tblHeader/>
          <w:jc w:val="center"/>
        </w:trPr>
        <w:tc>
          <w:tcPr>
            <w:tcW w:w="1361" w:type="pct"/>
            <w:tcBorders>
              <w:top w:val="nil"/>
              <w:left w:val="single" w:sz="4" w:space="0" w:color="FFFFFF"/>
              <w:bottom w:val="single" w:sz="4" w:space="0" w:color="244062"/>
            </w:tcBorders>
            <w:shd w:val="clear" w:color="auto" w:fill="4F629B"/>
            <w:vAlign w:val="center"/>
            <w:hideMark/>
          </w:tcPr>
          <w:p w14:paraId="4DF21C38" w14:textId="77777777" w:rsidR="00132599" w:rsidRPr="008609D1" w:rsidRDefault="00132599" w:rsidP="004B3901">
            <w:pPr>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Categoría</w:t>
            </w:r>
          </w:p>
        </w:tc>
        <w:tc>
          <w:tcPr>
            <w:tcW w:w="3639" w:type="pct"/>
            <w:tcBorders>
              <w:top w:val="nil"/>
              <w:bottom w:val="single" w:sz="4" w:space="0" w:color="244062"/>
            </w:tcBorders>
            <w:shd w:val="clear" w:color="auto" w:fill="4F629B"/>
            <w:vAlign w:val="center"/>
            <w:hideMark/>
          </w:tcPr>
          <w:p w14:paraId="5C3161B7" w14:textId="77777777" w:rsidR="00132599" w:rsidRPr="008609D1" w:rsidRDefault="00132599" w:rsidP="004B3901">
            <w:pPr>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Descripción</w:t>
            </w:r>
          </w:p>
        </w:tc>
      </w:tr>
      <w:tr w:rsidR="00132599" w:rsidRPr="008609D1" w14:paraId="02269F9C" w14:textId="77777777" w:rsidTr="00132599">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14:paraId="2B01E122" w14:textId="77777777" w:rsidR="00132599" w:rsidRPr="008609D1" w:rsidRDefault="00132599"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Componentes de red</w:t>
            </w:r>
          </w:p>
        </w:tc>
      </w:tr>
      <w:tr w:rsidR="00132599" w:rsidRPr="008609D1" w14:paraId="26E43E18" w14:textId="77777777" w:rsidTr="00132599">
        <w:trPr>
          <w:trHeight w:val="340"/>
          <w:jc w:val="center"/>
        </w:trPr>
        <w:tc>
          <w:tcPr>
            <w:tcW w:w="5000" w:type="pct"/>
            <w:gridSpan w:val="2"/>
            <w:tcBorders>
              <w:top w:val="single" w:sz="4" w:space="0" w:color="244062"/>
              <w:left w:val="nil"/>
              <w:bottom w:val="single" w:sz="4" w:space="0" w:color="244062"/>
            </w:tcBorders>
            <w:shd w:val="clear" w:color="auto" w:fill="FFFFFF" w:themeFill="background1"/>
            <w:noWrap/>
            <w:vAlign w:val="center"/>
            <w:hideMark/>
          </w:tcPr>
          <w:p w14:paraId="1EC5D760" w14:textId="77777777" w:rsidR="00132599" w:rsidRPr="008609D1" w:rsidRDefault="00132599"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Red de acceso</w:t>
            </w:r>
          </w:p>
        </w:tc>
      </w:tr>
      <w:tr w:rsidR="00132599" w:rsidRPr="008609D1" w14:paraId="5ED271B3"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1D2EDC63" w14:textId="77777777" w:rsidR="00132599" w:rsidRPr="006D334F" w:rsidRDefault="00132599" w:rsidP="001735D4">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lastRenderedPageBreak/>
              <w:t>Sitio de transmisión</w:t>
            </w:r>
          </w:p>
        </w:tc>
        <w:tc>
          <w:tcPr>
            <w:tcW w:w="3639" w:type="pct"/>
            <w:tcBorders>
              <w:top w:val="single" w:sz="4" w:space="0" w:color="244062"/>
              <w:bottom w:val="single" w:sz="4" w:space="0" w:color="244062"/>
            </w:tcBorders>
            <w:vAlign w:val="center"/>
            <w:hideMark/>
          </w:tcPr>
          <w:p w14:paraId="540F0227" w14:textId="05C0713D" w:rsidR="00132599" w:rsidRPr="006D334F" w:rsidRDefault="00132599">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Inmueble que contiene al conjunto de equipos y en algunos casos a las antenas, torres, instalaciones de equipo y de alimentaciones conexas, seguridad, equipos auxiliares, espacios físicos salvo estudios, así como fuentes de energía y sistemas de aire acondicionado que son utilizados para proveer el servicio de televisión radiodifundida concesionada y/o radiodifusión sonora.</w:t>
            </w:r>
          </w:p>
        </w:tc>
      </w:tr>
      <w:tr w:rsidR="00132599" w:rsidRPr="008609D1" w14:paraId="2CF8B70D"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4A60D092" w14:textId="77777777" w:rsidR="00132599" w:rsidRPr="006D334F" w:rsidRDefault="00132599" w:rsidP="001735D4">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Sala de trasmisión</w:t>
            </w:r>
          </w:p>
        </w:tc>
        <w:tc>
          <w:tcPr>
            <w:tcW w:w="3639" w:type="pct"/>
            <w:tcBorders>
              <w:top w:val="single" w:sz="4" w:space="0" w:color="244062"/>
              <w:bottom w:val="single" w:sz="4" w:space="0" w:color="244062"/>
            </w:tcBorders>
            <w:vAlign w:val="center"/>
            <w:hideMark/>
          </w:tcPr>
          <w:p w14:paraId="7F2E4422" w14:textId="42C4E6BC" w:rsidR="00132599" w:rsidRPr="006D334F" w:rsidRDefault="00132599" w:rsidP="00A51014">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Lugar ubicado dentro del sitio de transmisión donde se encuentran los equipos de transmisión que permite ofrecer los servicios de televisión radiodifundida concesionada y/o radiodifusión sonora.</w:t>
            </w:r>
          </w:p>
        </w:tc>
      </w:tr>
      <w:tr w:rsidR="00132599" w:rsidRPr="008609D1" w14:paraId="2554402E"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5C933A5F" w14:textId="77777777" w:rsidR="00132599" w:rsidRPr="006D334F" w:rsidRDefault="00132599" w:rsidP="001735D4">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Torres</w:t>
            </w:r>
          </w:p>
        </w:tc>
        <w:tc>
          <w:tcPr>
            <w:tcW w:w="3639" w:type="pct"/>
            <w:tcBorders>
              <w:top w:val="single" w:sz="4" w:space="0" w:color="244062"/>
              <w:bottom w:val="single" w:sz="4" w:space="0" w:color="244062"/>
            </w:tcBorders>
            <w:vAlign w:val="center"/>
            <w:hideMark/>
          </w:tcPr>
          <w:p w14:paraId="173347C0" w14:textId="77777777" w:rsidR="00132599" w:rsidRPr="006D334F" w:rsidRDefault="00132599" w:rsidP="004B3901">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Estructura de material variable que puede fungir como sistema radiador o como soporte para sostener cableado eléctrico, infraestructura o medios de transmisión de telecomunicaciones y/o radiodifusión.</w:t>
            </w:r>
          </w:p>
        </w:tc>
      </w:tr>
      <w:tr w:rsidR="00132599" w:rsidRPr="008609D1" w14:paraId="27D4F5C9"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2C2EFDBA" w14:textId="77777777" w:rsidR="00132599" w:rsidRPr="006D334F" w:rsidRDefault="00132599" w:rsidP="001735D4">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Postes</w:t>
            </w:r>
          </w:p>
        </w:tc>
        <w:tc>
          <w:tcPr>
            <w:tcW w:w="3639" w:type="pct"/>
            <w:tcBorders>
              <w:top w:val="single" w:sz="4" w:space="0" w:color="244062"/>
              <w:bottom w:val="single" w:sz="4" w:space="0" w:color="244062"/>
            </w:tcBorders>
            <w:vAlign w:val="center"/>
            <w:hideMark/>
          </w:tcPr>
          <w:p w14:paraId="21C89A52" w14:textId="77777777" w:rsidR="00132599" w:rsidRPr="006D334F" w:rsidRDefault="00132599" w:rsidP="004B3901">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Estructura que funge como soporte, de material variable, utilizada para el tendido de cableado eléctrico y de telecomunicaciones.</w:t>
            </w:r>
          </w:p>
        </w:tc>
      </w:tr>
      <w:tr w:rsidR="00132599" w:rsidRPr="008609D1" w14:paraId="7C3E4991"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2FE5EA20"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Obra civil</w:t>
            </w:r>
          </w:p>
        </w:tc>
        <w:tc>
          <w:tcPr>
            <w:tcW w:w="3639" w:type="pct"/>
            <w:tcBorders>
              <w:top w:val="single" w:sz="4" w:space="0" w:color="244062"/>
              <w:bottom w:val="single" w:sz="4" w:space="0" w:color="244062"/>
            </w:tcBorders>
            <w:vAlign w:val="center"/>
            <w:hideMark/>
          </w:tcPr>
          <w:p w14:paraId="225399C1" w14:textId="77777777" w:rsidR="00132599" w:rsidRPr="008609D1" w:rsidRDefault="00132599" w:rsidP="004B3901">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que permite la instalación de torres, habilitación de emplazamientos, etc.</w:t>
            </w:r>
          </w:p>
        </w:tc>
      </w:tr>
      <w:tr w:rsidR="00132599" w:rsidRPr="008609D1" w14:paraId="646CB323"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7C993250" w14:textId="77777777" w:rsidR="00132599" w:rsidRPr="006D334F" w:rsidRDefault="00132599" w:rsidP="001735D4">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Transmisores </w:t>
            </w:r>
          </w:p>
        </w:tc>
        <w:tc>
          <w:tcPr>
            <w:tcW w:w="3639" w:type="pct"/>
            <w:tcBorders>
              <w:top w:val="single" w:sz="4" w:space="0" w:color="244062"/>
              <w:bottom w:val="single" w:sz="4" w:space="0" w:color="244062"/>
            </w:tcBorders>
            <w:vAlign w:val="center"/>
            <w:hideMark/>
          </w:tcPr>
          <w:p w14:paraId="1C2C23F8" w14:textId="77777777" w:rsidR="00132599" w:rsidRPr="006D334F" w:rsidRDefault="00132599" w:rsidP="004B3901">
            <w:pPr>
              <w:spacing w:before="40" w:after="6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Componente cuya función es acondicionar las señales de información en ancho de banda y potencia para entregarlas al medio de transmisión o transductor.</w:t>
            </w:r>
          </w:p>
        </w:tc>
      </w:tr>
      <w:tr w:rsidR="00132599" w:rsidRPr="008609D1" w14:paraId="2E54052F"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392141F2"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elementos de la red de acceso</w:t>
            </w:r>
          </w:p>
        </w:tc>
        <w:tc>
          <w:tcPr>
            <w:tcW w:w="3639" w:type="pct"/>
            <w:tcBorders>
              <w:top w:val="single" w:sz="4" w:space="0" w:color="244062"/>
              <w:bottom w:val="single" w:sz="4" w:space="0" w:color="244062"/>
            </w:tcBorders>
            <w:vAlign w:val="center"/>
            <w:hideMark/>
          </w:tcPr>
          <w:p w14:paraId="4BEBC0E6" w14:textId="77777777" w:rsidR="00132599" w:rsidRPr="008609D1" w:rsidRDefault="00132599" w:rsidP="004B3901">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Otros equipos de la red de acceso </w:t>
            </w:r>
            <w:r>
              <w:rPr>
                <w:rFonts w:ascii="ITC Avant Garde" w:eastAsia="Times New Roman" w:hAnsi="ITC Avant Garde" w:cs="Arial"/>
                <w:sz w:val="20"/>
                <w:lang w:val="es-ES" w:eastAsia="es-ES"/>
              </w:rPr>
              <w:t xml:space="preserve">de </w:t>
            </w:r>
            <w:r w:rsidRPr="008609D1">
              <w:rPr>
                <w:rFonts w:ascii="ITC Avant Garde" w:eastAsia="Times New Roman" w:hAnsi="ITC Avant Garde" w:cs="Arial"/>
                <w:sz w:val="20"/>
                <w:lang w:val="es-ES" w:eastAsia="es-ES"/>
              </w:rPr>
              <w:t>radiodifusión</w:t>
            </w:r>
            <w:r>
              <w:rPr>
                <w:rFonts w:ascii="ITC Avant Garde" w:eastAsia="Times New Roman" w:hAnsi="ITC Avant Garde" w:cs="Arial"/>
                <w:sz w:val="20"/>
                <w:lang w:val="es-ES" w:eastAsia="es-ES"/>
              </w:rPr>
              <w:t>.</w:t>
            </w:r>
          </w:p>
        </w:tc>
      </w:tr>
      <w:tr w:rsidR="00132599" w:rsidRPr="008609D1" w14:paraId="03335A00" w14:textId="77777777" w:rsidTr="00132599">
        <w:trPr>
          <w:trHeight w:val="340"/>
          <w:jc w:val="center"/>
        </w:trPr>
        <w:tc>
          <w:tcPr>
            <w:tcW w:w="5000" w:type="pct"/>
            <w:gridSpan w:val="2"/>
            <w:tcBorders>
              <w:top w:val="single" w:sz="4" w:space="0" w:color="244062"/>
              <w:left w:val="nil"/>
              <w:bottom w:val="single" w:sz="4" w:space="0" w:color="244062"/>
            </w:tcBorders>
            <w:shd w:val="clear" w:color="auto" w:fill="FFFFFF" w:themeFill="background1"/>
            <w:noWrap/>
            <w:vAlign w:val="center"/>
            <w:hideMark/>
          </w:tcPr>
          <w:p w14:paraId="68579671" w14:textId="77777777" w:rsidR="00132599" w:rsidRPr="008609D1" w:rsidRDefault="00132599"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Gestión de la señal</w:t>
            </w:r>
          </w:p>
        </w:tc>
      </w:tr>
      <w:tr w:rsidR="00132599" w:rsidRPr="008609D1" w14:paraId="5C7FB8C3"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64106985"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Mezclador</w:t>
            </w:r>
          </w:p>
        </w:tc>
        <w:tc>
          <w:tcPr>
            <w:tcW w:w="3639" w:type="pct"/>
            <w:tcBorders>
              <w:top w:val="single" w:sz="4" w:space="0" w:color="244062"/>
              <w:bottom w:val="single" w:sz="4" w:space="0" w:color="244062"/>
            </w:tcBorders>
            <w:vAlign w:val="center"/>
            <w:hideMark/>
          </w:tcPr>
          <w:p w14:paraId="64AD0402" w14:textId="77777777" w:rsidR="00132599" w:rsidRPr="008609D1" w:rsidRDefault="00132599" w:rsidP="004B3901">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combinadores de señales de salida de equipos transmisores</w:t>
            </w:r>
            <w:r>
              <w:rPr>
                <w:rFonts w:ascii="ITC Avant Garde" w:eastAsia="Times New Roman" w:hAnsi="ITC Avant Garde" w:cs="Arial"/>
                <w:sz w:val="20"/>
                <w:lang w:val="es-ES" w:eastAsia="es-ES"/>
              </w:rPr>
              <w:t>.</w:t>
            </w:r>
          </w:p>
        </w:tc>
      </w:tr>
      <w:tr w:rsidR="00132599" w:rsidRPr="008609D1" w14:paraId="3811CA26"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2ADFEA3B"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Codificadores</w:t>
            </w:r>
          </w:p>
        </w:tc>
        <w:tc>
          <w:tcPr>
            <w:tcW w:w="3639" w:type="pct"/>
            <w:tcBorders>
              <w:top w:val="single" w:sz="4" w:space="0" w:color="244062"/>
              <w:bottom w:val="single" w:sz="4" w:space="0" w:color="244062"/>
            </w:tcBorders>
            <w:vAlign w:val="center"/>
            <w:hideMark/>
          </w:tcPr>
          <w:p w14:paraId="6B29A7A8" w14:textId="77777777" w:rsidR="00132599" w:rsidRPr="008609D1" w:rsidRDefault="00132599" w:rsidP="004B3901">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responsables de la codificación de las señales a transmitir</w:t>
            </w:r>
            <w:r>
              <w:rPr>
                <w:rFonts w:ascii="ITC Avant Garde" w:eastAsia="Times New Roman" w:hAnsi="ITC Avant Garde" w:cs="Arial"/>
                <w:sz w:val="20"/>
                <w:lang w:val="es-ES" w:eastAsia="es-ES"/>
              </w:rPr>
              <w:t>.</w:t>
            </w:r>
          </w:p>
        </w:tc>
      </w:tr>
      <w:tr w:rsidR="00132599" w:rsidRPr="008609D1" w14:paraId="6B24D88A"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1D84DFDC"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CMTS</w:t>
            </w:r>
          </w:p>
        </w:tc>
        <w:tc>
          <w:tcPr>
            <w:tcW w:w="3639" w:type="pct"/>
            <w:tcBorders>
              <w:top w:val="single" w:sz="4" w:space="0" w:color="244062"/>
              <w:bottom w:val="single" w:sz="4" w:space="0" w:color="244062"/>
            </w:tcBorders>
            <w:vAlign w:val="center"/>
            <w:hideMark/>
          </w:tcPr>
          <w:p w14:paraId="0D8CBC6A" w14:textId="77777777" w:rsidR="00132599" w:rsidRPr="008609D1" w:rsidRDefault="00132599" w:rsidP="004B3901">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 que recibe y envía los flujos de datos en la red de cabecera</w:t>
            </w:r>
            <w:r>
              <w:rPr>
                <w:rFonts w:ascii="ITC Avant Garde" w:eastAsia="Times New Roman" w:hAnsi="ITC Avant Garde" w:cs="Arial"/>
                <w:sz w:val="20"/>
                <w:lang w:val="es-ES" w:eastAsia="es-ES"/>
              </w:rPr>
              <w:t>.</w:t>
            </w:r>
          </w:p>
        </w:tc>
      </w:tr>
      <w:tr w:rsidR="00132599" w:rsidRPr="008609D1" w14:paraId="31970C0D"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7F942283"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elementos de gestión de señal</w:t>
            </w:r>
          </w:p>
        </w:tc>
        <w:tc>
          <w:tcPr>
            <w:tcW w:w="3639" w:type="pct"/>
            <w:tcBorders>
              <w:top w:val="single" w:sz="4" w:space="0" w:color="244062"/>
              <w:bottom w:val="single" w:sz="4" w:space="0" w:color="244062"/>
            </w:tcBorders>
            <w:vAlign w:val="center"/>
            <w:hideMark/>
          </w:tcPr>
          <w:p w14:paraId="70FCE982" w14:textId="77777777" w:rsidR="00132599" w:rsidRPr="008609D1" w:rsidRDefault="00132599" w:rsidP="004B3901">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elementos de gestión de la señal en la red de radiodifusión</w:t>
            </w:r>
            <w:r>
              <w:rPr>
                <w:rFonts w:ascii="ITC Avant Garde" w:eastAsia="Times New Roman" w:hAnsi="ITC Avant Garde" w:cs="Arial"/>
                <w:sz w:val="20"/>
                <w:lang w:val="es-ES" w:eastAsia="es-ES"/>
              </w:rPr>
              <w:t>.</w:t>
            </w:r>
          </w:p>
        </w:tc>
      </w:tr>
      <w:tr w:rsidR="00132599" w:rsidRPr="008609D1" w14:paraId="05B296DB" w14:textId="77777777" w:rsidTr="00132599">
        <w:trPr>
          <w:trHeight w:val="340"/>
          <w:jc w:val="center"/>
        </w:trPr>
        <w:tc>
          <w:tcPr>
            <w:tcW w:w="5000" w:type="pct"/>
            <w:gridSpan w:val="2"/>
            <w:tcBorders>
              <w:top w:val="single" w:sz="4" w:space="0" w:color="244062"/>
              <w:left w:val="nil"/>
              <w:bottom w:val="single" w:sz="4" w:space="0" w:color="244062"/>
            </w:tcBorders>
            <w:shd w:val="clear" w:color="auto" w:fill="FFFFFF" w:themeFill="background1"/>
            <w:noWrap/>
            <w:vAlign w:val="center"/>
            <w:hideMark/>
          </w:tcPr>
          <w:p w14:paraId="0AB610E3" w14:textId="77777777" w:rsidR="00132599" w:rsidRPr="008609D1" w:rsidRDefault="00132599"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Red de distribución</w:t>
            </w:r>
          </w:p>
        </w:tc>
      </w:tr>
      <w:tr w:rsidR="00132599" w:rsidRPr="008609D1" w14:paraId="54D383A8"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2F52007D"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de transmisión</w:t>
            </w:r>
          </w:p>
        </w:tc>
        <w:tc>
          <w:tcPr>
            <w:tcW w:w="3639" w:type="pct"/>
            <w:tcBorders>
              <w:top w:val="single" w:sz="4" w:space="0" w:color="244062"/>
              <w:bottom w:val="single" w:sz="4" w:space="0" w:color="244062"/>
            </w:tcBorders>
            <w:vAlign w:val="center"/>
            <w:hideMark/>
          </w:tcPr>
          <w:p w14:paraId="77E98656" w14:textId="77777777" w:rsidR="00132599" w:rsidRPr="008609D1" w:rsidRDefault="00132599" w:rsidP="004B3901">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Enlaces de transmisión entre elementos de la red de radiodifusión</w:t>
            </w:r>
            <w:r>
              <w:rPr>
                <w:rFonts w:ascii="ITC Avant Garde" w:eastAsia="Times New Roman" w:hAnsi="ITC Avant Garde" w:cs="Arial"/>
                <w:sz w:val="20"/>
                <w:lang w:val="es-ES" w:eastAsia="es-ES"/>
              </w:rPr>
              <w:t>.</w:t>
            </w:r>
          </w:p>
        </w:tc>
      </w:tr>
      <w:tr w:rsidR="00132599" w:rsidRPr="008609D1" w14:paraId="1052E769"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516EABF5"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Receptores y emisores satelitales</w:t>
            </w:r>
          </w:p>
        </w:tc>
        <w:tc>
          <w:tcPr>
            <w:tcW w:w="3639" w:type="pct"/>
            <w:tcBorders>
              <w:top w:val="single" w:sz="4" w:space="0" w:color="244062"/>
              <w:bottom w:val="single" w:sz="4" w:space="0" w:color="244062"/>
            </w:tcBorders>
            <w:vAlign w:val="center"/>
            <w:hideMark/>
          </w:tcPr>
          <w:p w14:paraId="1DC7AD5F" w14:textId="77777777" w:rsidR="00132599" w:rsidRPr="008609D1" w:rsidRDefault="00132599" w:rsidP="004B3901">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utilizados para la emisión y recepción de señales de radiodifusión</w:t>
            </w:r>
            <w:r>
              <w:rPr>
                <w:rFonts w:ascii="ITC Avant Garde" w:eastAsia="Times New Roman" w:hAnsi="ITC Avant Garde" w:cs="Arial"/>
                <w:sz w:val="20"/>
                <w:lang w:val="es-ES" w:eastAsia="es-ES"/>
              </w:rPr>
              <w:t>.</w:t>
            </w:r>
          </w:p>
        </w:tc>
      </w:tr>
      <w:tr w:rsidR="00132599" w:rsidRPr="008609D1" w14:paraId="145F02DE"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57846F13"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elementos de distribución</w:t>
            </w:r>
          </w:p>
        </w:tc>
        <w:tc>
          <w:tcPr>
            <w:tcW w:w="3639" w:type="pct"/>
            <w:tcBorders>
              <w:top w:val="single" w:sz="4" w:space="0" w:color="244062"/>
              <w:bottom w:val="single" w:sz="4" w:space="0" w:color="244062"/>
            </w:tcBorders>
            <w:vAlign w:val="center"/>
            <w:hideMark/>
          </w:tcPr>
          <w:p w14:paraId="0EA61422" w14:textId="77777777" w:rsidR="00132599" w:rsidRPr="008609D1" w:rsidRDefault="00132599" w:rsidP="004B3901">
            <w:pPr>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elementos de distribución de señal en la red de radiodifusión</w:t>
            </w:r>
            <w:r>
              <w:rPr>
                <w:rFonts w:ascii="ITC Avant Garde" w:eastAsia="Times New Roman" w:hAnsi="ITC Avant Garde" w:cs="Arial"/>
                <w:sz w:val="20"/>
                <w:lang w:val="es-ES" w:eastAsia="es-ES"/>
              </w:rPr>
              <w:t>.</w:t>
            </w:r>
          </w:p>
        </w:tc>
      </w:tr>
      <w:tr w:rsidR="00132599" w:rsidRPr="008609D1" w14:paraId="70BDEF3D" w14:textId="77777777" w:rsidTr="00132599">
        <w:trPr>
          <w:trHeight w:val="340"/>
          <w:jc w:val="center"/>
        </w:trPr>
        <w:tc>
          <w:tcPr>
            <w:tcW w:w="5000" w:type="pct"/>
            <w:gridSpan w:val="2"/>
            <w:tcBorders>
              <w:top w:val="single" w:sz="4" w:space="0" w:color="244062"/>
              <w:left w:val="nil"/>
              <w:bottom w:val="single" w:sz="4" w:space="0" w:color="244062"/>
            </w:tcBorders>
            <w:shd w:val="clear" w:color="auto" w:fill="FFFFFF" w:themeFill="background1"/>
            <w:noWrap/>
            <w:vAlign w:val="center"/>
            <w:hideMark/>
          </w:tcPr>
          <w:p w14:paraId="1BFDC010" w14:textId="77777777" w:rsidR="00132599" w:rsidRPr="008609D1" w:rsidRDefault="00132599" w:rsidP="001735D4">
            <w:pPr>
              <w:spacing w:before="40" w:after="40" w:line="240" w:lineRule="auto"/>
              <w:rPr>
                <w:rFonts w:ascii="ITC Avant Garde" w:hAnsi="ITC Avant Garde"/>
                <w:b/>
                <w:sz w:val="20"/>
                <w:lang w:val="es-ES"/>
              </w:rPr>
            </w:pPr>
            <w:r w:rsidRPr="008609D1">
              <w:rPr>
                <w:rFonts w:ascii="ITC Avant Garde" w:eastAsia="Times New Roman" w:hAnsi="ITC Avant Garde" w:cs="Arial"/>
                <w:b/>
                <w:bCs/>
                <w:sz w:val="20"/>
                <w:lang w:val="es-ES" w:eastAsia="es-ES"/>
              </w:rPr>
              <w:t>Red de núcleo</w:t>
            </w:r>
          </w:p>
        </w:tc>
      </w:tr>
      <w:tr w:rsidR="00132599" w:rsidRPr="008609D1" w14:paraId="31FCF554"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418FF7AA"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Receptores de contenidos</w:t>
            </w:r>
          </w:p>
        </w:tc>
        <w:tc>
          <w:tcPr>
            <w:tcW w:w="3639" w:type="pct"/>
            <w:tcBorders>
              <w:top w:val="single" w:sz="4" w:space="0" w:color="244062"/>
              <w:bottom w:val="single" w:sz="4" w:space="0" w:color="244062"/>
            </w:tcBorders>
            <w:hideMark/>
          </w:tcPr>
          <w:p w14:paraId="4B1CFC04" w14:textId="77777777" w:rsidR="00132599" w:rsidRPr="008609D1" w:rsidRDefault="0013259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receptores de contenidos de radiodifusión</w:t>
            </w:r>
            <w:r>
              <w:rPr>
                <w:rFonts w:ascii="ITC Avant Garde" w:eastAsia="Times New Roman" w:hAnsi="ITC Avant Garde" w:cs="Arial"/>
                <w:sz w:val="20"/>
                <w:lang w:val="es-ES" w:eastAsia="es-ES"/>
              </w:rPr>
              <w:t>.</w:t>
            </w:r>
          </w:p>
        </w:tc>
      </w:tr>
      <w:tr w:rsidR="00132599" w:rsidRPr="008609D1" w14:paraId="2FBC2519"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505C631E"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elementos de núcleo</w:t>
            </w:r>
          </w:p>
        </w:tc>
        <w:tc>
          <w:tcPr>
            <w:tcW w:w="3639" w:type="pct"/>
            <w:tcBorders>
              <w:top w:val="single" w:sz="4" w:space="0" w:color="244062"/>
              <w:bottom w:val="single" w:sz="4" w:space="0" w:color="244062"/>
            </w:tcBorders>
            <w:vAlign w:val="center"/>
            <w:hideMark/>
          </w:tcPr>
          <w:p w14:paraId="03535A4E" w14:textId="77777777" w:rsidR="00132599" w:rsidRPr="008609D1" w:rsidRDefault="0013259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equipos de la red de núcleo de radiodifusión</w:t>
            </w:r>
            <w:r>
              <w:rPr>
                <w:rFonts w:ascii="ITC Avant Garde" w:eastAsia="Times New Roman" w:hAnsi="ITC Avant Garde" w:cs="Arial"/>
                <w:sz w:val="20"/>
                <w:lang w:val="es-ES" w:eastAsia="es-ES"/>
              </w:rPr>
              <w:t>.</w:t>
            </w:r>
          </w:p>
        </w:tc>
      </w:tr>
      <w:tr w:rsidR="00132599" w:rsidRPr="008609D1" w14:paraId="62E8B5E2" w14:textId="77777777" w:rsidTr="00132599">
        <w:trPr>
          <w:trHeight w:val="340"/>
          <w:jc w:val="center"/>
        </w:trPr>
        <w:tc>
          <w:tcPr>
            <w:tcW w:w="5000" w:type="pct"/>
            <w:gridSpan w:val="2"/>
            <w:tcBorders>
              <w:top w:val="single" w:sz="4" w:space="0" w:color="244062"/>
              <w:left w:val="nil"/>
              <w:bottom w:val="single" w:sz="4" w:space="0" w:color="244062"/>
            </w:tcBorders>
            <w:shd w:val="clear" w:color="auto" w:fill="FFFFFF" w:themeFill="background1"/>
            <w:noWrap/>
            <w:vAlign w:val="center"/>
            <w:hideMark/>
          </w:tcPr>
          <w:p w14:paraId="5FE803DA" w14:textId="77777777" w:rsidR="00132599" w:rsidRPr="008609D1" w:rsidRDefault="00132599"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Otros</w:t>
            </w:r>
          </w:p>
        </w:tc>
      </w:tr>
      <w:tr w:rsidR="00132599" w:rsidRPr="008609D1" w14:paraId="77E265BA"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14968A54"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eléctrica y aire acondicionado</w:t>
            </w:r>
          </w:p>
        </w:tc>
        <w:tc>
          <w:tcPr>
            <w:tcW w:w="3639" w:type="pct"/>
            <w:tcBorders>
              <w:top w:val="single" w:sz="4" w:space="0" w:color="244062"/>
              <w:bottom w:val="single" w:sz="4" w:space="0" w:color="244062"/>
            </w:tcBorders>
            <w:vAlign w:val="center"/>
            <w:hideMark/>
          </w:tcPr>
          <w:p w14:paraId="6E456937" w14:textId="77777777" w:rsidR="00132599" w:rsidRPr="008609D1" w:rsidRDefault="0013259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Elementos auxiliares al funcionamiento de la red de radiodifusión asociados a energía y refrigeración, incluyendo subestación eléctrica, fuentes de energía de respaldo (planta de emergencia), aire acondicionado</w:t>
            </w:r>
            <w:r>
              <w:rPr>
                <w:rFonts w:ascii="ITC Avant Garde" w:eastAsia="Times New Roman" w:hAnsi="ITC Avant Garde" w:cs="Arial"/>
                <w:sz w:val="20"/>
                <w:lang w:val="es-ES" w:eastAsia="es-ES"/>
              </w:rPr>
              <w:t>.</w:t>
            </w:r>
          </w:p>
        </w:tc>
      </w:tr>
      <w:tr w:rsidR="00132599" w:rsidRPr="008609D1" w14:paraId="2A3C1002" w14:textId="77777777" w:rsidTr="00132599">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14:paraId="43658F6D" w14:textId="16D48F45" w:rsidR="00132599" w:rsidRPr="008609D1" w:rsidRDefault="00132599"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Componentes no relacionados con la</w:t>
            </w:r>
            <w:r w:rsidRPr="008609D1" w:rsidDel="00185EB1">
              <w:rPr>
                <w:rFonts w:ascii="ITC Avant Garde" w:eastAsia="Times New Roman" w:hAnsi="ITC Avant Garde" w:cs="Arial"/>
                <w:b/>
                <w:bCs/>
                <w:sz w:val="20"/>
                <w:lang w:val="es-ES" w:eastAsia="es-ES"/>
              </w:rPr>
              <w:t xml:space="preserve"> </w:t>
            </w:r>
            <w:r w:rsidRPr="008609D1">
              <w:rPr>
                <w:rFonts w:ascii="ITC Avant Garde" w:eastAsia="Times New Roman" w:hAnsi="ITC Avant Garde" w:cs="Arial"/>
                <w:b/>
                <w:bCs/>
                <w:sz w:val="20"/>
                <w:lang w:val="es-ES" w:eastAsia="es-ES"/>
              </w:rPr>
              <w:t>red</w:t>
            </w:r>
          </w:p>
        </w:tc>
      </w:tr>
      <w:tr w:rsidR="00132599" w:rsidRPr="008609D1" w14:paraId="1B3C55E9"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5D3ED42C"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639" w:type="pct"/>
            <w:tcBorders>
              <w:top w:val="single" w:sz="4" w:space="0" w:color="244062"/>
              <w:bottom w:val="single" w:sz="4" w:space="0" w:color="244062"/>
            </w:tcBorders>
            <w:vAlign w:val="center"/>
            <w:hideMark/>
          </w:tcPr>
          <w:p w14:paraId="4E5E85B5" w14:textId="77777777" w:rsidR="00132599" w:rsidRPr="008609D1" w:rsidRDefault="0013259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Funciones comerciales tal y como publicidad, marca, desarrollo de productos, etc.</w:t>
            </w:r>
          </w:p>
        </w:tc>
      </w:tr>
      <w:tr w:rsidR="00132599" w:rsidRPr="008609D1" w14:paraId="05ECBF31"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74B8875C"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 y cobranza</w:t>
            </w:r>
          </w:p>
        </w:tc>
        <w:tc>
          <w:tcPr>
            <w:tcW w:w="3639" w:type="pct"/>
            <w:tcBorders>
              <w:top w:val="single" w:sz="4" w:space="0" w:color="244062"/>
              <w:bottom w:val="single" w:sz="4" w:space="0" w:color="244062"/>
            </w:tcBorders>
            <w:vAlign w:val="center"/>
            <w:hideMark/>
          </w:tcPr>
          <w:p w14:paraId="662DCBB5" w14:textId="77777777" w:rsidR="00132599" w:rsidRPr="008609D1" w:rsidRDefault="0013259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Control y gestión de la facturación y cobranza a clientes</w:t>
            </w:r>
            <w:r>
              <w:rPr>
                <w:rFonts w:ascii="ITC Avant Garde" w:eastAsia="Times New Roman" w:hAnsi="ITC Avant Garde" w:cs="Arial"/>
                <w:sz w:val="20"/>
                <w:lang w:val="es-ES" w:eastAsia="es-ES"/>
              </w:rPr>
              <w:t>.</w:t>
            </w:r>
          </w:p>
        </w:tc>
      </w:tr>
      <w:tr w:rsidR="00132599" w:rsidRPr="008609D1" w14:paraId="4B872869"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666F6582"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Tasas e impuestos</w:t>
            </w:r>
          </w:p>
        </w:tc>
        <w:tc>
          <w:tcPr>
            <w:tcW w:w="3639" w:type="pct"/>
            <w:tcBorders>
              <w:top w:val="single" w:sz="4" w:space="0" w:color="244062"/>
              <w:bottom w:val="single" w:sz="4" w:space="0" w:color="244062"/>
            </w:tcBorders>
            <w:vAlign w:val="center"/>
            <w:hideMark/>
          </w:tcPr>
          <w:p w14:paraId="5A961A98" w14:textId="77777777" w:rsidR="00132599" w:rsidRPr="008609D1" w:rsidRDefault="0013259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satisfechos en concepto de tasas e impuestos. Estos deberán estar relacionados con la actividad del negocio y no incluirán impuestos por beneficios.</w:t>
            </w:r>
          </w:p>
        </w:tc>
      </w:tr>
      <w:tr w:rsidR="00132599" w:rsidRPr="008609D1" w14:paraId="2389797E" w14:textId="77777777" w:rsidTr="00132599">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14:paraId="1B263344" w14:textId="77777777" w:rsidR="00132599" w:rsidRPr="008609D1" w:rsidRDefault="00132599"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directos de ventas</w:t>
            </w:r>
          </w:p>
        </w:tc>
      </w:tr>
      <w:tr w:rsidR="00132599" w:rsidRPr="008609D1" w14:paraId="58721A3A"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6C069CAE"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Provisiones</w:t>
            </w:r>
          </w:p>
        </w:tc>
        <w:tc>
          <w:tcPr>
            <w:tcW w:w="3639" w:type="pct"/>
            <w:tcBorders>
              <w:top w:val="single" w:sz="4" w:space="0" w:color="244062"/>
              <w:bottom w:val="single" w:sz="4" w:space="0" w:color="244062"/>
            </w:tcBorders>
            <w:vAlign w:val="center"/>
            <w:hideMark/>
          </w:tcPr>
          <w:p w14:paraId="54B5AB1B" w14:textId="77777777" w:rsidR="00132599" w:rsidRPr="008609D1" w:rsidRDefault="0013259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Gestión de las provisiones por insolvencias</w:t>
            </w:r>
            <w:r>
              <w:rPr>
                <w:rFonts w:ascii="ITC Avant Garde" w:eastAsia="Times New Roman" w:hAnsi="ITC Avant Garde" w:cs="Arial"/>
                <w:sz w:val="20"/>
                <w:lang w:val="es-ES" w:eastAsia="es-ES"/>
              </w:rPr>
              <w:t>.</w:t>
            </w:r>
          </w:p>
        </w:tc>
      </w:tr>
      <w:tr w:rsidR="00132599" w:rsidRPr="008609D1" w14:paraId="39D9E1B9" w14:textId="77777777" w:rsidTr="00132599">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14:paraId="2C6500BB" w14:textId="77777777" w:rsidR="00132599" w:rsidRPr="008609D1" w:rsidRDefault="00132599"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comunes</w:t>
            </w:r>
          </w:p>
        </w:tc>
      </w:tr>
      <w:tr w:rsidR="00132599" w:rsidRPr="008609D1" w14:paraId="3C336FD1"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76B53D3C" w14:textId="77777777" w:rsidR="00132599" w:rsidRPr="008609D1" w:rsidRDefault="00132599"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generales y de gestión – red</w:t>
            </w:r>
          </w:p>
        </w:tc>
        <w:tc>
          <w:tcPr>
            <w:tcW w:w="3639" w:type="pct"/>
            <w:tcBorders>
              <w:top w:val="single" w:sz="4" w:space="0" w:color="244062"/>
              <w:bottom w:val="single" w:sz="4" w:space="0" w:color="244062"/>
            </w:tcBorders>
            <w:vAlign w:val="center"/>
            <w:hideMark/>
          </w:tcPr>
          <w:p w14:paraId="21FB2E7F" w14:textId="77777777" w:rsidR="00132599" w:rsidRPr="008609D1" w:rsidRDefault="00132599"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 de gestión del operador dedicado a la gestión, monitores, etc. de la red</w:t>
            </w:r>
            <w:r>
              <w:rPr>
                <w:rFonts w:ascii="ITC Avant Garde" w:eastAsia="Times New Roman" w:hAnsi="ITC Avant Garde" w:cs="Arial"/>
                <w:sz w:val="20"/>
                <w:lang w:val="es-ES" w:eastAsia="es-ES"/>
              </w:rPr>
              <w:t>.</w:t>
            </w:r>
          </w:p>
        </w:tc>
      </w:tr>
      <w:tr w:rsidR="00132599" w:rsidRPr="008609D1" w14:paraId="653096CC"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tcPr>
          <w:p w14:paraId="1C5568D0" w14:textId="77777777" w:rsidR="00132599" w:rsidRPr="008609D1" w:rsidRDefault="00132599" w:rsidP="001735D4">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Servicios generales y de gestión – negocio</w:t>
            </w:r>
          </w:p>
        </w:tc>
        <w:tc>
          <w:tcPr>
            <w:tcW w:w="3639" w:type="pct"/>
            <w:tcBorders>
              <w:top w:val="single" w:sz="4" w:space="0" w:color="244062"/>
              <w:bottom w:val="single" w:sz="4" w:space="0" w:color="244062"/>
            </w:tcBorders>
            <w:vAlign w:val="center"/>
          </w:tcPr>
          <w:p w14:paraId="13A2BCC5" w14:textId="77777777" w:rsidR="00132599" w:rsidRPr="008609D1" w:rsidRDefault="00132599" w:rsidP="004B3901">
            <w:pPr>
              <w:spacing w:before="40" w:after="40" w:line="240" w:lineRule="auto"/>
              <w:rPr>
                <w:rFonts w:ascii="ITC Avant Garde" w:eastAsia="Times New Roman" w:hAnsi="ITC Avant Garde" w:cs="Arial"/>
                <w:sz w:val="20"/>
                <w:lang w:eastAsia="es-ES"/>
              </w:rPr>
            </w:pPr>
            <w:r w:rsidRPr="008609D1">
              <w:rPr>
                <w:rFonts w:ascii="ITC Avant Garde" w:eastAsia="Times New Roman" w:hAnsi="ITC Avant Garde" w:cs="Arial"/>
                <w:sz w:val="20"/>
                <w:lang w:eastAsia="es-ES"/>
              </w:rPr>
              <w:t>Equipo de gestión del operador dedicado al funcionamiento del negocio en general</w:t>
            </w:r>
            <w:r>
              <w:rPr>
                <w:rFonts w:ascii="ITC Avant Garde" w:eastAsia="Times New Roman" w:hAnsi="ITC Avant Garde" w:cs="Arial"/>
                <w:sz w:val="20"/>
                <w:lang w:eastAsia="es-ES"/>
              </w:rPr>
              <w:t>.</w:t>
            </w:r>
          </w:p>
        </w:tc>
      </w:tr>
      <w:tr w:rsidR="00132599" w:rsidRPr="008609D1" w14:paraId="2C8B2999" w14:textId="77777777" w:rsidTr="00132599">
        <w:trPr>
          <w:trHeight w:val="340"/>
          <w:jc w:val="center"/>
        </w:trPr>
        <w:tc>
          <w:tcPr>
            <w:tcW w:w="5000" w:type="pct"/>
            <w:gridSpan w:val="2"/>
            <w:tcBorders>
              <w:top w:val="single" w:sz="4" w:space="0" w:color="244062"/>
              <w:left w:val="nil"/>
              <w:bottom w:val="single" w:sz="4" w:space="0" w:color="244062"/>
            </w:tcBorders>
            <w:shd w:val="clear" w:color="auto" w:fill="E5E9EB"/>
            <w:noWrap/>
            <w:vAlign w:val="center"/>
            <w:hideMark/>
          </w:tcPr>
          <w:p w14:paraId="14160A05" w14:textId="77777777" w:rsidR="00132599" w:rsidRPr="008609D1" w:rsidRDefault="00132599" w:rsidP="001735D4">
            <w:pPr>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no relevantes para la separación contable</w:t>
            </w:r>
          </w:p>
        </w:tc>
      </w:tr>
      <w:tr w:rsidR="00132599" w:rsidRPr="008609D1" w14:paraId="6C212503" w14:textId="77777777" w:rsidTr="00132599">
        <w:trPr>
          <w:trHeight w:val="340"/>
          <w:jc w:val="center"/>
        </w:trPr>
        <w:tc>
          <w:tcPr>
            <w:tcW w:w="1361" w:type="pct"/>
            <w:tcBorders>
              <w:top w:val="single" w:sz="4" w:space="0" w:color="244062"/>
              <w:left w:val="nil"/>
              <w:bottom w:val="single" w:sz="4" w:space="0" w:color="244062"/>
            </w:tcBorders>
            <w:shd w:val="clear" w:color="auto" w:fill="D0D1DB"/>
            <w:noWrap/>
            <w:vAlign w:val="center"/>
            <w:hideMark/>
          </w:tcPr>
          <w:p w14:paraId="71C7ACDE" w14:textId="77777777" w:rsidR="00132599" w:rsidRPr="008609D1" w:rsidRDefault="00132599" w:rsidP="008938FC">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Partidas no relevantes para la separación contable</w:t>
            </w:r>
          </w:p>
        </w:tc>
        <w:tc>
          <w:tcPr>
            <w:tcW w:w="3639" w:type="pct"/>
            <w:tcBorders>
              <w:top w:val="single" w:sz="4" w:space="0" w:color="244062"/>
              <w:bottom w:val="single" w:sz="4" w:space="0" w:color="244062"/>
            </w:tcBorders>
            <w:vAlign w:val="center"/>
            <w:hideMark/>
          </w:tcPr>
          <w:p w14:paraId="143FBC22" w14:textId="7388FCCA" w:rsidR="00132599" w:rsidRPr="008609D1" w:rsidRDefault="00132599" w:rsidP="0054139A">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Partidas de costos relativas a los servicios no relevantes para la</w:t>
            </w:r>
            <w:r w:rsidR="00A2661B">
              <w:rPr>
                <w:rFonts w:ascii="ITC Avant Garde" w:eastAsia="Times New Roman" w:hAnsi="ITC Avant Garde" w:cs="Arial"/>
                <w:sz w:val="20"/>
                <w:lang w:val="es-ES" w:eastAsia="es-ES"/>
              </w:rPr>
              <w:t xml:space="preserve"> prestación</w:t>
            </w:r>
            <w:r w:rsidR="0054139A">
              <w:rPr>
                <w:rFonts w:ascii="ITC Avant Garde" w:eastAsia="Times New Roman" w:hAnsi="ITC Avant Garde" w:cs="Arial"/>
                <w:sz w:val="20"/>
                <w:lang w:val="es-ES" w:eastAsia="es-ES"/>
              </w:rPr>
              <w:t xml:space="preserve"> de servicios</w:t>
            </w:r>
            <w:r w:rsidRPr="008609D1">
              <w:rPr>
                <w:rFonts w:ascii="ITC Avant Garde" w:eastAsia="Times New Roman" w:hAnsi="ITC Avant Garde" w:cs="Arial"/>
                <w:sz w:val="20"/>
                <w:lang w:val="es-ES" w:eastAsia="es-ES"/>
              </w:rPr>
              <w:t xml:space="preserve"> de radiodifusión</w:t>
            </w:r>
            <w:r>
              <w:rPr>
                <w:rFonts w:ascii="ITC Avant Garde" w:eastAsia="Times New Roman" w:hAnsi="ITC Avant Garde" w:cs="Arial"/>
                <w:sz w:val="20"/>
                <w:lang w:val="es-ES" w:eastAsia="es-ES"/>
              </w:rPr>
              <w:t>.</w:t>
            </w:r>
          </w:p>
        </w:tc>
      </w:tr>
    </w:tbl>
    <w:p w14:paraId="2A0ECE5D" w14:textId="77777777" w:rsidR="00FA4D4D" w:rsidRDefault="00FA4D4D" w:rsidP="007D37BE">
      <w:pPr>
        <w:pStyle w:val="Normalresolucion"/>
      </w:pPr>
    </w:p>
    <w:p w14:paraId="150F81CE" w14:textId="77777777" w:rsidR="00FA4D4D" w:rsidRDefault="00FA4D4D" w:rsidP="007D37BE">
      <w:pPr>
        <w:pStyle w:val="Normalresolucion"/>
      </w:pPr>
    </w:p>
    <w:p w14:paraId="0EF38246" w14:textId="77777777" w:rsidR="00FA4D4D" w:rsidRDefault="00FA4D4D" w:rsidP="007D37BE">
      <w:pPr>
        <w:pStyle w:val="Normalresolucion"/>
      </w:pPr>
    </w:p>
    <w:p w14:paraId="2ED96104" w14:textId="77777777" w:rsidR="00FA4D4D" w:rsidRDefault="00FA4D4D" w:rsidP="007D37BE">
      <w:pPr>
        <w:pStyle w:val="Normalresolucion"/>
      </w:pPr>
    </w:p>
    <w:p w14:paraId="646BA906" w14:textId="77777777" w:rsidR="00FA4D4D" w:rsidRDefault="00FA4D4D" w:rsidP="007D37BE">
      <w:pPr>
        <w:pStyle w:val="Normalresolucion"/>
      </w:pPr>
    </w:p>
    <w:p w14:paraId="11402B77" w14:textId="77777777" w:rsidR="00FA4D4D" w:rsidRDefault="00FA4D4D" w:rsidP="007D37BE">
      <w:pPr>
        <w:pStyle w:val="Normalresolucion"/>
      </w:pPr>
    </w:p>
    <w:p w14:paraId="65D0375D" w14:textId="77777777" w:rsidR="00FA4D4D" w:rsidRDefault="00FA4D4D" w:rsidP="007D37BE">
      <w:pPr>
        <w:pStyle w:val="Normalresolucion"/>
      </w:pPr>
    </w:p>
    <w:p w14:paraId="65FC933B" w14:textId="77777777" w:rsidR="007D37BE" w:rsidRDefault="007D37BE" w:rsidP="007D37BE">
      <w:pPr>
        <w:pStyle w:val="Normalresolucion"/>
      </w:pPr>
      <w:r w:rsidRPr="008609D1">
        <w:lastRenderedPageBreak/>
        <w:t>Listado de servicios a desagregar en el Nivel 3. El listado de servicios expuesto a continuación pretende capturar aquellos servicios prestados (actual o potencialmente) por los concesionarios</w:t>
      </w:r>
      <w:r w:rsidRPr="008609D1">
        <w:rPr>
          <w:rStyle w:val="Refdenotaalpie"/>
        </w:rPr>
        <w:footnoteReference w:id="49"/>
      </w:r>
      <w:r w:rsidRPr="008609D1">
        <w:t xml:space="preserve">, el cual debe alinearse de acuerdo a los principios de materialidad y relevancia. Estos deben incluir todos los principales servicios ofrecidos por el concesionario (ya sean regulados o no) con el fin de asegurar la causalidad y transparencia de las imputaciones de costos realizadas en la separación contable. </w:t>
      </w:r>
    </w:p>
    <w:p w14:paraId="6346BCC4" w14:textId="77777777" w:rsidR="00035EFD" w:rsidRPr="008609D1" w:rsidRDefault="00035EFD" w:rsidP="00035EFD">
      <w:pPr>
        <w:pStyle w:val="Descripcin"/>
        <w:spacing w:after="240" w:line="240" w:lineRule="auto"/>
        <w:rPr>
          <w:rFonts w:ascii="ITC Avant Garde" w:hAnsi="ITC Avant Garde"/>
          <w:iCs/>
          <w:sz w:val="20"/>
          <w:lang w:val="es-MX"/>
        </w:rPr>
      </w:pPr>
      <w:r w:rsidRPr="008609D1">
        <w:rPr>
          <w:rFonts w:ascii="ITC Avant Garde" w:hAnsi="ITC Avant Garde"/>
          <w:iCs/>
          <w:sz w:val="20"/>
          <w:lang w:val="es-MX"/>
        </w:rPr>
        <w:t>Tabla A3.</w:t>
      </w:r>
      <w:r w:rsidRPr="006D334F">
        <w:rPr>
          <w:rFonts w:ascii="ITC Avant Garde" w:hAnsi="ITC Avant Garde"/>
          <w:iCs/>
          <w:sz w:val="20"/>
          <w:lang w:val="es-MX"/>
        </w:rPr>
        <w:fldChar w:fldCharType="begin"/>
      </w:r>
      <w:r w:rsidRPr="008609D1">
        <w:rPr>
          <w:rFonts w:ascii="ITC Avant Garde" w:hAnsi="ITC Avant Garde"/>
          <w:iCs/>
          <w:sz w:val="20"/>
          <w:lang w:val="es-MX"/>
        </w:rPr>
        <w:instrText xml:space="preserve"> SEQ Tabla_AP. \* ARABIC </w:instrText>
      </w:r>
      <w:r w:rsidRPr="006D334F">
        <w:rPr>
          <w:rFonts w:ascii="ITC Avant Garde" w:hAnsi="ITC Avant Garde"/>
          <w:iCs/>
          <w:sz w:val="20"/>
          <w:lang w:val="es-MX"/>
        </w:rPr>
        <w:fldChar w:fldCharType="separate"/>
      </w:r>
      <w:r w:rsidRPr="008609D1">
        <w:rPr>
          <w:rFonts w:ascii="ITC Avant Garde" w:hAnsi="ITC Avant Garde"/>
          <w:iCs/>
          <w:sz w:val="20"/>
          <w:lang w:val="es-MX"/>
        </w:rPr>
        <w:t>18</w:t>
      </w:r>
      <w:r w:rsidRPr="006D334F">
        <w:rPr>
          <w:rFonts w:ascii="ITC Avant Garde" w:hAnsi="ITC Avant Garde"/>
          <w:iCs/>
          <w:sz w:val="20"/>
          <w:lang w:val="es-MX"/>
        </w:rPr>
        <w:fldChar w:fldCharType="end"/>
      </w:r>
      <w:r w:rsidRPr="008609D1">
        <w:rPr>
          <w:rFonts w:ascii="ITC Avant Garde" w:hAnsi="ITC Avant Garde"/>
          <w:iCs/>
          <w:sz w:val="20"/>
          <w:lang w:val="es-MX"/>
        </w:rPr>
        <w:t xml:space="preserve">: Listado mínimo de servicios a desagregar en el Nivel 3 de operadores de radiodifusión </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4"/>
        <w:gridCol w:w="6429"/>
      </w:tblGrid>
      <w:tr w:rsidR="007848AC" w:rsidRPr="008609D1" w14:paraId="187D5436" w14:textId="77777777" w:rsidTr="007848AC">
        <w:trPr>
          <w:trHeight w:val="340"/>
          <w:tblHeader/>
          <w:jc w:val="center"/>
        </w:trPr>
        <w:tc>
          <w:tcPr>
            <w:tcW w:w="1361" w:type="pct"/>
            <w:tcBorders>
              <w:top w:val="nil"/>
              <w:left w:val="single" w:sz="4" w:space="0" w:color="FFFFFF"/>
              <w:bottom w:val="single" w:sz="4" w:space="0" w:color="244062"/>
              <w:right w:val="nil"/>
            </w:tcBorders>
            <w:shd w:val="clear" w:color="auto" w:fill="4F629B"/>
            <w:vAlign w:val="center"/>
            <w:hideMark/>
          </w:tcPr>
          <w:p w14:paraId="25A9362C" w14:textId="77777777" w:rsidR="007848AC" w:rsidRPr="008609D1" w:rsidRDefault="007848AC" w:rsidP="004B3901">
            <w:pPr>
              <w:keepNext/>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Servicios</w:t>
            </w:r>
          </w:p>
        </w:tc>
        <w:tc>
          <w:tcPr>
            <w:tcW w:w="3639" w:type="pct"/>
            <w:tcBorders>
              <w:top w:val="nil"/>
              <w:left w:val="nil"/>
              <w:bottom w:val="single" w:sz="4" w:space="0" w:color="244062"/>
              <w:right w:val="nil"/>
            </w:tcBorders>
            <w:shd w:val="clear" w:color="auto" w:fill="4F629B"/>
            <w:vAlign w:val="center"/>
            <w:hideMark/>
          </w:tcPr>
          <w:p w14:paraId="678FF380" w14:textId="77777777" w:rsidR="007848AC" w:rsidRPr="008609D1" w:rsidRDefault="007848AC" w:rsidP="004B3901">
            <w:pPr>
              <w:keepNext/>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Descripción</w:t>
            </w:r>
          </w:p>
        </w:tc>
      </w:tr>
      <w:tr w:rsidR="007848AC" w:rsidRPr="008609D1" w14:paraId="7894F613" w14:textId="77777777" w:rsidTr="007848AC">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1B1465E0" w14:textId="77777777" w:rsidR="007848AC" w:rsidRPr="008609D1" w:rsidRDefault="007848AC" w:rsidP="001735D4">
            <w:pPr>
              <w:keepNext/>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minoristas</w:t>
            </w:r>
          </w:p>
        </w:tc>
      </w:tr>
      <w:tr w:rsidR="007848AC" w:rsidRPr="008609D1" w14:paraId="75BE2955" w14:textId="77777777" w:rsidTr="007848AC">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14:paraId="05B11D7C" w14:textId="3CE0BC77" w:rsidR="007848AC" w:rsidRPr="006D334F" w:rsidRDefault="007848AC" w:rsidP="0054139A">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Servicio de </w:t>
            </w:r>
            <w:r w:rsidR="0054139A">
              <w:rPr>
                <w:rFonts w:ascii="ITC Avant Garde" w:eastAsia="Times New Roman" w:hAnsi="ITC Avant Garde" w:cs="Arial"/>
                <w:sz w:val="20"/>
                <w:lang w:val="es-ES" w:eastAsia="es-ES"/>
              </w:rPr>
              <w:t>t</w:t>
            </w:r>
            <w:r w:rsidRPr="006D334F">
              <w:rPr>
                <w:rFonts w:ascii="ITC Avant Garde" w:eastAsia="Times New Roman" w:hAnsi="ITC Avant Garde" w:cs="Arial"/>
                <w:sz w:val="20"/>
                <w:lang w:val="es-ES" w:eastAsia="es-ES"/>
              </w:rPr>
              <w:t>elevisión radiodifundida</w:t>
            </w:r>
          </w:p>
        </w:tc>
        <w:tc>
          <w:tcPr>
            <w:tcW w:w="3639" w:type="pct"/>
            <w:tcBorders>
              <w:top w:val="single" w:sz="4" w:space="0" w:color="244062"/>
              <w:left w:val="nil"/>
              <w:bottom w:val="single" w:sz="4" w:space="0" w:color="244062"/>
              <w:right w:val="nil"/>
            </w:tcBorders>
            <w:vAlign w:val="center"/>
            <w:hideMark/>
          </w:tcPr>
          <w:p w14:paraId="76C4C4C8" w14:textId="77777777" w:rsidR="007848AC" w:rsidRPr="006D334F" w:rsidRDefault="007848AC"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público de radiodifusión de televisión prestado mediante el otorgamiento de una concesión para el aprovechamiento o explotación de las bandas de frecuencias del espectro radioeléctrico atribuidas por el Estado a dicho servicio.</w:t>
            </w:r>
          </w:p>
        </w:tc>
      </w:tr>
      <w:tr w:rsidR="007848AC" w:rsidRPr="008609D1" w14:paraId="6444223C" w14:textId="77777777" w:rsidTr="007848AC">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14:paraId="1B44ABAD" w14:textId="14AAF261" w:rsidR="007848AC" w:rsidRPr="006D334F" w:rsidRDefault="007848AC" w:rsidP="0054139A">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 xml:space="preserve">Servicio de </w:t>
            </w:r>
            <w:r w:rsidR="0054139A">
              <w:rPr>
                <w:rFonts w:ascii="ITC Avant Garde" w:eastAsia="Times New Roman" w:hAnsi="ITC Avant Garde" w:cs="Arial"/>
                <w:sz w:val="20"/>
                <w:lang w:val="es-ES" w:eastAsia="es-ES"/>
              </w:rPr>
              <w:t>r</w:t>
            </w:r>
            <w:r w:rsidRPr="006D334F">
              <w:rPr>
                <w:rFonts w:ascii="ITC Avant Garde" w:eastAsia="Times New Roman" w:hAnsi="ITC Avant Garde" w:cs="Arial"/>
                <w:sz w:val="20"/>
                <w:lang w:val="es-ES" w:eastAsia="es-ES"/>
              </w:rPr>
              <w:t>adiodifusión sonora</w:t>
            </w:r>
          </w:p>
        </w:tc>
        <w:tc>
          <w:tcPr>
            <w:tcW w:w="3639" w:type="pct"/>
            <w:tcBorders>
              <w:top w:val="single" w:sz="4" w:space="0" w:color="244062"/>
              <w:left w:val="nil"/>
              <w:bottom w:val="single" w:sz="4" w:space="0" w:color="244062"/>
              <w:right w:val="nil"/>
            </w:tcBorders>
            <w:vAlign w:val="center"/>
            <w:hideMark/>
          </w:tcPr>
          <w:p w14:paraId="347AC0D3" w14:textId="77777777" w:rsidR="007848AC" w:rsidRPr="006D334F" w:rsidRDefault="007848AC"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Servicio público de radiodifusión sonora que consiste en la propagación de ondas electromagnéticas de señales de audio, haciendo uso, aprovechamiento o explotación de las bandas de frecuencia del espectro radioeléctrico, atribuidas por el Instituto a tal servicio, con el que la población puede recibir de manera directa y gratuita las señales de su emisor utilizando los dispositivos idóneos para ello</w:t>
            </w:r>
            <w:r>
              <w:rPr>
                <w:rFonts w:ascii="ITC Avant Garde" w:eastAsia="Times New Roman" w:hAnsi="ITC Avant Garde" w:cs="Arial"/>
                <w:sz w:val="20"/>
                <w:lang w:val="es-ES" w:eastAsia="es-ES"/>
              </w:rPr>
              <w:t>.</w:t>
            </w:r>
          </w:p>
        </w:tc>
      </w:tr>
      <w:tr w:rsidR="007848AC" w:rsidRPr="008609D1" w14:paraId="3BF5B9D7" w14:textId="77777777" w:rsidTr="007848AC">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14:paraId="24E251DB" w14:textId="77777777" w:rsidR="007848AC" w:rsidRPr="008609D1" w:rsidRDefault="007848AC"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servicios minoristas</w:t>
            </w:r>
          </w:p>
        </w:tc>
        <w:tc>
          <w:tcPr>
            <w:tcW w:w="3639" w:type="pct"/>
            <w:tcBorders>
              <w:top w:val="single" w:sz="4" w:space="0" w:color="244062"/>
              <w:left w:val="nil"/>
              <w:bottom w:val="single" w:sz="4" w:space="0" w:color="244062"/>
              <w:right w:val="nil"/>
            </w:tcBorders>
            <w:vAlign w:val="center"/>
            <w:hideMark/>
          </w:tcPr>
          <w:p w14:paraId="196B1447" w14:textId="77777777" w:rsidR="007848AC" w:rsidRPr="008609D1" w:rsidRDefault="007848AC"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servicios minoristas prestados a usuarios finales, incluyendo servicios de promoción de eventos deportivos y espectáculos, producción y distribución de películas, juegos y editoriales</w:t>
            </w:r>
            <w:r>
              <w:rPr>
                <w:rFonts w:ascii="ITC Avant Garde" w:eastAsia="Times New Roman" w:hAnsi="ITC Avant Garde" w:cs="Arial"/>
                <w:sz w:val="20"/>
                <w:lang w:val="es-ES" w:eastAsia="es-ES"/>
              </w:rPr>
              <w:t>.</w:t>
            </w:r>
          </w:p>
        </w:tc>
      </w:tr>
      <w:tr w:rsidR="007848AC" w:rsidRPr="008609D1" w14:paraId="2F012A71" w14:textId="77777777" w:rsidTr="007848AC">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5CE742F9" w14:textId="77777777" w:rsidR="007848AC" w:rsidRPr="008609D1" w:rsidRDefault="007848AC" w:rsidP="001735D4">
            <w:pPr>
              <w:keepNext/>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mayoristas</w:t>
            </w:r>
          </w:p>
        </w:tc>
      </w:tr>
      <w:tr w:rsidR="007848AC" w:rsidRPr="008609D1" w14:paraId="78C81394" w14:textId="77777777" w:rsidTr="007848AC">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14:paraId="5AC5FEAD" w14:textId="77777777" w:rsidR="007848AC" w:rsidRPr="008609D1" w:rsidRDefault="007848AC" w:rsidP="001735D4">
            <w:pPr>
              <w:keepNext/>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de contenidos</w:t>
            </w:r>
          </w:p>
        </w:tc>
      </w:tr>
      <w:tr w:rsidR="007848AC" w:rsidRPr="008609D1" w14:paraId="60818D6F" w14:textId="77777777" w:rsidTr="007848AC">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14:paraId="2EA401B6" w14:textId="77777777" w:rsidR="007848AC" w:rsidRPr="008609D1" w:rsidRDefault="007848AC"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publicidad</w:t>
            </w:r>
          </w:p>
        </w:tc>
        <w:tc>
          <w:tcPr>
            <w:tcW w:w="3639" w:type="pct"/>
            <w:tcBorders>
              <w:top w:val="single" w:sz="4" w:space="0" w:color="244062"/>
              <w:left w:val="nil"/>
              <w:bottom w:val="single" w:sz="4" w:space="0" w:color="244062"/>
              <w:right w:val="nil"/>
            </w:tcBorders>
            <w:vAlign w:val="center"/>
            <w:hideMark/>
          </w:tcPr>
          <w:p w14:paraId="64E28126" w14:textId="77777777" w:rsidR="007848AC" w:rsidRPr="008609D1" w:rsidRDefault="007848AC"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venta de tiempo publicitario en las señales de televisión de señal abierta o de radio</w:t>
            </w:r>
            <w:r>
              <w:rPr>
                <w:rFonts w:ascii="ITC Avant Garde" w:eastAsia="Times New Roman" w:hAnsi="ITC Avant Garde" w:cs="Arial"/>
                <w:sz w:val="20"/>
                <w:lang w:val="es-ES" w:eastAsia="es-ES"/>
              </w:rPr>
              <w:t>.</w:t>
            </w:r>
          </w:p>
        </w:tc>
      </w:tr>
      <w:tr w:rsidR="007848AC" w:rsidRPr="008609D1" w14:paraId="21D20262" w14:textId="77777777" w:rsidTr="007848AC">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14:paraId="651BB41D" w14:textId="77777777" w:rsidR="007848AC" w:rsidRPr="008609D1" w:rsidRDefault="007848AC"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Venta de canales</w:t>
            </w:r>
          </w:p>
        </w:tc>
        <w:tc>
          <w:tcPr>
            <w:tcW w:w="3639" w:type="pct"/>
            <w:tcBorders>
              <w:top w:val="single" w:sz="4" w:space="0" w:color="244062"/>
              <w:left w:val="nil"/>
              <w:bottom w:val="single" w:sz="4" w:space="0" w:color="244062"/>
              <w:right w:val="nil"/>
            </w:tcBorders>
            <w:hideMark/>
          </w:tcPr>
          <w:p w14:paraId="72D99FBD" w14:textId="77777777" w:rsidR="007848AC" w:rsidRPr="008609D1" w:rsidRDefault="007848AC"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venta de canales (programación nacional e internacional) a otras empresas de televisión abierta o restringida</w:t>
            </w:r>
            <w:r>
              <w:rPr>
                <w:rFonts w:ascii="ITC Avant Garde" w:eastAsia="Times New Roman" w:hAnsi="ITC Avant Garde" w:cs="Arial"/>
                <w:sz w:val="20"/>
                <w:lang w:val="es-ES" w:eastAsia="es-ES"/>
              </w:rPr>
              <w:t>.</w:t>
            </w:r>
          </w:p>
        </w:tc>
      </w:tr>
      <w:tr w:rsidR="007848AC" w:rsidRPr="008609D1" w14:paraId="16484617" w14:textId="77777777" w:rsidTr="007848AC">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14:paraId="10B232A9" w14:textId="77777777" w:rsidR="007848AC" w:rsidRPr="008609D1" w:rsidRDefault="007848AC"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Venta de programas y licencias</w:t>
            </w:r>
          </w:p>
        </w:tc>
        <w:tc>
          <w:tcPr>
            <w:tcW w:w="3639" w:type="pct"/>
            <w:tcBorders>
              <w:top w:val="single" w:sz="4" w:space="0" w:color="244062"/>
              <w:left w:val="nil"/>
              <w:bottom w:val="single" w:sz="4" w:space="0" w:color="244062"/>
              <w:right w:val="nil"/>
            </w:tcBorders>
            <w:vAlign w:val="center"/>
            <w:hideMark/>
          </w:tcPr>
          <w:p w14:paraId="1F4E34B2" w14:textId="77777777" w:rsidR="007848AC" w:rsidRPr="008609D1" w:rsidRDefault="007848AC"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venta de derechos de concesión de programas y licencias, otorgados a otras empresas nacionales o internacionales</w:t>
            </w:r>
            <w:r>
              <w:rPr>
                <w:rFonts w:ascii="ITC Avant Garde" w:eastAsia="Times New Roman" w:hAnsi="ITC Avant Garde" w:cs="Arial"/>
                <w:sz w:val="20"/>
                <w:lang w:val="es-ES" w:eastAsia="es-ES"/>
              </w:rPr>
              <w:t>.</w:t>
            </w:r>
          </w:p>
        </w:tc>
      </w:tr>
      <w:tr w:rsidR="007848AC" w:rsidRPr="008609D1" w14:paraId="6A3ED5A6" w14:textId="77777777" w:rsidTr="007848AC">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14:paraId="6DB5A763" w14:textId="77777777" w:rsidR="007848AC" w:rsidRPr="006D334F" w:rsidRDefault="007848AC" w:rsidP="001735D4">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Ingresos por multiprogramación</w:t>
            </w:r>
          </w:p>
        </w:tc>
        <w:tc>
          <w:tcPr>
            <w:tcW w:w="3639" w:type="pct"/>
            <w:tcBorders>
              <w:top w:val="single" w:sz="4" w:space="0" w:color="244062"/>
              <w:left w:val="nil"/>
              <w:bottom w:val="single" w:sz="4" w:space="0" w:color="244062"/>
              <w:right w:val="nil"/>
            </w:tcBorders>
            <w:vAlign w:val="center"/>
            <w:hideMark/>
          </w:tcPr>
          <w:p w14:paraId="6CE3624B" w14:textId="77777777" w:rsidR="007848AC" w:rsidRPr="006D334F" w:rsidRDefault="007848AC" w:rsidP="004B3901">
            <w:pPr>
              <w:spacing w:before="40" w:after="40" w:line="240" w:lineRule="auto"/>
              <w:rPr>
                <w:rFonts w:ascii="ITC Avant Garde" w:eastAsia="Times New Roman" w:hAnsi="ITC Avant Garde" w:cs="Arial"/>
                <w:sz w:val="20"/>
                <w:lang w:val="es-ES" w:eastAsia="es-ES"/>
              </w:rPr>
            </w:pPr>
            <w:r w:rsidRPr="006D334F">
              <w:rPr>
                <w:rFonts w:ascii="ITC Avant Garde" w:eastAsia="Times New Roman" w:hAnsi="ITC Avant Garde" w:cs="Arial"/>
                <w:sz w:val="20"/>
                <w:lang w:val="es-ES" w:eastAsia="es-ES"/>
              </w:rPr>
              <w:t>Ingresos obtenidos por distribuir el canal de programación de un tercero en el canal de transmisión de radiodifusión del concesionario</w:t>
            </w:r>
            <w:r>
              <w:rPr>
                <w:rFonts w:ascii="ITC Avant Garde" w:eastAsia="Times New Roman" w:hAnsi="ITC Avant Garde" w:cs="Arial"/>
                <w:sz w:val="20"/>
                <w:lang w:val="es-ES" w:eastAsia="es-ES"/>
              </w:rPr>
              <w:t>.</w:t>
            </w:r>
            <w:r w:rsidRPr="006D334F">
              <w:rPr>
                <w:rFonts w:ascii="ITC Avant Garde" w:eastAsia="Times New Roman" w:hAnsi="ITC Avant Garde" w:cs="Arial"/>
                <w:sz w:val="20"/>
                <w:lang w:val="es-ES" w:eastAsia="es-ES"/>
              </w:rPr>
              <w:t xml:space="preserve"> </w:t>
            </w:r>
          </w:p>
        </w:tc>
      </w:tr>
      <w:tr w:rsidR="007848AC" w:rsidRPr="008609D1" w14:paraId="4D718FA9" w14:textId="77777777" w:rsidTr="007848AC">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14:paraId="07972BA2" w14:textId="77777777" w:rsidR="007848AC" w:rsidRPr="008609D1" w:rsidRDefault="007848AC" w:rsidP="001735D4">
            <w:pPr>
              <w:keepNext/>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de compartición de infraestructura pasiva</w:t>
            </w:r>
          </w:p>
        </w:tc>
      </w:tr>
      <w:tr w:rsidR="007848AC" w:rsidRPr="008609D1" w14:paraId="3FF67016" w14:textId="77777777" w:rsidTr="007848AC">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14:paraId="18A12DE0" w14:textId="77777777" w:rsidR="007848AC" w:rsidRPr="008609D1" w:rsidRDefault="007848AC"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Acceso y uso de espacio en sitios físicos</w:t>
            </w:r>
          </w:p>
        </w:tc>
        <w:tc>
          <w:tcPr>
            <w:tcW w:w="3639" w:type="pct"/>
            <w:tcBorders>
              <w:top w:val="single" w:sz="4" w:space="0" w:color="244062"/>
              <w:left w:val="nil"/>
              <w:bottom w:val="single" w:sz="4" w:space="0" w:color="244062"/>
              <w:right w:val="nil"/>
            </w:tcBorders>
            <w:vAlign w:val="center"/>
            <w:hideMark/>
          </w:tcPr>
          <w:p w14:paraId="7A6997EE" w14:textId="77777777" w:rsidR="007848AC" w:rsidRPr="008609D1" w:rsidRDefault="007848AC"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Servicio de compartición de infraestructura pasiva que permite a un operador alternativo utilizar el espacio físico perteneciente </w:t>
            </w:r>
            <w:r w:rsidRPr="008609D1">
              <w:rPr>
                <w:rFonts w:ascii="ITC Avant Garde" w:eastAsia="Times New Roman" w:hAnsi="ITC Avant Garde" w:cs="Arial"/>
                <w:sz w:val="20"/>
                <w:lang w:val="es-ES" w:eastAsia="es-ES"/>
              </w:rPr>
              <w:lastRenderedPageBreak/>
              <w:t>al concesionario, tales como suelo para la construcción de obra civil y/o acondicionamiento de infraestructura y demás adecuaciones que requieran de espacio físico, mediante cobro por unidad de área ocupada</w:t>
            </w:r>
            <w:r>
              <w:rPr>
                <w:rFonts w:ascii="ITC Avant Garde" w:eastAsia="Times New Roman" w:hAnsi="ITC Avant Garde" w:cs="Arial"/>
                <w:sz w:val="20"/>
                <w:lang w:val="es-ES" w:eastAsia="es-ES"/>
              </w:rPr>
              <w:t>.</w:t>
            </w:r>
          </w:p>
        </w:tc>
      </w:tr>
      <w:tr w:rsidR="007848AC" w:rsidRPr="008609D1" w14:paraId="09F4D791" w14:textId="77777777" w:rsidTr="007848AC">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14:paraId="6C36C1C0" w14:textId="77777777" w:rsidR="007848AC" w:rsidRPr="008609D1" w:rsidRDefault="007848AC"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Acceso y uso de espacio en caseta</w:t>
            </w:r>
          </w:p>
        </w:tc>
        <w:tc>
          <w:tcPr>
            <w:tcW w:w="3639" w:type="pct"/>
            <w:tcBorders>
              <w:top w:val="single" w:sz="4" w:space="0" w:color="244062"/>
              <w:left w:val="nil"/>
              <w:bottom w:val="single" w:sz="4" w:space="0" w:color="244062"/>
              <w:right w:val="nil"/>
            </w:tcBorders>
            <w:vAlign w:val="center"/>
            <w:hideMark/>
          </w:tcPr>
          <w:p w14:paraId="0BB3C0B7" w14:textId="77777777" w:rsidR="007848AC" w:rsidRPr="008609D1" w:rsidRDefault="007848AC"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compartición de infraestructura pasiva que permite a un operador alternativo utilizar el espacio físico en espacio debidamente habilitado para la instalación de equipos de radiodifusión (transmisores, reemisores, receptores, sistemas de gestión. etc.) en una sala del emplazamiento correspondiente perteneciente al concesionario. Asimismo, se facilita la ubicación de otros elementos diferentes de los equipos que el operador requiera para la provisión del servicio (combinadores, energía, etc.), mediante cobro por unidad de área ocupada</w:t>
            </w:r>
            <w:r>
              <w:rPr>
                <w:rFonts w:ascii="ITC Avant Garde" w:eastAsia="Times New Roman" w:hAnsi="ITC Avant Garde" w:cs="Arial"/>
                <w:sz w:val="20"/>
                <w:lang w:val="es-ES" w:eastAsia="es-ES"/>
              </w:rPr>
              <w:t>.</w:t>
            </w:r>
          </w:p>
        </w:tc>
      </w:tr>
      <w:tr w:rsidR="007848AC" w:rsidRPr="008609D1" w14:paraId="7878ECAC" w14:textId="77777777" w:rsidTr="007848AC">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14:paraId="10FE9A2A" w14:textId="77777777" w:rsidR="007848AC" w:rsidRPr="008609D1" w:rsidRDefault="007848AC"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Acceso y uso de espacio en torre</w:t>
            </w:r>
          </w:p>
        </w:tc>
        <w:tc>
          <w:tcPr>
            <w:tcW w:w="3639" w:type="pct"/>
            <w:tcBorders>
              <w:top w:val="single" w:sz="4" w:space="0" w:color="244062"/>
              <w:left w:val="nil"/>
              <w:bottom w:val="single" w:sz="4" w:space="0" w:color="244062"/>
              <w:right w:val="nil"/>
            </w:tcBorders>
            <w:vAlign w:val="center"/>
            <w:hideMark/>
          </w:tcPr>
          <w:p w14:paraId="126CF17C" w14:textId="77777777" w:rsidR="007848AC" w:rsidRPr="008609D1" w:rsidRDefault="007848AC"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compartición de infraestructura pasiva que permite a un operador alternativo utilizar el espacio físico en estructuras arriostradas o auto-soportadas pertenecientes al concesionario, sean mástiles, postes o torres y cualquier otra destinadas a la instalación de antenas, mediante cobro por altura de la estructura</w:t>
            </w:r>
            <w:r>
              <w:rPr>
                <w:rFonts w:ascii="ITC Avant Garde" w:eastAsia="Times New Roman" w:hAnsi="ITC Avant Garde" w:cs="Arial"/>
                <w:sz w:val="20"/>
                <w:lang w:val="es-ES" w:eastAsia="es-ES"/>
              </w:rPr>
              <w:t>.</w:t>
            </w:r>
          </w:p>
        </w:tc>
      </w:tr>
      <w:tr w:rsidR="007848AC" w:rsidRPr="008609D1" w14:paraId="57EBC5BE" w14:textId="77777777" w:rsidTr="007848AC">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14:paraId="521C7F64" w14:textId="77777777" w:rsidR="007848AC" w:rsidRPr="008609D1" w:rsidRDefault="007848AC"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auxiliares de compartición de infraestructura pasiva</w:t>
            </w:r>
          </w:p>
        </w:tc>
        <w:tc>
          <w:tcPr>
            <w:tcW w:w="3639" w:type="pct"/>
            <w:tcBorders>
              <w:top w:val="single" w:sz="4" w:space="0" w:color="244062"/>
              <w:left w:val="nil"/>
              <w:bottom w:val="single" w:sz="4" w:space="0" w:color="244062"/>
              <w:right w:val="nil"/>
            </w:tcBorders>
            <w:vAlign w:val="center"/>
            <w:hideMark/>
          </w:tcPr>
          <w:p w14:paraId="2A4FF160" w14:textId="77777777" w:rsidR="007848AC" w:rsidRPr="008609D1" w:rsidRDefault="007848AC"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opcionales de la infraestructura pasiva del concesionario a que un operador alternativo puede acceder, tales como subestación eléctrica, sistemas de aire acondicionado, fuentes de energía de respaldo, etc.</w:t>
            </w:r>
          </w:p>
        </w:tc>
      </w:tr>
      <w:tr w:rsidR="007848AC" w:rsidRPr="008609D1" w14:paraId="6A67896D" w14:textId="77777777" w:rsidTr="007848AC">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14:paraId="0B0DEA03" w14:textId="77777777" w:rsidR="007848AC" w:rsidRPr="008609D1" w:rsidRDefault="007848AC"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complementarios a la compartición de infraestructura pasiva</w:t>
            </w:r>
          </w:p>
        </w:tc>
        <w:tc>
          <w:tcPr>
            <w:tcW w:w="3639" w:type="pct"/>
            <w:tcBorders>
              <w:top w:val="single" w:sz="4" w:space="0" w:color="244062"/>
              <w:left w:val="nil"/>
              <w:bottom w:val="single" w:sz="4" w:space="0" w:color="244062"/>
              <w:right w:val="nil"/>
            </w:tcBorders>
            <w:vAlign w:val="center"/>
            <w:hideMark/>
          </w:tcPr>
          <w:p w14:paraId="2FD71C5B" w14:textId="1AEBDB82" w:rsidR="007848AC" w:rsidRPr="008609D1" w:rsidRDefault="007848AC" w:rsidP="00B50A02">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Otros servicios diversos de soporte para la provisión de los servicios de acceso y uso compartido de infraestructura pasiva (p.ej. </w:t>
            </w:r>
            <w:r>
              <w:rPr>
                <w:rFonts w:ascii="ITC Avant Garde" w:eastAsia="Times New Roman" w:hAnsi="ITC Avant Garde" w:cs="Arial"/>
                <w:sz w:val="20"/>
                <w:lang w:val="es-ES" w:eastAsia="es-ES"/>
              </w:rPr>
              <w:t>v</w:t>
            </w:r>
            <w:r w:rsidRPr="008609D1">
              <w:rPr>
                <w:rFonts w:ascii="ITC Avant Garde" w:eastAsia="Times New Roman" w:hAnsi="ITC Avant Garde" w:cs="Arial"/>
                <w:sz w:val="20"/>
                <w:lang w:val="es-ES" w:eastAsia="es-ES"/>
              </w:rPr>
              <w:t xml:space="preserve">isita </w:t>
            </w:r>
            <w:r>
              <w:rPr>
                <w:rFonts w:ascii="ITC Avant Garde" w:eastAsia="Times New Roman" w:hAnsi="ITC Avant Garde" w:cs="Arial"/>
                <w:sz w:val="20"/>
                <w:lang w:val="es-ES" w:eastAsia="es-ES"/>
              </w:rPr>
              <w:t>t</w:t>
            </w:r>
            <w:r w:rsidRPr="008609D1">
              <w:rPr>
                <w:rFonts w:ascii="ITC Avant Garde" w:eastAsia="Times New Roman" w:hAnsi="ITC Avant Garde" w:cs="Arial"/>
                <w:sz w:val="20"/>
                <w:lang w:val="es-ES" w:eastAsia="es-ES"/>
              </w:rPr>
              <w:t xml:space="preserve">écnica, </w:t>
            </w:r>
            <w:r>
              <w:rPr>
                <w:rFonts w:ascii="ITC Avant Garde" w:eastAsia="Times New Roman" w:hAnsi="ITC Avant Garde" w:cs="Arial"/>
                <w:sz w:val="20"/>
                <w:lang w:val="es-ES" w:eastAsia="es-ES"/>
              </w:rPr>
              <w:t>a</w:t>
            </w:r>
            <w:r w:rsidRPr="008609D1">
              <w:rPr>
                <w:rFonts w:ascii="ITC Avant Garde" w:eastAsia="Times New Roman" w:hAnsi="ITC Avant Garde" w:cs="Arial"/>
                <w:sz w:val="20"/>
                <w:lang w:val="es-ES" w:eastAsia="es-ES"/>
              </w:rPr>
              <w:t>nálisis de factibilidad), mediante cobro por contraprestación</w:t>
            </w:r>
            <w:r>
              <w:rPr>
                <w:rFonts w:ascii="ITC Avant Garde" w:eastAsia="Times New Roman" w:hAnsi="ITC Avant Garde" w:cs="Arial"/>
                <w:sz w:val="20"/>
                <w:lang w:val="es-ES" w:eastAsia="es-ES"/>
              </w:rPr>
              <w:t>.</w:t>
            </w:r>
          </w:p>
        </w:tc>
      </w:tr>
      <w:tr w:rsidR="007848AC" w:rsidRPr="008609D1" w14:paraId="7EFE3D61" w14:textId="77777777" w:rsidTr="007848AC">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14:paraId="2110078C" w14:textId="77777777" w:rsidR="007848AC" w:rsidRPr="008609D1" w:rsidRDefault="007848AC" w:rsidP="001735D4">
            <w:pPr>
              <w:keepNext/>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de compartición de infraestructura activa</w:t>
            </w:r>
          </w:p>
        </w:tc>
      </w:tr>
      <w:tr w:rsidR="007848AC" w:rsidRPr="008609D1" w14:paraId="69EA754D" w14:textId="77777777" w:rsidTr="007848AC">
        <w:trPr>
          <w:trHeight w:val="345"/>
          <w:jc w:val="center"/>
        </w:trPr>
        <w:tc>
          <w:tcPr>
            <w:tcW w:w="1361" w:type="pct"/>
            <w:tcBorders>
              <w:top w:val="single" w:sz="4" w:space="0" w:color="244062"/>
              <w:left w:val="nil"/>
              <w:bottom w:val="single" w:sz="4" w:space="0" w:color="auto"/>
              <w:right w:val="nil"/>
            </w:tcBorders>
            <w:shd w:val="clear" w:color="auto" w:fill="D0D1DB"/>
            <w:noWrap/>
            <w:vAlign w:val="center"/>
            <w:hideMark/>
          </w:tcPr>
          <w:p w14:paraId="7A85A2ED" w14:textId="77777777" w:rsidR="007848AC" w:rsidRPr="008609D1" w:rsidRDefault="007848AC"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compartición de combinador</w:t>
            </w:r>
          </w:p>
        </w:tc>
        <w:tc>
          <w:tcPr>
            <w:tcW w:w="3639" w:type="pct"/>
            <w:tcBorders>
              <w:top w:val="single" w:sz="4" w:space="0" w:color="244062"/>
              <w:left w:val="nil"/>
              <w:bottom w:val="single" w:sz="4" w:space="0" w:color="auto"/>
              <w:right w:val="nil"/>
            </w:tcBorders>
            <w:vAlign w:val="center"/>
            <w:hideMark/>
          </w:tcPr>
          <w:p w14:paraId="73C8657E" w14:textId="77777777" w:rsidR="007848AC" w:rsidRPr="008609D1" w:rsidRDefault="007848AC"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a través del cual se arrendará el equipo combinador al concesionario solicitante</w:t>
            </w:r>
            <w:r>
              <w:rPr>
                <w:rFonts w:ascii="ITC Avant Garde" w:eastAsia="Times New Roman" w:hAnsi="ITC Avant Garde" w:cs="Arial"/>
                <w:sz w:val="20"/>
                <w:lang w:val="es-ES" w:eastAsia="es-ES"/>
              </w:rPr>
              <w:t>.</w:t>
            </w:r>
          </w:p>
        </w:tc>
      </w:tr>
      <w:tr w:rsidR="007848AC" w:rsidRPr="008609D1" w14:paraId="5ADDC414" w14:textId="77777777" w:rsidTr="007848AC">
        <w:trPr>
          <w:trHeight w:val="345"/>
          <w:jc w:val="center"/>
        </w:trPr>
        <w:tc>
          <w:tcPr>
            <w:tcW w:w="1361" w:type="pct"/>
            <w:tcBorders>
              <w:top w:val="single" w:sz="4" w:space="0" w:color="244062"/>
              <w:left w:val="nil"/>
              <w:bottom w:val="single" w:sz="4" w:space="0" w:color="auto"/>
              <w:right w:val="nil"/>
            </w:tcBorders>
            <w:shd w:val="clear" w:color="auto" w:fill="D0D1DB"/>
            <w:noWrap/>
            <w:vAlign w:val="center"/>
            <w:hideMark/>
          </w:tcPr>
          <w:p w14:paraId="62A305C7" w14:textId="77777777" w:rsidR="007848AC" w:rsidRPr="008609D1" w:rsidRDefault="007848AC"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compartición del sistema radiante</w:t>
            </w:r>
          </w:p>
        </w:tc>
        <w:tc>
          <w:tcPr>
            <w:tcW w:w="3639" w:type="pct"/>
            <w:tcBorders>
              <w:top w:val="single" w:sz="4" w:space="0" w:color="244062"/>
              <w:left w:val="nil"/>
              <w:bottom w:val="single" w:sz="4" w:space="0" w:color="auto"/>
              <w:right w:val="nil"/>
            </w:tcBorders>
            <w:vAlign w:val="center"/>
            <w:hideMark/>
          </w:tcPr>
          <w:p w14:paraId="23219855" w14:textId="77777777" w:rsidR="007848AC" w:rsidRPr="008609D1" w:rsidRDefault="007848AC"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a través del cual el concesionario arrendará las antenas para radiar las señales del concesionario solicitante</w:t>
            </w:r>
            <w:r>
              <w:rPr>
                <w:rFonts w:ascii="ITC Avant Garde" w:eastAsia="Times New Roman" w:hAnsi="ITC Avant Garde" w:cs="Arial"/>
                <w:sz w:val="20"/>
                <w:lang w:val="es-ES" w:eastAsia="es-ES"/>
              </w:rPr>
              <w:t>.</w:t>
            </w:r>
          </w:p>
        </w:tc>
      </w:tr>
      <w:tr w:rsidR="007848AC" w:rsidRPr="008609D1" w14:paraId="13558867" w14:textId="77777777" w:rsidTr="007848AC">
        <w:trPr>
          <w:trHeight w:val="345"/>
          <w:jc w:val="center"/>
        </w:trPr>
        <w:tc>
          <w:tcPr>
            <w:tcW w:w="1361" w:type="pct"/>
            <w:tcBorders>
              <w:top w:val="single" w:sz="4" w:space="0" w:color="244062"/>
              <w:left w:val="nil"/>
              <w:bottom w:val="single" w:sz="4" w:space="0" w:color="auto"/>
              <w:right w:val="nil"/>
            </w:tcBorders>
            <w:shd w:val="clear" w:color="auto" w:fill="D0D1DB"/>
            <w:noWrap/>
            <w:vAlign w:val="center"/>
            <w:hideMark/>
          </w:tcPr>
          <w:p w14:paraId="08B80CE2" w14:textId="77777777" w:rsidR="007848AC" w:rsidRPr="008609D1" w:rsidRDefault="007848AC"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compartición de líneas de transmisión</w:t>
            </w:r>
          </w:p>
        </w:tc>
        <w:tc>
          <w:tcPr>
            <w:tcW w:w="3639" w:type="pct"/>
            <w:tcBorders>
              <w:top w:val="single" w:sz="4" w:space="0" w:color="244062"/>
              <w:left w:val="nil"/>
              <w:bottom w:val="single" w:sz="4" w:space="0" w:color="auto"/>
              <w:right w:val="nil"/>
            </w:tcBorders>
            <w:vAlign w:val="center"/>
            <w:hideMark/>
          </w:tcPr>
          <w:p w14:paraId="17D2F6DF" w14:textId="77777777" w:rsidR="007848AC" w:rsidRPr="008609D1" w:rsidRDefault="007848AC"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mediante el que se arrienda al concesionario solicitante las líneas de transmisión del operador que presta el servicio</w:t>
            </w:r>
            <w:r>
              <w:rPr>
                <w:rFonts w:ascii="ITC Avant Garde" w:eastAsia="Times New Roman" w:hAnsi="ITC Avant Garde" w:cs="Arial"/>
                <w:sz w:val="20"/>
                <w:lang w:val="es-ES" w:eastAsia="es-ES"/>
              </w:rPr>
              <w:t>.</w:t>
            </w:r>
          </w:p>
        </w:tc>
      </w:tr>
      <w:tr w:rsidR="007848AC" w:rsidRPr="008609D1" w14:paraId="70DA58A2" w14:textId="77777777" w:rsidTr="007848AC">
        <w:trPr>
          <w:trHeight w:val="340"/>
          <w:jc w:val="center"/>
        </w:trPr>
        <w:tc>
          <w:tcPr>
            <w:tcW w:w="5000" w:type="pct"/>
            <w:gridSpan w:val="2"/>
            <w:tcBorders>
              <w:top w:val="single" w:sz="4" w:space="0" w:color="244062"/>
              <w:left w:val="nil"/>
              <w:bottom w:val="single" w:sz="4" w:space="0" w:color="244062"/>
              <w:right w:val="nil"/>
            </w:tcBorders>
            <w:shd w:val="clear" w:color="auto" w:fill="FFFFFF" w:themeFill="background1"/>
            <w:noWrap/>
            <w:vAlign w:val="center"/>
            <w:hideMark/>
          </w:tcPr>
          <w:p w14:paraId="535EA485" w14:textId="77777777" w:rsidR="007848AC" w:rsidRPr="008609D1" w:rsidRDefault="007848AC" w:rsidP="001735D4">
            <w:pPr>
              <w:keepNext/>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Otros</w:t>
            </w:r>
          </w:p>
        </w:tc>
      </w:tr>
      <w:tr w:rsidR="007848AC" w:rsidRPr="008609D1" w14:paraId="5C686EB8" w14:textId="77777777" w:rsidTr="007848AC">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14:paraId="03872249" w14:textId="77777777" w:rsidR="007848AC" w:rsidRPr="008609D1" w:rsidRDefault="007848AC" w:rsidP="001735D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Otros servicios mayoristas</w:t>
            </w:r>
          </w:p>
        </w:tc>
        <w:tc>
          <w:tcPr>
            <w:tcW w:w="3639" w:type="pct"/>
            <w:tcBorders>
              <w:top w:val="single" w:sz="4" w:space="0" w:color="244062"/>
              <w:left w:val="nil"/>
              <w:bottom w:val="single" w:sz="4" w:space="0" w:color="244062"/>
              <w:right w:val="nil"/>
            </w:tcBorders>
            <w:vAlign w:val="center"/>
            <w:hideMark/>
          </w:tcPr>
          <w:p w14:paraId="723AFF7E" w14:textId="77777777" w:rsidR="007848AC" w:rsidRPr="008609D1" w:rsidRDefault="007848AC" w:rsidP="004B390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 refiere a la prestación de otros servicios mayoristas no contemplados en los campos anteriores</w:t>
            </w:r>
            <w:r>
              <w:rPr>
                <w:rFonts w:ascii="ITC Avant Garde" w:eastAsia="Times New Roman" w:hAnsi="ITC Avant Garde" w:cs="Arial"/>
                <w:sz w:val="20"/>
                <w:lang w:val="es-ES" w:eastAsia="es-ES"/>
              </w:rPr>
              <w:t>.</w:t>
            </w:r>
          </w:p>
        </w:tc>
      </w:tr>
      <w:tr w:rsidR="007848AC" w:rsidRPr="008609D1" w14:paraId="36EC6D61" w14:textId="77777777" w:rsidTr="007848AC">
        <w:trPr>
          <w:trHeight w:val="340"/>
          <w:jc w:val="center"/>
        </w:trPr>
        <w:tc>
          <w:tcPr>
            <w:tcW w:w="5000" w:type="pct"/>
            <w:gridSpan w:val="2"/>
            <w:tcBorders>
              <w:top w:val="single" w:sz="4" w:space="0" w:color="244062"/>
              <w:left w:val="nil"/>
              <w:bottom w:val="single" w:sz="4" w:space="0" w:color="244062"/>
              <w:right w:val="nil"/>
            </w:tcBorders>
            <w:shd w:val="clear" w:color="auto" w:fill="E5E9EB"/>
            <w:noWrap/>
            <w:vAlign w:val="center"/>
            <w:hideMark/>
          </w:tcPr>
          <w:p w14:paraId="2D6C830E" w14:textId="77777777" w:rsidR="007848AC" w:rsidRPr="008609D1" w:rsidRDefault="007848AC" w:rsidP="001735D4">
            <w:pPr>
              <w:keepNext/>
              <w:spacing w:before="40" w:after="4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Servicios no relevantes para la separación contable</w:t>
            </w:r>
          </w:p>
        </w:tc>
      </w:tr>
      <w:tr w:rsidR="007848AC" w:rsidRPr="008609D1" w14:paraId="1650B7FA" w14:textId="77777777" w:rsidTr="007848AC">
        <w:trPr>
          <w:trHeight w:val="340"/>
          <w:jc w:val="center"/>
        </w:trPr>
        <w:tc>
          <w:tcPr>
            <w:tcW w:w="1361" w:type="pct"/>
            <w:tcBorders>
              <w:top w:val="single" w:sz="4" w:space="0" w:color="244062"/>
              <w:left w:val="nil"/>
              <w:bottom w:val="single" w:sz="4" w:space="0" w:color="244062"/>
              <w:right w:val="nil"/>
            </w:tcBorders>
            <w:shd w:val="clear" w:color="auto" w:fill="D0D1DB"/>
            <w:noWrap/>
            <w:vAlign w:val="center"/>
            <w:hideMark/>
          </w:tcPr>
          <w:p w14:paraId="272CEC0B" w14:textId="77777777" w:rsidR="007848AC" w:rsidRPr="008609D1" w:rsidRDefault="007848AC" w:rsidP="001735D4">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no relevantes para la separación contable</w:t>
            </w:r>
          </w:p>
        </w:tc>
        <w:tc>
          <w:tcPr>
            <w:tcW w:w="3639" w:type="pct"/>
            <w:tcBorders>
              <w:top w:val="single" w:sz="4" w:space="0" w:color="244062"/>
              <w:left w:val="nil"/>
              <w:bottom w:val="single" w:sz="4" w:space="0" w:color="244062"/>
              <w:right w:val="nil"/>
            </w:tcBorders>
            <w:vAlign w:val="center"/>
            <w:hideMark/>
          </w:tcPr>
          <w:p w14:paraId="0168389E" w14:textId="6550CF89" w:rsidR="007848AC" w:rsidRPr="008609D1" w:rsidRDefault="007848AC" w:rsidP="00A2661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Partidas de costos relativas a los servicios no relevantes para la </w:t>
            </w:r>
            <w:r w:rsidR="00A2661B">
              <w:rPr>
                <w:rFonts w:ascii="ITC Avant Garde" w:eastAsia="Times New Roman" w:hAnsi="ITC Avant Garde" w:cs="Arial"/>
                <w:sz w:val="20"/>
                <w:lang w:val="es-ES" w:eastAsia="es-ES"/>
              </w:rPr>
              <w:t>prestación de servicios</w:t>
            </w:r>
            <w:r w:rsidR="00A2661B" w:rsidRPr="008609D1">
              <w:rPr>
                <w:rFonts w:ascii="ITC Avant Garde" w:eastAsia="Times New Roman" w:hAnsi="ITC Avant Garde" w:cs="Arial"/>
                <w:sz w:val="20"/>
                <w:lang w:val="es-ES" w:eastAsia="es-ES"/>
              </w:rPr>
              <w:t xml:space="preserve"> </w:t>
            </w:r>
            <w:r w:rsidRPr="008609D1">
              <w:rPr>
                <w:rFonts w:ascii="ITC Avant Garde" w:eastAsia="Times New Roman" w:hAnsi="ITC Avant Garde" w:cs="Arial"/>
                <w:sz w:val="20"/>
                <w:lang w:val="es-ES" w:eastAsia="es-ES"/>
              </w:rPr>
              <w:t>de radiodifusión</w:t>
            </w:r>
            <w:r>
              <w:rPr>
                <w:rFonts w:ascii="ITC Avant Garde" w:eastAsia="Times New Roman" w:hAnsi="ITC Avant Garde" w:cs="Arial"/>
                <w:sz w:val="20"/>
                <w:lang w:val="es-ES" w:eastAsia="es-ES"/>
              </w:rPr>
              <w:t>.</w:t>
            </w:r>
          </w:p>
        </w:tc>
      </w:tr>
    </w:tbl>
    <w:p w14:paraId="17862991" w14:textId="77777777" w:rsidR="007D5C56" w:rsidRPr="008609D1" w:rsidRDefault="007D5C56" w:rsidP="00DA3E0A">
      <w:pPr>
        <w:pStyle w:val="Descripcin"/>
        <w:spacing w:after="240" w:line="240" w:lineRule="auto"/>
        <w:rPr>
          <w:b w:val="0"/>
          <w:lang w:val="es-ES"/>
        </w:rPr>
      </w:pPr>
      <w:r w:rsidRPr="008609D1">
        <w:rPr>
          <w:lang w:val="es-ES"/>
        </w:rPr>
        <w:br w:type="page"/>
      </w:r>
      <w:bookmarkStart w:id="130" w:name="_Toc475003998"/>
    </w:p>
    <w:p w14:paraId="10F551B2" w14:textId="77777777" w:rsidR="007D5C56" w:rsidRPr="008609D1" w:rsidRDefault="00524D8B" w:rsidP="00CF61A9">
      <w:pPr>
        <w:pStyle w:val="Ttulo2"/>
      </w:pPr>
      <w:bookmarkStart w:id="131" w:name="_Toc484022110"/>
      <w:bookmarkStart w:id="132" w:name="_Ref475970748"/>
      <w:r w:rsidRPr="008609D1">
        <w:lastRenderedPageBreak/>
        <w:t>Anexo</w:t>
      </w:r>
      <w:r w:rsidR="007D5C56" w:rsidRPr="008609D1">
        <w:t xml:space="preserve"> </w:t>
      </w:r>
      <w:r w:rsidR="004B3901" w:rsidRPr="008609D1">
        <w:t>4</w:t>
      </w:r>
      <w:r w:rsidR="007D5C56" w:rsidRPr="008609D1">
        <w:t>.</w:t>
      </w:r>
      <w:bookmarkEnd w:id="131"/>
    </w:p>
    <w:p w14:paraId="2E4BC35D" w14:textId="77777777" w:rsidR="007D5C56" w:rsidRPr="008609D1" w:rsidRDefault="00156130" w:rsidP="007D5C56">
      <w:pPr>
        <w:pStyle w:val="Ttulo1"/>
      </w:pPr>
      <w:bookmarkStart w:id="133" w:name="_Ref477514491"/>
      <w:bookmarkStart w:id="134" w:name="_Toc484022111"/>
      <w:r w:rsidRPr="008609D1">
        <w:t>ESTUDIOS</w:t>
      </w:r>
      <w:r w:rsidR="007D5C56" w:rsidRPr="008609D1">
        <w:t xml:space="preserve"> DE SOPORTE </w:t>
      </w:r>
      <w:r w:rsidRPr="008609D1">
        <w:t>A</w:t>
      </w:r>
      <w:r w:rsidR="008426BF" w:rsidRPr="008609D1">
        <w:t xml:space="preserve"> LA SEPARACIÓN CONTABLE</w:t>
      </w:r>
      <w:bookmarkEnd w:id="133"/>
      <w:bookmarkEnd w:id="134"/>
    </w:p>
    <w:p w14:paraId="2B9290A1" w14:textId="435C685F" w:rsidR="007D5C56" w:rsidRPr="008609D1" w:rsidRDefault="007D5C56" w:rsidP="007D5C56">
      <w:pPr>
        <w:pStyle w:val="Normalresolucion"/>
      </w:pPr>
      <w:r w:rsidRPr="008609D1">
        <w:t xml:space="preserve">Como parte de la obligación de </w:t>
      </w:r>
      <w:r w:rsidR="00AC3FFE" w:rsidRPr="008609D1">
        <w:t>separación contable</w:t>
      </w:r>
      <w:r w:rsidRPr="008609D1">
        <w:t xml:space="preserve"> impuesta </w:t>
      </w:r>
      <w:r w:rsidR="00DA3E0A" w:rsidRPr="008609D1">
        <w:t xml:space="preserve">a los </w:t>
      </w:r>
      <w:r w:rsidR="00B50A02">
        <w:t>a</w:t>
      </w:r>
      <w:r w:rsidR="00DA3E0A" w:rsidRPr="008609D1">
        <w:t xml:space="preserve">gentes </w:t>
      </w:r>
      <w:r w:rsidR="00B50A02">
        <w:t>e</w:t>
      </w:r>
      <w:r w:rsidR="00DA3E0A" w:rsidRPr="008609D1">
        <w:t xml:space="preserve">conómicos </w:t>
      </w:r>
      <w:r w:rsidR="00B50A02">
        <w:t>p</w:t>
      </w:r>
      <w:r w:rsidR="00DA3E0A" w:rsidRPr="008609D1">
        <w:t xml:space="preserve">reponderantes, </w:t>
      </w:r>
      <w:r w:rsidR="00B50A02">
        <w:t>a</w:t>
      </w:r>
      <w:r w:rsidR="00DA3E0A" w:rsidRPr="008609D1">
        <w:t xml:space="preserve">gentes declarados con </w:t>
      </w:r>
      <w:r w:rsidR="00E43F67" w:rsidRPr="008609D1">
        <w:t>p</w:t>
      </w:r>
      <w:r w:rsidR="00DA3E0A" w:rsidRPr="008609D1">
        <w:t xml:space="preserve">oder </w:t>
      </w:r>
      <w:r w:rsidR="00E43F67" w:rsidRPr="008609D1">
        <w:t>s</w:t>
      </w:r>
      <w:r w:rsidR="00DA3E0A" w:rsidRPr="008609D1">
        <w:t xml:space="preserve">ustancial de </w:t>
      </w:r>
      <w:r w:rsidR="00E43F67" w:rsidRPr="008609D1">
        <w:t>m</w:t>
      </w:r>
      <w:r w:rsidR="00DA3E0A" w:rsidRPr="008609D1">
        <w:t xml:space="preserve">ercado o </w:t>
      </w:r>
      <w:r w:rsidR="00E43F67" w:rsidRPr="008609D1">
        <w:t>a</w:t>
      </w:r>
      <w:r w:rsidR="00DA3E0A" w:rsidRPr="008609D1">
        <w:t xml:space="preserve">gentes </w:t>
      </w:r>
      <w:r w:rsidR="00E43F67" w:rsidRPr="008609D1">
        <w:t>e</w:t>
      </w:r>
      <w:r w:rsidR="00DA3E0A" w:rsidRPr="008609D1">
        <w:t xml:space="preserve">conómicos con obligaciones específicas, </w:t>
      </w:r>
      <w:r w:rsidRPr="008609D1">
        <w:t>se deberá</w:t>
      </w:r>
      <w:r w:rsidR="00DA3E0A" w:rsidRPr="008609D1">
        <w:t>n</w:t>
      </w:r>
      <w:r w:rsidRPr="008609D1">
        <w:t xml:space="preserve"> presentar los siguientes documentos de soporte a la </w:t>
      </w:r>
      <w:r w:rsidR="00AC3FFE" w:rsidRPr="008609D1">
        <w:t>separación contable</w:t>
      </w:r>
      <w:r w:rsidRPr="008609D1">
        <w:t>:</w:t>
      </w:r>
    </w:p>
    <w:p w14:paraId="30C33769" w14:textId="77777777" w:rsidR="00D66273" w:rsidRPr="008609D1" w:rsidRDefault="00D66273" w:rsidP="0045169B">
      <w:pPr>
        <w:pStyle w:val="Indentadoresolucin"/>
      </w:pPr>
      <w:r w:rsidRPr="008609D1">
        <w:fldChar w:fldCharType="begin"/>
      </w:r>
      <w:r w:rsidRPr="008609D1">
        <w:instrText xml:space="preserve"> REF _Ref477445497 \h  \* MERGEFORMAT </w:instrText>
      </w:r>
      <w:r w:rsidRPr="008609D1">
        <w:fldChar w:fldCharType="separate"/>
      </w:r>
      <w:r w:rsidR="00F632CB" w:rsidRPr="008609D1">
        <w:t xml:space="preserve">Manual Explicativo de la </w:t>
      </w:r>
      <w:r w:rsidRPr="008609D1">
        <w:fldChar w:fldCharType="end"/>
      </w:r>
      <w:r w:rsidR="00F632CB" w:rsidRPr="008609D1">
        <w:t>separación contable</w:t>
      </w:r>
    </w:p>
    <w:p w14:paraId="4C317AD8" w14:textId="77777777" w:rsidR="00D66273" w:rsidRPr="008609D1" w:rsidRDefault="00D66273" w:rsidP="0045169B">
      <w:pPr>
        <w:pStyle w:val="Indentadoresolucin"/>
      </w:pPr>
      <w:r w:rsidRPr="008609D1">
        <w:fldChar w:fldCharType="begin"/>
      </w:r>
      <w:r w:rsidRPr="008609D1">
        <w:instrText xml:space="preserve"> REF _Ref477445504 \h  \* MERGEFORMAT </w:instrText>
      </w:r>
      <w:r w:rsidRPr="008609D1">
        <w:fldChar w:fldCharType="separate"/>
      </w:r>
      <w:r w:rsidR="005144E2" w:rsidRPr="008609D1">
        <w:t>Informe de precios de transferencia</w:t>
      </w:r>
      <w:r w:rsidRPr="008609D1">
        <w:fldChar w:fldCharType="end"/>
      </w:r>
    </w:p>
    <w:p w14:paraId="21427B70" w14:textId="77777777" w:rsidR="00D66273" w:rsidRPr="008609D1" w:rsidRDefault="00D66273" w:rsidP="0045169B">
      <w:pPr>
        <w:pStyle w:val="Indentadoresolucin"/>
      </w:pPr>
      <w:r w:rsidRPr="008609D1">
        <w:fldChar w:fldCharType="begin"/>
      </w:r>
      <w:r w:rsidRPr="008609D1">
        <w:instrText xml:space="preserve"> REF _Ref477445511 \h  \* MERGEFORMAT </w:instrText>
      </w:r>
      <w:r w:rsidRPr="008609D1">
        <w:fldChar w:fldCharType="separate"/>
      </w:r>
      <w:r w:rsidR="005144E2" w:rsidRPr="008609D1">
        <w:t>Estudios técnicos de soporte</w:t>
      </w:r>
      <w:r w:rsidRPr="008609D1">
        <w:fldChar w:fldCharType="end"/>
      </w:r>
    </w:p>
    <w:p w14:paraId="0E863415" w14:textId="77777777" w:rsidR="007D5C56" w:rsidRPr="008609D1" w:rsidRDefault="007D5C56" w:rsidP="000C1C11">
      <w:pPr>
        <w:pStyle w:val="HeadingAnexo1L2"/>
        <w:numPr>
          <w:ilvl w:val="0"/>
          <w:numId w:val="168"/>
        </w:numPr>
      </w:pPr>
      <w:bookmarkStart w:id="135" w:name="_Ref477445497"/>
      <w:r w:rsidRPr="008609D1">
        <w:t xml:space="preserve">Manual Explicativo de </w:t>
      </w:r>
      <w:r w:rsidR="00D82D80" w:rsidRPr="008609D1">
        <w:t xml:space="preserve">la </w:t>
      </w:r>
      <w:bookmarkEnd w:id="135"/>
      <w:r w:rsidR="00AC3FFE" w:rsidRPr="008609D1">
        <w:t>separación contable</w:t>
      </w:r>
    </w:p>
    <w:p w14:paraId="4D88CC8A" w14:textId="77777777" w:rsidR="007D5C56" w:rsidRPr="008609D1" w:rsidRDefault="007D5C56" w:rsidP="007D5C56">
      <w:pPr>
        <w:pStyle w:val="Normalresolucion"/>
      </w:pPr>
      <w:r w:rsidRPr="008609D1">
        <w:t xml:space="preserve">Los concesionarios deberán presentar un manual explicativo de la </w:t>
      </w:r>
      <w:r w:rsidR="00AC3FFE" w:rsidRPr="008609D1">
        <w:t>separación contable</w:t>
      </w:r>
      <w:r w:rsidRPr="008609D1">
        <w:t>, debi</w:t>
      </w:r>
      <w:r w:rsidR="003B1735" w:rsidRPr="008609D1">
        <w:t>damente actualizado y detallado</w:t>
      </w:r>
      <w:r w:rsidRPr="008609D1">
        <w:t xml:space="preserve"> en el que se </w:t>
      </w:r>
      <w:r w:rsidR="00DA3E0A" w:rsidRPr="008609D1">
        <w:t>exponga</w:t>
      </w:r>
      <w:r w:rsidRPr="008609D1">
        <w:t xml:space="preserve"> la aproximación técnica y metodológica adoptada para la implementación de la </w:t>
      </w:r>
      <w:r w:rsidR="00AC3FFE" w:rsidRPr="008609D1">
        <w:t>separación contable</w:t>
      </w:r>
      <w:r w:rsidRPr="008609D1">
        <w:t>.</w:t>
      </w:r>
      <w:r w:rsidR="00F632CB" w:rsidRPr="008609D1">
        <w:t xml:space="preserve"> </w:t>
      </w:r>
      <w:r w:rsidR="00F2714D" w:rsidRPr="008609D1">
        <w:t>D</w:t>
      </w:r>
      <w:r w:rsidRPr="008609D1">
        <w:t>icho manual deberá incluir, como mínimo, los siguientes elementos:</w:t>
      </w:r>
    </w:p>
    <w:p w14:paraId="141BABD8" w14:textId="77777777" w:rsidR="007D5C56" w:rsidRPr="008609D1" w:rsidRDefault="007D5C56" w:rsidP="007D5C56">
      <w:pPr>
        <w:pStyle w:val="Indentadoresolucin"/>
      </w:pPr>
      <w:r w:rsidRPr="008609D1">
        <w:t xml:space="preserve">Diseño y estructura de la </w:t>
      </w:r>
      <w:r w:rsidR="00AC3FFE" w:rsidRPr="008609D1">
        <w:t>separación contable</w:t>
      </w:r>
      <w:r w:rsidRPr="008609D1">
        <w:t>, incluyendo detalle de los niveles de imputación adoptados y el listado completo de las cuentas definidas en cada nivel, tanto de ingresos como de costos, junto con la descripción de cada una de éstas.</w:t>
      </w:r>
    </w:p>
    <w:p w14:paraId="049C2B8E" w14:textId="77777777" w:rsidR="007D5C56" w:rsidRPr="008609D1" w:rsidRDefault="007D5C56" w:rsidP="007D5C56">
      <w:pPr>
        <w:pStyle w:val="Indentadoresolucin"/>
      </w:pPr>
      <w:r w:rsidRPr="008609D1">
        <w:t xml:space="preserve">Motivos de cargo y abono mediante los que se identifiquen los criterios adoptados para la distribución de los costos y/o ingresos de la totalidad de las cuentas definidas en la </w:t>
      </w:r>
      <w:r w:rsidR="00AC3FFE" w:rsidRPr="008609D1">
        <w:t>separación contable</w:t>
      </w:r>
      <w:r w:rsidRPr="008609D1">
        <w:t>.</w:t>
      </w:r>
    </w:p>
    <w:p w14:paraId="763F8EE5" w14:textId="77777777" w:rsidR="007D5C56" w:rsidRPr="008609D1" w:rsidRDefault="007D5C56" w:rsidP="008003B3">
      <w:pPr>
        <w:pStyle w:val="Indentadoresolucin"/>
      </w:pPr>
      <w:r w:rsidRPr="008609D1">
        <w:t xml:space="preserve">Descripción de las metodologías, criterios y principios empleados en la implementación y preparación de los resultados de la </w:t>
      </w:r>
      <w:r w:rsidR="00AC3FFE" w:rsidRPr="008609D1">
        <w:t>separación contable</w:t>
      </w:r>
      <w:r w:rsidRPr="008609D1">
        <w:t xml:space="preserve">, de acuerdo a lo establecido en la </w:t>
      </w:r>
      <w:r w:rsidR="00D446A1" w:rsidRPr="008609D1">
        <w:t>s</w:t>
      </w:r>
      <w:r w:rsidRPr="008609D1">
        <w:t>ección</w:t>
      </w:r>
      <w:r w:rsidR="00D446A1" w:rsidRPr="008609D1">
        <w:t xml:space="preserve"> </w:t>
      </w:r>
      <w:r w:rsidR="00D446A1" w:rsidRPr="008609D1">
        <w:fldChar w:fldCharType="begin"/>
      </w:r>
      <w:r w:rsidR="00D446A1" w:rsidRPr="008609D1">
        <w:instrText xml:space="preserve"> REF _Ref477513721 \r \h </w:instrText>
      </w:r>
      <w:r w:rsidR="008609D1">
        <w:instrText xml:space="preserve"> \* MERGEFORMAT </w:instrText>
      </w:r>
      <w:r w:rsidR="00D446A1" w:rsidRPr="008609D1">
        <w:fldChar w:fldCharType="separate"/>
      </w:r>
      <w:r w:rsidR="005144E2" w:rsidRPr="008609D1">
        <w:rPr>
          <w:rFonts w:hint="eastAsia"/>
          <w:cs/>
        </w:rPr>
        <w:t>‎</w:t>
      </w:r>
      <w:r w:rsidR="005144E2" w:rsidRPr="008609D1">
        <w:t>1</w:t>
      </w:r>
      <w:r w:rsidR="00D446A1" w:rsidRPr="008609D1">
        <w:fldChar w:fldCharType="end"/>
      </w:r>
      <w:r w:rsidR="00D446A1" w:rsidRPr="008609D1">
        <w:t xml:space="preserve"> del Anexo</w:t>
      </w:r>
      <w:r w:rsidR="008003B3" w:rsidRPr="008609D1">
        <w:t xml:space="preserve"> </w:t>
      </w:r>
      <w:r w:rsidR="004B3901" w:rsidRPr="008609D1">
        <w:t>3</w:t>
      </w:r>
      <w:r w:rsidRPr="008609D1">
        <w:t>, específicamente:</w:t>
      </w:r>
    </w:p>
    <w:p w14:paraId="7F59DCC0" w14:textId="77777777" w:rsidR="007D5C56" w:rsidRPr="008609D1" w:rsidRDefault="007D5C56" w:rsidP="007D5C56">
      <w:pPr>
        <w:pStyle w:val="Indentado3"/>
      </w:pPr>
      <w:r w:rsidRPr="008609D1">
        <w:t>Metodología y criterios empleados para la revaluación a costos actuales de los diferentes grupos de activos con su respectiva justificación.</w:t>
      </w:r>
    </w:p>
    <w:p w14:paraId="3576B1CE" w14:textId="77777777" w:rsidR="007D5C56" w:rsidRPr="008609D1" w:rsidRDefault="007D5C56" w:rsidP="007D5C56">
      <w:pPr>
        <w:pStyle w:val="Indentado3"/>
      </w:pPr>
      <w:r w:rsidRPr="008609D1">
        <w:t>Metodología de cálculo y justificación para la obtención de los cargos de depreciación por activo, bajo las contabilidades de costos históricos y costos actuales.</w:t>
      </w:r>
    </w:p>
    <w:p w14:paraId="258FEFA6" w14:textId="77777777" w:rsidR="007D5C56" w:rsidRPr="008609D1" w:rsidRDefault="007D5C56" w:rsidP="007D5C56">
      <w:pPr>
        <w:pStyle w:val="Indentado3"/>
      </w:pPr>
      <w:r w:rsidRPr="008609D1">
        <w:t>Metodología adoptada para el cálculo del WACC.</w:t>
      </w:r>
    </w:p>
    <w:p w14:paraId="1DE9758B" w14:textId="77777777" w:rsidR="007D5C56" w:rsidRPr="008609D1" w:rsidRDefault="007D5C56" w:rsidP="007D5C56">
      <w:pPr>
        <w:pStyle w:val="Indentado3"/>
      </w:pPr>
      <w:r w:rsidRPr="008609D1">
        <w:t xml:space="preserve">Descripción de la metodología, criterios y parámetros empleados para el cálculo de los </w:t>
      </w:r>
      <w:r w:rsidR="00A77EB7" w:rsidRPr="008609D1">
        <w:t xml:space="preserve">cargos </w:t>
      </w:r>
      <w:r w:rsidRPr="008609D1">
        <w:t>de transferencia entre el segmento minorista y mayorista para los diferentes servicios.</w:t>
      </w:r>
    </w:p>
    <w:p w14:paraId="204F1EDA" w14:textId="77777777" w:rsidR="007D5C56" w:rsidRPr="008609D1" w:rsidRDefault="007D5C56" w:rsidP="007D5C56">
      <w:pPr>
        <w:pStyle w:val="Indentado3"/>
      </w:pPr>
      <w:r w:rsidRPr="008609D1">
        <w:lastRenderedPageBreak/>
        <w:t>Informe de cambios con respecto a la entrega anterior</w:t>
      </w:r>
      <w:r w:rsidR="00B50A02">
        <w:t>.</w:t>
      </w:r>
    </w:p>
    <w:p w14:paraId="165F645E" w14:textId="77777777" w:rsidR="007D5C56" w:rsidRPr="008609D1" w:rsidRDefault="007D5C56" w:rsidP="007D5C56">
      <w:pPr>
        <w:pStyle w:val="Normalresolucion"/>
      </w:pPr>
      <w:r w:rsidRPr="008609D1">
        <w:t xml:space="preserve">Adicionalmente a lo anterior, el concesionario deberá acompañar el manual de la </w:t>
      </w:r>
      <w:r w:rsidR="00AC3FFE" w:rsidRPr="008609D1">
        <w:t>separación contable</w:t>
      </w:r>
      <w:r w:rsidRPr="008609D1">
        <w:t xml:space="preserve"> con sus Estados Contables debidamente auditados, así como su Informe de Gestión o Administración.</w:t>
      </w:r>
    </w:p>
    <w:p w14:paraId="649A3573" w14:textId="77777777" w:rsidR="007D5C56" w:rsidRPr="008609D1" w:rsidRDefault="007D5C56" w:rsidP="007D5C56">
      <w:pPr>
        <w:pStyle w:val="Normalresolucion"/>
      </w:pPr>
      <w:r w:rsidRPr="008609D1">
        <w:t xml:space="preserve">Los informes mencionados anteriormente deberán ser presentados al Instituto con el suficiente grado de detalle de tal manera que a partir de ellos se pueda determinar de manera unívoca los procedimientos seguidos por el concesionario para la elaboración de la </w:t>
      </w:r>
      <w:r w:rsidR="00AC3FFE" w:rsidRPr="008609D1">
        <w:t>separación contable</w:t>
      </w:r>
      <w:r w:rsidRPr="008609D1">
        <w:t xml:space="preserve"> de acuerdo a los principios, criterios y condiciones presentados en este documento.</w:t>
      </w:r>
    </w:p>
    <w:p w14:paraId="0B016BAD" w14:textId="77777777" w:rsidR="007D5C56" w:rsidRPr="008609D1" w:rsidRDefault="007D5C56" w:rsidP="000C1C11">
      <w:pPr>
        <w:pStyle w:val="HeadingAnexo1L2"/>
        <w:numPr>
          <w:ilvl w:val="0"/>
          <w:numId w:val="168"/>
        </w:numPr>
      </w:pPr>
      <w:bookmarkStart w:id="136" w:name="_Ref477445504"/>
      <w:r w:rsidRPr="008609D1">
        <w:t>Informe de precios de transferencia</w:t>
      </w:r>
      <w:bookmarkEnd w:id="136"/>
    </w:p>
    <w:p w14:paraId="508C78BB" w14:textId="77777777" w:rsidR="00A77EB7" w:rsidRPr="008609D1" w:rsidRDefault="00747F4E" w:rsidP="007D5C56">
      <w:pPr>
        <w:pStyle w:val="Normalresolucion"/>
      </w:pPr>
      <w:r w:rsidRPr="008609D1">
        <w:t xml:space="preserve">Los precios de transferencia se refieren a los precios que se acuerdan entre empresas para transferirse bienes, servicios o derechos. En </w:t>
      </w:r>
      <w:r w:rsidR="00A77EB7" w:rsidRPr="008609D1">
        <w:t xml:space="preserve">este </w:t>
      </w:r>
      <w:r w:rsidRPr="008609D1">
        <w:t xml:space="preserve">caso se hace referencia particular a las operaciones realizadas entre partes relacionadas, es decir, entre empresas que tienen vínculos de propiedad o de administración entre sí. </w:t>
      </w:r>
    </w:p>
    <w:p w14:paraId="38007035" w14:textId="77777777" w:rsidR="007D5C56" w:rsidRPr="008609D1" w:rsidRDefault="00A77EB7" w:rsidP="007D5C56">
      <w:pPr>
        <w:pStyle w:val="Normalresolucion"/>
      </w:pPr>
      <w:r w:rsidRPr="008609D1">
        <w:t>Estas transferencias son de relevancia también para el IFT</w:t>
      </w:r>
      <w:r w:rsidR="005A2425" w:rsidRPr="008609D1">
        <w:t>, entre otros aspectos,</w:t>
      </w:r>
      <w:r w:rsidRPr="008609D1">
        <w:t xml:space="preserve"> porque los</w:t>
      </w:r>
      <w:r w:rsidR="00747F4E" w:rsidRPr="008609D1">
        <w:t xml:space="preserve"> vínculos entre las empresas podrían facilitar que la fijación del precio no se realice en las mismas condiciones que con otras entidades independientes, en operaciones similares</w:t>
      </w:r>
      <w:r w:rsidR="007D5C56" w:rsidRPr="008609D1">
        <w:t>.</w:t>
      </w:r>
      <w:r w:rsidRPr="008609D1">
        <w:t xml:space="preserve"> Es decir, que guardaría </w:t>
      </w:r>
      <w:r w:rsidR="00001F6B" w:rsidRPr="008609D1">
        <w:t xml:space="preserve">relación </w:t>
      </w:r>
      <w:r w:rsidRPr="008609D1">
        <w:t>con el principio de no discriminación anteriormente mencionado.</w:t>
      </w:r>
    </w:p>
    <w:p w14:paraId="03DD65AB" w14:textId="77777777" w:rsidR="007D5C56" w:rsidRPr="008609D1" w:rsidRDefault="007D5C56" w:rsidP="007F53FA">
      <w:pPr>
        <w:pStyle w:val="Normalresolucion"/>
      </w:pPr>
      <w:r w:rsidRPr="008609D1">
        <w:t xml:space="preserve">Con base en lo anterior, </w:t>
      </w:r>
      <w:r w:rsidR="00A77EB7" w:rsidRPr="008609D1">
        <w:t xml:space="preserve">y en el entendido de la relevancia de esta información, </w:t>
      </w:r>
      <w:r w:rsidR="000F2D7C" w:rsidRPr="008609D1">
        <w:t xml:space="preserve">los concesionarios deben entregar al </w:t>
      </w:r>
      <w:r w:rsidRPr="008609D1">
        <w:t>Instituto como “</w:t>
      </w:r>
      <w:r w:rsidRPr="008609D1">
        <w:rPr>
          <w:i/>
          <w:iCs/>
        </w:rPr>
        <w:t>Informe de precios de transferencia</w:t>
      </w:r>
      <w:r w:rsidRPr="008609D1">
        <w:t>”</w:t>
      </w:r>
      <w:r w:rsidR="004062CC" w:rsidRPr="008609D1">
        <w:t xml:space="preserve"> la información relativa a las operaciones y transferencias con partes relacionadas</w:t>
      </w:r>
      <w:r w:rsidR="0063425E" w:rsidRPr="008609D1">
        <w:t>, tales como: filiales, subsidiarias y afiliadas</w:t>
      </w:r>
      <w:r w:rsidR="004062CC" w:rsidRPr="008609D1">
        <w:t>.</w:t>
      </w:r>
      <w:r w:rsidRPr="008609D1">
        <w:t xml:space="preserve"> </w:t>
      </w:r>
    </w:p>
    <w:p w14:paraId="5F91FE60" w14:textId="4B1CCA32" w:rsidR="0063425E" w:rsidRPr="008609D1" w:rsidRDefault="0063425E" w:rsidP="007F53FA">
      <w:pPr>
        <w:pStyle w:val="Normalresolucion"/>
      </w:pPr>
      <w:r w:rsidRPr="008609D1">
        <w:t>Dichos informes de precios de transferencia deberán ser realizados por</w:t>
      </w:r>
      <w:r w:rsidR="007E2E4C" w:rsidRPr="008609D1">
        <w:t xml:space="preserve"> un experto independiente e imparcial designado por el concesionario y deberá utilizar metodologías reconocidas internacionalmente. Asimismo, el experto no habrá trabajado directa o indirectamente para el concesionario o para una de las empresas que controle o que tengan control sobre él en los últimos seis meses, y el mismo no podrá aceptar otros contratos con el concesionario en los siguientes doce meses</w:t>
      </w:r>
      <w:r w:rsidRPr="008609D1">
        <w:t xml:space="preserve">. </w:t>
      </w:r>
    </w:p>
    <w:p w14:paraId="7ED89DFC" w14:textId="77777777" w:rsidR="007D5C56" w:rsidRPr="008609D1" w:rsidRDefault="007D5C56" w:rsidP="000C1C11">
      <w:pPr>
        <w:pStyle w:val="HeadingAnexo1L2"/>
        <w:numPr>
          <w:ilvl w:val="0"/>
          <w:numId w:val="168"/>
        </w:numPr>
      </w:pPr>
      <w:bookmarkStart w:id="137" w:name="_Ref477445511"/>
      <w:r w:rsidRPr="008609D1">
        <w:t>Estudios técnicos de soporte</w:t>
      </w:r>
      <w:bookmarkEnd w:id="137"/>
    </w:p>
    <w:p w14:paraId="5731C914" w14:textId="77777777" w:rsidR="007D5C56" w:rsidRPr="008609D1" w:rsidRDefault="007D5C56" w:rsidP="007D5C56">
      <w:pPr>
        <w:pStyle w:val="Normalresolucion"/>
      </w:pPr>
      <w:r w:rsidRPr="008609D1">
        <w:t xml:space="preserve">Por último, los concesionarios deberán presentar los siguientes estudios técnicos e informes que permitan aportar un detalle adicional acerca de las principales asignaciones de costos efectuadas en la </w:t>
      </w:r>
      <w:r w:rsidR="00AC3FFE" w:rsidRPr="008609D1">
        <w:t>separación contable</w:t>
      </w:r>
      <w:r w:rsidRPr="008609D1">
        <w:t>:</w:t>
      </w:r>
    </w:p>
    <w:p w14:paraId="2BFBD9E9" w14:textId="77777777" w:rsidR="007D5C56" w:rsidRPr="008609D1" w:rsidRDefault="007D5C56" w:rsidP="007D5C56">
      <w:pPr>
        <w:pStyle w:val="Indentadoresolucin"/>
      </w:pPr>
      <w:r w:rsidRPr="008609D1">
        <w:rPr>
          <w:i/>
        </w:rPr>
        <w:lastRenderedPageBreak/>
        <w:t>Estudio de infraestructura</w:t>
      </w:r>
      <w:r w:rsidRPr="008609D1">
        <w:t>, donde se deben justificar los criterios de reparto empleados para la distribución de los costos de la infraestructura de planta externa a actividades y elementos de red.</w:t>
      </w:r>
    </w:p>
    <w:p w14:paraId="77E38AB8" w14:textId="77777777" w:rsidR="007D5C56" w:rsidRPr="008609D1" w:rsidRDefault="007D5C56" w:rsidP="007D5C56">
      <w:pPr>
        <w:pStyle w:val="Indentadoresolucin"/>
      </w:pPr>
      <w:r w:rsidRPr="008609D1">
        <w:rPr>
          <w:i/>
        </w:rPr>
        <w:t>Estudio de energía</w:t>
      </w:r>
      <w:r w:rsidRPr="008609D1">
        <w:t>, que debe servir como base para comprender los criterios empleados para la distribución de los costos de energía eléctrica a servicios finales. En este estudio se deberá determinar, entre otros, el porcentaje de energía eléctrica que está eventualmente destinado a cada elemento de red en primer lugar y a la prestación de servicios de telecomunicaciones mayoristas en segundo lugar.</w:t>
      </w:r>
    </w:p>
    <w:p w14:paraId="6F4DB531" w14:textId="77777777" w:rsidR="007D5C56" w:rsidRPr="008609D1" w:rsidRDefault="007D5C56" w:rsidP="007D5C56">
      <w:pPr>
        <w:pStyle w:val="Indentadoresolucin"/>
      </w:pPr>
      <w:r w:rsidRPr="008609D1">
        <w:rPr>
          <w:i/>
        </w:rPr>
        <w:t>Estudio de utilización de planta</w:t>
      </w:r>
      <w:r w:rsidRPr="008609D1">
        <w:t>, mediante el que se determine el grado de utilización de los diferentes elementos de red por parte de los servicios mayoristas, de modo que permita construir la matriz de factores de enrutamiento para la distribución de costos en la Fase B de asignación.</w:t>
      </w:r>
    </w:p>
    <w:p w14:paraId="132D1EDA" w14:textId="77777777" w:rsidR="007D5C56" w:rsidRPr="008609D1" w:rsidRDefault="007D5C56" w:rsidP="007D5C56">
      <w:pPr>
        <w:pStyle w:val="Indentadoresolucin"/>
      </w:pPr>
      <w:r w:rsidRPr="008609D1">
        <w:rPr>
          <w:i/>
        </w:rPr>
        <w:t xml:space="preserve">Estudio de vidas útiles, </w:t>
      </w:r>
      <w:r w:rsidRPr="008609D1">
        <w:rPr>
          <w:iCs/>
        </w:rPr>
        <w:t xml:space="preserve">donde se deben justificar los criterios empleados para la obtención de las vidas útiles empleadas en las diferentes categorías de activos consideradas en la </w:t>
      </w:r>
      <w:r w:rsidR="00AC3FFE" w:rsidRPr="008609D1">
        <w:rPr>
          <w:iCs/>
        </w:rPr>
        <w:t>separación contable</w:t>
      </w:r>
      <w:r w:rsidRPr="008609D1">
        <w:t>.</w:t>
      </w:r>
    </w:p>
    <w:p w14:paraId="45054306" w14:textId="77777777" w:rsidR="007D5C56" w:rsidRPr="008609D1" w:rsidRDefault="007D5C56" w:rsidP="007D5C56">
      <w:pPr>
        <w:rPr>
          <w:rFonts w:ascii="ITC Avant Garde" w:hAnsi="ITC Avant Garde"/>
          <w:b/>
        </w:rPr>
      </w:pPr>
      <w:r w:rsidRPr="008609D1">
        <w:br w:type="page"/>
      </w:r>
    </w:p>
    <w:p w14:paraId="75E90F00" w14:textId="77777777" w:rsidR="007D5C56" w:rsidRPr="008609D1" w:rsidRDefault="00524D8B" w:rsidP="00CF61A9">
      <w:pPr>
        <w:pStyle w:val="Ttulo2"/>
      </w:pPr>
      <w:bookmarkStart w:id="138" w:name="_Toc484022112"/>
      <w:r w:rsidRPr="008609D1">
        <w:lastRenderedPageBreak/>
        <w:t>Anexo</w:t>
      </w:r>
      <w:r w:rsidR="007D5C56" w:rsidRPr="008609D1">
        <w:t xml:space="preserve"> </w:t>
      </w:r>
      <w:r w:rsidR="004B3901" w:rsidRPr="008609D1">
        <w:t>5</w:t>
      </w:r>
      <w:r w:rsidR="007D5C56" w:rsidRPr="008609D1">
        <w:t>.</w:t>
      </w:r>
      <w:bookmarkEnd w:id="130"/>
      <w:bookmarkEnd w:id="138"/>
    </w:p>
    <w:p w14:paraId="08F15A54" w14:textId="77777777" w:rsidR="007D5C56" w:rsidRPr="008609D1" w:rsidRDefault="007D5C56" w:rsidP="007D5C56">
      <w:pPr>
        <w:pStyle w:val="Ttulo1"/>
      </w:pPr>
      <w:bookmarkStart w:id="139" w:name="_Ref477443651"/>
      <w:bookmarkStart w:id="140" w:name="_Toc484022113"/>
      <w:r w:rsidRPr="008609D1">
        <w:t>REPORTES, FORMULARIOS Y GUÍAS PARA LA PRESENTACIÓN ANUAL DE LA SEPARACIÓN CONTABLE</w:t>
      </w:r>
      <w:bookmarkEnd w:id="139"/>
      <w:bookmarkEnd w:id="140"/>
    </w:p>
    <w:p w14:paraId="2E230E93" w14:textId="77777777" w:rsidR="005144E2" w:rsidRPr="008609D1" w:rsidRDefault="00BF3B11">
      <w:pPr>
        <w:pStyle w:val="TDC1"/>
        <w:rPr>
          <w:rFonts w:asciiTheme="minorHAnsi" w:eastAsiaTheme="minorEastAsia" w:hAnsiTheme="minorHAnsi" w:cstheme="minorBidi"/>
          <w:noProof/>
          <w:szCs w:val="22"/>
          <w:lang w:eastAsia="en-GB"/>
        </w:rPr>
      </w:pPr>
      <w:r w:rsidRPr="008609D1">
        <w:rPr>
          <w:rFonts w:cs="Arial"/>
          <w:szCs w:val="22"/>
          <w:lang w:val="es-ES"/>
        </w:rPr>
        <w:fldChar w:fldCharType="begin"/>
      </w:r>
      <w:r w:rsidRPr="008609D1">
        <w:rPr>
          <w:rFonts w:cs="Arial"/>
          <w:szCs w:val="22"/>
          <w:lang w:val="es-ES"/>
        </w:rPr>
        <w:instrText xml:space="preserve"> TOC \h \z \t "A3 L1;1;A3 L2;2;A3 L3;3" </w:instrText>
      </w:r>
      <w:r w:rsidRPr="008609D1">
        <w:rPr>
          <w:rFonts w:cs="Arial"/>
          <w:szCs w:val="22"/>
          <w:lang w:val="es-ES"/>
        </w:rPr>
        <w:fldChar w:fldCharType="separate"/>
      </w:r>
      <w:hyperlink w:anchor="_Toc478774502" w:history="1">
        <w:r w:rsidR="005144E2" w:rsidRPr="008609D1">
          <w:rPr>
            <w:rStyle w:val="Hipervnculo"/>
            <w:noProof/>
          </w:rPr>
          <w:t>1. RESULTADOS DE LA CONTABILIDAD SEPARADA</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_Toc478774502 \h </w:instrText>
        </w:r>
        <w:r w:rsidR="005144E2" w:rsidRPr="008609D1">
          <w:rPr>
            <w:noProof/>
            <w:webHidden/>
          </w:rPr>
        </w:r>
        <w:r w:rsidR="005144E2" w:rsidRPr="008609D1">
          <w:rPr>
            <w:noProof/>
            <w:webHidden/>
          </w:rPr>
          <w:fldChar w:fldCharType="separate"/>
        </w:r>
        <w:r w:rsidR="00DC29C9">
          <w:rPr>
            <w:noProof/>
            <w:webHidden/>
          </w:rPr>
          <w:t>85</w:t>
        </w:r>
        <w:r w:rsidR="005144E2" w:rsidRPr="008609D1">
          <w:rPr>
            <w:noProof/>
            <w:webHidden/>
          </w:rPr>
          <w:fldChar w:fldCharType="end"/>
        </w:r>
      </w:hyperlink>
    </w:p>
    <w:p w14:paraId="11F2F0E0" w14:textId="77777777" w:rsidR="005144E2" w:rsidRPr="008609D1" w:rsidRDefault="00970710">
      <w:pPr>
        <w:pStyle w:val="TDC2"/>
        <w:rPr>
          <w:rFonts w:asciiTheme="minorHAnsi" w:eastAsiaTheme="minorEastAsia" w:hAnsiTheme="minorHAnsi" w:cstheme="minorBidi"/>
          <w:noProof/>
          <w:szCs w:val="22"/>
          <w:lang w:eastAsia="en-GB"/>
        </w:rPr>
      </w:pPr>
      <w:hyperlink w:anchor="_Toc478774503" w:history="1">
        <w:r w:rsidR="005144E2" w:rsidRPr="008609D1">
          <w:rPr>
            <w:rStyle w:val="Hipervnculo"/>
            <w:noProof/>
          </w:rPr>
          <w:t>1.1. Cuentas de resultados por segmento</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_Toc478774503 \h </w:instrText>
        </w:r>
        <w:r w:rsidR="005144E2" w:rsidRPr="008609D1">
          <w:rPr>
            <w:noProof/>
            <w:webHidden/>
          </w:rPr>
        </w:r>
        <w:r w:rsidR="005144E2" w:rsidRPr="008609D1">
          <w:rPr>
            <w:noProof/>
            <w:webHidden/>
          </w:rPr>
          <w:fldChar w:fldCharType="separate"/>
        </w:r>
        <w:r w:rsidR="00DC29C9">
          <w:rPr>
            <w:noProof/>
            <w:webHidden/>
          </w:rPr>
          <w:t>85</w:t>
        </w:r>
        <w:r w:rsidR="005144E2" w:rsidRPr="008609D1">
          <w:rPr>
            <w:noProof/>
            <w:webHidden/>
          </w:rPr>
          <w:fldChar w:fldCharType="end"/>
        </w:r>
      </w:hyperlink>
    </w:p>
    <w:p w14:paraId="300F8230" w14:textId="77777777" w:rsidR="005144E2" w:rsidRPr="008609D1" w:rsidRDefault="00970710">
      <w:pPr>
        <w:pStyle w:val="TDC2"/>
        <w:rPr>
          <w:rFonts w:asciiTheme="minorHAnsi" w:eastAsiaTheme="minorEastAsia" w:hAnsiTheme="minorHAnsi" w:cstheme="minorBidi"/>
          <w:noProof/>
          <w:szCs w:val="22"/>
          <w:lang w:eastAsia="en-GB"/>
        </w:rPr>
      </w:pPr>
      <w:hyperlink w:anchor="_Toc478774504" w:history="1">
        <w:r w:rsidR="005144E2" w:rsidRPr="008609D1">
          <w:rPr>
            <w:rStyle w:val="Hipervnculo"/>
            <w:noProof/>
          </w:rPr>
          <w:t>1.2. Cuentas de resultados por servicio</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_Toc478774504 \h </w:instrText>
        </w:r>
        <w:r w:rsidR="005144E2" w:rsidRPr="008609D1">
          <w:rPr>
            <w:noProof/>
            <w:webHidden/>
          </w:rPr>
        </w:r>
        <w:r w:rsidR="005144E2" w:rsidRPr="008609D1">
          <w:rPr>
            <w:noProof/>
            <w:webHidden/>
          </w:rPr>
          <w:fldChar w:fldCharType="separate"/>
        </w:r>
        <w:r w:rsidR="00DC29C9">
          <w:rPr>
            <w:noProof/>
            <w:webHidden/>
          </w:rPr>
          <w:t>87</w:t>
        </w:r>
        <w:r w:rsidR="005144E2" w:rsidRPr="008609D1">
          <w:rPr>
            <w:noProof/>
            <w:webHidden/>
          </w:rPr>
          <w:fldChar w:fldCharType="end"/>
        </w:r>
      </w:hyperlink>
    </w:p>
    <w:p w14:paraId="5E0249D8" w14:textId="77777777" w:rsidR="005144E2" w:rsidRPr="008609D1" w:rsidRDefault="00970710">
      <w:pPr>
        <w:pStyle w:val="TDC1"/>
        <w:rPr>
          <w:rFonts w:asciiTheme="minorHAnsi" w:eastAsiaTheme="minorEastAsia" w:hAnsiTheme="minorHAnsi" w:cstheme="minorBidi"/>
          <w:noProof/>
          <w:szCs w:val="22"/>
          <w:lang w:eastAsia="en-GB"/>
        </w:rPr>
      </w:pPr>
      <w:hyperlink w:anchor="_Toc478774505" w:history="1">
        <w:r w:rsidR="005144E2" w:rsidRPr="008609D1">
          <w:rPr>
            <w:rStyle w:val="Hipervnculo"/>
            <w:noProof/>
          </w:rPr>
          <w:t>2. CONCILIACIÓN ENTRE LA CONTABILIDAD FINANCIERA Y LA CONTABILIDAD SEPARADA</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_Toc478774505 \h </w:instrText>
        </w:r>
        <w:r w:rsidR="005144E2" w:rsidRPr="008609D1">
          <w:rPr>
            <w:noProof/>
            <w:webHidden/>
          </w:rPr>
        </w:r>
        <w:r w:rsidR="005144E2" w:rsidRPr="008609D1">
          <w:rPr>
            <w:noProof/>
            <w:webHidden/>
          </w:rPr>
          <w:fldChar w:fldCharType="separate"/>
        </w:r>
        <w:r w:rsidR="00DC29C9">
          <w:rPr>
            <w:noProof/>
            <w:webHidden/>
          </w:rPr>
          <w:t>90</w:t>
        </w:r>
        <w:r w:rsidR="005144E2" w:rsidRPr="008609D1">
          <w:rPr>
            <w:noProof/>
            <w:webHidden/>
          </w:rPr>
          <w:fldChar w:fldCharType="end"/>
        </w:r>
      </w:hyperlink>
    </w:p>
    <w:p w14:paraId="18D7DE94" w14:textId="77777777" w:rsidR="005144E2" w:rsidRPr="008609D1" w:rsidRDefault="00970710">
      <w:pPr>
        <w:pStyle w:val="TDC1"/>
        <w:rPr>
          <w:rFonts w:asciiTheme="minorHAnsi" w:eastAsiaTheme="minorEastAsia" w:hAnsiTheme="minorHAnsi" w:cstheme="minorBidi"/>
          <w:noProof/>
          <w:szCs w:val="22"/>
          <w:lang w:eastAsia="en-GB"/>
        </w:rPr>
      </w:pPr>
      <w:hyperlink w:anchor="_Toc478774506" w:history="1">
        <w:r w:rsidR="005144E2" w:rsidRPr="008609D1">
          <w:rPr>
            <w:rStyle w:val="Hipervnculo"/>
            <w:noProof/>
          </w:rPr>
          <w:t>3. MATRICES DE ASIGNACIÓN</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_Toc478774506 \h </w:instrText>
        </w:r>
        <w:r w:rsidR="005144E2" w:rsidRPr="008609D1">
          <w:rPr>
            <w:noProof/>
            <w:webHidden/>
          </w:rPr>
        </w:r>
        <w:r w:rsidR="005144E2" w:rsidRPr="008609D1">
          <w:rPr>
            <w:noProof/>
            <w:webHidden/>
          </w:rPr>
          <w:fldChar w:fldCharType="separate"/>
        </w:r>
        <w:r w:rsidR="00DC29C9">
          <w:rPr>
            <w:noProof/>
            <w:webHidden/>
          </w:rPr>
          <w:t>91</w:t>
        </w:r>
        <w:r w:rsidR="005144E2" w:rsidRPr="008609D1">
          <w:rPr>
            <w:noProof/>
            <w:webHidden/>
          </w:rPr>
          <w:fldChar w:fldCharType="end"/>
        </w:r>
      </w:hyperlink>
    </w:p>
    <w:p w14:paraId="2C8297F4" w14:textId="77777777" w:rsidR="005144E2" w:rsidRPr="008609D1" w:rsidRDefault="00970710">
      <w:pPr>
        <w:pStyle w:val="TDC2"/>
        <w:rPr>
          <w:rFonts w:asciiTheme="minorHAnsi" w:eastAsiaTheme="minorEastAsia" w:hAnsiTheme="minorHAnsi" w:cstheme="minorBidi"/>
          <w:noProof/>
          <w:szCs w:val="22"/>
          <w:lang w:eastAsia="en-GB"/>
        </w:rPr>
      </w:pPr>
      <w:hyperlink w:anchor="_Toc478774507" w:history="1">
        <w:r w:rsidR="005144E2" w:rsidRPr="008609D1">
          <w:rPr>
            <w:rStyle w:val="Hipervnculo"/>
            <w:noProof/>
          </w:rPr>
          <w:t>3.1. Matriz de asignación de ingresos del balance de prueba (Nivel 0) a cuentas de ingresos por naturaleza (Nivel 1)</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_Toc478774507 \h </w:instrText>
        </w:r>
        <w:r w:rsidR="005144E2" w:rsidRPr="008609D1">
          <w:rPr>
            <w:noProof/>
            <w:webHidden/>
          </w:rPr>
        </w:r>
        <w:r w:rsidR="005144E2" w:rsidRPr="008609D1">
          <w:rPr>
            <w:noProof/>
            <w:webHidden/>
          </w:rPr>
          <w:fldChar w:fldCharType="separate"/>
        </w:r>
        <w:r w:rsidR="00DC29C9">
          <w:rPr>
            <w:noProof/>
            <w:webHidden/>
          </w:rPr>
          <w:t>92</w:t>
        </w:r>
        <w:r w:rsidR="005144E2" w:rsidRPr="008609D1">
          <w:rPr>
            <w:noProof/>
            <w:webHidden/>
          </w:rPr>
          <w:fldChar w:fldCharType="end"/>
        </w:r>
      </w:hyperlink>
    </w:p>
    <w:p w14:paraId="290C2A5B" w14:textId="77777777" w:rsidR="005144E2" w:rsidRPr="008609D1" w:rsidRDefault="00970710">
      <w:pPr>
        <w:pStyle w:val="TDC2"/>
        <w:rPr>
          <w:rFonts w:asciiTheme="minorHAnsi" w:eastAsiaTheme="minorEastAsia" w:hAnsiTheme="minorHAnsi" w:cstheme="minorBidi"/>
          <w:noProof/>
          <w:szCs w:val="22"/>
          <w:lang w:eastAsia="en-GB"/>
        </w:rPr>
      </w:pPr>
      <w:hyperlink w:anchor="_Toc478774508" w:history="1">
        <w:r w:rsidR="005144E2" w:rsidRPr="008609D1">
          <w:rPr>
            <w:rStyle w:val="Hipervnculo"/>
            <w:noProof/>
          </w:rPr>
          <w:t>3.2. Matriz de asignación de costos del balance de prueba (Nivel 0) a cuentas de costos por naturaleza (Nivel 1)</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_Toc478774508 \h </w:instrText>
        </w:r>
        <w:r w:rsidR="005144E2" w:rsidRPr="008609D1">
          <w:rPr>
            <w:noProof/>
            <w:webHidden/>
          </w:rPr>
        </w:r>
        <w:r w:rsidR="005144E2" w:rsidRPr="008609D1">
          <w:rPr>
            <w:noProof/>
            <w:webHidden/>
          </w:rPr>
          <w:fldChar w:fldCharType="separate"/>
        </w:r>
        <w:r w:rsidR="00DC29C9">
          <w:rPr>
            <w:noProof/>
            <w:webHidden/>
          </w:rPr>
          <w:t>93</w:t>
        </w:r>
        <w:r w:rsidR="005144E2" w:rsidRPr="008609D1">
          <w:rPr>
            <w:noProof/>
            <w:webHidden/>
          </w:rPr>
          <w:fldChar w:fldCharType="end"/>
        </w:r>
      </w:hyperlink>
    </w:p>
    <w:p w14:paraId="52C1C02C" w14:textId="77777777" w:rsidR="005144E2" w:rsidRPr="008609D1" w:rsidRDefault="00970710">
      <w:pPr>
        <w:pStyle w:val="TDC2"/>
        <w:rPr>
          <w:rFonts w:asciiTheme="minorHAnsi" w:eastAsiaTheme="minorEastAsia" w:hAnsiTheme="minorHAnsi" w:cstheme="minorBidi"/>
          <w:noProof/>
          <w:szCs w:val="22"/>
          <w:lang w:eastAsia="en-GB"/>
        </w:rPr>
      </w:pPr>
      <w:hyperlink w:anchor="_Toc478774509" w:history="1">
        <w:r w:rsidR="005144E2" w:rsidRPr="008609D1">
          <w:rPr>
            <w:rStyle w:val="Hipervnculo"/>
            <w:noProof/>
          </w:rPr>
          <w:t>3.3. Matriz de asignación de activo y pasivo del balance de prueba (Nivel 0) a cuentas de capital empleado por naturaleza (Nivel 1)</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_Toc478774509 \h </w:instrText>
        </w:r>
        <w:r w:rsidR="005144E2" w:rsidRPr="008609D1">
          <w:rPr>
            <w:noProof/>
            <w:webHidden/>
          </w:rPr>
        </w:r>
        <w:r w:rsidR="005144E2" w:rsidRPr="008609D1">
          <w:rPr>
            <w:noProof/>
            <w:webHidden/>
          </w:rPr>
          <w:fldChar w:fldCharType="separate"/>
        </w:r>
        <w:r w:rsidR="00DC29C9">
          <w:rPr>
            <w:noProof/>
            <w:webHidden/>
          </w:rPr>
          <w:t>94</w:t>
        </w:r>
        <w:r w:rsidR="005144E2" w:rsidRPr="008609D1">
          <w:rPr>
            <w:noProof/>
            <w:webHidden/>
          </w:rPr>
          <w:fldChar w:fldCharType="end"/>
        </w:r>
      </w:hyperlink>
    </w:p>
    <w:p w14:paraId="6DF62D07" w14:textId="77777777" w:rsidR="005144E2" w:rsidRPr="008609D1" w:rsidRDefault="00970710">
      <w:pPr>
        <w:pStyle w:val="TDC2"/>
        <w:rPr>
          <w:rFonts w:asciiTheme="minorHAnsi" w:eastAsiaTheme="minorEastAsia" w:hAnsiTheme="minorHAnsi" w:cstheme="minorBidi"/>
          <w:noProof/>
          <w:szCs w:val="22"/>
          <w:lang w:eastAsia="en-GB"/>
        </w:rPr>
      </w:pPr>
      <w:hyperlink w:anchor="_Toc478774510" w:history="1">
        <w:r w:rsidR="005144E2" w:rsidRPr="008609D1">
          <w:rPr>
            <w:rStyle w:val="Hipervnculo"/>
            <w:noProof/>
          </w:rPr>
          <w:t>3.4. Matriz de asignación de costos por naturaleza (Nivel 1) a costos por actividades y elementos de red (Nivel 2)</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_Toc478774510 \h </w:instrText>
        </w:r>
        <w:r w:rsidR="005144E2" w:rsidRPr="008609D1">
          <w:rPr>
            <w:noProof/>
            <w:webHidden/>
          </w:rPr>
        </w:r>
        <w:r w:rsidR="005144E2" w:rsidRPr="008609D1">
          <w:rPr>
            <w:noProof/>
            <w:webHidden/>
          </w:rPr>
          <w:fldChar w:fldCharType="separate"/>
        </w:r>
        <w:r w:rsidR="00DC29C9">
          <w:rPr>
            <w:noProof/>
            <w:webHidden/>
          </w:rPr>
          <w:t>95</w:t>
        </w:r>
        <w:r w:rsidR="005144E2" w:rsidRPr="008609D1">
          <w:rPr>
            <w:noProof/>
            <w:webHidden/>
          </w:rPr>
          <w:fldChar w:fldCharType="end"/>
        </w:r>
      </w:hyperlink>
    </w:p>
    <w:p w14:paraId="182A459B" w14:textId="77777777" w:rsidR="005144E2" w:rsidRPr="008609D1" w:rsidRDefault="00970710">
      <w:pPr>
        <w:pStyle w:val="TDC2"/>
        <w:rPr>
          <w:rFonts w:asciiTheme="minorHAnsi" w:eastAsiaTheme="minorEastAsia" w:hAnsiTheme="minorHAnsi" w:cstheme="minorBidi"/>
          <w:noProof/>
          <w:szCs w:val="22"/>
          <w:lang w:eastAsia="en-GB"/>
        </w:rPr>
      </w:pPr>
      <w:hyperlink w:anchor="_Toc478774511" w:history="1">
        <w:r w:rsidR="005144E2" w:rsidRPr="008609D1">
          <w:rPr>
            <w:rStyle w:val="Hipervnculo"/>
            <w:noProof/>
          </w:rPr>
          <w:t>3.5. Matriz de asignación de capital empleado por naturaleza (Nivel 1) a capital empleado por actividades y elementos de red (Nivel 2)</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_Toc478774511 \h </w:instrText>
        </w:r>
        <w:r w:rsidR="005144E2" w:rsidRPr="008609D1">
          <w:rPr>
            <w:noProof/>
            <w:webHidden/>
          </w:rPr>
        </w:r>
        <w:r w:rsidR="005144E2" w:rsidRPr="008609D1">
          <w:rPr>
            <w:noProof/>
            <w:webHidden/>
          </w:rPr>
          <w:fldChar w:fldCharType="separate"/>
        </w:r>
        <w:r w:rsidR="00DC29C9">
          <w:rPr>
            <w:noProof/>
            <w:webHidden/>
          </w:rPr>
          <w:t>96</w:t>
        </w:r>
        <w:r w:rsidR="005144E2" w:rsidRPr="008609D1">
          <w:rPr>
            <w:noProof/>
            <w:webHidden/>
          </w:rPr>
          <w:fldChar w:fldCharType="end"/>
        </w:r>
      </w:hyperlink>
    </w:p>
    <w:p w14:paraId="28BCF9B1" w14:textId="77777777" w:rsidR="005144E2" w:rsidRPr="008609D1" w:rsidRDefault="00970710">
      <w:pPr>
        <w:pStyle w:val="TDC2"/>
        <w:rPr>
          <w:rFonts w:asciiTheme="minorHAnsi" w:eastAsiaTheme="minorEastAsia" w:hAnsiTheme="minorHAnsi" w:cstheme="minorBidi"/>
          <w:noProof/>
          <w:szCs w:val="22"/>
          <w:lang w:eastAsia="en-GB"/>
        </w:rPr>
      </w:pPr>
      <w:hyperlink w:anchor="_Toc478774512" w:history="1">
        <w:r w:rsidR="005144E2" w:rsidRPr="008609D1">
          <w:rPr>
            <w:rStyle w:val="Hipervnculo"/>
            <w:noProof/>
          </w:rPr>
          <w:t>3.6. Matriz de asignación de ingresos por naturaleza (Nivel 1) a servicios (Nivel 3)</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_Toc478774512 \h </w:instrText>
        </w:r>
        <w:r w:rsidR="005144E2" w:rsidRPr="008609D1">
          <w:rPr>
            <w:noProof/>
            <w:webHidden/>
          </w:rPr>
        </w:r>
        <w:r w:rsidR="005144E2" w:rsidRPr="008609D1">
          <w:rPr>
            <w:noProof/>
            <w:webHidden/>
          </w:rPr>
          <w:fldChar w:fldCharType="separate"/>
        </w:r>
        <w:r w:rsidR="00DC29C9">
          <w:rPr>
            <w:noProof/>
            <w:webHidden/>
          </w:rPr>
          <w:t>97</w:t>
        </w:r>
        <w:r w:rsidR="005144E2" w:rsidRPr="008609D1">
          <w:rPr>
            <w:noProof/>
            <w:webHidden/>
          </w:rPr>
          <w:fldChar w:fldCharType="end"/>
        </w:r>
      </w:hyperlink>
    </w:p>
    <w:p w14:paraId="74C3BF7C" w14:textId="77777777" w:rsidR="005144E2" w:rsidRPr="008609D1" w:rsidRDefault="00970710">
      <w:pPr>
        <w:pStyle w:val="TDC2"/>
        <w:rPr>
          <w:rFonts w:asciiTheme="minorHAnsi" w:eastAsiaTheme="minorEastAsia" w:hAnsiTheme="minorHAnsi" w:cstheme="minorBidi"/>
          <w:noProof/>
          <w:szCs w:val="22"/>
          <w:lang w:eastAsia="en-GB"/>
        </w:rPr>
      </w:pPr>
      <w:hyperlink w:anchor="_Toc478774513" w:history="1">
        <w:r w:rsidR="005144E2" w:rsidRPr="008609D1">
          <w:rPr>
            <w:rStyle w:val="Hipervnculo"/>
            <w:noProof/>
          </w:rPr>
          <w:t>3.7. Matriz de asignación de costos por actividades y elementos de red (Nivel 2) a servicios minoristas (Nivel 3)</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_Toc478774513 \h </w:instrText>
        </w:r>
        <w:r w:rsidR="005144E2" w:rsidRPr="008609D1">
          <w:rPr>
            <w:noProof/>
            <w:webHidden/>
          </w:rPr>
        </w:r>
        <w:r w:rsidR="005144E2" w:rsidRPr="008609D1">
          <w:rPr>
            <w:noProof/>
            <w:webHidden/>
          </w:rPr>
          <w:fldChar w:fldCharType="separate"/>
        </w:r>
        <w:r w:rsidR="00DC29C9">
          <w:rPr>
            <w:noProof/>
            <w:webHidden/>
          </w:rPr>
          <w:t>98</w:t>
        </w:r>
        <w:r w:rsidR="005144E2" w:rsidRPr="008609D1">
          <w:rPr>
            <w:noProof/>
            <w:webHidden/>
          </w:rPr>
          <w:fldChar w:fldCharType="end"/>
        </w:r>
      </w:hyperlink>
    </w:p>
    <w:p w14:paraId="1495DD21" w14:textId="77777777" w:rsidR="005144E2" w:rsidRPr="008609D1" w:rsidRDefault="00970710">
      <w:pPr>
        <w:pStyle w:val="TDC2"/>
        <w:rPr>
          <w:rFonts w:asciiTheme="minorHAnsi" w:eastAsiaTheme="minorEastAsia" w:hAnsiTheme="minorHAnsi" w:cstheme="minorBidi"/>
          <w:noProof/>
          <w:szCs w:val="22"/>
          <w:lang w:eastAsia="en-GB"/>
        </w:rPr>
      </w:pPr>
      <w:hyperlink w:anchor="_Toc478774514" w:history="1">
        <w:r w:rsidR="005144E2" w:rsidRPr="008609D1">
          <w:rPr>
            <w:rStyle w:val="Hipervnculo"/>
            <w:noProof/>
          </w:rPr>
          <w:t>3.8. Matriz de asignación de costos por actividades y elementos de red (Nivel 2) a servicios mayoristas (Nivel 3)</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_Toc478774514 \h </w:instrText>
        </w:r>
        <w:r w:rsidR="005144E2" w:rsidRPr="008609D1">
          <w:rPr>
            <w:noProof/>
            <w:webHidden/>
          </w:rPr>
        </w:r>
        <w:r w:rsidR="005144E2" w:rsidRPr="008609D1">
          <w:rPr>
            <w:noProof/>
            <w:webHidden/>
          </w:rPr>
          <w:fldChar w:fldCharType="separate"/>
        </w:r>
        <w:r w:rsidR="00DC29C9">
          <w:rPr>
            <w:noProof/>
            <w:webHidden/>
          </w:rPr>
          <w:t>98</w:t>
        </w:r>
        <w:r w:rsidR="005144E2" w:rsidRPr="008609D1">
          <w:rPr>
            <w:noProof/>
            <w:webHidden/>
          </w:rPr>
          <w:fldChar w:fldCharType="end"/>
        </w:r>
      </w:hyperlink>
    </w:p>
    <w:p w14:paraId="5450EFD0" w14:textId="77777777" w:rsidR="005144E2" w:rsidRPr="008609D1" w:rsidRDefault="00970710">
      <w:pPr>
        <w:pStyle w:val="TDC2"/>
        <w:rPr>
          <w:rFonts w:asciiTheme="minorHAnsi" w:eastAsiaTheme="minorEastAsia" w:hAnsiTheme="minorHAnsi" w:cstheme="minorBidi"/>
          <w:noProof/>
          <w:szCs w:val="22"/>
          <w:lang w:eastAsia="en-GB"/>
        </w:rPr>
      </w:pPr>
      <w:hyperlink w:anchor="_Toc478774515" w:history="1">
        <w:r w:rsidR="005144E2" w:rsidRPr="008609D1">
          <w:rPr>
            <w:rStyle w:val="Hipervnculo"/>
            <w:noProof/>
          </w:rPr>
          <w:t>3.9. Matriz de asignación de capital empleado por actividades y elementos de red (Nivel 2) a servicios minoristas (Nivel 3)</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_Toc478774515 \h </w:instrText>
        </w:r>
        <w:r w:rsidR="005144E2" w:rsidRPr="008609D1">
          <w:rPr>
            <w:noProof/>
            <w:webHidden/>
          </w:rPr>
        </w:r>
        <w:r w:rsidR="005144E2" w:rsidRPr="008609D1">
          <w:rPr>
            <w:noProof/>
            <w:webHidden/>
          </w:rPr>
          <w:fldChar w:fldCharType="separate"/>
        </w:r>
        <w:r w:rsidR="00DC29C9">
          <w:rPr>
            <w:noProof/>
            <w:webHidden/>
          </w:rPr>
          <w:t>99</w:t>
        </w:r>
        <w:r w:rsidR="005144E2" w:rsidRPr="008609D1">
          <w:rPr>
            <w:noProof/>
            <w:webHidden/>
          </w:rPr>
          <w:fldChar w:fldCharType="end"/>
        </w:r>
      </w:hyperlink>
    </w:p>
    <w:p w14:paraId="400CDA93" w14:textId="77777777" w:rsidR="005144E2" w:rsidRPr="008609D1" w:rsidRDefault="00970710">
      <w:pPr>
        <w:pStyle w:val="TDC2"/>
        <w:rPr>
          <w:rFonts w:asciiTheme="minorHAnsi" w:eastAsiaTheme="minorEastAsia" w:hAnsiTheme="minorHAnsi" w:cstheme="minorBidi"/>
          <w:noProof/>
          <w:szCs w:val="22"/>
          <w:lang w:eastAsia="en-GB"/>
        </w:rPr>
      </w:pPr>
      <w:hyperlink w:anchor="_Toc478774516" w:history="1">
        <w:r w:rsidR="005144E2" w:rsidRPr="008609D1">
          <w:rPr>
            <w:rStyle w:val="Hipervnculo"/>
            <w:noProof/>
          </w:rPr>
          <w:t>3.10. Matriz de asignación de capital empleado por actividades y elementos de red (Nivel 2) a servicios mayoristas (Nivel 3)</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_Toc478774516 \h </w:instrText>
        </w:r>
        <w:r w:rsidR="005144E2" w:rsidRPr="008609D1">
          <w:rPr>
            <w:noProof/>
            <w:webHidden/>
          </w:rPr>
        </w:r>
        <w:r w:rsidR="005144E2" w:rsidRPr="008609D1">
          <w:rPr>
            <w:noProof/>
            <w:webHidden/>
          </w:rPr>
          <w:fldChar w:fldCharType="separate"/>
        </w:r>
        <w:r w:rsidR="00DC29C9">
          <w:rPr>
            <w:noProof/>
            <w:webHidden/>
          </w:rPr>
          <w:t>100</w:t>
        </w:r>
        <w:r w:rsidR="005144E2" w:rsidRPr="008609D1">
          <w:rPr>
            <w:noProof/>
            <w:webHidden/>
          </w:rPr>
          <w:fldChar w:fldCharType="end"/>
        </w:r>
      </w:hyperlink>
    </w:p>
    <w:p w14:paraId="482A1557" w14:textId="77777777" w:rsidR="005144E2" w:rsidRPr="008609D1" w:rsidRDefault="00970710">
      <w:pPr>
        <w:pStyle w:val="TDC1"/>
        <w:rPr>
          <w:rFonts w:asciiTheme="minorHAnsi" w:eastAsiaTheme="minorEastAsia" w:hAnsiTheme="minorHAnsi" w:cstheme="minorBidi"/>
          <w:noProof/>
          <w:szCs w:val="22"/>
          <w:lang w:eastAsia="en-GB"/>
        </w:rPr>
      </w:pPr>
      <w:hyperlink w:anchor="_Toc478774517" w:history="1">
        <w:r w:rsidR="005144E2" w:rsidRPr="008609D1">
          <w:rPr>
            <w:rStyle w:val="Hipervnculo"/>
            <w:noProof/>
          </w:rPr>
          <w:t>4. CARGOS DE TRANSFERENCIA</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_Toc478774517 \h </w:instrText>
        </w:r>
        <w:r w:rsidR="005144E2" w:rsidRPr="008609D1">
          <w:rPr>
            <w:noProof/>
            <w:webHidden/>
          </w:rPr>
        </w:r>
        <w:r w:rsidR="005144E2" w:rsidRPr="008609D1">
          <w:rPr>
            <w:noProof/>
            <w:webHidden/>
          </w:rPr>
          <w:fldChar w:fldCharType="separate"/>
        </w:r>
        <w:r w:rsidR="00DC29C9">
          <w:rPr>
            <w:noProof/>
            <w:webHidden/>
          </w:rPr>
          <w:t>101</w:t>
        </w:r>
        <w:r w:rsidR="005144E2" w:rsidRPr="008609D1">
          <w:rPr>
            <w:noProof/>
            <w:webHidden/>
          </w:rPr>
          <w:fldChar w:fldCharType="end"/>
        </w:r>
      </w:hyperlink>
    </w:p>
    <w:p w14:paraId="11817F94" w14:textId="77777777" w:rsidR="005144E2" w:rsidRPr="008609D1" w:rsidRDefault="00970710">
      <w:pPr>
        <w:pStyle w:val="TDC1"/>
        <w:rPr>
          <w:rFonts w:asciiTheme="minorHAnsi" w:eastAsiaTheme="minorEastAsia" w:hAnsiTheme="minorHAnsi" w:cstheme="minorBidi"/>
          <w:noProof/>
          <w:szCs w:val="22"/>
          <w:lang w:eastAsia="en-GB"/>
        </w:rPr>
      </w:pPr>
      <w:hyperlink w:anchor="_Toc478774518" w:history="1">
        <w:r w:rsidR="005144E2" w:rsidRPr="008609D1">
          <w:rPr>
            <w:rStyle w:val="Hipervnculo"/>
            <w:noProof/>
          </w:rPr>
          <w:t>5. ESTADO DE LA PLANTA DEL OPERADOR</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_Toc478774518 \h </w:instrText>
        </w:r>
        <w:r w:rsidR="005144E2" w:rsidRPr="008609D1">
          <w:rPr>
            <w:noProof/>
            <w:webHidden/>
          </w:rPr>
        </w:r>
        <w:r w:rsidR="005144E2" w:rsidRPr="008609D1">
          <w:rPr>
            <w:noProof/>
            <w:webHidden/>
          </w:rPr>
          <w:fldChar w:fldCharType="separate"/>
        </w:r>
        <w:r w:rsidR="00DC29C9">
          <w:rPr>
            <w:noProof/>
            <w:webHidden/>
          </w:rPr>
          <w:t>102</w:t>
        </w:r>
        <w:r w:rsidR="005144E2" w:rsidRPr="008609D1">
          <w:rPr>
            <w:noProof/>
            <w:webHidden/>
          </w:rPr>
          <w:fldChar w:fldCharType="end"/>
        </w:r>
      </w:hyperlink>
    </w:p>
    <w:p w14:paraId="3008037E" w14:textId="77777777" w:rsidR="005144E2" w:rsidRPr="008609D1" w:rsidRDefault="00970710">
      <w:pPr>
        <w:pStyle w:val="TDC2"/>
        <w:rPr>
          <w:rFonts w:asciiTheme="minorHAnsi" w:eastAsiaTheme="minorEastAsia" w:hAnsiTheme="minorHAnsi" w:cstheme="minorBidi"/>
          <w:noProof/>
          <w:szCs w:val="22"/>
          <w:lang w:eastAsia="en-GB"/>
        </w:rPr>
      </w:pPr>
      <w:hyperlink w:anchor="_Toc478774519" w:history="1">
        <w:r w:rsidR="005144E2" w:rsidRPr="008609D1">
          <w:rPr>
            <w:rStyle w:val="Hipervnculo"/>
            <w:noProof/>
          </w:rPr>
          <w:t>5.1. Información detallada por activo</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_Toc478774519 \h </w:instrText>
        </w:r>
        <w:r w:rsidR="005144E2" w:rsidRPr="008609D1">
          <w:rPr>
            <w:noProof/>
            <w:webHidden/>
          </w:rPr>
        </w:r>
        <w:r w:rsidR="005144E2" w:rsidRPr="008609D1">
          <w:rPr>
            <w:noProof/>
            <w:webHidden/>
          </w:rPr>
          <w:fldChar w:fldCharType="separate"/>
        </w:r>
        <w:r w:rsidR="00DC29C9">
          <w:rPr>
            <w:noProof/>
            <w:webHidden/>
          </w:rPr>
          <w:t>103</w:t>
        </w:r>
        <w:r w:rsidR="005144E2" w:rsidRPr="008609D1">
          <w:rPr>
            <w:noProof/>
            <w:webHidden/>
          </w:rPr>
          <w:fldChar w:fldCharType="end"/>
        </w:r>
      </w:hyperlink>
    </w:p>
    <w:p w14:paraId="3E7AD17D" w14:textId="77777777" w:rsidR="005144E2" w:rsidRPr="008609D1" w:rsidRDefault="00970710">
      <w:pPr>
        <w:pStyle w:val="TDC2"/>
        <w:rPr>
          <w:rFonts w:asciiTheme="minorHAnsi" w:eastAsiaTheme="minorEastAsia" w:hAnsiTheme="minorHAnsi" w:cstheme="minorBidi"/>
          <w:noProof/>
          <w:szCs w:val="22"/>
          <w:lang w:eastAsia="en-GB"/>
        </w:rPr>
      </w:pPr>
      <w:hyperlink w:anchor="_Toc478774520" w:history="1">
        <w:r w:rsidR="005144E2" w:rsidRPr="008609D1">
          <w:rPr>
            <w:rStyle w:val="Hipervnculo"/>
            <w:noProof/>
          </w:rPr>
          <w:t>5.2. Actividad inversora (y desinversora) por activo</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_Toc478774520 \h </w:instrText>
        </w:r>
        <w:r w:rsidR="005144E2" w:rsidRPr="008609D1">
          <w:rPr>
            <w:noProof/>
            <w:webHidden/>
          </w:rPr>
        </w:r>
        <w:r w:rsidR="005144E2" w:rsidRPr="008609D1">
          <w:rPr>
            <w:noProof/>
            <w:webHidden/>
          </w:rPr>
          <w:fldChar w:fldCharType="separate"/>
        </w:r>
        <w:r w:rsidR="00DC29C9">
          <w:rPr>
            <w:noProof/>
            <w:webHidden/>
          </w:rPr>
          <w:t>103</w:t>
        </w:r>
        <w:r w:rsidR="005144E2" w:rsidRPr="008609D1">
          <w:rPr>
            <w:noProof/>
            <w:webHidden/>
          </w:rPr>
          <w:fldChar w:fldCharType="end"/>
        </w:r>
      </w:hyperlink>
    </w:p>
    <w:p w14:paraId="08C384A7" w14:textId="77777777" w:rsidR="005144E2" w:rsidRPr="008609D1" w:rsidRDefault="00970710">
      <w:pPr>
        <w:pStyle w:val="TDC2"/>
        <w:rPr>
          <w:rFonts w:asciiTheme="minorHAnsi" w:eastAsiaTheme="minorEastAsia" w:hAnsiTheme="minorHAnsi" w:cstheme="minorBidi"/>
          <w:noProof/>
          <w:szCs w:val="22"/>
          <w:lang w:eastAsia="en-GB"/>
        </w:rPr>
      </w:pPr>
      <w:hyperlink w:anchor="_Toc478774521" w:history="1">
        <w:r w:rsidR="005144E2" w:rsidRPr="008609D1">
          <w:rPr>
            <w:rStyle w:val="Hipervnculo"/>
            <w:noProof/>
          </w:rPr>
          <w:t>5.3. Informe de valoración a costos actuales</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_Toc478774521 \h </w:instrText>
        </w:r>
        <w:r w:rsidR="005144E2" w:rsidRPr="008609D1">
          <w:rPr>
            <w:noProof/>
            <w:webHidden/>
          </w:rPr>
        </w:r>
        <w:r w:rsidR="005144E2" w:rsidRPr="008609D1">
          <w:rPr>
            <w:noProof/>
            <w:webHidden/>
          </w:rPr>
          <w:fldChar w:fldCharType="separate"/>
        </w:r>
        <w:r w:rsidR="00DC29C9">
          <w:rPr>
            <w:noProof/>
            <w:webHidden/>
          </w:rPr>
          <w:t>104</w:t>
        </w:r>
        <w:r w:rsidR="005144E2" w:rsidRPr="008609D1">
          <w:rPr>
            <w:noProof/>
            <w:webHidden/>
          </w:rPr>
          <w:fldChar w:fldCharType="end"/>
        </w:r>
      </w:hyperlink>
    </w:p>
    <w:p w14:paraId="4FC49EC8" w14:textId="77777777" w:rsidR="005144E2" w:rsidRPr="008609D1" w:rsidRDefault="00970710">
      <w:pPr>
        <w:pStyle w:val="TDC1"/>
        <w:rPr>
          <w:rFonts w:asciiTheme="minorHAnsi" w:eastAsiaTheme="minorEastAsia" w:hAnsiTheme="minorHAnsi" w:cstheme="minorBidi"/>
          <w:noProof/>
          <w:szCs w:val="22"/>
          <w:lang w:eastAsia="en-GB"/>
        </w:rPr>
      </w:pPr>
      <w:hyperlink w:anchor="_Toc478774522" w:history="1">
        <w:r w:rsidR="005144E2" w:rsidRPr="008609D1">
          <w:rPr>
            <w:rStyle w:val="Hipervnculo"/>
            <w:noProof/>
          </w:rPr>
          <w:t>6. INFORMACIÓN DE CÁLCULO DEL WACC</w:t>
        </w:r>
        <w:r w:rsidR="005144E2" w:rsidRPr="008609D1">
          <w:rPr>
            <w:noProof/>
            <w:webHidden/>
          </w:rPr>
          <w:tab/>
        </w:r>
        <w:r w:rsidR="005144E2" w:rsidRPr="008609D1">
          <w:rPr>
            <w:noProof/>
            <w:webHidden/>
          </w:rPr>
          <w:fldChar w:fldCharType="begin"/>
        </w:r>
        <w:r w:rsidR="005144E2" w:rsidRPr="008609D1">
          <w:rPr>
            <w:noProof/>
            <w:webHidden/>
          </w:rPr>
          <w:instrText xml:space="preserve"> PAGEREF _Toc478774522 \h </w:instrText>
        </w:r>
        <w:r w:rsidR="005144E2" w:rsidRPr="008609D1">
          <w:rPr>
            <w:noProof/>
            <w:webHidden/>
          </w:rPr>
        </w:r>
        <w:r w:rsidR="005144E2" w:rsidRPr="008609D1">
          <w:rPr>
            <w:noProof/>
            <w:webHidden/>
          </w:rPr>
          <w:fldChar w:fldCharType="separate"/>
        </w:r>
        <w:r w:rsidR="00DC29C9">
          <w:rPr>
            <w:noProof/>
            <w:webHidden/>
          </w:rPr>
          <w:t>105</w:t>
        </w:r>
        <w:r w:rsidR="005144E2" w:rsidRPr="008609D1">
          <w:rPr>
            <w:noProof/>
            <w:webHidden/>
          </w:rPr>
          <w:fldChar w:fldCharType="end"/>
        </w:r>
      </w:hyperlink>
    </w:p>
    <w:p w14:paraId="450C4DA0" w14:textId="77777777" w:rsidR="00892164" w:rsidRPr="008609D1" w:rsidRDefault="00BF3B11" w:rsidP="00892164">
      <w:pPr>
        <w:pStyle w:val="TDC2"/>
      </w:pPr>
      <w:r w:rsidRPr="008609D1">
        <w:rPr>
          <w:rFonts w:cs="Arial"/>
          <w:szCs w:val="22"/>
          <w:lang w:val="es-ES"/>
        </w:rPr>
        <w:fldChar w:fldCharType="end"/>
      </w:r>
    </w:p>
    <w:p w14:paraId="040ACD58" w14:textId="77777777" w:rsidR="00892164" w:rsidRPr="008609D1" w:rsidRDefault="00892164" w:rsidP="008003B3">
      <w:pPr>
        <w:pStyle w:val="Normalresolucion"/>
      </w:pPr>
      <w:r w:rsidRPr="008609D1">
        <w:t xml:space="preserve">Por normal general, y salvo que se indique lo contrario, todos los formatos que se presentan en este </w:t>
      </w:r>
      <w:r w:rsidR="00524D8B" w:rsidRPr="008609D1">
        <w:t>Anexo</w:t>
      </w:r>
      <w:r w:rsidR="008003B3" w:rsidRPr="008609D1">
        <w:t xml:space="preserve"> </w:t>
      </w:r>
      <w:r w:rsidRPr="008609D1">
        <w:t>deberán ser presentados para los dos últimos ejercicios (ejercicio N</w:t>
      </w:r>
      <w:r w:rsidR="00011E07" w:rsidRPr="008609D1">
        <w:rPr>
          <w:rStyle w:val="Refdenotaalpie"/>
        </w:rPr>
        <w:footnoteReference w:id="50"/>
      </w:r>
      <w:r w:rsidRPr="008609D1">
        <w:t xml:space="preserve"> y ejercicio N-1</w:t>
      </w:r>
      <w:r w:rsidR="00011E07" w:rsidRPr="008609D1">
        <w:rPr>
          <w:rStyle w:val="Refdenotaalpie"/>
        </w:rPr>
        <w:footnoteReference w:id="51"/>
      </w:r>
      <w:r w:rsidRPr="008609D1">
        <w:t>) y bajo los dos estándares de costos aplicables (costos históricos y costos actuales). Asimismo, todos los formatos presentados deberán estar completos, sin omitir total o parcialmente ninguno de los rubros de información solicitados</w:t>
      </w:r>
      <w:r w:rsidR="00EE65E7" w:rsidRPr="008609D1">
        <w:t xml:space="preserve"> y ser presentados al Instituto en formato electrónico editable</w:t>
      </w:r>
      <w:r w:rsidRPr="008609D1">
        <w:t>.</w:t>
      </w:r>
    </w:p>
    <w:p w14:paraId="2D7450C2" w14:textId="77777777" w:rsidR="00892164" w:rsidRPr="008609D1" w:rsidRDefault="005448D2" w:rsidP="0030092E">
      <w:pPr>
        <w:pStyle w:val="A3L1"/>
      </w:pPr>
      <w:bookmarkStart w:id="141" w:name="_Ref477512920"/>
      <w:bookmarkStart w:id="142" w:name="_Toc477515018"/>
      <w:bookmarkStart w:id="143" w:name="_Toc478774502"/>
      <w:r w:rsidRPr="008609D1">
        <w:t>RESULTADOS DE LA CONTABILIDAD SEPARADA</w:t>
      </w:r>
      <w:bookmarkEnd w:id="141"/>
      <w:bookmarkEnd w:id="142"/>
      <w:bookmarkEnd w:id="143"/>
    </w:p>
    <w:p w14:paraId="624AE742" w14:textId="77777777" w:rsidR="00892164" w:rsidRPr="008609D1" w:rsidRDefault="00892164" w:rsidP="00892164">
      <w:pPr>
        <w:pStyle w:val="Normalresolucion"/>
      </w:pPr>
      <w:r w:rsidRPr="008609D1">
        <w:t xml:space="preserve">Una de las principales funciones de la </w:t>
      </w:r>
      <w:r w:rsidR="00AC3FFE" w:rsidRPr="008609D1">
        <w:t>separación contable</w:t>
      </w:r>
      <w:r w:rsidRPr="008609D1">
        <w:t xml:space="preserve"> es proveer información detallada sobre el retorno obtenido en los servicios que emana la obligación. Por ello, en esta sección se incluye la presentación de reportes que presenten la información resumida a nivel de segmento y servicio sobre los resultados alcanzados mediante la </w:t>
      </w:r>
      <w:r w:rsidR="00AC3FFE" w:rsidRPr="008609D1">
        <w:t>separación contable</w:t>
      </w:r>
      <w:r w:rsidRPr="008609D1">
        <w:t>.</w:t>
      </w:r>
    </w:p>
    <w:p w14:paraId="6E96C570" w14:textId="77777777" w:rsidR="00892164" w:rsidRPr="008609D1" w:rsidRDefault="00892164" w:rsidP="00FD2740">
      <w:pPr>
        <w:pStyle w:val="A3L2"/>
      </w:pPr>
      <w:bookmarkStart w:id="144" w:name="_Toc475468508"/>
      <w:bookmarkStart w:id="145" w:name="_Toc477515019"/>
      <w:bookmarkStart w:id="146" w:name="_Toc478774503"/>
      <w:r w:rsidRPr="008609D1">
        <w:t>Cuentas de resultados por segmento</w:t>
      </w:r>
      <w:bookmarkEnd w:id="144"/>
      <w:bookmarkEnd w:id="145"/>
      <w:bookmarkEnd w:id="146"/>
    </w:p>
    <w:p w14:paraId="29213A32" w14:textId="77777777" w:rsidR="00892164" w:rsidRPr="008609D1" w:rsidRDefault="00892164" w:rsidP="00892164">
      <w:pPr>
        <w:pStyle w:val="Normalresolucion"/>
      </w:pPr>
      <w:r w:rsidRPr="008609D1">
        <w:t xml:space="preserve">A continuación, se ilustran los formatos de cuentas de resultados que deberán presentarse para los segmentos minoristas y mayoristas. La información presentada </w:t>
      </w:r>
      <w:r w:rsidRPr="008609D1">
        <w:lastRenderedPageBreak/>
        <w:t>a nivel de segmento deberá ser obtenida como el agregado de la totalidad de los servicios que lo componen.</w:t>
      </w:r>
    </w:p>
    <w:p w14:paraId="7AC26834" w14:textId="77777777" w:rsidR="00892164" w:rsidRDefault="00892164" w:rsidP="00892164">
      <w:pPr>
        <w:pStyle w:val="Normalresolucion"/>
        <w:rPr>
          <w:rtl/>
        </w:rPr>
      </w:pPr>
      <w:r w:rsidRPr="008609D1">
        <w:t xml:space="preserve">La relación servicios-segmento se encuentra indicada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5144E2" w:rsidRPr="008609D1">
        <w:rPr>
          <w:rFonts w:hint="eastAsia"/>
          <w:cs/>
        </w:rPr>
        <w:t>‎</w:t>
      </w:r>
      <w:r w:rsidR="005144E2" w:rsidRPr="008609D1">
        <w:t>2.2</w:t>
      </w:r>
      <w:r w:rsidRPr="008609D1">
        <w:fldChar w:fldCharType="end"/>
      </w:r>
      <w:r w:rsidRPr="008609D1">
        <w:t xml:space="preserve"> del Anexo </w:t>
      </w:r>
      <w:r w:rsidR="004B3901" w:rsidRPr="008609D1">
        <w:t>3</w:t>
      </w:r>
      <w:r w:rsidRPr="008609D1">
        <w:rPr>
          <w:rtl/>
        </w:rPr>
        <w:t>.</w:t>
      </w:r>
    </w:p>
    <w:p w14:paraId="6F4A4A8C" w14:textId="77777777" w:rsidR="00E90A5F" w:rsidRDefault="00E90A5F" w:rsidP="00E90A5F">
      <w:pPr>
        <w:pStyle w:val="Descripcin"/>
        <w:rPr>
          <w:rFonts w:ascii="ITC Avant Garde" w:hAnsi="ITC Avant Garde"/>
          <w:iCs/>
          <w:sz w:val="20"/>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1</w:t>
      </w:r>
      <w:r w:rsidRPr="008609D1">
        <w:rPr>
          <w:rFonts w:ascii="ITC Avant Garde" w:hAnsi="ITC Avant Garde"/>
          <w:iCs/>
          <w:sz w:val="20"/>
          <w:lang w:val="es-MX"/>
        </w:rPr>
        <w:fldChar w:fldCharType="end"/>
      </w:r>
      <w:r w:rsidRPr="008609D1">
        <w:rPr>
          <w:rFonts w:ascii="ITC Avant Garde" w:hAnsi="ITC Avant Garde"/>
          <w:iCs/>
          <w:sz w:val="20"/>
          <w:lang w:val="es-MX"/>
        </w:rPr>
        <w:t>: Cuenta de resultados del segmento minorista de la separación contable</w:t>
      </w:r>
    </w:p>
    <w:p w14:paraId="29BB9E04" w14:textId="77777777" w:rsidR="00707EE9" w:rsidRPr="008609D1" w:rsidRDefault="00707EE9" w:rsidP="00707EE9">
      <w:pPr>
        <w:pStyle w:val="HeadingAnexo1L3"/>
        <w:keepNext/>
        <w:keepLines/>
        <w:rPr>
          <w:b w:val="0"/>
        </w:rPr>
      </w:pPr>
      <w:r w:rsidRPr="008609D1">
        <w:t>Segmento minorista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5"/>
        <w:gridCol w:w="1101"/>
        <w:gridCol w:w="1102"/>
      </w:tblGrid>
      <w:tr w:rsidR="00707EE9" w:rsidRPr="008609D1" w14:paraId="4922B9D5" w14:textId="77777777" w:rsidTr="00970710">
        <w:trPr>
          <w:trHeight w:val="283"/>
          <w:jc w:val="center"/>
        </w:trPr>
        <w:tc>
          <w:tcPr>
            <w:tcW w:w="3548" w:type="pct"/>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1DA9CE48" w14:textId="77777777" w:rsidR="00707EE9" w:rsidRPr="008609D1" w:rsidRDefault="00707EE9" w:rsidP="00970710">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Concepto</w:t>
            </w:r>
          </w:p>
        </w:tc>
        <w:tc>
          <w:tcPr>
            <w:tcW w:w="1452" w:type="pct"/>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165B56EF" w14:textId="77777777" w:rsidR="00707EE9" w:rsidRPr="008609D1" w:rsidRDefault="00707EE9" w:rsidP="00970710">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Año</w:t>
            </w:r>
          </w:p>
        </w:tc>
      </w:tr>
      <w:tr w:rsidR="00707EE9" w:rsidRPr="008609D1" w14:paraId="0D02D9DE" w14:textId="77777777" w:rsidTr="00970710">
        <w:trPr>
          <w:trHeight w:val="341"/>
          <w:jc w:val="center"/>
        </w:trPr>
        <w:tc>
          <w:tcPr>
            <w:tcW w:w="0" w:type="auto"/>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54400442" w14:textId="77777777" w:rsidR="00707EE9" w:rsidRPr="008609D1" w:rsidRDefault="00707EE9" w:rsidP="00970710">
            <w:pPr>
              <w:keepNext/>
              <w:keepLines/>
              <w:spacing w:after="0"/>
              <w:rPr>
                <w:rFonts w:ascii="ITC Avant Garde" w:eastAsia="Times New Roman" w:hAnsi="ITC Avant Garde" w:cs="Arial"/>
                <w:b/>
                <w:color w:val="FFFFFF" w:themeColor="background1"/>
                <w:sz w:val="20"/>
                <w:lang w:val="es-ES" w:eastAsia="es-ES"/>
              </w:rPr>
            </w:pPr>
          </w:p>
        </w:tc>
        <w:tc>
          <w:tcPr>
            <w:tcW w:w="726" w:type="pct"/>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36F036B0" w14:textId="77777777" w:rsidR="00707EE9" w:rsidRPr="008609D1" w:rsidRDefault="00707EE9" w:rsidP="00970710">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N-1</w:t>
            </w:r>
          </w:p>
        </w:tc>
        <w:tc>
          <w:tcPr>
            <w:tcW w:w="726" w:type="pct"/>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386EC831" w14:textId="77777777" w:rsidR="00707EE9" w:rsidRPr="008609D1" w:rsidRDefault="00707EE9" w:rsidP="00970710">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w:t>
            </w:r>
          </w:p>
        </w:tc>
      </w:tr>
      <w:tr w:rsidR="00707EE9" w:rsidRPr="008609D1" w14:paraId="5F9B7FB2" w14:textId="77777777" w:rsidTr="00970710">
        <w:trPr>
          <w:trHeight w:val="283"/>
          <w:jc w:val="center"/>
        </w:trPr>
        <w:tc>
          <w:tcPr>
            <w:tcW w:w="3548" w:type="pct"/>
            <w:tcBorders>
              <w:top w:val="single" w:sz="4" w:space="0" w:color="244062"/>
              <w:left w:val="nil"/>
              <w:right w:val="nil"/>
            </w:tcBorders>
            <w:shd w:val="clear" w:color="auto" w:fill="E5E9EB"/>
            <w:noWrap/>
            <w:vAlign w:val="center"/>
            <w:hideMark/>
          </w:tcPr>
          <w:p w14:paraId="416CD9DD" w14:textId="77777777" w:rsidR="00707EE9" w:rsidRPr="008609D1" w:rsidRDefault="00707EE9" w:rsidP="00970710">
            <w:pPr>
              <w:keepNext/>
              <w:keepLines/>
              <w:spacing w:after="0" w:line="240" w:lineRule="auto"/>
              <w:rPr>
                <w:rFonts w:ascii="ITC Avant Garde" w:hAnsi="ITC Avant Garde"/>
                <w:b/>
                <w:sz w:val="20"/>
                <w:lang w:val="es-ES"/>
              </w:rPr>
            </w:pPr>
            <w:r w:rsidRPr="008609D1">
              <w:rPr>
                <w:rFonts w:ascii="ITC Avant Garde" w:hAnsi="ITC Avant Garde"/>
                <w:b/>
                <w:sz w:val="20"/>
                <w:lang w:val="es-ES"/>
              </w:rPr>
              <w:t>Ingresos</w:t>
            </w:r>
          </w:p>
        </w:tc>
        <w:tc>
          <w:tcPr>
            <w:tcW w:w="726" w:type="pct"/>
            <w:tcBorders>
              <w:top w:val="single" w:sz="4" w:space="0" w:color="244062"/>
              <w:left w:val="nil"/>
              <w:right w:val="nil"/>
            </w:tcBorders>
            <w:shd w:val="clear" w:color="auto" w:fill="FFFFFF" w:themeFill="background1"/>
            <w:noWrap/>
            <w:vAlign w:val="center"/>
            <w:hideMark/>
          </w:tcPr>
          <w:p w14:paraId="07EEC051"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726" w:type="pct"/>
            <w:tcBorders>
              <w:top w:val="single" w:sz="4" w:space="0" w:color="244062"/>
              <w:left w:val="nil"/>
              <w:right w:val="nil"/>
            </w:tcBorders>
            <w:shd w:val="clear" w:color="auto" w:fill="FFFFFF" w:themeFill="background1"/>
            <w:noWrap/>
            <w:vAlign w:val="center"/>
            <w:hideMark/>
          </w:tcPr>
          <w:p w14:paraId="6D548C69"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5A31162E" w14:textId="77777777" w:rsidTr="00970710">
        <w:trPr>
          <w:trHeight w:val="283"/>
          <w:jc w:val="center"/>
        </w:trPr>
        <w:tc>
          <w:tcPr>
            <w:tcW w:w="3548" w:type="pct"/>
            <w:tcBorders>
              <w:left w:val="nil"/>
              <w:right w:val="nil"/>
            </w:tcBorders>
            <w:shd w:val="clear" w:color="auto" w:fill="D0D1DB"/>
            <w:noWrap/>
            <w:vAlign w:val="center"/>
            <w:hideMark/>
          </w:tcPr>
          <w:p w14:paraId="6B7EAAB3" w14:textId="77777777" w:rsidR="00707EE9" w:rsidRPr="008609D1" w:rsidRDefault="00707EE9" w:rsidP="00970710">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la prestación de servicios</w:t>
            </w:r>
          </w:p>
        </w:tc>
        <w:tc>
          <w:tcPr>
            <w:tcW w:w="726" w:type="pct"/>
            <w:tcBorders>
              <w:left w:val="nil"/>
              <w:right w:val="nil"/>
            </w:tcBorders>
            <w:shd w:val="clear" w:color="auto" w:fill="FFFFFF" w:themeFill="background1"/>
            <w:noWrap/>
            <w:vAlign w:val="center"/>
            <w:hideMark/>
          </w:tcPr>
          <w:p w14:paraId="75678977"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14:paraId="20117E90"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738B0FF0" w14:textId="77777777" w:rsidTr="00970710">
        <w:trPr>
          <w:trHeight w:val="283"/>
          <w:jc w:val="center"/>
        </w:trPr>
        <w:tc>
          <w:tcPr>
            <w:tcW w:w="3548" w:type="pct"/>
            <w:tcBorders>
              <w:left w:val="nil"/>
              <w:right w:val="nil"/>
            </w:tcBorders>
            <w:shd w:val="clear" w:color="auto" w:fill="E5E9EB"/>
            <w:noWrap/>
            <w:vAlign w:val="center"/>
            <w:hideMark/>
          </w:tcPr>
          <w:p w14:paraId="282CC192" w14:textId="77777777" w:rsidR="00707EE9" w:rsidRPr="008609D1" w:rsidRDefault="00707EE9" w:rsidP="00970710">
            <w:pPr>
              <w:keepNext/>
              <w:keepLines/>
              <w:spacing w:after="0" w:line="240" w:lineRule="auto"/>
              <w:rPr>
                <w:rFonts w:ascii="ITC Avant Garde" w:hAnsi="ITC Avant Garde"/>
                <w:b/>
                <w:sz w:val="20"/>
                <w:lang w:val="es-ES"/>
              </w:rPr>
            </w:pPr>
            <w:r w:rsidRPr="008609D1">
              <w:rPr>
                <w:rFonts w:ascii="ITC Avant Garde" w:hAnsi="ITC Avant Garde"/>
                <w:b/>
                <w:sz w:val="20"/>
                <w:lang w:val="es-ES"/>
              </w:rPr>
              <w:t>Costos</w:t>
            </w:r>
          </w:p>
        </w:tc>
        <w:tc>
          <w:tcPr>
            <w:tcW w:w="726" w:type="pct"/>
            <w:tcBorders>
              <w:left w:val="nil"/>
              <w:right w:val="nil"/>
            </w:tcBorders>
            <w:shd w:val="clear" w:color="auto" w:fill="FFFFFF" w:themeFill="background1"/>
            <w:noWrap/>
            <w:vAlign w:val="center"/>
            <w:hideMark/>
          </w:tcPr>
          <w:p w14:paraId="580AD63B"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14:paraId="32C96742"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50F23D9A" w14:textId="77777777" w:rsidTr="00970710">
        <w:trPr>
          <w:trHeight w:val="283"/>
          <w:jc w:val="center"/>
        </w:trPr>
        <w:tc>
          <w:tcPr>
            <w:tcW w:w="3548" w:type="pct"/>
            <w:tcBorders>
              <w:left w:val="nil"/>
              <w:right w:val="nil"/>
            </w:tcBorders>
            <w:shd w:val="clear" w:color="auto" w:fill="D0D1DB"/>
            <w:noWrap/>
            <w:vAlign w:val="center"/>
            <w:hideMark/>
          </w:tcPr>
          <w:p w14:paraId="38EF5689" w14:textId="77777777" w:rsidR="00707EE9" w:rsidRPr="008609D1" w:rsidRDefault="00707EE9" w:rsidP="00970710">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operativos</w:t>
            </w:r>
          </w:p>
        </w:tc>
        <w:tc>
          <w:tcPr>
            <w:tcW w:w="726" w:type="pct"/>
            <w:tcBorders>
              <w:left w:val="nil"/>
              <w:right w:val="nil"/>
            </w:tcBorders>
            <w:shd w:val="clear" w:color="auto" w:fill="FFFFFF" w:themeFill="background1"/>
            <w:noWrap/>
            <w:vAlign w:val="center"/>
            <w:hideMark/>
          </w:tcPr>
          <w:p w14:paraId="50D7926C"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14:paraId="79190C1A"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63A4937F" w14:textId="77777777" w:rsidTr="00970710">
        <w:trPr>
          <w:trHeight w:val="283"/>
          <w:jc w:val="center"/>
        </w:trPr>
        <w:tc>
          <w:tcPr>
            <w:tcW w:w="3548" w:type="pct"/>
            <w:tcBorders>
              <w:left w:val="nil"/>
              <w:right w:val="nil"/>
            </w:tcBorders>
            <w:shd w:val="clear" w:color="auto" w:fill="D0D1DB"/>
            <w:noWrap/>
            <w:vAlign w:val="center"/>
            <w:hideMark/>
          </w:tcPr>
          <w:p w14:paraId="78321608" w14:textId="77777777" w:rsidR="00707EE9" w:rsidRPr="008609D1" w:rsidRDefault="00707EE9" w:rsidP="00970710">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Depreciación/amortización</w:t>
            </w:r>
          </w:p>
        </w:tc>
        <w:tc>
          <w:tcPr>
            <w:tcW w:w="726" w:type="pct"/>
            <w:tcBorders>
              <w:left w:val="nil"/>
              <w:right w:val="nil"/>
            </w:tcBorders>
            <w:shd w:val="clear" w:color="auto" w:fill="FFFFFF" w:themeFill="background1"/>
            <w:noWrap/>
            <w:vAlign w:val="center"/>
            <w:hideMark/>
          </w:tcPr>
          <w:p w14:paraId="34842FFC"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14:paraId="4E31B2C8"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51F751AA" w14:textId="77777777" w:rsidTr="00970710">
        <w:trPr>
          <w:trHeight w:val="283"/>
          <w:jc w:val="center"/>
        </w:trPr>
        <w:tc>
          <w:tcPr>
            <w:tcW w:w="3548" w:type="pct"/>
            <w:tcBorders>
              <w:left w:val="nil"/>
              <w:right w:val="nil"/>
            </w:tcBorders>
            <w:shd w:val="clear" w:color="auto" w:fill="D0D1DB"/>
            <w:noWrap/>
            <w:vAlign w:val="center"/>
            <w:hideMark/>
          </w:tcPr>
          <w:p w14:paraId="3BBB5E1B" w14:textId="77777777" w:rsidR="00707EE9" w:rsidRPr="008609D1" w:rsidRDefault="00707EE9" w:rsidP="00970710">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de transferencia</w:t>
            </w:r>
          </w:p>
        </w:tc>
        <w:tc>
          <w:tcPr>
            <w:tcW w:w="726" w:type="pct"/>
            <w:tcBorders>
              <w:left w:val="nil"/>
              <w:right w:val="nil"/>
            </w:tcBorders>
            <w:shd w:val="clear" w:color="auto" w:fill="FFFFFF" w:themeFill="background1"/>
            <w:noWrap/>
            <w:vAlign w:val="center"/>
            <w:hideMark/>
          </w:tcPr>
          <w:p w14:paraId="1E160C06"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14:paraId="4ED81054"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4216CC3B" w14:textId="77777777" w:rsidTr="00970710">
        <w:trPr>
          <w:trHeight w:val="283"/>
          <w:jc w:val="center"/>
        </w:trPr>
        <w:tc>
          <w:tcPr>
            <w:tcW w:w="3548" w:type="pct"/>
            <w:tcBorders>
              <w:left w:val="nil"/>
              <w:right w:val="nil"/>
            </w:tcBorders>
            <w:shd w:val="clear" w:color="auto" w:fill="E5E9EB"/>
            <w:noWrap/>
            <w:vAlign w:val="center"/>
            <w:hideMark/>
          </w:tcPr>
          <w:p w14:paraId="1804B6DC" w14:textId="77777777" w:rsidR="00707EE9" w:rsidRPr="008609D1" w:rsidRDefault="00707EE9" w:rsidP="00970710">
            <w:pPr>
              <w:keepNext/>
              <w:keepLines/>
              <w:spacing w:after="0" w:line="240" w:lineRule="auto"/>
              <w:rPr>
                <w:rFonts w:ascii="ITC Avant Garde" w:eastAsia="Times New Roman" w:hAnsi="ITC Avant Garde" w:cs="Arial"/>
                <w:sz w:val="20"/>
                <w:lang w:val="es-ES" w:eastAsia="es-ES"/>
              </w:rPr>
            </w:pPr>
            <w:r w:rsidRPr="008609D1">
              <w:rPr>
                <w:rFonts w:ascii="ITC Avant Garde" w:hAnsi="ITC Avant Garde"/>
                <w:b/>
                <w:sz w:val="20"/>
                <w:lang w:val="es-ES"/>
              </w:rPr>
              <w:t>Utilidad operativa</w:t>
            </w:r>
            <w:r w:rsidRPr="008609D1">
              <w:rPr>
                <w:rFonts w:ascii="ITC Avant Garde" w:eastAsia="Times New Roman" w:hAnsi="ITC Avant Garde" w:cs="Arial"/>
                <w:sz w:val="20"/>
                <w:lang w:val="es-ES" w:eastAsia="es-ES"/>
              </w:rPr>
              <w:t xml:space="preserve"> </w:t>
            </w:r>
            <w:r w:rsidRPr="008609D1">
              <w:rPr>
                <w:rFonts w:ascii="ITC Avant Garde" w:hAnsi="ITC Avant Garde"/>
                <w:i/>
                <w:sz w:val="20"/>
                <w:lang w:val="es-ES"/>
              </w:rPr>
              <w:t>(Ingresos – Costos)</w:t>
            </w:r>
          </w:p>
        </w:tc>
        <w:tc>
          <w:tcPr>
            <w:tcW w:w="726" w:type="pct"/>
            <w:tcBorders>
              <w:left w:val="nil"/>
              <w:right w:val="nil"/>
            </w:tcBorders>
            <w:shd w:val="clear" w:color="auto" w:fill="FFFFFF" w:themeFill="background1"/>
            <w:noWrap/>
            <w:vAlign w:val="center"/>
            <w:hideMark/>
          </w:tcPr>
          <w:p w14:paraId="07E7D012"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14:paraId="6325F437"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794D60F3" w14:textId="77777777" w:rsidTr="00970710">
        <w:trPr>
          <w:trHeight w:val="283"/>
          <w:jc w:val="center"/>
        </w:trPr>
        <w:tc>
          <w:tcPr>
            <w:tcW w:w="3548" w:type="pct"/>
            <w:tcBorders>
              <w:left w:val="nil"/>
              <w:right w:val="nil"/>
            </w:tcBorders>
            <w:shd w:val="clear" w:color="auto" w:fill="D0D1DB"/>
            <w:noWrap/>
            <w:vAlign w:val="center"/>
            <w:hideMark/>
          </w:tcPr>
          <w:p w14:paraId="7FA5BCA3" w14:textId="77777777" w:rsidR="00707EE9" w:rsidRPr="008609D1" w:rsidRDefault="00707EE9" w:rsidP="00970710">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Utilidad operativa sobre ingresos</w:t>
            </w:r>
          </w:p>
        </w:tc>
        <w:tc>
          <w:tcPr>
            <w:tcW w:w="726" w:type="pct"/>
            <w:tcBorders>
              <w:left w:val="nil"/>
              <w:right w:val="nil"/>
            </w:tcBorders>
            <w:shd w:val="clear" w:color="auto" w:fill="FFFFFF" w:themeFill="background1"/>
            <w:noWrap/>
            <w:vAlign w:val="center"/>
            <w:hideMark/>
          </w:tcPr>
          <w:p w14:paraId="1442A4D1"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14:paraId="5BB9931B"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2C91131C" w14:textId="77777777" w:rsidTr="00970710">
        <w:trPr>
          <w:trHeight w:val="113"/>
          <w:jc w:val="center"/>
        </w:trPr>
        <w:tc>
          <w:tcPr>
            <w:tcW w:w="3548" w:type="pct"/>
            <w:tcBorders>
              <w:left w:val="nil"/>
              <w:right w:val="nil"/>
            </w:tcBorders>
            <w:shd w:val="clear" w:color="auto" w:fill="FFFFFF" w:themeFill="background1"/>
            <w:noWrap/>
            <w:vAlign w:val="center"/>
          </w:tcPr>
          <w:p w14:paraId="288D4AEE" w14:textId="77777777" w:rsidR="00707EE9" w:rsidRPr="008609D1" w:rsidRDefault="00707EE9" w:rsidP="00970710">
            <w:pPr>
              <w:keepNext/>
              <w:keepLines/>
              <w:spacing w:after="0" w:line="240" w:lineRule="auto"/>
              <w:rPr>
                <w:rFonts w:ascii="ITC Avant Garde" w:hAnsi="ITC Avant Garde"/>
                <w:sz w:val="2"/>
                <w:lang w:val="es-ES"/>
              </w:rPr>
            </w:pPr>
          </w:p>
        </w:tc>
        <w:tc>
          <w:tcPr>
            <w:tcW w:w="726" w:type="pct"/>
            <w:tcBorders>
              <w:left w:val="nil"/>
              <w:right w:val="nil"/>
            </w:tcBorders>
            <w:shd w:val="clear" w:color="auto" w:fill="FFFFFF" w:themeFill="background1"/>
            <w:noWrap/>
            <w:vAlign w:val="center"/>
            <w:hideMark/>
          </w:tcPr>
          <w:p w14:paraId="4F8061A7" w14:textId="77777777" w:rsidR="00707EE9" w:rsidRPr="008609D1" w:rsidRDefault="00707EE9" w:rsidP="00970710">
            <w:pPr>
              <w:keepNext/>
              <w:keepLines/>
              <w:spacing w:after="0" w:line="240" w:lineRule="auto"/>
              <w:jc w:val="right"/>
              <w:rPr>
                <w:rFonts w:ascii="ITC Avant Garde" w:hAnsi="ITC Avant Garde"/>
                <w:sz w:val="2"/>
                <w:lang w:val="es-ES"/>
              </w:rPr>
            </w:pPr>
            <w:r w:rsidRPr="008609D1">
              <w:rPr>
                <w:rFonts w:ascii="ITC Avant Garde" w:hAnsi="ITC Avant Garde"/>
                <w:sz w:val="2"/>
                <w:lang w:val="es-ES"/>
              </w:rPr>
              <w:t xml:space="preserve"> </w:t>
            </w:r>
          </w:p>
        </w:tc>
        <w:tc>
          <w:tcPr>
            <w:tcW w:w="726" w:type="pct"/>
            <w:tcBorders>
              <w:left w:val="nil"/>
              <w:right w:val="nil"/>
            </w:tcBorders>
            <w:shd w:val="clear" w:color="auto" w:fill="FFFFFF" w:themeFill="background1"/>
            <w:noWrap/>
            <w:vAlign w:val="center"/>
            <w:hideMark/>
          </w:tcPr>
          <w:p w14:paraId="0B2F31AB" w14:textId="77777777" w:rsidR="00707EE9" w:rsidRPr="008609D1" w:rsidRDefault="00707EE9" w:rsidP="00970710">
            <w:pPr>
              <w:keepNext/>
              <w:keepLines/>
              <w:spacing w:after="0" w:line="240" w:lineRule="auto"/>
              <w:jc w:val="right"/>
              <w:rPr>
                <w:rFonts w:ascii="ITC Avant Garde" w:hAnsi="ITC Avant Garde"/>
                <w:sz w:val="2"/>
                <w:lang w:val="es-ES"/>
              </w:rPr>
            </w:pPr>
            <w:r w:rsidRPr="008609D1">
              <w:rPr>
                <w:rFonts w:ascii="ITC Avant Garde" w:hAnsi="ITC Avant Garde"/>
                <w:sz w:val="2"/>
                <w:lang w:val="es-ES"/>
              </w:rPr>
              <w:t xml:space="preserve"> </w:t>
            </w:r>
          </w:p>
        </w:tc>
      </w:tr>
      <w:tr w:rsidR="00707EE9" w:rsidRPr="008609D1" w14:paraId="75760C30" w14:textId="77777777" w:rsidTr="00970710">
        <w:trPr>
          <w:trHeight w:val="283"/>
          <w:jc w:val="center"/>
        </w:trPr>
        <w:tc>
          <w:tcPr>
            <w:tcW w:w="3548" w:type="pct"/>
            <w:tcBorders>
              <w:left w:val="nil"/>
              <w:right w:val="nil"/>
            </w:tcBorders>
            <w:shd w:val="clear" w:color="auto" w:fill="E5E9EB"/>
            <w:noWrap/>
            <w:vAlign w:val="center"/>
            <w:hideMark/>
          </w:tcPr>
          <w:p w14:paraId="5496F688" w14:textId="77777777" w:rsidR="00707EE9" w:rsidRPr="008609D1" w:rsidRDefault="00707EE9" w:rsidP="00970710">
            <w:pPr>
              <w:keepNext/>
              <w:keepLines/>
              <w:spacing w:after="0" w:line="240" w:lineRule="auto"/>
              <w:rPr>
                <w:rFonts w:ascii="ITC Avant Garde" w:hAnsi="ITC Avant Garde"/>
                <w:b/>
                <w:sz w:val="20"/>
                <w:lang w:val="es-ES"/>
              </w:rPr>
            </w:pPr>
            <w:r w:rsidRPr="008609D1">
              <w:rPr>
                <w:rFonts w:ascii="ITC Avant Garde" w:hAnsi="ITC Avant Garde"/>
                <w:b/>
                <w:sz w:val="20"/>
                <w:lang w:val="es-ES"/>
              </w:rPr>
              <w:t>Capital promedio empleado</w:t>
            </w:r>
          </w:p>
        </w:tc>
        <w:tc>
          <w:tcPr>
            <w:tcW w:w="726" w:type="pct"/>
            <w:tcBorders>
              <w:left w:val="nil"/>
              <w:right w:val="nil"/>
            </w:tcBorders>
            <w:shd w:val="clear" w:color="auto" w:fill="FFFFFF" w:themeFill="background1"/>
            <w:noWrap/>
            <w:vAlign w:val="center"/>
            <w:hideMark/>
          </w:tcPr>
          <w:p w14:paraId="3E7CA5AF"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14:paraId="4EED0217"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003D9CD3" w14:textId="77777777" w:rsidTr="00970710">
        <w:trPr>
          <w:trHeight w:val="283"/>
          <w:jc w:val="center"/>
        </w:trPr>
        <w:tc>
          <w:tcPr>
            <w:tcW w:w="3548" w:type="pct"/>
            <w:tcBorders>
              <w:left w:val="nil"/>
              <w:right w:val="nil"/>
            </w:tcBorders>
            <w:shd w:val="clear" w:color="auto" w:fill="D0D1DB"/>
            <w:noWrap/>
            <w:vAlign w:val="center"/>
            <w:hideMark/>
          </w:tcPr>
          <w:p w14:paraId="4CBE737D" w14:textId="77777777" w:rsidR="00707EE9" w:rsidRPr="008609D1" w:rsidRDefault="00707EE9" w:rsidP="00970710">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Retorno sobre el capital promedio empleado</w:t>
            </w:r>
            <w:r w:rsidRPr="008609D1">
              <w:rPr>
                <w:rFonts w:ascii="ITC Avant Garde" w:eastAsia="Times New Roman" w:hAnsi="ITC Avant Garde" w:cs="Arial"/>
                <w:sz w:val="20"/>
                <w:vertAlign w:val="superscript"/>
                <w:lang w:val="es-ES" w:eastAsia="es-ES"/>
              </w:rPr>
              <w:footnoteReference w:id="52"/>
            </w:r>
          </w:p>
        </w:tc>
        <w:tc>
          <w:tcPr>
            <w:tcW w:w="726" w:type="pct"/>
            <w:tcBorders>
              <w:left w:val="nil"/>
              <w:right w:val="nil"/>
            </w:tcBorders>
            <w:shd w:val="clear" w:color="auto" w:fill="FFFFFF" w:themeFill="background1"/>
            <w:noWrap/>
            <w:vAlign w:val="center"/>
            <w:hideMark/>
          </w:tcPr>
          <w:p w14:paraId="41616B89"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14:paraId="51673A8A"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2D3A112D" w14:textId="77777777" w:rsidTr="00970710">
        <w:trPr>
          <w:trHeight w:val="113"/>
          <w:jc w:val="center"/>
        </w:trPr>
        <w:tc>
          <w:tcPr>
            <w:tcW w:w="3548" w:type="pct"/>
            <w:tcBorders>
              <w:left w:val="nil"/>
              <w:right w:val="nil"/>
            </w:tcBorders>
            <w:shd w:val="clear" w:color="auto" w:fill="FFFFFF" w:themeFill="background1"/>
            <w:noWrap/>
            <w:vAlign w:val="center"/>
          </w:tcPr>
          <w:p w14:paraId="56B5F237" w14:textId="77777777" w:rsidR="00707EE9" w:rsidRPr="008609D1" w:rsidRDefault="00707EE9" w:rsidP="00970710">
            <w:pPr>
              <w:keepNext/>
              <w:keepLines/>
              <w:spacing w:after="0" w:line="240" w:lineRule="auto"/>
              <w:rPr>
                <w:rFonts w:ascii="ITC Avant Garde" w:hAnsi="ITC Avant Garde"/>
                <w:sz w:val="2"/>
                <w:lang w:val="es-ES"/>
              </w:rPr>
            </w:pPr>
          </w:p>
        </w:tc>
        <w:tc>
          <w:tcPr>
            <w:tcW w:w="726" w:type="pct"/>
            <w:tcBorders>
              <w:left w:val="nil"/>
              <w:right w:val="nil"/>
            </w:tcBorders>
            <w:shd w:val="clear" w:color="auto" w:fill="FFFFFF" w:themeFill="background1"/>
            <w:noWrap/>
            <w:vAlign w:val="center"/>
            <w:hideMark/>
          </w:tcPr>
          <w:p w14:paraId="1D19FE3A" w14:textId="77777777" w:rsidR="00707EE9" w:rsidRPr="008609D1" w:rsidRDefault="00707EE9" w:rsidP="00970710">
            <w:pPr>
              <w:keepNext/>
              <w:keepLines/>
              <w:spacing w:after="0" w:line="240" w:lineRule="auto"/>
              <w:jc w:val="right"/>
              <w:rPr>
                <w:rFonts w:ascii="ITC Avant Garde" w:hAnsi="ITC Avant Garde"/>
                <w:sz w:val="2"/>
                <w:lang w:val="es-ES"/>
              </w:rPr>
            </w:pPr>
            <w:r w:rsidRPr="008609D1">
              <w:rPr>
                <w:rFonts w:ascii="ITC Avant Garde" w:hAnsi="ITC Avant Garde"/>
                <w:sz w:val="2"/>
                <w:lang w:val="es-ES"/>
              </w:rPr>
              <w:t xml:space="preserve"> </w:t>
            </w:r>
          </w:p>
        </w:tc>
        <w:tc>
          <w:tcPr>
            <w:tcW w:w="726" w:type="pct"/>
            <w:tcBorders>
              <w:left w:val="nil"/>
              <w:right w:val="nil"/>
            </w:tcBorders>
            <w:shd w:val="clear" w:color="auto" w:fill="FFFFFF" w:themeFill="background1"/>
            <w:noWrap/>
            <w:vAlign w:val="center"/>
            <w:hideMark/>
          </w:tcPr>
          <w:p w14:paraId="093ABB8F" w14:textId="77777777" w:rsidR="00707EE9" w:rsidRPr="008609D1" w:rsidRDefault="00707EE9" w:rsidP="00970710">
            <w:pPr>
              <w:keepNext/>
              <w:keepLines/>
              <w:spacing w:after="0" w:line="240" w:lineRule="auto"/>
              <w:jc w:val="right"/>
              <w:rPr>
                <w:rFonts w:ascii="ITC Avant Garde" w:hAnsi="ITC Avant Garde"/>
                <w:sz w:val="2"/>
                <w:lang w:val="es-ES"/>
              </w:rPr>
            </w:pPr>
            <w:r w:rsidRPr="008609D1">
              <w:rPr>
                <w:rFonts w:ascii="ITC Avant Garde" w:hAnsi="ITC Avant Garde"/>
                <w:sz w:val="2"/>
                <w:lang w:val="es-ES"/>
              </w:rPr>
              <w:t xml:space="preserve"> </w:t>
            </w:r>
          </w:p>
        </w:tc>
      </w:tr>
      <w:tr w:rsidR="00707EE9" w:rsidRPr="008609D1" w14:paraId="27BFFC61" w14:textId="77777777" w:rsidTr="00970710">
        <w:trPr>
          <w:trHeight w:val="283"/>
          <w:jc w:val="center"/>
        </w:trPr>
        <w:tc>
          <w:tcPr>
            <w:tcW w:w="3548" w:type="pct"/>
            <w:tcBorders>
              <w:left w:val="nil"/>
              <w:right w:val="nil"/>
            </w:tcBorders>
            <w:shd w:val="clear" w:color="auto" w:fill="E5E9EB"/>
            <w:noWrap/>
            <w:vAlign w:val="center"/>
            <w:hideMark/>
          </w:tcPr>
          <w:p w14:paraId="27B1B5FA" w14:textId="77777777" w:rsidR="00707EE9" w:rsidRPr="008609D1" w:rsidRDefault="00707EE9" w:rsidP="00970710">
            <w:pPr>
              <w:keepNext/>
              <w:keepLines/>
              <w:spacing w:after="0" w:line="240" w:lineRule="auto"/>
              <w:rPr>
                <w:rFonts w:ascii="ITC Avant Garde" w:eastAsia="Times New Roman" w:hAnsi="ITC Avant Garde" w:cs="Arial"/>
                <w:sz w:val="20"/>
                <w:lang w:val="es-ES" w:eastAsia="es-ES"/>
              </w:rPr>
            </w:pPr>
            <w:r w:rsidRPr="008609D1">
              <w:rPr>
                <w:rFonts w:ascii="ITC Avant Garde" w:hAnsi="ITC Avant Garde"/>
                <w:b/>
                <w:sz w:val="20"/>
                <w:lang w:val="es-ES"/>
              </w:rPr>
              <w:t>Utilidad regulatoria</w:t>
            </w:r>
            <w:r w:rsidRPr="008609D1">
              <w:rPr>
                <w:rFonts w:ascii="ITC Avant Garde" w:eastAsia="Times New Roman" w:hAnsi="ITC Avant Garde" w:cs="Arial"/>
                <w:sz w:val="20"/>
                <w:lang w:val="es-ES" w:eastAsia="es-ES"/>
              </w:rPr>
              <w:t xml:space="preserve"> </w:t>
            </w:r>
            <w:r w:rsidRPr="008609D1">
              <w:rPr>
                <w:rFonts w:ascii="ITC Avant Garde" w:hAnsi="ITC Avant Garde"/>
                <w:i/>
                <w:sz w:val="20"/>
                <w:lang w:val="es-ES"/>
              </w:rPr>
              <w:t>(Ingresos – Costos – Retorno capital empleado)</w:t>
            </w:r>
          </w:p>
        </w:tc>
        <w:tc>
          <w:tcPr>
            <w:tcW w:w="726" w:type="pct"/>
            <w:tcBorders>
              <w:left w:val="nil"/>
              <w:right w:val="nil"/>
            </w:tcBorders>
            <w:shd w:val="clear" w:color="auto" w:fill="FFFFFF" w:themeFill="background1"/>
            <w:noWrap/>
            <w:vAlign w:val="center"/>
            <w:hideMark/>
          </w:tcPr>
          <w:p w14:paraId="679F0E5C"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14:paraId="5BF6D7C1"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07EE9" w:rsidRPr="008609D1" w14:paraId="39F10B1B" w14:textId="77777777" w:rsidTr="00970710">
        <w:trPr>
          <w:trHeight w:val="283"/>
          <w:jc w:val="center"/>
        </w:trPr>
        <w:tc>
          <w:tcPr>
            <w:tcW w:w="3548" w:type="pct"/>
            <w:tcBorders>
              <w:left w:val="nil"/>
              <w:right w:val="nil"/>
            </w:tcBorders>
            <w:shd w:val="clear" w:color="auto" w:fill="D0D1DB"/>
            <w:noWrap/>
            <w:vAlign w:val="center"/>
            <w:hideMark/>
          </w:tcPr>
          <w:p w14:paraId="0B41D2FC" w14:textId="77777777" w:rsidR="00707EE9" w:rsidRPr="008609D1" w:rsidRDefault="00707EE9" w:rsidP="00970710">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Utilidad total / Ingresos</w:t>
            </w:r>
          </w:p>
        </w:tc>
        <w:tc>
          <w:tcPr>
            <w:tcW w:w="726" w:type="pct"/>
            <w:tcBorders>
              <w:left w:val="nil"/>
              <w:right w:val="nil"/>
            </w:tcBorders>
            <w:shd w:val="clear" w:color="auto" w:fill="FFFFFF" w:themeFill="background1"/>
            <w:noWrap/>
            <w:vAlign w:val="center"/>
            <w:hideMark/>
          </w:tcPr>
          <w:p w14:paraId="7747B46E"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726" w:type="pct"/>
            <w:tcBorders>
              <w:left w:val="nil"/>
              <w:right w:val="nil"/>
            </w:tcBorders>
            <w:shd w:val="clear" w:color="auto" w:fill="FFFFFF" w:themeFill="background1"/>
            <w:noWrap/>
            <w:vAlign w:val="center"/>
            <w:hideMark/>
          </w:tcPr>
          <w:p w14:paraId="14E1EA95" w14:textId="77777777" w:rsidR="00707EE9" w:rsidRPr="008609D1" w:rsidRDefault="00707EE9" w:rsidP="00970710">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bl>
    <w:p w14:paraId="687B7EFA" w14:textId="77777777" w:rsidR="00707EE9" w:rsidRDefault="00707EE9" w:rsidP="00707EE9">
      <w:pPr>
        <w:rPr>
          <w:lang w:eastAsia="es-ES"/>
        </w:rPr>
      </w:pPr>
    </w:p>
    <w:p w14:paraId="7DA22292" w14:textId="77777777" w:rsidR="00707EE9" w:rsidRDefault="00707EE9" w:rsidP="00962146">
      <w:pPr>
        <w:pStyle w:val="Descripcin"/>
        <w:keepNext/>
        <w:keepLines/>
        <w:spacing w:after="240" w:line="240" w:lineRule="auto"/>
        <w:rPr>
          <w:rFonts w:ascii="ITC Avant Garde" w:hAnsi="ITC Avant Garde"/>
          <w:iCs/>
          <w:sz w:val="20"/>
          <w:lang w:val="es-MX"/>
        </w:rPr>
      </w:pPr>
    </w:p>
    <w:p w14:paraId="2ABB7E55" w14:textId="77777777" w:rsidR="00962146" w:rsidRPr="008609D1" w:rsidRDefault="00962146" w:rsidP="00962146">
      <w:pPr>
        <w:pStyle w:val="Descripcin"/>
        <w:keepNext/>
        <w:keepLines/>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2</w:t>
      </w:r>
      <w:r w:rsidRPr="008609D1">
        <w:rPr>
          <w:rFonts w:ascii="ITC Avant Garde" w:hAnsi="ITC Avant Garde"/>
          <w:iCs/>
          <w:sz w:val="20"/>
          <w:lang w:val="es-MX"/>
        </w:rPr>
        <w:fldChar w:fldCharType="end"/>
      </w:r>
      <w:r w:rsidRPr="008609D1">
        <w:rPr>
          <w:rFonts w:ascii="ITC Avant Garde" w:hAnsi="ITC Avant Garde"/>
          <w:iCs/>
          <w:sz w:val="20"/>
          <w:lang w:val="es-MX"/>
        </w:rPr>
        <w:t>: Cuenta de resultados del segmento mayorista de separación contable</w:t>
      </w:r>
    </w:p>
    <w:p w14:paraId="31286BE9" w14:textId="77777777" w:rsidR="00892164" w:rsidRPr="00707EE9" w:rsidRDefault="00892164" w:rsidP="00707EE9">
      <w:pPr>
        <w:pStyle w:val="HeadingAnexo1L3"/>
        <w:keepNext/>
        <w:keepLines/>
        <w:jc w:val="left"/>
        <w:rPr>
          <w:b w:val="0"/>
          <w:sz w:val="20"/>
        </w:rPr>
      </w:pPr>
      <w:r w:rsidRPr="00707EE9">
        <w:rPr>
          <w:sz w:val="20"/>
        </w:rPr>
        <w:t>Segmento mayorista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4"/>
        <w:gridCol w:w="1342"/>
        <w:gridCol w:w="1102"/>
      </w:tblGrid>
      <w:tr w:rsidR="007304F5" w:rsidRPr="008609D1" w14:paraId="1C216E52" w14:textId="77777777" w:rsidTr="007304F5">
        <w:trPr>
          <w:trHeight w:val="283"/>
          <w:jc w:val="center"/>
        </w:trPr>
        <w:tc>
          <w:tcPr>
            <w:tcW w:w="3616" w:type="pct"/>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76C08F8D" w14:textId="77777777" w:rsidR="00892164" w:rsidRPr="008609D1" w:rsidRDefault="00892164">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Concepto</w:t>
            </w:r>
          </w:p>
        </w:tc>
        <w:tc>
          <w:tcPr>
            <w:tcW w:w="1384" w:type="pct"/>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5450001E" w14:textId="77777777" w:rsidR="00892164" w:rsidRPr="008609D1" w:rsidRDefault="00892164">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Año</w:t>
            </w:r>
          </w:p>
        </w:tc>
      </w:tr>
      <w:tr w:rsidR="007304F5" w:rsidRPr="008609D1" w14:paraId="25541645" w14:textId="77777777" w:rsidTr="002B146C">
        <w:trPr>
          <w:trHeight w:val="341"/>
          <w:jc w:val="center"/>
        </w:trPr>
        <w:tc>
          <w:tcPr>
            <w:tcW w:w="3616" w:type="pct"/>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4991F716" w14:textId="77777777" w:rsidR="00892164" w:rsidRPr="008609D1" w:rsidRDefault="00892164" w:rsidP="004062CC">
            <w:pPr>
              <w:keepNext/>
              <w:keepLines/>
              <w:spacing w:after="0"/>
              <w:rPr>
                <w:rFonts w:ascii="ITC Avant Garde" w:eastAsia="Times New Roman" w:hAnsi="ITC Avant Garde" w:cs="Arial"/>
                <w:b/>
                <w:color w:val="FFFFFF" w:themeColor="background1"/>
                <w:sz w:val="20"/>
                <w:lang w:val="es-ES" w:eastAsia="es-ES"/>
              </w:rPr>
            </w:pPr>
          </w:p>
        </w:tc>
        <w:tc>
          <w:tcPr>
            <w:tcW w:w="760" w:type="pct"/>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7FC0E2C7" w14:textId="77777777" w:rsidR="00892164" w:rsidRPr="008609D1" w:rsidRDefault="00892164">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N-1</w:t>
            </w:r>
          </w:p>
        </w:tc>
        <w:tc>
          <w:tcPr>
            <w:tcW w:w="624" w:type="pct"/>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25C8D9B1" w14:textId="77777777" w:rsidR="00892164" w:rsidRPr="008609D1" w:rsidRDefault="00892164">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w:t>
            </w:r>
          </w:p>
        </w:tc>
      </w:tr>
      <w:tr w:rsidR="007304F5" w:rsidRPr="008609D1" w14:paraId="671A910F" w14:textId="77777777" w:rsidTr="002B146C">
        <w:trPr>
          <w:trHeight w:val="283"/>
          <w:jc w:val="center"/>
        </w:trPr>
        <w:tc>
          <w:tcPr>
            <w:tcW w:w="3616" w:type="pct"/>
            <w:tcBorders>
              <w:top w:val="single" w:sz="4" w:space="0" w:color="244062"/>
              <w:left w:val="nil"/>
              <w:right w:val="nil"/>
            </w:tcBorders>
            <w:shd w:val="clear" w:color="auto" w:fill="E5E9EB"/>
            <w:noWrap/>
            <w:vAlign w:val="center"/>
            <w:hideMark/>
          </w:tcPr>
          <w:p w14:paraId="25E72D09" w14:textId="77777777" w:rsidR="00892164" w:rsidRPr="008609D1" w:rsidRDefault="00892164" w:rsidP="001735D4">
            <w:pPr>
              <w:keepNext/>
              <w:keepLines/>
              <w:spacing w:after="0" w:line="240" w:lineRule="auto"/>
              <w:rPr>
                <w:rFonts w:ascii="ITC Avant Garde" w:hAnsi="ITC Avant Garde"/>
                <w:b/>
                <w:sz w:val="20"/>
                <w:lang w:val="es-ES"/>
              </w:rPr>
            </w:pPr>
            <w:r w:rsidRPr="008609D1">
              <w:rPr>
                <w:rFonts w:ascii="ITC Avant Garde" w:hAnsi="ITC Avant Garde"/>
                <w:b/>
                <w:sz w:val="20"/>
                <w:lang w:val="es-ES"/>
              </w:rPr>
              <w:t>Ingresos</w:t>
            </w:r>
          </w:p>
        </w:tc>
        <w:tc>
          <w:tcPr>
            <w:tcW w:w="760" w:type="pct"/>
            <w:tcBorders>
              <w:top w:val="single" w:sz="4" w:space="0" w:color="244062"/>
              <w:left w:val="nil"/>
              <w:right w:val="nil"/>
            </w:tcBorders>
            <w:shd w:val="clear" w:color="auto" w:fill="FFFFFF" w:themeFill="background1"/>
            <w:noWrap/>
            <w:vAlign w:val="center"/>
            <w:hideMark/>
          </w:tcPr>
          <w:p w14:paraId="30B76F30"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tcBorders>
              <w:top w:val="single" w:sz="4" w:space="0" w:color="244062"/>
              <w:left w:val="nil"/>
              <w:right w:val="nil"/>
            </w:tcBorders>
            <w:shd w:val="clear" w:color="auto" w:fill="FFFFFF" w:themeFill="background1"/>
            <w:noWrap/>
            <w:vAlign w:val="center"/>
            <w:hideMark/>
          </w:tcPr>
          <w:p w14:paraId="083151C4"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14D8C6E7" w14:textId="77777777" w:rsidTr="002B146C">
        <w:trPr>
          <w:trHeight w:val="283"/>
          <w:jc w:val="center"/>
        </w:trPr>
        <w:tc>
          <w:tcPr>
            <w:tcW w:w="3616" w:type="pct"/>
            <w:tcBorders>
              <w:left w:val="nil"/>
              <w:right w:val="nil"/>
            </w:tcBorders>
            <w:shd w:val="clear" w:color="auto" w:fill="D0D1DB"/>
            <w:noWrap/>
            <w:vAlign w:val="center"/>
            <w:hideMark/>
          </w:tcPr>
          <w:p w14:paraId="013BE9E2" w14:textId="2A85B728" w:rsidR="00892164" w:rsidRPr="008609D1" w:rsidRDefault="00892164" w:rsidP="000B2DD0">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por la prestación de servicios a clientes</w:t>
            </w:r>
          </w:p>
        </w:tc>
        <w:tc>
          <w:tcPr>
            <w:tcW w:w="760" w:type="pct"/>
            <w:tcBorders>
              <w:left w:val="nil"/>
              <w:right w:val="nil"/>
            </w:tcBorders>
            <w:shd w:val="clear" w:color="auto" w:fill="FFFFFF" w:themeFill="background1"/>
            <w:noWrap/>
            <w:vAlign w:val="center"/>
            <w:hideMark/>
          </w:tcPr>
          <w:p w14:paraId="7288391F"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14:paraId="6F04590A"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2B2C00FB" w14:textId="77777777" w:rsidTr="002B146C">
        <w:trPr>
          <w:trHeight w:val="283"/>
          <w:jc w:val="center"/>
        </w:trPr>
        <w:tc>
          <w:tcPr>
            <w:tcW w:w="3616" w:type="pct"/>
            <w:tcBorders>
              <w:left w:val="nil"/>
              <w:right w:val="nil"/>
            </w:tcBorders>
            <w:shd w:val="clear" w:color="auto" w:fill="D0D1DB"/>
            <w:noWrap/>
            <w:vAlign w:val="center"/>
            <w:hideMark/>
          </w:tcPr>
          <w:p w14:paraId="5B533F8B" w14:textId="77777777" w:rsidR="00892164" w:rsidRPr="008609D1" w:rsidRDefault="00892164"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de transferencia</w:t>
            </w:r>
          </w:p>
        </w:tc>
        <w:tc>
          <w:tcPr>
            <w:tcW w:w="760" w:type="pct"/>
            <w:tcBorders>
              <w:left w:val="nil"/>
              <w:right w:val="nil"/>
            </w:tcBorders>
            <w:shd w:val="clear" w:color="auto" w:fill="FFFFFF" w:themeFill="background1"/>
            <w:noWrap/>
            <w:vAlign w:val="center"/>
          </w:tcPr>
          <w:p w14:paraId="23B9971B"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p>
        </w:tc>
        <w:tc>
          <w:tcPr>
            <w:tcW w:w="624" w:type="pct"/>
            <w:tcBorders>
              <w:left w:val="nil"/>
              <w:right w:val="nil"/>
            </w:tcBorders>
            <w:shd w:val="clear" w:color="auto" w:fill="FFFFFF" w:themeFill="background1"/>
            <w:noWrap/>
            <w:vAlign w:val="center"/>
          </w:tcPr>
          <w:p w14:paraId="21E6B7F5"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p>
        </w:tc>
      </w:tr>
      <w:tr w:rsidR="007304F5" w:rsidRPr="008609D1" w14:paraId="7DF3E589" w14:textId="77777777" w:rsidTr="002B146C">
        <w:trPr>
          <w:trHeight w:val="283"/>
          <w:jc w:val="center"/>
        </w:trPr>
        <w:tc>
          <w:tcPr>
            <w:tcW w:w="3616" w:type="pct"/>
            <w:tcBorders>
              <w:left w:val="nil"/>
              <w:right w:val="nil"/>
            </w:tcBorders>
            <w:shd w:val="clear" w:color="auto" w:fill="E5E9EB"/>
            <w:noWrap/>
            <w:vAlign w:val="center"/>
            <w:hideMark/>
          </w:tcPr>
          <w:p w14:paraId="522E61E4" w14:textId="77777777" w:rsidR="00892164" w:rsidRPr="008609D1" w:rsidRDefault="00892164" w:rsidP="001735D4">
            <w:pPr>
              <w:keepNext/>
              <w:keepLines/>
              <w:spacing w:after="0" w:line="240" w:lineRule="auto"/>
              <w:rPr>
                <w:rFonts w:ascii="ITC Avant Garde" w:hAnsi="ITC Avant Garde"/>
                <w:b/>
                <w:sz w:val="20"/>
                <w:lang w:val="es-ES"/>
              </w:rPr>
            </w:pPr>
            <w:r w:rsidRPr="008609D1">
              <w:rPr>
                <w:rFonts w:ascii="ITC Avant Garde" w:hAnsi="ITC Avant Garde"/>
                <w:b/>
                <w:sz w:val="20"/>
                <w:lang w:val="es-ES"/>
              </w:rPr>
              <w:t>Costos</w:t>
            </w:r>
          </w:p>
        </w:tc>
        <w:tc>
          <w:tcPr>
            <w:tcW w:w="760" w:type="pct"/>
            <w:tcBorders>
              <w:left w:val="nil"/>
              <w:right w:val="nil"/>
            </w:tcBorders>
            <w:shd w:val="clear" w:color="auto" w:fill="FFFFFF" w:themeFill="background1"/>
            <w:noWrap/>
            <w:vAlign w:val="center"/>
            <w:hideMark/>
          </w:tcPr>
          <w:p w14:paraId="586E5752"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14:paraId="1C18C96C"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267CB87A" w14:textId="77777777" w:rsidTr="002B146C">
        <w:trPr>
          <w:trHeight w:val="283"/>
          <w:jc w:val="center"/>
        </w:trPr>
        <w:tc>
          <w:tcPr>
            <w:tcW w:w="3616" w:type="pct"/>
            <w:tcBorders>
              <w:left w:val="nil"/>
              <w:right w:val="nil"/>
            </w:tcBorders>
            <w:shd w:val="clear" w:color="auto" w:fill="D0D1DB"/>
            <w:noWrap/>
            <w:vAlign w:val="center"/>
            <w:hideMark/>
          </w:tcPr>
          <w:p w14:paraId="10B9A68B" w14:textId="77777777" w:rsidR="00892164" w:rsidRPr="008609D1" w:rsidRDefault="00892164"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operativos</w:t>
            </w:r>
          </w:p>
        </w:tc>
        <w:tc>
          <w:tcPr>
            <w:tcW w:w="760" w:type="pct"/>
            <w:tcBorders>
              <w:left w:val="nil"/>
              <w:right w:val="nil"/>
            </w:tcBorders>
            <w:shd w:val="clear" w:color="auto" w:fill="FFFFFF" w:themeFill="background1"/>
            <w:noWrap/>
            <w:vAlign w:val="center"/>
            <w:hideMark/>
          </w:tcPr>
          <w:p w14:paraId="3D36DA05"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14:paraId="7C56BC24"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4412161B" w14:textId="77777777" w:rsidTr="002B146C">
        <w:trPr>
          <w:trHeight w:val="283"/>
          <w:jc w:val="center"/>
        </w:trPr>
        <w:tc>
          <w:tcPr>
            <w:tcW w:w="3616" w:type="pct"/>
            <w:tcBorders>
              <w:left w:val="nil"/>
              <w:right w:val="nil"/>
            </w:tcBorders>
            <w:shd w:val="clear" w:color="auto" w:fill="D0D1DB"/>
            <w:noWrap/>
            <w:vAlign w:val="center"/>
            <w:hideMark/>
          </w:tcPr>
          <w:p w14:paraId="19BDDC7E" w14:textId="77777777" w:rsidR="00892164" w:rsidRPr="008609D1" w:rsidRDefault="00892164"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Depreciación/amortización</w:t>
            </w:r>
          </w:p>
        </w:tc>
        <w:tc>
          <w:tcPr>
            <w:tcW w:w="760" w:type="pct"/>
            <w:tcBorders>
              <w:left w:val="nil"/>
              <w:right w:val="nil"/>
            </w:tcBorders>
            <w:shd w:val="clear" w:color="auto" w:fill="FFFFFF" w:themeFill="background1"/>
            <w:noWrap/>
            <w:vAlign w:val="center"/>
            <w:hideMark/>
          </w:tcPr>
          <w:p w14:paraId="23C07BC8"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14:paraId="2A596F5D"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1FF8DC39" w14:textId="77777777" w:rsidTr="002B146C">
        <w:trPr>
          <w:trHeight w:val="283"/>
          <w:jc w:val="center"/>
        </w:trPr>
        <w:tc>
          <w:tcPr>
            <w:tcW w:w="3616" w:type="pct"/>
            <w:tcBorders>
              <w:left w:val="nil"/>
              <w:right w:val="nil"/>
            </w:tcBorders>
            <w:shd w:val="clear" w:color="auto" w:fill="E5E9EB"/>
            <w:noWrap/>
            <w:vAlign w:val="center"/>
            <w:hideMark/>
          </w:tcPr>
          <w:p w14:paraId="04E6E30D" w14:textId="77777777" w:rsidR="00892164" w:rsidRPr="008609D1" w:rsidRDefault="00892164" w:rsidP="001735D4">
            <w:pPr>
              <w:keepNext/>
              <w:keepLines/>
              <w:spacing w:after="0" w:line="240" w:lineRule="auto"/>
              <w:rPr>
                <w:rFonts w:ascii="ITC Avant Garde" w:hAnsi="ITC Avant Garde"/>
                <w:b/>
                <w:sz w:val="20"/>
                <w:lang w:val="es-ES"/>
              </w:rPr>
            </w:pPr>
            <w:r w:rsidRPr="008609D1">
              <w:rPr>
                <w:rFonts w:ascii="ITC Avant Garde" w:hAnsi="ITC Avant Garde"/>
                <w:b/>
                <w:sz w:val="20"/>
                <w:lang w:val="es-ES"/>
              </w:rPr>
              <w:t xml:space="preserve">Utilidad operativa </w:t>
            </w:r>
            <w:r w:rsidRPr="008609D1">
              <w:rPr>
                <w:rFonts w:ascii="ITC Avant Garde" w:hAnsi="ITC Avant Garde"/>
                <w:i/>
                <w:sz w:val="20"/>
                <w:lang w:val="es-ES"/>
              </w:rPr>
              <w:t>(Ingresos – Costos)</w:t>
            </w:r>
          </w:p>
        </w:tc>
        <w:tc>
          <w:tcPr>
            <w:tcW w:w="760" w:type="pct"/>
            <w:tcBorders>
              <w:left w:val="nil"/>
              <w:right w:val="nil"/>
            </w:tcBorders>
            <w:shd w:val="clear" w:color="auto" w:fill="FFFFFF" w:themeFill="background1"/>
            <w:noWrap/>
            <w:vAlign w:val="center"/>
            <w:hideMark/>
          </w:tcPr>
          <w:p w14:paraId="28A12A03"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14:paraId="49D58916"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11A3ACA4" w14:textId="77777777" w:rsidTr="002B146C">
        <w:trPr>
          <w:trHeight w:val="283"/>
          <w:jc w:val="center"/>
        </w:trPr>
        <w:tc>
          <w:tcPr>
            <w:tcW w:w="3616" w:type="pct"/>
            <w:tcBorders>
              <w:left w:val="nil"/>
              <w:right w:val="nil"/>
            </w:tcBorders>
            <w:shd w:val="clear" w:color="auto" w:fill="D0D1DB"/>
            <w:noWrap/>
            <w:vAlign w:val="center"/>
            <w:hideMark/>
          </w:tcPr>
          <w:p w14:paraId="29253845" w14:textId="77777777" w:rsidR="00892164" w:rsidRPr="008609D1" w:rsidRDefault="00892164"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Utilidad operativa sobre ingresos</w:t>
            </w:r>
          </w:p>
        </w:tc>
        <w:tc>
          <w:tcPr>
            <w:tcW w:w="760" w:type="pct"/>
            <w:tcBorders>
              <w:left w:val="nil"/>
              <w:right w:val="nil"/>
            </w:tcBorders>
            <w:shd w:val="clear" w:color="auto" w:fill="FFFFFF" w:themeFill="background1"/>
            <w:noWrap/>
            <w:vAlign w:val="center"/>
            <w:hideMark/>
          </w:tcPr>
          <w:p w14:paraId="13EC8670"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14:paraId="73EE2238"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700421CD" w14:textId="77777777" w:rsidTr="002B146C">
        <w:trPr>
          <w:trHeight w:val="113"/>
          <w:jc w:val="center"/>
        </w:trPr>
        <w:tc>
          <w:tcPr>
            <w:tcW w:w="3616" w:type="pct"/>
            <w:tcBorders>
              <w:left w:val="nil"/>
              <w:right w:val="nil"/>
            </w:tcBorders>
            <w:shd w:val="clear" w:color="auto" w:fill="FFFFFF" w:themeFill="background1"/>
            <w:noWrap/>
            <w:vAlign w:val="center"/>
          </w:tcPr>
          <w:p w14:paraId="4F22D171" w14:textId="77777777" w:rsidR="00892164" w:rsidRPr="008609D1" w:rsidRDefault="00892164" w:rsidP="001735D4">
            <w:pPr>
              <w:keepNext/>
              <w:keepLines/>
              <w:spacing w:after="0" w:line="240" w:lineRule="auto"/>
              <w:rPr>
                <w:rFonts w:ascii="ITC Avant Garde" w:hAnsi="ITC Avant Garde"/>
                <w:sz w:val="2"/>
                <w:lang w:val="es-ES"/>
              </w:rPr>
            </w:pPr>
          </w:p>
        </w:tc>
        <w:tc>
          <w:tcPr>
            <w:tcW w:w="760" w:type="pct"/>
            <w:tcBorders>
              <w:left w:val="nil"/>
              <w:right w:val="nil"/>
            </w:tcBorders>
            <w:shd w:val="clear" w:color="auto" w:fill="FFFFFF" w:themeFill="background1"/>
            <w:noWrap/>
            <w:vAlign w:val="center"/>
            <w:hideMark/>
          </w:tcPr>
          <w:p w14:paraId="05C9A8EE" w14:textId="77777777" w:rsidR="00892164" w:rsidRPr="008609D1" w:rsidRDefault="00892164">
            <w:pPr>
              <w:keepNext/>
              <w:keepLines/>
              <w:spacing w:after="0" w:line="240" w:lineRule="auto"/>
              <w:jc w:val="right"/>
              <w:rPr>
                <w:rFonts w:ascii="ITC Avant Garde" w:hAnsi="ITC Avant Garde"/>
                <w:sz w:val="2"/>
                <w:lang w:val="es-ES"/>
              </w:rPr>
            </w:pPr>
            <w:r w:rsidRPr="008609D1">
              <w:rPr>
                <w:rFonts w:ascii="ITC Avant Garde" w:hAnsi="ITC Avant Garde"/>
                <w:sz w:val="2"/>
                <w:lang w:val="es-ES"/>
              </w:rPr>
              <w:t xml:space="preserve"> </w:t>
            </w:r>
          </w:p>
        </w:tc>
        <w:tc>
          <w:tcPr>
            <w:tcW w:w="624" w:type="pct"/>
            <w:tcBorders>
              <w:left w:val="nil"/>
              <w:right w:val="nil"/>
            </w:tcBorders>
            <w:shd w:val="clear" w:color="auto" w:fill="FFFFFF" w:themeFill="background1"/>
            <w:noWrap/>
            <w:vAlign w:val="center"/>
            <w:hideMark/>
          </w:tcPr>
          <w:p w14:paraId="246273E0" w14:textId="77777777" w:rsidR="00892164" w:rsidRPr="008609D1" w:rsidRDefault="00892164">
            <w:pPr>
              <w:keepNext/>
              <w:keepLines/>
              <w:spacing w:after="0" w:line="240" w:lineRule="auto"/>
              <w:jc w:val="right"/>
              <w:rPr>
                <w:rFonts w:ascii="ITC Avant Garde" w:hAnsi="ITC Avant Garde"/>
                <w:sz w:val="2"/>
                <w:lang w:val="es-ES"/>
              </w:rPr>
            </w:pPr>
            <w:r w:rsidRPr="008609D1">
              <w:rPr>
                <w:rFonts w:ascii="ITC Avant Garde" w:hAnsi="ITC Avant Garde"/>
                <w:sz w:val="2"/>
                <w:lang w:val="es-ES"/>
              </w:rPr>
              <w:t xml:space="preserve"> </w:t>
            </w:r>
          </w:p>
        </w:tc>
      </w:tr>
      <w:tr w:rsidR="007304F5" w:rsidRPr="008609D1" w14:paraId="11039AAF" w14:textId="77777777" w:rsidTr="002B146C">
        <w:trPr>
          <w:trHeight w:val="283"/>
          <w:jc w:val="center"/>
        </w:trPr>
        <w:tc>
          <w:tcPr>
            <w:tcW w:w="3616" w:type="pct"/>
            <w:tcBorders>
              <w:left w:val="nil"/>
              <w:right w:val="nil"/>
            </w:tcBorders>
            <w:shd w:val="clear" w:color="auto" w:fill="E5E9EB"/>
            <w:noWrap/>
            <w:vAlign w:val="center"/>
            <w:hideMark/>
          </w:tcPr>
          <w:p w14:paraId="6991B5F9" w14:textId="77777777" w:rsidR="00892164" w:rsidRPr="008609D1" w:rsidRDefault="00892164" w:rsidP="001735D4">
            <w:pPr>
              <w:keepNext/>
              <w:keepLines/>
              <w:spacing w:after="0" w:line="240" w:lineRule="auto"/>
              <w:rPr>
                <w:rFonts w:ascii="ITC Avant Garde" w:hAnsi="ITC Avant Garde"/>
                <w:b/>
                <w:sz w:val="20"/>
                <w:lang w:val="es-ES"/>
              </w:rPr>
            </w:pPr>
            <w:r w:rsidRPr="008609D1">
              <w:rPr>
                <w:rFonts w:ascii="ITC Avant Garde" w:hAnsi="ITC Avant Garde"/>
                <w:b/>
                <w:sz w:val="20"/>
                <w:lang w:val="es-ES"/>
              </w:rPr>
              <w:t>Capital promedio empleado</w:t>
            </w:r>
          </w:p>
        </w:tc>
        <w:tc>
          <w:tcPr>
            <w:tcW w:w="760" w:type="pct"/>
            <w:tcBorders>
              <w:left w:val="nil"/>
              <w:right w:val="nil"/>
            </w:tcBorders>
            <w:shd w:val="clear" w:color="auto" w:fill="FFFFFF" w:themeFill="background1"/>
            <w:noWrap/>
            <w:vAlign w:val="center"/>
            <w:hideMark/>
          </w:tcPr>
          <w:p w14:paraId="15FEFF14"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14:paraId="728C7223"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30143BA6" w14:textId="77777777" w:rsidTr="002B146C">
        <w:trPr>
          <w:trHeight w:val="283"/>
          <w:jc w:val="center"/>
        </w:trPr>
        <w:tc>
          <w:tcPr>
            <w:tcW w:w="3616" w:type="pct"/>
            <w:tcBorders>
              <w:left w:val="nil"/>
              <w:right w:val="nil"/>
            </w:tcBorders>
            <w:shd w:val="clear" w:color="auto" w:fill="D0D1DB"/>
            <w:noWrap/>
            <w:vAlign w:val="center"/>
            <w:hideMark/>
          </w:tcPr>
          <w:p w14:paraId="5251E9B0" w14:textId="77777777" w:rsidR="00892164" w:rsidRPr="008609D1" w:rsidRDefault="00892164"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Retorno sobre el capital promedio empleado</w:t>
            </w:r>
            <w:r w:rsidRPr="008609D1">
              <w:rPr>
                <w:rFonts w:ascii="ITC Avant Garde" w:eastAsia="Times New Roman" w:hAnsi="ITC Avant Garde" w:cs="Arial"/>
                <w:sz w:val="20"/>
                <w:vertAlign w:val="superscript"/>
                <w:lang w:val="es-ES" w:eastAsia="es-ES"/>
              </w:rPr>
              <w:footnoteReference w:id="53"/>
            </w:r>
          </w:p>
        </w:tc>
        <w:tc>
          <w:tcPr>
            <w:tcW w:w="760" w:type="pct"/>
            <w:tcBorders>
              <w:left w:val="nil"/>
              <w:right w:val="nil"/>
            </w:tcBorders>
            <w:shd w:val="clear" w:color="auto" w:fill="FFFFFF" w:themeFill="background1"/>
            <w:noWrap/>
            <w:vAlign w:val="center"/>
            <w:hideMark/>
          </w:tcPr>
          <w:p w14:paraId="2B7EF508"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14:paraId="408B038E"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1CAE678E" w14:textId="77777777" w:rsidTr="002B146C">
        <w:trPr>
          <w:trHeight w:val="113"/>
          <w:jc w:val="center"/>
        </w:trPr>
        <w:tc>
          <w:tcPr>
            <w:tcW w:w="3616" w:type="pct"/>
            <w:tcBorders>
              <w:left w:val="nil"/>
              <w:right w:val="nil"/>
            </w:tcBorders>
            <w:shd w:val="clear" w:color="auto" w:fill="FFFFFF" w:themeFill="background1"/>
            <w:noWrap/>
            <w:vAlign w:val="center"/>
          </w:tcPr>
          <w:p w14:paraId="134119B6" w14:textId="77777777" w:rsidR="00892164" w:rsidRPr="008609D1" w:rsidRDefault="00892164" w:rsidP="001735D4">
            <w:pPr>
              <w:keepNext/>
              <w:keepLines/>
              <w:spacing w:after="0" w:line="240" w:lineRule="auto"/>
              <w:rPr>
                <w:rFonts w:ascii="ITC Avant Garde" w:hAnsi="ITC Avant Garde"/>
                <w:sz w:val="2"/>
                <w:lang w:val="es-ES"/>
              </w:rPr>
            </w:pPr>
          </w:p>
        </w:tc>
        <w:tc>
          <w:tcPr>
            <w:tcW w:w="760" w:type="pct"/>
            <w:tcBorders>
              <w:left w:val="nil"/>
              <w:right w:val="nil"/>
            </w:tcBorders>
            <w:shd w:val="clear" w:color="auto" w:fill="FFFFFF" w:themeFill="background1"/>
            <w:noWrap/>
            <w:vAlign w:val="center"/>
            <w:hideMark/>
          </w:tcPr>
          <w:p w14:paraId="43841CC1" w14:textId="77777777" w:rsidR="00892164" w:rsidRPr="008609D1" w:rsidRDefault="00892164">
            <w:pPr>
              <w:keepNext/>
              <w:keepLines/>
              <w:spacing w:after="0" w:line="240" w:lineRule="auto"/>
              <w:jc w:val="right"/>
              <w:rPr>
                <w:rFonts w:ascii="ITC Avant Garde" w:hAnsi="ITC Avant Garde"/>
                <w:sz w:val="2"/>
                <w:lang w:val="es-ES"/>
              </w:rPr>
            </w:pPr>
            <w:r w:rsidRPr="008609D1">
              <w:rPr>
                <w:rFonts w:ascii="ITC Avant Garde" w:hAnsi="ITC Avant Garde"/>
                <w:sz w:val="2"/>
                <w:lang w:val="es-ES"/>
              </w:rPr>
              <w:t xml:space="preserve"> </w:t>
            </w:r>
          </w:p>
        </w:tc>
        <w:tc>
          <w:tcPr>
            <w:tcW w:w="624" w:type="pct"/>
            <w:tcBorders>
              <w:left w:val="nil"/>
              <w:right w:val="nil"/>
            </w:tcBorders>
            <w:shd w:val="clear" w:color="auto" w:fill="FFFFFF" w:themeFill="background1"/>
            <w:noWrap/>
            <w:vAlign w:val="center"/>
            <w:hideMark/>
          </w:tcPr>
          <w:p w14:paraId="3E4FF673" w14:textId="77777777" w:rsidR="00892164" w:rsidRPr="008609D1" w:rsidRDefault="00892164">
            <w:pPr>
              <w:keepNext/>
              <w:keepLines/>
              <w:spacing w:after="0" w:line="240" w:lineRule="auto"/>
              <w:jc w:val="right"/>
              <w:rPr>
                <w:rFonts w:ascii="ITC Avant Garde" w:hAnsi="ITC Avant Garde"/>
                <w:sz w:val="2"/>
                <w:lang w:val="es-ES"/>
              </w:rPr>
            </w:pPr>
            <w:r w:rsidRPr="008609D1">
              <w:rPr>
                <w:rFonts w:ascii="ITC Avant Garde" w:hAnsi="ITC Avant Garde"/>
                <w:sz w:val="2"/>
                <w:lang w:val="es-ES"/>
              </w:rPr>
              <w:t xml:space="preserve"> </w:t>
            </w:r>
          </w:p>
        </w:tc>
      </w:tr>
      <w:tr w:rsidR="007304F5" w:rsidRPr="008609D1" w14:paraId="22DDD249" w14:textId="77777777" w:rsidTr="002B146C">
        <w:trPr>
          <w:trHeight w:val="283"/>
          <w:jc w:val="center"/>
        </w:trPr>
        <w:tc>
          <w:tcPr>
            <w:tcW w:w="3616" w:type="pct"/>
            <w:tcBorders>
              <w:left w:val="nil"/>
              <w:right w:val="nil"/>
            </w:tcBorders>
            <w:shd w:val="clear" w:color="auto" w:fill="E5E9EB"/>
            <w:noWrap/>
            <w:vAlign w:val="center"/>
            <w:hideMark/>
          </w:tcPr>
          <w:p w14:paraId="69C77AE4" w14:textId="77777777" w:rsidR="00367314" w:rsidRPr="008609D1" w:rsidRDefault="00367314" w:rsidP="001735D4">
            <w:pPr>
              <w:keepNext/>
              <w:keepLines/>
              <w:spacing w:after="0" w:line="240" w:lineRule="auto"/>
              <w:rPr>
                <w:rFonts w:ascii="ITC Avant Garde" w:hAnsi="ITC Avant Garde"/>
                <w:b/>
                <w:sz w:val="20"/>
                <w:lang w:val="es-ES"/>
              </w:rPr>
            </w:pPr>
            <w:r w:rsidRPr="008609D1">
              <w:rPr>
                <w:rFonts w:ascii="ITC Avant Garde" w:hAnsi="ITC Avant Garde"/>
                <w:b/>
                <w:sz w:val="20"/>
                <w:lang w:val="es-ES"/>
              </w:rPr>
              <w:t>Utilidad regulatoria</w:t>
            </w:r>
            <w:r w:rsidRPr="008609D1">
              <w:rPr>
                <w:rFonts w:ascii="ITC Avant Garde" w:eastAsia="Times New Roman" w:hAnsi="ITC Avant Garde" w:cs="Arial"/>
                <w:sz w:val="20"/>
                <w:lang w:val="es-ES" w:eastAsia="es-ES"/>
              </w:rPr>
              <w:t xml:space="preserve"> </w:t>
            </w:r>
            <w:r w:rsidRPr="008609D1">
              <w:rPr>
                <w:rFonts w:ascii="ITC Avant Garde" w:hAnsi="ITC Avant Garde"/>
                <w:i/>
                <w:sz w:val="20"/>
                <w:lang w:val="es-ES"/>
              </w:rPr>
              <w:t>(Ingresos – Costos – Retorno capital empleado)</w:t>
            </w:r>
          </w:p>
        </w:tc>
        <w:tc>
          <w:tcPr>
            <w:tcW w:w="760" w:type="pct"/>
            <w:tcBorders>
              <w:left w:val="nil"/>
              <w:right w:val="nil"/>
            </w:tcBorders>
            <w:shd w:val="clear" w:color="auto" w:fill="FFFFFF" w:themeFill="background1"/>
            <w:noWrap/>
            <w:vAlign w:val="center"/>
            <w:hideMark/>
          </w:tcPr>
          <w:p w14:paraId="24C26189" w14:textId="77777777" w:rsidR="00367314" w:rsidRPr="008609D1" w:rsidRDefault="0036731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tcBorders>
              <w:left w:val="nil"/>
              <w:right w:val="nil"/>
            </w:tcBorders>
            <w:shd w:val="clear" w:color="auto" w:fill="FFFFFF" w:themeFill="background1"/>
            <w:noWrap/>
            <w:vAlign w:val="center"/>
            <w:hideMark/>
          </w:tcPr>
          <w:p w14:paraId="50247D0A" w14:textId="77777777" w:rsidR="00367314" w:rsidRPr="008609D1" w:rsidRDefault="0036731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r w:rsidR="007304F5" w:rsidRPr="008609D1" w14:paraId="2AD04558" w14:textId="77777777" w:rsidTr="002B146C">
        <w:trPr>
          <w:trHeight w:val="283"/>
          <w:jc w:val="center"/>
        </w:trPr>
        <w:tc>
          <w:tcPr>
            <w:tcW w:w="3616" w:type="pct"/>
            <w:tcBorders>
              <w:left w:val="nil"/>
              <w:bottom w:val="single" w:sz="4" w:space="0" w:color="244062"/>
              <w:right w:val="nil"/>
            </w:tcBorders>
            <w:shd w:val="clear" w:color="auto" w:fill="D0D1DB"/>
            <w:noWrap/>
            <w:vAlign w:val="center"/>
            <w:hideMark/>
          </w:tcPr>
          <w:p w14:paraId="32D8F258" w14:textId="77777777" w:rsidR="00892164" w:rsidRPr="008609D1" w:rsidRDefault="00892164"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Utilidad total / Ingresos</w:t>
            </w:r>
          </w:p>
        </w:tc>
        <w:tc>
          <w:tcPr>
            <w:tcW w:w="760" w:type="pct"/>
            <w:tcBorders>
              <w:left w:val="nil"/>
              <w:bottom w:val="single" w:sz="4" w:space="0" w:color="244062"/>
              <w:right w:val="nil"/>
            </w:tcBorders>
            <w:shd w:val="clear" w:color="auto" w:fill="FFFFFF" w:themeFill="background1"/>
            <w:noWrap/>
            <w:vAlign w:val="center"/>
            <w:hideMark/>
          </w:tcPr>
          <w:p w14:paraId="47D5D9CF"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624" w:type="pct"/>
            <w:tcBorders>
              <w:left w:val="nil"/>
              <w:bottom w:val="single" w:sz="4" w:space="0" w:color="244062"/>
              <w:right w:val="nil"/>
            </w:tcBorders>
            <w:shd w:val="clear" w:color="auto" w:fill="FFFFFF" w:themeFill="background1"/>
            <w:noWrap/>
            <w:vAlign w:val="center"/>
            <w:hideMark/>
          </w:tcPr>
          <w:p w14:paraId="7211AABF" w14:textId="77777777" w:rsidR="00892164" w:rsidRPr="008609D1" w:rsidRDefault="00892164">
            <w:pPr>
              <w:keepNext/>
              <w:keepLines/>
              <w:spacing w:after="0" w:line="240" w:lineRule="auto"/>
              <w:jc w:val="right"/>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r>
    </w:tbl>
    <w:p w14:paraId="287A7665" w14:textId="77777777" w:rsidR="00892164" w:rsidRPr="008609D1" w:rsidRDefault="00892164" w:rsidP="007304F5">
      <w:pPr>
        <w:pStyle w:val="A3L2"/>
        <w:keepNext/>
        <w:keepLines/>
      </w:pPr>
      <w:bookmarkStart w:id="147" w:name="_Toc475468509"/>
      <w:bookmarkStart w:id="148" w:name="_Toc477515020"/>
      <w:bookmarkStart w:id="149" w:name="_Toc478774504"/>
      <w:r w:rsidRPr="008609D1">
        <w:t>Cuentas de resultados por servicio</w:t>
      </w:r>
      <w:bookmarkEnd w:id="147"/>
      <w:bookmarkEnd w:id="148"/>
      <w:bookmarkEnd w:id="149"/>
    </w:p>
    <w:p w14:paraId="7D1CD2E2" w14:textId="77777777" w:rsidR="00892164" w:rsidRPr="008609D1" w:rsidRDefault="00892164" w:rsidP="007304F5">
      <w:pPr>
        <w:pStyle w:val="Normalresolucion"/>
        <w:keepNext/>
        <w:keepLines/>
      </w:pPr>
      <w:r w:rsidRPr="008609D1">
        <w:t xml:space="preserve">Complementando la visión anterior a nivel de segmento, se requiere en este formato </w:t>
      </w:r>
      <w:r w:rsidR="00B23F76" w:rsidRPr="008609D1">
        <w:t>la conciliación</w:t>
      </w:r>
      <w:r w:rsidRPr="008609D1">
        <w:t xml:space="preserve"> de resultados a nivel de cada servicio individual desagregado por el concesionario. Esta información deberá ser presentada para el ejercicio N, así como para el ejercicio N-1.</w:t>
      </w:r>
    </w:p>
    <w:p w14:paraId="55D33245" w14:textId="77777777" w:rsidR="00892164" w:rsidRPr="008609D1" w:rsidRDefault="00892164" w:rsidP="00892164">
      <w:pPr>
        <w:pStyle w:val="Normalresolucion"/>
      </w:pPr>
      <w:r w:rsidRPr="008609D1">
        <w:t xml:space="preserve">Nótese que si bien la tabla inferior únicamente incluye un listado resumido de servicios por cuestiones de espacio, en ella los concesionarios deberán desagregar la totalidad de servicios identificados en la </w:t>
      </w:r>
      <w:r w:rsidR="00AC3FFE" w:rsidRPr="008609D1">
        <w:t>separación contable</w:t>
      </w:r>
      <w:r w:rsidRPr="008609D1">
        <w:t xml:space="preserve">, siempre respetando la desagregación mínima presentada en el Manual </w:t>
      </w:r>
      <w:r w:rsidR="000B2DD0">
        <w:t xml:space="preserve">Explicativo </w:t>
      </w:r>
      <w:r w:rsidRPr="008609D1">
        <w:t>de</w:t>
      </w:r>
      <w:r w:rsidR="00C8711B">
        <w:t xml:space="preserve"> la</w:t>
      </w:r>
      <w:r w:rsidRPr="008609D1">
        <w:t xml:space="preserve"> separación contable</w:t>
      </w:r>
      <w:r w:rsidR="000B2DD0">
        <w:t xml:space="preserve"> presentado por el concesionario como parte de los estudios de soporte indicados en el Anexo 4</w:t>
      </w:r>
      <w:r w:rsidRPr="008609D1">
        <w:t>.</w:t>
      </w:r>
    </w:p>
    <w:p w14:paraId="223C58CF" w14:textId="77777777" w:rsidR="00892164" w:rsidRPr="008609D1" w:rsidRDefault="00892164" w:rsidP="00892164">
      <w:pPr>
        <w:pStyle w:val="Normalresolucion"/>
      </w:pPr>
      <w:r w:rsidRPr="008609D1">
        <w:t>Por último, es relevante señalar que los valores totales extraídos de la tabla inferior deberán coincidir con las cifras totales presentadas en la sección anterior para el conjunto del segmento minorista y mayorista.</w:t>
      </w:r>
    </w:p>
    <w:p w14:paraId="0027CB94" w14:textId="77777777" w:rsidR="00143546" w:rsidRDefault="000A3F64" w:rsidP="00892164">
      <w:pPr>
        <w:pStyle w:val="Normalresolucion"/>
      </w:pPr>
      <w:r w:rsidRPr="008609D1">
        <w:t xml:space="preserve">La relación de servicios se encuentra indicada en la sección </w:t>
      </w:r>
      <w:r w:rsidRPr="008609D1">
        <w:fldChar w:fldCharType="begin"/>
      </w:r>
      <w:r w:rsidRPr="008609D1">
        <w:instrText xml:space="preserve"> REF _Ref478676402 \r \h </w:instrText>
      </w:r>
      <w:r w:rsidR="008609D1">
        <w:instrText xml:space="preserve"> \* MERGEFORMAT </w:instrText>
      </w:r>
      <w:r w:rsidRPr="008609D1">
        <w:fldChar w:fldCharType="separate"/>
      </w:r>
      <w:r w:rsidR="005144E2" w:rsidRPr="008609D1">
        <w:rPr>
          <w:rFonts w:hint="eastAsia"/>
          <w:cs/>
        </w:rPr>
        <w:t>‎</w:t>
      </w:r>
      <w:r w:rsidR="005144E2" w:rsidRPr="008609D1">
        <w:t>2.2</w:t>
      </w:r>
      <w:r w:rsidRPr="008609D1">
        <w:fldChar w:fldCharType="end"/>
      </w:r>
      <w:r w:rsidRPr="008609D1">
        <w:t xml:space="preserve"> del Anexo </w:t>
      </w:r>
      <w:r w:rsidR="004B3901" w:rsidRPr="008609D1">
        <w:t>3</w:t>
      </w:r>
      <w:r w:rsidRPr="008609D1">
        <w:t>.</w:t>
      </w:r>
    </w:p>
    <w:p w14:paraId="4FBE1B65" w14:textId="77777777" w:rsidR="000E10E8" w:rsidRPr="008609D1" w:rsidRDefault="000E10E8" w:rsidP="00892164">
      <w:pPr>
        <w:pStyle w:val="Normalresolucion"/>
        <w:sectPr w:rsidR="000E10E8" w:rsidRPr="008609D1" w:rsidSect="00EC2E00">
          <w:headerReference w:type="even" r:id="rId13"/>
          <w:headerReference w:type="default" r:id="rId14"/>
          <w:footerReference w:type="even" r:id="rId15"/>
          <w:footerReference w:type="default" r:id="rId16"/>
          <w:headerReference w:type="first" r:id="rId17"/>
          <w:footerReference w:type="first" r:id="rId18"/>
          <w:pgSz w:w="12240" w:h="15840"/>
          <w:pgMar w:top="1418" w:right="1701" w:bottom="1418" w:left="1701" w:header="709" w:footer="709" w:gutter="0"/>
          <w:cols w:space="720"/>
        </w:sectPr>
      </w:pPr>
    </w:p>
    <w:p w14:paraId="756D12AA" w14:textId="58CB594A" w:rsidR="00892164" w:rsidRPr="008609D1" w:rsidRDefault="000E069D" w:rsidP="00892164">
      <w:pPr>
        <w:pStyle w:val="Descripcin"/>
        <w:spacing w:after="240" w:line="240" w:lineRule="auto"/>
        <w:rPr>
          <w:lang w:val="es-MX"/>
        </w:rPr>
      </w:pPr>
      <w:r w:rsidRPr="008609D1">
        <w:rPr>
          <w:rFonts w:ascii="ITC Avant Garde" w:hAnsi="ITC Avant Garde"/>
          <w:iCs/>
          <w:sz w:val="20"/>
          <w:lang w:val="es-MX"/>
        </w:rPr>
        <w:lastRenderedPageBreak/>
        <w:t>Formato A</w:t>
      </w:r>
      <w:r w:rsidR="00096E89" w:rsidRPr="008609D1">
        <w:rPr>
          <w:rFonts w:ascii="ITC Avant Garde" w:hAnsi="ITC Avant Garde"/>
          <w:iCs/>
          <w:sz w:val="20"/>
          <w:lang w:val="es-MX"/>
        </w:rPr>
        <w:t>5</w:t>
      </w:r>
      <w:r w:rsidRPr="008609D1">
        <w:rPr>
          <w:rFonts w:ascii="ITC Avant Garde" w:hAnsi="ITC Avant Garde"/>
          <w:iCs/>
          <w:sz w:val="20"/>
          <w:lang w:val="es-MX"/>
        </w:rPr>
        <w:t>.</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005144E2" w:rsidRPr="008609D1">
        <w:rPr>
          <w:rFonts w:ascii="ITC Avant Garde" w:hAnsi="ITC Avant Garde"/>
          <w:iCs/>
          <w:noProof/>
          <w:sz w:val="20"/>
          <w:lang w:val="es-MX"/>
        </w:rPr>
        <w:t>3</w:t>
      </w:r>
      <w:r w:rsidRPr="008609D1">
        <w:rPr>
          <w:rFonts w:ascii="ITC Avant Garde" w:hAnsi="ITC Avant Garde"/>
          <w:iCs/>
          <w:sz w:val="20"/>
          <w:lang w:val="es-MX"/>
        </w:rPr>
        <w:fldChar w:fldCharType="end"/>
      </w:r>
      <w:r w:rsidR="00892164" w:rsidRPr="008609D1">
        <w:rPr>
          <w:rFonts w:ascii="ITC Avant Garde" w:hAnsi="ITC Avant Garde"/>
          <w:iCs/>
          <w:sz w:val="20"/>
          <w:lang w:val="es-MX"/>
        </w:rPr>
        <w:t>: Rendimiento sobre el capital empleado en los mercados minorista y mayorista</w:t>
      </w:r>
    </w:p>
    <w:tbl>
      <w:tblPr>
        <w:tblW w:w="5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7"/>
        <w:gridCol w:w="1287"/>
        <w:gridCol w:w="1097"/>
        <w:gridCol w:w="1160"/>
        <w:gridCol w:w="1136"/>
        <w:gridCol w:w="922"/>
        <w:gridCol w:w="774"/>
        <w:gridCol w:w="804"/>
        <w:gridCol w:w="12"/>
        <w:gridCol w:w="880"/>
        <w:gridCol w:w="967"/>
        <w:gridCol w:w="985"/>
        <w:gridCol w:w="892"/>
        <w:gridCol w:w="892"/>
      </w:tblGrid>
      <w:tr w:rsidR="00F878E5" w:rsidRPr="008609D1" w14:paraId="1AF9BDAC" w14:textId="77777777" w:rsidTr="00970710">
        <w:trPr>
          <w:trHeight w:val="680"/>
          <w:tblHeader/>
          <w:jc w:val="center"/>
        </w:trPr>
        <w:tc>
          <w:tcPr>
            <w:tcW w:w="1081"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3BF9A081" w14:textId="77777777" w:rsidR="00F878E5" w:rsidRPr="00A448A4" w:rsidRDefault="00F878E5" w:rsidP="00970710">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A448A4">
              <w:rPr>
                <w:rFonts w:ascii="ITC Avant Garde" w:eastAsia="Times New Roman" w:hAnsi="ITC Avant Garde" w:cs="Arial"/>
                <w:b/>
                <w:color w:val="FFFFFF" w:themeColor="background1"/>
                <w:sz w:val="18"/>
                <w:lang w:val="es-ES" w:eastAsia="es-ES"/>
              </w:rPr>
              <w:t>Segmento / Servicio</w:t>
            </w:r>
          </w:p>
        </w:tc>
        <w:tc>
          <w:tcPr>
            <w:tcW w:w="427"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728F5871" w14:textId="77777777" w:rsidR="00F878E5" w:rsidRPr="00A448A4" w:rsidRDefault="00F878E5" w:rsidP="00970710">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A448A4">
              <w:rPr>
                <w:rFonts w:ascii="ITC Avant Garde" w:eastAsia="Times New Roman" w:hAnsi="ITC Avant Garde" w:cs="Arial"/>
                <w:b/>
                <w:color w:val="FFFFFF" w:themeColor="background1"/>
                <w:sz w:val="18"/>
                <w:lang w:val="es-ES" w:eastAsia="es-ES"/>
              </w:rPr>
              <w:t>Ingresos</w:t>
            </w:r>
          </w:p>
        </w:tc>
        <w:tc>
          <w:tcPr>
            <w:tcW w:w="364"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0040D041" w14:textId="77777777" w:rsidR="00F878E5" w:rsidRPr="00A448A4" w:rsidRDefault="00F878E5" w:rsidP="00970710">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A448A4">
              <w:rPr>
                <w:rFonts w:ascii="ITC Avant Garde" w:eastAsia="Times New Roman" w:hAnsi="ITC Avant Garde" w:cs="Arial"/>
                <w:b/>
                <w:color w:val="FFFFFF" w:themeColor="background1"/>
                <w:sz w:val="18"/>
                <w:lang w:val="es-ES" w:eastAsia="es-ES"/>
              </w:rPr>
              <w:t>Costos de operación (A)</w:t>
            </w:r>
          </w:p>
        </w:tc>
        <w:tc>
          <w:tcPr>
            <w:tcW w:w="385"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518201FD" w14:textId="77777777" w:rsidR="00F878E5" w:rsidRPr="00A448A4" w:rsidRDefault="00F878E5" w:rsidP="00970710">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A448A4">
              <w:rPr>
                <w:rFonts w:ascii="ITC Avant Garde" w:eastAsia="Times New Roman" w:hAnsi="ITC Avant Garde" w:cs="Arial"/>
                <w:b/>
                <w:color w:val="FFFFFF" w:themeColor="background1"/>
                <w:sz w:val="18"/>
                <w:lang w:val="es-ES" w:eastAsia="es-ES"/>
              </w:rPr>
              <w:t>Utilidad operativa</w:t>
            </w:r>
          </w:p>
        </w:tc>
        <w:tc>
          <w:tcPr>
            <w:tcW w:w="377"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03931F7B" w14:textId="77777777" w:rsidR="00F878E5" w:rsidRPr="00A448A4" w:rsidRDefault="00F878E5" w:rsidP="00970710">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A448A4">
              <w:rPr>
                <w:rFonts w:ascii="ITC Avant Garde" w:eastAsia="Times New Roman" w:hAnsi="ITC Avant Garde" w:cs="Arial"/>
                <w:b/>
                <w:color w:val="FFFFFF" w:themeColor="background1"/>
                <w:sz w:val="18"/>
                <w:lang w:val="es-ES" w:eastAsia="es-ES"/>
              </w:rPr>
              <w:t>Capital empleado</w:t>
            </w:r>
          </w:p>
        </w:tc>
        <w:tc>
          <w:tcPr>
            <w:tcW w:w="306"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3E2B6802" w14:textId="77777777" w:rsidR="00F878E5" w:rsidRPr="00A448A4" w:rsidRDefault="00F878E5" w:rsidP="00970710">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A448A4">
              <w:rPr>
                <w:rFonts w:ascii="ITC Avant Garde" w:eastAsia="Times New Roman" w:hAnsi="ITC Avant Garde" w:cs="Arial"/>
                <w:b/>
                <w:color w:val="FFFFFF" w:themeColor="background1"/>
                <w:sz w:val="18"/>
                <w:lang w:val="es-ES" w:eastAsia="es-ES"/>
              </w:rPr>
              <w:t>RSCE</w:t>
            </w:r>
            <w:r w:rsidRPr="00A448A4">
              <w:rPr>
                <w:rFonts w:ascii="ITC Avant Garde" w:eastAsia="Times New Roman" w:hAnsi="ITC Avant Garde" w:cs="Arial"/>
                <w:b/>
                <w:color w:val="FFFFFF" w:themeColor="background1"/>
                <w:sz w:val="18"/>
                <w:vertAlign w:val="superscript"/>
                <w:lang w:val="es-ES" w:eastAsia="es-ES"/>
              </w:rPr>
              <w:footnoteReference w:id="54"/>
            </w:r>
          </w:p>
        </w:tc>
        <w:tc>
          <w:tcPr>
            <w:tcW w:w="257"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2241E2A7" w14:textId="77777777" w:rsidR="00F878E5" w:rsidRPr="00A448A4" w:rsidRDefault="00F878E5" w:rsidP="00970710">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A448A4">
              <w:rPr>
                <w:rFonts w:ascii="ITC Avant Garde" w:eastAsia="Times New Roman" w:hAnsi="ITC Avant Garde" w:cs="Arial"/>
                <w:b/>
                <w:color w:val="FFFFFF" w:themeColor="background1"/>
                <w:sz w:val="18"/>
                <w:lang w:val="es-ES" w:eastAsia="es-ES"/>
              </w:rPr>
              <w:t>Costo de capital</w:t>
            </w:r>
          </w:p>
          <w:p w14:paraId="54A0F6E9" w14:textId="77777777" w:rsidR="00F878E5" w:rsidRPr="00A448A4" w:rsidRDefault="00F878E5" w:rsidP="00970710">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A448A4">
              <w:rPr>
                <w:rFonts w:ascii="ITC Avant Garde" w:eastAsia="Times New Roman" w:hAnsi="ITC Avant Garde" w:cs="Arial"/>
                <w:b/>
                <w:color w:val="FFFFFF" w:themeColor="background1"/>
                <w:sz w:val="18"/>
                <w:lang w:val="es-ES" w:eastAsia="es-ES"/>
              </w:rPr>
              <w:t>(B)</w:t>
            </w:r>
          </w:p>
        </w:tc>
        <w:tc>
          <w:tcPr>
            <w:tcW w:w="271" w:type="pct"/>
            <w:gridSpan w:val="2"/>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3E2D251B" w14:textId="77777777" w:rsidR="00F878E5" w:rsidRPr="00A448A4" w:rsidRDefault="00F878E5" w:rsidP="00970710">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A448A4">
              <w:rPr>
                <w:rFonts w:ascii="ITC Avant Garde" w:eastAsia="Times New Roman" w:hAnsi="ITC Avant Garde" w:cs="Arial"/>
                <w:b/>
                <w:color w:val="FFFFFF" w:themeColor="background1"/>
                <w:sz w:val="18"/>
                <w:lang w:val="es-ES" w:eastAsia="es-ES"/>
              </w:rPr>
              <w:t>Costos totales</w:t>
            </w:r>
          </w:p>
          <w:p w14:paraId="64F55C31" w14:textId="77777777" w:rsidR="00F878E5" w:rsidRPr="00A448A4" w:rsidRDefault="00F878E5" w:rsidP="00970710">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A448A4">
              <w:rPr>
                <w:rFonts w:ascii="ITC Avant Garde" w:eastAsia="Times New Roman" w:hAnsi="ITC Avant Garde" w:cs="Arial"/>
                <w:b/>
                <w:color w:val="FFFFFF" w:themeColor="background1"/>
                <w:sz w:val="18"/>
                <w:lang w:val="es-ES" w:eastAsia="es-ES"/>
              </w:rPr>
              <w:t>(A+B)</w:t>
            </w:r>
          </w:p>
        </w:tc>
        <w:tc>
          <w:tcPr>
            <w:tcW w:w="292"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33DEA668" w14:textId="77777777" w:rsidR="00F878E5" w:rsidRPr="00A448A4" w:rsidRDefault="00F878E5" w:rsidP="00970710">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A448A4">
              <w:rPr>
                <w:rFonts w:ascii="ITC Avant Garde" w:eastAsia="Times New Roman" w:hAnsi="ITC Avant Garde" w:cs="Arial"/>
                <w:b/>
                <w:color w:val="FFFFFF" w:themeColor="background1"/>
                <w:sz w:val="18"/>
                <w:lang w:val="es-ES" w:eastAsia="es-ES"/>
              </w:rPr>
              <w:t>Utilidad regulat.</w:t>
            </w:r>
          </w:p>
        </w:tc>
        <w:tc>
          <w:tcPr>
            <w:tcW w:w="321"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7FA2BF1E" w14:textId="77777777" w:rsidR="00F878E5" w:rsidRPr="00A448A4" w:rsidRDefault="00F878E5" w:rsidP="00970710">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A448A4">
              <w:rPr>
                <w:rFonts w:ascii="ITC Avant Garde" w:eastAsia="Times New Roman" w:hAnsi="ITC Avant Garde" w:cs="Arial"/>
                <w:b/>
                <w:color w:val="FFFFFF" w:themeColor="background1"/>
                <w:sz w:val="18"/>
                <w:lang w:val="es-ES" w:eastAsia="es-ES"/>
              </w:rPr>
              <w:t>Unidad de volumen</w:t>
            </w:r>
          </w:p>
        </w:tc>
        <w:tc>
          <w:tcPr>
            <w:tcW w:w="327"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218ACBD9" w14:textId="77777777" w:rsidR="00F878E5" w:rsidRPr="00A448A4" w:rsidRDefault="00F878E5" w:rsidP="00970710">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A448A4">
              <w:rPr>
                <w:rFonts w:ascii="ITC Avant Garde" w:eastAsia="Times New Roman" w:hAnsi="ITC Avant Garde" w:cs="Arial"/>
                <w:b/>
                <w:color w:val="FFFFFF" w:themeColor="background1"/>
                <w:sz w:val="18"/>
                <w:lang w:val="es-ES" w:eastAsia="es-ES"/>
              </w:rPr>
              <w:t>Volumen</w:t>
            </w:r>
          </w:p>
        </w:tc>
        <w:tc>
          <w:tcPr>
            <w:tcW w:w="296"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64BB17AD" w14:textId="77777777" w:rsidR="00F878E5" w:rsidRPr="00A448A4" w:rsidRDefault="00F878E5" w:rsidP="00970710">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A448A4">
              <w:rPr>
                <w:rFonts w:ascii="ITC Avant Garde" w:eastAsia="Times New Roman" w:hAnsi="ITC Avant Garde" w:cs="Arial"/>
                <w:b/>
                <w:color w:val="FFFFFF" w:themeColor="background1"/>
                <w:sz w:val="18"/>
                <w:lang w:val="es-ES" w:eastAsia="es-ES"/>
              </w:rPr>
              <w:t>Costo unitario</w:t>
            </w:r>
          </w:p>
        </w:tc>
        <w:tc>
          <w:tcPr>
            <w:tcW w:w="296" w:type="pct"/>
            <w:tcBorders>
              <w:top w:val="nil"/>
              <w:left w:val="single" w:sz="4" w:space="0" w:color="FFFFFF" w:themeColor="background1"/>
              <w:bottom w:val="single" w:sz="4" w:space="0" w:color="244062"/>
              <w:right w:val="single" w:sz="4" w:space="0" w:color="FFFFFF" w:themeColor="background1"/>
            </w:tcBorders>
            <w:shd w:val="clear" w:color="auto" w:fill="4F629B"/>
            <w:vAlign w:val="center"/>
          </w:tcPr>
          <w:p w14:paraId="78882B80" w14:textId="77777777" w:rsidR="00F878E5" w:rsidRPr="00A448A4" w:rsidRDefault="00F878E5" w:rsidP="00970710">
            <w:pPr>
              <w:keepNext/>
              <w:keepLines/>
              <w:spacing w:after="0" w:line="240" w:lineRule="auto"/>
              <w:jc w:val="center"/>
              <w:rPr>
                <w:rFonts w:ascii="ITC Avant Garde" w:eastAsia="Times New Roman" w:hAnsi="ITC Avant Garde" w:cs="Arial"/>
                <w:b/>
                <w:color w:val="FFFFFF" w:themeColor="background1"/>
                <w:sz w:val="18"/>
                <w:lang w:val="es-ES" w:eastAsia="es-ES"/>
              </w:rPr>
            </w:pPr>
            <w:r w:rsidRPr="00A448A4">
              <w:rPr>
                <w:rFonts w:ascii="ITC Avant Garde" w:eastAsia="Times New Roman" w:hAnsi="ITC Avant Garde" w:cs="Arial"/>
                <w:b/>
                <w:color w:val="FFFFFF" w:themeColor="background1"/>
                <w:sz w:val="18"/>
                <w:lang w:val="es-ES" w:eastAsia="es-ES"/>
              </w:rPr>
              <w:t>Ingreso unitario</w:t>
            </w:r>
          </w:p>
        </w:tc>
      </w:tr>
      <w:tr w:rsidR="00F878E5" w:rsidRPr="008609D1" w14:paraId="2E65C8F9" w14:textId="77777777" w:rsidTr="00970710">
        <w:trPr>
          <w:trHeight w:val="340"/>
          <w:jc w:val="center"/>
        </w:trPr>
        <w:tc>
          <w:tcPr>
            <w:tcW w:w="1081" w:type="pct"/>
            <w:tcBorders>
              <w:top w:val="single" w:sz="4" w:space="0" w:color="244062"/>
              <w:left w:val="nil"/>
              <w:right w:val="nil"/>
            </w:tcBorders>
            <w:shd w:val="clear" w:color="auto" w:fill="E5E9EB"/>
            <w:noWrap/>
            <w:vAlign w:val="center"/>
            <w:hideMark/>
          </w:tcPr>
          <w:p w14:paraId="79EE1FCF" w14:textId="77777777" w:rsidR="00F878E5" w:rsidRPr="008609D1" w:rsidRDefault="00F878E5" w:rsidP="00970710">
            <w:pPr>
              <w:keepNext/>
              <w:keepLines/>
              <w:spacing w:after="0" w:line="240" w:lineRule="auto"/>
              <w:rPr>
                <w:rFonts w:ascii="ITC Avant Garde" w:hAnsi="ITC Avant Garde"/>
                <w:b/>
                <w:sz w:val="20"/>
                <w:lang w:val="es-ES"/>
              </w:rPr>
            </w:pPr>
            <w:r w:rsidRPr="008609D1">
              <w:rPr>
                <w:rFonts w:ascii="ITC Avant Garde" w:hAnsi="ITC Avant Garde"/>
                <w:b/>
                <w:sz w:val="20"/>
                <w:lang w:val="es-ES"/>
              </w:rPr>
              <w:t>Segmento minorista</w:t>
            </w:r>
          </w:p>
        </w:tc>
        <w:tc>
          <w:tcPr>
            <w:tcW w:w="427" w:type="pct"/>
            <w:tcBorders>
              <w:top w:val="single" w:sz="4" w:space="0" w:color="244062"/>
              <w:left w:val="nil"/>
              <w:right w:val="nil"/>
            </w:tcBorders>
            <w:shd w:val="clear" w:color="auto" w:fill="E5E9EB"/>
            <w:vAlign w:val="center"/>
          </w:tcPr>
          <w:p w14:paraId="3F474E79"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64" w:type="pct"/>
            <w:tcBorders>
              <w:top w:val="single" w:sz="4" w:space="0" w:color="244062"/>
              <w:left w:val="nil"/>
              <w:right w:val="nil"/>
            </w:tcBorders>
            <w:shd w:val="clear" w:color="auto" w:fill="E5E9EB"/>
            <w:vAlign w:val="center"/>
          </w:tcPr>
          <w:p w14:paraId="2D9A3E9E"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85" w:type="pct"/>
            <w:tcBorders>
              <w:top w:val="single" w:sz="4" w:space="0" w:color="244062"/>
              <w:left w:val="nil"/>
              <w:right w:val="nil"/>
            </w:tcBorders>
            <w:shd w:val="clear" w:color="auto" w:fill="E5E9EB"/>
            <w:vAlign w:val="center"/>
          </w:tcPr>
          <w:p w14:paraId="1160F1E4"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77" w:type="pct"/>
            <w:tcBorders>
              <w:top w:val="single" w:sz="4" w:space="0" w:color="244062"/>
              <w:left w:val="nil"/>
              <w:right w:val="nil"/>
            </w:tcBorders>
            <w:shd w:val="clear" w:color="auto" w:fill="E5E9EB"/>
            <w:vAlign w:val="center"/>
          </w:tcPr>
          <w:p w14:paraId="4F2C7E09"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06" w:type="pct"/>
            <w:tcBorders>
              <w:top w:val="single" w:sz="4" w:space="0" w:color="244062"/>
              <w:left w:val="nil"/>
              <w:right w:val="nil"/>
            </w:tcBorders>
            <w:shd w:val="clear" w:color="auto" w:fill="E5E9EB"/>
            <w:vAlign w:val="center"/>
          </w:tcPr>
          <w:p w14:paraId="78EC00AC"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57" w:type="pct"/>
            <w:tcBorders>
              <w:top w:val="single" w:sz="4" w:space="0" w:color="244062"/>
              <w:left w:val="nil"/>
              <w:right w:val="nil"/>
            </w:tcBorders>
            <w:shd w:val="clear" w:color="auto" w:fill="E5E9EB"/>
            <w:vAlign w:val="center"/>
          </w:tcPr>
          <w:p w14:paraId="10E2CBC9"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top w:val="single" w:sz="4" w:space="0" w:color="244062"/>
              <w:left w:val="nil"/>
              <w:right w:val="nil"/>
            </w:tcBorders>
            <w:shd w:val="clear" w:color="auto" w:fill="E5E9EB"/>
            <w:vAlign w:val="center"/>
          </w:tcPr>
          <w:p w14:paraId="67B096E3"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2" w:type="pct"/>
            <w:tcBorders>
              <w:top w:val="single" w:sz="4" w:space="0" w:color="244062"/>
              <w:left w:val="nil"/>
              <w:right w:val="nil"/>
            </w:tcBorders>
            <w:shd w:val="clear" w:color="auto" w:fill="E5E9EB"/>
            <w:vAlign w:val="center"/>
          </w:tcPr>
          <w:p w14:paraId="7C997D7E"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1" w:type="pct"/>
            <w:tcBorders>
              <w:top w:val="single" w:sz="4" w:space="0" w:color="244062"/>
              <w:left w:val="nil"/>
              <w:right w:val="nil"/>
            </w:tcBorders>
            <w:shd w:val="clear" w:color="auto" w:fill="E5E9EB"/>
            <w:vAlign w:val="center"/>
          </w:tcPr>
          <w:p w14:paraId="277054B8"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7" w:type="pct"/>
            <w:tcBorders>
              <w:top w:val="single" w:sz="4" w:space="0" w:color="244062"/>
              <w:left w:val="nil"/>
              <w:right w:val="nil"/>
            </w:tcBorders>
            <w:shd w:val="clear" w:color="auto" w:fill="E5E9EB"/>
            <w:vAlign w:val="center"/>
          </w:tcPr>
          <w:p w14:paraId="1B6ED9C2"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top w:val="single" w:sz="4" w:space="0" w:color="244062"/>
              <w:left w:val="nil"/>
              <w:right w:val="nil"/>
            </w:tcBorders>
            <w:shd w:val="clear" w:color="auto" w:fill="E5E9EB"/>
            <w:vAlign w:val="center"/>
          </w:tcPr>
          <w:p w14:paraId="06A4A2D3"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top w:val="single" w:sz="4" w:space="0" w:color="244062"/>
              <w:left w:val="nil"/>
              <w:right w:val="nil"/>
            </w:tcBorders>
            <w:shd w:val="clear" w:color="auto" w:fill="E5E9EB"/>
          </w:tcPr>
          <w:p w14:paraId="750726BB"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r>
      <w:tr w:rsidR="00F878E5" w:rsidRPr="008609D1" w14:paraId="1C85FB7B" w14:textId="77777777" w:rsidTr="00970710">
        <w:trPr>
          <w:trHeight w:val="340"/>
          <w:jc w:val="center"/>
        </w:trPr>
        <w:tc>
          <w:tcPr>
            <w:tcW w:w="1081" w:type="pct"/>
            <w:tcBorders>
              <w:top w:val="single" w:sz="4" w:space="0" w:color="244062"/>
              <w:left w:val="nil"/>
              <w:right w:val="nil"/>
            </w:tcBorders>
            <w:shd w:val="clear" w:color="auto" w:fill="FFFFFF" w:themeFill="background1"/>
            <w:noWrap/>
            <w:vAlign w:val="center"/>
          </w:tcPr>
          <w:p w14:paraId="11DBC7CF" w14:textId="77777777" w:rsidR="00F878E5" w:rsidRPr="008609D1" w:rsidRDefault="00F878E5" w:rsidP="00970710">
            <w:pPr>
              <w:keepNext/>
              <w:keepLines/>
              <w:spacing w:after="0" w:line="240" w:lineRule="auto"/>
              <w:rPr>
                <w:rFonts w:ascii="ITC Avant Garde" w:hAnsi="ITC Avant Garde"/>
                <w:b/>
                <w:sz w:val="20"/>
                <w:lang w:val="es-ES"/>
              </w:rPr>
            </w:pPr>
            <w:r w:rsidRPr="008609D1">
              <w:rPr>
                <w:rFonts w:ascii="ITC Avant Garde" w:eastAsia="Times New Roman" w:hAnsi="ITC Avant Garde" w:cs="Arial"/>
                <w:b/>
                <w:bCs/>
                <w:sz w:val="20"/>
                <w:lang w:val="es-ES" w:eastAsia="es-ES"/>
              </w:rPr>
              <w:t>Tráfico de voz saliente</w:t>
            </w:r>
            <w:r w:rsidRPr="008609D1">
              <w:rPr>
                <w:rStyle w:val="Refdenotaalpie"/>
                <w:rFonts w:ascii="ITC Avant Garde" w:eastAsia="Times New Roman" w:hAnsi="ITC Avant Garde" w:cs="Arial"/>
                <w:b/>
                <w:bCs/>
                <w:sz w:val="20"/>
                <w:lang w:val="es-ES" w:eastAsia="es-ES"/>
              </w:rPr>
              <w:footnoteReference w:id="55"/>
            </w:r>
          </w:p>
        </w:tc>
        <w:tc>
          <w:tcPr>
            <w:tcW w:w="427" w:type="pct"/>
            <w:tcBorders>
              <w:top w:val="single" w:sz="4" w:space="0" w:color="244062"/>
              <w:left w:val="nil"/>
              <w:right w:val="nil"/>
            </w:tcBorders>
            <w:shd w:val="clear" w:color="auto" w:fill="FFFFFF" w:themeFill="background1"/>
            <w:vAlign w:val="center"/>
          </w:tcPr>
          <w:p w14:paraId="378D1163"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64" w:type="pct"/>
            <w:tcBorders>
              <w:top w:val="single" w:sz="4" w:space="0" w:color="244062"/>
              <w:left w:val="nil"/>
              <w:right w:val="nil"/>
            </w:tcBorders>
            <w:shd w:val="clear" w:color="auto" w:fill="FFFFFF" w:themeFill="background1"/>
            <w:vAlign w:val="center"/>
          </w:tcPr>
          <w:p w14:paraId="39E0DDDB"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85" w:type="pct"/>
            <w:tcBorders>
              <w:top w:val="single" w:sz="4" w:space="0" w:color="244062"/>
              <w:left w:val="nil"/>
              <w:right w:val="nil"/>
            </w:tcBorders>
            <w:shd w:val="clear" w:color="auto" w:fill="FFFFFF" w:themeFill="background1"/>
            <w:vAlign w:val="center"/>
          </w:tcPr>
          <w:p w14:paraId="02ABDAB4"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77" w:type="pct"/>
            <w:tcBorders>
              <w:top w:val="single" w:sz="4" w:space="0" w:color="244062"/>
              <w:left w:val="nil"/>
              <w:right w:val="nil"/>
            </w:tcBorders>
            <w:shd w:val="clear" w:color="auto" w:fill="FFFFFF" w:themeFill="background1"/>
            <w:vAlign w:val="center"/>
          </w:tcPr>
          <w:p w14:paraId="15F1CB17"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06" w:type="pct"/>
            <w:tcBorders>
              <w:top w:val="single" w:sz="4" w:space="0" w:color="244062"/>
              <w:left w:val="nil"/>
              <w:right w:val="nil"/>
            </w:tcBorders>
            <w:shd w:val="clear" w:color="auto" w:fill="FFFFFF" w:themeFill="background1"/>
            <w:vAlign w:val="center"/>
          </w:tcPr>
          <w:p w14:paraId="7808DE76"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57" w:type="pct"/>
            <w:tcBorders>
              <w:top w:val="single" w:sz="4" w:space="0" w:color="244062"/>
              <w:left w:val="nil"/>
              <w:right w:val="nil"/>
            </w:tcBorders>
            <w:shd w:val="clear" w:color="auto" w:fill="FFFFFF" w:themeFill="background1"/>
            <w:vAlign w:val="center"/>
          </w:tcPr>
          <w:p w14:paraId="074B530D"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top w:val="single" w:sz="4" w:space="0" w:color="244062"/>
              <w:left w:val="nil"/>
              <w:right w:val="nil"/>
            </w:tcBorders>
            <w:shd w:val="clear" w:color="auto" w:fill="FFFFFF" w:themeFill="background1"/>
            <w:vAlign w:val="center"/>
          </w:tcPr>
          <w:p w14:paraId="6FBDC8B3"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2" w:type="pct"/>
            <w:tcBorders>
              <w:top w:val="single" w:sz="4" w:space="0" w:color="244062"/>
              <w:left w:val="nil"/>
              <w:right w:val="nil"/>
            </w:tcBorders>
            <w:shd w:val="clear" w:color="auto" w:fill="FFFFFF" w:themeFill="background1"/>
            <w:vAlign w:val="center"/>
          </w:tcPr>
          <w:p w14:paraId="5EC976F5"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1" w:type="pct"/>
            <w:tcBorders>
              <w:top w:val="single" w:sz="4" w:space="0" w:color="244062"/>
              <w:left w:val="nil"/>
              <w:right w:val="nil"/>
            </w:tcBorders>
            <w:shd w:val="clear" w:color="auto" w:fill="FFFFFF" w:themeFill="background1"/>
            <w:vAlign w:val="center"/>
          </w:tcPr>
          <w:p w14:paraId="71E57FA0"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7" w:type="pct"/>
            <w:tcBorders>
              <w:top w:val="single" w:sz="4" w:space="0" w:color="244062"/>
              <w:left w:val="nil"/>
              <w:right w:val="nil"/>
            </w:tcBorders>
            <w:shd w:val="clear" w:color="auto" w:fill="FFFFFF" w:themeFill="background1"/>
            <w:vAlign w:val="center"/>
          </w:tcPr>
          <w:p w14:paraId="0C5E092D"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top w:val="single" w:sz="4" w:space="0" w:color="244062"/>
              <w:left w:val="nil"/>
              <w:right w:val="nil"/>
            </w:tcBorders>
            <w:shd w:val="clear" w:color="auto" w:fill="FFFFFF" w:themeFill="background1"/>
            <w:vAlign w:val="center"/>
          </w:tcPr>
          <w:p w14:paraId="0E92B421"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top w:val="single" w:sz="4" w:space="0" w:color="244062"/>
              <w:left w:val="nil"/>
              <w:right w:val="nil"/>
            </w:tcBorders>
            <w:shd w:val="clear" w:color="auto" w:fill="FFFFFF" w:themeFill="background1"/>
          </w:tcPr>
          <w:p w14:paraId="2D1512FB"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r>
      <w:tr w:rsidR="00F878E5" w:rsidRPr="008609D1" w14:paraId="7F5409D3" w14:textId="77777777" w:rsidTr="00970710">
        <w:trPr>
          <w:trHeight w:val="340"/>
          <w:jc w:val="center"/>
        </w:trPr>
        <w:tc>
          <w:tcPr>
            <w:tcW w:w="1081" w:type="pct"/>
            <w:tcBorders>
              <w:left w:val="nil"/>
              <w:right w:val="nil"/>
            </w:tcBorders>
            <w:shd w:val="clear" w:color="auto" w:fill="D0D1DB"/>
            <w:noWrap/>
            <w:vAlign w:val="center"/>
            <w:hideMark/>
          </w:tcPr>
          <w:p w14:paraId="5B0D5E6C" w14:textId="77777777" w:rsidR="00F878E5" w:rsidRPr="008609D1" w:rsidRDefault="00F878E5" w:rsidP="00970710">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fijo dentro de la red</w:t>
            </w:r>
          </w:p>
        </w:tc>
        <w:tc>
          <w:tcPr>
            <w:tcW w:w="427" w:type="pct"/>
            <w:tcBorders>
              <w:left w:val="nil"/>
              <w:right w:val="nil"/>
            </w:tcBorders>
            <w:shd w:val="clear" w:color="auto" w:fill="FFFFFF" w:themeFill="background1"/>
            <w:vAlign w:val="center"/>
          </w:tcPr>
          <w:p w14:paraId="2AEC2CAD"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FFFFFF" w:themeFill="background1"/>
            <w:vAlign w:val="center"/>
          </w:tcPr>
          <w:p w14:paraId="417AC1B6"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F2F2F2" w:themeFill="background1" w:themeFillShade="F2"/>
            <w:vAlign w:val="center"/>
          </w:tcPr>
          <w:p w14:paraId="1D664D4B"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FFFFFF" w:themeFill="background1"/>
            <w:vAlign w:val="center"/>
          </w:tcPr>
          <w:p w14:paraId="78AFF87B"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FFFFFF" w:themeFill="background1"/>
            <w:vAlign w:val="center"/>
          </w:tcPr>
          <w:p w14:paraId="11DC7668"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FFFFFF" w:themeFill="background1"/>
            <w:vAlign w:val="center"/>
          </w:tcPr>
          <w:p w14:paraId="51B720AA"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FFFFFF" w:themeFill="background1"/>
            <w:vAlign w:val="center"/>
          </w:tcPr>
          <w:p w14:paraId="796CEC07"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F2F2F2" w:themeFill="background1" w:themeFillShade="F2"/>
            <w:vAlign w:val="center"/>
          </w:tcPr>
          <w:p w14:paraId="62A7B350"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FFFFFF" w:themeFill="background1"/>
            <w:vAlign w:val="center"/>
          </w:tcPr>
          <w:p w14:paraId="5696FE1F"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FFFFFF" w:themeFill="background1"/>
            <w:vAlign w:val="center"/>
          </w:tcPr>
          <w:p w14:paraId="799FC0FA"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vAlign w:val="center"/>
          </w:tcPr>
          <w:p w14:paraId="00BB2F3C"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tcPr>
          <w:p w14:paraId="280FC061"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r>
      <w:tr w:rsidR="00F878E5" w:rsidRPr="008609D1" w14:paraId="72656150" w14:textId="77777777" w:rsidTr="00970710">
        <w:trPr>
          <w:trHeight w:val="340"/>
          <w:jc w:val="center"/>
        </w:trPr>
        <w:tc>
          <w:tcPr>
            <w:tcW w:w="1081" w:type="pct"/>
            <w:tcBorders>
              <w:left w:val="nil"/>
              <w:right w:val="nil"/>
            </w:tcBorders>
            <w:shd w:val="clear" w:color="auto" w:fill="D0D1DB"/>
            <w:noWrap/>
            <w:vAlign w:val="center"/>
            <w:hideMark/>
          </w:tcPr>
          <w:p w14:paraId="5609DF05" w14:textId="77777777" w:rsidR="00F878E5" w:rsidRPr="008609D1" w:rsidRDefault="00F878E5" w:rsidP="00970710">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fijo nacional fuera de la red</w:t>
            </w:r>
          </w:p>
        </w:tc>
        <w:tc>
          <w:tcPr>
            <w:tcW w:w="427" w:type="pct"/>
            <w:tcBorders>
              <w:left w:val="nil"/>
              <w:right w:val="nil"/>
            </w:tcBorders>
            <w:shd w:val="clear" w:color="auto" w:fill="FFFFFF" w:themeFill="background1"/>
            <w:vAlign w:val="center"/>
          </w:tcPr>
          <w:p w14:paraId="53BDB2AF"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FFFFFF" w:themeFill="background1"/>
            <w:vAlign w:val="center"/>
          </w:tcPr>
          <w:p w14:paraId="2F7CC4AF"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F2F2F2" w:themeFill="background1" w:themeFillShade="F2"/>
            <w:vAlign w:val="center"/>
          </w:tcPr>
          <w:p w14:paraId="609230A2"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FFFFFF" w:themeFill="background1"/>
            <w:vAlign w:val="center"/>
          </w:tcPr>
          <w:p w14:paraId="6360A67E"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FFFFFF" w:themeFill="background1"/>
            <w:vAlign w:val="center"/>
          </w:tcPr>
          <w:p w14:paraId="0DE02258"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FFFFFF" w:themeFill="background1"/>
            <w:vAlign w:val="center"/>
          </w:tcPr>
          <w:p w14:paraId="6A923307"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FFFFFF" w:themeFill="background1"/>
            <w:vAlign w:val="center"/>
          </w:tcPr>
          <w:p w14:paraId="05BC8211"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F2F2F2" w:themeFill="background1" w:themeFillShade="F2"/>
            <w:vAlign w:val="center"/>
          </w:tcPr>
          <w:p w14:paraId="2BD67695"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FFFFFF" w:themeFill="background1"/>
            <w:vAlign w:val="center"/>
          </w:tcPr>
          <w:p w14:paraId="5D8FF2A4"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FFFFFF" w:themeFill="background1"/>
            <w:vAlign w:val="center"/>
          </w:tcPr>
          <w:p w14:paraId="765C667A"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vAlign w:val="center"/>
          </w:tcPr>
          <w:p w14:paraId="51D43B8C"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tcPr>
          <w:p w14:paraId="55FD52FC"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r>
      <w:tr w:rsidR="00F878E5" w:rsidRPr="008609D1" w14:paraId="4B9A2D2D" w14:textId="77777777" w:rsidTr="00970710">
        <w:trPr>
          <w:trHeight w:val="340"/>
          <w:jc w:val="center"/>
        </w:trPr>
        <w:tc>
          <w:tcPr>
            <w:tcW w:w="1081" w:type="pct"/>
            <w:tcBorders>
              <w:left w:val="nil"/>
              <w:right w:val="nil"/>
            </w:tcBorders>
            <w:shd w:val="clear" w:color="auto" w:fill="D0D1DB"/>
            <w:noWrap/>
            <w:vAlign w:val="center"/>
            <w:hideMark/>
          </w:tcPr>
          <w:p w14:paraId="36533D1D" w14:textId="77777777" w:rsidR="00F878E5" w:rsidRPr="008609D1" w:rsidRDefault="00F878E5" w:rsidP="00970710">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móviles nacionales</w:t>
            </w:r>
          </w:p>
        </w:tc>
        <w:tc>
          <w:tcPr>
            <w:tcW w:w="427" w:type="pct"/>
            <w:tcBorders>
              <w:left w:val="nil"/>
              <w:right w:val="nil"/>
            </w:tcBorders>
            <w:shd w:val="clear" w:color="auto" w:fill="FFFFFF" w:themeFill="background1"/>
            <w:vAlign w:val="center"/>
          </w:tcPr>
          <w:p w14:paraId="325C4F89"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FFFFFF" w:themeFill="background1"/>
            <w:vAlign w:val="center"/>
          </w:tcPr>
          <w:p w14:paraId="1A6417FC"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F2F2F2" w:themeFill="background1" w:themeFillShade="F2"/>
            <w:vAlign w:val="center"/>
          </w:tcPr>
          <w:p w14:paraId="0CF8D087"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FFFFFF" w:themeFill="background1"/>
            <w:vAlign w:val="center"/>
          </w:tcPr>
          <w:p w14:paraId="40648470"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FFFFFF" w:themeFill="background1"/>
            <w:vAlign w:val="center"/>
          </w:tcPr>
          <w:p w14:paraId="6B399BC5"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FFFFFF" w:themeFill="background1"/>
            <w:vAlign w:val="center"/>
          </w:tcPr>
          <w:p w14:paraId="1C19C1AA"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FFFFFF" w:themeFill="background1"/>
            <w:vAlign w:val="center"/>
          </w:tcPr>
          <w:p w14:paraId="23275C38"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F2F2F2" w:themeFill="background1" w:themeFillShade="F2"/>
            <w:vAlign w:val="center"/>
          </w:tcPr>
          <w:p w14:paraId="3809926E"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FFFFFF" w:themeFill="background1"/>
            <w:vAlign w:val="center"/>
          </w:tcPr>
          <w:p w14:paraId="624367BE"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FFFFFF" w:themeFill="background1"/>
            <w:vAlign w:val="center"/>
          </w:tcPr>
          <w:p w14:paraId="4EEFBF6F"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vAlign w:val="center"/>
          </w:tcPr>
          <w:p w14:paraId="5E8FF63D"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tcPr>
          <w:p w14:paraId="53E67819"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r>
      <w:tr w:rsidR="00F878E5" w:rsidRPr="008609D1" w14:paraId="49FE63A4" w14:textId="77777777" w:rsidTr="00970710">
        <w:trPr>
          <w:trHeight w:val="340"/>
          <w:jc w:val="center"/>
        </w:trPr>
        <w:tc>
          <w:tcPr>
            <w:tcW w:w="1081" w:type="pct"/>
            <w:tcBorders>
              <w:left w:val="nil"/>
              <w:right w:val="nil"/>
            </w:tcBorders>
            <w:shd w:val="clear" w:color="auto" w:fill="D0D1DB"/>
            <w:noWrap/>
            <w:vAlign w:val="center"/>
            <w:hideMark/>
          </w:tcPr>
          <w:p w14:paraId="74C3E5DF" w14:textId="77777777" w:rsidR="00F878E5" w:rsidRPr="008609D1" w:rsidRDefault="00F878E5" w:rsidP="00970710">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427" w:type="pct"/>
            <w:tcBorders>
              <w:left w:val="nil"/>
              <w:right w:val="nil"/>
            </w:tcBorders>
            <w:shd w:val="clear" w:color="auto" w:fill="FFFFFF" w:themeFill="background1"/>
            <w:vAlign w:val="center"/>
          </w:tcPr>
          <w:p w14:paraId="1A5683A4"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FFFFFF" w:themeFill="background1"/>
            <w:vAlign w:val="center"/>
          </w:tcPr>
          <w:p w14:paraId="0404E626"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F2F2F2" w:themeFill="background1" w:themeFillShade="F2"/>
            <w:vAlign w:val="center"/>
          </w:tcPr>
          <w:p w14:paraId="4AFE02CA"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FFFFFF" w:themeFill="background1"/>
            <w:vAlign w:val="center"/>
          </w:tcPr>
          <w:p w14:paraId="0DBDE810"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FFFFFF" w:themeFill="background1"/>
            <w:vAlign w:val="center"/>
          </w:tcPr>
          <w:p w14:paraId="497C57C6"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FFFFFF" w:themeFill="background1"/>
            <w:vAlign w:val="center"/>
          </w:tcPr>
          <w:p w14:paraId="424015FB"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FFFFFF" w:themeFill="background1"/>
            <w:vAlign w:val="center"/>
          </w:tcPr>
          <w:p w14:paraId="2F9809DD"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F2F2F2" w:themeFill="background1" w:themeFillShade="F2"/>
            <w:vAlign w:val="center"/>
          </w:tcPr>
          <w:p w14:paraId="76BF284B"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FFFFFF" w:themeFill="background1"/>
            <w:vAlign w:val="center"/>
          </w:tcPr>
          <w:p w14:paraId="1E79AA40"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FFFFFF" w:themeFill="background1"/>
            <w:vAlign w:val="center"/>
          </w:tcPr>
          <w:p w14:paraId="3C852D65"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vAlign w:val="center"/>
          </w:tcPr>
          <w:p w14:paraId="5C2B54DB"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tcPr>
          <w:p w14:paraId="0563353F"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r>
      <w:tr w:rsidR="00F878E5" w:rsidRPr="008609D1" w14:paraId="0EBED07C" w14:textId="77777777" w:rsidTr="00970710">
        <w:trPr>
          <w:trHeight w:val="340"/>
          <w:jc w:val="center"/>
        </w:trPr>
        <w:tc>
          <w:tcPr>
            <w:tcW w:w="1081" w:type="pct"/>
            <w:tcBorders>
              <w:left w:val="nil"/>
              <w:right w:val="nil"/>
            </w:tcBorders>
            <w:shd w:val="clear" w:color="auto" w:fill="E5E9EB"/>
            <w:noWrap/>
            <w:vAlign w:val="center"/>
            <w:hideMark/>
          </w:tcPr>
          <w:p w14:paraId="3F41556F" w14:textId="77777777" w:rsidR="00F878E5" w:rsidRPr="008609D1" w:rsidRDefault="00F878E5" w:rsidP="00970710">
            <w:pPr>
              <w:keepNext/>
              <w:keepLines/>
              <w:spacing w:after="0" w:line="240" w:lineRule="auto"/>
              <w:rPr>
                <w:rFonts w:ascii="ITC Avant Garde" w:hAnsi="ITC Avant Garde"/>
                <w:b/>
                <w:sz w:val="20"/>
                <w:lang w:val="es-ES"/>
              </w:rPr>
            </w:pPr>
            <w:r w:rsidRPr="008609D1">
              <w:rPr>
                <w:rFonts w:ascii="ITC Avant Garde" w:hAnsi="ITC Avant Garde"/>
                <w:b/>
                <w:sz w:val="20"/>
                <w:lang w:val="es-ES"/>
              </w:rPr>
              <w:t>Segmento mayorista</w:t>
            </w:r>
          </w:p>
        </w:tc>
        <w:tc>
          <w:tcPr>
            <w:tcW w:w="427" w:type="pct"/>
            <w:tcBorders>
              <w:left w:val="nil"/>
              <w:right w:val="nil"/>
            </w:tcBorders>
            <w:shd w:val="clear" w:color="auto" w:fill="E5E9EB"/>
            <w:vAlign w:val="center"/>
          </w:tcPr>
          <w:p w14:paraId="48774868"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E5E9EB"/>
            <w:vAlign w:val="center"/>
          </w:tcPr>
          <w:p w14:paraId="2321A9C1"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E5E9EB"/>
            <w:vAlign w:val="center"/>
          </w:tcPr>
          <w:p w14:paraId="5D7A2123"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E5E9EB"/>
            <w:vAlign w:val="center"/>
          </w:tcPr>
          <w:p w14:paraId="31561541"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E5E9EB"/>
            <w:vAlign w:val="center"/>
          </w:tcPr>
          <w:p w14:paraId="4E7A3AC6"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E5E9EB"/>
            <w:vAlign w:val="center"/>
          </w:tcPr>
          <w:p w14:paraId="422DA7CE"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E5E9EB"/>
            <w:vAlign w:val="center"/>
          </w:tcPr>
          <w:p w14:paraId="6C8B568F"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E5E9EB"/>
            <w:vAlign w:val="center"/>
          </w:tcPr>
          <w:p w14:paraId="3884AC27"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E5E9EB"/>
            <w:vAlign w:val="center"/>
          </w:tcPr>
          <w:p w14:paraId="54CD25EA"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E5E9EB"/>
            <w:vAlign w:val="center"/>
          </w:tcPr>
          <w:p w14:paraId="5D34625D"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E5E9EB"/>
            <w:vAlign w:val="center"/>
          </w:tcPr>
          <w:p w14:paraId="3DAE7A41"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E5E9EB"/>
          </w:tcPr>
          <w:p w14:paraId="6994DBBD"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r>
      <w:tr w:rsidR="00F878E5" w:rsidRPr="008609D1" w14:paraId="3B8715C3" w14:textId="77777777" w:rsidTr="00970710">
        <w:trPr>
          <w:trHeight w:val="340"/>
          <w:jc w:val="center"/>
        </w:trPr>
        <w:tc>
          <w:tcPr>
            <w:tcW w:w="5000" w:type="pct"/>
            <w:gridSpan w:val="14"/>
            <w:tcBorders>
              <w:left w:val="nil"/>
              <w:right w:val="nil"/>
            </w:tcBorders>
            <w:shd w:val="clear" w:color="auto" w:fill="FFFFFF" w:themeFill="background1"/>
            <w:noWrap/>
            <w:vAlign w:val="center"/>
          </w:tcPr>
          <w:p w14:paraId="4950CAF6" w14:textId="77777777" w:rsidR="00F878E5" w:rsidRPr="008609D1" w:rsidRDefault="00F878E5" w:rsidP="00970710">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b/>
                <w:bCs/>
                <w:sz w:val="20"/>
                <w:lang w:val="es-ES" w:eastAsia="es-ES"/>
              </w:rPr>
              <w:t>Servicios de interconexión</w:t>
            </w:r>
          </w:p>
        </w:tc>
      </w:tr>
      <w:tr w:rsidR="00F878E5" w:rsidRPr="008609D1" w14:paraId="427D0F4B" w14:textId="77777777" w:rsidTr="00970710">
        <w:trPr>
          <w:trHeight w:val="340"/>
          <w:jc w:val="center"/>
        </w:trPr>
        <w:tc>
          <w:tcPr>
            <w:tcW w:w="1081" w:type="pct"/>
            <w:tcBorders>
              <w:left w:val="nil"/>
              <w:right w:val="nil"/>
            </w:tcBorders>
            <w:shd w:val="clear" w:color="auto" w:fill="D0D1DB"/>
            <w:noWrap/>
            <w:vAlign w:val="center"/>
            <w:hideMark/>
          </w:tcPr>
          <w:p w14:paraId="485A9DE0" w14:textId="77777777" w:rsidR="00F878E5" w:rsidRPr="008609D1" w:rsidRDefault="00F878E5" w:rsidP="00970710">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otros operadores fijos</w:t>
            </w:r>
          </w:p>
        </w:tc>
        <w:tc>
          <w:tcPr>
            <w:tcW w:w="427" w:type="pct"/>
            <w:tcBorders>
              <w:left w:val="nil"/>
              <w:right w:val="nil"/>
            </w:tcBorders>
            <w:shd w:val="clear" w:color="auto" w:fill="FFFFFF" w:themeFill="background1"/>
            <w:vAlign w:val="center"/>
          </w:tcPr>
          <w:p w14:paraId="57677184"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FFFFFF" w:themeFill="background1"/>
            <w:vAlign w:val="center"/>
          </w:tcPr>
          <w:p w14:paraId="367AB84F"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F2F2F2" w:themeFill="background1" w:themeFillShade="F2"/>
            <w:vAlign w:val="center"/>
          </w:tcPr>
          <w:p w14:paraId="1CFD82FF"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FFFFFF" w:themeFill="background1"/>
            <w:vAlign w:val="center"/>
          </w:tcPr>
          <w:p w14:paraId="44973160"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FFFFFF" w:themeFill="background1"/>
            <w:vAlign w:val="center"/>
          </w:tcPr>
          <w:p w14:paraId="774E0750"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FFFFFF" w:themeFill="background1"/>
            <w:vAlign w:val="center"/>
          </w:tcPr>
          <w:p w14:paraId="077B874B"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FFFFFF" w:themeFill="background1"/>
            <w:vAlign w:val="center"/>
          </w:tcPr>
          <w:p w14:paraId="29020C35"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F2F2F2" w:themeFill="background1" w:themeFillShade="F2"/>
            <w:vAlign w:val="center"/>
          </w:tcPr>
          <w:p w14:paraId="4E9B1D6D"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FFFFFF" w:themeFill="background1"/>
            <w:vAlign w:val="center"/>
          </w:tcPr>
          <w:p w14:paraId="2FC4C613"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FFFFFF" w:themeFill="background1"/>
            <w:vAlign w:val="center"/>
          </w:tcPr>
          <w:p w14:paraId="2AEF9AD3"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vAlign w:val="center"/>
          </w:tcPr>
          <w:p w14:paraId="451354E9"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tcPr>
          <w:p w14:paraId="11AD5AB2"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r>
      <w:tr w:rsidR="00F878E5" w:rsidRPr="008609D1" w14:paraId="217DEE1E" w14:textId="77777777" w:rsidTr="00970710">
        <w:trPr>
          <w:trHeight w:val="340"/>
          <w:jc w:val="center"/>
        </w:trPr>
        <w:tc>
          <w:tcPr>
            <w:tcW w:w="1081" w:type="pct"/>
            <w:tcBorders>
              <w:left w:val="nil"/>
              <w:right w:val="nil"/>
            </w:tcBorders>
            <w:shd w:val="clear" w:color="auto" w:fill="D0D1DB"/>
            <w:noWrap/>
            <w:vAlign w:val="center"/>
            <w:hideMark/>
          </w:tcPr>
          <w:p w14:paraId="52C085AA" w14:textId="77777777" w:rsidR="00F878E5" w:rsidRPr="008609D1" w:rsidRDefault="00F878E5" w:rsidP="00970710">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móviles</w:t>
            </w:r>
          </w:p>
        </w:tc>
        <w:tc>
          <w:tcPr>
            <w:tcW w:w="427" w:type="pct"/>
            <w:tcBorders>
              <w:left w:val="nil"/>
              <w:right w:val="nil"/>
            </w:tcBorders>
            <w:shd w:val="clear" w:color="auto" w:fill="FFFFFF" w:themeFill="background1"/>
            <w:vAlign w:val="center"/>
          </w:tcPr>
          <w:p w14:paraId="3ED4A74B"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FFFFFF" w:themeFill="background1"/>
            <w:vAlign w:val="center"/>
          </w:tcPr>
          <w:p w14:paraId="7F22CE98"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F2F2F2" w:themeFill="background1" w:themeFillShade="F2"/>
            <w:vAlign w:val="center"/>
          </w:tcPr>
          <w:p w14:paraId="755CA210"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FFFFFF" w:themeFill="background1"/>
            <w:vAlign w:val="center"/>
          </w:tcPr>
          <w:p w14:paraId="7DC241F6"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FFFFFF" w:themeFill="background1"/>
            <w:vAlign w:val="center"/>
          </w:tcPr>
          <w:p w14:paraId="206967D7"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FFFFFF" w:themeFill="background1"/>
            <w:vAlign w:val="center"/>
          </w:tcPr>
          <w:p w14:paraId="06C1651F"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FFFFFF" w:themeFill="background1"/>
            <w:vAlign w:val="center"/>
          </w:tcPr>
          <w:p w14:paraId="44510AB6"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F2F2F2" w:themeFill="background1" w:themeFillShade="F2"/>
            <w:vAlign w:val="center"/>
          </w:tcPr>
          <w:p w14:paraId="7414C7A6"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FFFFFF" w:themeFill="background1"/>
            <w:vAlign w:val="center"/>
          </w:tcPr>
          <w:p w14:paraId="5C3C1BD8"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FFFFFF" w:themeFill="background1"/>
            <w:vAlign w:val="center"/>
          </w:tcPr>
          <w:p w14:paraId="09052715"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vAlign w:val="center"/>
          </w:tcPr>
          <w:p w14:paraId="25B8FC8A"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tcPr>
          <w:p w14:paraId="44BCFE8B"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r>
      <w:tr w:rsidR="00F878E5" w:rsidRPr="008609D1" w14:paraId="15130F12" w14:textId="77777777" w:rsidTr="00970710">
        <w:trPr>
          <w:trHeight w:val="340"/>
          <w:jc w:val="center"/>
        </w:trPr>
        <w:tc>
          <w:tcPr>
            <w:tcW w:w="1081" w:type="pct"/>
            <w:tcBorders>
              <w:left w:val="nil"/>
              <w:right w:val="nil"/>
            </w:tcBorders>
            <w:shd w:val="clear" w:color="auto" w:fill="D0D1DB"/>
            <w:noWrap/>
            <w:vAlign w:val="center"/>
            <w:hideMark/>
          </w:tcPr>
          <w:p w14:paraId="7724C3A5" w14:textId="77777777" w:rsidR="00F878E5" w:rsidRPr="008609D1" w:rsidRDefault="00F878E5" w:rsidP="00970710">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tráfico internacional</w:t>
            </w:r>
          </w:p>
        </w:tc>
        <w:tc>
          <w:tcPr>
            <w:tcW w:w="427" w:type="pct"/>
            <w:tcBorders>
              <w:left w:val="nil"/>
              <w:right w:val="nil"/>
            </w:tcBorders>
            <w:shd w:val="clear" w:color="auto" w:fill="FFFFFF" w:themeFill="background1"/>
            <w:vAlign w:val="center"/>
          </w:tcPr>
          <w:p w14:paraId="58728D79"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FFFFFF" w:themeFill="background1"/>
            <w:vAlign w:val="center"/>
          </w:tcPr>
          <w:p w14:paraId="3DAA309A"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F2F2F2" w:themeFill="background1" w:themeFillShade="F2"/>
            <w:vAlign w:val="center"/>
          </w:tcPr>
          <w:p w14:paraId="45174F06"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FFFFFF" w:themeFill="background1"/>
            <w:vAlign w:val="center"/>
          </w:tcPr>
          <w:p w14:paraId="2A3F732C"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FFFFFF" w:themeFill="background1"/>
            <w:vAlign w:val="center"/>
          </w:tcPr>
          <w:p w14:paraId="5F32183A"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FFFFFF" w:themeFill="background1"/>
            <w:vAlign w:val="center"/>
          </w:tcPr>
          <w:p w14:paraId="1FD86095"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FFFFFF" w:themeFill="background1"/>
            <w:vAlign w:val="center"/>
          </w:tcPr>
          <w:p w14:paraId="4AFE031A"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F2F2F2" w:themeFill="background1" w:themeFillShade="F2"/>
            <w:vAlign w:val="center"/>
          </w:tcPr>
          <w:p w14:paraId="0DC9E785"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FFFFFF" w:themeFill="background1"/>
            <w:vAlign w:val="center"/>
          </w:tcPr>
          <w:p w14:paraId="15C3A273"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FFFFFF" w:themeFill="background1"/>
            <w:vAlign w:val="center"/>
          </w:tcPr>
          <w:p w14:paraId="0D3BD40C"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vAlign w:val="center"/>
          </w:tcPr>
          <w:p w14:paraId="4B4281A9"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tcPr>
          <w:p w14:paraId="51751E2A"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r>
      <w:tr w:rsidR="00F878E5" w:rsidRPr="008609D1" w14:paraId="00178339" w14:textId="77777777" w:rsidTr="00970710">
        <w:trPr>
          <w:trHeight w:val="340"/>
          <w:jc w:val="center"/>
        </w:trPr>
        <w:tc>
          <w:tcPr>
            <w:tcW w:w="1081" w:type="pct"/>
            <w:tcBorders>
              <w:left w:val="nil"/>
              <w:right w:val="nil"/>
            </w:tcBorders>
            <w:shd w:val="clear" w:color="auto" w:fill="D0D1DB"/>
            <w:noWrap/>
            <w:vAlign w:val="center"/>
            <w:hideMark/>
          </w:tcPr>
          <w:p w14:paraId="1735E8E7" w14:textId="77777777" w:rsidR="00F878E5" w:rsidRPr="008609D1" w:rsidRDefault="00F878E5" w:rsidP="00970710">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427" w:type="pct"/>
            <w:tcBorders>
              <w:left w:val="nil"/>
              <w:right w:val="nil"/>
            </w:tcBorders>
            <w:shd w:val="clear" w:color="auto" w:fill="FFFFFF" w:themeFill="background1"/>
            <w:vAlign w:val="center"/>
          </w:tcPr>
          <w:p w14:paraId="0A34A4B6"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right w:val="nil"/>
            </w:tcBorders>
            <w:shd w:val="clear" w:color="auto" w:fill="FFFFFF" w:themeFill="background1"/>
            <w:vAlign w:val="center"/>
          </w:tcPr>
          <w:p w14:paraId="209F95D6"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right w:val="nil"/>
            </w:tcBorders>
            <w:shd w:val="clear" w:color="auto" w:fill="F2F2F2" w:themeFill="background1" w:themeFillShade="F2"/>
            <w:vAlign w:val="center"/>
          </w:tcPr>
          <w:p w14:paraId="254403AB"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right w:val="nil"/>
            </w:tcBorders>
            <w:shd w:val="clear" w:color="auto" w:fill="FFFFFF" w:themeFill="background1"/>
            <w:vAlign w:val="center"/>
          </w:tcPr>
          <w:p w14:paraId="3D4D7131"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right w:val="nil"/>
            </w:tcBorders>
            <w:shd w:val="clear" w:color="auto" w:fill="FFFFFF" w:themeFill="background1"/>
            <w:vAlign w:val="center"/>
          </w:tcPr>
          <w:p w14:paraId="5EFC35DF"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right w:val="nil"/>
            </w:tcBorders>
            <w:shd w:val="clear" w:color="auto" w:fill="FFFFFF" w:themeFill="background1"/>
            <w:vAlign w:val="center"/>
          </w:tcPr>
          <w:p w14:paraId="0CAB9A62"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71" w:type="pct"/>
            <w:gridSpan w:val="2"/>
            <w:tcBorders>
              <w:left w:val="nil"/>
              <w:right w:val="nil"/>
            </w:tcBorders>
            <w:shd w:val="clear" w:color="auto" w:fill="FFFFFF" w:themeFill="background1"/>
            <w:vAlign w:val="center"/>
          </w:tcPr>
          <w:p w14:paraId="2E4E6A6F"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2" w:type="pct"/>
            <w:tcBorders>
              <w:left w:val="nil"/>
              <w:right w:val="nil"/>
            </w:tcBorders>
            <w:shd w:val="clear" w:color="auto" w:fill="F2F2F2" w:themeFill="background1" w:themeFillShade="F2"/>
            <w:vAlign w:val="center"/>
          </w:tcPr>
          <w:p w14:paraId="1155ED15"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right w:val="nil"/>
            </w:tcBorders>
            <w:shd w:val="clear" w:color="auto" w:fill="FFFFFF" w:themeFill="background1"/>
            <w:vAlign w:val="center"/>
          </w:tcPr>
          <w:p w14:paraId="2875006B"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right w:val="nil"/>
            </w:tcBorders>
            <w:shd w:val="clear" w:color="auto" w:fill="FFFFFF" w:themeFill="background1"/>
            <w:vAlign w:val="center"/>
          </w:tcPr>
          <w:p w14:paraId="2B9DCEC8"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vAlign w:val="center"/>
          </w:tcPr>
          <w:p w14:paraId="60129430"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right w:val="nil"/>
            </w:tcBorders>
            <w:shd w:val="clear" w:color="auto" w:fill="FFFFFF" w:themeFill="background1"/>
          </w:tcPr>
          <w:p w14:paraId="43CBE4DB"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r>
      <w:tr w:rsidR="00F878E5" w:rsidRPr="008609D1" w14:paraId="44B4DB0B" w14:textId="77777777" w:rsidTr="00970710">
        <w:trPr>
          <w:trHeight w:val="340"/>
          <w:jc w:val="center"/>
        </w:trPr>
        <w:tc>
          <w:tcPr>
            <w:tcW w:w="1081" w:type="pct"/>
            <w:tcBorders>
              <w:left w:val="nil"/>
              <w:bottom w:val="single" w:sz="4" w:space="0" w:color="244062"/>
              <w:right w:val="nil"/>
            </w:tcBorders>
            <w:shd w:val="clear" w:color="auto" w:fill="E5E9EB"/>
            <w:noWrap/>
            <w:vAlign w:val="center"/>
            <w:hideMark/>
          </w:tcPr>
          <w:p w14:paraId="2111D722" w14:textId="77777777" w:rsidR="00F878E5" w:rsidRPr="008609D1" w:rsidRDefault="00F878E5" w:rsidP="00970710">
            <w:pPr>
              <w:keepNext/>
              <w:keepLines/>
              <w:spacing w:after="0" w:line="240" w:lineRule="auto"/>
              <w:rPr>
                <w:rFonts w:ascii="ITC Avant Garde" w:hAnsi="ITC Avant Garde"/>
                <w:b/>
                <w:sz w:val="20"/>
                <w:lang w:val="es-ES"/>
              </w:rPr>
            </w:pPr>
            <w:r w:rsidRPr="008609D1">
              <w:rPr>
                <w:rFonts w:ascii="ITC Avant Garde" w:hAnsi="ITC Avant Garde"/>
                <w:b/>
                <w:sz w:val="20"/>
                <w:lang w:val="es-ES"/>
              </w:rPr>
              <w:t>TOTAL</w:t>
            </w:r>
          </w:p>
        </w:tc>
        <w:tc>
          <w:tcPr>
            <w:tcW w:w="427" w:type="pct"/>
            <w:tcBorders>
              <w:left w:val="nil"/>
              <w:bottom w:val="single" w:sz="4" w:space="0" w:color="244062"/>
              <w:right w:val="nil"/>
            </w:tcBorders>
            <w:shd w:val="clear" w:color="auto" w:fill="E5E9EB"/>
            <w:vAlign w:val="center"/>
          </w:tcPr>
          <w:p w14:paraId="4476FA63"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64" w:type="pct"/>
            <w:tcBorders>
              <w:left w:val="nil"/>
              <w:bottom w:val="single" w:sz="4" w:space="0" w:color="244062"/>
              <w:right w:val="nil"/>
            </w:tcBorders>
            <w:shd w:val="clear" w:color="auto" w:fill="E5E9EB"/>
            <w:vAlign w:val="center"/>
          </w:tcPr>
          <w:p w14:paraId="23707093"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85" w:type="pct"/>
            <w:tcBorders>
              <w:left w:val="nil"/>
              <w:bottom w:val="single" w:sz="4" w:space="0" w:color="244062"/>
              <w:right w:val="nil"/>
            </w:tcBorders>
            <w:shd w:val="clear" w:color="auto" w:fill="E5E9EB"/>
            <w:vAlign w:val="center"/>
          </w:tcPr>
          <w:p w14:paraId="2B9B6B41"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77" w:type="pct"/>
            <w:tcBorders>
              <w:left w:val="nil"/>
              <w:bottom w:val="single" w:sz="4" w:space="0" w:color="244062"/>
              <w:right w:val="nil"/>
            </w:tcBorders>
            <w:shd w:val="clear" w:color="auto" w:fill="E5E9EB"/>
            <w:vAlign w:val="center"/>
          </w:tcPr>
          <w:p w14:paraId="046E6AC4"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06" w:type="pct"/>
            <w:tcBorders>
              <w:left w:val="nil"/>
              <w:bottom w:val="single" w:sz="4" w:space="0" w:color="244062"/>
              <w:right w:val="nil"/>
            </w:tcBorders>
            <w:shd w:val="clear" w:color="auto" w:fill="E5E9EB"/>
            <w:vAlign w:val="center"/>
          </w:tcPr>
          <w:p w14:paraId="1B02A5FD"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57" w:type="pct"/>
            <w:tcBorders>
              <w:left w:val="nil"/>
              <w:bottom w:val="single" w:sz="4" w:space="0" w:color="244062"/>
              <w:right w:val="nil"/>
            </w:tcBorders>
            <w:shd w:val="clear" w:color="auto" w:fill="E5E9EB"/>
            <w:vAlign w:val="center"/>
          </w:tcPr>
          <w:p w14:paraId="4FA6AB02"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67" w:type="pct"/>
            <w:tcBorders>
              <w:left w:val="nil"/>
              <w:bottom w:val="single" w:sz="4" w:space="0" w:color="244062"/>
              <w:right w:val="nil"/>
            </w:tcBorders>
            <w:shd w:val="clear" w:color="auto" w:fill="E5E9EB"/>
            <w:vAlign w:val="center"/>
          </w:tcPr>
          <w:p w14:paraId="47FB4C3C"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gridSpan w:val="2"/>
            <w:tcBorders>
              <w:left w:val="nil"/>
              <w:bottom w:val="single" w:sz="4" w:space="0" w:color="244062"/>
              <w:right w:val="nil"/>
            </w:tcBorders>
            <w:shd w:val="clear" w:color="auto" w:fill="E5E9EB"/>
            <w:vAlign w:val="center"/>
          </w:tcPr>
          <w:p w14:paraId="0EA871D7"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1" w:type="pct"/>
            <w:tcBorders>
              <w:left w:val="nil"/>
              <w:bottom w:val="single" w:sz="4" w:space="0" w:color="244062"/>
              <w:right w:val="nil"/>
            </w:tcBorders>
            <w:shd w:val="clear" w:color="auto" w:fill="E5E9EB"/>
            <w:vAlign w:val="center"/>
          </w:tcPr>
          <w:p w14:paraId="6F2408FD"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327" w:type="pct"/>
            <w:tcBorders>
              <w:left w:val="nil"/>
              <w:bottom w:val="single" w:sz="4" w:space="0" w:color="244062"/>
              <w:right w:val="nil"/>
            </w:tcBorders>
            <w:shd w:val="clear" w:color="auto" w:fill="E5E9EB"/>
            <w:vAlign w:val="center"/>
          </w:tcPr>
          <w:p w14:paraId="5479C17A"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bottom w:val="single" w:sz="4" w:space="0" w:color="244062"/>
              <w:right w:val="nil"/>
            </w:tcBorders>
            <w:shd w:val="clear" w:color="auto" w:fill="E5E9EB"/>
            <w:vAlign w:val="center"/>
          </w:tcPr>
          <w:p w14:paraId="5E0050FE"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c>
          <w:tcPr>
            <w:tcW w:w="296" w:type="pct"/>
            <w:tcBorders>
              <w:left w:val="nil"/>
              <w:bottom w:val="single" w:sz="4" w:space="0" w:color="244062"/>
              <w:right w:val="nil"/>
            </w:tcBorders>
            <w:shd w:val="clear" w:color="auto" w:fill="E5E9EB"/>
          </w:tcPr>
          <w:p w14:paraId="4D2FFAC9" w14:textId="77777777" w:rsidR="00F878E5" w:rsidRPr="008609D1" w:rsidRDefault="00F878E5" w:rsidP="00970710">
            <w:pPr>
              <w:keepNext/>
              <w:keepLines/>
              <w:spacing w:after="0" w:line="240" w:lineRule="auto"/>
              <w:jc w:val="center"/>
              <w:rPr>
                <w:rFonts w:ascii="ITC Avant Garde" w:eastAsia="Times New Roman" w:hAnsi="ITC Avant Garde" w:cs="Arial"/>
                <w:sz w:val="20"/>
                <w:lang w:val="es-ES" w:eastAsia="es-ES"/>
              </w:rPr>
            </w:pPr>
          </w:p>
        </w:tc>
      </w:tr>
    </w:tbl>
    <w:p w14:paraId="64B6EDF0" w14:textId="77777777" w:rsidR="00F878E5" w:rsidRPr="008609D1" w:rsidRDefault="00F878E5" w:rsidP="00892164">
      <w:pPr>
        <w:spacing w:after="0" w:line="336" w:lineRule="auto"/>
        <w:rPr>
          <w:rFonts w:ascii="ITC Avant Garde" w:eastAsia="Times New Roman" w:hAnsi="ITC Avant Garde" w:cs="Times New Roman"/>
          <w:b/>
          <w:bCs/>
          <w:sz w:val="16"/>
          <w:szCs w:val="20"/>
          <w:lang w:eastAsia="es-ES"/>
        </w:rPr>
        <w:sectPr w:rsidR="00F878E5" w:rsidRPr="008609D1">
          <w:pgSz w:w="15840" w:h="12240" w:orient="landscape"/>
          <w:pgMar w:top="1701" w:right="1417" w:bottom="1701" w:left="1417" w:header="708" w:footer="708" w:gutter="0"/>
          <w:cols w:space="720"/>
        </w:sectPr>
      </w:pPr>
    </w:p>
    <w:p w14:paraId="525A055B" w14:textId="77777777" w:rsidR="00892164" w:rsidRPr="008609D1" w:rsidRDefault="005448D2" w:rsidP="00C431D6">
      <w:pPr>
        <w:pStyle w:val="A3L1"/>
      </w:pPr>
      <w:bookmarkStart w:id="150" w:name="_Ref477512931"/>
      <w:bookmarkStart w:id="151" w:name="_Toc477515021"/>
      <w:bookmarkStart w:id="152" w:name="_Toc478774505"/>
      <w:r w:rsidRPr="008609D1">
        <w:lastRenderedPageBreak/>
        <w:t>CONCILIACIÓN ENTRE LA CONTABILIDAD FINANCIERA Y LA CONTABILIDAD SEPARADA</w:t>
      </w:r>
      <w:bookmarkEnd w:id="150"/>
      <w:bookmarkEnd w:id="151"/>
      <w:bookmarkEnd w:id="152"/>
    </w:p>
    <w:p w14:paraId="628C5730" w14:textId="77777777" w:rsidR="00892164" w:rsidRPr="008609D1" w:rsidRDefault="00892164" w:rsidP="00892164">
      <w:pPr>
        <w:pStyle w:val="Normalresolucion"/>
      </w:pPr>
      <w:r w:rsidRPr="008609D1">
        <w:t xml:space="preserve">En aras de asegurar el cumplimiento del principio de conciliación es fundamental verificar que la información de entrada a la </w:t>
      </w:r>
      <w:r w:rsidR="00AC3FFE" w:rsidRPr="008609D1">
        <w:t>separación contable</w:t>
      </w:r>
      <w:r w:rsidRPr="008609D1">
        <w:t xml:space="preserve"> se encuentra alineada con la información registrada en Estados Financieros del concesionario a nivel de cuenta contable. </w:t>
      </w:r>
    </w:p>
    <w:p w14:paraId="3CF9B231" w14:textId="66D04EF3" w:rsidR="00A601C7" w:rsidRPr="008609D1" w:rsidRDefault="00892164" w:rsidP="001877EB">
      <w:pPr>
        <w:pStyle w:val="Normalresolucion"/>
      </w:pPr>
      <w:r w:rsidRPr="008609D1">
        <w:t xml:space="preserve">Para ello, el concesionario deberá reportar los valores de ingresos y costos a nivel de cuenta contable, según estos se registran en los estados financieros por un lado, y según se reflejan en la separación contable por el otro. </w:t>
      </w:r>
      <w:r w:rsidR="00A601C7" w:rsidRPr="008609D1">
        <w:t>Asimismo, el concesionario debe entregar un documento de trabajo que contenga todos los supuestos, criterios y parámetros utiliza</w:t>
      </w:r>
      <w:r w:rsidR="007A4064">
        <w:t>dos</w:t>
      </w:r>
      <w:r w:rsidR="00A601C7" w:rsidRPr="008609D1">
        <w:t xml:space="preserve"> para realizar la conciliación. Se destaca que la información utilizada para realizar la conciliación debe estar </w:t>
      </w:r>
      <w:r w:rsidR="001877EB" w:rsidRPr="008609D1">
        <w:t>revisada</w:t>
      </w:r>
      <w:r w:rsidR="00A601C7" w:rsidRPr="008609D1">
        <w:t xml:space="preserve"> y las cuentas realizadas para la conciliación deben ser avaladas por el </w:t>
      </w:r>
      <w:r w:rsidR="001877EB" w:rsidRPr="008609D1">
        <w:t>revisor</w:t>
      </w:r>
      <w:r w:rsidR="00A601C7" w:rsidRPr="008609D1">
        <w:t>.</w:t>
      </w:r>
    </w:p>
    <w:p w14:paraId="5235CEE7" w14:textId="77777777" w:rsidR="00892164" w:rsidRDefault="00892164" w:rsidP="00892164">
      <w:pPr>
        <w:pStyle w:val="Normalresolucion"/>
      </w:pPr>
      <w:r w:rsidRPr="008609D1">
        <w:t>En caso de existir diferencias entre ambas fuentes de información, el concesionario deberá aportar las justificaciones oportunas al respecto.</w:t>
      </w:r>
    </w:p>
    <w:p w14:paraId="72E26F11" w14:textId="77777777" w:rsidR="00370ABE" w:rsidRPr="008609D1" w:rsidRDefault="00370ABE" w:rsidP="00370ABE">
      <w:pPr>
        <w:pStyle w:val="Descripcin"/>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4</w:t>
      </w:r>
      <w:r w:rsidRPr="008609D1">
        <w:rPr>
          <w:rFonts w:ascii="ITC Avant Garde" w:hAnsi="ITC Avant Garde"/>
          <w:iCs/>
          <w:sz w:val="20"/>
          <w:lang w:val="es-MX"/>
        </w:rPr>
        <w:fldChar w:fldCharType="end"/>
      </w:r>
      <w:r w:rsidRPr="008609D1">
        <w:rPr>
          <w:rFonts w:ascii="ITC Avant Garde" w:hAnsi="ITC Avant Garde"/>
          <w:iCs/>
          <w:sz w:val="20"/>
          <w:lang w:val="es-MX"/>
        </w:rPr>
        <w:t>: Informe de conciliación de la separación contable</w:t>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79"/>
        <w:gridCol w:w="1325"/>
        <w:gridCol w:w="1328"/>
        <w:gridCol w:w="1328"/>
        <w:gridCol w:w="1168"/>
      </w:tblGrid>
      <w:tr w:rsidR="00370ABE" w:rsidRPr="008609D1" w14:paraId="53DE51F5" w14:textId="77777777" w:rsidTr="00370ABE">
        <w:trPr>
          <w:trHeight w:val="680"/>
        </w:trPr>
        <w:tc>
          <w:tcPr>
            <w:tcW w:w="3744"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73CBE1EC" w14:textId="77777777" w:rsidR="00370ABE" w:rsidRPr="008609D1" w:rsidRDefault="00370ABE" w:rsidP="00370ABE">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Concepto</w:t>
            </w:r>
          </w:p>
        </w:tc>
        <w:tc>
          <w:tcPr>
            <w:tcW w:w="1347"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6FA71996" w14:textId="77777777" w:rsidR="00370ABE" w:rsidRPr="008609D1" w:rsidRDefault="00370ABE" w:rsidP="00370ABE">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Balance de Prueba</w:t>
            </w:r>
          </w:p>
        </w:tc>
        <w:tc>
          <w:tcPr>
            <w:tcW w:w="1350"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788D7D42" w14:textId="77777777" w:rsidR="00370ABE" w:rsidRPr="008609D1" w:rsidRDefault="00370ABE" w:rsidP="00370ABE">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Separación contable</w:t>
            </w:r>
          </w:p>
        </w:tc>
        <w:tc>
          <w:tcPr>
            <w:tcW w:w="1350"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670B5139" w14:textId="77777777" w:rsidR="00370ABE" w:rsidRPr="008609D1" w:rsidRDefault="00370ABE" w:rsidP="00370ABE">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Diferencia</w:t>
            </w:r>
          </w:p>
        </w:tc>
        <w:tc>
          <w:tcPr>
            <w:tcW w:w="1187"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3837E87A" w14:textId="77777777" w:rsidR="00370ABE" w:rsidRPr="008609D1" w:rsidRDefault="00370ABE" w:rsidP="00370ABE">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Notas</w:t>
            </w:r>
          </w:p>
        </w:tc>
      </w:tr>
      <w:tr w:rsidR="00370ABE" w:rsidRPr="008609D1" w14:paraId="1AEB445D" w14:textId="77777777" w:rsidTr="00370ABE">
        <w:trPr>
          <w:trHeight w:val="340"/>
        </w:trPr>
        <w:tc>
          <w:tcPr>
            <w:tcW w:w="3744" w:type="dxa"/>
            <w:tcBorders>
              <w:top w:val="single" w:sz="4" w:space="0" w:color="244062"/>
              <w:left w:val="nil"/>
              <w:right w:val="nil"/>
            </w:tcBorders>
            <w:shd w:val="clear" w:color="auto" w:fill="D0D1DB"/>
            <w:noWrap/>
            <w:vAlign w:val="center"/>
            <w:hideMark/>
          </w:tcPr>
          <w:p w14:paraId="12FB0257" w14:textId="77777777" w:rsidR="00370ABE" w:rsidRPr="008609D1" w:rsidRDefault="00370ABE" w:rsidP="00370ABE">
            <w:pPr>
              <w:keepNext/>
              <w:keepLines/>
              <w:spacing w:after="0" w:line="240" w:lineRule="auto"/>
              <w:rPr>
                <w:rFonts w:ascii="ITC Avant Garde" w:hAnsi="ITC Avant Garde"/>
                <w:b/>
                <w:sz w:val="20"/>
                <w:lang w:val="es-ES"/>
              </w:rPr>
            </w:pPr>
            <w:r w:rsidRPr="008609D1">
              <w:rPr>
                <w:rFonts w:ascii="ITC Avant Garde" w:hAnsi="ITC Avant Garde"/>
                <w:b/>
                <w:sz w:val="20"/>
                <w:lang w:val="es-ES"/>
              </w:rPr>
              <w:t>Ingresos</w:t>
            </w:r>
            <w:r w:rsidRPr="008609D1">
              <w:rPr>
                <w:rStyle w:val="Refdenotaalpie"/>
                <w:rFonts w:ascii="ITC Avant Garde" w:hAnsi="ITC Avant Garde"/>
                <w:b/>
                <w:sz w:val="20"/>
                <w:lang w:val="es-ES"/>
              </w:rPr>
              <w:footnoteReference w:id="56"/>
            </w:r>
          </w:p>
        </w:tc>
        <w:tc>
          <w:tcPr>
            <w:tcW w:w="1347" w:type="dxa"/>
            <w:tcBorders>
              <w:top w:val="single" w:sz="4" w:space="0" w:color="244062"/>
              <w:left w:val="nil"/>
              <w:right w:val="nil"/>
            </w:tcBorders>
            <w:shd w:val="clear" w:color="auto" w:fill="FFFFFF" w:themeFill="background1"/>
            <w:noWrap/>
            <w:vAlign w:val="center"/>
            <w:hideMark/>
          </w:tcPr>
          <w:p w14:paraId="42959162" w14:textId="77777777" w:rsidR="00370ABE" w:rsidRPr="008609D1" w:rsidRDefault="00370ABE" w:rsidP="00370ABE">
            <w:pPr>
              <w:rPr>
                <w:rFonts w:ascii="ITC Avant Garde" w:eastAsia="Times New Roman" w:hAnsi="ITC Avant Garde" w:cs="Arial"/>
                <w:sz w:val="20"/>
                <w:lang w:val="es-ES" w:eastAsia="es-ES"/>
              </w:rPr>
            </w:pPr>
          </w:p>
        </w:tc>
        <w:tc>
          <w:tcPr>
            <w:tcW w:w="1350" w:type="dxa"/>
            <w:tcBorders>
              <w:top w:val="single" w:sz="4" w:space="0" w:color="244062"/>
              <w:left w:val="nil"/>
              <w:right w:val="nil"/>
            </w:tcBorders>
            <w:shd w:val="clear" w:color="auto" w:fill="FFFFFF" w:themeFill="background1"/>
            <w:vAlign w:val="center"/>
          </w:tcPr>
          <w:p w14:paraId="7EF724E7"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top w:val="single" w:sz="4" w:space="0" w:color="244062"/>
              <w:left w:val="nil"/>
              <w:right w:val="nil"/>
            </w:tcBorders>
            <w:shd w:val="clear" w:color="auto" w:fill="FFFFFF" w:themeFill="background1"/>
            <w:vAlign w:val="center"/>
          </w:tcPr>
          <w:p w14:paraId="6A4FBCFC"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top w:val="single" w:sz="4" w:space="0" w:color="244062"/>
              <w:left w:val="nil"/>
              <w:right w:val="nil"/>
            </w:tcBorders>
            <w:shd w:val="clear" w:color="auto" w:fill="FFFFFF" w:themeFill="background1"/>
            <w:noWrap/>
            <w:vAlign w:val="center"/>
            <w:hideMark/>
          </w:tcPr>
          <w:p w14:paraId="1011EE2F" w14:textId="77777777" w:rsidR="00370ABE" w:rsidRPr="008609D1" w:rsidRDefault="00370ABE" w:rsidP="00370ABE">
            <w:pPr>
              <w:rPr>
                <w:rFonts w:ascii="ITC Avant Garde" w:eastAsia="Times New Roman" w:hAnsi="ITC Avant Garde" w:cs="Arial"/>
                <w:sz w:val="20"/>
                <w:lang w:val="es-ES" w:eastAsia="es-ES"/>
              </w:rPr>
            </w:pPr>
          </w:p>
        </w:tc>
      </w:tr>
      <w:tr w:rsidR="00370ABE" w:rsidRPr="008609D1" w14:paraId="711F847E" w14:textId="77777777" w:rsidTr="00370ABE">
        <w:trPr>
          <w:trHeight w:val="340"/>
        </w:trPr>
        <w:tc>
          <w:tcPr>
            <w:tcW w:w="3744" w:type="dxa"/>
            <w:tcBorders>
              <w:left w:val="nil"/>
              <w:right w:val="nil"/>
            </w:tcBorders>
            <w:shd w:val="clear" w:color="auto" w:fill="D0D1DB"/>
            <w:noWrap/>
            <w:vAlign w:val="center"/>
            <w:hideMark/>
          </w:tcPr>
          <w:p w14:paraId="4EAA5B9B" w14:textId="77777777" w:rsidR="00370ABE" w:rsidRPr="008609D1" w:rsidRDefault="00370ABE" w:rsidP="00370ABE">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Categoría Ingresos 1</w:t>
            </w:r>
          </w:p>
        </w:tc>
        <w:tc>
          <w:tcPr>
            <w:tcW w:w="1347" w:type="dxa"/>
            <w:tcBorders>
              <w:left w:val="nil"/>
              <w:right w:val="nil"/>
            </w:tcBorders>
            <w:shd w:val="clear" w:color="auto" w:fill="FFFFFF" w:themeFill="background1"/>
            <w:noWrap/>
            <w:vAlign w:val="center"/>
          </w:tcPr>
          <w:p w14:paraId="78892F82"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41F08523"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433073BF"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14:paraId="34D52CAC"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r>
      <w:tr w:rsidR="00370ABE" w:rsidRPr="008609D1" w14:paraId="5E450B3B" w14:textId="77777777" w:rsidTr="00370ABE">
        <w:trPr>
          <w:trHeight w:val="340"/>
        </w:trPr>
        <w:tc>
          <w:tcPr>
            <w:tcW w:w="3744" w:type="dxa"/>
            <w:tcBorders>
              <w:left w:val="nil"/>
              <w:right w:val="nil"/>
            </w:tcBorders>
            <w:shd w:val="clear" w:color="auto" w:fill="D0D1DB"/>
            <w:noWrap/>
            <w:vAlign w:val="center"/>
            <w:hideMark/>
          </w:tcPr>
          <w:p w14:paraId="612AD6F3" w14:textId="77777777" w:rsidR="00370ABE" w:rsidRPr="008609D1" w:rsidRDefault="00370ABE" w:rsidP="00370ABE">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Categoría Ingresos 2</w:t>
            </w:r>
          </w:p>
        </w:tc>
        <w:tc>
          <w:tcPr>
            <w:tcW w:w="1347" w:type="dxa"/>
            <w:tcBorders>
              <w:left w:val="nil"/>
              <w:right w:val="nil"/>
            </w:tcBorders>
            <w:shd w:val="clear" w:color="auto" w:fill="FFFFFF" w:themeFill="background1"/>
            <w:noWrap/>
            <w:vAlign w:val="center"/>
          </w:tcPr>
          <w:p w14:paraId="438507D0"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618980BD"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731CCC1E"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14:paraId="32CF8599"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r>
      <w:tr w:rsidR="00370ABE" w:rsidRPr="008609D1" w14:paraId="26420F9C" w14:textId="77777777" w:rsidTr="00370ABE">
        <w:trPr>
          <w:trHeight w:val="340"/>
        </w:trPr>
        <w:tc>
          <w:tcPr>
            <w:tcW w:w="3744" w:type="dxa"/>
            <w:tcBorders>
              <w:left w:val="nil"/>
              <w:right w:val="nil"/>
            </w:tcBorders>
            <w:shd w:val="clear" w:color="auto" w:fill="D0D1DB"/>
            <w:noWrap/>
            <w:vAlign w:val="center"/>
            <w:hideMark/>
          </w:tcPr>
          <w:p w14:paraId="19CCCFAC" w14:textId="77777777" w:rsidR="00370ABE" w:rsidRPr="008609D1" w:rsidRDefault="00370ABE" w:rsidP="00370ABE">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Categoría Ingresos 3</w:t>
            </w:r>
          </w:p>
        </w:tc>
        <w:tc>
          <w:tcPr>
            <w:tcW w:w="1347" w:type="dxa"/>
            <w:tcBorders>
              <w:left w:val="nil"/>
              <w:right w:val="nil"/>
            </w:tcBorders>
            <w:shd w:val="clear" w:color="auto" w:fill="FFFFFF" w:themeFill="background1"/>
            <w:noWrap/>
            <w:vAlign w:val="center"/>
          </w:tcPr>
          <w:p w14:paraId="6147A8EA"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1527F207"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387CA1ED"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14:paraId="205CE175"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r>
      <w:tr w:rsidR="00370ABE" w:rsidRPr="008609D1" w14:paraId="1374D747" w14:textId="77777777" w:rsidTr="00370ABE">
        <w:trPr>
          <w:trHeight w:val="340"/>
        </w:trPr>
        <w:tc>
          <w:tcPr>
            <w:tcW w:w="3744" w:type="dxa"/>
            <w:tcBorders>
              <w:left w:val="nil"/>
              <w:right w:val="nil"/>
            </w:tcBorders>
            <w:shd w:val="clear" w:color="auto" w:fill="D0D1DB"/>
            <w:noWrap/>
            <w:vAlign w:val="center"/>
            <w:hideMark/>
          </w:tcPr>
          <w:p w14:paraId="4F5D9FCC" w14:textId="77777777" w:rsidR="00370ABE" w:rsidRPr="008609D1" w:rsidRDefault="00370ABE" w:rsidP="00370ABE">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7" w:type="dxa"/>
            <w:tcBorders>
              <w:left w:val="nil"/>
              <w:right w:val="nil"/>
            </w:tcBorders>
            <w:shd w:val="clear" w:color="auto" w:fill="FFFFFF" w:themeFill="background1"/>
            <w:noWrap/>
            <w:vAlign w:val="center"/>
          </w:tcPr>
          <w:p w14:paraId="55C843ED"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7EE2CDBC"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5DFBA20D"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14:paraId="1984B733"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r>
      <w:tr w:rsidR="00370ABE" w:rsidRPr="008609D1" w14:paraId="50D03C39" w14:textId="77777777" w:rsidTr="00370ABE">
        <w:trPr>
          <w:trHeight w:val="340"/>
        </w:trPr>
        <w:tc>
          <w:tcPr>
            <w:tcW w:w="3744" w:type="dxa"/>
            <w:tcBorders>
              <w:left w:val="nil"/>
              <w:right w:val="nil"/>
            </w:tcBorders>
            <w:shd w:val="clear" w:color="auto" w:fill="D0D1DB"/>
            <w:noWrap/>
            <w:vAlign w:val="center"/>
            <w:hideMark/>
          </w:tcPr>
          <w:p w14:paraId="047377AB" w14:textId="77777777" w:rsidR="00370ABE" w:rsidRPr="008609D1" w:rsidRDefault="00370ABE" w:rsidP="00370ABE">
            <w:pPr>
              <w:keepNext/>
              <w:keepLines/>
              <w:spacing w:after="0" w:line="240" w:lineRule="auto"/>
              <w:rPr>
                <w:rFonts w:ascii="ITC Avant Garde" w:hAnsi="ITC Avant Garde"/>
                <w:b/>
                <w:sz w:val="20"/>
                <w:lang w:val="es-ES"/>
              </w:rPr>
            </w:pPr>
            <w:r w:rsidRPr="008609D1">
              <w:rPr>
                <w:rFonts w:ascii="ITC Avant Garde" w:hAnsi="ITC Avant Garde"/>
                <w:b/>
                <w:sz w:val="20"/>
                <w:lang w:val="es-ES"/>
              </w:rPr>
              <w:t>Costos</w:t>
            </w:r>
          </w:p>
        </w:tc>
        <w:tc>
          <w:tcPr>
            <w:tcW w:w="1347" w:type="dxa"/>
            <w:tcBorders>
              <w:left w:val="nil"/>
              <w:right w:val="nil"/>
            </w:tcBorders>
            <w:shd w:val="clear" w:color="auto" w:fill="FFFFFF" w:themeFill="background1"/>
            <w:noWrap/>
            <w:vAlign w:val="center"/>
            <w:hideMark/>
          </w:tcPr>
          <w:p w14:paraId="5CC2896D" w14:textId="77777777" w:rsidR="00370ABE" w:rsidRPr="008609D1" w:rsidRDefault="00370ABE" w:rsidP="00370ABE">
            <w:pP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2E1EFE2E"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7609ED8B"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hideMark/>
          </w:tcPr>
          <w:p w14:paraId="75EAEE98" w14:textId="77777777" w:rsidR="00370ABE" w:rsidRPr="008609D1" w:rsidRDefault="00370ABE" w:rsidP="00370ABE">
            <w:pPr>
              <w:rPr>
                <w:rFonts w:ascii="ITC Avant Garde" w:eastAsia="Times New Roman" w:hAnsi="ITC Avant Garde" w:cs="Arial"/>
                <w:sz w:val="20"/>
                <w:lang w:val="es-ES" w:eastAsia="es-ES"/>
              </w:rPr>
            </w:pPr>
          </w:p>
        </w:tc>
      </w:tr>
      <w:tr w:rsidR="00370ABE" w:rsidRPr="008609D1" w14:paraId="5247084D" w14:textId="77777777" w:rsidTr="00370ABE">
        <w:trPr>
          <w:trHeight w:val="340"/>
        </w:trPr>
        <w:tc>
          <w:tcPr>
            <w:tcW w:w="3744" w:type="dxa"/>
            <w:tcBorders>
              <w:left w:val="nil"/>
              <w:right w:val="nil"/>
            </w:tcBorders>
            <w:shd w:val="clear" w:color="auto" w:fill="D0D1DB"/>
            <w:noWrap/>
            <w:vAlign w:val="center"/>
            <w:hideMark/>
          </w:tcPr>
          <w:p w14:paraId="5FA32C0C" w14:textId="77777777" w:rsidR="00370ABE" w:rsidRPr="008609D1" w:rsidRDefault="00370ABE" w:rsidP="00370ABE">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Categoría Costos 1</w:t>
            </w:r>
          </w:p>
        </w:tc>
        <w:tc>
          <w:tcPr>
            <w:tcW w:w="1347" w:type="dxa"/>
            <w:tcBorders>
              <w:left w:val="nil"/>
              <w:right w:val="nil"/>
            </w:tcBorders>
            <w:shd w:val="clear" w:color="auto" w:fill="FFFFFF" w:themeFill="background1"/>
            <w:noWrap/>
            <w:vAlign w:val="center"/>
          </w:tcPr>
          <w:p w14:paraId="11DDC44B"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03C0355C"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7FCBC22A"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14:paraId="46E4CADB"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r>
      <w:tr w:rsidR="00370ABE" w:rsidRPr="008609D1" w14:paraId="7C212CB3" w14:textId="77777777" w:rsidTr="00370ABE">
        <w:trPr>
          <w:trHeight w:val="340"/>
        </w:trPr>
        <w:tc>
          <w:tcPr>
            <w:tcW w:w="3744" w:type="dxa"/>
            <w:tcBorders>
              <w:left w:val="nil"/>
              <w:right w:val="nil"/>
            </w:tcBorders>
            <w:shd w:val="clear" w:color="auto" w:fill="D0D1DB"/>
            <w:noWrap/>
            <w:vAlign w:val="center"/>
            <w:hideMark/>
          </w:tcPr>
          <w:p w14:paraId="0A165C86" w14:textId="77777777" w:rsidR="00370ABE" w:rsidRPr="008609D1" w:rsidRDefault="00370ABE" w:rsidP="00370ABE">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Categoría Costos 2</w:t>
            </w:r>
          </w:p>
        </w:tc>
        <w:tc>
          <w:tcPr>
            <w:tcW w:w="1347" w:type="dxa"/>
            <w:tcBorders>
              <w:left w:val="nil"/>
              <w:right w:val="nil"/>
            </w:tcBorders>
            <w:shd w:val="clear" w:color="auto" w:fill="FFFFFF" w:themeFill="background1"/>
            <w:noWrap/>
            <w:vAlign w:val="center"/>
          </w:tcPr>
          <w:p w14:paraId="16E83F66"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66D4E0CD"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0FC113E2"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14:paraId="7D247ECB"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r>
      <w:tr w:rsidR="00370ABE" w:rsidRPr="008609D1" w14:paraId="023FE898" w14:textId="77777777" w:rsidTr="00370ABE">
        <w:trPr>
          <w:trHeight w:val="340"/>
        </w:trPr>
        <w:tc>
          <w:tcPr>
            <w:tcW w:w="3744" w:type="dxa"/>
            <w:tcBorders>
              <w:left w:val="nil"/>
              <w:right w:val="nil"/>
            </w:tcBorders>
            <w:shd w:val="clear" w:color="auto" w:fill="D0D1DB"/>
            <w:noWrap/>
            <w:vAlign w:val="center"/>
            <w:hideMark/>
          </w:tcPr>
          <w:p w14:paraId="1FBCD214" w14:textId="77777777" w:rsidR="00370ABE" w:rsidRPr="008609D1" w:rsidRDefault="00370ABE" w:rsidP="00370ABE">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Categoría Costos 3</w:t>
            </w:r>
          </w:p>
        </w:tc>
        <w:tc>
          <w:tcPr>
            <w:tcW w:w="1347" w:type="dxa"/>
            <w:tcBorders>
              <w:left w:val="nil"/>
              <w:right w:val="nil"/>
            </w:tcBorders>
            <w:shd w:val="clear" w:color="auto" w:fill="FFFFFF" w:themeFill="background1"/>
            <w:noWrap/>
            <w:vAlign w:val="center"/>
          </w:tcPr>
          <w:p w14:paraId="29D41745"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488D68EA"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73FEB158"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14:paraId="0CE68318"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r>
      <w:tr w:rsidR="00370ABE" w:rsidRPr="008609D1" w14:paraId="3FFD1180" w14:textId="77777777" w:rsidTr="00370ABE">
        <w:trPr>
          <w:trHeight w:val="340"/>
        </w:trPr>
        <w:tc>
          <w:tcPr>
            <w:tcW w:w="3744" w:type="dxa"/>
            <w:tcBorders>
              <w:left w:val="nil"/>
              <w:right w:val="nil"/>
            </w:tcBorders>
            <w:shd w:val="clear" w:color="auto" w:fill="D0D1DB"/>
            <w:noWrap/>
            <w:vAlign w:val="center"/>
            <w:hideMark/>
          </w:tcPr>
          <w:p w14:paraId="68CABD86" w14:textId="77777777" w:rsidR="00370ABE" w:rsidRPr="008609D1" w:rsidRDefault="00370ABE" w:rsidP="00370ABE">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7" w:type="dxa"/>
            <w:tcBorders>
              <w:left w:val="nil"/>
              <w:right w:val="nil"/>
            </w:tcBorders>
            <w:shd w:val="clear" w:color="auto" w:fill="FFFFFF" w:themeFill="background1"/>
            <w:noWrap/>
            <w:vAlign w:val="center"/>
          </w:tcPr>
          <w:p w14:paraId="44D5A143"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5298612E"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3AD4F362"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14:paraId="1689CFFE"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r>
      <w:tr w:rsidR="00370ABE" w:rsidRPr="008609D1" w14:paraId="37F98207" w14:textId="77777777" w:rsidTr="00370ABE">
        <w:trPr>
          <w:trHeight w:val="340"/>
        </w:trPr>
        <w:tc>
          <w:tcPr>
            <w:tcW w:w="3744" w:type="dxa"/>
            <w:tcBorders>
              <w:left w:val="nil"/>
              <w:right w:val="nil"/>
            </w:tcBorders>
            <w:shd w:val="clear" w:color="auto" w:fill="D0D1DB"/>
            <w:noWrap/>
            <w:vAlign w:val="center"/>
            <w:hideMark/>
          </w:tcPr>
          <w:p w14:paraId="6A952740" w14:textId="77777777" w:rsidR="00370ABE" w:rsidRPr="008609D1" w:rsidRDefault="00370ABE" w:rsidP="00370ABE">
            <w:pPr>
              <w:keepNext/>
              <w:keepLines/>
              <w:spacing w:after="0" w:line="240" w:lineRule="auto"/>
              <w:rPr>
                <w:rFonts w:ascii="ITC Avant Garde" w:hAnsi="ITC Avant Garde"/>
                <w:b/>
                <w:sz w:val="20"/>
                <w:lang w:val="es-ES"/>
              </w:rPr>
            </w:pPr>
            <w:r w:rsidRPr="008609D1">
              <w:rPr>
                <w:rFonts w:ascii="ITC Avant Garde" w:hAnsi="ITC Avant Garde"/>
                <w:b/>
                <w:sz w:val="20"/>
                <w:lang w:val="es-ES"/>
              </w:rPr>
              <w:t>Activo</w:t>
            </w:r>
          </w:p>
        </w:tc>
        <w:tc>
          <w:tcPr>
            <w:tcW w:w="1347" w:type="dxa"/>
            <w:tcBorders>
              <w:left w:val="nil"/>
              <w:right w:val="nil"/>
            </w:tcBorders>
            <w:shd w:val="clear" w:color="auto" w:fill="FFFFFF" w:themeFill="background1"/>
            <w:noWrap/>
            <w:vAlign w:val="center"/>
          </w:tcPr>
          <w:p w14:paraId="770FB496"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308FE5BD"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1B6D5842"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14:paraId="4CDF9239"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r>
      <w:tr w:rsidR="00370ABE" w:rsidRPr="008609D1" w14:paraId="501C0C47" w14:textId="77777777" w:rsidTr="00370ABE">
        <w:trPr>
          <w:trHeight w:val="340"/>
        </w:trPr>
        <w:tc>
          <w:tcPr>
            <w:tcW w:w="3744" w:type="dxa"/>
            <w:tcBorders>
              <w:left w:val="nil"/>
              <w:right w:val="nil"/>
            </w:tcBorders>
            <w:shd w:val="clear" w:color="auto" w:fill="D0D1DB"/>
            <w:noWrap/>
            <w:vAlign w:val="center"/>
            <w:hideMark/>
          </w:tcPr>
          <w:p w14:paraId="79FE20E7" w14:textId="77777777" w:rsidR="00370ABE" w:rsidRPr="008609D1" w:rsidRDefault="00370ABE" w:rsidP="00370ABE">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Activo circulante</w:t>
            </w:r>
          </w:p>
        </w:tc>
        <w:tc>
          <w:tcPr>
            <w:tcW w:w="1347" w:type="dxa"/>
            <w:tcBorders>
              <w:left w:val="nil"/>
              <w:right w:val="nil"/>
            </w:tcBorders>
            <w:shd w:val="clear" w:color="auto" w:fill="FFFFFF" w:themeFill="background1"/>
            <w:noWrap/>
            <w:vAlign w:val="center"/>
          </w:tcPr>
          <w:p w14:paraId="2541405F"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534F3921"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214F7ECE"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14:paraId="01C07A2F"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r>
      <w:tr w:rsidR="00370ABE" w:rsidRPr="008609D1" w14:paraId="4E3F7FB5" w14:textId="77777777" w:rsidTr="00370ABE">
        <w:trPr>
          <w:trHeight w:val="340"/>
        </w:trPr>
        <w:tc>
          <w:tcPr>
            <w:tcW w:w="3744" w:type="dxa"/>
            <w:tcBorders>
              <w:left w:val="nil"/>
              <w:right w:val="nil"/>
            </w:tcBorders>
            <w:shd w:val="clear" w:color="auto" w:fill="D0D1DB"/>
            <w:noWrap/>
            <w:vAlign w:val="center"/>
            <w:hideMark/>
          </w:tcPr>
          <w:p w14:paraId="5F0FEA44" w14:textId="77777777" w:rsidR="00370ABE" w:rsidRPr="008609D1" w:rsidRDefault="00370ABE" w:rsidP="00370ABE">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 xml:space="preserve">   Activo fijo</w:t>
            </w:r>
          </w:p>
        </w:tc>
        <w:tc>
          <w:tcPr>
            <w:tcW w:w="1347" w:type="dxa"/>
            <w:tcBorders>
              <w:left w:val="nil"/>
              <w:right w:val="nil"/>
            </w:tcBorders>
            <w:shd w:val="clear" w:color="auto" w:fill="FFFFFF" w:themeFill="background1"/>
            <w:noWrap/>
            <w:vAlign w:val="center"/>
          </w:tcPr>
          <w:p w14:paraId="009B27D2"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5B535318"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26A79537"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14:paraId="06142797"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r>
      <w:tr w:rsidR="00370ABE" w:rsidRPr="008609D1" w14:paraId="26EE327D" w14:textId="77777777" w:rsidTr="00370ABE">
        <w:trPr>
          <w:trHeight w:val="340"/>
        </w:trPr>
        <w:tc>
          <w:tcPr>
            <w:tcW w:w="3744" w:type="dxa"/>
            <w:tcBorders>
              <w:left w:val="nil"/>
              <w:right w:val="nil"/>
            </w:tcBorders>
            <w:shd w:val="clear" w:color="auto" w:fill="D0D1DB"/>
            <w:noWrap/>
            <w:vAlign w:val="center"/>
            <w:hideMark/>
          </w:tcPr>
          <w:p w14:paraId="751310E7" w14:textId="77777777" w:rsidR="00370ABE" w:rsidRPr="008609D1" w:rsidRDefault="00370ABE" w:rsidP="00370ABE">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7" w:type="dxa"/>
            <w:tcBorders>
              <w:left w:val="nil"/>
              <w:right w:val="nil"/>
            </w:tcBorders>
            <w:shd w:val="clear" w:color="auto" w:fill="FFFFFF" w:themeFill="background1"/>
            <w:noWrap/>
            <w:vAlign w:val="center"/>
          </w:tcPr>
          <w:p w14:paraId="777C5910"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7871B16C"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3CB06AC1"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14:paraId="56FC44F4"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r>
      <w:tr w:rsidR="00370ABE" w:rsidRPr="008609D1" w14:paraId="2A691B3E" w14:textId="77777777" w:rsidTr="00370ABE">
        <w:trPr>
          <w:trHeight w:val="340"/>
        </w:trPr>
        <w:tc>
          <w:tcPr>
            <w:tcW w:w="3744" w:type="dxa"/>
            <w:tcBorders>
              <w:left w:val="nil"/>
              <w:right w:val="nil"/>
            </w:tcBorders>
            <w:shd w:val="clear" w:color="auto" w:fill="D0D1DB"/>
            <w:noWrap/>
            <w:vAlign w:val="center"/>
            <w:hideMark/>
          </w:tcPr>
          <w:p w14:paraId="1B13A3D4" w14:textId="77777777" w:rsidR="00370ABE" w:rsidRPr="008609D1" w:rsidRDefault="00370ABE" w:rsidP="00370ABE">
            <w:pPr>
              <w:keepNext/>
              <w:keepLines/>
              <w:spacing w:after="0" w:line="240" w:lineRule="auto"/>
              <w:rPr>
                <w:rFonts w:ascii="ITC Avant Garde" w:hAnsi="ITC Avant Garde"/>
                <w:b/>
                <w:sz w:val="20"/>
                <w:lang w:val="es-ES"/>
              </w:rPr>
            </w:pPr>
            <w:r w:rsidRPr="008609D1">
              <w:rPr>
                <w:rFonts w:ascii="ITC Avant Garde" w:hAnsi="ITC Avant Garde"/>
                <w:b/>
                <w:sz w:val="20"/>
                <w:lang w:val="es-ES"/>
              </w:rPr>
              <w:t>Pasivo</w:t>
            </w:r>
          </w:p>
        </w:tc>
        <w:tc>
          <w:tcPr>
            <w:tcW w:w="1347" w:type="dxa"/>
            <w:tcBorders>
              <w:left w:val="nil"/>
              <w:right w:val="nil"/>
            </w:tcBorders>
            <w:shd w:val="clear" w:color="auto" w:fill="FFFFFF" w:themeFill="background1"/>
            <w:noWrap/>
            <w:vAlign w:val="center"/>
          </w:tcPr>
          <w:p w14:paraId="5B80BB41"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749C9223"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359F4DA3"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14:paraId="3B72490C"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r>
      <w:tr w:rsidR="00370ABE" w:rsidRPr="008609D1" w14:paraId="706CCF53" w14:textId="77777777" w:rsidTr="00370ABE">
        <w:trPr>
          <w:trHeight w:val="340"/>
        </w:trPr>
        <w:tc>
          <w:tcPr>
            <w:tcW w:w="3744" w:type="dxa"/>
            <w:tcBorders>
              <w:left w:val="nil"/>
              <w:right w:val="nil"/>
            </w:tcBorders>
            <w:shd w:val="clear" w:color="auto" w:fill="D0D1DB"/>
            <w:noWrap/>
            <w:vAlign w:val="center"/>
            <w:hideMark/>
          </w:tcPr>
          <w:p w14:paraId="1D46D0BF" w14:textId="77777777" w:rsidR="00370ABE" w:rsidRPr="008609D1" w:rsidRDefault="00370ABE" w:rsidP="00370ABE">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Pasivo circulante</w:t>
            </w:r>
          </w:p>
        </w:tc>
        <w:tc>
          <w:tcPr>
            <w:tcW w:w="1347" w:type="dxa"/>
            <w:tcBorders>
              <w:left w:val="nil"/>
              <w:right w:val="nil"/>
            </w:tcBorders>
            <w:shd w:val="clear" w:color="auto" w:fill="FFFFFF" w:themeFill="background1"/>
            <w:noWrap/>
            <w:vAlign w:val="center"/>
          </w:tcPr>
          <w:p w14:paraId="40C30435"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14853069"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549EE6BD"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14:paraId="6F06BC25"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r>
      <w:tr w:rsidR="00370ABE" w:rsidRPr="008609D1" w14:paraId="4304AD96" w14:textId="77777777" w:rsidTr="00370ABE">
        <w:trPr>
          <w:trHeight w:val="340"/>
        </w:trPr>
        <w:tc>
          <w:tcPr>
            <w:tcW w:w="3744" w:type="dxa"/>
            <w:tcBorders>
              <w:left w:val="nil"/>
              <w:right w:val="nil"/>
            </w:tcBorders>
            <w:shd w:val="clear" w:color="auto" w:fill="D0D1DB"/>
            <w:noWrap/>
            <w:vAlign w:val="center"/>
            <w:hideMark/>
          </w:tcPr>
          <w:p w14:paraId="195A94F9" w14:textId="77777777" w:rsidR="00370ABE" w:rsidRPr="008609D1" w:rsidRDefault="00370ABE" w:rsidP="00370ABE">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Pasivo fijo</w:t>
            </w:r>
          </w:p>
        </w:tc>
        <w:tc>
          <w:tcPr>
            <w:tcW w:w="1347" w:type="dxa"/>
            <w:tcBorders>
              <w:left w:val="nil"/>
              <w:right w:val="nil"/>
            </w:tcBorders>
            <w:shd w:val="clear" w:color="auto" w:fill="FFFFFF" w:themeFill="background1"/>
            <w:noWrap/>
            <w:vAlign w:val="center"/>
          </w:tcPr>
          <w:p w14:paraId="4311C4A3"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1BB17330"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right w:val="nil"/>
            </w:tcBorders>
            <w:shd w:val="clear" w:color="auto" w:fill="FFFFFF" w:themeFill="background1"/>
            <w:vAlign w:val="center"/>
          </w:tcPr>
          <w:p w14:paraId="019CC757"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right w:val="nil"/>
            </w:tcBorders>
            <w:shd w:val="clear" w:color="auto" w:fill="FFFFFF" w:themeFill="background1"/>
            <w:noWrap/>
            <w:vAlign w:val="center"/>
          </w:tcPr>
          <w:p w14:paraId="76981258"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r>
      <w:tr w:rsidR="00370ABE" w:rsidRPr="008609D1" w14:paraId="67BB1ED5" w14:textId="77777777" w:rsidTr="00370ABE">
        <w:trPr>
          <w:trHeight w:val="340"/>
        </w:trPr>
        <w:tc>
          <w:tcPr>
            <w:tcW w:w="3744" w:type="dxa"/>
            <w:tcBorders>
              <w:left w:val="nil"/>
              <w:bottom w:val="single" w:sz="4" w:space="0" w:color="244062"/>
              <w:right w:val="nil"/>
            </w:tcBorders>
            <w:shd w:val="clear" w:color="auto" w:fill="D0D1DB"/>
            <w:noWrap/>
            <w:vAlign w:val="center"/>
            <w:hideMark/>
          </w:tcPr>
          <w:p w14:paraId="25841D00" w14:textId="77777777" w:rsidR="00370ABE" w:rsidRPr="008609D1" w:rsidRDefault="00370ABE" w:rsidP="00370ABE">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7" w:type="dxa"/>
            <w:tcBorders>
              <w:left w:val="nil"/>
              <w:bottom w:val="single" w:sz="4" w:space="0" w:color="244062"/>
              <w:right w:val="nil"/>
            </w:tcBorders>
            <w:shd w:val="clear" w:color="auto" w:fill="FFFFFF" w:themeFill="background1"/>
            <w:noWrap/>
            <w:vAlign w:val="center"/>
          </w:tcPr>
          <w:p w14:paraId="585943BE"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bottom w:val="single" w:sz="4" w:space="0" w:color="244062"/>
              <w:right w:val="nil"/>
            </w:tcBorders>
            <w:shd w:val="clear" w:color="auto" w:fill="FFFFFF" w:themeFill="background1"/>
            <w:vAlign w:val="center"/>
          </w:tcPr>
          <w:p w14:paraId="7388B972"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350" w:type="dxa"/>
            <w:tcBorders>
              <w:left w:val="nil"/>
              <w:bottom w:val="single" w:sz="4" w:space="0" w:color="244062"/>
              <w:right w:val="nil"/>
            </w:tcBorders>
            <w:shd w:val="clear" w:color="auto" w:fill="FFFFFF" w:themeFill="background1"/>
            <w:vAlign w:val="center"/>
          </w:tcPr>
          <w:p w14:paraId="5F3F3A0E"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c>
          <w:tcPr>
            <w:tcW w:w="1187" w:type="dxa"/>
            <w:tcBorders>
              <w:left w:val="nil"/>
              <w:bottom w:val="single" w:sz="4" w:space="0" w:color="244062"/>
              <w:right w:val="nil"/>
            </w:tcBorders>
            <w:shd w:val="clear" w:color="auto" w:fill="FFFFFF" w:themeFill="background1"/>
            <w:noWrap/>
            <w:vAlign w:val="center"/>
          </w:tcPr>
          <w:p w14:paraId="17A31DCE" w14:textId="77777777" w:rsidR="00370ABE" w:rsidRPr="008609D1" w:rsidRDefault="00370ABE" w:rsidP="00370ABE">
            <w:pPr>
              <w:keepNext/>
              <w:keepLines/>
              <w:spacing w:after="0" w:line="240" w:lineRule="auto"/>
              <w:jc w:val="center"/>
              <w:rPr>
                <w:rFonts w:ascii="ITC Avant Garde" w:eastAsia="Times New Roman" w:hAnsi="ITC Avant Garde" w:cs="Arial"/>
                <w:sz w:val="20"/>
                <w:lang w:val="es-ES" w:eastAsia="es-ES"/>
              </w:rPr>
            </w:pPr>
          </w:p>
        </w:tc>
      </w:tr>
    </w:tbl>
    <w:p w14:paraId="15116607" w14:textId="77777777" w:rsidR="00892164" w:rsidRPr="008609D1" w:rsidRDefault="005448D2" w:rsidP="00C431D6">
      <w:pPr>
        <w:pStyle w:val="A3L1"/>
      </w:pPr>
      <w:bookmarkStart w:id="153" w:name="_Ref477512941"/>
      <w:bookmarkStart w:id="154" w:name="_Toc477515022"/>
      <w:bookmarkStart w:id="155" w:name="_Toc478774506"/>
      <w:r w:rsidRPr="008609D1">
        <w:t>MATRICES DE ASIGNACIÓN</w:t>
      </w:r>
      <w:bookmarkEnd w:id="153"/>
      <w:bookmarkEnd w:id="154"/>
      <w:bookmarkEnd w:id="155"/>
    </w:p>
    <w:p w14:paraId="5783E40C" w14:textId="77777777" w:rsidR="00892164" w:rsidRPr="008609D1" w:rsidRDefault="00892164" w:rsidP="00892164">
      <w:pPr>
        <w:pStyle w:val="Normalresolucion"/>
        <w:keepNext/>
        <w:keepLines/>
      </w:pPr>
      <w:r w:rsidRPr="008609D1">
        <w:t xml:space="preserve">Se listan bajo esta sección los reportes que deberán ser presentados para representar el flujo de asignación de costos e ingresos a lo largo de la </w:t>
      </w:r>
      <w:r w:rsidR="00AC3FFE" w:rsidRPr="008609D1">
        <w:t>separación contable</w:t>
      </w:r>
      <w:r w:rsidRPr="008609D1">
        <w:t xml:space="preserve">. Estos reportes deberán permitir conocer la mecánica interna empleada para el desarrollo del modelo, a la vez que instrumentalizarán la verificación de la correcta implementación de los principios aplicables a la </w:t>
      </w:r>
      <w:r w:rsidR="00AC3FFE" w:rsidRPr="008609D1">
        <w:t>separación contable</w:t>
      </w:r>
      <w:r w:rsidRPr="008609D1">
        <w:t>.</w:t>
      </w:r>
    </w:p>
    <w:p w14:paraId="79D08CF7" w14:textId="77777777" w:rsidR="00892164" w:rsidRPr="008609D1" w:rsidRDefault="00892164" w:rsidP="00892164">
      <w:pPr>
        <w:pStyle w:val="Normalresolucion"/>
      </w:pPr>
      <w:r w:rsidRPr="008609D1">
        <w:t xml:space="preserve">Nótese que, por cuestiones de espacio, en las siguientes tablas se incluye únicamente un extracto ilustrativo de las cuentas a desagregar en cada nivel, seguidas de “…” para representar las cuentas restantes y no representadas en la tabla. Salvo que se indique lo contrario, para cada una de los formatos solicitados bajo esta sección, los concesionarios deberán desagregar la totalidad de las cuentas identificadas en la </w:t>
      </w:r>
      <w:r w:rsidR="00AC3FFE" w:rsidRPr="008609D1">
        <w:t>separación contable</w:t>
      </w:r>
      <w:r w:rsidRPr="008609D1">
        <w:t xml:space="preserve"> para cada uno de los niveles solicitados. Al mismo tiempo, las cuentas identificadas por los concesionarios en cada nivel deberán cumplir, como mínimo, con el nivel de desagregación indicado en el Manual </w:t>
      </w:r>
      <w:r w:rsidR="00C8711B">
        <w:t xml:space="preserve">Explicativo </w:t>
      </w:r>
      <w:r w:rsidRPr="008609D1">
        <w:t>de</w:t>
      </w:r>
      <w:r w:rsidR="00C8711B">
        <w:t xml:space="preserve"> la</w:t>
      </w:r>
      <w:r w:rsidRPr="008609D1">
        <w:t xml:space="preserve"> separación contable</w:t>
      </w:r>
      <w:r w:rsidR="00C8711B">
        <w:t xml:space="preserve"> presentado por el concesionario como parte de los estudios de soporte indicados en el Anexo 4</w:t>
      </w:r>
      <w:r w:rsidRPr="008609D1">
        <w:t>.</w:t>
      </w:r>
    </w:p>
    <w:p w14:paraId="50BCD7C4" w14:textId="486BF097" w:rsidR="00892164" w:rsidRPr="008609D1" w:rsidRDefault="00892164" w:rsidP="00892164">
      <w:pPr>
        <w:pStyle w:val="Normalresolucion"/>
      </w:pPr>
      <w:r w:rsidRPr="008609D1">
        <w:t xml:space="preserve">Las matrices de asignación de costos (e ingresos) deberán corresponder con cada una de las fases indicadas en la arquitectura del Modelo de </w:t>
      </w:r>
      <w:r w:rsidR="00AC3FFE" w:rsidRPr="008609D1">
        <w:t>separación contable</w:t>
      </w:r>
      <w:r w:rsidRPr="008609D1">
        <w:t xml:space="preserve"> presentada en la</w:t>
      </w:r>
      <w:r w:rsidR="001B1F9B" w:rsidRPr="008609D1">
        <w:t xml:space="preserve"> </w:t>
      </w:r>
      <w:r w:rsidR="001B1F9B" w:rsidRPr="008609D1">
        <w:fldChar w:fldCharType="begin"/>
      </w:r>
      <w:r w:rsidR="001B1F9B" w:rsidRPr="008609D1">
        <w:instrText xml:space="preserve"> REF _Ref477442677 \h  \* MERGEFORMAT </w:instrText>
      </w:r>
      <w:r w:rsidR="001B1F9B" w:rsidRPr="008609D1">
        <w:fldChar w:fldCharType="separate"/>
      </w:r>
      <w:r w:rsidR="005144E2" w:rsidRPr="008609D1">
        <w:t>Gráfica A</w:t>
      </w:r>
      <w:r w:rsidR="00BE4265">
        <w:t>3</w:t>
      </w:r>
      <w:r w:rsidR="005144E2" w:rsidRPr="008609D1">
        <w:t>.1</w:t>
      </w:r>
      <w:r w:rsidR="001B1F9B" w:rsidRPr="008609D1">
        <w:fldChar w:fldCharType="end"/>
      </w:r>
      <w:r w:rsidRPr="008609D1">
        <w:rPr>
          <w:rtl/>
        </w:rPr>
        <w:t xml:space="preserve"> </w:t>
      </w:r>
      <w:r w:rsidRPr="008609D1">
        <w:t xml:space="preserve">del presente </w:t>
      </w:r>
      <w:r w:rsidR="001B660D" w:rsidRPr="008609D1">
        <w:t>documento,</w:t>
      </w:r>
      <w:r w:rsidR="001B1F9B" w:rsidRPr="008609D1">
        <w:rPr>
          <w:rFonts w:hint="cs"/>
          <w:rtl/>
        </w:rPr>
        <w:t xml:space="preserve"> </w:t>
      </w:r>
      <w:r w:rsidR="001B660D" w:rsidRPr="008609D1">
        <w:t>e</w:t>
      </w:r>
      <w:r w:rsidRPr="008609D1">
        <w:t>n particular</w:t>
      </w:r>
      <w:r w:rsidRPr="008609D1">
        <w:rPr>
          <w:rtl/>
        </w:rPr>
        <w:t>:</w:t>
      </w:r>
    </w:p>
    <w:p w14:paraId="77AE53BD" w14:textId="77777777" w:rsidR="00892164" w:rsidRPr="008609D1" w:rsidRDefault="00892164" w:rsidP="00892164">
      <w:pPr>
        <w:pStyle w:val="Normalresolucion"/>
      </w:pPr>
      <w:r w:rsidRPr="008609D1">
        <w:t>Para facilitar su preparación, estos formatos se agrupan en los siguientes apartados:</w:t>
      </w:r>
    </w:p>
    <w:p w14:paraId="75CF7C2F" w14:textId="77777777" w:rsidR="00892164" w:rsidRPr="008609D1" w:rsidRDefault="00892164" w:rsidP="00892164">
      <w:pPr>
        <w:pStyle w:val="Indentadoresolucin"/>
      </w:pPr>
      <w:r w:rsidRPr="008609D1">
        <w:t>Matriz de asignación de ingresos del balance de prueba (Nivel 0) a cuentas de ingresos por naturaleza (Nivel 1)</w:t>
      </w:r>
      <w:r w:rsidR="00BE4265">
        <w:t>.</w:t>
      </w:r>
    </w:p>
    <w:p w14:paraId="33DC0119" w14:textId="77777777" w:rsidR="00892164" w:rsidRPr="008609D1" w:rsidRDefault="00892164" w:rsidP="00892164">
      <w:pPr>
        <w:pStyle w:val="Indentadoresolucin"/>
      </w:pPr>
      <w:r w:rsidRPr="008609D1">
        <w:t>Matriz de asignación de costos del balance de prueba (Nivel 0) a cuentas de costos por naturaleza (Nivel 1)</w:t>
      </w:r>
      <w:r w:rsidR="00BE4265">
        <w:t>.</w:t>
      </w:r>
    </w:p>
    <w:p w14:paraId="1A22F6D3" w14:textId="77777777" w:rsidR="00892164" w:rsidRPr="008609D1" w:rsidRDefault="00892164" w:rsidP="00892164">
      <w:pPr>
        <w:pStyle w:val="Indentadoresolucin"/>
      </w:pPr>
      <w:r w:rsidRPr="008609D1">
        <w:t>Matriz de asignación de activo y pasivo del balance de prueba (Nivel 0) a cuentas de capital empleado por naturaleza (Nivel 1)</w:t>
      </w:r>
      <w:r w:rsidR="00BE4265">
        <w:t>.</w:t>
      </w:r>
    </w:p>
    <w:p w14:paraId="4A63AEDB" w14:textId="77777777" w:rsidR="00892164" w:rsidRPr="008609D1" w:rsidRDefault="00892164" w:rsidP="00892164">
      <w:pPr>
        <w:pStyle w:val="Indentadoresolucin"/>
      </w:pPr>
      <w:r w:rsidRPr="008609D1">
        <w:t>Matriz de asignación de costos por naturaleza (Nivel 1) a costos por actividades y elementos de red (Nivel 2)</w:t>
      </w:r>
      <w:r w:rsidR="00BE4265">
        <w:t>.</w:t>
      </w:r>
    </w:p>
    <w:p w14:paraId="6D37D5DB" w14:textId="77777777" w:rsidR="00892164" w:rsidRPr="008609D1" w:rsidRDefault="00892164" w:rsidP="00892164">
      <w:pPr>
        <w:pStyle w:val="Indentadoresolucin"/>
      </w:pPr>
      <w:r w:rsidRPr="008609D1">
        <w:t>Matriz de asignación de capital empleado por naturaleza (Nivel 1) a capital empleado por actividades y elementos de red (Nivel 2)</w:t>
      </w:r>
      <w:r w:rsidR="00BE4265">
        <w:t>.</w:t>
      </w:r>
    </w:p>
    <w:p w14:paraId="12142BA5" w14:textId="77777777" w:rsidR="00892164" w:rsidRPr="008609D1" w:rsidRDefault="00892164" w:rsidP="00892164">
      <w:pPr>
        <w:pStyle w:val="Indentadoresolucin"/>
      </w:pPr>
      <w:r w:rsidRPr="008609D1">
        <w:lastRenderedPageBreak/>
        <w:t>Matriz de asignación de ingresos por naturaleza (Nivel 1) a servicios (Nivel 3)</w:t>
      </w:r>
      <w:r w:rsidR="00BE4265">
        <w:t>.</w:t>
      </w:r>
    </w:p>
    <w:p w14:paraId="2ADB20CD" w14:textId="77777777" w:rsidR="00892164" w:rsidRPr="008609D1" w:rsidRDefault="00892164" w:rsidP="00892164">
      <w:pPr>
        <w:pStyle w:val="Indentadoresolucin"/>
      </w:pPr>
      <w:r w:rsidRPr="008609D1">
        <w:t>Matriz de asignación de costos por actividades y elementos de red (Nivel 2) a servicios minoristas (Nivel 3)</w:t>
      </w:r>
      <w:r w:rsidR="00BE4265">
        <w:t>.</w:t>
      </w:r>
    </w:p>
    <w:p w14:paraId="3386135E" w14:textId="77777777" w:rsidR="00892164" w:rsidRPr="008609D1" w:rsidRDefault="00892164" w:rsidP="00892164">
      <w:pPr>
        <w:pStyle w:val="Indentadoresolucin"/>
      </w:pPr>
      <w:r w:rsidRPr="008609D1">
        <w:t>Matriz de asignación de costos por actividades y elementos de red (Nivel 2) a servicios mayoristas (Nivel 3)</w:t>
      </w:r>
      <w:r w:rsidR="00BE4265">
        <w:t>.</w:t>
      </w:r>
    </w:p>
    <w:p w14:paraId="39A1CE26" w14:textId="77777777" w:rsidR="00892164" w:rsidRPr="008609D1" w:rsidRDefault="00892164" w:rsidP="00892164">
      <w:pPr>
        <w:pStyle w:val="Indentadoresolucin"/>
      </w:pPr>
      <w:r w:rsidRPr="008609D1">
        <w:t>Matriz de asignación de capital empleado por actividades y elementos de red (Nivel 2) a servicios minoristas (Nivel 3)</w:t>
      </w:r>
      <w:r w:rsidR="00BE4265">
        <w:t>.</w:t>
      </w:r>
    </w:p>
    <w:p w14:paraId="0F6E48D9" w14:textId="77777777" w:rsidR="00892164" w:rsidRPr="008609D1" w:rsidRDefault="00892164" w:rsidP="00892164">
      <w:pPr>
        <w:pStyle w:val="Indentadoresolucin"/>
      </w:pPr>
      <w:r w:rsidRPr="008609D1">
        <w:t>Matriz de asignación de capital empleado por actividades y elementos de red (Nivel 2) a servicios mayoristas (Nivel 3)</w:t>
      </w:r>
      <w:r w:rsidR="00BE4265">
        <w:t>.</w:t>
      </w:r>
    </w:p>
    <w:p w14:paraId="14ED536C" w14:textId="77777777" w:rsidR="00892164" w:rsidRPr="008609D1" w:rsidRDefault="00892164" w:rsidP="007304F5">
      <w:pPr>
        <w:pStyle w:val="A3L2"/>
        <w:keepNext/>
        <w:keepLines/>
      </w:pPr>
      <w:bookmarkStart w:id="156" w:name="_Toc475468512"/>
      <w:bookmarkStart w:id="157" w:name="_Toc477515023"/>
      <w:bookmarkStart w:id="158" w:name="_Toc478774507"/>
      <w:r w:rsidRPr="008609D1">
        <w:t>Matriz de asignación de ingresos del balance de prueba (Nivel 0) a cuentas de ingresos por naturaleza (Nivel 1)</w:t>
      </w:r>
      <w:bookmarkEnd w:id="156"/>
      <w:bookmarkEnd w:id="157"/>
      <w:bookmarkEnd w:id="158"/>
    </w:p>
    <w:p w14:paraId="6FA61E9D" w14:textId="77777777" w:rsidR="00892164" w:rsidRPr="008609D1" w:rsidRDefault="00892164" w:rsidP="00C431D6">
      <w:pPr>
        <w:pStyle w:val="Normalresolucion"/>
        <w:keepNext/>
        <w:keepLines/>
      </w:pPr>
      <w:r w:rsidRPr="008609D1">
        <w:t>Esta matriz deberá contener la asignación de ingresos de los registros financieros a cuentas de ingresos de Nivel 1. Esta asignación se realizará de una forma directa, por lo tanto, cada cuenta de ingresos del balance de prueba será asignada a una única cuenta de ingresos por naturaleza.</w:t>
      </w:r>
    </w:p>
    <w:p w14:paraId="52F158B5" w14:textId="6FF9B4BB" w:rsidR="00892164" w:rsidRDefault="00892164" w:rsidP="00892164">
      <w:pPr>
        <w:pStyle w:val="Normalresolucion"/>
      </w:pPr>
      <w:r w:rsidRPr="008609D1">
        <w:t>A continuación se presenta el formato que deberá ser co</w:t>
      </w:r>
      <w:r w:rsidR="00F24C39">
        <w:t>mpletado</w:t>
      </w:r>
      <w:r w:rsidRPr="008609D1">
        <w:t xml:space="preserve"> por los concesionarios para la entrega de esta información. Nótese que se presenta un ejemplo de matriz de asignación para el segmento fijo, sin embargo, la información debe ser adaptada a la estructura de ingresos aplicable </w:t>
      </w:r>
      <w:r w:rsidR="00B23F76" w:rsidRPr="008609D1">
        <w:t>(fijo, móvil, televisión restringida, radiodifusión).</w:t>
      </w:r>
      <w:r w:rsidR="00B23F76" w:rsidRPr="008609D1" w:rsidDel="00B23F76">
        <w:t xml:space="preserve"> </w:t>
      </w:r>
    </w:p>
    <w:p w14:paraId="56228379" w14:textId="77777777" w:rsidR="005E47DD" w:rsidRPr="008609D1" w:rsidRDefault="005E47DD" w:rsidP="005E47DD">
      <w:pPr>
        <w:pStyle w:val="Descripcin"/>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5</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ingresos del balance de prueba (Nivel 0) a cuentas de ingresos por naturaleza (Nivel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89"/>
        <w:gridCol w:w="3089"/>
        <w:gridCol w:w="1325"/>
        <w:gridCol w:w="1325"/>
      </w:tblGrid>
      <w:tr w:rsidR="007304F5" w:rsidRPr="008609D1" w14:paraId="63A7D598" w14:textId="77777777" w:rsidTr="000E069D">
        <w:trPr>
          <w:trHeight w:val="340"/>
          <w:jc w:val="center"/>
        </w:trPr>
        <w:tc>
          <w:tcPr>
            <w:tcW w:w="3143"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0FE4F258"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Cuentas de ingresos del balance de prueba (Nivel 0)</w:t>
            </w:r>
          </w:p>
        </w:tc>
        <w:tc>
          <w:tcPr>
            <w:tcW w:w="3143"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5D31E499"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Ingresos por naturaleza</w:t>
            </w:r>
            <w:r w:rsidRPr="008609D1">
              <w:rPr>
                <w:rFonts w:ascii="ITC Avant Garde" w:eastAsia="Times New Roman" w:hAnsi="ITC Avant Garde" w:cs="Arial"/>
                <w:b/>
                <w:color w:val="FFFFFF" w:themeColor="background1"/>
                <w:sz w:val="20"/>
                <w:lang w:val="es-ES" w:eastAsia="es-ES"/>
              </w:rPr>
              <w:br/>
              <w:t>(Nivel 1)</w:t>
            </w:r>
            <w:r w:rsidRPr="008609D1">
              <w:rPr>
                <w:rFonts w:ascii="ITC Avant Garde" w:eastAsia="Times New Roman" w:hAnsi="ITC Avant Garde" w:cs="Arial"/>
                <w:b/>
                <w:color w:val="FFFFFF" w:themeColor="background1"/>
                <w:sz w:val="20"/>
                <w:vertAlign w:val="superscript"/>
                <w:lang w:val="es-ES" w:eastAsia="es-ES"/>
              </w:rPr>
              <w:footnoteReference w:id="57"/>
            </w:r>
          </w:p>
        </w:tc>
        <w:tc>
          <w:tcPr>
            <w:tcW w:w="2692"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5E1B981F"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Año</w:t>
            </w:r>
          </w:p>
        </w:tc>
      </w:tr>
      <w:tr w:rsidR="007304F5" w:rsidRPr="008609D1" w14:paraId="7257EEFE" w14:textId="77777777" w:rsidTr="000E069D">
        <w:trPr>
          <w:trHeight w:val="340"/>
          <w:jc w:val="center"/>
        </w:trPr>
        <w:tc>
          <w:tcPr>
            <w:tcW w:w="3143"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38BA1D7B" w14:textId="77777777" w:rsidR="00892164" w:rsidRPr="008609D1" w:rsidRDefault="00892164" w:rsidP="00D87E0B">
            <w:pPr>
              <w:spacing w:after="0"/>
              <w:rPr>
                <w:rFonts w:ascii="ITC Avant Garde" w:eastAsia="Times New Roman" w:hAnsi="ITC Avant Garde" w:cs="Arial"/>
                <w:b/>
                <w:color w:val="FFFFFF" w:themeColor="background1"/>
                <w:sz w:val="20"/>
                <w:lang w:val="es-ES" w:eastAsia="es-ES"/>
              </w:rPr>
            </w:pPr>
          </w:p>
        </w:tc>
        <w:tc>
          <w:tcPr>
            <w:tcW w:w="3143"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5709DBC9" w14:textId="77777777" w:rsidR="00892164" w:rsidRPr="008609D1" w:rsidRDefault="00892164" w:rsidP="00D87E0B">
            <w:pPr>
              <w:spacing w:after="0"/>
              <w:rPr>
                <w:rFonts w:ascii="ITC Avant Garde" w:eastAsia="Times New Roman" w:hAnsi="ITC Avant Garde" w:cs="Arial"/>
                <w:b/>
                <w:color w:val="FFFFFF" w:themeColor="background1"/>
                <w:sz w:val="20"/>
                <w:lang w:val="es-ES" w:eastAsia="es-ES"/>
              </w:rPr>
            </w:pPr>
          </w:p>
        </w:tc>
        <w:tc>
          <w:tcPr>
            <w:tcW w:w="1346"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3041A1A3"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N-1</w:t>
            </w:r>
          </w:p>
        </w:tc>
        <w:tc>
          <w:tcPr>
            <w:tcW w:w="1346"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60E2A81B"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w:t>
            </w:r>
          </w:p>
        </w:tc>
      </w:tr>
      <w:tr w:rsidR="007304F5" w:rsidRPr="008609D1" w14:paraId="0F4D9401" w14:textId="77777777" w:rsidTr="000E069D">
        <w:trPr>
          <w:trHeight w:val="340"/>
          <w:jc w:val="center"/>
        </w:trPr>
        <w:tc>
          <w:tcPr>
            <w:tcW w:w="3143" w:type="dxa"/>
            <w:tcBorders>
              <w:top w:val="single" w:sz="4" w:space="0" w:color="244062"/>
              <w:left w:val="nil"/>
              <w:right w:val="nil"/>
            </w:tcBorders>
            <w:shd w:val="clear" w:color="auto" w:fill="D0D1DB"/>
            <w:noWrap/>
            <w:vAlign w:val="center"/>
            <w:hideMark/>
          </w:tcPr>
          <w:p w14:paraId="327888A6"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1</w:t>
            </w:r>
          </w:p>
        </w:tc>
        <w:tc>
          <w:tcPr>
            <w:tcW w:w="3143" w:type="dxa"/>
            <w:tcBorders>
              <w:top w:val="single" w:sz="4" w:space="0" w:color="244062"/>
              <w:left w:val="nil"/>
              <w:right w:val="nil"/>
            </w:tcBorders>
            <w:shd w:val="clear" w:color="auto" w:fill="E5E9EB"/>
            <w:noWrap/>
            <w:vAlign w:val="center"/>
            <w:hideMark/>
          </w:tcPr>
          <w:p w14:paraId="551F243E" w14:textId="77777777" w:rsidR="00892164" w:rsidRPr="008609D1" w:rsidRDefault="00837711" w:rsidP="00D87E0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Activación del Servicio de Acceso a Internet Fijo</w:t>
            </w:r>
          </w:p>
        </w:tc>
        <w:tc>
          <w:tcPr>
            <w:tcW w:w="1346" w:type="dxa"/>
            <w:tcBorders>
              <w:top w:val="single" w:sz="4" w:space="0" w:color="244062"/>
              <w:left w:val="nil"/>
              <w:right w:val="nil"/>
            </w:tcBorders>
            <w:noWrap/>
            <w:vAlign w:val="center"/>
            <w:hideMark/>
          </w:tcPr>
          <w:p w14:paraId="26BE337E" w14:textId="77777777" w:rsidR="00892164" w:rsidRPr="008609D1" w:rsidRDefault="00892164" w:rsidP="00D87E0B">
            <w:pPr>
              <w:rPr>
                <w:rFonts w:ascii="ITC Avant Garde" w:eastAsia="Times New Roman" w:hAnsi="ITC Avant Garde" w:cs="Arial"/>
                <w:sz w:val="20"/>
                <w:lang w:val="es-ES" w:eastAsia="es-ES"/>
              </w:rPr>
            </w:pPr>
          </w:p>
        </w:tc>
        <w:tc>
          <w:tcPr>
            <w:tcW w:w="1346" w:type="dxa"/>
            <w:tcBorders>
              <w:top w:val="single" w:sz="4" w:space="0" w:color="244062"/>
              <w:left w:val="nil"/>
              <w:right w:val="nil"/>
            </w:tcBorders>
            <w:noWrap/>
            <w:vAlign w:val="center"/>
          </w:tcPr>
          <w:p w14:paraId="69CA41DC"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7304F5" w:rsidRPr="008609D1" w14:paraId="3F749809" w14:textId="77777777" w:rsidTr="000E069D">
        <w:trPr>
          <w:trHeight w:val="340"/>
          <w:jc w:val="center"/>
        </w:trPr>
        <w:tc>
          <w:tcPr>
            <w:tcW w:w="3143" w:type="dxa"/>
            <w:tcBorders>
              <w:left w:val="nil"/>
              <w:right w:val="nil"/>
            </w:tcBorders>
            <w:shd w:val="clear" w:color="auto" w:fill="D0D1DB"/>
            <w:noWrap/>
            <w:vAlign w:val="center"/>
            <w:hideMark/>
          </w:tcPr>
          <w:p w14:paraId="2E33A03D"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1</w:t>
            </w:r>
          </w:p>
        </w:tc>
        <w:tc>
          <w:tcPr>
            <w:tcW w:w="3143" w:type="dxa"/>
            <w:tcBorders>
              <w:left w:val="nil"/>
              <w:right w:val="nil"/>
            </w:tcBorders>
            <w:shd w:val="clear" w:color="auto" w:fill="E5E9EB"/>
            <w:noWrap/>
            <w:vAlign w:val="center"/>
            <w:hideMark/>
          </w:tcPr>
          <w:p w14:paraId="0D970EA4" w14:textId="77777777" w:rsidR="00892164" w:rsidRPr="008609D1" w:rsidRDefault="00837711" w:rsidP="00D87E0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Instalación del Servicio de Telefonía Fija</w:t>
            </w:r>
          </w:p>
        </w:tc>
        <w:tc>
          <w:tcPr>
            <w:tcW w:w="1346" w:type="dxa"/>
            <w:tcBorders>
              <w:left w:val="nil"/>
              <w:right w:val="nil"/>
            </w:tcBorders>
            <w:noWrap/>
            <w:vAlign w:val="center"/>
            <w:hideMark/>
          </w:tcPr>
          <w:p w14:paraId="7719722E" w14:textId="77777777" w:rsidR="00892164" w:rsidRPr="008609D1" w:rsidRDefault="00892164" w:rsidP="00D87E0B">
            <w:pPr>
              <w:rPr>
                <w:rFonts w:ascii="ITC Avant Garde" w:eastAsia="Times New Roman" w:hAnsi="ITC Avant Garde" w:cs="Arial"/>
                <w:sz w:val="20"/>
                <w:lang w:val="es-ES" w:eastAsia="es-ES"/>
              </w:rPr>
            </w:pPr>
          </w:p>
        </w:tc>
        <w:tc>
          <w:tcPr>
            <w:tcW w:w="1346" w:type="dxa"/>
            <w:tcBorders>
              <w:left w:val="nil"/>
              <w:right w:val="nil"/>
            </w:tcBorders>
            <w:noWrap/>
            <w:vAlign w:val="center"/>
          </w:tcPr>
          <w:p w14:paraId="263E4F4A"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7304F5" w:rsidRPr="008609D1" w14:paraId="554707C2" w14:textId="77777777" w:rsidTr="000E069D">
        <w:trPr>
          <w:trHeight w:val="340"/>
          <w:jc w:val="center"/>
        </w:trPr>
        <w:tc>
          <w:tcPr>
            <w:tcW w:w="3143" w:type="dxa"/>
            <w:tcBorders>
              <w:left w:val="nil"/>
              <w:right w:val="nil"/>
            </w:tcBorders>
            <w:shd w:val="clear" w:color="auto" w:fill="D0D1DB"/>
            <w:noWrap/>
            <w:vAlign w:val="center"/>
            <w:hideMark/>
          </w:tcPr>
          <w:p w14:paraId="76F9560D"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1</w:t>
            </w:r>
          </w:p>
        </w:tc>
        <w:tc>
          <w:tcPr>
            <w:tcW w:w="3143" w:type="dxa"/>
            <w:tcBorders>
              <w:left w:val="nil"/>
              <w:right w:val="nil"/>
            </w:tcBorders>
            <w:shd w:val="clear" w:color="auto" w:fill="E5E9EB"/>
            <w:noWrap/>
            <w:vAlign w:val="center"/>
            <w:hideMark/>
          </w:tcPr>
          <w:p w14:paraId="5667272F"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6" w:type="dxa"/>
            <w:tcBorders>
              <w:left w:val="nil"/>
              <w:right w:val="nil"/>
            </w:tcBorders>
            <w:noWrap/>
            <w:vAlign w:val="center"/>
            <w:hideMark/>
          </w:tcPr>
          <w:p w14:paraId="4E5716A8" w14:textId="77777777" w:rsidR="00892164" w:rsidRPr="008609D1" w:rsidRDefault="00892164" w:rsidP="00D87E0B">
            <w:pPr>
              <w:rPr>
                <w:rFonts w:ascii="ITC Avant Garde" w:eastAsia="Times New Roman" w:hAnsi="ITC Avant Garde" w:cs="Arial"/>
                <w:sz w:val="20"/>
                <w:lang w:val="es-ES" w:eastAsia="es-ES"/>
              </w:rPr>
            </w:pPr>
          </w:p>
        </w:tc>
        <w:tc>
          <w:tcPr>
            <w:tcW w:w="1346" w:type="dxa"/>
            <w:tcBorders>
              <w:left w:val="nil"/>
              <w:right w:val="nil"/>
            </w:tcBorders>
            <w:noWrap/>
            <w:vAlign w:val="center"/>
          </w:tcPr>
          <w:p w14:paraId="7E0D0A09"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7304F5" w:rsidRPr="008609D1" w14:paraId="7E21540C" w14:textId="77777777" w:rsidTr="000E069D">
        <w:trPr>
          <w:trHeight w:val="340"/>
          <w:jc w:val="center"/>
        </w:trPr>
        <w:tc>
          <w:tcPr>
            <w:tcW w:w="3143" w:type="dxa"/>
            <w:tcBorders>
              <w:left w:val="nil"/>
              <w:right w:val="nil"/>
            </w:tcBorders>
            <w:shd w:val="clear" w:color="auto" w:fill="D0D1DB"/>
            <w:noWrap/>
            <w:vAlign w:val="center"/>
            <w:hideMark/>
          </w:tcPr>
          <w:p w14:paraId="21018D7F"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2</w:t>
            </w:r>
          </w:p>
        </w:tc>
        <w:tc>
          <w:tcPr>
            <w:tcW w:w="3143" w:type="dxa"/>
            <w:tcBorders>
              <w:left w:val="nil"/>
              <w:right w:val="nil"/>
            </w:tcBorders>
            <w:shd w:val="clear" w:color="auto" w:fill="E5E9EB"/>
            <w:noWrap/>
            <w:vAlign w:val="center"/>
            <w:hideMark/>
          </w:tcPr>
          <w:p w14:paraId="539E09D1" w14:textId="77777777" w:rsidR="00892164" w:rsidRPr="008609D1" w:rsidRDefault="00837711" w:rsidP="00837711">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Pago </w:t>
            </w:r>
            <w:r w:rsidR="00892164" w:rsidRPr="008609D1">
              <w:rPr>
                <w:rFonts w:ascii="ITC Avant Garde" w:eastAsia="Times New Roman" w:hAnsi="ITC Avant Garde" w:cs="Arial"/>
                <w:sz w:val="20"/>
                <w:lang w:val="es-ES" w:eastAsia="es-ES"/>
              </w:rPr>
              <w:t xml:space="preserve">recurrente </w:t>
            </w:r>
            <w:r w:rsidRPr="008609D1">
              <w:rPr>
                <w:rFonts w:ascii="ITC Avant Garde" w:eastAsia="Times New Roman" w:hAnsi="ITC Avant Garde" w:cs="Arial"/>
                <w:sz w:val="20"/>
                <w:lang w:val="es-ES" w:eastAsia="es-ES"/>
              </w:rPr>
              <w:t>por el servicio de</w:t>
            </w:r>
            <w:r w:rsidR="00892164" w:rsidRPr="008609D1">
              <w:rPr>
                <w:rFonts w:ascii="ITC Avant Garde" w:eastAsia="Times New Roman" w:hAnsi="ITC Avant Garde" w:cs="Arial"/>
                <w:sz w:val="20"/>
                <w:lang w:val="es-ES" w:eastAsia="es-ES"/>
              </w:rPr>
              <w:t xml:space="preserve"> telefonía fija</w:t>
            </w:r>
          </w:p>
        </w:tc>
        <w:tc>
          <w:tcPr>
            <w:tcW w:w="1346" w:type="dxa"/>
            <w:tcBorders>
              <w:left w:val="nil"/>
              <w:right w:val="nil"/>
            </w:tcBorders>
            <w:noWrap/>
            <w:vAlign w:val="center"/>
            <w:hideMark/>
          </w:tcPr>
          <w:p w14:paraId="70EB781B" w14:textId="77777777" w:rsidR="00892164" w:rsidRPr="008609D1" w:rsidRDefault="00892164" w:rsidP="00D87E0B">
            <w:pPr>
              <w:rPr>
                <w:rFonts w:ascii="ITC Avant Garde" w:eastAsia="Times New Roman" w:hAnsi="ITC Avant Garde" w:cs="Arial"/>
                <w:sz w:val="20"/>
                <w:lang w:val="es-ES" w:eastAsia="es-ES"/>
              </w:rPr>
            </w:pPr>
          </w:p>
        </w:tc>
        <w:tc>
          <w:tcPr>
            <w:tcW w:w="1346" w:type="dxa"/>
            <w:tcBorders>
              <w:left w:val="nil"/>
              <w:right w:val="nil"/>
            </w:tcBorders>
            <w:noWrap/>
            <w:vAlign w:val="center"/>
          </w:tcPr>
          <w:p w14:paraId="146B9434"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7304F5" w:rsidRPr="008609D1" w14:paraId="4DAB7C2B" w14:textId="77777777" w:rsidTr="000E069D">
        <w:trPr>
          <w:trHeight w:val="340"/>
          <w:jc w:val="center"/>
        </w:trPr>
        <w:tc>
          <w:tcPr>
            <w:tcW w:w="3143" w:type="dxa"/>
            <w:tcBorders>
              <w:left w:val="nil"/>
              <w:right w:val="nil"/>
            </w:tcBorders>
            <w:shd w:val="clear" w:color="auto" w:fill="D0D1DB"/>
            <w:noWrap/>
            <w:vAlign w:val="center"/>
            <w:hideMark/>
          </w:tcPr>
          <w:p w14:paraId="5FA2434C"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2</w:t>
            </w:r>
          </w:p>
        </w:tc>
        <w:tc>
          <w:tcPr>
            <w:tcW w:w="3143" w:type="dxa"/>
            <w:tcBorders>
              <w:left w:val="nil"/>
              <w:right w:val="nil"/>
            </w:tcBorders>
            <w:shd w:val="clear" w:color="auto" w:fill="E5E9EB"/>
            <w:noWrap/>
            <w:vAlign w:val="center"/>
            <w:hideMark/>
          </w:tcPr>
          <w:p w14:paraId="6EFCAD06"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6" w:type="dxa"/>
            <w:tcBorders>
              <w:left w:val="nil"/>
              <w:right w:val="nil"/>
            </w:tcBorders>
            <w:noWrap/>
            <w:vAlign w:val="center"/>
            <w:hideMark/>
          </w:tcPr>
          <w:p w14:paraId="6E86A707" w14:textId="77777777" w:rsidR="00892164" w:rsidRPr="008609D1" w:rsidRDefault="00892164" w:rsidP="00D87E0B">
            <w:pPr>
              <w:rPr>
                <w:rFonts w:ascii="ITC Avant Garde" w:eastAsia="Times New Roman" w:hAnsi="ITC Avant Garde" w:cs="Arial"/>
                <w:sz w:val="20"/>
                <w:lang w:val="es-ES" w:eastAsia="es-ES"/>
              </w:rPr>
            </w:pPr>
          </w:p>
        </w:tc>
        <w:tc>
          <w:tcPr>
            <w:tcW w:w="1346" w:type="dxa"/>
            <w:tcBorders>
              <w:left w:val="nil"/>
              <w:right w:val="nil"/>
            </w:tcBorders>
            <w:noWrap/>
            <w:vAlign w:val="center"/>
          </w:tcPr>
          <w:p w14:paraId="3EC2AE74"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7304F5" w:rsidRPr="008609D1" w14:paraId="56B659A7" w14:textId="77777777" w:rsidTr="000E069D">
        <w:trPr>
          <w:trHeight w:val="340"/>
          <w:jc w:val="center"/>
        </w:trPr>
        <w:tc>
          <w:tcPr>
            <w:tcW w:w="3143" w:type="dxa"/>
            <w:tcBorders>
              <w:left w:val="nil"/>
              <w:right w:val="nil"/>
            </w:tcBorders>
            <w:shd w:val="clear" w:color="auto" w:fill="D0D1DB"/>
            <w:noWrap/>
            <w:vAlign w:val="center"/>
            <w:hideMark/>
          </w:tcPr>
          <w:p w14:paraId="46C76A44"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143" w:type="dxa"/>
            <w:tcBorders>
              <w:left w:val="nil"/>
              <w:right w:val="nil"/>
            </w:tcBorders>
            <w:shd w:val="clear" w:color="auto" w:fill="E5E9EB"/>
            <w:noWrap/>
            <w:vAlign w:val="center"/>
            <w:hideMark/>
          </w:tcPr>
          <w:p w14:paraId="6B449B13"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6" w:type="dxa"/>
            <w:tcBorders>
              <w:left w:val="nil"/>
              <w:right w:val="nil"/>
            </w:tcBorders>
            <w:noWrap/>
            <w:vAlign w:val="center"/>
            <w:hideMark/>
          </w:tcPr>
          <w:p w14:paraId="41FE2914" w14:textId="77777777" w:rsidR="00892164" w:rsidRPr="008609D1" w:rsidRDefault="00892164" w:rsidP="00D87E0B">
            <w:pPr>
              <w:rPr>
                <w:rFonts w:ascii="ITC Avant Garde" w:eastAsia="Times New Roman" w:hAnsi="ITC Avant Garde" w:cs="Arial"/>
                <w:sz w:val="20"/>
                <w:lang w:val="es-ES" w:eastAsia="es-ES"/>
              </w:rPr>
            </w:pPr>
          </w:p>
        </w:tc>
        <w:tc>
          <w:tcPr>
            <w:tcW w:w="1346" w:type="dxa"/>
            <w:tcBorders>
              <w:left w:val="nil"/>
              <w:right w:val="nil"/>
            </w:tcBorders>
            <w:noWrap/>
            <w:vAlign w:val="center"/>
          </w:tcPr>
          <w:p w14:paraId="4E7AC3CC"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7304F5" w:rsidRPr="008609D1" w14:paraId="6275949F" w14:textId="77777777" w:rsidTr="000E069D">
        <w:trPr>
          <w:trHeight w:val="340"/>
          <w:jc w:val="center"/>
        </w:trPr>
        <w:tc>
          <w:tcPr>
            <w:tcW w:w="3143" w:type="dxa"/>
            <w:tcBorders>
              <w:left w:val="nil"/>
              <w:bottom w:val="single" w:sz="4" w:space="0" w:color="244062"/>
              <w:right w:val="nil"/>
            </w:tcBorders>
            <w:shd w:val="clear" w:color="auto" w:fill="D0D1DB"/>
            <w:noWrap/>
            <w:vAlign w:val="center"/>
            <w:hideMark/>
          </w:tcPr>
          <w:p w14:paraId="2C9A2EC4"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n</w:t>
            </w:r>
          </w:p>
        </w:tc>
        <w:tc>
          <w:tcPr>
            <w:tcW w:w="3143" w:type="dxa"/>
            <w:tcBorders>
              <w:left w:val="nil"/>
              <w:bottom w:val="single" w:sz="4" w:space="0" w:color="244062"/>
              <w:right w:val="nil"/>
            </w:tcBorders>
            <w:shd w:val="clear" w:color="auto" w:fill="E5E9EB"/>
            <w:noWrap/>
            <w:vAlign w:val="center"/>
            <w:hideMark/>
          </w:tcPr>
          <w:p w14:paraId="3200D98A"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6" w:type="dxa"/>
            <w:tcBorders>
              <w:left w:val="nil"/>
              <w:bottom w:val="single" w:sz="4" w:space="0" w:color="244062"/>
              <w:right w:val="nil"/>
            </w:tcBorders>
            <w:noWrap/>
            <w:vAlign w:val="center"/>
            <w:hideMark/>
          </w:tcPr>
          <w:p w14:paraId="65A64FC8" w14:textId="77777777" w:rsidR="00892164" w:rsidRPr="008609D1" w:rsidRDefault="00892164" w:rsidP="00D87E0B">
            <w:pPr>
              <w:rPr>
                <w:rFonts w:ascii="ITC Avant Garde" w:eastAsia="Times New Roman" w:hAnsi="ITC Avant Garde" w:cs="Arial"/>
                <w:sz w:val="20"/>
                <w:lang w:val="es-ES" w:eastAsia="es-ES"/>
              </w:rPr>
            </w:pPr>
          </w:p>
        </w:tc>
        <w:tc>
          <w:tcPr>
            <w:tcW w:w="1346" w:type="dxa"/>
            <w:tcBorders>
              <w:left w:val="nil"/>
              <w:bottom w:val="single" w:sz="4" w:space="0" w:color="244062"/>
              <w:right w:val="nil"/>
            </w:tcBorders>
            <w:noWrap/>
            <w:vAlign w:val="center"/>
          </w:tcPr>
          <w:p w14:paraId="384FA4E4"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p>
        </w:tc>
      </w:tr>
    </w:tbl>
    <w:p w14:paraId="719A5409" w14:textId="77777777" w:rsidR="00892164" w:rsidRPr="008609D1" w:rsidRDefault="00892164" w:rsidP="007304F5">
      <w:pPr>
        <w:pStyle w:val="A3L2"/>
      </w:pPr>
      <w:bookmarkStart w:id="159" w:name="_Toc475468513"/>
      <w:bookmarkStart w:id="160" w:name="_Toc477515024"/>
      <w:bookmarkStart w:id="161" w:name="_Toc478774508"/>
      <w:r w:rsidRPr="008609D1">
        <w:lastRenderedPageBreak/>
        <w:t>Matriz de asignación de costos del balance de prueba (Nivel 0) a cuentas de costos por naturaleza (Nivel 1)</w:t>
      </w:r>
      <w:bookmarkEnd w:id="159"/>
      <w:bookmarkEnd w:id="160"/>
      <w:bookmarkEnd w:id="161"/>
    </w:p>
    <w:p w14:paraId="4896E3FE" w14:textId="77777777" w:rsidR="00892164" w:rsidRPr="008609D1" w:rsidRDefault="00892164" w:rsidP="00892164">
      <w:pPr>
        <w:pStyle w:val="Normalresolucion"/>
      </w:pPr>
      <w:r w:rsidRPr="008609D1">
        <w:t>Esta matriz deberá contener la asignación de costos de los registros financieros a cuentas de costos de Nivel 1. Esta asignación se realizará de una forma directa, por lo tanto, cada cuenta de costos del balance de prueba será asignada a una única cuenta de costos por naturaleza.</w:t>
      </w:r>
    </w:p>
    <w:p w14:paraId="5FB55187" w14:textId="59976F01" w:rsidR="00892164" w:rsidRDefault="00892164" w:rsidP="00385D9E">
      <w:pPr>
        <w:pStyle w:val="Normalresolucion"/>
        <w:rPr>
          <w:rtl/>
        </w:rPr>
      </w:pPr>
      <w:r w:rsidRPr="008609D1">
        <w:t>A continuación se presenta el formato que deberá ser co</w:t>
      </w:r>
      <w:r w:rsidR="00F24C39">
        <w:t>mpletado</w:t>
      </w:r>
      <w:r w:rsidRPr="008609D1">
        <w:t xml:space="preserve"> por los concesionarios para la entrega de esta información. Las categorías de costos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5144E2" w:rsidRPr="008609D1">
        <w:rPr>
          <w:rFonts w:hint="eastAsia"/>
          <w:cs/>
        </w:rPr>
        <w:t>‎</w:t>
      </w:r>
      <w:r w:rsidR="005144E2" w:rsidRPr="008609D1">
        <w:t>2.2</w:t>
      </w:r>
      <w:r w:rsidRPr="008609D1">
        <w:fldChar w:fldCharType="end"/>
      </w:r>
      <w:r w:rsidRPr="008609D1">
        <w:t xml:space="preserve"> del Anexo </w:t>
      </w:r>
      <w:r w:rsidR="004B3901" w:rsidRPr="008609D1">
        <w:t>3</w:t>
      </w:r>
      <w:r w:rsidRPr="008609D1">
        <w:rPr>
          <w:rtl/>
        </w:rPr>
        <w:t>.</w:t>
      </w:r>
    </w:p>
    <w:p w14:paraId="0F57874B" w14:textId="77777777" w:rsidR="005E47DD" w:rsidRPr="008609D1" w:rsidRDefault="005E47DD" w:rsidP="005E47DD">
      <w:pPr>
        <w:pStyle w:val="Descripcin"/>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6</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costos del balance de prueba (Nivel 0) a cuentas de costos por naturaleza (Nivel 1)</w:t>
      </w:r>
    </w:p>
    <w:tbl>
      <w:tblPr>
        <w:tblW w:w="5000" w:type="pct"/>
        <w:jc w:val="center"/>
        <w:tblLayout w:type="fixed"/>
        <w:tblCellMar>
          <w:left w:w="70" w:type="dxa"/>
          <w:right w:w="70" w:type="dxa"/>
        </w:tblCellMar>
        <w:tblLook w:val="04A0" w:firstRow="1" w:lastRow="0" w:firstColumn="1" w:lastColumn="0" w:noHBand="0" w:noVBand="1"/>
      </w:tblPr>
      <w:tblGrid>
        <w:gridCol w:w="3176"/>
        <w:gridCol w:w="3032"/>
        <w:gridCol w:w="1310"/>
        <w:gridCol w:w="1310"/>
      </w:tblGrid>
      <w:tr w:rsidR="00892164" w:rsidRPr="008609D1" w14:paraId="44EC459F" w14:textId="77777777" w:rsidTr="000E069D">
        <w:trPr>
          <w:trHeight w:val="340"/>
          <w:jc w:val="center"/>
        </w:trPr>
        <w:tc>
          <w:tcPr>
            <w:tcW w:w="3231"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4A05821B"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Cuentas de costos del balance de prueba (Nivel 0)</w:t>
            </w:r>
          </w:p>
        </w:tc>
        <w:tc>
          <w:tcPr>
            <w:tcW w:w="3085"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505D2C62"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Cuentas de costos por naturaleza (Nivel 1)</w:t>
            </w:r>
            <w:r w:rsidRPr="008609D1">
              <w:rPr>
                <w:rFonts w:ascii="ITC Avant Garde" w:eastAsia="Times New Roman" w:hAnsi="ITC Avant Garde" w:cs="Arial"/>
                <w:b/>
                <w:color w:val="FFFFFF" w:themeColor="background1"/>
                <w:sz w:val="20"/>
                <w:vertAlign w:val="superscript"/>
                <w:lang w:val="es-ES" w:eastAsia="es-ES"/>
              </w:rPr>
              <w:footnoteReference w:id="58"/>
            </w:r>
          </w:p>
        </w:tc>
        <w:tc>
          <w:tcPr>
            <w:tcW w:w="2662"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217C9EFE"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Año</w:t>
            </w:r>
          </w:p>
        </w:tc>
      </w:tr>
      <w:tr w:rsidR="007304F5" w:rsidRPr="008609D1" w14:paraId="6FC0D4F3" w14:textId="77777777" w:rsidTr="000E069D">
        <w:trPr>
          <w:trHeight w:val="340"/>
          <w:jc w:val="center"/>
        </w:trPr>
        <w:tc>
          <w:tcPr>
            <w:tcW w:w="3231"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3737CC50" w14:textId="77777777" w:rsidR="00892164" w:rsidRPr="008609D1" w:rsidRDefault="00892164" w:rsidP="00D87E0B">
            <w:pPr>
              <w:keepNext/>
              <w:spacing w:after="0"/>
              <w:rPr>
                <w:rFonts w:ascii="ITC Avant Garde" w:eastAsia="Times New Roman" w:hAnsi="ITC Avant Garde" w:cs="Arial"/>
                <w:b/>
                <w:color w:val="FFFFFF" w:themeColor="background1"/>
                <w:sz w:val="20"/>
                <w:lang w:val="es-ES" w:eastAsia="es-ES"/>
              </w:rPr>
            </w:pPr>
          </w:p>
        </w:tc>
        <w:tc>
          <w:tcPr>
            <w:tcW w:w="3085"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72A5F3F3" w14:textId="77777777" w:rsidR="00892164" w:rsidRPr="008609D1" w:rsidRDefault="00892164" w:rsidP="00D87E0B">
            <w:pPr>
              <w:keepNext/>
              <w:spacing w:after="0"/>
              <w:rPr>
                <w:rFonts w:ascii="ITC Avant Garde" w:eastAsia="Times New Roman" w:hAnsi="ITC Avant Garde" w:cs="Arial"/>
                <w:b/>
                <w:color w:val="FFFFFF" w:themeColor="background1"/>
                <w:sz w:val="20"/>
                <w:lang w:val="es-ES" w:eastAsia="es-ES"/>
              </w:rPr>
            </w:pPr>
          </w:p>
        </w:tc>
        <w:tc>
          <w:tcPr>
            <w:tcW w:w="1331"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638C97C7"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N-1</w:t>
            </w:r>
          </w:p>
        </w:tc>
        <w:tc>
          <w:tcPr>
            <w:tcW w:w="1331"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23A799B7"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w:t>
            </w:r>
          </w:p>
        </w:tc>
      </w:tr>
      <w:tr w:rsidR="00892164" w:rsidRPr="008609D1" w14:paraId="510B5113" w14:textId="77777777" w:rsidTr="000E069D">
        <w:trPr>
          <w:trHeight w:val="340"/>
          <w:jc w:val="center"/>
        </w:trPr>
        <w:tc>
          <w:tcPr>
            <w:tcW w:w="3231" w:type="dxa"/>
            <w:tcBorders>
              <w:top w:val="single" w:sz="4" w:space="0" w:color="244062"/>
              <w:bottom w:val="single" w:sz="4" w:space="0" w:color="auto"/>
            </w:tcBorders>
            <w:shd w:val="clear" w:color="auto" w:fill="D0D1DB"/>
            <w:noWrap/>
            <w:vAlign w:val="center"/>
            <w:hideMark/>
          </w:tcPr>
          <w:p w14:paraId="53B65574"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1</w:t>
            </w:r>
          </w:p>
        </w:tc>
        <w:tc>
          <w:tcPr>
            <w:tcW w:w="3085" w:type="dxa"/>
            <w:tcBorders>
              <w:top w:val="single" w:sz="4" w:space="0" w:color="244062"/>
              <w:bottom w:val="single" w:sz="4" w:space="0" w:color="auto"/>
            </w:tcBorders>
            <w:shd w:val="clear" w:color="auto" w:fill="E5E9EB"/>
            <w:noWrap/>
            <w:vAlign w:val="center"/>
            <w:hideMark/>
          </w:tcPr>
          <w:p w14:paraId="14F921A1"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Personal</w:t>
            </w:r>
          </w:p>
        </w:tc>
        <w:tc>
          <w:tcPr>
            <w:tcW w:w="1331" w:type="dxa"/>
            <w:tcBorders>
              <w:top w:val="single" w:sz="4" w:space="0" w:color="244062"/>
              <w:bottom w:val="single" w:sz="4" w:space="0" w:color="auto"/>
            </w:tcBorders>
            <w:noWrap/>
            <w:vAlign w:val="center"/>
            <w:hideMark/>
          </w:tcPr>
          <w:p w14:paraId="348BD2D7" w14:textId="77777777" w:rsidR="00892164" w:rsidRPr="008609D1" w:rsidRDefault="00892164" w:rsidP="00D87E0B">
            <w:pPr>
              <w:keepNext/>
              <w:rPr>
                <w:rFonts w:ascii="ITC Avant Garde" w:eastAsia="Times New Roman" w:hAnsi="ITC Avant Garde" w:cs="Arial"/>
                <w:sz w:val="20"/>
                <w:lang w:val="es-ES" w:eastAsia="es-ES"/>
              </w:rPr>
            </w:pPr>
          </w:p>
        </w:tc>
        <w:tc>
          <w:tcPr>
            <w:tcW w:w="1331" w:type="dxa"/>
            <w:tcBorders>
              <w:top w:val="single" w:sz="4" w:space="0" w:color="244062"/>
              <w:bottom w:val="single" w:sz="4" w:space="0" w:color="auto"/>
            </w:tcBorders>
            <w:noWrap/>
            <w:vAlign w:val="center"/>
            <w:hideMark/>
          </w:tcPr>
          <w:p w14:paraId="7324422B" w14:textId="77777777" w:rsidR="00892164" w:rsidRPr="008609D1" w:rsidRDefault="00892164" w:rsidP="00D87E0B">
            <w:pPr>
              <w:keepNext/>
              <w:spacing w:after="0"/>
              <w:rPr>
                <w:rFonts w:ascii="ITC Avant Garde" w:hAnsi="ITC Avant Garde"/>
                <w:sz w:val="20"/>
                <w:szCs w:val="20"/>
                <w:lang w:val="en-GB" w:eastAsia="en-GB"/>
              </w:rPr>
            </w:pPr>
          </w:p>
        </w:tc>
      </w:tr>
      <w:tr w:rsidR="00892164" w:rsidRPr="008609D1" w14:paraId="3B2E1C7C" w14:textId="77777777" w:rsidTr="000E069D">
        <w:trPr>
          <w:trHeight w:val="340"/>
          <w:jc w:val="center"/>
        </w:trPr>
        <w:tc>
          <w:tcPr>
            <w:tcW w:w="3231" w:type="dxa"/>
            <w:tcBorders>
              <w:top w:val="single" w:sz="4" w:space="0" w:color="auto"/>
              <w:bottom w:val="single" w:sz="4" w:space="0" w:color="auto"/>
            </w:tcBorders>
            <w:shd w:val="clear" w:color="auto" w:fill="D0D1DB"/>
            <w:noWrap/>
            <w:vAlign w:val="center"/>
            <w:hideMark/>
          </w:tcPr>
          <w:p w14:paraId="3A321DA5"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1</w:t>
            </w:r>
          </w:p>
        </w:tc>
        <w:tc>
          <w:tcPr>
            <w:tcW w:w="3085" w:type="dxa"/>
            <w:tcBorders>
              <w:top w:val="single" w:sz="4" w:space="0" w:color="auto"/>
              <w:bottom w:val="single" w:sz="4" w:space="0" w:color="auto"/>
            </w:tcBorders>
            <w:shd w:val="clear" w:color="auto" w:fill="E5E9EB"/>
            <w:noWrap/>
            <w:vAlign w:val="center"/>
            <w:hideMark/>
          </w:tcPr>
          <w:p w14:paraId="2FA81151" w14:textId="218A69FC" w:rsidR="00892164" w:rsidRPr="008609D1" w:rsidRDefault="00892164" w:rsidP="00897D57">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Arrendamiento</w:t>
            </w:r>
            <w:r w:rsidR="00897D57" w:rsidRPr="008609D1">
              <w:rPr>
                <w:rFonts w:ascii="ITC Avant Garde" w:eastAsia="Times New Roman" w:hAnsi="ITC Avant Garde" w:cs="Arial"/>
                <w:sz w:val="20"/>
                <w:lang w:val="es-ES" w:eastAsia="es-ES"/>
              </w:rPr>
              <w:t xml:space="preserve"> de infraestructura de telecomunicaciones</w:t>
            </w:r>
          </w:p>
        </w:tc>
        <w:tc>
          <w:tcPr>
            <w:tcW w:w="1331" w:type="dxa"/>
            <w:tcBorders>
              <w:top w:val="single" w:sz="4" w:space="0" w:color="auto"/>
              <w:bottom w:val="single" w:sz="4" w:space="0" w:color="auto"/>
            </w:tcBorders>
            <w:noWrap/>
            <w:vAlign w:val="center"/>
            <w:hideMark/>
          </w:tcPr>
          <w:p w14:paraId="5DAD2A1D" w14:textId="77777777" w:rsidR="00892164" w:rsidRPr="008609D1" w:rsidRDefault="00892164" w:rsidP="00D87E0B">
            <w:pPr>
              <w:keepNext/>
              <w:rPr>
                <w:rFonts w:ascii="ITC Avant Garde" w:eastAsia="Times New Roman" w:hAnsi="ITC Avant Garde" w:cs="Arial"/>
                <w:sz w:val="20"/>
                <w:lang w:val="es-ES" w:eastAsia="es-ES"/>
              </w:rPr>
            </w:pPr>
          </w:p>
        </w:tc>
        <w:tc>
          <w:tcPr>
            <w:tcW w:w="1331" w:type="dxa"/>
            <w:tcBorders>
              <w:top w:val="single" w:sz="4" w:space="0" w:color="auto"/>
              <w:bottom w:val="single" w:sz="4" w:space="0" w:color="auto"/>
            </w:tcBorders>
            <w:noWrap/>
            <w:vAlign w:val="center"/>
            <w:hideMark/>
          </w:tcPr>
          <w:p w14:paraId="573584A2" w14:textId="77777777" w:rsidR="00892164" w:rsidRPr="00154F13" w:rsidRDefault="00892164" w:rsidP="00D87E0B">
            <w:pPr>
              <w:keepNext/>
              <w:spacing w:after="0"/>
              <w:rPr>
                <w:rFonts w:ascii="ITC Avant Garde" w:hAnsi="ITC Avant Garde"/>
                <w:sz w:val="20"/>
                <w:szCs w:val="20"/>
                <w:lang w:eastAsia="en-GB"/>
              </w:rPr>
            </w:pPr>
          </w:p>
        </w:tc>
      </w:tr>
      <w:tr w:rsidR="00892164" w:rsidRPr="008609D1" w14:paraId="5756B107" w14:textId="77777777" w:rsidTr="000E069D">
        <w:trPr>
          <w:trHeight w:val="340"/>
          <w:jc w:val="center"/>
        </w:trPr>
        <w:tc>
          <w:tcPr>
            <w:tcW w:w="3231" w:type="dxa"/>
            <w:tcBorders>
              <w:top w:val="single" w:sz="4" w:space="0" w:color="auto"/>
              <w:bottom w:val="single" w:sz="4" w:space="0" w:color="auto"/>
            </w:tcBorders>
            <w:shd w:val="clear" w:color="auto" w:fill="D0D1DB"/>
            <w:noWrap/>
            <w:vAlign w:val="center"/>
            <w:hideMark/>
          </w:tcPr>
          <w:p w14:paraId="73078E85"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1</w:t>
            </w:r>
          </w:p>
        </w:tc>
        <w:tc>
          <w:tcPr>
            <w:tcW w:w="3085" w:type="dxa"/>
            <w:tcBorders>
              <w:top w:val="single" w:sz="4" w:space="0" w:color="auto"/>
              <w:bottom w:val="single" w:sz="4" w:space="0" w:color="auto"/>
            </w:tcBorders>
            <w:shd w:val="clear" w:color="auto" w:fill="E5E9EB"/>
            <w:noWrap/>
            <w:vAlign w:val="center"/>
            <w:hideMark/>
          </w:tcPr>
          <w:p w14:paraId="03F37D7B"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31" w:type="dxa"/>
            <w:tcBorders>
              <w:top w:val="single" w:sz="4" w:space="0" w:color="auto"/>
              <w:bottom w:val="single" w:sz="4" w:space="0" w:color="auto"/>
            </w:tcBorders>
            <w:noWrap/>
            <w:vAlign w:val="center"/>
            <w:hideMark/>
          </w:tcPr>
          <w:p w14:paraId="2F218039" w14:textId="77777777" w:rsidR="00892164" w:rsidRPr="008609D1" w:rsidRDefault="00892164" w:rsidP="00D87E0B">
            <w:pPr>
              <w:keepNext/>
              <w:rPr>
                <w:rFonts w:ascii="ITC Avant Garde" w:eastAsia="Times New Roman" w:hAnsi="ITC Avant Garde" w:cs="Arial"/>
                <w:sz w:val="20"/>
                <w:lang w:val="es-ES" w:eastAsia="es-ES"/>
              </w:rPr>
            </w:pPr>
          </w:p>
        </w:tc>
        <w:tc>
          <w:tcPr>
            <w:tcW w:w="1331" w:type="dxa"/>
            <w:tcBorders>
              <w:top w:val="single" w:sz="4" w:space="0" w:color="auto"/>
              <w:bottom w:val="single" w:sz="4" w:space="0" w:color="auto"/>
            </w:tcBorders>
            <w:noWrap/>
            <w:vAlign w:val="center"/>
            <w:hideMark/>
          </w:tcPr>
          <w:p w14:paraId="3340C873" w14:textId="77777777" w:rsidR="00892164" w:rsidRPr="008609D1" w:rsidRDefault="00892164" w:rsidP="00D87E0B">
            <w:pPr>
              <w:keepNext/>
              <w:spacing w:after="0"/>
              <w:rPr>
                <w:rFonts w:ascii="ITC Avant Garde" w:hAnsi="ITC Avant Garde"/>
                <w:sz w:val="20"/>
                <w:szCs w:val="20"/>
                <w:lang w:val="en-GB" w:eastAsia="en-GB"/>
              </w:rPr>
            </w:pPr>
          </w:p>
        </w:tc>
      </w:tr>
      <w:tr w:rsidR="00892164" w:rsidRPr="008609D1" w14:paraId="68319FFE" w14:textId="77777777" w:rsidTr="000E069D">
        <w:trPr>
          <w:trHeight w:val="340"/>
          <w:jc w:val="center"/>
        </w:trPr>
        <w:tc>
          <w:tcPr>
            <w:tcW w:w="3231" w:type="dxa"/>
            <w:tcBorders>
              <w:top w:val="single" w:sz="4" w:space="0" w:color="auto"/>
              <w:bottom w:val="single" w:sz="4" w:space="0" w:color="auto"/>
            </w:tcBorders>
            <w:shd w:val="clear" w:color="auto" w:fill="D0D1DB"/>
            <w:noWrap/>
            <w:vAlign w:val="center"/>
            <w:hideMark/>
          </w:tcPr>
          <w:p w14:paraId="33D23DCC"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2</w:t>
            </w:r>
          </w:p>
        </w:tc>
        <w:tc>
          <w:tcPr>
            <w:tcW w:w="3085" w:type="dxa"/>
            <w:tcBorders>
              <w:top w:val="single" w:sz="4" w:space="0" w:color="auto"/>
              <w:bottom w:val="single" w:sz="4" w:space="0" w:color="auto"/>
            </w:tcBorders>
            <w:shd w:val="clear" w:color="auto" w:fill="E5E9EB"/>
            <w:noWrap/>
            <w:vAlign w:val="center"/>
            <w:hideMark/>
          </w:tcPr>
          <w:p w14:paraId="2399964D"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Costos financieros</w:t>
            </w:r>
          </w:p>
        </w:tc>
        <w:tc>
          <w:tcPr>
            <w:tcW w:w="1331" w:type="dxa"/>
            <w:tcBorders>
              <w:top w:val="single" w:sz="4" w:space="0" w:color="auto"/>
              <w:bottom w:val="single" w:sz="4" w:space="0" w:color="auto"/>
            </w:tcBorders>
            <w:noWrap/>
            <w:vAlign w:val="center"/>
            <w:hideMark/>
          </w:tcPr>
          <w:p w14:paraId="5627BD9F" w14:textId="77777777" w:rsidR="00892164" w:rsidRPr="008609D1" w:rsidRDefault="00892164" w:rsidP="00D87E0B">
            <w:pPr>
              <w:keepNext/>
              <w:rPr>
                <w:rFonts w:ascii="ITC Avant Garde" w:eastAsia="Times New Roman" w:hAnsi="ITC Avant Garde" w:cs="Arial"/>
                <w:sz w:val="20"/>
                <w:lang w:val="es-ES" w:eastAsia="es-ES"/>
              </w:rPr>
            </w:pPr>
          </w:p>
        </w:tc>
        <w:tc>
          <w:tcPr>
            <w:tcW w:w="1331" w:type="dxa"/>
            <w:tcBorders>
              <w:top w:val="single" w:sz="4" w:space="0" w:color="auto"/>
              <w:bottom w:val="single" w:sz="4" w:space="0" w:color="auto"/>
            </w:tcBorders>
            <w:noWrap/>
            <w:vAlign w:val="center"/>
            <w:hideMark/>
          </w:tcPr>
          <w:p w14:paraId="4DA258B3" w14:textId="77777777" w:rsidR="00892164" w:rsidRPr="008609D1" w:rsidRDefault="00892164" w:rsidP="00D87E0B">
            <w:pPr>
              <w:keepNext/>
              <w:spacing w:after="0"/>
              <w:rPr>
                <w:rFonts w:ascii="ITC Avant Garde" w:hAnsi="ITC Avant Garde"/>
                <w:sz w:val="20"/>
                <w:szCs w:val="20"/>
                <w:lang w:val="en-GB" w:eastAsia="en-GB"/>
              </w:rPr>
            </w:pPr>
          </w:p>
        </w:tc>
      </w:tr>
      <w:tr w:rsidR="00892164" w:rsidRPr="008609D1" w14:paraId="5351A19C" w14:textId="77777777" w:rsidTr="000E069D">
        <w:trPr>
          <w:trHeight w:val="340"/>
          <w:jc w:val="center"/>
        </w:trPr>
        <w:tc>
          <w:tcPr>
            <w:tcW w:w="3231" w:type="dxa"/>
            <w:tcBorders>
              <w:top w:val="single" w:sz="4" w:space="0" w:color="auto"/>
              <w:bottom w:val="single" w:sz="4" w:space="0" w:color="auto"/>
            </w:tcBorders>
            <w:shd w:val="clear" w:color="auto" w:fill="D0D1DB"/>
            <w:noWrap/>
            <w:vAlign w:val="center"/>
            <w:hideMark/>
          </w:tcPr>
          <w:p w14:paraId="52D3D2BA"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2</w:t>
            </w:r>
          </w:p>
        </w:tc>
        <w:tc>
          <w:tcPr>
            <w:tcW w:w="3085" w:type="dxa"/>
            <w:tcBorders>
              <w:top w:val="single" w:sz="4" w:space="0" w:color="auto"/>
              <w:bottom w:val="single" w:sz="4" w:space="0" w:color="auto"/>
            </w:tcBorders>
            <w:shd w:val="clear" w:color="auto" w:fill="E5E9EB"/>
            <w:noWrap/>
            <w:vAlign w:val="center"/>
            <w:hideMark/>
          </w:tcPr>
          <w:p w14:paraId="2348024A"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31" w:type="dxa"/>
            <w:tcBorders>
              <w:top w:val="single" w:sz="4" w:space="0" w:color="auto"/>
              <w:bottom w:val="single" w:sz="4" w:space="0" w:color="auto"/>
            </w:tcBorders>
            <w:noWrap/>
            <w:vAlign w:val="center"/>
            <w:hideMark/>
          </w:tcPr>
          <w:p w14:paraId="1C8C86C2" w14:textId="77777777" w:rsidR="00892164" w:rsidRPr="008609D1" w:rsidRDefault="00892164" w:rsidP="00D87E0B">
            <w:pPr>
              <w:keepNext/>
              <w:rPr>
                <w:rFonts w:ascii="ITC Avant Garde" w:eastAsia="Times New Roman" w:hAnsi="ITC Avant Garde" w:cs="Arial"/>
                <w:sz w:val="20"/>
                <w:lang w:val="es-ES" w:eastAsia="es-ES"/>
              </w:rPr>
            </w:pPr>
          </w:p>
        </w:tc>
        <w:tc>
          <w:tcPr>
            <w:tcW w:w="1331" w:type="dxa"/>
            <w:tcBorders>
              <w:top w:val="single" w:sz="4" w:space="0" w:color="auto"/>
              <w:bottom w:val="single" w:sz="4" w:space="0" w:color="auto"/>
            </w:tcBorders>
            <w:noWrap/>
            <w:vAlign w:val="center"/>
            <w:hideMark/>
          </w:tcPr>
          <w:p w14:paraId="561A8AF4" w14:textId="77777777" w:rsidR="00892164" w:rsidRPr="008609D1" w:rsidRDefault="00892164" w:rsidP="00D87E0B">
            <w:pPr>
              <w:keepNext/>
              <w:spacing w:after="0"/>
              <w:rPr>
                <w:rFonts w:ascii="ITC Avant Garde" w:hAnsi="ITC Avant Garde"/>
                <w:sz w:val="20"/>
                <w:szCs w:val="20"/>
                <w:lang w:val="en-GB" w:eastAsia="en-GB"/>
              </w:rPr>
            </w:pPr>
          </w:p>
        </w:tc>
      </w:tr>
      <w:tr w:rsidR="00892164" w:rsidRPr="008609D1" w14:paraId="488B7462" w14:textId="77777777" w:rsidTr="000E069D">
        <w:trPr>
          <w:trHeight w:val="340"/>
          <w:jc w:val="center"/>
        </w:trPr>
        <w:tc>
          <w:tcPr>
            <w:tcW w:w="3231" w:type="dxa"/>
            <w:tcBorders>
              <w:top w:val="single" w:sz="4" w:space="0" w:color="auto"/>
              <w:bottom w:val="single" w:sz="4" w:space="0" w:color="auto"/>
            </w:tcBorders>
            <w:shd w:val="clear" w:color="auto" w:fill="D0D1DB"/>
            <w:noWrap/>
            <w:vAlign w:val="center"/>
            <w:hideMark/>
          </w:tcPr>
          <w:p w14:paraId="7DB1B7E2"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085" w:type="dxa"/>
            <w:tcBorders>
              <w:top w:val="single" w:sz="4" w:space="0" w:color="auto"/>
              <w:bottom w:val="single" w:sz="4" w:space="0" w:color="auto"/>
            </w:tcBorders>
            <w:shd w:val="clear" w:color="auto" w:fill="E5E9EB"/>
            <w:noWrap/>
            <w:vAlign w:val="center"/>
            <w:hideMark/>
          </w:tcPr>
          <w:p w14:paraId="25E84D9E"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31" w:type="dxa"/>
            <w:tcBorders>
              <w:top w:val="single" w:sz="4" w:space="0" w:color="auto"/>
              <w:bottom w:val="single" w:sz="4" w:space="0" w:color="auto"/>
            </w:tcBorders>
            <w:noWrap/>
            <w:vAlign w:val="center"/>
            <w:hideMark/>
          </w:tcPr>
          <w:p w14:paraId="5BF66B42" w14:textId="77777777" w:rsidR="00892164" w:rsidRPr="008609D1" w:rsidRDefault="00892164" w:rsidP="00D87E0B">
            <w:pPr>
              <w:keepNext/>
              <w:rPr>
                <w:rFonts w:ascii="ITC Avant Garde" w:eastAsia="Times New Roman" w:hAnsi="ITC Avant Garde" w:cs="Arial"/>
                <w:sz w:val="20"/>
                <w:lang w:val="es-ES" w:eastAsia="es-ES"/>
              </w:rPr>
            </w:pPr>
          </w:p>
        </w:tc>
        <w:tc>
          <w:tcPr>
            <w:tcW w:w="1331" w:type="dxa"/>
            <w:tcBorders>
              <w:top w:val="single" w:sz="4" w:space="0" w:color="auto"/>
              <w:bottom w:val="single" w:sz="4" w:space="0" w:color="auto"/>
            </w:tcBorders>
            <w:noWrap/>
            <w:vAlign w:val="center"/>
            <w:hideMark/>
          </w:tcPr>
          <w:p w14:paraId="177D9A0C" w14:textId="77777777" w:rsidR="00892164" w:rsidRPr="008609D1" w:rsidRDefault="00892164" w:rsidP="00D87E0B">
            <w:pPr>
              <w:keepNext/>
              <w:spacing w:after="0"/>
              <w:rPr>
                <w:rFonts w:ascii="ITC Avant Garde" w:hAnsi="ITC Avant Garde"/>
                <w:sz w:val="20"/>
                <w:szCs w:val="20"/>
                <w:lang w:val="en-GB" w:eastAsia="en-GB"/>
              </w:rPr>
            </w:pPr>
          </w:p>
        </w:tc>
      </w:tr>
      <w:tr w:rsidR="00892164" w:rsidRPr="008609D1" w14:paraId="41167167" w14:textId="77777777" w:rsidTr="000E069D">
        <w:trPr>
          <w:trHeight w:val="340"/>
          <w:jc w:val="center"/>
        </w:trPr>
        <w:tc>
          <w:tcPr>
            <w:tcW w:w="3231" w:type="dxa"/>
            <w:tcBorders>
              <w:top w:val="single" w:sz="4" w:space="0" w:color="auto"/>
              <w:bottom w:val="single" w:sz="4" w:space="0" w:color="244062"/>
            </w:tcBorders>
            <w:shd w:val="clear" w:color="auto" w:fill="D0D1DB"/>
            <w:noWrap/>
            <w:vAlign w:val="center"/>
            <w:hideMark/>
          </w:tcPr>
          <w:p w14:paraId="28FCAC05"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financiera n</w:t>
            </w:r>
          </w:p>
        </w:tc>
        <w:tc>
          <w:tcPr>
            <w:tcW w:w="3085" w:type="dxa"/>
            <w:tcBorders>
              <w:top w:val="single" w:sz="4" w:space="0" w:color="auto"/>
              <w:bottom w:val="single" w:sz="4" w:space="0" w:color="244062"/>
            </w:tcBorders>
            <w:shd w:val="clear" w:color="auto" w:fill="E5E9EB"/>
            <w:noWrap/>
            <w:vAlign w:val="center"/>
            <w:hideMark/>
          </w:tcPr>
          <w:p w14:paraId="005FFC2F"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31" w:type="dxa"/>
            <w:tcBorders>
              <w:top w:val="single" w:sz="4" w:space="0" w:color="auto"/>
              <w:bottom w:val="single" w:sz="4" w:space="0" w:color="244062"/>
            </w:tcBorders>
            <w:noWrap/>
            <w:vAlign w:val="center"/>
            <w:hideMark/>
          </w:tcPr>
          <w:p w14:paraId="7D5A4BAC" w14:textId="77777777" w:rsidR="00892164" w:rsidRPr="008609D1" w:rsidRDefault="00892164" w:rsidP="00D87E0B">
            <w:pPr>
              <w:keepNext/>
              <w:rPr>
                <w:rFonts w:ascii="ITC Avant Garde" w:eastAsia="Times New Roman" w:hAnsi="ITC Avant Garde" w:cs="Arial"/>
                <w:sz w:val="20"/>
                <w:lang w:val="es-ES" w:eastAsia="es-ES"/>
              </w:rPr>
            </w:pPr>
          </w:p>
        </w:tc>
        <w:tc>
          <w:tcPr>
            <w:tcW w:w="1331" w:type="dxa"/>
            <w:tcBorders>
              <w:top w:val="single" w:sz="4" w:space="0" w:color="auto"/>
              <w:bottom w:val="single" w:sz="4" w:space="0" w:color="244062"/>
            </w:tcBorders>
            <w:noWrap/>
            <w:vAlign w:val="center"/>
            <w:hideMark/>
          </w:tcPr>
          <w:p w14:paraId="0C15F2F6" w14:textId="77777777" w:rsidR="00892164" w:rsidRPr="008609D1" w:rsidRDefault="00892164" w:rsidP="00D87E0B">
            <w:pPr>
              <w:keepNext/>
              <w:spacing w:after="0"/>
              <w:rPr>
                <w:rFonts w:ascii="ITC Avant Garde" w:hAnsi="ITC Avant Garde"/>
                <w:sz w:val="20"/>
                <w:szCs w:val="20"/>
                <w:lang w:val="en-GB" w:eastAsia="en-GB"/>
              </w:rPr>
            </w:pPr>
          </w:p>
        </w:tc>
      </w:tr>
    </w:tbl>
    <w:p w14:paraId="21AC5A3F" w14:textId="77777777" w:rsidR="00892164" w:rsidRPr="008609D1" w:rsidRDefault="00892164" w:rsidP="007304F5">
      <w:pPr>
        <w:pStyle w:val="A3L2"/>
      </w:pPr>
      <w:bookmarkStart w:id="162" w:name="_Toc475468514"/>
      <w:bookmarkStart w:id="163" w:name="_Toc477515025"/>
      <w:bookmarkStart w:id="164" w:name="_Toc478774509"/>
      <w:r w:rsidRPr="008609D1">
        <w:t>Matriz de asignación de activo y pasivo del balance de prueba (Nivel 0) a cuentas de capital empleado por naturaleza (Nivel 1)</w:t>
      </w:r>
      <w:bookmarkEnd w:id="162"/>
      <w:bookmarkEnd w:id="163"/>
      <w:bookmarkEnd w:id="164"/>
    </w:p>
    <w:p w14:paraId="6C0EE845" w14:textId="77777777" w:rsidR="00892164" w:rsidRPr="008609D1" w:rsidRDefault="00892164" w:rsidP="00892164">
      <w:pPr>
        <w:pStyle w:val="Normalresolucion"/>
      </w:pPr>
      <w:r w:rsidRPr="008609D1">
        <w:t>Esta matriz deberá contener la asignación de cuentas de activo y pasivo del balance de prueba a cuentas de capital empleado de Nivel 1. Esta asignación se realizará de una forma directa, por lo tanto, cada cuenta de activo o pasivo del balance de prueba será asignada a una única cuenta de capital empleado.</w:t>
      </w:r>
    </w:p>
    <w:p w14:paraId="12F1808D" w14:textId="77777777" w:rsidR="00892164" w:rsidRDefault="00892164" w:rsidP="00F64BFF">
      <w:pPr>
        <w:pStyle w:val="Normalresolucion"/>
        <w:rPr>
          <w:rtl/>
        </w:rPr>
      </w:pPr>
      <w:r w:rsidRPr="008609D1">
        <w:t xml:space="preserve">A continuación se presenta el formato que deberá ser </w:t>
      </w:r>
      <w:r w:rsidR="00A32585" w:rsidRPr="008609D1">
        <w:t xml:space="preserve">completado </w:t>
      </w:r>
      <w:r w:rsidRPr="008609D1">
        <w:t xml:space="preserve">por los concesionarios para la entrega de esta información. Las categorías de capital </w:t>
      </w:r>
      <w:r w:rsidRPr="008609D1">
        <w:lastRenderedPageBreak/>
        <w:t xml:space="preserve">empleado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5144E2" w:rsidRPr="008609D1">
        <w:rPr>
          <w:rFonts w:hint="eastAsia"/>
          <w:cs/>
        </w:rPr>
        <w:t>‎</w:t>
      </w:r>
      <w:r w:rsidR="005144E2" w:rsidRPr="008609D1">
        <w:t>2.2</w:t>
      </w:r>
      <w:r w:rsidRPr="008609D1">
        <w:fldChar w:fldCharType="end"/>
      </w:r>
      <w:r w:rsidRPr="008609D1">
        <w:t xml:space="preserve"> del Anexo </w:t>
      </w:r>
      <w:r w:rsidR="004B3901" w:rsidRPr="008609D1">
        <w:t>3</w:t>
      </w:r>
      <w:r w:rsidRPr="008609D1">
        <w:rPr>
          <w:rtl/>
        </w:rPr>
        <w:t>.</w:t>
      </w:r>
    </w:p>
    <w:p w14:paraId="4BCA594D" w14:textId="77777777" w:rsidR="005E47DD" w:rsidRPr="008609D1" w:rsidRDefault="005E47DD" w:rsidP="005E47DD">
      <w:pPr>
        <w:pStyle w:val="Descripcin"/>
        <w:keepNext/>
        <w:keepLines/>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7</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activos y pasivos del balance de prueba (Nivel 0) a cuentas de capital empleado (Nivel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77"/>
        <w:gridCol w:w="3479"/>
        <w:gridCol w:w="1086"/>
        <w:gridCol w:w="1086"/>
      </w:tblGrid>
      <w:tr w:rsidR="007304F5" w:rsidRPr="008609D1" w14:paraId="377F7BF2" w14:textId="77777777" w:rsidTr="0052094D">
        <w:trPr>
          <w:trHeight w:val="340"/>
          <w:jc w:val="center"/>
        </w:trPr>
        <w:tc>
          <w:tcPr>
            <w:tcW w:w="3232"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55DD60D6" w14:textId="77777777" w:rsidR="00892164" w:rsidRPr="008609D1" w:rsidRDefault="00892164" w:rsidP="00C431D6">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Cuentas de activos y pasivos del balance de prueba (Nivel 0)</w:t>
            </w:r>
          </w:p>
        </w:tc>
        <w:tc>
          <w:tcPr>
            <w:tcW w:w="354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28D8D3C0" w14:textId="77777777" w:rsidR="00892164" w:rsidRPr="008609D1" w:rsidRDefault="00892164" w:rsidP="00C431D6">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Cuentas de capital empleado (Nivel 1)</w:t>
            </w:r>
            <w:r w:rsidRPr="008609D1">
              <w:rPr>
                <w:rFonts w:ascii="ITC Avant Garde" w:eastAsia="Times New Roman" w:hAnsi="ITC Avant Garde" w:cs="Arial"/>
                <w:b/>
                <w:color w:val="FFFFFF" w:themeColor="background1"/>
                <w:sz w:val="20"/>
                <w:vertAlign w:val="superscript"/>
                <w:lang w:val="es-ES" w:eastAsia="es-ES"/>
              </w:rPr>
              <w:footnoteReference w:id="59"/>
            </w:r>
          </w:p>
        </w:tc>
        <w:tc>
          <w:tcPr>
            <w:tcW w:w="2206"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214036B5" w14:textId="77777777" w:rsidR="00892164" w:rsidRPr="008609D1" w:rsidRDefault="00892164" w:rsidP="00C431D6">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Año</w:t>
            </w:r>
          </w:p>
        </w:tc>
      </w:tr>
      <w:tr w:rsidR="007304F5" w:rsidRPr="008609D1" w14:paraId="37B87C66" w14:textId="77777777" w:rsidTr="0052094D">
        <w:trPr>
          <w:trHeight w:val="340"/>
          <w:jc w:val="center"/>
        </w:trPr>
        <w:tc>
          <w:tcPr>
            <w:tcW w:w="3232"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30C2C39D" w14:textId="77777777" w:rsidR="00892164" w:rsidRPr="008609D1" w:rsidRDefault="00892164" w:rsidP="007304F5">
            <w:pPr>
              <w:keepNext/>
              <w:keepLines/>
              <w:spacing w:after="0"/>
              <w:rPr>
                <w:rFonts w:ascii="ITC Avant Garde" w:eastAsia="Times New Roman" w:hAnsi="ITC Avant Garde" w:cs="Arial"/>
                <w:b/>
                <w:color w:val="FFFFFF" w:themeColor="background1"/>
                <w:sz w:val="20"/>
                <w:lang w:val="es-ES" w:eastAsia="es-ES"/>
              </w:rPr>
            </w:pPr>
          </w:p>
        </w:tc>
        <w:tc>
          <w:tcPr>
            <w:tcW w:w="3540"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3AD72990" w14:textId="77777777" w:rsidR="00892164" w:rsidRPr="008609D1" w:rsidRDefault="00892164" w:rsidP="007304F5">
            <w:pPr>
              <w:keepNext/>
              <w:keepLines/>
              <w:spacing w:after="0"/>
              <w:rPr>
                <w:rFonts w:ascii="ITC Avant Garde" w:eastAsia="Times New Roman" w:hAnsi="ITC Avant Garde" w:cs="Arial"/>
                <w:b/>
                <w:color w:val="FFFFFF" w:themeColor="background1"/>
                <w:sz w:val="20"/>
                <w:lang w:val="es-ES" w:eastAsia="es-ES"/>
              </w:rPr>
            </w:pPr>
          </w:p>
        </w:tc>
        <w:tc>
          <w:tcPr>
            <w:tcW w:w="1103"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6B6256BF" w14:textId="77777777" w:rsidR="00892164" w:rsidRPr="008609D1" w:rsidRDefault="00892164" w:rsidP="00C431D6">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N-1</w:t>
            </w:r>
          </w:p>
        </w:tc>
        <w:tc>
          <w:tcPr>
            <w:tcW w:w="1103"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36A6CAA2" w14:textId="77777777" w:rsidR="00892164" w:rsidRPr="008609D1" w:rsidRDefault="00892164" w:rsidP="00C431D6">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w:t>
            </w:r>
          </w:p>
        </w:tc>
      </w:tr>
      <w:tr w:rsidR="007304F5" w:rsidRPr="008609D1" w14:paraId="76E6FABA" w14:textId="77777777" w:rsidTr="0052094D">
        <w:trPr>
          <w:trHeight w:val="340"/>
          <w:jc w:val="center"/>
        </w:trPr>
        <w:tc>
          <w:tcPr>
            <w:tcW w:w="3232" w:type="dxa"/>
            <w:tcBorders>
              <w:top w:val="single" w:sz="4" w:space="0" w:color="244062"/>
              <w:left w:val="nil"/>
              <w:right w:val="nil"/>
            </w:tcBorders>
            <w:shd w:val="clear" w:color="auto" w:fill="D0D1DB"/>
            <w:noWrap/>
            <w:vAlign w:val="center"/>
            <w:hideMark/>
          </w:tcPr>
          <w:p w14:paraId="3B891CD6"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activo 1</w:t>
            </w:r>
          </w:p>
        </w:tc>
        <w:tc>
          <w:tcPr>
            <w:tcW w:w="3540" w:type="dxa"/>
            <w:tcBorders>
              <w:top w:val="single" w:sz="4" w:space="0" w:color="244062"/>
              <w:left w:val="nil"/>
              <w:right w:val="nil"/>
            </w:tcBorders>
            <w:shd w:val="clear" w:color="auto" w:fill="E5E9EB"/>
            <w:noWrap/>
            <w:vAlign w:val="center"/>
            <w:hideMark/>
          </w:tcPr>
          <w:p w14:paraId="16241809" w14:textId="77777777" w:rsidR="00892164" w:rsidRPr="008609D1" w:rsidRDefault="00F8738C" w:rsidP="007304F5">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Efectivo y equivalentes</w:t>
            </w:r>
          </w:p>
        </w:tc>
        <w:tc>
          <w:tcPr>
            <w:tcW w:w="1103" w:type="dxa"/>
            <w:tcBorders>
              <w:top w:val="single" w:sz="4" w:space="0" w:color="244062"/>
              <w:left w:val="nil"/>
              <w:right w:val="nil"/>
            </w:tcBorders>
            <w:noWrap/>
            <w:vAlign w:val="center"/>
            <w:hideMark/>
          </w:tcPr>
          <w:p w14:paraId="01BAC007" w14:textId="77777777" w:rsidR="00892164" w:rsidRPr="008609D1" w:rsidRDefault="00892164" w:rsidP="007304F5">
            <w:pPr>
              <w:keepNext/>
              <w:keepLines/>
              <w:rPr>
                <w:rFonts w:ascii="ITC Avant Garde" w:eastAsia="Times New Roman" w:hAnsi="ITC Avant Garde" w:cs="Arial"/>
                <w:sz w:val="20"/>
                <w:lang w:val="es-ES" w:eastAsia="es-ES"/>
              </w:rPr>
            </w:pPr>
          </w:p>
        </w:tc>
        <w:tc>
          <w:tcPr>
            <w:tcW w:w="1103" w:type="dxa"/>
            <w:tcBorders>
              <w:top w:val="single" w:sz="4" w:space="0" w:color="244062"/>
              <w:left w:val="nil"/>
              <w:right w:val="nil"/>
            </w:tcBorders>
            <w:noWrap/>
            <w:vAlign w:val="center"/>
            <w:hideMark/>
          </w:tcPr>
          <w:p w14:paraId="74658D34" w14:textId="77777777" w:rsidR="00892164" w:rsidRPr="008609D1" w:rsidRDefault="00892164" w:rsidP="007304F5">
            <w:pPr>
              <w:keepNext/>
              <w:keepLines/>
              <w:spacing w:after="0"/>
              <w:rPr>
                <w:rFonts w:ascii="ITC Avant Garde" w:hAnsi="ITC Avant Garde"/>
                <w:sz w:val="20"/>
                <w:szCs w:val="20"/>
                <w:lang w:val="en-GB" w:eastAsia="en-GB"/>
              </w:rPr>
            </w:pPr>
          </w:p>
        </w:tc>
      </w:tr>
      <w:tr w:rsidR="007304F5" w:rsidRPr="008609D1" w14:paraId="1B6D21C6" w14:textId="77777777" w:rsidTr="0052094D">
        <w:trPr>
          <w:trHeight w:val="340"/>
          <w:jc w:val="center"/>
        </w:trPr>
        <w:tc>
          <w:tcPr>
            <w:tcW w:w="3232" w:type="dxa"/>
            <w:tcBorders>
              <w:left w:val="nil"/>
              <w:right w:val="nil"/>
            </w:tcBorders>
            <w:shd w:val="clear" w:color="auto" w:fill="D0D1DB"/>
            <w:noWrap/>
            <w:vAlign w:val="center"/>
            <w:hideMark/>
          </w:tcPr>
          <w:p w14:paraId="162DA5A3"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activo 1</w:t>
            </w:r>
          </w:p>
        </w:tc>
        <w:tc>
          <w:tcPr>
            <w:tcW w:w="3540" w:type="dxa"/>
            <w:tcBorders>
              <w:left w:val="nil"/>
              <w:right w:val="nil"/>
            </w:tcBorders>
            <w:shd w:val="clear" w:color="auto" w:fill="E5E9EB"/>
            <w:noWrap/>
            <w:vAlign w:val="center"/>
            <w:hideMark/>
          </w:tcPr>
          <w:p w14:paraId="70381FA0" w14:textId="77777777" w:rsidR="00892164" w:rsidRPr="008609D1" w:rsidRDefault="00F8738C" w:rsidP="007304F5">
            <w:pPr>
              <w:keepNext/>
              <w:keepLines/>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Cuentas por cobrar</w:t>
            </w:r>
            <w:r w:rsidRPr="008609D1" w:rsidDel="00F8738C">
              <w:rPr>
                <w:rFonts w:ascii="ITC Avant Garde" w:eastAsia="Times New Roman" w:hAnsi="ITC Avant Garde" w:cs="Arial"/>
                <w:sz w:val="20"/>
                <w:lang w:val="es-ES" w:eastAsia="es-ES"/>
              </w:rPr>
              <w:t xml:space="preserve"> </w:t>
            </w:r>
          </w:p>
        </w:tc>
        <w:tc>
          <w:tcPr>
            <w:tcW w:w="1103" w:type="dxa"/>
            <w:tcBorders>
              <w:left w:val="nil"/>
              <w:right w:val="nil"/>
            </w:tcBorders>
            <w:noWrap/>
            <w:vAlign w:val="center"/>
            <w:hideMark/>
          </w:tcPr>
          <w:p w14:paraId="34222CEB" w14:textId="77777777" w:rsidR="00892164" w:rsidRPr="008609D1" w:rsidRDefault="00892164" w:rsidP="007304F5">
            <w:pPr>
              <w:keepNext/>
              <w:keepLines/>
              <w:rPr>
                <w:rFonts w:ascii="ITC Avant Garde" w:eastAsia="Times New Roman" w:hAnsi="ITC Avant Garde" w:cs="Arial"/>
                <w:sz w:val="20"/>
                <w:lang w:val="es-ES" w:eastAsia="es-ES"/>
              </w:rPr>
            </w:pPr>
          </w:p>
        </w:tc>
        <w:tc>
          <w:tcPr>
            <w:tcW w:w="1103" w:type="dxa"/>
            <w:tcBorders>
              <w:left w:val="nil"/>
              <w:right w:val="nil"/>
            </w:tcBorders>
            <w:noWrap/>
            <w:vAlign w:val="center"/>
            <w:hideMark/>
          </w:tcPr>
          <w:p w14:paraId="1E220D83" w14:textId="77777777" w:rsidR="00892164" w:rsidRPr="008609D1" w:rsidRDefault="00892164" w:rsidP="007304F5">
            <w:pPr>
              <w:keepNext/>
              <w:keepLines/>
              <w:spacing w:after="0"/>
              <w:rPr>
                <w:rFonts w:ascii="ITC Avant Garde" w:hAnsi="ITC Avant Garde"/>
                <w:sz w:val="20"/>
                <w:szCs w:val="20"/>
                <w:lang w:val="en-GB" w:eastAsia="en-GB"/>
              </w:rPr>
            </w:pPr>
          </w:p>
        </w:tc>
      </w:tr>
      <w:tr w:rsidR="007304F5" w:rsidRPr="008609D1" w14:paraId="19461303" w14:textId="77777777" w:rsidTr="0052094D">
        <w:trPr>
          <w:trHeight w:val="340"/>
          <w:jc w:val="center"/>
        </w:trPr>
        <w:tc>
          <w:tcPr>
            <w:tcW w:w="3232" w:type="dxa"/>
            <w:tcBorders>
              <w:left w:val="nil"/>
              <w:right w:val="nil"/>
            </w:tcBorders>
            <w:shd w:val="clear" w:color="auto" w:fill="D0D1DB"/>
            <w:noWrap/>
            <w:vAlign w:val="center"/>
            <w:hideMark/>
          </w:tcPr>
          <w:p w14:paraId="44B571D6"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activo 1</w:t>
            </w:r>
          </w:p>
        </w:tc>
        <w:tc>
          <w:tcPr>
            <w:tcW w:w="3540" w:type="dxa"/>
            <w:tcBorders>
              <w:left w:val="nil"/>
              <w:right w:val="nil"/>
            </w:tcBorders>
            <w:shd w:val="clear" w:color="auto" w:fill="E5E9EB"/>
            <w:noWrap/>
            <w:vAlign w:val="center"/>
            <w:hideMark/>
          </w:tcPr>
          <w:p w14:paraId="7FDCEE76" w14:textId="77777777" w:rsidR="00892164" w:rsidRPr="008609D1" w:rsidRDefault="00892164" w:rsidP="007304F5">
            <w:pPr>
              <w:keepNext/>
              <w:keepLines/>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103" w:type="dxa"/>
            <w:tcBorders>
              <w:left w:val="nil"/>
              <w:right w:val="nil"/>
            </w:tcBorders>
            <w:noWrap/>
            <w:vAlign w:val="center"/>
            <w:hideMark/>
          </w:tcPr>
          <w:p w14:paraId="59B52F42" w14:textId="77777777" w:rsidR="00892164" w:rsidRPr="008609D1" w:rsidRDefault="00892164" w:rsidP="007304F5">
            <w:pPr>
              <w:keepNext/>
              <w:keepLines/>
              <w:rPr>
                <w:rFonts w:ascii="ITC Avant Garde" w:eastAsia="Times New Roman" w:hAnsi="ITC Avant Garde" w:cs="Arial"/>
                <w:sz w:val="20"/>
                <w:lang w:val="es-ES" w:eastAsia="es-ES"/>
              </w:rPr>
            </w:pPr>
          </w:p>
        </w:tc>
        <w:tc>
          <w:tcPr>
            <w:tcW w:w="1103" w:type="dxa"/>
            <w:tcBorders>
              <w:left w:val="nil"/>
              <w:right w:val="nil"/>
            </w:tcBorders>
            <w:noWrap/>
            <w:vAlign w:val="center"/>
            <w:hideMark/>
          </w:tcPr>
          <w:p w14:paraId="16E2E3B3" w14:textId="77777777" w:rsidR="00892164" w:rsidRPr="008609D1" w:rsidRDefault="00892164" w:rsidP="007304F5">
            <w:pPr>
              <w:keepNext/>
              <w:keepLines/>
              <w:spacing w:after="0"/>
              <w:rPr>
                <w:rFonts w:ascii="ITC Avant Garde" w:hAnsi="ITC Avant Garde"/>
                <w:sz w:val="20"/>
                <w:szCs w:val="20"/>
                <w:lang w:val="en-GB" w:eastAsia="en-GB"/>
              </w:rPr>
            </w:pPr>
          </w:p>
        </w:tc>
      </w:tr>
      <w:tr w:rsidR="00FA55F4" w:rsidRPr="008609D1" w14:paraId="62A56394" w14:textId="77777777" w:rsidTr="0052094D">
        <w:trPr>
          <w:trHeight w:val="340"/>
          <w:jc w:val="center"/>
        </w:trPr>
        <w:tc>
          <w:tcPr>
            <w:tcW w:w="3232" w:type="dxa"/>
            <w:tcBorders>
              <w:left w:val="nil"/>
              <w:right w:val="nil"/>
            </w:tcBorders>
            <w:shd w:val="clear" w:color="auto" w:fill="D0D1DB"/>
            <w:noWrap/>
            <w:vAlign w:val="center"/>
            <w:hideMark/>
          </w:tcPr>
          <w:p w14:paraId="30540A6B" w14:textId="77777777" w:rsidR="00FA55F4" w:rsidRPr="008609D1" w:rsidRDefault="00FA55F4" w:rsidP="00FA55F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pasivo 2</w:t>
            </w:r>
          </w:p>
        </w:tc>
        <w:tc>
          <w:tcPr>
            <w:tcW w:w="3540" w:type="dxa"/>
            <w:tcBorders>
              <w:left w:val="nil"/>
              <w:right w:val="nil"/>
            </w:tcBorders>
            <w:shd w:val="clear" w:color="auto" w:fill="E5E9EB"/>
            <w:noWrap/>
            <w:vAlign w:val="center"/>
            <w:hideMark/>
          </w:tcPr>
          <w:p w14:paraId="23208AC8" w14:textId="77777777" w:rsidR="00FA55F4" w:rsidRPr="008609D1" w:rsidRDefault="00FA55F4" w:rsidP="0052094D">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Deudas a proveedores (corto plazo)</w:t>
            </w:r>
          </w:p>
        </w:tc>
        <w:tc>
          <w:tcPr>
            <w:tcW w:w="1103" w:type="dxa"/>
            <w:tcBorders>
              <w:left w:val="nil"/>
              <w:right w:val="nil"/>
            </w:tcBorders>
            <w:noWrap/>
            <w:vAlign w:val="center"/>
            <w:hideMark/>
          </w:tcPr>
          <w:p w14:paraId="3278E151" w14:textId="77777777" w:rsidR="00FA55F4" w:rsidRPr="008609D1" w:rsidRDefault="00FA55F4" w:rsidP="00FA55F4">
            <w:pPr>
              <w:keepNext/>
              <w:keepLines/>
              <w:rPr>
                <w:rFonts w:ascii="ITC Avant Garde" w:eastAsia="Times New Roman" w:hAnsi="ITC Avant Garde" w:cs="Arial"/>
                <w:sz w:val="20"/>
                <w:lang w:val="es-ES" w:eastAsia="es-ES"/>
              </w:rPr>
            </w:pPr>
          </w:p>
        </w:tc>
        <w:tc>
          <w:tcPr>
            <w:tcW w:w="1103" w:type="dxa"/>
            <w:tcBorders>
              <w:left w:val="nil"/>
              <w:right w:val="nil"/>
            </w:tcBorders>
            <w:noWrap/>
            <w:vAlign w:val="center"/>
            <w:hideMark/>
          </w:tcPr>
          <w:p w14:paraId="62689EEA" w14:textId="77777777" w:rsidR="00FA55F4" w:rsidRPr="008609D1" w:rsidRDefault="00FA55F4" w:rsidP="00FA55F4">
            <w:pPr>
              <w:keepNext/>
              <w:keepLines/>
              <w:spacing w:after="0"/>
              <w:rPr>
                <w:rFonts w:ascii="ITC Avant Garde" w:hAnsi="ITC Avant Garde"/>
                <w:sz w:val="20"/>
                <w:szCs w:val="20"/>
                <w:lang w:val="es-ES" w:eastAsia="en-GB"/>
              </w:rPr>
            </w:pPr>
          </w:p>
        </w:tc>
      </w:tr>
      <w:tr w:rsidR="00FA55F4" w:rsidRPr="008609D1" w14:paraId="4668EA8D" w14:textId="77777777" w:rsidTr="0052094D">
        <w:trPr>
          <w:trHeight w:val="340"/>
          <w:jc w:val="center"/>
        </w:trPr>
        <w:tc>
          <w:tcPr>
            <w:tcW w:w="3232" w:type="dxa"/>
            <w:tcBorders>
              <w:left w:val="nil"/>
              <w:right w:val="nil"/>
            </w:tcBorders>
            <w:shd w:val="clear" w:color="auto" w:fill="D0D1DB"/>
            <w:noWrap/>
            <w:vAlign w:val="center"/>
            <w:hideMark/>
          </w:tcPr>
          <w:p w14:paraId="7DEA062B" w14:textId="77777777" w:rsidR="00FA55F4" w:rsidRPr="008609D1" w:rsidRDefault="00FA55F4" w:rsidP="00FA55F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pasivo 2</w:t>
            </w:r>
          </w:p>
        </w:tc>
        <w:tc>
          <w:tcPr>
            <w:tcW w:w="3540" w:type="dxa"/>
            <w:tcBorders>
              <w:left w:val="nil"/>
              <w:right w:val="nil"/>
            </w:tcBorders>
            <w:shd w:val="clear" w:color="auto" w:fill="E5E9EB"/>
            <w:noWrap/>
            <w:vAlign w:val="center"/>
            <w:hideMark/>
          </w:tcPr>
          <w:p w14:paraId="15FBA4EC" w14:textId="77777777" w:rsidR="00FA55F4" w:rsidRPr="008609D1" w:rsidRDefault="00FA55F4" w:rsidP="0052094D">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Ingresos diferidos</w:t>
            </w:r>
          </w:p>
        </w:tc>
        <w:tc>
          <w:tcPr>
            <w:tcW w:w="1103" w:type="dxa"/>
            <w:tcBorders>
              <w:left w:val="nil"/>
              <w:right w:val="nil"/>
            </w:tcBorders>
            <w:noWrap/>
            <w:vAlign w:val="center"/>
            <w:hideMark/>
          </w:tcPr>
          <w:p w14:paraId="71F2AA9A" w14:textId="77777777" w:rsidR="00FA55F4" w:rsidRPr="008609D1" w:rsidRDefault="00FA55F4" w:rsidP="00FA55F4">
            <w:pPr>
              <w:keepNext/>
              <w:keepLines/>
              <w:rPr>
                <w:rFonts w:ascii="ITC Avant Garde" w:eastAsia="Times New Roman" w:hAnsi="ITC Avant Garde" w:cs="Arial"/>
                <w:sz w:val="20"/>
                <w:lang w:val="es-ES" w:eastAsia="es-ES"/>
              </w:rPr>
            </w:pPr>
          </w:p>
        </w:tc>
        <w:tc>
          <w:tcPr>
            <w:tcW w:w="1103" w:type="dxa"/>
            <w:tcBorders>
              <w:left w:val="nil"/>
              <w:right w:val="nil"/>
            </w:tcBorders>
            <w:noWrap/>
            <w:vAlign w:val="center"/>
            <w:hideMark/>
          </w:tcPr>
          <w:p w14:paraId="0587D0FB" w14:textId="77777777" w:rsidR="00FA55F4" w:rsidRPr="008609D1" w:rsidRDefault="00FA55F4" w:rsidP="00FA55F4">
            <w:pPr>
              <w:keepNext/>
              <w:keepLines/>
              <w:spacing w:after="0"/>
              <w:rPr>
                <w:rFonts w:ascii="ITC Avant Garde" w:hAnsi="ITC Avant Garde"/>
                <w:sz w:val="20"/>
                <w:szCs w:val="20"/>
                <w:lang w:val="en-GB" w:eastAsia="en-GB"/>
              </w:rPr>
            </w:pPr>
          </w:p>
        </w:tc>
      </w:tr>
      <w:tr w:rsidR="007304F5" w:rsidRPr="008609D1" w14:paraId="02088D31" w14:textId="77777777" w:rsidTr="0052094D">
        <w:trPr>
          <w:trHeight w:val="340"/>
          <w:jc w:val="center"/>
        </w:trPr>
        <w:tc>
          <w:tcPr>
            <w:tcW w:w="3232" w:type="dxa"/>
            <w:tcBorders>
              <w:left w:val="nil"/>
              <w:right w:val="nil"/>
            </w:tcBorders>
            <w:shd w:val="clear" w:color="auto" w:fill="D0D1DB"/>
            <w:noWrap/>
            <w:vAlign w:val="center"/>
            <w:hideMark/>
          </w:tcPr>
          <w:p w14:paraId="41FAF3FF"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pasivo 2</w:t>
            </w:r>
          </w:p>
        </w:tc>
        <w:tc>
          <w:tcPr>
            <w:tcW w:w="3540" w:type="dxa"/>
            <w:tcBorders>
              <w:left w:val="nil"/>
              <w:right w:val="nil"/>
            </w:tcBorders>
            <w:shd w:val="clear" w:color="auto" w:fill="E5E9EB"/>
            <w:noWrap/>
            <w:vAlign w:val="center"/>
            <w:hideMark/>
          </w:tcPr>
          <w:p w14:paraId="536F5022"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103" w:type="dxa"/>
            <w:tcBorders>
              <w:left w:val="nil"/>
              <w:right w:val="nil"/>
            </w:tcBorders>
            <w:noWrap/>
            <w:vAlign w:val="center"/>
            <w:hideMark/>
          </w:tcPr>
          <w:p w14:paraId="706201AA" w14:textId="77777777" w:rsidR="00892164" w:rsidRPr="008609D1" w:rsidRDefault="00892164" w:rsidP="007304F5">
            <w:pPr>
              <w:keepNext/>
              <w:keepLines/>
              <w:rPr>
                <w:rFonts w:ascii="ITC Avant Garde" w:eastAsia="Times New Roman" w:hAnsi="ITC Avant Garde" w:cs="Arial"/>
                <w:sz w:val="20"/>
                <w:lang w:val="es-ES" w:eastAsia="es-ES"/>
              </w:rPr>
            </w:pPr>
          </w:p>
        </w:tc>
        <w:tc>
          <w:tcPr>
            <w:tcW w:w="1103" w:type="dxa"/>
            <w:tcBorders>
              <w:left w:val="nil"/>
              <w:right w:val="nil"/>
            </w:tcBorders>
            <w:noWrap/>
            <w:vAlign w:val="center"/>
            <w:hideMark/>
          </w:tcPr>
          <w:p w14:paraId="7AE6C460" w14:textId="77777777" w:rsidR="00892164" w:rsidRPr="008609D1" w:rsidRDefault="00892164" w:rsidP="007304F5">
            <w:pPr>
              <w:keepNext/>
              <w:keepLines/>
              <w:spacing w:after="0"/>
              <w:rPr>
                <w:rFonts w:ascii="ITC Avant Garde" w:hAnsi="ITC Avant Garde"/>
                <w:sz w:val="20"/>
                <w:szCs w:val="20"/>
                <w:lang w:val="en-GB" w:eastAsia="en-GB"/>
              </w:rPr>
            </w:pPr>
          </w:p>
        </w:tc>
      </w:tr>
      <w:tr w:rsidR="007304F5" w:rsidRPr="008609D1" w14:paraId="4231D6AC" w14:textId="77777777" w:rsidTr="0052094D">
        <w:trPr>
          <w:trHeight w:val="340"/>
          <w:jc w:val="center"/>
        </w:trPr>
        <w:tc>
          <w:tcPr>
            <w:tcW w:w="3232" w:type="dxa"/>
            <w:tcBorders>
              <w:left w:val="nil"/>
              <w:right w:val="nil"/>
            </w:tcBorders>
            <w:shd w:val="clear" w:color="auto" w:fill="D0D1DB"/>
            <w:noWrap/>
            <w:vAlign w:val="center"/>
            <w:hideMark/>
          </w:tcPr>
          <w:p w14:paraId="1D1D3D16"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540" w:type="dxa"/>
            <w:tcBorders>
              <w:left w:val="nil"/>
              <w:right w:val="nil"/>
            </w:tcBorders>
            <w:shd w:val="clear" w:color="auto" w:fill="E5E9EB"/>
            <w:noWrap/>
            <w:vAlign w:val="center"/>
            <w:hideMark/>
          </w:tcPr>
          <w:p w14:paraId="05BD35E3"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103" w:type="dxa"/>
            <w:tcBorders>
              <w:left w:val="nil"/>
              <w:right w:val="nil"/>
            </w:tcBorders>
            <w:noWrap/>
            <w:vAlign w:val="center"/>
            <w:hideMark/>
          </w:tcPr>
          <w:p w14:paraId="46C8F51F" w14:textId="77777777" w:rsidR="00892164" w:rsidRPr="008609D1" w:rsidRDefault="00892164" w:rsidP="007304F5">
            <w:pPr>
              <w:keepNext/>
              <w:keepLines/>
              <w:rPr>
                <w:rFonts w:ascii="ITC Avant Garde" w:eastAsia="Times New Roman" w:hAnsi="ITC Avant Garde" w:cs="Arial"/>
                <w:sz w:val="20"/>
                <w:lang w:val="es-ES" w:eastAsia="es-ES"/>
              </w:rPr>
            </w:pPr>
          </w:p>
        </w:tc>
        <w:tc>
          <w:tcPr>
            <w:tcW w:w="1103" w:type="dxa"/>
            <w:tcBorders>
              <w:left w:val="nil"/>
              <w:right w:val="nil"/>
            </w:tcBorders>
            <w:noWrap/>
            <w:vAlign w:val="center"/>
            <w:hideMark/>
          </w:tcPr>
          <w:p w14:paraId="26706DD2" w14:textId="77777777" w:rsidR="00892164" w:rsidRPr="008609D1" w:rsidRDefault="00892164" w:rsidP="007304F5">
            <w:pPr>
              <w:keepNext/>
              <w:keepLines/>
              <w:spacing w:after="0"/>
              <w:rPr>
                <w:rFonts w:ascii="ITC Avant Garde" w:hAnsi="ITC Avant Garde"/>
                <w:sz w:val="20"/>
                <w:szCs w:val="20"/>
                <w:lang w:val="en-GB" w:eastAsia="en-GB"/>
              </w:rPr>
            </w:pPr>
          </w:p>
        </w:tc>
      </w:tr>
      <w:tr w:rsidR="007304F5" w:rsidRPr="008609D1" w14:paraId="4A9F853F" w14:textId="77777777" w:rsidTr="0052094D">
        <w:trPr>
          <w:trHeight w:val="340"/>
          <w:jc w:val="center"/>
        </w:trPr>
        <w:tc>
          <w:tcPr>
            <w:tcW w:w="3232" w:type="dxa"/>
            <w:tcBorders>
              <w:left w:val="nil"/>
              <w:bottom w:val="single" w:sz="4" w:space="0" w:color="244062"/>
              <w:right w:val="nil"/>
            </w:tcBorders>
            <w:shd w:val="clear" w:color="auto" w:fill="D0D1DB"/>
            <w:noWrap/>
            <w:vAlign w:val="center"/>
            <w:hideMark/>
          </w:tcPr>
          <w:p w14:paraId="0D0565F8"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 n</w:t>
            </w:r>
          </w:p>
        </w:tc>
        <w:tc>
          <w:tcPr>
            <w:tcW w:w="3540" w:type="dxa"/>
            <w:tcBorders>
              <w:left w:val="nil"/>
              <w:bottom w:val="single" w:sz="4" w:space="0" w:color="244062"/>
              <w:right w:val="nil"/>
            </w:tcBorders>
            <w:shd w:val="clear" w:color="auto" w:fill="E5E9EB"/>
            <w:noWrap/>
            <w:vAlign w:val="center"/>
            <w:hideMark/>
          </w:tcPr>
          <w:p w14:paraId="23259AA3"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103" w:type="dxa"/>
            <w:tcBorders>
              <w:left w:val="nil"/>
              <w:bottom w:val="single" w:sz="4" w:space="0" w:color="244062"/>
              <w:right w:val="nil"/>
            </w:tcBorders>
            <w:noWrap/>
            <w:vAlign w:val="center"/>
            <w:hideMark/>
          </w:tcPr>
          <w:p w14:paraId="74AA13E3" w14:textId="77777777" w:rsidR="00892164" w:rsidRPr="008609D1" w:rsidRDefault="00892164" w:rsidP="007304F5">
            <w:pPr>
              <w:keepNext/>
              <w:keepLines/>
              <w:rPr>
                <w:rFonts w:ascii="ITC Avant Garde" w:eastAsia="Times New Roman" w:hAnsi="ITC Avant Garde" w:cs="Arial"/>
                <w:sz w:val="20"/>
                <w:lang w:val="es-ES" w:eastAsia="es-ES"/>
              </w:rPr>
            </w:pPr>
          </w:p>
        </w:tc>
        <w:tc>
          <w:tcPr>
            <w:tcW w:w="1103" w:type="dxa"/>
            <w:tcBorders>
              <w:left w:val="nil"/>
              <w:bottom w:val="single" w:sz="4" w:space="0" w:color="244062"/>
              <w:right w:val="nil"/>
            </w:tcBorders>
            <w:noWrap/>
            <w:vAlign w:val="center"/>
            <w:hideMark/>
          </w:tcPr>
          <w:p w14:paraId="3BC9DFE7" w14:textId="77777777" w:rsidR="00892164" w:rsidRPr="008609D1" w:rsidRDefault="00892164" w:rsidP="007304F5">
            <w:pPr>
              <w:keepNext/>
              <w:keepLines/>
              <w:spacing w:after="0"/>
              <w:rPr>
                <w:rFonts w:ascii="ITC Avant Garde" w:hAnsi="ITC Avant Garde"/>
                <w:sz w:val="20"/>
                <w:szCs w:val="20"/>
                <w:lang w:val="en-GB" w:eastAsia="en-GB"/>
              </w:rPr>
            </w:pPr>
          </w:p>
        </w:tc>
      </w:tr>
    </w:tbl>
    <w:p w14:paraId="59ED11E3" w14:textId="77777777" w:rsidR="00892164" w:rsidRPr="008609D1" w:rsidRDefault="00892164" w:rsidP="007304F5">
      <w:pPr>
        <w:pStyle w:val="A3L2"/>
      </w:pPr>
      <w:bookmarkStart w:id="165" w:name="_Toc475468515"/>
      <w:bookmarkStart w:id="166" w:name="_Toc477515026"/>
      <w:bookmarkStart w:id="167" w:name="_Toc478774510"/>
      <w:r w:rsidRPr="008609D1">
        <w:t>Matriz de asignación de costos por naturaleza (Nivel 1) a costos por actividades y elementos de red (Nivel 2)</w:t>
      </w:r>
      <w:bookmarkEnd w:id="165"/>
      <w:bookmarkEnd w:id="166"/>
      <w:bookmarkEnd w:id="167"/>
    </w:p>
    <w:p w14:paraId="76D40DC6" w14:textId="77777777" w:rsidR="00892164" w:rsidRPr="008609D1" w:rsidRDefault="00892164" w:rsidP="00892164">
      <w:pPr>
        <w:pStyle w:val="Normalresolucion"/>
      </w:pPr>
      <w:r w:rsidRPr="008609D1">
        <w:t>Esta matriz deberá contener la asignación de cuentas de costos por naturaleza a cuentas de costos por actividades y elementos de red de Nivel 2.</w:t>
      </w:r>
    </w:p>
    <w:p w14:paraId="40215CBE" w14:textId="56109C3F" w:rsidR="00892164" w:rsidRDefault="00892164" w:rsidP="00892164">
      <w:pPr>
        <w:pStyle w:val="Normalresolucion"/>
        <w:rPr>
          <w:rtl/>
        </w:rPr>
      </w:pPr>
      <w:r w:rsidRPr="008609D1">
        <w:t>A continuación se presenta el formato que deberá ser c</w:t>
      </w:r>
      <w:r w:rsidR="00CE0A04">
        <w:t>omple</w:t>
      </w:r>
      <w:r w:rsidRPr="008609D1">
        <w:t xml:space="preserve">tado por los concesionarios para la entrega de esta información. Las cuentas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5144E2" w:rsidRPr="008609D1">
        <w:rPr>
          <w:rFonts w:hint="eastAsia"/>
          <w:cs/>
        </w:rPr>
        <w:t>‎</w:t>
      </w:r>
      <w:r w:rsidR="005144E2" w:rsidRPr="008609D1">
        <w:t>2.2</w:t>
      </w:r>
      <w:r w:rsidRPr="008609D1">
        <w:fldChar w:fldCharType="end"/>
      </w:r>
      <w:r w:rsidRPr="008609D1">
        <w:t xml:space="preserve"> del Anexo </w:t>
      </w:r>
      <w:r w:rsidR="004B3901" w:rsidRPr="008609D1">
        <w:t>3</w:t>
      </w:r>
      <w:r w:rsidRPr="008609D1">
        <w:rPr>
          <w:rtl/>
        </w:rPr>
        <w:t>.</w:t>
      </w:r>
    </w:p>
    <w:p w14:paraId="7EBEFF30" w14:textId="77777777" w:rsidR="005E47DD" w:rsidRDefault="005E47DD" w:rsidP="00892164">
      <w:pPr>
        <w:pStyle w:val="Normalresolucion"/>
        <w:rPr>
          <w:rtl/>
        </w:rPr>
      </w:pPr>
    </w:p>
    <w:p w14:paraId="600E1566" w14:textId="77777777" w:rsidR="005E47DD" w:rsidRDefault="005E47DD" w:rsidP="00892164">
      <w:pPr>
        <w:pStyle w:val="Normalresolucion"/>
        <w:rPr>
          <w:rtl/>
        </w:rPr>
      </w:pPr>
    </w:p>
    <w:p w14:paraId="1757C65F" w14:textId="77777777" w:rsidR="005E47DD" w:rsidRDefault="005E47DD" w:rsidP="00892164">
      <w:pPr>
        <w:pStyle w:val="Normalresolucion"/>
        <w:rPr>
          <w:rtl/>
        </w:rPr>
      </w:pPr>
    </w:p>
    <w:p w14:paraId="1D61D599" w14:textId="77777777" w:rsidR="005E47DD" w:rsidRDefault="005E47DD" w:rsidP="00892164">
      <w:pPr>
        <w:pStyle w:val="Normalresolucion"/>
        <w:rPr>
          <w:rtl/>
        </w:rPr>
      </w:pPr>
    </w:p>
    <w:p w14:paraId="4452C77F" w14:textId="77777777" w:rsidR="005E47DD" w:rsidRPr="008609D1" w:rsidRDefault="005E47DD" w:rsidP="005E47DD">
      <w:pPr>
        <w:pStyle w:val="Descripcin"/>
        <w:keepNext/>
        <w:keepLines/>
        <w:spacing w:after="240" w:line="240" w:lineRule="auto"/>
        <w:rPr>
          <w:lang w:val="es-MX"/>
        </w:rPr>
      </w:pPr>
      <w:r w:rsidRPr="008609D1">
        <w:rPr>
          <w:rFonts w:ascii="ITC Avant Garde" w:hAnsi="ITC Avant Garde"/>
          <w:iCs/>
          <w:sz w:val="20"/>
          <w:lang w:val="es-MX"/>
        </w:rPr>
        <w:lastRenderedPageBreak/>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8</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costos por naturaleza (Nivel 1) a cuentas de costos por actividades y elementos de red (Nivel 2)</w:t>
      </w:r>
    </w:p>
    <w:p w14:paraId="5F15813A" w14:textId="77777777" w:rsidR="005E47DD" w:rsidRPr="008609D1" w:rsidRDefault="005E47DD" w:rsidP="00892164">
      <w:pPr>
        <w:pStyle w:val="Normalresolucion"/>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39"/>
        <w:gridCol w:w="3244"/>
        <w:gridCol w:w="1322"/>
        <w:gridCol w:w="1323"/>
      </w:tblGrid>
      <w:tr w:rsidR="007304F5" w:rsidRPr="008609D1" w14:paraId="6D76A454" w14:textId="77777777" w:rsidTr="0052094D">
        <w:trPr>
          <w:trHeight w:val="340"/>
          <w:tblHeader/>
          <w:jc w:val="center"/>
        </w:trPr>
        <w:tc>
          <w:tcPr>
            <w:tcW w:w="2991"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5AEFA995" w14:textId="77777777" w:rsidR="00892164" w:rsidRPr="008609D1" w:rsidRDefault="00892164" w:rsidP="00C431D6">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Cuentas de costos por naturaleza (Nivel 1)</w:t>
            </w:r>
            <w:r w:rsidRPr="008609D1">
              <w:rPr>
                <w:rStyle w:val="Refdenotaalpie"/>
                <w:rFonts w:ascii="ITC Avant Garde" w:eastAsia="Times New Roman" w:hAnsi="ITC Avant Garde" w:cs="Arial"/>
                <w:b/>
                <w:color w:val="FFFFFF" w:themeColor="background1"/>
                <w:sz w:val="20"/>
                <w:lang w:val="es-ES" w:eastAsia="es-ES"/>
              </w:rPr>
              <w:footnoteReference w:id="60"/>
            </w:r>
          </w:p>
        </w:tc>
        <w:tc>
          <w:tcPr>
            <w:tcW w:w="330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37499AB0" w14:textId="77777777" w:rsidR="00892164" w:rsidRPr="008609D1" w:rsidRDefault="00892164" w:rsidP="00C431D6">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Cuentas de costos por actividades y elementos de red (Nivel 2)</w:t>
            </w:r>
            <w:r w:rsidRPr="008609D1">
              <w:rPr>
                <w:rFonts w:ascii="ITC Avant Garde" w:eastAsia="Times New Roman" w:hAnsi="ITC Avant Garde" w:cs="Arial"/>
                <w:b/>
                <w:color w:val="FFFFFF" w:themeColor="background1"/>
                <w:sz w:val="20"/>
                <w:vertAlign w:val="superscript"/>
                <w:lang w:val="es-ES" w:eastAsia="es-ES"/>
              </w:rPr>
              <w:footnoteReference w:id="61"/>
            </w:r>
          </w:p>
        </w:tc>
        <w:tc>
          <w:tcPr>
            <w:tcW w:w="2687"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1DC01873" w14:textId="77777777" w:rsidR="00892164" w:rsidRPr="008609D1" w:rsidRDefault="00892164" w:rsidP="00C431D6">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Año</w:t>
            </w:r>
          </w:p>
        </w:tc>
      </w:tr>
      <w:tr w:rsidR="007304F5" w:rsidRPr="008609D1" w14:paraId="703510EC" w14:textId="77777777" w:rsidTr="0052094D">
        <w:trPr>
          <w:trHeight w:val="340"/>
          <w:tblHeader/>
          <w:jc w:val="center"/>
        </w:trPr>
        <w:tc>
          <w:tcPr>
            <w:tcW w:w="2991"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7B8B1F53" w14:textId="77777777" w:rsidR="00892164" w:rsidRPr="008609D1" w:rsidRDefault="00892164" w:rsidP="007304F5">
            <w:pPr>
              <w:keepNext/>
              <w:keepLines/>
              <w:spacing w:after="0"/>
              <w:rPr>
                <w:rFonts w:ascii="ITC Avant Garde" w:eastAsia="Times New Roman" w:hAnsi="ITC Avant Garde" w:cs="Arial"/>
                <w:b/>
                <w:color w:val="FFFFFF" w:themeColor="background1"/>
                <w:sz w:val="20"/>
                <w:lang w:val="es-ES" w:eastAsia="es-ES"/>
              </w:rPr>
            </w:pPr>
          </w:p>
        </w:tc>
        <w:tc>
          <w:tcPr>
            <w:tcW w:w="3300"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233DBA40" w14:textId="77777777" w:rsidR="00892164" w:rsidRPr="008609D1" w:rsidRDefault="00892164" w:rsidP="007304F5">
            <w:pPr>
              <w:keepNext/>
              <w:keepLines/>
              <w:spacing w:after="0"/>
              <w:rPr>
                <w:rFonts w:ascii="ITC Avant Garde" w:eastAsia="Times New Roman" w:hAnsi="ITC Avant Garde" w:cs="Arial"/>
                <w:b/>
                <w:color w:val="FFFFFF" w:themeColor="background1"/>
                <w:sz w:val="20"/>
                <w:lang w:val="es-ES" w:eastAsia="es-ES"/>
              </w:rPr>
            </w:pPr>
          </w:p>
        </w:tc>
        <w:tc>
          <w:tcPr>
            <w:tcW w:w="1343"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121EEFE9" w14:textId="77777777" w:rsidR="00892164" w:rsidRPr="008609D1" w:rsidRDefault="00892164" w:rsidP="00C431D6">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N-1</w:t>
            </w:r>
          </w:p>
        </w:tc>
        <w:tc>
          <w:tcPr>
            <w:tcW w:w="1344"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47E67C22" w14:textId="77777777" w:rsidR="00892164" w:rsidRPr="008609D1" w:rsidRDefault="00892164" w:rsidP="00C431D6">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w:t>
            </w:r>
          </w:p>
        </w:tc>
      </w:tr>
      <w:tr w:rsidR="007304F5" w:rsidRPr="008609D1" w14:paraId="13429B0E" w14:textId="77777777" w:rsidTr="0052094D">
        <w:trPr>
          <w:trHeight w:val="300"/>
          <w:jc w:val="center"/>
        </w:trPr>
        <w:tc>
          <w:tcPr>
            <w:tcW w:w="2991" w:type="dxa"/>
            <w:tcBorders>
              <w:top w:val="single" w:sz="4" w:space="0" w:color="244062"/>
              <w:left w:val="nil"/>
              <w:right w:val="nil"/>
            </w:tcBorders>
            <w:shd w:val="clear" w:color="auto" w:fill="D0D1DB"/>
            <w:noWrap/>
            <w:vAlign w:val="center"/>
            <w:hideMark/>
          </w:tcPr>
          <w:p w14:paraId="3ED70F24" w14:textId="77777777" w:rsidR="00892164" w:rsidRPr="008609D1" w:rsidRDefault="00E9701E"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Tránsito de Internet</w:t>
            </w:r>
          </w:p>
        </w:tc>
        <w:tc>
          <w:tcPr>
            <w:tcW w:w="3300" w:type="dxa"/>
            <w:tcBorders>
              <w:top w:val="single" w:sz="4" w:space="0" w:color="244062"/>
              <w:left w:val="nil"/>
              <w:right w:val="nil"/>
            </w:tcBorders>
            <w:shd w:val="clear" w:color="auto" w:fill="E5E9EB"/>
            <w:noWrap/>
            <w:vAlign w:val="center"/>
            <w:hideMark/>
          </w:tcPr>
          <w:p w14:paraId="5B6CB703" w14:textId="77777777" w:rsidR="00892164" w:rsidRPr="008609D1" w:rsidRDefault="006820C7"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Tránsito de Internet</w:t>
            </w:r>
          </w:p>
        </w:tc>
        <w:tc>
          <w:tcPr>
            <w:tcW w:w="1343" w:type="dxa"/>
            <w:tcBorders>
              <w:top w:val="single" w:sz="4" w:space="0" w:color="244062"/>
              <w:left w:val="nil"/>
              <w:right w:val="nil"/>
            </w:tcBorders>
            <w:noWrap/>
            <w:vAlign w:val="center"/>
          </w:tcPr>
          <w:p w14:paraId="74B5CD3F"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c>
          <w:tcPr>
            <w:tcW w:w="1344" w:type="dxa"/>
            <w:tcBorders>
              <w:top w:val="single" w:sz="4" w:space="0" w:color="244062"/>
              <w:left w:val="nil"/>
              <w:right w:val="nil"/>
            </w:tcBorders>
            <w:noWrap/>
            <w:vAlign w:val="center"/>
          </w:tcPr>
          <w:p w14:paraId="7D8FDDF2"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r>
      <w:tr w:rsidR="007304F5" w:rsidRPr="008609D1" w14:paraId="3AEC15BF" w14:textId="77777777" w:rsidTr="0052094D">
        <w:trPr>
          <w:trHeight w:val="300"/>
          <w:jc w:val="center"/>
        </w:trPr>
        <w:tc>
          <w:tcPr>
            <w:tcW w:w="2991" w:type="dxa"/>
            <w:tcBorders>
              <w:left w:val="nil"/>
              <w:right w:val="nil"/>
            </w:tcBorders>
            <w:shd w:val="clear" w:color="auto" w:fill="D0D1DB"/>
            <w:noWrap/>
            <w:vAlign w:val="center"/>
            <w:hideMark/>
          </w:tcPr>
          <w:p w14:paraId="7D433196" w14:textId="77777777" w:rsidR="00892164" w:rsidRPr="008609D1" w:rsidRDefault="00E9701E"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Tránsito de Internet</w:t>
            </w:r>
          </w:p>
        </w:tc>
        <w:tc>
          <w:tcPr>
            <w:tcW w:w="3300" w:type="dxa"/>
            <w:tcBorders>
              <w:left w:val="nil"/>
              <w:right w:val="nil"/>
            </w:tcBorders>
            <w:shd w:val="clear" w:color="auto" w:fill="E5E9EB"/>
            <w:noWrap/>
            <w:vAlign w:val="center"/>
            <w:hideMark/>
          </w:tcPr>
          <w:p w14:paraId="15D24EF7"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1343" w:type="dxa"/>
            <w:tcBorders>
              <w:left w:val="nil"/>
              <w:right w:val="nil"/>
            </w:tcBorders>
            <w:noWrap/>
            <w:vAlign w:val="center"/>
          </w:tcPr>
          <w:p w14:paraId="402C1CCB"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14:paraId="77596106"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r>
      <w:tr w:rsidR="007304F5" w:rsidRPr="008609D1" w14:paraId="507DF521" w14:textId="77777777" w:rsidTr="0052094D">
        <w:trPr>
          <w:trHeight w:val="300"/>
          <w:jc w:val="center"/>
        </w:trPr>
        <w:tc>
          <w:tcPr>
            <w:tcW w:w="2991" w:type="dxa"/>
            <w:tcBorders>
              <w:left w:val="nil"/>
              <w:right w:val="nil"/>
            </w:tcBorders>
            <w:shd w:val="clear" w:color="auto" w:fill="D0D1DB"/>
            <w:noWrap/>
            <w:vAlign w:val="center"/>
            <w:hideMark/>
          </w:tcPr>
          <w:p w14:paraId="0E0B0FE4" w14:textId="77777777" w:rsidR="00892164" w:rsidRPr="008609D1" w:rsidRDefault="00E9701E"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Tránsito de Internet</w:t>
            </w:r>
          </w:p>
        </w:tc>
        <w:tc>
          <w:tcPr>
            <w:tcW w:w="3300" w:type="dxa"/>
            <w:tcBorders>
              <w:left w:val="nil"/>
              <w:right w:val="nil"/>
            </w:tcBorders>
            <w:shd w:val="clear" w:color="auto" w:fill="E5E9EB"/>
            <w:noWrap/>
            <w:vAlign w:val="center"/>
            <w:hideMark/>
          </w:tcPr>
          <w:p w14:paraId="596D4697"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3" w:type="dxa"/>
            <w:tcBorders>
              <w:left w:val="nil"/>
              <w:right w:val="nil"/>
            </w:tcBorders>
            <w:noWrap/>
            <w:vAlign w:val="center"/>
          </w:tcPr>
          <w:p w14:paraId="5039E180"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14:paraId="578CD2C0"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r>
      <w:tr w:rsidR="00FA55F4" w:rsidRPr="008609D1" w14:paraId="029E5965" w14:textId="77777777" w:rsidTr="0052094D">
        <w:trPr>
          <w:trHeight w:val="300"/>
          <w:jc w:val="center"/>
        </w:trPr>
        <w:tc>
          <w:tcPr>
            <w:tcW w:w="2991" w:type="dxa"/>
            <w:tcBorders>
              <w:left w:val="nil"/>
              <w:right w:val="nil"/>
            </w:tcBorders>
            <w:shd w:val="clear" w:color="auto" w:fill="D0D1DB"/>
            <w:noWrap/>
            <w:vAlign w:val="center"/>
            <w:hideMark/>
          </w:tcPr>
          <w:p w14:paraId="0B31C39D" w14:textId="77777777" w:rsidR="00FA55F4" w:rsidRPr="008609D1" w:rsidRDefault="00FA55F4" w:rsidP="00FA55F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Personal</w:t>
            </w:r>
          </w:p>
        </w:tc>
        <w:tc>
          <w:tcPr>
            <w:tcW w:w="3300" w:type="dxa"/>
            <w:tcBorders>
              <w:left w:val="nil"/>
              <w:right w:val="nil"/>
            </w:tcBorders>
            <w:shd w:val="clear" w:color="auto" w:fill="E5E9EB"/>
            <w:noWrap/>
            <w:vAlign w:val="center"/>
            <w:hideMark/>
          </w:tcPr>
          <w:p w14:paraId="0F2A2299" w14:textId="77777777" w:rsidR="00FA55F4" w:rsidRPr="008609D1" w:rsidRDefault="00FA55F4" w:rsidP="00FA55F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generales y de gestión</w:t>
            </w:r>
            <w:r w:rsidRPr="008609D1">
              <w:rPr>
                <w:rFonts w:ascii="ITC Avant Garde" w:eastAsia="Times New Roman" w:hAnsi="ITC Avant Garde" w:cs="Arial"/>
                <w:sz w:val="20"/>
                <w:lang w:val="es-ES" w:eastAsia="es-ES"/>
              </w:rPr>
              <w:br/>
              <w:t>– minoristas</w:t>
            </w:r>
          </w:p>
        </w:tc>
        <w:tc>
          <w:tcPr>
            <w:tcW w:w="1343" w:type="dxa"/>
            <w:tcBorders>
              <w:left w:val="nil"/>
              <w:right w:val="nil"/>
            </w:tcBorders>
            <w:noWrap/>
            <w:vAlign w:val="center"/>
          </w:tcPr>
          <w:p w14:paraId="5E7E02C6" w14:textId="77777777" w:rsidR="00FA55F4" w:rsidRPr="008609D1" w:rsidRDefault="00FA55F4" w:rsidP="00FA55F4">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14:paraId="233D52CD" w14:textId="77777777" w:rsidR="00FA55F4" w:rsidRPr="008609D1" w:rsidRDefault="00FA55F4" w:rsidP="00FA55F4">
            <w:pPr>
              <w:keepNext/>
              <w:keepLines/>
              <w:spacing w:before="40" w:after="40" w:line="240" w:lineRule="auto"/>
              <w:rPr>
                <w:rFonts w:ascii="ITC Avant Garde" w:eastAsia="Times New Roman" w:hAnsi="ITC Avant Garde" w:cs="Arial"/>
                <w:sz w:val="20"/>
                <w:lang w:val="es-ES" w:eastAsia="es-ES"/>
              </w:rPr>
            </w:pPr>
          </w:p>
        </w:tc>
      </w:tr>
      <w:tr w:rsidR="00FA55F4" w:rsidRPr="008609D1" w14:paraId="5AFEF639" w14:textId="77777777" w:rsidTr="000E069D">
        <w:trPr>
          <w:trHeight w:val="300"/>
          <w:jc w:val="center"/>
        </w:trPr>
        <w:tc>
          <w:tcPr>
            <w:tcW w:w="2991" w:type="dxa"/>
            <w:tcBorders>
              <w:left w:val="nil"/>
              <w:right w:val="nil"/>
            </w:tcBorders>
            <w:shd w:val="clear" w:color="auto" w:fill="D0D1DB"/>
            <w:noWrap/>
            <w:vAlign w:val="center"/>
            <w:hideMark/>
          </w:tcPr>
          <w:p w14:paraId="0FD81FC8" w14:textId="77777777" w:rsidR="00FA55F4" w:rsidRPr="008609D1" w:rsidRDefault="00FA55F4" w:rsidP="00FA55F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Personal</w:t>
            </w:r>
          </w:p>
        </w:tc>
        <w:tc>
          <w:tcPr>
            <w:tcW w:w="3300" w:type="dxa"/>
            <w:tcBorders>
              <w:left w:val="nil"/>
              <w:right w:val="nil"/>
            </w:tcBorders>
            <w:shd w:val="clear" w:color="auto" w:fill="E5E9EB"/>
            <w:noWrap/>
            <w:vAlign w:val="center"/>
            <w:hideMark/>
          </w:tcPr>
          <w:p w14:paraId="7147F5F3" w14:textId="77777777" w:rsidR="00FA55F4" w:rsidRPr="008609D1" w:rsidRDefault="00FA55F4" w:rsidP="00FA55F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generales y de gestión</w:t>
            </w:r>
            <w:r w:rsidRPr="008609D1">
              <w:rPr>
                <w:rFonts w:ascii="ITC Avant Garde" w:eastAsia="Times New Roman" w:hAnsi="ITC Avant Garde" w:cs="Arial"/>
                <w:sz w:val="20"/>
                <w:lang w:val="es-ES" w:eastAsia="es-ES"/>
              </w:rPr>
              <w:br/>
              <w:t>– red</w:t>
            </w:r>
          </w:p>
        </w:tc>
        <w:tc>
          <w:tcPr>
            <w:tcW w:w="1343" w:type="dxa"/>
            <w:tcBorders>
              <w:left w:val="nil"/>
              <w:right w:val="nil"/>
            </w:tcBorders>
            <w:noWrap/>
            <w:vAlign w:val="center"/>
          </w:tcPr>
          <w:p w14:paraId="70B36841" w14:textId="77777777" w:rsidR="00FA55F4" w:rsidRPr="008609D1" w:rsidRDefault="00FA55F4" w:rsidP="00FA55F4">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14:paraId="2DB384EB" w14:textId="77777777" w:rsidR="00FA55F4" w:rsidRPr="008609D1" w:rsidRDefault="00FA55F4" w:rsidP="00FA55F4">
            <w:pPr>
              <w:keepNext/>
              <w:keepLines/>
              <w:spacing w:before="40" w:after="40" w:line="240" w:lineRule="auto"/>
              <w:rPr>
                <w:rFonts w:ascii="ITC Avant Garde" w:eastAsia="Times New Roman" w:hAnsi="ITC Avant Garde" w:cs="Arial"/>
                <w:sz w:val="20"/>
                <w:lang w:val="es-ES" w:eastAsia="es-ES"/>
              </w:rPr>
            </w:pPr>
          </w:p>
        </w:tc>
      </w:tr>
      <w:tr w:rsidR="007304F5" w:rsidRPr="008609D1" w14:paraId="1789A302" w14:textId="77777777" w:rsidTr="0052094D">
        <w:trPr>
          <w:trHeight w:val="300"/>
          <w:jc w:val="center"/>
        </w:trPr>
        <w:tc>
          <w:tcPr>
            <w:tcW w:w="2991" w:type="dxa"/>
            <w:tcBorders>
              <w:left w:val="nil"/>
              <w:right w:val="nil"/>
            </w:tcBorders>
            <w:shd w:val="clear" w:color="auto" w:fill="D0D1DB"/>
            <w:noWrap/>
            <w:vAlign w:val="center"/>
            <w:hideMark/>
          </w:tcPr>
          <w:p w14:paraId="0238D429"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Personal</w:t>
            </w:r>
          </w:p>
        </w:tc>
        <w:tc>
          <w:tcPr>
            <w:tcW w:w="3300" w:type="dxa"/>
            <w:tcBorders>
              <w:left w:val="nil"/>
              <w:right w:val="nil"/>
            </w:tcBorders>
            <w:shd w:val="clear" w:color="auto" w:fill="E5E9EB"/>
            <w:noWrap/>
            <w:vAlign w:val="center"/>
            <w:hideMark/>
          </w:tcPr>
          <w:p w14:paraId="592FC823"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3" w:type="dxa"/>
            <w:tcBorders>
              <w:left w:val="nil"/>
              <w:right w:val="nil"/>
            </w:tcBorders>
            <w:noWrap/>
            <w:vAlign w:val="center"/>
          </w:tcPr>
          <w:p w14:paraId="191DDD1B"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14:paraId="29B81EFD"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r>
      <w:tr w:rsidR="007304F5" w:rsidRPr="008609D1" w14:paraId="6D03962C" w14:textId="77777777" w:rsidTr="0052094D">
        <w:trPr>
          <w:trHeight w:val="300"/>
          <w:jc w:val="center"/>
        </w:trPr>
        <w:tc>
          <w:tcPr>
            <w:tcW w:w="2991" w:type="dxa"/>
            <w:tcBorders>
              <w:left w:val="nil"/>
              <w:right w:val="nil"/>
            </w:tcBorders>
            <w:shd w:val="clear" w:color="auto" w:fill="D0D1DB"/>
            <w:noWrap/>
            <w:vAlign w:val="center"/>
            <w:hideMark/>
          </w:tcPr>
          <w:p w14:paraId="163F4810"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300" w:type="dxa"/>
            <w:tcBorders>
              <w:left w:val="nil"/>
              <w:right w:val="nil"/>
            </w:tcBorders>
            <w:shd w:val="clear" w:color="auto" w:fill="E5E9EB"/>
            <w:noWrap/>
            <w:vAlign w:val="center"/>
            <w:hideMark/>
          </w:tcPr>
          <w:p w14:paraId="14BC5A78"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3" w:type="dxa"/>
            <w:tcBorders>
              <w:left w:val="nil"/>
              <w:right w:val="nil"/>
            </w:tcBorders>
            <w:noWrap/>
            <w:vAlign w:val="center"/>
          </w:tcPr>
          <w:p w14:paraId="18E75A1B"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14:paraId="7E786D3C"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r>
      <w:tr w:rsidR="007304F5" w:rsidRPr="008609D1" w14:paraId="757A3E9A" w14:textId="77777777" w:rsidTr="0052094D">
        <w:trPr>
          <w:trHeight w:val="300"/>
          <w:jc w:val="center"/>
        </w:trPr>
        <w:tc>
          <w:tcPr>
            <w:tcW w:w="2991" w:type="dxa"/>
            <w:tcBorders>
              <w:left w:val="nil"/>
              <w:right w:val="nil"/>
            </w:tcBorders>
            <w:shd w:val="clear" w:color="auto" w:fill="D0D1DB"/>
            <w:noWrap/>
            <w:vAlign w:val="center"/>
            <w:hideMark/>
          </w:tcPr>
          <w:p w14:paraId="3DA50E18" w14:textId="77777777" w:rsidR="00892164" w:rsidRPr="008609D1" w:rsidRDefault="00892164" w:rsidP="00E9701E">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Infraestructura de </w:t>
            </w:r>
            <w:r w:rsidR="00E9701E" w:rsidRPr="008609D1">
              <w:rPr>
                <w:rFonts w:ascii="ITC Avant Garde" w:eastAsia="Times New Roman" w:hAnsi="ITC Avant Garde" w:cs="Arial"/>
                <w:sz w:val="20"/>
                <w:lang w:val="es-ES" w:eastAsia="es-ES"/>
              </w:rPr>
              <w:t xml:space="preserve">radio </w:t>
            </w:r>
            <w:r w:rsidRPr="008609D1">
              <w:rPr>
                <w:rFonts w:ascii="ITC Avant Garde" w:eastAsia="Times New Roman" w:hAnsi="ITC Avant Garde" w:cs="Arial"/>
                <w:sz w:val="20"/>
                <w:lang w:val="es-ES" w:eastAsia="es-ES"/>
              </w:rPr>
              <w:t>base</w:t>
            </w:r>
            <w:r w:rsidR="00E9701E" w:rsidRPr="008609D1">
              <w:rPr>
                <w:rFonts w:ascii="ITC Avant Garde" w:eastAsia="Times New Roman" w:hAnsi="ITC Avant Garde" w:cs="Arial"/>
                <w:sz w:val="20"/>
                <w:lang w:val="es-ES" w:eastAsia="es-ES"/>
              </w:rPr>
              <w:t>s</w:t>
            </w:r>
            <w:r w:rsidRPr="008609D1">
              <w:rPr>
                <w:rFonts w:ascii="ITC Avant Garde" w:eastAsia="Times New Roman" w:hAnsi="ITC Avant Garde" w:cs="Arial"/>
                <w:sz w:val="20"/>
                <w:lang w:val="es-ES" w:eastAsia="es-ES"/>
              </w:rPr>
              <w:t xml:space="preserve"> de acceso</w:t>
            </w:r>
          </w:p>
        </w:tc>
        <w:tc>
          <w:tcPr>
            <w:tcW w:w="3300" w:type="dxa"/>
            <w:tcBorders>
              <w:left w:val="nil"/>
              <w:right w:val="nil"/>
            </w:tcBorders>
            <w:shd w:val="clear" w:color="auto" w:fill="E5E9EB"/>
            <w:noWrap/>
            <w:vAlign w:val="center"/>
            <w:hideMark/>
          </w:tcPr>
          <w:p w14:paraId="001A8F28"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Torres</w:t>
            </w:r>
          </w:p>
        </w:tc>
        <w:tc>
          <w:tcPr>
            <w:tcW w:w="1343" w:type="dxa"/>
            <w:tcBorders>
              <w:left w:val="nil"/>
              <w:right w:val="nil"/>
            </w:tcBorders>
            <w:noWrap/>
            <w:vAlign w:val="center"/>
          </w:tcPr>
          <w:p w14:paraId="15F29C3E"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14:paraId="1760BE89"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r>
      <w:tr w:rsidR="007304F5" w:rsidRPr="008609D1" w14:paraId="1997B806" w14:textId="77777777" w:rsidTr="0052094D">
        <w:trPr>
          <w:trHeight w:val="300"/>
          <w:jc w:val="center"/>
        </w:trPr>
        <w:tc>
          <w:tcPr>
            <w:tcW w:w="2991" w:type="dxa"/>
            <w:tcBorders>
              <w:left w:val="nil"/>
              <w:right w:val="nil"/>
            </w:tcBorders>
            <w:shd w:val="clear" w:color="auto" w:fill="D0D1DB"/>
            <w:noWrap/>
            <w:vAlign w:val="center"/>
            <w:hideMark/>
          </w:tcPr>
          <w:p w14:paraId="6DC08C1D" w14:textId="77777777" w:rsidR="00892164" w:rsidRPr="008609D1" w:rsidRDefault="00892164" w:rsidP="00E9701E">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móvil</w:t>
            </w:r>
          </w:p>
        </w:tc>
        <w:tc>
          <w:tcPr>
            <w:tcW w:w="3300" w:type="dxa"/>
            <w:tcBorders>
              <w:left w:val="nil"/>
              <w:right w:val="nil"/>
            </w:tcBorders>
            <w:shd w:val="clear" w:color="auto" w:fill="E5E9EB"/>
            <w:noWrap/>
            <w:vAlign w:val="center"/>
            <w:hideMark/>
          </w:tcPr>
          <w:p w14:paraId="0ECC35CA"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de acceso 2G</w:t>
            </w:r>
          </w:p>
        </w:tc>
        <w:tc>
          <w:tcPr>
            <w:tcW w:w="1343" w:type="dxa"/>
            <w:tcBorders>
              <w:left w:val="nil"/>
              <w:right w:val="nil"/>
            </w:tcBorders>
            <w:noWrap/>
            <w:vAlign w:val="center"/>
          </w:tcPr>
          <w:p w14:paraId="4B384699"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14:paraId="48F9289C"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r>
      <w:tr w:rsidR="007304F5" w:rsidRPr="008609D1" w14:paraId="50170F45" w14:textId="77777777" w:rsidTr="0052094D">
        <w:trPr>
          <w:trHeight w:val="300"/>
          <w:jc w:val="center"/>
        </w:trPr>
        <w:tc>
          <w:tcPr>
            <w:tcW w:w="2991" w:type="dxa"/>
            <w:tcBorders>
              <w:left w:val="nil"/>
              <w:right w:val="nil"/>
            </w:tcBorders>
            <w:shd w:val="clear" w:color="auto" w:fill="D0D1DB"/>
            <w:noWrap/>
            <w:vAlign w:val="center"/>
            <w:hideMark/>
          </w:tcPr>
          <w:p w14:paraId="6C7B7F5D" w14:textId="77777777" w:rsidR="00892164" w:rsidRPr="008609D1" w:rsidRDefault="00892164" w:rsidP="00E9701E">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móvil</w:t>
            </w:r>
          </w:p>
        </w:tc>
        <w:tc>
          <w:tcPr>
            <w:tcW w:w="3300" w:type="dxa"/>
            <w:tcBorders>
              <w:left w:val="nil"/>
              <w:right w:val="nil"/>
            </w:tcBorders>
            <w:shd w:val="clear" w:color="auto" w:fill="E5E9EB"/>
            <w:noWrap/>
            <w:vAlign w:val="center"/>
            <w:hideMark/>
          </w:tcPr>
          <w:p w14:paraId="58D21409"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de acceso 3G</w:t>
            </w:r>
          </w:p>
        </w:tc>
        <w:tc>
          <w:tcPr>
            <w:tcW w:w="1343" w:type="dxa"/>
            <w:tcBorders>
              <w:left w:val="nil"/>
              <w:right w:val="nil"/>
            </w:tcBorders>
            <w:noWrap/>
            <w:vAlign w:val="center"/>
          </w:tcPr>
          <w:p w14:paraId="0E5783DA"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right w:val="nil"/>
            </w:tcBorders>
            <w:noWrap/>
            <w:vAlign w:val="center"/>
          </w:tcPr>
          <w:p w14:paraId="4E69E8DC"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r>
      <w:tr w:rsidR="007304F5" w:rsidRPr="008609D1" w14:paraId="67476BA1" w14:textId="77777777" w:rsidTr="0052094D">
        <w:trPr>
          <w:trHeight w:val="300"/>
          <w:jc w:val="center"/>
        </w:trPr>
        <w:tc>
          <w:tcPr>
            <w:tcW w:w="2991" w:type="dxa"/>
            <w:tcBorders>
              <w:left w:val="nil"/>
              <w:bottom w:val="single" w:sz="4" w:space="0" w:color="244062"/>
              <w:right w:val="nil"/>
            </w:tcBorders>
            <w:shd w:val="clear" w:color="auto" w:fill="D0D1DB"/>
            <w:noWrap/>
            <w:vAlign w:val="center"/>
            <w:hideMark/>
          </w:tcPr>
          <w:p w14:paraId="1FB1B19F"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300" w:type="dxa"/>
            <w:tcBorders>
              <w:left w:val="nil"/>
              <w:bottom w:val="single" w:sz="4" w:space="0" w:color="244062"/>
              <w:right w:val="nil"/>
            </w:tcBorders>
            <w:shd w:val="clear" w:color="auto" w:fill="E5E9EB"/>
            <w:noWrap/>
            <w:vAlign w:val="center"/>
            <w:hideMark/>
          </w:tcPr>
          <w:p w14:paraId="7EF7D548"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3" w:type="dxa"/>
            <w:tcBorders>
              <w:left w:val="nil"/>
              <w:bottom w:val="single" w:sz="4" w:space="0" w:color="244062"/>
              <w:right w:val="nil"/>
            </w:tcBorders>
            <w:noWrap/>
            <w:vAlign w:val="center"/>
          </w:tcPr>
          <w:p w14:paraId="04BE3806"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c>
          <w:tcPr>
            <w:tcW w:w="1344" w:type="dxa"/>
            <w:tcBorders>
              <w:left w:val="nil"/>
              <w:bottom w:val="single" w:sz="4" w:space="0" w:color="244062"/>
              <w:right w:val="nil"/>
            </w:tcBorders>
            <w:noWrap/>
            <w:vAlign w:val="center"/>
          </w:tcPr>
          <w:p w14:paraId="1078043E" w14:textId="77777777" w:rsidR="00892164" w:rsidRPr="008609D1" w:rsidRDefault="00892164" w:rsidP="007304F5">
            <w:pPr>
              <w:keepNext/>
              <w:keepLines/>
              <w:spacing w:before="40" w:after="40" w:line="240" w:lineRule="auto"/>
              <w:rPr>
                <w:rFonts w:ascii="ITC Avant Garde" w:eastAsia="Times New Roman" w:hAnsi="ITC Avant Garde" w:cs="Arial"/>
                <w:sz w:val="20"/>
                <w:lang w:val="es-ES" w:eastAsia="es-ES"/>
              </w:rPr>
            </w:pPr>
          </w:p>
        </w:tc>
      </w:tr>
    </w:tbl>
    <w:p w14:paraId="1CB5E62C" w14:textId="77777777" w:rsidR="00892164" w:rsidRPr="008609D1" w:rsidRDefault="00892164" w:rsidP="007304F5">
      <w:pPr>
        <w:pStyle w:val="A3L2"/>
      </w:pPr>
      <w:bookmarkStart w:id="168" w:name="_Toc475468516"/>
      <w:bookmarkStart w:id="169" w:name="_Toc477515027"/>
      <w:bookmarkStart w:id="170" w:name="_Toc478774511"/>
      <w:r w:rsidRPr="008609D1">
        <w:t>Matriz de asignación de capital empleado por naturaleza (Nivel 1) a capital empleado por actividades y elementos de red (Nivel 2)</w:t>
      </w:r>
      <w:bookmarkEnd w:id="168"/>
      <w:bookmarkEnd w:id="169"/>
      <w:bookmarkEnd w:id="170"/>
    </w:p>
    <w:p w14:paraId="094BD45E" w14:textId="77777777" w:rsidR="00892164" w:rsidRPr="008609D1" w:rsidRDefault="00892164" w:rsidP="00892164">
      <w:pPr>
        <w:pStyle w:val="Normalresolucion"/>
      </w:pPr>
      <w:r w:rsidRPr="008609D1">
        <w:t>Esta matriz deberá contener la asignación de cuentas de capital empleado por naturaleza a cuentas de capital empleado por actividades y elementos de red de Nivel 2.</w:t>
      </w:r>
    </w:p>
    <w:p w14:paraId="3D1EDE55" w14:textId="56470376" w:rsidR="00892164" w:rsidRDefault="00892164" w:rsidP="008A7DD1">
      <w:pPr>
        <w:pStyle w:val="Normalresolucion"/>
        <w:rPr>
          <w:rtl/>
        </w:rPr>
      </w:pPr>
      <w:r w:rsidRPr="008609D1">
        <w:t>A continuación se presenta el formato que deberá ser c</w:t>
      </w:r>
      <w:r w:rsidR="00E87167">
        <w:t>omple</w:t>
      </w:r>
      <w:r w:rsidRPr="008609D1">
        <w:t xml:space="preserve">tado por los concesionarios para la entrega de esta información. Las cuentas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5144E2" w:rsidRPr="008609D1">
        <w:rPr>
          <w:rFonts w:hint="eastAsia"/>
          <w:cs/>
        </w:rPr>
        <w:t>‎</w:t>
      </w:r>
      <w:r w:rsidR="005144E2" w:rsidRPr="008609D1">
        <w:t>2.2</w:t>
      </w:r>
      <w:r w:rsidRPr="008609D1">
        <w:fldChar w:fldCharType="end"/>
      </w:r>
      <w:r w:rsidRPr="008609D1">
        <w:t xml:space="preserve"> del Anexo </w:t>
      </w:r>
      <w:r w:rsidR="004B3901" w:rsidRPr="008609D1">
        <w:t>3</w:t>
      </w:r>
      <w:r w:rsidRPr="008609D1">
        <w:rPr>
          <w:rtl/>
        </w:rPr>
        <w:t>.</w:t>
      </w:r>
    </w:p>
    <w:p w14:paraId="5643C3F9" w14:textId="77777777" w:rsidR="005E47DD" w:rsidRDefault="005E47DD" w:rsidP="008A7DD1">
      <w:pPr>
        <w:pStyle w:val="Normalresolucion"/>
        <w:rPr>
          <w:rtl/>
        </w:rPr>
      </w:pPr>
    </w:p>
    <w:p w14:paraId="5E64086F" w14:textId="77777777" w:rsidR="005E47DD" w:rsidRPr="008609D1" w:rsidRDefault="005E47DD" w:rsidP="005E47DD">
      <w:pPr>
        <w:pStyle w:val="Descripcin"/>
        <w:spacing w:after="240" w:line="240" w:lineRule="auto"/>
        <w:rPr>
          <w:rFonts w:ascii="ITC Avant Garde" w:hAnsi="ITC Avant Garde"/>
          <w:iCs/>
          <w:sz w:val="20"/>
          <w:lang w:val="es-MX"/>
        </w:rPr>
      </w:pPr>
      <w:r w:rsidRPr="008609D1">
        <w:rPr>
          <w:rFonts w:ascii="ITC Avant Garde" w:hAnsi="ITC Avant Garde"/>
          <w:iCs/>
          <w:sz w:val="20"/>
          <w:lang w:val="es-MX"/>
        </w:rPr>
        <w:lastRenderedPageBreak/>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9</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capital empleado (Nivel 1) a cuentas de costos por actividades y elementos de red (Nivel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1"/>
        <w:gridCol w:w="3244"/>
        <w:gridCol w:w="1321"/>
        <w:gridCol w:w="1322"/>
      </w:tblGrid>
      <w:tr w:rsidR="007304F5" w:rsidRPr="008609D1" w14:paraId="3551299C" w14:textId="77777777" w:rsidTr="0052094D">
        <w:trPr>
          <w:trHeight w:val="340"/>
          <w:tblHeader/>
          <w:jc w:val="center"/>
        </w:trPr>
        <w:tc>
          <w:tcPr>
            <w:tcW w:w="2993"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644447F5"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Cuentas de capital empleado por naturaleza (Nivel 1)</w:t>
            </w:r>
            <w:r w:rsidRPr="008609D1">
              <w:rPr>
                <w:rFonts w:ascii="ITC Avant Garde" w:eastAsia="Times New Roman" w:hAnsi="ITC Avant Garde" w:cs="Arial"/>
                <w:b/>
                <w:color w:val="FFFFFF" w:themeColor="background1"/>
                <w:sz w:val="20"/>
                <w:vertAlign w:val="superscript"/>
                <w:lang w:val="es-ES" w:eastAsia="es-ES"/>
              </w:rPr>
              <w:footnoteReference w:id="62"/>
            </w:r>
          </w:p>
        </w:tc>
        <w:tc>
          <w:tcPr>
            <w:tcW w:w="330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2A895D1E"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Cuentas de capital empleado por actividades y elementos de red (Nivel 2)</w:t>
            </w:r>
            <w:r w:rsidRPr="008609D1">
              <w:rPr>
                <w:rFonts w:ascii="ITC Avant Garde" w:eastAsia="Times New Roman" w:hAnsi="ITC Avant Garde" w:cs="Arial"/>
                <w:b/>
                <w:color w:val="FFFFFF" w:themeColor="background1"/>
                <w:sz w:val="20"/>
                <w:vertAlign w:val="superscript"/>
                <w:lang w:val="es-ES" w:eastAsia="es-ES"/>
              </w:rPr>
              <w:footnoteReference w:id="63"/>
            </w:r>
          </w:p>
        </w:tc>
        <w:tc>
          <w:tcPr>
            <w:tcW w:w="2685"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72C61CF0"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Año</w:t>
            </w:r>
          </w:p>
        </w:tc>
      </w:tr>
      <w:tr w:rsidR="007304F5" w:rsidRPr="008609D1" w14:paraId="47D8888E" w14:textId="77777777" w:rsidTr="0052094D">
        <w:trPr>
          <w:trHeight w:val="340"/>
          <w:tblHeader/>
          <w:jc w:val="center"/>
        </w:trPr>
        <w:tc>
          <w:tcPr>
            <w:tcW w:w="2993"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05B61A6B" w14:textId="77777777" w:rsidR="00892164" w:rsidRPr="008609D1" w:rsidRDefault="00892164" w:rsidP="00D87E0B">
            <w:pPr>
              <w:keepNext/>
              <w:spacing w:after="0"/>
              <w:rPr>
                <w:rFonts w:ascii="ITC Avant Garde" w:eastAsia="Times New Roman" w:hAnsi="ITC Avant Garde" w:cs="Arial"/>
                <w:b/>
                <w:color w:val="FFFFFF" w:themeColor="background1"/>
                <w:sz w:val="20"/>
                <w:lang w:val="es-ES" w:eastAsia="es-ES"/>
              </w:rPr>
            </w:pPr>
          </w:p>
        </w:tc>
        <w:tc>
          <w:tcPr>
            <w:tcW w:w="3300"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36203F0F" w14:textId="77777777" w:rsidR="00892164" w:rsidRPr="008609D1" w:rsidRDefault="00892164" w:rsidP="00D87E0B">
            <w:pPr>
              <w:keepNext/>
              <w:spacing w:after="0"/>
              <w:rPr>
                <w:rFonts w:ascii="ITC Avant Garde" w:eastAsia="Times New Roman" w:hAnsi="ITC Avant Garde" w:cs="Arial"/>
                <w:b/>
                <w:color w:val="FFFFFF" w:themeColor="background1"/>
                <w:sz w:val="20"/>
                <w:lang w:val="es-ES" w:eastAsia="es-ES"/>
              </w:rPr>
            </w:pPr>
          </w:p>
        </w:tc>
        <w:tc>
          <w:tcPr>
            <w:tcW w:w="1342"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0E1FE12B"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N-1</w:t>
            </w:r>
          </w:p>
        </w:tc>
        <w:tc>
          <w:tcPr>
            <w:tcW w:w="1343"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780DE35E"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w:t>
            </w:r>
          </w:p>
        </w:tc>
      </w:tr>
      <w:tr w:rsidR="007304F5" w:rsidRPr="008609D1" w14:paraId="42E106AF" w14:textId="77777777" w:rsidTr="0052094D">
        <w:trPr>
          <w:trHeight w:val="300"/>
          <w:jc w:val="center"/>
        </w:trPr>
        <w:tc>
          <w:tcPr>
            <w:tcW w:w="2993" w:type="dxa"/>
            <w:tcBorders>
              <w:top w:val="single" w:sz="4" w:space="0" w:color="244062"/>
              <w:left w:val="nil"/>
              <w:right w:val="nil"/>
            </w:tcBorders>
            <w:shd w:val="clear" w:color="auto" w:fill="D0D1DB"/>
            <w:noWrap/>
            <w:vAlign w:val="center"/>
          </w:tcPr>
          <w:p w14:paraId="58FB8FB8" w14:textId="77777777" w:rsidR="00892164" w:rsidRPr="008609D1" w:rsidRDefault="00892164" w:rsidP="006820C7">
            <w:pPr>
              <w:keepNext/>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Infraestructura de </w:t>
            </w:r>
            <w:r w:rsidR="006820C7" w:rsidRPr="008609D1">
              <w:rPr>
                <w:rFonts w:ascii="ITC Avant Garde" w:eastAsia="Times New Roman" w:hAnsi="ITC Avant Garde" w:cs="Arial"/>
                <w:sz w:val="20"/>
                <w:lang w:val="es-ES" w:eastAsia="es-ES"/>
              </w:rPr>
              <w:t>radio</w:t>
            </w:r>
            <w:r w:rsidRPr="008609D1">
              <w:rPr>
                <w:rFonts w:ascii="ITC Avant Garde" w:eastAsia="Times New Roman" w:hAnsi="ITC Avant Garde" w:cs="Arial"/>
                <w:sz w:val="20"/>
                <w:lang w:val="es-ES" w:eastAsia="es-ES"/>
              </w:rPr>
              <w:t xml:space="preserve"> base</w:t>
            </w:r>
            <w:r w:rsidR="006820C7" w:rsidRPr="008609D1">
              <w:rPr>
                <w:rFonts w:ascii="ITC Avant Garde" w:eastAsia="Times New Roman" w:hAnsi="ITC Avant Garde" w:cs="Arial"/>
                <w:sz w:val="20"/>
                <w:lang w:val="es-ES" w:eastAsia="es-ES"/>
              </w:rPr>
              <w:t>s</w:t>
            </w:r>
            <w:r w:rsidRPr="008609D1">
              <w:rPr>
                <w:rFonts w:ascii="ITC Avant Garde" w:eastAsia="Times New Roman" w:hAnsi="ITC Avant Garde" w:cs="Arial"/>
                <w:sz w:val="20"/>
                <w:lang w:val="es-ES" w:eastAsia="es-ES"/>
              </w:rPr>
              <w:t xml:space="preserve"> de acceso</w:t>
            </w:r>
          </w:p>
        </w:tc>
        <w:tc>
          <w:tcPr>
            <w:tcW w:w="3300" w:type="dxa"/>
            <w:tcBorders>
              <w:top w:val="single" w:sz="4" w:space="0" w:color="244062"/>
              <w:left w:val="nil"/>
              <w:right w:val="nil"/>
            </w:tcBorders>
            <w:shd w:val="clear" w:color="auto" w:fill="E5E9EB"/>
            <w:noWrap/>
            <w:vAlign w:val="center"/>
          </w:tcPr>
          <w:p w14:paraId="45C56168"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Torres</w:t>
            </w:r>
          </w:p>
        </w:tc>
        <w:tc>
          <w:tcPr>
            <w:tcW w:w="1342" w:type="dxa"/>
            <w:tcBorders>
              <w:top w:val="single" w:sz="4" w:space="0" w:color="244062"/>
              <w:left w:val="nil"/>
              <w:right w:val="nil"/>
            </w:tcBorders>
            <w:noWrap/>
            <w:vAlign w:val="center"/>
          </w:tcPr>
          <w:p w14:paraId="4036AB46"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p>
        </w:tc>
        <w:tc>
          <w:tcPr>
            <w:tcW w:w="1343" w:type="dxa"/>
            <w:tcBorders>
              <w:top w:val="single" w:sz="4" w:space="0" w:color="244062"/>
              <w:left w:val="nil"/>
              <w:right w:val="nil"/>
            </w:tcBorders>
            <w:noWrap/>
            <w:vAlign w:val="center"/>
          </w:tcPr>
          <w:p w14:paraId="0C5563C4"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p>
        </w:tc>
      </w:tr>
      <w:tr w:rsidR="007304F5" w:rsidRPr="008609D1" w14:paraId="7D173ED4" w14:textId="77777777" w:rsidTr="0052094D">
        <w:trPr>
          <w:trHeight w:val="300"/>
          <w:jc w:val="center"/>
        </w:trPr>
        <w:tc>
          <w:tcPr>
            <w:tcW w:w="2993" w:type="dxa"/>
            <w:tcBorders>
              <w:left w:val="nil"/>
              <w:right w:val="nil"/>
            </w:tcBorders>
            <w:shd w:val="clear" w:color="auto" w:fill="D0D1DB"/>
            <w:noWrap/>
            <w:vAlign w:val="center"/>
          </w:tcPr>
          <w:p w14:paraId="4DCA2F0E" w14:textId="77777777" w:rsidR="00892164" w:rsidRPr="008609D1" w:rsidRDefault="00892164" w:rsidP="006820C7">
            <w:pPr>
              <w:keepNext/>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móvil</w:t>
            </w:r>
          </w:p>
        </w:tc>
        <w:tc>
          <w:tcPr>
            <w:tcW w:w="3300" w:type="dxa"/>
            <w:tcBorders>
              <w:left w:val="nil"/>
              <w:right w:val="nil"/>
            </w:tcBorders>
            <w:shd w:val="clear" w:color="auto" w:fill="E5E9EB"/>
            <w:noWrap/>
            <w:vAlign w:val="center"/>
          </w:tcPr>
          <w:p w14:paraId="607C10DD"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de acceso 2G</w:t>
            </w:r>
          </w:p>
        </w:tc>
        <w:tc>
          <w:tcPr>
            <w:tcW w:w="1342" w:type="dxa"/>
            <w:tcBorders>
              <w:left w:val="nil"/>
              <w:right w:val="nil"/>
            </w:tcBorders>
            <w:noWrap/>
            <w:vAlign w:val="center"/>
          </w:tcPr>
          <w:p w14:paraId="129FD3E4"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p>
        </w:tc>
        <w:tc>
          <w:tcPr>
            <w:tcW w:w="1343" w:type="dxa"/>
            <w:tcBorders>
              <w:left w:val="nil"/>
              <w:right w:val="nil"/>
            </w:tcBorders>
            <w:noWrap/>
            <w:vAlign w:val="center"/>
          </w:tcPr>
          <w:p w14:paraId="189090FF"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p>
        </w:tc>
      </w:tr>
      <w:tr w:rsidR="007304F5" w:rsidRPr="008609D1" w14:paraId="59FD3F0D" w14:textId="77777777" w:rsidTr="0052094D">
        <w:trPr>
          <w:trHeight w:val="300"/>
          <w:jc w:val="center"/>
        </w:trPr>
        <w:tc>
          <w:tcPr>
            <w:tcW w:w="2993" w:type="dxa"/>
            <w:tcBorders>
              <w:left w:val="nil"/>
              <w:right w:val="nil"/>
            </w:tcBorders>
            <w:shd w:val="clear" w:color="auto" w:fill="D0D1DB"/>
            <w:noWrap/>
            <w:vAlign w:val="center"/>
          </w:tcPr>
          <w:p w14:paraId="7FD2540E" w14:textId="77777777" w:rsidR="00892164" w:rsidRPr="008609D1" w:rsidRDefault="00892164" w:rsidP="006820C7">
            <w:pPr>
              <w:keepNext/>
              <w:spacing w:before="40" w:after="6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móvil</w:t>
            </w:r>
          </w:p>
        </w:tc>
        <w:tc>
          <w:tcPr>
            <w:tcW w:w="3300" w:type="dxa"/>
            <w:tcBorders>
              <w:left w:val="nil"/>
              <w:right w:val="nil"/>
            </w:tcBorders>
            <w:shd w:val="clear" w:color="auto" w:fill="E5E9EB"/>
            <w:noWrap/>
            <w:vAlign w:val="center"/>
          </w:tcPr>
          <w:p w14:paraId="42EFA5D5"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Equipos de acceso 3G</w:t>
            </w:r>
          </w:p>
        </w:tc>
        <w:tc>
          <w:tcPr>
            <w:tcW w:w="1342" w:type="dxa"/>
            <w:tcBorders>
              <w:left w:val="nil"/>
              <w:right w:val="nil"/>
            </w:tcBorders>
            <w:noWrap/>
            <w:vAlign w:val="center"/>
          </w:tcPr>
          <w:p w14:paraId="7EB9A2E2"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p>
        </w:tc>
        <w:tc>
          <w:tcPr>
            <w:tcW w:w="1343" w:type="dxa"/>
            <w:tcBorders>
              <w:left w:val="nil"/>
              <w:right w:val="nil"/>
            </w:tcBorders>
            <w:noWrap/>
            <w:vAlign w:val="center"/>
          </w:tcPr>
          <w:p w14:paraId="32AAB562"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p>
        </w:tc>
      </w:tr>
      <w:tr w:rsidR="007304F5" w:rsidRPr="008609D1" w14:paraId="7C9B21D6" w14:textId="77777777" w:rsidTr="0052094D">
        <w:trPr>
          <w:trHeight w:val="300"/>
          <w:jc w:val="center"/>
        </w:trPr>
        <w:tc>
          <w:tcPr>
            <w:tcW w:w="2993" w:type="dxa"/>
            <w:tcBorders>
              <w:left w:val="nil"/>
              <w:bottom w:val="single" w:sz="4" w:space="0" w:color="244062"/>
              <w:right w:val="nil"/>
            </w:tcBorders>
            <w:shd w:val="clear" w:color="auto" w:fill="D0D1DB"/>
            <w:noWrap/>
            <w:vAlign w:val="center"/>
          </w:tcPr>
          <w:p w14:paraId="6368B661"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300" w:type="dxa"/>
            <w:tcBorders>
              <w:left w:val="nil"/>
              <w:bottom w:val="single" w:sz="4" w:space="0" w:color="244062"/>
              <w:right w:val="nil"/>
            </w:tcBorders>
            <w:shd w:val="clear" w:color="auto" w:fill="E5E9EB"/>
            <w:noWrap/>
            <w:vAlign w:val="center"/>
          </w:tcPr>
          <w:p w14:paraId="43298D37"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p>
        </w:tc>
        <w:tc>
          <w:tcPr>
            <w:tcW w:w="1342" w:type="dxa"/>
            <w:tcBorders>
              <w:left w:val="nil"/>
              <w:bottom w:val="single" w:sz="4" w:space="0" w:color="244062"/>
              <w:right w:val="nil"/>
            </w:tcBorders>
            <w:noWrap/>
            <w:vAlign w:val="center"/>
          </w:tcPr>
          <w:p w14:paraId="2C1B58FD"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p>
        </w:tc>
        <w:tc>
          <w:tcPr>
            <w:tcW w:w="1343" w:type="dxa"/>
            <w:tcBorders>
              <w:left w:val="nil"/>
              <w:bottom w:val="single" w:sz="4" w:space="0" w:color="244062"/>
              <w:right w:val="nil"/>
            </w:tcBorders>
            <w:noWrap/>
            <w:vAlign w:val="center"/>
          </w:tcPr>
          <w:p w14:paraId="3031ABDE"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p>
        </w:tc>
      </w:tr>
    </w:tbl>
    <w:p w14:paraId="25E17B71" w14:textId="77777777" w:rsidR="00892164" w:rsidRPr="008609D1" w:rsidRDefault="00892164" w:rsidP="007304F5">
      <w:pPr>
        <w:pStyle w:val="A3L2"/>
      </w:pPr>
      <w:bookmarkStart w:id="171" w:name="_Toc475468517"/>
      <w:bookmarkStart w:id="172" w:name="_Toc477515028"/>
      <w:bookmarkStart w:id="173" w:name="_Toc478774512"/>
      <w:r w:rsidRPr="008609D1">
        <w:t>Matriz de asignación de ingresos por naturaleza (Nivel 1) a servicios (Nivel 3)</w:t>
      </w:r>
      <w:bookmarkEnd w:id="171"/>
      <w:bookmarkEnd w:id="172"/>
      <w:bookmarkEnd w:id="173"/>
    </w:p>
    <w:p w14:paraId="56495C17" w14:textId="77777777" w:rsidR="00892164" w:rsidRPr="008609D1" w:rsidRDefault="00892164" w:rsidP="00892164">
      <w:pPr>
        <w:pStyle w:val="Normalresolucion"/>
      </w:pPr>
      <w:r w:rsidRPr="008609D1">
        <w:t>Esta matriz deberá contener la asignación de cuentas de ingresos por naturaleza a cuentas de servicios de Nivel 3. Nótese que el importe asignado a servicios debe corresponder al rubro de ingresos totales registrado en el balance de prueba.</w:t>
      </w:r>
    </w:p>
    <w:p w14:paraId="575EC77B" w14:textId="7D5CB941" w:rsidR="00892164" w:rsidRDefault="00892164" w:rsidP="008003B3">
      <w:pPr>
        <w:pStyle w:val="Normalresolucion"/>
        <w:rPr>
          <w:rtl/>
        </w:rPr>
      </w:pPr>
      <w:r w:rsidRPr="008609D1">
        <w:t>A continuación se presenta el formato que deberá ser c</w:t>
      </w:r>
      <w:r w:rsidR="00E87167">
        <w:t>omple</w:t>
      </w:r>
      <w:r w:rsidRPr="008609D1">
        <w:t xml:space="preserve">tado por los concesionarios para la entrega de esta información. Las cuentas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5144E2" w:rsidRPr="008609D1">
        <w:rPr>
          <w:rFonts w:hint="eastAsia"/>
          <w:cs/>
        </w:rPr>
        <w:t>‎</w:t>
      </w:r>
      <w:r w:rsidR="005144E2" w:rsidRPr="008609D1">
        <w:t>2.2</w:t>
      </w:r>
      <w:r w:rsidRPr="008609D1">
        <w:fldChar w:fldCharType="end"/>
      </w:r>
      <w:r w:rsidRPr="008609D1">
        <w:t xml:space="preserve"> del Anexo </w:t>
      </w:r>
      <w:r w:rsidR="004B3901" w:rsidRPr="008609D1">
        <w:t>3</w:t>
      </w:r>
      <w:r w:rsidRPr="008609D1">
        <w:rPr>
          <w:rtl/>
        </w:rPr>
        <w:t>.</w:t>
      </w:r>
    </w:p>
    <w:p w14:paraId="7FDA7E1E" w14:textId="77777777" w:rsidR="005E47DD" w:rsidRPr="008609D1" w:rsidRDefault="005E47DD" w:rsidP="005E47DD">
      <w:pPr>
        <w:pStyle w:val="Descripcin"/>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10</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ingresos por naturaleza (Nivel 2) a cuentas de servicios (Nivel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1"/>
        <w:gridCol w:w="3244"/>
        <w:gridCol w:w="1321"/>
        <w:gridCol w:w="1322"/>
      </w:tblGrid>
      <w:tr w:rsidR="007304F5" w:rsidRPr="008609D1" w14:paraId="64CA8435" w14:textId="77777777" w:rsidTr="004062CC">
        <w:trPr>
          <w:trHeight w:val="340"/>
          <w:jc w:val="center"/>
        </w:trPr>
        <w:tc>
          <w:tcPr>
            <w:tcW w:w="2941"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6A178D74"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Cuentas de ingresos por naturaleza (Nivel 1)</w:t>
            </w:r>
            <w:r w:rsidRPr="008609D1">
              <w:rPr>
                <w:rStyle w:val="Refdenotaalpie"/>
                <w:rFonts w:ascii="ITC Avant Garde" w:eastAsia="Times New Roman" w:hAnsi="ITC Avant Garde" w:cs="Arial"/>
                <w:b/>
                <w:color w:val="FFFFFF" w:themeColor="background1"/>
                <w:sz w:val="20"/>
                <w:lang w:val="es-ES" w:eastAsia="es-ES"/>
              </w:rPr>
              <w:footnoteReference w:id="64"/>
            </w:r>
          </w:p>
        </w:tc>
        <w:tc>
          <w:tcPr>
            <w:tcW w:w="3244"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249A77D4"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 xml:space="preserve">Cuentas de servicios </w:t>
            </w:r>
          </w:p>
          <w:p w14:paraId="54F3CDF1"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(Nivel 3)</w:t>
            </w:r>
            <w:r w:rsidRPr="008609D1">
              <w:rPr>
                <w:rStyle w:val="Refdenotaalpie"/>
                <w:rFonts w:ascii="ITC Avant Garde" w:eastAsia="Times New Roman" w:hAnsi="ITC Avant Garde" w:cs="Arial"/>
                <w:b/>
                <w:color w:val="FFFFFF" w:themeColor="background1"/>
                <w:sz w:val="20"/>
                <w:lang w:val="es-ES" w:eastAsia="es-ES"/>
              </w:rPr>
              <w:footnoteReference w:id="65"/>
            </w:r>
          </w:p>
        </w:tc>
        <w:tc>
          <w:tcPr>
            <w:tcW w:w="2643"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28306CCC"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Año</w:t>
            </w:r>
          </w:p>
        </w:tc>
      </w:tr>
      <w:tr w:rsidR="007304F5" w:rsidRPr="008609D1" w14:paraId="73EF3A98" w14:textId="77777777" w:rsidTr="004062CC">
        <w:trPr>
          <w:trHeight w:val="340"/>
          <w:jc w:val="center"/>
        </w:trPr>
        <w:tc>
          <w:tcPr>
            <w:tcW w:w="2941"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483EC4A3" w14:textId="77777777" w:rsidR="00892164" w:rsidRPr="008609D1" w:rsidRDefault="00892164" w:rsidP="00D87E0B">
            <w:pPr>
              <w:spacing w:after="0"/>
              <w:rPr>
                <w:rFonts w:ascii="ITC Avant Garde" w:eastAsia="Times New Roman" w:hAnsi="ITC Avant Garde" w:cs="Arial"/>
                <w:b/>
                <w:color w:val="FFFFFF" w:themeColor="background1"/>
                <w:sz w:val="20"/>
                <w:lang w:val="es-ES" w:eastAsia="es-ES"/>
              </w:rPr>
            </w:pPr>
          </w:p>
        </w:tc>
        <w:tc>
          <w:tcPr>
            <w:tcW w:w="3244"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2B0A83D2" w14:textId="77777777" w:rsidR="00892164" w:rsidRPr="008609D1" w:rsidRDefault="00892164" w:rsidP="00D87E0B">
            <w:pPr>
              <w:spacing w:after="0"/>
              <w:rPr>
                <w:rFonts w:ascii="ITC Avant Garde" w:eastAsia="Times New Roman" w:hAnsi="ITC Avant Garde" w:cs="Arial"/>
                <w:b/>
                <w:color w:val="FFFFFF" w:themeColor="background1"/>
                <w:sz w:val="20"/>
                <w:lang w:val="es-ES" w:eastAsia="es-ES"/>
              </w:rPr>
            </w:pPr>
          </w:p>
        </w:tc>
        <w:tc>
          <w:tcPr>
            <w:tcW w:w="1321"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4D6FEAA0"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N-1</w:t>
            </w:r>
          </w:p>
        </w:tc>
        <w:tc>
          <w:tcPr>
            <w:tcW w:w="1322"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5988E613"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w:t>
            </w:r>
          </w:p>
        </w:tc>
      </w:tr>
      <w:tr w:rsidR="00FA55F4" w:rsidRPr="008609D1" w14:paraId="73C8FE92" w14:textId="77777777" w:rsidTr="004062CC">
        <w:trPr>
          <w:trHeight w:val="340"/>
          <w:jc w:val="center"/>
        </w:trPr>
        <w:tc>
          <w:tcPr>
            <w:tcW w:w="2941" w:type="dxa"/>
            <w:tcBorders>
              <w:top w:val="single" w:sz="4" w:space="0" w:color="244062"/>
              <w:left w:val="nil"/>
              <w:right w:val="nil"/>
            </w:tcBorders>
            <w:shd w:val="clear" w:color="auto" w:fill="D0D1DB"/>
            <w:noWrap/>
            <w:vAlign w:val="center"/>
            <w:hideMark/>
          </w:tcPr>
          <w:p w14:paraId="3BA7D54D" w14:textId="77777777" w:rsidR="00FA55F4" w:rsidRPr="008609D1" w:rsidRDefault="003705E8" w:rsidP="003705E8">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Pago </w:t>
            </w:r>
            <w:r w:rsidR="00FA55F4" w:rsidRPr="008609D1">
              <w:rPr>
                <w:rFonts w:ascii="ITC Avant Garde" w:eastAsia="Times New Roman" w:hAnsi="ITC Avant Garde" w:cs="Arial"/>
                <w:sz w:val="20"/>
                <w:lang w:val="es-ES" w:eastAsia="es-ES"/>
              </w:rPr>
              <w:t xml:space="preserve">recurrente </w:t>
            </w:r>
            <w:r w:rsidRPr="008609D1">
              <w:rPr>
                <w:rFonts w:ascii="ITC Avant Garde" w:eastAsia="Times New Roman" w:hAnsi="ITC Avant Garde" w:cs="Arial"/>
                <w:sz w:val="20"/>
                <w:lang w:val="es-ES" w:eastAsia="es-ES"/>
              </w:rPr>
              <w:t xml:space="preserve">por el servicio de </w:t>
            </w:r>
            <w:r w:rsidR="00CB6EE2" w:rsidRPr="008609D1">
              <w:rPr>
                <w:rFonts w:ascii="ITC Avant Garde" w:eastAsia="Times New Roman" w:hAnsi="ITC Avant Garde" w:cs="Arial"/>
                <w:sz w:val="20"/>
                <w:lang w:val="es-ES" w:eastAsia="es-ES"/>
              </w:rPr>
              <w:t>telef</w:t>
            </w:r>
            <w:r w:rsidRPr="008609D1">
              <w:rPr>
                <w:rFonts w:ascii="ITC Avant Garde" w:eastAsia="Times New Roman" w:hAnsi="ITC Avant Garde" w:cs="Arial"/>
                <w:sz w:val="20"/>
                <w:lang w:val="es-ES" w:eastAsia="es-ES"/>
              </w:rPr>
              <w:t>onía</w:t>
            </w:r>
            <w:r w:rsidR="00CB6EE2" w:rsidRPr="008609D1">
              <w:rPr>
                <w:rFonts w:ascii="ITC Avant Garde" w:eastAsia="Times New Roman" w:hAnsi="ITC Avant Garde" w:cs="Arial"/>
                <w:sz w:val="20"/>
                <w:lang w:val="es-ES" w:eastAsia="es-ES"/>
              </w:rPr>
              <w:t xml:space="preserve"> </w:t>
            </w:r>
            <w:r w:rsidR="00FA55F4" w:rsidRPr="008609D1">
              <w:rPr>
                <w:rFonts w:ascii="ITC Avant Garde" w:eastAsia="Times New Roman" w:hAnsi="ITC Avant Garde" w:cs="Arial"/>
                <w:sz w:val="20"/>
                <w:lang w:val="es-ES" w:eastAsia="es-ES"/>
              </w:rPr>
              <w:t>fija</w:t>
            </w:r>
          </w:p>
        </w:tc>
        <w:tc>
          <w:tcPr>
            <w:tcW w:w="3244" w:type="dxa"/>
            <w:tcBorders>
              <w:top w:val="single" w:sz="4" w:space="0" w:color="244062"/>
              <w:left w:val="nil"/>
              <w:right w:val="nil"/>
            </w:tcBorders>
            <w:shd w:val="clear" w:color="auto" w:fill="E5E9EB"/>
            <w:noWrap/>
            <w:vAlign w:val="center"/>
            <w:hideMark/>
          </w:tcPr>
          <w:p w14:paraId="30AEBD05" w14:textId="77777777" w:rsidR="00FA55F4" w:rsidRPr="008609D1" w:rsidRDefault="00FA55F4" w:rsidP="00FA55F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básica por línea</w:t>
            </w:r>
          </w:p>
        </w:tc>
        <w:tc>
          <w:tcPr>
            <w:tcW w:w="1321" w:type="dxa"/>
            <w:tcBorders>
              <w:top w:val="single" w:sz="4" w:space="0" w:color="244062"/>
              <w:left w:val="nil"/>
              <w:right w:val="nil"/>
            </w:tcBorders>
            <w:noWrap/>
            <w:vAlign w:val="center"/>
          </w:tcPr>
          <w:p w14:paraId="3A963EAF" w14:textId="77777777" w:rsidR="00FA55F4" w:rsidRPr="008609D1" w:rsidRDefault="00FA55F4" w:rsidP="00FA55F4">
            <w:pPr>
              <w:spacing w:before="40" w:after="40" w:line="240" w:lineRule="auto"/>
              <w:jc w:val="center"/>
              <w:rPr>
                <w:rFonts w:ascii="ITC Avant Garde" w:eastAsia="Times New Roman" w:hAnsi="ITC Avant Garde" w:cs="Arial"/>
                <w:sz w:val="20"/>
                <w:lang w:val="es-ES" w:eastAsia="es-ES"/>
              </w:rPr>
            </w:pPr>
          </w:p>
        </w:tc>
        <w:tc>
          <w:tcPr>
            <w:tcW w:w="1322" w:type="dxa"/>
            <w:tcBorders>
              <w:top w:val="single" w:sz="4" w:space="0" w:color="244062"/>
              <w:left w:val="nil"/>
              <w:right w:val="nil"/>
            </w:tcBorders>
            <w:noWrap/>
            <w:vAlign w:val="center"/>
          </w:tcPr>
          <w:p w14:paraId="30EF9F8F" w14:textId="77777777" w:rsidR="00FA55F4" w:rsidRPr="008609D1" w:rsidRDefault="00FA55F4" w:rsidP="00FA55F4">
            <w:pPr>
              <w:spacing w:before="40" w:after="40" w:line="240" w:lineRule="auto"/>
              <w:jc w:val="center"/>
              <w:rPr>
                <w:rFonts w:ascii="ITC Avant Garde" w:eastAsia="Times New Roman" w:hAnsi="ITC Avant Garde" w:cs="Arial"/>
                <w:sz w:val="20"/>
                <w:lang w:val="es-ES" w:eastAsia="es-ES"/>
              </w:rPr>
            </w:pPr>
          </w:p>
        </w:tc>
      </w:tr>
      <w:tr w:rsidR="00FA55F4" w:rsidRPr="008609D1" w14:paraId="3D9DACA0" w14:textId="77777777" w:rsidTr="004062CC">
        <w:trPr>
          <w:trHeight w:val="340"/>
          <w:jc w:val="center"/>
        </w:trPr>
        <w:tc>
          <w:tcPr>
            <w:tcW w:w="2941" w:type="dxa"/>
            <w:tcBorders>
              <w:left w:val="nil"/>
              <w:right w:val="nil"/>
            </w:tcBorders>
            <w:shd w:val="clear" w:color="auto" w:fill="D0D1DB"/>
            <w:noWrap/>
            <w:vAlign w:val="center"/>
            <w:hideMark/>
          </w:tcPr>
          <w:p w14:paraId="00DB2E24" w14:textId="77777777" w:rsidR="00FA55F4" w:rsidRPr="008609D1" w:rsidRDefault="003705E8" w:rsidP="003705E8">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Pago </w:t>
            </w:r>
            <w:r w:rsidR="00FA55F4" w:rsidRPr="008609D1">
              <w:rPr>
                <w:rFonts w:ascii="ITC Avant Garde" w:eastAsia="Times New Roman" w:hAnsi="ITC Avant Garde" w:cs="Arial"/>
                <w:sz w:val="20"/>
                <w:lang w:val="es-ES" w:eastAsia="es-ES"/>
              </w:rPr>
              <w:t xml:space="preserve">recurrente </w:t>
            </w:r>
            <w:r w:rsidRPr="008609D1">
              <w:rPr>
                <w:rFonts w:ascii="ITC Avant Garde" w:eastAsia="Times New Roman" w:hAnsi="ITC Avant Garde" w:cs="Arial"/>
                <w:sz w:val="20"/>
                <w:lang w:val="es-ES" w:eastAsia="es-ES"/>
              </w:rPr>
              <w:t>por el servicio de</w:t>
            </w:r>
            <w:r w:rsidR="00FA55F4" w:rsidRPr="008609D1">
              <w:rPr>
                <w:rFonts w:ascii="ITC Avant Garde" w:eastAsia="Times New Roman" w:hAnsi="ITC Avant Garde" w:cs="Arial"/>
                <w:sz w:val="20"/>
                <w:lang w:val="es-ES" w:eastAsia="es-ES"/>
              </w:rPr>
              <w:t xml:space="preserve"> </w:t>
            </w:r>
            <w:r w:rsidR="00CB6EE2" w:rsidRPr="008609D1">
              <w:rPr>
                <w:rFonts w:ascii="ITC Avant Garde" w:eastAsia="Times New Roman" w:hAnsi="ITC Avant Garde" w:cs="Arial"/>
                <w:sz w:val="20"/>
                <w:lang w:val="es-ES" w:eastAsia="es-ES"/>
              </w:rPr>
              <w:t>telef</w:t>
            </w:r>
            <w:r w:rsidRPr="008609D1">
              <w:rPr>
                <w:rFonts w:ascii="ITC Avant Garde" w:eastAsia="Times New Roman" w:hAnsi="ITC Avant Garde" w:cs="Arial"/>
                <w:sz w:val="20"/>
                <w:lang w:val="es-ES" w:eastAsia="es-ES"/>
              </w:rPr>
              <w:t>onía</w:t>
            </w:r>
            <w:r w:rsidR="00CB6EE2" w:rsidRPr="008609D1">
              <w:rPr>
                <w:rFonts w:ascii="ITC Avant Garde" w:eastAsia="Times New Roman" w:hAnsi="ITC Avant Garde" w:cs="Arial"/>
                <w:sz w:val="20"/>
                <w:lang w:val="es-ES" w:eastAsia="es-ES"/>
              </w:rPr>
              <w:t xml:space="preserve"> </w:t>
            </w:r>
            <w:r w:rsidR="00FA55F4" w:rsidRPr="008609D1">
              <w:rPr>
                <w:rFonts w:ascii="ITC Avant Garde" w:eastAsia="Times New Roman" w:hAnsi="ITC Avant Garde" w:cs="Arial"/>
                <w:sz w:val="20"/>
                <w:lang w:val="es-ES" w:eastAsia="es-ES"/>
              </w:rPr>
              <w:t>fija</w:t>
            </w:r>
          </w:p>
        </w:tc>
        <w:tc>
          <w:tcPr>
            <w:tcW w:w="3244" w:type="dxa"/>
            <w:tcBorders>
              <w:left w:val="nil"/>
              <w:right w:val="nil"/>
            </w:tcBorders>
            <w:shd w:val="clear" w:color="auto" w:fill="E5E9EB"/>
            <w:noWrap/>
            <w:vAlign w:val="center"/>
            <w:hideMark/>
          </w:tcPr>
          <w:p w14:paraId="7385BB5F" w14:textId="77777777" w:rsidR="00FA55F4" w:rsidRPr="008609D1" w:rsidRDefault="00FA55F4" w:rsidP="00E80F6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Servicio </w:t>
            </w:r>
            <w:r w:rsidR="00E80F6B" w:rsidRPr="008609D1">
              <w:rPr>
                <w:rFonts w:ascii="ITC Avant Garde" w:eastAsia="Times New Roman" w:hAnsi="ITC Avant Garde" w:cs="Arial"/>
                <w:sz w:val="20"/>
                <w:lang w:val="es-ES" w:eastAsia="es-ES"/>
              </w:rPr>
              <w:t xml:space="preserve">medido </w:t>
            </w:r>
            <w:r w:rsidRPr="008609D1">
              <w:rPr>
                <w:rFonts w:ascii="ITC Avant Garde" w:eastAsia="Times New Roman" w:hAnsi="ITC Avant Garde" w:cs="Arial"/>
                <w:sz w:val="20"/>
                <w:lang w:val="es-ES" w:eastAsia="es-ES"/>
              </w:rPr>
              <w:t>de voz saliente a fijo dentro de la red</w:t>
            </w:r>
          </w:p>
        </w:tc>
        <w:tc>
          <w:tcPr>
            <w:tcW w:w="1321" w:type="dxa"/>
            <w:tcBorders>
              <w:left w:val="nil"/>
              <w:right w:val="nil"/>
            </w:tcBorders>
            <w:noWrap/>
            <w:vAlign w:val="center"/>
          </w:tcPr>
          <w:p w14:paraId="6C72105D" w14:textId="77777777" w:rsidR="00FA55F4" w:rsidRPr="008609D1" w:rsidRDefault="00FA55F4" w:rsidP="00FA55F4">
            <w:pPr>
              <w:spacing w:before="40" w:after="40" w:line="240" w:lineRule="auto"/>
              <w:jc w:val="center"/>
              <w:rPr>
                <w:rFonts w:ascii="ITC Avant Garde" w:eastAsia="Times New Roman" w:hAnsi="ITC Avant Garde" w:cs="Arial"/>
                <w:sz w:val="20"/>
                <w:lang w:val="es-ES" w:eastAsia="es-ES"/>
              </w:rPr>
            </w:pPr>
          </w:p>
        </w:tc>
        <w:tc>
          <w:tcPr>
            <w:tcW w:w="1322" w:type="dxa"/>
            <w:tcBorders>
              <w:left w:val="nil"/>
              <w:right w:val="nil"/>
            </w:tcBorders>
            <w:noWrap/>
            <w:vAlign w:val="center"/>
          </w:tcPr>
          <w:p w14:paraId="6EEAB7E5" w14:textId="77777777" w:rsidR="00FA55F4" w:rsidRPr="008609D1" w:rsidRDefault="00FA55F4" w:rsidP="00FA55F4">
            <w:pPr>
              <w:spacing w:before="40" w:after="40" w:line="240" w:lineRule="auto"/>
              <w:jc w:val="center"/>
              <w:rPr>
                <w:rFonts w:ascii="ITC Avant Garde" w:eastAsia="Times New Roman" w:hAnsi="ITC Avant Garde" w:cs="Arial"/>
                <w:sz w:val="20"/>
                <w:lang w:val="es-ES" w:eastAsia="es-ES"/>
              </w:rPr>
            </w:pPr>
          </w:p>
        </w:tc>
      </w:tr>
      <w:tr w:rsidR="00FA55F4" w:rsidRPr="008609D1" w14:paraId="7974618B" w14:textId="77777777" w:rsidTr="004062CC">
        <w:trPr>
          <w:trHeight w:val="340"/>
          <w:jc w:val="center"/>
        </w:trPr>
        <w:tc>
          <w:tcPr>
            <w:tcW w:w="2941" w:type="dxa"/>
            <w:tcBorders>
              <w:left w:val="nil"/>
              <w:right w:val="nil"/>
            </w:tcBorders>
            <w:shd w:val="clear" w:color="auto" w:fill="D0D1DB"/>
            <w:noWrap/>
            <w:vAlign w:val="center"/>
            <w:hideMark/>
          </w:tcPr>
          <w:p w14:paraId="64F44745" w14:textId="77777777" w:rsidR="00FA55F4" w:rsidRPr="008609D1" w:rsidRDefault="003705E8" w:rsidP="003705E8">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Pago </w:t>
            </w:r>
            <w:r w:rsidR="00FA55F4" w:rsidRPr="008609D1">
              <w:rPr>
                <w:rFonts w:ascii="ITC Avant Garde" w:eastAsia="Times New Roman" w:hAnsi="ITC Avant Garde" w:cs="Arial"/>
                <w:sz w:val="20"/>
                <w:lang w:val="es-ES" w:eastAsia="es-ES"/>
              </w:rPr>
              <w:t xml:space="preserve">recurrente </w:t>
            </w:r>
            <w:r w:rsidRPr="008609D1">
              <w:rPr>
                <w:rFonts w:ascii="ITC Avant Garde" w:eastAsia="Times New Roman" w:hAnsi="ITC Avant Garde" w:cs="Arial"/>
                <w:sz w:val="20"/>
                <w:lang w:val="es-ES" w:eastAsia="es-ES"/>
              </w:rPr>
              <w:t>por el servicio de</w:t>
            </w:r>
            <w:r w:rsidR="00FA55F4" w:rsidRPr="008609D1">
              <w:rPr>
                <w:rFonts w:ascii="ITC Avant Garde" w:eastAsia="Times New Roman" w:hAnsi="ITC Avant Garde" w:cs="Arial"/>
                <w:sz w:val="20"/>
                <w:lang w:val="es-ES" w:eastAsia="es-ES"/>
              </w:rPr>
              <w:t xml:space="preserve"> </w:t>
            </w:r>
            <w:r w:rsidR="00CB6EE2" w:rsidRPr="008609D1">
              <w:rPr>
                <w:rFonts w:ascii="ITC Avant Garde" w:eastAsia="Times New Roman" w:hAnsi="ITC Avant Garde" w:cs="Arial"/>
                <w:sz w:val="20"/>
                <w:lang w:val="es-ES" w:eastAsia="es-ES"/>
              </w:rPr>
              <w:t>telef</w:t>
            </w:r>
            <w:r w:rsidRPr="008609D1">
              <w:rPr>
                <w:rFonts w:ascii="ITC Avant Garde" w:eastAsia="Times New Roman" w:hAnsi="ITC Avant Garde" w:cs="Arial"/>
                <w:sz w:val="20"/>
                <w:lang w:val="es-ES" w:eastAsia="es-ES"/>
              </w:rPr>
              <w:t>onía</w:t>
            </w:r>
            <w:r w:rsidR="00CB6EE2" w:rsidRPr="008609D1">
              <w:rPr>
                <w:rFonts w:ascii="ITC Avant Garde" w:eastAsia="Times New Roman" w:hAnsi="ITC Avant Garde" w:cs="Arial"/>
                <w:sz w:val="20"/>
                <w:lang w:val="es-ES" w:eastAsia="es-ES"/>
              </w:rPr>
              <w:t xml:space="preserve"> </w:t>
            </w:r>
            <w:r w:rsidR="00FA55F4" w:rsidRPr="008609D1">
              <w:rPr>
                <w:rFonts w:ascii="ITC Avant Garde" w:eastAsia="Times New Roman" w:hAnsi="ITC Avant Garde" w:cs="Arial"/>
                <w:sz w:val="20"/>
                <w:lang w:val="es-ES" w:eastAsia="es-ES"/>
              </w:rPr>
              <w:t>fija</w:t>
            </w:r>
          </w:p>
        </w:tc>
        <w:tc>
          <w:tcPr>
            <w:tcW w:w="3244" w:type="dxa"/>
            <w:tcBorders>
              <w:left w:val="nil"/>
              <w:right w:val="nil"/>
            </w:tcBorders>
            <w:shd w:val="clear" w:color="auto" w:fill="E5E9EB"/>
            <w:noWrap/>
            <w:vAlign w:val="center"/>
            <w:hideMark/>
          </w:tcPr>
          <w:p w14:paraId="0A5F1768" w14:textId="77777777" w:rsidR="00FA55F4" w:rsidRPr="008609D1" w:rsidRDefault="00FA55F4" w:rsidP="00FA55F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1" w:type="dxa"/>
            <w:tcBorders>
              <w:left w:val="nil"/>
              <w:right w:val="nil"/>
            </w:tcBorders>
            <w:noWrap/>
            <w:vAlign w:val="center"/>
          </w:tcPr>
          <w:p w14:paraId="7D11B57D" w14:textId="77777777" w:rsidR="00FA55F4" w:rsidRPr="008609D1" w:rsidRDefault="00FA55F4" w:rsidP="00FA55F4">
            <w:pPr>
              <w:spacing w:before="40" w:after="40" w:line="240" w:lineRule="auto"/>
              <w:jc w:val="center"/>
              <w:rPr>
                <w:rFonts w:ascii="ITC Avant Garde" w:eastAsia="Times New Roman" w:hAnsi="ITC Avant Garde" w:cs="Arial"/>
                <w:sz w:val="20"/>
                <w:lang w:val="es-ES" w:eastAsia="es-ES"/>
              </w:rPr>
            </w:pPr>
          </w:p>
        </w:tc>
        <w:tc>
          <w:tcPr>
            <w:tcW w:w="1322" w:type="dxa"/>
            <w:tcBorders>
              <w:left w:val="nil"/>
              <w:right w:val="nil"/>
            </w:tcBorders>
            <w:noWrap/>
            <w:vAlign w:val="center"/>
          </w:tcPr>
          <w:p w14:paraId="2B6C6BE8" w14:textId="77777777" w:rsidR="00FA55F4" w:rsidRPr="008609D1" w:rsidRDefault="00FA55F4" w:rsidP="00FA55F4">
            <w:pPr>
              <w:spacing w:before="40" w:after="40" w:line="240" w:lineRule="auto"/>
              <w:jc w:val="center"/>
              <w:rPr>
                <w:rFonts w:ascii="ITC Avant Garde" w:eastAsia="Times New Roman" w:hAnsi="ITC Avant Garde" w:cs="Arial"/>
                <w:sz w:val="20"/>
                <w:lang w:val="es-ES" w:eastAsia="es-ES"/>
              </w:rPr>
            </w:pPr>
          </w:p>
        </w:tc>
      </w:tr>
      <w:tr w:rsidR="00FA55F4" w:rsidRPr="008609D1" w14:paraId="397A3DB0" w14:textId="77777777" w:rsidTr="004062CC">
        <w:trPr>
          <w:trHeight w:val="340"/>
          <w:jc w:val="center"/>
        </w:trPr>
        <w:tc>
          <w:tcPr>
            <w:tcW w:w="2941" w:type="dxa"/>
            <w:tcBorders>
              <w:left w:val="nil"/>
              <w:right w:val="nil"/>
            </w:tcBorders>
            <w:shd w:val="clear" w:color="auto" w:fill="D0D1DB"/>
            <w:noWrap/>
            <w:vAlign w:val="center"/>
            <w:hideMark/>
          </w:tcPr>
          <w:p w14:paraId="00CF0F88" w14:textId="77777777" w:rsidR="00FA55F4" w:rsidRPr="008609D1" w:rsidRDefault="003705E8" w:rsidP="003705E8">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w:t>
            </w:r>
            <w:r w:rsidR="00FA55F4" w:rsidRPr="008609D1">
              <w:rPr>
                <w:rFonts w:ascii="ITC Avant Garde" w:eastAsia="Times New Roman" w:hAnsi="ITC Avant Garde" w:cs="Arial"/>
                <w:sz w:val="20"/>
                <w:lang w:val="es-ES" w:eastAsia="es-ES"/>
              </w:rPr>
              <w:t xml:space="preserve"> recurrente </w:t>
            </w:r>
            <w:r w:rsidRPr="008609D1">
              <w:rPr>
                <w:rFonts w:ascii="ITC Avant Garde" w:eastAsia="Times New Roman" w:hAnsi="ITC Avant Garde" w:cs="Arial"/>
                <w:sz w:val="20"/>
                <w:lang w:val="es-ES" w:eastAsia="es-ES"/>
              </w:rPr>
              <w:t>por el servicio de acceso a I</w:t>
            </w:r>
            <w:r w:rsidR="00FA55F4" w:rsidRPr="008609D1">
              <w:rPr>
                <w:rFonts w:ascii="ITC Avant Garde" w:eastAsia="Times New Roman" w:hAnsi="ITC Avant Garde" w:cs="Arial"/>
                <w:sz w:val="20"/>
                <w:lang w:val="es-ES" w:eastAsia="es-ES"/>
              </w:rPr>
              <w:t>nternet fijo</w:t>
            </w:r>
          </w:p>
        </w:tc>
        <w:tc>
          <w:tcPr>
            <w:tcW w:w="3244" w:type="dxa"/>
            <w:tcBorders>
              <w:left w:val="nil"/>
              <w:right w:val="nil"/>
            </w:tcBorders>
            <w:shd w:val="clear" w:color="auto" w:fill="E5E9EB"/>
            <w:noWrap/>
            <w:vAlign w:val="center"/>
            <w:hideMark/>
          </w:tcPr>
          <w:p w14:paraId="2293759A" w14:textId="77777777" w:rsidR="00FA55F4" w:rsidRPr="008609D1" w:rsidRDefault="00FA55F4" w:rsidP="00FA55F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básica por línea</w:t>
            </w:r>
          </w:p>
        </w:tc>
        <w:tc>
          <w:tcPr>
            <w:tcW w:w="1321" w:type="dxa"/>
            <w:tcBorders>
              <w:left w:val="nil"/>
              <w:right w:val="nil"/>
            </w:tcBorders>
            <w:noWrap/>
            <w:vAlign w:val="center"/>
          </w:tcPr>
          <w:p w14:paraId="0E135A55" w14:textId="77777777" w:rsidR="00FA55F4" w:rsidRPr="008609D1" w:rsidRDefault="00FA55F4" w:rsidP="00FA55F4">
            <w:pPr>
              <w:spacing w:before="40" w:after="40" w:line="240" w:lineRule="auto"/>
              <w:jc w:val="center"/>
              <w:rPr>
                <w:rFonts w:ascii="ITC Avant Garde" w:eastAsia="Times New Roman" w:hAnsi="ITC Avant Garde" w:cs="Arial"/>
                <w:sz w:val="20"/>
                <w:lang w:val="es-ES" w:eastAsia="es-ES"/>
              </w:rPr>
            </w:pPr>
          </w:p>
        </w:tc>
        <w:tc>
          <w:tcPr>
            <w:tcW w:w="1322" w:type="dxa"/>
            <w:tcBorders>
              <w:left w:val="nil"/>
              <w:right w:val="nil"/>
            </w:tcBorders>
            <w:noWrap/>
            <w:vAlign w:val="center"/>
          </w:tcPr>
          <w:p w14:paraId="177D3580" w14:textId="77777777" w:rsidR="00FA55F4" w:rsidRPr="008609D1" w:rsidRDefault="00FA55F4" w:rsidP="00FA55F4">
            <w:pPr>
              <w:spacing w:before="40" w:after="40" w:line="240" w:lineRule="auto"/>
              <w:jc w:val="center"/>
              <w:rPr>
                <w:rFonts w:ascii="ITC Avant Garde" w:eastAsia="Times New Roman" w:hAnsi="ITC Avant Garde" w:cs="Arial"/>
                <w:sz w:val="20"/>
                <w:lang w:val="es-ES" w:eastAsia="es-ES"/>
              </w:rPr>
            </w:pPr>
          </w:p>
        </w:tc>
      </w:tr>
      <w:tr w:rsidR="00FA55F4" w:rsidRPr="008609D1" w14:paraId="191842B3" w14:textId="77777777" w:rsidTr="004062CC">
        <w:trPr>
          <w:trHeight w:val="340"/>
          <w:jc w:val="center"/>
        </w:trPr>
        <w:tc>
          <w:tcPr>
            <w:tcW w:w="2941" w:type="dxa"/>
            <w:tcBorders>
              <w:left w:val="nil"/>
              <w:right w:val="nil"/>
            </w:tcBorders>
            <w:shd w:val="clear" w:color="auto" w:fill="D0D1DB"/>
            <w:noWrap/>
            <w:vAlign w:val="center"/>
            <w:hideMark/>
          </w:tcPr>
          <w:p w14:paraId="219D6464" w14:textId="77777777" w:rsidR="00FA55F4" w:rsidRPr="008609D1" w:rsidRDefault="003705E8" w:rsidP="003705E8">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lastRenderedPageBreak/>
              <w:t xml:space="preserve">Pago </w:t>
            </w:r>
            <w:r w:rsidR="00FA55F4" w:rsidRPr="008609D1">
              <w:rPr>
                <w:rFonts w:ascii="ITC Avant Garde" w:eastAsia="Times New Roman" w:hAnsi="ITC Avant Garde" w:cs="Arial"/>
                <w:sz w:val="20"/>
                <w:lang w:val="es-ES" w:eastAsia="es-ES"/>
              </w:rPr>
              <w:t xml:space="preserve">recurrente </w:t>
            </w:r>
            <w:r w:rsidRPr="008609D1">
              <w:rPr>
                <w:rFonts w:ascii="ITC Avant Garde" w:eastAsia="Times New Roman" w:hAnsi="ITC Avant Garde" w:cs="Arial"/>
                <w:sz w:val="20"/>
                <w:lang w:val="es-ES" w:eastAsia="es-ES"/>
              </w:rPr>
              <w:t>por el servicio de acceso a I</w:t>
            </w:r>
            <w:r w:rsidR="00FA55F4" w:rsidRPr="008609D1">
              <w:rPr>
                <w:rFonts w:ascii="ITC Avant Garde" w:eastAsia="Times New Roman" w:hAnsi="ITC Avant Garde" w:cs="Arial"/>
                <w:sz w:val="20"/>
                <w:lang w:val="es-ES" w:eastAsia="es-ES"/>
              </w:rPr>
              <w:t>nternet fijo</w:t>
            </w:r>
          </w:p>
        </w:tc>
        <w:tc>
          <w:tcPr>
            <w:tcW w:w="3244" w:type="dxa"/>
            <w:tcBorders>
              <w:left w:val="nil"/>
              <w:right w:val="nil"/>
            </w:tcBorders>
            <w:shd w:val="clear" w:color="auto" w:fill="E5E9EB"/>
            <w:noWrap/>
            <w:vAlign w:val="center"/>
            <w:hideMark/>
          </w:tcPr>
          <w:p w14:paraId="2E210B39" w14:textId="77777777" w:rsidR="00FA55F4" w:rsidRPr="008609D1" w:rsidRDefault="00FA55F4" w:rsidP="00FA55F4">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Datos (Acceso a Internet de banda ancha) residencial</w:t>
            </w:r>
          </w:p>
        </w:tc>
        <w:tc>
          <w:tcPr>
            <w:tcW w:w="1321" w:type="dxa"/>
            <w:tcBorders>
              <w:left w:val="nil"/>
              <w:right w:val="nil"/>
            </w:tcBorders>
            <w:noWrap/>
            <w:vAlign w:val="center"/>
          </w:tcPr>
          <w:p w14:paraId="44B85AB4" w14:textId="77777777" w:rsidR="00FA55F4" w:rsidRPr="008609D1" w:rsidRDefault="00FA55F4" w:rsidP="00FA55F4">
            <w:pPr>
              <w:spacing w:before="40" w:after="40" w:line="240" w:lineRule="auto"/>
              <w:jc w:val="center"/>
              <w:rPr>
                <w:rFonts w:ascii="ITC Avant Garde" w:eastAsia="Times New Roman" w:hAnsi="ITC Avant Garde" w:cs="Arial"/>
                <w:sz w:val="20"/>
                <w:lang w:val="es-ES" w:eastAsia="es-ES"/>
              </w:rPr>
            </w:pPr>
          </w:p>
        </w:tc>
        <w:tc>
          <w:tcPr>
            <w:tcW w:w="1322" w:type="dxa"/>
            <w:tcBorders>
              <w:left w:val="nil"/>
              <w:right w:val="nil"/>
            </w:tcBorders>
            <w:noWrap/>
            <w:vAlign w:val="center"/>
          </w:tcPr>
          <w:p w14:paraId="6F7C92CA" w14:textId="77777777" w:rsidR="00FA55F4" w:rsidRPr="008609D1" w:rsidRDefault="00FA55F4" w:rsidP="00FA55F4">
            <w:pPr>
              <w:spacing w:before="40" w:after="40" w:line="240" w:lineRule="auto"/>
              <w:jc w:val="center"/>
              <w:rPr>
                <w:rFonts w:ascii="ITC Avant Garde" w:eastAsia="Times New Roman" w:hAnsi="ITC Avant Garde" w:cs="Arial"/>
                <w:sz w:val="20"/>
                <w:lang w:val="es-ES" w:eastAsia="es-ES"/>
              </w:rPr>
            </w:pPr>
          </w:p>
        </w:tc>
      </w:tr>
      <w:tr w:rsidR="007304F5" w:rsidRPr="008609D1" w14:paraId="032FAE56" w14:textId="77777777" w:rsidTr="004062CC">
        <w:trPr>
          <w:trHeight w:val="340"/>
          <w:jc w:val="center"/>
        </w:trPr>
        <w:tc>
          <w:tcPr>
            <w:tcW w:w="2941" w:type="dxa"/>
            <w:tcBorders>
              <w:left w:val="nil"/>
              <w:bottom w:val="single" w:sz="4" w:space="0" w:color="244062"/>
              <w:right w:val="nil"/>
            </w:tcBorders>
            <w:shd w:val="clear" w:color="auto" w:fill="D0D1DB"/>
            <w:noWrap/>
            <w:vAlign w:val="center"/>
            <w:hideMark/>
          </w:tcPr>
          <w:p w14:paraId="52C3957B"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244" w:type="dxa"/>
            <w:tcBorders>
              <w:left w:val="nil"/>
              <w:bottom w:val="single" w:sz="4" w:space="0" w:color="244062"/>
              <w:right w:val="nil"/>
            </w:tcBorders>
            <w:shd w:val="clear" w:color="auto" w:fill="E5E9EB"/>
            <w:noWrap/>
            <w:vAlign w:val="center"/>
            <w:hideMark/>
          </w:tcPr>
          <w:p w14:paraId="344A8253"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1" w:type="dxa"/>
            <w:tcBorders>
              <w:left w:val="nil"/>
              <w:bottom w:val="single" w:sz="4" w:space="0" w:color="244062"/>
              <w:right w:val="nil"/>
            </w:tcBorders>
            <w:noWrap/>
            <w:vAlign w:val="center"/>
          </w:tcPr>
          <w:p w14:paraId="2976808C" w14:textId="77777777" w:rsidR="00892164" w:rsidRPr="008609D1" w:rsidRDefault="00892164" w:rsidP="00D87E0B">
            <w:pPr>
              <w:spacing w:before="40" w:after="40" w:line="240" w:lineRule="auto"/>
              <w:jc w:val="center"/>
              <w:rPr>
                <w:rFonts w:ascii="ITC Avant Garde" w:eastAsia="Times New Roman" w:hAnsi="ITC Avant Garde" w:cs="Arial"/>
                <w:sz w:val="20"/>
                <w:lang w:val="es-ES" w:eastAsia="es-ES"/>
              </w:rPr>
            </w:pPr>
          </w:p>
        </w:tc>
        <w:tc>
          <w:tcPr>
            <w:tcW w:w="1322" w:type="dxa"/>
            <w:tcBorders>
              <w:left w:val="nil"/>
              <w:bottom w:val="single" w:sz="4" w:space="0" w:color="244062"/>
              <w:right w:val="nil"/>
            </w:tcBorders>
            <w:noWrap/>
            <w:vAlign w:val="center"/>
          </w:tcPr>
          <w:p w14:paraId="422E3EE5" w14:textId="77777777" w:rsidR="00892164" w:rsidRPr="008609D1" w:rsidRDefault="00892164" w:rsidP="00D87E0B">
            <w:pPr>
              <w:keepNext/>
              <w:spacing w:before="40" w:after="40" w:line="240" w:lineRule="auto"/>
              <w:jc w:val="center"/>
              <w:rPr>
                <w:rFonts w:ascii="ITC Avant Garde" w:eastAsia="Times New Roman" w:hAnsi="ITC Avant Garde" w:cs="Arial"/>
                <w:sz w:val="20"/>
                <w:lang w:val="es-ES" w:eastAsia="es-ES"/>
              </w:rPr>
            </w:pPr>
          </w:p>
        </w:tc>
      </w:tr>
    </w:tbl>
    <w:p w14:paraId="470A9018" w14:textId="77777777" w:rsidR="00892164" w:rsidRPr="008609D1" w:rsidRDefault="00892164" w:rsidP="007304F5">
      <w:pPr>
        <w:pStyle w:val="A3L2"/>
        <w:keepNext/>
        <w:keepLines/>
      </w:pPr>
      <w:bookmarkStart w:id="174" w:name="_Toc475468518"/>
      <w:bookmarkStart w:id="175" w:name="_Toc477515029"/>
      <w:bookmarkStart w:id="176" w:name="_Toc478774513"/>
      <w:r w:rsidRPr="008609D1">
        <w:t>Matriz de asignación de costos por actividades y elementos de red (Nivel 2) a servicios minoristas (Nivel 3)</w:t>
      </w:r>
      <w:bookmarkEnd w:id="174"/>
      <w:bookmarkEnd w:id="175"/>
      <w:bookmarkEnd w:id="176"/>
    </w:p>
    <w:p w14:paraId="7B46C075" w14:textId="77777777" w:rsidR="00892164" w:rsidRPr="008609D1" w:rsidRDefault="00892164" w:rsidP="007304F5">
      <w:pPr>
        <w:pStyle w:val="Normalresolucion"/>
        <w:keepNext/>
        <w:keepLines/>
      </w:pPr>
      <w:r w:rsidRPr="008609D1">
        <w:t>Esta matriz deberá contener la asignación de cuentas de costos por actividades y elementos de red a cuentas de servicios minoristas de Nivel 3.</w:t>
      </w:r>
    </w:p>
    <w:p w14:paraId="64523D3E" w14:textId="693BE853" w:rsidR="00892164" w:rsidRDefault="00892164" w:rsidP="000119BF">
      <w:pPr>
        <w:pStyle w:val="Normalresolucion"/>
        <w:rPr>
          <w:rtl/>
        </w:rPr>
      </w:pPr>
      <w:r w:rsidRPr="008609D1">
        <w:t>A continuación se presenta el formato que deberá ser c</w:t>
      </w:r>
      <w:r w:rsidR="00E87167">
        <w:t>omple</w:t>
      </w:r>
      <w:r w:rsidRPr="008609D1">
        <w:t xml:space="preserve">tado por los concesionarios para la entrega de esta información. Las cuentas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5144E2" w:rsidRPr="008609D1">
        <w:rPr>
          <w:rFonts w:hint="eastAsia"/>
          <w:cs/>
        </w:rPr>
        <w:t>‎</w:t>
      </w:r>
      <w:r w:rsidR="005144E2" w:rsidRPr="008609D1">
        <w:t>2.2</w:t>
      </w:r>
      <w:r w:rsidRPr="008609D1">
        <w:fldChar w:fldCharType="end"/>
      </w:r>
      <w:r w:rsidRPr="008609D1">
        <w:t xml:space="preserve"> del Anexo </w:t>
      </w:r>
      <w:r w:rsidR="004B3901" w:rsidRPr="008609D1">
        <w:t>3</w:t>
      </w:r>
      <w:r w:rsidRPr="008609D1">
        <w:rPr>
          <w:rtl/>
        </w:rPr>
        <w:t>.</w:t>
      </w:r>
    </w:p>
    <w:p w14:paraId="7301E91C" w14:textId="77777777" w:rsidR="005E47DD" w:rsidRPr="008609D1" w:rsidRDefault="005E47DD" w:rsidP="005E47DD">
      <w:pPr>
        <w:pStyle w:val="Descripcin"/>
        <w:spacing w:after="240" w:line="240" w:lineRule="auto"/>
        <w:rPr>
          <w:rFonts w:ascii="ITC Avant Garde" w:hAnsi="ITC Avant Garde"/>
          <w:iCs/>
          <w:sz w:val="20"/>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11</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costos por actividades y elementos de red (Nivel 2) a cuentas de servicios minoristas (Nivel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1"/>
        <w:gridCol w:w="3244"/>
        <w:gridCol w:w="1321"/>
        <w:gridCol w:w="1322"/>
      </w:tblGrid>
      <w:tr w:rsidR="007304F5" w:rsidRPr="008609D1" w14:paraId="565DE01A" w14:textId="77777777" w:rsidTr="0052094D">
        <w:trPr>
          <w:trHeight w:val="340"/>
          <w:jc w:val="center"/>
        </w:trPr>
        <w:tc>
          <w:tcPr>
            <w:tcW w:w="2993"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42044D5D"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Costos por actividad y elementos de red</w:t>
            </w:r>
          </w:p>
          <w:p w14:paraId="3A18BA75"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(Nivel 2)</w:t>
            </w:r>
            <w:r w:rsidRPr="008609D1">
              <w:rPr>
                <w:rStyle w:val="Refdenotaalpie"/>
                <w:rFonts w:ascii="ITC Avant Garde" w:eastAsia="Times New Roman" w:hAnsi="ITC Avant Garde" w:cs="Arial"/>
                <w:b/>
                <w:color w:val="FFFFFF" w:themeColor="background1"/>
                <w:sz w:val="20"/>
                <w:lang w:val="es-ES" w:eastAsia="es-ES"/>
              </w:rPr>
              <w:footnoteReference w:id="66"/>
            </w:r>
          </w:p>
        </w:tc>
        <w:tc>
          <w:tcPr>
            <w:tcW w:w="330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61B5F3E4"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Servicios minoristas</w:t>
            </w:r>
          </w:p>
          <w:p w14:paraId="1C5A666B"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(Nivel 3)</w:t>
            </w:r>
            <w:r w:rsidRPr="008609D1">
              <w:rPr>
                <w:rFonts w:ascii="ITC Avant Garde" w:eastAsia="Times New Roman" w:hAnsi="ITC Avant Garde" w:cs="Arial"/>
                <w:b/>
                <w:color w:val="FFFFFF" w:themeColor="background1"/>
                <w:sz w:val="20"/>
                <w:vertAlign w:val="superscript"/>
                <w:lang w:val="es-ES" w:eastAsia="es-ES"/>
              </w:rPr>
              <w:footnoteReference w:id="67"/>
            </w:r>
          </w:p>
        </w:tc>
        <w:tc>
          <w:tcPr>
            <w:tcW w:w="2685"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5317E29F"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Año</w:t>
            </w:r>
          </w:p>
        </w:tc>
      </w:tr>
      <w:tr w:rsidR="007304F5" w:rsidRPr="008609D1" w14:paraId="700E4CFA" w14:textId="77777777" w:rsidTr="0052094D">
        <w:trPr>
          <w:trHeight w:val="340"/>
          <w:jc w:val="center"/>
        </w:trPr>
        <w:tc>
          <w:tcPr>
            <w:tcW w:w="2993"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6A6B2653" w14:textId="77777777" w:rsidR="00892164" w:rsidRPr="008609D1" w:rsidRDefault="00892164" w:rsidP="00D87E0B">
            <w:pPr>
              <w:keepNext/>
              <w:spacing w:after="0"/>
              <w:rPr>
                <w:rFonts w:ascii="ITC Avant Garde" w:eastAsia="Times New Roman" w:hAnsi="ITC Avant Garde" w:cs="Arial"/>
                <w:b/>
                <w:color w:val="FFFFFF" w:themeColor="background1"/>
                <w:sz w:val="20"/>
                <w:lang w:val="es-ES" w:eastAsia="es-ES"/>
              </w:rPr>
            </w:pPr>
          </w:p>
        </w:tc>
        <w:tc>
          <w:tcPr>
            <w:tcW w:w="3300"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2BAA3909" w14:textId="77777777" w:rsidR="00892164" w:rsidRPr="008609D1" w:rsidRDefault="00892164" w:rsidP="00D87E0B">
            <w:pPr>
              <w:keepNext/>
              <w:spacing w:after="0"/>
              <w:rPr>
                <w:rFonts w:ascii="ITC Avant Garde" w:eastAsia="Times New Roman" w:hAnsi="ITC Avant Garde" w:cs="Arial"/>
                <w:b/>
                <w:color w:val="FFFFFF" w:themeColor="background1"/>
                <w:sz w:val="20"/>
                <w:lang w:val="es-ES" w:eastAsia="es-ES"/>
              </w:rPr>
            </w:pPr>
          </w:p>
        </w:tc>
        <w:tc>
          <w:tcPr>
            <w:tcW w:w="1342"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3C5AE3EA"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N-1</w:t>
            </w:r>
          </w:p>
        </w:tc>
        <w:tc>
          <w:tcPr>
            <w:tcW w:w="1343"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05E65317"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w:t>
            </w:r>
          </w:p>
        </w:tc>
      </w:tr>
      <w:tr w:rsidR="00045511" w:rsidRPr="008609D1" w14:paraId="67DE71E6" w14:textId="77777777" w:rsidTr="0052094D">
        <w:trPr>
          <w:trHeight w:val="340"/>
          <w:jc w:val="center"/>
        </w:trPr>
        <w:tc>
          <w:tcPr>
            <w:tcW w:w="2993" w:type="dxa"/>
            <w:tcBorders>
              <w:top w:val="single" w:sz="4" w:space="0" w:color="244062"/>
              <w:left w:val="nil"/>
              <w:right w:val="nil"/>
            </w:tcBorders>
            <w:shd w:val="clear" w:color="auto" w:fill="D0D1DB"/>
            <w:noWrap/>
            <w:vAlign w:val="center"/>
            <w:hideMark/>
          </w:tcPr>
          <w:p w14:paraId="6FAC18CA" w14:textId="77777777" w:rsidR="00045511" w:rsidRPr="008609D1" w:rsidRDefault="00045511" w:rsidP="00045511">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300" w:type="dxa"/>
            <w:tcBorders>
              <w:top w:val="single" w:sz="4" w:space="0" w:color="244062"/>
              <w:left w:val="nil"/>
              <w:right w:val="nil"/>
            </w:tcBorders>
            <w:shd w:val="clear" w:color="auto" w:fill="E5E9EB"/>
            <w:noWrap/>
            <w:vAlign w:val="center"/>
            <w:hideMark/>
          </w:tcPr>
          <w:p w14:paraId="383FF4E5" w14:textId="77777777" w:rsidR="00045511" w:rsidRPr="008609D1" w:rsidRDefault="00045511" w:rsidP="00045511">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Instalación de línea</w:t>
            </w:r>
          </w:p>
        </w:tc>
        <w:tc>
          <w:tcPr>
            <w:tcW w:w="1342" w:type="dxa"/>
            <w:tcBorders>
              <w:top w:val="single" w:sz="4" w:space="0" w:color="244062"/>
              <w:left w:val="nil"/>
              <w:right w:val="nil"/>
            </w:tcBorders>
            <w:noWrap/>
            <w:vAlign w:val="center"/>
            <w:hideMark/>
          </w:tcPr>
          <w:p w14:paraId="08A2C43F" w14:textId="77777777" w:rsidR="00045511" w:rsidRPr="008609D1" w:rsidRDefault="00045511" w:rsidP="00045511">
            <w:pPr>
              <w:keepNext/>
              <w:rPr>
                <w:rFonts w:ascii="ITC Avant Garde" w:eastAsia="Times New Roman" w:hAnsi="ITC Avant Garde" w:cs="Arial"/>
                <w:sz w:val="20"/>
                <w:lang w:val="es-ES" w:eastAsia="es-ES"/>
              </w:rPr>
            </w:pPr>
          </w:p>
        </w:tc>
        <w:tc>
          <w:tcPr>
            <w:tcW w:w="1343" w:type="dxa"/>
            <w:tcBorders>
              <w:top w:val="single" w:sz="4" w:space="0" w:color="244062"/>
              <w:left w:val="nil"/>
              <w:right w:val="nil"/>
            </w:tcBorders>
            <w:noWrap/>
            <w:vAlign w:val="center"/>
            <w:hideMark/>
          </w:tcPr>
          <w:p w14:paraId="674F4A33" w14:textId="77777777" w:rsidR="00045511" w:rsidRPr="008609D1" w:rsidRDefault="00045511" w:rsidP="00045511">
            <w:pPr>
              <w:keepNext/>
              <w:spacing w:after="0"/>
              <w:rPr>
                <w:rFonts w:ascii="ITC Avant Garde" w:hAnsi="ITC Avant Garde"/>
                <w:sz w:val="20"/>
                <w:szCs w:val="20"/>
                <w:lang w:eastAsia="en-GB"/>
              </w:rPr>
            </w:pPr>
          </w:p>
        </w:tc>
      </w:tr>
      <w:tr w:rsidR="00045511" w:rsidRPr="008609D1" w14:paraId="605D5C35" w14:textId="77777777" w:rsidTr="000E069D">
        <w:trPr>
          <w:trHeight w:val="340"/>
          <w:jc w:val="center"/>
        </w:trPr>
        <w:tc>
          <w:tcPr>
            <w:tcW w:w="2993" w:type="dxa"/>
            <w:tcBorders>
              <w:left w:val="nil"/>
              <w:right w:val="nil"/>
            </w:tcBorders>
            <w:shd w:val="clear" w:color="auto" w:fill="D0D1DB"/>
            <w:noWrap/>
            <w:vAlign w:val="center"/>
            <w:hideMark/>
          </w:tcPr>
          <w:p w14:paraId="5BC4698F" w14:textId="77777777" w:rsidR="00045511" w:rsidRPr="008609D1" w:rsidRDefault="00045511" w:rsidP="00045511">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300" w:type="dxa"/>
            <w:tcBorders>
              <w:left w:val="nil"/>
              <w:right w:val="nil"/>
            </w:tcBorders>
            <w:shd w:val="clear" w:color="auto" w:fill="E5E9EB"/>
            <w:noWrap/>
            <w:vAlign w:val="center"/>
            <w:hideMark/>
          </w:tcPr>
          <w:p w14:paraId="19126719" w14:textId="77777777" w:rsidR="00045511" w:rsidRPr="008609D1" w:rsidRDefault="00045511" w:rsidP="00045511">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Ventas en tiendas del concesionario</w:t>
            </w:r>
          </w:p>
        </w:tc>
        <w:tc>
          <w:tcPr>
            <w:tcW w:w="1342" w:type="dxa"/>
            <w:tcBorders>
              <w:left w:val="nil"/>
              <w:right w:val="nil"/>
            </w:tcBorders>
            <w:noWrap/>
            <w:vAlign w:val="center"/>
            <w:hideMark/>
          </w:tcPr>
          <w:p w14:paraId="7209DCE1" w14:textId="77777777" w:rsidR="00045511" w:rsidRPr="008609D1" w:rsidRDefault="00045511" w:rsidP="00045511">
            <w:pPr>
              <w:keepNext/>
              <w:rPr>
                <w:rFonts w:ascii="ITC Avant Garde" w:eastAsia="Times New Roman" w:hAnsi="ITC Avant Garde" w:cs="Arial"/>
                <w:sz w:val="20"/>
                <w:lang w:val="es-ES" w:eastAsia="es-ES"/>
              </w:rPr>
            </w:pPr>
          </w:p>
        </w:tc>
        <w:tc>
          <w:tcPr>
            <w:tcW w:w="1343" w:type="dxa"/>
            <w:tcBorders>
              <w:left w:val="nil"/>
              <w:right w:val="nil"/>
            </w:tcBorders>
            <w:noWrap/>
            <w:vAlign w:val="center"/>
            <w:hideMark/>
          </w:tcPr>
          <w:p w14:paraId="7F6BA9C8" w14:textId="77777777" w:rsidR="00045511" w:rsidRPr="008609D1" w:rsidRDefault="00045511" w:rsidP="00045511">
            <w:pPr>
              <w:keepNext/>
              <w:spacing w:after="0"/>
              <w:rPr>
                <w:rFonts w:ascii="ITC Avant Garde" w:hAnsi="ITC Avant Garde"/>
                <w:sz w:val="20"/>
                <w:szCs w:val="20"/>
                <w:lang w:val="es-ES" w:eastAsia="en-GB"/>
              </w:rPr>
            </w:pPr>
          </w:p>
        </w:tc>
      </w:tr>
      <w:tr w:rsidR="00045511" w:rsidRPr="008609D1" w14:paraId="1A188142" w14:textId="77777777" w:rsidTr="0052094D">
        <w:trPr>
          <w:trHeight w:val="340"/>
          <w:jc w:val="center"/>
        </w:trPr>
        <w:tc>
          <w:tcPr>
            <w:tcW w:w="2993" w:type="dxa"/>
            <w:tcBorders>
              <w:left w:val="nil"/>
              <w:right w:val="nil"/>
            </w:tcBorders>
            <w:shd w:val="clear" w:color="auto" w:fill="D0D1DB"/>
            <w:noWrap/>
            <w:vAlign w:val="center"/>
            <w:hideMark/>
          </w:tcPr>
          <w:p w14:paraId="78A75583" w14:textId="77777777" w:rsidR="00045511" w:rsidRPr="008609D1" w:rsidRDefault="00045511" w:rsidP="00045511">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300" w:type="dxa"/>
            <w:tcBorders>
              <w:left w:val="nil"/>
              <w:right w:val="nil"/>
            </w:tcBorders>
            <w:shd w:val="clear" w:color="auto" w:fill="E5E9EB"/>
            <w:noWrap/>
            <w:vAlign w:val="center"/>
            <w:hideMark/>
          </w:tcPr>
          <w:p w14:paraId="468870E2" w14:textId="77777777" w:rsidR="00045511" w:rsidRPr="008609D1" w:rsidRDefault="00045511" w:rsidP="00045511">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2" w:type="dxa"/>
            <w:tcBorders>
              <w:left w:val="nil"/>
              <w:right w:val="nil"/>
            </w:tcBorders>
            <w:noWrap/>
            <w:vAlign w:val="center"/>
            <w:hideMark/>
          </w:tcPr>
          <w:p w14:paraId="7B5F7653" w14:textId="77777777" w:rsidR="00045511" w:rsidRPr="008609D1" w:rsidRDefault="00045511" w:rsidP="00045511">
            <w:pPr>
              <w:keepNext/>
              <w:rPr>
                <w:rFonts w:ascii="ITC Avant Garde" w:eastAsia="Times New Roman" w:hAnsi="ITC Avant Garde" w:cs="Arial"/>
                <w:sz w:val="20"/>
                <w:lang w:val="es-ES" w:eastAsia="es-ES"/>
              </w:rPr>
            </w:pPr>
          </w:p>
        </w:tc>
        <w:tc>
          <w:tcPr>
            <w:tcW w:w="1343" w:type="dxa"/>
            <w:tcBorders>
              <w:left w:val="nil"/>
              <w:right w:val="nil"/>
            </w:tcBorders>
            <w:noWrap/>
            <w:vAlign w:val="center"/>
            <w:hideMark/>
          </w:tcPr>
          <w:p w14:paraId="184B4165" w14:textId="77777777" w:rsidR="00045511" w:rsidRPr="008609D1" w:rsidRDefault="00045511" w:rsidP="00045511">
            <w:pPr>
              <w:keepNext/>
              <w:spacing w:after="0"/>
              <w:rPr>
                <w:rFonts w:ascii="ITC Avant Garde" w:hAnsi="ITC Avant Garde"/>
                <w:sz w:val="20"/>
                <w:szCs w:val="20"/>
                <w:lang w:val="en-GB" w:eastAsia="en-GB"/>
              </w:rPr>
            </w:pPr>
          </w:p>
        </w:tc>
      </w:tr>
      <w:tr w:rsidR="00045511" w:rsidRPr="008609D1" w14:paraId="57E54A39" w14:textId="77777777" w:rsidTr="0052094D">
        <w:trPr>
          <w:trHeight w:val="340"/>
          <w:jc w:val="center"/>
        </w:trPr>
        <w:tc>
          <w:tcPr>
            <w:tcW w:w="2993" w:type="dxa"/>
            <w:tcBorders>
              <w:left w:val="nil"/>
              <w:right w:val="nil"/>
            </w:tcBorders>
            <w:shd w:val="clear" w:color="auto" w:fill="D0D1DB"/>
            <w:noWrap/>
            <w:vAlign w:val="center"/>
            <w:hideMark/>
          </w:tcPr>
          <w:p w14:paraId="392371FB" w14:textId="77777777" w:rsidR="00045511" w:rsidRPr="008609D1" w:rsidRDefault="00045511" w:rsidP="00045511">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w:t>
            </w:r>
          </w:p>
        </w:tc>
        <w:tc>
          <w:tcPr>
            <w:tcW w:w="3300" w:type="dxa"/>
            <w:tcBorders>
              <w:left w:val="nil"/>
              <w:right w:val="nil"/>
            </w:tcBorders>
            <w:shd w:val="clear" w:color="auto" w:fill="E5E9EB"/>
            <w:noWrap/>
            <w:vAlign w:val="center"/>
            <w:hideMark/>
          </w:tcPr>
          <w:p w14:paraId="1FD87C15" w14:textId="77777777" w:rsidR="00045511" w:rsidRPr="008609D1" w:rsidRDefault="00045511" w:rsidP="00045511">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básica por línea</w:t>
            </w:r>
          </w:p>
        </w:tc>
        <w:tc>
          <w:tcPr>
            <w:tcW w:w="1342" w:type="dxa"/>
            <w:tcBorders>
              <w:left w:val="nil"/>
              <w:right w:val="nil"/>
            </w:tcBorders>
            <w:noWrap/>
            <w:vAlign w:val="center"/>
          </w:tcPr>
          <w:p w14:paraId="4F1CF98F" w14:textId="77777777" w:rsidR="00045511" w:rsidRPr="008609D1" w:rsidRDefault="00045511" w:rsidP="00045511">
            <w:pPr>
              <w:keepNext/>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14:paraId="259ECB2D" w14:textId="77777777" w:rsidR="00045511" w:rsidRPr="008609D1" w:rsidRDefault="00045511" w:rsidP="00045511">
            <w:pPr>
              <w:keepNext/>
              <w:spacing w:before="40" w:after="40" w:line="240" w:lineRule="auto"/>
              <w:jc w:val="center"/>
              <w:rPr>
                <w:rFonts w:ascii="ITC Avant Garde" w:eastAsia="Times New Roman" w:hAnsi="ITC Avant Garde" w:cs="Arial"/>
                <w:sz w:val="20"/>
                <w:lang w:val="es-ES" w:eastAsia="es-ES"/>
              </w:rPr>
            </w:pPr>
          </w:p>
        </w:tc>
      </w:tr>
      <w:tr w:rsidR="00045511" w:rsidRPr="008609D1" w14:paraId="2E39B5A1" w14:textId="77777777" w:rsidTr="000E069D">
        <w:trPr>
          <w:trHeight w:val="340"/>
          <w:jc w:val="center"/>
        </w:trPr>
        <w:tc>
          <w:tcPr>
            <w:tcW w:w="2993" w:type="dxa"/>
            <w:tcBorders>
              <w:left w:val="nil"/>
              <w:right w:val="nil"/>
            </w:tcBorders>
            <w:shd w:val="clear" w:color="auto" w:fill="D0D1DB"/>
            <w:noWrap/>
            <w:vAlign w:val="center"/>
            <w:hideMark/>
          </w:tcPr>
          <w:p w14:paraId="125D547C" w14:textId="77777777" w:rsidR="00045511" w:rsidRPr="008609D1" w:rsidRDefault="00045511" w:rsidP="00045511">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w:t>
            </w:r>
          </w:p>
        </w:tc>
        <w:tc>
          <w:tcPr>
            <w:tcW w:w="3300" w:type="dxa"/>
            <w:tcBorders>
              <w:left w:val="nil"/>
              <w:right w:val="nil"/>
            </w:tcBorders>
            <w:shd w:val="clear" w:color="auto" w:fill="E5E9EB"/>
            <w:noWrap/>
            <w:vAlign w:val="center"/>
            <w:hideMark/>
          </w:tcPr>
          <w:p w14:paraId="217EE27B" w14:textId="77777777" w:rsidR="00045511" w:rsidRPr="008609D1" w:rsidRDefault="00045511" w:rsidP="00045511">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Comercialización y mantenimiento de cableado y equipo terminal</w:t>
            </w:r>
          </w:p>
        </w:tc>
        <w:tc>
          <w:tcPr>
            <w:tcW w:w="1342" w:type="dxa"/>
            <w:tcBorders>
              <w:left w:val="nil"/>
              <w:right w:val="nil"/>
            </w:tcBorders>
            <w:noWrap/>
            <w:vAlign w:val="center"/>
          </w:tcPr>
          <w:p w14:paraId="1BC33C76" w14:textId="77777777" w:rsidR="00045511" w:rsidRPr="008609D1" w:rsidRDefault="00045511" w:rsidP="00045511">
            <w:pPr>
              <w:keepNext/>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14:paraId="2BF3420D" w14:textId="77777777" w:rsidR="00045511" w:rsidRPr="008609D1" w:rsidRDefault="00045511" w:rsidP="00045511">
            <w:pPr>
              <w:keepNext/>
              <w:spacing w:before="40" w:after="40" w:line="240" w:lineRule="auto"/>
              <w:jc w:val="center"/>
              <w:rPr>
                <w:rFonts w:ascii="ITC Avant Garde" w:eastAsia="Times New Roman" w:hAnsi="ITC Avant Garde" w:cs="Arial"/>
                <w:sz w:val="20"/>
                <w:lang w:val="es-ES" w:eastAsia="es-ES"/>
              </w:rPr>
            </w:pPr>
          </w:p>
        </w:tc>
      </w:tr>
      <w:tr w:rsidR="007304F5" w:rsidRPr="008609D1" w14:paraId="2089E15B" w14:textId="77777777" w:rsidTr="0052094D">
        <w:trPr>
          <w:trHeight w:val="340"/>
          <w:jc w:val="center"/>
        </w:trPr>
        <w:tc>
          <w:tcPr>
            <w:tcW w:w="2993" w:type="dxa"/>
            <w:tcBorders>
              <w:left w:val="nil"/>
              <w:right w:val="nil"/>
            </w:tcBorders>
            <w:shd w:val="clear" w:color="auto" w:fill="D0D1DB"/>
            <w:noWrap/>
            <w:vAlign w:val="center"/>
            <w:hideMark/>
          </w:tcPr>
          <w:p w14:paraId="76F9B135"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w:t>
            </w:r>
          </w:p>
        </w:tc>
        <w:tc>
          <w:tcPr>
            <w:tcW w:w="3300" w:type="dxa"/>
            <w:tcBorders>
              <w:left w:val="nil"/>
              <w:right w:val="nil"/>
            </w:tcBorders>
            <w:shd w:val="clear" w:color="auto" w:fill="E5E9EB"/>
            <w:noWrap/>
            <w:vAlign w:val="center"/>
            <w:hideMark/>
          </w:tcPr>
          <w:p w14:paraId="641048A5"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2" w:type="dxa"/>
            <w:tcBorders>
              <w:left w:val="nil"/>
              <w:right w:val="nil"/>
            </w:tcBorders>
            <w:noWrap/>
            <w:vAlign w:val="center"/>
          </w:tcPr>
          <w:p w14:paraId="5FBFCEA9" w14:textId="77777777" w:rsidR="00892164" w:rsidRPr="008609D1" w:rsidRDefault="00892164" w:rsidP="00D87E0B">
            <w:pPr>
              <w:keepNext/>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14:paraId="5C6818BD" w14:textId="77777777" w:rsidR="00892164" w:rsidRPr="008609D1" w:rsidRDefault="00892164" w:rsidP="00D87E0B">
            <w:pPr>
              <w:keepNext/>
              <w:spacing w:before="40" w:after="40" w:line="240" w:lineRule="auto"/>
              <w:jc w:val="center"/>
              <w:rPr>
                <w:rFonts w:ascii="ITC Avant Garde" w:eastAsia="Times New Roman" w:hAnsi="ITC Avant Garde" w:cs="Arial"/>
                <w:sz w:val="20"/>
                <w:lang w:val="es-ES" w:eastAsia="es-ES"/>
              </w:rPr>
            </w:pPr>
          </w:p>
        </w:tc>
      </w:tr>
      <w:tr w:rsidR="007304F5" w:rsidRPr="008609D1" w14:paraId="2F0B8583" w14:textId="77777777" w:rsidTr="0052094D">
        <w:trPr>
          <w:trHeight w:val="340"/>
          <w:jc w:val="center"/>
        </w:trPr>
        <w:tc>
          <w:tcPr>
            <w:tcW w:w="2993" w:type="dxa"/>
            <w:tcBorders>
              <w:left w:val="nil"/>
              <w:bottom w:val="single" w:sz="4" w:space="0" w:color="244062"/>
              <w:right w:val="nil"/>
            </w:tcBorders>
            <w:shd w:val="clear" w:color="auto" w:fill="D0D1DB"/>
            <w:noWrap/>
            <w:vAlign w:val="center"/>
            <w:hideMark/>
          </w:tcPr>
          <w:p w14:paraId="6497199A" w14:textId="77777777" w:rsidR="00892164" w:rsidRPr="008609D1" w:rsidRDefault="00892164" w:rsidP="00D87E0B">
            <w:pPr>
              <w:keepNext/>
              <w:spacing w:before="40" w:after="40" w:line="240" w:lineRule="auto"/>
              <w:rPr>
                <w:rFonts w:ascii="ITC Avant Garde" w:hAnsi="ITC Avant Garde" w:cs="Verdana"/>
                <w:color w:val="000000"/>
                <w:sz w:val="20"/>
                <w:szCs w:val="16"/>
              </w:rPr>
            </w:pPr>
            <w:r w:rsidRPr="008609D1">
              <w:rPr>
                <w:rFonts w:ascii="ITC Avant Garde" w:hAnsi="ITC Avant Garde" w:cs="Verdana"/>
                <w:color w:val="000000"/>
                <w:sz w:val="20"/>
                <w:szCs w:val="16"/>
              </w:rPr>
              <w:t>…</w:t>
            </w:r>
          </w:p>
        </w:tc>
        <w:tc>
          <w:tcPr>
            <w:tcW w:w="3300" w:type="dxa"/>
            <w:tcBorders>
              <w:left w:val="nil"/>
              <w:bottom w:val="single" w:sz="4" w:space="0" w:color="244062"/>
              <w:right w:val="nil"/>
            </w:tcBorders>
            <w:shd w:val="clear" w:color="auto" w:fill="E5E9EB"/>
            <w:noWrap/>
            <w:vAlign w:val="center"/>
            <w:hideMark/>
          </w:tcPr>
          <w:p w14:paraId="13BE15F8" w14:textId="77777777" w:rsidR="00892164" w:rsidRPr="008609D1" w:rsidRDefault="00892164" w:rsidP="00D87E0B">
            <w:pPr>
              <w:keepNext/>
              <w:spacing w:before="40" w:after="40" w:line="240" w:lineRule="auto"/>
              <w:rPr>
                <w:rFonts w:ascii="ITC Avant Garde" w:hAnsi="ITC Avant Garde" w:cs="Verdana"/>
                <w:color w:val="000000"/>
                <w:sz w:val="20"/>
                <w:szCs w:val="16"/>
              </w:rPr>
            </w:pPr>
            <w:r w:rsidRPr="008609D1">
              <w:rPr>
                <w:rFonts w:ascii="ITC Avant Garde" w:hAnsi="ITC Avant Garde" w:cs="Verdana"/>
                <w:color w:val="000000"/>
                <w:sz w:val="20"/>
                <w:szCs w:val="16"/>
              </w:rPr>
              <w:t>…</w:t>
            </w:r>
          </w:p>
        </w:tc>
        <w:tc>
          <w:tcPr>
            <w:tcW w:w="1342" w:type="dxa"/>
            <w:tcBorders>
              <w:left w:val="nil"/>
              <w:bottom w:val="single" w:sz="4" w:space="0" w:color="244062"/>
              <w:right w:val="nil"/>
            </w:tcBorders>
            <w:noWrap/>
            <w:vAlign w:val="center"/>
          </w:tcPr>
          <w:p w14:paraId="7E5D8995" w14:textId="77777777" w:rsidR="00892164" w:rsidRPr="008609D1" w:rsidRDefault="00892164" w:rsidP="00D87E0B">
            <w:pPr>
              <w:keepNext/>
              <w:spacing w:before="40" w:after="40" w:line="240" w:lineRule="auto"/>
              <w:jc w:val="center"/>
              <w:rPr>
                <w:rFonts w:ascii="ITC Avant Garde" w:hAnsi="ITC Avant Garde" w:cs="Verdana"/>
                <w:color w:val="000000"/>
                <w:sz w:val="20"/>
                <w:szCs w:val="16"/>
              </w:rPr>
            </w:pPr>
          </w:p>
        </w:tc>
        <w:tc>
          <w:tcPr>
            <w:tcW w:w="1343" w:type="dxa"/>
            <w:tcBorders>
              <w:left w:val="nil"/>
              <w:bottom w:val="single" w:sz="4" w:space="0" w:color="244062"/>
              <w:right w:val="nil"/>
            </w:tcBorders>
            <w:noWrap/>
            <w:vAlign w:val="center"/>
          </w:tcPr>
          <w:p w14:paraId="657405B3" w14:textId="77777777" w:rsidR="00892164" w:rsidRPr="008609D1" w:rsidRDefault="00892164" w:rsidP="00D87E0B">
            <w:pPr>
              <w:keepNext/>
              <w:spacing w:before="40" w:after="40" w:line="240" w:lineRule="auto"/>
              <w:jc w:val="center"/>
              <w:rPr>
                <w:rFonts w:ascii="ITC Avant Garde" w:hAnsi="ITC Avant Garde" w:cs="Verdana"/>
                <w:color w:val="000000"/>
                <w:sz w:val="20"/>
                <w:szCs w:val="16"/>
              </w:rPr>
            </w:pPr>
          </w:p>
        </w:tc>
      </w:tr>
    </w:tbl>
    <w:p w14:paraId="70777706" w14:textId="77777777" w:rsidR="00892164" w:rsidRPr="008609D1" w:rsidRDefault="00892164" w:rsidP="007304F5">
      <w:pPr>
        <w:pStyle w:val="A3L2"/>
      </w:pPr>
      <w:bookmarkStart w:id="177" w:name="_Toc475468519"/>
      <w:bookmarkStart w:id="178" w:name="_Toc477515030"/>
      <w:bookmarkStart w:id="179" w:name="_Toc478774514"/>
      <w:r w:rsidRPr="008609D1">
        <w:t>Matriz de asignación de costos por actividades y elementos de red (Nivel 2) a servicios mayoristas (Nivel 3)</w:t>
      </w:r>
      <w:bookmarkEnd w:id="177"/>
      <w:bookmarkEnd w:id="178"/>
      <w:bookmarkEnd w:id="179"/>
    </w:p>
    <w:p w14:paraId="321E159F" w14:textId="77777777" w:rsidR="00892164" w:rsidRPr="008609D1" w:rsidRDefault="00892164" w:rsidP="00892164">
      <w:pPr>
        <w:pStyle w:val="Normalresolucion"/>
      </w:pPr>
      <w:r w:rsidRPr="008609D1">
        <w:t>Esta matriz deberá contener la asignación de cuentas de costos por actividades y elementos de red a cuentas de servicios mayoristas de Nivel 3.</w:t>
      </w:r>
    </w:p>
    <w:p w14:paraId="473032BA" w14:textId="3A4C9FC7" w:rsidR="00892164" w:rsidRDefault="00892164" w:rsidP="000119BF">
      <w:pPr>
        <w:pStyle w:val="Normalresolucion"/>
        <w:rPr>
          <w:rtl/>
        </w:rPr>
      </w:pPr>
      <w:r w:rsidRPr="008609D1">
        <w:lastRenderedPageBreak/>
        <w:t>A continuación se presenta el formato que deberá ser c</w:t>
      </w:r>
      <w:r w:rsidR="002C06BE">
        <w:t>omple</w:t>
      </w:r>
      <w:r w:rsidRPr="008609D1">
        <w:t xml:space="preserve">tado por los concesionarios para la entrega de esta información. Las cuentas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5144E2" w:rsidRPr="008609D1">
        <w:rPr>
          <w:rFonts w:hint="eastAsia"/>
          <w:cs/>
        </w:rPr>
        <w:t>‎</w:t>
      </w:r>
      <w:r w:rsidR="005144E2" w:rsidRPr="008609D1">
        <w:t>2.2</w:t>
      </w:r>
      <w:r w:rsidRPr="008609D1">
        <w:fldChar w:fldCharType="end"/>
      </w:r>
      <w:r w:rsidRPr="008609D1">
        <w:t xml:space="preserve"> del Anexo </w:t>
      </w:r>
      <w:r w:rsidR="004B3901" w:rsidRPr="008609D1">
        <w:t>3</w:t>
      </w:r>
      <w:r w:rsidRPr="008609D1">
        <w:rPr>
          <w:rtl/>
        </w:rPr>
        <w:t>.</w:t>
      </w:r>
    </w:p>
    <w:p w14:paraId="21214CD7" w14:textId="77777777" w:rsidR="005E47DD" w:rsidRPr="008609D1" w:rsidRDefault="005E47DD" w:rsidP="005E47DD">
      <w:pPr>
        <w:pStyle w:val="Descripcin"/>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12</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costos por actividades y elementos de red (Nivel 2) a cuentas de servicios mayoristas (Nivel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1"/>
        <w:gridCol w:w="3244"/>
        <w:gridCol w:w="1321"/>
        <w:gridCol w:w="1322"/>
      </w:tblGrid>
      <w:tr w:rsidR="007304F5" w:rsidRPr="008609D1" w14:paraId="13429BD4" w14:textId="77777777" w:rsidTr="0052094D">
        <w:trPr>
          <w:trHeight w:val="340"/>
          <w:jc w:val="center"/>
        </w:trPr>
        <w:tc>
          <w:tcPr>
            <w:tcW w:w="2993"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1F16EBBB"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Costos por actividad y elementos de red</w:t>
            </w:r>
          </w:p>
          <w:p w14:paraId="4D5E1676"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(Nivel 2)</w:t>
            </w:r>
            <w:r w:rsidRPr="008609D1">
              <w:rPr>
                <w:rStyle w:val="Refdenotaalpie"/>
                <w:rFonts w:ascii="ITC Avant Garde" w:eastAsia="Times New Roman" w:hAnsi="ITC Avant Garde" w:cs="Arial"/>
                <w:b/>
                <w:color w:val="FFFFFF" w:themeColor="background1"/>
                <w:sz w:val="20"/>
                <w:lang w:val="es-ES" w:eastAsia="es-ES"/>
              </w:rPr>
              <w:footnoteReference w:id="68"/>
            </w:r>
          </w:p>
        </w:tc>
        <w:tc>
          <w:tcPr>
            <w:tcW w:w="330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2D90892E"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Servicios mayoristas</w:t>
            </w:r>
          </w:p>
          <w:p w14:paraId="1CEB7B29"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(Nivel 3)</w:t>
            </w:r>
            <w:r w:rsidRPr="008609D1">
              <w:rPr>
                <w:rStyle w:val="Refdenotaalpie"/>
                <w:rFonts w:ascii="ITC Avant Garde" w:eastAsia="Times New Roman" w:hAnsi="ITC Avant Garde" w:cs="Arial"/>
                <w:b/>
                <w:color w:val="FFFFFF" w:themeColor="background1"/>
                <w:sz w:val="20"/>
                <w:lang w:val="es-ES" w:eastAsia="es-ES"/>
              </w:rPr>
              <w:footnoteReference w:id="69"/>
            </w:r>
          </w:p>
        </w:tc>
        <w:tc>
          <w:tcPr>
            <w:tcW w:w="2685"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10E09862"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Año</w:t>
            </w:r>
          </w:p>
        </w:tc>
      </w:tr>
      <w:tr w:rsidR="007304F5" w:rsidRPr="008609D1" w14:paraId="59C53D79" w14:textId="77777777" w:rsidTr="0052094D">
        <w:trPr>
          <w:trHeight w:val="340"/>
          <w:jc w:val="center"/>
        </w:trPr>
        <w:tc>
          <w:tcPr>
            <w:tcW w:w="2993"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7D60DEA4" w14:textId="77777777" w:rsidR="00892164" w:rsidRPr="008609D1" w:rsidRDefault="00892164" w:rsidP="00D87E0B">
            <w:pPr>
              <w:keepNext/>
              <w:keepLines/>
              <w:spacing w:after="0"/>
              <w:rPr>
                <w:rFonts w:ascii="ITC Avant Garde" w:eastAsia="Times New Roman" w:hAnsi="ITC Avant Garde" w:cs="Arial"/>
                <w:b/>
                <w:color w:val="FFFFFF" w:themeColor="background1"/>
                <w:sz w:val="20"/>
                <w:lang w:val="es-ES" w:eastAsia="es-ES"/>
              </w:rPr>
            </w:pPr>
          </w:p>
        </w:tc>
        <w:tc>
          <w:tcPr>
            <w:tcW w:w="3300"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084A367D" w14:textId="77777777" w:rsidR="00892164" w:rsidRPr="008609D1" w:rsidRDefault="00892164" w:rsidP="00D87E0B">
            <w:pPr>
              <w:keepNext/>
              <w:keepLines/>
              <w:spacing w:after="0"/>
              <w:rPr>
                <w:rFonts w:ascii="ITC Avant Garde" w:eastAsia="Times New Roman" w:hAnsi="ITC Avant Garde" w:cs="Arial"/>
                <w:b/>
                <w:color w:val="FFFFFF" w:themeColor="background1"/>
                <w:sz w:val="20"/>
                <w:lang w:val="es-ES" w:eastAsia="es-ES"/>
              </w:rPr>
            </w:pPr>
          </w:p>
        </w:tc>
        <w:tc>
          <w:tcPr>
            <w:tcW w:w="1342"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22190518"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N-1</w:t>
            </w:r>
          </w:p>
        </w:tc>
        <w:tc>
          <w:tcPr>
            <w:tcW w:w="1343"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34E53F96"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w:t>
            </w:r>
          </w:p>
        </w:tc>
      </w:tr>
      <w:tr w:rsidR="00045511" w:rsidRPr="008609D1" w14:paraId="1D6072EB" w14:textId="77777777" w:rsidTr="0052094D">
        <w:trPr>
          <w:trHeight w:val="397"/>
          <w:jc w:val="center"/>
        </w:trPr>
        <w:tc>
          <w:tcPr>
            <w:tcW w:w="2993" w:type="dxa"/>
            <w:tcBorders>
              <w:top w:val="single" w:sz="4" w:space="0" w:color="244062"/>
              <w:left w:val="nil"/>
              <w:right w:val="nil"/>
            </w:tcBorders>
            <w:shd w:val="clear" w:color="auto" w:fill="D0D1DB"/>
            <w:noWrap/>
            <w:vAlign w:val="center"/>
            <w:hideMark/>
          </w:tcPr>
          <w:p w14:paraId="7ED43EF1" w14:textId="77777777" w:rsidR="00045511" w:rsidRPr="008609D1" w:rsidRDefault="004D1DBF" w:rsidP="004D1DBF">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w:t>
            </w:r>
            <w:r w:rsidR="00045511" w:rsidRPr="008609D1">
              <w:rPr>
                <w:rFonts w:ascii="ITC Avant Garde" w:eastAsia="Times New Roman" w:hAnsi="ITC Avant Garde" w:cs="Arial"/>
                <w:sz w:val="20"/>
                <w:lang w:val="es-ES" w:eastAsia="es-ES"/>
              </w:rPr>
              <w:t>cometida</w:t>
            </w:r>
            <w:r w:rsidRPr="008609D1">
              <w:rPr>
                <w:rFonts w:ascii="ITC Avant Garde" w:eastAsia="Times New Roman" w:hAnsi="ITC Avant Garde" w:cs="Arial"/>
                <w:sz w:val="20"/>
                <w:lang w:val="es-ES" w:eastAsia="es-ES"/>
              </w:rPr>
              <w:t xml:space="preserve"> o conexión al domicilio del usuario final</w:t>
            </w:r>
          </w:p>
        </w:tc>
        <w:tc>
          <w:tcPr>
            <w:tcW w:w="3300" w:type="dxa"/>
            <w:tcBorders>
              <w:top w:val="single" w:sz="4" w:space="0" w:color="244062"/>
              <w:left w:val="nil"/>
              <w:right w:val="nil"/>
            </w:tcBorders>
            <w:shd w:val="clear" w:color="auto" w:fill="E5E9EB"/>
            <w:noWrap/>
            <w:vAlign w:val="center"/>
            <w:hideMark/>
          </w:tcPr>
          <w:p w14:paraId="2F7FAAA6" w14:textId="77777777" w:rsidR="00045511" w:rsidRPr="008609D1" w:rsidRDefault="00045511" w:rsidP="00045511">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Originación de llamadas desde red fija a usuarios en redes fijas</w:t>
            </w:r>
          </w:p>
        </w:tc>
        <w:tc>
          <w:tcPr>
            <w:tcW w:w="1342" w:type="dxa"/>
            <w:tcBorders>
              <w:top w:val="single" w:sz="4" w:space="0" w:color="244062"/>
              <w:left w:val="nil"/>
              <w:right w:val="nil"/>
            </w:tcBorders>
            <w:noWrap/>
            <w:vAlign w:val="center"/>
            <w:hideMark/>
          </w:tcPr>
          <w:p w14:paraId="4FC268F6" w14:textId="77777777" w:rsidR="00045511" w:rsidRPr="008609D1" w:rsidRDefault="00045511" w:rsidP="00045511">
            <w:pPr>
              <w:keepNext/>
              <w:keepLines/>
              <w:rPr>
                <w:rFonts w:ascii="ITC Avant Garde" w:eastAsia="Times New Roman" w:hAnsi="ITC Avant Garde" w:cs="Arial"/>
                <w:sz w:val="20"/>
                <w:lang w:val="es-ES" w:eastAsia="es-ES"/>
              </w:rPr>
            </w:pPr>
          </w:p>
        </w:tc>
        <w:tc>
          <w:tcPr>
            <w:tcW w:w="1343" w:type="dxa"/>
            <w:tcBorders>
              <w:top w:val="single" w:sz="4" w:space="0" w:color="244062"/>
              <w:left w:val="nil"/>
              <w:right w:val="nil"/>
            </w:tcBorders>
            <w:noWrap/>
            <w:vAlign w:val="center"/>
            <w:hideMark/>
          </w:tcPr>
          <w:p w14:paraId="70418A38" w14:textId="77777777" w:rsidR="00045511" w:rsidRPr="008609D1" w:rsidRDefault="00045511" w:rsidP="00045511">
            <w:pPr>
              <w:keepNext/>
              <w:keepLines/>
              <w:spacing w:after="0"/>
              <w:rPr>
                <w:rFonts w:ascii="ITC Avant Garde" w:hAnsi="ITC Avant Garde"/>
                <w:sz w:val="20"/>
                <w:szCs w:val="20"/>
                <w:lang w:eastAsia="en-GB"/>
              </w:rPr>
            </w:pPr>
          </w:p>
        </w:tc>
      </w:tr>
      <w:tr w:rsidR="00045511" w:rsidRPr="008609D1" w14:paraId="5FAA925D" w14:textId="77777777" w:rsidTr="0052094D">
        <w:trPr>
          <w:trHeight w:val="397"/>
          <w:jc w:val="center"/>
        </w:trPr>
        <w:tc>
          <w:tcPr>
            <w:tcW w:w="2993" w:type="dxa"/>
            <w:tcBorders>
              <w:top w:val="single" w:sz="4" w:space="0" w:color="244062"/>
              <w:left w:val="nil"/>
              <w:right w:val="nil"/>
            </w:tcBorders>
            <w:shd w:val="clear" w:color="auto" w:fill="D0D1DB"/>
            <w:noWrap/>
            <w:vAlign w:val="center"/>
            <w:hideMark/>
          </w:tcPr>
          <w:p w14:paraId="18255C7E" w14:textId="77777777" w:rsidR="00045511" w:rsidRPr="008609D1" w:rsidRDefault="004D1DBF" w:rsidP="004D1DBF">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w:t>
            </w:r>
            <w:r w:rsidR="00045511" w:rsidRPr="008609D1">
              <w:rPr>
                <w:rFonts w:ascii="ITC Avant Garde" w:eastAsia="Times New Roman" w:hAnsi="ITC Avant Garde" w:cs="Arial"/>
                <w:sz w:val="20"/>
                <w:lang w:val="es-ES" w:eastAsia="es-ES"/>
              </w:rPr>
              <w:t>cometida</w:t>
            </w:r>
            <w:r w:rsidRPr="008609D1">
              <w:rPr>
                <w:rFonts w:ascii="ITC Avant Garde" w:eastAsia="Times New Roman" w:hAnsi="ITC Avant Garde" w:cs="Arial"/>
                <w:sz w:val="20"/>
                <w:lang w:val="es-ES" w:eastAsia="es-ES"/>
              </w:rPr>
              <w:t xml:space="preserve"> o conexión al domicilio del usuario final</w:t>
            </w:r>
          </w:p>
        </w:tc>
        <w:tc>
          <w:tcPr>
            <w:tcW w:w="3300" w:type="dxa"/>
            <w:tcBorders>
              <w:top w:val="single" w:sz="4" w:space="0" w:color="244062"/>
              <w:left w:val="nil"/>
              <w:right w:val="nil"/>
            </w:tcBorders>
            <w:shd w:val="clear" w:color="auto" w:fill="E5E9EB"/>
            <w:noWrap/>
            <w:vAlign w:val="center"/>
            <w:hideMark/>
          </w:tcPr>
          <w:p w14:paraId="6C5A0D4F" w14:textId="77777777" w:rsidR="00045511" w:rsidRPr="008609D1" w:rsidRDefault="00045511" w:rsidP="00045511">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Originación de llamadas desde red fija a usuarios en redes móviles</w:t>
            </w:r>
          </w:p>
        </w:tc>
        <w:tc>
          <w:tcPr>
            <w:tcW w:w="1342" w:type="dxa"/>
            <w:tcBorders>
              <w:top w:val="single" w:sz="4" w:space="0" w:color="244062"/>
              <w:left w:val="nil"/>
              <w:right w:val="nil"/>
            </w:tcBorders>
            <w:noWrap/>
            <w:vAlign w:val="center"/>
            <w:hideMark/>
          </w:tcPr>
          <w:p w14:paraId="55BD9119" w14:textId="77777777" w:rsidR="00045511" w:rsidRPr="008609D1" w:rsidRDefault="00045511" w:rsidP="00045511">
            <w:pPr>
              <w:keepNext/>
              <w:keepLines/>
              <w:rPr>
                <w:rFonts w:ascii="ITC Avant Garde" w:eastAsia="Times New Roman" w:hAnsi="ITC Avant Garde" w:cs="Arial"/>
                <w:sz w:val="20"/>
                <w:lang w:val="es-ES" w:eastAsia="es-ES"/>
              </w:rPr>
            </w:pPr>
          </w:p>
        </w:tc>
        <w:tc>
          <w:tcPr>
            <w:tcW w:w="1343" w:type="dxa"/>
            <w:tcBorders>
              <w:top w:val="single" w:sz="4" w:space="0" w:color="244062"/>
              <w:left w:val="nil"/>
              <w:right w:val="nil"/>
            </w:tcBorders>
            <w:noWrap/>
            <w:vAlign w:val="center"/>
            <w:hideMark/>
          </w:tcPr>
          <w:p w14:paraId="64746098" w14:textId="77777777" w:rsidR="00045511" w:rsidRPr="008609D1" w:rsidRDefault="00045511" w:rsidP="00045511">
            <w:pPr>
              <w:keepNext/>
              <w:keepLines/>
              <w:spacing w:after="0"/>
              <w:rPr>
                <w:rFonts w:ascii="ITC Avant Garde" w:hAnsi="ITC Avant Garde"/>
                <w:sz w:val="20"/>
                <w:szCs w:val="20"/>
                <w:lang w:eastAsia="en-GB"/>
              </w:rPr>
            </w:pPr>
          </w:p>
        </w:tc>
      </w:tr>
      <w:tr w:rsidR="00045511" w:rsidRPr="008609D1" w14:paraId="0074D36F" w14:textId="77777777" w:rsidTr="0052094D">
        <w:trPr>
          <w:trHeight w:val="397"/>
          <w:jc w:val="center"/>
        </w:trPr>
        <w:tc>
          <w:tcPr>
            <w:tcW w:w="2993" w:type="dxa"/>
            <w:tcBorders>
              <w:left w:val="nil"/>
              <w:right w:val="nil"/>
            </w:tcBorders>
            <w:shd w:val="clear" w:color="auto" w:fill="D0D1DB"/>
            <w:noWrap/>
            <w:vAlign w:val="center"/>
            <w:hideMark/>
          </w:tcPr>
          <w:p w14:paraId="2DBDF040" w14:textId="77777777" w:rsidR="00045511" w:rsidRPr="008609D1" w:rsidRDefault="004D1DBF" w:rsidP="004D1DBF">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w:t>
            </w:r>
            <w:r w:rsidR="00045511" w:rsidRPr="008609D1">
              <w:rPr>
                <w:rFonts w:ascii="ITC Avant Garde" w:eastAsia="Times New Roman" w:hAnsi="ITC Avant Garde" w:cs="Arial"/>
                <w:sz w:val="20"/>
                <w:lang w:val="es-ES" w:eastAsia="es-ES"/>
              </w:rPr>
              <w:t>cometida</w:t>
            </w:r>
            <w:r w:rsidRPr="008609D1">
              <w:rPr>
                <w:rFonts w:ascii="ITC Avant Garde" w:eastAsia="Times New Roman" w:hAnsi="ITC Avant Garde" w:cs="Arial"/>
                <w:sz w:val="20"/>
                <w:lang w:val="es-ES" w:eastAsia="es-ES"/>
              </w:rPr>
              <w:t xml:space="preserve"> o conexión al domicilio del usuario final</w:t>
            </w:r>
          </w:p>
        </w:tc>
        <w:tc>
          <w:tcPr>
            <w:tcW w:w="3300" w:type="dxa"/>
            <w:tcBorders>
              <w:left w:val="nil"/>
              <w:right w:val="nil"/>
            </w:tcBorders>
            <w:shd w:val="clear" w:color="auto" w:fill="E5E9EB"/>
            <w:noWrap/>
            <w:vAlign w:val="center"/>
            <w:hideMark/>
          </w:tcPr>
          <w:p w14:paraId="6AB68164" w14:textId="77777777" w:rsidR="00045511" w:rsidRPr="008609D1" w:rsidRDefault="00045511" w:rsidP="00045511">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2" w:type="dxa"/>
            <w:tcBorders>
              <w:left w:val="nil"/>
              <w:right w:val="nil"/>
            </w:tcBorders>
            <w:noWrap/>
            <w:vAlign w:val="center"/>
            <w:hideMark/>
          </w:tcPr>
          <w:p w14:paraId="768ED7BB" w14:textId="77777777" w:rsidR="00045511" w:rsidRPr="008609D1" w:rsidRDefault="00045511" w:rsidP="00045511">
            <w:pPr>
              <w:keepNext/>
              <w:keepLines/>
              <w:rPr>
                <w:rFonts w:ascii="ITC Avant Garde" w:eastAsia="Times New Roman" w:hAnsi="ITC Avant Garde" w:cs="Arial"/>
                <w:sz w:val="20"/>
                <w:lang w:val="es-ES" w:eastAsia="es-ES"/>
              </w:rPr>
            </w:pPr>
          </w:p>
        </w:tc>
        <w:tc>
          <w:tcPr>
            <w:tcW w:w="1343" w:type="dxa"/>
            <w:tcBorders>
              <w:left w:val="nil"/>
              <w:right w:val="nil"/>
            </w:tcBorders>
            <w:noWrap/>
            <w:vAlign w:val="center"/>
            <w:hideMark/>
          </w:tcPr>
          <w:p w14:paraId="60F70B2E" w14:textId="77777777" w:rsidR="00045511" w:rsidRPr="008609D1" w:rsidRDefault="00045511" w:rsidP="00045511">
            <w:pPr>
              <w:keepNext/>
              <w:keepLines/>
              <w:spacing w:after="0"/>
              <w:rPr>
                <w:rFonts w:ascii="ITC Avant Garde" w:hAnsi="ITC Avant Garde"/>
                <w:sz w:val="20"/>
                <w:szCs w:val="20"/>
                <w:lang w:val="en-GB" w:eastAsia="en-GB"/>
              </w:rPr>
            </w:pPr>
          </w:p>
        </w:tc>
      </w:tr>
      <w:tr w:rsidR="00045511" w:rsidRPr="008609D1" w14:paraId="5B545B80" w14:textId="77777777" w:rsidTr="0052094D">
        <w:trPr>
          <w:trHeight w:val="397"/>
          <w:jc w:val="center"/>
        </w:trPr>
        <w:tc>
          <w:tcPr>
            <w:tcW w:w="2993" w:type="dxa"/>
            <w:tcBorders>
              <w:left w:val="nil"/>
              <w:right w:val="nil"/>
            </w:tcBorders>
            <w:shd w:val="clear" w:color="auto" w:fill="D0D1DB"/>
            <w:noWrap/>
            <w:vAlign w:val="center"/>
            <w:hideMark/>
          </w:tcPr>
          <w:p w14:paraId="1CDFF622" w14:textId="77777777" w:rsidR="00045511" w:rsidRPr="008609D1" w:rsidRDefault="00045511" w:rsidP="00045511">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Centrales internacionales</w:t>
            </w:r>
          </w:p>
        </w:tc>
        <w:tc>
          <w:tcPr>
            <w:tcW w:w="3300" w:type="dxa"/>
            <w:tcBorders>
              <w:left w:val="nil"/>
              <w:right w:val="nil"/>
            </w:tcBorders>
            <w:shd w:val="clear" w:color="auto" w:fill="E5E9EB"/>
            <w:noWrap/>
            <w:vAlign w:val="center"/>
            <w:hideMark/>
          </w:tcPr>
          <w:p w14:paraId="56F241A8" w14:textId="77777777" w:rsidR="00045511" w:rsidRPr="008609D1" w:rsidRDefault="00045511" w:rsidP="00045511">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tráfico internacional</w:t>
            </w:r>
          </w:p>
        </w:tc>
        <w:tc>
          <w:tcPr>
            <w:tcW w:w="1342" w:type="dxa"/>
            <w:tcBorders>
              <w:left w:val="nil"/>
              <w:right w:val="nil"/>
            </w:tcBorders>
            <w:noWrap/>
            <w:vAlign w:val="center"/>
          </w:tcPr>
          <w:p w14:paraId="26CD9E11" w14:textId="77777777" w:rsidR="00045511" w:rsidRPr="008609D1" w:rsidRDefault="00045511" w:rsidP="00045511">
            <w:pPr>
              <w:keepNext/>
              <w:keepLines/>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14:paraId="3935ADAB" w14:textId="77777777" w:rsidR="00045511" w:rsidRPr="008609D1" w:rsidRDefault="00045511" w:rsidP="00045511">
            <w:pPr>
              <w:keepNext/>
              <w:keepLines/>
              <w:spacing w:before="40" w:after="40" w:line="240" w:lineRule="auto"/>
              <w:jc w:val="center"/>
              <w:rPr>
                <w:rFonts w:ascii="ITC Avant Garde" w:eastAsia="Times New Roman" w:hAnsi="ITC Avant Garde" w:cs="Arial"/>
                <w:sz w:val="20"/>
                <w:lang w:val="es-ES" w:eastAsia="es-ES"/>
              </w:rPr>
            </w:pPr>
          </w:p>
        </w:tc>
      </w:tr>
      <w:tr w:rsidR="00045511" w:rsidRPr="008609D1" w14:paraId="6E173614" w14:textId="77777777" w:rsidTr="0052094D">
        <w:trPr>
          <w:trHeight w:val="397"/>
          <w:jc w:val="center"/>
        </w:trPr>
        <w:tc>
          <w:tcPr>
            <w:tcW w:w="2993" w:type="dxa"/>
            <w:tcBorders>
              <w:left w:val="nil"/>
              <w:right w:val="nil"/>
            </w:tcBorders>
            <w:shd w:val="clear" w:color="auto" w:fill="D0D1DB"/>
            <w:noWrap/>
            <w:vAlign w:val="center"/>
            <w:hideMark/>
          </w:tcPr>
          <w:p w14:paraId="4E472A4C" w14:textId="77777777" w:rsidR="00045511" w:rsidRPr="008609D1" w:rsidRDefault="00045511" w:rsidP="00045511">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Centrales internacionales</w:t>
            </w:r>
          </w:p>
        </w:tc>
        <w:tc>
          <w:tcPr>
            <w:tcW w:w="3300" w:type="dxa"/>
            <w:tcBorders>
              <w:left w:val="nil"/>
              <w:right w:val="nil"/>
            </w:tcBorders>
            <w:shd w:val="clear" w:color="auto" w:fill="E5E9EB"/>
            <w:noWrap/>
            <w:vAlign w:val="center"/>
            <w:hideMark/>
          </w:tcPr>
          <w:p w14:paraId="1B2E758F" w14:textId="77777777" w:rsidR="00045511" w:rsidRPr="008609D1" w:rsidRDefault="00045511" w:rsidP="00045511">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Originación de llamadas desde red fija a destinos internacionales</w:t>
            </w:r>
          </w:p>
        </w:tc>
        <w:tc>
          <w:tcPr>
            <w:tcW w:w="1342" w:type="dxa"/>
            <w:tcBorders>
              <w:left w:val="nil"/>
              <w:right w:val="nil"/>
            </w:tcBorders>
            <w:noWrap/>
            <w:vAlign w:val="center"/>
          </w:tcPr>
          <w:p w14:paraId="6060C185" w14:textId="77777777" w:rsidR="00045511" w:rsidRPr="008609D1" w:rsidRDefault="00045511" w:rsidP="00045511">
            <w:pPr>
              <w:keepNext/>
              <w:keepLines/>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14:paraId="7AECEB99" w14:textId="77777777" w:rsidR="00045511" w:rsidRPr="008609D1" w:rsidRDefault="00045511" w:rsidP="00045511">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7132C6B6" w14:textId="77777777" w:rsidTr="0052094D">
        <w:trPr>
          <w:trHeight w:val="397"/>
          <w:jc w:val="center"/>
        </w:trPr>
        <w:tc>
          <w:tcPr>
            <w:tcW w:w="2993" w:type="dxa"/>
            <w:tcBorders>
              <w:left w:val="nil"/>
              <w:right w:val="nil"/>
            </w:tcBorders>
            <w:shd w:val="clear" w:color="auto" w:fill="D0D1DB"/>
            <w:noWrap/>
            <w:vAlign w:val="center"/>
            <w:hideMark/>
          </w:tcPr>
          <w:p w14:paraId="0B8293E1"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Centrales internacionales</w:t>
            </w:r>
          </w:p>
        </w:tc>
        <w:tc>
          <w:tcPr>
            <w:tcW w:w="3300" w:type="dxa"/>
            <w:tcBorders>
              <w:left w:val="nil"/>
              <w:right w:val="nil"/>
            </w:tcBorders>
            <w:shd w:val="clear" w:color="auto" w:fill="E5E9EB"/>
            <w:noWrap/>
            <w:vAlign w:val="center"/>
            <w:hideMark/>
          </w:tcPr>
          <w:p w14:paraId="2B6FE6E5"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2" w:type="dxa"/>
            <w:tcBorders>
              <w:left w:val="nil"/>
              <w:right w:val="nil"/>
            </w:tcBorders>
            <w:noWrap/>
            <w:vAlign w:val="center"/>
          </w:tcPr>
          <w:p w14:paraId="7EF9B5F4"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14:paraId="4CC65EE1"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6369641F" w14:textId="77777777" w:rsidTr="0052094D">
        <w:trPr>
          <w:trHeight w:val="397"/>
          <w:jc w:val="center"/>
        </w:trPr>
        <w:tc>
          <w:tcPr>
            <w:tcW w:w="2993" w:type="dxa"/>
            <w:tcBorders>
              <w:left w:val="nil"/>
              <w:bottom w:val="single" w:sz="4" w:space="0" w:color="244062"/>
              <w:right w:val="nil"/>
            </w:tcBorders>
            <w:shd w:val="clear" w:color="auto" w:fill="D0D1DB"/>
            <w:noWrap/>
            <w:vAlign w:val="center"/>
            <w:hideMark/>
          </w:tcPr>
          <w:p w14:paraId="43FE2050"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300" w:type="dxa"/>
            <w:tcBorders>
              <w:left w:val="nil"/>
              <w:bottom w:val="single" w:sz="4" w:space="0" w:color="244062"/>
              <w:right w:val="nil"/>
            </w:tcBorders>
            <w:shd w:val="clear" w:color="auto" w:fill="E5E9EB"/>
            <w:noWrap/>
            <w:vAlign w:val="center"/>
            <w:hideMark/>
          </w:tcPr>
          <w:p w14:paraId="072A81FF"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2" w:type="dxa"/>
            <w:tcBorders>
              <w:left w:val="nil"/>
              <w:bottom w:val="single" w:sz="4" w:space="0" w:color="244062"/>
              <w:right w:val="nil"/>
            </w:tcBorders>
            <w:noWrap/>
            <w:vAlign w:val="center"/>
          </w:tcPr>
          <w:p w14:paraId="04C9BA74"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343" w:type="dxa"/>
            <w:tcBorders>
              <w:left w:val="nil"/>
              <w:bottom w:val="single" w:sz="4" w:space="0" w:color="244062"/>
              <w:right w:val="nil"/>
            </w:tcBorders>
            <w:noWrap/>
            <w:vAlign w:val="center"/>
          </w:tcPr>
          <w:p w14:paraId="4A02AB10"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r>
    </w:tbl>
    <w:p w14:paraId="021E5B04" w14:textId="77777777" w:rsidR="00892164" w:rsidRPr="008609D1" w:rsidRDefault="00892164" w:rsidP="007304F5">
      <w:pPr>
        <w:pStyle w:val="A3L2"/>
      </w:pPr>
      <w:bookmarkStart w:id="180" w:name="_Toc475468520"/>
      <w:bookmarkStart w:id="181" w:name="_Toc477515031"/>
      <w:bookmarkStart w:id="182" w:name="_Toc478774515"/>
      <w:r w:rsidRPr="008609D1">
        <w:t>Matriz de asignación de capital empleado por actividades y elementos de red (Nivel 2) a servicios minoristas (Nivel 3)</w:t>
      </w:r>
      <w:bookmarkEnd w:id="180"/>
      <w:bookmarkEnd w:id="181"/>
      <w:bookmarkEnd w:id="182"/>
    </w:p>
    <w:p w14:paraId="61966BA9" w14:textId="77777777" w:rsidR="00892164" w:rsidRPr="008609D1" w:rsidRDefault="00892164" w:rsidP="00892164">
      <w:pPr>
        <w:pStyle w:val="Normalresolucion"/>
      </w:pPr>
      <w:r w:rsidRPr="008609D1">
        <w:t>Esta matriz deberá contener la asignación de cuentas de capital empleado por actividades y elementos de red a cuentas de servicios minoristas de Nivel 3.</w:t>
      </w:r>
    </w:p>
    <w:p w14:paraId="62AD2FFA" w14:textId="289A7727" w:rsidR="00892164" w:rsidRDefault="00892164" w:rsidP="000119BF">
      <w:pPr>
        <w:pStyle w:val="Normalresolucion"/>
        <w:rPr>
          <w:rtl/>
        </w:rPr>
      </w:pPr>
      <w:r w:rsidRPr="008609D1">
        <w:t>A continuación se presenta el formato que deberá ser c</w:t>
      </w:r>
      <w:r w:rsidR="00170508">
        <w:t>omple</w:t>
      </w:r>
      <w:r w:rsidRPr="008609D1">
        <w:t xml:space="preserve">tado por los concesionarios para la entrega de esta información. Las cuentas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5144E2" w:rsidRPr="008609D1">
        <w:rPr>
          <w:rFonts w:hint="eastAsia"/>
          <w:cs/>
        </w:rPr>
        <w:t>‎</w:t>
      </w:r>
      <w:r w:rsidR="005144E2" w:rsidRPr="008609D1">
        <w:t>2.2</w:t>
      </w:r>
      <w:r w:rsidRPr="008609D1">
        <w:fldChar w:fldCharType="end"/>
      </w:r>
      <w:r w:rsidRPr="008609D1">
        <w:t xml:space="preserve"> del Anexo </w:t>
      </w:r>
      <w:r w:rsidR="004B3901" w:rsidRPr="008609D1">
        <w:t>3</w:t>
      </w:r>
      <w:r w:rsidRPr="008609D1">
        <w:rPr>
          <w:rtl/>
        </w:rPr>
        <w:t>.</w:t>
      </w:r>
    </w:p>
    <w:p w14:paraId="45FAFB85" w14:textId="77777777" w:rsidR="005E47DD" w:rsidRDefault="005E47DD" w:rsidP="000119BF">
      <w:pPr>
        <w:pStyle w:val="Normalresolucion"/>
        <w:rPr>
          <w:rtl/>
        </w:rPr>
      </w:pPr>
    </w:p>
    <w:p w14:paraId="6862440C" w14:textId="77777777" w:rsidR="005E47DD" w:rsidRDefault="005E47DD" w:rsidP="000119BF">
      <w:pPr>
        <w:pStyle w:val="Normalresolucion"/>
        <w:rPr>
          <w:rtl/>
        </w:rPr>
      </w:pPr>
    </w:p>
    <w:p w14:paraId="3A9DB1E4" w14:textId="77777777" w:rsidR="005E47DD" w:rsidRPr="008609D1" w:rsidRDefault="005E47DD" w:rsidP="005E47DD">
      <w:pPr>
        <w:pStyle w:val="Descripcin"/>
        <w:spacing w:after="240" w:line="240" w:lineRule="auto"/>
        <w:rPr>
          <w:lang w:val="es-MX"/>
        </w:rPr>
      </w:pPr>
      <w:r w:rsidRPr="008609D1">
        <w:rPr>
          <w:rFonts w:ascii="ITC Avant Garde" w:hAnsi="ITC Avant Garde"/>
          <w:iCs/>
          <w:sz w:val="20"/>
          <w:lang w:val="es-MX"/>
        </w:rPr>
        <w:lastRenderedPageBreak/>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13</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capital empleado por actividades y elementos de red (Nivel 2) a cuentas de servicios minoristas (Nivel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1"/>
        <w:gridCol w:w="3244"/>
        <w:gridCol w:w="1321"/>
        <w:gridCol w:w="1322"/>
      </w:tblGrid>
      <w:tr w:rsidR="007304F5" w:rsidRPr="008609D1" w14:paraId="32C14935" w14:textId="77777777" w:rsidTr="0052094D">
        <w:trPr>
          <w:trHeight w:val="340"/>
          <w:jc w:val="center"/>
        </w:trPr>
        <w:tc>
          <w:tcPr>
            <w:tcW w:w="2993"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291664C9"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Capital empleado por actividad y elementos de red (Nivel 2)</w:t>
            </w:r>
            <w:r w:rsidRPr="008609D1">
              <w:rPr>
                <w:rStyle w:val="Refdenotaalpie"/>
                <w:rFonts w:ascii="ITC Avant Garde" w:eastAsia="Times New Roman" w:hAnsi="ITC Avant Garde" w:cs="Arial"/>
                <w:b/>
                <w:color w:val="FFFFFF" w:themeColor="background1"/>
                <w:sz w:val="20"/>
                <w:lang w:val="es-ES" w:eastAsia="es-ES"/>
              </w:rPr>
              <w:footnoteReference w:id="70"/>
            </w:r>
          </w:p>
        </w:tc>
        <w:tc>
          <w:tcPr>
            <w:tcW w:w="330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5B253A20"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Servicios minoristas</w:t>
            </w:r>
          </w:p>
          <w:p w14:paraId="3E33C5ED"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(Nivel 3)</w:t>
            </w:r>
            <w:r w:rsidRPr="008609D1">
              <w:rPr>
                <w:rStyle w:val="Refdenotaalpie"/>
                <w:rFonts w:ascii="ITC Avant Garde" w:eastAsia="Times New Roman" w:hAnsi="ITC Avant Garde" w:cs="Arial"/>
                <w:b/>
                <w:color w:val="FFFFFF" w:themeColor="background1"/>
                <w:sz w:val="20"/>
                <w:lang w:val="es-ES" w:eastAsia="es-ES"/>
              </w:rPr>
              <w:footnoteReference w:id="71"/>
            </w:r>
          </w:p>
        </w:tc>
        <w:tc>
          <w:tcPr>
            <w:tcW w:w="2685"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633CE8F1"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Año</w:t>
            </w:r>
          </w:p>
        </w:tc>
      </w:tr>
      <w:tr w:rsidR="007304F5" w:rsidRPr="008609D1" w14:paraId="4B1D517A" w14:textId="77777777" w:rsidTr="0052094D">
        <w:trPr>
          <w:trHeight w:val="340"/>
          <w:jc w:val="center"/>
        </w:trPr>
        <w:tc>
          <w:tcPr>
            <w:tcW w:w="2993"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3C22400F" w14:textId="77777777" w:rsidR="00892164" w:rsidRPr="008609D1" w:rsidRDefault="00892164" w:rsidP="00D87E0B">
            <w:pPr>
              <w:keepNext/>
              <w:spacing w:after="0"/>
              <w:rPr>
                <w:rFonts w:ascii="ITC Avant Garde" w:eastAsia="Times New Roman" w:hAnsi="ITC Avant Garde" w:cs="Arial"/>
                <w:b/>
                <w:color w:val="FFFFFF" w:themeColor="background1"/>
                <w:sz w:val="20"/>
                <w:lang w:val="es-ES" w:eastAsia="es-ES"/>
              </w:rPr>
            </w:pPr>
          </w:p>
        </w:tc>
        <w:tc>
          <w:tcPr>
            <w:tcW w:w="3300"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09005612" w14:textId="77777777" w:rsidR="00892164" w:rsidRPr="008609D1" w:rsidRDefault="00892164" w:rsidP="00D87E0B">
            <w:pPr>
              <w:keepNext/>
              <w:spacing w:after="0"/>
              <w:rPr>
                <w:rFonts w:ascii="ITC Avant Garde" w:eastAsia="Times New Roman" w:hAnsi="ITC Avant Garde" w:cs="Arial"/>
                <w:b/>
                <w:color w:val="FFFFFF" w:themeColor="background1"/>
                <w:sz w:val="20"/>
                <w:lang w:val="es-ES" w:eastAsia="es-ES"/>
              </w:rPr>
            </w:pPr>
          </w:p>
        </w:tc>
        <w:tc>
          <w:tcPr>
            <w:tcW w:w="1342"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6CF2A31D"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N-1</w:t>
            </w:r>
          </w:p>
        </w:tc>
        <w:tc>
          <w:tcPr>
            <w:tcW w:w="1343"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336880AE"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w:t>
            </w:r>
          </w:p>
        </w:tc>
      </w:tr>
      <w:tr w:rsidR="00945C89" w:rsidRPr="008609D1" w14:paraId="5C854878" w14:textId="77777777" w:rsidTr="000E069D">
        <w:trPr>
          <w:trHeight w:val="340"/>
          <w:jc w:val="center"/>
        </w:trPr>
        <w:tc>
          <w:tcPr>
            <w:tcW w:w="2993" w:type="dxa"/>
            <w:tcBorders>
              <w:top w:val="single" w:sz="4" w:space="0" w:color="244062"/>
              <w:left w:val="nil"/>
              <w:right w:val="nil"/>
            </w:tcBorders>
            <w:shd w:val="clear" w:color="auto" w:fill="D0D1DB"/>
            <w:noWrap/>
            <w:vAlign w:val="center"/>
            <w:hideMark/>
          </w:tcPr>
          <w:p w14:paraId="3ECB8CFD" w14:textId="77777777" w:rsidR="00945C89" w:rsidRPr="008609D1" w:rsidRDefault="00945C89" w:rsidP="00945C89">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300" w:type="dxa"/>
            <w:tcBorders>
              <w:top w:val="single" w:sz="4" w:space="0" w:color="244062"/>
              <w:left w:val="nil"/>
              <w:right w:val="nil"/>
            </w:tcBorders>
            <w:shd w:val="clear" w:color="auto" w:fill="E5E9EB"/>
            <w:noWrap/>
            <w:vAlign w:val="center"/>
            <w:hideMark/>
          </w:tcPr>
          <w:p w14:paraId="21EC8D52" w14:textId="77777777" w:rsidR="00945C89" w:rsidRPr="008609D1" w:rsidRDefault="00945C89" w:rsidP="00945C89">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Instalación de línea</w:t>
            </w:r>
          </w:p>
        </w:tc>
        <w:tc>
          <w:tcPr>
            <w:tcW w:w="1342" w:type="dxa"/>
            <w:tcBorders>
              <w:top w:val="single" w:sz="4" w:space="0" w:color="244062"/>
              <w:left w:val="nil"/>
              <w:right w:val="nil"/>
            </w:tcBorders>
            <w:noWrap/>
            <w:vAlign w:val="center"/>
            <w:hideMark/>
          </w:tcPr>
          <w:p w14:paraId="0AF63A3D" w14:textId="77777777" w:rsidR="00945C89" w:rsidRPr="008609D1" w:rsidRDefault="00945C89" w:rsidP="00945C89">
            <w:pPr>
              <w:keepNext/>
              <w:rPr>
                <w:rFonts w:ascii="ITC Avant Garde" w:eastAsia="Times New Roman" w:hAnsi="ITC Avant Garde" w:cs="Arial"/>
                <w:sz w:val="20"/>
                <w:lang w:val="es-ES" w:eastAsia="es-ES"/>
              </w:rPr>
            </w:pPr>
          </w:p>
        </w:tc>
        <w:tc>
          <w:tcPr>
            <w:tcW w:w="1343" w:type="dxa"/>
            <w:tcBorders>
              <w:top w:val="single" w:sz="4" w:space="0" w:color="244062"/>
              <w:left w:val="nil"/>
              <w:right w:val="nil"/>
            </w:tcBorders>
            <w:noWrap/>
            <w:vAlign w:val="center"/>
            <w:hideMark/>
          </w:tcPr>
          <w:p w14:paraId="2324F986" w14:textId="77777777" w:rsidR="00945C89" w:rsidRPr="008609D1" w:rsidRDefault="00945C89" w:rsidP="00945C89">
            <w:pPr>
              <w:keepNext/>
              <w:spacing w:after="0"/>
              <w:rPr>
                <w:rFonts w:ascii="ITC Avant Garde" w:hAnsi="ITC Avant Garde"/>
                <w:sz w:val="20"/>
                <w:szCs w:val="20"/>
                <w:lang w:eastAsia="en-GB"/>
              </w:rPr>
            </w:pPr>
          </w:p>
        </w:tc>
      </w:tr>
      <w:tr w:rsidR="00945C89" w:rsidRPr="008609D1" w14:paraId="4D48513A" w14:textId="77777777" w:rsidTr="0052094D">
        <w:trPr>
          <w:trHeight w:val="340"/>
          <w:jc w:val="center"/>
        </w:trPr>
        <w:tc>
          <w:tcPr>
            <w:tcW w:w="2993" w:type="dxa"/>
            <w:tcBorders>
              <w:top w:val="single" w:sz="4" w:space="0" w:color="244062"/>
              <w:left w:val="nil"/>
              <w:right w:val="nil"/>
            </w:tcBorders>
            <w:shd w:val="clear" w:color="auto" w:fill="D0D1DB"/>
            <w:noWrap/>
            <w:vAlign w:val="center"/>
            <w:hideMark/>
          </w:tcPr>
          <w:p w14:paraId="003A05AE" w14:textId="77777777" w:rsidR="00945C89" w:rsidRPr="008609D1" w:rsidRDefault="00945C89" w:rsidP="00945C89">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300" w:type="dxa"/>
            <w:tcBorders>
              <w:top w:val="single" w:sz="4" w:space="0" w:color="244062"/>
              <w:left w:val="nil"/>
              <w:right w:val="nil"/>
            </w:tcBorders>
            <w:shd w:val="clear" w:color="auto" w:fill="E5E9EB"/>
            <w:noWrap/>
            <w:vAlign w:val="center"/>
            <w:hideMark/>
          </w:tcPr>
          <w:p w14:paraId="4CF88EC5" w14:textId="77777777" w:rsidR="00945C89" w:rsidRPr="008609D1" w:rsidRDefault="00945C89" w:rsidP="00945C89">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Ventas en tiendas del concesionario</w:t>
            </w:r>
          </w:p>
        </w:tc>
        <w:tc>
          <w:tcPr>
            <w:tcW w:w="1342" w:type="dxa"/>
            <w:tcBorders>
              <w:top w:val="single" w:sz="4" w:space="0" w:color="244062"/>
              <w:left w:val="nil"/>
              <w:right w:val="nil"/>
            </w:tcBorders>
            <w:noWrap/>
            <w:vAlign w:val="center"/>
            <w:hideMark/>
          </w:tcPr>
          <w:p w14:paraId="7689FBFF" w14:textId="77777777" w:rsidR="00945C89" w:rsidRPr="008609D1" w:rsidRDefault="00945C89" w:rsidP="00945C89">
            <w:pPr>
              <w:keepNext/>
              <w:rPr>
                <w:rFonts w:ascii="ITC Avant Garde" w:eastAsia="Times New Roman" w:hAnsi="ITC Avant Garde" w:cs="Arial"/>
                <w:sz w:val="20"/>
                <w:lang w:val="es-ES" w:eastAsia="es-ES"/>
              </w:rPr>
            </w:pPr>
          </w:p>
        </w:tc>
        <w:tc>
          <w:tcPr>
            <w:tcW w:w="1343" w:type="dxa"/>
            <w:tcBorders>
              <w:top w:val="single" w:sz="4" w:space="0" w:color="244062"/>
              <w:left w:val="nil"/>
              <w:right w:val="nil"/>
            </w:tcBorders>
            <w:noWrap/>
            <w:vAlign w:val="center"/>
            <w:hideMark/>
          </w:tcPr>
          <w:p w14:paraId="26956B76" w14:textId="77777777" w:rsidR="00945C89" w:rsidRPr="008609D1" w:rsidRDefault="00945C89" w:rsidP="00945C89">
            <w:pPr>
              <w:keepNext/>
              <w:spacing w:after="0"/>
              <w:rPr>
                <w:rFonts w:ascii="ITC Avant Garde" w:hAnsi="ITC Avant Garde"/>
                <w:sz w:val="20"/>
                <w:szCs w:val="20"/>
                <w:lang w:eastAsia="en-GB"/>
              </w:rPr>
            </w:pPr>
          </w:p>
        </w:tc>
      </w:tr>
      <w:tr w:rsidR="00945C89" w:rsidRPr="008609D1" w14:paraId="2FBC7BA4" w14:textId="77777777" w:rsidTr="0052094D">
        <w:trPr>
          <w:trHeight w:val="340"/>
          <w:jc w:val="center"/>
        </w:trPr>
        <w:tc>
          <w:tcPr>
            <w:tcW w:w="2993" w:type="dxa"/>
            <w:tcBorders>
              <w:left w:val="nil"/>
              <w:right w:val="nil"/>
            </w:tcBorders>
            <w:shd w:val="clear" w:color="auto" w:fill="D0D1DB"/>
            <w:noWrap/>
            <w:vAlign w:val="center"/>
            <w:hideMark/>
          </w:tcPr>
          <w:p w14:paraId="6A610339" w14:textId="77777777" w:rsidR="00945C89" w:rsidRPr="008609D1" w:rsidRDefault="00945C89" w:rsidP="00945C89">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Comerciales</w:t>
            </w:r>
          </w:p>
        </w:tc>
        <w:tc>
          <w:tcPr>
            <w:tcW w:w="3300" w:type="dxa"/>
            <w:tcBorders>
              <w:left w:val="nil"/>
              <w:right w:val="nil"/>
            </w:tcBorders>
            <w:shd w:val="clear" w:color="auto" w:fill="E5E9EB"/>
            <w:noWrap/>
            <w:vAlign w:val="center"/>
            <w:hideMark/>
          </w:tcPr>
          <w:p w14:paraId="26C583CA" w14:textId="77777777" w:rsidR="00945C89" w:rsidRPr="008609D1" w:rsidRDefault="00945C89" w:rsidP="00945C89">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2" w:type="dxa"/>
            <w:tcBorders>
              <w:left w:val="nil"/>
              <w:right w:val="nil"/>
            </w:tcBorders>
            <w:noWrap/>
            <w:vAlign w:val="center"/>
            <w:hideMark/>
          </w:tcPr>
          <w:p w14:paraId="025DAD4F" w14:textId="77777777" w:rsidR="00945C89" w:rsidRPr="008609D1" w:rsidRDefault="00945C89" w:rsidP="00945C89">
            <w:pPr>
              <w:keepNext/>
              <w:rPr>
                <w:rFonts w:ascii="ITC Avant Garde" w:eastAsia="Times New Roman" w:hAnsi="ITC Avant Garde" w:cs="Arial"/>
                <w:sz w:val="20"/>
                <w:lang w:val="es-ES" w:eastAsia="es-ES"/>
              </w:rPr>
            </w:pPr>
          </w:p>
        </w:tc>
        <w:tc>
          <w:tcPr>
            <w:tcW w:w="1343" w:type="dxa"/>
            <w:tcBorders>
              <w:left w:val="nil"/>
              <w:right w:val="nil"/>
            </w:tcBorders>
            <w:noWrap/>
            <w:vAlign w:val="center"/>
            <w:hideMark/>
          </w:tcPr>
          <w:p w14:paraId="5ECE69C4" w14:textId="77777777" w:rsidR="00945C89" w:rsidRPr="008609D1" w:rsidRDefault="00945C89" w:rsidP="00945C89">
            <w:pPr>
              <w:keepNext/>
              <w:spacing w:after="0"/>
              <w:rPr>
                <w:rFonts w:ascii="ITC Avant Garde" w:hAnsi="ITC Avant Garde"/>
                <w:sz w:val="20"/>
                <w:szCs w:val="20"/>
                <w:lang w:val="en-GB" w:eastAsia="en-GB"/>
              </w:rPr>
            </w:pPr>
          </w:p>
        </w:tc>
      </w:tr>
      <w:tr w:rsidR="00945C89" w:rsidRPr="008609D1" w14:paraId="313DE547" w14:textId="77777777" w:rsidTr="000E069D">
        <w:trPr>
          <w:trHeight w:val="340"/>
          <w:jc w:val="center"/>
        </w:trPr>
        <w:tc>
          <w:tcPr>
            <w:tcW w:w="2993" w:type="dxa"/>
            <w:tcBorders>
              <w:left w:val="nil"/>
              <w:right w:val="nil"/>
            </w:tcBorders>
            <w:shd w:val="clear" w:color="auto" w:fill="D0D1DB"/>
            <w:noWrap/>
            <w:vAlign w:val="center"/>
            <w:hideMark/>
          </w:tcPr>
          <w:p w14:paraId="6CE02196" w14:textId="77777777" w:rsidR="00945C89" w:rsidRPr="008609D1" w:rsidRDefault="00945C89" w:rsidP="00945C89">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w:t>
            </w:r>
          </w:p>
        </w:tc>
        <w:tc>
          <w:tcPr>
            <w:tcW w:w="3300" w:type="dxa"/>
            <w:tcBorders>
              <w:left w:val="nil"/>
              <w:right w:val="nil"/>
            </w:tcBorders>
            <w:shd w:val="clear" w:color="auto" w:fill="E5E9EB"/>
            <w:noWrap/>
            <w:vAlign w:val="center"/>
            <w:hideMark/>
          </w:tcPr>
          <w:p w14:paraId="6D755D9E" w14:textId="77777777" w:rsidR="00945C89" w:rsidRPr="008609D1" w:rsidRDefault="00945C89" w:rsidP="00945C89">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básica por línea</w:t>
            </w:r>
          </w:p>
        </w:tc>
        <w:tc>
          <w:tcPr>
            <w:tcW w:w="1342" w:type="dxa"/>
            <w:tcBorders>
              <w:left w:val="nil"/>
              <w:right w:val="nil"/>
            </w:tcBorders>
            <w:noWrap/>
            <w:vAlign w:val="center"/>
          </w:tcPr>
          <w:p w14:paraId="4A95666A" w14:textId="77777777" w:rsidR="00945C89" w:rsidRPr="008609D1" w:rsidRDefault="00945C89" w:rsidP="00945C89">
            <w:pPr>
              <w:keepNext/>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14:paraId="6086DFA0" w14:textId="77777777" w:rsidR="00945C89" w:rsidRPr="008609D1" w:rsidRDefault="00945C89" w:rsidP="00945C89">
            <w:pPr>
              <w:keepNext/>
              <w:spacing w:before="40" w:after="40" w:line="240" w:lineRule="auto"/>
              <w:jc w:val="center"/>
              <w:rPr>
                <w:rFonts w:ascii="ITC Avant Garde" w:eastAsia="Times New Roman" w:hAnsi="ITC Avant Garde" w:cs="Arial"/>
                <w:sz w:val="20"/>
                <w:lang w:val="es-ES" w:eastAsia="es-ES"/>
              </w:rPr>
            </w:pPr>
          </w:p>
        </w:tc>
      </w:tr>
      <w:tr w:rsidR="00945C89" w:rsidRPr="008609D1" w14:paraId="34A746CE" w14:textId="77777777" w:rsidTr="0052094D">
        <w:trPr>
          <w:trHeight w:val="340"/>
          <w:jc w:val="center"/>
        </w:trPr>
        <w:tc>
          <w:tcPr>
            <w:tcW w:w="2993" w:type="dxa"/>
            <w:tcBorders>
              <w:left w:val="nil"/>
              <w:right w:val="nil"/>
            </w:tcBorders>
            <w:shd w:val="clear" w:color="auto" w:fill="D0D1DB"/>
            <w:noWrap/>
            <w:vAlign w:val="center"/>
            <w:hideMark/>
          </w:tcPr>
          <w:p w14:paraId="2E919AB4" w14:textId="77777777" w:rsidR="00945C89" w:rsidRPr="008609D1" w:rsidRDefault="00945C89" w:rsidP="00945C89">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w:t>
            </w:r>
          </w:p>
        </w:tc>
        <w:tc>
          <w:tcPr>
            <w:tcW w:w="3300" w:type="dxa"/>
            <w:tcBorders>
              <w:left w:val="nil"/>
              <w:right w:val="nil"/>
            </w:tcBorders>
            <w:shd w:val="clear" w:color="auto" w:fill="E5E9EB"/>
            <w:noWrap/>
            <w:vAlign w:val="center"/>
            <w:hideMark/>
          </w:tcPr>
          <w:p w14:paraId="22E8B0ED" w14:textId="77777777" w:rsidR="00945C89" w:rsidRPr="008609D1" w:rsidRDefault="00945C89" w:rsidP="00945C89">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Comercialización y mantenimiento de cableado y equipo terminal</w:t>
            </w:r>
          </w:p>
        </w:tc>
        <w:tc>
          <w:tcPr>
            <w:tcW w:w="1342" w:type="dxa"/>
            <w:tcBorders>
              <w:left w:val="nil"/>
              <w:right w:val="nil"/>
            </w:tcBorders>
            <w:noWrap/>
            <w:vAlign w:val="center"/>
          </w:tcPr>
          <w:p w14:paraId="53D83D27" w14:textId="77777777" w:rsidR="00945C89" w:rsidRPr="008609D1" w:rsidRDefault="00945C89" w:rsidP="00945C89">
            <w:pPr>
              <w:keepNext/>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14:paraId="29AEDED4" w14:textId="77777777" w:rsidR="00945C89" w:rsidRPr="008609D1" w:rsidRDefault="00945C89" w:rsidP="00945C89">
            <w:pPr>
              <w:keepNext/>
              <w:spacing w:before="40" w:after="40" w:line="240" w:lineRule="auto"/>
              <w:jc w:val="center"/>
              <w:rPr>
                <w:rFonts w:ascii="ITC Avant Garde" w:eastAsia="Times New Roman" w:hAnsi="ITC Avant Garde" w:cs="Arial"/>
                <w:sz w:val="20"/>
                <w:lang w:val="es-ES" w:eastAsia="es-ES"/>
              </w:rPr>
            </w:pPr>
          </w:p>
        </w:tc>
      </w:tr>
      <w:tr w:rsidR="00945C89" w:rsidRPr="008609D1" w14:paraId="35045352" w14:textId="77777777" w:rsidTr="0052094D">
        <w:trPr>
          <w:trHeight w:val="340"/>
          <w:jc w:val="center"/>
        </w:trPr>
        <w:tc>
          <w:tcPr>
            <w:tcW w:w="2993" w:type="dxa"/>
            <w:tcBorders>
              <w:left w:val="nil"/>
              <w:right w:val="nil"/>
            </w:tcBorders>
            <w:shd w:val="clear" w:color="auto" w:fill="D0D1DB"/>
            <w:noWrap/>
            <w:vAlign w:val="center"/>
            <w:hideMark/>
          </w:tcPr>
          <w:p w14:paraId="105413DF" w14:textId="77777777" w:rsidR="00945C89" w:rsidRPr="008609D1" w:rsidRDefault="00945C89" w:rsidP="00945C89">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Facturación</w:t>
            </w:r>
          </w:p>
        </w:tc>
        <w:tc>
          <w:tcPr>
            <w:tcW w:w="3300" w:type="dxa"/>
            <w:tcBorders>
              <w:left w:val="nil"/>
              <w:right w:val="nil"/>
            </w:tcBorders>
            <w:shd w:val="clear" w:color="auto" w:fill="E5E9EB"/>
            <w:noWrap/>
            <w:vAlign w:val="center"/>
            <w:hideMark/>
          </w:tcPr>
          <w:p w14:paraId="048B0CFC" w14:textId="77777777" w:rsidR="00945C89" w:rsidRPr="008609D1" w:rsidRDefault="00945C89" w:rsidP="00945C89">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2" w:type="dxa"/>
            <w:tcBorders>
              <w:left w:val="nil"/>
              <w:right w:val="nil"/>
            </w:tcBorders>
            <w:noWrap/>
            <w:vAlign w:val="center"/>
          </w:tcPr>
          <w:p w14:paraId="657DD126" w14:textId="77777777" w:rsidR="00945C89" w:rsidRPr="008609D1" w:rsidRDefault="00945C89" w:rsidP="00945C89">
            <w:pPr>
              <w:keepNext/>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14:paraId="26CD8216" w14:textId="77777777" w:rsidR="00945C89" w:rsidRPr="008609D1" w:rsidRDefault="00945C89" w:rsidP="00945C89">
            <w:pPr>
              <w:keepNext/>
              <w:spacing w:before="40" w:after="40" w:line="240" w:lineRule="auto"/>
              <w:jc w:val="center"/>
              <w:rPr>
                <w:rFonts w:ascii="ITC Avant Garde" w:eastAsia="Times New Roman" w:hAnsi="ITC Avant Garde" w:cs="Arial"/>
                <w:sz w:val="20"/>
                <w:lang w:val="es-ES" w:eastAsia="es-ES"/>
              </w:rPr>
            </w:pPr>
          </w:p>
        </w:tc>
      </w:tr>
      <w:tr w:rsidR="007304F5" w:rsidRPr="008609D1" w14:paraId="294BEC1E" w14:textId="77777777" w:rsidTr="0052094D">
        <w:trPr>
          <w:trHeight w:val="340"/>
          <w:jc w:val="center"/>
        </w:trPr>
        <w:tc>
          <w:tcPr>
            <w:tcW w:w="2993" w:type="dxa"/>
            <w:tcBorders>
              <w:left w:val="nil"/>
              <w:bottom w:val="single" w:sz="4" w:space="0" w:color="244062"/>
              <w:right w:val="nil"/>
            </w:tcBorders>
            <w:shd w:val="clear" w:color="auto" w:fill="D0D1DB"/>
            <w:noWrap/>
            <w:vAlign w:val="center"/>
            <w:hideMark/>
          </w:tcPr>
          <w:p w14:paraId="01FD35A7"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300" w:type="dxa"/>
            <w:tcBorders>
              <w:left w:val="nil"/>
              <w:bottom w:val="single" w:sz="4" w:space="0" w:color="244062"/>
              <w:right w:val="nil"/>
            </w:tcBorders>
            <w:shd w:val="clear" w:color="auto" w:fill="E5E9EB"/>
            <w:noWrap/>
            <w:vAlign w:val="center"/>
            <w:hideMark/>
          </w:tcPr>
          <w:p w14:paraId="69FFF85E" w14:textId="77777777" w:rsidR="00892164" w:rsidRPr="008609D1" w:rsidRDefault="00892164" w:rsidP="00D87E0B">
            <w:pPr>
              <w:keepNext/>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2" w:type="dxa"/>
            <w:tcBorders>
              <w:left w:val="nil"/>
              <w:bottom w:val="single" w:sz="4" w:space="0" w:color="244062"/>
              <w:right w:val="nil"/>
            </w:tcBorders>
            <w:noWrap/>
            <w:vAlign w:val="center"/>
          </w:tcPr>
          <w:p w14:paraId="1BE830E7" w14:textId="77777777" w:rsidR="00892164" w:rsidRPr="008609D1" w:rsidRDefault="00892164" w:rsidP="00D87E0B">
            <w:pPr>
              <w:keepNext/>
              <w:spacing w:before="40" w:after="40" w:line="240" w:lineRule="auto"/>
              <w:jc w:val="center"/>
              <w:rPr>
                <w:rFonts w:ascii="ITC Avant Garde" w:eastAsia="Times New Roman" w:hAnsi="ITC Avant Garde" w:cs="Arial"/>
                <w:sz w:val="20"/>
                <w:lang w:val="es-ES" w:eastAsia="es-ES"/>
              </w:rPr>
            </w:pPr>
          </w:p>
        </w:tc>
        <w:tc>
          <w:tcPr>
            <w:tcW w:w="1343" w:type="dxa"/>
            <w:tcBorders>
              <w:left w:val="nil"/>
              <w:bottom w:val="single" w:sz="4" w:space="0" w:color="244062"/>
              <w:right w:val="nil"/>
            </w:tcBorders>
            <w:noWrap/>
            <w:vAlign w:val="center"/>
          </w:tcPr>
          <w:p w14:paraId="35A8D6F9" w14:textId="77777777" w:rsidR="00892164" w:rsidRPr="008609D1" w:rsidRDefault="00892164" w:rsidP="00D87E0B">
            <w:pPr>
              <w:keepNext/>
              <w:spacing w:before="40" w:after="40" w:line="240" w:lineRule="auto"/>
              <w:jc w:val="center"/>
              <w:rPr>
                <w:rFonts w:ascii="ITC Avant Garde" w:eastAsia="Times New Roman" w:hAnsi="ITC Avant Garde" w:cs="Arial"/>
                <w:sz w:val="20"/>
                <w:lang w:val="es-ES" w:eastAsia="es-ES"/>
              </w:rPr>
            </w:pPr>
          </w:p>
        </w:tc>
      </w:tr>
    </w:tbl>
    <w:p w14:paraId="11A924F9" w14:textId="77777777" w:rsidR="00892164" w:rsidRPr="008609D1" w:rsidRDefault="00892164" w:rsidP="007304F5">
      <w:pPr>
        <w:pStyle w:val="A3L2"/>
      </w:pPr>
      <w:bookmarkStart w:id="183" w:name="_Toc475468521"/>
      <w:bookmarkStart w:id="184" w:name="_Toc477515032"/>
      <w:bookmarkStart w:id="185" w:name="_Toc478774516"/>
      <w:r w:rsidRPr="008609D1">
        <w:t>Matriz de asignación de capital empleado por actividades y elementos de red (Nivel 2) a servicios mayoristas (Nivel 3)</w:t>
      </w:r>
      <w:bookmarkEnd w:id="183"/>
      <w:bookmarkEnd w:id="184"/>
      <w:bookmarkEnd w:id="185"/>
    </w:p>
    <w:p w14:paraId="20FC1F6E" w14:textId="77777777" w:rsidR="00892164" w:rsidRPr="008609D1" w:rsidRDefault="00892164" w:rsidP="00892164">
      <w:pPr>
        <w:pStyle w:val="Normalresolucion"/>
      </w:pPr>
      <w:r w:rsidRPr="008609D1">
        <w:t>Esta matriz deberá contener la asignación de cuentas de capital empleado por actividades y elementos de red a cuentas de servicios mayoristas de Nivel 3.</w:t>
      </w:r>
    </w:p>
    <w:p w14:paraId="034E7091" w14:textId="48D9CF2F" w:rsidR="00892164" w:rsidRDefault="00892164" w:rsidP="00323B4D">
      <w:pPr>
        <w:pStyle w:val="Normalresolucion"/>
        <w:rPr>
          <w:rtl/>
        </w:rPr>
      </w:pPr>
      <w:r w:rsidRPr="008609D1">
        <w:t>A continuación se presenta el formato que deberá ser c</w:t>
      </w:r>
      <w:r w:rsidR="00A967A2">
        <w:t>omple</w:t>
      </w:r>
      <w:r w:rsidRPr="008609D1">
        <w:t xml:space="preserve">tado por los concesionarios para la entrega de esta información. Las cuentas incluidas deben ser adaptadas al segmento aplicable al concesionario de acuerdo a la estructura mínima definida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5144E2" w:rsidRPr="008609D1">
        <w:rPr>
          <w:rFonts w:hint="eastAsia"/>
          <w:cs/>
        </w:rPr>
        <w:t>‎</w:t>
      </w:r>
      <w:r w:rsidR="005144E2" w:rsidRPr="008609D1">
        <w:t>2.2</w:t>
      </w:r>
      <w:r w:rsidRPr="008609D1">
        <w:fldChar w:fldCharType="end"/>
      </w:r>
      <w:r w:rsidRPr="008609D1">
        <w:t xml:space="preserve"> del Anexo </w:t>
      </w:r>
      <w:r w:rsidR="004B3901" w:rsidRPr="008609D1">
        <w:t>3</w:t>
      </w:r>
      <w:r w:rsidRPr="008609D1">
        <w:rPr>
          <w:rtl/>
        </w:rPr>
        <w:t>.</w:t>
      </w:r>
    </w:p>
    <w:p w14:paraId="52BA18C4" w14:textId="77777777" w:rsidR="005E47DD" w:rsidRDefault="005E47DD" w:rsidP="00323B4D">
      <w:pPr>
        <w:pStyle w:val="Normalresolucion"/>
        <w:rPr>
          <w:rtl/>
        </w:rPr>
      </w:pPr>
    </w:p>
    <w:p w14:paraId="1D800253" w14:textId="77777777" w:rsidR="005E47DD" w:rsidRDefault="005E47DD" w:rsidP="00323B4D">
      <w:pPr>
        <w:pStyle w:val="Normalresolucion"/>
        <w:rPr>
          <w:rtl/>
        </w:rPr>
      </w:pPr>
    </w:p>
    <w:p w14:paraId="23020372" w14:textId="77777777" w:rsidR="005E47DD" w:rsidRDefault="005E47DD" w:rsidP="00323B4D">
      <w:pPr>
        <w:pStyle w:val="Normalresolucion"/>
        <w:rPr>
          <w:rtl/>
        </w:rPr>
      </w:pPr>
    </w:p>
    <w:p w14:paraId="4BD8D6AE" w14:textId="77777777" w:rsidR="005E47DD" w:rsidRDefault="005E47DD" w:rsidP="00323B4D">
      <w:pPr>
        <w:pStyle w:val="Normalresolucion"/>
        <w:rPr>
          <w:rtl/>
        </w:rPr>
      </w:pPr>
    </w:p>
    <w:p w14:paraId="011C147A" w14:textId="77777777" w:rsidR="005E47DD" w:rsidRDefault="005E47DD" w:rsidP="00323B4D">
      <w:pPr>
        <w:pStyle w:val="Normalresolucion"/>
        <w:rPr>
          <w:rtl/>
        </w:rPr>
      </w:pPr>
    </w:p>
    <w:p w14:paraId="6EE44108" w14:textId="77777777" w:rsidR="005E47DD" w:rsidRDefault="005E47DD" w:rsidP="00323B4D">
      <w:pPr>
        <w:pStyle w:val="Normalresolucion"/>
        <w:rPr>
          <w:rtl/>
        </w:rPr>
      </w:pPr>
    </w:p>
    <w:p w14:paraId="4004883C" w14:textId="77777777" w:rsidR="005E47DD" w:rsidRPr="008609D1" w:rsidRDefault="005E47DD" w:rsidP="005E47DD">
      <w:pPr>
        <w:pStyle w:val="Descripcin"/>
        <w:spacing w:after="240" w:line="240" w:lineRule="auto"/>
        <w:rPr>
          <w:lang w:val="es-MX"/>
        </w:rPr>
      </w:pPr>
      <w:r w:rsidRPr="008609D1">
        <w:rPr>
          <w:rFonts w:ascii="ITC Avant Garde" w:hAnsi="ITC Avant Garde"/>
          <w:iCs/>
          <w:sz w:val="20"/>
          <w:lang w:val="es-MX"/>
        </w:rPr>
        <w:lastRenderedPageBreak/>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14</w:t>
      </w:r>
      <w:r w:rsidRPr="008609D1">
        <w:rPr>
          <w:rFonts w:ascii="ITC Avant Garde" w:hAnsi="ITC Avant Garde"/>
          <w:iCs/>
          <w:sz w:val="20"/>
          <w:lang w:val="es-MX"/>
        </w:rPr>
        <w:fldChar w:fldCharType="end"/>
      </w:r>
      <w:r w:rsidRPr="008609D1">
        <w:rPr>
          <w:rFonts w:ascii="ITC Avant Garde" w:hAnsi="ITC Avant Garde"/>
          <w:iCs/>
          <w:sz w:val="20"/>
          <w:lang w:val="es-MX"/>
        </w:rPr>
        <w:t>: Matriz de asignación de cuentas de capital empleado por actividades y elementos de red (Nivel 2) a cuentas de servicios mayoristas (Nivel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1"/>
        <w:gridCol w:w="3244"/>
        <w:gridCol w:w="1321"/>
        <w:gridCol w:w="1322"/>
      </w:tblGrid>
      <w:tr w:rsidR="007304F5" w:rsidRPr="008609D1" w14:paraId="5BE10481" w14:textId="77777777" w:rsidTr="0052094D">
        <w:trPr>
          <w:trHeight w:val="340"/>
          <w:jc w:val="center"/>
        </w:trPr>
        <w:tc>
          <w:tcPr>
            <w:tcW w:w="2993"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73412797"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Capital empleado por actividad y elementos de red (Nivel 2)</w:t>
            </w:r>
            <w:r w:rsidRPr="008609D1">
              <w:rPr>
                <w:rStyle w:val="Refdenotaalpie"/>
                <w:rFonts w:ascii="ITC Avant Garde" w:eastAsia="Times New Roman" w:hAnsi="ITC Avant Garde" w:cs="Arial"/>
                <w:b/>
                <w:color w:val="FFFFFF" w:themeColor="background1"/>
                <w:sz w:val="20"/>
                <w:lang w:val="es-ES" w:eastAsia="es-ES"/>
              </w:rPr>
              <w:footnoteReference w:id="72"/>
            </w:r>
          </w:p>
        </w:tc>
        <w:tc>
          <w:tcPr>
            <w:tcW w:w="3300"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2598BF8D"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Servicios mayoristas</w:t>
            </w:r>
          </w:p>
          <w:p w14:paraId="6FF939CB"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(Nivel 3)</w:t>
            </w:r>
            <w:r w:rsidRPr="008609D1">
              <w:rPr>
                <w:rStyle w:val="Refdenotaalpie"/>
                <w:rFonts w:ascii="ITC Avant Garde" w:eastAsia="Times New Roman" w:hAnsi="ITC Avant Garde" w:cs="Arial"/>
                <w:b/>
                <w:color w:val="FFFFFF" w:themeColor="background1"/>
                <w:sz w:val="20"/>
                <w:lang w:val="es-ES" w:eastAsia="es-ES"/>
              </w:rPr>
              <w:footnoteReference w:id="73"/>
            </w:r>
          </w:p>
        </w:tc>
        <w:tc>
          <w:tcPr>
            <w:tcW w:w="2685"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472B1C14"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Año</w:t>
            </w:r>
          </w:p>
        </w:tc>
      </w:tr>
      <w:tr w:rsidR="007304F5" w:rsidRPr="008609D1" w14:paraId="3C956BC0" w14:textId="77777777" w:rsidTr="0052094D">
        <w:trPr>
          <w:trHeight w:val="340"/>
          <w:jc w:val="center"/>
        </w:trPr>
        <w:tc>
          <w:tcPr>
            <w:tcW w:w="2993"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6276AF83" w14:textId="77777777" w:rsidR="00892164" w:rsidRPr="008609D1" w:rsidRDefault="00892164" w:rsidP="00D87E0B">
            <w:pPr>
              <w:keepNext/>
              <w:keepLines/>
              <w:spacing w:after="0"/>
              <w:rPr>
                <w:rFonts w:ascii="ITC Avant Garde" w:eastAsia="Times New Roman" w:hAnsi="ITC Avant Garde" w:cs="Arial"/>
                <w:b/>
                <w:color w:val="FFFFFF" w:themeColor="background1"/>
                <w:sz w:val="20"/>
                <w:lang w:val="es-ES" w:eastAsia="es-ES"/>
              </w:rPr>
            </w:pPr>
          </w:p>
        </w:tc>
        <w:tc>
          <w:tcPr>
            <w:tcW w:w="3300"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7E382EF2" w14:textId="77777777" w:rsidR="00892164" w:rsidRPr="008609D1" w:rsidRDefault="00892164" w:rsidP="00D87E0B">
            <w:pPr>
              <w:keepNext/>
              <w:keepLines/>
              <w:spacing w:after="0"/>
              <w:rPr>
                <w:rFonts w:ascii="ITC Avant Garde" w:eastAsia="Times New Roman" w:hAnsi="ITC Avant Garde" w:cs="Arial"/>
                <w:b/>
                <w:color w:val="FFFFFF" w:themeColor="background1"/>
                <w:sz w:val="20"/>
                <w:lang w:val="es-ES" w:eastAsia="es-ES"/>
              </w:rPr>
            </w:pPr>
          </w:p>
        </w:tc>
        <w:tc>
          <w:tcPr>
            <w:tcW w:w="1342"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4C6DEB81"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N-1</w:t>
            </w:r>
          </w:p>
        </w:tc>
        <w:tc>
          <w:tcPr>
            <w:tcW w:w="1343"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2FF09BCA"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w:t>
            </w:r>
          </w:p>
        </w:tc>
      </w:tr>
      <w:tr w:rsidR="00945C89" w:rsidRPr="008609D1" w14:paraId="3F343BDD" w14:textId="77777777" w:rsidTr="0052094D">
        <w:trPr>
          <w:trHeight w:val="397"/>
          <w:jc w:val="center"/>
        </w:trPr>
        <w:tc>
          <w:tcPr>
            <w:tcW w:w="2993" w:type="dxa"/>
            <w:tcBorders>
              <w:top w:val="single" w:sz="4" w:space="0" w:color="244062"/>
              <w:left w:val="nil"/>
              <w:right w:val="nil"/>
            </w:tcBorders>
            <w:shd w:val="clear" w:color="auto" w:fill="D0D1DB"/>
            <w:noWrap/>
            <w:vAlign w:val="center"/>
            <w:hideMark/>
          </w:tcPr>
          <w:p w14:paraId="4B5376A5" w14:textId="77777777" w:rsidR="00945C89" w:rsidRPr="008609D1" w:rsidRDefault="004D1DBF" w:rsidP="004D1DBF">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w:t>
            </w:r>
            <w:r w:rsidR="00945C89" w:rsidRPr="008609D1">
              <w:rPr>
                <w:rFonts w:ascii="ITC Avant Garde" w:eastAsia="Times New Roman" w:hAnsi="ITC Avant Garde" w:cs="Arial"/>
                <w:sz w:val="20"/>
                <w:lang w:val="es-ES" w:eastAsia="es-ES"/>
              </w:rPr>
              <w:t>cometida</w:t>
            </w:r>
            <w:r w:rsidRPr="008609D1">
              <w:rPr>
                <w:rFonts w:ascii="ITC Avant Garde" w:eastAsia="Times New Roman" w:hAnsi="ITC Avant Garde" w:cs="Arial"/>
                <w:sz w:val="20"/>
                <w:lang w:val="es-ES" w:eastAsia="es-ES"/>
              </w:rPr>
              <w:t xml:space="preserve"> o conexión al domicilio del usuario final</w:t>
            </w:r>
          </w:p>
        </w:tc>
        <w:tc>
          <w:tcPr>
            <w:tcW w:w="3300" w:type="dxa"/>
            <w:tcBorders>
              <w:top w:val="single" w:sz="4" w:space="0" w:color="244062"/>
              <w:left w:val="nil"/>
              <w:right w:val="nil"/>
            </w:tcBorders>
            <w:shd w:val="clear" w:color="auto" w:fill="E5E9EB"/>
            <w:noWrap/>
            <w:vAlign w:val="center"/>
            <w:hideMark/>
          </w:tcPr>
          <w:p w14:paraId="5BFB863C" w14:textId="77777777" w:rsidR="00945C89" w:rsidRPr="008609D1" w:rsidRDefault="00945C89" w:rsidP="00945C89">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Originación de llamadas desde red fija a usuarios en redes fijas</w:t>
            </w:r>
          </w:p>
        </w:tc>
        <w:tc>
          <w:tcPr>
            <w:tcW w:w="1342" w:type="dxa"/>
            <w:tcBorders>
              <w:top w:val="single" w:sz="4" w:space="0" w:color="244062"/>
              <w:left w:val="nil"/>
              <w:right w:val="nil"/>
            </w:tcBorders>
            <w:noWrap/>
            <w:vAlign w:val="center"/>
            <w:hideMark/>
          </w:tcPr>
          <w:p w14:paraId="5B599405" w14:textId="77777777" w:rsidR="00945C89" w:rsidRPr="008609D1" w:rsidRDefault="00945C89" w:rsidP="00945C89">
            <w:pPr>
              <w:keepNext/>
              <w:keepLines/>
              <w:rPr>
                <w:rFonts w:ascii="ITC Avant Garde" w:eastAsia="Times New Roman" w:hAnsi="ITC Avant Garde" w:cs="Arial"/>
                <w:sz w:val="20"/>
                <w:lang w:val="es-ES" w:eastAsia="es-ES"/>
              </w:rPr>
            </w:pPr>
          </w:p>
        </w:tc>
        <w:tc>
          <w:tcPr>
            <w:tcW w:w="1343" w:type="dxa"/>
            <w:tcBorders>
              <w:top w:val="single" w:sz="4" w:space="0" w:color="244062"/>
              <w:left w:val="nil"/>
              <w:right w:val="nil"/>
            </w:tcBorders>
            <w:noWrap/>
            <w:vAlign w:val="center"/>
            <w:hideMark/>
          </w:tcPr>
          <w:p w14:paraId="1690770F" w14:textId="77777777" w:rsidR="00945C89" w:rsidRPr="008609D1" w:rsidRDefault="00945C89" w:rsidP="00945C89">
            <w:pPr>
              <w:keepNext/>
              <w:keepLines/>
              <w:spacing w:after="0"/>
              <w:rPr>
                <w:rFonts w:ascii="ITC Avant Garde" w:hAnsi="ITC Avant Garde"/>
                <w:sz w:val="20"/>
                <w:szCs w:val="20"/>
                <w:lang w:eastAsia="en-GB"/>
              </w:rPr>
            </w:pPr>
          </w:p>
        </w:tc>
      </w:tr>
      <w:tr w:rsidR="00945C89" w:rsidRPr="008609D1" w14:paraId="30CCE1C1" w14:textId="77777777" w:rsidTr="0052094D">
        <w:trPr>
          <w:trHeight w:val="397"/>
          <w:jc w:val="center"/>
        </w:trPr>
        <w:tc>
          <w:tcPr>
            <w:tcW w:w="2993" w:type="dxa"/>
            <w:tcBorders>
              <w:top w:val="single" w:sz="4" w:space="0" w:color="244062"/>
              <w:left w:val="nil"/>
              <w:right w:val="nil"/>
            </w:tcBorders>
            <w:shd w:val="clear" w:color="auto" w:fill="D0D1DB"/>
            <w:noWrap/>
            <w:vAlign w:val="center"/>
            <w:hideMark/>
          </w:tcPr>
          <w:p w14:paraId="51E956B7" w14:textId="77777777" w:rsidR="00945C89" w:rsidRPr="008609D1" w:rsidRDefault="004D1DBF" w:rsidP="004D1DBF">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w:t>
            </w:r>
            <w:r w:rsidR="00945C89" w:rsidRPr="008609D1">
              <w:rPr>
                <w:rFonts w:ascii="ITC Avant Garde" w:eastAsia="Times New Roman" w:hAnsi="ITC Avant Garde" w:cs="Arial"/>
                <w:sz w:val="20"/>
                <w:lang w:val="es-ES" w:eastAsia="es-ES"/>
              </w:rPr>
              <w:t>cometida</w:t>
            </w:r>
            <w:r w:rsidRPr="008609D1">
              <w:rPr>
                <w:rFonts w:ascii="ITC Avant Garde" w:eastAsia="Times New Roman" w:hAnsi="ITC Avant Garde" w:cs="Arial"/>
                <w:sz w:val="20"/>
                <w:lang w:val="es-ES" w:eastAsia="es-ES"/>
              </w:rPr>
              <w:t xml:space="preserve"> o conexión al domicilio del usuario final</w:t>
            </w:r>
          </w:p>
        </w:tc>
        <w:tc>
          <w:tcPr>
            <w:tcW w:w="3300" w:type="dxa"/>
            <w:tcBorders>
              <w:top w:val="single" w:sz="4" w:space="0" w:color="244062"/>
              <w:left w:val="nil"/>
              <w:right w:val="nil"/>
            </w:tcBorders>
            <w:shd w:val="clear" w:color="auto" w:fill="E5E9EB"/>
            <w:noWrap/>
            <w:vAlign w:val="center"/>
            <w:hideMark/>
          </w:tcPr>
          <w:p w14:paraId="7FB0849E" w14:textId="77777777" w:rsidR="00945C89" w:rsidRPr="008609D1" w:rsidRDefault="00945C89" w:rsidP="00945C89">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Originación de llamadas desde red fija a usuarios en redes móviles</w:t>
            </w:r>
          </w:p>
        </w:tc>
        <w:tc>
          <w:tcPr>
            <w:tcW w:w="1342" w:type="dxa"/>
            <w:tcBorders>
              <w:top w:val="single" w:sz="4" w:space="0" w:color="244062"/>
              <w:left w:val="nil"/>
              <w:right w:val="nil"/>
            </w:tcBorders>
            <w:noWrap/>
            <w:vAlign w:val="center"/>
            <w:hideMark/>
          </w:tcPr>
          <w:p w14:paraId="31DC8EF2" w14:textId="77777777" w:rsidR="00945C89" w:rsidRPr="008609D1" w:rsidRDefault="00945C89" w:rsidP="00945C89">
            <w:pPr>
              <w:keepNext/>
              <w:keepLines/>
              <w:rPr>
                <w:rFonts w:ascii="ITC Avant Garde" w:eastAsia="Times New Roman" w:hAnsi="ITC Avant Garde" w:cs="Arial"/>
                <w:sz w:val="20"/>
                <w:lang w:val="es-ES" w:eastAsia="es-ES"/>
              </w:rPr>
            </w:pPr>
          </w:p>
        </w:tc>
        <w:tc>
          <w:tcPr>
            <w:tcW w:w="1343" w:type="dxa"/>
            <w:tcBorders>
              <w:top w:val="single" w:sz="4" w:space="0" w:color="244062"/>
              <w:left w:val="nil"/>
              <w:right w:val="nil"/>
            </w:tcBorders>
            <w:noWrap/>
            <w:vAlign w:val="center"/>
            <w:hideMark/>
          </w:tcPr>
          <w:p w14:paraId="7564A2F7" w14:textId="77777777" w:rsidR="00945C89" w:rsidRPr="008609D1" w:rsidRDefault="00945C89" w:rsidP="00945C89">
            <w:pPr>
              <w:keepNext/>
              <w:keepLines/>
              <w:spacing w:after="0"/>
              <w:rPr>
                <w:rFonts w:ascii="ITC Avant Garde" w:hAnsi="ITC Avant Garde"/>
                <w:sz w:val="20"/>
                <w:szCs w:val="20"/>
                <w:lang w:eastAsia="en-GB"/>
              </w:rPr>
            </w:pPr>
          </w:p>
        </w:tc>
      </w:tr>
      <w:tr w:rsidR="00945C89" w:rsidRPr="008609D1" w14:paraId="7F13F23B" w14:textId="77777777" w:rsidTr="0052094D">
        <w:trPr>
          <w:trHeight w:val="397"/>
          <w:jc w:val="center"/>
        </w:trPr>
        <w:tc>
          <w:tcPr>
            <w:tcW w:w="2993" w:type="dxa"/>
            <w:tcBorders>
              <w:left w:val="nil"/>
              <w:right w:val="nil"/>
            </w:tcBorders>
            <w:shd w:val="clear" w:color="auto" w:fill="D0D1DB"/>
            <w:noWrap/>
            <w:vAlign w:val="center"/>
            <w:hideMark/>
          </w:tcPr>
          <w:p w14:paraId="3EFD850D" w14:textId="77777777" w:rsidR="00945C89" w:rsidRPr="008609D1" w:rsidRDefault="004D1DBF" w:rsidP="004D1DBF">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w:t>
            </w:r>
            <w:r w:rsidR="00945C89" w:rsidRPr="008609D1">
              <w:rPr>
                <w:rFonts w:ascii="ITC Avant Garde" w:eastAsia="Times New Roman" w:hAnsi="ITC Avant Garde" w:cs="Arial"/>
                <w:sz w:val="20"/>
                <w:lang w:val="es-ES" w:eastAsia="es-ES"/>
              </w:rPr>
              <w:t>cometida</w:t>
            </w:r>
            <w:r w:rsidRPr="008609D1">
              <w:rPr>
                <w:rFonts w:ascii="ITC Avant Garde" w:eastAsia="Times New Roman" w:hAnsi="ITC Avant Garde" w:cs="Arial"/>
                <w:sz w:val="20"/>
                <w:lang w:val="es-ES" w:eastAsia="es-ES"/>
              </w:rPr>
              <w:t xml:space="preserve"> o conexión al domicilio del usuario final</w:t>
            </w:r>
          </w:p>
        </w:tc>
        <w:tc>
          <w:tcPr>
            <w:tcW w:w="3300" w:type="dxa"/>
            <w:tcBorders>
              <w:left w:val="nil"/>
              <w:right w:val="nil"/>
            </w:tcBorders>
            <w:shd w:val="clear" w:color="auto" w:fill="E5E9EB"/>
            <w:noWrap/>
            <w:vAlign w:val="center"/>
            <w:hideMark/>
          </w:tcPr>
          <w:p w14:paraId="1EE618B2" w14:textId="77777777" w:rsidR="00945C89" w:rsidRPr="008609D1" w:rsidRDefault="00945C89" w:rsidP="00945C89">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2" w:type="dxa"/>
            <w:tcBorders>
              <w:left w:val="nil"/>
              <w:right w:val="nil"/>
            </w:tcBorders>
            <w:noWrap/>
            <w:vAlign w:val="center"/>
            <w:hideMark/>
          </w:tcPr>
          <w:p w14:paraId="7C4E1763" w14:textId="77777777" w:rsidR="00945C89" w:rsidRPr="008609D1" w:rsidRDefault="00945C89" w:rsidP="00945C89">
            <w:pPr>
              <w:keepNext/>
              <w:keepLines/>
              <w:rPr>
                <w:rFonts w:ascii="ITC Avant Garde" w:eastAsia="Times New Roman" w:hAnsi="ITC Avant Garde" w:cs="Arial"/>
                <w:sz w:val="20"/>
                <w:lang w:val="es-ES" w:eastAsia="es-ES"/>
              </w:rPr>
            </w:pPr>
          </w:p>
        </w:tc>
        <w:tc>
          <w:tcPr>
            <w:tcW w:w="1343" w:type="dxa"/>
            <w:tcBorders>
              <w:left w:val="nil"/>
              <w:right w:val="nil"/>
            </w:tcBorders>
            <w:noWrap/>
            <w:vAlign w:val="center"/>
            <w:hideMark/>
          </w:tcPr>
          <w:p w14:paraId="5AE4300B" w14:textId="77777777" w:rsidR="00945C89" w:rsidRPr="008609D1" w:rsidRDefault="00945C89" w:rsidP="00945C89">
            <w:pPr>
              <w:keepNext/>
              <w:keepLines/>
              <w:spacing w:after="0"/>
              <w:rPr>
                <w:rFonts w:ascii="ITC Avant Garde" w:hAnsi="ITC Avant Garde"/>
                <w:sz w:val="20"/>
                <w:szCs w:val="20"/>
                <w:lang w:val="en-GB" w:eastAsia="en-GB"/>
              </w:rPr>
            </w:pPr>
          </w:p>
        </w:tc>
      </w:tr>
      <w:tr w:rsidR="00945C89" w:rsidRPr="008609D1" w14:paraId="13C72389" w14:textId="77777777" w:rsidTr="0052094D">
        <w:trPr>
          <w:trHeight w:val="397"/>
          <w:jc w:val="center"/>
        </w:trPr>
        <w:tc>
          <w:tcPr>
            <w:tcW w:w="2993" w:type="dxa"/>
            <w:tcBorders>
              <w:left w:val="nil"/>
              <w:right w:val="nil"/>
            </w:tcBorders>
            <w:shd w:val="clear" w:color="auto" w:fill="D0D1DB"/>
            <w:noWrap/>
            <w:vAlign w:val="center"/>
            <w:hideMark/>
          </w:tcPr>
          <w:p w14:paraId="3B40B247" w14:textId="77777777" w:rsidR="00945C89" w:rsidRPr="008609D1" w:rsidRDefault="00945C89" w:rsidP="00945C89">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Centrales internacionales</w:t>
            </w:r>
          </w:p>
        </w:tc>
        <w:tc>
          <w:tcPr>
            <w:tcW w:w="3300" w:type="dxa"/>
            <w:tcBorders>
              <w:left w:val="nil"/>
              <w:right w:val="nil"/>
            </w:tcBorders>
            <w:shd w:val="clear" w:color="auto" w:fill="E5E9EB"/>
            <w:noWrap/>
            <w:vAlign w:val="center"/>
            <w:hideMark/>
          </w:tcPr>
          <w:p w14:paraId="3C04168D" w14:textId="77777777" w:rsidR="00945C89" w:rsidRPr="008609D1" w:rsidRDefault="00945C89" w:rsidP="00945C89">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tráfico internacional</w:t>
            </w:r>
          </w:p>
        </w:tc>
        <w:tc>
          <w:tcPr>
            <w:tcW w:w="1342" w:type="dxa"/>
            <w:tcBorders>
              <w:left w:val="nil"/>
              <w:right w:val="nil"/>
            </w:tcBorders>
            <w:noWrap/>
            <w:vAlign w:val="center"/>
          </w:tcPr>
          <w:p w14:paraId="03E1E104" w14:textId="77777777" w:rsidR="00945C89" w:rsidRPr="008609D1" w:rsidRDefault="00945C89" w:rsidP="00945C89">
            <w:pPr>
              <w:keepNext/>
              <w:keepLines/>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14:paraId="0B81F600" w14:textId="77777777" w:rsidR="00945C89" w:rsidRPr="008609D1" w:rsidRDefault="00945C89" w:rsidP="00945C89">
            <w:pPr>
              <w:keepNext/>
              <w:keepLines/>
              <w:spacing w:before="40" w:after="40" w:line="240" w:lineRule="auto"/>
              <w:jc w:val="center"/>
              <w:rPr>
                <w:rFonts w:ascii="ITC Avant Garde" w:eastAsia="Times New Roman" w:hAnsi="ITC Avant Garde" w:cs="Arial"/>
                <w:sz w:val="20"/>
                <w:lang w:val="es-ES" w:eastAsia="es-ES"/>
              </w:rPr>
            </w:pPr>
          </w:p>
        </w:tc>
      </w:tr>
      <w:tr w:rsidR="00945C89" w:rsidRPr="008609D1" w14:paraId="60ADB767" w14:textId="77777777" w:rsidTr="0052094D">
        <w:trPr>
          <w:trHeight w:val="397"/>
          <w:jc w:val="center"/>
        </w:trPr>
        <w:tc>
          <w:tcPr>
            <w:tcW w:w="2993" w:type="dxa"/>
            <w:tcBorders>
              <w:left w:val="nil"/>
              <w:right w:val="nil"/>
            </w:tcBorders>
            <w:shd w:val="clear" w:color="auto" w:fill="D0D1DB"/>
            <w:noWrap/>
            <w:vAlign w:val="center"/>
            <w:hideMark/>
          </w:tcPr>
          <w:p w14:paraId="59AB07D3" w14:textId="77777777" w:rsidR="00945C89" w:rsidRPr="008609D1" w:rsidRDefault="00945C89" w:rsidP="00945C89">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Centrales internacionales</w:t>
            </w:r>
          </w:p>
        </w:tc>
        <w:tc>
          <w:tcPr>
            <w:tcW w:w="3300" w:type="dxa"/>
            <w:tcBorders>
              <w:left w:val="nil"/>
              <w:right w:val="nil"/>
            </w:tcBorders>
            <w:shd w:val="clear" w:color="auto" w:fill="E5E9EB"/>
            <w:noWrap/>
            <w:vAlign w:val="center"/>
            <w:hideMark/>
          </w:tcPr>
          <w:p w14:paraId="11580751" w14:textId="77777777" w:rsidR="00945C89" w:rsidRPr="008609D1" w:rsidRDefault="00945C89" w:rsidP="00945C89">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Originación de llamadas desde red fija a destinos internacionales</w:t>
            </w:r>
          </w:p>
        </w:tc>
        <w:tc>
          <w:tcPr>
            <w:tcW w:w="1342" w:type="dxa"/>
            <w:tcBorders>
              <w:left w:val="nil"/>
              <w:right w:val="nil"/>
            </w:tcBorders>
            <w:noWrap/>
            <w:vAlign w:val="center"/>
          </w:tcPr>
          <w:p w14:paraId="791D63D9" w14:textId="77777777" w:rsidR="00945C89" w:rsidRPr="008609D1" w:rsidRDefault="00945C89" w:rsidP="00945C89">
            <w:pPr>
              <w:keepNext/>
              <w:keepLines/>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14:paraId="778C6939" w14:textId="77777777" w:rsidR="00945C89" w:rsidRPr="008609D1" w:rsidRDefault="00945C89" w:rsidP="00945C89">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7347E5B9" w14:textId="77777777" w:rsidTr="0052094D">
        <w:trPr>
          <w:trHeight w:val="397"/>
          <w:jc w:val="center"/>
        </w:trPr>
        <w:tc>
          <w:tcPr>
            <w:tcW w:w="2993" w:type="dxa"/>
            <w:tcBorders>
              <w:left w:val="nil"/>
              <w:right w:val="nil"/>
            </w:tcBorders>
            <w:shd w:val="clear" w:color="auto" w:fill="D0D1DB"/>
            <w:noWrap/>
            <w:vAlign w:val="center"/>
            <w:hideMark/>
          </w:tcPr>
          <w:p w14:paraId="0361C276"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Centrales internacionales</w:t>
            </w:r>
          </w:p>
        </w:tc>
        <w:tc>
          <w:tcPr>
            <w:tcW w:w="3300" w:type="dxa"/>
            <w:tcBorders>
              <w:left w:val="nil"/>
              <w:right w:val="nil"/>
            </w:tcBorders>
            <w:shd w:val="clear" w:color="auto" w:fill="E5E9EB"/>
            <w:noWrap/>
            <w:vAlign w:val="center"/>
            <w:hideMark/>
          </w:tcPr>
          <w:p w14:paraId="586DECC0"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2" w:type="dxa"/>
            <w:tcBorders>
              <w:left w:val="nil"/>
              <w:right w:val="nil"/>
            </w:tcBorders>
            <w:noWrap/>
            <w:vAlign w:val="center"/>
          </w:tcPr>
          <w:p w14:paraId="0C207152"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343" w:type="dxa"/>
            <w:tcBorders>
              <w:left w:val="nil"/>
              <w:right w:val="nil"/>
            </w:tcBorders>
            <w:noWrap/>
            <w:vAlign w:val="center"/>
          </w:tcPr>
          <w:p w14:paraId="53A81C06"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5DBB8DB6" w14:textId="77777777" w:rsidTr="0052094D">
        <w:trPr>
          <w:trHeight w:val="397"/>
          <w:jc w:val="center"/>
        </w:trPr>
        <w:tc>
          <w:tcPr>
            <w:tcW w:w="2993" w:type="dxa"/>
            <w:tcBorders>
              <w:left w:val="nil"/>
              <w:bottom w:val="single" w:sz="4" w:space="0" w:color="244062"/>
              <w:right w:val="nil"/>
            </w:tcBorders>
            <w:shd w:val="clear" w:color="auto" w:fill="D0D1DB"/>
            <w:noWrap/>
            <w:vAlign w:val="center"/>
            <w:hideMark/>
          </w:tcPr>
          <w:p w14:paraId="2844D85A"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300" w:type="dxa"/>
            <w:tcBorders>
              <w:left w:val="nil"/>
              <w:bottom w:val="single" w:sz="4" w:space="0" w:color="244062"/>
              <w:right w:val="nil"/>
            </w:tcBorders>
            <w:shd w:val="clear" w:color="auto" w:fill="E5E9EB"/>
            <w:noWrap/>
            <w:vAlign w:val="center"/>
            <w:hideMark/>
          </w:tcPr>
          <w:p w14:paraId="742CCF22"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42" w:type="dxa"/>
            <w:tcBorders>
              <w:left w:val="nil"/>
              <w:bottom w:val="single" w:sz="4" w:space="0" w:color="244062"/>
              <w:right w:val="nil"/>
            </w:tcBorders>
            <w:noWrap/>
            <w:vAlign w:val="center"/>
          </w:tcPr>
          <w:p w14:paraId="76132E67"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343" w:type="dxa"/>
            <w:tcBorders>
              <w:left w:val="nil"/>
              <w:bottom w:val="single" w:sz="4" w:space="0" w:color="244062"/>
              <w:right w:val="nil"/>
            </w:tcBorders>
            <w:noWrap/>
            <w:vAlign w:val="center"/>
          </w:tcPr>
          <w:p w14:paraId="58E82AB7"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r>
    </w:tbl>
    <w:p w14:paraId="34B2E763" w14:textId="77777777" w:rsidR="00892164" w:rsidRPr="008609D1" w:rsidRDefault="005448D2" w:rsidP="00C431D6">
      <w:pPr>
        <w:pStyle w:val="A3L1"/>
      </w:pPr>
      <w:bookmarkStart w:id="186" w:name="_Ref477512949"/>
      <w:bookmarkStart w:id="187" w:name="_Toc477515033"/>
      <w:bookmarkStart w:id="188" w:name="_Toc478774517"/>
      <w:r w:rsidRPr="008609D1">
        <w:t>CARGOS DE TRANSFERENCIA</w:t>
      </w:r>
      <w:bookmarkEnd w:id="186"/>
      <w:bookmarkEnd w:id="187"/>
      <w:bookmarkEnd w:id="188"/>
    </w:p>
    <w:p w14:paraId="4E6383E0" w14:textId="77777777" w:rsidR="00892164" w:rsidRPr="008609D1" w:rsidRDefault="00892164" w:rsidP="00892164">
      <w:pPr>
        <w:pStyle w:val="Normalresolucion"/>
        <w:keepNext/>
        <w:keepLines/>
      </w:pPr>
      <w:r w:rsidRPr="008609D1">
        <w:t xml:space="preserve">El reporte de cargos de transferencia permite evidenciar el cumplimiento del principio de no discriminación en el Modelo de </w:t>
      </w:r>
      <w:r w:rsidR="00AC3FFE" w:rsidRPr="008609D1">
        <w:t>separación contable</w:t>
      </w:r>
      <w:r w:rsidRPr="008609D1">
        <w:t>. Esto es, que el concesionario no favorece al negocio propio sobre el de los otros operadores.</w:t>
      </w:r>
    </w:p>
    <w:p w14:paraId="5AC70A15" w14:textId="77777777" w:rsidR="00892164" w:rsidRPr="008609D1" w:rsidRDefault="00892164" w:rsidP="00892164">
      <w:pPr>
        <w:pStyle w:val="Normalresolucion"/>
      </w:pPr>
      <w:r w:rsidRPr="008609D1">
        <w:t>En el presente informe es necesario mostrar las asignaciones efectuadas entre el negocio mayorista y minorista, junto al cargo de transferencia utilizado y la metodología adoptada para su obtención.</w:t>
      </w:r>
    </w:p>
    <w:p w14:paraId="20DA9C13" w14:textId="6389D317" w:rsidR="00892164" w:rsidRPr="008609D1" w:rsidRDefault="00892164" w:rsidP="00892164">
      <w:pPr>
        <w:pStyle w:val="Normalresolucion"/>
      </w:pPr>
      <w:r w:rsidRPr="008609D1">
        <w:t xml:space="preserve">Estos cargos de transferencia deberán seguir el principio de causalidad y no discriminación. Del mismo modo, los concesionarios deberán seguir uno de los cuatro mecanismos expuestos en el </w:t>
      </w:r>
      <w:r w:rsidR="00363ADF">
        <w:t xml:space="preserve">Anexo 3 Sección 1 Principios, criterios y condiciones </w:t>
      </w:r>
      <w:r w:rsidRPr="008609D1">
        <w:t>(siguiendo</w:t>
      </w:r>
      <w:r w:rsidRPr="008609D1">
        <w:rPr>
          <w:rtl/>
        </w:rPr>
        <w:t xml:space="preserve"> </w:t>
      </w:r>
      <w:r w:rsidRPr="008609D1">
        <w:t>el orden de prioridad expresado en dicha sección) para</w:t>
      </w:r>
      <w:r w:rsidRPr="008609D1">
        <w:rPr>
          <w:rtl/>
        </w:rPr>
        <w:t xml:space="preserve"> </w:t>
      </w:r>
      <w:r w:rsidRPr="008609D1">
        <w:t>obtener el cargo de transferencia</w:t>
      </w:r>
      <w:r w:rsidR="00363ADF">
        <w:t xml:space="preserve"> aplicable </w:t>
      </w:r>
      <w:r w:rsidRPr="008609D1">
        <w:t>para asociar cada par de servicios minorista-mayorista.</w:t>
      </w:r>
    </w:p>
    <w:p w14:paraId="7DA25393" w14:textId="3495652D" w:rsidR="00892164" w:rsidRDefault="00892164" w:rsidP="00892164">
      <w:pPr>
        <w:pStyle w:val="Normalresolucion"/>
      </w:pPr>
      <w:r w:rsidRPr="008609D1">
        <w:lastRenderedPageBreak/>
        <w:t>A continuación se presenta el formato que deberán c</w:t>
      </w:r>
      <w:r w:rsidR="00317009">
        <w:t>ompl</w:t>
      </w:r>
      <w:r w:rsidRPr="008609D1">
        <w:t>etar los concesionarios para la presentación de los cargos de transferencia entre servicios minoristas y mayoristas.</w:t>
      </w:r>
    </w:p>
    <w:p w14:paraId="39155B2C" w14:textId="77777777" w:rsidR="005E47DD" w:rsidRPr="008609D1" w:rsidRDefault="005E47DD" w:rsidP="005E47DD">
      <w:pPr>
        <w:pStyle w:val="Descripcin"/>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15</w:t>
      </w:r>
      <w:r w:rsidRPr="008609D1">
        <w:rPr>
          <w:rFonts w:ascii="ITC Avant Garde" w:hAnsi="ITC Avant Garde"/>
          <w:iCs/>
          <w:sz w:val="20"/>
          <w:lang w:val="es-MX"/>
        </w:rPr>
        <w:fldChar w:fldCharType="end"/>
      </w:r>
      <w:r w:rsidRPr="008609D1">
        <w:rPr>
          <w:rFonts w:ascii="ITC Avant Garde" w:hAnsi="ITC Avant Garde"/>
          <w:iCs/>
          <w:sz w:val="20"/>
          <w:lang w:val="es-MX"/>
        </w:rPr>
        <w:t>: Aplicación de los cargos de transferencia entre las unidades minoristas y mayoristas del negocio</w:t>
      </w:r>
    </w:p>
    <w:tbl>
      <w:tblPr>
        <w:tblW w:w="56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48"/>
        <w:gridCol w:w="3298"/>
        <w:gridCol w:w="1300"/>
        <w:gridCol w:w="1014"/>
        <w:gridCol w:w="1800"/>
      </w:tblGrid>
      <w:tr w:rsidR="007304F5" w:rsidRPr="008609D1" w14:paraId="6D2C920B" w14:textId="77777777" w:rsidTr="000E069D">
        <w:trPr>
          <w:trHeight w:val="680"/>
          <w:jc w:val="center"/>
        </w:trPr>
        <w:tc>
          <w:tcPr>
            <w:tcW w:w="2694"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576D23F7"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Servicios minoristas</w:t>
            </w:r>
            <w:r w:rsidRPr="008609D1">
              <w:rPr>
                <w:rStyle w:val="Refdenotaalpie"/>
                <w:rFonts w:ascii="ITC Avant Garde" w:eastAsia="Times New Roman" w:hAnsi="ITC Avant Garde" w:cs="Arial"/>
                <w:b/>
                <w:color w:val="FFFFFF" w:themeColor="background1"/>
                <w:sz w:val="20"/>
                <w:lang w:val="es-ES" w:eastAsia="es-ES"/>
              </w:rPr>
              <w:footnoteReference w:id="74"/>
            </w:r>
          </w:p>
        </w:tc>
        <w:tc>
          <w:tcPr>
            <w:tcW w:w="3356"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1109946C"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Servicios mayoristas</w:t>
            </w:r>
            <w:r w:rsidRPr="008609D1">
              <w:rPr>
                <w:rStyle w:val="Refdenotaalpie"/>
                <w:rFonts w:ascii="ITC Avant Garde" w:eastAsia="Times New Roman" w:hAnsi="ITC Avant Garde" w:cs="Arial"/>
                <w:b/>
                <w:color w:val="FFFFFF" w:themeColor="background1"/>
                <w:sz w:val="20"/>
                <w:lang w:val="es-ES" w:eastAsia="es-ES"/>
              </w:rPr>
              <w:footnoteReference w:id="75"/>
            </w:r>
          </w:p>
        </w:tc>
        <w:tc>
          <w:tcPr>
            <w:tcW w:w="2351"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378FB6F8"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Cargo de transferencia empleado</w:t>
            </w:r>
          </w:p>
        </w:tc>
        <w:tc>
          <w:tcPr>
            <w:tcW w:w="1830" w:type="dxa"/>
            <w:vMerge w:val="restart"/>
            <w:tcBorders>
              <w:top w:val="nil"/>
              <w:left w:val="single" w:sz="4" w:space="0" w:color="FFFFFF" w:themeColor="background1"/>
              <w:bottom w:val="nil"/>
              <w:right w:val="single" w:sz="4" w:space="0" w:color="FFFFFF" w:themeColor="background1"/>
            </w:tcBorders>
            <w:shd w:val="clear" w:color="auto" w:fill="4F629B"/>
            <w:vAlign w:val="center"/>
            <w:hideMark/>
          </w:tcPr>
          <w:p w14:paraId="1F6B29BA"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Fuente empleada para su determinación</w:t>
            </w:r>
          </w:p>
        </w:tc>
      </w:tr>
      <w:tr w:rsidR="007304F5" w:rsidRPr="008609D1" w14:paraId="40B1CE62" w14:textId="77777777" w:rsidTr="000E069D">
        <w:trPr>
          <w:trHeight w:val="340"/>
          <w:jc w:val="center"/>
        </w:trPr>
        <w:tc>
          <w:tcPr>
            <w:tcW w:w="2694"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vAlign w:val="center"/>
            <w:hideMark/>
          </w:tcPr>
          <w:p w14:paraId="61EBA927" w14:textId="77777777" w:rsidR="00892164" w:rsidRPr="008609D1" w:rsidRDefault="00892164" w:rsidP="00D87E0B">
            <w:pPr>
              <w:keepNext/>
              <w:keepLines/>
              <w:spacing w:after="0"/>
              <w:rPr>
                <w:rFonts w:ascii="ITC Avant Garde" w:eastAsia="Times New Roman" w:hAnsi="ITC Avant Garde" w:cs="Arial"/>
                <w:b/>
                <w:sz w:val="20"/>
                <w:lang w:val="es-ES" w:eastAsia="es-ES"/>
              </w:rPr>
            </w:pPr>
          </w:p>
        </w:tc>
        <w:tc>
          <w:tcPr>
            <w:tcW w:w="3356" w:type="dxa"/>
            <w:vMerge/>
            <w:tcBorders>
              <w:top w:val="single" w:sz="4" w:space="0" w:color="FFFFFF" w:themeColor="background1"/>
              <w:left w:val="single" w:sz="4" w:space="0" w:color="FFFFFF" w:themeColor="background1"/>
              <w:bottom w:val="single" w:sz="4" w:space="0" w:color="244062"/>
              <w:right w:val="single" w:sz="4" w:space="0" w:color="FFFFFF" w:themeColor="background1"/>
            </w:tcBorders>
            <w:vAlign w:val="center"/>
            <w:hideMark/>
          </w:tcPr>
          <w:p w14:paraId="28C5326F" w14:textId="77777777" w:rsidR="00892164" w:rsidRPr="008609D1" w:rsidRDefault="00892164" w:rsidP="00D87E0B">
            <w:pPr>
              <w:keepNext/>
              <w:keepLines/>
              <w:spacing w:after="0"/>
              <w:rPr>
                <w:rFonts w:ascii="ITC Avant Garde" w:eastAsia="Times New Roman" w:hAnsi="ITC Avant Garde" w:cs="Arial"/>
                <w:b/>
                <w:sz w:val="20"/>
                <w:lang w:val="es-ES" w:eastAsia="es-ES"/>
              </w:rPr>
            </w:pPr>
          </w:p>
        </w:tc>
        <w:tc>
          <w:tcPr>
            <w:tcW w:w="1321"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302C8A11"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Año N-1</w:t>
            </w:r>
          </w:p>
        </w:tc>
        <w:tc>
          <w:tcPr>
            <w:tcW w:w="1030" w:type="dxa"/>
            <w:tcBorders>
              <w:top w:val="single" w:sz="4" w:space="0" w:color="FFFFFF" w:themeColor="background1"/>
              <w:left w:val="single" w:sz="4" w:space="0" w:color="FFFFFF" w:themeColor="background1"/>
              <w:bottom w:val="single" w:sz="4" w:space="0" w:color="244062"/>
              <w:right w:val="single" w:sz="4" w:space="0" w:color="FFFFFF" w:themeColor="background1"/>
            </w:tcBorders>
            <w:shd w:val="clear" w:color="auto" w:fill="4F629B"/>
            <w:vAlign w:val="center"/>
            <w:hideMark/>
          </w:tcPr>
          <w:p w14:paraId="37B97B6D" w14:textId="77777777" w:rsidR="00892164" w:rsidRPr="008609D1" w:rsidRDefault="00892164" w:rsidP="00D87E0B">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Año N</w:t>
            </w:r>
          </w:p>
        </w:tc>
        <w:tc>
          <w:tcPr>
            <w:tcW w:w="1830" w:type="dxa"/>
            <w:vMerge/>
            <w:tcBorders>
              <w:top w:val="nil"/>
              <w:left w:val="single" w:sz="4" w:space="0" w:color="FFFFFF" w:themeColor="background1"/>
              <w:bottom w:val="single" w:sz="4" w:space="0" w:color="244062"/>
            </w:tcBorders>
            <w:vAlign w:val="center"/>
            <w:hideMark/>
          </w:tcPr>
          <w:p w14:paraId="61C0E8DA" w14:textId="77777777" w:rsidR="00892164" w:rsidRPr="008609D1" w:rsidRDefault="00892164" w:rsidP="00D87E0B">
            <w:pPr>
              <w:keepNext/>
              <w:keepLines/>
              <w:spacing w:after="0"/>
              <w:rPr>
                <w:rFonts w:ascii="ITC Avant Garde" w:eastAsia="Times New Roman" w:hAnsi="ITC Avant Garde" w:cs="Arial"/>
                <w:b/>
                <w:sz w:val="20"/>
                <w:lang w:val="es-ES" w:eastAsia="es-ES"/>
              </w:rPr>
            </w:pPr>
          </w:p>
        </w:tc>
      </w:tr>
      <w:tr w:rsidR="007304F5" w:rsidRPr="008609D1" w14:paraId="01B94BEB" w14:textId="77777777" w:rsidTr="000E069D">
        <w:trPr>
          <w:trHeight w:val="510"/>
          <w:jc w:val="center"/>
        </w:trPr>
        <w:tc>
          <w:tcPr>
            <w:tcW w:w="2694" w:type="dxa"/>
            <w:tcBorders>
              <w:top w:val="single" w:sz="4" w:space="0" w:color="244062"/>
              <w:left w:val="nil"/>
              <w:right w:val="nil"/>
            </w:tcBorders>
            <w:shd w:val="clear" w:color="auto" w:fill="D0D1DB"/>
            <w:vAlign w:val="center"/>
            <w:hideMark/>
          </w:tcPr>
          <w:p w14:paraId="0047619E"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Renta básica por línea</w:t>
            </w:r>
          </w:p>
        </w:tc>
        <w:tc>
          <w:tcPr>
            <w:tcW w:w="3356" w:type="dxa"/>
            <w:tcBorders>
              <w:top w:val="single" w:sz="4" w:space="0" w:color="244062"/>
              <w:left w:val="nil"/>
              <w:right w:val="nil"/>
            </w:tcBorders>
            <w:shd w:val="clear" w:color="auto" w:fill="E5E9EB"/>
            <w:vAlign w:val="center"/>
            <w:hideMark/>
          </w:tcPr>
          <w:p w14:paraId="4D789FF9" w14:textId="77777777" w:rsidR="00892164" w:rsidRPr="008609D1" w:rsidRDefault="00892164" w:rsidP="00D87E0B">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reventa de línea telefónica (WLR)</w:t>
            </w:r>
          </w:p>
        </w:tc>
        <w:tc>
          <w:tcPr>
            <w:tcW w:w="1321" w:type="dxa"/>
            <w:tcBorders>
              <w:top w:val="single" w:sz="4" w:space="0" w:color="244062"/>
              <w:left w:val="nil"/>
              <w:right w:val="nil"/>
            </w:tcBorders>
            <w:vAlign w:val="center"/>
          </w:tcPr>
          <w:p w14:paraId="279DE86E" w14:textId="77777777" w:rsidR="00892164" w:rsidRPr="008609D1" w:rsidRDefault="00892164" w:rsidP="00D87E0B">
            <w:pPr>
              <w:keepNext/>
              <w:keepLines/>
              <w:spacing w:after="0" w:line="240" w:lineRule="auto"/>
              <w:jc w:val="center"/>
              <w:rPr>
                <w:rFonts w:ascii="ITC Avant Garde" w:eastAsia="Times New Roman" w:hAnsi="ITC Avant Garde" w:cs="Arial"/>
                <w:sz w:val="20"/>
                <w:lang w:val="es-ES" w:eastAsia="es-ES"/>
              </w:rPr>
            </w:pPr>
          </w:p>
        </w:tc>
        <w:tc>
          <w:tcPr>
            <w:tcW w:w="1030" w:type="dxa"/>
            <w:tcBorders>
              <w:top w:val="single" w:sz="4" w:space="0" w:color="244062"/>
              <w:left w:val="nil"/>
              <w:right w:val="nil"/>
            </w:tcBorders>
            <w:noWrap/>
            <w:vAlign w:val="center"/>
            <w:hideMark/>
          </w:tcPr>
          <w:p w14:paraId="6FEA8512" w14:textId="77777777" w:rsidR="00892164" w:rsidRPr="008609D1" w:rsidRDefault="00892164" w:rsidP="00D87E0B">
            <w:pPr>
              <w:keepNext/>
              <w:keepLines/>
              <w:rPr>
                <w:rFonts w:ascii="ITC Avant Garde" w:eastAsia="Times New Roman" w:hAnsi="ITC Avant Garde" w:cs="Arial"/>
                <w:sz w:val="20"/>
                <w:lang w:val="es-ES" w:eastAsia="es-ES"/>
              </w:rPr>
            </w:pPr>
          </w:p>
        </w:tc>
        <w:tc>
          <w:tcPr>
            <w:tcW w:w="1830" w:type="dxa"/>
            <w:tcBorders>
              <w:top w:val="single" w:sz="4" w:space="0" w:color="244062"/>
              <w:left w:val="nil"/>
              <w:right w:val="nil"/>
            </w:tcBorders>
            <w:noWrap/>
            <w:vAlign w:val="center"/>
            <w:hideMark/>
          </w:tcPr>
          <w:p w14:paraId="12FFFDD3" w14:textId="77777777" w:rsidR="00892164" w:rsidRPr="008609D1" w:rsidRDefault="00892164" w:rsidP="00D87E0B">
            <w:pPr>
              <w:keepNext/>
              <w:keepLines/>
              <w:spacing w:after="0"/>
              <w:rPr>
                <w:rFonts w:ascii="ITC Avant Garde" w:hAnsi="ITC Avant Garde"/>
                <w:sz w:val="20"/>
                <w:szCs w:val="20"/>
                <w:lang w:eastAsia="en-GB"/>
              </w:rPr>
            </w:pPr>
          </w:p>
        </w:tc>
      </w:tr>
      <w:tr w:rsidR="007304F5" w:rsidRPr="008609D1" w14:paraId="01C5EF65" w14:textId="77777777" w:rsidTr="000E069D">
        <w:trPr>
          <w:trHeight w:val="510"/>
          <w:jc w:val="center"/>
        </w:trPr>
        <w:tc>
          <w:tcPr>
            <w:tcW w:w="2694" w:type="dxa"/>
            <w:vMerge w:val="restart"/>
            <w:tcBorders>
              <w:left w:val="nil"/>
              <w:right w:val="nil"/>
            </w:tcBorders>
            <w:shd w:val="clear" w:color="auto" w:fill="D0D1DB"/>
            <w:vAlign w:val="center"/>
            <w:hideMark/>
          </w:tcPr>
          <w:p w14:paraId="3CA215B1"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fijo dentro de la red</w:t>
            </w:r>
          </w:p>
        </w:tc>
        <w:tc>
          <w:tcPr>
            <w:tcW w:w="3356" w:type="dxa"/>
            <w:tcBorders>
              <w:left w:val="nil"/>
              <w:right w:val="nil"/>
            </w:tcBorders>
            <w:shd w:val="clear" w:color="auto" w:fill="E5E9EB"/>
            <w:vAlign w:val="center"/>
            <w:hideMark/>
          </w:tcPr>
          <w:p w14:paraId="3126FE4C"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Originación de llamadas desde red fija a usuario</w:t>
            </w:r>
            <w:r w:rsidR="00680384" w:rsidRPr="008609D1">
              <w:rPr>
                <w:rFonts w:ascii="ITC Avant Garde" w:eastAsia="Times New Roman" w:hAnsi="ITC Avant Garde" w:cs="Arial"/>
                <w:sz w:val="20"/>
                <w:lang w:val="es-ES" w:eastAsia="es-ES"/>
              </w:rPr>
              <w:t>s</w:t>
            </w:r>
            <w:r w:rsidRPr="008609D1">
              <w:rPr>
                <w:rFonts w:ascii="ITC Avant Garde" w:eastAsia="Times New Roman" w:hAnsi="ITC Avant Garde" w:cs="Arial"/>
                <w:sz w:val="20"/>
                <w:lang w:val="es-ES" w:eastAsia="es-ES"/>
              </w:rPr>
              <w:t xml:space="preserve"> en red</w:t>
            </w:r>
            <w:r w:rsidR="00680384" w:rsidRPr="008609D1">
              <w:rPr>
                <w:rFonts w:ascii="ITC Avant Garde" w:eastAsia="Times New Roman" w:hAnsi="ITC Avant Garde" w:cs="Arial"/>
                <w:sz w:val="20"/>
                <w:lang w:val="es-ES" w:eastAsia="es-ES"/>
              </w:rPr>
              <w:t>es</w:t>
            </w:r>
            <w:r w:rsidRPr="008609D1">
              <w:rPr>
                <w:rFonts w:ascii="ITC Avant Garde" w:eastAsia="Times New Roman" w:hAnsi="ITC Avant Garde" w:cs="Arial"/>
                <w:sz w:val="20"/>
                <w:lang w:val="es-ES" w:eastAsia="es-ES"/>
              </w:rPr>
              <w:t xml:space="preserve"> fija</w:t>
            </w:r>
            <w:r w:rsidR="00680384" w:rsidRPr="008609D1">
              <w:rPr>
                <w:rFonts w:ascii="ITC Avant Garde" w:eastAsia="Times New Roman" w:hAnsi="ITC Avant Garde" w:cs="Arial"/>
                <w:sz w:val="20"/>
                <w:lang w:val="es-ES" w:eastAsia="es-ES"/>
              </w:rPr>
              <w:t>s</w:t>
            </w:r>
          </w:p>
        </w:tc>
        <w:tc>
          <w:tcPr>
            <w:tcW w:w="1321" w:type="dxa"/>
            <w:tcBorders>
              <w:left w:val="nil"/>
              <w:right w:val="nil"/>
            </w:tcBorders>
            <w:vAlign w:val="center"/>
          </w:tcPr>
          <w:p w14:paraId="3FF66FAB"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right w:val="nil"/>
            </w:tcBorders>
            <w:noWrap/>
            <w:vAlign w:val="center"/>
            <w:hideMark/>
          </w:tcPr>
          <w:p w14:paraId="6C26C697" w14:textId="77777777" w:rsidR="00892164" w:rsidRPr="008609D1" w:rsidRDefault="00892164" w:rsidP="00D87E0B">
            <w:pPr>
              <w:keepNext/>
              <w:keepLines/>
              <w:rPr>
                <w:rFonts w:ascii="ITC Avant Garde" w:eastAsia="Times New Roman" w:hAnsi="ITC Avant Garde" w:cs="Arial"/>
                <w:sz w:val="20"/>
                <w:lang w:val="es-ES" w:eastAsia="es-ES"/>
              </w:rPr>
            </w:pPr>
          </w:p>
        </w:tc>
        <w:tc>
          <w:tcPr>
            <w:tcW w:w="1830" w:type="dxa"/>
            <w:tcBorders>
              <w:left w:val="nil"/>
              <w:right w:val="nil"/>
            </w:tcBorders>
            <w:noWrap/>
            <w:vAlign w:val="center"/>
            <w:hideMark/>
          </w:tcPr>
          <w:p w14:paraId="269D7609" w14:textId="77777777" w:rsidR="00892164" w:rsidRPr="008609D1" w:rsidRDefault="00892164" w:rsidP="00D87E0B">
            <w:pPr>
              <w:keepNext/>
              <w:keepLines/>
              <w:spacing w:after="0"/>
              <w:rPr>
                <w:rFonts w:ascii="ITC Avant Garde" w:hAnsi="ITC Avant Garde"/>
                <w:sz w:val="20"/>
                <w:szCs w:val="20"/>
                <w:lang w:eastAsia="en-GB"/>
              </w:rPr>
            </w:pPr>
          </w:p>
        </w:tc>
      </w:tr>
      <w:tr w:rsidR="007304F5" w:rsidRPr="008609D1" w14:paraId="01EE469E" w14:textId="77777777" w:rsidTr="000E069D">
        <w:trPr>
          <w:trHeight w:val="510"/>
          <w:jc w:val="center"/>
        </w:trPr>
        <w:tc>
          <w:tcPr>
            <w:tcW w:w="2694" w:type="dxa"/>
            <w:vMerge/>
            <w:tcBorders>
              <w:left w:val="nil"/>
              <w:right w:val="nil"/>
            </w:tcBorders>
            <w:vAlign w:val="center"/>
            <w:hideMark/>
          </w:tcPr>
          <w:p w14:paraId="217DAB0B" w14:textId="77777777" w:rsidR="00892164" w:rsidRPr="008609D1" w:rsidRDefault="00892164" w:rsidP="00D87E0B">
            <w:pPr>
              <w:keepNext/>
              <w:keepLines/>
              <w:spacing w:after="0"/>
              <w:rPr>
                <w:rFonts w:ascii="ITC Avant Garde" w:eastAsia="Times New Roman" w:hAnsi="ITC Avant Garde" w:cs="Arial"/>
                <w:sz w:val="20"/>
                <w:lang w:val="es-ES" w:eastAsia="es-ES"/>
              </w:rPr>
            </w:pPr>
          </w:p>
        </w:tc>
        <w:tc>
          <w:tcPr>
            <w:tcW w:w="3356" w:type="dxa"/>
            <w:tcBorders>
              <w:left w:val="nil"/>
              <w:right w:val="nil"/>
            </w:tcBorders>
            <w:shd w:val="clear" w:color="auto" w:fill="E5E9EB"/>
            <w:vAlign w:val="center"/>
            <w:hideMark/>
          </w:tcPr>
          <w:p w14:paraId="6D17850F"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Terminación de llamadas entrantes de otros operadores fijos (en red fija)</w:t>
            </w:r>
          </w:p>
        </w:tc>
        <w:tc>
          <w:tcPr>
            <w:tcW w:w="1321" w:type="dxa"/>
            <w:tcBorders>
              <w:left w:val="nil"/>
              <w:right w:val="nil"/>
            </w:tcBorders>
            <w:vAlign w:val="center"/>
          </w:tcPr>
          <w:p w14:paraId="3A588CE8"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right w:val="nil"/>
            </w:tcBorders>
            <w:noWrap/>
            <w:vAlign w:val="center"/>
            <w:hideMark/>
          </w:tcPr>
          <w:p w14:paraId="72226EE1" w14:textId="77777777" w:rsidR="00892164" w:rsidRPr="008609D1" w:rsidRDefault="00892164" w:rsidP="00D87E0B">
            <w:pPr>
              <w:keepNext/>
              <w:keepLines/>
              <w:rPr>
                <w:rFonts w:ascii="ITC Avant Garde" w:eastAsia="Times New Roman" w:hAnsi="ITC Avant Garde" w:cs="Arial"/>
                <w:sz w:val="20"/>
                <w:lang w:val="es-ES" w:eastAsia="es-ES"/>
              </w:rPr>
            </w:pPr>
          </w:p>
        </w:tc>
        <w:tc>
          <w:tcPr>
            <w:tcW w:w="1830" w:type="dxa"/>
            <w:tcBorders>
              <w:left w:val="nil"/>
              <w:right w:val="nil"/>
            </w:tcBorders>
            <w:noWrap/>
            <w:vAlign w:val="center"/>
            <w:hideMark/>
          </w:tcPr>
          <w:p w14:paraId="2E049C55" w14:textId="77777777" w:rsidR="00892164" w:rsidRPr="008609D1" w:rsidRDefault="00892164" w:rsidP="00D87E0B">
            <w:pPr>
              <w:keepNext/>
              <w:keepLines/>
              <w:spacing w:after="0"/>
              <w:rPr>
                <w:rFonts w:ascii="ITC Avant Garde" w:hAnsi="ITC Avant Garde"/>
                <w:sz w:val="20"/>
                <w:szCs w:val="20"/>
                <w:lang w:eastAsia="en-GB"/>
              </w:rPr>
            </w:pPr>
          </w:p>
        </w:tc>
      </w:tr>
      <w:tr w:rsidR="007304F5" w:rsidRPr="008609D1" w14:paraId="30A0427F" w14:textId="77777777" w:rsidTr="000E069D">
        <w:trPr>
          <w:trHeight w:val="340"/>
          <w:jc w:val="center"/>
        </w:trPr>
        <w:tc>
          <w:tcPr>
            <w:tcW w:w="2694" w:type="dxa"/>
            <w:vMerge/>
            <w:tcBorders>
              <w:left w:val="nil"/>
              <w:right w:val="nil"/>
            </w:tcBorders>
            <w:vAlign w:val="center"/>
            <w:hideMark/>
          </w:tcPr>
          <w:p w14:paraId="2D17D7CB" w14:textId="77777777" w:rsidR="00892164" w:rsidRPr="008609D1" w:rsidRDefault="00892164" w:rsidP="00D87E0B">
            <w:pPr>
              <w:keepNext/>
              <w:keepLines/>
              <w:spacing w:after="0"/>
              <w:rPr>
                <w:rFonts w:ascii="ITC Avant Garde" w:eastAsia="Times New Roman" w:hAnsi="ITC Avant Garde" w:cs="Arial"/>
                <w:sz w:val="20"/>
                <w:lang w:val="es-ES" w:eastAsia="es-ES"/>
              </w:rPr>
            </w:pPr>
          </w:p>
        </w:tc>
        <w:tc>
          <w:tcPr>
            <w:tcW w:w="3356" w:type="dxa"/>
            <w:tcBorders>
              <w:left w:val="nil"/>
              <w:right w:val="nil"/>
            </w:tcBorders>
            <w:shd w:val="clear" w:color="auto" w:fill="E5E9EB"/>
            <w:vAlign w:val="center"/>
            <w:hideMark/>
          </w:tcPr>
          <w:p w14:paraId="06BE49AA"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Tránsito de voz</w:t>
            </w:r>
          </w:p>
        </w:tc>
        <w:tc>
          <w:tcPr>
            <w:tcW w:w="1321" w:type="dxa"/>
            <w:tcBorders>
              <w:left w:val="nil"/>
              <w:right w:val="nil"/>
            </w:tcBorders>
            <w:vAlign w:val="center"/>
          </w:tcPr>
          <w:p w14:paraId="4D1CAABE"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right w:val="nil"/>
            </w:tcBorders>
            <w:noWrap/>
            <w:vAlign w:val="center"/>
            <w:hideMark/>
          </w:tcPr>
          <w:p w14:paraId="5FCF0666" w14:textId="77777777" w:rsidR="00892164" w:rsidRPr="008609D1" w:rsidRDefault="00892164" w:rsidP="00D87E0B">
            <w:pPr>
              <w:keepNext/>
              <w:keepLines/>
              <w:rPr>
                <w:rFonts w:ascii="ITC Avant Garde" w:eastAsia="Times New Roman" w:hAnsi="ITC Avant Garde" w:cs="Arial"/>
                <w:sz w:val="20"/>
                <w:lang w:val="es-ES" w:eastAsia="es-ES"/>
              </w:rPr>
            </w:pPr>
          </w:p>
        </w:tc>
        <w:tc>
          <w:tcPr>
            <w:tcW w:w="1830" w:type="dxa"/>
            <w:tcBorders>
              <w:left w:val="nil"/>
              <w:right w:val="nil"/>
            </w:tcBorders>
            <w:noWrap/>
            <w:vAlign w:val="center"/>
            <w:hideMark/>
          </w:tcPr>
          <w:p w14:paraId="24356CEB" w14:textId="77777777" w:rsidR="00892164" w:rsidRPr="008609D1" w:rsidRDefault="00892164" w:rsidP="00D87E0B">
            <w:pPr>
              <w:keepNext/>
              <w:keepLines/>
              <w:spacing w:after="0"/>
              <w:rPr>
                <w:rFonts w:ascii="ITC Avant Garde" w:hAnsi="ITC Avant Garde"/>
                <w:sz w:val="20"/>
                <w:szCs w:val="20"/>
                <w:lang w:val="en-GB" w:eastAsia="en-GB"/>
              </w:rPr>
            </w:pPr>
          </w:p>
        </w:tc>
      </w:tr>
      <w:tr w:rsidR="007304F5" w:rsidRPr="008609D1" w14:paraId="7CF38652" w14:textId="77777777" w:rsidTr="000E069D">
        <w:trPr>
          <w:trHeight w:val="510"/>
          <w:jc w:val="center"/>
        </w:trPr>
        <w:tc>
          <w:tcPr>
            <w:tcW w:w="2694" w:type="dxa"/>
            <w:vMerge w:val="restart"/>
            <w:tcBorders>
              <w:left w:val="nil"/>
              <w:right w:val="nil"/>
            </w:tcBorders>
            <w:shd w:val="clear" w:color="auto" w:fill="D0D1DB"/>
            <w:vAlign w:val="center"/>
            <w:hideMark/>
          </w:tcPr>
          <w:p w14:paraId="0F23D4C9"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medido de voz saliente a fijo nacional fuera de la red</w:t>
            </w:r>
          </w:p>
        </w:tc>
        <w:tc>
          <w:tcPr>
            <w:tcW w:w="3356" w:type="dxa"/>
            <w:tcBorders>
              <w:left w:val="nil"/>
              <w:right w:val="nil"/>
            </w:tcBorders>
            <w:shd w:val="clear" w:color="auto" w:fill="E5E9EB"/>
            <w:vAlign w:val="center"/>
            <w:hideMark/>
          </w:tcPr>
          <w:p w14:paraId="6CA6E3E8" w14:textId="77777777" w:rsidR="00892164" w:rsidRPr="008609D1" w:rsidRDefault="00892164" w:rsidP="0068038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Originación de llamadas desde red fija a usuario en la propia red</w:t>
            </w:r>
          </w:p>
        </w:tc>
        <w:tc>
          <w:tcPr>
            <w:tcW w:w="1321" w:type="dxa"/>
            <w:tcBorders>
              <w:left w:val="nil"/>
              <w:right w:val="nil"/>
            </w:tcBorders>
            <w:vAlign w:val="center"/>
          </w:tcPr>
          <w:p w14:paraId="598220A8"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right w:val="nil"/>
            </w:tcBorders>
            <w:noWrap/>
            <w:vAlign w:val="center"/>
            <w:hideMark/>
          </w:tcPr>
          <w:p w14:paraId="702BC417" w14:textId="77777777" w:rsidR="00892164" w:rsidRPr="008609D1" w:rsidRDefault="00892164" w:rsidP="00D87E0B">
            <w:pPr>
              <w:keepNext/>
              <w:keepLines/>
              <w:rPr>
                <w:rFonts w:ascii="ITC Avant Garde" w:eastAsia="Times New Roman" w:hAnsi="ITC Avant Garde" w:cs="Arial"/>
                <w:sz w:val="20"/>
                <w:lang w:val="es-ES" w:eastAsia="es-ES"/>
              </w:rPr>
            </w:pPr>
          </w:p>
        </w:tc>
        <w:tc>
          <w:tcPr>
            <w:tcW w:w="1830" w:type="dxa"/>
            <w:tcBorders>
              <w:left w:val="nil"/>
              <w:right w:val="nil"/>
            </w:tcBorders>
            <w:noWrap/>
            <w:vAlign w:val="center"/>
            <w:hideMark/>
          </w:tcPr>
          <w:p w14:paraId="5A0E983F" w14:textId="77777777" w:rsidR="00892164" w:rsidRPr="008609D1" w:rsidRDefault="00892164" w:rsidP="00D87E0B">
            <w:pPr>
              <w:keepNext/>
              <w:keepLines/>
              <w:spacing w:after="0"/>
              <w:rPr>
                <w:rFonts w:ascii="ITC Avant Garde" w:hAnsi="ITC Avant Garde"/>
                <w:sz w:val="20"/>
                <w:szCs w:val="20"/>
                <w:lang w:eastAsia="en-GB"/>
              </w:rPr>
            </w:pPr>
          </w:p>
        </w:tc>
      </w:tr>
      <w:tr w:rsidR="007304F5" w:rsidRPr="008609D1" w14:paraId="7D99A28F" w14:textId="77777777" w:rsidTr="000E069D">
        <w:trPr>
          <w:trHeight w:val="340"/>
          <w:jc w:val="center"/>
        </w:trPr>
        <w:tc>
          <w:tcPr>
            <w:tcW w:w="2694" w:type="dxa"/>
            <w:vMerge/>
            <w:tcBorders>
              <w:left w:val="nil"/>
              <w:right w:val="nil"/>
            </w:tcBorders>
            <w:vAlign w:val="center"/>
            <w:hideMark/>
          </w:tcPr>
          <w:p w14:paraId="2574E509" w14:textId="77777777" w:rsidR="00892164" w:rsidRPr="008609D1" w:rsidRDefault="00892164" w:rsidP="00D87E0B">
            <w:pPr>
              <w:keepNext/>
              <w:keepLines/>
              <w:spacing w:after="0"/>
              <w:rPr>
                <w:rFonts w:ascii="ITC Avant Garde" w:eastAsia="Times New Roman" w:hAnsi="ITC Avant Garde" w:cs="Arial"/>
                <w:sz w:val="20"/>
                <w:lang w:val="es-ES" w:eastAsia="es-ES"/>
              </w:rPr>
            </w:pPr>
          </w:p>
        </w:tc>
        <w:tc>
          <w:tcPr>
            <w:tcW w:w="3356" w:type="dxa"/>
            <w:tcBorders>
              <w:left w:val="nil"/>
              <w:right w:val="nil"/>
            </w:tcBorders>
            <w:shd w:val="clear" w:color="auto" w:fill="E5E9EB"/>
            <w:vAlign w:val="center"/>
            <w:hideMark/>
          </w:tcPr>
          <w:p w14:paraId="10835DD1"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Tránsito de voz</w:t>
            </w:r>
          </w:p>
        </w:tc>
        <w:tc>
          <w:tcPr>
            <w:tcW w:w="1321" w:type="dxa"/>
            <w:tcBorders>
              <w:left w:val="nil"/>
              <w:right w:val="nil"/>
            </w:tcBorders>
            <w:vAlign w:val="center"/>
          </w:tcPr>
          <w:p w14:paraId="1AB2E2B6"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right w:val="nil"/>
            </w:tcBorders>
            <w:noWrap/>
            <w:vAlign w:val="center"/>
            <w:hideMark/>
          </w:tcPr>
          <w:p w14:paraId="5BB0140B" w14:textId="77777777" w:rsidR="00892164" w:rsidRPr="008609D1" w:rsidRDefault="00892164" w:rsidP="00D87E0B">
            <w:pPr>
              <w:keepNext/>
              <w:keepLines/>
              <w:rPr>
                <w:rFonts w:ascii="ITC Avant Garde" w:eastAsia="Times New Roman" w:hAnsi="ITC Avant Garde" w:cs="Arial"/>
                <w:sz w:val="20"/>
                <w:lang w:val="es-ES" w:eastAsia="es-ES"/>
              </w:rPr>
            </w:pPr>
          </w:p>
        </w:tc>
        <w:tc>
          <w:tcPr>
            <w:tcW w:w="1830" w:type="dxa"/>
            <w:tcBorders>
              <w:left w:val="nil"/>
              <w:right w:val="nil"/>
            </w:tcBorders>
            <w:noWrap/>
            <w:vAlign w:val="center"/>
            <w:hideMark/>
          </w:tcPr>
          <w:p w14:paraId="0CFDBF1E" w14:textId="77777777" w:rsidR="00892164" w:rsidRPr="008609D1" w:rsidRDefault="00892164" w:rsidP="00D87E0B">
            <w:pPr>
              <w:keepNext/>
              <w:keepLines/>
              <w:spacing w:after="0"/>
              <w:rPr>
                <w:rFonts w:ascii="ITC Avant Garde" w:hAnsi="ITC Avant Garde"/>
                <w:sz w:val="20"/>
                <w:szCs w:val="20"/>
                <w:lang w:val="en-GB" w:eastAsia="en-GB"/>
              </w:rPr>
            </w:pPr>
          </w:p>
        </w:tc>
      </w:tr>
      <w:tr w:rsidR="007304F5" w:rsidRPr="008609D1" w14:paraId="5C233C53" w14:textId="77777777" w:rsidTr="000E069D">
        <w:trPr>
          <w:trHeight w:val="510"/>
          <w:jc w:val="center"/>
        </w:trPr>
        <w:tc>
          <w:tcPr>
            <w:tcW w:w="2694" w:type="dxa"/>
            <w:vMerge w:val="restart"/>
            <w:tcBorders>
              <w:left w:val="nil"/>
              <w:right w:val="nil"/>
            </w:tcBorders>
            <w:shd w:val="clear" w:color="auto" w:fill="D0D1DB"/>
            <w:vAlign w:val="center"/>
            <w:hideMark/>
          </w:tcPr>
          <w:p w14:paraId="09FE3ECA"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Servicios de voz saliente a móviles nacionales</w:t>
            </w:r>
          </w:p>
        </w:tc>
        <w:tc>
          <w:tcPr>
            <w:tcW w:w="3356" w:type="dxa"/>
            <w:tcBorders>
              <w:left w:val="nil"/>
              <w:right w:val="nil"/>
            </w:tcBorders>
            <w:shd w:val="clear" w:color="auto" w:fill="E5E9EB"/>
            <w:vAlign w:val="center"/>
            <w:hideMark/>
          </w:tcPr>
          <w:p w14:paraId="79BB8227"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Originación de llamadas desde red fija a usuario</w:t>
            </w:r>
            <w:r w:rsidR="0043129D" w:rsidRPr="008609D1">
              <w:rPr>
                <w:rFonts w:ascii="ITC Avant Garde" w:eastAsia="Times New Roman" w:hAnsi="ITC Avant Garde" w:cs="Arial"/>
                <w:sz w:val="20"/>
                <w:lang w:val="es-ES" w:eastAsia="es-ES"/>
              </w:rPr>
              <w:t>s</w:t>
            </w:r>
            <w:r w:rsidRPr="008609D1">
              <w:rPr>
                <w:rFonts w:ascii="ITC Avant Garde" w:eastAsia="Times New Roman" w:hAnsi="ITC Avant Garde" w:cs="Arial"/>
                <w:sz w:val="20"/>
                <w:lang w:val="es-ES" w:eastAsia="es-ES"/>
              </w:rPr>
              <w:t xml:space="preserve"> en red</w:t>
            </w:r>
            <w:r w:rsidR="0043129D" w:rsidRPr="008609D1">
              <w:rPr>
                <w:rFonts w:ascii="ITC Avant Garde" w:eastAsia="Times New Roman" w:hAnsi="ITC Avant Garde" w:cs="Arial"/>
                <w:sz w:val="20"/>
                <w:lang w:val="es-ES" w:eastAsia="es-ES"/>
              </w:rPr>
              <w:t>es</w:t>
            </w:r>
            <w:r w:rsidRPr="008609D1">
              <w:rPr>
                <w:rFonts w:ascii="ITC Avant Garde" w:eastAsia="Times New Roman" w:hAnsi="ITC Avant Garde" w:cs="Arial"/>
                <w:sz w:val="20"/>
                <w:lang w:val="es-ES" w:eastAsia="es-ES"/>
              </w:rPr>
              <w:t xml:space="preserve"> móvil</w:t>
            </w:r>
            <w:r w:rsidR="0043129D" w:rsidRPr="008609D1">
              <w:rPr>
                <w:rFonts w:ascii="ITC Avant Garde" w:eastAsia="Times New Roman" w:hAnsi="ITC Avant Garde" w:cs="Arial"/>
                <w:sz w:val="20"/>
                <w:lang w:val="es-ES" w:eastAsia="es-ES"/>
              </w:rPr>
              <w:t>es</w:t>
            </w:r>
          </w:p>
        </w:tc>
        <w:tc>
          <w:tcPr>
            <w:tcW w:w="1321" w:type="dxa"/>
            <w:tcBorders>
              <w:left w:val="nil"/>
              <w:right w:val="nil"/>
            </w:tcBorders>
            <w:vAlign w:val="center"/>
          </w:tcPr>
          <w:p w14:paraId="297D09E8"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right w:val="nil"/>
            </w:tcBorders>
            <w:noWrap/>
            <w:vAlign w:val="center"/>
            <w:hideMark/>
          </w:tcPr>
          <w:p w14:paraId="3CF1C6F3" w14:textId="77777777" w:rsidR="00892164" w:rsidRPr="008609D1" w:rsidRDefault="00892164" w:rsidP="00D87E0B">
            <w:pPr>
              <w:keepNext/>
              <w:keepLines/>
              <w:rPr>
                <w:rFonts w:ascii="ITC Avant Garde" w:eastAsia="Times New Roman" w:hAnsi="ITC Avant Garde" w:cs="Arial"/>
                <w:sz w:val="20"/>
                <w:lang w:val="es-ES" w:eastAsia="es-ES"/>
              </w:rPr>
            </w:pPr>
          </w:p>
        </w:tc>
        <w:tc>
          <w:tcPr>
            <w:tcW w:w="1830" w:type="dxa"/>
            <w:tcBorders>
              <w:left w:val="nil"/>
              <w:right w:val="nil"/>
            </w:tcBorders>
            <w:noWrap/>
            <w:vAlign w:val="center"/>
            <w:hideMark/>
          </w:tcPr>
          <w:p w14:paraId="226A1E90" w14:textId="77777777" w:rsidR="00892164" w:rsidRPr="008609D1" w:rsidRDefault="00892164" w:rsidP="00D87E0B">
            <w:pPr>
              <w:keepNext/>
              <w:keepLines/>
              <w:spacing w:after="0"/>
              <w:rPr>
                <w:rFonts w:ascii="ITC Avant Garde" w:hAnsi="ITC Avant Garde"/>
                <w:sz w:val="20"/>
                <w:szCs w:val="20"/>
                <w:lang w:eastAsia="en-GB"/>
              </w:rPr>
            </w:pPr>
          </w:p>
        </w:tc>
      </w:tr>
      <w:tr w:rsidR="007304F5" w:rsidRPr="008609D1" w14:paraId="48223EF0" w14:textId="77777777" w:rsidTr="000E069D">
        <w:trPr>
          <w:trHeight w:val="340"/>
          <w:jc w:val="center"/>
        </w:trPr>
        <w:tc>
          <w:tcPr>
            <w:tcW w:w="2694" w:type="dxa"/>
            <w:vMerge/>
            <w:tcBorders>
              <w:left w:val="nil"/>
              <w:right w:val="nil"/>
            </w:tcBorders>
            <w:vAlign w:val="center"/>
            <w:hideMark/>
          </w:tcPr>
          <w:p w14:paraId="4ECE16F7" w14:textId="77777777" w:rsidR="00892164" w:rsidRPr="008609D1" w:rsidRDefault="00892164" w:rsidP="00D87E0B">
            <w:pPr>
              <w:keepNext/>
              <w:keepLines/>
              <w:spacing w:after="0"/>
              <w:rPr>
                <w:rFonts w:ascii="ITC Avant Garde" w:eastAsia="Times New Roman" w:hAnsi="ITC Avant Garde" w:cs="Arial"/>
                <w:sz w:val="20"/>
                <w:lang w:val="es-ES" w:eastAsia="es-ES"/>
              </w:rPr>
            </w:pPr>
          </w:p>
        </w:tc>
        <w:tc>
          <w:tcPr>
            <w:tcW w:w="3356" w:type="dxa"/>
            <w:tcBorders>
              <w:left w:val="nil"/>
              <w:right w:val="nil"/>
            </w:tcBorders>
            <w:shd w:val="clear" w:color="auto" w:fill="E5E9EB"/>
            <w:vAlign w:val="center"/>
            <w:hideMark/>
          </w:tcPr>
          <w:p w14:paraId="5353E143"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Tránsito de voz</w:t>
            </w:r>
          </w:p>
        </w:tc>
        <w:tc>
          <w:tcPr>
            <w:tcW w:w="1321" w:type="dxa"/>
            <w:tcBorders>
              <w:left w:val="nil"/>
              <w:right w:val="nil"/>
            </w:tcBorders>
            <w:vAlign w:val="center"/>
          </w:tcPr>
          <w:p w14:paraId="53F5B7E2"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right w:val="nil"/>
            </w:tcBorders>
            <w:noWrap/>
            <w:vAlign w:val="center"/>
            <w:hideMark/>
          </w:tcPr>
          <w:p w14:paraId="149C2C33" w14:textId="77777777" w:rsidR="00892164" w:rsidRPr="008609D1" w:rsidRDefault="00892164" w:rsidP="00D87E0B">
            <w:pPr>
              <w:keepNext/>
              <w:keepLines/>
              <w:rPr>
                <w:rFonts w:ascii="ITC Avant Garde" w:eastAsia="Times New Roman" w:hAnsi="ITC Avant Garde" w:cs="Arial"/>
                <w:sz w:val="20"/>
                <w:lang w:val="es-ES" w:eastAsia="es-ES"/>
              </w:rPr>
            </w:pPr>
          </w:p>
        </w:tc>
        <w:tc>
          <w:tcPr>
            <w:tcW w:w="1830" w:type="dxa"/>
            <w:tcBorders>
              <w:left w:val="nil"/>
              <w:right w:val="nil"/>
            </w:tcBorders>
            <w:noWrap/>
            <w:vAlign w:val="center"/>
            <w:hideMark/>
          </w:tcPr>
          <w:p w14:paraId="465864DD" w14:textId="77777777" w:rsidR="00892164" w:rsidRPr="008609D1" w:rsidRDefault="00892164" w:rsidP="00D87E0B">
            <w:pPr>
              <w:keepNext/>
              <w:keepLines/>
              <w:spacing w:after="0"/>
              <w:rPr>
                <w:rFonts w:ascii="ITC Avant Garde" w:hAnsi="ITC Avant Garde"/>
                <w:sz w:val="20"/>
                <w:szCs w:val="20"/>
                <w:lang w:val="en-GB" w:eastAsia="en-GB"/>
              </w:rPr>
            </w:pPr>
          </w:p>
        </w:tc>
      </w:tr>
      <w:tr w:rsidR="007304F5" w:rsidRPr="008609D1" w14:paraId="03625C31" w14:textId="77777777" w:rsidTr="000E069D">
        <w:trPr>
          <w:trHeight w:val="510"/>
          <w:jc w:val="center"/>
        </w:trPr>
        <w:tc>
          <w:tcPr>
            <w:tcW w:w="2694" w:type="dxa"/>
            <w:tcBorders>
              <w:left w:val="nil"/>
              <w:right w:val="nil"/>
            </w:tcBorders>
            <w:shd w:val="clear" w:color="auto" w:fill="D0D1DB"/>
            <w:vAlign w:val="center"/>
            <w:hideMark/>
          </w:tcPr>
          <w:p w14:paraId="64D5500E"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Datos (Acceso a Internet de banda ancha) residencial</w:t>
            </w:r>
          </w:p>
        </w:tc>
        <w:tc>
          <w:tcPr>
            <w:tcW w:w="3356" w:type="dxa"/>
            <w:tcBorders>
              <w:left w:val="nil"/>
              <w:right w:val="nil"/>
            </w:tcBorders>
            <w:shd w:val="clear" w:color="auto" w:fill="E5E9EB"/>
            <w:vAlign w:val="center"/>
            <w:hideMark/>
          </w:tcPr>
          <w:p w14:paraId="666D253D"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Servicio de reventa de Internet</w:t>
            </w:r>
          </w:p>
        </w:tc>
        <w:tc>
          <w:tcPr>
            <w:tcW w:w="1321" w:type="dxa"/>
            <w:tcBorders>
              <w:left w:val="nil"/>
              <w:right w:val="nil"/>
            </w:tcBorders>
            <w:vAlign w:val="center"/>
          </w:tcPr>
          <w:p w14:paraId="043A948B"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right w:val="nil"/>
            </w:tcBorders>
            <w:noWrap/>
            <w:vAlign w:val="center"/>
            <w:hideMark/>
          </w:tcPr>
          <w:p w14:paraId="566143E1" w14:textId="77777777" w:rsidR="00892164" w:rsidRPr="008609D1" w:rsidRDefault="00892164" w:rsidP="00D87E0B">
            <w:pPr>
              <w:keepNext/>
              <w:keepLines/>
              <w:rPr>
                <w:rFonts w:ascii="ITC Avant Garde" w:eastAsia="Times New Roman" w:hAnsi="ITC Avant Garde" w:cs="Arial"/>
                <w:sz w:val="20"/>
                <w:lang w:val="es-ES" w:eastAsia="es-ES"/>
              </w:rPr>
            </w:pPr>
          </w:p>
        </w:tc>
        <w:tc>
          <w:tcPr>
            <w:tcW w:w="1830" w:type="dxa"/>
            <w:tcBorders>
              <w:left w:val="nil"/>
              <w:right w:val="nil"/>
            </w:tcBorders>
            <w:noWrap/>
            <w:vAlign w:val="center"/>
            <w:hideMark/>
          </w:tcPr>
          <w:p w14:paraId="6C75EF18" w14:textId="77777777" w:rsidR="00892164" w:rsidRPr="008609D1" w:rsidRDefault="00892164" w:rsidP="00D87E0B">
            <w:pPr>
              <w:keepNext/>
              <w:keepLines/>
              <w:spacing w:after="0"/>
              <w:rPr>
                <w:rFonts w:ascii="ITC Avant Garde" w:hAnsi="ITC Avant Garde"/>
                <w:sz w:val="20"/>
                <w:szCs w:val="20"/>
                <w:lang w:eastAsia="en-GB"/>
              </w:rPr>
            </w:pPr>
          </w:p>
        </w:tc>
      </w:tr>
      <w:tr w:rsidR="007304F5" w:rsidRPr="008609D1" w14:paraId="6B1BF4C3" w14:textId="77777777" w:rsidTr="000E069D">
        <w:trPr>
          <w:trHeight w:val="510"/>
          <w:jc w:val="center"/>
        </w:trPr>
        <w:tc>
          <w:tcPr>
            <w:tcW w:w="2694" w:type="dxa"/>
            <w:tcBorders>
              <w:left w:val="nil"/>
              <w:bottom w:val="single" w:sz="4" w:space="0" w:color="244062"/>
              <w:right w:val="nil"/>
            </w:tcBorders>
            <w:shd w:val="clear" w:color="auto" w:fill="D0D1DB"/>
            <w:vAlign w:val="center"/>
            <w:hideMark/>
          </w:tcPr>
          <w:p w14:paraId="6F7769A3"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3356" w:type="dxa"/>
            <w:tcBorders>
              <w:left w:val="nil"/>
              <w:bottom w:val="single" w:sz="4" w:space="0" w:color="244062"/>
              <w:right w:val="nil"/>
            </w:tcBorders>
            <w:shd w:val="clear" w:color="auto" w:fill="E5E9EB"/>
            <w:vAlign w:val="center"/>
            <w:hideMark/>
          </w:tcPr>
          <w:p w14:paraId="531C8800" w14:textId="77777777" w:rsidR="00892164" w:rsidRPr="008609D1" w:rsidRDefault="00892164" w:rsidP="00D87E0B">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21" w:type="dxa"/>
            <w:tcBorders>
              <w:left w:val="nil"/>
              <w:bottom w:val="single" w:sz="4" w:space="0" w:color="244062"/>
              <w:right w:val="nil"/>
            </w:tcBorders>
            <w:vAlign w:val="center"/>
          </w:tcPr>
          <w:p w14:paraId="089A5686"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030" w:type="dxa"/>
            <w:tcBorders>
              <w:left w:val="nil"/>
              <w:bottom w:val="single" w:sz="4" w:space="0" w:color="244062"/>
              <w:right w:val="nil"/>
            </w:tcBorders>
            <w:noWrap/>
            <w:vAlign w:val="center"/>
          </w:tcPr>
          <w:p w14:paraId="23F60316"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830" w:type="dxa"/>
            <w:tcBorders>
              <w:left w:val="nil"/>
              <w:bottom w:val="single" w:sz="4" w:space="0" w:color="244062"/>
              <w:right w:val="nil"/>
            </w:tcBorders>
            <w:noWrap/>
            <w:vAlign w:val="center"/>
          </w:tcPr>
          <w:p w14:paraId="2FE12382"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r>
    </w:tbl>
    <w:p w14:paraId="01E6EF4E" w14:textId="77777777" w:rsidR="00892164" w:rsidRPr="008609D1" w:rsidRDefault="005448D2" w:rsidP="00C431D6">
      <w:pPr>
        <w:pStyle w:val="A3L1"/>
      </w:pPr>
      <w:bookmarkStart w:id="189" w:name="_Ref477512957"/>
      <w:bookmarkStart w:id="190" w:name="_Toc477515034"/>
      <w:bookmarkStart w:id="191" w:name="_Toc478774518"/>
      <w:r w:rsidRPr="008609D1">
        <w:t>ESTADO DE LA PLANTA DEL OPERADOR</w:t>
      </w:r>
      <w:bookmarkEnd w:id="189"/>
      <w:bookmarkEnd w:id="190"/>
      <w:bookmarkEnd w:id="191"/>
    </w:p>
    <w:p w14:paraId="137730BF" w14:textId="77777777" w:rsidR="00892164" w:rsidRPr="008609D1" w:rsidRDefault="00892164" w:rsidP="00892164">
      <w:pPr>
        <w:pStyle w:val="Normalresolucion"/>
      </w:pPr>
      <w:r w:rsidRPr="008609D1">
        <w:t>En esta sección se incluyen los reportes relativos a la información de la planta de activos de los concesionarios.</w:t>
      </w:r>
    </w:p>
    <w:p w14:paraId="5E95C5B6" w14:textId="77777777" w:rsidR="00892164" w:rsidRPr="008609D1" w:rsidRDefault="00892164" w:rsidP="00892164">
      <w:pPr>
        <w:pStyle w:val="Normalresolucion"/>
      </w:pPr>
      <w:r w:rsidRPr="008609D1">
        <w:t>Concretamente, se solicitan los siguientes tres rubros de información:</w:t>
      </w:r>
    </w:p>
    <w:p w14:paraId="32CEBC0C" w14:textId="77777777" w:rsidR="00892164" w:rsidRPr="008609D1" w:rsidRDefault="00892164" w:rsidP="00892164">
      <w:pPr>
        <w:pStyle w:val="Indentadoresolucin"/>
      </w:pPr>
      <w:r w:rsidRPr="008609D1">
        <w:lastRenderedPageBreak/>
        <w:t>Información detallada por activo</w:t>
      </w:r>
    </w:p>
    <w:p w14:paraId="4010E589" w14:textId="77777777" w:rsidR="00892164" w:rsidRPr="008609D1" w:rsidRDefault="00892164" w:rsidP="00892164">
      <w:pPr>
        <w:pStyle w:val="Indentadoresolucin"/>
      </w:pPr>
      <w:r w:rsidRPr="008609D1">
        <w:t>Actividad inversora (y desinversora) por activo</w:t>
      </w:r>
    </w:p>
    <w:p w14:paraId="6342960E" w14:textId="77777777" w:rsidR="00892164" w:rsidRPr="008609D1" w:rsidRDefault="00892164" w:rsidP="00892164">
      <w:pPr>
        <w:pStyle w:val="Indentadoresolucin"/>
      </w:pPr>
      <w:r w:rsidRPr="008609D1">
        <w:t xml:space="preserve">Informe de valoración a costos </w:t>
      </w:r>
    </w:p>
    <w:p w14:paraId="0C837666" w14:textId="77777777" w:rsidR="00892164" w:rsidRPr="008609D1" w:rsidRDefault="00892164" w:rsidP="007304F5">
      <w:pPr>
        <w:pStyle w:val="A3L2"/>
      </w:pPr>
      <w:bookmarkStart w:id="192" w:name="_Toc475468524"/>
      <w:bookmarkStart w:id="193" w:name="_Toc477515035"/>
      <w:bookmarkStart w:id="194" w:name="_Toc478774519"/>
      <w:r w:rsidRPr="008609D1">
        <w:t>Información detallada por activo</w:t>
      </w:r>
      <w:bookmarkEnd w:id="192"/>
      <w:bookmarkEnd w:id="193"/>
      <w:bookmarkEnd w:id="194"/>
    </w:p>
    <w:p w14:paraId="2A61DC55" w14:textId="77777777" w:rsidR="00892164" w:rsidRDefault="00892164" w:rsidP="008003B3">
      <w:pPr>
        <w:pStyle w:val="Normalresolucion"/>
        <w:keepNext/>
        <w:keepLines/>
      </w:pPr>
      <w:r w:rsidRPr="008609D1">
        <w:t>El siguiente formato deberá contener los principales parámetros contables por cuentas de activo (las cuales deberá</w:t>
      </w:r>
      <w:r w:rsidR="00317009">
        <w:t>n</w:t>
      </w:r>
      <w:r w:rsidRPr="008609D1">
        <w:t xml:space="preserve"> responder a la desagregación mínima de las cuentas de “Costos asociados al capital” de Nivel 1 indicada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5144E2" w:rsidRPr="008609D1">
        <w:rPr>
          <w:rFonts w:hint="eastAsia"/>
          <w:cs/>
        </w:rPr>
        <w:t>‎</w:t>
      </w:r>
      <w:r w:rsidR="005144E2" w:rsidRPr="008609D1">
        <w:t>2.2</w:t>
      </w:r>
      <w:r w:rsidRPr="008609D1">
        <w:fldChar w:fldCharType="end"/>
      </w:r>
      <w:r w:rsidRPr="008609D1">
        <w:t xml:space="preserve"> del Anexo </w:t>
      </w:r>
      <w:r w:rsidR="004B3901" w:rsidRPr="008609D1">
        <w:t>3</w:t>
      </w:r>
      <w:r w:rsidRPr="008609D1">
        <w:t>).</w:t>
      </w:r>
    </w:p>
    <w:p w14:paraId="3CA73FDB" w14:textId="62573F25" w:rsidR="0041411A" w:rsidRPr="008609D1" w:rsidRDefault="0041411A" w:rsidP="00154F13">
      <w:pPr>
        <w:pStyle w:val="Descripcin"/>
        <w:keepNext/>
        <w:keepLines/>
        <w:spacing w:after="240" w:line="240" w:lineRule="auto"/>
      </w:pPr>
      <w:r w:rsidRPr="008609D1">
        <w:rPr>
          <w:rFonts w:ascii="ITC Avant Garde" w:hAnsi="ITC Avant Garde"/>
          <w:iCs/>
          <w:sz w:val="20"/>
          <w:lang w:val="es-MX"/>
        </w:rPr>
        <w:t>Formato A5.</w:t>
      </w:r>
      <w:r w:rsidRPr="008609D1">
        <w:rPr>
          <w:rFonts w:ascii="ITC Avant Garde" w:hAnsi="ITC Avant Garde"/>
          <w:b w:val="0"/>
          <w:bCs w:val="0"/>
          <w:iCs/>
          <w:sz w:val="20"/>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b w:val="0"/>
          <w:bCs w:val="0"/>
          <w:iCs/>
          <w:sz w:val="20"/>
        </w:rPr>
        <w:fldChar w:fldCharType="separate"/>
      </w:r>
      <w:r w:rsidRPr="008609D1">
        <w:rPr>
          <w:rFonts w:ascii="ITC Avant Garde" w:hAnsi="ITC Avant Garde"/>
          <w:iCs/>
          <w:noProof/>
          <w:sz w:val="20"/>
          <w:lang w:val="es-MX"/>
        </w:rPr>
        <w:t>16</w:t>
      </w:r>
      <w:r w:rsidRPr="008609D1">
        <w:rPr>
          <w:rFonts w:ascii="ITC Avant Garde" w:hAnsi="ITC Avant Garde"/>
          <w:b w:val="0"/>
          <w:bCs w:val="0"/>
          <w:iCs/>
          <w:sz w:val="20"/>
        </w:rPr>
        <w:fldChar w:fldCharType="end"/>
      </w:r>
      <w:r w:rsidRPr="008609D1">
        <w:rPr>
          <w:rFonts w:ascii="ITC Avant Garde" w:hAnsi="ITC Avant Garde"/>
          <w:iCs/>
          <w:sz w:val="20"/>
          <w:lang w:val="es-MX"/>
        </w:rPr>
        <w:t>: Información detallada por categoría de activo</w:t>
      </w:r>
    </w:p>
    <w:tbl>
      <w:tblPr>
        <w:tblpPr w:leftFromText="141" w:rightFromText="141" w:vertAnchor="text" w:tblpXSpec="center" w:tblpY="1"/>
        <w:tblOverlap w:val="never"/>
        <w:tblW w:w="66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7"/>
        <w:gridCol w:w="709"/>
        <w:gridCol w:w="709"/>
        <w:gridCol w:w="837"/>
        <w:gridCol w:w="14"/>
        <w:gridCol w:w="838"/>
        <w:gridCol w:w="37"/>
        <w:gridCol w:w="1239"/>
        <w:gridCol w:w="14"/>
        <w:gridCol w:w="992"/>
        <w:gridCol w:w="14"/>
        <w:gridCol w:w="1107"/>
        <w:gridCol w:w="14"/>
        <w:gridCol w:w="1417"/>
        <w:gridCol w:w="993"/>
      </w:tblGrid>
      <w:tr w:rsidR="007304F5" w:rsidRPr="008609D1" w14:paraId="1C84A0A0" w14:textId="77777777" w:rsidTr="00154F13">
        <w:trPr>
          <w:trHeight w:val="828"/>
        </w:trPr>
        <w:tc>
          <w:tcPr>
            <w:tcW w:w="2880" w:type="dxa"/>
            <w:tcBorders>
              <w:top w:val="nil"/>
              <w:left w:val="single" w:sz="4" w:space="0" w:color="FFFFFF" w:themeColor="background1"/>
              <w:bottom w:val="nil"/>
              <w:right w:val="single" w:sz="4" w:space="0" w:color="FFFFFF" w:themeColor="background1"/>
            </w:tcBorders>
            <w:shd w:val="clear" w:color="auto" w:fill="4F629B"/>
            <w:vAlign w:val="center"/>
            <w:hideMark/>
          </w:tcPr>
          <w:p w14:paraId="074E61FA" w14:textId="77777777" w:rsidR="001B660D" w:rsidRPr="00154F13" w:rsidRDefault="001B660D" w:rsidP="0041411A">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154F13">
              <w:rPr>
                <w:rFonts w:ascii="ITC Avant Garde" w:eastAsia="Times New Roman" w:hAnsi="ITC Avant Garde" w:cs="Arial"/>
                <w:b/>
                <w:color w:val="FFFFFF" w:themeColor="background1"/>
                <w:sz w:val="18"/>
                <w:lang w:val="es-ES" w:eastAsia="es-ES"/>
              </w:rPr>
              <w:t>Categoría de activo</w:t>
            </w:r>
            <w:r w:rsidRPr="00154F13">
              <w:rPr>
                <w:rFonts w:ascii="ITC Avant Garde" w:eastAsia="Times New Roman" w:hAnsi="ITC Avant Garde" w:cs="Arial"/>
                <w:b/>
                <w:color w:val="FFFFFF" w:themeColor="background1"/>
                <w:sz w:val="18"/>
                <w:vertAlign w:val="superscript"/>
                <w:lang w:val="es-ES" w:eastAsia="es-ES"/>
              </w:rPr>
              <w:footnoteReference w:id="76"/>
            </w:r>
          </w:p>
        </w:tc>
        <w:tc>
          <w:tcPr>
            <w:tcW w:w="720" w:type="dxa"/>
            <w:tcBorders>
              <w:top w:val="nil"/>
              <w:left w:val="single" w:sz="4" w:space="0" w:color="FFFFFF" w:themeColor="background1"/>
              <w:bottom w:val="nil"/>
              <w:right w:val="single" w:sz="4" w:space="0" w:color="FFFFFF" w:themeColor="background1"/>
            </w:tcBorders>
            <w:shd w:val="clear" w:color="auto" w:fill="4F629B"/>
            <w:vAlign w:val="center"/>
          </w:tcPr>
          <w:p w14:paraId="65117707" w14:textId="77777777" w:rsidR="001B660D" w:rsidRPr="00154F13" w:rsidRDefault="001B660D" w:rsidP="0041411A">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154F13">
              <w:rPr>
                <w:rFonts w:ascii="ITC Avant Garde" w:eastAsia="Times New Roman" w:hAnsi="ITC Avant Garde" w:cs="Arial"/>
                <w:b/>
                <w:color w:val="FFFFFF" w:themeColor="background1"/>
                <w:sz w:val="18"/>
                <w:lang w:val="es-ES" w:eastAsia="es-ES"/>
              </w:rPr>
              <w:t>Vida útil</w:t>
            </w:r>
          </w:p>
        </w:tc>
        <w:tc>
          <w:tcPr>
            <w:tcW w:w="720" w:type="dxa"/>
            <w:tcBorders>
              <w:top w:val="nil"/>
              <w:left w:val="single" w:sz="4" w:space="0" w:color="FFFFFF" w:themeColor="background1"/>
              <w:bottom w:val="nil"/>
              <w:right w:val="single" w:sz="4" w:space="0" w:color="FFFFFF" w:themeColor="background1"/>
            </w:tcBorders>
            <w:shd w:val="clear" w:color="auto" w:fill="4F629B"/>
            <w:vAlign w:val="center"/>
            <w:hideMark/>
          </w:tcPr>
          <w:p w14:paraId="6A10451F" w14:textId="77777777" w:rsidR="001B660D" w:rsidRPr="00154F13" w:rsidRDefault="001B660D" w:rsidP="0041411A">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154F13">
              <w:rPr>
                <w:rFonts w:ascii="ITC Avant Garde" w:eastAsia="Times New Roman" w:hAnsi="ITC Avant Garde" w:cs="Arial"/>
                <w:b/>
                <w:color w:val="FFFFFF" w:themeColor="background1"/>
                <w:sz w:val="18"/>
                <w:lang w:val="es-ES" w:eastAsia="es-ES"/>
              </w:rPr>
              <w:t>Valor bruto</w:t>
            </w:r>
          </w:p>
        </w:tc>
        <w:tc>
          <w:tcPr>
            <w:tcW w:w="864" w:type="dxa"/>
            <w:gridSpan w:val="2"/>
            <w:tcBorders>
              <w:top w:val="nil"/>
              <w:left w:val="single" w:sz="4" w:space="0" w:color="FFFFFF" w:themeColor="background1"/>
              <w:bottom w:val="nil"/>
              <w:right w:val="single" w:sz="4" w:space="0" w:color="FFFFFF" w:themeColor="background1"/>
            </w:tcBorders>
            <w:shd w:val="clear" w:color="auto" w:fill="4F629B"/>
            <w:vAlign w:val="center"/>
            <w:hideMark/>
          </w:tcPr>
          <w:p w14:paraId="0D38A097" w14:textId="77777777" w:rsidR="001B660D" w:rsidRPr="00154F13" w:rsidRDefault="001B660D" w:rsidP="0041411A">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154F13">
              <w:rPr>
                <w:rFonts w:ascii="ITC Avant Garde" w:eastAsia="Times New Roman" w:hAnsi="ITC Avant Garde" w:cs="Arial"/>
                <w:b/>
                <w:color w:val="FFFFFF" w:themeColor="background1"/>
                <w:sz w:val="18"/>
                <w:lang w:val="es-ES" w:eastAsia="es-ES"/>
              </w:rPr>
              <w:t xml:space="preserve">Valor neto </w:t>
            </w:r>
          </w:p>
        </w:tc>
        <w:tc>
          <w:tcPr>
            <w:tcW w:w="889" w:type="dxa"/>
            <w:gridSpan w:val="2"/>
            <w:tcBorders>
              <w:top w:val="nil"/>
              <w:left w:val="single" w:sz="4" w:space="0" w:color="FFFFFF" w:themeColor="background1"/>
              <w:bottom w:val="nil"/>
              <w:right w:val="single" w:sz="4" w:space="0" w:color="FFFFFF" w:themeColor="background1"/>
            </w:tcBorders>
            <w:shd w:val="clear" w:color="auto" w:fill="4F629B"/>
            <w:vAlign w:val="center"/>
            <w:hideMark/>
          </w:tcPr>
          <w:p w14:paraId="50756AAA" w14:textId="77777777" w:rsidR="001B660D" w:rsidRPr="00154F13" w:rsidRDefault="001B660D" w:rsidP="0041411A">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154F13">
              <w:rPr>
                <w:rFonts w:ascii="ITC Avant Garde" w:eastAsia="Times New Roman" w:hAnsi="ITC Avant Garde" w:cs="Arial"/>
                <w:b/>
                <w:color w:val="FFFFFF" w:themeColor="background1"/>
                <w:sz w:val="18"/>
                <w:lang w:val="es-ES" w:eastAsia="es-ES"/>
              </w:rPr>
              <w:t>Amort.</w:t>
            </w:r>
            <w:r w:rsidRPr="00154F13">
              <w:rPr>
                <w:rStyle w:val="Refdenotaalpie"/>
                <w:rFonts w:ascii="ITC Avant Garde" w:eastAsia="Times New Roman" w:hAnsi="ITC Avant Garde" w:cs="Arial"/>
                <w:b/>
                <w:color w:val="FFFFFF" w:themeColor="background1"/>
                <w:sz w:val="18"/>
                <w:lang w:val="es-ES" w:eastAsia="es-ES"/>
              </w:rPr>
              <w:footnoteReference w:id="77"/>
            </w:r>
          </w:p>
        </w:tc>
        <w:tc>
          <w:tcPr>
            <w:tcW w:w="1274" w:type="dxa"/>
            <w:gridSpan w:val="2"/>
            <w:tcBorders>
              <w:top w:val="nil"/>
              <w:left w:val="single" w:sz="4" w:space="0" w:color="FFFFFF" w:themeColor="background1"/>
              <w:bottom w:val="nil"/>
              <w:right w:val="single" w:sz="4" w:space="0" w:color="FFFFFF" w:themeColor="background1"/>
            </w:tcBorders>
            <w:shd w:val="clear" w:color="auto" w:fill="4F629B"/>
            <w:vAlign w:val="center"/>
            <w:hideMark/>
          </w:tcPr>
          <w:p w14:paraId="4389E33C" w14:textId="77777777" w:rsidR="001B660D" w:rsidRPr="00154F13" w:rsidRDefault="001B660D" w:rsidP="0041411A">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154F13">
              <w:rPr>
                <w:rFonts w:ascii="ITC Avant Garde" w:eastAsia="Times New Roman" w:hAnsi="ITC Avant Garde" w:cs="Arial"/>
                <w:b/>
                <w:color w:val="FFFFFF" w:themeColor="background1"/>
                <w:sz w:val="18"/>
                <w:lang w:val="es-ES" w:eastAsia="es-ES"/>
              </w:rPr>
              <w:t>Planta totalmente amortizada</w:t>
            </w:r>
          </w:p>
        </w:tc>
        <w:tc>
          <w:tcPr>
            <w:tcW w:w="1022" w:type="dxa"/>
            <w:gridSpan w:val="2"/>
            <w:tcBorders>
              <w:top w:val="nil"/>
              <w:left w:val="single" w:sz="4" w:space="0" w:color="FFFFFF" w:themeColor="background1"/>
              <w:bottom w:val="nil"/>
              <w:right w:val="single" w:sz="4" w:space="0" w:color="FFFFFF" w:themeColor="background1"/>
            </w:tcBorders>
            <w:shd w:val="clear" w:color="auto" w:fill="4F629B"/>
            <w:vAlign w:val="center"/>
            <w:hideMark/>
          </w:tcPr>
          <w:p w14:paraId="1BDF48B8" w14:textId="77777777" w:rsidR="001B660D" w:rsidRPr="00154F13" w:rsidRDefault="001B660D" w:rsidP="0041411A">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154F13">
              <w:rPr>
                <w:rFonts w:ascii="ITC Avant Garde" w:eastAsia="Times New Roman" w:hAnsi="ITC Avant Garde" w:cs="Arial"/>
                <w:b/>
                <w:color w:val="FFFFFF" w:themeColor="background1"/>
                <w:sz w:val="18"/>
                <w:lang w:val="es-ES" w:eastAsia="es-ES"/>
              </w:rPr>
              <w:t>Depr. Supl.</w:t>
            </w:r>
            <w:r w:rsidRPr="00154F13">
              <w:rPr>
                <w:rStyle w:val="Refdenotaalpie"/>
                <w:rFonts w:ascii="ITC Avant Garde" w:eastAsia="Times New Roman" w:hAnsi="ITC Avant Garde" w:cs="Arial"/>
                <w:b/>
                <w:color w:val="FFFFFF" w:themeColor="background1"/>
                <w:sz w:val="18"/>
                <w:lang w:val="es-ES" w:eastAsia="es-ES"/>
              </w:rPr>
              <w:footnoteReference w:id="78"/>
            </w:r>
          </w:p>
        </w:tc>
        <w:tc>
          <w:tcPr>
            <w:tcW w:w="1140" w:type="dxa"/>
            <w:gridSpan w:val="2"/>
            <w:tcBorders>
              <w:top w:val="nil"/>
              <w:left w:val="single" w:sz="4" w:space="0" w:color="FFFFFF" w:themeColor="background1"/>
              <w:bottom w:val="nil"/>
              <w:right w:val="single" w:sz="4" w:space="0" w:color="FFFFFF" w:themeColor="background1"/>
            </w:tcBorders>
            <w:shd w:val="clear" w:color="auto" w:fill="4F629B"/>
            <w:vAlign w:val="center"/>
            <w:hideMark/>
          </w:tcPr>
          <w:p w14:paraId="5FF57F1A" w14:textId="77777777" w:rsidR="001B660D" w:rsidRPr="00154F13" w:rsidRDefault="001B660D" w:rsidP="0041411A">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154F13">
              <w:rPr>
                <w:rFonts w:ascii="ITC Avant Garde" w:eastAsia="Times New Roman" w:hAnsi="ITC Avant Garde" w:cs="Arial"/>
                <w:b/>
                <w:color w:val="FFFFFF" w:themeColor="background1"/>
                <w:sz w:val="18"/>
                <w:lang w:val="es-ES" w:eastAsia="es-ES"/>
              </w:rPr>
              <w:t>Ganancias/</w:t>
            </w:r>
            <w:r w:rsidRPr="00154F13">
              <w:rPr>
                <w:rFonts w:ascii="ITC Avant Garde" w:eastAsia="Times New Roman" w:hAnsi="ITC Avant Garde" w:cs="Arial"/>
                <w:b/>
                <w:color w:val="FFFFFF" w:themeColor="background1"/>
                <w:sz w:val="18"/>
                <w:lang w:val="es-ES" w:eastAsia="es-ES"/>
              </w:rPr>
              <w:br/>
              <w:t>Pérdidas posesión</w:t>
            </w:r>
          </w:p>
        </w:tc>
        <w:tc>
          <w:tcPr>
            <w:tcW w:w="1442" w:type="dxa"/>
            <w:tcBorders>
              <w:top w:val="nil"/>
              <w:left w:val="single" w:sz="4" w:space="0" w:color="FFFFFF" w:themeColor="background1"/>
              <w:bottom w:val="nil"/>
              <w:right w:val="single" w:sz="4" w:space="0" w:color="FFFFFF" w:themeColor="background1"/>
            </w:tcBorders>
            <w:shd w:val="clear" w:color="auto" w:fill="4F629B"/>
            <w:vAlign w:val="center"/>
            <w:hideMark/>
          </w:tcPr>
          <w:p w14:paraId="6819F47D" w14:textId="77777777" w:rsidR="001B660D" w:rsidRPr="00154F13" w:rsidRDefault="001B660D" w:rsidP="0041411A">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154F13">
              <w:rPr>
                <w:rFonts w:ascii="ITC Avant Garde" w:eastAsia="Times New Roman" w:hAnsi="ITC Avant Garde" w:cs="Arial"/>
                <w:b/>
                <w:color w:val="FFFFFF" w:themeColor="background1"/>
                <w:sz w:val="18"/>
                <w:lang w:val="es-ES" w:eastAsia="es-ES"/>
              </w:rPr>
              <w:t>Cargos de depreciación</w:t>
            </w:r>
          </w:p>
        </w:tc>
        <w:tc>
          <w:tcPr>
            <w:tcW w:w="1009" w:type="dxa"/>
            <w:tcBorders>
              <w:top w:val="nil"/>
              <w:left w:val="single" w:sz="4" w:space="0" w:color="FFFFFF" w:themeColor="background1"/>
              <w:bottom w:val="nil"/>
              <w:right w:val="single" w:sz="4" w:space="0" w:color="FFFFFF" w:themeColor="background1"/>
            </w:tcBorders>
            <w:shd w:val="clear" w:color="auto" w:fill="4F629B"/>
            <w:vAlign w:val="center"/>
          </w:tcPr>
          <w:p w14:paraId="46C55CC4" w14:textId="77777777" w:rsidR="001B660D" w:rsidRPr="00154F13" w:rsidRDefault="001B660D" w:rsidP="0041411A">
            <w:pPr>
              <w:keepNext/>
              <w:keepLines/>
              <w:spacing w:before="40" w:after="40" w:line="240" w:lineRule="auto"/>
              <w:jc w:val="center"/>
              <w:rPr>
                <w:rFonts w:ascii="ITC Avant Garde" w:eastAsia="Times New Roman" w:hAnsi="ITC Avant Garde" w:cs="Arial"/>
                <w:b/>
                <w:color w:val="FFFFFF" w:themeColor="background1"/>
                <w:sz w:val="18"/>
                <w:lang w:val="es-ES" w:eastAsia="es-ES"/>
              </w:rPr>
            </w:pPr>
            <w:r w:rsidRPr="00154F13">
              <w:rPr>
                <w:rFonts w:ascii="ITC Avant Garde" w:eastAsia="Times New Roman" w:hAnsi="ITC Avant Garde" w:cs="Arial"/>
                <w:b/>
                <w:color w:val="FFFFFF" w:themeColor="background1"/>
                <w:sz w:val="18"/>
                <w:lang w:val="es-ES" w:eastAsia="es-ES"/>
              </w:rPr>
              <w:t>Costo de capital</w:t>
            </w:r>
          </w:p>
        </w:tc>
      </w:tr>
      <w:tr w:rsidR="007304F5" w:rsidRPr="008609D1" w14:paraId="38326B7F" w14:textId="77777777" w:rsidTr="00154F13">
        <w:trPr>
          <w:trHeight w:val="310"/>
        </w:trPr>
        <w:tc>
          <w:tcPr>
            <w:tcW w:w="2880" w:type="dxa"/>
            <w:tcBorders>
              <w:top w:val="single" w:sz="4" w:space="0" w:color="244062"/>
              <w:left w:val="nil"/>
              <w:right w:val="nil"/>
            </w:tcBorders>
            <w:shd w:val="clear" w:color="auto" w:fill="E5E9EB"/>
            <w:noWrap/>
            <w:vAlign w:val="center"/>
            <w:hideMark/>
          </w:tcPr>
          <w:p w14:paraId="2712D04D" w14:textId="77777777" w:rsidR="001B660D" w:rsidRPr="008609D1" w:rsidRDefault="001B660D" w:rsidP="0041411A">
            <w:pPr>
              <w:keepNext/>
              <w:keepLines/>
              <w:spacing w:before="40" w:after="40" w:line="240" w:lineRule="auto"/>
              <w:rPr>
                <w:rFonts w:ascii="ITC Avant Garde" w:hAnsi="ITC Avant Garde"/>
                <w:b/>
                <w:sz w:val="20"/>
                <w:lang w:val="es-ES"/>
              </w:rPr>
            </w:pPr>
            <w:r w:rsidRPr="008609D1">
              <w:rPr>
                <w:rFonts w:ascii="ITC Avant Garde" w:hAnsi="ITC Avant Garde"/>
                <w:b/>
                <w:sz w:val="20"/>
                <w:lang w:val="es-ES"/>
              </w:rPr>
              <w:t>Activos Intangibles</w:t>
            </w:r>
          </w:p>
        </w:tc>
        <w:tc>
          <w:tcPr>
            <w:tcW w:w="720" w:type="dxa"/>
            <w:tcBorders>
              <w:top w:val="single" w:sz="4" w:space="0" w:color="244062"/>
              <w:left w:val="nil"/>
              <w:right w:val="nil"/>
            </w:tcBorders>
            <w:shd w:val="clear" w:color="auto" w:fill="E5E9EB"/>
          </w:tcPr>
          <w:p w14:paraId="17CDD9F7"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top w:val="single" w:sz="4" w:space="0" w:color="244062"/>
              <w:left w:val="nil"/>
              <w:right w:val="nil"/>
            </w:tcBorders>
            <w:shd w:val="clear" w:color="auto" w:fill="E5E9EB"/>
            <w:vAlign w:val="center"/>
          </w:tcPr>
          <w:p w14:paraId="4F2F90DA"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top w:val="single" w:sz="4" w:space="0" w:color="244062"/>
              <w:left w:val="nil"/>
              <w:right w:val="nil"/>
            </w:tcBorders>
            <w:shd w:val="clear" w:color="auto" w:fill="E5E9EB"/>
            <w:noWrap/>
            <w:vAlign w:val="center"/>
            <w:hideMark/>
          </w:tcPr>
          <w:p w14:paraId="6ED4D6E8" w14:textId="77777777" w:rsidR="001B660D" w:rsidRPr="008609D1" w:rsidRDefault="001B660D" w:rsidP="0041411A">
            <w:pPr>
              <w:keepNext/>
              <w:keepLines/>
              <w:rPr>
                <w:rFonts w:ascii="ITC Avant Garde" w:hAnsi="ITC Avant Garde"/>
                <w:sz w:val="20"/>
                <w:lang w:val="es-ES"/>
              </w:rPr>
            </w:pPr>
          </w:p>
        </w:tc>
        <w:tc>
          <w:tcPr>
            <w:tcW w:w="865" w:type="dxa"/>
            <w:gridSpan w:val="2"/>
            <w:tcBorders>
              <w:top w:val="single" w:sz="4" w:space="0" w:color="244062"/>
              <w:left w:val="nil"/>
              <w:right w:val="nil"/>
            </w:tcBorders>
            <w:shd w:val="clear" w:color="auto" w:fill="E5E9EB"/>
            <w:noWrap/>
            <w:vAlign w:val="center"/>
            <w:hideMark/>
          </w:tcPr>
          <w:p w14:paraId="764568B5" w14:textId="77777777" w:rsidR="001B660D" w:rsidRPr="008609D1" w:rsidRDefault="001B660D" w:rsidP="0041411A">
            <w:pPr>
              <w:keepNext/>
              <w:keepLines/>
              <w:spacing w:after="0"/>
              <w:rPr>
                <w:rFonts w:ascii="ITC Avant Garde" w:hAnsi="ITC Avant Garde"/>
                <w:sz w:val="20"/>
                <w:szCs w:val="20"/>
                <w:lang w:val="en-GB" w:eastAsia="en-GB"/>
              </w:rPr>
            </w:pPr>
          </w:p>
        </w:tc>
        <w:tc>
          <w:tcPr>
            <w:tcW w:w="1298" w:type="dxa"/>
            <w:gridSpan w:val="2"/>
            <w:tcBorders>
              <w:top w:val="single" w:sz="4" w:space="0" w:color="244062"/>
              <w:left w:val="nil"/>
              <w:right w:val="nil"/>
            </w:tcBorders>
            <w:shd w:val="clear" w:color="auto" w:fill="E5E9EB"/>
            <w:noWrap/>
            <w:vAlign w:val="center"/>
            <w:hideMark/>
          </w:tcPr>
          <w:p w14:paraId="5FCECD48" w14:textId="77777777" w:rsidR="001B660D" w:rsidRPr="008609D1" w:rsidRDefault="001B660D" w:rsidP="0041411A">
            <w:pPr>
              <w:keepNext/>
              <w:keepLines/>
              <w:spacing w:after="0"/>
              <w:rPr>
                <w:rFonts w:ascii="ITC Avant Garde" w:hAnsi="ITC Avant Garde"/>
                <w:sz w:val="20"/>
                <w:lang w:val="en-GB"/>
              </w:rPr>
            </w:pPr>
          </w:p>
        </w:tc>
        <w:tc>
          <w:tcPr>
            <w:tcW w:w="1022" w:type="dxa"/>
            <w:gridSpan w:val="2"/>
            <w:tcBorders>
              <w:top w:val="single" w:sz="4" w:space="0" w:color="244062"/>
              <w:left w:val="nil"/>
              <w:right w:val="nil"/>
            </w:tcBorders>
            <w:shd w:val="clear" w:color="auto" w:fill="E5E9EB"/>
            <w:vAlign w:val="center"/>
          </w:tcPr>
          <w:p w14:paraId="1BA621CB"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top w:val="single" w:sz="4" w:space="0" w:color="244062"/>
              <w:left w:val="nil"/>
              <w:right w:val="nil"/>
            </w:tcBorders>
            <w:shd w:val="clear" w:color="auto" w:fill="E5E9EB"/>
            <w:vAlign w:val="center"/>
          </w:tcPr>
          <w:p w14:paraId="4F6B2C08"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top w:val="single" w:sz="4" w:space="0" w:color="244062"/>
              <w:left w:val="nil"/>
              <w:right w:val="nil"/>
            </w:tcBorders>
            <w:shd w:val="clear" w:color="auto" w:fill="E5E9EB"/>
            <w:vAlign w:val="center"/>
          </w:tcPr>
          <w:p w14:paraId="5D850D17"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top w:val="single" w:sz="4" w:space="0" w:color="244062"/>
              <w:left w:val="nil"/>
              <w:right w:val="nil"/>
            </w:tcBorders>
            <w:shd w:val="clear" w:color="auto" w:fill="E5E9EB"/>
          </w:tcPr>
          <w:p w14:paraId="5454118F"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47A40870" w14:textId="77777777" w:rsidTr="00154F13">
        <w:trPr>
          <w:trHeight w:val="310"/>
        </w:trPr>
        <w:tc>
          <w:tcPr>
            <w:tcW w:w="2880" w:type="dxa"/>
            <w:tcBorders>
              <w:left w:val="nil"/>
              <w:right w:val="nil"/>
            </w:tcBorders>
            <w:shd w:val="clear" w:color="auto" w:fill="D0D1DB"/>
            <w:noWrap/>
            <w:vAlign w:val="center"/>
            <w:hideMark/>
          </w:tcPr>
          <w:p w14:paraId="0152CB18" w14:textId="77777777" w:rsidR="001B660D" w:rsidRPr="008609D1" w:rsidRDefault="001B660D" w:rsidP="0041411A">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Propiedad industrial</w:t>
            </w:r>
          </w:p>
        </w:tc>
        <w:tc>
          <w:tcPr>
            <w:tcW w:w="720" w:type="dxa"/>
            <w:tcBorders>
              <w:left w:val="nil"/>
              <w:right w:val="nil"/>
            </w:tcBorders>
          </w:tcPr>
          <w:p w14:paraId="60461708"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vAlign w:val="center"/>
          </w:tcPr>
          <w:p w14:paraId="7BEE7A66"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noWrap/>
            <w:vAlign w:val="center"/>
            <w:hideMark/>
          </w:tcPr>
          <w:p w14:paraId="06DAA753" w14:textId="77777777" w:rsidR="001B660D" w:rsidRPr="008609D1" w:rsidRDefault="001B660D" w:rsidP="0041411A">
            <w:pPr>
              <w:keepNext/>
              <w:keepLines/>
              <w:rPr>
                <w:rFonts w:ascii="ITC Avant Garde" w:hAnsi="ITC Avant Garde"/>
                <w:sz w:val="20"/>
                <w:lang w:val="es-ES"/>
              </w:rPr>
            </w:pPr>
          </w:p>
        </w:tc>
        <w:tc>
          <w:tcPr>
            <w:tcW w:w="865" w:type="dxa"/>
            <w:gridSpan w:val="2"/>
            <w:tcBorders>
              <w:left w:val="nil"/>
              <w:right w:val="nil"/>
            </w:tcBorders>
            <w:noWrap/>
            <w:vAlign w:val="center"/>
            <w:hideMark/>
          </w:tcPr>
          <w:p w14:paraId="0D51CFD5" w14:textId="77777777" w:rsidR="001B660D" w:rsidRPr="008609D1" w:rsidRDefault="001B660D" w:rsidP="0041411A">
            <w:pPr>
              <w:keepNext/>
              <w:keepLines/>
              <w:spacing w:after="0"/>
              <w:rPr>
                <w:rFonts w:ascii="ITC Avant Garde" w:hAnsi="ITC Avant Garde"/>
                <w:sz w:val="20"/>
                <w:szCs w:val="20"/>
                <w:lang w:val="en-GB" w:eastAsia="en-GB"/>
              </w:rPr>
            </w:pPr>
          </w:p>
        </w:tc>
        <w:tc>
          <w:tcPr>
            <w:tcW w:w="1298" w:type="dxa"/>
            <w:gridSpan w:val="2"/>
            <w:tcBorders>
              <w:left w:val="nil"/>
              <w:right w:val="nil"/>
            </w:tcBorders>
            <w:noWrap/>
            <w:vAlign w:val="center"/>
            <w:hideMark/>
          </w:tcPr>
          <w:p w14:paraId="169EC618" w14:textId="77777777" w:rsidR="001B660D" w:rsidRPr="008609D1" w:rsidRDefault="001B660D" w:rsidP="0041411A">
            <w:pPr>
              <w:keepNext/>
              <w:keepLines/>
              <w:spacing w:after="0"/>
              <w:rPr>
                <w:rFonts w:ascii="ITC Avant Garde" w:hAnsi="ITC Avant Garde"/>
                <w:sz w:val="20"/>
                <w:lang w:val="en-GB"/>
              </w:rPr>
            </w:pPr>
          </w:p>
        </w:tc>
        <w:tc>
          <w:tcPr>
            <w:tcW w:w="1022" w:type="dxa"/>
            <w:gridSpan w:val="2"/>
            <w:tcBorders>
              <w:left w:val="nil"/>
              <w:right w:val="nil"/>
            </w:tcBorders>
            <w:vAlign w:val="center"/>
          </w:tcPr>
          <w:p w14:paraId="64224488"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vAlign w:val="center"/>
          </w:tcPr>
          <w:p w14:paraId="11AC0FFE"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vAlign w:val="center"/>
          </w:tcPr>
          <w:p w14:paraId="10EE3D0C"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tcPr>
          <w:p w14:paraId="1EA8AA90"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218A49A3" w14:textId="77777777" w:rsidTr="00154F13">
        <w:trPr>
          <w:trHeight w:val="310"/>
        </w:trPr>
        <w:tc>
          <w:tcPr>
            <w:tcW w:w="2880" w:type="dxa"/>
            <w:tcBorders>
              <w:left w:val="nil"/>
              <w:right w:val="nil"/>
            </w:tcBorders>
            <w:shd w:val="clear" w:color="auto" w:fill="D0D1DB"/>
            <w:noWrap/>
            <w:vAlign w:val="center"/>
            <w:hideMark/>
          </w:tcPr>
          <w:p w14:paraId="7AE49E61" w14:textId="77777777" w:rsidR="001B660D" w:rsidRPr="008609D1" w:rsidRDefault="001B660D" w:rsidP="0041411A">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Aplicaciones informáticas</w:t>
            </w:r>
          </w:p>
        </w:tc>
        <w:tc>
          <w:tcPr>
            <w:tcW w:w="720" w:type="dxa"/>
            <w:tcBorders>
              <w:left w:val="nil"/>
              <w:right w:val="nil"/>
            </w:tcBorders>
          </w:tcPr>
          <w:p w14:paraId="2F9CEC72"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vAlign w:val="center"/>
          </w:tcPr>
          <w:p w14:paraId="322798F9"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noWrap/>
            <w:vAlign w:val="center"/>
            <w:hideMark/>
          </w:tcPr>
          <w:p w14:paraId="34244DD7" w14:textId="77777777" w:rsidR="001B660D" w:rsidRPr="008609D1" w:rsidRDefault="001B660D" w:rsidP="0041411A">
            <w:pPr>
              <w:keepNext/>
              <w:keepLines/>
              <w:rPr>
                <w:rFonts w:ascii="ITC Avant Garde" w:hAnsi="ITC Avant Garde"/>
                <w:sz w:val="20"/>
                <w:lang w:val="es-ES"/>
              </w:rPr>
            </w:pPr>
          </w:p>
        </w:tc>
        <w:tc>
          <w:tcPr>
            <w:tcW w:w="865" w:type="dxa"/>
            <w:gridSpan w:val="2"/>
            <w:tcBorders>
              <w:left w:val="nil"/>
              <w:right w:val="nil"/>
            </w:tcBorders>
            <w:noWrap/>
            <w:vAlign w:val="center"/>
            <w:hideMark/>
          </w:tcPr>
          <w:p w14:paraId="6FCB1296" w14:textId="77777777" w:rsidR="001B660D" w:rsidRPr="008609D1" w:rsidRDefault="001B660D" w:rsidP="0041411A">
            <w:pPr>
              <w:keepNext/>
              <w:keepLines/>
              <w:spacing w:after="0"/>
              <w:rPr>
                <w:rFonts w:ascii="ITC Avant Garde" w:hAnsi="ITC Avant Garde"/>
                <w:sz w:val="20"/>
                <w:szCs w:val="20"/>
                <w:lang w:val="en-GB" w:eastAsia="en-GB"/>
              </w:rPr>
            </w:pPr>
          </w:p>
        </w:tc>
        <w:tc>
          <w:tcPr>
            <w:tcW w:w="1298" w:type="dxa"/>
            <w:gridSpan w:val="2"/>
            <w:tcBorders>
              <w:left w:val="nil"/>
              <w:right w:val="nil"/>
            </w:tcBorders>
            <w:noWrap/>
            <w:vAlign w:val="center"/>
            <w:hideMark/>
          </w:tcPr>
          <w:p w14:paraId="5C94EA65" w14:textId="77777777" w:rsidR="001B660D" w:rsidRPr="008609D1" w:rsidRDefault="001B660D" w:rsidP="0041411A">
            <w:pPr>
              <w:keepNext/>
              <w:keepLines/>
              <w:spacing w:after="0"/>
              <w:rPr>
                <w:rFonts w:ascii="ITC Avant Garde" w:hAnsi="ITC Avant Garde"/>
                <w:sz w:val="20"/>
                <w:lang w:val="en-GB"/>
              </w:rPr>
            </w:pPr>
          </w:p>
        </w:tc>
        <w:tc>
          <w:tcPr>
            <w:tcW w:w="1022" w:type="dxa"/>
            <w:gridSpan w:val="2"/>
            <w:tcBorders>
              <w:left w:val="nil"/>
              <w:right w:val="nil"/>
            </w:tcBorders>
            <w:vAlign w:val="center"/>
          </w:tcPr>
          <w:p w14:paraId="57F0FFBA"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vAlign w:val="center"/>
          </w:tcPr>
          <w:p w14:paraId="538F7702"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vAlign w:val="center"/>
          </w:tcPr>
          <w:p w14:paraId="41D56BE8"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tcPr>
          <w:p w14:paraId="33997780"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6E2B7EB9" w14:textId="77777777" w:rsidTr="00154F13">
        <w:trPr>
          <w:trHeight w:val="310"/>
        </w:trPr>
        <w:tc>
          <w:tcPr>
            <w:tcW w:w="2880" w:type="dxa"/>
            <w:tcBorders>
              <w:left w:val="nil"/>
              <w:right w:val="nil"/>
            </w:tcBorders>
            <w:shd w:val="clear" w:color="auto" w:fill="D0D1DB"/>
            <w:noWrap/>
            <w:vAlign w:val="center"/>
            <w:hideMark/>
          </w:tcPr>
          <w:p w14:paraId="5137A76A" w14:textId="77777777" w:rsidR="001B660D" w:rsidRPr="008609D1" w:rsidRDefault="001B660D" w:rsidP="0041411A">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720" w:type="dxa"/>
            <w:tcBorders>
              <w:left w:val="nil"/>
              <w:right w:val="nil"/>
            </w:tcBorders>
          </w:tcPr>
          <w:p w14:paraId="5F1E65FF"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vAlign w:val="center"/>
          </w:tcPr>
          <w:p w14:paraId="2C3BD555"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noWrap/>
            <w:vAlign w:val="center"/>
          </w:tcPr>
          <w:p w14:paraId="0E73F4B9"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65" w:type="dxa"/>
            <w:gridSpan w:val="2"/>
            <w:tcBorders>
              <w:left w:val="nil"/>
              <w:right w:val="nil"/>
            </w:tcBorders>
            <w:noWrap/>
            <w:vAlign w:val="center"/>
          </w:tcPr>
          <w:p w14:paraId="118024B1"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298" w:type="dxa"/>
            <w:gridSpan w:val="2"/>
            <w:tcBorders>
              <w:left w:val="nil"/>
              <w:right w:val="nil"/>
            </w:tcBorders>
            <w:noWrap/>
            <w:vAlign w:val="center"/>
          </w:tcPr>
          <w:p w14:paraId="7C0C58B6"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22" w:type="dxa"/>
            <w:gridSpan w:val="2"/>
            <w:tcBorders>
              <w:left w:val="nil"/>
              <w:right w:val="nil"/>
            </w:tcBorders>
            <w:vAlign w:val="center"/>
          </w:tcPr>
          <w:p w14:paraId="00B44A16"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vAlign w:val="center"/>
          </w:tcPr>
          <w:p w14:paraId="1F8AED29"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vAlign w:val="center"/>
          </w:tcPr>
          <w:p w14:paraId="2FB8F618"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tcPr>
          <w:p w14:paraId="65C5BE89"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3C786A24" w14:textId="77777777" w:rsidTr="00154F13">
        <w:trPr>
          <w:trHeight w:val="310"/>
        </w:trPr>
        <w:tc>
          <w:tcPr>
            <w:tcW w:w="2880" w:type="dxa"/>
            <w:tcBorders>
              <w:left w:val="nil"/>
              <w:right w:val="nil"/>
            </w:tcBorders>
            <w:shd w:val="clear" w:color="auto" w:fill="E5E9EB"/>
            <w:noWrap/>
            <w:vAlign w:val="center"/>
            <w:hideMark/>
          </w:tcPr>
          <w:p w14:paraId="15A9656A" w14:textId="77777777" w:rsidR="001B660D" w:rsidRPr="008609D1" w:rsidRDefault="001B660D" w:rsidP="0041411A">
            <w:pPr>
              <w:keepNext/>
              <w:keepLines/>
              <w:spacing w:before="40" w:after="40" w:line="240" w:lineRule="auto"/>
              <w:rPr>
                <w:rFonts w:ascii="ITC Avant Garde" w:hAnsi="ITC Avant Garde"/>
                <w:b/>
                <w:sz w:val="20"/>
                <w:lang w:val="es-ES"/>
              </w:rPr>
            </w:pPr>
            <w:r w:rsidRPr="008609D1">
              <w:rPr>
                <w:rFonts w:ascii="ITC Avant Garde" w:hAnsi="ITC Avant Garde"/>
                <w:b/>
                <w:sz w:val="20"/>
                <w:lang w:val="es-ES"/>
              </w:rPr>
              <w:t>Activos Tangibles</w:t>
            </w:r>
          </w:p>
        </w:tc>
        <w:tc>
          <w:tcPr>
            <w:tcW w:w="720" w:type="dxa"/>
            <w:tcBorders>
              <w:left w:val="nil"/>
              <w:right w:val="nil"/>
            </w:tcBorders>
            <w:shd w:val="clear" w:color="auto" w:fill="E5E9EB"/>
          </w:tcPr>
          <w:p w14:paraId="1EA43DB2"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shd w:val="clear" w:color="auto" w:fill="E5E9EB"/>
            <w:vAlign w:val="center"/>
          </w:tcPr>
          <w:p w14:paraId="1DDF9342"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shd w:val="clear" w:color="auto" w:fill="E5E9EB"/>
            <w:noWrap/>
            <w:vAlign w:val="center"/>
          </w:tcPr>
          <w:p w14:paraId="25210A4B"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65" w:type="dxa"/>
            <w:gridSpan w:val="2"/>
            <w:tcBorders>
              <w:left w:val="nil"/>
              <w:right w:val="nil"/>
            </w:tcBorders>
            <w:shd w:val="clear" w:color="auto" w:fill="E5E9EB"/>
            <w:noWrap/>
            <w:vAlign w:val="center"/>
          </w:tcPr>
          <w:p w14:paraId="7F94A560"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298" w:type="dxa"/>
            <w:gridSpan w:val="2"/>
            <w:tcBorders>
              <w:left w:val="nil"/>
              <w:right w:val="nil"/>
            </w:tcBorders>
            <w:shd w:val="clear" w:color="auto" w:fill="E5E9EB"/>
            <w:noWrap/>
            <w:vAlign w:val="center"/>
          </w:tcPr>
          <w:p w14:paraId="049954AE"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22" w:type="dxa"/>
            <w:gridSpan w:val="2"/>
            <w:tcBorders>
              <w:left w:val="nil"/>
              <w:right w:val="nil"/>
            </w:tcBorders>
            <w:shd w:val="clear" w:color="auto" w:fill="E5E9EB"/>
            <w:vAlign w:val="center"/>
          </w:tcPr>
          <w:p w14:paraId="095253FB"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shd w:val="clear" w:color="auto" w:fill="E5E9EB"/>
            <w:vAlign w:val="center"/>
          </w:tcPr>
          <w:p w14:paraId="366C8393"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shd w:val="clear" w:color="auto" w:fill="E5E9EB"/>
            <w:vAlign w:val="center"/>
          </w:tcPr>
          <w:p w14:paraId="7C006B80"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shd w:val="clear" w:color="auto" w:fill="E5E9EB"/>
          </w:tcPr>
          <w:p w14:paraId="37290A2E"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007E4D58" w14:textId="77777777" w:rsidTr="00154F13">
        <w:trPr>
          <w:trHeight w:val="310"/>
        </w:trPr>
        <w:tc>
          <w:tcPr>
            <w:tcW w:w="2880" w:type="dxa"/>
            <w:tcBorders>
              <w:left w:val="nil"/>
              <w:right w:val="nil"/>
            </w:tcBorders>
            <w:shd w:val="clear" w:color="auto" w:fill="D0D1DB"/>
            <w:noWrap/>
            <w:vAlign w:val="center"/>
            <w:hideMark/>
          </w:tcPr>
          <w:p w14:paraId="728CC257" w14:textId="77777777" w:rsidR="001B660D" w:rsidRPr="008609D1" w:rsidRDefault="0043129D" w:rsidP="0041411A">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Inversión en t</w:t>
            </w:r>
            <w:r w:rsidR="001B660D" w:rsidRPr="008609D1">
              <w:rPr>
                <w:rFonts w:ascii="ITC Avant Garde" w:eastAsia="Times New Roman" w:hAnsi="ITC Avant Garde" w:cs="Arial"/>
                <w:sz w:val="20"/>
                <w:lang w:val="es-ES" w:eastAsia="es-ES"/>
              </w:rPr>
              <w:t xml:space="preserve">errenos y </w:t>
            </w:r>
            <w:r w:rsidRPr="008609D1">
              <w:rPr>
                <w:rFonts w:ascii="ITC Avant Garde" w:eastAsia="Times New Roman" w:hAnsi="ITC Avant Garde" w:cs="Arial"/>
                <w:sz w:val="20"/>
                <w:lang w:val="es-ES" w:eastAsia="es-ES"/>
              </w:rPr>
              <w:t>edificios</w:t>
            </w:r>
          </w:p>
        </w:tc>
        <w:tc>
          <w:tcPr>
            <w:tcW w:w="720" w:type="dxa"/>
            <w:tcBorders>
              <w:left w:val="nil"/>
              <w:right w:val="nil"/>
            </w:tcBorders>
          </w:tcPr>
          <w:p w14:paraId="1D086697"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vAlign w:val="center"/>
          </w:tcPr>
          <w:p w14:paraId="66546062"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noWrap/>
            <w:vAlign w:val="center"/>
          </w:tcPr>
          <w:p w14:paraId="4E026BEA"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65" w:type="dxa"/>
            <w:gridSpan w:val="2"/>
            <w:tcBorders>
              <w:left w:val="nil"/>
              <w:right w:val="nil"/>
            </w:tcBorders>
            <w:noWrap/>
            <w:vAlign w:val="center"/>
          </w:tcPr>
          <w:p w14:paraId="4DF2C174"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298" w:type="dxa"/>
            <w:gridSpan w:val="2"/>
            <w:tcBorders>
              <w:left w:val="nil"/>
              <w:right w:val="nil"/>
            </w:tcBorders>
            <w:noWrap/>
            <w:vAlign w:val="center"/>
          </w:tcPr>
          <w:p w14:paraId="74F469FC"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22" w:type="dxa"/>
            <w:gridSpan w:val="2"/>
            <w:tcBorders>
              <w:left w:val="nil"/>
              <w:right w:val="nil"/>
            </w:tcBorders>
            <w:vAlign w:val="center"/>
          </w:tcPr>
          <w:p w14:paraId="5F92E97F"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vAlign w:val="center"/>
          </w:tcPr>
          <w:p w14:paraId="22149E35"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vAlign w:val="center"/>
          </w:tcPr>
          <w:p w14:paraId="0C060E68"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tcPr>
          <w:p w14:paraId="5F635344"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7A66C45E" w14:textId="77777777" w:rsidTr="00154F13">
        <w:trPr>
          <w:trHeight w:val="310"/>
        </w:trPr>
        <w:tc>
          <w:tcPr>
            <w:tcW w:w="2880" w:type="dxa"/>
            <w:tcBorders>
              <w:left w:val="nil"/>
              <w:right w:val="nil"/>
            </w:tcBorders>
            <w:shd w:val="clear" w:color="auto" w:fill="D0D1DB"/>
            <w:noWrap/>
            <w:vAlign w:val="center"/>
            <w:hideMark/>
          </w:tcPr>
          <w:p w14:paraId="0869E331" w14:textId="77777777" w:rsidR="001B660D" w:rsidRPr="008609D1" w:rsidRDefault="001B660D" w:rsidP="0041411A">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Sistemas de alimentación de energía</w:t>
            </w:r>
          </w:p>
        </w:tc>
        <w:tc>
          <w:tcPr>
            <w:tcW w:w="720" w:type="dxa"/>
            <w:tcBorders>
              <w:left w:val="nil"/>
              <w:right w:val="nil"/>
            </w:tcBorders>
          </w:tcPr>
          <w:p w14:paraId="613D8772"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vAlign w:val="center"/>
          </w:tcPr>
          <w:p w14:paraId="1082120C"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noWrap/>
            <w:vAlign w:val="center"/>
          </w:tcPr>
          <w:p w14:paraId="68FB0842"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65" w:type="dxa"/>
            <w:gridSpan w:val="2"/>
            <w:tcBorders>
              <w:left w:val="nil"/>
              <w:right w:val="nil"/>
            </w:tcBorders>
            <w:noWrap/>
            <w:vAlign w:val="center"/>
          </w:tcPr>
          <w:p w14:paraId="0178CB22"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298" w:type="dxa"/>
            <w:gridSpan w:val="2"/>
            <w:tcBorders>
              <w:left w:val="nil"/>
              <w:right w:val="nil"/>
            </w:tcBorders>
            <w:noWrap/>
            <w:vAlign w:val="center"/>
          </w:tcPr>
          <w:p w14:paraId="12159432"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22" w:type="dxa"/>
            <w:gridSpan w:val="2"/>
            <w:tcBorders>
              <w:left w:val="nil"/>
              <w:right w:val="nil"/>
            </w:tcBorders>
            <w:vAlign w:val="center"/>
          </w:tcPr>
          <w:p w14:paraId="60E30885"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vAlign w:val="center"/>
          </w:tcPr>
          <w:p w14:paraId="00CAD12A"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vAlign w:val="center"/>
          </w:tcPr>
          <w:p w14:paraId="7FC6F732"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tcPr>
          <w:p w14:paraId="0F062930"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2BBCCF0D" w14:textId="77777777" w:rsidTr="00154F13">
        <w:trPr>
          <w:trHeight w:val="310"/>
        </w:trPr>
        <w:tc>
          <w:tcPr>
            <w:tcW w:w="2880" w:type="dxa"/>
            <w:tcBorders>
              <w:left w:val="nil"/>
              <w:right w:val="nil"/>
            </w:tcBorders>
            <w:shd w:val="clear" w:color="auto" w:fill="D0D1DB"/>
            <w:noWrap/>
            <w:vAlign w:val="center"/>
            <w:hideMark/>
          </w:tcPr>
          <w:p w14:paraId="53883140" w14:textId="77777777" w:rsidR="001B660D" w:rsidRPr="008609D1" w:rsidRDefault="001B660D" w:rsidP="0041411A">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sobre cobre</w:t>
            </w:r>
          </w:p>
        </w:tc>
        <w:tc>
          <w:tcPr>
            <w:tcW w:w="720" w:type="dxa"/>
            <w:tcBorders>
              <w:left w:val="nil"/>
              <w:right w:val="nil"/>
            </w:tcBorders>
          </w:tcPr>
          <w:p w14:paraId="2AD63BB1"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vAlign w:val="center"/>
          </w:tcPr>
          <w:p w14:paraId="77BCCE2A"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noWrap/>
            <w:vAlign w:val="center"/>
          </w:tcPr>
          <w:p w14:paraId="213E0B6F"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65" w:type="dxa"/>
            <w:gridSpan w:val="2"/>
            <w:tcBorders>
              <w:left w:val="nil"/>
              <w:right w:val="nil"/>
            </w:tcBorders>
            <w:noWrap/>
            <w:vAlign w:val="center"/>
          </w:tcPr>
          <w:p w14:paraId="644963A2"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298" w:type="dxa"/>
            <w:gridSpan w:val="2"/>
            <w:tcBorders>
              <w:left w:val="nil"/>
              <w:right w:val="nil"/>
            </w:tcBorders>
            <w:noWrap/>
            <w:vAlign w:val="center"/>
          </w:tcPr>
          <w:p w14:paraId="6E803489"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22" w:type="dxa"/>
            <w:gridSpan w:val="2"/>
            <w:tcBorders>
              <w:left w:val="nil"/>
              <w:right w:val="nil"/>
            </w:tcBorders>
            <w:vAlign w:val="center"/>
          </w:tcPr>
          <w:p w14:paraId="476C612F"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vAlign w:val="center"/>
          </w:tcPr>
          <w:p w14:paraId="23D913D4"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vAlign w:val="center"/>
          </w:tcPr>
          <w:p w14:paraId="59DA77FE"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tcPr>
          <w:p w14:paraId="2D3A2C28"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4ADD548E" w14:textId="77777777" w:rsidTr="00154F13">
        <w:trPr>
          <w:trHeight w:val="310"/>
        </w:trPr>
        <w:tc>
          <w:tcPr>
            <w:tcW w:w="2880" w:type="dxa"/>
            <w:tcBorders>
              <w:left w:val="nil"/>
              <w:right w:val="nil"/>
            </w:tcBorders>
            <w:shd w:val="clear" w:color="auto" w:fill="D0D1DB"/>
            <w:noWrap/>
            <w:vAlign w:val="center"/>
            <w:hideMark/>
          </w:tcPr>
          <w:p w14:paraId="055FFB5F" w14:textId="77777777" w:rsidR="001B660D" w:rsidRPr="008609D1" w:rsidRDefault="001B660D" w:rsidP="0041411A">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sobre fibra</w:t>
            </w:r>
          </w:p>
        </w:tc>
        <w:tc>
          <w:tcPr>
            <w:tcW w:w="720" w:type="dxa"/>
            <w:tcBorders>
              <w:left w:val="nil"/>
              <w:right w:val="nil"/>
            </w:tcBorders>
          </w:tcPr>
          <w:p w14:paraId="4E3B103A"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vAlign w:val="center"/>
          </w:tcPr>
          <w:p w14:paraId="4AEA5B0F"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noWrap/>
            <w:vAlign w:val="center"/>
          </w:tcPr>
          <w:p w14:paraId="1BB42E0F"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65" w:type="dxa"/>
            <w:gridSpan w:val="2"/>
            <w:tcBorders>
              <w:left w:val="nil"/>
              <w:right w:val="nil"/>
            </w:tcBorders>
            <w:noWrap/>
            <w:vAlign w:val="center"/>
          </w:tcPr>
          <w:p w14:paraId="6A57C698"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298" w:type="dxa"/>
            <w:gridSpan w:val="2"/>
            <w:tcBorders>
              <w:left w:val="nil"/>
              <w:right w:val="nil"/>
            </w:tcBorders>
            <w:noWrap/>
            <w:vAlign w:val="center"/>
          </w:tcPr>
          <w:p w14:paraId="446AAA8E"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22" w:type="dxa"/>
            <w:gridSpan w:val="2"/>
            <w:tcBorders>
              <w:left w:val="nil"/>
              <w:right w:val="nil"/>
            </w:tcBorders>
            <w:vAlign w:val="center"/>
          </w:tcPr>
          <w:p w14:paraId="4B1DF4A8"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vAlign w:val="center"/>
          </w:tcPr>
          <w:p w14:paraId="573FC086"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vAlign w:val="center"/>
          </w:tcPr>
          <w:p w14:paraId="43C9B94F"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tcPr>
          <w:p w14:paraId="2CD6E35E"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1D50E03E" w14:textId="77777777" w:rsidTr="00154F13">
        <w:trPr>
          <w:trHeight w:val="310"/>
        </w:trPr>
        <w:tc>
          <w:tcPr>
            <w:tcW w:w="2880" w:type="dxa"/>
            <w:tcBorders>
              <w:left w:val="nil"/>
              <w:right w:val="nil"/>
            </w:tcBorders>
            <w:shd w:val="clear" w:color="auto" w:fill="D0D1DB"/>
            <w:noWrap/>
            <w:vAlign w:val="center"/>
            <w:hideMark/>
          </w:tcPr>
          <w:p w14:paraId="2801A966" w14:textId="77777777" w:rsidR="001B660D" w:rsidRPr="008609D1" w:rsidRDefault="001B660D" w:rsidP="0041411A">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720" w:type="dxa"/>
            <w:tcBorders>
              <w:left w:val="nil"/>
              <w:right w:val="nil"/>
            </w:tcBorders>
          </w:tcPr>
          <w:p w14:paraId="62CC716A"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right w:val="nil"/>
            </w:tcBorders>
            <w:vAlign w:val="center"/>
          </w:tcPr>
          <w:p w14:paraId="5827D4A9"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right w:val="nil"/>
            </w:tcBorders>
            <w:noWrap/>
            <w:vAlign w:val="center"/>
          </w:tcPr>
          <w:p w14:paraId="0B16397B"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65" w:type="dxa"/>
            <w:gridSpan w:val="2"/>
            <w:tcBorders>
              <w:left w:val="nil"/>
              <w:right w:val="nil"/>
            </w:tcBorders>
            <w:noWrap/>
            <w:vAlign w:val="center"/>
          </w:tcPr>
          <w:p w14:paraId="6EA7CE3E"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298" w:type="dxa"/>
            <w:gridSpan w:val="2"/>
            <w:tcBorders>
              <w:left w:val="nil"/>
              <w:right w:val="nil"/>
            </w:tcBorders>
            <w:noWrap/>
            <w:vAlign w:val="center"/>
          </w:tcPr>
          <w:p w14:paraId="36A000F5"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22" w:type="dxa"/>
            <w:gridSpan w:val="2"/>
            <w:tcBorders>
              <w:left w:val="nil"/>
              <w:right w:val="nil"/>
            </w:tcBorders>
            <w:vAlign w:val="center"/>
          </w:tcPr>
          <w:p w14:paraId="33518827"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right w:val="nil"/>
            </w:tcBorders>
            <w:vAlign w:val="center"/>
          </w:tcPr>
          <w:p w14:paraId="59E10F24"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right w:val="nil"/>
            </w:tcBorders>
            <w:vAlign w:val="center"/>
          </w:tcPr>
          <w:p w14:paraId="2A0EC327"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right w:val="nil"/>
            </w:tcBorders>
          </w:tcPr>
          <w:p w14:paraId="1361784D"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3EA6E9E1" w14:textId="77777777" w:rsidTr="00154F13">
        <w:trPr>
          <w:trHeight w:val="310"/>
        </w:trPr>
        <w:tc>
          <w:tcPr>
            <w:tcW w:w="2880" w:type="dxa"/>
            <w:tcBorders>
              <w:left w:val="nil"/>
              <w:bottom w:val="single" w:sz="4" w:space="0" w:color="244062"/>
              <w:right w:val="nil"/>
            </w:tcBorders>
            <w:shd w:val="clear" w:color="auto" w:fill="E5E9EB"/>
            <w:noWrap/>
            <w:vAlign w:val="center"/>
            <w:hideMark/>
          </w:tcPr>
          <w:p w14:paraId="42B75BD4" w14:textId="77777777" w:rsidR="001B660D" w:rsidRPr="008609D1" w:rsidRDefault="001B660D" w:rsidP="0041411A">
            <w:pPr>
              <w:keepNext/>
              <w:keepLines/>
              <w:spacing w:before="40" w:after="40" w:line="240" w:lineRule="auto"/>
              <w:rPr>
                <w:rFonts w:ascii="ITC Avant Garde" w:hAnsi="ITC Avant Garde"/>
                <w:b/>
                <w:sz w:val="20"/>
                <w:lang w:val="es-ES"/>
              </w:rPr>
            </w:pPr>
            <w:r w:rsidRPr="008609D1">
              <w:rPr>
                <w:rFonts w:ascii="ITC Avant Garde" w:hAnsi="ITC Avant Garde"/>
                <w:b/>
                <w:sz w:val="20"/>
                <w:lang w:val="es-ES"/>
              </w:rPr>
              <w:t>TOTAL</w:t>
            </w:r>
          </w:p>
        </w:tc>
        <w:tc>
          <w:tcPr>
            <w:tcW w:w="720" w:type="dxa"/>
            <w:tcBorders>
              <w:left w:val="nil"/>
              <w:bottom w:val="single" w:sz="4" w:space="0" w:color="244062"/>
              <w:right w:val="nil"/>
            </w:tcBorders>
            <w:shd w:val="clear" w:color="auto" w:fill="E5E9EB"/>
          </w:tcPr>
          <w:p w14:paraId="0F4A9B6D"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720" w:type="dxa"/>
            <w:tcBorders>
              <w:left w:val="nil"/>
              <w:bottom w:val="single" w:sz="4" w:space="0" w:color="244062"/>
              <w:right w:val="nil"/>
            </w:tcBorders>
            <w:shd w:val="clear" w:color="auto" w:fill="E5E9EB"/>
            <w:vAlign w:val="center"/>
          </w:tcPr>
          <w:p w14:paraId="3C395C0C"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50" w:type="dxa"/>
            <w:tcBorders>
              <w:left w:val="nil"/>
              <w:bottom w:val="single" w:sz="4" w:space="0" w:color="244062"/>
              <w:right w:val="nil"/>
            </w:tcBorders>
            <w:shd w:val="clear" w:color="auto" w:fill="E5E9EB"/>
            <w:noWrap/>
            <w:vAlign w:val="center"/>
          </w:tcPr>
          <w:p w14:paraId="7F8CFBB7"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865" w:type="dxa"/>
            <w:gridSpan w:val="2"/>
            <w:tcBorders>
              <w:left w:val="nil"/>
              <w:bottom w:val="single" w:sz="4" w:space="0" w:color="244062"/>
              <w:right w:val="nil"/>
            </w:tcBorders>
            <w:shd w:val="clear" w:color="auto" w:fill="E5E9EB"/>
            <w:noWrap/>
            <w:vAlign w:val="center"/>
          </w:tcPr>
          <w:p w14:paraId="5EA1A6FF"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298" w:type="dxa"/>
            <w:gridSpan w:val="2"/>
            <w:tcBorders>
              <w:left w:val="nil"/>
              <w:bottom w:val="single" w:sz="4" w:space="0" w:color="244062"/>
              <w:right w:val="nil"/>
            </w:tcBorders>
            <w:shd w:val="clear" w:color="auto" w:fill="E5E9EB"/>
            <w:noWrap/>
            <w:vAlign w:val="center"/>
          </w:tcPr>
          <w:p w14:paraId="7A9066DD"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22" w:type="dxa"/>
            <w:gridSpan w:val="2"/>
            <w:tcBorders>
              <w:left w:val="nil"/>
              <w:bottom w:val="single" w:sz="4" w:space="0" w:color="244062"/>
              <w:right w:val="nil"/>
            </w:tcBorders>
            <w:shd w:val="clear" w:color="auto" w:fill="E5E9EB"/>
            <w:vAlign w:val="center"/>
          </w:tcPr>
          <w:p w14:paraId="10C73183"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140" w:type="dxa"/>
            <w:gridSpan w:val="2"/>
            <w:tcBorders>
              <w:left w:val="nil"/>
              <w:bottom w:val="single" w:sz="4" w:space="0" w:color="244062"/>
              <w:right w:val="nil"/>
            </w:tcBorders>
            <w:shd w:val="clear" w:color="auto" w:fill="E5E9EB"/>
            <w:vAlign w:val="center"/>
          </w:tcPr>
          <w:p w14:paraId="44C32091"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456" w:type="dxa"/>
            <w:gridSpan w:val="2"/>
            <w:tcBorders>
              <w:left w:val="nil"/>
              <w:bottom w:val="single" w:sz="4" w:space="0" w:color="244062"/>
              <w:right w:val="nil"/>
            </w:tcBorders>
            <w:shd w:val="clear" w:color="auto" w:fill="E5E9EB"/>
            <w:vAlign w:val="center"/>
          </w:tcPr>
          <w:p w14:paraId="0CC53A70"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c>
          <w:tcPr>
            <w:tcW w:w="1009" w:type="dxa"/>
            <w:tcBorders>
              <w:left w:val="nil"/>
              <w:bottom w:val="single" w:sz="4" w:space="0" w:color="244062"/>
              <w:right w:val="nil"/>
            </w:tcBorders>
            <w:shd w:val="clear" w:color="auto" w:fill="E5E9EB"/>
          </w:tcPr>
          <w:p w14:paraId="055F936A" w14:textId="77777777" w:rsidR="001B660D" w:rsidRPr="008609D1" w:rsidRDefault="001B660D" w:rsidP="0041411A">
            <w:pPr>
              <w:keepNext/>
              <w:keepLines/>
              <w:spacing w:before="40" w:after="40" w:line="240" w:lineRule="auto"/>
              <w:jc w:val="center"/>
              <w:rPr>
                <w:rFonts w:ascii="ITC Avant Garde" w:eastAsia="Times New Roman" w:hAnsi="ITC Avant Garde" w:cs="Arial"/>
                <w:sz w:val="20"/>
                <w:lang w:val="es-ES" w:eastAsia="es-ES"/>
              </w:rPr>
            </w:pPr>
          </w:p>
        </w:tc>
      </w:tr>
    </w:tbl>
    <w:p w14:paraId="2397C09E" w14:textId="77777777" w:rsidR="00892164" w:rsidRPr="008609D1" w:rsidRDefault="00892164" w:rsidP="007304F5">
      <w:pPr>
        <w:pStyle w:val="A3L2"/>
      </w:pPr>
      <w:bookmarkStart w:id="195" w:name="_Toc475468525"/>
      <w:bookmarkStart w:id="196" w:name="_Toc477515036"/>
      <w:bookmarkStart w:id="197" w:name="_Toc478774520"/>
      <w:r w:rsidRPr="008609D1">
        <w:t>Actividad inversora (y desinversora) por activo</w:t>
      </w:r>
      <w:bookmarkEnd w:id="195"/>
      <w:bookmarkEnd w:id="196"/>
      <w:bookmarkEnd w:id="197"/>
    </w:p>
    <w:p w14:paraId="0FC528D2" w14:textId="77777777" w:rsidR="00892164" w:rsidRDefault="00892164" w:rsidP="00892164">
      <w:pPr>
        <w:pStyle w:val="Normalresolucion"/>
      </w:pPr>
      <w:r w:rsidRPr="008609D1">
        <w:t xml:space="preserve">El siguiente formato deberá contener el valor bruto (o valor de reposición en el caso de CCA) de adquisiciones, bajas y traspasos por cuentas de activo (las cuales </w:t>
      </w:r>
      <w:r w:rsidRPr="008609D1">
        <w:lastRenderedPageBreak/>
        <w:t>deberá</w:t>
      </w:r>
      <w:r w:rsidR="00F5266E">
        <w:t>n</w:t>
      </w:r>
      <w:r w:rsidRPr="008609D1">
        <w:t xml:space="preserve"> responder a la desagregación mínima de las cuentas de “Costos asociados al capital” de Nivel 1 indicada en la sección </w:t>
      </w:r>
      <w:r w:rsidRPr="008609D1">
        <w:fldChar w:fldCharType="begin"/>
      </w:r>
      <w:r w:rsidRPr="008609D1">
        <w:instrText xml:space="preserve"> REF _Ref475108666 \w \h </w:instrText>
      </w:r>
      <w:r w:rsidR="008609D1">
        <w:instrText xml:space="preserve"> \* MERGEFORMAT </w:instrText>
      </w:r>
      <w:r w:rsidRPr="008609D1">
        <w:fldChar w:fldCharType="separate"/>
      </w:r>
      <w:r w:rsidR="005144E2" w:rsidRPr="008609D1">
        <w:rPr>
          <w:rFonts w:hint="eastAsia"/>
          <w:cs/>
        </w:rPr>
        <w:t>‎</w:t>
      </w:r>
      <w:r w:rsidR="005144E2" w:rsidRPr="008609D1">
        <w:t>2.2</w:t>
      </w:r>
      <w:r w:rsidRPr="008609D1">
        <w:fldChar w:fldCharType="end"/>
      </w:r>
      <w:r w:rsidRPr="008609D1">
        <w:t xml:space="preserve"> del Anexo </w:t>
      </w:r>
      <w:r w:rsidR="004B3901" w:rsidRPr="008609D1">
        <w:t>3</w:t>
      </w:r>
      <w:r w:rsidRPr="008609D1">
        <w:t>).</w:t>
      </w:r>
    </w:p>
    <w:p w14:paraId="265B0BF6" w14:textId="77777777" w:rsidR="0041411A" w:rsidRPr="008609D1" w:rsidRDefault="0041411A" w:rsidP="0041411A">
      <w:pPr>
        <w:pStyle w:val="Descripcin"/>
        <w:spacing w:after="240" w:line="240" w:lineRule="auto"/>
        <w:rPr>
          <w:lang w:val="es-MX"/>
        </w:rPr>
      </w:pPr>
      <w:r w:rsidRPr="008609D1">
        <w:rPr>
          <w:rFonts w:ascii="ITC Avant Garde" w:hAnsi="ITC Avant Garde"/>
          <w:iCs/>
          <w:sz w:val="20"/>
          <w:lang w:val="es-MX"/>
        </w:rPr>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17</w:t>
      </w:r>
      <w:r w:rsidRPr="008609D1">
        <w:rPr>
          <w:rFonts w:ascii="ITC Avant Garde" w:hAnsi="ITC Avant Garde"/>
          <w:iCs/>
          <w:sz w:val="20"/>
          <w:lang w:val="es-MX"/>
        </w:rPr>
        <w:fldChar w:fldCharType="end"/>
      </w:r>
      <w:r w:rsidRPr="008609D1">
        <w:rPr>
          <w:rFonts w:ascii="ITC Avant Garde" w:hAnsi="ITC Avant Garde"/>
          <w:iCs/>
          <w:sz w:val="20"/>
          <w:lang w:val="es-MX"/>
        </w:rPr>
        <w:t>: Actividad inversora (y desinversora) por categoría de activo</w:t>
      </w:r>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3"/>
        <w:gridCol w:w="1226"/>
        <w:gridCol w:w="1226"/>
        <w:gridCol w:w="1226"/>
        <w:gridCol w:w="1226"/>
        <w:gridCol w:w="1226"/>
      </w:tblGrid>
      <w:tr w:rsidR="007304F5" w:rsidRPr="008609D1" w14:paraId="5EBE99B4" w14:textId="77777777" w:rsidTr="000E069D">
        <w:trPr>
          <w:trHeight w:val="828"/>
          <w:jc w:val="center"/>
        </w:trPr>
        <w:tc>
          <w:tcPr>
            <w:tcW w:w="3556"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19BBB557" w14:textId="77777777" w:rsidR="00892164" w:rsidRPr="008609D1" w:rsidRDefault="00892164" w:rsidP="00D87E0B">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Categoría de activo</w:t>
            </w:r>
            <w:r w:rsidRPr="008609D1">
              <w:rPr>
                <w:rStyle w:val="Refdenotaalpie"/>
                <w:rFonts w:ascii="ITC Avant Garde" w:eastAsia="Times New Roman" w:hAnsi="ITC Avant Garde" w:cs="Arial"/>
                <w:b/>
                <w:color w:val="FFFFFF" w:themeColor="background1"/>
                <w:sz w:val="20"/>
                <w:lang w:val="es-ES" w:eastAsia="es-ES"/>
              </w:rPr>
              <w:footnoteReference w:id="79"/>
            </w:r>
          </w:p>
        </w:tc>
        <w:tc>
          <w:tcPr>
            <w:tcW w:w="1246"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51289529" w14:textId="481E5970" w:rsidR="00892164" w:rsidRPr="008609D1" w:rsidRDefault="00892164" w:rsidP="00D87E0B">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Valor bruto</w:t>
            </w:r>
            <w:r w:rsidRPr="008609D1">
              <w:rPr>
                <w:rFonts w:ascii="ITC Avant Garde" w:eastAsia="Times New Roman" w:hAnsi="ITC Avant Garde" w:cs="Arial"/>
                <w:b/>
                <w:color w:val="FFFFFF" w:themeColor="background1"/>
                <w:sz w:val="20"/>
                <w:lang w:val="es-ES" w:eastAsia="es-ES"/>
              </w:rPr>
              <w:br/>
              <w:t>31-d</w:t>
            </w:r>
            <w:r w:rsidR="00F5266E">
              <w:rPr>
                <w:rFonts w:ascii="ITC Avant Garde" w:eastAsia="Times New Roman" w:hAnsi="ITC Avant Garde" w:cs="Arial"/>
                <w:b/>
                <w:color w:val="FFFFFF" w:themeColor="background1"/>
                <w:sz w:val="20"/>
                <w:lang w:val="es-ES" w:eastAsia="es-ES"/>
              </w:rPr>
              <w:t>i</w:t>
            </w:r>
            <w:r w:rsidRPr="008609D1">
              <w:rPr>
                <w:rFonts w:ascii="ITC Avant Garde" w:eastAsia="Times New Roman" w:hAnsi="ITC Avant Garde" w:cs="Arial"/>
                <w:b/>
                <w:color w:val="FFFFFF" w:themeColor="background1"/>
                <w:sz w:val="20"/>
                <w:lang w:val="es-ES" w:eastAsia="es-ES"/>
              </w:rPr>
              <w:t>c</w:t>
            </w:r>
            <w:r w:rsidRPr="008609D1">
              <w:rPr>
                <w:rFonts w:ascii="ITC Avant Garde" w:eastAsia="Times New Roman" w:hAnsi="ITC Avant Garde" w:cs="Arial"/>
                <w:b/>
                <w:color w:val="FFFFFF" w:themeColor="background1"/>
                <w:sz w:val="20"/>
                <w:lang w:val="es-ES" w:eastAsia="es-ES"/>
              </w:rPr>
              <w:br/>
              <w:t>(</w:t>
            </w:r>
            <w:r w:rsidRPr="008609D1">
              <w:rPr>
                <w:rFonts w:ascii="ITC Avant Garde" w:hAnsi="ITC Avant Garde"/>
                <w:b/>
                <w:color w:val="FFFFFF" w:themeColor="background1"/>
                <w:sz w:val="18"/>
                <w:lang w:val="es-ES"/>
              </w:rPr>
              <w:t>ejercicio anterior</w:t>
            </w:r>
            <w:r w:rsidRPr="008609D1">
              <w:rPr>
                <w:rFonts w:ascii="ITC Avant Garde" w:eastAsia="Times New Roman" w:hAnsi="ITC Avant Garde" w:cs="Arial"/>
                <w:b/>
                <w:color w:val="FFFFFF" w:themeColor="background1"/>
                <w:sz w:val="20"/>
                <w:lang w:val="es-ES" w:eastAsia="es-ES"/>
              </w:rPr>
              <w:t>)</w:t>
            </w:r>
          </w:p>
        </w:tc>
        <w:tc>
          <w:tcPr>
            <w:tcW w:w="1246"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1CEF1579" w14:textId="77777777" w:rsidR="00892164" w:rsidRPr="008609D1" w:rsidRDefault="00892164" w:rsidP="00D87E0B">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Adq.</w:t>
            </w:r>
            <w:r w:rsidRPr="008609D1">
              <w:rPr>
                <w:rStyle w:val="Refdenotaalpie"/>
                <w:rFonts w:ascii="ITC Avant Garde" w:eastAsia="Times New Roman" w:hAnsi="ITC Avant Garde" w:cs="Arial"/>
                <w:b/>
                <w:color w:val="FFFFFF" w:themeColor="background1"/>
                <w:sz w:val="20"/>
                <w:lang w:val="es-ES" w:eastAsia="es-ES"/>
              </w:rPr>
              <w:footnoteReference w:id="80"/>
            </w:r>
          </w:p>
        </w:tc>
        <w:tc>
          <w:tcPr>
            <w:tcW w:w="1246"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1B1772B0" w14:textId="77777777" w:rsidR="00892164" w:rsidRPr="008609D1" w:rsidRDefault="00892164" w:rsidP="00D87E0B">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Bajas</w:t>
            </w:r>
          </w:p>
        </w:tc>
        <w:tc>
          <w:tcPr>
            <w:tcW w:w="1246"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6D979876" w14:textId="77777777" w:rsidR="00892164" w:rsidRPr="008609D1" w:rsidRDefault="00892164" w:rsidP="00D87E0B">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Traspasos</w:t>
            </w:r>
          </w:p>
        </w:tc>
        <w:tc>
          <w:tcPr>
            <w:tcW w:w="1246"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6BC0CE7E" w14:textId="4F5A0636" w:rsidR="00892164" w:rsidRPr="008609D1" w:rsidRDefault="00892164" w:rsidP="00D87E0B">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Valor bruto</w:t>
            </w:r>
            <w:r w:rsidRPr="008609D1">
              <w:rPr>
                <w:rFonts w:ascii="ITC Avant Garde" w:eastAsia="Times New Roman" w:hAnsi="ITC Avant Garde" w:cs="Arial"/>
                <w:b/>
                <w:color w:val="FFFFFF" w:themeColor="background1"/>
                <w:sz w:val="20"/>
                <w:lang w:val="es-ES" w:eastAsia="es-ES"/>
              </w:rPr>
              <w:br/>
              <w:t>31-d</w:t>
            </w:r>
            <w:r w:rsidR="00F5266E">
              <w:rPr>
                <w:rFonts w:ascii="ITC Avant Garde" w:eastAsia="Times New Roman" w:hAnsi="ITC Avant Garde" w:cs="Arial"/>
                <w:b/>
                <w:color w:val="FFFFFF" w:themeColor="background1"/>
                <w:sz w:val="20"/>
                <w:lang w:val="es-ES" w:eastAsia="es-ES"/>
              </w:rPr>
              <w:t>i</w:t>
            </w:r>
            <w:r w:rsidRPr="008609D1">
              <w:rPr>
                <w:rFonts w:ascii="ITC Avant Garde" w:eastAsia="Times New Roman" w:hAnsi="ITC Avant Garde" w:cs="Arial"/>
                <w:b/>
                <w:color w:val="FFFFFF" w:themeColor="background1"/>
                <w:sz w:val="20"/>
                <w:lang w:val="es-ES" w:eastAsia="es-ES"/>
              </w:rPr>
              <w:t>c</w:t>
            </w:r>
            <w:r w:rsidRPr="008609D1">
              <w:rPr>
                <w:rFonts w:ascii="ITC Avant Garde" w:eastAsia="Times New Roman" w:hAnsi="ITC Avant Garde" w:cs="Arial"/>
                <w:b/>
                <w:color w:val="FFFFFF" w:themeColor="background1"/>
                <w:sz w:val="20"/>
                <w:lang w:val="es-ES" w:eastAsia="es-ES"/>
              </w:rPr>
              <w:br/>
              <w:t>(</w:t>
            </w:r>
            <w:r w:rsidRPr="008609D1">
              <w:rPr>
                <w:rFonts w:ascii="ITC Avant Garde" w:hAnsi="ITC Avant Garde"/>
                <w:b/>
                <w:color w:val="FFFFFF" w:themeColor="background1"/>
                <w:sz w:val="18"/>
                <w:lang w:val="es-ES"/>
              </w:rPr>
              <w:t>ejercicio analizado</w:t>
            </w:r>
            <w:r w:rsidRPr="008609D1">
              <w:rPr>
                <w:rFonts w:ascii="ITC Avant Garde" w:eastAsia="Times New Roman" w:hAnsi="ITC Avant Garde" w:cs="Arial"/>
                <w:b/>
                <w:color w:val="FFFFFF" w:themeColor="background1"/>
                <w:sz w:val="20"/>
                <w:lang w:val="es-ES" w:eastAsia="es-ES"/>
              </w:rPr>
              <w:t>)</w:t>
            </w:r>
          </w:p>
        </w:tc>
      </w:tr>
      <w:tr w:rsidR="007304F5" w:rsidRPr="008609D1" w14:paraId="07B3464A" w14:textId="77777777" w:rsidTr="000E069D">
        <w:trPr>
          <w:trHeight w:val="300"/>
          <w:jc w:val="center"/>
        </w:trPr>
        <w:tc>
          <w:tcPr>
            <w:tcW w:w="3556" w:type="dxa"/>
            <w:tcBorders>
              <w:top w:val="single" w:sz="4" w:space="0" w:color="244062"/>
              <w:left w:val="nil"/>
              <w:bottom w:val="single" w:sz="4" w:space="0" w:color="244062"/>
              <w:right w:val="nil"/>
            </w:tcBorders>
            <w:shd w:val="clear" w:color="auto" w:fill="E5E9EB"/>
            <w:noWrap/>
            <w:vAlign w:val="center"/>
            <w:hideMark/>
          </w:tcPr>
          <w:p w14:paraId="511B77D0" w14:textId="77777777" w:rsidR="00892164" w:rsidRPr="008609D1" w:rsidRDefault="00892164" w:rsidP="001735D4">
            <w:pPr>
              <w:keepNext/>
              <w:keepLines/>
              <w:spacing w:before="40" w:after="40" w:line="240" w:lineRule="auto"/>
              <w:rPr>
                <w:rFonts w:ascii="ITC Avant Garde" w:hAnsi="ITC Avant Garde"/>
                <w:b/>
                <w:sz w:val="20"/>
                <w:lang w:val="es-ES"/>
              </w:rPr>
            </w:pPr>
            <w:r w:rsidRPr="008609D1">
              <w:rPr>
                <w:rFonts w:ascii="ITC Avant Garde" w:hAnsi="ITC Avant Garde"/>
                <w:b/>
                <w:sz w:val="20"/>
                <w:lang w:val="es-ES"/>
              </w:rPr>
              <w:t>Activos Intangibles</w:t>
            </w:r>
          </w:p>
        </w:tc>
        <w:tc>
          <w:tcPr>
            <w:tcW w:w="1246" w:type="dxa"/>
            <w:tcBorders>
              <w:top w:val="single" w:sz="4" w:space="0" w:color="244062"/>
              <w:left w:val="nil"/>
              <w:bottom w:val="single" w:sz="4" w:space="0" w:color="244062"/>
              <w:right w:val="nil"/>
            </w:tcBorders>
            <w:shd w:val="clear" w:color="auto" w:fill="E5E9EB"/>
            <w:noWrap/>
            <w:vAlign w:val="center"/>
          </w:tcPr>
          <w:p w14:paraId="25D05635"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14:paraId="4487FB75"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14:paraId="2FC686EE"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14:paraId="6E33209D"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14:paraId="3A77242B"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892164" w:rsidRPr="008609D1" w14:paraId="7442B212" w14:textId="77777777" w:rsidTr="000E069D">
        <w:trPr>
          <w:trHeight w:val="300"/>
          <w:jc w:val="center"/>
        </w:trPr>
        <w:tc>
          <w:tcPr>
            <w:tcW w:w="3556" w:type="dxa"/>
            <w:tcBorders>
              <w:top w:val="single" w:sz="4" w:space="0" w:color="244062"/>
              <w:left w:val="nil"/>
              <w:bottom w:val="single" w:sz="4" w:space="0" w:color="244062"/>
              <w:right w:val="nil"/>
            </w:tcBorders>
            <w:shd w:val="clear" w:color="auto" w:fill="D0D1DB"/>
            <w:noWrap/>
            <w:vAlign w:val="center"/>
            <w:hideMark/>
          </w:tcPr>
          <w:p w14:paraId="039C2EFF" w14:textId="77777777" w:rsidR="00892164" w:rsidRPr="008609D1" w:rsidRDefault="00892164" w:rsidP="001735D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Propiedad industrial</w:t>
            </w:r>
          </w:p>
        </w:tc>
        <w:tc>
          <w:tcPr>
            <w:tcW w:w="1246" w:type="dxa"/>
            <w:tcBorders>
              <w:top w:val="single" w:sz="4" w:space="0" w:color="244062"/>
              <w:left w:val="nil"/>
              <w:bottom w:val="single" w:sz="4" w:space="0" w:color="244062"/>
              <w:right w:val="nil"/>
            </w:tcBorders>
            <w:noWrap/>
            <w:vAlign w:val="center"/>
          </w:tcPr>
          <w:p w14:paraId="19C3A343"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015B04C8"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1BD30C0E"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0A822CB0"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3EF91260"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892164" w:rsidRPr="008609D1" w14:paraId="6453FB06" w14:textId="77777777" w:rsidTr="000E069D">
        <w:trPr>
          <w:trHeight w:val="300"/>
          <w:jc w:val="center"/>
        </w:trPr>
        <w:tc>
          <w:tcPr>
            <w:tcW w:w="3556" w:type="dxa"/>
            <w:tcBorders>
              <w:top w:val="single" w:sz="4" w:space="0" w:color="244062"/>
              <w:left w:val="nil"/>
              <w:bottom w:val="single" w:sz="4" w:space="0" w:color="244062"/>
              <w:right w:val="nil"/>
            </w:tcBorders>
            <w:shd w:val="clear" w:color="auto" w:fill="D0D1DB"/>
            <w:noWrap/>
            <w:vAlign w:val="center"/>
            <w:hideMark/>
          </w:tcPr>
          <w:p w14:paraId="3DB63FBF" w14:textId="77777777" w:rsidR="00892164" w:rsidRPr="008609D1" w:rsidRDefault="00892164" w:rsidP="001735D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Aplicaciones informáticas</w:t>
            </w:r>
          </w:p>
        </w:tc>
        <w:tc>
          <w:tcPr>
            <w:tcW w:w="1246" w:type="dxa"/>
            <w:tcBorders>
              <w:top w:val="single" w:sz="4" w:space="0" w:color="244062"/>
              <w:left w:val="nil"/>
              <w:bottom w:val="single" w:sz="4" w:space="0" w:color="244062"/>
              <w:right w:val="nil"/>
            </w:tcBorders>
            <w:noWrap/>
            <w:vAlign w:val="center"/>
          </w:tcPr>
          <w:p w14:paraId="13B848BF"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1FCB905F"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5F6E3CD7"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2320E404"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3FD8341C"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892164" w:rsidRPr="008609D1" w14:paraId="1264165A" w14:textId="77777777" w:rsidTr="000E069D">
        <w:trPr>
          <w:trHeight w:val="300"/>
          <w:jc w:val="center"/>
        </w:trPr>
        <w:tc>
          <w:tcPr>
            <w:tcW w:w="3556" w:type="dxa"/>
            <w:tcBorders>
              <w:top w:val="single" w:sz="4" w:space="0" w:color="244062"/>
              <w:left w:val="nil"/>
              <w:bottom w:val="single" w:sz="4" w:space="0" w:color="244062"/>
              <w:right w:val="nil"/>
            </w:tcBorders>
            <w:shd w:val="clear" w:color="auto" w:fill="D0D1DB"/>
            <w:noWrap/>
            <w:vAlign w:val="center"/>
            <w:hideMark/>
          </w:tcPr>
          <w:p w14:paraId="04D201C1" w14:textId="77777777" w:rsidR="00892164" w:rsidRPr="008609D1" w:rsidRDefault="00892164" w:rsidP="001735D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246" w:type="dxa"/>
            <w:tcBorders>
              <w:top w:val="single" w:sz="4" w:space="0" w:color="244062"/>
              <w:left w:val="nil"/>
              <w:bottom w:val="single" w:sz="4" w:space="0" w:color="244062"/>
              <w:right w:val="nil"/>
            </w:tcBorders>
            <w:noWrap/>
            <w:vAlign w:val="center"/>
          </w:tcPr>
          <w:p w14:paraId="079A0429"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3A9E5177"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66A82163"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5B15C707"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6D813F3E"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6D3E53CF" w14:textId="77777777" w:rsidTr="000E069D">
        <w:trPr>
          <w:trHeight w:val="300"/>
          <w:jc w:val="center"/>
        </w:trPr>
        <w:tc>
          <w:tcPr>
            <w:tcW w:w="3556" w:type="dxa"/>
            <w:tcBorders>
              <w:top w:val="single" w:sz="4" w:space="0" w:color="244062"/>
              <w:left w:val="nil"/>
              <w:bottom w:val="single" w:sz="4" w:space="0" w:color="244062"/>
              <w:right w:val="nil"/>
            </w:tcBorders>
            <w:shd w:val="clear" w:color="auto" w:fill="E5E9EB"/>
            <w:noWrap/>
            <w:vAlign w:val="center"/>
            <w:hideMark/>
          </w:tcPr>
          <w:p w14:paraId="24BA32AB" w14:textId="77777777" w:rsidR="00892164" w:rsidRPr="008609D1" w:rsidRDefault="00892164" w:rsidP="001735D4">
            <w:pPr>
              <w:keepNext/>
              <w:keepLines/>
              <w:spacing w:before="40" w:after="40" w:line="240" w:lineRule="auto"/>
              <w:rPr>
                <w:rFonts w:ascii="ITC Avant Garde" w:hAnsi="ITC Avant Garde"/>
                <w:b/>
                <w:sz w:val="20"/>
                <w:lang w:val="es-ES"/>
              </w:rPr>
            </w:pPr>
            <w:r w:rsidRPr="008609D1">
              <w:rPr>
                <w:rFonts w:ascii="ITC Avant Garde" w:hAnsi="ITC Avant Garde"/>
                <w:b/>
                <w:sz w:val="20"/>
                <w:lang w:val="es-ES"/>
              </w:rPr>
              <w:t>Activos Tangibles</w:t>
            </w:r>
          </w:p>
        </w:tc>
        <w:tc>
          <w:tcPr>
            <w:tcW w:w="1246" w:type="dxa"/>
            <w:tcBorders>
              <w:top w:val="single" w:sz="4" w:space="0" w:color="244062"/>
              <w:left w:val="nil"/>
              <w:bottom w:val="single" w:sz="4" w:space="0" w:color="244062"/>
              <w:right w:val="nil"/>
            </w:tcBorders>
            <w:shd w:val="clear" w:color="auto" w:fill="E5E9EB"/>
            <w:noWrap/>
            <w:vAlign w:val="center"/>
          </w:tcPr>
          <w:p w14:paraId="163697E6"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14:paraId="476E1ADC"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14:paraId="66094EA0"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14:paraId="0E1A2EC3"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14:paraId="1D80B221"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892164" w:rsidRPr="008609D1" w14:paraId="44E60299" w14:textId="77777777" w:rsidTr="000E069D">
        <w:trPr>
          <w:trHeight w:val="300"/>
          <w:jc w:val="center"/>
        </w:trPr>
        <w:tc>
          <w:tcPr>
            <w:tcW w:w="3556" w:type="dxa"/>
            <w:tcBorders>
              <w:top w:val="single" w:sz="4" w:space="0" w:color="244062"/>
              <w:left w:val="nil"/>
              <w:bottom w:val="single" w:sz="4" w:space="0" w:color="244062"/>
              <w:right w:val="nil"/>
            </w:tcBorders>
            <w:shd w:val="clear" w:color="auto" w:fill="D0D1DB"/>
            <w:noWrap/>
            <w:vAlign w:val="center"/>
            <w:hideMark/>
          </w:tcPr>
          <w:p w14:paraId="0B221268" w14:textId="77777777" w:rsidR="00892164" w:rsidRPr="008609D1" w:rsidRDefault="00DC7A5C" w:rsidP="001735D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Inversión en t</w:t>
            </w:r>
            <w:r w:rsidR="00892164" w:rsidRPr="008609D1">
              <w:rPr>
                <w:rFonts w:ascii="ITC Avant Garde" w:eastAsia="Times New Roman" w:hAnsi="ITC Avant Garde" w:cs="Arial"/>
                <w:sz w:val="20"/>
                <w:lang w:val="es-ES" w:eastAsia="es-ES"/>
              </w:rPr>
              <w:t xml:space="preserve">errenos y </w:t>
            </w:r>
            <w:r w:rsidRPr="008609D1">
              <w:rPr>
                <w:rFonts w:ascii="ITC Avant Garde" w:eastAsia="Times New Roman" w:hAnsi="ITC Avant Garde" w:cs="Arial"/>
                <w:sz w:val="20"/>
                <w:lang w:val="es-ES" w:eastAsia="es-ES"/>
              </w:rPr>
              <w:t>edificios</w:t>
            </w:r>
          </w:p>
        </w:tc>
        <w:tc>
          <w:tcPr>
            <w:tcW w:w="1246" w:type="dxa"/>
            <w:tcBorders>
              <w:top w:val="single" w:sz="4" w:space="0" w:color="244062"/>
              <w:left w:val="nil"/>
              <w:bottom w:val="single" w:sz="4" w:space="0" w:color="244062"/>
              <w:right w:val="nil"/>
            </w:tcBorders>
            <w:noWrap/>
            <w:vAlign w:val="center"/>
          </w:tcPr>
          <w:p w14:paraId="3528C9F8"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78D8ECAF"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34FCDB41"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637412D2"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7702E3B1"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892164" w:rsidRPr="008609D1" w14:paraId="4EC776EA" w14:textId="77777777" w:rsidTr="000E069D">
        <w:trPr>
          <w:trHeight w:val="300"/>
          <w:jc w:val="center"/>
        </w:trPr>
        <w:tc>
          <w:tcPr>
            <w:tcW w:w="3556" w:type="dxa"/>
            <w:tcBorders>
              <w:top w:val="single" w:sz="4" w:space="0" w:color="244062"/>
              <w:left w:val="nil"/>
              <w:bottom w:val="single" w:sz="4" w:space="0" w:color="244062"/>
              <w:right w:val="nil"/>
            </w:tcBorders>
            <w:shd w:val="clear" w:color="auto" w:fill="D0D1DB"/>
            <w:noWrap/>
            <w:vAlign w:val="center"/>
            <w:hideMark/>
          </w:tcPr>
          <w:p w14:paraId="46FE86D1" w14:textId="77777777" w:rsidR="00892164" w:rsidRPr="008609D1" w:rsidRDefault="00892164" w:rsidP="001735D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Sistemas de alimentación de energía</w:t>
            </w:r>
          </w:p>
        </w:tc>
        <w:tc>
          <w:tcPr>
            <w:tcW w:w="1246" w:type="dxa"/>
            <w:tcBorders>
              <w:top w:val="single" w:sz="4" w:space="0" w:color="244062"/>
              <w:left w:val="nil"/>
              <w:bottom w:val="single" w:sz="4" w:space="0" w:color="244062"/>
              <w:right w:val="nil"/>
            </w:tcBorders>
            <w:noWrap/>
            <w:vAlign w:val="center"/>
          </w:tcPr>
          <w:p w14:paraId="2D86D499"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2896AECD"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37BCB14F"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5CEAFE70"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3E2FE741"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892164" w:rsidRPr="008609D1" w14:paraId="0821A6C4" w14:textId="77777777" w:rsidTr="000E069D">
        <w:trPr>
          <w:trHeight w:val="300"/>
          <w:jc w:val="center"/>
        </w:trPr>
        <w:tc>
          <w:tcPr>
            <w:tcW w:w="3556" w:type="dxa"/>
            <w:tcBorders>
              <w:top w:val="single" w:sz="4" w:space="0" w:color="244062"/>
              <w:left w:val="nil"/>
              <w:bottom w:val="single" w:sz="4" w:space="0" w:color="244062"/>
              <w:right w:val="nil"/>
            </w:tcBorders>
            <w:shd w:val="clear" w:color="auto" w:fill="D0D1DB"/>
            <w:noWrap/>
            <w:vAlign w:val="center"/>
            <w:hideMark/>
          </w:tcPr>
          <w:p w14:paraId="5529C1BA" w14:textId="77777777" w:rsidR="00892164" w:rsidRPr="008609D1" w:rsidRDefault="00DC7A5C" w:rsidP="001735D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w:t>
            </w:r>
            <w:r w:rsidR="00892164" w:rsidRPr="008609D1">
              <w:rPr>
                <w:rFonts w:ascii="ITC Avant Garde" w:eastAsia="Times New Roman" w:hAnsi="ITC Avant Garde" w:cs="Arial"/>
                <w:sz w:val="20"/>
                <w:lang w:val="es-ES" w:eastAsia="es-ES"/>
              </w:rPr>
              <w:t xml:space="preserve">cometida </w:t>
            </w:r>
            <w:r w:rsidRPr="008609D1">
              <w:rPr>
                <w:rFonts w:ascii="ITC Avant Garde" w:eastAsia="Times New Roman" w:hAnsi="ITC Avant Garde" w:cs="Arial"/>
                <w:sz w:val="20"/>
                <w:lang w:val="es-ES" w:eastAsia="es-ES"/>
              </w:rPr>
              <w:t>o conexión al domicilio del usuario final</w:t>
            </w:r>
          </w:p>
        </w:tc>
        <w:tc>
          <w:tcPr>
            <w:tcW w:w="1246" w:type="dxa"/>
            <w:tcBorders>
              <w:top w:val="single" w:sz="4" w:space="0" w:color="244062"/>
              <w:left w:val="nil"/>
              <w:bottom w:val="single" w:sz="4" w:space="0" w:color="244062"/>
              <w:right w:val="nil"/>
            </w:tcBorders>
            <w:noWrap/>
            <w:vAlign w:val="center"/>
          </w:tcPr>
          <w:p w14:paraId="3DF9EACA"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37B128A4"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2270EC94"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6130AACD"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23156DCA"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892164" w:rsidRPr="008609D1" w14:paraId="58C97DFF" w14:textId="77777777" w:rsidTr="000E069D">
        <w:trPr>
          <w:trHeight w:val="300"/>
          <w:jc w:val="center"/>
        </w:trPr>
        <w:tc>
          <w:tcPr>
            <w:tcW w:w="3556" w:type="dxa"/>
            <w:tcBorders>
              <w:top w:val="single" w:sz="4" w:space="0" w:color="244062"/>
              <w:left w:val="nil"/>
              <w:bottom w:val="single" w:sz="4" w:space="0" w:color="244062"/>
              <w:right w:val="nil"/>
            </w:tcBorders>
            <w:shd w:val="clear" w:color="auto" w:fill="D0D1DB"/>
            <w:noWrap/>
            <w:vAlign w:val="center"/>
            <w:hideMark/>
          </w:tcPr>
          <w:p w14:paraId="0E077284" w14:textId="77777777" w:rsidR="00892164" w:rsidRPr="008609D1" w:rsidRDefault="00892164" w:rsidP="001735D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Red secundaria </w:t>
            </w:r>
            <w:r w:rsidR="00DC7A5C" w:rsidRPr="008609D1">
              <w:rPr>
                <w:rFonts w:ascii="ITC Avant Garde" w:eastAsia="Times New Roman" w:hAnsi="ITC Avant Garde" w:cs="Arial"/>
                <w:sz w:val="20"/>
                <w:lang w:val="es-ES" w:eastAsia="es-ES"/>
              </w:rPr>
              <w:t>de</w:t>
            </w:r>
            <w:r w:rsidRPr="008609D1">
              <w:rPr>
                <w:rFonts w:ascii="ITC Avant Garde" w:eastAsia="Times New Roman" w:hAnsi="ITC Avant Garde" w:cs="Arial"/>
                <w:sz w:val="20"/>
                <w:lang w:val="es-ES" w:eastAsia="es-ES"/>
              </w:rPr>
              <w:t xml:space="preserve"> cobre</w:t>
            </w:r>
          </w:p>
        </w:tc>
        <w:tc>
          <w:tcPr>
            <w:tcW w:w="1246" w:type="dxa"/>
            <w:tcBorders>
              <w:top w:val="single" w:sz="4" w:space="0" w:color="244062"/>
              <w:left w:val="nil"/>
              <w:bottom w:val="single" w:sz="4" w:space="0" w:color="244062"/>
              <w:right w:val="nil"/>
            </w:tcBorders>
            <w:noWrap/>
            <w:vAlign w:val="center"/>
          </w:tcPr>
          <w:p w14:paraId="4EC0E61A"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59485D78"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48369F42"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72887892"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788671D2"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892164" w:rsidRPr="008609D1" w14:paraId="689F3695" w14:textId="77777777" w:rsidTr="000E069D">
        <w:trPr>
          <w:trHeight w:val="300"/>
          <w:jc w:val="center"/>
        </w:trPr>
        <w:tc>
          <w:tcPr>
            <w:tcW w:w="3556" w:type="dxa"/>
            <w:tcBorders>
              <w:top w:val="single" w:sz="4" w:space="0" w:color="244062"/>
              <w:left w:val="nil"/>
              <w:bottom w:val="single" w:sz="4" w:space="0" w:color="244062"/>
              <w:right w:val="nil"/>
            </w:tcBorders>
            <w:shd w:val="clear" w:color="auto" w:fill="D0D1DB"/>
            <w:noWrap/>
            <w:vAlign w:val="center"/>
            <w:hideMark/>
          </w:tcPr>
          <w:p w14:paraId="44F39174" w14:textId="77777777" w:rsidR="00892164" w:rsidRPr="008609D1" w:rsidRDefault="00892164" w:rsidP="001735D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246" w:type="dxa"/>
            <w:tcBorders>
              <w:top w:val="single" w:sz="4" w:space="0" w:color="244062"/>
              <w:left w:val="nil"/>
              <w:bottom w:val="single" w:sz="4" w:space="0" w:color="244062"/>
              <w:right w:val="nil"/>
            </w:tcBorders>
            <w:noWrap/>
            <w:vAlign w:val="center"/>
          </w:tcPr>
          <w:p w14:paraId="4F1FE59B"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15B85CAE"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5CC82BDE"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0647C762"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noWrap/>
            <w:vAlign w:val="center"/>
          </w:tcPr>
          <w:p w14:paraId="0AB8A504"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6C1C818A" w14:textId="77777777" w:rsidTr="000E069D">
        <w:trPr>
          <w:trHeight w:val="300"/>
          <w:jc w:val="center"/>
        </w:trPr>
        <w:tc>
          <w:tcPr>
            <w:tcW w:w="3556" w:type="dxa"/>
            <w:tcBorders>
              <w:top w:val="single" w:sz="4" w:space="0" w:color="244062"/>
              <w:left w:val="nil"/>
              <w:bottom w:val="single" w:sz="4" w:space="0" w:color="244062"/>
              <w:right w:val="nil"/>
            </w:tcBorders>
            <w:shd w:val="clear" w:color="auto" w:fill="E5E9EB"/>
            <w:noWrap/>
            <w:vAlign w:val="center"/>
            <w:hideMark/>
          </w:tcPr>
          <w:p w14:paraId="3EFDF1CF" w14:textId="77777777" w:rsidR="00892164" w:rsidRPr="008609D1" w:rsidRDefault="00892164" w:rsidP="001735D4">
            <w:pPr>
              <w:keepNext/>
              <w:keepLines/>
              <w:spacing w:before="40" w:after="40" w:line="240" w:lineRule="auto"/>
              <w:rPr>
                <w:rFonts w:ascii="ITC Avant Garde" w:hAnsi="ITC Avant Garde"/>
                <w:b/>
                <w:sz w:val="20"/>
                <w:lang w:val="es-ES"/>
              </w:rPr>
            </w:pPr>
            <w:r w:rsidRPr="008609D1">
              <w:rPr>
                <w:rFonts w:ascii="ITC Avant Garde" w:hAnsi="ITC Avant Garde"/>
                <w:b/>
                <w:sz w:val="20"/>
                <w:lang w:val="es-ES"/>
              </w:rPr>
              <w:t>TOTAL</w:t>
            </w:r>
          </w:p>
        </w:tc>
        <w:tc>
          <w:tcPr>
            <w:tcW w:w="1246" w:type="dxa"/>
            <w:tcBorders>
              <w:top w:val="single" w:sz="4" w:space="0" w:color="244062"/>
              <w:left w:val="nil"/>
              <w:bottom w:val="single" w:sz="4" w:space="0" w:color="244062"/>
              <w:right w:val="nil"/>
            </w:tcBorders>
            <w:shd w:val="clear" w:color="auto" w:fill="E5E9EB"/>
            <w:noWrap/>
            <w:vAlign w:val="center"/>
          </w:tcPr>
          <w:p w14:paraId="2F325975"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14:paraId="399EAD61"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14:paraId="176E2DD8"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14:paraId="78E17582"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246" w:type="dxa"/>
            <w:tcBorders>
              <w:top w:val="single" w:sz="4" w:space="0" w:color="244062"/>
              <w:left w:val="nil"/>
              <w:bottom w:val="single" w:sz="4" w:space="0" w:color="244062"/>
              <w:right w:val="nil"/>
            </w:tcBorders>
            <w:shd w:val="clear" w:color="auto" w:fill="E5E9EB"/>
            <w:noWrap/>
            <w:vAlign w:val="center"/>
          </w:tcPr>
          <w:p w14:paraId="7C65E559"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r>
    </w:tbl>
    <w:p w14:paraId="1E83E523" w14:textId="77777777" w:rsidR="00892164" w:rsidRPr="008609D1" w:rsidRDefault="00892164" w:rsidP="007304F5">
      <w:pPr>
        <w:pStyle w:val="A3L2"/>
      </w:pPr>
      <w:bookmarkStart w:id="198" w:name="_Toc475468526"/>
      <w:bookmarkStart w:id="199" w:name="_Toc477515037"/>
      <w:bookmarkStart w:id="200" w:name="_Toc478774521"/>
      <w:r w:rsidRPr="008609D1">
        <w:t>Informe de valoración a costos actuales</w:t>
      </w:r>
      <w:bookmarkEnd w:id="198"/>
      <w:bookmarkEnd w:id="199"/>
      <w:bookmarkEnd w:id="200"/>
    </w:p>
    <w:p w14:paraId="44FA22D1" w14:textId="77777777" w:rsidR="00892164" w:rsidRDefault="00892164" w:rsidP="00892164">
      <w:pPr>
        <w:pStyle w:val="Normalresolucion"/>
      </w:pPr>
      <w:r w:rsidRPr="008609D1">
        <w:t>Por último, en este reporte se deberán incluir los detalles de la valoración a costos actuales por activo, en aquellos casos en que se haya seguido el procedimiento de valoración absoluta, tal y como se detalla a continuación:</w:t>
      </w:r>
    </w:p>
    <w:p w14:paraId="47992792" w14:textId="77777777" w:rsidR="0041411A" w:rsidRDefault="0041411A" w:rsidP="00892164">
      <w:pPr>
        <w:pStyle w:val="Normalresolucion"/>
      </w:pPr>
    </w:p>
    <w:p w14:paraId="3EF2F8B6" w14:textId="77777777" w:rsidR="0041411A" w:rsidRDefault="0041411A" w:rsidP="00892164">
      <w:pPr>
        <w:pStyle w:val="Normalresolucion"/>
      </w:pPr>
    </w:p>
    <w:p w14:paraId="0A3C4273" w14:textId="77777777" w:rsidR="0041411A" w:rsidRDefault="0041411A" w:rsidP="00892164">
      <w:pPr>
        <w:pStyle w:val="Normalresolucion"/>
      </w:pPr>
    </w:p>
    <w:p w14:paraId="44CDF192" w14:textId="77777777" w:rsidR="0041411A" w:rsidRDefault="0041411A" w:rsidP="00892164">
      <w:pPr>
        <w:pStyle w:val="Normalresolucion"/>
      </w:pPr>
    </w:p>
    <w:p w14:paraId="2BB945EE" w14:textId="77777777" w:rsidR="0041411A" w:rsidRDefault="0041411A" w:rsidP="00892164">
      <w:pPr>
        <w:pStyle w:val="Normalresolucion"/>
      </w:pPr>
    </w:p>
    <w:p w14:paraId="7DBC97C5" w14:textId="77777777" w:rsidR="0041411A" w:rsidRDefault="0041411A" w:rsidP="00892164">
      <w:pPr>
        <w:pStyle w:val="Normalresolucion"/>
      </w:pPr>
    </w:p>
    <w:p w14:paraId="7BDA8F42" w14:textId="77777777" w:rsidR="0041411A" w:rsidRPr="008609D1" w:rsidRDefault="0041411A" w:rsidP="0041411A">
      <w:pPr>
        <w:pStyle w:val="Descripcin"/>
        <w:spacing w:after="240" w:line="240" w:lineRule="auto"/>
        <w:rPr>
          <w:rFonts w:ascii="ITC Avant Garde" w:hAnsi="ITC Avant Garde"/>
          <w:iCs/>
          <w:sz w:val="20"/>
          <w:lang w:val="es-MX"/>
        </w:rPr>
      </w:pPr>
      <w:r w:rsidRPr="008609D1">
        <w:rPr>
          <w:rFonts w:ascii="ITC Avant Garde" w:hAnsi="ITC Avant Garde"/>
          <w:iCs/>
          <w:sz w:val="20"/>
          <w:lang w:val="es-MX"/>
        </w:rPr>
        <w:lastRenderedPageBreak/>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18</w:t>
      </w:r>
      <w:r w:rsidRPr="008609D1">
        <w:rPr>
          <w:rFonts w:ascii="ITC Avant Garde" w:hAnsi="ITC Avant Garde"/>
          <w:iCs/>
          <w:sz w:val="20"/>
          <w:lang w:val="es-MX"/>
        </w:rPr>
        <w:fldChar w:fldCharType="end"/>
      </w:r>
      <w:r w:rsidRPr="008609D1">
        <w:rPr>
          <w:rFonts w:ascii="ITC Avant Garde" w:hAnsi="ITC Avant Garde"/>
          <w:iCs/>
          <w:sz w:val="20"/>
          <w:lang w:val="es-MX"/>
        </w:rPr>
        <w:t>: Informe de valoración a costos actuales</w:t>
      </w:r>
    </w:p>
    <w:tbl>
      <w:tblPr>
        <w:tblW w:w="4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3"/>
        <w:gridCol w:w="1358"/>
        <w:gridCol w:w="1358"/>
        <w:gridCol w:w="1358"/>
      </w:tblGrid>
      <w:tr w:rsidR="007304F5" w:rsidRPr="008609D1" w14:paraId="2D82CED0" w14:textId="77777777" w:rsidTr="000E069D">
        <w:trPr>
          <w:trHeight w:val="828"/>
          <w:jc w:val="center"/>
        </w:trPr>
        <w:tc>
          <w:tcPr>
            <w:tcW w:w="3312"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4B16811E" w14:textId="77777777" w:rsidR="00892164" w:rsidRPr="008609D1" w:rsidRDefault="00892164" w:rsidP="00D87E0B">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Categoría de activo</w:t>
            </w:r>
            <w:r w:rsidRPr="008609D1">
              <w:rPr>
                <w:rStyle w:val="Refdenotaalpie"/>
                <w:rFonts w:ascii="ITC Avant Garde" w:eastAsia="Times New Roman" w:hAnsi="ITC Avant Garde" w:cs="Arial"/>
                <w:b/>
                <w:color w:val="FFFFFF" w:themeColor="background1"/>
                <w:sz w:val="20"/>
                <w:lang w:val="es-ES" w:eastAsia="es-ES"/>
              </w:rPr>
              <w:footnoteReference w:id="81"/>
            </w:r>
          </w:p>
        </w:tc>
        <w:tc>
          <w:tcPr>
            <w:tcW w:w="1380"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396449E5" w14:textId="77777777" w:rsidR="00892164" w:rsidRPr="008609D1" w:rsidRDefault="00892164" w:rsidP="00D87E0B">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Precio Unitario</w:t>
            </w:r>
          </w:p>
          <w:p w14:paraId="5773A28B" w14:textId="77777777" w:rsidR="00892164" w:rsidRPr="008609D1" w:rsidRDefault="00892164" w:rsidP="00D87E0B">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(p)</w:t>
            </w:r>
          </w:p>
        </w:tc>
        <w:tc>
          <w:tcPr>
            <w:tcW w:w="1380"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0A2F8BDC" w14:textId="77777777" w:rsidR="00892164" w:rsidRPr="008609D1" w:rsidRDefault="00892164" w:rsidP="00D87E0B">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Volumen de unidades</w:t>
            </w:r>
          </w:p>
          <w:p w14:paraId="5D1536D6" w14:textId="77777777" w:rsidR="00892164" w:rsidRPr="008609D1" w:rsidRDefault="00892164" w:rsidP="00D87E0B">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(q)</w:t>
            </w:r>
          </w:p>
        </w:tc>
        <w:tc>
          <w:tcPr>
            <w:tcW w:w="1380" w:type="dxa"/>
            <w:tcBorders>
              <w:top w:val="nil"/>
              <w:left w:val="single" w:sz="4" w:space="0" w:color="FFFFFF" w:themeColor="background1"/>
              <w:bottom w:val="single" w:sz="4" w:space="0" w:color="244062"/>
              <w:right w:val="single" w:sz="4" w:space="0" w:color="FFFFFF" w:themeColor="background1"/>
            </w:tcBorders>
            <w:shd w:val="clear" w:color="auto" w:fill="4F629B"/>
            <w:vAlign w:val="center"/>
            <w:hideMark/>
          </w:tcPr>
          <w:p w14:paraId="11E58743" w14:textId="77777777" w:rsidR="00892164" w:rsidRPr="008609D1" w:rsidRDefault="00892164" w:rsidP="00D87E0B">
            <w:pPr>
              <w:keepNext/>
              <w:keepLines/>
              <w:spacing w:before="40" w:after="4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Valor de reposición (pxq)</w:t>
            </w:r>
          </w:p>
        </w:tc>
      </w:tr>
      <w:tr w:rsidR="007304F5" w:rsidRPr="008609D1" w14:paraId="39EC4302" w14:textId="77777777" w:rsidTr="000E069D">
        <w:trPr>
          <w:trHeight w:val="300"/>
          <w:jc w:val="center"/>
        </w:trPr>
        <w:tc>
          <w:tcPr>
            <w:tcW w:w="3312" w:type="dxa"/>
            <w:tcBorders>
              <w:top w:val="single" w:sz="4" w:space="0" w:color="244062"/>
              <w:left w:val="nil"/>
              <w:bottom w:val="single" w:sz="4" w:space="0" w:color="244062"/>
              <w:right w:val="nil"/>
            </w:tcBorders>
            <w:shd w:val="clear" w:color="auto" w:fill="E5E9EB"/>
            <w:noWrap/>
            <w:vAlign w:val="center"/>
            <w:hideMark/>
          </w:tcPr>
          <w:p w14:paraId="0E44C141" w14:textId="77777777" w:rsidR="00892164" w:rsidRPr="008609D1" w:rsidRDefault="00892164" w:rsidP="001735D4">
            <w:pPr>
              <w:keepNext/>
              <w:keepLines/>
              <w:spacing w:before="40" w:after="40" w:line="240" w:lineRule="auto"/>
              <w:rPr>
                <w:rFonts w:ascii="ITC Avant Garde" w:hAnsi="ITC Avant Garde"/>
                <w:b/>
                <w:sz w:val="20"/>
                <w:lang w:val="es-ES"/>
              </w:rPr>
            </w:pPr>
            <w:r w:rsidRPr="008609D1">
              <w:rPr>
                <w:rFonts w:ascii="ITC Avant Garde" w:hAnsi="ITC Avant Garde"/>
                <w:b/>
                <w:sz w:val="20"/>
                <w:lang w:val="es-ES"/>
              </w:rPr>
              <w:t>Activos Intangibles</w:t>
            </w:r>
          </w:p>
        </w:tc>
        <w:tc>
          <w:tcPr>
            <w:tcW w:w="1380" w:type="dxa"/>
            <w:tcBorders>
              <w:top w:val="single" w:sz="4" w:space="0" w:color="244062"/>
              <w:left w:val="nil"/>
              <w:bottom w:val="single" w:sz="4" w:space="0" w:color="244062"/>
              <w:right w:val="nil"/>
            </w:tcBorders>
            <w:shd w:val="clear" w:color="auto" w:fill="E5E9EB"/>
            <w:noWrap/>
            <w:vAlign w:val="center"/>
          </w:tcPr>
          <w:p w14:paraId="7EB69D39"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shd w:val="clear" w:color="auto" w:fill="E5E9EB"/>
            <w:noWrap/>
            <w:vAlign w:val="center"/>
          </w:tcPr>
          <w:p w14:paraId="3EBA7FE7"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shd w:val="clear" w:color="auto" w:fill="E5E9EB"/>
            <w:noWrap/>
            <w:vAlign w:val="center"/>
          </w:tcPr>
          <w:p w14:paraId="13C9A5D9"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892164" w:rsidRPr="008609D1" w14:paraId="0F09DC0E" w14:textId="77777777" w:rsidTr="000E069D">
        <w:trPr>
          <w:trHeight w:val="300"/>
          <w:jc w:val="center"/>
        </w:trPr>
        <w:tc>
          <w:tcPr>
            <w:tcW w:w="3312" w:type="dxa"/>
            <w:tcBorders>
              <w:top w:val="single" w:sz="4" w:space="0" w:color="244062"/>
              <w:left w:val="nil"/>
              <w:bottom w:val="single" w:sz="4" w:space="0" w:color="244062"/>
              <w:right w:val="nil"/>
            </w:tcBorders>
            <w:shd w:val="clear" w:color="auto" w:fill="D0D1DB"/>
            <w:noWrap/>
            <w:vAlign w:val="center"/>
            <w:hideMark/>
          </w:tcPr>
          <w:p w14:paraId="37D38103" w14:textId="77777777" w:rsidR="00892164" w:rsidRPr="008609D1" w:rsidRDefault="00892164" w:rsidP="001735D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Propiedad industrial</w:t>
            </w:r>
          </w:p>
        </w:tc>
        <w:tc>
          <w:tcPr>
            <w:tcW w:w="1380" w:type="dxa"/>
            <w:tcBorders>
              <w:top w:val="single" w:sz="4" w:space="0" w:color="244062"/>
              <w:left w:val="nil"/>
              <w:bottom w:val="single" w:sz="4" w:space="0" w:color="244062"/>
              <w:right w:val="nil"/>
            </w:tcBorders>
            <w:noWrap/>
            <w:vAlign w:val="center"/>
          </w:tcPr>
          <w:p w14:paraId="48092F66"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14:paraId="236C37B2"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14:paraId="09A160C3"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892164" w:rsidRPr="008609D1" w14:paraId="4F6A7A58" w14:textId="77777777" w:rsidTr="000E069D">
        <w:trPr>
          <w:trHeight w:val="300"/>
          <w:jc w:val="center"/>
        </w:trPr>
        <w:tc>
          <w:tcPr>
            <w:tcW w:w="3312" w:type="dxa"/>
            <w:tcBorders>
              <w:top w:val="single" w:sz="4" w:space="0" w:color="244062"/>
              <w:left w:val="nil"/>
              <w:bottom w:val="single" w:sz="4" w:space="0" w:color="244062"/>
              <w:right w:val="nil"/>
            </w:tcBorders>
            <w:shd w:val="clear" w:color="auto" w:fill="D0D1DB"/>
            <w:noWrap/>
            <w:vAlign w:val="center"/>
            <w:hideMark/>
          </w:tcPr>
          <w:p w14:paraId="084BB5F1" w14:textId="77777777" w:rsidR="00892164" w:rsidRPr="008609D1" w:rsidRDefault="00892164" w:rsidP="001735D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Aplicaciones informáticas</w:t>
            </w:r>
          </w:p>
        </w:tc>
        <w:tc>
          <w:tcPr>
            <w:tcW w:w="1380" w:type="dxa"/>
            <w:tcBorders>
              <w:top w:val="single" w:sz="4" w:space="0" w:color="244062"/>
              <w:left w:val="nil"/>
              <w:bottom w:val="single" w:sz="4" w:space="0" w:color="244062"/>
              <w:right w:val="nil"/>
            </w:tcBorders>
            <w:noWrap/>
            <w:vAlign w:val="center"/>
          </w:tcPr>
          <w:p w14:paraId="5B8FA282"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14:paraId="305A4BC4"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14:paraId="13195F52"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892164" w:rsidRPr="008609D1" w14:paraId="33CFFE5A" w14:textId="77777777" w:rsidTr="000E069D">
        <w:trPr>
          <w:trHeight w:val="300"/>
          <w:jc w:val="center"/>
        </w:trPr>
        <w:tc>
          <w:tcPr>
            <w:tcW w:w="3312" w:type="dxa"/>
            <w:tcBorders>
              <w:top w:val="single" w:sz="4" w:space="0" w:color="244062"/>
              <w:left w:val="nil"/>
              <w:bottom w:val="single" w:sz="4" w:space="0" w:color="244062"/>
              <w:right w:val="nil"/>
            </w:tcBorders>
            <w:shd w:val="clear" w:color="auto" w:fill="D0D1DB"/>
            <w:noWrap/>
            <w:vAlign w:val="center"/>
            <w:hideMark/>
          </w:tcPr>
          <w:p w14:paraId="42E46C98" w14:textId="77777777" w:rsidR="00892164" w:rsidRPr="008609D1" w:rsidRDefault="00892164" w:rsidP="001735D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80" w:type="dxa"/>
            <w:tcBorders>
              <w:top w:val="single" w:sz="4" w:space="0" w:color="244062"/>
              <w:left w:val="nil"/>
              <w:bottom w:val="single" w:sz="4" w:space="0" w:color="244062"/>
              <w:right w:val="nil"/>
            </w:tcBorders>
            <w:noWrap/>
            <w:vAlign w:val="center"/>
          </w:tcPr>
          <w:p w14:paraId="5026C8E7"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14:paraId="7AF61CE8"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14:paraId="4EBFEC10"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r>
      <w:tr w:rsidR="007304F5" w:rsidRPr="008609D1" w14:paraId="3299FB3E" w14:textId="77777777" w:rsidTr="000E069D">
        <w:trPr>
          <w:trHeight w:val="300"/>
          <w:jc w:val="center"/>
        </w:trPr>
        <w:tc>
          <w:tcPr>
            <w:tcW w:w="3312" w:type="dxa"/>
            <w:tcBorders>
              <w:top w:val="single" w:sz="4" w:space="0" w:color="244062"/>
              <w:left w:val="nil"/>
              <w:bottom w:val="single" w:sz="4" w:space="0" w:color="244062"/>
              <w:right w:val="nil"/>
            </w:tcBorders>
            <w:shd w:val="clear" w:color="auto" w:fill="E5E9EB"/>
            <w:noWrap/>
            <w:vAlign w:val="center"/>
            <w:hideMark/>
          </w:tcPr>
          <w:p w14:paraId="4D5D82AF" w14:textId="77777777" w:rsidR="00892164" w:rsidRPr="008609D1" w:rsidRDefault="00892164" w:rsidP="001735D4">
            <w:pPr>
              <w:keepNext/>
              <w:keepLines/>
              <w:spacing w:before="40" w:after="40" w:line="240" w:lineRule="auto"/>
              <w:rPr>
                <w:rFonts w:ascii="ITC Avant Garde" w:hAnsi="ITC Avant Garde"/>
                <w:b/>
                <w:sz w:val="20"/>
                <w:lang w:val="es-ES"/>
              </w:rPr>
            </w:pPr>
            <w:r w:rsidRPr="008609D1">
              <w:rPr>
                <w:rFonts w:ascii="ITC Avant Garde" w:hAnsi="ITC Avant Garde"/>
                <w:b/>
                <w:sz w:val="20"/>
                <w:lang w:val="es-ES"/>
              </w:rPr>
              <w:t>Activos Tangibles</w:t>
            </w:r>
          </w:p>
        </w:tc>
        <w:tc>
          <w:tcPr>
            <w:tcW w:w="1380" w:type="dxa"/>
            <w:tcBorders>
              <w:top w:val="single" w:sz="4" w:space="0" w:color="244062"/>
              <w:left w:val="nil"/>
              <w:bottom w:val="single" w:sz="4" w:space="0" w:color="244062"/>
              <w:right w:val="nil"/>
            </w:tcBorders>
            <w:shd w:val="clear" w:color="auto" w:fill="E5E9EB"/>
            <w:noWrap/>
            <w:vAlign w:val="center"/>
          </w:tcPr>
          <w:p w14:paraId="176B5210"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shd w:val="clear" w:color="auto" w:fill="E5E9EB"/>
            <w:noWrap/>
            <w:vAlign w:val="center"/>
          </w:tcPr>
          <w:p w14:paraId="0B37E52A"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shd w:val="clear" w:color="auto" w:fill="E5E9EB"/>
            <w:noWrap/>
            <w:vAlign w:val="center"/>
          </w:tcPr>
          <w:p w14:paraId="7A5F3C51"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892164" w:rsidRPr="008609D1" w14:paraId="65733A4A" w14:textId="77777777" w:rsidTr="000E069D">
        <w:trPr>
          <w:trHeight w:val="300"/>
          <w:jc w:val="center"/>
        </w:trPr>
        <w:tc>
          <w:tcPr>
            <w:tcW w:w="3312" w:type="dxa"/>
            <w:tcBorders>
              <w:top w:val="single" w:sz="4" w:space="0" w:color="244062"/>
              <w:left w:val="nil"/>
              <w:bottom w:val="single" w:sz="4" w:space="0" w:color="244062"/>
              <w:right w:val="nil"/>
            </w:tcBorders>
            <w:shd w:val="clear" w:color="auto" w:fill="D0D1DB"/>
            <w:noWrap/>
            <w:vAlign w:val="center"/>
            <w:hideMark/>
          </w:tcPr>
          <w:p w14:paraId="58485143" w14:textId="77777777" w:rsidR="00892164" w:rsidRPr="008609D1" w:rsidRDefault="00DC7A5C" w:rsidP="001735D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Inversión en t</w:t>
            </w:r>
            <w:r w:rsidR="00892164" w:rsidRPr="008609D1">
              <w:rPr>
                <w:rFonts w:ascii="ITC Avant Garde" w:eastAsia="Times New Roman" w:hAnsi="ITC Avant Garde" w:cs="Arial"/>
                <w:sz w:val="20"/>
                <w:lang w:val="es-ES" w:eastAsia="es-ES"/>
              </w:rPr>
              <w:t xml:space="preserve">errenos y </w:t>
            </w:r>
            <w:r w:rsidRPr="008609D1">
              <w:rPr>
                <w:rFonts w:ascii="ITC Avant Garde" w:eastAsia="Times New Roman" w:hAnsi="ITC Avant Garde" w:cs="Arial"/>
                <w:sz w:val="20"/>
                <w:lang w:val="es-ES" w:eastAsia="es-ES"/>
              </w:rPr>
              <w:t>edificios</w:t>
            </w:r>
          </w:p>
        </w:tc>
        <w:tc>
          <w:tcPr>
            <w:tcW w:w="1380" w:type="dxa"/>
            <w:tcBorders>
              <w:top w:val="single" w:sz="4" w:space="0" w:color="244062"/>
              <w:left w:val="nil"/>
              <w:bottom w:val="single" w:sz="4" w:space="0" w:color="244062"/>
              <w:right w:val="nil"/>
            </w:tcBorders>
            <w:noWrap/>
            <w:vAlign w:val="center"/>
          </w:tcPr>
          <w:p w14:paraId="69626C13"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14:paraId="7FD914F4"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14:paraId="4605BEBD"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892164" w:rsidRPr="008609D1" w14:paraId="1EA2E3C7" w14:textId="77777777" w:rsidTr="000E069D">
        <w:trPr>
          <w:trHeight w:val="300"/>
          <w:jc w:val="center"/>
        </w:trPr>
        <w:tc>
          <w:tcPr>
            <w:tcW w:w="3312" w:type="dxa"/>
            <w:tcBorders>
              <w:top w:val="single" w:sz="4" w:space="0" w:color="244062"/>
              <w:left w:val="nil"/>
              <w:bottom w:val="single" w:sz="4" w:space="0" w:color="244062"/>
              <w:right w:val="nil"/>
            </w:tcBorders>
            <w:shd w:val="clear" w:color="auto" w:fill="D0D1DB"/>
            <w:noWrap/>
            <w:vAlign w:val="center"/>
            <w:hideMark/>
          </w:tcPr>
          <w:p w14:paraId="10901CBA" w14:textId="77777777" w:rsidR="00892164" w:rsidRPr="008609D1" w:rsidRDefault="00892164" w:rsidP="001735D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Sistemas de alimentación de energía</w:t>
            </w:r>
          </w:p>
        </w:tc>
        <w:tc>
          <w:tcPr>
            <w:tcW w:w="1380" w:type="dxa"/>
            <w:tcBorders>
              <w:top w:val="single" w:sz="4" w:space="0" w:color="244062"/>
              <w:left w:val="nil"/>
              <w:bottom w:val="single" w:sz="4" w:space="0" w:color="244062"/>
              <w:right w:val="nil"/>
            </w:tcBorders>
            <w:noWrap/>
            <w:vAlign w:val="center"/>
          </w:tcPr>
          <w:p w14:paraId="03AAB802"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14:paraId="4761CD30"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14:paraId="0E098794"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892164" w:rsidRPr="008609D1" w14:paraId="3AB189D9" w14:textId="77777777" w:rsidTr="000E069D">
        <w:trPr>
          <w:trHeight w:val="300"/>
          <w:jc w:val="center"/>
        </w:trPr>
        <w:tc>
          <w:tcPr>
            <w:tcW w:w="3312" w:type="dxa"/>
            <w:tcBorders>
              <w:top w:val="single" w:sz="4" w:space="0" w:color="244062"/>
              <w:left w:val="nil"/>
              <w:bottom w:val="single" w:sz="4" w:space="0" w:color="244062"/>
              <w:right w:val="nil"/>
            </w:tcBorders>
            <w:shd w:val="clear" w:color="auto" w:fill="D0D1DB"/>
            <w:noWrap/>
            <w:vAlign w:val="center"/>
            <w:hideMark/>
          </w:tcPr>
          <w:p w14:paraId="6A0906CF" w14:textId="77777777" w:rsidR="00892164" w:rsidRPr="008609D1" w:rsidRDefault="00892164" w:rsidP="001735D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sobre cobre</w:t>
            </w:r>
          </w:p>
        </w:tc>
        <w:tc>
          <w:tcPr>
            <w:tcW w:w="1380" w:type="dxa"/>
            <w:tcBorders>
              <w:top w:val="single" w:sz="4" w:space="0" w:color="244062"/>
              <w:left w:val="nil"/>
              <w:bottom w:val="single" w:sz="4" w:space="0" w:color="244062"/>
              <w:right w:val="nil"/>
            </w:tcBorders>
            <w:noWrap/>
            <w:vAlign w:val="center"/>
          </w:tcPr>
          <w:p w14:paraId="775711E8"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14:paraId="6256E1E6"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14:paraId="3A250EB2"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892164" w:rsidRPr="008609D1" w14:paraId="57EF80BA" w14:textId="77777777" w:rsidTr="000E069D">
        <w:trPr>
          <w:trHeight w:val="300"/>
          <w:jc w:val="center"/>
        </w:trPr>
        <w:tc>
          <w:tcPr>
            <w:tcW w:w="3312" w:type="dxa"/>
            <w:tcBorders>
              <w:top w:val="single" w:sz="4" w:space="0" w:color="244062"/>
              <w:left w:val="nil"/>
              <w:bottom w:val="single" w:sz="4" w:space="0" w:color="244062"/>
              <w:right w:val="nil"/>
            </w:tcBorders>
            <w:shd w:val="clear" w:color="auto" w:fill="D0D1DB"/>
            <w:noWrap/>
            <w:vAlign w:val="center"/>
            <w:hideMark/>
          </w:tcPr>
          <w:p w14:paraId="480212BD" w14:textId="77777777" w:rsidR="00892164" w:rsidRPr="008609D1" w:rsidRDefault="00892164" w:rsidP="001735D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Red de acceso sobre fibra</w:t>
            </w:r>
          </w:p>
        </w:tc>
        <w:tc>
          <w:tcPr>
            <w:tcW w:w="1380" w:type="dxa"/>
            <w:tcBorders>
              <w:top w:val="single" w:sz="4" w:space="0" w:color="244062"/>
              <w:left w:val="nil"/>
              <w:bottom w:val="single" w:sz="4" w:space="0" w:color="244062"/>
              <w:right w:val="nil"/>
            </w:tcBorders>
            <w:noWrap/>
            <w:vAlign w:val="center"/>
          </w:tcPr>
          <w:p w14:paraId="1295AC63"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14:paraId="13030FA2"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14:paraId="777B8022" w14:textId="77777777" w:rsidR="00892164" w:rsidRPr="008609D1" w:rsidRDefault="00892164" w:rsidP="00D87E0B">
            <w:pPr>
              <w:spacing w:before="40" w:after="40" w:line="240" w:lineRule="auto"/>
              <w:rPr>
                <w:rFonts w:ascii="ITC Avant Garde" w:eastAsia="Times New Roman" w:hAnsi="ITC Avant Garde" w:cs="Arial"/>
                <w:sz w:val="20"/>
                <w:lang w:val="es-ES" w:eastAsia="es-ES"/>
              </w:rPr>
            </w:pPr>
          </w:p>
        </w:tc>
      </w:tr>
      <w:tr w:rsidR="00892164" w:rsidRPr="008609D1" w14:paraId="105233BD" w14:textId="77777777" w:rsidTr="000E069D">
        <w:trPr>
          <w:trHeight w:val="300"/>
          <w:jc w:val="center"/>
        </w:trPr>
        <w:tc>
          <w:tcPr>
            <w:tcW w:w="3312" w:type="dxa"/>
            <w:tcBorders>
              <w:top w:val="single" w:sz="4" w:space="0" w:color="244062"/>
              <w:left w:val="nil"/>
              <w:bottom w:val="single" w:sz="4" w:space="0" w:color="244062"/>
              <w:right w:val="nil"/>
            </w:tcBorders>
            <w:shd w:val="clear" w:color="auto" w:fill="D0D1DB"/>
            <w:noWrap/>
            <w:vAlign w:val="center"/>
            <w:hideMark/>
          </w:tcPr>
          <w:p w14:paraId="1A2A3A76" w14:textId="77777777" w:rsidR="00892164" w:rsidRPr="008609D1" w:rsidRDefault="00892164" w:rsidP="001735D4">
            <w:pPr>
              <w:keepNext/>
              <w:keepLines/>
              <w:spacing w:before="40" w:after="4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1380" w:type="dxa"/>
            <w:tcBorders>
              <w:top w:val="single" w:sz="4" w:space="0" w:color="244062"/>
              <w:left w:val="nil"/>
              <w:bottom w:val="single" w:sz="4" w:space="0" w:color="244062"/>
              <w:right w:val="nil"/>
            </w:tcBorders>
            <w:noWrap/>
            <w:vAlign w:val="center"/>
          </w:tcPr>
          <w:p w14:paraId="61118101"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14:paraId="778EEFC8"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c>
          <w:tcPr>
            <w:tcW w:w="1380" w:type="dxa"/>
            <w:tcBorders>
              <w:top w:val="single" w:sz="4" w:space="0" w:color="244062"/>
              <w:left w:val="nil"/>
              <w:bottom w:val="single" w:sz="4" w:space="0" w:color="244062"/>
              <w:right w:val="nil"/>
            </w:tcBorders>
            <w:noWrap/>
            <w:vAlign w:val="center"/>
          </w:tcPr>
          <w:p w14:paraId="4191C57D" w14:textId="77777777" w:rsidR="00892164" w:rsidRPr="008609D1" w:rsidRDefault="00892164" w:rsidP="00D87E0B">
            <w:pPr>
              <w:keepNext/>
              <w:keepLines/>
              <w:spacing w:before="40" w:after="40" w:line="240" w:lineRule="auto"/>
              <w:jc w:val="center"/>
              <w:rPr>
                <w:rFonts w:ascii="ITC Avant Garde" w:eastAsia="Times New Roman" w:hAnsi="ITC Avant Garde" w:cs="Arial"/>
                <w:sz w:val="20"/>
                <w:lang w:val="es-ES" w:eastAsia="es-ES"/>
              </w:rPr>
            </w:pPr>
          </w:p>
        </w:tc>
      </w:tr>
    </w:tbl>
    <w:p w14:paraId="1FD44972" w14:textId="77777777" w:rsidR="00892164" w:rsidRPr="008609D1" w:rsidRDefault="005448D2" w:rsidP="007304F5">
      <w:pPr>
        <w:pStyle w:val="A3L1"/>
      </w:pPr>
      <w:bookmarkStart w:id="201" w:name="_Ref477512986"/>
      <w:bookmarkStart w:id="202" w:name="_Toc475468527"/>
      <w:bookmarkStart w:id="203" w:name="_Toc477515038"/>
      <w:bookmarkStart w:id="204" w:name="_Toc478774522"/>
      <w:r w:rsidRPr="008609D1">
        <w:t>INFORMACIÓN DE CÁLCULO DEL WACC</w:t>
      </w:r>
      <w:bookmarkEnd w:id="201"/>
      <w:bookmarkEnd w:id="202"/>
      <w:bookmarkEnd w:id="203"/>
      <w:bookmarkEnd w:id="204"/>
    </w:p>
    <w:p w14:paraId="2E125F59" w14:textId="77777777" w:rsidR="00892164" w:rsidRDefault="00892164" w:rsidP="007304F5">
      <w:pPr>
        <w:pStyle w:val="Normalresolucion"/>
      </w:pPr>
      <w:r w:rsidRPr="008609D1">
        <w:t>En el formato presentado a continuación, se deberá incluir el detalle del cálculo del WACC (</w:t>
      </w:r>
      <w:r w:rsidRPr="008609D1">
        <w:rPr>
          <w:i/>
          <w:iCs/>
        </w:rPr>
        <w:t>Weighted Average Cost of Capital</w:t>
      </w:r>
      <w:r w:rsidRPr="008609D1">
        <w:t xml:space="preserve">) utilizado para el cálculo del retorno sobre el capital empleado en la </w:t>
      </w:r>
      <w:r w:rsidR="00AC3FFE" w:rsidRPr="008609D1">
        <w:t>separación contable</w:t>
      </w:r>
      <w:r w:rsidRPr="008609D1">
        <w:t>, incluyendo los valores considerados para cada uno de los parámetros de la metodología CAPM (</w:t>
      </w:r>
      <w:r w:rsidRPr="008609D1">
        <w:rPr>
          <w:i/>
          <w:iCs/>
        </w:rPr>
        <w:t>Capital Asset Pricing Model</w:t>
      </w:r>
      <w:r w:rsidRPr="008609D1">
        <w:t>):</w:t>
      </w:r>
    </w:p>
    <w:p w14:paraId="2A403164" w14:textId="77777777" w:rsidR="0041411A" w:rsidRDefault="0041411A" w:rsidP="007304F5">
      <w:pPr>
        <w:pStyle w:val="Normalresolucion"/>
      </w:pPr>
    </w:p>
    <w:p w14:paraId="41F421D7" w14:textId="77777777" w:rsidR="0041411A" w:rsidRDefault="0041411A" w:rsidP="007304F5">
      <w:pPr>
        <w:pStyle w:val="Normalresolucion"/>
      </w:pPr>
    </w:p>
    <w:p w14:paraId="4A44C116" w14:textId="77777777" w:rsidR="0041411A" w:rsidRDefault="0041411A" w:rsidP="007304F5">
      <w:pPr>
        <w:pStyle w:val="Normalresolucion"/>
      </w:pPr>
    </w:p>
    <w:p w14:paraId="1DA661F7" w14:textId="77777777" w:rsidR="0041411A" w:rsidRDefault="0041411A" w:rsidP="007304F5">
      <w:pPr>
        <w:pStyle w:val="Normalresolucion"/>
      </w:pPr>
    </w:p>
    <w:p w14:paraId="72F1C181" w14:textId="77777777" w:rsidR="0041411A" w:rsidRDefault="0041411A" w:rsidP="007304F5">
      <w:pPr>
        <w:pStyle w:val="Normalresolucion"/>
      </w:pPr>
    </w:p>
    <w:p w14:paraId="16722A70" w14:textId="77777777" w:rsidR="0041411A" w:rsidRDefault="0041411A" w:rsidP="007304F5">
      <w:pPr>
        <w:pStyle w:val="Normalresolucion"/>
      </w:pPr>
    </w:p>
    <w:p w14:paraId="105B4345" w14:textId="77777777" w:rsidR="0041411A" w:rsidRDefault="0041411A" w:rsidP="007304F5">
      <w:pPr>
        <w:pStyle w:val="Normalresolucion"/>
      </w:pPr>
    </w:p>
    <w:p w14:paraId="55393815" w14:textId="77777777" w:rsidR="0041411A" w:rsidRDefault="0041411A" w:rsidP="007304F5">
      <w:pPr>
        <w:pStyle w:val="Normalresolucion"/>
      </w:pPr>
    </w:p>
    <w:p w14:paraId="3F6FC5E9" w14:textId="77777777" w:rsidR="0041411A" w:rsidRPr="008609D1" w:rsidRDefault="0041411A" w:rsidP="0041411A">
      <w:pPr>
        <w:pStyle w:val="Descripcin"/>
        <w:keepNext/>
        <w:keepLines/>
        <w:spacing w:after="240" w:line="240" w:lineRule="auto"/>
        <w:rPr>
          <w:lang w:val="es-MX"/>
        </w:rPr>
      </w:pPr>
      <w:r w:rsidRPr="008609D1">
        <w:rPr>
          <w:rFonts w:ascii="ITC Avant Garde" w:hAnsi="ITC Avant Garde"/>
          <w:iCs/>
          <w:sz w:val="20"/>
          <w:lang w:val="es-MX"/>
        </w:rPr>
        <w:lastRenderedPageBreak/>
        <w:t>Formato A5.</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19</w:t>
      </w:r>
      <w:r w:rsidRPr="008609D1">
        <w:rPr>
          <w:rFonts w:ascii="ITC Avant Garde" w:hAnsi="ITC Avant Garde"/>
          <w:iCs/>
          <w:sz w:val="20"/>
          <w:lang w:val="es-MX"/>
        </w:rPr>
        <w:fldChar w:fldCharType="end"/>
      </w:r>
      <w:r w:rsidRPr="008609D1">
        <w:rPr>
          <w:rFonts w:ascii="ITC Avant Garde" w:hAnsi="ITC Avant Garde"/>
          <w:iCs/>
          <w:sz w:val="20"/>
          <w:lang w:val="es-MX"/>
        </w:rPr>
        <w:t>: Presentación de los parámetros para el cálculo del WACC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94"/>
        <w:gridCol w:w="1217"/>
        <w:gridCol w:w="1217"/>
      </w:tblGrid>
      <w:tr w:rsidR="007304F5" w:rsidRPr="008609D1" w14:paraId="6CC3E04C" w14:textId="77777777" w:rsidTr="000E069D">
        <w:trPr>
          <w:trHeight w:val="312"/>
          <w:jc w:val="center"/>
        </w:trPr>
        <w:tc>
          <w:tcPr>
            <w:tcW w:w="6506" w:type="dxa"/>
            <w:vMerge w:val="restart"/>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11E0B75F" w14:textId="77777777" w:rsidR="00892164" w:rsidRPr="008609D1" w:rsidRDefault="00892164" w:rsidP="00F74996">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Parámetro</w:t>
            </w:r>
          </w:p>
        </w:tc>
        <w:tc>
          <w:tcPr>
            <w:tcW w:w="2472"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4F629B"/>
            <w:vAlign w:val="center"/>
            <w:hideMark/>
          </w:tcPr>
          <w:p w14:paraId="74E76969" w14:textId="77777777" w:rsidR="00892164" w:rsidRPr="008609D1" w:rsidRDefault="00892164" w:rsidP="00F74996">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Valor</w:t>
            </w:r>
          </w:p>
        </w:tc>
      </w:tr>
      <w:tr w:rsidR="007304F5" w:rsidRPr="008609D1" w14:paraId="00510A4A" w14:textId="77777777" w:rsidTr="000E069D">
        <w:trPr>
          <w:trHeight w:val="312"/>
          <w:jc w:val="center"/>
        </w:trPr>
        <w:tc>
          <w:tcPr>
            <w:tcW w:w="6506"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4F629B"/>
            <w:vAlign w:val="center"/>
            <w:hideMark/>
          </w:tcPr>
          <w:p w14:paraId="3180A6E4" w14:textId="77777777" w:rsidR="00892164" w:rsidRPr="008609D1" w:rsidRDefault="00892164" w:rsidP="007304F5">
            <w:pPr>
              <w:keepNext/>
              <w:keepLines/>
              <w:spacing w:after="0"/>
              <w:rPr>
                <w:rFonts w:ascii="ITC Avant Garde" w:eastAsia="Times New Roman" w:hAnsi="ITC Avant Garde" w:cs="Arial"/>
                <w:b/>
                <w:color w:val="FFFFFF" w:themeColor="background1"/>
                <w:sz w:val="20"/>
                <w:lang w:val="es-ES" w:eastAsia="es-ES"/>
              </w:rPr>
            </w:pPr>
          </w:p>
        </w:tc>
        <w:tc>
          <w:tcPr>
            <w:tcW w:w="123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4F629B"/>
            <w:vAlign w:val="center"/>
            <w:hideMark/>
          </w:tcPr>
          <w:p w14:paraId="2F8F463B" w14:textId="77777777" w:rsidR="00892164" w:rsidRPr="008609D1" w:rsidRDefault="00892164" w:rsidP="00F74996">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Año N-1</w:t>
            </w:r>
          </w:p>
        </w:tc>
        <w:tc>
          <w:tcPr>
            <w:tcW w:w="123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4F629B"/>
            <w:vAlign w:val="center"/>
            <w:hideMark/>
          </w:tcPr>
          <w:p w14:paraId="26861143" w14:textId="77777777" w:rsidR="00892164" w:rsidRPr="008609D1" w:rsidRDefault="00892164" w:rsidP="00F74996">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Año N</w:t>
            </w:r>
          </w:p>
        </w:tc>
      </w:tr>
      <w:tr w:rsidR="00892164" w:rsidRPr="008609D1" w14:paraId="2D87587A" w14:textId="77777777" w:rsidTr="000E069D">
        <w:trPr>
          <w:trHeight w:val="312"/>
          <w:jc w:val="center"/>
        </w:trPr>
        <w:tc>
          <w:tcPr>
            <w:tcW w:w="6506" w:type="dxa"/>
            <w:tcBorders>
              <w:top w:val="single" w:sz="4" w:space="0" w:color="auto"/>
              <w:left w:val="nil"/>
              <w:right w:val="nil"/>
            </w:tcBorders>
            <w:shd w:val="clear" w:color="auto" w:fill="D0D1DB"/>
            <w:noWrap/>
            <w:vAlign w:val="center"/>
            <w:hideMark/>
          </w:tcPr>
          <w:p w14:paraId="40046F48" w14:textId="77777777" w:rsidR="00892164" w:rsidRPr="008609D1" w:rsidRDefault="00892164" w:rsidP="00F74996">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Tasa libre de riesgo </w:t>
            </w:r>
            <m:oMath>
              <m:d>
                <m:dPr>
                  <m:ctrlPr>
                    <w:rPr>
                      <w:rFonts w:ascii="Cambria Math" w:eastAsia="Times New Roman" w:hAnsi="Cambria Math" w:cs="Arial"/>
                      <w:lang w:val="es-ES" w:eastAsia="es-ES"/>
                    </w:rPr>
                  </m:ctrlPr>
                </m:dPr>
                <m:e>
                  <m:sSub>
                    <m:sSubPr>
                      <m:ctrlPr>
                        <w:rPr>
                          <w:rFonts w:ascii="Cambria Math" w:eastAsia="Times New Roman" w:hAnsi="Cambria Math" w:cs="Arial"/>
                          <w:lang w:val="es-ES" w:eastAsia="es-ES"/>
                        </w:rPr>
                      </m:ctrlPr>
                    </m:sSubPr>
                    <m:e>
                      <m:r>
                        <w:rPr>
                          <w:rFonts w:ascii="Cambria Math" w:eastAsia="Times New Roman" w:hAnsi="Cambria Math" w:cs="Arial"/>
                          <w:sz w:val="20"/>
                          <w:lang w:val="es-ES" w:eastAsia="es-ES"/>
                        </w:rPr>
                        <m:t>r</m:t>
                      </m:r>
                    </m:e>
                    <m:sub>
                      <m:r>
                        <w:rPr>
                          <w:rFonts w:ascii="Cambria Math" w:eastAsia="Times New Roman" w:hAnsi="Cambria Math" w:cs="Arial"/>
                          <w:sz w:val="20"/>
                          <w:lang w:val="es-ES" w:eastAsia="es-ES"/>
                        </w:rPr>
                        <m:t>f</m:t>
                      </m:r>
                    </m:sub>
                  </m:sSub>
                </m:e>
              </m:d>
            </m:oMath>
          </w:p>
        </w:tc>
        <w:tc>
          <w:tcPr>
            <w:tcW w:w="1236" w:type="dxa"/>
            <w:tcBorders>
              <w:top w:val="single" w:sz="4" w:space="0" w:color="auto"/>
              <w:left w:val="nil"/>
              <w:right w:val="nil"/>
            </w:tcBorders>
            <w:vAlign w:val="center"/>
          </w:tcPr>
          <w:p w14:paraId="052DF20E" w14:textId="77777777" w:rsidR="00892164" w:rsidRPr="008609D1" w:rsidRDefault="00892164" w:rsidP="007304F5">
            <w:pPr>
              <w:keepNext/>
              <w:keepLines/>
              <w:spacing w:after="0"/>
              <w:rPr>
                <w:rFonts w:ascii="ITC Avant Garde" w:eastAsia="Times New Roman" w:hAnsi="ITC Avant Garde" w:cs="Arial"/>
                <w:sz w:val="20"/>
                <w:lang w:val="es-ES" w:eastAsia="es-ES"/>
              </w:rPr>
            </w:pPr>
          </w:p>
        </w:tc>
        <w:tc>
          <w:tcPr>
            <w:tcW w:w="1236" w:type="dxa"/>
            <w:tcBorders>
              <w:top w:val="single" w:sz="4" w:space="0" w:color="auto"/>
              <w:left w:val="nil"/>
              <w:right w:val="nil"/>
            </w:tcBorders>
            <w:noWrap/>
            <w:vAlign w:val="center"/>
            <w:hideMark/>
          </w:tcPr>
          <w:p w14:paraId="4EABBD3B" w14:textId="77777777" w:rsidR="00892164" w:rsidRPr="008609D1" w:rsidRDefault="00892164" w:rsidP="007304F5">
            <w:pPr>
              <w:keepNext/>
              <w:keepLines/>
              <w:rPr>
                <w:rFonts w:ascii="ITC Avant Garde" w:eastAsia="Times New Roman" w:hAnsi="ITC Avant Garde" w:cs="Arial"/>
                <w:sz w:val="20"/>
                <w:lang w:val="es-ES" w:eastAsia="es-ES"/>
              </w:rPr>
            </w:pPr>
          </w:p>
        </w:tc>
      </w:tr>
      <w:tr w:rsidR="00892164" w:rsidRPr="008609D1" w14:paraId="1DD2FAFE" w14:textId="77777777" w:rsidTr="000E069D">
        <w:trPr>
          <w:trHeight w:val="312"/>
          <w:jc w:val="center"/>
        </w:trPr>
        <w:tc>
          <w:tcPr>
            <w:tcW w:w="6506" w:type="dxa"/>
            <w:tcBorders>
              <w:left w:val="nil"/>
              <w:right w:val="nil"/>
            </w:tcBorders>
            <w:shd w:val="clear" w:color="auto" w:fill="D0D1DB"/>
            <w:noWrap/>
            <w:vAlign w:val="center"/>
            <w:hideMark/>
          </w:tcPr>
          <w:p w14:paraId="3C5A0435" w14:textId="77777777" w:rsidR="00892164" w:rsidRPr="008609D1" w:rsidRDefault="00892164" w:rsidP="00F74996">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Rendimiento esperado en el mercado </w:t>
            </w:r>
            <m:oMath>
              <m:d>
                <m:dPr>
                  <m:ctrlPr>
                    <w:rPr>
                      <w:rFonts w:ascii="Cambria Math" w:eastAsia="Times New Roman" w:hAnsi="Cambria Math" w:cs="Arial"/>
                      <w:lang w:val="es-ES" w:eastAsia="es-ES"/>
                    </w:rPr>
                  </m:ctrlPr>
                </m:dPr>
                <m:e>
                  <m:sSub>
                    <m:sSubPr>
                      <m:ctrlPr>
                        <w:rPr>
                          <w:rFonts w:ascii="Cambria Math" w:eastAsia="Times New Roman" w:hAnsi="Cambria Math" w:cs="Arial"/>
                          <w:lang w:val="es-ES" w:eastAsia="es-ES"/>
                        </w:rPr>
                      </m:ctrlPr>
                    </m:sSubPr>
                    <m:e>
                      <m:r>
                        <w:rPr>
                          <w:rFonts w:ascii="Cambria Math" w:eastAsia="Times New Roman" w:hAnsi="Cambria Math" w:cs="Arial"/>
                          <w:sz w:val="20"/>
                          <w:lang w:val="es-ES" w:eastAsia="es-ES"/>
                        </w:rPr>
                        <m:t>r</m:t>
                      </m:r>
                    </m:e>
                    <m:sub>
                      <m:r>
                        <w:rPr>
                          <w:rFonts w:ascii="Cambria Math" w:eastAsia="Times New Roman" w:hAnsi="Cambria Math" w:cs="Arial"/>
                          <w:sz w:val="20"/>
                          <w:lang w:val="es-ES" w:eastAsia="es-ES"/>
                        </w:rPr>
                        <m:t>m</m:t>
                      </m:r>
                    </m:sub>
                  </m:sSub>
                </m:e>
              </m:d>
            </m:oMath>
          </w:p>
        </w:tc>
        <w:tc>
          <w:tcPr>
            <w:tcW w:w="1236" w:type="dxa"/>
            <w:tcBorders>
              <w:left w:val="nil"/>
              <w:right w:val="nil"/>
            </w:tcBorders>
            <w:vAlign w:val="center"/>
          </w:tcPr>
          <w:p w14:paraId="64602E75" w14:textId="77777777" w:rsidR="00892164" w:rsidRPr="008609D1" w:rsidRDefault="00892164" w:rsidP="007304F5">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14:paraId="58E32A1A" w14:textId="77777777" w:rsidR="00892164" w:rsidRPr="008609D1" w:rsidRDefault="00892164" w:rsidP="007304F5">
            <w:pPr>
              <w:keepNext/>
              <w:keepLines/>
              <w:rPr>
                <w:rFonts w:ascii="ITC Avant Garde" w:eastAsia="Times New Roman" w:hAnsi="ITC Avant Garde" w:cs="Arial"/>
                <w:sz w:val="20"/>
                <w:lang w:val="es-ES" w:eastAsia="es-ES"/>
              </w:rPr>
            </w:pPr>
          </w:p>
        </w:tc>
      </w:tr>
      <w:tr w:rsidR="00892164" w:rsidRPr="008609D1" w14:paraId="57F60F4C" w14:textId="77777777" w:rsidTr="000E069D">
        <w:trPr>
          <w:trHeight w:val="312"/>
          <w:jc w:val="center"/>
        </w:trPr>
        <w:tc>
          <w:tcPr>
            <w:tcW w:w="6506" w:type="dxa"/>
            <w:tcBorders>
              <w:left w:val="nil"/>
              <w:right w:val="nil"/>
            </w:tcBorders>
            <w:shd w:val="clear" w:color="auto" w:fill="D0D1DB"/>
            <w:noWrap/>
            <w:vAlign w:val="center"/>
            <w:hideMark/>
          </w:tcPr>
          <w:p w14:paraId="41F3AA0E" w14:textId="77777777" w:rsidR="00892164" w:rsidRPr="008609D1" w:rsidRDefault="00892164" w:rsidP="00F74996">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Riesgo asociado al país </w:t>
            </w:r>
            <m:oMath>
              <m:d>
                <m:dPr>
                  <m:ctrlPr>
                    <w:rPr>
                      <w:rFonts w:ascii="Cambria Math" w:eastAsia="Times New Roman" w:hAnsi="Cambria Math" w:cs="Arial"/>
                      <w:lang w:val="es-ES" w:eastAsia="es-ES"/>
                    </w:rPr>
                  </m:ctrlPr>
                </m:dPr>
                <m:e>
                  <m:sSub>
                    <m:sSubPr>
                      <m:ctrlPr>
                        <w:rPr>
                          <w:rFonts w:ascii="Cambria Math" w:eastAsia="Times New Roman" w:hAnsi="Cambria Math" w:cs="Arial"/>
                          <w:lang w:val="es-ES" w:eastAsia="es-ES"/>
                        </w:rPr>
                      </m:ctrlPr>
                    </m:sSubPr>
                    <m:e>
                      <m:r>
                        <w:rPr>
                          <w:rFonts w:ascii="Cambria Math" w:eastAsia="Times New Roman" w:hAnsi="Cambria Math" w:cs="Arial"/>
                          <w:sz w:val="20"/>
                          <w:lang w:val="es-ES" w:eastAsia="es-ES"/>
                        </w:rPr>
                        <m:t>r</m:t>
                      </m:r>
                    </m:e>
                    <m:sub>
                      <m:r>
                        <w:rPr>
                          <w:rFonts w:ascii="Cambria Math" w:eastAsia="Times New Roman" w:hAnsi="Cambria Math" w:cs="Arial"/>
                          <w:sz w:val="20"/>
                          <w:lang w:val="es-ES" w:eastAsia="es-ES"/>
                        </w:rPr>
                        <m:t>p</m:t>
                      </m:r>
                    </m:sub>
                  </m:sSub>
                </m:e>
              </m:d>
            </m:oMath>
          </w:p>
        </w:tc>
        <w:tc>
          <w:tcPr>
            <w:tcW w:w="1236" w:type="dxa"/>
            <w:tcBorders>
              <w:left w:val="nil"/>
              <w:right w:val="nil"/>
            </w:tcBorders>
            <w:vAlign w:val="center"/>
          </w:tcPr>
          <w:p w14:paraId="3BCFB560" w14:textId="77777777" w:rsidR="00892164" w:rsidRPr="008609D1" w:rsidRDefault="00892164" w:rsidP="007304F5">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14:paraId="2A6DF8FF" w14:textId="77777777" w:rsidR="00892164" w:rsidRPr="008609D1" w:rsidRDefault="00892164" w:rsidP="007304F5">
            <w:pPr>
              <w:keepNext/>
              <w:keepLines/>
              <w:rPr>
                <w:rFonts w:ascii="ITC Avant Garde" w:eastAsia="Times New Roman" w:hAnsi="ITC Avant Garde" w:cs="Arial"/>
                <w:sz w:val="20"/>
                <w:lang w:val="es-ES" w:eastAsia="es-ES"/>
              </w:rPr>
            </w:pPr>
          </w:p>
        </w:tc>
      </w:tr>
      <w:tr w:rsidR="00892164" w:rsidRPr="008609D1" w14:paraId="03B9C452" w14:textId="77777777" w:rsidTr="000E069D">
        <w:trPr>
          <w:trHeight w:val="312"/>
          <w:jc w:val="center"/>
        </w:trPr>
        <w:tc>
          <w:tcPr>
            <w:tcW w:w="6506" w:type="dxa"/>
            <w:tcBorders>
              <w:left w:val="nil"/>
              <w:right w:val="nil"/>
            </w:tcBorders>
            <w:shd w:val="clear" w:color="auto" w:fill="D0D1DB"/>
            <w:noWrap/>
            <w:vAlign w:val="center"/>
            <w:hideMark/>
          </w:tcPr>
          <w:p w14:paraId="15B5CD73" w14:textId="77777777" w:rsidR="00892164" w:rsidRPr="008609D1" w:rsidRDefault="00892164" w:rsidP="00F74996">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Tasa de impuestos </w:t>
            </w:r>
            <m:oMath>
              <m:d>
                <m:dPr>
                  <m:ctrlPr>
                    <w:rPr>
                      <w:rFonts w:ascii="Cambria Math" w:eastAsia="Times New Roman" w:hAnsi="Cambria Math" w:cs="Arial"/>
                      <w:lang w:val="es-ES" w:eastAsia="es-ES"/>
                    </w:rPr>
                  </m:ctrlPr>
                </m:dPr>
                <m:e>
                  <m:r>
                    <w:rPr>
                      <w:rFonts w:ascii="Cambria Math" w:eastAsia="Times New Roman" w:hAnsi="Cambria Math" w:cs="Arial"/>
                      <w:sz w:val="20"/>
                      <w:lang w:val="es-ES" w:eastAsia="es-ES"/>
                    </w:rPr>
                    <m:t>t</m:t>
                  </m:r>
                </m:e>
              </m:d>
            </m:oMath>
          </w:p>
        </w:tc>
        <w:tc>
          <w:tcPr>
            <w:tcW w:w="1236" w:type="dxa"/>
            <w:tcBorders>
              <w:left w:val="nil"/>
              <w:right w:val="nil"/>
            </w:tcBorders>
            <w:vAlign w:val="center"/>
          </w:tcPr>
          <w:p w14:paraId="7A976B66" w14:textId="77777777" w:rsidR="00892164" w:rsidRPr="008609D1" w:rsidRDefault="00892164" w:rsidP="007304F5">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14:paraId="1E0011DB" w14:textId="77777777" w:rsidR="00892164" w:rsidRPr="008609D1" w:rsidRDefault="00892164" w:rsidP="007304F5">
            <w:pPr>
              <w:keepNext/>
              <w:keepLines/>
              <w:rPr>
                <w:rFonts w:ascii="ITC Avant Garde" w:eastAsia="Times New Roman" w:hAnsi="ITC Avant Garde" w:cs="Arial"/>
                <w:sz w:val="20"/>
                <w:lang w:val="es-ES" w:eastAsia="es-ES"/>
              </w:rPr>
            </w:pPr>
          </w:p>
        </w:tc>
      </w:tr>
      <w:tr w:rsidR="00892164" w:rsidRPr="008609D1" w14:paraId="507D8D14" w14:textId="77777777" w:rsidTr="000E069D">
        <w:trPr>
          <w:trHeight w:val="312"/>
          <w:jc w:val="center"/>
        </w:trPr>
        <w:tc>
          <w:tcPr>
            <w:tcW w:w="6506" w:type="dxa"/>
            <w:tcBorders>
              <w:left w:val="nil"/>
              <w:right w:val="nil"/>
            </w:tcBorders>
            <w:shd w:val="clear" w:color="auto" w:fill="D0D1DB"/>
            <w:noWrap/>
            <w:vAlign w:val="center"/>
            <w:hideMark/>
          </w:tcPr>
          <w:p w14:paraId="08AD3564" w14:textId="77777777" w:rsidR="00892164" w:rsidRPr="008609D1" w:rsidRDefault="00892164" w:rsidP="00F74996">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Beta </w:t>
            </w:r>
            <m:oMath>
              <m:d>
                <m:dPr>
                  <m:ctrlPr>
                    <w:rPr>
                      <w:rFonts w:ascii="Cambria Math" w:eastAsia="Times New Roman" w:hAnsi="Cambria Math" w:cs="Arial"/>
                      <w:lang w:val="es-ES" w:eastAsia="es-ES"/>
                    </w:rPr>
                  </m:ctrlPr>
                </m:dPr>
                <m:e>
                  <m:r>
                    <w:rPr>
                      <w:rFonts w:ascii="Cambria Math" w:eastAsia="Times New Roman" w:hAnsi="Cambria Math" w:cs="Arial"/>
                      <w:sz w:val="20"/>
                      <w:lang w:val="es-ES" w:eastAsia="es-ES"/>
                    </w:rPr>
                    <m:t>β</m:t>
                  </m:r>
                </m:e>
              </m:d>
            </m:oMath>
          </w:p>
        </w:tc>
        <w:tc>
          <w:tcPr>
            <w:tcW w:w="1236" w:type="dxa"/>
            <w:tcBorders>
              <w:left w:val="nil"/>
              <w:right w:val="nil"/>
            </w:tcBorders>
            <w:vAlign w:val="center"/>
          </w:tcPr>
          <w:p w14:paraId="77E5E842" w14:textId="77777777" w:rsidR="00892164" w:rsidRPr="008609D1" w:rsidRDefault="00892164" w:rsidP="007304F5">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14:paraId="4A0C2F40" w14:textId="77777777" w:rsidR="00892164" w:rsidRPr="008609D1" w:rsidRDefault="00892164" w:rsidP="007304F5">
            <w:pPr>
              <w:keepNext/>
              <w:keepLines/>
              <w:rPr>
                <w:rFonts w:ascii="ITC Avant Garde" w:eastAsia="Times New Roman" w:hAnsi="ITC Avant Garde" w:cs="Arial"/>
                <w:sz w:val="20"/>
                <w:lang w:val="es-ES" w:eastAsia="es-ES"/>
              </w:rPr>
            </w:pPr>
          </w:p>
        </w:tc>
      </w:tr>
      <w:tr w:rsidR="00892164" w:rsidRPr="008609D1" w14:paraId="28BA3AA1" w14:textId="77777777" w:rsidTr="000E069D">
        <w:trPr>
          <w:trHeight w:val="312"/>
          <w:jc w:val="center"/>
        </w:trPr>
        <w:tc>
          <w:tcPr>
            <w:tcW w:w="6506" w:type="dxa"/>
            <w:tcBorders>
              <w:left w:val="nil"/>
              <w:right w:val="nil"/>
            </w:tcBorders>
            <w:shd w:val="clear" w:color="auto" w:fill="D0D1DB"/>
            <w:noWrap/>
            <w:vAlign w:val="center"/>
            <w:hideMark/>
          </w:tcPr>
          <w:p w14:paraId="7B9A2881" w14:textId="77777777" w:rsidR="00892164" w:rsidRPr="008609D1" w:rsidRDefault="00970710" w:rsidP="00F74996">
            <w:pPr>
              <w:keepNext/>
              <w:keepLines/>
              <w:spacing w:after="0" w:line="240" w:lineRule="auto"/>
              <w:rPr>
                <w:rFonts w:ascii="ITC Avant Garde" w:eastAsia="Times New Roman" w:hAnsi="ITC Avant Garde" w:cs="Arial"/>
                <w:sz w:val="20"/>
                <w:lang w:val="es-ES" w:eastAsia="es-ES"/>
              </w:rPr>
            </w:pPr>
            <m:oMathPara>
              <m:oMathParaPr>
                <m:jc m:val="left"/>
              </m:oMathParaPr>
              <m:oMath>
                <m:f>
                  <m:fPr>
                    <m:type m:val="lin"/>
                    <m:ctrlPr>
                      <w:rPr>
                        <w:rFonts w:ascii="Cambria Math" w:eastAsia="Times New Roman" w:hAnsi="Cambria Math" w:cs="Arial"/>
                        <w:lang w:val="es-ES" w:eastAsia="es-ES"/>
                      </w:rPr>
                    </m:ctrlPr>
                  </m:fPr>
                  <m:num>
                    <m:r>
                      <w:rPr>
                        <w:rFonts w:ascii="Cambria Math" w:eastAsia="Times New Roman" w:hAnsi="Cambria Math" w:cs="Arial"/>
                        <w:sz w:val="20"/>
                        <w:lang w:val="es-ES" w:eastAsia="es-ES"/>
                      </w:rPr>
                      <m:t>D</m:t>
                    </m:r>
                  </m:num>
                  <m:den>
                    <m:d>
                      <m:dPr>
                        <m:ctrlPr>
                          <w:rPr>
                            <w:rFonts w:ascii="Cambria Math" w:eastAsia="Times New Roman" w:hAnsi="Cambria Math" w:cs="Arial"/>
                            <w:lang w:val="es-ES" w:eastAsia="es-ES"/>
                          </w:rPr>
                        </m:ctrlPr>
                      </m:dPr>
                      <m:e>
                        <m:r>
                          <w:rPr>
                            <w:rFonts w:ascii="Cambria Math" w:eastAsia="Times New Roman" w:hAnsi="Cambria Math" w:cs="Arial"/>
                            <w:sz w:val="20"/>
                            <w:lang w:val="es-ES" w:eastAsia="es-ES"/>
                          </w:rPr>
                          <m:t>D</m:t>
                        </m:r>
                        <m:r>
                          <m:rPr>
                            <m:sty m:val="p"/>
                          </m:rPr>
                          <w:rPr>
                            <w:rFonts w:ascii="Cambria Math" w:eastAsia="Times New Roman" w:hAnsi="Cambria Math" w:cs="Arial"/>
                            <w:sz w:val="20"/>
                            <w:lang w:val="es-ES" w:eastAsia="es-ES"/>
                          </w:rPr>
                          <m:t>+</m:t>
                        </m:r>
                        <m:r>
                          <w:rPr>
                            <w:rFonts w:ascii="Cambria Math" w:eastAsia="Times New Roman" w:hAnsi="Cambria Math" w:cs="Arial"/>
                            <w:sz w:val="20"/>
                            <w:lang w:val="es-ES" w:eastAsia="es-ES"/>
                          </w:rPr>
                          <m:t>E</m:t>
                        </m:r>
                      </m:e>
                    </m:d>
                  </m:den>
                </m:f>
              </m:oMath>
            </m:oMathPara>
          </w:p>
        </w:tc>
        <w:tc>
          <w:tcPr>
            <w:tcW w:w="1236" w:type="dxa"/>
            <w:tcBorders>
              <w:left w:val="nil"/>
              <w:right w:val="nil"/>
            </w:tcBorders>
            <w:vAlign w:val="center"/>
          </w:tcPr>
          <w:p w14:paraId="6410E0CF" w14:textId="77777777" w:rsidR="00892164" w:rsidRPr="008609D1" w:rsidRDefault="00892164" w:rsidP="007304F5">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14:paraId="768D6074" w14:textId="77777777" w:rsidR="00892164" w:rsidRPr="008609D1" w:rsidRDefault="00892164" w:rsidP="007304F5">
            <w:pPr>
              <w:keepNext/>
              <w:keepLines/>
              <w:rPr>
                <w:rFonts w:ascii="ITC Avant Garde" w:eastAsia="Times New Roman" w:hAnsi="ITC Avant Garde" w:cs="Arial"/>
                <w:sz w:val="20"/>
                <w:lang w:val="es-ES" w:eastAsia="es-ES"/>
              </w:rPr>
            </w:pPr>
          </w:p>
        </w:tc>
      </w:tr>
      <w:tr w:rsidR="00892164" w:rsidRPr="008609D1" w14:paraId="5D5F3989" w14:textId="77777777" w:rsidTr="000E069D">
        <w:trPr>
          <w:trHeight w:val="312"/>
          <w:jc w:val="center"/>
        </w:trPr>
        <w:tc>
          <w:tcPr>
            <w:tcW w:w="6506" w:type="dxa"/>
            <w:tcBorders>
              <w:left w:val="nil"/>
              <w:right w:val="nil"/>
            </w:tcBorders>
            <w:shd w:val="clear" w:color="auto" w:fill="D0D1DB"/>
            <w:noWrap/>
            <w:vAlign w:val="center"/>
            <w:hideMark/>
          </w:tcPr>
          <w:p w14:paraId="0B67E8F7" w14:textId="77777777" w:rsidR="00892164" w:rsidRPr="008609D1" w:rsidRDefault="00970710" w:rsidP="00F74996">
            <w:pPr>
              <w:keepNext/>
              <w:keepLines/>
              <w:spacing w:after="0" w:line="240" w:lineRule="auto"/>
              <w:rPr>
                <w:rFonts w:ascii="ITC Avant Garde" w:eastAsia="Times New Roman" w:hAnsi="ITC Avant Garde" w:cs="Arial"/>
                <w:sz w:val="20"/>
                <w:lang w:val="es-ES" w:eastAsia="es-ES"/>
              </w:rPr>
            </w:pPr>
            <m:oMathPara>
              <m:oMathParaPr>
                <m:jc m:val="left"/>
              </m:oMathParaPr>
              <m:oMath>
                <m:f>
                  <m:fPr>
                    <m:type m:val="lin"/>
                    <m:ctrlPr>
                      <w:rPr>
                        <w:rFonts w:ascii="Cambria Math" w:eastAsia="Times New Roman" w:hAnsi="Cambria Math" w:cs="Arial"/>
                        <w:lang w:val="es-ES" w:eastAsia="es-ES"/>
                      </w:rPr>
                    </m:ctrlPr>
                  </m:fPr>
                  <m:num>
                    <m:r>
                      <w:rPr>
                        <w:rFonts w:ascii="Cambria Math" w:eastAsia="Times New Roman" w:hAnsi="Cambria Math" w:cs="Arial"/>
                        <w:sz w:val="20"/>
                        <w:lang w:val="es-ES" w:eastAsia="es-ES"/>
                      </w:rPr>
                      <m:t>E</m:t>
                    </m:r>
                  </m:num>
                  <m:den>
                    <m:d>
                      <m:dPr>
                        <m:ctrlPr>
                          <w:rPr>
                            <w:rFonts w:ascii="Cambria Math" w:eastAsia="Times New Roman" w:hAnsi="Cambria Math" w:cs="Arial"/>
                            <w:lang w:val="es-ES" w:eastAsia="es-ES"/>
                          </w:rPr>
                        </m:ctrlPr>
                      </m:dPr>
                      <m:e>
                        <m:r>
                          <w:rPr>
                            <w:rFonts w:ascii="Cambria Math" w:eastAsia="Times New Roman" w:hAnsi="Cambria Math" w:cs="Arial"/>
                            <w:sz w:val="20"/>
                            <w:lang w:val="es-ES" w:eastAsia="es-ES"/>
                          </w:rPr>
                          <m:t>D</m:t>
                        </m:r>
                        <m:r>
                          <m:rPr>
                            <m:sty m:val="p"/>
                          </m:rPr>
                          <w:rPr>
                            <w:rFonts w:ascii="Cambria Math" w:eastAsia="Times New Roman" w:hAnsi="Cambria Math" w:cs="Arial"/>
                            <w:sz w:val="20"/>
                            <w:lang w:val="es-ES" w:eastAsia="es-ES"/>
                          </w:rPr>
                          <m:t>+</m:t>
                        </m:r>
                        <m:r>
                          <w:rPr>
                            <w:rFonts w:ascii="Cambria Math" w:eastAsia="Times New Roman" w:hAnsi="Cambria Math" w:cs="Arial"/>
                            <w:sz w:val="20"/>
                            <w:lang w:val="es-ES" w:eastAsia="es-ES"/>
                          </w:rPr>
                          <m:t>E</m:t>
                        </m:r>
                      </m:e>
                    </m:d>
                  </m:den>
                </m:f>
              </m:oMath>
            </m:oMathPara>
          </w:p>
        </w:tc>
        <w:tc>
          <w:tcPr>
            <w:tcW w:w="1236" w:type="dxa"/>
            <w:tcBorders>
              <w:left w:val="nil"/>
              <w:right w:val="nil"/>
            </w:tcBorders>
            <w:vAlign w:val="center"/>
          </w:tcPr>
          <w:p w14:paraId="2C61013B" w14:textId="77777777" w:rsidR="00892164" w:rsidRPr="008609D1" w:rsidRDefault="00892164" w:rsidP="007304F5">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14:paraId="20790270" w14:textId="77777777" w:rsidR="00892164" w:rsidRPr="008609D1" w:rsidRDefault="00892164" w:rsidP="007304F5">
            <w:pPr>
              <w:keepNext/>
              <w:keepLines/>
              <w:rPr>
                <w:rFonts w:ascii="ITC Avant Garde" w:eastAsia="Times New Roman" w:hAnsi="ITC Avant Garde" w:cs="Arial"/>
                <w:sz w:val="20"/>
                <w:lang w:val="es-ES" w:eastAsia="es-ES"/>
              </w:rPr>
            </w:pPr>
          </w:p>
        </w:tc>
      </w:tr>
      <w:tr w:rsidR="00892164" w:rsidRPr="008609D1" w14:paraId="1E604898" w14:textId="77777777" w:rsidTr="000E069D">
        <w:trPr>
          <w:trHeight w:val="312"/>
          <w:jc w:val="center"/>
        </w:trPr>
        <w:tc>
          <w:tcPr>
            <w:tcW w:w="6506" w:type="dxa"/>
            <w:tcBorders>
              <w:left w:val="nil"/>
              <w:right w:val="nil"/>
            </w:tcBorders>
            <w:shd w:val="clear" w:color="auto" w:fill="D0D1DB"/>
            <w:noWrap/>
            <w:vAlign w:val="center"/>
            <w:hideMark/>
          </w:tcPr>
          <w:p w14:paraId="292F151D" w14:textId="77777777" w:rsidR="00892164" w:rsidRPr="008609D1" w:rsidRDefault="00892164" w:rsidP="00F74996">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Costo del patrimonio </w:t>
            </w:r>
            <m:oMath>
              <m:d>
                <m:dPr>
                  <m:ctrlPr>
                    <w:rPr>
                      <w:rFonts w:ascii="Cambria Math" w:eastAsia="Times New Roman" w:hAnsi="Cambria Math" w:cs="Arial"/>
                      <w:lang w:val="es-ES" w:eastAsia="es-ES"/>
                    </w:rPr>
                  </m:ctrlPr>
                </m:dPr>
                <m:e>
                  <m:sSub>
                    <m:sSubPr>
                      <m:ctrlPr>
                        <w:rPr>
                          <w:rFonts w:ascii="Cambria Math" w:eastAsia="Times New Roman" w:hAnsi="Cambria Math" w:cs="Arial"/>
                          <w:lang w:val="es-ES" w:eastAsia="es-ES"/>
                        </w:rPr>
                      </m:ctrlPr>
                    </m:sSubPr>
                    <m:e>
                      <m:r>
                        <w:rPr>
                          <w:rFonts w:ascii="Cambria Math" w:eastAsia="Times New Roman" w:hAnsi="Cambria Math" w:cs="Arial"/>
                          <w:sz w:val="20"/>
                          <w:lang w:val="es-ES" w:eastAsia="es-ES"/>
                        </w:rPr>
                        <m:t>r</m:t>
                      </m:r>
                    </m:e>
                    <m:sub>
                      <m:r>
                        <w:rPr>
                          <w:rFonts w:ascii="Cambria Math" w:eastAsia="Times New Roman" w:hAnsi="Cambria Math" w:cs="Arial"/>
                          <w:sz w:val="20"/>
                          <w:lang w:val="es-ES" w:eastAsia="es-ES"/>
                        </w:rPr>
                        <m:t>e</m:t>
                      </m:r>
                    </m:sub>
                  </m:sSub>
                </m:e>
              </m:d>
            </m:oMath>
          </w:p>
        </w:tc>
        <w:tc>
          <w:tcPr>
            <w:tcW w:w="1236" w:type="dxa"/>
            <w:tcBorders>
              <w:left w:val="nil"/>
              <w:right w:val="nil"/>
            </w:tcBorders>
            <w:vAlign w:val="center"/>
          </w:tcPr>
          <w:p w14:paraId="0E49B2EF" w14:textId="77777777" w:rsidR="00892164" w:rsidRPr="008609D1" w:rsidRDefault="00892164" w:rsidP="007304F5">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14:paraId="3C62338C" w14:textId="77777777" w:rsidR="00892164" w:rsidRPr="008609D1" w:rsidRDefault="00892164" w:rsidP="007304F5">
            <w:pPr>
              <w:keepNext/>
              <w:keepLines/>
              <w:rPr>
                <w:rFonts w:ascii="ITC Avant Garde" w:eastAsia="Times New Roman" w:hAnsi="ITC Avant Garde" w:cs="Arial"/>
                <w:sz w:val="20"/>
                <w:lang w:val="es-ES" w:eastAsia="es-ES"/>
              </w:rPr>
            </w:pPr>
          </w:p>
        </w:tc>
      </w:tr>
      <w:tr w:rsidR="00892164" w:rsidRPr="008609D1" w14:paraId="2F93697C" w14:textId="77777777" w:rsidTr="000E069D">
        <w:trPr>
          <w:trHeight w:val="312"/>
          <w:jc w:val="center"/>
        </w:trPr>
        <w:tc>
          <w:tcPr>
            <w:tcW w:w="6506" w:type="dxa"/>
            <w:tcBorders>
              <w:left w:val="nil"/>
              <w:right w:val="nil"/>
            </w:tcBorders>
            <w:shd w:val="clear" w:color="auto" w:fill="D0D1DB"/>
            <w:noWrap/>
            <w:vAlign w:val="center"/>
            <w:hideMark/>
          </w:tcPr>
          <w:p w14:paraId="6ECDB4AD" w14:textId="77777777" w:rsidR="00892164" w:rsidRPr="008609D1" w:rsidRDefault="00892164" w:rsidP="00F74996">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Costo de la deuda </w:t>
            </w:r>
            <m:oMath>
              <m:d>
                <m:dPr>
                  <m:ctrlPr>
                    <w:rPr>
                      <w:rFonts w:ascii="Cambria Math" w:eastAsia="Times New Roman" w:hAnsi="Cambria Math" w:cs="Arial"/>
                      <w:lang w:val="es-ES" w:eastAsia="es-ES"/>
                    </w:rPr>
                  </m:ctrlPr>
                </m:dPr>
                <m:e>
                  <m:sSub>
                    <m:sSubPr>
                      <m:ctrlPr>
                        <w:rPr>
                          <w:rFonts w:ascii="Cambria Math" w:eastAsia="Times New Roman" w:hAnsi="Cambria Math" w:cs="Arial"/>
                          <w:lang w:val="es-ES" w:eastAsia="es-ES"/>
                        </w:rPr>
                      </m:ctrlPr>
                    </m:sSubPr>
                    <m:e>
                      <m:r>
                        <w:rPr>
                          <w:rFonts w:ascii="Cambria Math" w:eastAsia="Times New Roman" w:hAnsi="Cambria Math" w:cs="Arial"/>
                          <w:sz w:val="20"/>
                          <w:lang w:val="es-ES" w:eastAsia="es-ES"/>
                        </w:rPr>
                        <m:t>r</m:t>
                      </m:r>
                    </m:e>
                    <m:sub>
                      <m:r>
                        <w:rPr>
                          <w:rFonts w:ascii="Cambria Math" w:eastAsia="Times New Roman" w:hAnsi="Cambria Math" w:cs="Arial"/>
                          <w:sz w:val="20"/>
                          <w:lang w:val="es-ES" w:eastAsia="es-ES"/>
                        </w:rPr>
                        <m:t>d</m:t>
                      </m:r>
                    </m:sub>
                  </m:sSub>
                </m:e>
              </m:d>
            </m:oMath>
          </w:p>
        </w:tc>
        <w:tc>
          <w:tcPr>
            <w:tcW w:w="1236" w:type="dxa"/>
            <w:tcBorders>
              <w:left w:val="nil"/>
              <w:right w:val="nil"/>
            </w:tcBorders>
            <w:vAlign w:val="center"/>
          </w:tcPr>
          <w:p w14:paraId="6499394C" w14:textId="77777777" w:rsidR="00892164" w:rsidRPr="008609D1" w:rsidRDefault="00892164" w:rsidP="007304F5">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14:paraId="6537FA8A" w14:textId="77777777" w:rsidR="00892164" w:rsidRPr="008609D1" w:rsidRDefault="00892164" w:rsidP="007304F5">
            <w:pPr>
              <w:keepNext/>
              <w:keepLines/>
              <w:rPr>
                <w:rFonts w:ascii="ITC Avant Garde" w:eastAsia="Times New Roman" w:hAnsi="ITC Avant Garde" w:cs="Arial"/>
                <w:sz w:val="20"/>
                <w:lang w:val="es-ES" w:eastAsia="es-ES"/>
              </w:rPr>
            </w:pPr>
          </w:p>
        </w:tc>
      </w:tr>
      <w:tr w:rsidR="00892164" w:rsidRPr="008609D1" w14:paraId="3082175E" w14:textId="77777777" w:rsidTr="000E069D">
        <w:trPr>
          <w:trHeight w:val="312"/>
          <w:jc w:val="center"/>
        </w:trPr>
        <w:tc>
          <w:tcPr>
            <w:tcW w:w="6506" w:type="dxa"/>
            <w:tcBorders>
              <w:left w:val="nil"/>
              <w:right w:val="nil"/>
            </w:tcBorders>
            <w:shd w:val="clear" w:color="auto" w:fill="D0D1DB"/>
            <w:noWrap/>
            <w:vAlign w:val="center"/>
            <w:hideMark/>
          </w:tcPr>
          <w:p w14:paraId="45427C5C" w14:textId="77777777" w:rsidR="00892164" w:rsidRPr="008609D1" w:rsidRDefault="00892164" w:rsidP="00F74996">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WACC (antes de impuestos)</w:t>
            </w:r>
          </w:p>
        </w:tc>
        <w:tc>
          <w:tcPr>
            <w:tcW w:w="1236" w:type="dxa"/>
            <w:tcBorders>
              <w:left w:val="nil"/>
              <w:right w:val="nil"/>
            </w:tcBorders>
            <w:vAlign w:val="center"/>
          </w:tcPr>
          <w:p w14:paraId="22A9A5BF" w14:textId="77777777" w:rsidR="00892164" w:rsidRPr="008609D1" w:rsidRDefault="00892164" w:rsidP="007304F5">
            <w:pPr>
              <w:keepNext/>
              <w:keepLines/>
              <w:spacing w:after="0"/>
              <w:rPr>
                <w:rFonts w:ascii="ITC Avant Garde" w:eastAsia="Times New Roman" w:hAnsi="ITC Avant Garde" w:cs="Arial"/>
                <w:sz w:val="20"/>
                <w:lang w:val="es-ES" w:eastAsia="es-ES"/>
              </w:rPr>
            </w:pPr>
          </w:p>
        </w:tc>
        <w:tc>
          <w:tcPr>
            <w:tcW w:w="1236" w:type="dxa"/>
            <w:tcBorders>
              <w:left w:val="nil"/>
              <w:right w:val="nil"/>
            </w:tcBorders>
            <w:noWrap/>
            <w:vAlign w:val="center"/>
            <w:hideMark/>
          </w:tcPr>
          <w:p w14:paraId="61485F6F" w14:textId="77777777" w:rsidR="00892164" w:rsidRPr="008609D1" w:rsidRDefault="00892164" w:rsidP="007304F5">
            <w:pPr>
              <w:keepNext/>
              <w:keepLines/>
              <w:rPr>
                <w:rFonts w:ascii="ITC Avant Garde" w:eastAsia="Times New Roman" w:hAnsi="ITC Avant Garde" w:cs="Arial"/>
                <w:sz w:val="20"/>
                <w:lang w:val="es-ES" w:eastAsia="es-ES"/>
              </w:rPr>
            </w:pPr>
          </w:p>
        </w:tc>
      </w:tr>
    </w:tbl>
    <w:p w14:paraId="3A758189" w14:textId="77777777" w:rsidR="00892164" w:rsidRPr="008609D1" w:rsidRDefault="00892164" w:rsidP="00892164">
      <w:pPr>
        <w:rPr>
          <w:rFonts w:ascii="ITC Avant Garde" w:hAnsi="ITC Avant Garde"/>
          <w:b/>
        </w:rPr>
      </w:pPr>
      <w:r w:rsidRPr="008609D1">
        <w:br w:type="page"/>
      </w:r>
    </w:p>
    <w:p w14:paraId="48F738EA" w14:textId="77777777" w:rsidR="00892164" w:rsidRPr="008609D1" w:rsidRDefault="00524D8B" w:rsidP="00CF61A9">
      <w:pPr>
        <w:pStyle w:val="Ttulo2"/>
      </w:pPr>
      <w:bookmarkStart w:id="205" w:name="_Toc484022114"/>
      <w:r w:rsidRPr="008609D1">
        <w:lastRenderedPageBreak/>
        <w:t>Anexo</w:t>
      </w:r>
      <w:r w:rsidR="00892164" w:rsidRPr="008609D1">
        <w:t xml:space="preserve"> </w:t>
      </w:r>
      <w:r w:rsidR="004B3901" w:rsidRPr="008609D1">
        <w:t>6</w:t>
      </w:r>
      <w:r w:rsidR="00892164" w:rsidRPr="008609D1">
        <w:t>.</w:t>
      </w:r>
      <w:bookmarkEnd w:id="205"/>
    </w:p>
    <w:p w14:paraId="4F4F422C" w14:textId="77777777" w:rsidR="00892164" w:rsidRPr="008609D1" w:rsidRDefault="00892164" w:rsidP="00892164">
      <w:pPr>
        <w:pStyle w:val="Ttulo1"/>
      </w:pPr>
      <w:bookmarkStart w:id="206" w:name="_Ref477443724"/>
      <w:bookmarkStart w:id="207" w:name="_Toc484022115"/>
      <w:r w:rsidRPr="008609D1">
        <w:t>FORMATOS DE PRESENTACIÓN DE INFORMACIÓN DE REDES COMPARTIDAS</w:t>
      </w:r>
      <w:bookmarkEnd w:id="206"/>
      <w:bookmarkEnd w:id="207"/>
    </w:p>
    <w:p w14:paraId="2EAA71AB" w14:textId="4DD8A370" w:rsidR="00892164" w:rsidRPr="008609D1" w:rsidRDefault="00892164" w:rsidP="00323B4D">
      <w:pPr>
        <w:pStyle w:val="Normalresolucion"/>
      </w:pPr>
      <w:r w:rsidRPr="008609D1">
        <w:t xml:space="preserve">Con el fin de facilitar al Instituto la verificación del cumplimiento del principio de neutralidad a la competencia por parte de los agentes involucrados en las </w:t>
      </w:r>
      <w:r w:rsidR="00F5266E">
        <w:t>r</w:t>
      </w:r>
      <w:r w:rsidRPr="008609D1">
        <w:t xml:space="preserve">edes </w:t>
      </w:r>
      <w:r w:rsidR="00F5266E">
        <w:t>c</w:t>
      </w:r>
      <w:r w:rsidRPr="008609D1">
        <w:t>ompartidas</w:t>
      </w:r>
      <w:r w:rsidR="00F5266E">
        <w:t xml:space="preserve"> mayoristas</w:t>
      </w:r>
      <w:r w:rsidRPr="008609D1">
        <w:t>, se requiere a estos agentes la siguiente información de carácter financiero</w:t>
      </w:r>
      <w:r w:rsidR="001D7FB0" w:rsidRPr="008609D1">
        <w:t xml:space="preserve">, la cual debe estar completa y </w:t>
      </w:r>
      <w:r w:rsidR="00323B4D" w:rsidRPr="008609D1">
        <w:t>revisada</w:t>
      </w:r>
      <w:r w:rsidRPr="008609D1">
        <w:t>:</w:t>
      </w:r>
    </w:p>
    <w:p w14:paraId="5BD7853C" w14:textId="77777777" w:rsidR="00892164" w:rsidRPr="008609D1" w:rsidRDefault="00892164" w:rsidP="00892164">
      <w:pPr>
        <w:pStyle w:val="Indentadoresolucin"/>
      </w:pPr>
      <w:r w:rsidRPr="008609D1">
        <w:fldChar w:fldCharType="begin"/>
      </w:r>
      <w:r w:rsidRPr="008609D1">
        <w:instrText xml:space="preserve"> REF _Ref477267973 \h  \* MERGEFORMAT </w:instrText>
      </w:r>
      <w:r w:rsidRPr="008609D1">
        <w:fldChar w:fldCharType="separate"/>
      </w:r>
      <w:r w:rsidR="005144E2" w:rsidRPr="008609D1">
        <w:t>Estado de Pérdidas y Ganancias</w:t>
      </w:r>
      <w:r w:rsidRPr="008609D1">
        <w:fldChar w:fldCharType="end"/>
      </w:r>
    </w:p>
    <w:p w14:paraId="761F4003" w14:textId="77777777" w:rsidR="00892164" w:rsidRPr="008609D1" w:rsidRDefault="00892164" w:rsidP="00892164">
      <w:pPr>
        <w:pStyle w:val="Indentadoresolucin"/>
      </w:pPr>
      <w:r w:rsidRPr="008609D1">
        <w:fldChar w:fldCharType="begin"/>
      </w:r>
      <w:r w:rsidRPr="008609D1">
        <w:instrText xml:space="preserve"> REF _Ref477267988 \h  \* MERGEFORMAT </w:instrText>
      </w:r>
      <w:r w:rsidRPr="008609D1">
        <w:fldChar w:fldCharType="separate"/>
      </w:r>
      <w:r w:rsidR="005144E2" w:rsidRPr="008609D1">
        <w:t>Balanza de Activos y Pasivos</w:t>
      </w:r>
      <w:r w:rsidRPr="008609D1">
        <w:fldChar w:fldCharType="end"/>
      </w:r>
    </w:p>
    <w:p w14:paraId="27E79E8A" w14:textId="77777777" w:rsidR="00892164" w:rsidRPr="008609D1" w:rsidRDefault="00892164" w:rsidP="00892164">
      <w:pPr>
        <w:pStyle w:val="Indentadoresolucin"/>
      </w:pPr>
      <w:r w:rsidRPr="008609D1">
        <w:fldChar w:fldCharType="begin"/>
      </w:r>
      <w:r w:rsidRPr="008609D1">
        <w:instrText xml:space="preserve"> REF _Ref477267996 \h  \* MERGEFORMAT </w:instrText>
      </w:r>
      <w:r w:rsidRPr="008609D1">
        <w:fldChar w:fldCharType="separate"/>
      </w:r>
      <w:r w:rsidR="005144E2" w:rsidRPr="008609D1">
        <w:t>Estado de Flujos de Efectivo</w:t>
      </w:r>
      <w:r w:rsidRPr="008609D1">
        <w:fldChar w:fldCharType="end"/>
      </w:r>
    </w:p>
    <w:p w14:paraId="7BB9D9E3" w14:textId="77777777" w:rsidR="008921ED" w:rsidRPr="008609D1" w:rsidRDefault="008921ED" w:rsidP="00892164">
      <w:pPr>
        <w:pStyle w:val="Indentadoresolucin"/>
      </w:pPr>
      <w:r w:rsidRPr="008609D1">
        <w:fldChar w:fldCharType="begin"/>
      </w:r>
      <w:r w:rsidRPr="008609D1">
        <w:instrText xml:space="preserve"> REF _Ref477513245 \h </w:instrText>
      </w:r>
      <w:r w:rsidR="008609D1">
        <w:instrText xml:space="preserve"> \* MERGEFORMAT </w:instrText>
      </w:r>
      <w:r w:rsidRPr="008609D1">
        <w:fldChar w:fldCharType="separate"/>
      </w:r>
      <w:r w:rsidR="005144E2" w:rsidRPr="008609D1">
        <w:t>Informe de precios de transferencia</w:t>
      </w:r>
      <w:r w:rsidRPr="008609D1">
        <w:fldChar w:fldCharType="end"/>
      </w:r>
    </w:p>
    <w:p w14:paraId="23E8DDCA" w14:textId="77777777" w:rsidR="00892164" w:rsidRPr="008609D1" w:rsidRDefault="00892164" w:rsidP="008003B3">
      <w:pPr>
        <w:pStyle w:val="Normalresolucion"/>
        <w:rPr>
          <w:rStyle w:val="nfasis"/>
          <w:i w:val="0"/>
          <w:iCs w:val="0"/>
        </w:rPr>
      </w:pPr>
      <w:r w:rsidRPr="008609D1">
        <w:rPr>
          <w:rStyle w:val="nfasis"/>
          <w:i w:val="0"/>
          <w:iCs w:val="0"/>
        </w:rPr>
        <w:t xml:space="preserve">Asimismo, se </w:t>
      </w:r>
      <w:r w:rsidR="008921ED" w:rsidRPr="008609D1">
        <w:rPr>
          <w:rStyle w:val="nfasis"/>
          <w:i w:val="0"/>
          <w:iCs w:val="0"/>
        </w:rPr>
        <w:t xml:space="preserve">deberá asegurar que en el </w:t>
      </w:r>
      <w:r w:rsidR="008921ED" w:rsidRPr="008609D1">
        <w:rPr>
          <w:rStyle w:val="nfasis"/>
          <w:i w:val="0"/>
          <w:iCs w:val="0"/>
        </w:rPr>
        <w:fldChar w:fldCharType="begin"/>
      </w:r>
      <w:r w:rsidR="008921ED" w:rsidRPr="008609D1">
        <w:rPr>
          <w:rStyle w:val="nfasis"/>
          <w:i w:val="0"/>
          <w:iCs w:val="0"/>
        </w:rPr>
        <w:instrText xml:space="preserve"> REF _Ref477513376 \h  \* MERGEFORMAT </w:instrText>
      </w:r>
      <w:r w:rsidR="008921ED" w:rsidRPr="008609D1">
        <w:rPr>
          <w:rStyle w:val="nfasis"/>
          <w:i w:val="0"/>
          <w:iCs w:val="0"/>
        </w:rPr>
      </w:r>
      <w:r w:rsidR="008921ED" w:rsidRPr="008609D1">
        <w:rPr>
          <w:rStyle w:val="nfasis"/>
          <w:i w:val="0"/>
          <w:iCs w:val="0"/>
        </w:rPr>
        <w:fldChar w:fldCharType="separate"/>
      </w:r>
      <w:r w:rsidR="005144E2" w:rsidRPr="008609D1">
        <w:rPr>
          <w:rStyle w:val="nfasis"/>
          <w:i w:val="0"/>
        </w:rPr>
        <w:t>Formato A</w:t>
      </w:r>
      <w:r w:rsidR="00A4419E" w:rsidRPr="008609D1">
        <w:rPr>
          <w:rStyle w:val="nfasis"/>
          <w:i w:val="0"/>
        </w:rPr>
        <w:t>6</w:t>
      </w:r>
      <w:r w:rsidR="005144E2" w:rsidRPr="008609D1">
        <w:rPr>
          <w:rStyle w:val="nfasis"/>
          <w:i w:val="0"/>
        </w:rPr>
        <w:t>.1</w:t>
      </w:r>
      <w:r w:rsidR="008921ED" w:rsidRPr="008609D1">
        <w:rPr>
          <w:rStyle w:val="nfasis"/>
          <w:i w:val="0"/>
          <w:iCs w:val="0"/>
        </w:rPr>
        <w:fldChar w:fldCharType="end"/>
      </w:r>
      <w:r w:rsidR="008921ED" w:rsidRPr="008609D1">
        <w:rPr>
          <w:rStyle w:val="nfasis"/>
          <w:i w:val="0"/>
          <w:iCs w:val="0"/>
        </w:rPr>
        <w:t xml:space="preserve">, </w:t>
      </w:r>
      <w:r w:rsidR="008921ED" w:rsidRPr="008609D1">
        <w:rPr>
          <w:rStyle w:val="nfasis"/>
          <w:i w:val="0"/>
          <w:iCs w:val="0"/>
        </w:rPr>
        <w:fldChar w:fldCharType="begin"/>
      </w:r>
      <w:r w:rsidR="008921ED" w:rsidRPr="008609D1">
        <w:rPr>
          <w:rStyle w:val="nfasis"/>
          <w:i w:val="0"/>
          <w:iCs w:val="0"/>
        </w:rPr>
        <w:instrText xml:space="preserve"> REF _Ref477513378 \h  \* MERGEFORMAT </w:instrText>
      </w:r>
      <w:r w:rsidR="008921ED" w:rsidRPr="008609D1">
        <w:rPr>
          <w:rStyle w:val="nfasis"/>
          <w:i w:val="0"/>
          <w:iCs w:val="0"/>
        </w:rPr>
      </w:r>
      <w:r w:rsidR="008921ED" w:rsidRPr="008609D1">
        <w:rPr>
          <w:rStyle w:val="nfasis"/>
          <w:i w:val="0"/>
          <w:iCs w:val="0"/>
        </w:rPr>
        <w:fldChar w:fldCharType="separate"/>
      </w:r>
      <w:r w:rsidR="005144E2" w:rsidRPr="008609D1">
        <w:rPr>
          <w:rStyle w:val="nfasis"/>
          <w:i w:val="0"/>
        </w:rPr>
        <w:t>Formato A</w:t>
      </w:r>
      <w:r w:rsidR="00A4419E" w:rsidRPr="008609D1">
        <w:rPr>
          <w:rStyle w:val="nfasis"/>
          <w:i w:val="0"/>
        </w:rPr>
        <w:t>6</w:t>
      </w:r>
      <w:r w:rsidR="005144E2" w:rsidRPr="008609D1">
        <w:rPr>
          <w:rStyle w:val="nfasis"/>
          <w:i w:val="0"/>
        </w:rPr>
        <w:t>.2</w:t>
      </w:r>
      <w:r w:rsidR="008921ED" w:rsidRPr="008609D1">
        <w:rPr>
          <w:rStyle w:val="nfasis"/>
          <w:i w:val="0"/>
          <w:iCs w:val="0"/>
        </w:rPr>
        <w:fldChar w:fldCharType="end"/>
      </w:r>
      <w:r w:rsidR="008921ED" w:rsidRPr="008609D1">
        <w:rPr>
          <w:rStyle w:val="nfasis"/>
          <w:i w:val="0"/>
          <w:iCs w:val="0"/>
        </w:rPr>
        <w:t xml:space="preserve"> y </w:t>
      </w:r>
      <w:r w:rsidR="008921ED" w:rsidRPr="008609D1">
        <w:rPr>
          <w:rStyle w:val="nfasis"/>
          <w:i w:val="0"/>
          <w:iCs w:val="0"/>
        </w:rPr>
        <w:fldChar w:fldCharType="begin"/>
      </w:r>
      <w:r w:rsidR="008921ED" w:rsidRPr="008609D1">
        <w:rPr>
          <w:rStyle w:val="nfasis"/>
          <w:i w:val="0"/>
          <w:iCs w:val="0"/>
        </w:rPr>
        <w:instrText xml:space="preserve"> REF _Ref477513379 \h  \* MERGEFORMAT </w:instrText>
      </w:r>
      <w:r w:rsidR="008921ED" w:rsidRPr="008609D1">
        <w:rPr>
          <w:rStyle w:val="nfasis"/>
          <w:i w:val="0"/>
          <w:iCs w:val="0"/>
        </w:rPr>
      </w:r>
      <w:r w:rsidR="008921ED" w:rsidRPr="008609D1">
        <w:rPr>
          <w:rStyle w:val="nfasis"/>
          <w:i w:val="0"/>
          <w:iCs w:val="0"/>
        </w:rPr>
        <w:fldChar w:fldCharType="separate"/>
      </w:r>
      <w:r w:rsidR="005144E2" w:rsidRPr="008609D1">
        <w:rPr>
          <w:rStyle w:val="nfasis"/>
          <w:i w:val="0"/>
        </w:rPr>
        <w:t>Formato A</w:t>
      </w:r>
      <w:r w:rsidR="00A4419E" w:rsidRPr="008609D1">
        <w:rPr>
          <w:rStyle w:val="nfasis"/>
          <w:i w:val="0"/>
        </w:rPr>
        <w:t>6</w:t>
      </w:r>
      <w:r w:rsidR="005144E2" w:rsidRPr="008609D1">
        <w:rPr>
          <w:rStyle w:val="nfasis"/>
          <w:i w:val="0"/>
        </w:rPr>
        <w:t>.3</w:t>
      </w:r>
      <w:r w:rsidR="008921ED" w:rsidRPr="008609D1">
        <w:rPr>
          <w:rStyle w:val="nfasis"/>
          <w:i w:val="0"/>
          <w:iCs w:val="0"/>
        </w:rPr>
        <w:fldChar w:fldCharType="end"/>
      </w:r>
      <w:r w:rsidR="008921ED" w:rsidRPr="008609D1">
        <w:rPr>
          <w:rStyle w:val="nfasis"/>
          <w:i w:val="0"/>
          <w:iCs w:val="0"/>
        </w:rPr>
        <w:t xml:space="preserve"> </w:t>
      </w:r>
      <w:r w:rsidR="001D7FB0" w:rsidRPr="008609D1">
        <w:rPr>
          <w:rStyle w:val="nfasis"/>
          <w:i w:val="0"/>
          <w:iCs w:val="0"/>
        </w:rPr>
        <w:t>de</w:t>
      </w:r>
      <w:r w:rsidR="008003B3" w:rsidRPr="008609D1">
        <w:rPr>
          <w:rStyle w:val="nfasis"/>
          <w:i w:val="0"/>
          <w:iCs w:val="0"/>
        </w:rPr>
        <w:t xml:space="preserve"> este </w:t>
      </w:r>
      <w:r w:rsidR="00524D8B" w:rsidRPr="008609D1">
        <w:rPr>
          <w:rStyle w:val="nfasis"/>
          <w:i w:val="0"/>
          <w:iCs w:val="0"/>
        </w:rPr>
        <w:t>Anexo</w:t>
      </w:r>
      <w:r w:rsidR="001D7FB0" w:rsidRPr="008609D1">
        <w:rPr>
          <w:rStyle w:val="nfasis"/>
          <w:i w:val="0"/>
          <w:iCs w:val="0"/>
        </w:rPr>
        <w:t xml:space="preserve">, </w:t>
      </w:r>
      <w:r w:rsidRPr="008609D1">
        <w:rPr>
          <w:rStyle w:val="nfasis"/>
          <w:i w:val="0"/>
          <w:iCs w:val="0"/>
        </w:rPr>
        <w:t>se desagreguen oportunamente los siguientes conceptos en función de si los montos que recogen guardan relación con entidades públicas o no:</w:t>
      </w:r>
    </w:p>
    <w:p w14:paraId="37915FD5" w14:textId="77777777" w:rsidR="00892164" w:rsidRPr="008609D1" w:rsidRDefault="00892164" w:rsidP="00892164">
      <w:pPr>
        <w:pStyle w:val="Indentadoresolucin"/>
        <w:rPr>
          <w:rStyle w:val="nfasis"/>
          <w:i w:val="0"/>
          <w:iCs w:val="0"/>
        </w:rPr>
      </w:pPr>
      <w:r w:rsidRPr="008609D1">
        <w:rPr>
          <w:rStyle w:val="nfasis"/>
          <w:i w:val="0"/>
          <w:iCs w:val="0"/>
        </w:rPr>
        <w:t>Transacciones entre entidad pública y operador</w:t>
      </w:r>
    </w:p>
    <w:p w14:paraId="5F1632DD" w14:textId="77777777" w:rsidR="00892164" w:rsidRPr="008609D1" w:rsidRDefault="00892164" w:rsidP="00892164">
      <w:pPr>
        <w:pStyle w:val="Indentadoresolucin"/>
        <w:rPr>
          <w:rStyle w:val="nfasis"/>
          <w:i w:val="0"/>
          <w:iCs w:val="0"/>
        </w:rPr>
      </w:pPr>
      <w:r w:rsidRPr="008609D1">
        <w:rPr>
          <w:rStyle w:val="nfasis"/>
          <w:i w:val="0"/>
          <w:iCs w:val="0"/>
        </w:rPr>
        <w:t>Ventas a gobierno por parte del operador</w:t>
      </w:r>
    </w:p>
    <w:p w14:paraId="71AA22DF" w14:textId="77777777" w:rsidR="00892164" w:rsidRPr="008609D1" w:rsidRDefault="00892164" w:rsidP="00892164">
      <w:pPr>
        <w:pStyle w:val="Indentadoresolucin"/>
        <w:rPr>
          <w:rStyle w:val="nfasis"/>
          <w:i w:val="0"/>
          <w:iCs w:val="0"/>
        </w:rPr>
      </w:pPr>
      <w:r w:rsidRPr="008609D1">
        <w:rPr>
          <w:rStyle w:val="nfasis"/>
          <w:i w:val="0"/>
          <w:iCs w:val="0"/>
        </w:rPr>
        <w:t>Aportaciones de la entidad pública</w:t>
      </w:r>
    </w:p>
    <w:p w14:paraId="2708B601" w14:textId="77777777" w:rsidR="00892164" w:rsidRPr="008609D1" w:rsidRDefault="00892164" w:rsidP="00892164">
      <w:pPr>
        <w:pStyle w:val="Indentadoresolucin"/>
        <w:rPr>
          <w:rStyle w:val="nfasis"/>
          <w:i w:val="0"/>
          <w:iCs w:val="0"/>
        </w:rPr>
      </w:pPr>
      <w:r w:rsidRPr="008609D1">
        <w:rPr>
          <w:rStyle w:val="nfasis"/>
          <w:i w:val="0"/>
          <w:iCs w:val="0"/>
        </w:rPr>
        <w:t>Contrataciones con gobierno</w:t>
      </w:r>
    </w:p>
    <w:p w14:paraId="143B1AE9" w14:textId="77777777" w:rsidR="00892164" w:rsidRPr="008609D1" w:rsidRDefault="00892164" w:rsidP="00892164">
      <w:pPr>
        <w:pStyle w:val="Indentadoresolucin"/>
        <w:rPr>
          <w:rStyle w:val="nfasis"/>
          <w:i w:val="0"/>
          <w:iCs w:val="0"/>
        </w:rPr>
      </w:pPr>
      <w:r w:rsidRPr="008609D1">
        <w:rPr>
          <w:rStyle w:val="nfasis"/>
          <w:i w:val="0"/>
          <w:iCs w:val="0"/>
        </w:rPr>
        <w:t>Inversiones públicas</w:t>
      </w:r>
    </w:p>
    <w:p w14:paraId="3A840841" w14:textId="77777777" w:rsidR="00892164" w:rsidRPr="008609D1" w:rsidRDefault="00892164" w:rsidP="00892164">
      <w:pPr>
        <w:pStyle w:val="Indentadoresolucin"/>
        <w:rPr>
          <w:rStyle w:val="nfasis"/>
          <w:i w:val="0"/>
          <w:iCs w:val="0"/>
        </w:rPr>
      </w:pPr>
      <w:r w:rsidRPr="008609D1">
        <w:rPr>
          <w:rStyle w:val="nfasis"/>
          <w:i w:val="0"/>
          <w:iCs w:val="0"/>
        </w:rPr>
        <w:t>Coinversiones</w:t>
      </w:r>
    </w:p>
    <w:p w14:paraId="763D7483" w14:textId="77777777" w:rsidR="00892164" w:rsidRPr="008609D1" w:rsidRDefault="00892164" w:rsidP="00892164">
      <w:pPr>
        <w:pStyle w:val="Indentadoresolucin"/>
        <w:rPr>
          <w:rStyle w:val="nfasis"/>
          <w:i w:val="0"/>
          <w:iCs w:val="0"/>
        </w:rPr>
      </w:pPr>
      <w:r w:rsidRPr="008609D1">
        <w:rPr>
          <w:rStyle w:val="nfasis"/>
          <w:i w:val="0"/>
          <w:iCs w:val="0"/>
        </w:rPr>
        <w:t>Costo de autorizaciones, permisos y licencias</w:t>
      </w:r>
    </w:p>
    <w:p w14:paraId="2EABA9B2" w14:textId="77777777" w:rsidR="00892164" w:rsidRPr="008609D1" w:rsidRDefault="00892164" w:rsidP="00892164">
      <w:pPr>
        <w:pStyle w:val="Indentadoresolucin"/>
        <w:rPr>
          <w:rStyle w:val="nfasis"/>
          <w:i w:val="0"/>
          <w:iCs w:val="0"/>
        </w:rPr>
      </w:pPr>
      <w:r w:rsidRPr="008609D1">
        <w:rPr>
          <w:rStyle w:val="nfasis"/>
          <w:i w:val="0"/>
          <w:iCs w:val="0"/>
        </w:rPr>
        <w:t>Fideicomisos</w:t>
      </w:r>
    </w:p>
    <w:p w14:paraId="0A99DEEB" w14:textId="77777777" w:rsidR="00892164" w:rsidRPr="008609D1" w:rsidRDefault="00892164" w:rsidP="00892164">
      <w:pPr>
        <w:pStyle w:val="Indentadoresolucin"/>
        <w:rPr>
          <w:rStyle w:val="nfasis"/>
          <w:i w:val="0"/>
          <w:iCs w:val="0"/>
        </w:rPr>
      </w:pPr>
      <w:r w:rsidRPr="008609D1">
        <w:rPr>
          <w:rStyle w:val="nfasis"/>
          <w:i w:val="0"/>
          <w:iCs w:val="0"/>
        </w:rPr>
        <w:t>Fondos de reserva</w:t>
      </w:r>
    </w:p>
    <w:p w14:paraId="4C099B43" w14:textId="77777777" w:rsidR="00892164" w:rsidRPr="008609D1" w:rsidRDefault="00892164" w:rsidP="00892164">
      <w:pPr>
        <w:pStyle w:val="Indentadoresolucin"/>
        <w:rPr>
          <w:rStyle w:val="nfasis"/>
          <w:i w:val="0"/>
          <w:iCs w:val="0"/>
        </w:rPr>
      </w:pPr>
      <w:r w:rsidRPr="008609D1">
        <w:rPr>
          <w:rStyle w:val="nfasis"/>
          <w:i w:val="0"/>
          <w:iCs w:val="0"/>
        </w:rPr>
        <w:t>Apoyos</w:t>
      </w:r>
    </w:p>
    <w:p w14:paraId="27963488" w14:textId="77777777" w:rsidR="00892164" w:rsidRPr="008609D1" w:rsidRDefault="00892164" w:rsidP="00892164">
      <w:pPr>
        <w:pStyle w:val="Indentadoresolucin"/>
        <w:rPr>
          <w:rStyle w:val="nfasis"/>
          <w:i w:val="0"/>
          <w:iCs w:val="0"/>
        </w:rPr>
      </w:pPr>
      <w:r w:rsidRPr="008609D1">
        <w:rPr>
          <w:rStyle w:val="nfasis"/>
          <w:i w:val="0"/>
          <w:iCs w:val="0"/>
        </w:rPr>
        <w:t>Subsidios</w:t>
      </w:r>
    </w:p>
    <w:p w14:paraId="4869FB0E" w14:textId="77777777" w:rsidR="00892164" w:rsidRPr="008609D1" w:rsidRDefault="00892164" w:rsidP="00892164">
      <w:pPr>
        <w:pStyle w:val="Indentadoresolucin"/>
        <w:rPr>
          <w:rStyle w:val="nfasis"/>
          <w:i w:val="0"/>
          <w:iCs w:val="0"/>
        </w:rPr>
      </w:pPr>
      <w:r w:rsidRPr="008609D1">
        <w:rPr>
          <w:rStyle w:val="nfasis"/>
          <w:i w:val="0"/>
          <w:iCs w:val="0"/>
        </w:rPr>
        <w:t>Transferencias</w:t>
      </w:r>
    </w:p>
    <w:p w14:paraId="24D12406" w14:textId="77777777" w:rsidR="00892164" w:rsidRPr="008609D1" w:rsidRDefault="00892164" w:rsidP="00892164">
      <w:pPr>
        <w:pStyle w:val="Indentadoresolucin"/>
        <w:rPr>
          <w:rStyle w:val="nfasis"/>
          <w:i w:val="0"/>
          <w:iCs w:val="0"/>
        </w:rPr>
      </w:pPr>
      <w:r w:rsidRPr="008609D1">
        <w:rPr>
          <w:rStyle w:val="nfasis"/>
          <w:i w:val="0"/>
          <w:iCs w:val="0"/>
        </w:rPr>
        <w:t>Fondos de inversión mutuos</w:t>
      </w:r>
    </w:p>
    <w:p w14:paraId="065FCF27" w14:textId="77777777" w:rsidR="00892164" w:rsidRPr="008609D1" w:rsidRDefault="00892164" w:rsidP="00892164">
      <w:pPr>
        <w:pStyle w:val="Indentadoresolucin"/>
        <w:rPr>
          <w:rStyle w:val="nfasis"/>
          <w:i w:val="0"/>
          <w:iCs w:val="0"/>
        </w:rPr>
      </w:pPr>
      <w:r w:rsidRPr="008609D1">
        <w:rPr>
          <w:rStyle w:val="nfasis"/>
          <w:i w:val="0"/>
          <w:iCs w:val="0"/>
        </w:rPr>
        <w:t>Financiamiento público</w:t>
      </w:r>
    </w:p>
    <w:p w14:paraId="249ABDE5" w14:textId="77777777" w:rsidR="00892164" w:rsidRPr="008609D1" w:rsidRDefault="00892164" w:rsidP="00892164">
      <w:pPr>
        <w:pStyle w:val="Indentadoresolucin"/>
        <w:rPr>
          <w:rStyle w:val="nfasis"/>
          <w:i w:val="0"/>
          <w:iCs w:val="0"/>
        </w:rPr>
      </w:pPr>
      <w:r w:rsidRPr="008609D1">
        <w:rPr>
          <w:rStyle w:val="nfasis"/>
          <w:i w:val="0"/>
          <w:iCs w:val="0"/>
        </w:rPr>
        <w:t>Aportaciones de capital</w:t>
      </w:r>
    </w:p>
    <w:p w14:paraId="5F73D2E8" w14:textId="77777777" w:rsidR="00892164" w:rsidRPr="008609D1" w:rsidRDefault="00892164" w:rsidP="00892164">
      <w:pPr>
        <w:pStyle w:val="Indentadoresolucin"/>
        <w:rPr>
          <w:rStyle w:val="nfasis"/>
          <w:i w:val="0"/>
          <w:iCs w:val="0"/>
        </w:rPr>
      </w:pPr>
      <w:r w:rsidRPr="008609D1">
        <w:rPr>
          <w:rStyle w:val="nfasis"/>
          <w:i w:val="0"/>
          <w:iCs w:val="0"/>
        </w:rPr>
        <w:t>Garantías de cumplimiento</w:t>
      </w:r>
    </w:p>
    <w:p w14:paraId="796EEA84" w14:textId="77777777" w:rsidR="00892164" w:rsidRPr="008609D1" w:rsidRDefault="00892164" w:rsidP="00892164">
      <w:pPr>
        <w:pStyle w:val="Indentadoresolucin"/>
      </w:pPr>
      <w:r w:rsidRPr="008609D1">
        <w:rPr>
          <w:rStyle w:val="nfasis"/>
          <w:i w:val="0"/>
          <w:iCs w:val="0"/>
        </w:rPr>
        <w:t>Acciones, partes sociales y capital social</w:t>
      </w:r>
    </w:p>
    <w:p w14:paraId="2F27BACC" w14:textId="77777777" w:rsidR="00892164" w:rsidRPr="008609D1" w:rsidRDefault="00892164" w:rsidP="004062CC">
      <w:pPr>
        <w:pStyle w:val="HeadingAnexo1L2"/>
        <w:keepNext/>
        <w:keepLines/>
        <w:numPr>
          <w:ilvl w:val="0"/>
          <w:numId w:val="202"/>
        </w:numPr>
      </w:pPr>
      <w:bookmarkStart w:id="208" w:name="_Ref477267973"/>
      <w:bookmarkStart w:id="209" w:name="_Toc477283592"/>
      <w:r w:rsidRPr="008609D1">
        <w:lastRenderedPageBreak/>
        <w:t>Estado de Pérdidas y Ganancias</w:t>
      </w:r>
      <w:bookmarkEnd w:id="208"/>
      <w:bookmarkEnd w:id="209"/>
    </w:p>
    <w:p w14:paraId="2235ECDE" w14:textId="77777777" w:rsidR="00892164" w:rsidRDefault="00892164" w:rsidP="004062CC">
      <w:pPr>
        <w:pStyle w:val="Normalresolucion"/>
        <w:keepNext/>
        <w:keepLines/>
        <w:rPr>
          <w:lang w:val="es-MX"/>
        </w:rPr>
      </w:pPr>
      <w:r w:rsidRPr="008609D1">
        <w:t xml:space="preserve">El siguiente formato deberá contener el estado de Pérdidas y Ganancias, referente al último ejercicio del concesionario, </w:t>
      </w:r>
      <w:r w:rsidRPr="008609D1">
        <w:rPr>
          <w:lang w:val="es-MX"/>
        </w:rPr>
        <w:t>desagregando cada rubro entre la parte relacionada con autoridades públicas y la que no lo está</w:t>
      </w:r>
      <w:r w:rsidR="007A1130" w:rsidRPr="008609D1">
        <w:rPr>
          <w:lang w:val="es-MX"/>
        </w:rPr>
        <w:t>:</w:t>
      </w:r>
    </w:p>
    <w:p w14:paraId="23B719BD" w14:textId="0B02F0FC" w:rsidR="0041411A" w:rsidRPr="008609D1" w:rsidRDefault="0041411A" w:rsidP="00154F13">
      <w:pPr>
        <w:pStyle w:val="Descripcin"/>
      </w:pPr>
      <w:r w:rsidRPr="008609D1">
        <w:rPr>
          <w:rFonts w:ascii="ITC Avant Garde" w:hAnsi="ITC Avant Garde"/>
          <w:iCs/>
          <w:sz w:val="20"/>
          <w:lang w:val="es-MX"/>
        </w:rPr>
        <w:t>Formato A6.</w:t>
      </w:r>
      <w:r w:rsidRPr="008609D1">
        <w:rPr>
          <w:rFonts w:ascii="ITC Avant Garde" w:hAnsi="ITC Avant Garde"/>
          <w:b w:val="0"/>
          <w:bCs w:val="0"/>
          <w:iCs/>
          <w:sz w:val="20"/>
        </w:rPr>
        <w:fldChar w:fldCharType="begin"/>
      </w:r>
      <w:r w:rsidRPr="008609D1">
        <w:rPr>
          <w:rFonts w:ascii="ITC Avant Garde" w:hAnsi="ITC Avant Garde"/>
          <w:iCs/>
          <w:sz w:val="20"/>
          <w:lang w:val="es-MX"/>
        </w:rPr>
        <w:instrText xml:space="preserve"> SEQ Formato_AIII. \* ARABIC </w:instrText>
      </w:r>
      <w:r w:rsidRPr="008609D1">
        <w:rPr>
          <w:rFonts w:ascii="ITC Avant Garde" w:hAnsi="ITC Avant Garde"/>
          <w:b w:val="0"/>
          <w:bCs w:val="0"/>
          <w:iCs/>
          <w:sz w:val="20"/>
        </w:rPr>
        <w:fldChar w:fldCharType="separate"/>
      </w:r>
      <w:r w:rsidRPr="008609D1">
        <w:rPr>
          <w:rFonts w:ascii="ITC Avant Garde" w:hAnsi="ITC Avant Garde"/>
          <w:iCs/>
          <w:noProof/>
          <w:sz w:val="20"/>
          <w:lang w:val="es-MX"/>
        </w:rPr>
        <w:t>1</w:t>
      </w:r>
      <w:r w:rsidRPr="008609D1">
        <w:rPr>
          <w:rFonts w:ascii="ITC Avant Garde" w:hAnsi="ITC Avant Garde"/>
          <w:b w:val="0"/>
          <w:bCs w:val="0"/>
          <w:iCs/>
          <w:sz w:val="20"/>
        </w:rPr>
        <w:fldChar w:fldCharType="end"/>
      </w:r>
      <w:r w:rsidRPr="008609D1">
        <w:rPr>
          <w:rFonts w:ascii="ITC Avant Garde" w:hAnsi="ITC Avant Garde"/>
          <w:iCs/>
          <w:sz w:val="20"/>
          <w:lang w:val="es-MX"/>
        </w:rPr>
        <w:t>: Estado de Pérdidas y Ganancias</w:t>
      </w:r>
    </w:p>
    <w:tbl>
      <w:tblPr>
        <w:tblpPr w:leftFromText="141" w:rightFromText="141" w:vertAnchor="text" w:tblpXSpec="center" w:tblpY="1"/>
        <w:tblOverlap w:val="never"/>
        <w:tblW w:w="5094" w:type="pct"/>
        <w:tblLayout w:type="fixed"/>
        <w:tblCellMar>
          <w:left w:w="70" w:type="dxa"/>
          <w:right w:w="70" w:type="dxa"/>
        </w:tblCellMar>
        <w:tblLook w:val="04A0" w:firstRow="1" w:lastRow="0" w:firstColumn="1" w:lastColumn="0" w:noHBand="0" w:noVBand="1"/>
      </w:tblPr>
      <w:tblGrid>
        <w:gridCol w:w="3825"/>
        <w:gridCol w:w="2584"/>
        <w:gridCol w:w="2585"/>
      </w:tblGrid>
      <w:tr w:rsidR="007304F5" w:rsidRPr="008609D1" w14:paraId="603596F4" w14:textId="77777777" w:rsidTr="00154F13">
        <w:trPr>
          <w:trHeight w:val="504"/>
        </w:trPr>
        <w:tc>
          <w:tcPr>
            <w:tcW w:w="3825" w:type="dxa"/>
            <w:tcBorders>
              <w:top w:val="nil"/>
              <w:left w:val="single" w:sz="4" w:space="0" w:color="FFFFFF"/>
              <w:bottom w:val="nil"/>
              <w:right w:val="single" w:sz="4" w:space="0" w:color="FFFFFF"/>
            </w:tcBorders>
            <w:shd w:val="clear" w:color="000000" w:fill="4F629B"/>
            <w:vAlign w:val="center"/>
            <w:hideMark/>
          </w:tcPr>
          <w:p w14:paraId="09CCC270" w14:textId="77777777" w:rsidR="00892164" w:rsidRPr="008609D1" w:rsidRDefault="00892164" w:rsidP="0041411A">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Estado pérdidas y</w:t>
            </w:r>
            <w:r w:rsidRPr="008609D1">
              <w:rPr>
                <w:rFonts w:ascii="ITC Avant Garde" w:eastAsia="Times New Roman" w:hAnsi="ITC Avant Garde" w:cs="Arial"/>
                <w:b/>
                <w:color w:val="FFFFFF" w:themeColor="background1"/>
                <w:sz w:val="20"/>
                <w:lang w:val="es-ES" w:eastAsia="es-ES"/>
              </w:rPr>
              <w:br/>
              <w:t>ganancias</w:t>
            </w:r>
            <w:r w:rsidRPr="008609D1">
              <w:rPr>
                <w:rFonts w:ascii="ITC Avant Garde" w:eastAsia="Times New Roman" w:hAnsi="ITC Avant Garde" w:cs="Arial"/>
                <w:b/>
                <w:bCs/>
                <w:color w:val="FFFFFF" w:themeColor="background1"/>
                <w:sz w:val="20"/>
                <w:vertAlign w:val="superscript"/>
                <w:lang w:val="es-ES" w:eastAsia="es-ES"/>
              </w:rPr>
              <w:footnoteReference w:id="82"/>
            </w:r>
          </w:p>
        </w:tc>
        <w:tc>
          <w:tcPr>
            <w:tcW w:w="2584" w:type="dxa"/>
            <w:tcBorders>
              <w:top w:val="nil"/>
              <w:left w:val="nil"/>
              <w:bottom w:val="nil"/>
              <w:right w:val="single" w:sz="4" w:space="0" w:color="FFFFFF"/>
            </w:tcBorders>
            <w:shd w:val="clear" w:color="000000" w:fill="4F629B"/>
            <w:vAlign w:val="center"/>
            <w:hideMark/>
          </w:tcPr>
          <w:p w14:paraId="0F4C0899" w14:textId="77777777" w:rsidR="00892164" w:rsidRPr="008609D1" w:rsidRDefault="00892164" w:rsidP="0041411A">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Relacionado con</w:t>
            </w:r>
            <w:r w:rsidRPr="008609D1">
              <w:rPr>
                <w:rFonts w:ascii="ITC Avant Garde" w:eastAsia="Times New Roman" w:hAnsi="ITC Avant Garde" w:cs="Arial"/>
                <w:b/>
                <w:color w:val="FFFFFF" w:themeColor="background1"/>
                <w:sz w:val="20"/>
                <w:lang w:val="es-ES" w:eastAsia="es-ES"/>
              </w:rPr>
              <w:br/>
              <w:t>autoridades públicas</w:t>
            </w:r>
          </w:p>
        </w:tc>
        <w:tc>
          <w:tcPr>
            <w:tcW w:w="2585" w:type="dxa"/>
            <w:tcBorders>
              <w:top w:val="nil"/>
              <w:left w:val="nil"/>
              <w:bottom w:val="nil"/>
              <w:right w:val="single" w:sz="4" w:space="0" w:color="FFFFFF"/>
            </w:tcBorders>
            <w:shd w:val="clear" w:color="000000" w:fill="4F629B"/>
            <w:vAlign w:val="center"/>
            <w:hideMark/>
          </w:tcPr>
          <w:p w14:paraId="72F29B1D" w14:textId="77777777" w:rsidR="00892164" w:rsidRPr="008609D1" w:rsidRDefault="00892164" w:rsidP="0041411A">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No relacionado con autoridades públicas</w:t>
            </w:r>
          </w:p>
        </w:tc>
      </w:tr>
      <w:tr w:rsidR="00892164" w:rsidRPr="008609D1" w14:paraId="074F3F8E" w14:textId="77777777" w:rsidTr="00154F13">
        <w:trPr>
          <w:trHeight w:val="288"/>
        </w:trPr>
        <w:tc>
          <w:tcPr>
            <w:tcW w:w="3825" w:type="dxa"/>
            <w:tcBorders>
              <w:top w:val="single" w:sz="4" w:space="0" w:color="244062"/>
              <w:left w:val="nil"/>
              <w:bottom w:val="single" w:sz="4" w:space="0" w:color="244062"/>
              <w:right w:val="nil"/>
            </w:tcBorders>
            <w:shd w:val="clear" w:color="auto" w:fill="E5E9EB"/>
            <w:noWrap/>
            <w:vAlign w:val="center"/>
          </w:tcPr>
          <w:p w14:paraId="02ECEC61" w14:textId="77777777" w:rsidR="00892164" w:rsidRPr="008609D1" w:rsidRDefault="00892164" w:rsidP="0041411A">
            <w:pPr>
              <w:keepNext/>
              <w:keepLines/>
              <w:spacing w:after="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Ingresos</w:t>
            </w:r>
          </w:p>
        </w:tc>
        <w:tc>
          <w:tcPr>
            <w:tcW w:w="2584" w:type="dxa"/>
            <w:tcBorders>
              <w:top w:val="single" w:sz="4" w:space="0" w:color="244062"/>
              <w:left w:val="nil"/>
              <w:bottom w:val="single" w:sz="4" w:space="0" w:color="244062"/>
              <w:right w:val="nil"/>
            </w:tcBorders>
            <w:shd w:val="clear" w:color="auto" w:fill="E5E9EB"/>
            <w:noWrap/>
            <w:vAlign w:val="center"/>
            <w:hideMark/>
          </w:tcPr>
          <w:p w14:paraId="563501A1"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single" w:sz="4" w:space="0" w:color="244062"/>
              <w:left w:val="nil"/>
              <w:bottom w:val="single" w:sz="4" w:space="0" w:color="244062"/>
              <w:right w:val="nil"/>
            </w:tcBorders>
            <w:shd w:val="clear" w:color="auto" w:fill="E5E9EB"/>
            <w:noWrap/>
            <w:vAlign w:val="center"/>
            <w:hideMark/>
          </w:tcPr>
          <w:p w14:paraId="4A8C66C4"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r>
      <w:tr w:rsidR="00892164" w:rsidRPr="008609D1" w14:paraId="55AE9AC7" w14:textId="77777777" w:rsidTr="00154F13">
        <w:trPr>
          <w:trHeight w:val="288"/>
        </w:trPr>
        <w:tc>
          <w:tcPr>
            <w:tcW w:w="3825" w:type="dxa"/>
            <w:tcBorders>
              <w:top w:val="nil"/>
              <w:left w:val="nil"/>
              <w:bottom w:val="single" w:sz="4" w:space="0" w:color="244062"/>
              <w:right w:val="nil"/>
            </w:tcBorders>
            <w:shd w:val="clear" w:color="000000" w:fill="D0D1DB"/>
            <w:noWrap/>
            <w:vAlign w:val="center"/>
          </w:tcPr>
          <w:p w14:paraId="0645CF9B" w14:textId="77777777" w:rsidR="00892164" w:rsidRPr="008609D1" w:rsidRDefault="00DC7A5C" w:rsidP="0041411A">
            <w:pPr>
              <w:keepNext/>
              <w:keepLines/>
              <w:spacing w:after="0" w:line="240" w:lineRule="auto"/>
              <w:rPr>
                <w:rFonts w:ascii="ITC Avant Garde" w:eastAsia="Times New Roman" w:hAnsi="ITC Avant Garde" w:cs="Arial"/>
                <w:sz w:val="20"/>
                <w:lang w:val="es-ES" w:eastAsia="es-ES"/>
              </w:rPr>
            </w:pPr>
            <w:r w:rsidRPr="008609D1">
              <w:rPr>
                <w:rFonts w:ascii="ITC Avant Garde" w:hAnsi="ITC Avant Garde"/>
                <w:sz w:val="20"/>
                <w:szCs w:val="20"/>
              </w:rPr>
              <w:t>Reventa de Servicios Móviles</w:t>
            </w:r>
          </w:p>
        </w:tc>
        <w:tc>
          <w:tcPr>
            <w:tcW w:w="2584" w:type="dxa"/>
            <w:tcBorders>
              <w:top w:val="nil"/>
              <w:left w:val="nil"/>
              <w:bottom w:val="single" w:sz="4" w:space="0" w:color="244062"/>
              <w:right w:val="nil"/>
            </w:tcBorders>
            <w:shd w:val="clear" w:color="auto" w:fill="auto"/>
            <w:noWrap/>
            <w:vAlign w:val="center"/>
            <w:hideMark/>
          </w:tcPr>
          <w:p w14:paraId="3F3A1672"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14:paraId="327BE28A"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r>
      <w:tr w:rsidR="00892164" w:rsidRPr="008609D1" w14:paraId="6E60F68F" w14:textId="77777777" w:rsidTr="00154F13">
        <w:trPr>
          <w:trHeight w:val="288"/>
        </w:trPr>
        <w:tc>
          <w:tcPr>
            <w:tcW w:w="3825" w:type="dxa"/>
            <w:tcBorders>
              <w:top w:val="nil"/>
              <w:left w:val="nil"/>
              <w:bottom w:val="single" w:sz="4" w:space="0" w:color="244062"/>
              <w:right w:val="nil"/>
            </w:tcBorders>
            <w:shd w:val="clear" w:color="000000" w:fill="D0D1DB"/>
            <w:noWrap/>
            <w:vAlign w:val="center"/>
          </w:tcPr>
          <w:p w14:paraId="2674AB8C" w14:textId="77777777" w:rsidR="00892164" w:rsidRPr="008609D1" w:rsidRDefault="00DC7A5C" w:rsidP="0041411A">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szCs w:val="20"/>
                <w:lang w:val="es-ES" w:eastAsia="es-ES"/>
              </w:rPr>
              <w:t>Interconexión</w:t>
            </w:r>
          </w:p>
        </w:tc>
        <w:tc>
          <w:tcPr>
            <w:tcW w:w="2584" w:type="dxa"/>
            <w:tcBorders>
              <w:top w:val="nil"/>
              <w:left w:val="nil"/>
              <w:bottom w:val="single" w:sz="4" w:space="0" w:color="244062"/>
              <w:right w:val="nil"/>
            </w:tcBorders>
            <w:shd w:val="clear" w:color="auto" w:fill="auto"/>
            <w:noWrap/>
            <w:vAlign w:val="center"/>
            <w:hideMark/>
          </w:tcPr>
          <w:p w14:paraId="64E5D8DF"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14:paraId="60BDD9FF"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r>
      <w:tr w:rsidR="00892164" w:rsidRPr="008609D1" w14:paraId="59D06136" w14:textId="77777777" w:rsidTr="00154F13">
        <w:trPr>
          <w:trHeight w:val="288"/>
        </w:trPr>
        <w:tc>
          <w:tcPr>
            <w:tcW w:w="3825" w:type="dxa"/>
            <w:tcBorders>
              <w:top w:val="nil"/>
              <w:left w:val="nil"/>
              <w:bottom w:val="single" w:sz="4" w:space="0" w:color="244062"/>
              <w:right w:val="nil"/>
            </w:tcBorders>
            <w:shd w:val="clear" w:color="000000" w:fill="D0D1DB"/>
            <w:noWrap/>
            <w:vAlign w:val="center"/>
          </w:tcPr>
          <w:p w14:paraId="18DFAD82" w14:textId="77777777" w:rsidR="00892164" w:rsidRPr="008609D1" w:rsidRDefault="00892164" w:rsidP="0041411A">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2584" w:type="dxa"/>
            <w:tcBorders>
              <w:top w:val="nil"/>
              <w:left w:val="nil"/>
              <w:bottom w:val="single" w:sz="4" w:space="0" w:color="244062"/>
              <w:right w:val="nil"/>
            </w:tcBorders>
            <w:shd w:val="clear" w:color="auto" w:fill="auto"/>
            <w:noWrap/>
            <w:vAlign w:val="center"/>
            <w:hideMark/>
          </w:tcPr>
          <w:p w14:paraId="58101AE2"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14:paraId="7CE434F4"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r>
      <w:tr w:rsidR="00892164" w:rsidRPr="008609D1" w14:paraId="54368091" w14:textId="77777777" w:rsidTr="00154F13">
        <w:trPr>
          <w:trHeight w:val="288"/>
        </w:trPr>
        <w:tc>
          <w:tcPr>
            <w:tcW w:w="3825" w:type="dxa"/>
            <w:tcBorders>
              <w:top w:val="single" w:sz="4" w:space="0" w:color="244062"/>
              <w:left w:val="nil"/>
              <w:bottom w:val="single" w:sz="4" w:space="0" w:color="244062"/>
              <w:right w:val="nil"/>
            </w:tcBorders>
            <w:shd w:val="clear" w:color="auto" w:fill="E5E9EB"/>
            <w:noWrap/>
            <w:vAlign w:val="center"/>
          </w:tcPr>
          <w:p w14:paraId="2A2E361A" w14:textId="77777777" w:rsidR="00892164" w:rsidRPr="008609D1" w:rsidRDefault="00892164" w:rsidP="0041411A">
            <w:pPr>
              <w:keepNext/>
              <w:keepLines/>
              <w:spacing w:after="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Costos y gastos de operación</w:t>
            </w:r>
          </w:p>
        </w:tc>
        <w:tc>
          <w:tcPr>
            <w:tcW w:w="2584" w:type="dxa"/>
            <w:tcBorders>
              <w:top w:val="single" w:sz="4" w:space="0" w:color="244062"/>
              <w:left w:val="nil"/>
              <w:bottom w:val="single" w:sz="4" w:space="0" w:color="244062"/>
              <w:right w:val="nil"/>
            </w:tcBorders>
            <w:shd w:val="clear" w:color="auto" w:fill="E5E9EB"/>
            <w:noWrap/>
            <w:vAlign w:val="center"/>
            <w:hideMark/>
          </w:tcPr>
          <w:p w14:paraId="49DE42FC"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single" w:sz="4" w:space="0" w:color="244062"/>
              <w:left w:val="nil"/>
              <w:bottom w:val="single" w:sz="4" w:space="0" w:color="244062"/>
              <w:right w:val="nil"/>
            </w:tcBorders>
            <w:shd w:val="clear" w:color="auto" w:fill="E5E9EB"/>
            <w:noWrap/>
            <w:vAlign w:val="center"/>
            <w:hideMark/>
          </w:tcPr>
          <w:p w14:paraId="6EBC9895"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r>
      <w:tr w:rsidR="00892164" w:rsidRPr="008609D1" w14:paraId="76679EA3" w14:textId="77777777" w:rsidTr="00154F13">
        <w:trPr>
          <w:trHeight w:val="288"/>
        </w:trPr>
        <w:tc>
          <w:tcPr>
            <w:tcW w:w="3825" w:type="dxa"/>
            <w:tcBorders>
              <w:top w:val="nil"/>
              <w:left w:val="nil"/>
              <w:bottom w:val="single" w:sz="4" w:space="0" w:color="244062"/>
              <w:right w:val="nil"/>
            </w:tcBorders>
            <w:shd w:val="clear" w:color="000000" w:fill="D0D1DB"/>
            <w:noWrap/>
            <w:vAlign w:val="center"/>
          </w:tcPr>
          <w:p w14:paraId="49EF1F01" w14:textId="77777777" w:rsidR="00892164" w:rsidRPr="008609D1" w:rsidRDefault="00892164" w:rsidP="0041411A">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Costo de servicio y ventas</w:t>
            </w:r>
          </w:p>
        </w:tc>
        <w:tc>
          <w:tcPr>
            <w:tcW w:w="2584" w:type="dxa"/>
            <w:tcBorders>
              <w:top w:val="nil"/>
              <w:left w:val="nil"/>
              <w:bottom w:val="single" w:sz="4" w:space="0" w:color="244062"/>
              <w:right w:val="nil"/>
            </w:tcBorders>
            <w:shd w:val="clear" w:color="auto" w:fill="auto"/>
            <w:noWrap/>
            <w:vAlign w:val="center"/>
            <w:hideMark/>
          </w:tcPr>
          <w:p w14:paraId="75854B84"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14:paraId="15AF0536"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r>
      <w:tr w:rsidR="00892164" w:rsidRPr="008609D1" w14:paraId="2B150F3A" w14:textId="77777777" w:rsidTr="00154F13">
        <w:trPr>
          <w:trHeight w:val="288"/>
        </w:trPr>
        <w:tc>
          <w:tcPr>
            <w:tcW w:w="3825" w:type="dxa"/>
            <w:tcBorders>
              <w:top w:val="nil"/>
              <w:left w:val="nil"/>
              <w:bottom w:val="single" w:sz="4" w:space="0" w:color="244062"/>
              <w:right w:val="nil"/>
            </w:tcBorders>
            <w:shd w:val="clear" w:color="000000" w:fill="D0D1DB"/>
            <w:noWrap/>
            <w:vAlign w:val="center"/>
          </w:tcPr>
          <w:p w14:paraId="003DD1FF" w14:textId="77777777" w:rsidR="00892164" w:rsidRPr="008609D1" w:rsidRDefault="00892164" w:rsidP="0041411A">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Gastos de administración</w:t>
            </w:r>
          </w:p>
        </w:tc>
        <w:tc>
          <w:tcPr>
            <w:tcW w:w="2584" w:type="dxa"/>
            <w:tcBorders>
              <w:top w:val="nil"/>
              <w:left w:val="nil"/>
              <w:bottom w:val="single" w:sz="4" w:space="0" w:color="244062"/>
              <w:right w:val="nil"/>
            </w:tcBorders>
            <w:shd w:val="clear" w:color="auto" w:fill="auto"/>
            <w:noWrap/>
            <w:vAlign w:val="center"/>
            <w:hideMark/>
          </w:tcPr>
          <w:p w14:paraId="5EADE400"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14:paraId="5010AEF7"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r>
      <w:tr w:rsidR="00892164" w:rsidRPr="008609D1" w14:paraId="32383B7E" w14:textId="77777777" w:rsidTr="00154F13">
        <w:trPr>
          <w:trHeight w:val="288"/>
        </w:trPr>
        <w:tc>
          <w:tcPr>
            <w:tcW w:w="3825" w:type="dxa"/>
            <w:tcBorders>
              <w:top w:val="nil"/>
              <w:left w:val="nil"/>
              <w:bottom w:val="single" w:sz="4" w:space="0" w:color="244062"/>
              <w:right w:val="nil"/>
            </w:tcBorders>
            <w:shd w:val="clear" w:color="000000" w:fill="D0D1DB"/>
            <w:noWrap/>
            <w:vAlign w:val="center"/>
          </w:tcPr>
          <w:p w14:paraId="61F5E136" w14:textId="77777777" w:rsidR="00892164" w:rsidRPr="008609D1" w:rsidRDefault="00892164" w:rsidP="0041411A">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2584" w:type="dxa"/>
            <w:tcBorders>
              <w:top w:val="nil"/>
              <w:left w:val="nil"/>
              <w:bottom w:val="single" w:sz="4" w:space="0" w:color="244062"/>
              <w:right w:val="nil"/>
            </w:tcBorders>
            <w:shd w:val="clear" w:color="auto" w:fill="auto"/>
            <w:noWrap/>
            <w:vAlign w:val="center"/>
            <w:hideMark/>
          </w:tcPr>
          <w:p w14:paraId="30CDB6D9"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14:paraId="5EEC81B1"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r>
      <w:tr w:rsidR="00892164" w:rsidRPr="008609D1" w14:paraId="458532F8" w14:textId="77777777" w:rsidTr="00154F13">
        <w:trPr>
          <w:trHeight w:val="288"/>
        </w:trPr>
        <w:tc>
          <w:tcPr>
            <w:tcW w:w="3825" w:type="dxa"/>
            <w:tcBorders>
              <w:top w:val="single" w:sz="4" w:space="0" w:color="244062"/>
              <w:left w:val="nil"/>
              <w:bottom w:val="single" w:sz="4" w:space="0" w:color="244062"/>
              <w:right w:val="nil"/>
            </w:tcBorders>
            <w:shd w:val="clear" w:color="auto" w:fill="E5E9EB"/>
            <w:noWrap/>
            <w:vAlign w:val="center"/>
          </w:tcPr>
          <w:p w14:paraId="324F2299" w14:textId="77777777" w:rsidR="00892164" w:rsidRPr="008609D1" w:rsidRDefault="00892164" w:rsidP="0041411A">
            <w:pPr>
              <w:keepNext/>
              <w:keepLines/>
              <w:spacing w:after="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Costo de financiamiento</w:t>
            </w:r>
          </w:p>
        </w:tc>
        <w:tc>
          <w:tcPr>
            <w:tcW w:w="2584" w:type="dxa"/>
            <w:tcBorders>
              <w:top w:val="single" w:sz="4" w:space="0" w:color="244062"/>
              <w:left w:val="nil"/>
              <w:bottom w:val="single" w:sz="4" w:space="0" w:color="244062"/>
              <w:right w:val="nil"/>
            </w:tcBorders>
            <w:shd w:val="clear" w:color="auto" w:fill="E5E9EB"/>
            <w:noWrap/>
            <w:vAlign w:val="center"/>
            <w:hideMark/>
          </w:tcPr>
          <w:p w14:paraId="20EF088C"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single" w:sz="4" w:space="0" w:color="244062"/>
              <w:left w:val="nil"/>
              <w:bottom w:val="single" w:sz="4" w:space="0" w:color="244062"/>
              <w:right w:val="nil"/>
            </w:tcBorders>
            <w:shd w:val="clear" w:color="auto" w:fill="E5E9EB"/>
            <w:noWrap/>
            <w:vAlign w:val="center"/>
            <w:hideMark/>
          </w:tcPr>
          <w:p w14:paraId="0D27A8D9"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r>
      <w:tr w:rsidR="005E70C0" w:rsidRPr="008609D1" w14:paraId="7C87D882" w14:textId="77777777" w:rsidTr="00154F13">
        <w:trPr>
          <w:trHeight w:val="288"/>
        </w:trPr>
        <w:tc>
          <w:tcPr>
            <w:tcW w:w="3825" w:type="dxa"/>
            <w:tcBorders>
              <w:top w:val="nil"/>
              <w:left w:val="nil"/>
              <w:bottom w:val="single" w:sz="4" w:space="0" w:color="244062"/>
              <w:right w:val="nil"/>
            </w:tcBorders>
            <w:shd w:val="clear" w:color="000000" w:fill="D0D1DB"/>
            <w:noWrap/>
            <w:vAlign w:val="center"/>
          </w:tcPr>
          <w:p w14:paraId="22013F65" w14:textId="77777777" w:rsidR="005E70C0" w:rsidRPr="008609D1" w:rsidRDefault="005E70C0" w:rsidP="0041411A">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Intereses ganados</w:t>
            </w:r>
          </w:p>
        </w:tc>
        <w:tc>
          <w:tcPr>
            <w:tcW w:w="2584" w:type="dxa"/>
            <w:tcBorders>
              <w:top w:val="nil"/>
              <w:left w:val="nil"/>
              <w:bottom w:val="single" w:sz="4" w:space="0" w:color="244062"/>
              <w:right w:val="nil"/>
            </w:tcBorders>
            <w:shd w:val="clear" w:color="auto" w:fill="auto"/>
            <w:noWrap/>
            <w:vAlign w:val="center"/>
            <w:hideMark/>
          </w:tcPr>
          <w:p w14:paraId="24E9BD5D" w14:textId="77777777" w:rsidR="005E70C0" w:rsidRPr="008609D1" w:rsidRDefault="005E70C0" w:rsidP="0041411A">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14:paraId="3612710D" w14:textId="77777777" w:rsidR="005E70C0" w:rsidRPr="008609D1" w:rsidRDefault="005E70C0" w:rsidP="0041411A">
            <w:pPr>
              <w:keepNext/>
              <w:keepLines/>
              <w:spacing w:after="0" w:line="240" w:lineRule="auto"/>
              <w:jc w:val="center"/>
              <w:rPr>
                <w:rFonts w:ascii="ITC Avant Garde" w:eastAsia="Times New Roman" w:hAnsi="ITC Avant Garde" w:cs="Arial"/>
                <w:sz w:val="20"/>
                <w:lang w:val="es-ES" w:eastAsia="es-ES"/>
              </w:rPr>
            </w:pPr>
          </w:p>
        </w:tc>
      </w:tr>
      <w:tr w:rsidR="00892164" w:rsidRPr="008609D1" w14:paraId="10FA2D19" w14:textId="77777777" w:rsidTr="00154F13">
        <w:trPr>
          <w:trHeight w:val="288"/>
        </w:trPr>
        <w:tc>
          <w:tcPr>
            <w:tcW w:w="3825" w:type="dxa"/>
            <w:tcBorders>
              <w:top w:val="nil"/>
              <w:left w:val="nil"/>
              <w:bottom w:val="single" w:sz="4" w:space="0" w:color="244062"/>
              <w:right w:val="nil"/>
            </w:tcBorders>
            <w:shd w:val="clear" w:color="000000" w:fill="D0D1DB"/>
            <w:noWrap/>
            <w:vAlign w:val="center"/>
          </w:tcPr>
          <w:p w14:paraId="0289FCCD" w14:textId="77777777" w:rsidR="00892164" w:rsidRPr="008609D1" w:rsidRDefault="005E70C0" w:rsidP="0041411A">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Gastos por intereses y otros gastos financieros</w:t>
            </w:r>
          </w:p>
        </w:tc>
        <w:tc>
          <w:tcPr>
            <w:tcW w:w="2584" w:type="dxa"/>
            <w:tcBorders>
              <w:top w:val="nil"/>
              <w:left w:val="nil"/>
              <w:bottom w:val="single" w:sz="4" w:space="0" w:color="244062"/>
              <w:right w:val="nil"/>
            </w:tcBorders>
            <w:shd w:val="clear" w:color="auto" w:fill="auto"/>
            <w:noWrap/>
            <w:vAlign w:val="center"/>
            <w:hideMark/>
          </w:tcPr>
          <w:p w14:paraId="02B3E479"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14:paraId="4A509893"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r>
      <w:tr w:rsidR="00892164" w:rsidRPr="008609D1" w14:paraId="26E170AD" w14:textId="77777777" w:rsidTr="00154F13">
        <w:trPr>
          <w:trHeight w:val="288"/>
        </w:trPr>
        <w:tc>
          <w:tcPr>
            <w:tcW w:w="3825" w:type="dxa"/>
            <w:tcBorders>
              <w:top w:val="nil"/>
              <w:left w:val="nil"/>
              <w:bottom w:val="single" w:sz="4" w:space="0" w:color="244062"/>
              <w:right w:val="nil"/>
            </w:tcBorders>
            <w:shd w:val="clear" w:color="000000" w:fill="D0D1DB"/>
            <w:noWrap/>
            <w:vAlign w:val="center"/>
          </w:tcPr>
          <w:p w14:paraId="68A0C0EA" w14:textId="77777777" w:rsidR="00892164" w:rsidRPr="008609D1" w:rsidRDefault="00892164" w:rsidP="0041411A">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2584" w:type="dxa"/>
            <w:tcBorders>
              <w:top w:val="nil"/>
              <w:left w:val="nil"/>
              <w:bottom w:val="single" w:sz="4" w:space="0" w:color="244062"/>
              <w:right w:val="nil"/>
            </w:tcBorders>
            <w:shd w:val="clear" w:color="auto" w:fill="auto"/>
            <w:noWrap/>
            <w:vAlign w:val="center"/>
            <w:hideMark/>
          </w:tcPr>
          <w:p w14:paraId="7A15D0FB"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14:paraId="31FF36AE"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r>
      <w:tr w:rsidR="00892164" w:rsidRPr="008609D1" w14:paraId="2060ED6D" w14:textId="77777777" w:rsidTr="00154F13">
        <w:trPr>
          <w:trHeight w:val="288"/>
        </w:trPr>
        <w:tc>
          <w:tcPr>
            <w:tcW w:w="3825" w:type="dxa"/>
            <w:tcBorders>
              <w:top w:val="single" w:sz="4" w:space="0" w:color="244062"/>
              <w:left w:val="nil"/>
              <w:bottom w:val="single" w:sz="4" w:space="0" w:color="244062"/>
              <w:right w:val="nil"/>
            </w:tcBorders>
            <w:shd w:val="clear" w:color="auto" w:fill="E5E9EB"/>
            <w:noWrap/>
            <w:vAlign w:val="center"/>
          </w:tcPr>
          <w:p w14:paraId="31AC70EB" w14:textId="77777777" w:rsidR="00892164" w:rsidRPr="008609D1" w:rsidRDefault="00892164" w:rsidP="0041411A">
            <w:pPr>
              <w:keepNext/>
              <w:keepLines/>
              <w:spacing w:after="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 xml:space="preserve">Utilidad (pérdida) antes de impuestos </w:t>
            </w:r>
          </w:p>
        </w:tc>
        <w:tc>
          <w:tcPr>
            <w:tcW w:w="2584" w:type="dxa"/>
            <w:tcBorders>
              <w:top w:val="single" w:sz="4" w:space="0" w:color="244062"/>
              <w:left w:val="nil"/>
              <w:bottom w:val="single" w:sz="4" w:space="0" w:color="244062"/>
              <w:right w:val="nil"/>
            </w:tcBorders>
            <w:shd w:val="clear" w:color="auto" w:fill="E5E9EB"/>
            <w:noWrap/>
            <w:vAlign w:val="center"/>
            <w:hideMark/>
          </w:tcPr>
          <w:p w14:paraId="3F74B991"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single" w:sz="4" w:space="0" w:color="244062"/>
              <w:left w:val="nil"/>
              <w:bottom w:val="single" w:sz="4" w:space="0" w:color="244062"/>
              <w:right w:val="nil"/>
            </w:tcBorders>
            <w:shd w:val="clear" w:color="auto" w:fill="E5E9EB"/>
            <w:noWrap/>
            <w:vAlign w:val="center"/>
            <w:hideMark/>
          </w:tcPr>
          <w:p w14:paraId="7BFFD37A"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r>
      <w:tr w:rsidR="00892164" w:rsidRPr="008609D1" w14:paraId="1D4B86F8" w14:textId="77777777" w:rsidTr="00154F13">
        <w:trPr>
          <w:trHeight w:val="288"/>
        </w:trPr>
        <w:tc>
          <w:tcPr>
            <w:tcW w:w="3825" w:type="dxa"/>
            <w:tcBorders>
              <w:top w:val="nil"/>
              <w:left w:val="nil"/>
              <w:bottom w:val="single" w:sz="4" w:space="0" w:color="244062"/>
              <w:right w:val="nil"/>
            </w:tcBorders>
            <w:shd w:val="clear" w:color="000000" w:fill="D0D1DB"/>
            <w:noWrap/>
            <w:vAlign w:val="center"/>
          </w:tcPr>
          <w:p w14:paraId="41813D0C" w14:textId="77777777" w:rsidR="00892164" w:rsidRPr="008609D1" w:rsidRDefault="00892164" w:rsidP="0041411A">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Impuestos a la utilidad</w:t>
            </w:r>
          </w:p>
        </w:tc>
        <w:tc>
          <w:tcPr>
            <w:tcW w:w="2584" w:type="dxa"/>
            <w:tcBorders>
              <w:top w:val="nil"/>
              <w:left w:val="nil"/>
              <w:bottom w:val="single" w:sz="4" w:space="0" w:color="244062"/>
              <w:right w:val="nil"/>
            </w:tcBorders>
            <w:shd w:val="clear" w:color="auto" w:fill="auto"/>
            <w:noWrap/>
            <w:vAlign w:val="center"/>
            <w:hideMark/>
          </w:tcPr>
          <w:p w14:paraId="160FD605"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nil"/>
              <w:left w:val="nil"/>
              <w:bottom w:val="single" w:sz="4" w:space="0" w:color="244062"/>
              <w:right w:val="nil"/>
            </w:tcBorders>
            <w:shd w:val="clear" w:color="auto" w:fill="auto"/>
            <w:noWrap/>
            <w:vAlign w:val="center"/>
            <w:hideMark/>
          </w:tcPr>
          <w:p w14:paraId="78923D6D"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r>
      <w:tr w:rsidR="00892164" w:rsidRPr="008609D1" w14:paraId="359CC206" w14:textId="77777777" w:rsidTr="00154F13">
        <w:trPr>
          <w:trHeight w:val="288"/>
        </w:trPr>
        <w:tc>
          <w:tcPr>
            <w:tcW w:w="3825" w:type="dxa"/>
            <w:tcBorders>
              <w:top w:val="single" w:sz="4" w:space="0" w:color="244062"/>
              <w:left w:val="nil"/>
              <w:bottom w:val="double" w:sz="4" w:space="0" w:color="244062"/>
              <w:right w:val="nil"/>
            </w:tcBorders>
            <w:shd w:val="clear" w:color="auto" w:fill="E5E9EB"/>
            <w:noWrap/>
            <w:vAlign w:val="center"/>
          </w:tcPr>
          <w:p w14:paraId="7585A20C" w14:textId="77777777" w:rsidR="00892164" w:rsidRPr="008609D1" w:rsidRDefault="00892164" w:rsidP="0041411A">
            <w:pPr>
              <w:keepNext/>
              <w:keepLines/>
              <w:spacing w:after="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Utilidad (pérdida), neta</w:t>
            </w:r>
          </w:p>
        </w:tc>
        <w:tc>
          <w:tcPr>
            <w:tcW w:w="2584" w:type="dxa"/>
            <w:tcBorders>
              <w:top w:val="single" w:sz="4" w:space="0" w:color="244062"/>
              <w:left w:val="nil"/>
              <w:bottom w:val="double" w:sz="4" w:space="0" w:color="244062"/>
              <w:right w:val="nil"/>
            </w:tcBorders>
            <w:shd w:val="clear" w:color="auto" w:fill="E5E9EB"/>
            <w:noWrap/>
            <w:vAlign w:val="center"/>
            <w:hideMark/>
          </w:tcPr>
          <w:p w14:paraId="22A68AEA"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c>
          <w:tcPr>
            <w:tcW w:w="2585" w:type="dxa"/>
            <w:tcBorders>
              <w:top w:val="single" w:sz="4" w:space="0" w:color="244062"/>
              <w:left w:val="nil"/>
              <w:bottom w:val="double" w:sz="4" w:space="0" w:color="244062"/>
              <w:right w:val="nil"/>
            </w:tcBorders>
            <w:shd w:val="clear" w:color="auto" w:fill="E5E9EB"/>
            <w:noWrap/>
            <w:vAlign w:val="center"/>
            <w:hideMark/>
          </w:tcPr>
          <w:p w14:paraId="6A2C03DA" w14:textId="77777777" w:rsidR="00892164" w:rsidRPr="008609D1" w:rsidRDefault="00892164" w:rsidP="0041411A">
            <w:pPr>
              <w:keepNext/>
              <w:keepLines/>
              <w:spacing w:after="0" w:line="240" w:lineRule="auto"/>
              <w:jc w:val="center"/>
              <w:rPr>
                <w:rFonts w:ascii="ITC Avant Garde" w:eastAsia="Times New Roman" w:hAnsi="ITC Avant Garde" w:cs="Arial"/>
                <w:sz w:val="20"/>
                <w:lang w:val="es-ES" w:eastAsia="es-ES"/>
              </w:rPr>
            </w:pPr>
          </w:p>
        </w:tc>
      </w:tr>
    </w:tbl>
    <w:p w14:paraId="0A286B83" w14:textId="77777777" w:rsidR="00892164" w:rsidRPr="008609D1" w:rsidRDefault="00892164" w:rsidP="004062CC">
      <w:pPr>
        <w:pStyle w:val="HeadingAnexo1L2"/>
        <w:keepNext/>
        <w:keepLines/>
        <w:numPr>
          <w:ilvl w:val="0"/>
          <w:numId w:val="202"/>
        </w:numPr>
      </w:pPr>
      <w:bookmarkStart w:id="210" w:name="_Ref477267988"/>
      <w:bookmarkStart w:id="211" w:name="_Toc477283593"/>
      <w:r w:rsidRPr="008609D1">
        <w:lastRenderedPageBreak/>
        <w:t>Balanza de Activos y Pasivos</w:t>
      </w:r>
      <w:bookmarkEnd w:id="210"/>
      <w:bookmarkEnd w:id="211"/>
    </w:p>
    <w:p w14:paraId="4BB12694" w14:textId="77777777" w:rsidR="00892164" w:rsidRDefault="00892164" w:rsidP="004062CC">
      <w:pPr>
        <w:pStyle w:val="Normalresolucion"/>
        <w:keepNext/>
        <w:keepLines/>
      </w:pPr>
      <w:r w:rsidRPr="008609D1">
        <w:t>El siguiente formato deberá contener la Balanza de Activos y Pasivos</w:t>
      </w:r>
      <w:r w:rsidR="007A1130" w:rsidRPr="008609D1">
        <w:t xml:space="preserve"> del concesionario</w:t>
      </w:r>
      <w:r w:rsidRPr="008609D1">
        <w:t xml:space="preserve"> referente al último ejercicio </w:t>
      </w:r>
      <w:r w:rsidR="007A1130" w:rsidRPr="008609D1">
        <w:t>en el que se desagreguen, como mínimo, los rubros arriba indicados entre la parte relacionada con autoridades públicas y la que no lo está:</w:t>
      </w:r>
    </w:p>
    <w:p w14:paraId="1CAA12BE" w14:textId="77777777" w:rsidR="0041411A" w:rsidRPr="008609D1" w:rsidRDefault="0041411A" w:rsidP="0041411A">
      <w:pPr>
        <w:pStyle w:val="Descripcin"/>
        <w:keepNext/>
        <w:keepLines/>
        <w:spacing w:after="240" w:line="240" w:lineRule="auto"/>
        <w:rPr>
          <w:rFonts w:ascii="ITC Avant Garde" w:hAnsi="ITC Avant Garde"/>
          <w:iCs/>
          <w:sz w:val="20"/>
          <w:lang w:val="es-MX"/>
        </w:rPr>
      </w:pPr>
      <w:r w:rsidRPr="008609D1">
        <w:rPr>
          <w:rFonts w:ascii="ITC Avant Garde" w:hAnsi="ITC Avant Garde"/>
          <w:iCs/>
          <w:sz w:val="20"/>
          <w:lang w:val="es-MX"/>
        </w:rPr>
        <w:t>Formato A6.</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2</w:t>
      </w:r>
      <w:r w:rsidRPr="008609D1">
        <w:rPr>
          <w:rFonts w:ascii="ITC Avant Garde" w:hAnsi="ITC Avant Garde"/>
          <w:iCs/>
          <w:sz w:val="20"/>
          <w:lang w:val="es-MX"/>
        </w:rPr>
        <w:fldChar w:fldCharType="end"/>
      </w:r>
      <w:r w:rsidRPr="008609D1">
        <w:rPr>
          <w:rFonts w:ascii="ITC Avant Garde" w:hAnsi="ITC Avant Garde"/>
          <w:iCs/>
          <w:sz w:val="20"/>
          <w:lang w:val="es-MX"/>
        </w:rPr>
        <w:t>: Balanza de activos y pasivos</w:t>
      </w:r>
    </w:p>
    <w:tbl>
      <w:tblPr>
        <w:tblW w:w="5000" w:type="pct"/>
        <w:jc w:val="center"/>
        <w:tblLayout w:type="fixed"/>
        <w:tblCellMar>
          <w:left w:w="70" w:type="dxa"/>
          <w:right w:w="70" w:type="dxa"/>
        </w:tblCellMar>
        <w:tblLook w:val="04A0" w:firstRow="1" w:lastRow="0" w:firstColumn="1" w:lastColumn="0" w:noHBand="0" w:noVBand="1"/>
      </w:tblPr>
      <w:tblGrid>
        <w:gridCol w:w="3677"/>
        <w:gridCol w:w="2575"/>
        <w:gridCol w:w="2576"/>
      </w:tblGrid>
      <w:tr w:rsidR="007304F5" w:rsidRPr="008609D1" w14:paraId="317B3929" w14:textId="77777777" w:rsidTr="000E069D">
        <w:trPr>
          <w:trHeight w:val="504"/>
          <w:tblHeader/>
          <w:jc w:val="center"/>
        </w:trPr>
        <w:tc>
          <w:tcPr>
            <w:tcW w:w="3741" w:type="dxa"/>
            <w:tcBorders>
              <w:top w:val="nil"/>
              <w:left w:val="single" w:sz="4" w:space="0" w:color="FFFFFF"/>
              <w:bottom w:val="nil"/>
              <w:right w:val="single" w:sz="4" w:space="0" w:color="FFFFFF"/>
            </w:tcBorders>
            <w:shd w:val="clear" w:color="000000" w:fill="4F629B"/>
            <w:vAlign w:val="center"/>
            <w:hideMark/>
          </w:tcPr>
          <w:p w14:paraId="6621D920" w14:textId="77777777" w:rsidR="00892164" w:rsidRPr="008609D1" w:rsidRDefault="00892164">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Balanza de activos y</w:t>
            </w:r>
            <w:r w:rsidRPr="008609D1">
              <w:rPr>
                <w:rFonts w:ascii="ITC Avant Garde" w:eastAsia="Times New Roman" w:hAnsi="ITC Avant Garde" w:cs="Arial"/>
                <w:b/>
                <w:color w:val="FFFFFF" w:themeColor="background1"/>
                <w:sz w:val="20"/>
                <w:lang w:val="es-ES" w:eastAsia="es-ES"/>
              </w:rPr>
              <w:br/>
              <w:t>pasivos</w:t>
            </w:r>
            <w:r w:rsidRPr="008609D1">
              <w:rPr>
                <w:rFonts w:ascii="ITC Avant Garde" w:eastAsia="Times New Roman" w:hAnsi="ITC Avant Garde" w:cs="Arial"/>
                <w:b/>
                <w:bCs/>
                <w:color w:val="FFFFFF" w:themeColor="background1"/>
                <w:sz w:val="20"/>
                <w:vertAlign w:val="superscript"/>
                <w:lang w:val="es-ES" w:eastAsia="es-ES"/>
              </w:rPr>
              <w:footnoteReference w:id="83"/>
            </w:r>
          </w:p>
        </w:tc>
        <w:tc>
          <w:tcPr>
            <w:tcW w:w="2618" w:type="dxa"/>
            <w:tcBorders>
              <w:top w:val="nil"/>
              <w:left w:val="nil"/>
              <w:bottom w:val="nil"/>
              <w:right w:val="single" w:sz="4" w:space="0" w:color="FFFFFF"/>
            </w:tcBorders>
            <w:shd w:val="clear" w:color="000000" w:fill="4F629B"/>
            <w:vAlign w:val="center"/>
            <w:hideMark/>
          </w:tcPr>
          <w:p w14:paraId="3B9386E7" w14:textId="77777777" w:rsidR="00892164" w:rsidRPr="008609D1" w:rsidRDefault="00892164">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Relacionado con</w:t>
            </w:r>
            <w:r w:rsidRPr="008609D1">
              <w:rPr>
                <w:rFonts w:ascii="ITC Avant Garde" w:eastAsia="Times New Roman" w:hAnsi="ITC Avant Garde" w:cs="Arial"/>
                <w:b/>
                <w:color w:val="FFFFFF" w:themeColor="background1"/>
                <w:sz w:val="20"/>
                <w:lang w:val="es-ES" w:eastAsia="es-ES"/>
              </w:rPr>
              <w:br/>
              <w:t>autoridades públicas</w:t>
            </w:r>
          </w:p>
        </w:tc>
        <w:tc>
          <w:tcPr>
            <w:tcW w:w="2619" w:type="dxa"/>
            <w:tcBorders>
              <w:top w:val="nil"/>
              <w:left w:val="nil"/>
              <w:bottom w:val="nil"/>
              <w:right w:val="single" w:sz="4" w:space="0" w:color="FFFFFF"/>
            </w:tcBorders>
            <w:shd w:val="clear" w:color="000000" w:fill="4F629B"/>
            <w:vAlign w:val="center"/>
            <w:hideMark/>
          </w:tcPr>
          <w:p w14:paraId="25AB2370" w14:textId="77777777" w:rsidR="00892164" w:rsidRPr="008609D1" w:rsidRDefault="00892164">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No relacionado con</w:t>
            </w:r>
            <w:r w:rsidRPr="008609D1">
              <w:rPr>
                <w:rFonts w:ascii="ITC Avant Garde" w:eastAsia="Times New Roman" w:hAnsi="ITC Avant Garde" w:cs="Arial"/>
                <w:b/>
                <w:color w:val="FFFFFF" w:themeColor="background1"/>
                <w:sz w:val="20"/>
                <w:lang w:val="es-ES" w:eastAsia="es-ES"/>
              </w:rPr>
              <w:br/>
              <w:t>autoridades públicas</w:t>
            </w:r>
          </w:p>
        </w:tc>
      </w:tr>
      <w:tr w:rsidR="00892164" w:rsidRPr="008609D1" w14:paraId="14024782" w14:textId="77777777" w:rsidTr="000E069D">
        <w:trPr>
          <w:trHeight w:val="288"/>
          <w:jc w:val="center"/>
        </w:trPr>
        <w:tc>
          <w:tcPr>
            <w:tcW w:w="3741" w:type="dxa"/>
            <w:tcBorders>
              <w:top w:val="single" w:sz="4" w:space="0" w:color="244062"/>
              <w:left w:val="nil"/>
              <w:bottom w:val="single" w:sz="4" w:space="0" w:color="244062"/>
              <w:right w:val="nil"/>
            </w:tcBorders>
            <w:shd w:val="clear" w:color="auto" w:fill="E5E9EB"/>
            <w:noWrap/>
            <w:vAlign w:val="center"/>
          </w:tcPr>
          <w:p w14:paraId="5F4C9995" w14:textId="77777777" w:rsidR="00892164" w:rsidRPr="008609D1" w:rsidRDefault="00892164" w:rsidP="001735D4">
            <w:pPr>
              <w:keepNext/>
              <w:keepLines/>
              <w:spacing w:after="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Activo</w:t>
            </w:r>
          </w:p>
        </w:tc>
        <w:tc>
          <w:tcPr>
            <w:tcW w:w="2618" w:type="dxa"/>
            <w:tcBorders>
              <w:top w:val="single" w:sz="4" w:space="0" w:color="244062"/>
              <w:left w:val="nil"/>
              <w:bottom w:val="single" w:sz="4" w:space="0" w:color="244062"/>
              <w:right w:val="nil"/>
            </w:tcBorders>
            <w:shd w:val="clear" w:color="auto" w:fill="E5E9EB"/>
            <w:noWrap/>
            <w:vAlign w:val="center"/>
            <w:hideMark/>
          </w:tcPr>
          <w:p w14:paraId="18ACD21B"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single" w:sz="4" w:space="0" w:color="244062"/>
              <w:left w:val="nil"/>
              <w:bottom w:val="single" w:sz="4" w:space="0" w:color="244062"/>
              <w:right w:val="nil"/>
            </w:tcBorders>
            <w:shd w:val="clear" w:color="auto" w:fill="E5E9EB"/>
            <w:noWrap/>
            <w:vAlign w:val="center"/>
            <w:hideMark/>
          </w:tcPr>
          <w:p w14:paraId="39051BA4"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r>
      <w:tr w:rsidR="00892164" w:rsidRPr="008609D1" w14:paraId="7C5331A9" w14:textId="77777777" w:rsidTr="000E069D">
        <w:trPr>
          <w:trHeight w:val="288"/>
          <w:jc w:val="center"/>
        </w:trPr>
        <w:tc>
          <w:tcPr>
            <w:tcW w:w="3741" w:type="dxa"/>
            <w:tcBorders>
              <w:top w:val="nil"/>
              <w:left w:val="nil"/>
              <w:bottom w:val="single" w:sz="4" w:space="0" w:color="244062"/>
              <w:right w:val="nil"/>
            </w:tcBorders>
            <w:shd w:val="clear" w:color="000000" w:fill="D0D1DB"/>
            <w:noWrap/>
            <w:vAlign w:val="center"/>
          </w:tcPr>
          <w:p w14:paraId="367E1367" w14:textId="77777777" w:rsidR="00892164" w:rsidRPr="008609D1" w:rsidRDefault="00892164" w:rsidP="001735D4">
            <w:pPr>
              <w:keepNext/>
              <w:keepLines/>
              <w:spacing w:after="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Activo circulante</w:t>
            </w:r>
          </w:p>
        </w:tc>
        <w:tc>
          <w:tcPr>
            <w:tcW w:w="2618" w:type="dxa"/>
            <w:tcBorders>
              <w:top w:val="nil"/>
              <w:left w:val="nil"/>
              <w:bottom w:val="single" w:sz="4" w:space="0" w:color="244062"/>
              <w:right w:val="nil"/>
            </w:tcBorders>
            <w:shd w:val="clear" w:color="auto" w:fill="auto"/>
            <w:noWrap/>
            <w:vAlign w:val="center"/>
            <w:hideMark/>
          </w:tcPr>
          <w:p w14:paraId="1DBB33B5"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14:paraId="31BB5FB3"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r>
      <w:tr w:rsidR="00497DEA" w:rsidRPr="008609D1" w14:paraId="4EE1B994" w14:textId="77777777" w:rsidTr="000E069D">
        <w:trPr>
          <w:trHeight w:val="288"/>
          <w:jc w:val="center"/>
        </w:trPr>
        <w:tc>
          <w:tcPr>
            <w:tcW w:w="3741" w:type="dxa"/>
            <w:tcBorders>
              <w:top w:val="nil"/>
              <w:left w:val="nil"/>
              <w:bottom w:val="single" w:sz="4" w:space="0" w:color="244062"/>
              <w:right w:val="nil"/>
            </w:tcBorders>
            <w:shd w:val="clear" w:color="000000" w:fill="D0D1DB"/>
            <w:noWrap/>
            <w:vAlign w:val="center"/>
            <w:hideMark/>
          </w:tcPr>
          <w:p w14:paraId="1EA52638" w14:textId="77777777" w:rsidR="00497DEA" w:rsidRPr="008609D1" w:rsidRDefault="00497DEA"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Efectivo y equivalentes</w:t>
            </w:r>
          </w:p>
        </w:tc>
        <w:tc>
          <w:tcPr>
            <w:tcW w:w="2618" w:type="dxa"/>
            <w:tcBorders>
              <w:top w:val="nil"/>
              <w:left w:val="nil"/>
              <w:bottom w:val="single" w:sz="4" w:space="0" w:color="244062"/>
              <w:right w:val="nil"/>
            </w:tcBorders>
            <w:shd w:val="clear" w:color="auto" w:fill="auto"/>
            <w:noWrap/>
            <w:vAlign w:val="center"/>
            <w:hideMark/>
          </w:tcPr>
          <w:p w14:paraId="40B7F5B4" w14:textId="77777777" w:rsidR="00497DEA" w:rsidRPr="008609D1" w:rsidRDefault="00497DEA">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14:paraId="6C59DF8B" w14:textId="77777777" w:rsidR="00497DEA" w:rsidRPr="008609D1" w:rsidRDefault="00497DEA">
            <w:pPr>
              <w:keepNext/>
              <w:keepLines/>
              <w:spacing w:after="0" w:line="240" w:lineRule="auto"/>
              <w:jc w:val="center"/>
              <w:rPr>
                <w:rFonts w:ascii="ITC Avant Garde" w:eastAsia="Times New Roman" w:hAnsi="ITC Avant Garde" w:cs="Arial"/>
                <w:sz w:val="20"/>
                <w:lang w:val="es-ES" w:eastAsia="es-ES"/>
              </w:rPr>
            </w:pPr>
          </w:p>
        </w:tc>
      </w:tr>
      <w:tr w:rsidR="00497DEA" w:rsidRPr="008609D1" w14:paraId="17188AB4" w14:textId="77777777" w:rsidTr="000E069D">
        <w:trPr>
          <w:trHeight w:val="288"/>
          <w:jc w:val="center"/>
        </w:trPr>
        <w:tc>
          <w:tcPr>
            <w:tcW w:w="3741" w:type="dxa"/>
            <w:tcBorders>
              <w:top w:val="nil"/>
              <w:left w:val="nil"/>
              <w:bottom w:val="single" w:sz="4" w:space="0" w:color="244062"/>
              <w:right w:val="nil"/>
            </w:tcBorders>
            <w:shd w:val="clear" w:color="000000" w:fill="D0D1DB"/>
            <w:noWrap/>
            <w:vAlign w:val="center"/>
            <w:hideMark/>
          </w:tcPr>
          <w:p w14:paraId="449933C3" w14:textId="77777777" w:rsidR="00497DEA" w:rsidRPr="008609D1" w:rsidRDefault="00497DEA"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Cuentas por cobrar, neto</w:t>
            </w:r>
          </w:p>
        </w:tc>
        <w:tc>
          <w:tcPr>
            <w:tcW w:w="2618" w:type="dxa"/>
            <w:tcBorders>
              <w:top w:val="nil"/>
              <w:left w:val="nil"/>
              <w:bottom w:val="single" w:sz="4" w:space="0" w:color="244062"/>
              <w:right w:val="nil"/>
            </w:tcBorders>
            <w:shd w:val="clear" w:color="auto" w:fill="auto"/>
            <w:noWrap/>
            <w:vAlign w:val="center"/>
            <w:hideMark/>
          </w:tcPr>
          <w:p w14:paraId="4463A73E" w14:textId="77777777" w:rsidR="00497DEA" w:rsidRPr="008609D1" w:rsidRDefault="00497DEA">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14:paraId="3E13C27A" w14:textId="77777777" w:rsidR="00497DEA" w:rsidRPr="008609D1" w:rsidRDefault="00497DEA">
            <w:pPr>
              <w:keepNext/>
              <w:keepLines/>
              <w:spacing w:after="0" w:line="240" w:lineRule="auto"/>
              <w:jc w:val="center"/>
              <w:rPr>
                <w:rFonts w:ascii="ITC Avant Garde" w:eastAsia="Times New Roman" w:hAnsi="ITC Avant Garde" w:cs="Arial"/>
                <w:sz w:val="20"/>
                <w:lang w:val="es-ES" w:eastAsia="es-ES"/>
              </w:rPr>
            </w:pPr>
          </w:p>
        </w:tc>
      </w:tr>
      <w:tr w:rsidR="00892164" w:rsidRPr="008609D1" w14:paraId="4B7C4632" w14:textId="77777777" w:rsidTr="000E069D">
        <w:trPr>
          <w:trHeight w:val="288"/>
          <w:jc w:val="center"/>
        </w:trPr>
        <w:tc>
          <w:tcPr>
            <w:tcW w:w="3741" w:type="dxa"/>
            <w:tcBorders>
              <w:top w:val="nil"/>
              <w:left w:val="nil"/>
              <w:bottom w:val="single" w:sz="4" w:space="0" w:color="244062"/>
              <w:right w:val="nil"/>
            </w:tcBorders>
            <w:shd w:val="clear" w:color="000000" w:fill="D0D1DB"/>
            <w:noWrap/>
            <w:vAlign w:val="center"/>
            <w:hideMark/>
          </w:tcPr>
          <w:p w14:paraId="238DE0B4" w14:textId="77777777" w:rsidR="00892164" w:rsidRPr="008609D1" w:rsidRDefault="00892164"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2618" w:type="dxa"/>
            <w:tcBorders>
              <w:top w:val="nil"/>
              <w:left w:val="nil"/>
              <w:bottom w:val="single" w:sz="4" w:space="0" w:color="244062"/>
              <w:right w:val="nil"/>
            </w:tcBorders>
            <w:shd w:val="clear" w:color="auto" w:fill="auto"/>
            <w:noWrap/>
            <w:vAlign w:val="center"/>
            <w:hideMark/>
          </w:tcPr>
          <w:p w14:paraId="14F20D8B"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14:paraId="24FE5129"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r>
      <w:tr w:rsidR="00892164" w:rsidRPr="008609D1" w14:paraId="4CFB6B51" w14:textId="77777777" w:rsidTr="000E069D">
        <w:trPr>
          <w:trHeight w:val="288"/>
          <w:jc w:val="center"/>
        </w:trPr>
        <w:tc>
          <w:tcPr>
            <w:tcW w:w="3741" w:type="dxa"/>
            <w:tcBorders>
              <w:top w:val="nil"/>
              <w:left w:val="nil"/>
              <w:bottom w:val="single" w:sz="4" w:space="0" w:color="244062"/>
              <w:right w:val="nil"/>
            </w:tcBorders>
            <w:shd w:val="clear" w:color="000000" w:fill="D0D1DB"/>
            <w:noWrap/>
            <w:vAlign w:val="center"/>
            <w:hideMark/>
          </w:tcPr>
          <w:p w14:paraId="799DBDC2" w14:textId="77777777" w:rsidR="00892164" w:rsidRPr="008609D1" w:rsidRDefault="00892164" w:rsidP="001735D4">
            <w:pPr>
              <w:keepNext/>
              <w:keepLines/>
              <w:spacing w:after="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Activo no circulante</w:t>
            </w:r>
          </w:p>
        </w:tc>
        <w:tc>
          <w:tcPr>
            <w:tcW w:w="2618" w:type="dxa"/>
            <w:tcBorders>
              <w:top w:val="nil"/>
              <w:left w:val="nil"/>
              <w:bottom w:val="single" w:sz="4" w:space="0" w:color="244062"/>
              <w:right w:val="nil"/>
            </w:tcBorders>
            <w:shd w:val="clear" w:color="auto" w:fill="auto"/>
            <w:noWrap/>
            <w:vAlign w:val="center"/>
            <w:hideMark/>
          </w:tcPr>
          <w:p w14:paraId="3385B443"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14:paraId="2B6140B0"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r>
      <w:tr w:rsidR="00497DEA" w:rsidRPr="008609D1" w14:paraId="6CBF6CF2" w14:textId="77777777" w:rsidTr="000E069D">
        <w:trPr>
          <w:trHeight w:val="288"/>
          <w:jc w:val="center"/>
        </w:trPr>
        <w:tc>
          <w:tcPr>
            <w:tcW w:w="3741" w:type="dxa"/>
            <w:tcBorders>
              <w:top w:val="nil"/>
              <w:left w:val="nil"/>
              <w:bottom w:val="single" w:sz="4" w:space="0" w:color="244062"/>
              <w:right w:val="nil"/>
            </w:tcBorders>
            <w:shd w:val="clear" w:color="000000" w:fill="D0D1DB"/>
            <w:noWrap/>
            <w:vAlign w:val="center"/>
            <w:hideMark/>
          </w:tcPr>
          <w:p w14:paraId="6450D1EC" w14:textId="77777777" w:rsidR="00497DEA" w:rsidRPr="008609D1" w:rsidRDefault="00497DEA"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Inversiones permanentes</w:t>
            </w:r>
          </w:p>
        </w:tc>
        <w:tc>
          <w:tcPr>
            <w:tcW w:w="2618" w:type="dxa"/>
            <w:tcBorders>
              <w:top w:val="nil"/>
              <w:left w:val="nil"/>
              <w:bottom w:val="single" w:sz="4" w:space="0" w:color="244062"/>
              <w:right w:val="nil"/>
            </w:tcBorders>
            <w:shd w:val="clear" w:color="auto" w:fill="auto"/>
            <w:noWrap/>
            <w:vAlign w:val="center"/>
            <w:hideMark/>
          </w:tcPr>
          <w:p w14:paraId="0B92403A" w14:textId="77777777" w:rsidR="00497DEA" w:rsidRPr="008609D1" w:rsidRDefault="00497DEA">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14:paraId="04B69D5B" w14:textId="77777777" w:rsidR="00497DEA" w:rsidRPr="008609D1" w:rsidRDefault="00497DEA">
            <w:pPr>
              <w:keepNext/>
              <w:keepLines/>
              <w:spacing w:after="0" w:line="240" w:lineRule="auto"/>
              <w:jc w:val="center"/>
              <w:rPr>
                <w:rFonts w:ascii="ITC Avant Garde" w:eastAsia="Times New Roman" w:hAnsi="ITC Avant Garde" w:cs="Arial"/>
                <w:sz w:val="20"/>
                <w:lang w:val="es-ES" w:eastAsia="es-ES"/>
              </w:rPr>
            </w:pPr>
          </w:p>
        </w:tc>
      </w:tr>
      <w:tr w:rsidR="00497DEA" w:rsidRPr="008609D1" w14:paraId="065E6D7D" w14:textId="77777777" w:rsidTr="000E069D">
        <w:trPr>
          <w:trHeight w:val="288"/>
          <w:jc w:val="center"/>
        </w:trPr>
        <w:tc>
          <w:tcPr>
            <w:tcW w:w="3741" w:type="dxa"/>
            <w:tcBorders>
              <w:top w:val="nil"/>
              <w:left w:val="nil"/>
              <w:bottom w:val="single" w:sz="4" w:space="0" w:color="244062"/>
              <w:right w:val="nil"/>
            </w:tcBorders>
            <w:shd w:val="clear" w:color="000000" w:fill="D0D1DB"/>
            <w:noWrap/>
            <w:vAlign w:val="center"/>
            <w:hideMark/>
          </w:tcPr>
          <w:p w14:paraId="06C3654C" w14:textId="77777777" w:rsidR="00497DEA" w:rsidRPr="008609D1" w:rsidRDefault="00497DEA"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Planta, propiedades y equipo, neto</w:t>
            </w:r>
          </w:p>
        </w:tc>
        <w:tc>
          <w:tcPr>
            <w:tcW w:w="2618" w:type="dxa"/>
            <w:tcBorders>
              <w:top w:val="nil"/>
              <w:left w:val="nil"/>
              <w:bottom w:val="single" w:sz="4" w:space="0" w:color="244062"/>
              <w:right w:val="nil"/>
            </w:tcBorders>
            <w:shd w:val="clear" w:color="auto" w:fill="auto"/>
            <w:noWrap/>
            <w:vAlign w:val="center"/>
            <w:hideMark/>
          </w:tcPr>
          <w:p w14:paraId="1111BEF2" w14:textId="77777777" w:rsidR="00497DEA" w:rsidRPr="008609D1" w:rsidRDefault="00497DEA">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14:paraId="70D71570" w14:textId="77777777" w:rsidR="00497DEA" w:rsidRPr="008609D1" w:rsidRDefault="00497DEA">
            <w:pPr>
              <w:keepNext/>
              <w:keepLines/>
              <w:spacing w:after="0" w:line="240" w:lineRule="auto"/>
              <w:jc w:val="center"/>
              <w:rPr>
                <w:rFonts w:ascii="ITC Avant Garde" w:eastAsia="Times New Roman" w:hAnsi="ITC Avant Garde" w:cs="Arial"/>
                <w:sz w:val="20"/>
                <w:lang w:val="es-ES" w:eastAsia="es-ES"/>
              </w:rPr>
            </w:pPr>
          </w:p>
        </w:tc>
      </w:tr>
      <w:tr w:rsidR="00892164" w:rsidRPr="008609D1" w14:paraId="1FFDEF7F" w14:textId="77777777" w:rsidTr="000E069D">
        <w:trPr>
          <w:trHeight w:val="288"/>
          <w:jc w:val="center"/>
        </w:trPr>
        <w:tc>
          <w:tcPr>
            <w:tcW w:w="3741" w:type="dxa"/>
            <w:tcBorders>
              <w:top w:val="nil"/>
              <w:left w:val="nil"/>
              <w:bottom w:val="single" w:sz="4" w:space="0" w:color="244062"/>
              <w:right w:val="nil"/>
            </w:tcBorders>
            <w:shd w:val="clear" w:color="000000" w:fill="D0D1DB"/>
            <w:noWrap/>
            <w:vAlign w:val="center"/>
            <w:hideMark/>
          </w:tcPr>
          <w:p w14:paraId="6F9B1B5D" w14:textId="77777777" w:rsidR="00892164" w:rsidRPr="008609D1" w:rsidRDefault="00892164"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2618" w:type="dxa"/>
            <w:tcBorders>
              <w:top w:val="nil"/>
              <w:left w:val="nil"/>
              <w:bottom w:val="single" w:sz="4" w:space="0" w:color="244062"/>
              <w:right w:val="nil"/>
            </w:tcBorders>
            <w:shd w:val="clear" w:color="auto" w:fill="auto"/>
            <w:noWrap/>
            <w:vAlign w:val="center"/>
            <w:hideMark/>
          </w:tcPr>
          <w:p w14:paraId="2C75BF83"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14:paraId="3C40E0D4"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r>
      <w:tr w:rsidR="00892164" w:rsidRPr="008609D1" w14:paraId="724F05D8" w14:textId="77777777" w:rsidTr="000E069D">
        <w:trPr>
          <w:trHeight w:val="288"/>
          <w:jc w:val="center"/>
        </w:trPr>
        <w:tc>
          <w:tcPr>
            <w:tcW w:w="3741" w:type="dxa"/>
            <w:tcBorders>
              <w:top w:val="single" w:sz="4" w:space="0" w:color="244062"/>
              <w:left w:val="nil"/>
              <w:bottom w:val="single" w:sz="4" w:space="0" w:color="244062"/>
              <w:right w:val="nil"/>
            </w:tcBorders>
            <w:shd w:val="clear" w:color="auto" w:fill="E5E9EB"/>
            <w:noWrap/>
            <w:vAlign w:val="center"/>
          </w:tcPr>
          <w:p w14:paraId="6BD9A3BD" w14:textId="77777777" w:rsidR="00892164" w:rsidRPr="008609D1" w:rsidRDefault="00892164" w:rsidP="001735D4">
            <w:pPr>
              <w:keepNext/>
              <w:keepLines/>
              <w:spacing w:after="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Pasivo y capital contable</w:t>
            </w:r>
          </w:p>
        </w:tc>
        <w:tc>
          <w:tcPr>
            <w:tcW w:w="2618" w:type="dxa"/>
            <w:tcBorders>
              <w:top w:val="single" w:sz="4" w:space="0" w:color="244062"/>
              <w:left w:val="nil"/>
              <w:bottom w:val="single" w:sz="4" w:space="0" w:color="244062"/>
              <w:right w:val="nil"/>
            </w:tcBorders>
            <w:shd w:val="clear" w:color="auto" w:fill="E5E9EB"/>
            <w:noWrap/>
            <w:vAlign w:val="center"/>
            <w:hideMark/>
          </w:tcPr>
          <w:p w14:paraId="176B8A3D"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single" w:sz="4" w:space="0" w:color="244062"/>
              <w:left w:val="nil"/>
              <w:bottom w:val="single" w:sz="4" w:space="0" w:color="244062"/>
              <w:right w:val="nil"/>
            </w:tcBorders>
            <w:shd w:val="clear" w:color="auto" w:fill="E5E9EB"/>
            <w:noWrap/>
            <w:vAlign w:val="center"/>
            <w:hideMark/>
          </w:tcPr>
          <w:p w14:paraId="13A31450"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r>
      <w:tr w:rsidR="00892164" w:rsidRPr="008609D1" w14:paraId="66D6397D" w14:textId="77777777" w:rsidTr="000E069D">
        <w:trPr>
          <w:trHeight w:val="288"/>
          <w:jc w:val="center"/>
        </w:trPr>
        <w:tc>
          <w:tcPr>
            <w:tcW w:w="3741" w:type="dxa"/>
            <w:tcBorders>
              <w:top w:val="nil"/>
              <w:left w:val="nil"/>
              <w:bottom w:val="single" w:sz="4" w:space="0" w:color="244062"/>
              <w:right w:val="nil"/>
            </w:tcBorders>
            <w:shd w:val="clear" w:color="000000" w:fill="D0D1DB"/>
            <w:noWrap/>
            <w:vAlign w:val="center"/>
          </w:tcPr>
          <w:p w14:paraId="5CA025EE" w14:textId="77777777" w:rsidR="00892164" w:rsidRPr="008609D1" w:rsidRDefault="00892164" w:rsidP="001735D4">
            <w:pPr>
              <w:keepNext/>
              <w:keepLines/>
              <w:spacing w:after="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Pasivo a corto plazo</w:t>
            </w:r>
          </w:p>
        </w:tc>
        <w:tc>
          <w:tcPr>
            <w:tcW w:w="2618" w:type="dxa"/>
            <w:tcBorders>
              <w:top w:val="nil"/>
              <w:left w:val="nil"/>
              <w:bottom w:val="single" w:sz="4" w:space="0" w:color="244062"/>
              <w:right w:val="nil"/>
            </w:tcBorders>
            <w:shd w:val="clear" w:color="auto" w:fill="auto"/>
            <w:noWrap/>
            <w:vAlign w:val="center"/>
            <w:hideMark/>
          </w:tcPr>
          <w:p w14:paraId="06DBFC0C"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14:paraId="40611101"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r>
      <w:tr w:rsidR="005571E1" w:rsidRPr="008609D1" w14:paraId="20E91AAB" w14:textId="77777777" w:rsidTr="000E069D">
        <w:trPr>
          <w:trHeight w:val="288"/>
          <w:jc w:val="center"/>
        </w:trPr>
        <w:tc>
          <w:tcPr>
            <w:tcW w:w="3741" w:type="dxa"/>
            <w:tcBorders>
              <w:top w:val="nil"/>
              <w:left w:val="nil"/>
              <w:bottom w:val="single" w:sz="4" w:space="0" w:color="244062"/>
              <w:right w:val="nil"/>
            </w:tcBorders>
            <w:shd w:val="clear" w:color="000000" w:fill="D0D1DB"/>
            <w:noWrap/>
            <w:vAlign w:val="center"/>
            <w:hideMark/>
          </w:tcPr>
          <w:p w14:paraId="4368605A" w14:textId="77777777" w:rsidR="005571E1" w:rsidRPr="008609D1" w:rsidRDefault="005571E1"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Cuentas y pasivos acumulados por pagar</w:t>
            </w:r>
          </w:p>
        </w:tc>
        <w:tc>
          <w:tcPr>
            <w:tcW w:w="2618" w:type="dxa"/>
            <w:tcBorders>
              <w:top w:val="nil"/>
              <w:left w:val="nil"/>
              <w:bottom w:val="single" w:sz="4" w:space="0" w:color="244062"/>
              <w:right w:val="nil"/>
            </w:tcBorders>
            <w:shd w:val="clear" w:color="auto" w:fill="auto"/>
            <w:noWrap/>
            <w:vAlign w:val="center"/>
            <w:hideMark/>
          </w:tcPr>
          <w:p w14:paraId="164544C6" w14:textId="77777777" w:rsidR="005571E1" w:rsidRPr="008609D1" w:rsidRDefault="005571E1">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14:paraId="7A6C1EDE" w14:textId="77777777" w:rsidR="005571E1" w:rsidRPr="008609D1" w:rsidRDefault="005571E1">
            <w:pPr>
              <w:keepNext/>
              <w:keepLines/>
              <w:spacing w:after="0" w:line="240" w:lineRule="auto"/>
              <w:jc w:val="center"/>
              <w:rPr>
                <w:rFonts w:ascii="ITC Avant Garde" w:eastAsia="Times New Roman" w:hAnsi="ITC Avant Garde" w:cs="Arial"/>
                <w:sz w:val="20"/>
                <w:lang w:val="es-ES" w:eastAsia="es-ES"/>
              </w:rPr>
            </w:pPr>
          </w:p>
        </w:tc>
      </w:tr>
      <w:tr w:rsidR="005571E1" w:rsidRPr="008609D1" w14:paraId="72C4992C" w14:textId="77777777" w:rsidTr="000E069D">
        <w:trPr>
          <w:trHeight w:val="288"/>
          <w:jc w:val="center"/>
        </w:trPr>
        <w:tc>
          <w:tcPr>
            <w:tcW w:w="3741" w:type="dxa"/>
            <w:tcBorders>
              <w:top w:val="nil"/>
              <w:left w:val="nil"/>
              <w:bottom w:val="single" w:sz="4" w:space="0" w:color="244062"/>
              <w:right w:val="nil"/>
            </w:tcBorders>
            <w:shd w:val="clear" w:color="000000" w:fill="D0D1DB"/>
            <w:noWrap/>
            <w:vAlign w:val="center"/>
            <w:hideMark/>
          </w:tcPr>
          <w:p w14:paraId="29B0DAE1" w14:textId="77777777" w:rsidR="005571E1" w:rsidRPr="008609D1" w:rsidRDefault="005571E1"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Partes relacionadas</w:t>
            </w:r>
          </w:p>
        </w:tc>
        <w:tc>
          <w:tcPr>
            <w:tcW w:w="2618" w:type="dxa"/>
            <w:tcBorders>
              <w:top w:val="nil"/>
              <w:left w:val="nil"/>
              <w:bottom w:val="single" w:sz="4" w:space="0" w:color="244062"/>
              <w:right w:val="nil"/>
            </w:tcBorders>
            <w:shd w:val="clear" w:color="auto" w:fill="auto"/>
            <w:noWrap/>
            <w:vAlign w:val="center"/>
            <w:hideMark/>
          </w:tcPr>
          <w:p w14:paraId="00C9AB88" w14:textId="77777777" w:rsidR="005571E1" w:rsidRPr="008609D1" w:rsidRDefault="005571E1">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14:paraId="53C61FF3" w14:textId="77777777" w:rsidR="005571E1" w:rsidRPr="008609D1" w:rsidRDefault="005571E1">
            <w:pPr>
              <w:keepNext/>
              <w:keepLines/>
              <w:spacing w:after="0" w:line="240" w:lineRule="auto"/>
              <w:jc w:val="center"/>
              <w:rPr>
                <w:rFonts w:ascii="ITC Avant Garde" w:eastAsia="Times New Roman" w:hAnsi="ITC Avant Garde" w:cs="Arial"/>
                <w:sz w:val="20"/>
                <w:lang w:val="es-ES" w:eastAsia="es-ES"/>
              </w:rPr>
            </w:pPr>
          </w:p>
        </w:tc>
      </w:tr>
      <w:tr w:rsidR="00892164" w:rsidRPr="008609D1" w14:paraId="5DED3F03" w14:textId="77777777" w:rsidTr="000E069D">
        <w:trPr>
          <w:trHeight w:val="288"/>
          <w:jc w:val="center"/>
        </w:trPr>
        <w:tc>
          <w:tcPr>
            <w:tcW w:w="3741" w:type="dxa"/>
            <w:tcBorders>
              <w:top w:val="nil"/>
              <w:left w:val="nil"/>
              <w:bottom w:val="single" w:sz="4" w:space="0" w:color="244062"/>
              <w:right w:val="nil"/>
            </w:tcBorders>
            <w:shd w:val="clear" w:color="000000" w:fill="D0D1DB"/>
            <w:noWrap/>
            <w:vAlign w:val="center"/>
            <w:hideMark/>
          </w:tcPr>
          <w:p w14:paraId="7B3527DD" w14:textId="77777777" w:rsidR="00892164" w:rsidRPr="008609D1" w:rsidRDefault="00892164"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2618" w:type="dxa"/>
            <w:tcBorders>
              <w:top w:val="nil"/>
              <w:left w:val="nil"/>
              <w:bottom w:val="single" w:sz="4" w:space="0" w:color="244062"/>
              <w:right w:val="nil"/>
            </w:tcBorders>
            <w:shd w:val="clear" w:color="auto" w:fill="auto"/>
            <w:noWrap/>
            <w:vAlign w:val="center"/>
            <w:hideMark/>
          </w:tcPr>
          <w:p w14:paraId="4147454B"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14:paraId="663A1966"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r>
      <w:tr w:rsidR="00892164" w:rsidRPr="008609D1" w14:paraId="1D4BFFB6" w14:textId="77777777" w:rsidTr="000E069D">
        <w:trPr>
          <w:trHeight w:val="288"/>
          <w:jc w:val="center"/>
        </w:trPr>
        <w:tc>
          <w:tcPr>
            <w:tcW w:w="3741" w:type="dxa"/>
            <w:tcBorders>
              <w:top w:val="nil"/>
              <w:left w:val="nil"/>
              <w:bottom w:val="single" w:sz="4" w:space="0" w:color="244062"/>
              <w:right w:val="nil"/>
            </w:tcBorders>
            <w:shd w:val="clear" w:color="000000" w:fill="D0D1DB"/>
            <w:noWrap/>
            <w:vAlign w:val="center"/>
            <w:hideMark/>
          </w:tcPr>
          <w:p w14:paraId="71973193" w14:textId="77777777" w:rsidR="00892164" w:rsidRPr="008609D1" w:rsidRDefault="00892164" w:rsidP="001735D4">
            <w:pPr>
              <w:keepNext/>
              <w:keepLines/>
              <w:spacing w:after="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Capital contable</w:t>
            </w:r>
          </w:p>
        </w:tc>
        <w:tc>
          <w:tcPr>
            <w:tcW w:w="2618" w:type="dxa"/>
            <w:tcBorders>
              <w:top w:val="nil"/>
              <w:left w:val="nil"/>
              <w:bottom w:val="single" w:sz="4" w:space="0" w:color="244062"/>
              <w:right w:val="nil"/>
            </w:tcBorders>
            <w:shd w:val="clear" w:color="auto" w:fill="auto"/>
            <w:noWrap/>
            <w:vAlign w:val="center"/>
            <w:hideMark/>
          </w:tcPr>
          <w:p w14:paraId="5055CC49"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14:paraId="068AFE57"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r>
      <w:tr w:rsidR="00892164" w:rsidRPr="008609D1" w14:paraId="5B7A6A3C" w14:textId="77777777" w:rsidTr="000E069D">
        <w:trPr>
          <w:trHeight w:val="288"/>
          <w:jc w:val="center"/>
        </w:trPr>
        <w:tc>
          <w:tcPr>
            <w:tcW w:w="3741" w:type="dxa"/>
            <w:tcBorders>
              <w:top w:val="nil"/>
              <w:left w:val="nil"/>
              <w:bottom w:val="single" w:sz="4" w:space="0" w:color="244062"/>
              <w:right w:val="nil"/>
            </w:tcBorders>
            <w:shd w:val="clear" w:color="000000" w:fill="D0D1DB"/>
            <w:noWrap/>
            <w:vAlign w:val="center"/>
            <w:hideMark/>
          </w:tcPr>
          <w:p w14:paraId="079DB420" w14:textId="77777777" w:rsidR="00892164" w:rsidRPr="008609D1" w:rsidRDefault="00892164"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w:t>
            </w:r>
          </w:p>
        </w:tc>
        <w:tc>
          <w:tcPr>
            <w:tcW w:w="2618" w:type="dxa"/>
            <w:tcBorders>
              <w:top w:val="nil"/>
              <w:left w:val="nil"/>
              <w:bottom w:val="single" w:sz="4" w:space="0" w:color="244062"/>
              <w:right w:val="nil"/>
            </w:tcBorders>
            <w:shd w:val="clear" w:color="auto" w:fill="auto"/>
            <w:noWrap/>
            <w:vAlign w:val="center"/>
            <w:hideMark/>
          </w:tcPr>
          <w:p w14:paraId="4813DC48"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c>
          <w:tcPr>
            <w:tcW w:w="2619" w:type="dxa"/>
            <w:tcBorders>
              <w:top w:val="nil"/>
              <w:left w:val="nil"/>
              <w:bottom w:val="single" w:sz="4" w:space="0" w:color="244062"/>
              <w:right w:val="nil"/>
            </w:tcBorders>
            <w:shd w:val="clear" w:color="auto" w:fill="auto"/>
            <w:noWrap/>
            <w:vAlign w:val="center"/>
            <w:hideMark/>
          </w:tcPr>
          <w:p w14:paraId="3CF699E3" w14:textId="77777777" w:rsidR="00892164" w:rsidRPr="008609D1" w:rsidRDefault="00892164">
            <w:pPr>
              <w:keepNext/>
              <w:keepLines/>
              <w:spacing w:after="0" w:line="240" w:lineRule="auto"/>
              <w:jc w:val="center"/>
              <w:rPr>
                <w:rFonts w:ascii="ITC Avant Garde" w:eastAsia="Times New Roman" w:hAnsi="ITC Avant Garde" w:cs="Arial"/>
                <w:sz w:val="20"/>
                <w:lang w:val="es-ES" w:eastAsia="es-ES"/>
              </w:rPr>
            </w:pPr>
          </w:p>
        </w:tc>
      </w:tr>
    </w:tbl>
    <w:p w14:paraId="7E039E58" w14:textId="77777777" w:rsidR="00CB6EE2" w:rsidRPr="008609D1" w:rsidRDefault="00CB6EE2">
      <w:pPr>
        <w:rPr>
          <w:rFonts w:ascii="ITC Avant Garde" w:eastAsia="Times New Roman" w:hAnsi="ITC Avant Garde" w:cs="Times New Roman"/>
          <w:b/>
          <w:bCs/>
          <w:iCs/>
          <w:sz w:val="20"/>
          <w:szCs w:val="20"/>
          <w:lang w:eastAsia="es-ES"/>
        </w:rPr>
      </w:pPr>
      <w:r w:rsidRPr="008609D1">
        <w:rPr>
          <w:rFonts w:ascii="ITC Avant Garde" w:hAnsi="ITC Avant Garde"/>
          <w:iCs/>
          <w:sz w:val="20"/>
        </w:rPr>
        <w:br w:type="page"/>
      </w:r>
    </w:p>
    <w:p w14:paraId="6BDE8397" w14:textId="77777777" w:rsidR="00892164" w:rsidRPr="008609D1" w:rsidRDefault="00892164" w:rsidP="004062CC">
      <w:pPr>
        <w:pStyle w:val="HeadingAnexo1L2"/>
        <w:keepNext/>
        <w:keepLines/>
        <w:numPr>
          <w:ilvl w:val="0"/>
          <w:numId w:val="202"/>
        </w:numPr>
      </w:pPr>
      <w:bookmarkStart w:id="212" w:name="_Ref477267996"/>
      <w:bookmarkStart w:id="213" w:name="_Toc477283594"/>
      <w:r w:rsidRPr="008609D1">
        <w:lastRenderedPageBreak/>
        <w:t>Estado de Flujos de Efectivo</w:t>
      </w:r>
      <w:bookmarkEnd w:id="212"/>
      <w:bookmarkEnd w:id="213"/>
    </w:p>
    <w:p w14:paraId="526B1EBB" w14:textId="77777777" w:rsidR="00892164" w:rsidRDefault="00892164" w:rsidP="004062CC">
      <w:pPr>
        <w:pStyle w:val="Normalresolucion"/>
        <w:keepNext/>
        <w:keepLines/>
      </w:pPr>
      <w:r w:rsidRPr="008609D1">
        <w:t>El siguiente formato deberá contener el estado de Flujos de Efectivo</w:t>
      </w:r>
      <w:r w:rsidR="007A1130" w:rsidRPr="008609D1">
        <w:t xml:space="preserve"> del concesionario referente al último ejercicio en el que se desagreguen, como mínimo, los rubros arriba indicados entre la parte relacionada con autoridades públicas y la que no lo está:</w:t>
      </w:r>
    </w:p>
    <w:p w14:paraId="705A0C94" w14:textId="77777777" w:rsidR="0041411A" w:rsidRPr="008609D1" w:rsidRDefault="0041411A" w:rsidP="0041411A">
      <w:pPr>
        <w:pStyle w:val="Descripcin"/>
        <w:keepNext/>
        <w:keepLines/>
        <w:spacing w:after="240" w:line="240" w:lineRule="auto"/>
        <w:rPr>
          <w:rFonts w:ascii="ITC Avant Garde" w:hAnsi="ITC Avant Garde"/>
          <w:iCs/>
          <w:sz w:val="20"/>
          <w:lang w:val="es-MX"/>
        </w:rPr>
      </w:pPr>
      <w:r w:rsidRPr="008609D1">
        <w:rPr>
          <w:rFonts w:ascii="ITC Avant Garde" w:hAnsi="ITC Avant Garde"/>
          <w:iCs/>
          <w:sz w:val="20"/>
          <w:lang w:val="es-MX"/>
        </w:rPr>
        <w:t>Formato A6.</w:t>
      </w:r>
      <w:r w:rsidRPr="008609D1">
        <w:rPr>
          <w:rFonts w:ascii="ITC Avant Garde" w:hAnsi="ITC Avant Garde"/>
          <w:iCs/>
          <w:sz w:val="20"/>
          <w:lang w:val="es-MX"/>
        </w:rPr>
        <w:fldChar w:fldCharType="begin"/>
      </w:r>
      <w:r w:rsidRPr="008609D1">
        <w:rPr>
          <w:rFonts w:ascii="ITC Avant Garde" w:hAnsi="ITC Avant Garde"/>
          <w:iCs/>
          <w:sz w:val="20"/>
          <w:lang w:val="es-MX"/>
        </w:rPr>
        <w:instrText xml:space="preserve"> SEQ Formato_AIII. \* ARABIC </w:instrText>
      </w:r>
      <w:r w:rsidRPr="008609D1">
        <w:rPr>
          <w:rFonts w:ascii="ITC Avant Garde" w:hAnsi="ITC Avant Garde"/>
          <w:iCs/>
          <w:sz w:val="20"/>
          <w:lang w:val="es-MX"/>
        </w:rPr>
        <w:fldChar w:fldCharType="separate"/>
      </w:r>
      <w:r w:rsidRPr="008609D1">
        <w:rPr>
          <w:rFonts w:ascii="ITC Avant Garde" w:hAnsi="ITC Avant Garde"/>
          <w:iCs/>
          <w:noProof/>
          <w:sz w:val="20"/>
          <w:lang w:val="es-MX"/>
        </w:rPr>
        <w:t>3</w:t>
      </w:r>
      <w:r w:rsidRPr="008609D1">
        <w:rPr>
          <w:rFonts w:ascii="ITC Avant Garde" w:hAnsi="ITC Avant Garde"/>
          <w:iCs/>
          <w:sz w:val="20"/>
          <w:lang w:val="es-MX"/>
        </w:rPr>
        <w:fldChar w:fldCharType="end"/>
      </w:r>
      <w:r w:rsidRPr="008609D1">
        <w:rPr>
          <w:rFonts w:ascii="ITC Avant Garde" w:hAnsi="ITC Avant Garde"/>
          <w:iCs/>
          <w:sz w:val="20"/>
          <w:lang w:val="es-MX"/>
        </w:rPr>
        <w:t>: Estado de Flujos de Efectivo</w:t>
      </w:r>
    </w:p>
    <w:tbl>
      <w:tblPr>
        <w:tblW w:w="5000" w:type="pct"/>
        <w:jc w:val="center"/>
        <w:tblLayout w:type="fixed"/>
        <w:tblCellMar>
          <w:left w:w="70" w:type="dxa"/>
          <w:right w:w="70" w:type="dxa"/>
        </w:tblCellMar>
        <w:tblLook w:val="04A0" w:firstRow="1" w:lastRow="0" w:firstColumn="1" w:lastColumn="0" w:noHBand="0" w:noVBand="1"/>
      </w:tblPr>
      <w:tblGrid>
        <w:gridCol w:w="3973"/>
        <w:gridCol w:w="2427"/>
        <w:gridCol w:w="2428"/>
      </w:tblGrid>
      <w:tr w:rsidR="007304F5" w:rsidRPr="008609D1" w14:paraId="41BB116D" w14:textId="77777777" w:rsidTr="000E069D">
        <w:trPr>
          <w:trHeight w:val="504"/>
          <w:jc w:val="center"/>
        </w:trPr>
        <w:tc>
          <w:tcPr>
            <w:tcW w:w="4041" w:type="dxa"/>
            <w:tcBorders>
              <w:top w:val="nil"/>
              <w:left w:val="single" w:sz="4" w:space="0" w:color="FFFFFF"/>
              <w:bottom w:val="nil"/>
              <w:right w:val="single" w:sz="4" w:space="0" w:color="FFFFFF"/>
            </w:tcBorders>
            <w:shd w:val="clear" w:color="000000" w:fill="4F629B"/>
            <w:vAlign w:val="center"/>
            <w:hideMark/>
          </w:tcPr>
          <w:p w14:paraId="7286D4E8" w14:textId="77777777" w:rsidR="00892164" w:rsidRPr="008609D1" w:rsidRDefault="00892164">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Estado flujos de efectivo</w:t>
            </w:r>
            <w:r w:rsidRPr="008609D1">
              <w:rPr>
                <w:rFonts w:ascii="ITC Avant Garde" w:eastAsia="Times New Roman" w:hAnsi="ITC Avant Garde" w:cs="Arial"/>
                <w:b/>
                <w:bCs/>
                <w:color w:val="FFFFFF" w:themeColor="background1"/>
                <w:sz w:val="20"/>
                <w:vertAlign w:val="superscript"/>
                <w:lang w:val="es-ES" w:eastAsia="es-ES"/>
              </w:rPr>
              <w:footnoteReference w:id="84"/>
            </w:r>
          </w:p>
        </w:tc>
        <w:tc>
          <w:tcPr>
            <w:tcW w:w="2468" w:type="dxa"/>
            <w:tcBorders>
              <w:top w:val="nil"/>
              <w:left w:val="nil"/>
              <w:bottom w:val="nil"/>
              <w:right w:val="single" w:sz="4" w:space="0" w:color="FFFFFF"/>
            </w:tcBorders>
            <w:shd w:val="clear" w:color="000000" w:fill="4F629B"/>
            <w:vAlign w:val="center"/>
            <w:hideMark/>
          </w:tcPr>
          <w:p w14:paraId="39A2B47A" w14:textId="77777777" w:rsidR="00892164" w:rsidRPr="008609D1" w:rsidRDefault="00892164">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Relacionado con</w:t>
            </w:r>
            <w:r w:rsidRPr="008609D1">
              <w:rPr>
                <w:rFonts w:ascii="ITC Avant Garde" w:eastAsia="Times New Roman" w:hAnsi="ITC Avant Garde" w:cs="Arial"/>
                <w:b/>
                <w:color w:val="FFFFFF" w:themeColor="background1"/>
                <w:sz w:val="20"/>
                <w:lang w:val="es-ES" w:eastAsia="es-ES"/>
              </w:rPr>
              <w:br/>
              <w:t>autoridades públicas</w:t>
            </w:r>
          </w:p>
        </w:tc>
        <w:tc>
          <w:tcPr>
            <w:tcW w:w="2469" w:type="dxa"/>
            <w:tcBorders>
              <w:top w:val="nil"/>
              <w:left w:val="nil"/>
              <w:bottom w:val="nil"/>
              <w:right w:val="single" w:sz="4" w:space="0" w:color="FFFFFF"/>
            </w:tcBorders>
            <w:shd w:val="clear" w:color="000000" w:fill="4F629B"/>
            <w:vAlign w:val="center"/>
            <w:hideMark/>
          </w:tcPr>
          <w:p w14:paraId="31F29140" w14:textId="77777777" w:rsidR="00892164" w:rsidRPr="008609D1" w:rsidRDefault="00892164">
            <w:pPr>
              <w:keepNext/>
              <w:keepLines/>
              <w:spacing w:after="0" w:line="240" w:lineRule="auto"/>
              <w:jc w:val="center"/>
              <w:rPr>
                <w:rFonts w:ascii="ITC Avant Garde" w:eastAsia="Times New Roman" w:hAnsi="ITC Avant Garde" w:cs="Arial"/>
                <w:b/>
                <w:color w:val="FFFFFF" w:themeColor="background1"/>
                <w:sz w:val="20"/>
                <w:lang w:val="es-ES" w:eastAsia="es-ES"/>
              </w:rPr>
            </w:pPr>
            <w:r w:rsidRPr="008609D1">
              <w:rPr>
                <w:rFonts w:ascii="ITC Avant Garde" w:eastAsia="Times New Roman" w:hAnsi="ITC Avant Garde" w:cs="Arial"/>
                <w:b/>
                <w:color w:val="FFFFFF" w:themeColor="background1"/>
                <w:sz w:val="20"/>
                <w:lang w:val="es-ES" w:eastAsia="es-ES"/>
              </w:rPr>
              <w:t>No relacionado con</w:t>
            </w:r>
            <w:r w:rsidRPr="008609D1">
              <w:rPr>
                <w:rFonts w:ascii="ITC Avant Garde" w:eastAsia="Times New Roman" w:hAnsi="ITC Avant Garde" w:cs="Arial"/>
                <w:b/>
                <w:color w:val="FFFFFF" w:themeColor="background1"/>
                <w:sz w:val="20"/>
                <w:lang w:val="es-ES" w:eastAsia="es-ES"/>
              </w:rPr>
              <w:br/>
              <w:t>autoridades públicas</w:t>
            </w:r>
          </w:p>
        </w:tc>
      </w:tr>
      <w:tr w:rsidR="00892164" w:rsidRPr="008609D1" w14:paraId="30A34069" w14:textId="77777777" w:rsidTr="000E069D">
        <w:trPr>
          <w:trHeight w:val="288"/>
          <w:jc w:val="center"/>
        </w:trPr>
        <w:tc>
          <w:tcPr>
            <w:tcW w:w="8978" w:type="dxa"/>
            <w:gridSpan w:val="3"/>
            <w:tcBorders>
              <w:top w:val="single" w:sz="4" w:space="0" w:color="244062"/>
              <w:left w:val="nil"/>
              <w:bottom w:val="single" w:sz="4" w:space="0" w:color="244062"/>
              <w:right w:val="nil"/>
            </w:tcBorders>
            <w:shd w:val="clear" w:color="auto" w:fill="E5E9EB"/>
            <w:noWrap/>
            <w:vAlign w:val="center"/>
          </w:tcPr>
          <w:p w14:paraId="40985FE2" w14:textId="77777777" w:rsidR="00892164" w:rsidRPr="008609D1" w:rsidRDefault="00892164" w:rsidP="001735D4">
            <w:pPr>
              <w:keepNext/>
              <w:keepLines/>
              <w:spacing w:after="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Actividades de operación</w:t>
            </w:r>
          </w:p>
        </w:tc>
      </w:tr>
      <w:tr w:rsidR="00892164" w:rsidRPr="008609D1" w14:paraId="54CBE564" w14:textId="77777777" w:rsidTr="000E069D">
        <w:trPr>
          <w:trHeight w:val="288"/>
          <w:jc w:val="center"/>
        </w:trPr>
        <w:tc>
          <w:tcPr>
            <w:tcW w:w="4041" w:type="dxa"/>
            <w:tcBorders>
              <w:top w:val="nil"/>
              <w:left w:val="nil"/>
              <w:bottom w:val="single" w:sz="4" w:space="0" w:color="244062"/>
              <w:right w:val="nil"/>
            </w:tcBorders>
            <w:shd w:val="clear" w:color="000000" w:fill="D0D1DB"/>
            <w:noWrap/>
            <w:vAlign w:val="center"/>
          </w:tcPr>
          <w:p w14:paraId="01EAD7C9" w14:textId="0AE3993D" w:rsidR="00892164" w:rsidRPr="008609D1" w:rsidRDefault="00BE7EAA"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Más (menos) partidas que no requirieron e</w:t>
            </w:r>
            <w:r w:rsidR="00495D65">
              <w:rPr>
                <w:rFonts w:ascii="ITC Avant Garde" w:eastAsia="Times New Roman" w:hAnsi="ITC Avant Garde" w:cs="Arial"/>
                <w:sz w:val="20"/>
                <w:lang w:val="es-ES" w:eastAsia="es-ES"/>
              </w:rPr>
              <w:t>l</w:t>
            </w:r>
            <w:r w:rsidRPr="008609D1">
              <w:rPr>
                <w:rFonts w:ascii="ITC Avant Garde" w:eastAsia="Times New Roman" w:hAnsi="ITC Avant Garde" w:cs="Arial"/>
                <w:sz w:val="20"/>
                <w:lang w:val="es-ES" w:eastAsia="es-ES"/>
              </w:rPr>
              <w:t xml:space="preserve"> uso de efectivo</w:t>
            </w:r>
          </w:p>
        </w:tc>
        <w:tc>
          <w:tcPr>
            <w:tcW w:w="2468" w:type="dxa"/>
            <w:tcBorders>
              <w:top w:val="nil"/>
              <w:left w:val="nil"/>
              <w:bottom w:val="single" w:sz="4" w:space="0" w:color="244062"/>
              <w:right w:val="nil"/>
            </w:tcBorders>
            <w:shd w:val="clear" w:color="auto" w:fill="auto"/>
            <w:noWrap/>
            <w:vAlign w:val="center"/>
            <w:hideMark/>
          </w:tcPr>
          <w:p w14:paraId="2964F31E" w14:textId="77777777" w:rsidR="00892164" w:rsidRPr="008609D1" w:rsidRDefault="00892164" w:rsidP="001735D4">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14:paraId="20CF891D" w14:textId="77777777" w:rsidR="00892164" w:rsidRPr="008609D1" w:rsidRDefault="00892164" w:rsidP="001735D4">
            <w:pPr>
              <w:keepNext/>
              <w:keepLines/>
              <w:spacing w:after="0" w:line="240" w:lineRule="auto"/>
              <w:jc w:val="center"/>
              <w:rPr>
                <w:rFonts w:ascii="ITC Avant Garde" w:eastAsia="Times New Roman" w:hAnsi="ITC Avant Garde" w:cs="Arial"/>
                <w:sz w:val="20"/>
                <w:lang w:val="es-ES" w:eastAsia="es-ES"/>
              </w:rPr>
            </w:pPr>
          </w:p>
        </w:tc>
      </w:tr>
      <w:tr w:rsidR="00BE7EAA" w:rsidRPr="008609D1" w14:paraId="5096FB83" w14:textId="77777777" w:rsidTr="000E069D">
        <w:trPr>
          <w:trHeight w:val="288"/>
          <w:jc w:val="center"/>
        </w:trPr>
        <w:tc>
          <w:tcPr>
            <w:tcW w:w="4041" w:type="dxa"/>
            <w:tcBorders>
              <w:top w:val="nil"/>
              <w:left w:val="nil"/>
              <w:bottom w:val="single" w:sz="4" w:space="0" w:color="244062"/>
              <w:right w:val="nil"/>
            </w:tcBorders>
            <w:shd w:val="clear" w:color="000000" w:fill="D0D1DB"/>
            <w:noWrap/>
            <w:vAlign w:val="center"/>
          </w:tcPr>
          <w:p w14:paraId="2D2C0E96" w14:textId="77777777" w:rsidR="00BE7EAA" w:rsidRPr="008609D1" w:rsidDel="00BE7EAA" w:rsidRDefault="00BE7EAA"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Cambios en activos y pasivos de operación</w:t>
            </w:r>
          </w:p>
        </w:tc>
        <w:tc>
          <w:tcPr>
            <w:tcW w:w="2468" w:type="dxa"/>
            <w:tcBorders>
              <w:top w:val="nil"/>
              <w:left w:val="nil"/>
              <w:bottom w:val="single" w:sz="4" w:space="0" w:color="244062"/>
              <w:right w:val="nil"/>
            </w:tcBorders>
            <w:shd w:val="clear" w:color="auto" w:fill="auto"/>
            <w:noWrap/>
            <w:vAlign w:val="center"/>
          </w:tcPr>
          <w:p w14:paraId="0E38617E" w14:textId="77777777" w:rsidR="00BE7EAA" w:rsidRPr="008609D1" w:rsidRDefault="00BE7EAA" w:rsidP="001735D4">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tcPr>
          <w:p w14:paraId="2400DFD0" w14:textId="77777777" w:rsidR="00BE7EAA" w:rsidRPr="008609D1" w:rsidRDefault="00BE7EAA" w:rsidP="001735D4">
            <w:pPr>
              <w:keepNext/>
              <w:keepLines/>
              <w:spacing w:after="0" w:line="240" w:lineRule="auto"/>
              <w:jc w:val="center"/>
              <w:rPr>
                <w:rFonts w:ascii="ITC Avant Garde" w:eastAsia="Times New Roman" w:hAnsi="ITC Avant Garde" w:cs="Arial"/>
                <w:sz w:val="20"/>
                <w:lang w:val="es-ES" w:eastAsia="es-ES"/>
              </w:rPr>
            </w:pPr>
          </w:p>
        </w:tc>
      </w:tr>
      <w:tr w:rsidR="00892164" w:rsidRPr="008609D1" w14:paraId="2452E853" w14:textId="77777777" w:rsidTr="000E069D">
        <w:trPr>
          <w:trHeight w:val="288"/>
          <w:jc w:val="center"/>
        </w:trPr>
        <w:tc>
          <w:tcPr>
            <w:tcW w:w="4041" w:type="dxa"/>
            <w:tcBorders>
              <w:top w:val="nil"/>
              <w:left w:val="nil"/>
              <w:bottom w:val="single" w:sz="4" w:space="0" w:color="244062"/>
              <w:right w:val="nil"/>
            </w:tcBorders>
            <w:shd w:val="clear" w:color="000000" w:fill="D0D1DB"/>
            <w:noWrap/>
            <w:vAlign w:val="center"/>
            <w:hideMark/>
          </w:tcPr>
          <w:p w14:paraId="4B3BBF55" w14:textId="77777777" w:rsidR="00892164" w:rsidRPr="008609D1" w:rsidRDefault="00892164"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2468" w:type="dxa"/>
            <w:tcBorders>
              <w:top w:val="nil"/>
              <w:left w:val="nil"/>
              <w:bottom w:val="single" w:sz="4" w:space="0" w:color="244062"/>
              <w:right w:val="nil"/>
            </w:tcBorders>
            <w:shd w:val="clear" w:color="auto" w:fill="auto"/>
            <w:noWrap/>
            <w:vAlign w:val="center"/>
            <w:hideMark/>
          </w:tcPr>
          <w:p w14:paraId="4E280B8D" w14:textId="77777777" w:rsidR="00892164" w:rsidRPr="008609D1" w:rsidRDefault="00892164" w:rsidP="001735D4">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14:paraId="714FFABC" w14:textId="77777777" w:rsidR="00892164" w:rsidRPr="008609D1" w:rsidRDefault="00892164" w:rsidP="001735D4">
            <w:pPr>
              <w:keepNext/>
              <w:keepLines/>
              <w:spacing w:after="0" w:line="240" w:lineRule="auto"/>
              <w:jc w:val="center"/>
              <w:rPr>
                <w:rFonts w:ascii="ITC Avant Garde" w:eastAsia="Times New Roman" w:hAnsi="ITC Avant Garde" w:cs="Arial"/>
                <w:sz w:val="20"/>
                <w:lang w:val="es-ES" w:eastAsia="es-ES"/>
              </w:rPr>
            </w:pPr>
          </w:p>
        </w:tc>
      </w:tr>
      <w:tr w:rsidR="00892164" w:rsidRPr="008609D1" w14:paraId="15CEE02F" w14:textId="77777777" w:rsidTr="000E069D">
        <w:trPr>
          <w:trHeight w:val="288"/>
          <w:jc w:val="center"/>
        </w:trPr>
        <w:tc>
          <w:tcPr>
            <w:tcW w:w="4041" w:type="dxa"/>
            <w:tcBorders>
              <w:top w:val="single" w:sz="4" w:space="0" w:color="244062"/>
              <w:left w:val="nil"/>
              <w:bottom w:val="single" w:sz="4" w:space="0" w:color="244062"/>
              <w:right w:val="nil"/>
            </w:tcBorders>
            <w:shd w:val="clear" w:color="auto" w:fill="E5E9EB"/>
            <w:noWrap/>
            <w:vAlign w:val="center"/>
          </w:tcPr>
          <w:p w14:paraId="1BA76C88" w14:textId="77777777" w:rsidR="00892164" w:rsidRPr="008609D1" w:rsidRDefault="00892164" w:rsidP="001735D4">
            <w:pPr>
              <w:keepNext/>
              <w:keepLines/>
              <w:spacing w:after="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Actividades de inversión</w:t>
            </w:r>
          </w:p>
        </w:tc>
        <w:tc>
          <w:tcPr>
            <w:tcW w:w="2468" w:type="dxa"/>
            <w:tcBorders>
              <w:top w:val="single" w:sz="4" w:space="0" w:color="244062"/>
              <w:left w:val="nil"/>
              <w:bottom w:val="single" w:sz="4" w:space="0" w:color="244062"/>
              <w:right w:val="nil"/>
            </w:tcBorders>
            <w:shd w:val="clear" w:color="auto" w:fill="E5E9EB"/>
            <w:noWrap/>
            <w:vAlign w:val="center"/>
            <w:hideMark/>
          </w:tcPr>
          <w:p w14:paraId="00FB4F9D" w14:textId="77777777" w:rsidR="00892164" w:rsidRPr="008609D1" w:rsidRDefault="00892164" w:rsidP="001735D4">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single" w:sz="4" w:space="0" w:color="244062"/>
              <w:left w:val="nil"/>
              <w:bottom w:val="single" w:sz="4" w:space="0" w:color="244062"/>
              <w:right w:val="nil"/>
            </w:tcBorders>
            <w:shd w:val="clear" w:color="auto" w:fill="E5E9EB"/>
            <w:noWrap/>
            <w:vAlign w:val="center"/>
            <w:hideMark/>
          </w:tcPr>
          <w:p w14:paraId="4429E1F9" w14:textId="77777777" w:rsidR="00892164" w:rsidRPr="008609D1" w:rsidRDefault="00892164" w:rsidP="001735D4">
            <w:pPr>
              <w:keepNext/>
              <w:keepLines/>
              <w:spacing w:after="0" w:line="240" w:lineRule="auto"/>
              <w:jc w:val="center"/>
              <w:rPr>
                <w:rFonts w:ascii="ITC Avant Garde" w:eastAsia="Times New Roman" w:hAnsi="ITC Avant Garde" w:cs="Arial"/>
                <w:sz w:val="20"/>
                <w:lang w:val="es-ES" w:eastAsia="es-ES"/>
              </w:rPr>
            </w:pPr>
          </w:p>
        </w:tc>
      </w:tr>
      <w:tr w:rsidR="00F817E9" w:rsidRPr="008609D1" w14:paraId="5FBABAB6" w14:textId="77777777" w:rsidTr="000E069D">
        <w:trPr>
          <w:trHeight w:val="288"/>
          <w:jc w:val="center"/>
        </w:trPr>
        <w:tc>
          <w:tcPr>
            <w:tcW w:w="4041" w:type="dxa"/>
            <w:tcBorders>
              <w:top w:val="nil"/>
              <w:left w:val="nil"/>
              <w:bottom w:val="single" w:sz="4" w:space="0" w:color="244062"/>
              <w:right w:val="nil"/>
            </w:tcBorders>
            <w:shd w:val="clear" w:color="000000" w:fill="D0D1DB"/>
            <w:noWrap/>
            <w:vAlign w:val="center"/>
          </w:tcPr>
          <w:p w14:paraId="3C7B1808" w14:textId="77777777" w:rsidR="00F817E9" w:rsidRPr="008609D1" w:rsidRDefault="00F817E9"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Adquisiciones de propiedades, planta y equipo</w:t>
            </w:r>
          </w:p>
        </w:tc>
        <w:tc>
          <w:tcPr>
            <w:tcW w:w="2468" w:type="dxa"/>
            <w:tcBorders>
              <w:top w:val="nil"/>
              <w:left w:val="nil"/>
              <w:bottom w:val="single" w:sz="4" w:space="0" w:color="244062"/>
              <w:right w:val="nil"/>
            </w:tcBorders>
            <w:shd w:val="clear" w:color="auto" w:fill="auto"/>
            <w:noWrap/>
            <w:vAlign w:val="center"/>
            <w:hideMark/>
          </w:tcPr>
          <w:p w14:paraId="5955C425" w14:textId="77777777" w:rsidR="00F817E9" w:rsidRPr="008609D1" w:rsidRDefault="00F817E9" w:rsidP="001735D4">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14:paraId="4A52A618" w14:textId="77777777" w:rsidR="00F817E9" w:rsidRPr="008609D1" w:rsidRDefault="00F817E9" w:rsidP="001735D4">
            <w:pPr>
              <w:keepNext/>
              <w:keepLines/>
              <w:spacing w:after="0" w:line="240" w:lineRule="auto"/>
              <w:jc w:val="center"/>
              <w:rPr>
                <w:rFonts w:ascii="ITC Avant Garde" w:eastAsia="Times New Roman" w:hAnsi="ITC Avant Garde" w:cs="Arial"/>
                <w:sz w:val="20"/>
                <w:lang w:val="es-ES" w:eastAsia="es-ES"/>
              </w:rPr>
            </w:pPr>
          </w:p>
        </w:tc>
      </w:tr>
      <w:tr w:rsidR="00F817E9" w:rsidRPr="008609D1" w14:paraId="27A36DAA" w14:textId="77777777" w:rsidTr="000E069D">
        <w:trPr>
          <w:trHeight w:val="288"/>
          <w:jc w:val="center"/>
        </w:trPr>
        <w:tc>
          <w:tcPr>
            <w:tcW w:w="4041" w:type="dxa"/>
            <w:tcBorders>
              <w:top w:val="nil"/>
              <w:left w:val="nil"/>
              <w:bottom w:val="single" w:sz="4" w:space="0" w:color="244062"/>
              <w:right w:val="nil"/>
            </w:tcBorders>
            <w:shd w:val="clear" w:color="000000" w:fill="D0D1DB"/>
            <w:noWrap/>
            <w:vAlign w:val="center"/>
          </w:tcPr>
          <w:p w14:paraId="1999C9B6" w14:textId="77777777" w:rsidR="00F817E9" w:rsidRPr="008609D1" w:rsidRDefault="00F817E9"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Adquisición de licencias</w:t>
            </w:r>
          </w:p>
        </w:tc>
        <w:tc>
          <w:tcPr>
            <w:tcW w:w="2468" w:type="dxa"/>
            <w:tcBorders>
              <w:top w:val="nil"/>
              <w:left w:val="nil"/>
              <w:bottom w:val="single" w:sz="4" w:space="0" w:color="244062"/>
              <w:right w:val="nil"/>
            </w:tcBorders>
            <w:shd w:val="clear" w:color="auto" w:fill="auto"/>
            <w:noWrap/>
            <w:vAlign w:val="center"/>
            <w:hideMark/>
          </w:tcPr>
          <w:p w14:paraId="3BDC0CAE" w14:textId="77777777" w:rsidR="00F817E9" w:rsidRPr="008609D1" w:rsidRDefault="00F817E9" w:rsidP="001735D4">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14:paraId="03DF4695" w14:textId="77777777" w:rsidR="00F817E9" w:rsidRPr="008609D1" w:rsidRDefault="00F817E9" w:rsidP="001735D4">
            <w:pPr>
              <w:keepNext/>
              <w:keepLines/>
              <w:spacing w:after="0" w:line="240" w:lineRule="auto"/>
              <w:jc w:val="center"/>
              <w:rPr>
                <w:rFonts w:ascii="ITC Avant Garde" w:eastAsia="Times New Roman" w:hAnsi="ITC Avant Garde" w:cs="Arial"/>
                <w:sz w:val="20"/>
                <w:lang w:val="es-ES" w:eastAsia="es-ES"/>
              </w:rPr>
            </w:pPr>
          </w:p>
        </w:tc>
      </w:tr>
      <w:tr w:rsidR="00892164" w:rsidRPr="008609D1" w14:paraId="0B5F8221" w14:textId="77777777" w:rsidTr="000E069D">
        <w:trPr>
          <w:trHeight w:val="288"/>
          <w:jc w:val="center"/>
        </w:trPr>
        <w:tc>
          <w:tcPr>
            <w:tcW w:w="4041" w:type="dxa"/>
            <w:tcBorders>
              <w:top w:val="nil"/>
              <w:left w:val="nil"/>
              <w:bottom w:val="single" w:sz="4" w:space="0" w:color="244062"/>
              <w:right w:val="nil"/>
            </w:tcBorders>
            <w:shd w:val="clear" w:color="000000" w:fill="D0D1DB"/>
            <w:noWrap/>
            <w:vAlign w:val="center"/>
            <w:hideMark/>
          </w:tcPr>
          <w:p w14:paraId="43B2DAB0" w14:textId="77777777" w:rsidR="00892164" w:rsidRPr="008609D1" w:rsidRDefault="00892164"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2468" w:type="dxa"/>
            <w:tcBorders>
              <w:top w:val="nil"/>
              <w:left w:val="nil"/>
              <w:bottom w:val="single" w:sz="4" w:space="0" w:color="244062"/>
              <w:right w:val="nil"/>
            </w:tcBorders>
            <w:shd w:val="clear" w:color="auto" w:fill="auto"/>
            <w:noWrap/>
            <w:vAlign w:val="center"/>
            <w:hideMark/>
          </w:tcPr>
          <w:p w14:paraId="3F7C7A2A" w14:textId="77777777" w:rsidR="00892164" w:rsidRPr="008609D1" w:rsidRDefault="00892164" w:rsidP="001735D4">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14:paraId="25676A23" w14:textId="77777777" w:rsidR="00892164" w:rsidRPr="008609D1" w:rsidRDefault="00892164" w:rsidP="001735D4">
            <w:pPr>
              <w:keepNext/>
              <w:keepLines/>
              <w:spacing w:after="0" w:line="240" w:lineRule="auto"/>
              <w:jc w:val="center"/>
              <w:rPr>
                <w:rFonts w:ascii="ITC Avant Garde" w:eastAsia="Times New Roman" w:hAnsi="ITC Avant Garde" w:cs="Arial"/>
                <w:sz w:val="20"/>
                <w:lang w:val="es-ES" w:eastAsia="es-ES"/>
              </w:rPr>
            </w:pPr>
          </w:p>
        </w:tc>
      </w:tr>
      <w:tr w:rsidR="00892164" w:rsidRPr="008609D1" w14:paraId="587E5C56" w14:textId="77777777" w:rsidTr="000E069D">
        <w:trPr>
          <w:trHeight w:val="288"/>
          <w:jc w:val="center"/>
        </w:trPr>
        <w:tc>
          <w:tcPr>
            <w:tcW w:w="4041" w:type="dxa"/>
            <w:tcBorders>
              <w:top w:val="single" w:sz="4" w:space="0" w:color="244062"/>
              <w:left w:val="nil"/>
              <w:bottom w:val="single" w:sz="4" w:space="0" w:color="244062"/>
              <w:right w:val="nil"/>
            </w:tcBorders>
            <w:shd w:val="clear" w:color="auto" w:fill="E5E9EB"/>
            <w:noWrap/>
            <w:vAlign w:val="center"/>
          </w:tcPr>
          <w:p w14:paraId="6A0FF56A" w14:textId="77777777" w:rsidR="00892164" w:rsidRPr="008609D1" w:rsidRDefault="00892164" w:rsidP="001735D4">
            <w:pPr>
              <w:keepNext/>
              <w:keepLines/>
              <w:spacing w:after="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Actividades de financiamiento</w:t>
            </w:r>
          </w:p>
        </w:tc>
        <w:tc>
          <w:tcPr>
            <w:tcW w:w="2468" w:type="dxa"/>
            <w:tcBorders>
              <w:top w:val="single" w:sz="4" w:space="0" w:color="244062"/>
              <w:left w:val="nil"/>
              <w:bottom w:val="single" w:sz="4" w:space="0" w:color="244062"/>
              <w:right w:val="nil"/>
            </w:tcBorders>
            <w:shd w:val="clear" w:color="auto" w:fill="E5E9EB"/>
            <w:noWrap/>
            <w:vAlign w:val="center"/>
            <w:hideMark/>
          </w:tcPr>
          <w:p w14:paraId="0146E404" w14:textId="77777777" w:rsidR="00892164" w:rsidRPr="008609D1" w:rsidRDefault="00892164" w:rsidP="001735D4">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single" w:sz="4" w:space="0" w:color="244062"/>
              <w:left w:val="nil"/>
              <w:bottom w:val="single" w:sz="4" w:space="0" w:color="244062"/>
              <w:right w:val="nil"/>
            </w:tcBorders>
            <w:shd w:val="clear" w:color="auto" w:fill="E5E9EB"/>
            <w:noWrap/>
            <w:vAlign w:val="center"/>
            <w:hideMark/>
          </w:tcPr>
          <w:p w14:paraId="17A60E46" w14:textId="77777777" w:rsidR="00892164" w:rsidRPr="008609D1" w:rsidRDefault="00892164" w:rsidP="001735D4">
            <w:pPr>
              <w:keepNext/>
              <w:keepLines/>
              <w:spacing w:after="0" w:line="240" w:lineRule="auto"/>
              <w:jc w:val="center"/>
              <w:rPr>
                <w:rFonts w:ascii="ITC Avant Garde" w:eastAsia="Times New Roman" w:hAnsi="ITC Avant Garde" w:cs="Arial"/>
                <w:sz w:val="20"/>
                <w:lang w:val="es-ES" w:eastAsia="es-ES"/>
              </w:rPr>
            </w:pPr>
          </w:p>
        </w:tc>
      </w:tr>
      <w:tr w:rsidR="00F817E9" w:rsidRPr="008609D1" w14:paraId="29C31ED2" w14:textId="77777777" w:rsidTr="000E069D">
        <w:trPr>
          <w:trHeight w:val="288"/>
          <w:jc w:val="center"/>
        </w:trPr>
        <w:tc>
          <w:tcPr>
            <w:tcW w:w="4041" w:type="dxa"/>
            <w:tcBorders>
              <w:top w:val="nil"/>
              <w:left w:val="nil"/>
              <w:bottom w:val="single" w:sz="4" w:space="0" w:color="244062"/>
              <w:right w:val="nil"/>
            </w:tcBorders>
            <w:shd w:val="clear" w:color="000000" w:fill="D0D1DB"/>
            <w:noWrap/>
            <w:vAlign w:val="center"/>
          </w:tcPr>
          <w:p w14:paraId="02A92A79" w14:textId="77777777" w:rsidR="00F817E9" w:rsidRPr="008609D1" w:rsidRDefault="00F817E9"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Préstamos obtenidos</w:t>
            </w:r>
          </w:p>
        </w:tc>
        <w:tc>
          <w:tcPr>
            <w:tcW w:w="2468" w:type="dxa"/>
            <w:tcBorders>
              <w:top w:val="nil"/>
              <w:left w:val="nil"/>
              <w:bottom w:val="single" w:sz="4" w:space="0" w:color="244062"/>
              <w:right w:val="nil"/>
            </w:tcBorders>
            <w:shd w:val="clear" w:color="auto" w:fill="auto"/>
            <w:noWrap/>
            <w:vAlign w:val="center"/>
            <w:hideMark/>
          </w:tcPr>
          <w:p w14:paraId="2ECF09DF" w14:textId="77777777" w:rsidR="00F817E9" w:rsidRPr="008609D1" w:rsidRDefault="00F817E9" w:rsidP="001735D4">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14:paraId="57BA8668" w14:textId="77777777" w:rsidR="00F817E9" w:rsidRPr="008609D1" w:rsidRDefault="00F817E9" w:rsidP="001735D4">
            <w:pPr>
              <w:keepNext/>
              <w:keepLines/>
              <w:spacing w:after="0" w:line="240" w:lineRule="auto"/>
              <w:jc w:val="center"/>
              <w:rPr>
                <w:rFonts w:ascii="ITC Avant Garde" w:eastAsia="Times New Roman" w:hAnsi="ITC Avant Garde" w:cs="Arial"/>
                <w:sz w:val="20"/>
                <w:lang w:val="es-ES" w:eastAsia="es-ES"/>
              </w:rPr>
            </w:pPr>
          </w:p>
        </w:tc>
      </w:tr>
      <w:tr w:rsidR="00F817E9" w:rsidRPr="008609D1" w14:paraId="0EF7EC6A" w14:textId="77777777" w:rsidTr="000E069D">
        <w:trPr>
          <w:trHeight w:val="288"/>
          <w:jc w:val="center"/>
        </w:trPr>
        <w:tc>
          <w:tcPr>
            <w:tcW w:w="4041" w:type="dxa"/>
            <w:tcBorders>
              <w:top w:val="nil"/>
              <w:left w:val="nil"/>
              <w:bottom w:val="single" w:sz="4" w:space="0" w:color="244062"/>
              <w:right w:val="nil"/>
            </w:tcBorders>
            <w:shd w:val="clear" w:color="000000" w:fill="D0D1DB"/>
            <w:noWrap/>
            <w:vAlign w:val="center"/>
          </w:tcPr>
          <w:p w14:paraId="3D822C5D" w14:textId="77777777" w:rsidR="00F817E9" w:rsidRPr="008609D1" w:rsidRDefault="00F817E9"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Pagos de préstamos</w:t>
            </w:r>
          </w:p>
        </w:tc>
        <w:tc>
          <w:tcPr>
            <w:tcW w:w="2468" w:type="dxa"/>
            <w:tcBorders>
              <w:top w:val="nil"/>
              <w:left w:val="nil"/>
              <w:bottom w:val="single" w:sz="4" w:space="0" w:color="244062"/>
              <w:right w:val="nil"/>
            </w:tcBorders>
            <w:shd w:val="clear" w:color="auto" w:fill="auto"/>
            <w:noWrap/>
            <w:vAlign w:val="center"/>
            <w:hideMark/>
          </w:tcPr>
          <w:p w14:paraId="45ECCFF7" w14:textId="77777777" w:rsidR="00F817E9" w:rsidRPr="008609D1" w:rsidRDefault="00F817E9" w:rsidP="001735D4">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14:paraId="28F30AF4" w14:textId="77777777" w:rsidR="00F817E9" w:rsidRPr="008609D1" w:rsidRDefault="00F817E9" w:rsidP="001735D4">
            <w:pPr>
              <w:keepNext/>
              <w:keepLines/>
              <w:spacing w:after="0" w:line="240" w:lineRule="auto"/>
              <w:jc w:val="center"/>
              <w:rPr>
                <w:rFonts w:ascii="ITC Avant Garde" w:eastAsia="Times New Roman" w:hAnsi="ITC Avant Garde" w:cs="Arial"/>
                <w:sz w:val="20"/>
                <w:lang w:val="es-ES" w:eastAsia="es-ES"/>
              </w:rPr>
            </w:pPr>
          </w:p>
        </w:tc>
      </w:tr>
      <w:tr w:rsidR="00892164" w:rsidRPr="008609D1" w14:paraId="65D3EA2F" w14:textId="77777777" w:rsidTr="000E069D">
        <w:trPr>
          <w:trHeight w:val="288"/>
          <w:jc w:val="center"/>
        </w:trPr>
        <w:tc>
          <w:tcPr>
            <w:tcW w:w="4041" w:type="dxa"/>
            <w:tcBorders>
              <w:top w:val="nil"/>
              <w:left w:val="nil"/>
              <w:bottom w:val="single" w:sz="4" w:space="0" w:color="244062"/>
              <w:right w:val="nil"/>
            </w:tcBorders>
            <w:shd w:val="clear" w:color="000000" w:fill="D0D1DB"/>
            <w:noWrap/>
            <w:vAlign w:val="center"/>
            <w:hideMark/>
          </w:tcPr>
          <w:p w14:paraId="583553B5" w14:textId="77777777" w:rsidR="00892164" w:rsidRPr="008609D1" w:rsidRDefault="00892164"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 xml:space="preserve">… </w:t>
            </w:r>
          </w:p>
        </w:tc>
        <w:tc>
          <w:tcPr>
            <w:tcW w:w="2468" w:type="dxa"/>
            <w:tcBorders>
              <w:top w:val="nil"/>
              <w:left w:val="nil"/>
              <w:bottom w:val="single" w:sz="4" w:space="0" w:color="244062"/>
              <w:right w:val="nil"/>
            </w:tcBorders>
            <w:shd w:val="clear" w:color="auto" w:fill="auto"/>
            <w:noWrap/>
            <w:vAlign w:val="center"/>
            <w:hideMark/>
          </w:tcPr>
          <w:p w14:paraId="10D91F3F" w14:textId="77777777" w:rsidR="00892164" w:rsidRPr="008609D1" w:rsidRDefault="00892164" w:rsidP="001735D4">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14:paraId="74907B37" w14:textId="77777777" w:rsidR="00892164" w:rsidRPr="008609D1" w:rsidRDefault="00892164" w:rsidP="001735D4">
            <w:pPr>
              <w:keepNext/>
              <w:keepLines/>
              <w:spacing w:after="0" w:line="240" w:lineRule="auto"/>
              <w:jc w:val="center"/>
              <w:rPr>
                <w:rFonts w:ascii="ITC Avant Garde" w:eastAsia="Times New Roman" w:hAnsi="ITC Avant Garde" w:cs="Arial"/>
                <w:sz w:val="20"/>
                <w:lang w:val="es-ES" w:eastAsia="es-ES"/>
              </w:rPr>
            </w:pPr>
          </w:p>
        </w:tc>
      </w:tr>
      <w:tr w:rsidR="00892164" w:rsidRPr="008609D1" w14:paraId="6568CE05" w14:textId="77777777" w:rsidTr="000E069D">
        <w:trPr>
          <w:trHeight w:val="288"/>
          <w:jc w:val="center"/>
        </w:trPr>
        <w:tc>
          <w:tcPr>
            <w:tcW w:w="8978" w:type="dxa"/>
            <w:gridSpan w:val="3"/>
            <w:tcBorders>
              <w:top w:val="single" w:sz="4" w:space="0" w:color="244062"/>
              <w:left w:val="nil"/>
              <w:bottom w:val="single" w:sz="4" w:space="0" w:color="244062"/>
              <w:right w:val="nil"/>
            </w:tcBorders>
            <w:shd w:val="clear" w:color="auto" w:fill="E5E9EB"/>
            <w:noWrap/>
            <w:vAlign w:val="center"/>
          </w:tcPr>
          <w:p w14:paraId="0DCBFAFF" w14:textId="77777777" w:rsidR="00892164" w:rsidRPr="008609D1" w:rsidRDefault="00892164" w:rsidP="001735D4">
            <w:pPr>
              <w:keepNext/>
              <w:keepLines/>
              <w:spacing w:after="0" w:line="240" w:lineRule="auto"/>
              <w:rPr>
                <w:rFonts w:ascii="ITC Avant Garde" w:eastAsia="Times New Roman" w:hAnsi="ITC Avant Garde" w:cs="Arial"/>
                <w:b/>
                <w:bCs/>
                <w:sz w:val="20"/>
                <w:lang w:val="es-ES" w:eastAsia="es-ES"/>
              </w:rPr>
            </w:pPr>
            <w:r w:rsidRPr="008609D1">
              <w:rPr>
                <w:rFonts w:ascii="ITC Avant Garde" w:eastAsia="Times New Roman" w:hAnsi="ITC Avant Garde" w:cs="Arial"/>
                <w:b/>
                <w:bCs/>
                <w:sz w:val="20"/>
                <w:lang w:val="es-ES" w:eastAsia="es-ES"/>
              </w:rPr>
              <w:t>Transacciones no monetarias de</w:t>
            </w:r>
            <w:r w:rsidRPr="008609D1">
              <w:rPr>
                <w:rFonts w:ascii="ITC Avant Garde" w:eastAsia="Times New Roman" w:hAnsi="ITC Avant Garde" w:cs="Arial"/>
                <w:b/>
                <w:bCs/>
                <w:sz w:val="20"/>
                <w:lang w:val="es-ES" w:eastAsia="es-ES"/>
              </w:rPr>
              <w:br/>
              <w:t>actividades de inversión</w:t>
            </w:r>
          </w:p>
        </w:tc>
      </w:tr>
      <w:tr w:rsidR="00892164" w:rsidRPr="008609D1" w14:paraId="08CEAA12" w14:textId="77777777" w:rsidTr="000E069D">
        <w:trPr>
          <w:trHeight w:val="288"/>
          <w:jc w:val="center"/>
        </w:trPr>
        <w:tc>
          <w:tcPr>
            <w:tcW w:w="4041" w:type="dxa"/>
            <w:tcBorders>
              <w:top w:val="nil"/>
              <w:left w:val="nil"/>
              <w:bottom w:val="single" w:sz="4" w:space="0" w:color="244062"/>
              <w:right w:val="nil"/>
            </w:tcBorders>
            <w:shd w:val="clear" w:color="000000" w:fill="D0D1DB"/>
            <w:noWrap/>
            <w:vAlign w:val="center"/>
          </w:tcPr>
          <w:p w14:paraId="00B4774D" w14:textId="77777777" w:rsidR="00892164" w:rsidRPr="008609D1" w:rsidRDefault="00892164" w:rsidP="001735D4">
            <w:pPr>
              <w:keepNext/>
              <w:keepLines/>
              <w:spacing w:after="0" w:line="240" w:lineRule="auto"/>
              <w:rPr>
                <w:rFonts w:ascii="ITC Avant Garde" w:eastAsia="Times New Roman" w:hAnsi="ITC Avant Garde" w:cs="Arial"/>
                <w:sz w:val="20"/>
                <w:lang w:val="es-ES" w:eastAsia="es-ES"/>
              </w:rPr>
            </w:pPr>
            <w:r w:rsidRPr="008609D1">
              <w:rPr>
                <w:rFonts w:ascii="ITC Avant Garde" w:eastAsia="Times New Roman" w:hAnsi="ITC Avant Garde" w:cs="Arial"/>
                <w:sz w:val="20"/>
                <w:lang w:val="es-ES" w:eastAsia="es-ES"/>
              </w:rPr>
              <w:t>Propiedades, planta y equipo</w:t>
            </w:r>
          </w:p>
        </w:tc>
        <w:tc>
          <w:tcPr>
            <w:tcW w:w="2468" w:type="dxa"/>
            <w:tcBorders>
              <w:top w:val="nil"/>
              <w:left w:val="nil"/>
              <w:bottom w:val="single" w:sz="4" w:space="0" w:color="244062"/>
              <w:right w:val="nil"/>
            </w:tcBorders>
            <w:shd w:val="clear" w:color="auto" w:fill="auto"/>
            <w:noWrap/>
            <w:vAlign w:val="center"/>
            <w:hideMark/>
          </w:tcPr>
          <w:p w14:paraId="26518484" w14:textId="77777777" w:rsidR="00892164" w:rsidRPr="008609D1" w:rsidRDefault="00892164" w:rsidP="001735D4">
            <w:pPr>
              <w:keepNext/>
              <w:keepLines/>
              <w:spacing w:after="0" w:line="240" w:lineRule="auto"/>
              <w:jc w:val="center"/>
              <w:rPr>
                <w:rFonts w:ascii="ITC Avant Garde" w:eastAsia="Times New Roman" w:hAnsi="ITC Avant Garde" w:cs="Arial"/>
                <w:sz w:val="20"/>
                <w:lang w:val="es-ES" w:eastAsia="es-ES"/>
              </w:rPr>
            </w:pPr>
          </w:p>
        </w:tc>
        <w:tc>
          <w:tcPr>
            <w:tcW w:w="2469" w:type="dxa"/>
            <w:tcBorders>
              <w:top w:val="nil"/>
              <w:left w:val="nil"/>
              <w:bottom w:val="single" w:sz="4" w:space="0" w:color="244062"/>
              <w:right w:val="nil"/>
            </w:tcBorders>
            <w:shd w:val="clear" w:color="auto" w:fill="auto"/>
            <w:noWrap/>
            <w:vAlign w:val="center"/>
            <w:hideMark/>
          </w:tcPr>
          <w:p w14:paraId="205570A2" w14:textId="77777777" w:rsidR="00892164" w:rsidRPr="008609D1" w:rsidRDefault="00892164" w:rsidP="001735D4">
            <w:pPr>
              <w:keepNext/>
              <w:keepLines/>
              <w:spacing w:after="0" w:line="240" w:lineRule="auto"/>
              <w:jc w:val="center"/>
              <w:rPr>
                <w:rFonts w:ascii="ITC Avant Garde" w:eastAsia="Times New Roman" w:hAnsi="ITC Avant Garde" w:cs="Arial"/>
                <w:sz w:val="20"/>
                <w:lang w:val="es-ES" w:eastAsia="es-ES"/>
              </w:rPr>
            </w:pPr>
          </w:p>
        </w:tc>
      </w:tr>
    </w:tbl>
    <w:p w14:paraId="0A8DDA37" w14:textId="77777777" w:rsidR="00BE7EAA" w:rsidRPr="008609D1" w:rsidRDefault="00BE7EAA" w:rsidP="008921ED">
      <w:pPr>
        <w:pStyle w:val="HeadingAnexo1L2"/>
        <w:numPr>
          <w:ilvl w:val="0"/>
          <w:numId w:val="202"/>
        </w:numPr>
      </w:pPr>
      <w:bookmarkStart w:id="214" w:name="_Ref477513245"/>
      <w:r w:rsidRPr="008609D1">
        <w:t>Informe de precios de transferencia</w:t>
      </w:r>
      <w:bookmarkEnd w:id="214"/>
    </w:p>
    <w:p w14:paraId="7EF91691" w14:textId="77777777" w:rsidR="00892164" w:rsidRPr="008609D1" w:rsidRDefault="00BE7EAA" w:rsidP="008003B3">
      <w:pPr>
        <w:pStyle w:val="Normalresolucion"/>
      </w:pPr>
      <w:r w:rsidRPr="008609D1">
        <w:t xml:space="preserve">Con el fin de alcanzar un mejor control sobre las relaciones transaccionales que se produzcan entre empresas vinculadas a los concesionarios de redes compartidas </w:t>
      </w:r>
      <w:r w:rsidR="00F22CD0">
        <w:t xml:space="preserve">mayoristas </w:t>
      </w:r>
      <w:r w:rsidRPr="008609D1">
        <w:t>(entre las que puede haber autoridades públicas), se estima necesario que éstos presenten un estudio de precios de transferencia</w:t>
      </w:r>
      <w:r w:rsidR="0032477B" w:rsidRPr="008609D1">
        <w:t xml:space="preserve">, de acuerdo a lo establecido en la sección 2 del </w:t>
      </w:r>
      <w:r w:rsidR="00524D8B" w:rsidRPr="008609D1">
        <w:t>Anexo</w:t>
      </w:r>
      <w:r w:rsidR="0032477B" w:rsidRPr="008609D1">
        <w:t xml:space="preserve"> </w:t>
      </w:r>
      <w:r w:rsidR="005D2775" w:rsidRPr="008609D1">
        <w:t>4</w:t>
      </w:r>
      <w:r w:rsidRPr="008609D1">
        <w:t>.</w:t>
      </w:r>
    </w:p>
    <w:p w14:paraId="34E3A76C" w14:textId="77777777" w:rsidR="00892164" w:rsidRPr="008609D1" w:rsidRDefault="00892164" w:rsidP="00892164"/>
    <w:p w14:paraId="1C9A9FB2" w14:textId="77777777" w:rsidR="00892164" w:rsidRPr="008609D1" w:rsidRDefault="00892164" w:rsidP="00892164">
      <w:pPr>
        <w:rPr>
          <w:rFonts w:ascii="ITC Avant Garde" w:hAnsi="ITC Avant Garde"/>
          <w:b/>
        </w:rPr>
      </w:pPr>
      <w:r w:rsidRPr="008609D1">
        <w:br w:type="page"/>
      </w:r>
    </w:p>
    <w:p w14:paraId="72ED31BF" w14:textId="77777777" w:rsidR="00892164" w:rsidRPr="008609D1" w:rsidRDefault="00524D8B" w:rsidP="00892164">
      <w:pPr>
        <w:pStyle w:val="Ttulo2"/>
      </w:pPr>
      <w:bookmarkStart w:id="215" w:name="_Toc484022116"/>
      <w:r w:rsidRPr="008609D1">
        <w:lastRenderedPageBreak/>
        <w:t>Anexo</w:t>
      </w:r>
      <w:r w:rsidR="00892164" w:rsidRPr="008609D1">
        <w:t xml:space="preserve"> </w:t>
      </w:r>
      <w:r w:rsidR="005D2775" w:rsidRPr="008609D1">
        <w:t>7</w:t>
      </w:r>
      <w:r w:rsidR="00892164" w:rsidRPr="008609D1">
        <w:t>.</w:t>
      </w:r>
      <w:bookmarkEnd w:id="215"/>
    </w:p>
    <w:p w14:paraId="109A7489" w14:textId="77777777" w:rsidR="00892164" w:rsidRPr="008609D1" w:rsidRDefault="00892164" w:rsidP="00892164">
      <w:pPr>
        <w:pStyle w:val="Ttulo1"/>
      </w:pPr>
      <w:bookmarkStart w:id="216" w:name="_Ref477443749"/>
      <w:bookmarkStart w:id="217" w:name="_Toc484022117"/>
      <w:r w:rsidRPr="008609D1">
        <w:t xml:space="preserve">DEFINICIÓN DE LINEAMIENTOS GENERALES PARA LA SELECCIÓN DE LOS </w:t>
      </w:r>
      <w:r w:rsidRPr="008609D1">
        <w:rPr>
          <w:bCs/>
        </w:rPr>
        <w:t xml:space="preserve">CRITERIOS DE IMPUTACIÓN DE </w:t>
      </w:r>
      <w:r w:rsidRPr="008609D1">
        <w:t>COSTOS E INGRESOS EN LA SEPARACIÓN CONTABLE</w:t>
      </w:r>
      <w:bookmarkEnd w:id="216"/>
      <w:bookmarkEnd w:id="217"/>
    </w:p>
    <w:p w14:paraId="107560E6" w14:textId="77777777" w:rsidR="00892164" w:rsidRPr="008609D1" w:rsidRDefault="00892164" w:rsidP="008003B3">
      <w:pPr>
        <w:pStyle w:val="Normalresolucion"/>
      </w:pPr>
      <w:r w:rsidRPr="008609D1">
        <w:t xml:space="preserve">Uno de los aspectos clave en la implementación de una </w:t>
      </w:r>
      <w:r w:rsidR="00AC3FFE" w:rsidRPr="008609D1">
        <w:t>separación contable</w:t>
      </w:r>
      <w:r w:rsidRPr="008609D1">
        <w:t xml:space="preserve"> consiste en la selección de los factores de distribución de costos e ingresos para atribuirlos de un nivel a otro de </w:t>
      </w:r>
      <w:r w:rsidR="00BE7EAA" w:rsidRPr="008609D1">
        <w:t>su estructura interna</w:t>
      </w:r>
      <w:r w:rsidRPr="008609D1">
        <w:t xml:space="preserve">. Con el fin de facilitar esta tarea, el presente </w:t>
      </w:r>
      <w:r w:rsidR="00524D8B" w:rsidRPr="008609D1">
        <w:t>Anexo</w:t>
      </w:r>
      <w:r w:rsidRPr="008609D1">
        <w:t xml:space="preserve"> aporta una serie de indicaciones que se espera sean de utilidad a los concesionarios en la definición de los factores de enrutamiento más apropiados para cada caso.</w:t>
      </w:r>
    </w:p>
    <w:p w14:paraId="021302B8" w14:textId="77777777" w:rsidR="00892164" w:rsidRPr="008609D1" w:rsidRDefault="00892164" w:rsidP="008003B3">
      <w:pPr>
        <w:pStyle w:val="Normalresolucion"/>
      </w:pPr>
      <w:r w:rsidRPr="008609D1">
        <w:t xml:space="preserve">Las guías mostradas en este </w:t>
      </w:r>
      <w:r w:rsidR="00524D8B" w:rsidRPr="008609D1">
        <w:t>Anexo</w:t>
      </w:r>
      <w:r w:rsidR="008003B3" w:rsidRPr="008609D1">
        <w:t xml:space="preserve"> </w:t>
      </w:r>
      <w:r w:rsidRPr="008609D1">
        <w:t>no tienen un carácter exhaustivo ni limitativo</w:t>
      </w:r>
      <w:r w:rsidR="0066295E" w:rsidRPr="008609D1">
        <w:t>; no obstante</w:t>
      </w:r>
      <w:r w:rsidR="00CB6EE2" w:rsidRPr="008609D1">
        <w:t>,</w:t>
      </w:r>
      <w:r w:rsidR="0066295E" w:rsidRPr="008609D1">
        <w:t xml:space="preserve"> los concesionarios deben tomarlas en cuenta como una base al momento de realizar la implementación de la separación contable.</w:t>
      </w:r>
      <w:r w:rsidR="0066295E" w:rsidRPr="008609D1" w:rsidDel="0066295E">
        <w:t xml:space="preserve"> </w:t>
      </w:r>
    </w:p>
    <w:p w14:paraId="2E5BF1EF" w14:textId="77777777" w:rsidR="00892164" w:rsidRPr="008609D1" w:rsidRDefault="00892164" w:rsidP="00892164">
      <w:pPr>
        <w:pStyle w:val="Normalresolucion"/>
      </w:pPr>
      <w:r w:rsidRPr="008609D1">
        <w:t xml:space="preserve">A continuación se presentan las principales directrices para las diferentes fases de imputación de costos e ingresos en la </w:t>
      </w:r>
      <w:r w:rsidR="00AC3FFE" w:rsidRPr="008609D1">
        <w:t>separación contable</w:t>
      </w:r>
      <w:r w:rsidRPr="008609D1">
        <w:t>.</w:t>
      </w:r>
    </w:p>
    <w:p w14:paraId="185D344C" w14:textId="77777777" w:rsidR="00892164" w:rsidRPr="008609D1" w:rsidRDefault="00892164" w:rsidP="00892164">
      <w:pPr>
        <w:pStyle w:val="Normalresolucion"/>
        <w:rPr>
          <w:b/>
          <w:u w:val="single"/>
        </w:rPr>
      </w:pPr>
      <w:r w:rsidRPr="008609D1">
        <w:rPr>
          <w:b/>
          <w:u w:val="single"/>
        </w:rPr>
        <w:t>Imputación de ingresos por naturaleza (Nivel 1) a cuentas de servicios (Nivel 3)</w:t>
      </w:r>
    </w:p>
    <w:p w14:paraId="4AAC0341" w14:textId="77777777" w:rsidR="00892164" w:rsidRPr="008609D1" w:rsidRDefault="00892164" w:rsidP="00892164">
      <w:pPr>
        <w:pStyle w:val="Normalresolucion"/>
      </w:pPr>
      <w:r w:rsidRPr="008609D1">
        <w:t xml:space="preserve">En esta fase de imputación el principal reto consiste en la identificación de los ingresos a nivel de servicio cuando los mismos son prestados de manera conjunta mediante ofertas empaquetadas (p.ej. paquetes </w:t>
      </w:r>
      <w:r w:rsidRPr="008609D1">
        <w:rPr>
          <w:i/>
          <w:iCs/>
        </w:rPr>
        <w:t>double-play</w:t>
      </w:r>
      <w:r w:rsidRPr="008609D1">
        <w:t xml:space="preserve"> de voz y datos). Para realizar esta identificación de ingresos por categoría de servicio el Instituto no considera como alternativas válidas la desagregación con base en costos o la imputación de la totalidad de los ingresos del paquete a un servicio en particular.</w:t>
      </w:r>
    </w:p>
    <w:p w14:paraId="44059E91" w14:textId="587A7AA5" w:rsidR="00892164" w:rsidRPr="008609D1" w:rsidRDefault="00892164" w:rsidP="00892164">
      <w:pPr>
        <w:pStyle w:val="Normalresolucion"/>
      </w:pPr>
      <w:r w:rsidRPr="008609D1">
        <w:t>En su defecto, el Instituto</w:t>
      </w:r>
      <w:r w:rsidRPr="008609D1" w:rsidDel="0004102B">
        <w:t xml:space="preserve"> </w:t>
      </w:r>
      <w:r w:rsidRPr="008609D1">
        <w:t xml:space="preserve">considera que la mejor aproximación en estos casos </w:t>
      </w:r>
      <w:r w:rsidR="00F22CD0" w:rsidRPr="008609D1">
        <w:t>consist</w:t>
      </w:r>
      <w:r w:rsidR="00F22CD0">
        <w:t>e</w:t>
      </w:r>
      <w:r w:rsidR="00F22CD0" w:rsidRPr="008609D1">
        <w:t xml:space="preserve"> </w:t>
      </w:r>
      <w:r w:rsidRPr="008609D1">
        <w:t>en el desarrollo de un ejercicio estadístico que determine el valor implícito de los diferentes servicios de telecomunicaciones reconociendo el portafolio de planes comerciales del concesionario. De este modo</w:t>
      </w:r>
      <w:r w:rsidR="00F22CD0">
        <w:t>,</w:t>
      </w:r>
      <w:r w:rsidRPr="008609D1">
        <w:t xml:space="preserve"> se podrá garantizar una máxima alineación con la realidad de mercado y así maximizar el cumplimiento del principio de causalidad.</w:t>
      </w:r>
    </w:p>
    <w:p w14:paraId="26A1053B" w14:textId="77777777" w:rsidR="00892164" w:rsidRPr="008609D1" w:rsidRDefault="00892164" w:rsidP="00892164">
      <w:pPr>
        <w:pStyle w:val="Normalresolucion"/>
        <w:rPr>
          <w:b/>
          <w:u w:val="single"/>
        </w:rPr>
      </w:pPr>
      <w:r w:rsidRPr="008609D1">
        <w:rPr>
          <w:b/>
          <w:u w:val="single"/>
        </w:rPr>
        <w:t>Imputación de costos por naturaleza (Nivel 1) a cuentas de costos por actividades y elementos de red (Nivel 2)</w:t>
      </w:r>
    </w:p>
    <w:p w14:paraId="0A527923" w14:textId="77777777" w:rsidR="00892164" w:rsidRPr="008609D1" w:rsidRDefault="00892164" w:rsidP="00892164">
      <w:pPr>
        <w:pStyle w:val="Normalresolucion"/>
      </w:pPr>
      <w:r w:rsidRPr="008609D1">
        <w:t>A continuación se proporcionan indicaciones para la imputación de categorías de costos por naturaleza de especial relevancia:</w:t>
      </w:r>
    </w:p>
    <w:p w14:paraId="18FDD8E2" w14:textId="77777777" w:rsidR="00892164" w:rsidRPr="008609D1" w:rsidRDefault="00892164" w:rsidP="00892164">
      <w:pPr>
        <w:pStyle w:val="Indentadoresolucin"/>
      </w:pPr>
      <w:r w:rsidRPr="008609D1">
        <w:rPr>
          <w:bCs/>
          <w:i/>
          <w:iCs/>
        </w:rPr>
        <w:t>Personal</w:t>
      </w:r>
      <w:r w:rsidRPr="008609D1">
        <w:t xml:space="preserve">: Los costos asociados al personal deberán ser atribuidos en el Nivel 2 a las actividades o elementos de red a los que éstos se dedican con base en el reconocimiento de las funciones realizadas (p.ej. por </w:t>
      </w:r>
      <w:r w:rsidRPr="008609D1">
        <w:lastRenderedPageBreak/>
        <w:t>medio de herramientas internas ABC</w:t>
      </w:r>
      <w:r w:rsidRPr="008609D1">
        <w:rPr>
          <w:rStyle w:val="Refdenotaalpie"/>
        </w:rPr>
        <w:footnoteReference w:id="85"/>
      </w:r>
      <w:r w:rsidRPr="008609D1">
        <w:t xml:space="preserve"> o bases de datos que registren el tiempo dedicado por cada trabajador a cada una de las tareas parametrizadas). Este proceso deberá reconocer no solo la dedicación horaria de trabajador, sino también el sueldo asociado a este, para asegurar la máxima alineación a costos.</w:t>
      </w:r>
    </w:p>
    <w:p w14:paraId="5D760D2C" w14:textId="77777777" w:rsidR="00892164" w:rsidRPr="008609D1" w:rsidRDefault="00892164" w:rsidP="00892164">
      <w:pPr>
        <w:pStyle w:val="Indentadoresolucin"/>
      </w:pPr>
      <w:r w:rsidRPr="008609D1">
        <w:rPr>
          <w:bCs/>
          <w:i/>
          <w:iCs/>
        </w:rPr>
        <w:t>Elementos de soporte (p.ej. arrendamientos, edificios, reparaciones, energía, suministros)</w:t>
      </w:r>
      <w:r w:rsidRPr="008609D1">
        <w:t>: Los costos de estos conceptos deberán ser distribuidos a las actividades o elementos de red que los originan. Así, por ejemplo:</w:t>
      </w:r>
    </w:p>
    <w:p w14:paraId="14E43E3C" w14:textId="77777777" w:rsidR="00892164" w:rsidRPr="008609D1" w:rsidRDefault="00892164" w:rsidP="00892164">
      <w:pPr>
        <w:pStyle w:val="Indentado3"/>
      </w:pPr>
      <w:r w:rsidRPr="008609D1">
        <w:t>Para el reparto de los arrendamientos y edificios se analizarán las funciones de los locales del concesionario, distribuyéndose el costo con base en los metros cuadrados (ponderados por el costo por metro cuadrado). Por ejemplo, si un 10% de un edificio está ocupado por equipos MGW, entonces el 10% de ese edificio será imputado al elemento de red ‘MGW’ de Nivel 2.</w:t>
      </w:r>
    </w:p>
    <w:p w14:paraId="133430D5" w14:textId="77777777" w:rsidR="00892164" w:rsidRPr="008609D1" w:rsidRDefault="00892164" w:rsidP="00892164">
      <w:pPr>
        <w:pStyle w:val="Indentado3"/>
      </w:pPr>
      <w:r w:rsidRPr="008609D1">
        <w:t>El reparto de la energía se realizará con base en el consumo eléctrico de las diferentes actividades y elementos de red de Nivel 2. Para ello, será necesario evaluar el consumo eléctrico de los equipos técnicos, así como el consumo para funciones de naturaleza administrativa.</w:t>
      </w:r>
    </w:p>
    <w:p w14:paraId="54421539" w14:textId="77777777" w:rsidR="00892164" w:rsidRPr="008609D1" w:rsidRDefault="00892164" w:rsidP="00892164">
      <w:pPr>
        <w:pStyle w:val="Indentadoresolucin"/>
      </w:pPr>
      <w:r w:rsidRPr="008609D1">
        <w:rPr>
          <w:bCs/>
          <w:i/>
          <w:iCs/>
        </w:rPr>
        <w:t>Activos de red</w:t>
      </w:r>
      <w:r w:rsidRPr="008609D1">
        <w:t>: Estos se repartirán, por normal general, de manera directa a los elementos de red homónimos de Nivel 2.</w:t>
      </w:r>
    </w:p>
    <w:p w14:paraId="06350E3E" w14:textId="77777777" w:rsidR="00892164" w:rsidRPr="008609D1" w:rsidRDefault="00892164" w:rsidP="00892164">
      <w:pPr>
        <w:pStyle w:val="Normalresolucion"/>
        <w:rPr>
          <w:b/>
          <w:u w:val="single"/>
        </w:rPr>
      </w:pPr>
      <w:r w:rsidRPr="008609D1">
        <w:rPr>
          <w:b/>
          <w:u w:val="single"/>
        </w:rPr>
        <w:t>Imputación de costos por actividades y elementos de red (Nivel 2) a servicios (Nivel 3)</w:t>
      </w:r>
    </w:p>
    <w:p w14:paraId="3C700E88" w14:textId="77777777" w:rsidR="00892164" w:rsidRPr="008609D1" w:rsidRDefault="00892164" w:rsidP="00892164">
      <w:pPr>
        <w:pStyle w:val="Normalresolucion"/>
      </w:pPr>
      <w:r w:rsidRPr="008609D1">
        <w:t>Por último, en los siguientes párrafos se aportan determinadas indicaciones para facilitar la imputación de costos de Nivel 2 a Nivel 3:</w:t>
      </w:r>
    </w:p>
    <w:p w14:paraId="31EA3F1D" w14:textId="77777777" w:rsidR="00892164" w:rsidRPr="008609D1" w:rsidRDefault="00892164" w:rsidP="00892164">
      <w:pPr>
        <w:pStyle w:val="Indentadoresolucin"/>
      </w:pPr>
      <w:r w:rsidRPr="008609D1">
        <w:rPr>
          <w:bCs/>
          <w:i/>
          <w:iCs/>
        </w:rPr>
        <w:t>Elementos de red</w:t>
      </w:r>
      <w:r w:rsidRPr="008609D1">
        <w:t xml:space="preserve">: Por norma general, se deberá definir una matriz de factores de uso que relacione la utilización de los diferentes elementos de red por parte de los servicios (mayoristas) definidos en la </w:t>
      </w:r>
      <w:r w:rsidR="00AC3FFE" w:rsidRPr="008609D1">
        <w:t>separación contable</w:t>
      </w:r>
      <w:r w:rsidRPr="008609D1">
        <w:t>. Cuando sea necesario homogeneizar las unidades de volumen de los servicios para garantizar la aplicabilidad de esta matriz, las conversiones efectuadas deberán basarse en mediciones técnicas y la información de soporte deberá ser facilitada al Instituto cuando así se requiera.</w:t>
      </w:r>
    </w:p>
    <w:p w14:paraId="02840EDC" w14:textId="77777777" w:rsidR="00892164" w:rsidRPr="008609D1" w:rsidRDefault="00892164" w:rsidP="00892164">
      <w:pPr>
        <w:pStyle w:val="Indentadoresolucin"/>
        <w:numPr>
          <w:ilvl w:val="0"/>
          <w:numId w:val="0"/>
        </w:numPr>
        <w:ind w:left="1008"/>
      </w:pPr>
      <w:r w:rsidRPr="008609D1">
        <w:t>Una vez construida la matriz de factores de uso, ésta será multiplicada por los volúmenes de los servicios para construir los factores de atribución de costos aplicables.</w:t>
      </w:r>
    </w:p>
    <w:p w14:paraId="1F3AC0CD" w14:textId="6DC002B3" w:rsidR="00892164" w:rsidRPr="008609D1" w:rsidRDefault="00892164" w:rsidP="00892164">
      <w:pPr>
        <w:pStyle w:val="Indentadoresolucin"/>
      </w:pPr>
      <w:r w:rsidRPr="008609D1">
        <w:rPr>
          <w:bCs/>
          <w:i/>
          <w:iCs/>
        </w:rPr>
        <w:t xml:space="preserve">Componentes </w:t>
      </w:r>
      <w:r w:rsidR="00126BBC" w:rsidRPr="008609D1">
        <w:rPr>
          <w:bCs/>
          <w:i/>
          <w:iCs/>
        </w:rPr>
        <w:t>no relacionados</w:t>
      </w:r>
      <w:r w:rsidR="00883470" w:rsidRPr="008609D1">
        <w:rPr>
          <w:bCs/>
          <w:i/>
          <w:iCs/>
        </w:rPr>
        <w:t xml:space="preserve"> </w:t>
      </w:r>
      <w:r w:rsidR="00126BBC" w:rsidRPr="008609D1">
        <w:rPr>
          <w:bCs/>
          <w:i/>
          <w:iCs/>
        </w:rPr>
        <w:t>con</w:t>
      </w:r>
      <w:r w:rsidR="00883470" w:rsidRPr="008609D1">
        <w:rPr>
          <w:bCs/>
          <w:i/>
          <w:iCs/>
        </w:rPr>
        <w:t xml:space="preserve"> la </w:t>
      </w:r>
      <w:r w:rsidRPr="008609D1">
        <w:rPr>
          <w:bCs/>
          <w:i/>
          <w:iCs/>
        </w:rPr>
        <w:t>red</w:t>
      </w:r>
      <w:r w:rsidRPr="008609D1">
        <w:t>: Cuando así resulte posible (p.ej. costos comerciales, fidelización) se deberán emplear estudios extracontables que permit</w:t>
      </w:r>
      <w:r w:rsidR="00795960">
        <w:t>a</w:t>
      </w:r>
      <w:r w:rsidRPr="008609D1">
        <w:t xml:space="preserve">n relacionar la dedicación de estos componentes a servicios. A modo de ejemplo, en el caso de los costos </w:t>
      </w:r>
      <w:r w:rsidRPr="008609D1">
        <w:lastRenderedPageBreak/>
        <w:t xml:space="preserve">comerciales, se debería identificar el grado de atención comercial dedicado a la prestación de los diferentes servicios (o grupos de servicios) para optimizar la causalidad de la atribución de costos. Por otro lado, en el caso de conceptos de tasas, impuestos o facturación, los mismos se podrían distribuir a servicios mediante </w:t>
      </w:r>
      <w:r w:rsidR="002E7E86" w:rsidRPr="00154F13">
        <w:t>márgenes</w:t>
      </w:r>
      <w:r w:rsidRPr="008609D1">
        <w:t xml:space="preserve"> equiproporcionales.</w:t>
      </w:r>
    </w:p>
    <w:p w14:paraId="2C0338C4" w14:textId="77777777" w:rsidR="00892164" w:rsidRPr="008609D1" w:rsidRDefault="00892164" w:rsidP="00892164">
      <w:pPr>
        <w:pStyle w:val="Indentadoresolucin"/>
      </w:pPr>
      <w:r w:rsidRPr="008609D1">
        <w:rPr>
          <w:bCs/>
          <w:i/>
          <w:iCs/>
        </w:rPr>
        <w:t>Costos directos de ventas</w:t>
      </w:r>
      <w:r w:rsidRPr="008609D1">
        <w:t>: Estos costos serán asignados de manera directa al servicio (o servicios) que los ocasiona.</w:t>
      </w:r>
    </w:p>
    <w:p w14:paraId="12A57BD7" w14:textId="2359E6DA" w:rsidR="00047C38" w:rsidRPr="008609D1" w:rsidRDefault="00892164">
      <w:pPr>
        <w:pStyle w:val="Indentadoresolucin"/>
        <w:rPr>
          <w:i/>
        </w:rPr>
      </w:pPr>
      <w:r w:rsidRPr="008609D1">
        <w:rPr>
          <w:bCs/>
          <w:i/>
          <w:iCs/>
        </w:rPr>
        <w:t>Costos comunes</w:t>
      </w:r>
      <w:r w:rsidRPr="008609D1">
        <w:t>: Estos costos se podrían distr</w:t>
      </w:r>
      <w:r w:rsidR="006A39E4" w:rsidRPr="008609D1">
        <w:t xml:space="preserve">ibuir a servicios mediante </w:t>
      </w:r>
      <w:r w:rsidR="00795960" w:rsidRPr="00154F13">
        <w:t>márgenes</w:t>
      </w:r>
      <w:r w:rsidRPr="008609D1">
        <w:t xml:space="preserve"> equiproporcionales.</w:t>
      </w:r>
      <w:bookmarkStart w:id="218" w:name="_Toc477283591"/>
      <w:bookmarkEnd w:id="132"/>
      <w:bookmarkEnd w:id="218"/>
    </w:p>
    <w:p w14:paraId="718CA944" w14:textId="77777777" w:rsidR="00ED2A2F" w:rsidRPr="008609D1" w:rsidRDefault="00ED2A2F">
      <w:pPr>
        <w:rPr>
          <w:rFonts w:ascii="ITC Avant Garde" w:eastAsia="Times New Roman" w:hAnsi="ITC Avant Garde" w:cs="Arial"/>
          <w:lang w:val="es-ES" w:eastAsia="es-ES"/>
        </w:rPr>
      </w:pPr>
      <w:r w:rsidRPr="008609D1">
        <w:br w:type="page"/>
      </w:r>
    </w:p>
    <w:p w14:paraId="3C467E74" w14:textId="4AF9FB48" w:rsidR="008F5C3A" w:rsidRPr="008609D1" w:rsidRDefault="008F5C3A" w:rsidP="008F5C3A">
      <w:pPr>
        <w:pStyle w:val="Ttulo2"/>
      </w:pPr>
      <w:bookmarkStart w:id="219" w:name="_Toc484022118"/>
      <w:bookmarkStart w:id="220" w:name="_GoBack"/>
      <w:bookmarkEnd w:id="220"/>
      <w:r w:rsidRPr="008609D1">
        <w:lastRenderedPageBreak/>
        <w:t>Anexo 8.</w:t>
      </w:r>
      <w:bookmarkEnd w:id="219"/>
    </w:p>
    <w:p w14:paraId="776DFF94" w14:textId="77777777" w:rsidR="008F5C3A" w:rsidRPr="008609D1" w:rsidRDefault="008F5C3A" w:rsidP="008F5C3A">
      <w:pPr>
        <w:pStyle w:val="Ttulo1"/>
      </w:pPr>
      <w:bookmarkStart w:id="221" w:name="_Toc484022119"/>
      <w:r w:rsidRPr="008609D1">
        <w:t>ACRÓNIMOS</w:t>
      </w:r>
      <w:bookmarkEnd w:id="221"/>
    </w:p>
    <w:p w14:paraId="51F2CFFE" w14:textId="77777777" w:rsidR="008F5C3A" w:rsidRPr="008609D1" w:rsidRDefault="008F5C3A" w:rsidP="008F5C3A">
      <w:pPr>
        <w:pStyle w:val="Normalresolucion"/>
      </w:pPr>
      <w:r w:rsidRPr="008609D1">
        <w:t>En el presente Anexo se detallan los acrónimos utilizados a lo largo del documento.</w:t>
      </w:r>
    </w:p>
    <w:p w14:paraId="6B222D98" w14:textId="77777777" w:rsidR="008F5C3A" w:rsidRPr="008609D1" w:rsidRDefault="008F5C3A" w:rsidP="008F5C3A">
      <w:pPr>
        <w:pStyle w:val="Normalresolucion"/>
      </w:pPr>
    </w:p>
    <w:p w14:paraId="193C16C2" w14:textId="77777777" w:rsidR="00193824" w:rsidRPr="008609D1" w:rsidRDefault="00193824" w:rsidP="00193824">
      <w:pPr>
        <w:pStyle w:val="Indentadoresolucin"/>
        <w:numPr>
          <w:ilvl w:val="0"/>
          <w:numId w:val="0"/>
        </w:numPr>
        <w:ind w:left="1008" w:hanging="360"/>
      </w:pPr>
    </w:p>
    <w:p w14:paraId="3141D1BE" w14:textId="77777777" w:rsidR="00193824" w:rsidRPr="008609D1" w:rsidRDefault="00193824" w:rsidP="00193824">
      <w:pPr>
        <w:pStyle w:val="Indentadoresolucin"/>
      </w:pPr>
      <w:r w:rsidRPr="008609D1">
        <w:rPr>
          <w:b/>
        </w:rPr>
        <w:t>ABC:</w:t>
      </w:r>
      <w:r w:rsidRPr="008609D1">
        <w:t xml:space="preserve"> Costeo Basado en Actividades</w:t>
      </w:r>
    </w:p>
    <w:p w14:paraId="45182184" w14:textId="77777777" w:rsidR="00193824" w:rsidRPr="008609D1" w:rsidRDefault="00193824" w:rsidP="00193824">
      <w:pPr>
        <w:pStyle w:val="Indentadoresolucin"/>
      </w:pPr>
      <w:r w:rsidRPr="008609D1">
        <w:rPr>
          <w:b/>
        </w:rPr>
        <w:t>BRAS:</w:t>
      </w:r>
      <w:r w:rsidRPr="008609D1">
        <w:t xml:space="preserve"> Servidor de Acceso Remoto de Banda Ancha</w:t>
      </w:r>
    </w:p>
    <w:p w14:paraId="49CAA755" w14:textId="77777777" w:rsidR="00193824" w:rsidRPr="008609D1" w:rsidRDefault="00193824" w:rsidP="00193824">
      <w:pPr>
        <w:pStyle w:val="Indentadoresolucin"/>
      </w:pPr>
      <w:r w:rsidRPr="008609D1">
        <w:rPr>
          <w:b/>
        </w:rPr>
        <w:t>BSC:</w:t>
      </w:r>
      <w:r w:rsidRPr="008609D1">
        <w:t xml:space="preserve"> Controlador de Estación Base</w:t>
      </w:r>
    </w:p>
    <w:p w14:paraId="7E8254AC" w14:textId="77777777" w:rsidR="00193824" w:rsidRPr="008609D1" w:rsidRDefault="00193824" w:rsidP="00193824">
      <w:pPr>
        <w:pStyle w:val="Indentadoresolucin"/>
      </w:pPr>
      <w:r w:rsidRPr="008609D1">
        <w:rPr>
          <w:b/>
        </w:rPr>
        <w:t>BTS:</w:t>
      </w:r>
      <w:r w:rsidRPr="008609D1">
        <w:t xml:space="preserve"> Estación de Transceptor Base</w:t>
      </w:r>
    </w:p>
    <w:p w14:paraId="68F740CB" w14:textId="77777777" w:rsidR="00193824" w:rsidRPr="008609D1" w:rsidRDefault="00193824" w:rsidP="00193824">
      <w:pPr>
        <w:pStyle w:val="Indentadoresolucin"/>
      </w:pPr>
      <w:r w:rsidRPr="008609D1">
        <w:rPr>
          <w:b/>
        </w:rPr>
        <w:t>CATV:</w:t>
      </w:r>
      <w:r w:rsidRPr="008609D1">
        <w:t xml:space="preserve"> Antena Comunitaria </w:t>
      </w:r>
      <w:r w:rsidR="00795960">
        <w:t xml:space="preserve">de </w:t>
      </w:r>
      <w:r w:rsidRPr="008609D1">
        <w:t>Televisión</w:t>
      </w:r>
    </w:p>
    <w:p w14:paraId="707DA4C1" w14:textId="77777777" w:rsidR="00193824" w:rsidRPr="008609D1" w:rsidRDefault="00193824" w:rsidP="00193824">
      <w:pPr>
        <w:pStyle w:val="Indentadoresolucin"/>
      </w:pPr>
      <w:r w:rsidRPr="008609D1">
        <w:rPr>
          <w:b/>
        </w:rPr>
        <w:t>CCA:</w:t>
      </w:r>
      <w:r w:rsidRPr="008609D1">
        <w:t xml:space="preserve"> Contabilidad de Costos Actuales </w:t>
      </w:r>
    </w:p>
    <w:p w14:paraId="1F26675E" w14:textId="77777777" w:rsidR="00193824" w:rsidRPr="008609D1" w:rsidRDefault="00193824" w:rsidP="00193824">
      <w:pPr>
        <w:pStyle w:val="Indentadoresolucin"/>
      </w:pPr>
      <w:r w:rsidRPr="008609D1">
        <w:rPr>
          <w:b/>
        </w:rPr>
        <w:t>CCH:</w:t>
      </w:r>
      <w:r w:rsidRPr="008609D1">
        <w:t xml:space="preserve"> Contabilidad de Costos Históricos</w:t>
      </w:r>
    </w:p>
    <w:p w14:paraId="1F584051" w14:textId="77777777" w:rsidR="00193824" w:rsidRPr="008609D1" w:rsidRDefault="00193824" w:rsidP="00193824">
      <w:pPr>
        <w:pStyle w:val="Indentadoresolucin"/>
      </w:pPr>
      <w:r w:rsidRPr="008609D1">
        <w:rPr>
          <w:b/>
        </w:rPr>
        <w:t>CFE:</w:t>
      </w:r>
      <w:r w:rsidRPr="008609D1">
        <w:t xml:space="preserve"> Comisión Federal de Electricidad</w:t>
      </w:r>
    </w:p>
    <w:p w14:paraId="17A81BA0" w14:textId="68DB940E" w:rsidR="00193824" w:rsidRPr="008609D1" w:rsidRDefault="00193824" w:rsidP="00193824">
      <w:pPr>
        <w:pStyle w:val="Indentadoresolucin"/>
      </w:pPr>
      <w:r w:rsidRPr="008609D1">
        <w:rPr>
          <w:b/>
        </w:rPr>
        <w:t>CMTS:</w:t>
      </w:r>
      <w:r w:rsidRPr="008609D1">
        <w:t xml:space="preserve"> Sistema de Terminación de Cable Módem</w:t>
      </w:r>
    </w:p>
    <w:p w14:paraId="27388572" w14:textId="77777777" w:rsidR="00193824" w:rsidRPr="008609D1" w:rsidRDefault="00193824" w:rsidP="00193824">
      <w:pPr>
        <w:pStyle w:val="Indentadoresolucin"/>
      </w:pPr>
      <w:r w:rsidRPr="008609D1">
        <w:rPr>
          <w:b/>
        </w:rPr>
        <w:t>COFETEL:</w:t>
      </w:r>
      <w:r w:rsidRPr="008609D1">
        <w:t xml:space="preserve"> Comisión Federal de Telecomunicaciones</w:t>
      </w:r>
    </w:p>
    <w:p w14:paraId="3E64225B" w14:textId="77777777" w:rsidR="00193824" w:rsidRPr="008609D1" w:rsidRDefault="00193824" w:rsidP="00193824">
      <w:pPr>
        <w:pStyle w:val="Indentadoresolucin"/>
      </w:pPr>
      <w:r w:rsidRPr="008609D1">
        <w:rPr>
          <w:b/>
        </w:rPr>
        <w:t>CSCF:</w:t>
      </w:r>
      <w:r w:rsidRPr="008609D1">
        <w:t xml:space="preserve"> Función de Control de Sesión de Llamada</w:t>
      </w:r>
    </w:p>
    <w:p w14:paraId="2286E2E3" w14:textId="77777777" w:rsidR="00193824" w:rsidRPr="008609D1" w:rsidRDefault="00193824" w:rsidP="00193824">
      <w:pPr>
        <w:pStyle w:val="Indentadoresolucin"/>
      </w:pPr>
      <w:r w:rsidRPr="008609D1">
        <w:rPr>
          <w:b/>
        </w:rPr>
        <w:t>DOF:</w:t>
      </w:r>
      <w:r w:rsidRPr="008609D1">
        <w:t xml:space="preserve"> Diario Oficial de la Federación</w:t>
      </w:r>
    </w:p>
    <w:p w14:paraId="2BBAF289" w14:textId="77777777" w:rsidR="00193824" w:rsidRPr="008609D1" w:rsidRDefault="00193824" w:rsidP="00193824">
      <w:pPr>
        <w:pStyle w:val="Indentadoresolucin"/>
      </w:pPr>
      <w:r w:rsidRPr="008609D1">
        <w:rPr>
          <w:b/>
        </w:rPr>
        <w:t>DSLAM:</w:t>
      </w:r>
      <w:r w:rsidRPr="008609D1">
        <w:t xml:space="preserve"> Multiplexor de Línea de Acceso de Abonado Digital</w:t>
      </w:r>
    </w:p>
    <w:p w14:paraId="3DF743F7" w14:textId="77777777" w:rsidR="00193824" w:rsidRPr="008609D1" w:rsidRDefault="00193824" w:rsidP="00193824">
      <w:pPr>
        <w:pStyle w:val="Indentadoresolucin"/>
      </w:pPr>
      <w:r w:rsidRPr="008609D1">
        <w:rPr>
          <w:b/>
        </w:rPr>
        <w:t>FDP:</w:t>
      </w:r>
      <w:r w:rsidRPr="008609D1">
        <w:t xml:space="preserve"> Punto Final de Caída</w:t>
      </w:r>
    </w:p>
    <w:p w14:paraId="51F73E89" w14:textId="77777777" w:rsidR="00193824" w:rsidRPr="008609D1" w:rsidRDefault="00193824" w:rsidP="00193824">
      <w:pPr>
        <w:pStyle w:val="Indentadoresolucin"/>
      </w:pPr>
      <w:r w:rsidRPr="008609D1">
        <w:rPr>
          <w:b/>
        </w:rPr>
        <w:t>IPTV:</w:t>
      </w:r>
      <w:r w:rsidRPr="008609D1">
        <w:t xml:space="preserve"> Televisión por Protocolo de Internet</w:t>
      </w:r>
    </w:p>
    <w:p w14:paraId="1526E583" w14:textId="77777777" w:rsidR="00193824" w:rsidRPr="008609D1" w:rsidRDefault="00193824" w:rsidP="00193824">
      <w:pPr>
        <w:pStyle w:val="Indentadoresolucin"/>
      </w:pPr>
      <w:r w:rsidRPr="008609D1">
        <w:rPr>
          <w:b/>
        </w:rPr>
        <w:t>LFCE:</w:t>
      </w:r>
      <w:r w:rsidRPr="008609D1">
        <w:t xml:space="preserve"> Ley Federal de Competencia Económica</w:t>
      </w:r>
    </w:p>
    <w:p w14:paraId="103FA0F8" w14:textId="77777777" w:rsidR="00193824" w:rsidRPr="008609D1" w:rsidRDefault="00193824" w:rsidP="00193824">
      <w:pPr>
        <w:pStyle w:val="Indentadoresolucin"/>
      </w:pPr>
      <w:r w:rsidRPr="008609D1">
        <w:rPr>
          <w:b/>
        </w:rPr>
        <w:t>LFTR:</w:t>
      </w:r>
      <w:r w:rsidRPr="008609D1">
        <w:t xml:space="preserve"> Ley Federal de Telecomunicaciones y Radiodifusión</w:t>
      </w:r>
    </w:p>
    <w:p w14:paraId="740EFD6B" w14:textId="77777777" w:rsidR="00193824" w:rsidRPr="008609D1" w:rsidRDefault="00193824" w:rsidP="00193824">
      <w:pPr>
        <w:pStyle w:val="Indentadoresolucin"/>
      </w:pPr>
      <w:r w:rsidRPr="008609D1">
        <w:rPr>
          <w:b/>
        </w:rPr>
        <w:t>MDF:</w:t>
      </w:r>
      <w:r w:rsidRPr="008609D1">
        <w:t xml:space="preserve"> Marco de Distribución Principal</w:t>
      </w:r>
    </w:p>
    <w:p w14:paraId="7E1CDBF7" w14:textId="77777777" w:rsidR="00193824" w:rsidRPr="008609D1" w:rsidRDefault="00193824" w:rsidP="00193824">
      <w:pPr>
        <w:pStyle w:val="Indentadoresolucin"/>
      </w:pPr>
      <w:r w:rsidRPr="008609D1">
        <w:rPr>
          <w:b/>
        </w:rPr>
        <w:t>NTP:</w:t>
      </w:r>
      <w:r w:rsidRPr="008609D1">
        <w:t xml:space="preserve"> Punto de Terminación de Red</w:t>
      </w:r>
    </w:p>
    <w:p w14:paraId="342F9ABA" w14:textId="77777777" w:rsidR="00193824" w:rsidRPr="008609D1" w:rsidRDefault="00193824" w:rsidP="00193824">
      <w:pPr>
        <w:pStyle w:val="Indentadoresolucin"/>
      </w:pPr>
      <w:r w:rsidRPr="008609D1">
        <w:rPr>
          <w:b/>
        </w:rPr>
        <w:t>ODF:</w:t>
      </w:r>
      <w:r w:rsidRPr="008609D1">
        <w:t xml:space="preserve"> Marco de Distribución Óptica</w:t>
      </w:r>
    </w:p>
    <w:p w14:paraId="214F9F20" w14:textId="77777777" w:rsidR="00193824" w:rsidRPr="008609D1" w:rsidRDefault="00193824" w:rsidP="00193824">
      <w:pPr>
        <w:pStyle w:val="Indentadoresolucin"/>
      </w:pPr>
      <w:r w:rsidRPr="008609D1">
        <w:rPr>
          <w:b/>
        </w:rPr>
        <w:t>RADIUS:</w:t>
      </w:r>
      <w:r w:rsidRPr="008609D1">
        <w:t xml:space="preserve"> Servicio de Usuario de Acceso Telefónico de Autenticación Remota</w:t>
      </w:r>
    </w:p>
    <w:p w14:paraId="06984208" w14:textId="77777777" w:rsidR="00193824" w:rsidRPr="008609D1" w:rsidRDefault="00193824" w:rsidP="00193824">
      <w:pPr>
        <w:pStyle w:val="Indentadoresolucin"/>
      </w:pPr>
      <w:r w:rsidRPr="008609D1">
        <w:rPr>
          <w:b/>
        </w:rPr>
        <w:t>RNC:</w:t>
      </w:r>
      <w:r w:rsidRPr="008609D1">
        <w:t xml:space="preserve"> Controlador de Red de Radio</w:t>
      </w:r>
    </w:p>
    <w:p w14:paraId="1A29D140" w14:textId="77777777" w:rsidR="00193824" w:rsidRPr="008609D1" w:rsidRDefault="00193824" w:rsidP="00193824">
      <w:pPr>
        <w:pStyle w:val="Indentadoresolucin"/>
      </w:pPr>
      <w:r w:rsidRPr="008609D1">
        <w:rPr>
          <w:b/>
        </w:rPr>
        <w:t>TDM:</w:t>
      </w:r>
      <w:r w:rsidRPr="008609D1">
        <w:t xml:space="preserve"> Multiplexación por División de Tiempo</w:t>
      </w:r>
    </w:p>
    <w:p w14:paraId="514D3B66" w14:textId="77777777" w:rsidR="00193824" w:rsidRPr="008609D1" w:rsidRDefault="00193824" w:rsidP="00193824">
      <w:pPr>
        <w:pStyle w:val="Indentadoresolucin"/>
      </w:pPr>
      <w:r w:rsidRPr="008609D1">
        <w:rPr>
          <w:b/>
        </w:rPr>
        <w:t>WLR:</w:t>
      </w:r>
      <w:r w:rsidRPr="008609D1">
        <w:t xml:space="preserve"> Reventa Mayorista de Líneas</w:t>
      </w:r>
    </w:p>
    <w:p w14:paraId="1AEC85E8" w14:textId="77777777" w:rsidR="008F5C3A" w:rsidRPr="008609D1" w:rsidRDefault="008F5C3A" w:rsidP="006D334F">
      <w:pPr>
        <w:pStyle w:val="Indentadoresolucin"/>
        <w:numPr>
          <w:ilvl w:val="0"/>
          <w:numId w:val="0"/>
        </w:numPr>
      </w:pPr>
    </w:p>
    <w:p w14:paraId="7ED9E48D" w14:textId="77777777" w:rsidR="008F5C3A" w:rsidRPr="008609D1" w:rsidRDefault="008F5C3A" w:rsidP="006D334F">
      <w:pPr>
        <w:pStyle w:val="Indentadoresolucin"/>
        <w:numPr>
          <w:ilvl w:val="0"/>
          <w:numId w:val="0"/>
        </w:numPr>
        <w:ind w:left="1008"/>
      </w:pPr>
    </w:p>
    <w:p w14:paraId="0821FC2C" w14:textId="77777777" w:rsidR="008F5C3A" w:rsidRPr="008609D1" w:rsidRDefault="008F5C3A" w:rsidP="006D334F">
      <w:pPr>
        <w:pStyle w:val="Indentadoresolucin"/>
        <w:numPr>
          <w:ilvl w:val="0"/>
          <w:numId w:val="0"/>
        </w:numPr>
        <w:ind w:left="1008"/>
      </w:pPr>
    </w:p>
    <w:p w14:paraId="1AD3DCB5" w14:textId="77777777" w:rsidR="008F5C3A" w:rsidRPr="008609D1" w:rsidRDefault="008F5C3A" w:rsidP="008F5C3A">
      <w:pPr>
        <w:pStyle w:val="Ttulo2"/>
      </w:pPr>
      <w:bookmarkStart w:id="222" w:name="_Toc484022120"/>
      <w:r w:rsidRPr="008609D1">
        <w:lastRenderedPageBreak/>
        <w:t>Anexo 9.</w:t>
      </w:r>
      <w:bookmarkEnd w:id="222"/>
    </w:p>
    <w:p w14:paraId="4CC6D27C" w14:textId="77777777" w:rsidR="008F5C3A" w:rsidRPr="008609D1" w:rsidRDefault="008F5C3A" w:rsidP="008F5C3A">
      <w:pPr>
        <w:pStyle w:val="Ttulo1"/>
        <w:tabs>
          <w:tab w:val="center" w:pos="4419"/>
          <w:tab w:val="left" w:pos="5628"/>
        </w:tabs>
        <w:jc w:val="left"/>
      </w:pPr>
      <w:r w:rsidRPr="008609D1">
        <w:tab/>
      </w:r>
      <w:bookmarkStart w:id="223" w:name="_Toc484022121"/>
      <w:r w:rsidRPr="008609D1">
        <w:t>DEFINICIONES</w:t>
      </w:r>
      <w:bookmarkEnd w:id="223"/>
      <w:r w:rsidRPr="008609D1">
        <w:tab/>
      </w:r>
    </w:p>
    <w:p w14:paraId="0285CADF" w14:textId="77777777" w:rsidR="008F5C3A" w:rsidRPr="008609D1" w:rsidRDefault="008F5C3A" w:rsidP="008F5C3A">
      <w:pPr>
        <w:pStyle w:val="Normalresolucion"/>
      </w:pPr>
      <w:r w:rsidRPr="008609D1">
        <w:t>En el presente Anexo se detallan las definiciones empleadas a lo largo del documento.</w:t>
      </w:r>
    </w:p>
    <w:p w14:paraId="61C48F19" w14:textId="77777777" w:rsidR="008F5C3A" w:rsidRPr="008609D1" w:rsidRDefault="008F5C3A" w:rsidP="008F5C3A">
      <w:pPr>
        <w:pStyle w:val="Indentadoresolucin"/>
        <w:numPr>
          <w:ilvl w:val="0"/>
          <w:numId w:val="0"/>
        </w:numPr>
        <w:ind w:left="1008"/>
      </w:pPr>
    </w:p>
    <w:p w14:paraId="4CB293DE" w14:textId="77777777" w:rsidR="008F5C3A" w:rsidRPr="008609D1" w:rsidRDefault="008F5C3A" w:rsidP="008F5C3A">
      <w:pPr>
        <w:pStyle w:val="Indentadoresolucin"/>
      </w:pPr>
      <w:r w:rsidRPr="008609D1">
        <w:rPr>
          <w:b/>
          <w:bCs/>
        </w:rPr>
        <w:t>Canal de programación</w:t>
      </w:r>
      <w:r w:rsidRPr="008609D1">
        <w:t>: Organización secuencial en el tiempo de contenidos audiovisuales, puesta a disposición de la audiencia, bajo la responsabilidad de una misma persona y dotada de identidad e imagen propias y que es susceptible de distribuirse a través de un canal de radiodifusión.</w:t>
      </w:r>
    </w:p>
    <w:p w14:paraId="79DF77B3" w14:textId="77777777" w:rsidR="008F5C3A" w:rsidRPr="008609D1" w:rsidRDefault="008F5C3A" w:rsidP="008F5C3A">
      <w:pPr>
        <w:pStyle w:val="Indentadoresolucin"/>
      </w:pPr>
      <w:r w:rsidRPr="008609D1">
        <w:rPr>
          <w:b/>
        </w:rPr>
        <w:t>Contabilidad de Costos Actuales.</w:t>
      </w:r>
      <w:r w:rsidRPr="008609D1">
        <w:t xml:space="preserve"> Hace referencia a la revalorización de los activos con el objetivo de reflejar el costo que un nuevo concesionario entrante en el mercado debería afrontar en la actualidad para construir una red equivalente a la del concesionario sobre el que recae la obligación de separación contable. Esta aproximación permite reflejar el valor actual de los activos en el mercado en que opera la empresa, bajo condiciones de mercado competitivas, considerando los equipos disponibles más ventajosos en términos económicos.</w:t>
      </w:r>
    </w:p>
    <w:p w14:paraId="0CFFF5E2" w14:textId="77777777" w:rsidR="008F5C3A" w:rsidRPr="008609D1" w:rsidRDefault="008F5C3A" w:rsidP="008F5C3A">
      <w:pPr>
        <w:pStyle w:val="Indentadoresolucin"/>
      </w:pPr>
      <w:r w:rsidRPr="008609D1">
        <w:rPr>
          <w:b/>
        </w:rPr>
        <w:t>Contabilidad de Costos Históricos.</w:t>
      </w:r>
      <w:r w:rsidRPr="008609D1">
        <w:t xml:space="preserve"> Se basa en el reconocimiento de los costos reales de adquisición de los activos, según se refleja en sus órdenes de compra originales, en la construcción de la base de costos aplicable. La información alcanzada mediante el estándar de costos históricos permite comprender los costos de prestación de los servicios en los que está incurriendo un concesionario.</w:t>
      </w:r>
    </w:p>
    <w:p w14:paraId="52888949" w14:textId="77777777" w:rsidR="008F5C3A" w:rsidRPr="008609D1" w:rsidRDefault="008F5C3A" w:rsidP="008F5C3A">
      <w:pPr>
        <w:pStyle w:val="Indentadoresolucin"/>
      </w:pPr>
      <w:r w:rsidRPr="008609D1">
        <w:rPr>
          <w:b/>
          <w:bCs/>
        </w:rPr>
        <w:t>Concesionario</w:t>
      </w:r>
      <w:r w:rsidRPr="008609D1">
        <w:t>: Persona física o moral, titular de una concesión de las previstas en la Ley.</w:t>
      </w:r>
    </w:p>
    <w:p w14:paraId="5B079979" w14:textId="11246836" w:rsidR="008F5C3A" w:rsidRPr="008609D1" w:rsidRDefault="008F5C3A" w:rsidP="008F5C3A">
      <w:pPr>
        <w:pStyle w:val="Indentadoresolucin"/>
      </w:pPr>
      <w:r w:rsidRPr="008609D1">
        <w:rPr>
          <w:b/>
        </w:rPr>
        <w:t xml:space="preserve">Informe de Gestión o Administración. </w:t>
      </w:r>
      <w:r w:rsidRPr="008609D1">
        <w:t>Informe que incluye las actividades de gestión</w:t>
      </w:r>
      <w:r w:rsidR="000A13A0">
        <w:t xml:space="preserve"> y</w:t>
      </w:r>
      <w:r w:rsidRPr="008609D1">
        <w:t xml:space="preserve"> administración que ha efectuado durante un período de tiempo </w:t>
      </w:r>
      <w:r w:rsidR="003658E1">
        <w:t>una</w:t>
      </w:r>
      <w:r w:rsidR="003658E1" w:rsidRPr="008609D1">
        <w:t xml:space="preserve"> </w:t>
      </w:r>
      <w:r w:rsidRPr="008609D1">
        <w:t>empresa.</w:t>
      </w:r>
    </w:p>
    <w:p w14:paraId="4D979CA2" w14:textId="77777777" w:rsidR="008F5C3A" w:rsidRPr="008609D1" w:rsidRDefault="008F5C3A" w:rsidP="008F5C3A">
      <w:pPr>
        <w:pStyle w:val="Indentadoresolucin"/>
      </w:pPr>
      <w:r w:rsidRPr="008609D1">
        <w:rPr>
          <w:b/>
          <w:bCs/>
        </w:rPr>
        <w:t>Infraestructura activa</w:t>
      </w:r>
      <w:r w:rsidRPr="008609D1">
        <w:t>: Elementos de las redes de telecomunicaciones o radiodifusión que almacenan, emiten, procesan, reciben o transmiten escritos, imágenes, sonidos, señales, signos o información de cualquier naturaleza.</w:t>
      </w:r>
    </w:p>
    <w:p w14:paraId="4C60DF59" w14:textId="77777777" w:rsidR="008F5C3A" w:rsidRPr="008609D1" w:rsidRDefault="008F5C3A" w:rsidP="008F5C3A">
      <w:pPr>
        <w:pStyle w:val="Indentadoresolucin"/>
      </w:pPr>
      <w:r w:rsidRPr="008609D1">
        <w:rPr>
          <w:b/>
          <w:bCs/>
        </w:rPr>
        <w:t>Infraestructura pasiva</w:t>
      </w:r>
      <w:r w:rsidRPr="008609D1">
        <w:t xml:space="preserve">: 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vía, que sean </w:t>
      </w:r>
      <w:r w:rsidRPr="008609D1">
        <w:lastRenderedPageBreak/>
        <w:t>necesarios para la instalación y operación de las redes, así como para la prestación de servicios de telecomunicaciones y radiodifusión.</w:t>
      </w:r>
    </w:p>
    <w:p w14:paraId="3B6533C5" w14:textId="77777777" w:rsidR="008F5C3A" w:rsidRPr="008609D1" w:rsidRDefault="008F5C3A" w:rsidP="008F5C3A">
      <w:pPr>
        <w:pStyle w:val="Indentadoresolucin"/>
      </w:pPr>
      <w:r w:rsidRPr="008609D1">
        <w:rPr>
          <w:b/>
          <w:bCs/>
        </w:rPr>
        <w:t>Instituto</w:t>
      </w:r>
      <w:r w:rsidRPr="008609D1">
        <w:t>: Instituto Federal de Telecomunicaciones.</w:t>
      </w:r>
    </w:p>
    <w:p w14:paraId="347FEF9F" w14:textId="77777777" w:rsidR="008F5C3A" w:rsidRPr="008609D1" w:rsidRDefault="008F5C3A" w:rsidP="008F5C3A">
      <w:pPr>
        <w:pStyle w:val="Indentadoresolucin"/>
        <w:rPr>
          <w:b/>
          <w:bCs/>
        </w:rPr>
      </w:pPr>
      <w:r w:rsidRPr="008609D1">
        <w:rPr>
          <w:b/>
          <w:bCs/>
        </w:rPr>
        <w:t xml:space="preserve">Multiprogramación: </w:t>
      </w:r>
      <w:r w:rsidRPr="008609D1">
        <w:t>Distribución de más de un canal de programación en el mismo canal de transmisión.</w:t>
      </w:r>
    </w:p>
    <w:p w14:paraId="2B18858C" w14:textId="77777777" w:rsidR="008F5C3A" w:rsidRPr="008609D1" w:rsidRDefault="008F5C3A" w:rsidP="008F5C3A">
      <w:pPr>
        <w:pStyle w:val="Indentadoresolucin"/>
      </w:pPr>
      <w:r w:rsidRPr="008609D1">
        <w:rPr>
          <w:b/>
          <w:bCs/>
        </w:rPr>
        <w:t>Neutralidad a la competencia</w:t>
      </w:r>
      <w:r w:rsidRPr="008609D1">
        <w:t>: Obligación del Estado de no generar distorsiones al mercado como consecuencia de la propiedad pública.</w:t>
      </w:r>
    </w:p>
    <w:p w14:paraId="66C81D14" w14:textId="77777777" w:rsidR="008F5C3A" w:rsidRPr="008609D1" w:rsidRDefault="008F5C3A" w:rsidP="008F5C3A">
      <w:pPr>
        <w:pStyle w:val="Indentadoresolucin"/>
      </w:pPr>
      <w:r w:rsidRPr="008609D1">
        <w:rPr>
          <w:b/>
          <w:bCs/>
        </w:rPr>
        <w:t>Preponderancia</w:t>
      </w:r>
      <w:r w:rsidRPr="008609D1">
        <w:t>: Calidad determinada por el Instituto de un agente económico en los términos del artículo 262 de la Ley Federal de Telecomunicaciones y Radiodifusión.</w:t>
      </w:r>
    </w:p>
    <w:p w14:paraId="26108493" w14:textId="77777777" w:rsidR="008F5C3A" w:rsidRPr="008609D1" w:rsidRDefault="008F5C3A" w:rsidP="008F5C3A">
      <w:pPr>
        <w:pStyle w:val="Indentadoresolucin"/>
      </w:pPr>
      <w:r w:rsidRPr="008609D1">
        <w:rPr>
          <w:b/>
          <w:bCs/>
        </w:rPr>
        <w:t>Radiodifusión</w:t>
      </w:r>
      <w:r w:rsidRPr="008609D1">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62BABBFD" w14:textId="77777777" w:rsidR="008F5C3A" w:rsidRPr="008609D1" w:rsidRDefault="008F5C3A" w:rsidP="008F5C3A">
      <w:pPr>
        <w:pStyle w:val="Indentadoresolucin"/>
      </w:pPr>
      <w:r w:rsidRPr="008609D1">
        <w:rPr>
          <w:b/>
          <w:bCs/>
        </w:rPr>
        <w:t>Red Compartida Mayorista</w:t>
      </w:r>
      <w:r w:rsidRPr="008609D1">
        <w:t>: Red pública de telecomunicaciones destinada exclusivamente a comercializar capacidad, infraestructura o servicios de telecomunicaciones al mayoreo a otros concesionarios o comercializadoras.</w:t>
      </w:r>
    </w:p>
    <w:p w14:paraId="30CAC8C8" w14:textId="77777777" w:rsidR="008F5C3A" w:rsidRPr="008609D1" w:rsidRDefault="008F5C3A" w:rsidP="008F5C3A">
      <w:pPr>
        <w:pStyle w:val="Indentadoresolucin"/>
      </w:pPr>
      <w:r w:rsidRPr="008609D1">
        <w:rPr>
          <w:b/>
          <w:bCs/>
        </w:rPr>
        <w:t>Red de telecomunicaciones</w:t>
      </w:r>
      <w:r w:rsidRPr="008609D1">
        <w:t>: Sistema integrado por medios de transmisión, tales como canales o circuitos que utilicen bandas de frecuencias del espectro radioeléctrico, enlaces satelitales, cableados, redes de transmisión eléctrica o cualquier otro medio de transmisión, así como, en su caso, centrales, dispositivos de conmutación o cualquier equipo necesario.</w:t>
      </w:r>
    </w:p>
    <w:p w14:paraId="6E855B66" w14:textId="77777777" w:rsidR="008F5C3A" w:rsidRPr="008609D1" w:rsidRDefault="008F5C3A" w:rsidP="008F5C3A">
      <w:pPr>
        <w:pStyle w:val="Indentadoresolucin"/>
      </w:pPr>
      <w:r w:rsidRPr="008609D1">
        <w:rPr>
          <w:b/>
          <w:bCs/>
        </w:rPr>
        <w:t>Red pública de telecomunicaciones</w:t>
      </w:r>
      <w:r w:rsidRPr="008609D1">
        <w:t>: 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p>
    <w:p w14:paraId="0D10417B" w14:textId="77777777" w:rsidR="008F5C3A" w:rsidRPr="008609D1" w:rsidRDefault="008F5C3A" w:rsidP="008F5C3A">
      <w:pPr>
        <w:pStyle w:val="Indentadoresolucin"/>
      </w:pPr>
      <w:r w:rsidRPr="008609D1">
        <w:rPr>
          <w:b/>
          <w:bCs/>
        </w:rPr>
        <w:t>Satélite</w:t>
      </w:r>
      <w:r w:rsidRPr="008609D1">
        <w:t>: Objeto colocado en una órbita satelital, provisto de una estación espacial con sus frecuencias asociadas que le permite recibir, transmitir o retransmitir señales de radiocomunicación desde o hacia estaciones terrenas u otros satélites.</w:t>
      </w:r>
    </w:p>
    <w:p w14:paraId="43ACD50A" w14:textId="77777777" w:rsidR="008F5C3A" w:rsidRPr="008609D1" w:rsidRDefault="008F5C3A" w:rsidP="008F5C3A">
      <w:pPr>
        <w:pStyle w:val="Indentadoresolucin"/>
      </w:pPr>
      <w:r w:rsidRPr="008609D1">
        <w:rPr>
          <w:b/>
          <w:bCs/>
        </w:rPr>
        <w:t>Servicio de usuario visitante</w:t>
      </w:r>
      <w:r w:rsidRPr="008609D1">
        <w:t>: El servicio a través del cual los usuarios de una red pública de telecomunicaciones de servicio local móvil, pueden originar o recibir comunicaciones de voz o datos a través de la infraestructura de acceso de otro concesionario de red pública de telecomunicaciones del servicio local móvil, sin necesidad de realizar algún procedimiento adicional, al tratarse de usuarios de otra región local móvil o al estar fuera de la zona de cobertura de su proveedor de servicios móviles.</w:t>
      </w:r>
    </w:p>
    <w:p w14:paraId="5875B3CD" w14:textId="77777777" w:rsidR="008F5C3A" w:rsidRPr="008609D1" w:rsidRDefault="008F5C3A" w:rsidP="008F5C3A">
      <w:pPr>
        <w:pStyle w:val="Indentadoresolucin"/>
      </w:pPr>
      <w:r w:rsidRPr="008609D1">
        <w:rPr>
          <w:b/>
          <w:bCs/>
        </w:rPr>
        <w:lastRenderedPageBreak/>
        <w:t>Telecomunicaciones</w:t>
      </w:r>
      <w:r w:rsidRPr="008609D1">
        <w:t>: Toda emisión, transmisión o recepción de signos, señales, datos, escritos, imágenes, voz, sonidos o información de cualquier naturaleza que se efectúa a través de hilos, radioelectricidad, medios ópticos, físicos u otros sistemas electromagnéticos, sin incluir la radiodifusión.</w:t>
      </w:r>
    </w:p>
    <w:p w14:paraId="367FB124" w14:textId="77777777" w:rsidR="008F5C3A" w:rsidRPr="008609D1" w:rsidRDefault="008F5C3A" w:rsidP="008F5C3A">
      <w:pPr>
        <w:pStyle w:val="Indentadoresolucin"/>
      </w:pPr>
      <w:r w:rsidRPr="008609D1">
        <w:rPr>
          <w:b/>
          <w:bCs/>
        </w:rPr>
        <w:t>Usuario final</w:t>
      </w:r>
      <w:r w:rsidRPr="008609D1">
        <w:t>: Persona física o moral que utiliza un servicio de telecomunicaciones como destinatario final.</w:t>
      </w:r>
    </w:p>
    <w:p w14:paraId="5BBB7A9B" w14:textId="77777777" w:rsidR="008F5C3A" w:rsidRPr="0052094D" w:rsidRDefault="008F5C3A" w:rsidP="008F5C3A">
      <w:pPr>
        <w:pStyle w:val="Indentadoresolucin"/>
        <w:numPr>
          <w:ilvl w:val="0"/>
          <w:numId w:val="0"/>
        </w:numPr>
        <w:ind w:left="1008" w:hanging="360"/>
      </w:pPr>
    </w:p>
    <w:p w14:paraId="425B85EB" w14:textId="5A16D098" w:rsidR="005039F1" w:rsidRDefault="005039F1">
      <w:pPr>
        <w:rPr>
          <w:rFonts w:ascii="ITC Avant Garde" w:hAnsi="ITC Avant Garde"/>
          <w:b/>
        </w:rPr>
      </w:pPr>
    </w:p>
    <w:sectPr w:rsidR="005039F1" w:rsidSect="007304F5">
      <w:headerReference w:type="even" r:id="rId19"/>
      <w:headerReference w:type="default" r:id="rId20"/>
      <w:footerReference w:type="default" r:id="rId21"/>
      <w:headerReference w:type="first" r:id="rId22"/>
      <w:pgSz w:w="12240" w:h="15840"/>
      <w:pgMar w:top="1417" w:right="1701" w:bottom="1417" w:left="1701"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D75F1" w14:textId="77777777" w:rsidR="00D14505" w:rsidRDefault="00D14505" w:rsidP="001D2142">
      <w:pPr>
        <w:spacing w:after="0" w:line="240" w:lineRule="auto"/>
      </w:pPr>
      <w:r>
        <w:separator/>
      </w:r>
    </w:p>
  </w:endnote>
  <w:endnote w:type="continuationSeparator" w:id="0">
    <w:p w14:paraId="45AFDC0F" w14:textId="77777777" w:rsidR="00D14505" w:rsidRDefault="00D14505" w:rsidP="001D2142">
      <w:pPr>
        <w:spacing w:after="0" w:line="240" w:lineRule="auto"/>
      </w:pPr>
      <w:r>
        <w:continuationSeparator/>
      </w:r>
    </w:p>
  </w:endnote>
  <w:endnote w:type="continuationNotice" w:id="1">
    <w:p w14:paraId="5D28C0CC" w14:textId="77777777" w:rsidR="00D14505" w:rsidRDefault="00D14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00000003" w:usb1="00000000" w:usb2="00000000" w:usb3="00000000" w:csb0="00000001" w:csb1="00000000"/>
  </w:font>
  <w:font w:name="ITC Avant Garde Gothic">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ED43" w14:textId="77777777" w:rsidR="00D43F23" w:rsidRDefault="00D43F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rPr>
      <w:id w:val="1906487066"/>
      <w:docPartObj>
        <w:docPartGallery w:val="Page Numbers (Bottom of Page)"/>
        <w:docPartUnique/>
      </w:docPartObj>
    </w:sdtPr>
    <w:sdtContent>
      <w:sdt>
        <w:sdtPr>
          <w:rPr>
            <w:rFonts w:ascii="ITC Avant Garde" w:eastAsia="Calibri" w:hAnsi="ITC Avant Garde" w:cs="Arial"/>
          </w:rPr>
          <w:id w:val="-733241323"/>
          <w:docPartObj>
            <w:docPartGallery w:val="Page Numbers (Top of Page)"/>
            <w:docPartUnique/>
          </w:docPartObj>
        </w:sdtPr>
        <w:sdtContent>
          <w:p w14:paraId="230BE743" w14:textId="77777777" w:rsidR="00970710" w:rsidRDefault="00970710" w:rsidP="00AB140D">
            <w:pPr>
              <w:tabs>
                <w:tab w:val="center" w:pos="4419"/>
                <w:tab w:val="right" w:pos="8838"/>
              </w:tabs>
              <w:spacing w:after="0" w:line="240" w:lineRule="auto"/>
              <w:jc w:val="right"/>
              <w:rPr>
                <w:rFonts w:ascii="ITC Avant Garde" w:eastAsia="Calibri" w:hAnsi="ITC Avant Garde" w:cs="Arial"/>
              </w:rPr>
            </w:pPr>
          </w:p>
          <w:p w14:paraId="1AB3BC86" w14:textId="77777777" w:rsidR="00970710" w:rsidRPr="00464E49" w:rsidRDefault="00970710" w:rsidP="00464E49">
            <w:pPr>
              <w:tabs>
                <w:tab w:val="center" w:pos="4419"/>
                <w:tab w:val="right" w:pos="8838"/>
              </w:tabs>
              <w:spacing w:after="0" w:line="240" w:lineRule="auto"/>
              <w:jc w:val="right"/>
              <w:rPr>
                <w:rFonts w:ascii="ITC Avant Garde" w:hAnsi="ITC Avant Garde"/>
              </w:rPr>
            </w:pP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PAGE</w:instrText>
            </w:r>
            <w:r w:rsidRPr="00625A2E">
              <w:rPr>
                <w:rFonts w:ascii="ITC Avant Garde" w:eastAsia="Calibri" w:hAnsi="ITC Avant Garde" w:cs="Arial"/>
                <w:b/>
                <w:bCs/>
                <w:szCs w:val="24"/>
              </w:rPr>
              <w:fldChar w:fldCharType="separate"/>
            </w:r>
            <w:r w:rsidR="00FA4D4D">
              <w:rPr>
                <w:rFonts w:ascii="ITC Avant Garde" w:eastAsia="Calibri" w:hAnsi="ITC Avant Garde" w:cs="Arial"/>
                <w:b/>
                <w:bCs/>
                <w:noProof/>
                <w:sz w:val="20"/>
              </w:rPr>
              <w:t>89</w:t>
            </w:r>
            <w:r w:rsidRPr="00625A2E">
              <w:rPr>
                <w:rFonts w:ascii="ITC Avant Garde" w:eastAsia="Calibri" w:hAnsi="ITC Avant Garde" w:cs="Arial"/>
                <w:b/>
                <w:bCs/>
                <w:szCs w:val="24"/>
              </w:rPr>
              <w:fldChar w:fldCharType="end"/>
            </w:r>
            <w:r w:rsidRPr="00625A2E">
              <w:rPr>
                <w:rFonts w:ascii="ITC Avant Garde" w:eastAsia="Calibri" w:hAnsi="ITC Avant Garde" w:cs="Arial"/>
                <w:sz w:val="20"/>
                <w:lang w:val="es-ES"/>
              </w:rPr>
              <w:t xml:space="preserve"> de </w:t>
            </w: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NUMPAGES</w:instrText>
            </w:r>
            <w:r w:rsidRPr="00625A2E">
              <w:rPr>
                <w:rFonts w:ascii="ITC Avant Garde" w:eastAsia="Calibri" w:hAnsi="ITC Avant Garde" w:cs="Arial"/>
                <w:b/>
                <w:bCs/>
                <w:szCs w:val="24"/>
              </w:rPr>
              <w:fldChar w:fldCharType="separate"/>
            </w:r>
            <w:r w:rsidR="00FA4D4D">
              <w:rPr>
                <w:rFonts w:ascii="ITC Avant Garde" w:eastAsia="Calibri" w:hAnsi="ITC Avant Garde" w:cs="Arial"/>
                <w:b/>
                <w:bCs/>
                <w:noProof/>
                <w:sz w:val="20"/>
              </w:rPr>
              <w:t>116</w:t>
            </w:r>
            <w:r w:rsidRPr="00625A2E">
              <w:rPr>
                <w:rFonts w:ascii="ITC Avant Garde" w:eastAsia="Calibri" w:hAnsi="ITC Avant Garde" w:cs="Arial"/>
                <w:b/>
                <w:bCs/>
                <w:szCs w:val="24"/>
              </w:rPr>
              <w:fldChar w:fldCharType="end"/>
            </w:r>
          </w:p>
        </w:sdtContent>
      </w:sdt>
    </w:sdtContent>
  </w:sdt>
  <w:p w14:paraId="7C542995" w14:textId="77777777" w:rsidR="00970710" w:rsidRDefault="00970710" w:rsidP="00464E49">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056803"/>
      <w:docPartObj>
        <w:docPartGallery w:val="Page Numbers (Bottom of Page)"/>
        <w:docPartUnique/>
      </w:docPartObj>
    </w:sdtPr>
    <w:sdtEndPr>
      <w:rPr>
        <w:noProof/>
      </w:rPr>
    </w:sdtEndPr>
    <w:sdtContent>
      <w:sdt>
        <w:sdtPr>
          <w:rPr>
            <w:rFonts w:ascii="ITC Avant Garde" w:eastAsia="Calibri" w:hAnsi="ITC Avant Garde" w:cs="Arial"/>
          </w:rPr>
          <w:id w:val="-1410157617"/>
          <w:docPartObj>
            <w:docPartGallery w:val="Page Numbers (Bottom of Page)"/>
            <w:docPartUnique/>
          </w:docPartObj>
        </w:sdtPr>
        <w:sdtContent>
          <w:sdt>
            <w:sdtPr>
              <w:rPr>
                <w:rFonts w:ascii="ITC Avant Garde" w:eastAsia="Calibri" w:hAnsi="ITC Avant Garde" w:cs="Arial"/>
              </w:rPr>
              <w:id w:val="1777980755"/>
              <w:docPartObj>
                <w:docPartGallery w:val="Page Numbers (Top of Page)"/>
                <w:docPartUnique/>
              </w:docPartObj>
            </w:sdtPr>
            <w:sdtContent>
              <w:p w14:paraId="0B3C3503" w14:textId="77777777" w:rsidR="00970710" w:rsidRDefault="00970710">
                <w:pPr>
                  <w:tabs>
                    <w:tab w:val="center" w:pos="4419"/>
                    <w:tab w:val="right" w:pos="8838"/>
                  </w:tabs>
                  <w:spacing w:after="0" w:line="240" w:lineRule="auto"/>
                  <w:jc w:val="right"/>
                  <w:rPr>
                    <w:rFonts w:ascii="ITC Avant Garde" w:eastAsia="Calibri" w:hAnsi="ITC Avant Garde" w:cs="Arial"/>
                  </w:rPr>
                </w:pPr>
              </w:p>
              <w:p w14:paraId="1FCA7A60" w14:textId="77777777" w:rsidR="00970710" w:rsidRPr="00625A2E" w:rsidRDefault="00970710" w:rsidP="00AB140D">
                <w:pPr>
                  <w:tabs>
                    <w:tab w:val="center" w:pos="4419"/>
                    <w:tab w:val="right" w:pos="8838"/>
                  </w:tabs>
                  <w:spacing w:after="0" w:line="240" w:lineRule="auto"/>
                  <w:jc w:val="right"/>
                  <w:rPr>
                    <w:rFonts w:ascii="ITC Avant Garde" w:eastAsia="Calibri" w:hAnsi="ITC Avant Garde" w:cs="Arial"/>
                  </w:rPr>
                </w:pP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PAGE</w:instrText>
                </w:r>
                <w:r w:rsidRPr="00625A2E">
                  <w:rPr>
                    <w:rFonts w:ascii="ITC Avant Garde" w:eastAsia="Calibri" w:hAnsi="ITC Avant Garde" w:cs="Arial"/>
                    <w:b/>
                    <w:bCs/>
                    <w:szCs w:val="24"/>
                  </w:rPr>
                  <w:fldChar w:fldCharType="separate"/>
                </w:r>
                <w:r w:rsidR="00FA4D4D">
                  <w:rPr>
                    <w:rFonts w:ascii="ITC Avant Garde" w:eastAsia="Calibri" w:hAnsi="ITC Avant Garde" w:cs="Arial"/>
                    <w:b/>
                    <w:bCs/>
                    <w:noProof/>
                    <w:sz w:val="20"/>
                  </w:rPr>
                  <w:t>90</w:t>
                </w:r>
                <w:r w:rsidRPr="00625A2E">
                  <w:rPr>
                    <w:rFonts w:ascii="ITC Avant Garde" w:eastAsia="Calibri" w:hAnsi="ITC Avant Garde" w:cs="Arial"/>
                    <w:b/>
                    <w:bCs/>
                    <w:szCs w:val="24"/>
                  </w:rPr>
                  <w:fldChar w:fldCharType="end"/>
                </w:r>
                <w:r w:rsidRPr="00625A2E">
                  <w:rPr>
                    <w:rFonts w:ascii="ITC Avant Garde" w:eastAsia="Calibri" w:hAnsi="ITC Avant Garde" w:cs="Arial"/>
                    <w:sz w:val="20"/>
                    <w:lang w:val="es-ES"/>
                  </w:rPr>
                  <w:t xml:space="preserve"> de </w:t>
                </w: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NUMPAGES</w:instrText>
                </w:r>
                <w:r w:rsidRPr="00625A2E">
                  <w:rPr>
                    <w:rFonts w:ascii="ITC Avant Garde" w:eastAsia="Calibri" w:hAnsi="ITC Avant Garde" w:cs="Arial"/>
                    <w:b/>
                    <w:bCs/>
                    <w:szCs w:val="24"/>
                  </w:rPr>
                  <w:fldChar w:fldCharType="separate"/>
                </w:r>
                <w:r w:rsidR="00FA4D4D">
                  <w:rPr>
                    <w:rFonts w:ascii="ITC Avant Garde" w:eastAsia="Calibri" w:hAnsi="ITC Avant Garde" w:cs="Arial"/>
                    <w:b/>
                    <w:bCs/>
                    <w:noProof/>
                    <w:sz w:val="20"/>
                  </w:rPr>
                  <w:t>116</w:t>
                </w:r>
                <w:r w:rsidRPr="00625A2E">
                  <w:rPr>
                    <w:rFonts w:ascii="ITC Avant Garde" w:eastAsia="Calibri" w:hAnsi="ITC Avant Garde" w:cs="Arial"/>
                    <w:b/>
                    <w:bCs/>
                    <w:szCs w:val="24"/>
                  </w:rPr>
                  <w:fldChar w:fldCharType="end"/>
                </w:r>
              </w:p>
            </w:sdtContent>
          </w:sdt>
        </w:sdtContent>
      </w:sdt>
      <w:p w14:paraId="35C576E3" w14:textId="77777777" w:rsidR="00970710" w:rsidRDefault="00970710" w:rsidP="00464E49">
        <w:pPr>
          <w:pStyle w:val="Piedepgina"/>
        </w:pPr>
      </w:p>
    </w:sdtContent>
  </w:sdt>
  <w:p w14:paraId="736EBD46" w14:textId="77777777" w:rsidR="00970710" w:rsidRDefault="0097071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eastAsia="Calibri" w:hAnsi="ITC Avant Garde" w:cs="Arial"/>
      </w:rPr>
      <w:id w:val="-790903392"/>
      <w:docPartObj>
        <w:docPartGallery w:val="Page Numbers (Bottom of Page)"/>
        <w:docPartUnique/>
      </w:docPartObj>
    </w:sdtPr>
    <w:sdtContent>
      <w:sdt>
        <w:sdtPr>
          <w:rPr>
            <w:rFonts w:ascii="ITC Avant Garde" w:eastAsia="Calibri" w:hAnsi="ITC Avant Garde" w:cs="Arial"/>
          </w:rPr>
          <w:id w:val="-1769616900"/>
          <w:docPartObj>
            <w:docPartGallery w:val="Page Numbers (Top of Page)"/>
            <w:docPartUnique/>
          </w:docPartObj>
        </w:sdtPr>
        <w:sdtContent>
          <w:p w14:paraId="74BA347E" w14:textId="77777777" w:rsidR="00970710" w:rsidRDefault="00970710" w:rsidP="00625A2E">
            <w:pPr>
              <w:tabs>
                <w:tab w:val="center" w:pos="4419"/>
                <w:tab w:val="right" w:pos="8838"/>
              </w:tabs>
              <w:spacing w:after="0" w:line="240" w:lineRule="auto"/>
              <w:jc w:val="right"/>
              <w:rPr>
                <w:rFonts w:ascii="ITC Avant Garde" w:eastAsia="Calibri" w:hAnsi="ITC Avant Garde" w:cs="Arial"/>
              </w:rPr>
            </w:pPr>
          </w:p>
          <w:p w14:paraId="267CB305" w14:textId="77777777" w:rsidR="00970710" w:rsidRPr="00625A2E" w:rsidRDefault="00970710" w:rsidP="00625A2E">
            <w:pPr>
              <w:tabs>
                <w:tab w:val="center" w:pos="4419"/>
                <w:tab w:val="right" w:pos="8838"/>
              </w:tabs>
              <w:spacing w:after="0" w:line="240" w:lineRule="auto"/>
              <w:jc w:val="right"/>
              <w:rPr>
                <w:rFonts w:ascii="ITC Avant Garde" w:eastAsia="Calibri" w:hAnsi="ITC Avant Garde" w:cs="Arial"/>
              </w:rPr>
            </w:pP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PAGE</w:instrText>
            </w:r>
            <w:r w:rsidRPr="00625A2E">
              <w:rPr>
                <w:rFonts w:ascii="ITC Avant Garde" w:eastAsia="Calibri" w:hAnsi="ITC Avant Garde" w:cs="Arial"/>
                <w:b/>
                <w:bCs/>
                <w:szCs w:val="24"/>
              </w:rPr>
              <w:fldChar w:fldCharType="separate"/>
            </w:r>
            <w:r w:rsidR="00FA4D4D">
              <w:rPr>
                <w:rFonts w:ascii="ITC Avant Garde" w:eastAsia="Calibri" w:hAnsi="ITC Avant Garde" w:cs="Arial"/>
                <w:b/>
                <w:bCs/>
                <w:noProof/>
                <w:sz w:val="20"/>
              </w:rPr>
              <w:t>114</w:t>
            </w:r>
            <w:r w:rsidRPr="00625A2E">
              <w:rPr>
                <w:rFonts w:ascii="ITC Avant Garde" w:eastAsia="Calibri" w:hAnsi="ITC Avant Garde" w:cs="Arial"/>
                <w:b/>
                <w:bCs/>
                <w:szCs w:val="24"/>
              </w:rPr>
              <w:fldChar w:fldCharType="end"/>
            </w:r>
            <w:r w:rsidRPr="00625A2E">
              <w:rPr>
                <w:rFonts w:ascii="ITC Avant Garde" w:eastAsia="Calibri" w:hAnsi="ITC Avant Garde" w:cs="Arial"/>
                <w:sz w:val="20"/>
                <w:lang w:val="es-ES"/>
              </w:rPr>
              <w:t xml:space="preserve"> de </w:t>
            </w: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NUMPAGES</w:instrText>
            </w:r>
            <w:r w:rsidRPr="00625A2E">
              <w:rPr>
                <w:rFonts w:ascii="ITC Avant Garde" w:eastAsia="Calibri" w:hAnsi="ITC Avant Garde" w:cs="Arial"/>
                <w:b/>
                <w:bCs/>
                <w:szCs w:val="24"/>
              </w:rPr>
              <w:fldChar w:fldCharType="separate"/>
            </w:r>
            <w:r w:rsidR="00FA4D4D">
              <w:rPr>
                <w:rFonts w:ascii="ITC Avant Garde" w:eastAsia="Calibri" w:hAnsi="ITC Avant Garde" w:cs="Arial"/>
                <w:b/>
                <w:bCs/>
                <w:noProof/>
                <w:sz w:val="20"/>
              </w:rPr>
              <w:t>116</w:t>
            </w:r>
            <w:r w:rsidRPr="00625A2E">
              <w:rPr>
                <w:rFonts w:ascii="ITC Avant Garde" w:eastAsia="Calibri" w:hAnsi="ITC Avant Garde" w:cs="Arial"/>
                <w:b/>
                <w:bCs/>
                <w:szCs w:val="24"/>
              </w:rPr>
              <w:fldChar w:fldCharType="end"/>
            </w:r>
          </w:p>
        </w:sdtContent>
      </w:sdt>
    </w:sdtContent>
  </w:sdt>
  <w:p w14:paraId="18EC9A5D" w14:textId="77777777" w:rsidR="00970710" w:rsidRPr="00625A2E" w:rsidRDefault="00970710" w:rsidP="00625A2E">
    <w:pPr>
      <w:tabs>
        <w:tab w:val="center" w:pos="4419"/>
        <w:tab w:val="right" w:pos="8838"/>
      </w:tabs>
      <w:spacing w:after="0" w:line="240" w:lineRule="auto"/>
      <w:jc w:val="both"/>
      <w:rPr>
        <w:rFonts w:ascii="ITC Avant Garde" w:eastAsia="Calibri" w:hAnsi="ITC Avant Garde" w:cs="Arial"/>
      </w:rPr>
    </w:pPr>
  </w:p>
  <w:p w14:paraId="47EAA991" w14:textId="77777777" w:rsidR="00970710" w:rsidRDefault="009707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9FBA" w14:textId="77777777" w:rsidR="00D14505" w:rsidRDefault="00D14505" w:rsidP="001D2142">
      <w:pPr>
        <w:spacing w:after="0" w:line="240" w:lineRule="auto"/>
      </w:pPr>
      <w:r>
        <w:separator/>
      </w:r>
    </w:p>
  </w:footnote>
  <w:footnote w:type="continuationSeparator" w:id="0">
    <w:p w14:paraId="627F1E6B" w14:textId="77777777" w:rsidR="00D14505" w:rsidRDefault="00D14505" w:rsidP="001D2142">
      <w:pPr>
        <w:spacing w:after="0" w:line="240" w:lineRule="auto"/>
      </w:pPr>
      <w:r>
        <w:continuationSeparator/>
      </w:r>
    </w:p>
  </w:footnote>
  <w:footnote w:type="continuationNotice" w:id="1">
    <w:p w14:paraId="4F158090" w14:textId="77777777" w:rsidR="00D14505" w:rsidRDefault="00D14505">
      <w:pPr>
        <w:spacing w:after="0" w:line="240" w:lineRule="auto"/>
      </w:pPr>
    </w:p>
  </w:footnote>
  <w:footnote w:id="2">
    <w:p w14:paraId="2A6064DC" w14:textId="77777777" w:rsidR="00970710" w:rsidRPr="0002498D" w:rsidRDefault="00970710" w:rsidP="0002498D">
      <w:pPr>
        <w:pStyle w:val="Textonotapie"/>
        <w:rPr>
          <w:rFonts w:ascii="ITC Avant Garde" w:hAnsi="ITC Avant Garde"/>
          <w:sz w:val="18"/>
          <w:szCs w:val="18"/>
          <w:lang w:val="en-US"/>
        </w:rPr>
      </w:pPr>
      <w:r w:rsidRPr="00B1598A">
        <w:rPr>
          <w:rStyle w:val="Refdenotaalpie"/>
          <w:rFonts w:ascii="ITC Avant Garde" w:hAnsi="ITC Avant Garde"/>
          <w:sz w:val="18"/>
          <w:szCs w:val="18"/>
        </w:rPr>
        <w:footnoteRef/>
      </w:r>
      <w:r w:rsidRPr="00B1598A">
        <w:rPr>
          <w:rFonts w:ascii="ITC Avant Garde" w:hAnsi="ITC Avant Garde"/>
          <w:sz w:val="18"/>
          <w:szCs w:val="18"/>
          <w:lang w:val="en-US"/>
        </w:rPr>
        <w:t xml:space="preserve"> </w:t>
      </w:r>
      <w:r w:rsidRPr="0002498D">
        <w:rPr>
          <w:rFonts w:ascii="ITC Avant Garde" w:hAnsi="ITC Avant Garde"/>
          <w:sz w:val="18"/>
          <w:szCs w:val="18"/>
          <w:lang w:val="en-US"/>
        </w:rPr>
        <w:t>UIT ICT-Eye portal, Key ICT Data &amp; Statistics, 20156.</w:t>
      </w:r>
    </w:p>
    <w:p w14:paraId="51F02BAD" w14:textId="0657043A" w:rsidR="00970710" w:rsidRPr="00AA11B1" w:rsidRDefault="00970710" w:rsidP="0002498D">
      <w:pPr>
        <w:pStyle w:val="Textonotapie"/>
        <w:rPr>
          <w:rFonts w:ascii="ITC Avant Garde Gothic" w:hAnsi="ITC Avant Garde Gothic"/>
          <w:sz w:val="18"/>
          <w:szCs w:val="18"/>
          <w:lang w:val="en-US"/>
        </w:rPr>
      </w:pPr>
      <w:r w:rsidRPr="0002498D">
        <w:rPr>
          <w:rFonts w:ascii="ITC Avant Garde" w:hAnsi="ITC Avant Garde"/>
          <w:sz w:val="18"/>
          <w:szCs w:val="18"/>
          <w:lang w:val="en-US"/>
        </w:rPr>
        <w:t>http://www.itu.int/net4/itu-d/icteye/FocusAreas.aspx?paramWorkArea=TARIFFPOLICIES</w:t>
      </w:r>
    </w:p>
  </w:footnote>
  <w:footnote w:id="3">
    <w:p w14:paraId="05C875A6" w14:textId="77777777" w:rsidR="00970710" w:rsidRPr="00B1598A" w:rsidRDefault="00970710" w:rsidP="00AE158F">
      <w:pPr>
        <w:pStyle w:val="Textonotapie"/>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Selección muestral de países en los que se ha implementado la Separación Contable.</w:t>
      </w:r>
    </w:p>
  </w:footnote>
  <w:footnote w:id="4">
    <w:p w14:paraId="62256EC5" w14:textId="77777777" w:rsidR="00970710" w:rsidRPr="00B1598A" w:rsidRDefault="00970710" w:rsidP="00A1321B">
      <w:pPr>
        <w:pStyle w:val="Textonotapie"/>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ANATEL, Resolución n.º 396, 31 de marzo de 2005, donde se aprueba el reglamento de separación y asignación de cuentas.</w:t>
      </w:r>
    </w:p>
  </w:footnote>
  <w:footnote w:id="5">
    <w:p w14:paraId="51177360" w14:textId="77777777" w:rsidR="00970710" w:rsidRPr="0052094D" w:rsidRDefault="00970710" w:rsidP="00A1321B">
      <w:pPr>
        <w:pStyle w:val="Textonotapie"/>
        <w:rPr>
          <w:rFonts w:ascii="ITC Avant Garde Gothic" w:hAnsi="ITC Avant Garde Gothic"/>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CRC, Resolución n.º 4577 de 2014, “</w:t>
      </w:r>
      <w:r w:rsidRPr="00B1598A">
        <w:rPr>
          <w:rFonts w:ascii="ITC Avant Garde" w:hAnsi="ITC Avant Garde"/>
          <w:i/>
          <w:iCs/>
          <w:sz w:val="18"/>
          <w:szCs w:val="18"/>
          <w:lang w:val="es-ES"/>
        </w:rPr>
        <w:t>por la cual se regulan los aspectos relacionados con la obligación de separación contable por parte de los Proveedores de Redes y Servicios de Telecomunicaciones y Operadores de televisión por suscripción y se dictan otras disposiciones</w:t>
      </w:r>
      <w:r w:rsidRPr="00B1598A">
        <w:rPr>
          <w:rFonts w:ascii="ITC Avant Garde" w:hAnsi="ITC Avant Garde"/>
          <w:sz w:val="18"/>
          <w:szCs w:val="18"/>
          <w:lang w:val="es-ES"/>
        </w:rPr>
        <w:t>”.</w:t>
      </w:r>
    </w:p>
  </w:footnote>
  <w:footnote w:id="6">
    <w:p w14:paraId="0BB214BA" w14:textId="77777777" w:rsidR="00970710" w:rsidRPr="00B1598A" w:rsidRDefault="00970710" w:rsidP="00A1321B">
      <w:pPr>
        <w:pStyle w:val="Textonotapie"/>
        <w:jc w:val="both"/>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SUTEL, Resolución n.º RCS-187-2014 de 2014, donde se aprueba el “</w:t>
      </w:r>
      <w:r w:rsidRPr="00B1598A">
        <w:rPr>
          <w:rFonts w:ascii="ITC Avant Garde" w:hAnsi="ITC Avant Garde"/>
          <w:i/>
          <w:iCs/>
          <w:sz w:val="18"/>
          <w:szCs w:val="18"/>
          <w:lang w:val="es-ES"/>
        </w:rPr>
        <w:t>Manual sobre la Metodología para la aplicación del Sistema de Contabilidad de Costos Separada (Contabilidad Regulatoria)</w:t>
      </w:r>
      <w:r w:rsidRPr="00B1598A">
        <w:rPr>
          <w:rFonts w:ascii="ITC Avant Garde" w:hAnsi="ITC Avant Garde"/>
          <w:sz w:val="18"/>
          <w:szCs w:val="18"/>
          <w:lang w:val="es-ES"/>
        </w:rPr>
        <w:t>”.</w:t>
      </w:r>
    </w:p>
  </w:footnote>
  <w:footnote w:id="7">
    <w:p w14:paraId="49D1D7CC" w14:textId="77777777" w:rsidR="00970710" w:rsidRPr="0052094D" w:rsidRDefault="00970710" w:rsidP="00A1321B">
      <w:pPr>
        <w:pStyle w:val="Textonotapie"/>
        <w:jc w:val="both"/>
        <w:rPr>
          <w:rFonts w:ascii="ITC Avant Garde Gothic" w:hAnsi="ITC Avant Garde Gothic"/>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CONATEL, Resolución de 2012, donde se emite la “</w:t>
      </w:r>
      <w:r w:rsidRPr="00B1598A">
        <w:rPr>
          <w:rFonts w:ascii="ITC Avant Garde" w:hAnsi="ITC Avant Garde"/>
          <w:i/>
          <w:iCs/>
          <w:sz w:val="18"/>
          <w:szCs w:val="18"/>
          <w:lang w:val="es-ES"/>
        </w:rPr>
        <w:t>Norma que regula la presentación de información en régimen de contabilidad separada para los prestadores de servicios de telecomunicaciones</w:t>
      </w:r>
      <w:r w:rsidRPr="00B1598A">
        <w:rPr>
          <w:rFonts w:ascii="ITC Avant Garde" w:hAnsi="ITC Avant Garde"/>
          <w:sz w:val="18"/>
          <w:szCs w:val="18"/>
          <w:lang w:val="es-ES"/>
        </w:rPr>
        <w:t>”.</w:t>
      </w:r>
    </w:p>
  </w:footnote>
  <w:footnote w:id="8">
    <w:p w14:paraId="125077BE" w14:textId="77777777" w:rsidR="00970710" w:rsidRPr="00B1598A" w:rsidRDefault="00970710" w:rsidP="00A1321B">
      <w:pPr>
        <w:pStyle w:val="Textonotapie"/>
        <w:jc w:val="both"/>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Aprobado en el Decreto Nº 84 y donde se establecen “</w:t>
      </w:r>
      <w:r w:rsidRPr="00B1598A">
        <w:rPr>
          <w:rFonts w:ascii="ITC Avant Garde" w:hAnsi="ITC Avant Garde"/>
          <w:i/>
          <w:iCs/>
          <w:sz w:val="18"/>
          <w:szCs w:val="18"/>
          <w:lang w:val="es-ES"/>
        </w:rPr>
        <w:t>los aspectos económicos y contables necesarios para el desarrollo del sistema contable que deberán llevar los operadores de servicios de telefonía fija y móvil</w:t>
      </w:r>
      <w:r w:rsidRPr="00B1598A">
        <w:rPr>
          <w:rFonts w:ascii="ITC Avant Garde" w:hAnsi="ITC Avant Garde"/>
          <w:sz w:val="18"/>
          <w:szCs w:val="18"/>
          <w:lang w:val="es-ES"/>
        </w:rPr>
        <w:t>” (Título IV – Contabilidad de costos para servicios de telefonía fija y móvil).</w:t>
      </w:r>
    </w:p>
  </w:footnote>
  <w:footnote w:id="9">
    <w:p w14:paraId="340E6434" w14:textId="77777777" w:rsidR="00970710" w:rsidRPr="0052094D" w:rsidRDefault="00970710" w:rsidP="00A1321B">
      <w:pPr>
        <w:pStyle w:val="Textonotapie"/>
        <w:jc w:val="both"/>
        <w:rPr>
          <w:rFonts w:ascii="ITC Avant Garde Gothic" w:hAnsi="ITC Avant Garde Gothic"/>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OSIPTEL, Resolución Nº 112-2014-CD/OSIPTEL, 8 de septiembre de 2014, que incluye el Instructivo General de Contabilidad Separada y Procedimiento de Aplicación/Aprobación.</w:t>
      </w:r>
    </w:p>
  </w:footnote>
  <w:footnote w:id="10">
    <w:p w14:paraId="2726F0DD" w14:textId="77777777" w:rsidR="00970710" w:rsidRPr="00B1598A" w:rsidRDefault="00970710" w:rsidP="00A1321B">
      <w:pPr>
        <w:pStyle w:val="Textonotapie"/>
        <w:jc w:val="both"/>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INDOTEL, Resolución Nº 228-06, 7 de diciembre de 2006, que aprueba el “</w:t>
      </w:r>
      <w:r w:rsidRPr="00B1598A">
        <w:rPr>
          <w:rFonts w:ascii="ITC Avant Garde" w:hAnsi="ITC Avant Garde"/>
          <w:i/>
          <w:iCs/>
          <w:sz w:val="18"/>
          <w:szCs w:val="18"/>
          <w:lang w:val="es-ES"/>
        </w:rPr>
        <w:t>Reglamento de Contabilidad Separada por Servicios</w:t>
      </w:r>
      <w:r w:rsidRPr="00B1598A">
        <w:rPr>
          <w:rFonts w:ascii="ITC Avant Garde" w:hAnsi="ITC Avant Garde"/>
          <w:sz w:val="18"/>
          <w:szCs w:val="18"/>
          <w:lang w:val="es-ES"/>
        </w:rPr>
        <w:t>”.</w:t>
      </w:r>
    </w:p>
  </w:footnote>
  <w:footnote w:id="11">
    <w:p w14:paraId="1BF31D30" w14:textId="77777777" w:rsidR="00970710" w:rsidRPr="00B1598A" w:rsidRDefault="00970710" w:rsidP="00A1321B">
      <w:pPr>
        <w:pStyle w:val="Textonotapie"/>
        <w:jc w:val="both"/>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URSEC, “</w:t>
      </w:r>
      <w:r w:rsidRPr="00B1598A">
        <w:rPr>
          <w:rFonts w:ascii="ITC Avant Garde" w:hAnsi="ITC Avant Garde"/>
          <w:i/>
          <w:iCs/>
          <w:sz w:val="18"/>
          <w:szCs w:val="18"/>
          <w:lang w:val="es-ES"/>
        </w:rPr>
        <w:t>Reglamento de contabilidad separada por servicios para el sector telecomunicaciones</w:t>
      </w:r>
      <w:r w:rsidRPr="00B1598A">
        <w:rPr>
          <w:rFonts w:ascii="ITC Avant Garde" w:hAnsi="ITC Avant Garde"/>
          <w:sz w:val="18"/>
          <w:szCs w:val="18"/>
          <w:lang w:val="es-ES"/>
        </w:rPr>
        <w:t>”:</w:t>
      </w:r>
      <w:r w:rsidRPr="00B1598A">
        <w:rPr>
          <w:rFonts w:ascii="ITC Avant Garde" w:hAnsi="ITC Avant Garde"/>
          <w:sz w:val="18"/>
          <w:szCs w:val="18"/>
          <w:lang w:val="es-ES"/>
        </w:rPr>
        <w:br/>
      </w:r>
      <w:hyperlink r:id="rId1" w:history="1">
        <w:r w:rsidRPr="00B1598A">
          <w:rPr>
            <w:rStyle w:val="Hipervnculo"/>
            <w:rFonts w:ascii="ITC Avant Garde" w:hAnsi="ITC Avant Garde"/>
            <w:color w:val="auto"/>
            <w:sz w:val="18"/>
            <w:szCs w:val="18"/>
            <w:u w:val="none"/>
            <w:lang w:val="es-ES"/>
          </w:rPr>
          <w:t>https://www.ursec.gub.uy/wps/wcm/connect/ursec/8eed19c8-e802-4808-ae87-ec9836457c9e/Reglamento+Contabilidad+Separada.pdf?MOD=AJPERES&amp;CONVERT_TO=url&amp;CACHEID=8eed19c8-e802-4808-ae87-ec9836457c9e</w:t>
        </w:r>
      </w:hyperlink>
      <w:r w:rsidRPr="00B1598A">
        <w:rPr>
          <w:rFonts w:ascii="ITC Avant Garde" w:hAnsi="ITC Avant Garde"/>
          <w:sz w:val="18"/>
          <w:szCs w:val="18"/>
          <w:lang w:val="es-ES"/>
        </w:rPr>
        <w:t xml:space="preserve"> </w:t>
      </w:r>
    </w:p>
  </w:footnote>
  <w:footnote w:id="12">
    <w:p w14:paraId="58B3782D" w14:textId="77777777" w:rsidR="00970710" w:rsidRPr="0052094D" w:rsidRDefault="00970710" w:rsidP="00A1321B">
      <w:pPr>
        <w:pStyle w:val="Textonotapie"/>
        <w:jc w:val="both"/>
        <w:rPr>
          <w:rFonts w:ascii="ITC Avant Garde Gothic" w:hAnsi="ITC Avant Garde Gothic"/>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CMT, Resolución AEM 2010/270, 10 de junio de 2010, donde se ha aprobado la “</w:t>
      </w:r>
      <w:r w:rsidRPr="00B1598A">
        <w:rPr>
          <w:rFonts w:ascii="ITC Avant Garde" w:hAnsi="ITC Avant Garde"/>
          <w:i/>
          <w:iCs/>
          <w:sz w:val="18"/>
          <w:szCs w:val="18"/>
          <w:lang w:val="es-ES"/>
        </w:rPr>
        <w:t>Resolución sobre la actualización de los principios, criterios y condiciones para el desarrollo del sistema de contabilidad de costes</w:t>
      </w:r>
      <w:r w:rsidRPr="00B1598A">
        <w:rPr>
          <w:rFonts w:ascii="ITC Avant Garde" w:hAnsi="ITC Avant Garde"/>
          <w:sz w:val="18"/>
          <w:szCs w:val="18"/>
          <w:lang w:val="es-ES"/>
        </w:rPr>
        <w:t>”.</w:t>
      </w:r>
      <w:r w:rsidRPr="000C0715">
        <w:rPr>
          <w:rFonts w:ascii="ITC Avant Garde Gothic" w:hAnsi="ITC Avant Garde Gothic"/>
          <w:sz w:val="18"/>
          <w:szCs w:val="18"/>
          <w:lang w:val="es-ES"/>
        </w:rPr>
        <w:t xml:space="preserve"> </w:t>
      </w:r>
    </w:p>
  </w:footnote>
  <w:footnote w:id="13">
    <w:p w14:paraId="781649F5" w14:textId="77777777" w:rsidR="00970710" w:rsidRPr="00B1598A" w:rsidRDefault="00970710" w:rsidP="00A1321B">
      <w:pPr>
        <w:pStyle w:val="Textonotapie"/>
        <w:jc w:val="both"/>
        <w:rPr>
          <w:rFonts w:ascii="ITC Avant Garde" w:hAnsi="ITC Avant Garde"/>
          <w:sz w:val="18"/>
          <w:szCs w:val="18"/>
          <w:lang w:val="en-GB"/>
        </w:rPr>
      </w:pPr>
      <w:r w:rsidRPr="00B1598A">
        <w:rPr>
          <w:rStyle w:val="Refdenotaalpie"/>
          <w:rFonts w:ascii="ITC Avant Garde" w:hAnsi="ITC Avant Garde"/>
          <w:sz w:val="18"/>
          <w:szCs w:val="18"/>
        </w:rPr>
        <w:footnoteRef/>
      </w:r>
      <w:r w:rsidRPr="00B1598A">
        <w:rPr>
          <w:rFonts w:ascii="ITC Avant Garde" w:hAnsi="ITC Avant Garde"/>
          <w:sz w:val="18"/>
          <w:szCs w:val="18"/>
          <w:lang w:val="en-GB"/>
        </w:rPr>
        <w:t xml:space="preserve"> Ofcom, “</w:t>
      </w:r>
      <w:r w:rsidRPr="00B1598A">
        <w:rPr>
          <w:rFonts w:ascii="ITC Avant Garde" w:hAnsi="ITC Avant Garde"/>
          <w:i/>
          <w:iCs/>
          <w:sz w:val="18"/>
          <w:szCs w:val="18"/>
          <w:lang w:val="en-GB"/>
        </w:rPr>
        <w:t>The regulatory financial reporting obligations on BT and Kingston Communications Final statement and notification</w:t>
      </w:r>
      <w:r w:rsidRPr="00B1598A">
        <w:rPr>
          <w:rFonts w:ascii="ITC Avant Garde" w:hAnsi="ITC Avant Garde"/>
          <w:sz w:val="18"/>
          <w:szCs w:val="18"/>
          <w:lang w:val="en-GB"/>
        </w:rPr>
        <w:t xml:space="preserve">”, 22 de </w:t>
      </w:r>
      <w:r>
        <w:rPr>
          <w:rFonts w:ascii="ITC Avant Garde" w:hAnsi="ITC Avant Garde"/>
          <w:sz w:val="18"/>
          <w:szCs w:val="18"/>
          <w:lang w:val="en-GB"/>
        </w:rPr>
        <w:t>j</w:t>
      </w:r>
      <w:r w:rsidRPr="00B1598A">
        <w:rPr>
          <w:rFonts w:ascii="ITC Avant Garde" w:hAnsi="ITC Avant Garde"/>
          <w:sz w:val="18"/>
          <w:szCs w:val="18"/>
          <w:lang w:val="en-GB"/>
        </w:rPr>
        <w:t xml:space="preserve">ulio de 2004. </w:t>
      </w:r>
    </w:p>
  </w:footnote>
  <w:footnote w:id="14">
    <w:p w14:paraId="0A2046A0" w14:textId="77777777" w:rsidR="00970710" w:rsidRPr="0052094D" w:rsidRDefault="00970710" w:rsidP="00A1321B">
      <w:pPr>
        <w:pStyle w:val="Textonotapie"/>
        <w:jc w:val="both"/>
        <w:rPr>
          <w:rFonts w:ascii="ITC Avant Garde Gothic" w:hAnsi="ITC Avant Garde Gothic"/>
          <w:sz w:val="18"/>
          <w:szCs w:val="18"/>
          <w:lang w:val="en-GB"/>
        </w:rPr>
      </w:pPr>
      <w:r w:rsidRPr="00B1598A">
        <w:rPr>
          <w:rStyle w:val="Refdenotaalpie"/>
          <w:rFonts w:ascii="ITC Avant Garde" w:hAnsi="ITC Avant Garde"/>
          <w:sz w:val="18"/>
          <w:szCs w:val="18"/>
        </w:rPr>
        <w:footnoteRef/>
      </w:r>
      <w:r w:rsidRPr="00B1598A">
        <w:rPr>
          <w:rFonts w:ascii="ITC Avant Garde" w:hAnsi="ITC Avant Garde"/>
          <w:sz w:val="18"/>
          <w:szCs w:val="18"/>
          <w:lang w:val="en-GB"/>
        </w:rPr>
        <w:t xml:space="preserve"> TRAI, “</w:t>
      </w:r>
      <w:r w:rsidRPr="00B1598A">
        <w:rPr>
          <w:rFonts w:ascii="ITC Avant Garde" w:hAnsi="ITC Avant Garde"/>
          <w:i/>
          <w:iCs/>
          <w:sz w:val="18"/>
          <w:szCs w:val="18"/>
          <w:lang w:val="en-GB"/>
        </w:rPr>
        <w:t>Guidelines for ‘the reporting system on accounting separation regulations, 2016 (5 of 2016)’</w:t>
      </w:r>
      <w:r w:rsidRPr="00B1598A">
        <w:rPr>
          <w:rFonts w:ascii="ITC Avant Garde" w:hAnsi="ITC Avant Garde"/>
          <w:sz w:val="18"/>
          <w:szCs w:val="18"/>
          <w:lang w:val="en-GB"/>
        </w:rPr>
        <w:t>”, 10 de junio de 2016.</w:t>
      </w:r>
      <w:r w:rsidRPr="0052094D">
        <w:rPr>
          <w:rFonts w:ascii="ITC Avant Garde Gothic" w:hAnsi="ITC Avant Garde Gothic"/>
          <w:sz w:val="18"/>
          <w:szCs w:val="18"/>
          <w:lang w:val="en-GB"/>
        </w:rPr>
        <w:t xml:space="preserve"> </w:t>
      </w:r>
    </w:p>
  </w:footnote>
  <w:footnote w:id="15">
    <w:p w14:paraId="13421D1A" w14:textId="77777777" w:rsidR="00970710" w:rsidRPr="00B1598A" w:rsidRDefault="00970710" w:rsidP="00A1321B">
      <w:pPr>
        <w:pStyle w:val="Textonotapie"/>
        <w:jc w:val="both"/>
        <w:rPr>
          <w:rFonts w:ascii="ITC Avant Garde" w:hAnsi="ITC Avant Garde"/>
          <w:sz w:val="18"/>
          <w:szCs w:val="18"/>
          <w:lang w:val="en-GB"/>
        </w:rPr>
      </w:pPr>
      <w:r w:rsidRPr="00B1598A">
        <w:rPr>
          <w:rStyle w:val="Refdenotaalpie"/>
          <w:rFonts w:ascii="ITC Avant Garde" w:hAnsi="ITC Avant Garde"/>
          <w:sz w:val="18"/>
          <w:szCs w:val="18"/>
        </w:rPr>
        <w:footnoteRef/>
      </w:r>
      <w:r w:rsidRPr="00B1598A">
        <w:rPr>
          <w:rFonts w:ascii="ITC Avant Garde" w:hAnsi="ITC Avant Garde"/>
          <w:sz w:val="18"/>
          <w:szCs w:val="18"/>
          <w:lang w:val="en-GB"/>
        </w:rPr>
        <w:t xml:space="preserve"> Info-Communications Development Authority of Singapore, “</w:t>
      </w:r>
      <w:r w:rsidRPr="00B1598A">
        <w:rPr>
          <w:rFonts w:ascii="ITC Avant Garde" w:hAnsi="ITC Avant Garde"/>
          <w:i/>
          <w:iCs/>
          <w:sz w:val="18"/>
          <w:szCs w:val="18"/>
          <w:lang w:val="en-GB"/>
        </w:rPr>
        <w:t>Accounting Separation Guidelines (Revised with effect from 24 December 2004)</w:t>
      </w:r>
      <w:r w:rsidRPr="00B1598A">
        <w:rPr>
          <w:rFonts w:ascii="ITC Avant Garde" w:hAnsi="ITC Avant Garde"/>
          <w:sz w:val="18"/>
          <w:szCs w:val="18"/>
          <w:lang w:val="en-GB"/>
        </w:rPr>
        <w:t>”:</w:t>
      </w:r>
    </w:p>
    <w:p w14:paraId="6A633207" w14:textId="77777777" w:rsidR="00970710" w:rsidRPr="00B1598A" w:rsidRDefault="00970710" w:rsidP="00A1321B">
      <w:pPr>
        <w:pStyle w:val="Textonotapie"/>
        <w:jc w:val="both"/>
        <w:rPr>
          <w:rFonts w:ascii="ITC Avant Garde" w:hAnsi="ITC Avant Garde"/>
          <w:sz w:val="18"/>
          <w:szCs w:val="18"/>
          <w:lang w:val="en-GB"/>
        </w:rPr>
      </w:pPr>
      <w:hyperlink r:id="rId2" w:history="1">
        <w:r w:rsidRPr="00B1598A">
          <w:rPr>
            <w:rStyle w:val="Hipervnculo"/>
            <w:rFonts w:ascii="ITC Avant Garde" w:hAnsi="ITC Avant Garde"/>
            <w:color w:val="auto"/>
            <w:sz w:val="18"/>
            <w:szCs w:val="18"/>
            <w:u w:val="none"/>
            <w:lang w:val="en-GB"/>
          </w:rPr>
          <w:t>https://www.imda.gov.sg/~/media/imda/files/regulation%20licensing%20and%20consultations/codes%20of%20practice%20and%20guidelines/5%20revisedasg.pdf?la=en</w:t>
        </w:r>
      </w:hyperlink>
      <w:r w:rsidRPr="00B1598A">
        <w:rPr>
          <w:rFonts w:ascii="ITC Avant Garde" w:hAnsi="ITC Avant Garde"/>
          <w:sz w:val="18"/>
          <w:szCs w:val="18"/>
          <w:lang w:val="en-GB"/>
        </w:rPr>
        <w:t xml:space="preserve">  </w:t>
      </w:r>
    </w:p>
  </w:footnote>
  <w:footnote w:id="16">
    <w:p w14:paraId="7A833099" w14:textId="77777777" w:rsidR="00970710" w:rsidRPr="00B1598A" w:rsidRDefault="00970710" w:rsidP="00A1321B">
      <w:pPr>
        <w:pStyle w:val="Textonotapie"/>
        <w:jc w:val="both"/>
        <w:rPr>
          <w:rFonts w:ascii="ITC Avant Garde" w:hAnsi="ITC Avant Garde"/>
          <w:sz w:val="18"/>
          <w:szCs w:val="18"/>
          <w:lang w:val="en-GB"/>
        </w:rPr>
      </w:pPr>
      <w:r w:rsidRPr="00B1598A">
        <w:rPr>
          <w:rStyle w:val="Refdenotaalpie"/>
          <w:rFonts w:ascii="ITC Avant Garde" w:hAnsi="ITC Avant Garde"/>
          <w:sz w:val="18"/>
          <w:szCs w:val="18"/>
        </w:rPr>
        <w:footnoteRef/>
      </w:r>
      <w:r w:rsidRPr="00B1598A">
        <w:rPr>
          <w:rFonts w:ascii="ITC Avant Garde" w:hAnsi="ITC Avant Garde"/>
          <w:sz w:val="18"/>
          <w:szCs w:val="18"/>
          <w:lang w:val="en-GB"/>
        </w:rPr>
        <w:t xml:space="preserve"> CITC, “</w:t>
      </w:r>
      <w:r w:rsidRPr="00B1598A">
        <w:rPr>
          <w:rFonts w:ascii="ITC Avant Garde" w:hAnsi="ITC Avant Garde"/>
          <w:i/>
          <w:iCs/>
          <w:sz w:val="18"/>
          <w:szCs w:val="18"/>
          <w:lang w:val="en-GB"/>
        </w:rPr>
        <w:t>Accounting Separation Regulatory Framework and Guidelines</w:t>
      </w:r>
      <w:r w:rsidRPr="00B1598A">
        <w:rPr>
          <w:rFonts w:ascii="ITC Avant Garde" w:hAnsi="ITC Avant Garde"/>
          <w:sz w:val="18"/>
          <w:szCs w:val="18"/>
          <w:lang w:val="en-GB"/>
        </w:rPr>
        <w:t>”, 23 de junio de 2010 (Consulta Pública):</w:t>
      </w:r>
    </w:p>
    <w:p w14:paraId="15EC59AB" w14:textId="77777777" w:rsidR="00970710" w:rsidRPr="0052094D" w:rsidRDefault="00970710" w:rsidP="00A1321B">
      <w:pPr>
        <w:pStyle w:val="Textonotapie"/>
        <w:jc w:val="both"/>
        <w:rPr>
          <w:rFonts w:ascii="ITC Avant Garde Gothic" w:hAnsi="ITC Avant Garde Gothic"/>
          <w:sz w:val="18"/>
          <w:szCs w:val="18"/>
          <w:lang w:val="en-GB"/>
        </w:rPr>
      </w:pPr>
      <w:hyperlink r:id="rId3" w:history="1">
        <w:r w:rsidRPr="00B1598A">
          <w:rPr>
            <w:rStyle w:val="Hipervnculo"/>
            <w:rFonts w:ascii="ITC Avant Garde" w:hAnsi="ITC Avant Garde"/>
            <w:color w:val="auto"/>
            <w:sz w:val="18"/>
            <w:szCs w:val="18"/>
            <w:u w:val="none"/>
            <w:lang w:val="en-GB"/>
          </w:rPr>
          <w:t>http://www.citc.gov.sa/en/new/publicConsultation/Pages/a37.aspx</w:t>
        </w:r>
      </w:hyperlink>
      <w:r w:rsidRPr="000C0715">
        <w:rPr>
          <w:rFonts w:ascii="ITC Avant Garde Gothic" w:hAnsi="ITC Avant Garde Gothic"/>
          <w:sz w:val="18"/>
          <w:szCs w:val="18"/>
          <w:lang w:val="en-GB"/>
        </w:rPr>
        <w:t xml:space="preserve">   </w:t>
      </w:r>
    </w:p>
  </w:footnote>
  <w:footnote w:id="17">
    <w:p w14:paraId="2738A0CE" w14:textId="77777777" w:rsidR="00970710" w:rsidRPr="004E7425" w:rsidRDefault="00970710" w:rsidP="00A1321B">
      <w:pPr>
        <w:pStyle w:val="Textonotapie"/>
        <w:rPr>
          <w:rFonts w:ascii="ITC Avant Garde" w:hAnsi="ITC Avant Garde"/>
        </w:rPr>
      </w:pPr>
      <w:r w:rsidRPr="004E7425">
        <w:rPr>
          <w:rStyle w:val="Refdenotaalpie"/>
          <w:rFonts w:ascii="ITC Avant Garde" w:hAnsi="ITC Avant Garde"/>
        </w:rPr>
        <w:footnoteRef/>
      </w:r>
      <w:r w:rsidRPr="004E7425">
        <w:rPr>
          <w:rFonts w:ascii="ITC Avant Garde" w:hAnsi="ITC Avant Garde"/>
        </w:rPr>
        <w:t xml:space="preserve"> </w:t>
      </w:r>
      <w:r>
        <w:rPr>
          <w:rFonts w:ascii="ITC Avant Garde" w:hAnsi="ITC Avant Garde"/>
        </w:rPr>
        <w:t xml:space="preserve">Se refiere a los principios generales establecidos en la </w:t>
      </w:r>
      <w:r w:rsidRPr="004E7425">
        <w:rPr>
          <w:rFonts w:ascii="ITC Avant Garde" w:hAnsi="ITC Avant Garde"/>
        </w:rPr>
        <w:t xml:space="preserve">Resolución </w:t>
      </w:r>
      <w:r>
        <w:rPr>
          <w:rFonts w:ascii="ITC Avant Garde" w:hAnsi="ITC Avant Garde"/>
        </w:rPr>
        <w:t>de 2013</w:t>
      </w:r>
      <w:r w:rsidRPr="004E7425">
        <w:rPr>
          <w:rFonts w:ascii="ITC Avant Garde" w:hAnsi="ITC Avant Garde"/>
        </w:rPr>
        <w:t>.</w:t>
      </w:r>
    </w:p>
  </w:footnote>
  <w:footnote w:id="18">
    <w:p w14:paraId="427DD4B4" w14:textId="77777777" w:rsidR="00970710" w:rsidRPr="00B1598A" w:rsidRDefault="00970710" w:rsidP="00A1321B">
      <w:pPr>
        <w:pStyle w:val="Textonotapie"/>
        <w:jc w:val="both"/>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w:t>
      </w:r>
      <w:r w:rsidRPr="00B1598A">
        <w:rPr>
          <w:rFonts w:ascii="ITC Avant Garde" w:eastAsia="Times New Roman" w:hAnsi="ITC Avant Garde" w:cs="Arial"/>
          <w:sz w:val="18"/>
          <w:szCs w:val="18"/>
          <w:lang w:val="es-ES" w:eastAsia="es-ES"/>
        </w:rPr>
        <w:t>UIT, Guía de Contabilidad Regulatoria, marzo de 2009.</w:t>
      </w:r>
    </w:p>
  </w:footnote>
  <w:footnote w:id="19">
    <w:p w14:paraId="7055DD5F" w14:textId="77777777" w:rsidR="00970710" w:rsidRPr="0052094D" w:rsidRDefault="00970710" w:rsidP="00A1321B">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Comisión Europea, Documento nº 98/322/EC, “</w:t>
      </w:r>
      <w:r w:rsidRPr="00B1598A">
        <w:rPr>
          <w:rFonts w:ascii="ITC Avant Garde" w:eastAsia="Times New Roman" w:hAnsi="ITC Avant Garde" w:cs="Arial"/>
          <w:i/>
          <w:iCs/>
          <w:sz w:val="18"/>
          <w:szCs w:val="18"/>
          <w:lang w:val="es-ES" w:eastAsia="es-ES"/>
        </w:rPr>
        <w:t>Recomendación de la Comisión de 8 de abril de 1998 sobre la interconexión en un mercado de las telecomunicaciones liberalizado (Parte 2: Separación contable y contabilidad de costes)</w:t>
      </w:r>
      <w:r w:rsidRPr="00B1598A">
        <w:rPr>
          <w:rFonts w:ascii="ITC Avant Garde" w:eastAsia="Times New Roman" w:hAnsi="ITC Avant Garde" w:cs="Arial"/>
          <w:sz w:val="18"/>
          <w:szCs w:val="18"/>
          <w:lang w:val="es-ES" w:eastAsia="es-ES"/>
        </w:rPr>
        <w:t>”.</w:t>
      </w:r>
    </w:p>
  </w:footnote>
  <w:footnote w:id="20">
    <w:p w14:paraId="291A7981" w14:textId="77777777" w:rsidR="00970710" w:rsidRPr="00B1598A" w:rsidRDefault="00970710" w:rsidP="00A1321B">
      <w:pPr>
        <w:pStyle w:val="Textonotapie"/>
        <w:rPr>
          <w:rFonts w:ascii="ITC Avant Garde" w:hAnsi="ITC Avant Garde"/>
          <w:sz w:val="18"/>
          <w:szCs w:val="18"/>
          <w:lang w:val="es-ES"/>
        </w:rPr>
      </w:pPr>
      <w:r w:rsidRPr="00B1598A">
        <w:rPr>
          <w:rFonts w:ascii="ITC Avant Garde" w:eastAsia="Times New Roman" w:hAnsi="ITC Avant Garde" w:cs="Arial"/>
          <w:sz w:val="18"/>
          <w:szCs w:val="18"/>
          <w:vertAlign w:val="superscript"/>
          <w:lang w:eastAsia="es-ES"/>
        </w:rPr>
        <w:footnoteRef/>
      </w:r>
      <w:r w:rsidRPr="00B1598A">
        <w:rPr>
          <w:rFonts w:ascii="ITC Avant Garde" w:eastAsia="Times New Roman" w:hAnsi="ITC Avant Garde" w:cs="Arial"/>
          <w:sz w:val="18"/>
          <w:szCs w:val="18"/>
          <w:vertAlign w:val="superscript"/>
          <w:lang w:eastAsia="es-ES"/>
        </w:rPr>
        <w:t xml:space="preserve"> </w:t>
      </w:r>
      <w:r w:rsidRPr="00B1598A">
        <w:rPr>
          <w:rFonts w:ascii="ITC Avant Garde" w:eastAsia="Times New Roman" w:hAnsi="ITC Avant Garde" w:cs="Arial"/>
          <w:sz w:val="18"/>
          <w:szCs w:val="18"/>
          <w:lang w:eastAsia="es-ES"/>
        </w:rPr>
        <w:t xml:space="preserve">La vida útil se define como el tiempo estimado </w:t>
      </w:r>
      <w:r>
        <w:rPr>
          <w:rFonts w:ascii="ITC Avant Garde" w:eastAsia="Times New Roman" w:hAnsi="ITC Avant Garde" w:cs="Arial"/>
          <w:sz w:val="18"/>
          <w:szCs w:val="18"/>
          <w:lang w:eastAsia="es-ES"/>
        </w:rPr>
        <w:t xml:space="preserve">en el </w:t>
      </w:r>
      <w:r w:rsidRPr="00B1598A">
        <w:rPr>
          <w:rFonts w:ascii="ITC Avant Garde" w:eastAsia="Times New Roman" w:hAnsi="ITC Avant Garde" w:cs="Arial"/>
          <w:sz w:val="18"/>
          <w:szCs w:val="18"/>
          <w:lang w:eastAsia="es-ES"/>
        </w:rPr>
        <w:t xml:space="preserve">que un activo puede realizar correctamente la función para la cual fue creado. </w:t>
      </w:r>
      <w:r w:rsidRPr="00B1598A">
        <w:rPr>
          <w:rFonts w:ascii="ITC Avant Garde" w:hAnsi="ITC Avant Garde"/>
          <w:sz w:val="18"/>
          <w:szCs w:val="18"/>
          <w:lang w:val="es-ES"/>
        </w:rPr>
        <w:t>No se debe aplicar el concepto de “vida útil remanente” para este propósito.</w:t>
      </w:r>
    </w:p>
  </w:footnote>
  <w:footnote w:id="21">
    <w:p w14:paraId="77B4043B" w14:textId="77777777" w:rsidR="00970710" w:rsidRPr="00B1598A" w:rsidRDefault="00970710" w:rsidP="00A1321B">
      <w:pPr>
        <w:pStyle w:val="Textonotapie"/>
        <w:jc w:val="both"/>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En el caso de Omán, por ejemplo, se menciona que “</w:t>
      </w:r>
      <w:r w:rsidRPr="00B1598A">
        <w:rPr>
          <w:rFonts w:ascii="ITC Avant Garde" w:hAnsi="ITC Avant Garde"/>
          <w:i/>
          <w:iCs/>
          <w:sz w:val="18"/>
          <w:szCs w:val="18"/>
          <w:lang w:val="es-ES"/>
        </w:rPr>
        <w:t>idealmente, los costos generales no deberán representar más de un 10% del total de la base de costos</w:t>
      </w:r>
      <w:r w:rsidRPr="00B1598A">
        <w:rPr>
          <w:rFonts w:ascii="ITC Avant Garde" w:hAnsi="ITC Avant Garde"/>
          <w:sz w:val="18"/>
          <w:szCs w:val="18"/>
          <w:lang w:val="es-ES"/>
        </w:rPr>
        <w:t>” (TRA Omán, “</w:t>
      </w:r>
      <w:r w:rsidRPr="00B1598A">
        <w:rPr>
          <w:rFonts w:ascii="ITC Avant Garde" w:hAnsi="ITC Avant Garde"/>
          <w:i/>
          <w:iCs/>
          <w:sz w:val="18"/>
          <w:szCs w:val="18"/>
          <w:lang w:val="es-ES"/>
        </w:rPr>
        <w:t>Accounting Separation Guidelines</w:t>
      </w:r>
      <w:r w:rsidRPr="00B1598A">
        <w:rPr>
          <w:rFonts w:ascii="ITC Avant Garde" w:hAnsi="ITC Avant Garde"/>
          <w:sz w:val="18"/>
          <w:szCs w:val="18"/>
          <w:lang w:val="es-ES"/>
        </w:rPr>
        <w:t>”, mayo de 2016).</w:t>
      </w:r>
    </w:p>
  </w:footnote>
  <w:footnote w:id="22">
    <w:p w14:paraId="50133861" w14:textId="77777777" w:rsidR="00970710" w:rsidRPr="00B1598A" w:rsidRDefault="00970710" w:rsidP="00A1321B">
      <w:pPr>
        <w:pStyle w:val="Textonotapie"/>
        <w:jc w:val="both"/>
        <w:rPr>
          <w:rFonts w:ascii="ITC Avant Garde" w:hAnsi="ITC Avant Garde"/>
          <w:sz w:val="18"/>
          <w:szCs w:val="18"/>
          <w:lang w:val="en-GB"/>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n-GB" w:eastAsia="es-ES"/>
        </w:rPr>
        <w:t xml:space="preserve"> </w:t>
      </w:r>
      <w:r w:rsidRPr="00B1598A">
        <w:rPr>
          <w:rFonts w:ascii="ITC Avant Garde" w:eastAsia="Times New Roman" w:hAnsi="ITC Avant Garde" w:cs="Arial"/>
          <w:sz w:val="18"/>
          <w:szCs w:val="18"/>
          <w:lang w:val="en-GB" w:eastAsia="es-ES"/>
        </w:rPr>
        <w:t>ERG Common Position, ERG (05) 29, “Guidelines for implementing the Commission Recommendation C (2005) 3480 on Accounting Separation &amp; Cost Accounting Systems under the regulatory framework for electronic communications”, 2005.</w:t>
      </w:r>
    </w:p>
  </w:footnote>
  <w:footnote w:id="23">
    <w:p w14:paraId="0C66BF47" w14:textId="77777777" w:rsidR="00970710" w:rsidRPr="00B1598A" w:rsidRDefault="00970710" w:rsidP="00A1321B">
      <w:pPr>
        <w:pStyle w:val="Textonotapie"/>
        <w:jc w:val="both"/>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Instrumento financiero que se utiliza para visualizar la lista total de los débitos y créditos de las cuentas junto al saldo de cada una de ellas, mostrando un resumen básico del estado financiero de una compañía.</w:t>
      </w:r>
    </w:p>
  </w:footnote>
  <w:footnote w:id="24">
    <w:p w14:paraId="5CC4B8B2" w14:textId="77777777" w:rsidR="00970710" w:rsidRPr="00B1598A" w:rsidRDefault="00970710" w:rsidP="00154F13">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Con el fin de mejorar la transparencia de la Separación Contable, las siguientes categorías deberán ser desagregadas entre las cuentas correspondientes a ingresos nominales (que refleja el precio de referencia de venta al público, sin descuentos ni subsidios), descuentos y subsidios.</w:t>
      </w:r>
    </w:p>
  </w:footnote>
  <w:footnote w:id="25">
    <w:p w14:paraId="01EE5D75" w14:textId="77777777" w:rsidR="00970710" w:rsidRPr="00B1598A" w:rsidRDefault="00970710" w:rsidP="00A1321B">
      <w:pPr>
        <w:pStyle w:val="Textonotapie"/>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Por sus siglas en inglés, </w:t>
      </w:r>
      <w:r w:rsidRPr="00B1598A">
        <w:rPr>
          <w:rFonts w:ascii="ITC Avant Garde" w:hAnsi="ITC Avant Garde"/>
          <w:i/>
          <w:sz w:val="18"/>
          <w:szCs w:val="18"/>
        </w:rPr>
        <w:t>Digital Subscriber Line Access Multiplexor</w:t>
      </w:r>
    </w:p>
  </w:footnote>
  <w:footnote w:id="26">
    <w:p w14:paraId="30840E59" w14:textId="77777777" w:rsidR="00970710" w:rsidRPr="00B1598A" w:rsidRDefault="00970710" w:rsidP="00A1321B">
      <w:pPr>
        <w:pStyle w:val="Textonotapie"/>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Por sus siglas en inglés, </w:t>
      </w:r>
      <w:r w:rsidRPr="00B1598A">
        <w:rPr>
          <w:rFonts w:ascii="ITC Avant Garde" w:hAnsi="ITC Avant Garde"/>
          <w:i/>
          <w:sz w:val="18"/>
          <w:szCs w:val="18"/>
        </w:rPr>
        <w:t>Broadband Remote Access Server</w:t>
      </w:r>
    </w:p>
  </w:footnote>
  <w:footnote w:id="27">
    <w:p w14:paraId="552732B1" w14:textId="77777777" w:rsidR="00970710" w:rsidRPr="00B1598A" w:rsidRDefault="00970710" w:rsidP="00A1321B">
      <w:pPr>
        <w:pStyle w:val="Textonotapie"/>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Por sus siglas en inglés, </w:t>
      </w:r>
      <w:r w:rsidRPr="00B1598A">
        <w:rPr>
          <w:rFonts w:ascii="ITC Avant Garde" w:hAnsi="ITC Avant Garde"/>
          <w:i/>
          <w:sz w:val="18"/>
          <w:szCs w:val="18"/>
          <w:lang w:val="es-ES"/>
        </w:rPr>
        <w:t>Remote Autenticación Dial-In Usar Service</w:t>
      </w:r>
    </w:p>
  </w:footnote>
  <w:footnote w:id="28">
    <w:p w14:paraId="5BD09048" w14:textId="77777777" w:rsidR="00970710" w:rsidRPr="0052094D" w:rsidRDefault="00970710" w:rsidP="00A1321B">
      <w:pPr>
        <w:pStyle w:val="Textonotapie"/>
        <w:rPr>
          <w:rFonts w:ascii="ITC Avant Garde Gothic" w:hAnsi="ITC Avant Garde Gothic"/>
          <w:i/>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lang w:val="es-ES"/>
        </w:rPr>
        <w:t xml:space="preserve"> Por sus siglas en inglés, </w:t>
      </w:r>
      <w:r w:rsidRPr="00B1598A">
        <w:rPr>
          <w:rFonts w:ascii="ITC Avant Garde" w:hAnsi="ITC Avant Garde"/>
          <w:i/>
          <w:sz w:val="18"/>
          <w:szCs w:val="18"/>
          <w:lang w:val="es-ES"/>
        </w:rPr>
        <w:t>Call Session Control Function</w:t>
      </w:r>
    </w:p>
  </w:footnote>
  <w:footnote w:id="29">
    <w:p w14:paraId="6B3C0E25" w14:textId="77777777" w:rsidR="00970710" w:rsidRDefault="00970710" w:rsidP="00A1321B">
      <w:pPr>
        <w:pStyle w:val="Textonotapie"/>
        <w:rPr>
          <w:rFonts w:ascii="ITC Avant Garde" w:eastAsia="Times New Roman" w:hAnsi="ITC Avant Garde" w:cs="Arial"/>
          <w:sz w:val="18"/>
          <w:szCs w:val="18"/>
          <w:lang w:val="es-ES" w:eastAsia="es-ES"/>
        </w:rPr>
      </w:pPr>
      <w:r>
        <w:rPr>
          <w:rFonts w:ascii="ITC Avant Garde" w:eastAsia="Times New Roman" w:hAnsi="ITC Avant Garde" w:cs="Arial"/>
          <w:sz w:val="18"/>
          <w:szCs w:val="18"/>
          <w:vertAlign w:val="superscript"/>
          <w:lang w:val="es-ES" w:eastAsia="es-ES"/>
        </w:rPr>
        <w:footnoteRef/>
      </w:r>
      <w:r>
        <w:rPr>
          <w:rFonts w:ascii="ITC Avant Garde" w:eastAsia="Times New Roman" w:hAnsi="ITC Avant Garde" w:cs="Arial"/>
          <w:sz w:val="18"/>
          <w:szCs w:val="18"/>
          <w:vertAlign w:val="superscript"/>
          <w:lang w:val="es-ES" w:eastAsia="es-ES"/>
        </w:rPr>
        <w:t xml:space="preserve"> </w:t>
      </w:r>
      <w:r>
        <w:rPr>
          <w:rFonts w:ascii="ITC Avant Garde" w:eastAsia="Times New Roman" w:hAnsi="ITC Avant Garde" w:cs="Arial"/>
          <w:sz w:val="18"/>
          <w:szCs w:val="18"/>
          <w:lang w:val="es-ES" w:eastAsia="es-ES"/>
        </w:rPr>
        <w:t xml:space="preserve">Por sus siglas en inglés, </w:t>
      </w:r>
      <w:r>
        <w:rPr>
          <w:rFonts w:ascii="ITC Avant Garde" w:eastAsia="Times New Roman" w:hAnsi="ITC Avant Garde" w:cs="Arial"/>
          <w:i/>
          <w:iCs/>
          <w:sz w:val="18"/>
          <w:szCs w:val="18"/>
          <w:lang w:val="es-ES" w:eastAsia="es-ES"/>
        </w:rPr>
        <w:t>Final Drop Point.</w:t>
      </w:r>
    </w:p>
  </w:footnote>
  <w:footnote w:id="30">
    <w:p w14:paraId="79F7822C" w14:textId="77777777" w:rsidR="00970710" w:rsidRDefault="00970710" w:rsidP="00A1321B">
      <w:pPr>
        <w:pStyle w:val="Textonotapie"/>
        <w:rPr>
          <w:rFonts w:ascii="ITC Avant Garde Gothic" w:eastAsia="Times New Roman" w:hAnsi="ITC Avant Garde Gothic" w:cs="Arial"/>
          <w:sz w:val="18"/>
          <w:szCs w:val="18"/>
          <w:lang w:val="es-ES" w:eastAsia="es-ES"/>
        </w:rPr>
      </w:pPr>
      <w:r>
        <w:rPr>
          <w:rFonts w:ascii="ITC Avant Garde" w:eastAsia="Times New Roman" w:hAnsi="ITC Avant Garde" w:cs="Arial"/>
          <w:sz w:val="18"/>
          <w:szCs w:val="18"/>
          <w:vertAlign w:val="superscript"/>
          <w:lang w:val="es-ES" w:eastAsia="es-ES"/>
        </w:rPr>
        <w:footnoteRef/>
      </w:r>
      <w:r>
        <w:rPr>
          <w:rFonts w:ascii="ITC Avant Garde" w:eastAsia="Times New Roman" w:hAnsi="ITC Avant Garde" w:cs="Arial"/>
          <w:sz w:val="18"/>
          <w:szCs w:val="18"/>
          <w:lang w:val="es-ES" w:eastAsia="es-ES"/>
        </w:rPr>
        <w:t xml:space="preserve"> Por sus siglas en inglés, </w:t>
      </w:r>
      <w:r>
        <w:rPr>
          <w:rFonts w:ascii="ITC Avant Garde" w:eastAsia="Times New Roman" w:hAnsi="ITC Avant Garde" w:cs="Arial"/>
          <w:i/>
          <w:iCs/>
          <w:sz w:val="18"/>
          <w:szCs w:val="18"/>
          <w:lang w:val="es-ES" w:eastAsia="es-ES"/>
        </w:rPr>
        <w:t>Network Termination Point.</w:t>
      </w:r>
    </w:p>
  </w:footnote>
  <w:footnote w:id="31">
    <w:p w14:paraId="2749BF02" w14:textId="77777777" w:rsidR="00970710" w:rsidRPr="00B1598A" w:rsidRDefault="00970710" w:rsidP="00A1321B">
      <w:pPr>
        <w:pStyle w:val="Textonotapie"/>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Por sus siglas en inglés, </w:t>
      </w:r>
      <w:r w:rsidRPr="00B1598A">
        <w:rPr>
          <w:rFonts w:ascii="ITC Avant Garde" w:eastAsia="Times New Roman" w:hAnsi="ITC Avant Garde" w:cs="Arial"/>
          <w:i/>
          <w:iCs/>
          <w:sz w:val="18"/>
          <w:szCs w:val="18"/>
          <w:lang w:val="es-ES" w:eastAsia="es-ES"/>
        </w:rPr>
        <w:t>Main Distribution Frame</w:t>
      </w:r>
      <w:r w:rsidRPr="00B1598A">
        <w:rPr>
          <w:rFonts w:ascii="ITC Avant Garde" w:eastAsia="Times New Roman" w:hAnsi="ITC Avant Garde" w:cs="Arial"/>
          <w:sz w:val="18"/>
          <w:szCs w:val="18"/>
          <w:lang w:val="es-ES" w:eastAsia="es-ES"/>
        </w:rPr>
        <w:t>.</w:t>
      </w:r>
    </w:p>
  </w:footnote>
  <w:footnote w:id="32">
    <w:p w14:paraId="53316E4A" w14:textId="77777777" w:rsidR="00970710" w:rsidRPr="0052094D" w:rsidRDefault="00970710" w:rsidP="00A1321B">
      <w:pPr>
        <w:pStyle w:val="Textonotapie"/>
        <w:rPr>
          <w:rFonts w:ascii="ITC Avant Garde Gothic" w:hAnsi="ITC Avant Garde Gothic"/>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Por sus siglas en inglés, </w:t>
      </w:r>
      <w:r w:rsidRPr="00B1598A">
        <w:rPr>
          <w:rFonts w:ascii="ITC Avant Garde" w:eastAsia="Times New Roman" w:hAnsi="ITC Avant Garde" w:cs="Arial"/>
          <w:i/>
          <w:iCs/>
          <w:sz w:val="18"/>
          <w:szCs w:val="18"/>
          <w:lang w:val="es-ES" w:eastAsia="es-ES"/>
        </w:rPr>
        <w:t>Optical Distribution Frame</w:t>
      </w:r>
      <w:r w:rsidRPr="00B1598A">
        <w:rPr>
          <w:rFonts w:ascii="ITC Avant Garde" w:eastAsia="Times New Roman" w:hAnsi="ITC Avant Garde" w:cs="Arial"/>
          <w:sz w:val="18"/>
          <w:szCs w:val="18"/>
          <w:lang w:val="es-ES" w:eastAsia="es-ES"/>
        </w:rPr>
        <w:t>.</w:t>
      </w:r>
    </w:p>
  </w:footnote>
  <w:footnote w:id="33">
    <w:p w14:paraId="2A61006D" w14:textId="77777777" w:rsidR="00970710" w:rsidRPr="00B1598A" w:rsidRDefault="00970710" w:rsidP="00A1321B">
      <w:pPr>
        <w:pStyle w:val="Textonotapie"/>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Por sus siglas en inglés, </w:t>
      </w:r>
      <w:r w:rsidRPr="00B1598A">
        <w:rPr>
          <w:rFonts w:ascii="ITC Avant Garde" w:eastAsia="Times New Roman" w:hAnsi="ITC Avant Garde" w:cs="Arial"/>
          <w:i/>
          <w:iCs/>
          <w:sz w:val="18"/>
          <w:szCs w:val="18"/>
          <w:lang w:val="es-ES" w:eastAsia="es-ES"/>
        </w:rPr>
        <w:t>Time-Division Multiplexing.</w:t>
      </w:r>
    </w:p>
  </w:footnote>
  <w:footnote w:id="34">
    <w:p w14:paraId="665A0C85" w14:textId="77777777" w:rsidR="00970710" w:rsidRPr="00B1598A" w:rsidRDefault="00970710" w:rsidP="00A1321B">
      <w:pPr>
        <w:pStyle w:val="Textonotapie"/>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 xml:space="preserve">Por sus siglas en inglés, </w:t>
      </w:r>
      <w:r w:rsidRPr="00B1598A">
        <w:rPr>
          <w:rFonts w:ascii="ITC Avant Garde" w:eastAsia="Times New Roman" w:hAnsi="ITC Avant Garde" w:cs="Arial"/>
          <w:i/>
          <w:iCs/>
          <w:sz w:val="18"/>
          <w:szCs w:val="18"/>
          <w:lang w:val="es-ES" w:eastAsia="es-ES"/>
        </w:rPr>
        <w:t>Internet Protocol Television</w:t>
      </w:r>
      <w:r w:rsidRPr="00B1598A">
        <w:rPr>
          <w:rFonts w:ascii="ITC Avant Garde" w:eastAsia="Times New Roman" w:hAnsi="ITC Avant Garde" w:cs="Arial"/>
          <w:sz w:val="18"/>
          <w:szCs w:val="18"/>
          <w:lang w:val="es-ES" w:eastAsia="es-ES"/>
        </w:rPr>
        <w:t>.</w:t>
      </w:r>
    </w:p>
  </w:footnote>
  <w:footnote w:id="35">
    <w:p w14:paraId="279F29A1" w14:textId="77777777" w:rsidR="00970710" w:rsidRPr="00B1598A" w:rsidRDefault="00970710" w:rsidP="00A1321B">
      <w:pPr>
        <w:pStyle w:val="Textonotapie"/>
        <w:jc w:val="both"/>
        <w:rPr>
          <w:rFonts w:ascii="ITC Avant Garde" w:hAnsi="ITC Avant Garde"/>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Nótese que, en caso de que los mismos no estuvieran siendo prestados por el concesionario en el ejercicio para el que se elabora la separación contable, su desagregación no sería necesaria.</w:t>
      </w:r>
    </w:p>
  </w:footnote>
  <w:footnote w:id="36">
    <w:p w14:paraId="200CBAC4" w14:textId="77777777" w:rsidR="00970710" w:rsidRDefault="00970710" w:rsidP="00A1321B">
      <w:pPr>
        <w:pStyle w:val="Textonotapie"/>
        <w:jc w:val="both"/>
      </w:pPr>
      <w:r>
        <w:rPr>
          <w:rStyle w:val="Refdenotaalpie"/>
        </w:rPr>
        <w:footnoteRef/>
      </w:r>
      <w:r>
        <w:t xml:space="preserve"> </w:t>
      </w:r>
      <w:r w:rsidRPr="00B1598A">
        <w:rPr>
          <w:rFonts w:ascii="ITC Avant Garde" w:eastAsia="Times New Roman" w:hAnsi="ITC Avant Garde" w:cs="Arial"/>
          <w:sz w:val="18"/>
          <w:szCs w:val="18"/>
          <w:lang w:val="es-ES" w:eastAsia="es-ES"/>
        </w:rPr>
        <w:t>Estos servicios deben incluir la totalidad del tráfico de voz saliente cursado por el operador, incluyendo tanto el tráfico por fuera del plan como el tráfico incluido dentro de los planes tarifarios de los clientes</w:t>
      </w:r>
      <w:r>
        <w:rPr>
          <w:rFonts w:ascii="ITC Avant Garde" w:eastAsia="Times New Roman" w:hAnsi="ITC Avant Garde" w:cs="Arial"/>
          <w:sz w:val="18"/>
          <w:szCs w:val="18"/>
          <w:lang w:val="es-ES" w:eastAsia="es-ES"/>
        </w:rPr>
        <w:t>.</w:t>
      </w:r>
    </w:p>
  </w:footnote>
  <w:footnote w:id="37">
    <w:p w14:paraId="2365AA4D" w14:textId="77777777" w:rsidR="00970710" w:rsidRDefault="00970710" w:rsidP="00A1321B">
      <w:pPr>
        <w:pStyle w:val="Textonotapie"/>
        <w:jc w:val="both"/>
      </w:pPr>
      <w:r>
        <w:rPr>
          <w:rStyle w:val="Refdenotaalpie"/>
        </w:rPr>
        <w:footnoteRef/>
      </w:r>
      <w:r>
        <w:t xml:space="preserve"> </w:t>
      </w:r>
      <w:r w:rsidRPr="00B1598A">
        <w:rPr>
          <w:rFonts w:ascii="ITC Avant Garde" w:eastAsia="Times New Roman" w:hAnsi="ITC Avant Garde" w:cs="Arial"/>
          <w:sz w:val="18"/>
          <w:szCs w:val="18"/>
          <w:lang w:val="es-ES" w:eastAsia="es-ES"/>
        </w:rPr>
        <w:t>Estos servicios no incluyen la línea de acceso. Los servicios identificados bajo esta categoría deberán ser desagregados en función de las diferentes velocidades de conexión a internet (p.ej. 1Mbps, 5Mbps, 10Mbps) comercializadas por el concesionario.</w:t>
      </w:r>
    </w:p>
  </w:footnote>
  <w:footnote w:id="38">
    <w:p w14:paraId="0E430F30" w14:textId="77777777" w:rsidR="00970710" w:rsidRPr="00B1598A" w:rsidRDefault="00970710" w:rsidP="00A1321B">
      <w:pPr>
        <w:pStyle w:val="Textonotapie"/>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Por sus siglas en inglés, </w:t>
      </w:r>
      <w:r w:rsidRPr="00B1598A">
        <w:rPr>
          <w:rFonts w:ascii="ITC Avant Garde" w:eastAsia="Times New Roman" w:hAnsi="ITC Avant Garde" w:cs="Arial"/>
          <w:i/>
          <w:iCs/>
          <w:sz w:val="18"/>
          <w:szCs w:val="18"/>
          <w:lang w:val="es-ES" w:eastAsia="es-ES"/>
        </w:rPr>
        <w:t>Wholesale Line Rental</w:t>
      </w:r>
      <w:r w:rsidRPr="00B1598A">
        <w:rPr>
          <w:rFonts w:ascii="ITC Avant Garde" w:eastAsia="Times New Roman" w:hAnsi="ITC Avant Garde" w:cs="Arial"/>
          <w:sz w:val="18"/>
          <w:szCs w:val="18"/>
          <w:lang w:val="es-ES" w:eastAsia="es-ES"/>
        </w:rPr>
        <w:t>.</w:t>
      </w:r>
    </w:p>
  </w:footnote>
  <w:footnote w:id="39">
    <w:p w14:paraId="3DAA554B" w14:textId="77777777" w:rsidR="00970710" w:rsidRPr="00B1598A" w:rsidRDefault="00970710" w:rsidP="00A1321B">
      <w:pPr>
        <w:pStyle w:val="Textonotapie"/>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Con el fin de mejorar la transparencia de la Separación Contable, las siguientes categorías deberán ser desagregadas entre las cuentas correspondientes a ingresos nominales (que refleja el precio de referencia de venta al público, sin descuentos ni subsidios), descuentos y subsidios.</w:t>
      </w:r>
    </w:p>
  </w:footnote>
  <w:footnote w:id="40">
    <w:p w14:paraId="4A96E235" w14:textId="77777777" w:rsidR="00970710" w:rsidRPr="00B1598A" w:rsidRDefault="00970710" w:rsidP="007D37BE">
      <w:pPr>
        <w:pStyle w:val="Textonotapie"/>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De sus siglas en inglés, </w:t>
      </w:r>
      <w:r w:rsidRPr="00B1598A">
        <w:rPr>
          <w:rFonts w:ascii="ITC Avant Garde" w:hAnsi="ITC Avant Garde"/>
          <w:i/>
          <w:iCs/>
          <w:sz w:val="18"/>
          <w:szCs w:val="18"/>
        </w:rPr>
        <w:t>Base Transceiver Station.</w:t>
      </w:r>
    </w:p>
  </w:footnote>
  <w:footnote w:id="41">
    <w:p w14:paraId="1970DB6E" w14:textId="77777777" w:rsidR="00970710" w:rsidRPr="00B1598A" w:rsidRDefault="00970710" w:rsidP="007D37BE">
      <w:pPr>
        <w:pStyle w:val="Textonotapie"/>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De sus siglas en inglés</w:t>
      </w:r>
      <w:r w:rsidRPr="00B1598A">
        <w:rPr>
          <w:rFonts w:ascii="ITC Avant Garde" w:hAnsi="ITC Avant Garde"/>
          <w:i/>
          <w:iCs/>
          <w:sz w:val="18"/>
          <w:szCs w:val="18"/>
        </w:rPr>
        <w:t>, Base Station Controller.</w:t>
      </w:r>
    </w:p>
  </w:footnote>
  <w:footnote w:id="42">
    <w:p w14:paraId="199ECC14" w14:textId="77777777" w:rsidR="00970710" w:rsidRPr="0052094D" w:rsidRDefault="00970710" w:rsidP="007D37BE">
      <w:pPr>
        <w:pStyle w:val="Textonotapie"/>
        <w:rPr>
          <w:rFonts w:ascii="ITC Avant Garde Gothic" w:hAnsi="ITC Avant Garde Gothic"/>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De sus siglas en inglés, </w:t>
      </w:r>
      <w:r w:rsidRPr="00B1598A">
        <w:rPr>
          <w:rFonts w:ascii="ITC Avant Garde" w:hAnsi="ITC Avant Garde"/>
          <w:i/>
          <w:iCs/>
          <w:sz w:val="18"/>
          <w:szCs w:val="18"/>
        </w:rPr>
        <w:t>Radio Network Controller.</w:t>
      </w:r>
    </w:p>
  </w:footnote>
  <w:footnote w:id="43">
    <w:p w14:paraId="7C07C8D2" w14:textId="77777777" w:rsidR="00970710" w:rsidRPr="00B1598A" w:rsidRDefault="00970710" w:rsidP="007D37BE">
      <w:pPr>
        <w:pStyle w:val="Textonotapie"/>
        <w:jc w:val="both"/>
        <w:rPr>
          <w:rFonts w:ascii="ITC Avant Garde" w:hAnsi="ITC Avant Garde"/>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Nótese que, en caso de que los mismos no estuvieran siendo prestados por el concesionario en el ejercicio para el que se elabora la separación contable, su desagregación no sería necesaria.</w:t>
      </w:r>
    </w:p>
  </w:footnote>
  <w:footnote w:id="44">
    <w:p w14:paraId="51B00AE9" w14:textId="77777777" w:rsidR="00970710" w:rsidRPr="00B1598A" w:rsidRDefault="00970710" w:rsidP="00154F13">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Con el fin de mejorar la transparencia de la separación contable, las siguientes categorías deben ser desagregadas entre las cuentas correspondientes a ingresos nominales (que refleja el precio de referencia de venta al público, sin descuentos ni subsidios), descuentos y subsidios.</w:t>
      </w:r>
    </w:p>
  </w:footnote>
  <w:footnote w:id="45">
    <w:p w14:paraId="699F78C4" w14:textId="5349D8C5" w:rsidR="00970710" w:rsidRPr="00B1598A" w:rsidRDefault="00970710" w:rsidP="007D37BE">
      <w:pPr>
        <w:pStyle w:val="Textonotapie"/>
        <w:rPr>
          <w:rFonts w:ascii="ITC Avant Garde" w:hAnsi="ITC Avant Garde"/>
          <w:i/>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w:t>
      </w:r>
      <w:r>
        <w:rPr>
          <w:rFonts w:ascii="ITC Avant Garde" w:hAnsi="ITC Avant Garde"/>
          <w:sz w:val="18"/>
          <w:szCs w:val="18"/>
        </w:rPr>
        <w:t>Por</w:t>
      </w:r>
      <w:r w:rsidRPr="00B1598A">
        <w:rPr>
          <w:rFonts w:ascii="ITC Avant Garde" w:hAnsi="ITC Avant Garde"/>
          <w:sz w:val="18"/>
          <w:szCs w:val="18"/>
        </w:rPr>
        <w:t xml:space="preserve"> sus siglas en inglés, </w:t>
      </w:r>
      <w:r w:rsidRPr="00B1598A">
        <w:rPr>
          <w:rFonts w:ascii="ITC Avant Garde" w:hAnsi="ITC Avant Garde"/>
          <w:i/>
          <w:sz w:val="18"/>
          <w:szCs w:val="18"/>
        </w:rPr>
        <w:t>Cable Modem Termination System.</w:t>
      </w:r>
    </w:p>
  </w:footnote>
  <w:footnote w:id="46">
    <w:p w14:paraId="25E8D52A" w14:textId="530DE424" w:rsidR="00970710" w:rsidRPr="0052094D" w:rsidRDefault="00970710" w:rsidP="00154F13">
      <w:pPr>
        <w:pStyle w:val="Textonotapie"/>
        <w:jc w:val="both"/>
        <w:rPr>
          <w:rFonts w:ascii="ITC Avant Garde Gothic" w:hAnsi="ITC Avant Garde Gothic"/>
          <w:i/>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w:t>
      </w:r>
      <w:r>
        <w:rPr>
          <w:rFonts w:ascii="ITC Avant Garde" w:hAnsi="ITC Avant Garde"/>
          <w:sz w:val="18"/>
          <w:szCs w:val="18"/>
        </w:rPr>
        <w:t>Por</w:t>
      </w:r>
      <w:r w:rsidRPr="00B1598A">
        <w:rPr>
          <w:rFonts w:ascii="ITC Avant Garde" w:hAnsi="ITC Avant Garde"/>
          <w:sz w:val="18"/>
          <w:szCs w:val="18"/>
        </w:rPr>
        <w:t xml:space="preserve"> sus siglas en inglés, </w:t>
      </w:r>
      <w:r w:rsidRPr="00B1598A">
        <w:rPr>
          <w:rFonts w:ascii="ITC Avant Garde" w:hAnsi="ITC Avant Garde"/>
          <w:i/>
          <w:sz w:val="18"/>
          <w:szCs w:val="18"/>
        </w:rPr>
        <w:t>Community Antenna Television.</w:t>
      </w:r>
    </w:p>
  </w:footnote>
  <w:footnote w:id="47">
    <w:p w14:paraId="70467D8D" w14:textId="77777777" w:rsidR="00970710" w:rsidRPr="00B1598A" w:rsidRDefault="00970710" w:rsidP="007D37BE">
      <w:pPr>
        <w:pStyle w:val="Textonotapie"/>
        <w:jc w:val="both"/>
        <w:rPr>
          <w:rFonts w:ascii="ITC Avant Garde" w:hAnsi="ITC Avant Garde"/>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Nótese que, en caso de que los mismos no estuvieran siendo prestados por el concesionario en el ejercicio para el que se elabora la separación contable, su desagregación no sería necesaria.</w:t>
      </w:r>
    </w:p>
  </w:footnote>
  <w:footnote w:id="48">
    <w:p w14:paraId="5B4B8D7F" w14:textId="77777777" w:rsidR="00970710" w:rsidRPr="00B1598A" w:rsidRDefault="00970710" w:rsidP="007D37BE">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Con el fin de mejorar la transparencia del sistema de la Separación Contable, las siguientes categorías deberán ser desagregadas entre las cuentas correspondientes a ingresos nominales (que refleja el precio de referencia de venta al público, sin descuentos ni subsidios), descuentos y subsidios.</w:t>
      </w:r>
    </w:p>
  </w:footnote>
  <w:footnote w:id="49">
    <w:p w14:paraId="7C8023F7" w14:textId="77777777" w:rsidR="00970710" w:rsidRPr="00B1598A" w:rsidRDefault="00970710" w:rsidP="007D37BE">
      <w:pPr>
        <w:pStyle w:val="Textonotapie"/>
        <w:jc w:val="both"/>
        <w:rPr>
          <w:rFonts w:ascii="ITC Avant Garde" w:hAnsi="ITC Avant Garde"/>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Nótese que, en caso de que los mismos no estuvieran siendo prestados por el concesionario en el ejercicio para el que se elabora la separación contable, su desagregación no sería necesaria.</w:t>
      </w:r>
    </w:p>
  </w:footnote>
  <w:footnote w:id="50">
    <w:p w14:paraId="5AF0AAF9" w14:textId="77777777" w:rsidR="00970710" w:rsidRPr="00B1598A" w:rsidRDefault="00970710" w:rsidP="00154F13">
      <w:pPr>
        <w:pStyle w:val="Textonotapie"/>
        <w:jc w:val="both"/>
        <w:rPr>
          <w:rFonts w:ascii="ITC Avant Garde" w:hAnsi="ITC Avant Garde"/>
          <w:sz w:val="18"/>
          <w:szCs w:val="18"/>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Ejercicio realizado en el período referente a la entrega de la separación contable.</w:t>
      </w:r>
    </w:p>
  </w:footnote>
  <w:footnote w:id="51">
    <w:p w14:paraId="5DDBF031" w14:textId="77777777" w:rsidR="00970710" w:rsidRPr="00011E07" w:rsidRDefault="00970710" w:rsidP="00154F13">
      <w:pPr>
        <w:pStyle w:val="Textonotapie"/>
        <w:jc w:val="both"/>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Ejercicio realizado en el período previo a la actual entrega de la separación contable.</w:t>
      </w:r>
    </w:p>
  </w:footnote>
  <w:footnote w:id="52">
    <w:p w14:paraId="1751CC64" w14:textId="77777777" w:rsidR="00970710" w:rsidRPr="00B1598A" w:rsidRDefault="00970710" w:rsidP="00154F13">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 xml:space="preserve">Obtenido como el producto del capital promedio empleado por el WACC (ver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_Ref477515151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1.2.3</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53">
    <w:p w14:paraId="3B84BFC9" w14:textId="77777777" w:rsidR="00970710" w:rsidRPr="00B1598A" w:rsidRDefault="00970710" w:rsidP="00154F13">
      <w:pPr>
        <w:pStyle w:val="Textonotapie"/>
        <w:jc w:val="both"/>
        <w:rPr>
          <w:rFonts w:ascii="ITC Avant Garde" w:hAnsi="ITC Avant Garde"/>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 xml:space="preserve">Obtenido como el producto del capital promedio empleado por el WACC (ver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_Ref477515151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1.2.3</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54">
    <w:p w14:paraId="69440FA8" w14:textId="77777777" w:rsidR="00970710" w:rsidRPr="00B1598A" w:rsidRDefault="00970710" w:rsidP="00F878E5">
      <w:pPr>
        <w:pStyle w:val="Textonotapie"/>
        <w:jc w:val="both"/>
        <w:rPr>
          <w:rFonts w:ascii="ITC Avant Garde" w:hAnsi="ITC Avant Garde"/>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Rendimiento sobre Capital Empleado (ROCE en inglés)</w:t>
      </w:r>
    </w:p>
  </w:footnote>
  <w:footnote w:id="55">
    <w:p w14:paraId="731997FD" w14:textId="77777777" w:rsidR="00970710" w:rsidRPr="00B1598A" w:rsidRDefault="00970710" w:rsidP="00F878E5">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Estos servicios deben incluir la totalidad del tráfico de voz saliente cursado por el operador, incluyendo tanto el tráfico por fuera del plan como el tráfico incluido dentro de los planes tarifarios de los clientes</w:t>
      </w:r>
    </w:p>
  </w:footnote>
  <w:footnote w:id="56">
    <w:p w14:paraId="109AB7A9" w14:textId="56F62C77" w:rsidR="00970710" w:rsidRPr="00B1598A" w:rsidRDefault="00970710" w:rsidP="00154F13">
      <w:pPr>
        <w:pStyle w:val="Textonotapie"/>
        <w:jc w:val="both"/>
        <w:rPr>
          <w:rFonts w:ascii="ITC Avant Garde" w:hAnsi="ITC Avant Garde"/>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Las categorías de ingresos y de costos presentadas en esta tabla deberán corresponder con aquellas que figuran en la cuenta de pérdidas y ganancias resumida publicada por el operador en sus Estados Financieros. Por ejemplo, en ingresos: servicio local, interconexión, datos, etc. (en telecomunicaciones fijas) y en costos: costos de venta y servicios, comerciales, interconexión, depreciación y amortización, etc.</w:t>
      </w:r>
    </w:p>
  </w:footnote>
  <w:footnote w:id="57">
    <w:p w14:paraId="5A00C392" w14:textId="3D14C6F1" w:rsidR="00970710" w:rsidRPr="00B1598A" w:rsidRDefault="00970710" w:rsidP="00154F13">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vertAlign w:val="superscript"/>
          <w:lang w:val="es-ES" w:eastAsia="es-ES"/>
        </w:rPr>
        <w:t xml:space="preserve"> </w:t>
      </w:r>
      <w:r w:rsidRPr="00B1598A">
        <w:rPr>
          <w:rFonts w:ascii="ITC Avant Garde" w:eastAsia="Times New Roman" w:hAnsi="ITC Avant Garde" w:cs="Arial"/>
          <w:sz w:val="18"/>
          <w:szCs w:val="18"/>
          <w:lang w:val="es-ES" w:eastAsia="es-ES"/>
        </w:rPr>
        <w:t xml:space="preserve">Las cuentas de ingresos por naturaleza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58">
    <w:p w14:paraId="6A5B8D88" w14:textId="6120F31A" w:rsidR="00970710" w:rsidRPr="00B1598A" w:rsidRDefault="00970710" w:rsidP="00154F13">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costos por naturaleza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59">
    <w:p w14:paraId="55517DE9" w14:textId="481B0755" w:rsidR="00970710" w:rsidRPr="00B1598A" w:rsidRDefault="00970710" w:rsidP="00154F13">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capital empleado de Nivel 1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0">
    <w:p w14:paraId="325835E0" w14:textId="4FF52E61" w:rsidR="00970710" w:rsidRPr="00B1598A" w:rsidRDefault="00970710" w:rsidP="00154F13">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costos por naturaleza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1">
    <w:p w14:paraId="7D17B13B" w14:textId="0C012BAA" w:rsidR="00970710" w:rsidRPr="0052094D" w:rsidRDefault="00970710" w:rsidP="00154F13">
      <w:pPr>
        <w:pStyle w:val="Textonotapie"/>
        <w:jc w:val="both"/>
        <w:rPr>
          <w:rFonts w:ascii="ITC Avant Garde Gothic" w:eastAsia="Times New Roman" w:hAnsi="ITC Avant Garde Gothic"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costos por actividades y elementos de red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2">
    <w:p w14:paraId="10F722FE" w14:textId="23F4C5DE" w:rsidR="00970710" w:rsidRPr="00B1598A" w:rsidRDefault="00970710" w:rsidP="00154F13">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capital empleado por naturaleza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3">
    <w:p w14:paraId="740615CE" w14:textId="00579677" w:rsidR="00970710" w:rsidRPr="00B1598A" w:rsidRDefault="00970710" w:rsidP="00154F13">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capital empleado por actividades y elementos de red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4">
    <w:p w14:paraId="287F6E22" w14:textId="3B340B47" w:rsidR="00970710" w:rsidRPr="00B1598A" w:rsidRDefault="00970710" w:rsidP="00154F13">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ingresos por naturaleza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5">
    <w:p w14:paraId="3BB0D037" w14:textId="56A1778A" w:rsidR="00970710" w:rsidRPr="0052094D" w:rsidRDefault="00970710" w:rsidP="00154F13">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servicios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6">
    <w:p w14:paraId="09309ADC" w14:textId="0B73BBB5" w:rsidR="00970710" w:rsidRPr="00B1598A" w:rsidRDefault="00970710" w:rsidP="00154F13">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costos por actividad y elementos de red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7">
    <w:p w14:paraId="28B1AB56" w14:textId="71F4C8AC" w:rsidR="00970710" w:rsidRPr="0052094D" w:rsidRDefault="00970710" w:rsidP="00154F13">
      <w:pPr>
        <w:pStyle w:val="Textonotapie"/>
        <w:jc w:val="both"/>
        <w:rPr>
          <w:rFonts w:ascii="ITC Avant Garde Gothic" w:eastAsia="Times New Roman" w:hAnsi="ITC Avant Garde Gothic"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servicios minoristas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8">
    <w:p w14:paraId="4306CBAC" w14:textId="56C357FB" w:rsidR="00970710" w:rsidRPr="00B1598A" w:rsidRDefault="00970710" w:rsidP="00154F13">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costos por actividad y elementos de red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69">
    <w:p w14:paraId="76C05F9F" w14:textId="1F132ECC" w:rsidR="00970710" w:rsidRPr="0052094D" w:rsidRDefault="00970710" w:rsidP="00154F13">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servicios mayoristas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70">
    <w:p w14:paraId="4D21444E" w14:textId="3DF71031" w:rsidR="00970710" w:rsidRPr="00B1598A" w:rsidRDefault="00970710" w:rsidP="00154F13">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capital empleado por actividad y elementos de red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71">
    <w:p w14:paraId="104653C2" w14:textId="4A34F799" w:rsidR="00970710" w:rsidRPr="0052094D" w:rsidRDefault="00970710" w:rsidP="00154F13">
      <w:pPr>
        <w:pStyle w:val="Textonotapie"/>
        <w:jc w:val="both"/>
        <w:rPr>
          <w:rFonts w:ascii="ITC Avant Garde Gothic" w:eastAsia="Times New Roman" w:hAnsi="ITC Avant Garde Gothic"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servicios minoristas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72">
    <w:p w14:paraId="7507F0C5" w14:textId="6D0B9394" w:rsidR="00970710" w:rsidRPr="00B1598A" w:rsidRDefault="00970710" w:rsidP="00154F13">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capital empleado por actividad y elementos de red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73">
    <w:p w14:paraId="4CACB7B7" w14:textId="70297D4A" w:rsidR="00970710" w:rsidRPr="0052094D" w:rsidRDefault="00970710" w:rsidP="00154F13">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servicios mayoristas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74">
    <w:p w14:paraId="1910D4F4" w14:textId="02B868B6" w:rsidR="00970710" w:rsidRPr="00B1598A" w:rsidRDefault="00970710" w:rsidP="00154F13">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servicios minoristas deberán corresponder con las indicadas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75">
    <w:p w14:paraId="35C65694" w14:textId="7795C616" w:rsidR="00970710" w:rsidRPr="0052094D" w:rsidRDefault="00970710" w:rsidP="00154F13">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servicios mayoristas deberán corresponder con las indicadas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76">
    <w:p w14:paraId="14F43F9D" w14:textId="47DD2E22" w:rsidR="00970710" w:rsidRPr="00B1598A" w:rsidRDefault="00970710" w:rsidP="00154F13">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activos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77">
    <w:p w14:paraId="79392753" w14:textId="77777777" w:rsidR="00970710" w:rsidRPr="00B1598A" w:rsidRDefault="00970710" w:rsidP="00154F13">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Amortización se ha abreviado por ‘Amort.’</w:t>
      </w:r>
    </w:p>
  </w:footnote>
  <w:footnote w:id="78">
    <w:p w14:paraId="20A68B52" w14:textId="77777777" w:rsidR="00970710" w:rsidRPr="0052094D" w:rsidRDefault="00970710" w:rsidP="00154F13">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Depreciación suplementaria se ha abreviado por ‘Depr. Supl.’</w:t>
      </w:r>
    </w:p>
  </w:footnote>
  <w:footnote w:id="79">
    <w:p w14:paraId="303B9F7B" w14:textId="0B3FADBD" w:rsidR="00970710" w:rsidRPr="00B1598A" w:rsidRDefault="00970710" w:rsidP="00154F13">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activos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80">
    <w:p w14:paraId="7A621197" w14:textId="77777777" w:rsidR="00970710" w:rsidRPr="0052094D" w:rsidRDefault="00970710" w:rsidP="00154F13">
      <w:pPr>
        <w:pStyle w:val="Textonotapie"/>
        <w:jc w:val="both"/>
        <w:rPr>
          <w:rFonts w:ascii="ITC Avant Garde Gothic" w:hAnsi="ITC Avant Garde Gothic"/>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Adquisiciones.</w:t>
      </w:r>
    </w:p>
  </w:footnote>
  <w:footnote w:id="81">
    <w:p w14:paraId="1F49BAE1" w14:textId="24F8E7E8" w:rsidR="00970710" w:rsidRPr="00B1598A" w:rsidRDefault="00970710" w:rsidP="00154F13">
      <w:pPr>
        <w:pStyle w:val="Textonotapie"/>
        <w:jc w:val="both"/>
        <w:rPr>
          <w:rFonts w:ascii="ITC Avant Garde" w:hAnsi="ITC Avant Garde"/>
          <w:sz w:val="18"/>
          <w:szCs w:val="18"/>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Las cuentas de activos deberán corresponder con el nivel de desagregación mínimo indicado por el Instituto en la sección </w:t>
      </w:r>
      <w:r w:rsidRPr="00B1598A">
        <w:rPr>
          <w:rFonts w:ascii="ITC Avant Garde" w:eastAsia="Times New Roman" w:hAnsi="ITC Avant Garde" w:cs="Arial"/>
          <w:sz w:val="18"/>
          <w:szCs w:val="18"/>
          <w:lang w:val="es-ES" w:eastAsia="es-ES"/>
        </w:rPr>
        <w:fldChar w:fldCharType="begin"/>
      </w:r>
      <w:r w:rsidRPr="00B1598A">
        <w:rPr>
          <w:rFonts w:ascii="ITC Avant Garde" w:eastAsia="Times New Roman" w:hAnsi="ITC Avant Garde" w:cs="Arial"/>
          <w:sz w:val="18"/>
          <w:szCs w:val="18"/>
          <w:lang w:val="es-ES" w:eastAsia="es-ES"/>
        </w:rPr>
        <w:instrText xml:space="preserve"> REF _Ref475467843 \r \h  \* MERGEFORMAT </w:instrText>
      </w:r>
      <w:r w:rsidRPr="00B1598A">
        <w:rPr>
          <w:rFonts w:ascii="ITC Avant Garde" w:eastAsia="Times New Roman" w:hAnsi="ITC Avant Garde" w:cs="Arial"/>
          <w:sz w:val="18"/>
          <w:szCs w:val="18"/>
          <w:lang w:val="es-ES" w:eastAsia="es-ES"/>
        </w:rPr>
      </w:r>
      <w:r w:rsidRPr="00B1598A">
        <w:rPr>
          <w:rFonts w:ascii="ITC Avant Garde" w:eastAsia="Times New Roman" w:hAnsi="ITC Avant Garde" w:cs="Arial"/>
          <w:sz w:val="18"/>
          <w:szCs w:val="18"/>
          <w:lang w:val="es-ES" w:eastAsia="es-ES"/>
        </w:rPr>
        <w:fldChar w:fldCharType="separate"/>
      </w:r>
      <w:r w:rsidRPr="00B1598A">
        <w:rPr>
          <w:rFonts w:ascii="ITC Avant Garde" w:eastAsia="Times New Roman" w:hAnsi="ITC Avant Garde" w:cs="Arial"/>
          <w:sz w:val="18"/>
          <w:szCs w:val="18"/>
          <w:cs/>
          <w:lang w:val="es-ES" w:eastAsia="es-ES"/>
        </w:rPr>
        <w:t>‎</w:t>
      </w:r>
      <w:r w:rsidRPr="00B1598A">
        <w:rPr>
          <w:rFonts w:ascii="ITC Avant Garde" w:eastAsia="Times New Roman" w:hAnsi="ITC Avant Garde" w:cs="Arial"/>
          <w:sz w:val="18"/>
          <w:szCs w:val="18"/>
          <w:lang w:val="es-ES" w:eastAsia="es-ES"/>
        </w:rPr>
        <w:t>2.2</w:t>
      </w:r>
      <w:r w:rsidRPr="00B1598A">
        <w:rPr>
          <w:rFonts w:ascii="ITC Avant Garde" w:eastAsia="Times New Roman" w:hAnsi="ITC Avant Garde" w:cs="Arial"/>
          <w:sz w:val="18"/>
          <w:szCs w:val="18"/>
          <w:lang w:val="es-ES" w:eastAsia="es-ES"/>
        </w:rPr>
        <w:fldChar w:fldCharType="end"/>
      </w:r>
      <w:r w:rsidRPr="00B1598A">
        <w:rPr>
          <w:rFonts w:ascii="ITC Avant Garde" w:eastAsia="Times New Roman" w:hAnsi="ITC Avant Garde" w:cs="Arial"/>
          <w:sz w:val="18"/>
          <w:szCs w:val="18"/>
          <w:lang w:val="es-ES" w:eastAsia="es-ES"/>
        </w:rPr>
        <w:t xml:space="preserve"> del Anexo </w:t>
      </w:r>
      <w:r>
        <w:rPr>
          <w:rFonts w:ascii="ITC Avant Garde" w:eastAsia="Times New Roman" w:hAnsi="ITC Avant Garde" w:cs="Arial"/>
          <w:sz w:val="18"/>
          <w:szCs w:val="18"/>
          <w:lang w:val="es-ES" w:eastAsia="es-ES"/>
        </w:rPr>
        <w:t>3</w:t>
      </w:r>
      <w:r w:rsidRPr="00B1598A">
        <w:rPr>
          <w:rFonts w:ascii="ITC Avant Garde" w:eastAsia="Times New Roman" w:hAnsi="ITC Avant Garde" w:cs="Arial"/>
          <w:sz w:val="18"/>
          <w:szCs w:val="18"/>
          <w:lang w:val="es-ES" w:eastAsia="es-ES"/>
        </w:rPr>
        <w:t>.</w:t>
      </w:r>
    </w:p>
  </w:footnote>
  <w:footnote w:id="82">
    <w:p w14:paraId="6A93084D" w14:textId="7BE56441" w:rsidR="00970710" w:rsidRPr="00B1598A" w:rsidRDefault="00970710" w:rsidP="00154F13">
      <w:pPr>
        <w:pStyle w:val="Textonotapie"/>
        <w:jc w:val="both"/>
        <w:rPr>
          <w:rFonts w:ascii="ITC Avant Garde" w:eastAsia="Times New Roman" w:hAnsi="ITC Avant Garde" w:cs="Arial"/>
          <w:sz w:val="18"/>
          <w:szCs w:val="18"/>
          <w:lang w:val="es-ES" w:eastAsia="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Se presentan</w:t>
      </w:r>
      <w:r>
        <w:rPr>
          <w:rFonts w:ascii="ITC Avant Garde" w:eastAsia="Times New Roman" w:hAnsi="ITC Avant Garde" w:cs="Arial"/>
          <w:sz w:val="18"/>
          <w:szCs w:val="18"/>
          <w:lang w:val="es-ES" w:eastAsia="es-ES"/>
        </w:rPr>
        <w:t xml:space="preserve"> como </w:t>
      </w:r>
      <w:r w:rsidRPr="00B1598A">
        <w:rPr>
          <w:rFonts w:ascii="ITC Avant Garde" w:eastAsia="Times New Roman" w:hAnsi="ITC Avant Garde" w:cs="Arial"/>
          <w:sz w:val="18"/>
          <w:szCs w:val="18"/>
          <w:lang w:val="es-ES" w:eastAsia="es-ES"/>
        </w:rPr>
        <w:t>ejemplo, rubros utilizados por otros operadores de telecomunicaciones en el Estado de Pérdidas y Ganancias publicado en su Informe de Gestión</w:t>
      </w:r>
      <w:r>
        <w:rPr>
          <w:rFonts w:ascii="ITC Avant Garde" w:eastAsia="Times New Roman" w:hAnsi="ITC Avant Garde" w:cs="Arial"/>
          <w:sz w:val="18"/>
          <w:szCs w:val="18"/>
          <w:lang w:val="es-ES" w:eastAsia="es-ES"/>
        </w:rPr>
        <w:t xml:space="preserve"> o Administración</w:t>
      </w:r>
      <w:r w:rsidRPr="00B1598A">
        <w:rPr>
          <w:rFonts w:ascii="ITC Avant Garde" w:eastAsia="Times New Roman" w:hAnsi="ITC Avant Garde" w:cs="Arial"/>
          <w:sz w:val="18"/>
          <w:szCs w:val="18"/>
          <w:lang w:val="es-ES" w:eastAsia="es-ES"/>
        </w:rPr>
        <w:t>.</w:t>
      </w:r>
    </w:p>
  </w:footnote>
  <w:footnote w:id="83">
    <w:p w14:paraId="25B26584" w14:textId="0D169729" w:rsidR="00970710" w:rsidRPr="00B1598A" w:rsidRDefault="00970710" w:rsidP="00154F13">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Se presentan</w:t>
      </w:r>
      <w:r>
        <w:rPr>
          <w:rFonts w:ascii="ITC Avant Garde" w:eastAsia="Times New Roman" w:hAnsi="ITC Avant Garde" w:cs="Arial"/>
          <w:sz w:val="18"/>
          <w:szCs w:val="18"/>
          <w:lang w:val="es-ES" w:eastAsia="es-ES"/>
        </w:rPr>
        <w:t xml:space="preserve"> como</w:t>
      </w:r>
      <w:r w:rsidRPr="00B1598A">
        <w:rPr>
          <w:rFonts w:ascii="ITC Avant Garde" w:eastAsia="Times New Roman" w:hAnsi="ITC Avant Garde" w:cs="Arial"/>
          <w:sz w:val="18"/>
          <w:szCs w:val="18"/>
          <w:lang w:val="es-ES" w:eastAsia="es-ES"/>
        </w:rPr>
        <w:t xml:space="preserve"> ejemplo, rubros utilizados por otros operadores de </w:t>
      </w:r>
      <w:r>
        <w:rPr>
          <w:rFonts w:ascii="ITC Avant Garde" w:eastAsia="Times New Roman" w:hAnsi="ITC Avant Garde" w:cs="Arial"/>
          <w:sz w:val="18"/>
          <w:szCs w:val="18"/>
          <w:lang w:val="es-ES" w:eastAsia="es-ES"/>
        </w:rPr>
        <w:t>t</w:t>
      </w:r>
      <w:r w:rsidRPr="00B1598A">
        <w:rPr>
          <w:rFonts w:ascii="ITC Avant Garde" w:eastAsia="Times New Roman" w:hAnsi="ITC Avant Garde" w:cs="Arial"/>
          <w:sz w:val="18"/>
          <w:szCs w:val="18"/>
          <w:lang w:val="es-ES" w:eastAsia="es-ES"/>
        </w:rPr>
        <w:t>elecomunicaciones en la Balanza de Activos y Pasivos publicada en su Informe de Gestión</w:t>
      </w:r>
      <w:r>
        <w:rPr>
          <w:rFonts w:ascii="ITC Avant Garde" w:eastAsia="Times New Roman" w:hAnsi="ITC Avant Garde" w:cs="Arial"/>
          <w:sz w:val="18"/>
          <w:szCs w:val="18"/>
          <w:lang w:val="es-ES" w:eastAsia="es-ES"/>
        </w:rPr>
        <w:t xml:space="preserve"> o Administración</w:t>
      </w:r>
      <w:r w:rsidRPr="00B1598A">
        <w:rPr>
          <w:rFonts w:ascii="ITC Avant Garde" w:eastAsia="Times New Roman" w:hAnsi="ITC Avant Garde" w:cs="Arial"/>
          <w:sz w:val="18"/>
          <w:szCs w:val="18"/>
          <w:lang w:val="es-ES" w:eastAsia="es-ES"/>
        </w:rPr>
        <w:t>.</w:t>
      </w:r>
    </w:p>
  </w:footnote>
  <w:footnote w:id="84">
    <w:p w14:paraId="47ED2FE0" w14:textId="5BB3A43E" w:rsidR="00970710" w:rsidRPr="00B1598A" w:rsidRDefault="00970710" w:rsidP="00154F13">
      <w:pPr>
        <w:pStyle w:val="Textonotapie"/>
        <w:jc w:val="both"/>
        <w:rPr>
          <w:rFonts w:ascii="ITC Avant Garde" w:hAnsi="ITC Avant Garde"/>
          <w:sz w:val="18"/>
          <w:szCs w:val="18"/>
          <w:lang w:val="es-ES"/>
        </w:rPr>
      </w:pPr>
      <w:r w:rsidRPr="00B1598A">
        <w:rPr>
          <w:rFonts w:ascii="ITC Avant Garde" w:eastAsia="Times New Roman" w:hAnsi="ITC Avant Garde" w:cs="Arial"/>
          <w:sz w:val="18"/>
          <w:szCs w:val="18"/>
          <w:vertAlign w:val="superscript"/>
          <w:lang w:val="es-ES" w:eastAsia="es-ES"/>
        </w:rPr>
        <w:footnoteRef/>
      </w:r>
      <w:r w:rsidRPr="00B1598A">
        <w:rPr>
          <w:rFonts w:ascii="ITC Avant Garde" w:eastAsia="Times New Roman" w:hAnsi="ITC Avant Garde" w:cs="Arial"/>
          <w:sz w:val="18"/>
          <w:szCs w:val="18"/>
          <w:lang w:val="es-ES" w:eastAsia="es-ES"/>
        </w:rPr>
        <w:t xml:space="preserve"> Se presentan</w:t>
      </w:r>
      <w:r>
        <w:rPr>
          <w:rFonts w:ascii="ITC Avant Garde" w:eastAsia="Times New Roman" w:hAnsi="ITC Avant Garde" w:cs="Arial"/>
          <w:sz w:val="18"/>
          <w:szCs w:val="18"/>
          <w:lang w:val="es-ES" w:eastAsia="es-ES"/>
        </w:rPr>
        <w:t xml:space="preserve"> como </w:t>
      </w:r>
      <w:r w:rsidRPr="00B1598A">
        <w:rPr>
          <w:rFonts w:ascii="ITC Avant Garde" w:eastAsia="Times New Roman" w:hAnsi="ITC Avant Garde" w:cs="Arial"/>
          <w:sz w:val="18"/>
          <w:szCs w:val="18"/>
          <w:lang w:val="es-ES" w:eastAsia="es-ES"/>
        </w:rPr>
        <w:t xml:space="preserve">ejemplo, rubros utilizados por </w:t>
      </w:r>
      <w:r>
        <w:rPr>
          <w:rFonts w:ascii="ITC Avant Garde" w:eastAsia="Times New Roman" w:hAnsi="ITC Avant Garde" w:cs="Arial"/>
          <w:sz w:val="18"/>
          <w:szCs w:val="18"/>
          <w:lang w:val="es-ES" w:eastAsia="es-ES"/>
        </w:rPr>
        <w:t>otros operadores</w:t>
      </w:r>
      <w:r w:rsidRPr="00B1598A">
        <w:rPr>
          <w:rFonts w:ascii="ITC Avant Garde" w:eastAsia="Times New Roman" w:hAnsi="ITC Avant Garde" w:cs="Arial"/>
          <w:sz w:val="18"/>
          <w:szCs w:val="18"/>
          <w:lang w:val="es-ES" w:eastAsia="es-ES"/>
        </w:rPr>
        <w:t xml:space="preserve"> </w:t>
      </w:r>
      <w:r>
        <w:rPr>
          <w:rFonts w:ascii="ITC Avant Garde" w:eastAsia="Times New Roman" w:hAnsi="ITC Avant Garde" w:cs="Arial"/>
          <w:sz w:val="18"/>
          <w:szCs w:val="18"/>
          <w:lang w:val="es-ES" w:eastAsia="es-ES"/>
        </w:rPr>
        <w:t xml:space="preserve">de telecomunicaciones </w:t>
      </w:r>
      <w:r w:rsidRPr="00B1598A">
        <w:rPr>
          <w:rFonts w:ascii="ITC Avant Garde" w:eastAsia="Times New Roman" w:hAnsi="ITC Avant Garde" w:cs="Arial"/>
          <w:sz w:val="18"/>
          <w:szCs w:val="18"/>
          <w:lang w:val="es-ES" w:eastAsia="es-ES"/>
        </w:rPr>
        <w:t>en el Estado de Flujos de Efectivo publicado en su Informe de Gestión</w:t>
      </w:r>
      <w:r>
        <w:rPr>
          <w:rFonts w:ascii="ITC Avant Garde" w:eastAsia="Times New Roman" w:hAnsi="ITC Avant Garde" w:cs="Arial"/>
          <w:sz w:val="18"/>
          <w:szCs w:val="18"/>
          <w:lang w:val="es-ES" w:eastAsia="es-ES"/>
        </w:rPr>
        <w:t xml:space="preserve"> o Administración</w:t>
      </w:r>
      <w:r w:rsidRPr="00B1598A">
        <w:rPr>
          <w:rFonts w:ascii="ITC Avant Garde" w:eastAsia="Times New Roman" w:hAnsi="ITC Avant Garde" w:cs="Arial"/>
          <w:sz w:val="18"/>
          <w:szCs w:val="18"/>
          <w:lang w:val="es-ES" w:eastAsia="es-ES"/>
        </w:rPr>
        <w:t>.</w:t>
      </w:r>
    </w:p>
  </w:footnote>
  <w:footnote w:id="85">
    <w:p w14:paraId="715283AE" w14:textId="15B0B525" w:rsidR="00970710" w:rsidRPr="00B1598A" w:rsidRDefault="00970710" w:rsidP="00892164">
      <w:pPr>
        <w:pStyle w:val="Textonotapie"/>
        <w:rPr>
          <w:rFonts w:ascii="ITC Avant Garde" w:hAnsi="ITC Avant Garde"/>
          <w:sz w:val="18"/>
          <w:szCs w:val="18"/>
          <w:lang w:val="es-ES"/>
        </w:rPr>
      </w:pPr>
      <w:r w:rsidRPr="00B1598A">
        <w:rPr>
          <w:rStyle w:val="Refdenotaalpie"/>
          <w:rFonts w:ascii="ITC Avant Garde" w:hAnsi="ITC Avant Garde"/>
          <w:sz w:val="18"/>
          <w:szCs w:val="18"/>
        </w:rPr>
        <w:footnoteRef/>
      </w:r>
      <w:r w:rsidRPr="00B1598A">
        <w:rPr>
          <w:rFonts w:ascii="ITC Avant Garde" w:hAnsi="ITC Avant Garde"/>
          <w:sz w:val="18"/>
          <w:szCs w:val="18"/>
        </w:rPr>
        <w:t xml:space="preserve"> </w:t>
      </w:r>
      <w:r>
        <w:rPr>
          <w:rFonts w:ascii="ITC Avant Garde" w:hAnsi="ITC Avant Garde"/>
          <w:sz w:val="18"/>
          <w:szCs w:val="18"/>
        </w:rPr>
        <w:t xml:space="preserve">Por sus </w:t>
      </w:r>
      <w:r w:rsidRPr="00B1598A">
        <w:rPr>
          <w:rFonts w:ascii="ITC Avant Garde" w:hAnsi="ITC Avant Garde"/>
          <w:sz w:val="18"/>
          <w:szCs w:val="18"/>
          <w:lang w:val="es-ES"/>
        </w:rPr>
        <w:t>siglas</w:t>
      </w:r>
      <w:r>
        <w:rPr>
          <w:rFonts w:ascii="ITC Avant Garde" w:hAnsi="ITC Avant Garde"/>
          <w:sz w:val="18"/>
          <w:szCs w:val="18"/>
          <w:lang w:val="es-ES"/>
        </w:rPr>
        <w:t xml:space="preserve"> en inglés</w:t>
      </w:r>
      <w:r w:rsidRPr="00B1598A">
        <w:rPr>
          <w:rFonts w:ascii="ITC Avant Garde" w:hAnsi="ITC Avant Garde"/>
          <w:sz w:val="18"/>
          <w:szCs w:val="18"/>
          <w:lang w:val="es-ES"/>
        </w:rPr>
        <w:t xml:space="preserve">, </w:t>
      </w:r>
      <w:r w:rsidRPr="00B1598A">
        <w:rPr>
          <w:rFonts w:ascii="ITC Avant Garde" w:hAnsi="ITC Avant Garde"/>
          <w:i/>
          <w:iCs/>
          <w:sz w:val="18"/>
          <w:szCs w:val="18"/>
          <w:lang w:val="es-ES"/>
        </w:rPr>
        <w:t>Activity Based Costing</w:t>
      </w:r>
      <w:r w:rsidRPr="00B1598A">
        <w:rPr>
          <w:rFonts w:ascii="ITC Avant Garde" w:hAnsi="ITC Avant Garde"/>
          <w:sz w:val="18"/>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C06DD" w14:textId="2B102DA0" w:rsidR="00D43F23" w:rsidRDefault="00D43F23">
    <w:pPr>
      <w:pStyle w:val="Encabezado"/>
    </w:pPr>
    <w:r>
      <w:rPr>
        <w:noProof/>
      </w:rPr>
      <w:pict w14:anchorId="25F7B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808094" o:spid="_x0000_s2050" type="#_x0000_t136" style="position:absolute;margin-left:0;margin-top:0;width:534.05pt;height:89pt;rotation:315;z-index:-251655168;mso-position-horizontal:center;mso-position-horizontal-relative:margin;mso-position-vertical:center;mso-position-vertical-relative:margin" o:allowincell="f" fillcolor="#a5a5a5 [2092]" stroked="f">
          <v:fill opacity=".5"/>
          <v:textpath style="font-family:&quot;ITC Avant Garde&quot;;font-size:1pt" string="Ante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E6315" w14:textId="081497F0" w:rsidR="00D43F23" w:rsidRDefault="00D43F23">
    <w:pPr>
      <w:pStyle w:val="Encabezado"/>
    </w:pPr>
    <w:r>
      <w:rPr>
        <w:noProof/>
      </w:rPr>
      <w:pict w14:anchorId="0F714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808095" o:spid="_x0000_s2051" type="#_x0000_t136" style="position:absolute;margin-left:0;margin-top:0;width:534.05pt;height:89pt;rotation:315;z-index:-251653120;mso-position-horizontal:center;mso-position-horizontal-relative:margin;mso-position-vertical:center;mso-position-vertical-relative:margin" o:allowincell="f" fillcolor="#a5a5a5 [2092]" stroked="f">
          <v:fill opacity=".5"/>
          <v:textpath style="font-family:&quot;ITC Avant Garde&quot;;font-size:1pt" string="Ante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9751" w14:textId="2D334B5E" w:rsidR="00D43F23" w:rsidRDefault="00D43F23">
    <w:pPr>
      <w:pStyle w:val="Encabezado"/>
    </w:pPr>
    <w:r>
      <w:rPr>
        <w:noProof/>
      </w:rPr>
      <w:pict w14:anchorId="61C71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808093" o:spid="_x0000_s2049" type="#_x0000_t136" style="position:absolute;margin-left:0;margin-top:0;width:534.05pt;height:89pt;rotation:315;z-index:-251657216;mso-position-horizontal:center;mso-position-horizontal-relative:margin;mso-position-vertical:center;mso-position-vertical-relative:margin" o:allowincell="f" fillcolor="#a5a5a5 [2092]" stroked="f">
          <v:fill opacity=".5"/>
          <v:textpath style="font-family:&quot;ITC Avant Garde&quot;;font-size:1pt" string="Anteproyecto"/>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85DBA" w14:textId="6E316F50" w:rsidR="00D43F23" w:rsidRDefault="00D43F23">
    <w:pPr>
      <w:pStyle w:val="Encabezado"/>
    </w:pPr>
    <w:r>
      <w:rPr>
        <w:noProof/>
      </w:rPr>
      <w:pict w14:anchorId="20656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808097" o:spid="_x0000_s2053" type="#_x0000_t136" style="position:absolute;margin-left:0;margin-top:0;width:534.05pt;height:89pt;rotation:315;z-index:-251649024;mso-position-horizontal:center;mso-position-horizontal-relative:margin;mso-position-vertical:center;mso-position-vertical-relative:margin" o:allowincell="f" fillcolor="#a5a5a5 [2092]" stroked="f">
          <v:fill opacity=".5"/>
          <v:textpath style="font-family:&quot;ITC Avant Garde&quot;;font-size:1pt" string="Anteproyecto"/>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6CF15" w14:textId="42160894" w:rsidR="00D43F23" w:rsidRDefault="00D43F23">
    <w:pPr>
      <w:pStyle w:val="Encabezado"/>
    </w:pPr>
    <w:r>
      <w:rPr>
        <w:noProof/>
      </w:rPr>
      <w:pict w14:anchorId="0C1CA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808098" o:spid="_x0000_s2054" type="#_x0000_t136" style="position:absolute;margin-left:0;margin-top:0;width:534.05pt;height:89pt;rotation:315;z-index:-251646976;mso-position-horizontal:center;mso-position-horizontal-relative:margin;mso-position-vertical:center;mso-position-vertical-relative:margin" o:allowincell="f" fillcolor="#a5a5a5 [2092]" stroked="f">
          <v:fill opacity=".5"/>
          <v:textpath style="font-family:&quot;ITC Avant Garde&quot;;font-size:1pt" string="Anteproyecto"/>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10E1E" w14:textId="70130FCE" w:rsidR="00D43F23" w:rsidRDefault="00D43F23">
    <w:pPr>
      <w:pStyle w:val="Encabezado"/>
    </w:pPr>
    <w:r>
      <w:rPr>
        <w:noProof/>
      </w:rPr>
      <w:pict w14:anchorId="24F1E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808096" o:spid="_x0000_s2052" type="#_x0000_t136" style="position:absolute;margin-left:0;margin-top:0;width:534.05pt;height:89pt;rotation:315;z-index:-251651072;mso-position-horizontal:center;mso-position-horizontal-relative:margin;mso-position-vertical:center;mso-position-vertical-relative:margin" o:allowincell="f" fillcolor="#a5a5a5 [2092]" stroked="f">
          <v:fill opacity=".5"/>
          <v:textpath style="font-family:&quot;ITC Avant Garde&quot;;font-size:1pt" string="Ante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8pt;height:34.5pt" o:bullet="t">
        <v:imagedata r:id="rId1" o:title="flecha"/>
      </v:shape>
    </w:pict>
  </w:numPicBullet>
  <w:abstractNum w:abstractNumId="0" w15:restartNumberingAfterBreak="0">
    <w:nsid w:val="FFFFFF83"/>
    <w:multiLevelType w:val="singleLevel"/>
    <w:tmpl w:val="B75A84B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6CA60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457781"/>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C7044E"/>
    <w:multiLevelType w:val="singleLevel"/>
    <w:tmpl w:val="17240298"/>
    <w:lvl w:ilvl="0">
      <w:start w:val="1"/>
      <w:numFmt w:val="bullet"/>
      <w:pStyle w:val="L1"/>
      <w:lvlText w:val=""/>
      <w:lvlJc w:val="left"/>
      <w:pPr>
        <w:tabs>
          <w:tab w:val="num" w:pos="360"/>
        </w:tabs>
        <w:ind w:left="360" w:hanging="360"/>
      </w:pPr>
      <w:rPr>
        <w:rFonts w:ascii="Symbol" w:hAnsi="Symbol" w:hint="default"/>
        <w:sz w:val="20"/>
      </w:rPr>
    </w:lvl>
  </w:abstractNum>
  <w:abstractNum w:abstractNumId="4" w15:restartNumberingAfterBreak="0">
    <w:nsid w:val="0280246D"/>
    <w:multiLevelType w:val="multilevel"/>
    <w:tmpl w:val="656C691C"/>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E42112"/>
    <w:multiLevelType w:val="hybridMultilevel"/>
    <w:tmpl w:val="B60A144A"/>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3EA5D5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BD7627"/>
    <w:multiLevelType w:val="multilevel"/>
    <w:tmpl w:val="E48C5382"/>
    <w:lvl w:ilvl="0">
      <w:start w:val="1"/>
      <w:numFmt w:val="bullet"/>
      <w:pStyle w:val="BulletPoints"/>
      <w:lvlText w:val=""/>
      <w:lvlJc w:val="left"/>
      <w:pPr>
        <w:ind w:left="3905"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Wingdings" w:hAnsi="Wingdings" w:hint="default"/>
        <w:color w:val="5B9BD5" w:themeColor="accent1"/>
      </w:rPr>
    </w:lvl>
    <w:lvl w:ilvl="2">
      <w:start w:val="1"/>
      <w:numFmt w:val="bullet"/>
      <w:lvlText w:val="‒"/>
      <w:lvlJc w:val="left"/>
      <w:pPr>
        <w:tabs>
          <w:tab w:val="num" w:pos="1800"/>
        </w:tabs>
        <w:ind w:left="1800" w:hanging="360"/>
      </w:pPr>
      <w:rPr>
        <w:rFonts w:ascii="Verdana" w:hAnsi="Verdana" w:hint="default"/>
        <w:color w:val="B46566"/>
      </w:rPr>
    </w:lvl>
    <w:lvl w:ilvl="3">
      <w:start w:val="1"/>
      <w:numFmt w:val="bullet"/>
      <w:lvlText w:val="‒"/>
      <w:lvlJc w:val="left"/>
      <w:pPr>
        <w:tabs>
          <w:tab w:val="num" w:pos="2520"/>
        </w:tabs>
        <w:ind w:left="2520" w:hanging="360"/>
      </w:pPr>
      <w:rPr>
        <w:rFonts w:ascii="Verdana" w:hAnsi="Verdana" w:hint="default"/>
        <w:color w:val="B46566"/>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4F259B1"/>
    <w:multiLevelType w:val="hybridMultilevel"/>
    <w:tmpl w:val="68863C18"/>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6837999"/>
    <w:multiLevelType w:val="hybridMultilevel"/>
    <w:tmpl w:val="7E8AFC98"/>
    <w:lvl w:ilvl="0" w:tplc="0C0A000F">
      <w:start w:val="1"/>
      <w:numFmt w:val="decimal"/>
      <w:lvlText w:val="%1."/>
      <w:lvlJc w:val="left"/>
      <w:pPr>
        <w:ind w:left="1008" w:hanging="360"/>
      </w:pPr>
      <w:rPr>
        <w:rFonts w:hint="default"/>
        <w:b w:val="0"/>
        <w:bCs w:val="0"/>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10" w15:restartNumberingAfterBreak="0">
    <w:nsid w:val="06B61A2F"/>
    <w:multiLevelType w:val="hybridMultilevel"/>
    <w:tmpl w:val="44783096"/>
    <w:lvl w:ilvl="0" w:tplc="37C855E0">
      <w:start w:val="1"/>
      <w:numFmt w:val="bullet"/>
      <w:lvlText w:val="•"/>
      <w:lvlJc w:val="left"/>
      <w:pPr>
        <w:tabs>
          <w:tab w:val="num" w:pos="720"/>
        </w:tabs>
        <w:ind w:left="720" w:hanging="360"/>
      </w:pPr>
      <w:rPr>
        <w:rFonts w:ascii="Arial" w:hAnsi="Arial" w:hint="default"/>
      </w:rPr>
    </w:lvl>
    <w:lvl w:ilvl="1" w:tplc="EAEE32EA" w:tentative="1">
      <w:start w:val="1"/>
      <w:numFmt w:val="bullet"/>
      <w:lvlText w:val="•"/>
      <w:lvlJc w:val="left"/>
      <w:pPr>
        <w:tabs>
          <w:tab w:val="num" w:pos="1440"/>
        </w:tabs>
        <w:ind w:left="1440" w:hanging="360"/>
      </w:pPr>
      <w:rPr>
        <w:rFonts w:ascii="Arial" w:hAnsi="Arial" w:hint="default"/>
      </w:rPr>
    </w:lvl>
    <w:lvl w:ilvl="2" w:tplc="837465F6" w:tentative="1">
      <w:start w:val="1"/>
      <w:numFmt w:val="bullet"/>
      <w:lvlText w:val="•"/>
      <w:lvlJc w:val="left"/>
      <w:pPr>
        <w:tabs>
          <w:tab w:val="num" w:pos="2160"/>
        </w:tabs>
        <w:ind w:left="2160" w:hanging="360"/>
      </w:pPr>
      <w:rPr>
        <w:rFonts w:ascii="Arial" w:hAnsi="Arial" w:hint="default"/>
      </w:rPr>
    </w:lvl>
    <w:lvl w:ilvl="3" w:tplc="23F84E4C" w:tentative="1">
      <w:start w:val="1"/>
      <w:numFmt w:val="bullet"/>
      <w:lvlText w:val="•"/>
      <w:lvlJc w:val="left"/>
      <w:pPr>
        <w:tabs>
          <w:tab w:val="num" w:pos="2880"/>
        </w:tabs>
        <w:ind w:left="2880" w:hanging="360"/>
      </w:pPr>
      <w:rPr>
        <w:rFonts w:ascii="Arial" w:hAnsi="Arial" w:hint="default"/>
      </w:rPr>
    </w:lvl>
    <w:lvl w:ilvl="4" w:tplc="40C2E624" w:tentative="1">
      <w:start w:val="1"/>
      <w:numFmt w:val="bullet"/>
      <w:lvlText w:val="•"/>
      <w:lvlJc w:val="left"/>
      <w:pPr>
        <w:tabs>
          <w:tab w:val="num" w:pos="3600"/>
        </w:tabs>
        <w:ind w:left="3600" w:hanging="360"/>
      </w:pPr>
      <w:rPr>
        <w:rFonts w:ascii="Arial" w:hAnsi="Arial" w:hint="default"/>
      </w:rPr>
    </w:lvl>
    <w:lvl w:ilvl="5" w:tplc="78665EF2" w:tentative="1">
      <w:start w:val="1"/>
      <w:numFmt w:val="bullet"/>
      <w:lvlText w:val="•"/>
      <w:lvlJc w:val="left"/>
      <w:pPr>
        <w:tabs>
          <w:tab w:val="num" w:pos="4320"/>
        </w:tabs>
        <w:ind w:left="4320" w:hanging="360"/>
      </w:pPr>
      <w:rPr>
        <w:rFonts w:ascii="Arial" w:hAnsi="Arial" w:hint="default"/>
      </w:rPr>
    </w:lvl>
    <w:lvl w:ilvl="6" w:tplc="F8AA4A18" w:tentative="1">
      <w:start w:val="1"/>
      <w:numFmt w:val="bullet"/>
      <w:lvlText w:val="•"/>
      <w:lvlJc w:val="left"/>
      <w:pPr>
        <w:tabs>
          <w:tab w:val="num" w:pos="5040"/>
        </w:tabs>
        <w:ind w:left="5040" w:hanging="360"/>
      </w:pPr>
      <w:rPr>
        <w:rFonts w:ascii="Arial" w:hAnsi="Arial" w:hint="default"/>
      </w:rPr>
    </w:lvl>
    <w:lvl w:ilvl="7" w:tplc="E5B266C0" w:tentative="1">
      <w:start w:val="1"/>
      <w:numFmt w:val="bullet"/>
      <w:lvlText w:val="•"/>
      <w:lvlJc w:val="left"/>
      <w:pPr>
        <w:tabs>
          <w:tab w:val="num" w:pos="5760"/>
        </w:tabs>
        <w:ind w:left="5760" w:hanging="360"/>
      </w:pPr>
      <w:rPr>
        <w:rFonts w:ascii="Arial" w:hAnsi="Arial" w:hint="default"/>
      </w:rPr>
    </w:lvl>
    <w:lvl w:ilvl="8" w:tplc="404C25B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6D41863"/>
    <w:multiLevelType w:val="multilevel"/>
    <w:tmpl w:val="42FACFF6"/>
    <w:lvl w:ilvl="0">
      <w:start w:val="1"/>
      <w:numFmt w:val="decimal"/>
      <w:lvlText w:val="%1."/>
      <w:lvlJc w:val="left"/>
      <w:pPr>
        <w:ind w:left="502" w:hanging="360"/>
      </w:pPr>
      <w:rPr>
        <w:rFonts w:hint="default"/>
        <w:b w:val="0"/>
        <w:bCs/>
        <w:i w:val="0"/>
        <w:color w:val="0C2749"/>
        <w:sz w:val="18"/>
        <w:szCs w:val="16"/>
      </w:rPr>
    </w:lvl>
    <w:lvl w:ilvl="1">
      <w:start w:val="1"/>
      <w:numFmt w:val="decimal"/>
      <w:pStyle w:val="A1L2"/>
      <w:suff w:val="space"/>
      <w:lvlText w:val="%1.%2."/>
      <w:lvlJc w:val="left"/>
      <w:pPr>
        <w:ind w:left="934" w:hanging="432"/>
      </w:pPr>
      <w:rPr>
        <w:rFonts w:hint="default"/>
      </w:rPr>
    </w:lvl>
    <w:lvl w:ilvl="2">
      <w:start w:val="1"/>
      <w:numFmt w:val="decimal"/>
      <w:suff w:val="space"/>
      <w:lvlText w:val="%1.%2.%3."/>
      <w:lvlJc w:val="left"/>
      <w:pPr>
        <w:ind w:left="1366" w:hanging="1366"/>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2" w15:restartNumberingAfterBreak="0">
    <w:nsid w:val="0AAA598A"/>
    <w:multiLevelType w:val="hybridMultilevel"/>
    <w:tmpl w:val="B4A6C2C2"/>
    <w:lvl w:ilvl="0" w:tplc="B57E2E4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B492D3E"/>
    <w:multiLevelType w:val="multilevel"/>
    <w:tmpl w:val="C7F2047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5429DD"/>
    <w:multiLevelType w:val="hybridMultilevel"/>
    <w:tmpl w:val="07DE1546"/>
    <w:lvl w:ilvl="0" w:tplc="9A508450">
      <w:start w:val="1"/>
      <w:numFmt w:val="decimal"/>
      <w:lvlText w:val="%1."/>
      <w:lvlJc w:val="left"/>
      <w:pPr>
        <w:ind w:left="1008" w:hanging="360"/>
      </w:pPr>
      <w:rPr>
        <w:rFonts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15" w15:restartNumberingAfterBreak="0">
    <w:nsid w:val="148B555E"/>
    <w:multiLevelType w:val="hybridMultilevel"/>
    <w:tmpl w:val="7EE463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16B25E3F"/>
    <w:multiLevelType w:val="hybridMultilevel"/>
    <w:tmpl w:val="07DE1546"/>
    <w:lvl w:ilvl="0" w:tplc="9A508450">
      <w:start w:val="1"/>
      <w:numFmt w:val="decimal"/>
      <w:lvlText w:val="%1."/>
      <w:lvlJc w:val="left"/>
      <w:pPr>
        <w:ind w:left="1008" w:hanging="360"/>
      </w:pPr>
      <w:rPr>
        <w:rFonts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17" w15:restartNumberingAfterBreak="0">
    <w:nsid w:val="17943757"/>
    <w:multiLevelType w:val="multilevel"/>
    <w:tmpl w:val="0B12EFB4"/>
    <w:lvl w:ilvl="0">
      <w:start w:val="2"/>
      <w:numFmt w:val="upperRoman"/>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189A0B61"/>
    <w:multiLevelType w:val="multilevel"/>
    <w:tmpl w:val="EA041EC8"/>
    <w:lvl w:ilvl="0">
      <w:start w:val="1"/>
      <w:numFmt w:val="decimal"/>
      <w:lvlText w:val="%1."/>
      <w:lvlJc w:val="left"/>
      <w:pPr>
        <w:ind w:left="502" w:hanging="360"/>
      </w:pPr>
      <w:rPr>
        <w:rFonts w:hint="default"/>
        <w:b w:val="0"/>
        <w:bCs/>
        <w:i w:val="0"/>
        <w:color w:val="0C2749"/>
        <w:sz w:val="18"/>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9" w15:restartNumberingAfterBreak="0">
    <w:nsid w:val="1BD0333A"/>
    <w:multiLevelType w:val="multilevel"/>
    <w:tmpl w:val="3CB8E8BC"/>
    <w:lvl w:ilvl="0">
      <w:start w:val="1"/>
      <w:numFmt w:val="bullet"/>
      <w:pStyle w:val="I1"/>
      <w:lvlText w:val="►"/>
      <w:lvlJc w:val="left"/>
      <w:pPr>
        <w:tabs>
          <w:tab w:val="num" w:pos="717"/>
        </w:tabs>
        <w:ind w:left="717" w:hanging="360"/>
      </w:pPr>
      <w:rPr>
        <w:rFonts w:ascii="Arial" w:hAnsi="Arial"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20" w15:restartNumberingAfterBreak="0">
    <w:nsid w:val="1D6F5F5E"/>
    <w:multiLevelType w:val="multilevel"/>
    <w:tmpl w:val="9DE84D4E"/>
    <w:lvl w:ilvl="0">
      <w:start w:val="1"/>
      <w:numFmt w:val="upperLetter"/>
      <w:pStyle w:val="Annex1"/>
      <w:lvlText w:val="Anexo %1."/>
      <w:lvlJc w:val="left"/>
      <w:pPr>
        <w:ind w:left="360" w:hanging="360"/>
      </w:pPr>
      <w:rPr>
        <w:rFonts w:hint="default"/>
        <w:b/>
        <w:i w:val="0"/>
        <w:color w:val="5B9BD5" w:themeColor="accent1"/>
        <w:sz w:val="40"/>
        <w:szCs w:val="40"/>
      </w:rPr>
    </w:lvl>
    <w:lvl w:ilvl="1">
      <w:start w:val="1"/>
      <w:numFmt w:val="decimal"/>
      <w:pStyle w:val="Annexlv2"/>
      <w:suff w:val="space"/>
      <w:lvlText w:val="%1.%2."/>
      <w:lvlJc w:val="left"/>
      <w:pPr>
        <w:ind w:left="357" w:hanging="357"/>
      </w:pPr>
      <w:rPr>
        <w:rFonts w:hint="default"/>
        <w:b w:val="0"/>
        <w:bCs/>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AnnexLvl3"/>
      <w:suff w:val="space"/>
      <w:lvlText w:val="%1.%2.%3."/>
      <w:lvlJc w:val="left"/>
      <w:pPr>
        <w:ind w:left="1067" w:hanging="357"/>
      </w:pPr>
      <w:rPr>
        <w:rFonts w:hint="default"/>
        <w:b/>
        <w:bCs w:val="0"/>
        <w:i w:val="0"/>
        <w:iCs w:val="0"/>
        <w:caps w:val="0"/>
        <w:smallCaps w:val="0"/>
        <w:strike w:val="0"/>
        <w:dstrike w:val="0"/>
        <w:noProof w:val="0"/>
        <w:vanish w:val="0"/>
        <w:webHidden w:val="0"/>
        <w:color w:val="5B9BD5" w:themeColor="accent1"/>
        <w:spacing w:val="0"/>
        <w:kern w:val="0"/>
        <w:position w:val="0"/>
        <w:u w:val="none"/>
        <w:effect w:val="none"/>
        <w:vertAlign w:val="baseline"/>
        <w:em w:val="none"/>
        <w:specVanish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E1B2A6C"/>
    <w:multiLevelType w:val="hybridMultilevel"/>
    <w:tmpl w:val="C5888750"/>
    <w:lvl w:ilvl="0" w:tplc="75AE19C6">
      <w:start w:val="1"/>
      <w:numFmt w:val="decimal"/>
      <w:lvlText w:val="%1."/>
      <w:lvlJc w:val="left"/>
      <w:pPr>
        <w:ind w:left="1008" w:hanging="360"/>
      </w:pPr>
      <w:rPr>
        <w:rFonts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22" w15:restartNumberingAfterBreak="0">
    <w:nsid w:val="1F786A5C"/>
    <w:multiLevelType w:val="multilevel"/>
    <w:tmpl w:val="D8C486E6"/>
    <w:styleLink w:val="AA1L1"/>
    <w:lvl w:ilvl="0">
      <w:start w:val="1"/>
      <w:numFmt w:val="decimal"/>
      <w:suff w:val="space"/>
      <w:lvlText w:val="%1."/>
      <w:lvlJc w:val="left"/>
      <w:pPr>
        <w:ind w:left="0" w:firstLine="0"/>
      </w:pPr>
      <w:rPr>
        <w:rFonts w:ascii="ITC Avant Garde" w:hAnsi="ITC Avant Garde" w:hint="default"/>
        <w:sz w:val="22"/>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215B5CBF"/>
    <w:multiLevelType w:val="hybridMultilevel"/>
    <w:tmpl w:val="65947018"/>
    <w:lvl w:ilvl="0" w:tplc="FDBE30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1B609A9"/>
    <w:multiLevelType w:val="multilevel"/>
    <w:tmpl w:val="25A0E8F2"/>
    <w:lvl w:ilvl="0">
      <w:start w:val="1"/>
      <w:numFmt w:val="decimal"/>
      <w:pStyle w:val="Paragraph"/>
      <w:lvlText w:val="%1."/>
      <w:lvlJc w:val="left"/>
      <w:pPr>
        <w:ind w:left="360" w:hanging="360"/>
      </w:pPr>
      <w:rPr>
        <w:rFonts w:cs="Times New Roman" w:hint="default"/>
      </w:rPr>
    </w:lvl>
    <w:lvl w:ilvl="1">
      <w:start w:val="1"/>
      <w:numFmt w:val="decimal"/>
      <w:pStyle w:val="Paragraph2"/>
      <w:lvlText w:val="%1.%2."/>
      <w:lvlJc w:val="left"/>
      <w:pPr>
        <w:ind w:left="1080" w:hanging="360"/>
      </w:pPr>
      <w:rPr>
        <w:rFonts w:cs="Times New Roman" w:hint="default"/>
        <w:b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21F911AF"/>
    <w:multiLevelType w:val="hybridMultilevel"/>
    <w:tmpl w:val="50A40BF2"/>
    <w:lvl w:ilvl="0" w:tplc="0809000F">
      <w:start w:val="1"/>
      <w:numFmt w:val="decimal"/>
      <w:lvlText w:val="%1."/>
      <w:lvlJc w:val="left"/>
      <w:pPr>
        <w:ind w:left="1008" w:hanging="360"/>
      </w:pPr>
      <w:rPr>
        <w:rFonts w:hint="default"/>
      </w:rPr>
    </w:lvl>
    <w:lvl w:ilvl="1" w:tplc="0B5C45D4">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26" w15:restartNumberingAfterBreak="0">
    <w:nsid w:val="23AA68FF"/>
    <w:multiLevelType w:val="multilevel"/>
    <w:tmpl w:val="6CC2C636"/>
    <w:lvl w:ilvl="0">
      <w:start w:val="1"/>
      <w:numFmt w:val="decimal"/>
      <w:lvlText w:val="%1."/>
      <w:lvlJc w:val="left"/>
      <w:pPr>
        <w:ind w:left="0" w:firstLine="0"/>
      </w:pPr>
    </w:lvl>
    <w:lvl w:ilvl="1">
      <w:start w:val="1"/>
      <w:numFmt w:val="decimal"/>
      <w:lvlText w:val="A1.%2"/>
      <w:lvlJc w:val="left"/>
      <w:pPr>
        <w:ind w:left="0" w:firstLine="0"/>
      </w:pPr>
    </w:lvl>
    <w:lvl w:ilvl="2">
      <w:start w:val="1"/>
      <w:numFmt w:val="decimal"/>
      <w:lvlRestart w:val="0"/>
      <w:suff w:val="space"/>
      <w:lvlText w:val="A%1.%2.%3"/>
      <w:lvlJc w:val="left"/>
      <w:pPr>
        <w:ind w:left="0" w:firstLine="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space"/>
      <w:lvlText w:val="A%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15:restartNumberingAfterBreak="0">
    <w:nsid w:val="246E4ABB"/>
    <w:multiLevelType w:val="hybridMultilevel"/>
    <w:tmpl w:val="47AE4472"/>
    <w:lvl w:ilvl="0" w:tplc="3E8604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66D4E09"/>
    <w:multiLevelType w:val="hybridMultilevel"/>
    <w:tmpl w:val="D2743A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6BF22D5"/>
    <w:multiLevelType w:val="multilevel"/>
    <w:tmpl w:val="1BA60C4A"/>
    <w:lvl w:ilvl="0">
      <w:start w:val="1"/>
      <w:numFmt w:val="decimal"/>
      <w:lvlText w:val="%1."/>
      <w:lvlJc w:val="left"/>
      <w:pPr>
        <w:ind w:left="360" w:hanging="360"/>
      </w:pPr>
    </w:lvl>
    <w:lvl w:ilvl="1">
      <w:start w:val="1"/>
      <w:numFmt w:val="decimal"/>
      <w:lvlText w:val="A1.%2"/>
      <w:lvlJc w:val="left"/>
      <w:pPr>
        <w:ind w:left="792" w:hanging="432"/>
      </w:pPr>
    </w:lvl>
    <w:lvl w:ilvl="2">
      <w:start w:val="1"/>
      <w:numFmt w:val="decimal"/>
      <w:lvlText w:val="A%1.%2.%3."/>
      <w:lvlJc w:val="left"/>
      <w:pPr>
        <w:ind w:left="1224" w:hanging="504"/>
      </w:pPr>
    </w:lvl>
    <w:lvl w:ilvl="3">
      <w:start w:val="1"/>
      <w:numFmt w:val="decimal"/>
      <w:lvlText w:val="A%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A385BE5"/>
    <w:multiLevelType w:val="hybridMultilevel"/>
    <w:tmpl w:val="42BEC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B3004D9"/>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BF05BEA"/>
    <w:multiLevelType w:val="hybridMultilevel"/>
    <w:tmpl w:val="C7B02F62"/>
    <w:lvl w:ilvl="0" w:tplc="20A26492">
      <w:start w:val="1"/>
      <w:numFmt w:val="bullet"/>
      <w:pStyle w:val="Indentado2"/>
      <w:lvlText w:val="v"/>
      <w:lvlJc w:val="left"/>
      <w:pPr>
        <w:ind w:left="1176" w:hanging="360"/>
      </w:pPr>
      <w:rPr>
        <w:rFonts w:ascii="Wingdings" w:hAnsi="Wingdings" w:hint="default"/>
        <w:color w:val="5B9BD5" w:themeColor="accent1"/>
      </w:rPr>
    </w:lvl>
    <w:lvl w:ilvl="1" w:tplc="040A0003">
      <w:start w:val="1"/>
      <w:numFmt w:val="bullet"/>
      <w:lvlText w:val="o"/>
      <w:lvlJc w:val="left"/>
      <w:pPr>
        <w:ind w:left="2214" w:hanging="360"/>
      </w:pPr>
      <w:rPr>
        <w:rFonts w:ascii="Courier New" w:hAnsi="Courier New" w:cs="Courier New" w:hint="default"/>
      </w:rPr>
    </w:lvl>
    <w:lvl w:ilvl="2" w:tplc="040A0005">
      <w:start w:val="1"/>
      <w:numFmt w:val="bullet"/>
      <w:lvlText w:val=""/>
      <w:lvlJc w:val="left"/>
      <w:pPr>
        <w:ind w:left="2934" w:hanging="360"/>
      </w:pPr>
      <w:rPr>
        <w:rFonts w:ascii="Wingdings" w:hAnsi="Wingdings" w:hint="default"/>
      </w:rPr>
    </w:lvl>
    <w:lvl w:ilvl="3" w:tplc="040A000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33" w15:restartNumberingAfterBreak="0">
    <w:nsid w:val="2C974FC1"/>
    <w:multiLevelType w:val="hybridMultilevel"/>
    <w:tmpl w:val="CE10AFAE"/>
    <w:lvl w:ilvl="0" w:tplc="1B702216">
      <w:start w:val="1"/>
      <w:numFmt w:val="decimal"/>
      <w:lvlText w:val="%1."/>
      <w:lvlJc w:val="left"/>
      <w:pPr>
        <w:ind w:left="720" w:hanging="360"/>
      </w:pPr>
      <w:rPr>
        <w:rFonts w:ascii="Verdana" w:hAnsi="Verdana" w:hint="default"/>
        <w:color w:val="0C2749"/>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1066DE"/>
    <w:multiLevelType w:val="multilevel"/>
    <w:tmpl w:val="D2CEDA08"/>
    <w:styleLink w:val="AnexoL1"/>
    <w:lvl w:ilvl="0">
      <w:start w:val="1"/>
      <w:numFmt w:val="upperLetter"/>
      <w:lvlText w:val="Anexo %1."/>
      <w:lvlJc w:val="left"/>
      <w:pPr>
        <w:ind w:left="360" w:hanging="360"/>
      </w:pPr>
      <w:rPr>
        <w:rFonts w:ascii="Verdana" w:hAnsi="Verdana" w:hint="default"/>
        <w:color w:val="002060"/>
        <w:sz w:val="40"/>
      </w:rPr>
    </w:lvl>
    <w:lvl w:ilvl="1">
      <w:start w:val="1"/>
      <w:numFmt w:val="decimal"/>
      <w:lvlText w:val="%1.%2."/>
      <w:lvlJc w:val="left"/>
      <w:pPr>
        <w:ind w:left="720" w:hanging="360"/>
      </w:pPr>
      <w:rPr>
        <w:rFonts w:ascii="Verdana" w:hAnsi="Verdana" w:hint="default"/>
        <w:b w:val="0"/>
        <w:i w:val="0"/>
        <w:color w:val="385623" w:themeColor="accent6" w:themeShade="80"/>
        <w:sz w:val="28"/>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75132"/>
    <w:multiLevelType w:val="hybridMultilevel"/>
    <w:tmpl w:val="6F069CDE"/>
    <w:lvl w:ilvl="0" w:tplc="757ED500">
      <w:start w:val="1"/>
      <w:numFmt w:val="bullet"/>
      <w:lvlText w:val="•"/>
      <w:lvlJc w:val="left"/>
      <w:pPr>
        <w:tabs>
          <w:tab w:val="num" w:pos="720"/>
        </w:tabs>
        <w:ind w:left="720" w:hanging="360"/>
      </w:pPr>
      <w:rPr>
        <w:rFonts w:ascii="Arial" w:hAnsi="Arial" w:hint="default"/>
      </w:rPr>
    </w:lvl>
    <w:lvl w:ilvl="1" w:tplc="F36C04A4" w:tentative="1">
      <w:start w:val="1"/>
      <w:numFmt w:val="bullet"/>
      <w:lvlText w:val="•"/>
      <w:lvlJc w:val="left"/>
      <w:pPr>
        <w:tabs>
          <w:tab w:val="num" w:pos="1440"/>
        </w:tabs>
        <w:ind w:left="1440" w:hanging="360"/>
      </w:pPr>
      <w:rPr>
        <w:rFonts w:ascii="Arial" w:hAnsi="Arial" w:hint="default"/>
      </w:rPr>
    </w:lvl>
    <w:lvl w:ilvl="2" w:tplc="67140A58" w:tentative="1">
      <w:start w:val="1"/>
      <w:numFmt w:val="bullet"/>
      <w:lvlText w:val="•"/>
      <w:lvlJc w:val="left"/>
      <w:pPr>
        <w:tabs>
          <w:tab w:val="num" w:pos="2160"/>
        </w:tabs>
        <w:ind w:left="2160" w:hanging="360"/>
      </w:pPr>
      <w:rPr>
        <w:rFonts w:ascii="Arial" w:hAnsi="Arial" w:hint="default"/>
      </w:rPr>
    </w:lvl>
    <w:lvl w:ilvl="3" w:tplc="4F64000A" w:tentative="1">
      <w:start w:val="1"/>
      <w:numFmt w:val="bullet"/>
      <w:lvlText w:val="•"/>
      <w:lvlJc w:val="left"/>
      <w:pPr>
        <w:tabs>
          <w:tab w:val="num" w:pos="2880"/>
        </w:tabs>
        <w:ind w:left="2880" w:hanging="360"/>
      </w:pPr>
      <w:rPr>
        <w:rFonts w:ascii="Arial" w:hAnsi="Arial" w:hint="default"/>
      </w:rPr>
    </w:lvl>
    <w:lvl w:ilvl="4" w:tplc="DE3C36DA" w:tentative="1">
      <w:start w:val="1"/>
      <w:numFmt w:val="bullet"/>
      <w:lvlText w:val="•"/>
      <w:lvlJc w:val="left"/>
      <w:pPr>
        <w:tabs>
          <w:tab w:val="num" w:pos="3600"/>
        </w:tabs>
        <w:ind w:left="3600" w:hanging="360"/>
      </w:pPr>
      <w:rPr>
        <w:rFonts w:ascii="Arial" w:hAnsi="Arial" w:hint="default"/>
      </w:rPr>
    </w:lvl>
    <w:lvl w:ilvl="5" w:tplc="BF827A60" w:tentative="1">
      <w:start w:val="1"/>
      <w:numFmt w:val="bullet"/>
      <w:lvlText w:val="•"/>
      <w:lvlJc w:val="left"/>
      <w:pPr>
        <w:tabs>
          <w:tab w:val="num" w:pos="4320"/>
        </w:tabs>
        <w:ind w:left="4320" w:hanging="360"/>
      </w:pPr>
      <w:rPr>
        <w:rFonts w:ascii="Arial" w:hAnsi="Arial" w:hint="default"/>
      </w:rPr>
    </w:lvl>
    <w:lvl w:ilvl="6" w:tplc="2D16F218" w:tentative="1">
      <w:start w:val="1"/>
      <w:numFmt w:val="bullet"/>
      <w:lvlText w:val="•"/>
      <w:lvlJc w:val="left"/>
      <w:pPr>
        <w:tabs>
          <w:tab w:val="num" w:pos="5040"/>
        </w:tabs>
        <w:ind w:left="5040" w:hanging="360"/>
      </w:pPr>
      <w:rPr>
        <w:rFonts w:ascii="Arial" w:hAnsi="Arial" w:hint="default"/>
      </w:rPr>
    </w:lvl>
    <w:lvl w:ilvl="7" w:tplc="03786D64" w:tentative="1">
      <w:start w:val="1"/>
      <w:numFmt w:val="bullet"/>
      <w:lvlText w:val="•"/>
      <w:lvlJc w:val="left"/>
      <w:pPr>
        <w:tabs>
          <w:tab w:val="num" w:pos="5760"/>
        </w:tabs>
        <w:ind w:left="5760" w:hanging="360"/>
      </w:pPr>
      <w:rPr>
        <w:rFonts w:ascii="Arial" w:hAnsi="Arial" w:hint="default"/>
      </w:rPr>
    </w:lvl>
    <w:lvl w:ilvl="8" w:tplc="10A85DC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15849AF"/>
    <w:multiLevelType w:val="hybridMultilevel"/>
    <w:tmpl w:val="0546B684"/>
    <w:lvl w:ilvl="0" w:tplc="939E860C">
      <w:start w:val="1"/>
      <w:numFmt w:val="bullet"/>
      <w:pStyle w:val="Indentadoresolucin"/>
      <w:lvlText w:val=""/>
      <w:lvlJc w:val="left"/>
      <w:pPr>
        <w:ind w:left="1008" w:hanging="360"/>
      </w:pPr>
      <w:rPr>
        <w:rFonts w:ascii="Symbol" w:hAnsi="Symbol" w:hint="default"/>
      </w:rPr>
    </w:lvl>
    <w:lvl w:ilvl="1" w:tplc="AEE89A0A">
      <w:start w:val="1"/>
      <w:numFmt w:val="bullet"/>
      <w:pStyle w:val="Indentado3"/>
      <w:lvlText w:val="o"/>
      <w:lvlJc w:val="left"/>
      <w:pPr>
        <w:ind w:left="1728" w:hanging="360"/>
      </w:pPr>
      <w:rPr>
        <w:rFonts w:ascii="Courier New" w:hAnsi="Courier New" w:cs="Courier New" w:hint="default"/>
      </w:rPr>
    </w:lvl>
    <w:lvl w:ilvl="2" w:tplc="0C0A0005">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37" w15:restartNumberingAfterBreak="0">
    <w:nsid w:val="35333222"/>
    <w:multiLevelType w:val="hybridMultilevel"/>
    <w:tmpl w:val="1FBCE7D0"/>
    <w:lvl w:ilvl="0" w:tplc="0C0A0009">
      <w:start w:val="1"/>
      <w:numFmt w:val="bullet"/>
      <w:lvlText w:val=""/>
      <w:lvlJc w:val="left"/>
      <w:pPr>
        <w:ind w:left="1080" w:hanging="360"/>
      </w:pPr>
      <w:rPr>
        <w:rFonts w:ascii="Wingdings" w:hAnsi="Wingdings" w:hint="default"/>
        <w:color w:val="5B9BD5" w:themeColor="accent1"/>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357C204B"/>
    <w:multiLevelType w:val="hybridMultilevel"/>
    <w:tmpl w:val="F612B2F8"/>
    <w:lvl w:ilvl="0" w:tplc="AF12FA22">
      <w:start w:val="1"/>
      <w:numFmt w:val="decimal"/>
      <w:lvlText w:val="A2.%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37950C08"/>
    <w:multiLevelType w:val="hybridMultilevel"/>
    <w:tmpl w:val="A67A2672"/>
    <w:lvl w:ilvl="0" w:tplc="495223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86B308E"/>
    <w:multiLevelType w:val="hybridMultilevel"/>
    <w:tmpl w:val="C96479BE"/>
    <w:lvl w:ilvl="0" w:tplc="F81A9B24">
      <w:start w:val="1"/>
      <w:numFmt w:val="bullet"/>
      <w:lvlText w:val="•"/>
      <w:lvlJc w:val="left"/>
      <w:pPr>
        <w:tabs>
          <w:tab w:val="num" w:pos="720"/>
        </w:tabs>
        <w:ind w:left="720" w:hanging="360"/>
      </w:pPr>
      <w:rPr>
        <w:rFonts w:ascii="Arial" w:hAnsi="Arial" w:hint="default"/>
      </w:rPr>
    </w:lvl>
    <w:lvl w:ilvl="1" w:tplc="61C2C6C8" w:tentative="1">
      <w:start w:val="1"/>
      <w:numFmt w:val="bullet"/>
      <w:lvlText w:val="•"/>
      <w:lvlJc w:val="left"/>
      <w:pPr>
        <w:tabs>
          <w:tab w:val="num" w:pos="1440"/>
        </w:tabs>
        <w:ind w:left="1440" w:hanging="360"/>
      </w:pPr>
      <w:rPr>
        <w:rFonts w:ascii="Arial" w:hAnsi="Arial" w:hint="default"/>
      </w:rPr>
    </w:lvl>
    <w:lvl w:ilvl="2" w:tplc="5B0898FE" w:tentative="1">
      <w:start w:val="1"/>
      <w:numFmt w:val="bullet"/>
      <w:lvlText w:val="•"/>
      <w:lvlJc w:val="left"/>
      <w:pPr>
        <w:tabs>
          <w:tab w:val="num" w:pos="2160"/>
        </w:tabs>
        <w:ind w:left="2160" w:hanging="360"/>
      </w:pPr>
      <w:rPr>
        <w:rFonts w:ascii="Arial" w:hAnsi="Arial" w:hint="default"/>
      </w:rPr>
    </w:lvl>
    <w:lvl w:ilvl="3" w:tplc="EE8AABBC" w:tentative="1">
      <w:start w:val="1"/>
      <w:numFmt w:val="bullet"/>
      <w:lvlText w:val="•"/>
      <w:lvlJc w:val="left"/>
      <w:pPr>
        <w:tabs>
          <w:tab w:val="num" w:pos="2880"/>
        </w:tabs>
        <w:ind w:left="2880" w:hanging="360"/>
      </w:pPr>
      <w:rPr>
        <w:rFonts w:ascii="Arial" w:hAnsi="Arial" w:hint="default"/>
      </w:rPr>
    </w:lvl>
    <w:lvl w:ilvl="4" w:tplc="C7907B28" w:tentative="1">
      <w:start w:val="1"/>
      <w:numFmt w:val="bullet"/>
      <w:lvlText w:val="•"/>
      <w:lvlJc w:val="left"/>
      <w:pPr>
        <w:tabs>
          <w:tab w:val="num" w:pos="3600"/>
        </w:tabs>
        <w:ind w:left="3600" w:hanging="360"/>
      </w:pPr>
      <w:rPr>
        <w:rFonts w:ascii="Arial" w:hAnsi="Arial" w:hint="default"/>
      </w:rPr>
    </w:lvl>
    <w:lvl w:ilvl="5" w:tplc="3CA276E2" w:tentative="1">
      <w:start w:val="1"/>
      <w:numFmt w:val="bullet"/>
      <w:lvlText w:val="•"/>
      <w:lvlJc w:val="left"/>
      <w:pPr>
        <w:tabs>
          <w:tab w:val="num" w:pos="4320"/>
        </w:tabs>
        <w:ind w:left="4320" w:hanging="360"/>
      </w:pPr>
      <w:rPr>
        <w:rFonts w:ascii="Arial" w:hAnsi="Arial" w:hint="default"/>
      </w:rPr>
    </w:lvl>
    <w:lvl w:ilvl="6" w:tplc="2EE2F046" w:tentative="1">
      <w:start w:val="1"/>
      <w:numFmt w:val="bullet"/>
      <w:lvlText w:val="•"/>
      <w:lvlJc w:val="left"/>
      <w:pPr>
        <w:tabs>
          <w:tab w:val="num" w:pos="5040"/>
        </w:tabs>
        <w:ind w:left="5040" w:hanging="360"/>
      </w:pPr>
      <w:rPr>
        <w:rFonts w:ascii="Arial" w:hAnsi="Arial" w:hint="default"/>
      </w:rPr>
    </w:lvl>
    <w:lvl w:ilvl="7" w:tplc="52D4E852" w:tentative="1">
      <w:start w:val="1"/>
      <w:numFmt w:val="bullet"/>
      <w:lvlText w:val="•"/>
      <w:lvlJc w:val="left"/>
      <w:pPr>
        <w:tabs>
          <w:tab w:val="num" w:pos="5760"/>
        </w:tabs>
        <w:ind w:left="5760" w:hanging="360"/>
      </w:pPr>
      <w:rPr>
        <w:rFonts w:ascii="Arial" w:hAnsi="Arial" w:hint="default"/>
      </w:rPr>
    </w:lvl>
    <w:lvl w:ilvl="8" w:tplc="3E2EBCF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88F0636"/>
    <w:multiLevelType w:val="hybridMultilevel"/>
    <w:tmpl w:val="FC10BE4C"/>
    <w:lvl w:ilvl="0" w:tplc="0C0A000F">
      <w:start w:val="1"/>
      <w:numFmt w:val="decimal"/>
      <w:lvlText w:val="%1."/>
      <w:lvlJc w:val="left"/>
      <w:pPr>
        <w:ind w:left="5180" w:hanging="360"/>
      </w:pPr>
      <w:rPr>
        <w:rFonts w:hint="default"/>
        <w:color w:val="5B9BD5" w:themeColor="accent1"/>
        <w:lang w:val="es-ES"/>
      </w:rPr>
    </w:lvl>
    <w:lvl w:ilvl="1" w:tplc="0C0A0009">
      <w:start w:val="1"/>
      <w:numFmt w:val="bullet"/>
      <w:lvlText w:val=""/>
      <w:lvlJc w:val="left"/>
      <w:pPr>
        <w:ind w:left="1080" w:hanging="360"/>
      </w:pPr>
      <w:rPr>
        <w:rFonts w:ascii="Wingdings" w:hAnsi="Wingdings" w:hint="default"/>
        <w:color w:val="5B9BD5" w:themeColor="accent1"/>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2"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5B9BD5"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43" w15:restartNumberingAfterBreak="0">
    <w:nsid w:val="3B11402B"/>
    <w:multiLevelType w:val="hybridMultilevel"/>
    <w:tmpl w:val="9C4EFA6E"/>
    <w:lvl w:ilvl="0" w:tplc="F1D411D0">
      <w:start w:val="1"/>
      <w:numFmt w:val="decimal"/>
      <w:lvlText w:val="%1."/>
      <w:lvlJc w:val="left"/>
      <w:pPr>
        <w:ind w:left="1008" w:hanging="360"/>
      </w:pPr>
      <w:rPr>
        <w:rFonts w:ascii="ITC Avant Garde" w:hAnsi="ITC Avant Garde"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4" w15:restartNumberingAfterBreak="0">
    <w:nsid w:val="3B6E1C95"/>
    <w:multiLevelType w:val="multilevel"/>
    <w:tmpl w:val="E98400D8"/>
    <w:lvl w:ilvl="0">
      <w:start w:val="1"/>
      <w:numFmt w:val="bullet"/>
      <w:pStyle w:val="I2"/>
      <w:lvlText w:val=""/>
      <w:lvlJc w:val="left"/>
      <w:pPr>
        <w:tabs>
          <w:tab w:val="num" w:pos="720"/>
        </w:tabs>
        <w:ind w:left="720" w:hanging="360"/>
      </w:pPr>
      <w:rPr>
        <w:rFonts w:ascii="Symbol" w:hAnsi="Symbol" w:hint="default"/>
      </w:rPr>
    </w:lvl>
    <w:lvl w:ilvl="1">
      <w:start w:val="1"/>
      <w:numFmt w:val="none"/>
      <w:lvlText w:val="- "/>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C026AB8"/>
    <w:multiLevelType w:val="hybridMultilevel"/>
    <w:tmpl w:val="9F66A3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C122DC1"/>
    <w:multiLevelType w:val="hybridMultilevel"/>
    <w:tmpl w:val="0018FC1E"/>
    <w:lvl w:ilvl="0" w:tplc="0809000F">
      <w:start w:val="1"/>
      <w:numFmt w:val="decimal"/>
      <w:lvlText w:val="%1."/>
      <w:lvlJc w:val="left"/>
      <w:pPr>
        <w:ind w:left="1008" w:hanging="360"/>
      </w:pPr>
      <w:rPr>
        <w:rFonts w:hint="default"/>
      </w:rPr>
    </w:lvl>
    <w:lvl w:ilvl="1" w:tplc="0B5C45D4">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7" w15:restartNumberingAfterBreak="0">
    <w:nsid w:val="3CD27B9A"/>
    <w:multiLevelType w:val="hybridMultilevel"/>
    <w:tmpl w:val="340C0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3F752817"/>
    <w:multiLevelType w:val="hybridMultilevel"/>
    <w:tmpl w:val="44B68EFE"/>
    <w:lvl w:ilvl="0" w:tplc="1A3CE30A">
      <w:start w:val="1"/>
      <w:numFmt w:val="bullet"/>
      <w:lvlText w:val="•"/>
      <w:lvlJc w:val="left"/>
      <w:pPr>
        <w:tabs>
          <w:tab w:val="num" w:pos="720"/>
        </w:tabs>
        <w:ind w:left="720" w:hanging="360"/>
      </w:pPr>
      <w:rPr>
        <w:rFonts w:ascii="Arial" w:hAnsi="Arial" w:hint="default"/>
      </w:rPr>
    </w:lvl>
    <w:lvl w:ilvl="1" w:tplc="A42461FE" w:tentative="1">
      <w:start w:val="1"/>
      <w:numFmt w:val="bullet"/>
      <w:lvlText w:val="•"/>
      <w:lvlJc w:val="left"/>
      <w:pPr>
        <w:tabs>
          <w:tab w:val="num" w:pos="1440"/>
        </w:tabs>
        <w:ind w:left="1440" w:hanging="360"/>
      </w:pPr>
      <w:rPr>
        <w:rFonts w:ascii="Arial" w:hAnsi="Arial" w:hint="default"/>
      </w:rPr>
    </w:lvl>
    <w:lvl w:ilvl="2" w:tplc="C52A72F8" w:tentative="1">
      <w:start w:val="1"/>
      <w:numFmt w:val="bullet"/>
      <w:lvlText w:val="•"/>
      <w:lvlJc w:val="left"/>
      <w:pPr>
        <w:tabs>
          <w:tab w:val="num" w:pos="2160"/>
        </w:tabs>
        <w:ind w:left="2160" w:hanging="360"/>
      </w:pPr>
      <w:rPr>
        <w:rFonts w:ascii="Arial" w:hAnsi="Arial" w:hint="default"/>
      </w:rPr>
    </w:lvl>
    <w:lvl w:ilvl="3" w:tplc="ED522BC4" w:tentative="1">
      <w:start w:val="1"/>
      <w:numFmt w:val="bullet"/>
      <w:lvlText w:val="•"/>
      <w:lvlJc w:val="left"/>
      <w:pPr>
        <w:tabs>
          <w:tab w:val="num" w:pos="2880"/>
        </w:tabs>
        <w:ind w:left="2880" w:hanging="360"/>
      </w:pPr>
      <w:rPr>
        <w:rFonts w:ascii="Arial" w:hAnsi="Arial" w:hint="default"/>
      </w:rPr>
    </w:lvl>
    <w:lvl w:ilvl="4" w:tplc="6302E16E" w:tentative="1">
      <w:start w:val="1"/>
      <w:numFmt w:val="bullet"/>
      <w:lvlText w:val="•"/>
      <w:lvlJc w:val="left"/>
      <w:pPr>
        <w:tabs>
          <w:tab w:val="num" w:pos="3600"/>
        </w:tabs>
        <w:ind w:left="3600" w:hanging="360"/>
      </w:pPr>
      <w:rPr>
        <w:rFonts w:ascii="Arial" w:hAnsi="Arial" w:hint="default"/>
      </w:rPr>
    </w:lvl>
    <w:lvl w:ilvl="5" w:tplc="D16CCD2C" w:tentative="1">
      <w:start w:val="1"/>
      <w:numFmt w:val="bullet"/>
      <w:lvlText w:val="•"/>
      <w:lvlJc w:val="left"/>
      <w:pPr>
        <w:tabs>
          <w:tab w:val="num" w:pos="4320"/>
        </w:tabs>
        <w:ind w:left="4320" w:hanging="360"/>
      </w:pPr>
      <w:rPr>
        <w:rFonts w:ascii="Arial" w:hAnsi="Arial" w:hint="default"/>
      </w:rPr>
    </w:lvl>
    <w:lvl w:ilvl="6" w:tplc="AC42D092" w:tentative="1">
      <w:start w:val="1"/>
      <w:numFmt w:val="bullet"/>
      <w:lvlText w:val="•"/>
      <w:lvlJc w:val="left"/>
      <w:pPr>
        <w:tabs>
          <w:tab w:val="num" w:pos="5040"/>
        </w:tabs>
        <w:ind w:left="5040" w:hanging="360"/>
      </w:pPr>
      <w:rPr>
        <w:rFonts w:ascii="Arial" w:hAnsi="Arial" w:hint="default"/>
      </w:rPr>
    </w:lvl>
    <w:lvl w:ilvl="7" w:tplc="1CB816C6" w:tentative="1">
      <w:start w:val="1"/>
      <w:numFmt w:val="bullet"/>
      <w:lvlText w:val="•"/>
      <w:lvlJc w:val="left"/>
      <w:pPr>
        <w:tabs>
          <w:tab w:val="num" w:pos="5760"/>
        </w:tabs>
        <w:ind w:left="5760" w:hanging="360"/>
      </w:pPr>
      <w:rPr>
        <w:rFonts w:ascii="Arial" w:hAnsi="Arial" w:hint="default"/>
      </w:rPr>
    </w:lvl>
    <w:lvl w:ilvl="8" w:tplc="F300E6A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10C2361"/>
    <w:multiLevelType w:val="multilevel"/>
    <w:tmpl w:val="C6BCCB68"/>
    <w:lvl w:ilvl="0">
      <w:start w:val="1"/>
      <w:numFmt w:val="decimal"/>
      <w:suff w:val="space"/>
      <w:lvlText w:val="%1."/>
      <w:lvlJc w:val="left"/>
      <w:pPr>
        <w:ind w:left="0" w:firstLine="0"/>
      </w:pPr>
      <w:rPr>
        <w:rFonts w:hint="default"/>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0" w15:restartNumberingAfterBreak="0">
    <w:nsid w:val="412158E2"/>
    <w:multiLevelType w:val="hybridMultilevel"/>
    <w:tmpl w:val="926A740C"/>
    <w:lvl w:ilvl="0" w:tplc="54140136">
      <w:start w:val="1"/>
      <w:numFmt w:val="decimal"/>
      <w:lvlText w:val="%1."/>
      <w:lvlJc w:val="left"/>
      <w:pPr>
        <w:ind w:left="1008" w:hanging="360"/>
      </w:pPr>
      <w:rPr>
        <w:rFonts w:ascii="ITC Avant Garde" w:hAnsi="ITC Avant Garde" w:hint="default"/>
        <w:b w:val="0"/>
        <w:bCs w:val="0"/>
        <w:i w:val="0"/>
        <w:i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51" w15:restartNumberingAfterBreak="0">
    <w:nsid w:val="41755DE9"/>
    <w:multiLevelType w:val="hybridMultilevel"/>
    <w:tmpl w:val="543E5446"/>
    <w:lvl w:ilvl="0" w:tplc="95AA2E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1AB75D3"/>
    <w:multiLevelType w:val="multilevel"/>
    <w:tmpl w:val="C6BCCB68"/>
    <w:lvl w:ilvl="0">
      <w:start w:val="1"/>
      <w:numFmt w:val="decimal"/>
      <w:suff w:val="space"/>
      <w:lvlText w:val="%1."/>
      <w:lvlJc w:val="left"/>
      <w:pPr>
        <w:ind w:left="0" w:firstLine="0"/>
      </w:pPr>
      <w:rPr>
        <w:rFonts w:hint="default"/>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3" w15:restartNumberingAfterBreak="0">
    <w:nsid w:val="423C4315"/>
    <w:multiLevelType w:val="multilevel"/>
    <w:tmpl w:val="7FD0B1FC"/>
    <w:lvl w:ilvl="0">
      <w:start w:val="1"/>
      <w:numFmt w:val="decimal"/>
      <w:lvlText w:val="%1"/>
      <w:lvlJc w:val="left"/>
      <w:pPr>
        <w:tabs>
          <w:tab w:val="num" w:pos="432"/>
        </w:tabs>
        <w:ind w:left="432" w:hanging="432"/>
      </w:pPr>
      <w:rPr>
        <w:rFonts w:hint="default"/>
      </w:rPr>
    </w:lvl>
    <w:lvl w:ilvl="1">
      <w:start w:val="1"/>
      <w:numFmt w:val="decimal"/>
      <w:pStyle w:val="Anexo2"/>
      <w:lvlText w:val="A.%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26E360F"/>
    <w:multiLevelType w:val="hybridMultilevel"/>
    <w:tmpl w:val="4818396C"/>
    <w:lvl w:ilvl="0" w:tplc="3FE49CC2">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45B86C2C"/>
    <w:multiLevelType w:val="hybridMultilevel"/>
    <w:tmpl w:val="FB90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78C7A7D"/>
    <w:multiLevelType w:val="multilevel"/>
    <w:tmpl w:val="A9524BA4"/>
    <w:lvl w:ilvl="0">
      <w:start w:val="1"/>
      <w:numFmt w:val="decimal"/>
      <w:lvlText w:val="%1."/>
      <w:lvlJc w:val="left"/>
      <w:pPr>
        <w:ind w:left="360" w:hanging="360"/>
      </w:pPr>
      <w:rPr>
        <w:rFonts w:hint="default"/>
        <w:b/>
        <w:i w:val="0"/>
        <w:color w:val="5B9BD5" w:themeColor="accent1"/>
        <w:sz w:val="40"/>
        <w:szCs w:val="40"/>
      </w:rPr>
    </w:lvl>
    <w:lvl w:ilvl="1">
      <w:start w:val="1"/>
      <w:numFmt w:val="decimal"/>
      <w:suff w:val="space"/>
      <w:lvlText w:val="%1.%2."/>
      <w:lvlJc w:val="left"/>
      <w:pPr>
        <w:ind w:left="357" w:hanging="357"/>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suff w:val="space"/>
      <w:lvlText w:val="%1.%2.%3."/>
      <w:lvlJc w:val="left"/>
      <w:pPr>
        <w:ind w:left="357" w:hanging="357"/>
      </w:pPr>
      <w:rPr>
        <w:b w:val="0"/>
        <w:bCs w:val="0"/>
        <w:i w:val="0"/>
        <w:iCs w:val="0"/>
        <w:caps w:val="0"/>
        <w:smallCaps w:val="0"/>
        <w:strike w:val="0"/>
        <w:dstrike w:val="0"/>
        <w:noProof w:val="0"/>
        <w:vanish w:val="0"/>
        <w:color w:val="5B9BD5" w:themeColor="accent1"/>
        <w:spacing w:val="0"/>
        <w:kern w:val="0"/>
        <w:position w:val="0"/>
        <w:u w:val="none"/>
        <w:vertAlign w:val="baseline"/>
        <w:em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8A368F7"/>
    <w:multiLevelType w:val="multilevel"/>
    <w:tmpl w:val="E954FE00"/>
    <w:styleLink w:val="paragraph20"/>
    <w:lvl w:ilvl="0">
      <w:start w:val="1"/>
      <w:numFmt w:val="decimal"/>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8" w15:restartNumberingAfterBreak="0">
    <w:nsid w:val="49226DBC"/>
    <w:multiLevelType w:val="multilevel"/>
    <w:tmpl w:val="804674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9CD732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F041F49"/>
    <w:multiLevelType w:val="hybridMultilevel"/>
    <w:tmpl w:val="B57847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F36007B"/>
    <w:multiLevelType w:val="hybridMultilevel"/>
    <w:tmpl w:val="21622174"/>
    <w:lvl w:ilvl="0" w:tplc="0809000F">
      <w:start w:val="1"/>
      <w:numFmt w:val="decimal"/>
      <w:lvlText w:val="%1."/>
      <w:lvlJc w:val="left"/>
      <w:pPr>
        <w:ind w:left="1368" w:hanging="360"/>
      </w:pPr>
      <w:rPr>
        <w:rFonts w:hint="default"/>
      </w:rPr>
    </w:lvl>
    <w:lvl w:ilvl="1" w:tplc="0C0A0003">
      <w:start w:val="1"/>
      <w:numFmt w:val="bullet"/>
      <w:lvlText w:val="o"/>
      <w:lvlJc w:val="left"/>
      <w:pPr>
        <w:ind w:left="2088" w:hanging="360"/>
      </w:pPr>
      <w:rPr>
        <w:rFonts w:ascii="Courier New" w:hAnsi="Courier New" w:cs="Courier New" w:hint="default"/>
      </w:rPr>
    </w:lvl>
    <w:lvl w:ilvl="2" w:tplc="0C0A0005" w:tentative="1">
      <w:start w:val="1"/>
      <w:numFmt w:val="bullet"/>
      <w:lvlText w:val=""/>
      <w:lvlJc w:val="left"/>
      <w:pPr>
        <w:ind w:left="2808" w:hanging="360"/>
      </w:pPr>
      <w:rPr>
        <w:rFonts w:ascii="Wingdings" w:hAnsi="Wingdings" w:hint="default"/>
      </w:rPr>
    </w:lvl>
    <w:lvl w:ilvl="3" w:tplc="0C0A0001" w:tentative="1">
      <w:start w:val="1"/>
      <w:numFmt w:val="bullet"/>
      <w:lvlText w:val=""/>
      <w:lvlJc w:val="left"/>
      <w:pPr>
        <w:ind w:left="3528" w:hanging="360"/>
      </w:pPr>
      <w:rPr>
        <w:rFonts w:ascii="Symbol" w:hAnsi="Symbol" w:hint="default"/>
      </w:rPr>
    </w:lvl>
    <w:lvl w:ilvl="4" w:tplc="0C0A0003" w:tentative="1">
      <w:start w:val="1"/>
      <w:numFmt w:val="bullet"/>
      <w:lvlText w:val="o"/>
      <w:lvlJc w:val="left"/>
      <w:pPr>
        <w:ind w:left="4248" w:hanging="360"/>
      </w:pPr>
      <w:rPr>
        <w:rFonts w:ascii="Courier New" w:hAnsi="Courier New" w:cs="Courier New" w:hint="default"/>
      </w:rPr>
    </w:lvl>
    <w:lvl w:ilvl="5" w:tplc="0C0A0005" w:tentative="1">
      <w:start w:val="1"/>
      <w:numFmt w:val="bullet"/>
      <w:lvlText w:val=""/>
      <w:lvlJc w:val="left"/>
      <w:pPr>
        <w:ind w:left="4968" w:hanging="360"/>
      </w:pPr>
      <w:rPr>
        <w:rFonts w:ascii="Wingdings" w:hAnsi="Wingdings" w:hint="default"/>
      </w:rPr>
    </w:lvl>
    <w:lvl w:ilvl="6" w:tplc="0C0A0001" w:tentative="1">
      <w:start w:val="1"/>
      <w:numFmt w:val="bullet"/>
      <w:lvlText w:val=""/>
      <w:lvlJc w:val="left"/>
      <w:pPr>
        <w:ind w:left="5688" w:hanging="360"/>
      </w:pPr>
      <w:rPr>
        <w:rFonts w:ascii="Symbol" w:hAnsi="Symbol" w:hint="default"/>
      </w:rPr>
    </w:lvl>
    <w:lvl w:ilvl="7" w:tplc="0C0A0003" w:tentative="1">
      <w:start w:val="1"/>
      <w:numFmt w:val="bullet"/>
      <w:lvlText w:val="o"/>
      <w:lvlJc w:val="left"/>
      <w:pPr>
        <w:ind w:left="6408" w:hanging="360"/>
      </w:pPr>
      <w:rPr>
        <w:rFonts w:ascii="Courier New" w:hAnsi="Courier New" w:cs="Courier New" w:hint="default"/>
      </w:rPr>
    </w:lvl>
    <w:lvl w:ilvl="8" w:tplc="0C0A0005" w:tentative="1">
      <w:start w:val="1"/>
      <w:numFmt w:val="bullet"/>
      <w:lvlText w:val=""/>
      <w:lvlJc w:val="left"/>
      <w:pPr>
        <w:ind w:left="7128" w:hanging="360"/>
      </w:pPr>
      <w:rPr>
        <w:rFonts w:ascii="Wingdings" w:hAnsi="Wingdings" w:hint="default"/>
      </w:rPr>
    </w:lvl>
  </w:abstractNum>
  <w:abstractNum w:abstractNumId="62" w15:restartNumberingAfterBreak="0">
    <w:nsid w:val="50010E74"/>
    <w:multiLevelType w:val="hybridMultilevel"/>
    <w:tmpl w:val="26C6C3D4"/>
    <w:lvl w:ilvl="0" w:tplc="1D161502">
      <w:start w:val="1"/>
      <w:numFmt w:val="bullet"/>
      <w:pStyle w:val="Indentado1"/>
      <w:lvlText w:val=""/>
      <w:lvlJc w:val="left"/>
      <w:pPr>
        <w:ind w:left="5894" w:hanging="360"/>
      </w:pPr>
      <w:rPr>
        <w:rFonts w:ascii="Wingdings 3" w:hAnsi="Wingdings 3" w:hint="default"/>
        <w:color w:val="5B9BD5" w:themeColor="accent1"/>
        <w:lang w:val="es-ES"/>
      </w:rPr>
    </w:lvl>
    <w:lvl w:ilvl="1" w:tplc="0C0A0009">
      <w:start w:val="1"/>
      <w:numFmt w:val="bullet"/>
      <w:lvlText w:val=""/>
      <w:lvlJc w:val="left"/>
      <w:pPr>
        <w:ind w:left="1794" w:hanging="360"/>
      </w:pPr>
      <w:rPr>
        <w:rFonts w:ascii="Wingdings" w:hAnsi="Wingdings" w:hint="default"/>
        <w:color w:val="5B9BD5" w:themeColor="accent1"/>
      </w:rPr>
    </w:lvl>
    <w:lvl w:ilvl="2" w:tplc="040A0005">
      <w:start w:val="1"/>
      <w:numFmt w:val="bullet"/>
      <w:lvlText w:val=""/>
      <w:lvlJc w:val="left"/>
      <w:pPr>
        <w:ind w:left="2514" w:hanging="360"/>
      </w:pPr>
      <w:rPr>
        <w:rFonts w:ascii="Wingdings" w:hAnsi="Wingdings" w:hint="default"/>
      </w:rPr>
    </w:lvl>
    <w:lvl w:ilvl="3" w:tplc="040A0001">
      <w:start w:val="1"/>
      <w:numFmt w:val="bullet"/>
      <w:lvlText w:val=""/>
      <w:lvlJc w:val="left"/>
      <w:pPr>
        <w:ind w:left="3234" w:hanging="360"/>
      </w:pPr>
      <w:rPr>
        <w:rFonts w:ascii="Symbol" w:hAnsi="Symbol" w:hint="default"/>
      </w:rPr>
    </w:lvl>
    <w:lvl w:ilvl="4" w:tplc="040A0003" w:tentative="1">
      <w:start w:val="1"/>
      <w:numFmt w:val="bullet"/>
      <w:lvlText w:val="o"/>
      <w:lvlJc w:val="left"/>
      <w:pPr>
        <w:ind w:left="3954" w:hanging="360"/>
      </w:pPr>
      <w:rPr>
        <w:rFonts w:ascii="Courier New" w:hAnsi="Courier New" w:cs="Courier New" w:hint="default"/>
      </w:rPr>
    </w:lvl>
    <w:lvl w:ilvl="5" w:tplc="040A0005" w:tentative="1">
      <w:start w:val="1"/>
      <w:numFmt w:val="bullet"/>
      <w:lvlText w:val=""/>
      <w:lvlJc w:val="left"/>
      <w:pPr>
        <w:ind w:left="4674" w:hanging="360"/>
      </w:pPr>
      <w:rPr>
        <w:rFonts w:ascii="Wingdings" w:hAnsi="Wingdings" w:hint="default"/>
      </w:rPr>
    </w:lvl>
    <w:lvl w:ilvl="6" w:tplc="040A0001" w:tentative="1">
      <w:start w:val="1"/>
      <w:numFmt w:val="bullet"/>
      <w:lvlText w:val=""/>
      <w:lvlJc w:val="left"/>
      <w:pPr>
        <w:ind w:left="5394" w:hanging="360"/>
      </w:pPr>
      <w:rPr>
        <w:rFonts w:ascii="Symbol" w:hAnsi="Symbol" w:hint="default"/>
      </w:rPr>
    </w:lvl>
    <w:lvl w:ilvl="7" w:tplc="040A0003" w:tentative="1">
      <w:start w:val="1"/>
      <w:numFmt w:val="bullet"/>
      <w:lvlText w:val="o"/>
      <w:lvlJc w:val="left"/>
      <w:pPr>
        <w:ind w:left="6114" w:hanging="360"/>
      </w:pPr>
      <w:rPr>
        <w:rFonts w:ascii="Courier New" w:hAnsi="Courier New" w:cs="Courier New" w:hint="default"/>
      </w:rPr>
    </w:lvl>
    <w:lvl w:ilvl="8" w:tplc="040A0005" w:tentative="1">
      <w:start w:val="1"/>
      <w:numFmt w:val="bullet"/>
      <w:lvlText w:val=""/>
      <w:lvlJc w:val="left"/>
      <w:pPr>
        <w:ind w:left="6834" w:hanging="360"/>
      </w:pPr>
      <w:rPr>
        <w:rFonts w:ascii="Wingdings" w:hAnsi="Wingdings" w:hint="default"/>
      </w:rPr>
    </w:lvl>
  </w:abstractNum>
  <w:abstractNum w:abstractNumId="63" w15:restartNumberingAfterBreak="0">
    <w:nsid w:val="50604037"/>
    <w:multiLevelType w:val="hybridMultilevel"/>
    <w:tmpl w:val="91E69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31928C9"/>
    <w:multiLevelType w:val="hybridMultilevel"/>
    <w:tmpl w:val="A2FAE42E"/>
    <w:lvl w:ilvl="0" w:tplc="0C0A0019">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53A70166"/>
    <w:multiLevelType w:val="hybridMultilevel"/>
    <w:tmpl w:val="47BA3B2A"/>
    <w:lvl w:ilvl="0" w:tplc="111825D6">
      <w:start w:val="1"/>
      <w:numFmt w:val="bullet"/>
      <w:pStyle w:val="Highlight"/>
      <w:lvlText w:val=""/>
      <w:lvlPicBulletId w:val="0"/>
      <w:lvlJc w:val="left"/>
      <w:pPr>
        <w:tabs>
          <w:tab w:val="num" w:pos="1134"/>
        </w:tabs>
        <w:ind w:left="890" w:firstLine="1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425669D"/>
    <w:multiLevelType w:val="hybridMultilevel"/>
    <w:tmpl w:val="B50623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545E54E0"/>
    <w:multiLevelType w:val="hybridMultilevel"/>
    <w:tmpl w:val="2E2A8B58"/>
    <w:lvl w:ilvl="0" w:tplc="C4D492CA">
      <w:start w:val="1"/>
      <w:numFmt w:val="decimal"/>
      <w:suff w:val="space"/>
      <w:lvlText w:val="A1.%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558479E2"/>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8DC360D"/>
    <w:multiLevelType w:val="multilevel"/>
    <w:tmpl w:val="240A16DA"/>
    <w:lvl w:ilvl="0">
      <w:start w:val="1"/>
      <w:numFmt w:val="decimal"/>
      <w:pStyle w:val="Boxes"/>
      <w:suff w:val="space"/>
      <w:lvlText w:val="Recomendación %1."/>
      <w:lvlJc w:val="left"/>
      <w:pPr>
        <w:ind w:left="5464" w:hanging="360"/>
      </w:pPr>
      <w:rPr>
        <w:rFonts w:ascii="Verdana" w:hAnsi="Verdana" w:cs="Verdana" w:hint="default"/>
        <w:b/>
        <w:i w:val="0"/>
        <w:color w:val="165194"/>
        <w:sz w:val="18"/>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70" w15:restartNumberingAfterBreak="0">
    <w:nsid w:val="5BA17C3D"/>
    <w:multiLevelType w:val="hybridMultilevel"/>
    <w:tmpl w:val="FFE6D8F2"/>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71" w15:restartNumberingAfterBreak="0">
    <w:nsid w:val="5DCB7277"/>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F365E55"/>
    <w:multiLevelType w:val="multilevel"/>
    <w:tmpl w:val="A5C0597C"/>
    <w:lvl w:ilvl="0">
      <w:start w:val="1"/>
      <w:numFmt w:val="decimal"/>
      <w:lvlText w:val="%1."/>
      <w:lvlJc w:val="left"/>
      <w:pPr>
        <w:ind w:left="360" w:hanging="360"/>
      </w:pPr>
      <w:rPr>
        <w:rFonts w:hint="default"/>
      </w:rPr>
    </w:lvl>
    <w:lvl w:ilvl="1">
      <w:start w:val="1"/>
      <w:numFmt w:val="decimal"/>
      <w:pStyle w:val="Subttulo"/>
      <w:suff w:val="space"/>
      <w:lvlText w:val="6.%2-"/>
      <w:lvlJc w:val="left"/>
      <w:pPr>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0D04B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11364A4"/>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37386D"/>
    <w:multiLevelType w:val="hybridMultilevel"/>
    <w:tmpl w:val="02D611C2"/>
    <w:lvl w:ilvl="0" w:tplc="E872220A">
      <w:start w:val="1"/>
      <w:numFmt w:val="bullet"/>
      <w:pStyle w:val="Listaconvietas"/>
      <w:lvlText w:val="•"/>
      <w:lvlJc w:val="left"/>
      <w:pPr>
        <w:tabs>
          <w:tab w:val="num" w:pos="1211"/>
        </w:tabs>
        <w:ind w:left="1211" w:hanging="360"/>
      </w:pPr>
      <w:rPr>
        <w:rFonts w:ascii="Times New Roman" w:hAnsi="Times New Roman" w:hint="default"/>
        <w:color w:val="auto"/>
        <w:sz w:val="28"/>
      </w:rPr>
    </w:lvl>
    <w:lvl w:ilvl="1" w:tplc="1D1AE61A">
      <w:start w:val="1"/>
      <w:numFmt w:val="decimal"/>
      <w:lvlText w:val="%2."/>
      <w:lvlJc w:val="left"/>
      <w:pPr>
        <w:tabs>
          <w:tab w:val="num" w:pos="1931"/>
        </w:tabs>
        <w:ind w:left="1931" w:hanging="360"/>
      </w:pPr>
    </w:lvl>
    <w:lvl w:ilvl="2" w:tplc="F33281D8" w:tentative="1">
      <w:start w:val="1"/>
      <w:numFmt w:val="lowerRoman"/>
      <w:lvlText w:val="%3."/>
      <w:lvlJc w:val="right"/>
      <w:pPr>
        <w:tabs>
          <w:tab w:val="num" w:pos="2651"/>
        </w:tabs>
        <w:ind w:left="2651" w:hanging="180"/>
      </w:pPr>
    </w:lvl>
    <w:lvl w:ilvl="3" w:tplc="DB44681E" w:tentative="1">
      <w:start w:val="1"/>
      <w:numFmt w:val="decimal"/>
      <w:lvlText w:val="%4."/>
      <w:lvlJc w:val="left"/>
      <w:pPr>
        <w:tabs>
          <w:tab w:val="num" w:pos="3371"/>
        </w:tabs>
        <w:ind w:left="3371" w:hanging="360"/>
      </w:pPr>
    </w:lvl>
    <w:lvl w:ilvl="4" w:tplc="BA6C37FA" w:tentative="1">
      <w:start w:val="1"/>
      <w:numFmt w:val="lowerLetter"/>
      <w:lvlText w:val="%5."/>
      <w:lvlJc w:val="left"/>
      <w:pPr>
        <w:tabs>
          <w:tab w:val="num" w:pos="4091"/>
        </w:tabs>
        <w:ind w:left="4091" w:hanging="360"/>
      </w:pPr>
    </w:lvl>
    <w:lvl w:ilvl="5" w:tplc="EBB2A7A2" w:tentative="1">
      <w:start w:val="1"/>
      <w:numFmt w:val="lowerRoman"/>
      <w:lvlText w:val="%6."/>
      <w:lvlJc w:val="right"/>
      <w:pPr>
        <w:tabs>
          <w:tab w:val="num" w:pos="4811"/>
        </w:tabs>
        <w:ind w:left="4811" w:hanging="180"/>
      </w:pPr>
    </w:lvl>
    <w:lvl w:ilvl="6" w:tplc="9FC4CE6A" w:tentative="1">
      <w:start w:val="1"/>
      <w:numFmt w:val="decimal"/>
      <w:lvlText w:val="%7."/>
      <w:lvlJc w:val="left"/>
      <w:pPr>
        <w:tabs>
          <w:tab w:val="num" w:pos="5531"/>
        </w:tabs>
        <w:ind w:left="5531" w:hanging="360"/>
      </w:pPr>
    </w:lvl>
    <w:lvl w:ilvl="7" w:tplc="425C3392" w:tentative="1">
      <w:start w:val="1"/>
      <w:numFmt w:val="lowerLetter"/>
      <w:lvlText w:val="%8."/>
      <w:lvlJc w:val="left"/>
      <w:pPr>
        <w:tabs>
          <w:tab w:val="num" w:pos="6251"/>
        </w:tabs>
        <w:ind w:left="6251" w:hanging="360"/>
      </w:pPr>
    </w:lvl>
    <w:lvl w:ilvl="8" w:tplc="BBD8DDA8" w:tentative="1">
      <w:start w:val="1"/>
      <w:numFmt w:val="lowerRoman"/>
      <w:lvlText w:val="%9."/>
      <w:lvlJc w:val="right"/>
      <w:pPr>
        <w:tabs>
          <w:tab w:val="num" w:pos="6971"/>
        </w:tabs>
        <w:ind w:left="6971" w:hanging="180"/>
      </w:pPr>
    </w:lvl>
  </w:abstractNum>
  <w:abstractNum w:abstractNumId="76" w15:restartNumberingAfterBreak="0">
    <w:nsid w:val="62BE6031"/>
    <w:multiLevelType w:val="multilevel"/>
    <w:tmpl w:val="4AEA6124"/>
    <w:lvl w:ilvl="0">
      <w:start w:val="1"/>
      <w:numFmt w:val="decimal"/>
      <w:pStyle w:val="A3L1"/>
      <w:suff w:val="space"/>
      <w:lvlText w:val="%1."/>
      <w:lvlJc w:val="left"/>
      <w:pPr>
        <w:ind w:left="357" w:hanging="357"/>
      </w:pPr>
      <w:rPr>
        <w:rFonts w:hint="default"/>
      </w:rPr>
    </w:lvl>
    <w:lvl w:ilvl="1">
      <w:start w:val="1"/>
      <w:numFmt w:val="decimal"/>
      <w:pStyle w:val="A3L2"/>
      <w:suff w:val="space"/>
      <w:lvlText w:val="%1.%2."/>
      <w:lvlJc w:val="left"/>
      <w:pPr>
        <w:ind w:left="792" w:hanging="792"/>
      </w:pPr>
      <w:rPr>
        <w:rFonts w:hint="default"/>
      </w:rPr>
    </w:lvl>
    <w:lvl w:ilvl="2">
      <w:start w:val="1"/>
      <w:numFmt w:val="decimal"/>
      <w:pStyle w:val="A3L3"/>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58D2A29"/>
    <w:multiLevelType w:val="multilevel"/>
    <w:tmpl w:val="C7F2047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5CB6DBC"/>
    <w:multiLevelType w:val="hybridMultilevel"/>
    <w:tmpl w:val="88D240F4"/>
    <w:lvl w:ilvl="0" w:tplc="4D6C9E4E">
      <w:start w:val="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677121BB"/>
    <w:multiLevelType w:val="multilevel"/>
    <w:tmpl w:val="44D896E6"/>
    <w:lvl w:ilvl="0">
      <w:start w:val="1"/>
      <w:numFmt w:val="decimal"/>
      <w:pStyle w:val="A1L1"/>
      <w:suff w:val="space"/>
      <w:lvlText w:val="%1."/>
      <w:lvlJc w:val="left"/>
      <w:pPr>
        <w:ind w:left="0" w:firstLine="0"/>
      </w:pPr>
      <w:rPr>
        <w:rFonts w:ascii="ITC Avant Garde" w:hAnsi="ITC Avant Garde" w:hint="default"/>
        <w:sz w:val="22"/>
      </w:rPr>
    </w:lvl>
    <w:lvl w:ilvl="1">
      <w:start w:val="3"/>
      <w:numFmt w:val="decimal"/>
      <w:lvlRestart w:val="0"/>
      <w:suff w:val="space"/>
      <w:lvlText w:val="%1.%2."/>
      <w:lvlJc w:val="left"/>
      <w:pPr>
        <w:ind w:left="0" w:firstLine="0"/>
      </w:pPr>
      <w:rPr>
        <w:rFonts w:hint="default"/>
      </w:rPr>
    </w:lvl>
    <w:lvl w:ilvl="2">
      <w:start w:val="1"/>
      <w:numFmt w:val="decimal"/>
      <w:pStyle w:val="A1L3"/>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0" w15:restartNumberingAfterBreak="0">
    <w:nsid w:val="6791638E"/>
    <w:multiLevelType w:val="hybridMultilevel"/>
    <w:tmpl w:val="35F2E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6C7E6E5A"/>
    <w:multiLevelType w:val="hybridMultilevel"/>
    <w:tmpl w:val="07DE1546"/>
    <w:lvl w:ilvl="0" w:tplc="9A508450">
      <w:start w:val="1"/>
      <w:numFmt w:val="decimal"/>
      <w:lvlText w:val="%1."/>
      <w:lvlJc w:val="left"/>
      <w:pPr>
        <w:ind w:left="1008" w:hanging="360"/>
      </w:pPr>
      <w:rPr>
        <w:rFonts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82" w15:restartNumberingAfterBreak="0">
    <w:nsid w:val="6D3558A6"/>
    <w:multiLevelType w:val="hybridMultilevel"/>
    <w:tmpl w:val="0E1E1BBC"/>
    <w:lvl w:ilvl="0" w:tplc="644639FE">
      <w:start w:val="1"/>
      <w:numFmt w:val="bullet"/>
      <w:pStyle w:val="Indentado4"/>
      <w:lvlText w:val="–"/>
      <w:lvlJc w:val="left"/>
      <w:pPr>
        <w:ind w:left="2422" w:hanging="360"/>
      </w:pPr>
      <w:rPr>
        <w:rFonts w:ascii="Verdana" w:hAnsi="Verdana" w:hint="default"/>
        <w:color w:val="5B9BD5" w:themeColor="accent1"/>
      </w:rPr>
    </w:lvl>
    <w:lvl w:ilvl="1" w:tplc="040A0003">
      <w:start w:val="1"/>
      <w:numFmt w:val="bullet"/>
      <w:lvlText w:val="o"/>
      <w:lvlJc w:val="left"/>
      <w:pPr>
        <w:ind w:left="3142" w:hanging="360"/>
      </w:pPr>
      <w:rPr>
        <w:rFonts w:ascii="Courier New" w:hAnsi="Courier New" w:cs="Courier New" w:hint="default"/>
      </w:rPr>
    </w:lvl>
    <w:lvl w:ilvl="2" w:tplc="040A0005" w:tentative="1">
      <w:start w:val="1"/>
      <w:numFmt w:val="bullet"/>
      <w:lvlText w:val=""/>
      <w:lvlJc w:val="left"/>
      <w:pPr>
        <w:ind w:left="3862" w:hanging="360"/>
      </w:pPr>
      <w:rPr>
        <w:rFonts w:ascii="Wingdings" w:hAnsi="Wingdings" w:hint="default"/>
      </w:rPr>
    </w:lvl>
    <w:lvl w:ilvl="3" w:tplc="040A0001" w:tentative="1">
      <w:start w:val="1"/>
      <w:numFmt w:val="bullet"/>
      <w:lvlText w:val=""/>
      <w:lvlJc w:val="left"/>
      <w:pPr>
        <w:ind w:left="4582" w:hanging="360"/>
      </w:pPr>
      <w:rPr>
        <w:rFonts w:ascii="Symbol" w:hAnsi="Symbol" w:hint="default"/>
      </w:rPr>
    </w:lvl>
    <w:lvl w:ilvl="4" w:tplc="040A0003" w:tentative="1">
      <w:start w:val="1"/>
      <w:numFmt w:val="bullet"/>
      <w:lvlText w:val="o"/>
      <w:lvlJc w:val="left"/>
      <w:pPr>
        <w:ind w:left="5302" w:hanging="360"/>
      </w:pPr>
      <w:rPr>
        <w:rFonts w:ascii="Courier New" w:hAnsi="Courier New" w:cs="Courier New" w:hint="default"/>
      </w:rPr>
    </w:lvl>
    <w:lvl w:ilvl="5" w:tplc="040A0005" w:tentative="1">
      <w:start w:val="1"/>
      <w:numFmt w:val="bullet"/>
      <w:lvlText w:val=""/>
      <w:lvlJc w:val="left"/>
      <w:pPr>
        <w:ind w:left="6022" w:hanging="360"/>
      </w:pPr>
      <w:rPr>
        <w:rFonts w:ascii="Wingdings" w:hAnsi="Wingdings" w:hint="default"/>
      </w:rPr>
    </w:lvl>
    <w:lvl w:ilvl="6" w:tplc="040A0001" w:tentative="1">
      <w:start w:val="1"/>
      <w:numFmt w:val="bullet"/>
      <w:lvlText w:val=""/>
      <w:lvlJc w:val="left"/>
      <w:pPr>
        <w:ind w:left="6742" w:hanging="360"/>
      </w:pPr>
      <w:rPr>
        <w:rFonts w:ascii="Symbol" w:hAnsi="Symbol" w:hint="default"/>
      </w:rPr>
    </w:lvl>
    <w:lvl w:ilvl="7" w:tplc="040A0003" w:tentative="1">
      <w:start w:val="1"/>
      <w:numFmt w:val="bullet"/>
      <w:lvlText w:val="o"/>
      <w:lvlJc w:val="left"/>
      <w:pPr>
        <w:ind w:left="7462" w:hanging="360"/>
      </w:pPr>
      <w:rPr>
        <w:rFonts w:ascii="Courier New" w:hAnsi="Courier New" w:cs="Courier New" w:hint="default"/>
      </w:rPr>
    </w:lvl>
    <w:lvl w:ilvl="8" w:tplc="040A0005" w:tentative="1">
      <w:start w:val="1"/>
      <w:numFmt w:val="bullet"/>
      <w:lvlText w:val=""/>
      <w:lvlJc w:val="left"/>
      <w:pPr>
        <w:ind w:left="8182" w:hanging="360"/>
      </w:pPr>
      <w:rPr>
        <w:rFonts w:ascii="Wingdings" w:hAnsi="Wingdings" w:hint="default"/>
      </w:rPr>
    </w:lvl>
  </w:abstractNum>
  <w:abstractNum w:abstractNumId="83" w15:restartNumberingAfterBreak="0">
    <w:nsid w:val="6DC153AA"/>
    <w:multiLevelType w:val="hybridMultilevel"/>
    <w:tmpl w:val="E2E05898"/>
    <w:lvl w:ilvl="0" w:tplc="3A08AA82">
      <w:start w:val="1"/>
      <w:numFmt w:val="decimal"/>
      <w:pStyle w:val="malo"/>
      <w:lvlText w:val="A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15:restartNumberingAfterBreak="0">
    <w:nsid w:val="6EAB7157"/>
    <w:multiLevelType w:val="multilevel"/>
    <w:tmpl w:val="35600C3E"/>
    <w:lvl w:ilvl="0">
      <w:start w:val="1"/>
      <w:numFmt w:val="decimal"/>
      <w:pStyle w:val="HeadingAnexo2L1"/>
      <w:suff w:val="space"/>
      <w:lvlText w:val="A2.%1"/>
      <w:lvlJc w:val="left"/>
      <w:pPr>
        <w:ind w:left="0" w:firstLine="0"/>
      </w:pPr>
      <w:rPr>
        <w:rFonts w:hint="default"/>
      </w:rPr>
    </w:lvl>
    <w:lvl w:ilvl="1">
      <w:start w:val="1"/>
      <w:numFmt w:val="decimal"/>
      <w:pStyle w:val="HeadingAnexo2L1"/>
      <w:lvlText w:val="A2.%1.%2"/>
      <w:lvlJc w:val="left"/>
      <w:pPr>
        <w:ind w:left="0" w:firstLine="0"/>
      </w:pPr>
      <w:rPr>
        <w:rFonts w:hint="default"/>
      </w:rPr>
    </w:lvl>
    <w:lvl w:ilvl="2">
      <w:start w:val="1"/>
      <w:numFmt w:val="decimal"/>
      <w:pStyle w:val="Anexo2L2"/>
      <w:suff w:val="space"/>
      <w:lvlText w:val="A1.%1.%2.%3"/>
      <w:lvlJc w:val="left"/>
      <w:pPr>
        <w:ind w:left="0"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space"/>
      <w:lvlText w:val="A1.%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5" w15:restartNumberingAfterBreak="0">
    <w:nsid w:val="70830FE9"/>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1951FCF"/>
    <w:multiLevelType w:val="hybridMultilevel"/>
    <w:tmpl w:val="0680C9E2"/>
    <w:lvl w:ilvl="0" w:tplc="56348006">
      <w:start w:val="1"/>
      <w:numFmt w:val="bullet"/>
      <w:lvlText w:val="•"/>
      <w:lvlJc w:val="left"/>
      <w:pPr>
        <w:ind w:left="2345" w:hanging="360"/>
      </w:pPr>
      <w:rPr>
        <w:rFonts w:ascii="Arial" w:hAnsi="Arial" w:hint="default"/>
        <w:color w:val="5B9BD5" w:themeColor="accent1"/>
      </w:rPr>
    </w:lvl>
    <w:lvl w:ilvl="1" w:tplc="040A0003" w:tentative="1">
      <w:start w:val="1"/>
      <w:numFmt w:val="bullet"/>
      <w:lvlText w:val="o"/>
      <w:lvlJc w:val="left"/>
      <w:pPr>
        <w:ind w:left="3065" w:hanging="360"/>
      </w:pPr>
      <w:rPr>
        <w:rFonts w:ascii="Courier New" w:hAnsi="Courier New" w:cs="Courier New" w:hint="default"/>
      </w:rPr>
    </w:lvl>
    <w:lvl w:ilvl="2" w:tplc="040A0005" w:tentative="1">
      <w:start w:val="1"/>
      <w:numFmt w:val="bullet"/>
      <w:lvlText w:val=""/>
      <w:lvlJc w:val="left"/>
      <w:pPr>
        <w:ind w:left="3785" w:hanging="360"/>
      </w:pPr>
      <w:rPr>
        <w:rFonts w:ascii="Wingdings" w:hAnsi="Wingdings" w:hint="default"/>
      </w:rPr>
    </w:lvl>
    <w:lvl w:ilvl="3" w:tplc="040A0001" w:tentative="1">
      <w:start w:val="1"/>
      <w:numFmt w:val="bullet"/>
      <w:lvlText w:val=""/>
      <w:lvlJc w:val="left"/>
      <w:pPr>
        <w:ind w:left="4505" w:hanging="360"/>
      </w:pPr>
      <w:rPr>
        <w:rFonts w:ascii="Symbol" w:hAnsi="Symbol" w:hint="default"/>
      </w:rPr>
    </w:lvl>
    <w:lvl w:ilvl="4" w:tplc="040A0003" w:tentative="1">
      <w:start w:val="1"/>
      <w:numFmt w:val="bullet"/>
      <w:lvlText w:val="o"/>
      <w:lvlJc w:val="left"/>
      <w:pPr>
        <w:ind w:left="5225" w:hanging="360"/>
      </w:pPr>
      <w:rPr>
        <w:rFonts w:ascii="Courier New" w:hAnsi="Courier New" w:cs="Courier New" w:hint="default"/>
      </w:rPr>
    </w:lvl>
    <w:lvl w:ilvl="5" w:tplc="040A0005" w:tentative="1">
      <w:start w:val="1"/>
      <w:numFmt w:val="bullet"/>
      <w:lvlText w:val=""/>
      <w:lvlJc w:val="left"/>
      <w:pPr>
        <w:ind w:left="5945" w:hanging="360"/>
      </w:pPr>
      <w:rPr>
        <w:rFonts w:ascii="Wingdings" w:hAnsi="Wingdings" w:hint="default"/>
      </w:rPr>
    </w:lvl>
    <w:lvl w:ilvl="6" w:tplc="040A0001" w:tentative="1">
      <w:start w:val="1"/>
      <w:numFmt w:val="bullet"/>
      <w:lvlText w:val=""/>
      <w:lvlJc w:val="left"/>
      <w:pPr>
        <w:ind w:left="6665" w:hanging="360"/>
      </w:pPr>
      <w:rPr>
        <w:rFonts w:ascii="Symbol" w:hAnsi="Symbol" w:hint="default"/>
      </w:rPr>
    </w:lvl>
    <w:lvl w:ilvl="7" w:tplc="040A0003" w:tentative="1">
      <w:start w:val="1"/>
      <w:numFmt w:val="bullet"/>
      <w:lvlText w:val="o"/>
      <w:lvlJc w:val="left"/>
      <w:pPr>
        <w:ind w:left="7385" w:hanging="360"/>
      </w:pPr>
      <w:rPr>
        <w:rFonts w:ascii="Courier New" w:hAnsi="Courier New" w:cs="Courier New" w:hint="default"/>
      </w:rPr>
    </w:lvl>
    <w:lvl w:ilvl="8" w:tplc="040A0005" w:tentative="1">
      <w:start w:val="1"/>
      <w:numFmt w:val="bullet"/>
      <w:lvlText w:val=""/>
      <w:lvlJc w:val="left"/>
      <w:pPr>
        <w:ind w:left="8105" w:hanging="360"/>
      </w:pPr>
      <w:rPr>
        <w:rFonts w:ascii="Wingdings" w:hAnsi="Wingdings" w:hint="default"/>
      </w:rPr>
    </w:lvl>
  </w:abstractNum>
  <w:abstractNum w:abstractNumId="87" w15:restartNumberingAfterBreak="0">
    <w:nsid w:val="747B54D1"/>
    <w:multiLevelType w:val="hybridMultilevel"/>
    <w:tmpl w:val="4CB07F0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88" w15:restartNumberingAfterBreak="0">
    <w:nsid w:val="758073EB"/>
    <w:multiLevelType w:val="hybridMultilevel"/>
    <w:tmpl w:val="B3F68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7692069A"/>
    <w:multiLevelType w:val="hybridMultilevel"/>
    <w:tmpl w:val="EB1084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6C7134C"/>
    <w:multiLevelType w:val="hybridMultilevel"/>
    <w:tmpl w:val="183874CC"/>
    <w:lvl w:ilvl="0" w:tplc="B0121752">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1" w15:restartNumberingAfterBreak="0">
    <w:nsid w:val="79447D7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9C25116"/>
    <w:multiLevelType w:val="hybridMultilevel"/>
    <w:tmpl w:val="156E676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93" w15:restartNumberingAfterBreak="0">
    <w:nsid w:val="7A8178B6"/>
    <w:multiLevelType w:val="hybridMultilevel"/>
    <w:tmpl w:val="6DD28686"/>
    <w:lvl w:ilvl="0" w:tplc="0409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C0B0EC3"/>
    <w:multiLevelType w:val="hybridMultilevel"/>
    <w:tmpl w:val="F85C6904"/>
    <w:lvl w:ilvl="0" w:tplc="229E7E54">
      <w:start w:val="1"/>
      <w:numFmt w:val="bullet"/>
      <w:lvlText w:val=""/>
      <w:lvlJc w:val="left"/>
      <w:pPr>
        <w:ind w:left="720" w:hanging="360"/>
      </w:pPr>
      <w:rPr>
        <w:rFonts w:ascii="Wingdings 3" w:hAnsi="Wingdings 3"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E8641DA"/>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EEC0B03"/>
    <w:multiLevelType w:val="multilevel"/>
    <w:tmpl w:val="C6BCCB68"/>
    <w:lvl w:ilvl="0">
      <w:start w:val="1"/>
      <w:numFmt w:val="decimal"/>
      <w:suff w:val="space"/>
      <w:lvlText w:val="%1."/>
      <w:lvlJc w:val="left"/>
      <w:pPr>
        <w:ind w:left="0" w:firstLine="0"/>
      </w:pPr>
      <w:rPr>
        <w:rFonts w:hint="default"/>
      </w:rPr>
    </w:lvl>
    <w:lvl w:ilvl="1">
      <w:start w:val="3"/>
      <w:numFmt w:val="decimal"/>
      <w:pStyle w:val="HeadingAnexo1L2"/>
      <w:suff w:val="space"/>
      <w:lvlText w:val="%1.%2."/>
      <w:lvlJc w:val="left"/>
      <w:pPr>
        <w:ind w:left="0" w:firstLine="0"/>
      </w:pPr>
      <w:rPr>
        <w:rFonts w:hint="default"/>
      </w:rPr>
    </w:lvl>
    <w:lvl w:ilvl="2">
      <w:start w:val="1"/>
      <w:numFmt w:val="decimal"/>
      <w:pStyle w:val="HeadingAnexo2L2"/>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7" w15:restartNumberingAfterBreak="0">
    <w:nsid w:val="7FF83022"/>
    <w:multiLevelType w:val="hybridMultilevel"/>
    <w:tmpl w:val="822667C0"/>
    <w:lvl w:ilvl="0" w:tplc="0809000F">
      <w:start w:val="1"/>
      <w:numFmt w:val="decimal"/>
      <w:lvlText w:val="%1."/>
      <w:lvlJc w:val="left"/>
      <w:pPr>
        <w:ind w:left="1008" w:hanging="360"/>
      </w:pPr>
      <w:rPr>
        <w:rFonts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num w:numId="1">
    <w:abstractNumId w:val="63"/>
  </w:num>
  <w:num w:numId="2">
    <w:abstractNumId w:val="39"/>
  </w:num>
  <w:num w:numId="3">
    <w:abstractNumId w:val="70"/>
  </w:num>
  <w:num w:numId="4">
    <w:abstractNumId w:val="55"/>
  </w:num>
  <w:num w:numId="5">
    <w:abstractNumId w:val="93"/>
  </w:num>
  <w:num w:numId="6">
    <w:abstractNumId w:val="92"/>
  </w:num>
  <w:num w:numId="7">
    <w:abstractNumId w:val="47"/>
  </w:num>
  <w:num w:numId="8">
    <w:abstractNumId w:val="87"/>
  </w:num>
  <w:num w:numId="9">
    <w:abstractNumId w:val="36"/>
  </w:num>
  <w:num w:numId="10">
    <w:abstractNumId w:val="62"/>
  </w:num>
  <w:num w:numId="11">
    <w:abstractNumId w:val="86"/>
  </w:num>
  <w:num w:numId="12">
    <w:abstractNumId w:val="94"/>
  </w:num>
  <w:num w:numId="13">
    <w:abstractNumId w:val="33"/>
  </w:num>
  <w:num w:numId="14">
    <w:abstractNumId w:val="64"/>
  </w:num>
  <w:num w:numId="15">
    <w:abstractNumId w:val="74"/>
  </w:num>
  <w:num w:numId="16">
    <w:abstractNumId w:val="97"/>
  </w:num>
  <w:num w:numId="17">
    <w:abstractNumId w:val="61"/>
  </w:num>
  <w:num w:numId="18">
    <w:abstractNumId w:val="73"/>
  </w:num>
  <w:num w:numId="19">
    <w:abstractNumId w:val="36"/>
  </w:num>
  <w:num w:numId="20">
    <w:abstractNumId w:val="36"/>
  </w:num>
  <w:num w:numId="21">
    <w:abstractNumId w:val="91"/>
  </w:num>
  <w:num w:numId="22">
    <w:abstractNumId w:val="4"/>
  </w:num>
  <w:num w:numId="23">
    <w:abstractNumId w:val="15"/>
  </w:num>
  <w:num w:numId="24">
    <w:abstractNumId w:val="78"/>
  </w:num>
  <w:num w:numId="25">
    <w:abstractNumId w:val="81"/>
  </w:num>
  <w:num w:numId="26">
    <w:abstractNumId w:val="7"/>
  </w:num>
  <w:num w:numId="27">
    <w:abstractNumId w:val="36"/>
  </w:num>
  <w:num w:numId="28">
    <w:abstractNumId w:val="72"/>
  </w:num>
  <w:num w:numId="29">
    <w:abstractNumId w:val="72"/>
  </w:num>
  <w:num w:numId="30">
    <w:abstractNumId w:val="46"/>
  </w:num>
  <w:num w:numId="31">
    <w:abstractNumId w:val="42"/>
  </w:num>
  <w:num w:numId="32">
    <w:abstractNumId w:val="56"/>
  </w:num>
  <w:num w:numId="33">
    <w:abstractNumId w:val="44"/>
  </w:num>
  <w:num w:numId="34">
    <w:abstractNumId w:val="69"/>
  </w:num>
  <w:num w:numId="35">
    <w:abstractNumId w:val="65"/>
  </w:num>
  <w:num w:numId="36">
    <w:abstractNumId w:val="19"/>
  </w:num>
  <w:num w:numId="37">
    <w:abstractNumId w:val="32"/>
  </w:num>
  <w:num w:numId="38">
    <w:abstractNumId w:val="82"/>
  </w:num>
  <w:num w:numId="39">
    <w:abstractNumId w:val="3"/>
  </w:num>
  <w:num w:numId="40">
    <w:abstractNumId w:val="75"/>
  </w:num>
  <w:num w:numId="41">
    <w:abstractNumId w:val="34"/>
  </w:num>
  <w:num w:numId="42">
    <w:abstractNumId w:val="24"/>
  </w:num>
  <w:num w:numId="43">
    <w:abstractNumId w:val="57"/>
  </w:num>
  <w:num w:numId="44">
    <w:abstractNumId w:val="53"/>
  </w:num>
  <w:num w:numId="45">
    <w:abstractNumId w:val="20"/>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lvl w:ilvl="0">
        <w:start w:val="1"/>
        <w:numFmt w:val="upperLetter"/>
        <w:pStyle w:val="Annex1"/>
        <w:lvlText w:val="Anexo %1."/>
        <w:lvlJc w:val="left"/>
        <w:pPr>
          <w:ind w:left="360" w:hanging="360"/>
        </w:pPr>
        <w:rPr>
          <w:rFonts w:hint="default"/>
          <w:b/>
          <w:i w:val="0"/>
          <w:color w:val="5B9BD5" w:themeColor="accent1"/>
          <w:sz w:val="40"/>
          <w:szCs w:val="40"/>
        </w:rPr>
      </w:lvl>
    </w:lvlOverride>
    <w:lvlOverride w:ilvl="1">
      <w:lvl w:ilvl="1">
        <w:start w:val="1"/>
        <w:numFmt w:val="decimal"/>
        <w:pStyle w:val="Annexlv2"/>
        <w:suff w:val="space"/>
        <w:lvlText w:val="%1.%2."/>
        <w:lvlJc w:val="left"/>
        <w:pPr>
          <w:ind w:left="357" w:hanging="357"/>
        </w:pPr>
        <w:rPr>
          <w:rFonts w:hint="default"/>
          <w:b w:val="0"/>
          <w:bCs/>
          <w:i w:val="0"/>
          <w:iCs w:val="0"/>
          <w:caps w:val="0"/>
          <w:strike w:val="0"/>
          <w:dstrike w:val="0"/>
          <w:vanish w:val="0"/>
          <w:spacing w:val="0"/>
          <w:kern w:val="0"/>
          <w:position w:val="0"/>
          <w:u w:val="none"/>
          <w:effect w:val="none"/>
          <w:vertAlign w:val="baseline"/>
          <w:em w:val="none"/>
        </w:rPr>
      </w:lvl>
    </w:lvlOverride>
    <w:lvlOverride w:ilvl="2">
      <w:lvl w:ilvl="2">
        <w:start w:val="1"/>
        <w:numFmt w:val="decimal"/>
        <w:pStyle w:val="AnnexLvl3"/>
        <w:suff w:val="space"/>
        <w:lvlText w:val="%1.%2.%3."/>
        <w:lvlJc w:val="left"/>
        <w:pPr>
          <w:ind w:left="1067" w:hanging="357"/>
        </w:pPr>
        <w:rPr>
          <w:rFonts w:hint="default"/>
          <w:b/>
          <w:bCs w:val="0"/>
          <w:i w:val="0"/>
          <w:iCs w:val="0"/>
          <w:caps w:val="0"/>
          <w:smallCaps w:val="0"/>
          <w:strike w:val="0"/>
          <w:dstrike w:val="0"/>
          <w:vanish w:val="0"/>
          <w:color w:val="5B9BD5" w:themeColor="accent1"/>
          <w:spacing w:val="0"/>
          <w:kern w:val="0"/>
          <w:position w:val="0"/>
          <w:u w:val="none"/>
          <w:effect w:val="none"/>
          <w:vertAlign w:val="baseline"/>
          <w:em w:val="none"/>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5"/>
  </w:num>
  <w:num w:numId="55">
    <w:abstractNumId w:val="25"/>
  </w:num>
  <w:num w:numId="56">
    <w:abstractNumId w:val="9"/>
  </w:num>
  <w:num w:numId="57">
    <w:abstractNumId w:val="50"/>
  </w:num>
  <w:num w:numId="58">
    <w:abstractNumId w:val="36"/>
  </w:num>
  <w:num w:numId="59">
    <w:abstractNumId w:val="36"/>
  </w:num>
  <w:num w:numId="60">
    <w:abstractNumId w:val="36"/>
  </w:num>
  <w:num w:numId="61">
    <w:abstractNumId w:val="68"/>
  </w:num>
  <w:num w:numId="62">
    <w:abstractNumId w:val="36"/>
  </w:num>
  <w:num w:numId="63">
    <w:abstractNumId w:val="21"/>
  </w:num>
  <w:num w:numId="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num>
  <w:num w:numId="6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num>
  <w:num w:numId="68">
    <w:abstractNumId w:val="62"/>
  </w:num>
  <w:num w:numId="69">
    <w:abstractNumId w:val="36"/>
  </w:num>
  <w:num w:numId="70">
    <w:abstractNumId w:val="7"/>
  </w:num>
  <w:num w:numId="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num>
  <w:num w:numId="73">
    <w:abstractNumId w:val="19"/>
  </w:num>
  <w:num w:numId="74">
    <w:abstractNumId w:val="44"/>
    <w:lvlOverride w:ilvl="0"/>
    <w:lvlOverride w:ilvl="1">
      <w:startOverride w:val="1"/>
    </w:lvlOverride>
    <w:lvlOverride w:ilvl="2"/>
    <w:lvlOverride w:ilvl="3"/>
    <w:lvlOverride w:ilvl="4"/>
    <w:lvlOverride w:ilvl="5"/>
    <w:lvlOverride w:ilvl="6"/>
    <w:lvlOverride w:ilvl="7"/>
    <w:lvlOverride w:ilvl="8"/>
  </w:num>
  <w:num w:numId="75">
    <w:abstractNumId w:val="32"/>
  </w:num>
  <w:num w:numId="76">
    <w:abstractNumId w:val="82"/>
  </w:num>
  <w:num w:numId="77">
    <w:abstractNumId w:val="3"/>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7"/>
  </w:num>
  <w:num w:numId="81">
    <w:abstractNumId w:val="67"/>
  </w:num>
  <w:num w:numId="82">
    <w:abstractNumId w:val="96"/>
  </w:num>
  <w:num w:numId="83">
    <w:abstractNumId w:val="96"/>
  </w:num>
  <w:num w:numId="84">
    <w:abstractNumId w:val="83"/>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9"/>
  </w:num>
  <w:num w:numId="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lvlOverride w:ilvl="0">
      <w:startOverride w:val="1"/>
    </w:lvlOverride>
    <w:lvlOverride w:ilvl="1"/>
    <w:lvlOverride w:ilvl="2"/>
    <w:lvlOverride w:ilvl="3"/>
    <w:lvlOverride w:ilvl="4"/>
    <w:lvlOverride w:ilvl="5"/>
    <w:lvlOverride w:ilvl="6"/>
    <w:lvlOverride w:ilvl="7"/>
    <w:lvlOverride w:ilvl="8"/>
  </w:num>
  <w:num w:numId="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lvlOverride w:ilvl="0">
      <w:startOverride w:val="1"/>
    </w:lvlOverride>
    <w:lvlOverride w:ilvl="1"/>
    <w:lvlOverride w:ilvl="2"/>
    <w:lvlOverride w:ilvl="3"/>
    <w:lvlOverride w:ilvl="4"/>
    <w:lvlOverride w:ilvl="5"/>
    <w:lvlOverride w:ilvl="6"/>
    <w:lvlOverride w:ilvl="7"/>
    <w:lvlOverride w:ilvl="8"/>
  </w:num>
  <w:num w:numId="91">
    <w:abstractNumId w:val="3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3"/>
  </w:num>
  <w:num w:numId="9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6"/>
  </w:num>
  <w:num w:numId="98">
    <w:abstractNumId w:val="59"/>
  </w:num>
  <w:num w:numId="99">
    <w:abstractNumId w:val="9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6"/>
  </w:num>
  <w:num w:numId="1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6"/>
  </w:num>
  <w:num w:numId="103">
    <w:abstractNumId w:val="9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4"/>
  </w:num>
  <w:num w:numId="108">
    <w:abstractNumId w:val="12"/>
  </w:num>
  <w:num w:numId="109">
    <w:abstractNumId w:val="96"/>
  </w:num>
  <w:num w:numId="110">
    <w:abstractNumId w:val="96"/>
  </w:num>
  <w:num w:numId="111">
    <w:abstractNumId w:val="96"/>
  </w:num>
  <w:num w:numId="11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6"/>
  </w:num>
  <w:num w:numId="114">
    <w:abstractNumId w:val="96"/>
  </w:num>
  <w:num w:numId="115">
    <w:abstractNumId w:val="66"/>
  </w:num>
  <w:num w:numId="116">
    <w:abstractNumId w:val="96"/>
  </w:num>
  <w:num w:numId="117">
    <w:abstractNumId w:val="96"/>
  </w:num>
  <w:num w:numId="11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6"/>
  </w:num>
  <w:num w:numId="120">
    <w:abstractNumId w:val="43"/>
  </w:num>
  <w:num w:numId="121">
    <w:abstractNumId w:val="36"/>
  </w:num>
  <w:num w:numId="122">
    <w:abstractNumId w:val="95"/>
  </w:num>
  <w:num w:numId="123">
    <w:abstractNumId w:val="36"/>
  </w:num>
  <w:num w:numId="124">
    <w:abstractNumId w:val="31"/>
  </w:num>
  <w:num w:numId="125">
    <w:abstractNumId w:val="36"/>
  </w:num>
  <w:num w:numId="126">
    <w:abstractNumId w:val="71"/>
  </w:num>
  <w:num w:numId="127">
    <w:abstractNumId w:val="36"/>
  </w:num>
  <w:num w:numId="128">
    <w:abstractNumId w:val="2"/>
  </w:num>
  <w:num w:numId="129">
    <w:abstractNumId w:val="36"/>
  </w:num>
  <w:num w:numId="130">
    <w:abstractNumId w:val="85"/>
  </w:num>
  <w:num w:numId="131">
    <w:abstractNumId w:val="36"/>
  </w:num>
  <w:num w:numId="132">
    <w:abstractNumId w:val="36"/>
  </w:num>
  <w:num w:numId="133">
    <w:abstractNumId w:val="36"/>
  </w:num>
  <w:num w:numId="134">
    <w:abstractNumId w:val="36"/>
  </w:num>
  <w:num w:numId="135">
    <w:abstractNumId w:val="36"/>
  </w:num>
  <w:num w:numId="136">
    <w:abstractNumId w:val="36"/>
  </w:num>
  <w:num w:numId="137">
    <w:abstractNumId w:val="30"/>
  </w:num>
  <w:num w:numId="138">
    <w:abstractNumId w:val="60"/>
  </w:num>
  <w:num w:numId="139">
    <w:abstractNumId w:val="36"/>
  </w:num>
  <w:num w:numId="140">
    <w:abstractNumId w:val="36"/>
  </w:num>
  <w:num w:numId="141">
    <w:abstractNumId w:val="90"/>
  </w:num>
  <w:num w:numId="142">
    <w:abstractNumId w:val="41"/>
  </w:num>
  <w:num w:numId="143">
    <w:abstractNumId w:val="96"/>
  </w:num>
  <w:num w:numId="144">
    <w:abstractNumId w:val="96"/>
  </w:num>
  <w:num w:numId="145">
    <w:abstractNumId w:val="96"/>
  </w:num>
  <w:num w:numId="146">
    <w:abstractNumId w:val="96"/>
  </w:num>
  <w:num w:numId="14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6"/>
  </w:num>
  <w:num w:numId="150">
    <w:abstractNumId w:val="96"/>
  </w:num>
  <w:num w:numId="151">
    <w:abstractNumId w:val="96"/>
  </w:num>
  <w:num w:numId="152">
    <w:abstractNumId w:val="9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6"/>
  </w:num>
  <w:num w:numId="154">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7"/>
  </w:num>
  <w:num w:numId="156">
    <w:abstractNumId w:val="14"/>
  </w:num>
  <w:num w:numId="157">
    <w:abstractNumId w:val="36"/>
  </w:num>
  <w:num w:numId="158">
    <w:abstractNumId w:val="36"/>
  </w:num>
  <w:num w:numId="159">
    <w:abstractNumId w:val="36"/>
  </w:num>
  <w:num w:numId="160">
    <w:abstractNumId w:val="16"/>
  </w:num>
  <w:num w:numId="161">
    <w:abstractNumId w:val="96"/>
  </w:num>
  <w:num w:numId="162">
    <w:abstractNumId w:val="96"/>
  </w:num>
  <w:num w:numId="1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6"/>
  </w:num>
  <w:num w:numId="166">
    <w:abstractNumId w:val="96"/>
  </w:num>
  <w:num w:numId="167">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6"/>
  </w:num>
  <w:num w:numId="171">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6"/>
  </w:num>
  <w:num w:numId="174">
    <w:abstractNumId w:val="36"/>
  </w:num>
  <w:num w:numId="175">
    <w:abstractNumId w:val="36"/>
  </w:num>
  <w:num w:numId="17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7"/>
  </w:num>
  <w:num w:numId="178">
    <w:abstractNumId w:val="58"/>
  </w:num>
  <w:num w:numId="179">
    <w:abstractNumId w:val="77"/>
  </w:num>
  <w:num w:numId="180">
    <w:abstractNumId w:val="96"/>
  </w:num>
  <w:num w:numId="181">
    <w:abstractNumId w:val="6"/>
  </w:num>
  <w:num w:numId="182">
    <w:abstractNumId w:val="49"/>
  </w:num>
  <w:num w:numId="183">
    <w:abstractNumId w:val="13"/>
  </w:num>
  <w:num w:numId="184">
    <w:abstractNumId w:val="52"/>
  </w:num>
  <w:num w:numId="185">
    <w:abstractNumId w:val="22"/>
  </w:num>
  <w:num w:numId="186">
    <w:abstractNumId w:val="79"/>
  </w:num>
  <w:num w:numId="187">
    <w:abstractNumId w:val="96"/>
  </w:num>
  <w:num w:numId="188">
    <w:abstractNumId w:val="11"/>
  </w:num>
  <w:num w:numId="189">
    <w:abstractNumId w:val="11"/>
  </w:num>
  <w:num w:numId="190">
    <w:abstractNumId w:val="11"/>
  </w:num>
  <w:num w:numId="191">
    <w:abstractNumId w:val="11"/>
  </w:num>
  <w:num w:numId="192">
    <w:abstractNumId w:val="11"/>
    <w:lvlOverride w:ilvl="0">
      <w:lvl w:ilvl="0">
        <w:start w:val="1"/>
        <w:numFmt w:val="decimal"/>
        <w:lvlText w:val="%1."/>
        <w:lvlJc w:val="left"/>
        <w:pPr>
          <w:ind w:left="502" w:hanging="360"/>
        </w:pPr>
        <w:rPr>
          <w:rFonts w:hint="default"/>
          <w:b w:val="0"/>
          <w:bCs/>
          <w:i w:val="0"/>
          <w:color w:val="0C2749"/>
          <w:sz w:val="18"/>
          <w:szCs w:val="16"/>
        </w:rPr>
      </w:lvl>
    </w:lvlOverride>
    <w:lvlOverride w:ilvl="1">
      <w:lvl w:ilvl="1">
        <w:start w:val="1"/>
        <w:numFmt w:val="decimal"/>
        <w:pStyle w:val="A1L2"/>
        <w:suff w:val="space"/>
        <w:lvlText w:val="%1.%2."/>
        <w:lvlJc w:val="left"/>
        <w:pPr>
          <w:ind w:left="934" w:hanging="432"/>
        </w:pPr>
        <w:rPr>
          <w:rFonts w:hint="default"/>
        </w:rPr>
      </w:lvl>
    </w:lvlOverride>
    <w:lvlOverride w:ilvl="2">
      <w:lvl w:ilvl="2">
        <w:start w:val="1"/>
        <w:numFmt w:val="decimal"/>
        <w:suff w:val="space"/>
        <w:lvlText w:val="%1.%2.%3."/>
        <w:lvlJc w:val="left"/>
        <w:pPr>
          <w:ind w:left="1366" w:hanging="504"/>
        </w:pPr>
        <w:rPr>
          <w:rFonts w:hint="default"/>
        </w:rPr>
      </w:lvl>
    </w:lvlOverride>
    <w:lvlOverride w:ilvl="3">
      <w:lvl w:ilvl="3">
        <w:start w:val="1"/>
        <w:numFmt w:val="decimal"/>
        <w:lvlText w:val="%1.%2.%3.%4."/>
        <w:lvlJc w:val="left"/>
        <w:pPr>
          <w:tabs>
            <w:tab w:val="num" w:pos="1942"/>
          </w:tabs>
          <w:ind w:left="1870" w:hanging="648"/>
        </w:pPr>
        <w:rPr>
          <w:rFonts w:hint="default"/>
        </w:rPr>
      </w:lvl>
    </w:lvlOverride>
    <w:lvlOverride w:ilvl="4">
      <w:lvl w:ilvl="4">
        <w:start w:val="1"/>
        <w:numFmt w:val="decimal"/>
        <w:lvlText w:val="%1.%2.%3.%4.%5."/>
        <w:lvlJc w:val="left"/>
        <w:pPr>
          <w:tabs>
            <w:tab w:val="num" w:pos="2662"/>
          </w:tabs>
          <w:ind w:left="2374" w:hanging="792"/>
        </w:pPr>
        <w:rPr>
          <w:rFonts w:hint="default"/>
        </w:rPr>
      </w:lvl>
    </w:lvlOverride>
    <w:lvlOverride w:ilvl="5">
      <w:lvl w:ilvl="5">
        <w:start w:val="1"/>
        <w:numFmt w:val="decimal"/>
        <w:lvlText w:val="%1.%2.%3.%4.%5.%6."/>
        <w:lvlJc w:val="left"/>
        <w:pPr>
          <w:tabs>
            <w:tab w:val="num" w:pos="3022"/>
          </w:tabs>
          <w:ind w:left="2878" w:hanging="936"/>
        </w:pPr>
        <w:rPr>
          <w:rFonts w:hint="default"/>
        </w:rPr>
      </w:lvl>
    </w:lvlOverride>
    <w:lvlOverride w:ilvl="6">
      <w:lvl w:ilvl="6">
        <w:start w:val="1"/>
        <w:numFmt w:val="decimal"/>
        <w:lvlText w:val="%1.%2.%3.%4.%5.%6.%7."/>
        <w:lvlJc w:val="left"/>
        <w:pPr>
          <w:tabs>
            <w:tab w:val="num" w:pos="3742"/>
          </w:tabs>
          <w:ind w:left="3382" w:hanging="1080"/>
        </w:pPr>
        <w:rPr>
          <w:rFonts w:hint="default"/>
        </w:rPr>
      </w:lvl>
    </w:lvlOverride>
    <w:lvlOverride w:ilvl="7">
      <w:lvl w:ilvl="7">
        <w:start w:val="1"/>
        <w:numFmt w:val="decimal"/>
        <w:lvlText w:val="%1.%2.%3.%4.%5.%6.%7.%8."/>
        <w:lvlJc w:val="left"/>
        <w:pPr>
          <w:tabs>
            <w:tab w:val="num" w:pos="4102"/>
          </w:tabs>
          <w:ind w:left="3886" w:hanging="1224"/>
        </w:pPr>
        <w:rPr>
          <w:rFonts w:hint="default"/>
        </w:rPr>
      </w:lvl>
    </w:lvlOverride>
    <w:lvlOverride w:ilvl="8">
      <w:lvl w:ilvl="8">
        <w:start w:val="1"/>
        <w:numFmt w:val="decimal"/>
        <w:lvlText w:val="%1.%2.%3.%4.%5.%6.%7.%8.%9."/>
        <w:lvlJc w:val="left"/>
        <w:pPr>
          <w:tabs>
            <w:tab w:val="num" w:pos="4822"/>
          </w:tabs>
          <w:ind w:left="4462" w:hanging="1440"/>
        </w:pPr>
        <w:rPr>
          <w:rFonts w:hint="default"/>
        </w:rPr>
      </w:lvl>
    </w:lvlOverride>
  </w:num>
  <w:num w:numId="193">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9"/>
  </w:num>
  <w:num w:numId="197">
    <w:abstractNumId w:val="11"/>
  </w:num>
  <w:num w:numId="1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1"/>
  </w:num>
  <w:num w:numId="200">
    <w:abstractNumId w:val="76"/>
  </w:num>
  <w:num w:numId="201">
    <w:abstractNumId w:val="96"/>
  </w:num>
  <w:num w:numId="202">
    <w:abstractNumId w:val="9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6"/>
  </w:num>
  <w:num w:numId="204">
    <w:abstractNumId w:val="96"/>
  </w:num>
  <w:num w:numId="205">
    <w:abstractNumId w:val="96"/>
  </w:num>
  <w:num w:numId="206">
    <w:abstractNumId w:val="36"/>
  </w:num>
  <w:num w:numId="207">
    <w:abstractNumId w:val="36"/>
  </w:num>
  <w:num w:numId="208">
    <w:abstractNumId w:val="36"/>
  </w:num>
  <w:num w:numId="209">
    <w:abstractNumId w:val="36"/>
  </w:num>
  <w:num w:numId="210">
    <w:abstractNumId w:val="36"/>
  </w:num>
  <w:num w:numId="211">
    <w:abstractNumId w:val="36"/>
  </w:num>
  <w:num w:numId="212">
    <w:abstractNumId w:val="36"/>
  </w:num>
  <w:num w:numId="213">
    <w:abstractNumId w:val="35"/>
  </w:num>
  <w:num w:numId="214">
    <w:abstractNumId w:val="40"/>
  </w:num>
  <w:num w:numId="215">
    <w:abstractNumId w:val="48"/>
  </w:num>
  <w:num w:numId="216">
    <w:abstractNumId w:val="10"/>
  </w:num>
  <w:num w:numId="217">
    <w:abstractNumId w:val="88"/>
  </w:num>
  <w:num w:numId="218">
    <w:abstractNumId w:val="23"/>
  </w:num>
  <w:num w:numId="219">
    <w:abstractNumId w:val="54"/>
  </w:num>
  <w:num w:numId="220">
    <w:abstractNumId w:val="27"/>
  </w:num>
  <w:num w:numId="221">
    <w:abstractNumId w:val="28"/>
  </w:num>
  <w:num w:numId="222">
    <w:abstractNumId w:val="89"/>
  </w:num>
  <w:num w:numId="223">
    <w:abstractNumId w:val="45"/>
  </w:num>
  <w:num w:numId="224">
    <w:abstractNumId w:val="51"/>
  </w:num>
  <w:num w:numId="225">
    <w:abstractNumId w:val="80"/>
  </w:num>
  <w:num w:numId="226">
    <w:abstractNumId w:val="36"/>
  </w:num>
  <w:num w:numId="227">
    <w:abstractNumId w:val="8"/>
  </w:num>
  <w:num w:numId="228">
    <w:abstractNumId w:val="36"/>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GrammaticalErrors/>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1"/>
  <w:activeWritingStyle w:appName="MSWord" w:lang="en-GB" w:vendorID="64" w:dllVersion="0" w:nlCheck="1" w:checkStyle="1"/>
  <w:activeWritingStyle w:appName="MSWord" w:lang="pt-PT"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66"/>
    <w:rsid w:val="000008F4"/>
    <w:rsid w:val="000018FA"/>
    <w:rsid w:val="00001B0B"/>
    <w:rsid w:val="00001F6B"/>
    <w:rsid w:val="00003A60"/>
    <w:rsid w:val="00004F66"/>
    <w:rsid w:val="00005063"/>
    <w:rsid w:val="000073A6"/>
    <w:rsid w:val="000109EC"/>
    <w:rsid w:val="00010A4B"/>
    <w:rsid w:val="00010C96"/>
    <w:rsid w:val="0001132E"/>
    <w:rsid w:val="000119BF"/>
    <w:rsid w:val="00011B34"/>
    <w:rsid w:val="00011E07"/>
    <w:rsid w:val="00012047"/>
    <w:rsid w:val="00012146"/>
    <w:rsid w:val="000139A3"/>
    <w:rsid w:val="000151A6"/>
    <w:rsid w:val="0001566A"/>
    <w:rsid w:val="00017481"/>
    <w:rsid w:val="0002111C"/>
    <w:rsid w:val="00021C1E"/>
    <w:rsid w:val="00021C83"/>
    <w:rsid w:val="00022E31"/>
    <w:rsid w:val="00023730"/>
    <w:rsid w:val="0002422F"/>
    <w:rsid w:val="0002498D"/>
    <w:rsid w:val="00025274"/>
    <w:rsid w:val="0002589C"/>
    <w:rsid w:val="00026623"/>
    <w:rsid w:val="00026D16"/>
    <w:rsid w:val="00027313"/>
    <w:rsid w:val="000320E3"/>
    <w:rsid w:val="00032A5B"/>
    <w:rsid w:val="00032B9F"/>
    <w:rsid w:val="00035EFD"/>
    <w:rsid w:val="00035EFE"/>
    <w:rsid w:val="00037A19"/>
    <w:rsid w:val="0004042D"/>
    <w:rsid w:val="0004102B"/>
    <w:rsid w:val="00043FD5"/>
    <w:rsid w:val="0004481B"/>
    <w:rsid w:val="00045381"/>
    <w:rsid w:val="00045511"/>
    <w:rsid w:val="0004598C"/>
    <w:rsid w:val="00045A75"/>
    <w:rsid w:val="00045E92"/>
    <w:rsid w:val="000462AE"/>
    <w:rsid w:val="00047C38"/>
    <w:rsid w:val="00047C3B"/>
    <w:rsid w:val="00047D05"/>
    <w:rsid w:val="00050493"/>
    <w:rsid w:val="000510F0"/>
    <w:rsid w:val="000515FC"/>
    <w:rsid w:val="00052F09"/>
    <w:rsid w:val="0005365F"/>
    <w:rsid w:val="0005441B"/>
    <w:rsid w:val="0005485B"/>
    <w:rsid w:val="00056B21"/>
    <w:rsid w:val="00057605"/>
    <w:rsid w:val="00060A1C"/>
    <w:rsid w:val="00060D13"/>
    <w:rsid w:val="00064180"/>
    <w:rsid w:val="00064C78"/>
    <w:rsid w:val="00065393"/>
    <w:rsid w:val="000657DB"/>
    <w:rsid w:val="00067749"/>
    <w:rsid w:val="00070662"/>
    <w:rsid w:val="00070EA5"/>
    <w:rsid w:val="000714E2"/>
    <w:rsid w:val="00072AB4"/>
    <w:rsid w:val="00074C92"/>
    <w:rsid w:val="000775DF"/>
    <w:rsid w:val="00080106"/>
    <w:rsid w:val="00082902"/>
    <w:rsid w:val="00082BA8"/>
    <w:rsid w:val="000836C9"/>
    <w:rsid w:val="000846C2"/>
    <w:rsid w:val="00085FCB"/>
    <w:rsid w:val="00086DB7"/>
    <w:rsid w:val="000877AF"/>
    <w:rsid w:val="00090AF3"/>
    <w:rsid w:val="00091C39"/>
    <w:rsid w:val="0009230E"/>
    <w:rsid w:val="000928B3"/>
    <w:rsid w:val="000929AE"/>
    <w:rsid w:val="00092AA6"/>
    <w:rsid w:val="00093243"/>
    <w:rsid w:val="00096E89"/>
    <w:rsid w:val="00097237"/>
    <w:rsid w:val="000A0C57"/>
    <w:rsid w:val="000A0DD4"/>
    <w:rsid w:val="000A10D3"/>
    <w:rsid w:val="000A13A0"/>
    <w:rsid w:val="000A2B3F"/>
    <w:rsid w:val="000A3F64"/>
    <w:rsid w:val="000A4140"/>
    <w:rsid w:val="000A4498"/>
    <w:rsid w:val="000A4D68"/>
    <w:rsid w:val="000A570E"/>
    <w:rsid w:val="000B03B7"/>
    <w:rsid w:val="000B08D7"/>
    <w:rsid w:val="000B1A10"/>
    <w:rsid w:val="000B20D6"/>
    <w:rsid w:val="000B2134"/>
    <w:rsid w:val="000B2D91"/>
    <w:rsid w:val="000B2DD0"/>
    <w:rsid w:val="000B3598"/>
    <w:rsid w:val="000B407A"/>
    <w:rsid w:val="000B4C3C"/>
    <w:rsid w:val="000B5168"/>
    <w:rsid w:val="000B528F"/>
    <w:rsid w:val="000B5B67"/>
    <w:rsid w:val="000B5CBD"/>
    <w:rsid w:val="000B7242"/>
    <w:rsid w:val="000B77D6"/>
    <w:rsid w:val="000B7DC5"/>
    <w:rsid w:val="000C0715"/>
    <w:rsid w:val="000C0A19"/>
    <w:rsid w:val="000C1C11"/>
    <w:rsid w:val="000C1DDE"/>
    <w:rsid w:val="000C214B"/>
    <w:rsid w:val="000C247D"/>
    <w:rsid w:val="000C2D70"/>
    <w:rsid w:val="000C33C3"/>
    <w:rsid w:val="000C3BF5"/>
    <w:rsid w:val="000C4A61"/>
    <w:rsid w:val="000C5A8A"/>
    <w:rsid w:val="000C6246"/>
    <w:rsid w:val="000D015F"/>
    <w:rsid w:val="000D49AE"/>
    <w:rsid w:val="000D4F7A"/>
    <w:rsid w:val="000D5A18"/>
    <w:rsid w:val="000D61C4"/>
    <w:rsid w:val="000D68CE"/>
    <w:rsid w:val="000D7069"/>
    <w:rsid w:val="000D74EF"/>
    <w:rsid w:val="000E069D"/>
    <w:rsid w:val="000E10E8"/>
    <w:rsid w:val="000E42A0"/>
    <w:rsid w:val="000E4734"/>
    <w:rsid w:val="000E77B8"/>
    <w:rsid w:val="000F2AF8"/>
    <w:rsid w:val="000F2D45"/>
    <w:rsid w:val="000F2D7C"/>
    <w:rsid w:val="000F31E6"/>
    <w:rsid w:val="000F42F8"/>
    <w:rsid w:val="000F49A1"/>
    <w:rsid w:val="000F60CD"/>
    <w:rsid w:val="000F7BD1"/>
    <w:rsid w:val="00100050"/>
    <w:rsid w:val="00100086"/>
    <w:rsid w:val="0010199B"/>
    <w:rsid w:val="00102AB1"/>
    <w:rsid w:val="00102B32"/>
    <w:rsid w:val="00103D31"/>
    <w:rsid w:val="00104EEB"/>
    <w:rsid w:val="00105879"/>
    <w:rsid w:val="00105BD4"/>
    <w:rsid w:val="0011006C"/>
    <w:rsid w:val="00110807"/>
    <w:rsid w:val="00111251"/>
    <w:rsid w:val="00111D50"/>
    <w:rsid w:val="00111EA0"/>
    <w:rsid w:val="00112F0B"/>
    <w:rsid w:val="00113990"/>
    <w:rsid w:val="001149AF"/>
    <w:rsid w:val="00114E1A"/>
    <w:rsid w:val="001151CB"/>
    <w:rsid w:val="0012285C"/>
    <w:rsid w:val="0012339A"/>
    <w:rsid w:val="0012351D"/>
    <w:rsid w:val="001245CE"/>
    <w:rsid w:val="00125271"/>
    <w:rsid w:val="00126BBC"/>
    <w:rsid w:val="0013124D"/>
    <w:rsid w:val="00132599"/>
    <w:rsid w:val="00132FEA"/>
    <w:rsid w:val="00133BCC"/>
    <w:rsid w:val="001365B6"/>
    <w:rsid w:val="00136C39"/>
    <w:rsid w:val="00137AA4"/>
    <w:rsid w:val="00140745"/>
    <w:rsid w:val="00142BCD"/>
    <w:rsid w:val="00142D24"/>
    <w:rsid w:val="00143546"/>
    <w:rsid w:val="00143BB6"/>
    <w:rsid w:val="00144651"/>
    <w:rsid w:val="00144989"/>
    <w:rsid w:val="00144AFA"/>
    <w:rsid w:val="00144BB7"/>
    <w:rsid w:val="00147B17"/>
    <w:rsid w:val="00147F6D"/>
    <w:rsid w:val="001500A8"/>
    <w:rsid w:val="0015016D"/>
    <w:rsid w:val="0015198F"/>
    <w:rsid w:val="00154F13"/>
    <w:rsid w:val="00155F13"/>
    <w:rsid w:val="00156130"/>
    <w:rsid w:val="00160509"/>
    <w:rsid w:val="00160F2C"/>
    <w:rsid w:val="0016229D"/>
    <w:rsid w:val="00162A80"/>
    <w:rsid w:val="00163727"/>
    <w:rsid w:val="001642A6"/>
    <w:rsid w:val="001645E8"/>
    <w:rsid w:val="00170508"/>
    <w:rsid w:val="00171831"/>
    <w:rsid w:val="0017194B"/>
    <w:rsid w:val="00171AD9"/>
    <w:rsid w:val="00172094"/>
    <w:rsid w:val="001725F7"/>
    <w:rsid w:val="00172626"/>
    <w:rsid w:val="00172B5F"/>
    <w:rsid w:val="001730B2"/>
    <w:rsid w:val="001735D4"/>
    <w:rsid w:val="00173676"/>
    <w:rsid w:val="001750E5"/>
    <w:rsid w:val="00175AB5"/>
    <w:rsid w:val="00175E1C"/>
    <w:rsid w:val="0017655C"/>
    <w:rsid w:val="00176675"/>
    <w:rsid w:val="00181150"/>
    <w:rsid w:val="00182613"/>
    <w:rsid w:val="00183620"/>
    <w:rsid w:val="0018419B"/>
    <w:rsid w:val="00184A29"/>
    <w:rsid w:val="00185EB1"/>
    <w:rsid w:val="001877EB"/>
    <w:rsid w:val="00187A0C"/>
    <w:rsid w:val="00187E82"/>
    <w:rsid w:val="00187EAF"/>
    <w:rsid w:val="00190337"/>
    <w:rsid w:val="001904C7"/>
    <w:rsid w:val="001905DF"/>
    <w:rsid w:val="00190832"/>
    <w:rsid w:val="00190EB0"/>
    <w:rsid w:val="00190ECD"/>
    <w:rsid w:val="001919F4"/>
    <w:rsid w:val="001926DF"/>
    <w:rsid w:val="0019346B"/>
    <w:rsid w:val="00193824"/>
    <w:rsid w:val="00194AC7"/>
    <w:rsid w:val="0019525D"/>
    <w:rsid w:val="001972A1"/>
    <w:rsid w:val="00197683"/>
    <w:rsid w:val="00197E0A"/>
    <w:rsid w:val="001A04F8"/>
    <w:rsid w:val="001A1286"/>
    <w:rsid w:val="001A1CA5"/>
    <w:rsid w:val="001A38B7"/>
    <w:rsid w:val="001A4A96"/>
    <w:rsid w:val="001A52CA"/>
    <w:rsid w:val="001A5D60"/>
    <w:rsid w:val="001A6C6F"/>
    <w:rsid w:val="001B0848"/>
    <w:rsid w:val="001B1F9B"/>
    <w:rsid w:val="001B207B"/>
    <w:rsid w:val="001B2903"/>
    <w:rsid w:val="001B4EE2"/>
    <w:rsid w:val="001B54D7"/>
    <w:rsid w:val="001B57AA"/>
    <w:rsid w:val="001B603D"/>
    <w:rsid w:val="001B637B"/>
    <w:rsid w:val="001B660D"/>
    <w:rsid w:val="001B7DA0"/>
    <w:rsid w:val="001C06B0"/>
    <w:rsid w:val="001C184A"/>
    <w:rsid w:val="001C2EF4"/>
    <w:rsid w:val="001C35D8"/>
    <w:rsid w:val="001C5AD3"/>
    <w:rsid w:val="001C657A"/>
    <w:rsid w:val="001C6D97"/>
    <w:rsid w:val="001C7B59"/>
    <w:rsid w:val="001D006F"/>
    <w:rsid w:val="001D0BB2"/>
    <w:rsid w:val="001D1583"/>
    <w:rsid w:val="001D2142"/>
    <w:rsid w:val="001D23B4"/>
    <w:rsid w:val="001D2E66"/>
    <w:rsid w:val="001D3FB8"/>
    <w:rsid w:val="001D5158"/>
    <w:rsid w:val="001D53E6"/>
    <w:rsid w:val="001D5AF2"/>
    <w:rsid w:val="001D6155"/>
    <w:rsid w:val="001D7B16"/>
    <w:rsid w:val="001D7FB0"/>
    <w:rsid w:val="001E0A4F"/>
    <w:rsid w:val="001E0D01"/>
    <w:rsid w:val="001E0FC4"/>
    <w:rsid w:val="001E3B36"/>
    <w:rsid w:val="001E44F7"/>
    <w:rsid w:val="001E68E2"/>
    <w:rsid w:val="001F08AE"/>
    <w:rsid w:val="001F0E29"/>
    <w:rsid w:val="001F5104"/>
    <w:rsid w:val="001F5FFC"/>
    <w:rsid w:val="001F70EF"/>
    <w:rsid w:val="001F7A53"/>
    <w:rsid w:val="00200DA6"/>
    <w:rsid w:val="00200FCE"/>
    <w:rsid w:val="00201250"/>
    <w:rsid w:val="00201621"/>
    <w:rsid w:val="00201839"/>
    <w:rsid w:val="00202220"/>
    <w:rsid w:val="00202D28"/>
    <w:rsid w:val="00202DC5"/>
    <w:rsid w:val="00203EB2"/>
    <w:rsid w:val="00204F7F"/>
    <w:rsid w:val="00206606"/>
    <w:rsid w:val="0020678A"/>
    <w:rsid w:val="00207C6F"/>
    <w:rsid w:val="00210339"/>
    <w:rsid w:val="002115C7"/>
    <w:rsid w:val="00213375"/>
    <w:rsid w:val="0021441C"/>
    <w:rsid w:val="00215DF5"/>
    <w:rsid w:val="002209EE"/>
    <w:rsid w:val="0022129B"/>
    <w:rsid w:val="00221A47"/>
    <w:rsid w:val="00221E9F"/>
    <w:rsid w:val="00223D6F"/>
    <w:rsid w:val="0022567F"/>
    <w:rsid w:val="00226CE4"/>
    <w:rsid w:val="00231234"/>
    <w:rsid w:val="0023212E"/>
    <w:rsid w:val="00232E92"/>
    <w:rsid w:val="002330C3"/>
    <w:rsid w:val="00233246"/>
    <w:rsid w:val="00234EE0"/>
    <w:rsid w:val="002360E1"/>
    <w:rsid w:val="00236A21"/>
    <w:rsid w:val="00236F45"/>
    <w:rsid w:val="00240581"/>
    <w:rsid w:val="00241F89"/>
    <w:rsid w:val="00242198"/>
    <w:rsid w:val="0024299C"/>
    <w:rsid w:val="002437B6"/>
    <w:rsid w:val="00243A96"/>
    <w:rsid w:val="00244FFE"/>
    <w:rsid w:val="0024557C"/>
    <w:rsid w:val="00245E9F"/>
    <w:rsid w:val="002460F0"/>
    <w:rsid w:val="00251296"/>
    <w:rsid w:val="002518B0"/>
    <w:rsid w:val="00252A60"/>
    <w:rsid w:val="0025473E"/>
    <w:rsid w:val="002547FD"/>
    <w:rsid w:val="00254D34"/>
    <w:rsid w:val="0025720E"/>
    <w:rsid w:val="00257673"/>
    <w:rsid w:val="002579AE"/>
    <w:rsid w:val="00261E91"/>
    <w:rsid w:val="00262483"/>
    <w:rsid w:val="00262E57"/>
    <w:rsid w:val="0026511B"/>
    <w:rsid w:val="002662EB"/>
    <w:rsid w:val="0026664A"/>
    <w:rsid w:val="00266774"/>
    <w:rsid w:val="0027071E"/>
    <w:rsid w:val="00270A96"/>
    <w:rsid w:val="00270C4E"/>
    <w:rsid w:val="00271A6A"/>
    <w:rsid w:val="00271B6F"/>
    <w:rsid w:val="00275FE4"/>
    <w:rsid w:val="00276052"/>
    <w:rsid w:val="00280026"/>
    <w:rsid w:val="00280050"/>
    <w:rsid w:val="0028143D"/>
    <w:rsid w:val="00283751"/>
    <w:rsid w:val="0028382B"/>
    <w:rsid w:val="002862BF"/>
    <w:rsid w:val="00286A51"/>
    <w:rsid w:val="002902F1"/>
    <w:rsid w:val="00290D43"/>
    <w:rsid w:val="00291486"/>
    <w:rsid w:val="00292526"/>
    <w:rsid w:val="00292AB9"/>
    <w:rsid w:val="00293DEC"/>
    <w:rsid w:val="00294FA3"/>
    <w:rsid w:val="002954A9"/>
    <w:rsid w:val="00295E4D"/>
    <w:rsid w:val="002A0599"/>
    <w:rsid w:val="002A1A1B"/>
    <w:rsid w:val="002A2B48"/>
    <w:rsid w:val="002A53D6"/>
    <w:rsid w:val="002A5714"/>
    <w:rsid w:val="002B0A3C"/>
    <w:rsid w:val="002B146C"/>
    <w:rsid w:val="002B2004"/>
    <w:rsid w:val="002B2A5B"/>
    <w:rsid w:val="002B3CF0"/>
    <w:rsid w:val="002B3EF7"/>
    <w:rsid w:val="002B54DB"/>
    <w:rsid w:val="002B5BFA"/>
    <w:rsid w:val="002B5DF0"/>
    <w:rsid w:val="002B5F1B"/>
    <w:rsid w:val="002C02B3"/>
    <w:rsid w:val="002C06BE"/>
    <w:rsid w:val="002C11CC"/>
    <w:rsid w:val="002C2A88"/>
    <w:rsid w:val="002C430D"/>
    <w:rsid w:val="002C4D56"/>
    <w:rsid w:val="002C5650"/>
    <w:rsid w:val="002C6A93"/>
    <w:rsid w:val="002D106C"/>
    <w:rsid w:val="002D1C93"/>
    <w:rsid w:val="002D285F"/>
    <w:rsid w:val="002D360E"/>
    <w:rsid w:val="002D59C1"/>
    <w:rsid w:val="002D7D79"/>
    <w:rsid w:val="002D7D92"/>
    <w:rsid w:val="002E28D0"/>
    <w:rsid w:val="002E394C"/>
    <w:rsid w:val="002E5475"/>
    <w:rsid w:val="002E5BBD"/>
    <w:rsid w:val="002E5F02"/>
    <w:rsid w:val="002E7E86"/>
    <w:rsid w:val="002F0E87"/>
    <w:rsid w:val="002F2365"/>
    <w:rsid w:val="002F2635"/>
    <w:rsid w:val="002F2BF6"/>
    <w:rsid w:val="002F2CEF"/>
    <w:rsid w:val="002F4C9E"/>
    <w:rsid w:val="002F5EE4"/>
    <w:rsid w:val="002F798B"/>
    <w:rsid w:val="0030092E"/>
    <w:rsid w:val="00303AEA"/>
    <w:rsid w:val="003043CB"/>
    <w:rsid w:val="00305FE8"/>
    <w:rsid w:val="00306DA8"/>
    <w:rsid w:val="00306F04"/>
    <w:rsid w:val="00310096"/>
    <w:rsid w:val="00311C3C"/>
    <w:rsid w:val="00312223"/>
    <w:rsid w:val="003124DA"/>
    <w:rsid w:val="00312AA5"/>
    <w:rsid w:val="0031586F"/>
    <w:rsid w:val="00315EE8"/>
    <w:rsid w:val="00316A9D"/>
    <w:rsid w:val="00317009"/>
    <w:rsid w:val="00320743"/>
    <w:rsid w:val="003238D5"/>
    <w:rsid w:val="00323B4D"/>
    <w:rsid w:val="0032477B"/>
    <w:rsid w:val="00324ECA"/>
    <w:rsid w:val="0032518D"/>
    <w:rsid w:val="003252A6"/>
    <w:rsid w:val="0032671B"/>
    <w:rsid w:val="00327527"/>
    <w:rsid w:val="00327B29"/>
    <w:rsid w:val="0033102A"/>
    <w:rsid w:val="00331839"/>
    <w:rsid w:val="0033432A"/>
    <w:rsid w:val="0033453C"/>
    <w:rsid w:val="00334F2D"/>
    <w:rsid w:val="00341347"/>
    <w:rsid w:val="00341685"/>
    <w:rsid w:val="0034367D"/>
    <w:rsid w:val="00343CB3"/>
    <w:rsid w:val="00346342"/>
    <w:rsid w:val="00346D34"/>
    <w:rsid w:val="00347440"/>
    <w:rsid w:val="0034789B"/>
    <w:rsid w:val="003500CD"/>
    <w:rsid w:val="0035016D"/>
    <w:rsid w:val="003543E0"/>
    <w:rsid w:val="00354E86"/>
    <w:rsid w:val="00355B52"/>
    <w:rsid w:val="00356C11"/>
    <w:rsid w:val="00356D32"/>
    <w:rsid w:val="00360A3B"/>
    <w:rsid w:val="00360B3D"/>
    <w:rsid w:val="00361817"/>
    <w:rsid w:val="00362348"/>
    <w:rsid w:val="0036289E"/>
    <w:rsid w:val="003630EA"/>
    <w:rsid w:val="00363ADF"/>
    <w:rsid w:val="003658E1"/>
    <w:rsid w:val="00365E46"/>
    <w:rsid w:val="00367314"/>
    <w:rsid w:val="00367B9C"/>
    <w:rsid w:val="003705E8"/>
    <w:rsid w:val="00370911"/>
    <w:rsid w:val="00370ABE"/>
    <w:rsid w:val="003724A2"/>
    <w:rsid w:val="00373A1F"/>
    <w:rsid w:val="00373CD5"/>
    <w:rsid w:val="003740A1"/>
    <w:rsid w:val="00374EE5"/>
    <w:rsid w:val="0037517D"/>
    <w:rsid w:val="00375FDC"/>
    <w:rsid w:val="00376588"/>
    <w:rsid w:val="00377B32"/>
    <w:rsid w:val="00380318"/>
    <w:rsid w:val="00381218"/>
    <w:rsid w:val="003825C8"/>
    <w:rsid w:val="00383DA8"/>
    <w:rsid w:val="00383DDA"/>
    <w:rsid w:val="00384388"/>
    <w:rsid w:val="00384632"/>
    <w:rsid w:val="00384F85"/>
    <w:rsid w:val="00385AAE"/>
    <w:rsid w:val="00385D9E"/>
    <w:rsid w:val="00385FB5"/>
    <w:rsid w:val="00386207"/>
    <w:rsid w:val="00391A39"/>
    <w:rsid w:val="0039272B"/>
    <w:rsid w:val="00392B1B"/>
    <w:rsid w:val="00393AA3"/>
    <w:rsid w:val="00393F2D"/>
    <w:rsid w:val="0039444F"/>
    <w:rsid w:val="00395017"/>
    <w:rsid w:val="0039538C"/>
    <w:rsid w:val="0039552D"/>
    <w:rsid w:val="003975FC"/>
    <w:rsid w:val="00397D0A"/>
    <w:rsid w:val="003A0BE8"/>
    <w:rsid w:val="003A0D8F"/>
    <w:rsid w:val="003A1743"/>
    <w:rsid w:val="003A2558"/>
    <w:rsid w:val="003A3127"/>
    <w:rsid w:val="003A3D78"/>
    <w:rsid w:val="003A65FE"/>
    <w:rsid w:val="003A6D67"/>
    <w:rsid w:val="003B142A"/>
    <w:rsid w:val="003B1735"/>
    <w:rsid w:val="003B29A9"/>
    <w:rsid w:val="003B330C"/>
    <w:rsid w:val="003B3430"/>
    <w:rsid w:val="003B406D"/>
    <w:rsid w:val="003B70F0"/>
    <w:rsid w:val="003B7CA9"/>
    <w:rsid w:val="003C1238"/>
    <w:rsid w:val="003C1548"/>
    <w:rsid w:val="003C279A"/>
    <w:rsid w:val="003C2BE1"/>
    <w:rsid w:val="003C2FF6"/>
    <w:rsid w:val="003C60E0"/>
    <w:rsid w:val="003C7860"/>
    <w:rsid w:val="003D064A"/>
    <w:rsid w:val="003D12E5"/>
    <w:rsid w:val="003D2197"/>
    <w:rsid w:val="003D21E5"/>
    <w:rsid w:val="003D2B52"/>
    <w:rsid w:val="003D4368"/>
    <w:rsid w:val="003D4A9A"/>
    <w:rsid w:val="003D5B7E"/>
    <w:rsid w:val="003D6BBE"/>
    <w:rsid w:val="003D6C4A"/>
    <w:rsid w:val="003D7404"/>
    <w:rsid w:val="003E1F8C"/>
    <w:rsid w:val="003E22A1"/>
    <w:rsid w:val="003E2C15"/>
    <w:rsid w:val="003E3153"/>
    <w:rsid w:val="003E4056"/>
    <w:rsid w:val="003E4A6F"/>
    <w:rsid w:val="003E583B"/>
    <w:rsid w:val="003E5D41"/>
    <w:rsid w:val="003E7E56"/>
    <w:rsid w:val="003F0615"/>
    <w:rsid w:val="003F1949"/>
    <w:rsid w:val="003F1D7F"/>
    <w:rsid w:val="003F2688"/>
    <w:rsid w:val="003F56AB"/>
    <w:rsid w:val="003F5F84"/>
    <w:rsid w:val="003F60DF"/>
    <w:rsid w:val="003F62BD"/>
    <w:rsid w:val="003F6D8A"/>
    <w:rsid w:val="00400F5F"/>
    <w:rsid w:val="0040118D"/>
    <w:rsid w:val="00401EC1"/>
    <w:rsid w:val="00404411"/>
    <w:rsid w:val="00405212"/>
    <w:rsid w:val="00405961"/>
    <w:rsid w:val="004062CC"/>
    <w:rsid w:val="004062FC"/>
    <w:rsid w:val="004071CB"/>
    <w:rsid w:val="004106F7"/>
    <w:rsid w:val="00410995"/>
    <w:rsid w:val="00411D06"/>
    <w:rsid w:val="00412025"/>
    <w:rsid w:val="00412D6E"/>
    <w:rsid w:val="00413FF4"/>
    <w:rsid w:val="0041411A"/>
    <w:rsid w:val="004143B9"/>
    <w:rsid w:val="004145EC"/>
    <w:rsid w:val="0041600B"/>
    <w:rsid w:val="004173BF"/>
    <w:rsid w:val="00417F4E"/>
    <w:rsid w:val="00420E25"/>
    <w:rsid w:val="0042280F"/>
    <w:rsid w:val="00422841"/>
    <w:rsid w:val="004230FE"/>
    <w:rsid w:val="004237C7"/>
    <w:rsid w:val="00426057"/>
    <w:rsid w:val="004264F3"/>
    <w:rsid w:val="00426D6F"/>
    <w:rsid w:val="0043014F"/>
    <w:rsid w:val="00430B4A"/>
    <w:rsid w:val="0043129D"/>
    <w:rsid w:val="00431938"/>
    <w:rsid w:val="00434CF6"/>
    <w:rsid w:val="00436865"/>
    <w:rsid w:val="00436B19"/>
    <w:rsid w:val="00437432"/>
    <w:rsid w:val="004408AE"/>
    <w:rsid w:val="004418C4"/>
    <w:rsid w:val="00442CDB"/>
    <w:rsid w:val="0044467C"/>
    <w:rsid w:val="0044557E"/>
    <w:rsid w:val="004459F3"/>
    <w:rsid w:val="00446AC7"/>
    <w:rsid w:val="00446B60"/>
    <w:rsid w:val="00447631"/>
    <w:rsid w:val="004479E9"/>
    <w:rsid w:val="00447BCC"/>
    <w:rsid w:val="00450674"/>
    <w:rsid w:val="0045169B"/>
    <w:rsid w:val="00452C81"/>
    <w:rsid w:val="004544BE"/>
    <w:rsid w:val="00454526"/>
    <w:rsid w:val="00455143"/>
    <w:rsid w:val="004561FE"/>
    <w:rsid w:val="0046173F"/>
    <w:rsid w:val="00461750"/>
    <w:rsid w:val="00462079"/>
    <w:rsid w:val="00462257"/>
    <w:rsid w:val="00464387"/>
    <w:rsid w:val="00464E49"/>
    <w:rsid w:val="004661FF"/>
    <w:rsid w:val="004715C9"/>
    <w:rsid w:val="00471644"/>
    <w:rsid w:val="004717B7"/>
    <w:rsid w:val="00471F48"/>
    <w:rsid w:val="004722EF"/>
    <w:rsid w:val="004735C1"/>
    <w:rsid w:val="00473EF8"/>
    <w:rsid w:val="0047439D"/>
    <w:rsid w:val="004745AB"/>
    <w:rsid w:val="00474866"/>
    <w:rsid w:val="00474C90"/>
    <w:rsid w:val="00480518"/>
    <w:rsid w:val="00480C03"/>
    <w:rsid w:val="00481AF3"/>
    <w:rsid w:val="004823D5"/>
    <w:rsid w:val="004828B9"/>
    <w:rsid w:val="00485D5D"/>
    <w:rsid w:val="00490164"/>
    <w:rsid w:val="00490F8D"/>
    <w:rsid w:val="004916B2"/>
    <w:rsid w:val="004926F4"/>
    <w:rsid w:val="00492913"/>
    <w:rsid w:val="00492F56"/>
    <w:rsid w:val="00494822"/>
    <w:rsid w:val="00495312"/>
    <w:rsid w:val="00495960"/>
    <w:rsid w:val="00495D65"/>
    <w:rsid w:val="00497DEA"/>
    <w:rsid w:val="004A06E0"/>
    <w:rsid w:val="004A1068"/>
    <w:rsid w:val="004A1BA0"/>
    <w:rsid w:val="004A30D0"/>
    <w:rsid w:val="004A36B4"/>
    <w:rsid w:val="004A56CF"/>
    <w:rsid w:val="004A5855"/>
    <w:rsid w:val="004A5B59"/>
    <w:rsid w:val="004A6720"/>
    <w:rsid w:val="004A79EC"/>
    <w:rsid w:val="004B0B1D"/>
    <w:rsid w:val="004B1822"/>
    <w:rsid w:val="004B1E7B"/>
    <w:rsid w:val="004B27CE"/>
    <w:rsid w:val="004B29F9"/>
    <w:rsid w:val="004B3672"/>
    <w:rsid w:val="004B3901"/>
    <w:rsid w:val="004B3A91"/>
    <w:rsid w:val="004B4500"/>
    <w:rsid w:val="004B49E3"/>
    <w:rsid w:val="004B6EED"/>
    <w:rsid w:val="004B6F95"/>
    <w:rsid w:val="004C0E83"/>
    <w:rsid w:val="004C1C1D"/>
    <w:rsid w:val="004C4759"/>
    <w:rsid w:val="004C5C3E"/>
    <w:rsid w:val="004C692D"/>
    <w:rsid w:val="004C7C6D"/>
    <w:rsid w:val="004D0EAD"/>
    <w:rsid w:val="004D1DBF"/>
    <w:rsid w:val="004D3E0F"/>
    <w:rsid w:val="004D4FB9"/>
    <w:rsid w:val="004D5119"/>
    <w:rsid w:val="004D55EB"/>
    <w:rsid w:val="004D60DA"/>
    <w:rsid w:val="004D6C1E"/>
    <w:rsid w:val="004D7B4C"/>
    <w:rsid w:val="004E16B0"/>
    <w:rsid w:val="004E27E8"/>
    <w:rsid w:val="004E2BB4"/>
    <w:rsid w:val="004E42BA"/>
    <w:rsid w:val="004E4535"/>
    <w:rsid w:val="004E574D"/>
    <w:rsid w:val="004E5E14"/>
    <w:rsid w:val="004E6FB8"/>
    <w:rsid w:val="004E7425"/>
    <w:rsid w:val="004F0104"/>
    <w:rsid w:val="004F1C62"/>
    <w:rsid w:val="004F4255"/>
    <w:rsid w:val="004F46EA"/>
    <w:rsid w:val="004F4A99"/>
    <w:rsid w:val="004F50FB"/>
    <w:rsid w:val="004F5DA8"/>
    <w:rsid w:val="004F6D8C"/>
    <w:rsid w:val="004F7656"/>
    <w:rsid w:val="00500AE7"/>
    <w:rsid w:val="0050228D"/>
    <w:rsid w:val="005039F1"/>
    <w:rsid w:val="00503F57"/>
    <w:rsid w:val="00504B0D"/>
    <w:rsid w:val="00504F60"/>
    <w:rsid w:val="00505AEA"/>
    <w:rsid w:val="00505CF2"/>
    <w:rsid w:val="00505E94"/>
    <w:rsid w:val="00507F0B"/>
    <w:rsid w:val="005103D9"/>
    <w:rsid w:val="0051070A"/>
    <w:rsid w:val="00510CA4"/>
    <w:rsid w:val="00510EA7"/>
    <w:rsid w:val="00511793"/>
    <w:rsid w:val="005127DB"/>
    <w:rsid w:val="005138D6"/>
    <w:rsid w:val="005144E2"/>
    <w:rsid w:val="00516167"/>
    <w:rsid w:val="0051673C"/>
    <w:rsid w:val="0052094D"/>
    <w:rsid w:val="005224D2"/>
    <w:rsid w:val="00523401"/>
    <w:rsid w:val="005240A6"/>
    <w:rsid w:val="005241AB"/>
    <w:rsid w:val="00524309"/>
    <w:rsid w:val="00524D8B"/>
    <w:rsid w:val="00524E32"/>
    <w:rsid w:val="00524EFC"/>
    <w:rsid w:val="0052529E"/>
    <w:rsid w:val="00525326"/>
    <w:rsid w:val="00531D8F"/>
    <w:rsid w:val="00532F05"/>
    <w:rsid w:val="005358D8"/>
    <w:rsid w:val="005359B6"/>
    <w:rsid w:val="0053751A"/>
    <w:rsid w:val="0054139A"/>
    <w:rsid w:val="005420EF"/>
    <w:rsid w:val="005423B9"/>
    <w:rsid w:val="00542A20"/>
    <w:rsid w:val="00542AA2"/>
    <w:rsid w:val="00544002"/>
    <w:rsid w:val="005443F6"/>
    <w:rsid w:val="005448D2"/>
    <w:rsid w:val="00544E6D"/>
    <w:rsid w:val="00545BBC"/>
    <w:rsid w:val="00545D5B"/>
    <w:rsid w:val="0054628C"/>
    <w:rsid w:val="00546451"/>
    <w:rsid w:val="005468F8"/>
    <w:rsid w:val="005504D6"/>
    <w:rsid w:val="00550668"/>
    <w:rsid w:val="0055096F"/>
    <w:rsid w:val="00550CB7"/>
    <w:rsid w:val="00551D49"/>
    <w:rsid w:val="00552564"/>
    <w:rsid w:val="00552ADF"/>
    <w:rsid w:val="005531F6"/>
    <w:rsid w:val="00553F55"/>
    <w:rsid w:val="00554969"/>
    <w:rsid w:val="0055512F"/>
    <w:rsid w:val="00555F6D"/>
    <w:rsid w:val="00556A3F"/>
    <w:rsid w:val="00556F5D"/>
    <w:rsid w:val="005571E1"/>
    <w:rsid w:val="00557DB3"/>
    <w:rsid w:val="0056166F"/>
    <w:rsid w:val="00561B4C"/>
    <w:rsid w:val="0056351C"/>
    <w:rsid w:val="00563D8B"/>
    <w:rsid w:val="005642BD"/>
    <w:rsid w:val="0056468F"/>
    <w:rsid w:val="00567849"/>
    <w:rsid w:val="00567B7D"/>
    <w:rsid w:val="005703A3"/>
    <w:rsid w:val="0057106F"/>
    <w:rsid w:val="00571131"/>
    <w:rsid w:val="005712D3"/>
    <w:rsid w:val="00571D1B"/>
    <w:rsid w:val="00573407"/>
    <w:rsid w:val="005734B1"/>
    <w:rsid w:val="00573A0D"/>
    <w:rsid w:val="00573B49"/>
    <w:rsid w:val="00580BCB"/>
    <w:rsid w:val="00581739"/>
    <w:rsid w:val="0058254A"/>
    <w:rsid w:val="00582B39"/>
    <w:rsid w:val="005836E7"/>
    <w:rsid w:val="00583888"/>
    <w:rsid w:val="005839E6"/>
    <w:rsid w:val="00584710"/>
    <w:rsid w:val="00586DE3"/>
    <w:rsid w:val="00590886"/>
    <w:rsid w:val="005908E3"/>
    <w:rsid w:val="00590957"/>
    <w:rsid w:val="00591924"/>
    <w:rsid w:val="0059218E"/>
    <w:rsid w:val="00593DAF"/>
    <w:rsid w:val="00594982"/>
    <w:rsid w:val="005950AD"/>
    <w:rsid w:val="00596114"/>
    <w:rsid w:val="00597126"/>
    <w:rsid w:val="00597FAE"/>
    <w:rsid w:val="005A1236"/>
    <w:rsid w:val="005A2425"/>
    <w:rsid w:val="005A3428"/>
    <w:rsid w:val="005A3EAC"/>
    <w:rsid w:val="005A4136"/>
    <w:rsid w:val="005A4230"/>
    <w:rsid w:val="005A7668"/>
    <w:rsid w:val="005B0174"/>
    <w:rsid w:val="005B43BC"/>
    <w:rsid w:val="005B48C4"/>
    <w:rsid w:val="005B77C1"/>
    <w:rsid w:val="005C3559"/>
    <w:rsid w:val="005C4C1A"/>
    <w:rsid w:val="005C566B"/>
    <w:rsid w:val="005C69D6"/>
    <w:rsid w:val="005C6B80"/>
    <w:rsid w:val="005C701B"/>
    <w:rsid w:val="005C7349"/>
    <w:rsid w:val="005D094C"/>
    <w:rsid w:val="005D2775"/>
    <w:rsid w:val="005D285E"/>
    <w:rsid w:val="005D361C"/>
    <w:rsid w:val="005D43FA"/>
    <w:rsid w:val="005D6433"/>
    <w:rsid w:val="005D65DD"/>
    <w:rsid w:val="005D790F"/>
    <w:rsid w:val="005E009C"/>
    <w:rsid w:val="005E0A01"/>
    <w:rsid w:val="005E14B2"/>
    <w:rsid w:val="005E285B"/>
    <w:rsid w:val="005E33B4"/>
    <w:rsid w:val="005E371E"/>
    <w:rsid w:val="005E47DD"/>
    <w:rsid w:val="005E579D"/>
    <w:rsid w:val="005E5857"/>
    <w:rsid w:val="005E593F"/>
    <w:rsid w:val="005E67DA"/>
    <w:rsid w:val="005E70C0"/>
    <w:rsid w:val="005F010D"/>
    <w:rsid w:val="005F04CA"/>
    <w:rsid w:val="005F068A"/>
    <w:rsid w:val="005F0AB5"/>
    <w:rsid w:val="005F17BB"/>
    <w:rsid w:val="005F1FE1"/>
    <w:rsid w:val="005F2D94"/>
    <w:rsid w:val="005F348B"/>
    <w:rsid w:val="005F4843"/>
    <w:rsid w:val="005F5B67"/>
    <w:rsid w:val="005F5BEA"/>
    <w:rsid w:val="005F6E5C"/>
    <w:rsid w:val="005F790B"/>
    <w:rsid w:val="00600C06"/>
    <w:rsid w:val="00600DB6"/>
    <w:rsid w:val="00601ED0"/>
    <w:rsid w:val="006046A0"/>
    <w:rsid w:val="00606CE9"/>
    <w:rsid w:val="00606E72"/>
    <w:rsid w:val="006070C1"/>
    <w:rsid w:val="006074DF"/>
    <w:rsid w:val="0061093E"/>
    <w:rsid w:val="00612E02"/>
    <w:rsid w:val="00613DA3"/>
    <w:rsid w:val="00614372"/>
    <w:rsid w:val="00616B38"/>
    <w:rsid w:val="0062452D"/>
    <w:rsid w:val="00624B4A"/>
    <w:rsid w:val="006252F9"/>
    <w:rsid w:val="0062544A"/>
    <w:rsid w:val="00625A2E"/>
    <w:rsid w:val="00625C09"/>
    <w:rsid w:val="00626FAF"/>
    <w:rsid w:val="0062795E"/>
    <w:rsid w:val="00627B73"/>
    <w:rsid w:val="00630116"/>
    <w:rsid w:val="00630C8F"/>
    <w:rsid w:val="0063121A"/>
    <w:rsid w:val="00631A97"/>
    <w:rsid w:val="00631F32"/>
    <w:rsid w:val="00631F8A"/>
    <w:rsid w:val="0063425E"/>
    <w:rsid w:val="0064049C"/>
    <w:rsid w:val="00640FDD"/>
    <w:rsid w:val="00641648"/>
    <w:rsid w:val="00642F6F"/>
    <w:rsid w:val="00645684"/>
    <w:rsid w:val="00645D4C"/>
    <w:rsid w:val="006475E0"/>
    <w:rsid w:val="006479F3"/>
    <w:rsid w:val="00647DE7"/>
    <w:rsid w:val="00651BB9"/>
    <w:rsid w:val="00651C93"/>
    <w:rsid w:val="00651DDD"/>
    <w:rsid w:val="0065507B"/>
    <w:rsid w:val="00655870"/>
    <w:rsid w:val="006616C2"/>
    <w:rsid w:val="006618FE"/>
    <w:rsid w:val="0066295E"/>
    <w:rsid w:val="006642DE"/>
    <w:rsid w:val="00664BA2"/>
    <w:rsid w:val="00665D8A"/>
    <w:rsid w:val="00667840"/>
    <w:rsid w:val="0067213E"/>
    <w:rsid w:val="00672F87"/>
    <w:rsid w:val="006733B5"/>
    <w:rsid w:val="00674313"/>
    <w:rsid w:val="00676B49"/>
    <w:rsid w:val="00680384"/>
    <w:rsid w:val="00681DD1"/>
    <w:rsid w:val="006820C7"/>
    <w:rsid w:val="00682B76"/>
    <w:rsid w:val="00682C60"/>
    <w:rsid w:val="00682ECA"/>
    <w:rsid w:val="00682EF6"/>
    <w:rsid w:val="0068425F"/>
    <w:rsid w:val="00684D67"/>
    <w:rsid w:val="00684E58"/>
    <w:rsid w:val="0068660F"/>
    <w:rsid w:val="00690DBE"/>
    <w:rsid w:val="006917FC"/>
    <w:rsid w:val="006929DD"/>
    <w:rsid w:val="00693369"/>
    <w:rsid w:val="0069345A"/>
    <w:rsid w:val="0069387B"/>
    <w:rsid w:val="00694A28"/>
    <w:rsid w:val="006974C7"/>
    <w:rsid w:val="006976D3"/>
    <w:rsid w:val="00697AA6"/>
    <w:rsid w:val="006A0625"/>
    <w:rsid w:val="006A0BA2"/>
    <w:rsid w:val="006A137E"/>
    <w:rsid w:val="006A1DEA"/>
    <w:rsid w:val="006A367B"/>
    <w:rsid w:val="006A39E4"/>
    <w:rsid w:val="006A401E"/>
    <w:rsid w:val="006A76FF"/>
    <w:rsid w:val="006A79B6"/>
    <w:rsid w:val="006A7C6D"/>
    <w:rsid w:val="006B0141"/>
    <w:rsid w:val="006B04B7"/>
    <w:rsid w:val="006B19E2"/>
    <w:rsid w:val="006B2684"/>
    <w:rsid w:val="006B35FA"/>
    <w:rsid w:val="006B3956"/>
    <w:rsid w:val="006B48E8"/>
    <w:rsid w:val="006B4A3D"/>
    <w:rsid w:val="006B61BA"/>
    <w:rsid w:val="006B6A81"/>
    <w:rsid w:val="006C7266"/>
    <w:rsid w:val="006D0866"/>
    <w:rsid w:val="006D0B5B"/>
    <w:rsid w:val="006D1472"/>
    <w:rsid w:val="006D1A2A"/>
    <w:rsid w:val="006D2007"/>
    <w:rsid w:val="006D2E54"/>
    <w:rsid w:val="006D334F"/>
    <w:rsid w:val="006D39C2"/>
    <w:rsid w:val="006D419F"/>
    <w:rsid w:val="006D4DC4"/>
    <w:rsid w:val="006D5530"/>
    <w:rsid w:val="006D59AA"/>
    <w:rsid w:val="006D5FE2"/>
    <w:rsid w:val="006D6CB3"/>
    <w:rsid w:val="006D7357"/>
    <w:rsid w:val="006D7F64"/>
    <w:rsid w:val="006E0800"/>
    <w:rsid w:val="006E0A20"/>
    <w:rsid w:val="006E172C"/>
    <w:rsid w:val="006E3ED8"/>
    <w:rsid w:val="006E444B"/>
    <w:rsid w:val="006E70FB"/>
    <w:rsid w:val="006F01E1"/>
    <w:rsid w:val="006F0B42"/>
    <w:rsid w:val="006F0C32"/>
    <w:rsid w:val="006F134D"/>
    <w:rsid w:val="006F2093"/>
    <w:rsid w:val="006F2FEC"/>
    <w:rsid w:val="006F4479"/>
    <w:rsid w:val="006F5060"/>
    <w:rsid w:val="006F5A99"/>
    <w:rsid w:val="006F6622"/>
    <w:rsid w:val="0070082E"/>
    <w:rsid w:val="00701D80"/>
    <w:rsid w:val="007025A0"/>
    <w:rsid w:val="0070298D"/>
    <w:rsid w:val="007031B1"/>
    <w:rsid w:val="0070608E"/>
    <w:rsid w:val="00706AB6"/>
    <w:rsid w:val="00707EE9"/>
    <w:rsid w:val="00710859"/>
    <w:rsid w:val="007109F3"/>
    <w:rsid w:val="00710BBA"/>
    <w:rsid w:val="0071147D"/>
    <w:rsid w:val="00713570"/>
    <w:rsid w:val="0071500C"/>
    <w:rsid w:val="0071581F"/>
    <w:rsid w:val="0071629B"/>
    <w:rsid w:val="00720347"/>
    <w:rsid w:val="00720744"/>
    <w:rsid w:val="007210CB"/>
    <w:rsid w:val="007226B4"/>
    <w:rsid w:val="00722EB0"/>
    <w:rsid w:val="007237C6"/>
    <w:rsid w:val="00724901"/>
    <w:rsid w:val="00724DA1"/>
    <w:rsid w:val="00725690"/>
    <w:rsid w:val="007275E6"/>
    <w:rsid w:val="00727C6A"/>
    <w:rsid w:val="00730438"/>
    <w:rsid w:val="007304F5"/>
    <w:rsid w:val="00731A7F"/>
    <w:rsid w:val="00732E4E"/>
    <w:rsid w:val="007333FB"/>
    <w:rsid w:val="0073475D"/>
    <w:rsid w:val="00734B62"/>
    <w:rsid w:val="0073533E"/>
    <w:rsid w:val="00736F0E"/>
    <w:rsid w:val="007370A2"/>
    <w:rsid w:val="007410F9"/>
    <w:rsid w:val="00741DDE"/>
    <w:rsid w:val="00745EDB"/>
    <w:rsid w:val="00746C09"/>
    <w:rsid w:val="0074787C"/>
    <w:rsid w:val="00747F4E"/>
    <w:rsid w:val="0075038D"/>
    <w:rsid w:val="007507F3"/>
    <w:rsid w:val="00750C11"/>
    <w:rsid w:val="0075280E"/>
    <w:rsid w:val="00753017"/>
    <w:rsid w:val="00754047"/>
    <w:rsid w:val="00754629"/>
    <w:rsid w:val="00756F1D"/>
    <w:rsid w:val="00757796"/>
    <w:rsid w:val="00760359"/>
    <w:rsid w:val="00762969"/>
    <w:rsid w:val="00762BA6"/>
    <w:rsid w:val="00762BB0"/>
    <w:rsid w:val="0076369A"/>
    <w:rsid w:val="007640C0"/>
    <w:rsid w:val="007644D7"/>
    <w:rsid w:val="00764899"/>
    <w:rsid w:val="00764B7E"/>
    <w:rsid w:val="00765BC2"/>
    <w:rsid w:val="0076736B"/>
    <w:rsid w:val="007709C7"/>
    <w:rsid w:val="00771FBB"/>
    <w:rsid w:val="00772AEA"/>
    <w:rsid w:val="007735B9"/>
    <w:rsid w:val="007746FC"/>
    <w:rsid w:val="0077491A"/>
    <w:rsid w:val="00774959"/>
    <w:rsid w:val="00775BF6"/>
    <w:rsid w:val="007763A3"/>
    <w:rsid w:val="007766F2"/>
    <w:rsid w:val="00777038"/>
    <w:rsid w:val="007770BB"/>
    <w:rsid w:val="007802D5"/>
    <w:rsid w:val="00782804"/>
    <w:rsid w:val="00784017"/>
    <w:rsid w:val="007848AC"/>
    <w:rsid w:val="007866D2"/>
    <w:rsid w:val="00786DAB"/>
    <w:rsid w:val="00786EEF"/>
    <w:rsid w:val="00787052"/>
    <w:rsid w:val="0078725A"/>
    <w:rsid w:val="0079001E"/>
    <w:rsid w:val="00790DC1"/>
    <w:rsid w:val="00794063"/>
    <w:rsid w:val="00794987"/>
    <w:rsid w:val="00795960"/>
    <w:rsid w:val="0079666D"/>
    <w:rsid w:val="00796969"/>
    <w:rsid w:val="007A0437"/>
    <w:rsid w:val="007A0996"/>
    <w:rsid w:val="007A0F72"/>
    <w:rsid w:val="007A0FEE"/>
    <w:rsid w:val="007A1130"/>
    <w:rsid w:val="007A4064"/>
    <w:rsid w:val="007A4255"/>
    <w:rsid w:val="007A595E"/>
    <w:rsid w:val="007A6297"/>
    <w:rsid w:val="007B0215"/>
    <w:rsid w:val="007B0247"/>
    <w:rsid w:val="007B0741"/>
    <w:rsid w:val="007B0CD7"/>
    <w:rsid w:val="007B2791"/>
    <w:rsid w:val="007B3488"/>
    <w:rsid w:val="007B49EA"/>
    <w:rsid w:val="007B4ECD"/>
    <w:rsid w:val="007B60E1"/>
    <w:rsid w:val="007B74E3"/>
    <w:rsid w:val="007C10DA"/>
    <w:rsid w:val="007C1770"/>
    <w:rsid w:val="007C64E3"/>
    <w:rsid w:val="007C65F5"/>
    <w:rsid w:val="007C6723"/>
    <w:rsid w:val="007C6AFF"/>
    <w:rsid w:val="007C6D0C"/>
    <w:rsid w:val="007C7AC2"/>
    <w:rsid w:val="007D056C"/>
    <w:rsid w:val="007D1402"/>
    <w:rsid w:val="007D1445"/>
    <w:rsid w:val="007D1570"/>
    <w:rsid w:val="007D15F8"/>
    <w:rsid w:val="007D23CD"/>
    <w:rsid w:val="007D2E7A"/>
    <w:rsid w:val="007D345C"/>
    <w:rsid w:val="007D37BE"/>
    <w:rsid w:val="007D5125"/>
    <w:rsid w:val="007D5919"/>
    <w:rsid w:val="007D5C56"/>
    <w:rsid w:val="007D67BC"/>
    <w:rsid w:val="007D6CD4"/>
    <w:rsid w:val="007D6DCD"/>
    <w:rsid w:val="007E08C8"/>
    <w:rsid w:val="007E2611"/>
    <w:rsid w:val="007E2E4C"/>
    <w:rsid w:val="007E3002"/>
    <w:rsid w:val="007E3258"/>
    <w:rsid w:val="007E37E0"/>
    <w:rsid w:val="007E42D9"/>
    <w:rsid w:val="007E446A"/>
    <w:rsid w:val="007E5FF8"/>
    <w:rsid w:val="007E62A4"/>
    <w:rsid w:val="007E7B66"/>
    <w:rsid w:val="007F119D"/>
    <w:rsid w:val="007F3E7C"/>
    <w:rsid w:val="007F4861"/>
    <w:rsid w:val="007F53FA"/>
    <w:rsid w:val="007F5771"/>
    <w:rsid w:val="007F5DE1"/>
    <w:rsid w:val="008003B3"/>
    <w:rsid w:val="008006AD"/>
    <w:rsid w:val="00804F85"/>
    <w:rsid w:val="00805486"/>
    <w:rsid w:val="008058BF"/>
    <w:rsid w:val="00805C37"/>
    <w:rsid w:val="00805F18"/>
    <w:rsid w:val="008061E0"/>
    <w:rsid w:val="008077A5"/>
    <w:rsid w:val="00807C20"/>
    <w:rsid w:val="00810456"/>
    <w:rsid w:val="00812E77"/>
    <w:rsid w:val="00814790"/>
    <w:rsid w:val="00815D6E"/>
    <w:rsid w:val="00816AE2"/>
    <w:rsid w:val="008201FA"/>
    <w:rsid w:val="00822ED8"/>
    <w:rsid w:val="00823F70"/>
    <w:rsid w:val="0082422F"/>
    <w:rsid w:val="00824311"/>
    <w:rsid w:val="00824739"/>
    <w:rsid w:val="0082686E"/>
    <w:rsid w:val="00826CF7"/>
    <w:rsid w:val="00827F5D"/>
    <w:rsid w:val="00833584"/>
    <w:rsid w:val="00835562"/>
    <w:rsid w:val="0083632B"/>
    <w:rsid w:val="00836A0F"/>
    <w:rsid w:val="00837711"/>
    <w:rsid w:val="00840D1C"/>
    <w:rsid w:val="008426BF"/>
    <w:rsid w:val="00842EDA"/>
    <w:rsid w:val="00843137"/>
    <w:rsid w:val="00843507"/>
    <w:rsid w:val="00843D94"/>
    <w:rsid w:val="008440FF"/>
    <w:rsid w:val="0084630E"/>
    <w:rsid w:val="00846409"/>
    <w:rsid w:val="0084759C"/>
    <w:rsid w:val="00847894"/>
    <w:rsid w:val="00852BDD"/>
    <w:rsid w:val="00852ED4"/>
    <w:rsid w:val="0085404A"/>
    <w:rsid w:val="00855B46"/>
    <w:rsid w:val="00855E79"/>
    <w:rsid w:val="0085633E"/>
    <w:rsid w:val="0086091A"/>
    <w:rsid w:val="008609D1"/>
    <w:rsid w:val="00861E4E"/>
    <w:rsid w:val="0086399B"/>
    <w:rsid w:val="00865257"/>
    <w:rsid w:val="008662BA"/>
    <w:rsid w:val="00866CFB"/>
    <w:rsid w:val="00867F0A"/>
    <w:rsid w:val="008702B9"/>
    <w:rsid w:val="008717C0"/>
    <w:rsid w:val="00872E7C"/>
    <w:rsid w:val="00873BAD"/>
    <w:rsid w:val="00873E55"/>
    <w:rsid w:val="00874910"/>
    <w:rsid w:val="00874B59"/>
    <w:rsid w:val="00874FBB"/>
    <w:rsid w:val="00875C9F"/>
    <w:rsid w:val="00875FFA"/>
    <w:rsid w:val="0087662F"/>
    <w:rsid w:val="00883470"/>
    <w:rsid w:val="00883A60"/>
    <w:rsid w:val="008851B5"/>
    <w:rsid w:val="00885E06"/>
    <w:rsid w:val="00887720"/>
    <w:rsid w:val="00890116"/>
    <w:rsid w:val="008903FE"/>
    <w:rsid w:val="00890743"/>
    <w:rsid w:val="0089164C"/>
    <w:rsid w:val="00892164"/>
    <w:rsid w:val="008921ED"/>
    <w:rsid w:val="008938FC"/>
    <w:rsid w:val="00893B3D"/>
    <w:rsid w:val="00895238"/>
    <w:rsid w:val="008952C0"/>
    <w:rsid w:val="00895B0E"/>
    <w:rsid w:val="00895E68"/>
    <w:rsid w:val="00897254"/>
    <w:rsid w:val="00897D57"/>
    <w:rsid w:val="008A24CA"/>
    <w:rsid w:val="008A29D1"/>
    <w:rsid w:val="008A2DF3"/>
    <w:rsid w:val="008A45D0"/>
    <w:rsid w:val="008A4763"/>
    <w:rsid w:val="008A53B2"/>
    <w:rsid w:val="008A59C1"/>
    <w:rsid w:val="008A656F"/>
    <w:rsid w:val="008A7C13"/>
    <w:rsid w:val="008A7DD1"/>
    <w:rsid w:val="008B10A3"/>
    <w:rsid w:val="008B11C1"/>
    <w:rsid w:val="008B11DB"/>
    <w:rsid w:val="008B1948"/>
    <w:rsid w:val="008B2583"/>
    <w:rsid w:val="008B2B09"/>
    <w:rsid w:val="008B2DFF"/>
    <w:rsid w:val="008B36D7"/>
    <w:rsid w:val="008B3C66"/>
    <w:rsid w:val="008B405A"/>
    <w:rsid w:val="008B4268"/>
    <w:rsid w:val="008B4286"/>
    <w:rsid w:val="008B474E"/>
    <w:rsid w:val="008B5136"/>
    <w:rsid w:val="008B6249"/>
    <w:rsid w:val="008B6B71"/>
    <w:rsid w:val="008C0A0A"/>
    <w:rsid w:val="008C106B"/>
    <w:rsid w:val="008C1DF5"/>
    <w:rsid w:val="008C2772"/>
    <w:rsid w:val="008C2C58"/>
    <w:rsid w:val="008C4350"/>
    <w:rsid w:val="008C4EAE"/>
    <w:rsid w:val="008C571E"/>
    <w:rsid w:val="008C676F"/>
    <w:rsid w:val="008D1000"/>
    <w:rsid w:val="008D3B7C"/>
    <w:rsid w:val="008D40BC"/>
    <w:rsid w:val="008D7F14"/>
    <w:rsid w:val="008E0EEF"/>
    <w:rsid w:val="008E1CDC"/>
    <w:rsid w:val="008E2A42"/>
    <w:rsid w:val="008E3A44"/>
    <w:rsid w:val="008E4036"/>
    <w:rsid w:val="008E4412"/>
    <w:rsid w:val="008E4E31"/>
    <w:rsid w:val="008E610D"/>
    <w:rsid w:val="008E7D1A"/>
    <w:rsid w:val="008F0BE3"/>
    <w:rsid w:val="008F0BF3"/>
    <w:rsid w:val="008F0C1C"/>
    <w:rsid w:val="008F0E26"/>
    <w:rsid w:val="008F0F29"/>
    <w:rsid w:val="008F0F98"/>
    <w:rsid w:val="008F11D2"/>
    <w:rsid w:val="008F1258"/>
    <w:rsid w:val="008F1E42"/>
    <w:rsid w:val="008F2A14"/>
    <w:rsid w:val="008F2B7E"/>
    <w:rsid w:val="008F3DD9"/>
    <w:rsid w:val="008F42D5"/>
    <w:rsid w:val="008F48C1"/>
    <w:rsid w:val="008F5C3A"/>
    <w:rsid w:val="008F5F60"/>
    <w:rsid w:val="008F6898"/>
    <w:rsid w:val="008F6A61"/>
    <w:rsid w:val="008F6BCD"/>
    <w:rsid w:val="008F7ADF"/>
    <w:rsid w:val="00900972"/>
    <w:rsid w:val="00900B5C"/>
    <w:rsid w:val="0090107A"/>
    <w:rsid w:val="009027BC"/>
    <w:rsid w:val="00903D88"/>
    <w:rsid w:val="00904CFF"/>
    <w:rsid w:val="009067D0"/>
    <w:rsid w:val="009111F5"/>
    <w:rsid w:val="0091194E"/>
    <w:rsid w:val="00911ABD"/>
    <w:rsid w:val="00912CE6"/>
    <w:rsid w:val="00913070"/>
    <w:rsid w:val="00917DD9"/>
    <w:rsid w:val="00921DE3"/>
    <w:rsid w:val="00921FEE"/>
    <w:rsid w:val="00922A97"/>
    <w:rsid w:val="009246AE"/>
    <w:rsid w:val="00924A80"/>
    <w:rsid w:val="00925221"/>
    <w:rsid w:val="00925563"/>
    <w:rsid w:val="00925B48"/>
    <w:rsid w:val="00926011"/>
    <w:rsid w:val="00927BA5"/>
    <w:rsid w:val="009301A3"/>
    <w:rsid w:val="00930B8F"/>
    <w:rsid w:val="0093218E"/>
    <w:rsid w:val="009342FE"/>
    <w:rsid w:val="00934960"/>
    <w:rsid w:val="0093508C"/>
    <w:rsid w:val="00942867"/>
    <w:rsid w:val="00944CCF"/>
    <w:rsid w:val="00944D33"/>
    <w:rsid w:val="00944E09"/>
    <w:rsid w:val="009458A0"/>
    <w:rsid w:val="00945C89"/>
    <w:rsid w:val="009461C3"/>
    <w:rsid w:val="00946DA8"/>
    <w:rsid w:val="0094743D"/>
    <w:rsid w:val="00951612"/>
    <w:rsid w:val="00957FBB"/>
    <w:rsid w:val="009602AE"/>
    <w:rsid w:val="00960784"/>
    <w:rsid w:val="00960B17"/>
    <w:rsid w:val="00960CEC"/>
    <w:rsid w:val="00960FE1"/>
    <w:rsid w:val="00961A47"/>
    <w:rsid w:val="00961B89"/>
    <w:rsid w:val="00962146"/>
    <w:rsid w:val="00962796"/>
    <w:rsid w:val="00964D97"/>
    <w:rsid w:val="009660A7"/>
    <w:rsid w:val="00966BBA"/>
    <w:rsid w:val="00966D3F"/>
    <w:rsid w:val="00967825"/>
    <w:rsid w:val="00967985"/>
    <w:rsid w:val="00967C25"/>
    <w:rsid w:val="00970710"/>
    <w:rsid w:val="00970DFA"/>
    <w:rsid w:val="009711F1"/>
    <w:rsid w:val="00974385"/>
    <w:rsid w:val="009743E4"/>
    <w:rsid w:val="00974C01"/>
    <w:rsid w:val="009752A3"/>
    <w:rsid w:val="00975E0D"/>
    <w:rsid w:val="00981010"/>
    <w:rsid w:val="00981890"/>
    <w:rsid w:val="009825CF"/>
    <w:rsid w:val="00982C43"/>
    <w:rsid w:val="00984015"/>
    <w:rsid w:val="0098475A"/>
    <w:rsid w:val="00984D3D"/>
    <w:rsid w:val="009869F3"/>
    <w:rsid w:val="009872F4"/>
    <w:rsid w:val="00990E88"/>
    <w:rsid w:val="00991F25"/>
    <w:rsid w:val="009928DA"/>
    <w:rsid w:val="00992F19"/>
    <w:rsid w:val="009931B0"/>
    <w:rsid w:val="00993345"/>
    <w:rsid w:val="009938DF"/>
    <w:rsid w:val="00993F41"/>
    <w:rsid w:val="009941A9"/>
    <w:rsid w:val="0099697D"/>
    <w:rsid w:val="009A04D0"/>
    <w:rsid w:val="009A0835"/>
    <w:rsid w:val="009A09F2"/>
    <w:rsid w:val="009A0A27"/>
    <w:rsid w:val="009A105D"/>
    <w:rsid w:val="009A54A4"/>
    <w:rsid w:val="009A59BA"/>
    <w:rsid w:val="009A5A35"/>
    <w:rsid w:val="009A618A"/>
    <w:rsid w:val="009A68D4"/>
    <w:rsid w:val="009A68FE"/>
    <w:rsid w:val="009A78D6"/>
    <w:rsid w:val="009A7FEA"/>
    <w:rsid w:val="009B03F1"/>
    <w:rsid w:val="009B0B3E"/>
    <w:rsid w:val="009B13DB"/>
    <w:rsid w:val="009B1FC1"/>
    <w:rsid w:val="009B235B"/>
    <w:rsid w:val="009B2859"/>
    <w:rsid w:val="009B474C"/>
    <w:rsid w:val="009B4979"/>
    <w:rsid w:val="009B6831"/>
    <w:rsid w:val="009C037F"/>
    <w:rsid w:val="009C0808"/>
    <w:rsid w:val="009C0DB7"/>
    <w:rsid w:val="009C0E42"/>
    <w:rsid w:val="009C1D38"/>
    <w:rsid w:val="009C5E26"/>
    <w:rsid w:val="009C6638"/>
    <w:rsid w:val="009C7A91"/>
    <w:rsid w:val="009C7C5F"/>
    <w:rsid w:val="009C7E54"/>
    <w:rsid w:val="009D367B"/>
    <w:rsid w:val="009D3872"/>
    <w:rsid w:val="009D4FE0"/>
    <w:rsid w:val="009D613A"/>
    <w:rsid w:val="009D6586"/>
    <w:rsid w:val="009D73DA"/>
    <w:rsid w:val="009E00F2"/>
    <w:rsid w:val="009E077D"/>
    <w:rsid w:val="009E07A4"/>
    <w:rsid w:val="009E1C0C"/>
    <w:rsid w:val="009E4185"/>
    <w:rsid w:val="009E452D"/>
    <w:rsid w:val="009E472F"/>
    <w:rsid w:val="009E4D50"/>
    <w:rsid w:val="009E5A70"/>
    <w:rsid w:val="009E7FB0"/>
    <w:rsid w:val="009F3873"/>
    <w:rsid w:val="009F3B5E"/>
    <w:rsid w:val="009F3D9C"/>
    <w:rsid w:val="009F3EFA"/>
    <w:rsid w:val="009F596F"/>
    <w:rsid w:val="009F6268"/>
    <w:rsid w:val="009F6F6A"/>
    <w:rsid w:val="00A00BF9"/>
    <w:rsid w:val="00A01C15"/>
    <w:rsid w:val="00A0219C"/>
    <w:rsid w:val="00A03268"/>
    <w:rsid w:val="00A034ED"/>
    <w:rsid w:val="00A04B0D"/>
    <w:rsid w:val="00A050E6"/>
    <w:rsid w:val="00A07088"/>
    <w:rsid w:val="00A07113"/>
    <w:rsid w:val="00A072C0"/>
    <w:rsid w:val="00A0766B"/>
    <w:rsid w:val="00A07C20"/>
    <w:rsid w:val="00A1094A"/>
    <w:rsid w:val="00A11118"/>
    <w:rsid w:val="00A11373"/>
    <w:rsid w:val="00A1211F"/>
    <w:rsid w:val="00A12795"/>
    <w:rsid w:val="00A1321B"/>
    <w:rsid w:val="00A16E4D"/>
    <w:rsid w:val="00A16ED8"/>
    <w:rsid w:val="00A17670"/>
    <w:rsid w:val="00A214BC"/>
    <w:rsid w:val="00A217A0"/>
    <w:rsid w:val="00A229EC"/>
    <w:rsid w:val="00A23237"/>
    <w:rsid w:val="00A2661B"/>
    <w:rsid w:val="00A27587"/>
    <w:rsid w:val="00A275A6"/>
    <w:rsid w:val="00A30B3F"/>
    <w:rsid w:val="00A319E9"/>
    <w:rsid w:val="00A32585"/>
    <w:rsid w:val="00A33707"/>
    <w:rsid w:val="00A35EAE"/>
    <w:rsid w:val="00A37045"/>
    <w:rsid w:val="00A37167"/>
    <w:rsid w:val="00A40557"/>
    <w:rsid w:val="00A408E2"/>
    <w:rsid w:val="00A4419E"/>
    <w:rsid w:val="00A45D71"/>
    <w:rsid w:val="00A45DCC"/>
    <w:rsid w:val="00A461C9"/>
    <w:rsid w:val="00A47523"/>
    <w:rsid w:val="00A47ACA"/>
    <w:rsid w:val="00A47C3F"/>
    <w:rsid w:val="00A5048C"/>
    <w:rsid w:val="00A50B0E"/>
    <w:rsid w:val="00A51014"/>
    <w:rsid w:val="00A51F60"/>
    <w:rsid w:val="00A52343"/>
    <w:rsid w:val="00A54D7E"/>
    <w:rsid w:val="00A55921"/>
    <w:rsid w:val="00A55AB6"/>
    <w:rsid w:val="00A5679C"/>
    <w:rsid w:val="00A57D76"/>
    <w:rsid w:val="00A57E2B"/>
    <w:rsid w:val="00A601C7"/>
    <w:rsid w:val="00A60E92"/>
    <w:rsid w:val="00A61D00"/>
    <w:rsid w:val="00A61DB8"/>
    <w:rsid w:val="00A642DB"/>
    <w:rsid w:val="00A65263"/>
    <w:rsid w:val="00A6568C"/>
    <w:rsid w:val="00A6664E"/>
    <w:rsid w:val="00A66DA2"/>
    <w:rsid w:val="00A67F01"/>
    <w:rsid w:val="00A7083C"/>
    <w:rsid w:val="00A70C39"/>
    <w:rsid w:val="00A71423"/>
    <w:rsid w:val="00A7165A"/>
    <w:rsid w:val="00A73DED"/>
    <w:rsid w:val="00A74246"/>
    <w:rsid w:val="00A7435F"/>
    <w:rsid w:val="00A74502"/>
    <w:rsid w:val="00A74D03"/>
    <w:rsid w:val="00A76DBB"/>
    <w:rsid w:val="00A77EB7"/>
    <w:rsid w:val="00A81C45"/>
    <w:rsid w:val="00A81F5E"/>
    <w:rsid w:val="00A84EE3"/>
    <w:rsid w:val="00A95254"/>
    <w:rsid w:val="00A95500"/>
    <w:rsid w:val="00A967A2"/>
    <w:rsid w:val="00A96E2B"/>
    <w:rsid w:val="00AA11B1"/>
    <w:rsid w:val="00AA18E7"/>
    <w:rsid w:val="00AA220B"/>
    <w:rsid w:val="00AA2847"/>
    <w:rsid w:val="00AA424F"/>
    <w:rsid w:val="00AA4295"/>
    <w:rsid w:val="00AA5C2B"/>
    <w:rsid w:val="00AA65C0"/>
    <w:rsid w:val="00AA7213"/>
    <w:rsid w:val="00AA7C65"/>
    <w:rsid w:val="00AA7ECE"/>
    <w:rsid w:val="00AB140D"/>
    <w:rsid w:val="00AB1B8D"/>
    <w:rsid w:val="00AB3B00"/>
    <w:rsid w:val="00AB716C"/>
    <w:rsid w:val="00AB7CDC"/>
    <w:rsid w:val="00AB7DF3"/>
    <w:rsid w:val="00AC0E09"/>
    <w:rsid w:val="00AC2363"/>
    <w:rsid w:val="00AC24F6"/>
    <w:rsid w:val="00AC3FFE"/>
    <w:rsid w:val="00AC68FB"/>
    <w:rsid w:val="00AD0078"/>
    <w:rsid w:val="00AD0C6E"/>
    <w:rsid w:val="00AD11E5"/>
    <w:rsid w:val="00AD1B38"/>
    <w:rsid w:val="00AD1E81"/>
    <w:rsid w:val="00AD29EA"/>
    <w:rsid w:val="00AD2EB5"/>
    <w:rsid w:val="00AD2FF1"/>
    <w:rsid w:val="00AD507C"/>
    <w:rsid w:val="00AD6B02"/>
    <w:rsid w:val="00AD7EBF"/>
    <w:rsid w:val="00AE10A0"/>
    <w:rsid w:val="00AE10AF"/>
    <w:rsid w:val="00AE158F"/>
    <w:rsid w:val="00AE2849"/>
    <w:rsid w:val="00AE445B"/>
    <w:rsid w:val="00AE4D9A"/>
    <w:rsid w:val="00AE5C63"/>
    <w:rsid w:val="00AE5CFF"/>
    <w:rsid w:val="00AF0866"/>
    <w:rsid w:val="00AF1453"/>
    <w:rsid w:val="00AF15F6"/>
    <w:rsid w:val="00AF1DF4"/>
    <w:rsid w:val="00AF3183"/>
    <w:rsid w:val="00AF46FF"/>
    <w:rsid w:val="00AF4CFE"/>
    <w:rsid w:val="00AF5A54"/>
    <w:rsid w:val="00AF5E26"/>
    <w:rsid w:val="00AF5F94"/>
    <w:rsid w:val="00B004F8"/>
    <w:rsid w:val="00B01117"/>
    <w:rsid w:val="00B0208C"/>
    <w:rsid w:val="00B0213C"/>
    <w:rsid w:val="00B028E7"/>
    <w:rsid w:val="00B0373D"/>
    <w:rsid w:val="00B04394"/>
    <w:rsid w:val="00B0497D"/>
    <w:rsid w:val="00B0734B"/>
    <w:rsid w:val="00B073B3"/>
    <w:rsid w:val="00B07B9E"/>
    <w:rsid w:val="00B10A93"/>
    <w:rsid w:val="00B125D5"/>
    <w:rsid w:val="00B14483"/>
    <w:rsid w:val="00B14DDA"/>
    <w:rsid w:val="00B1552E"/>
    <w:rsid w:val="00B1598A"/>
    <w:rsid w:val="00B15E24"/>
    <w:rsid w:val="00B171F1"/>
    <w:rsid w:val="00B17A2B"/>
    <w:rsid w:val="00B21E34"/>
    <w:rsid w:val="00B2208E"/>
    <w:rsid w:val="00B22494"/>
    <w:rsid w:val="00B23F76"/>
    <w:rsid w:val="00B23FC7"/>
    <w:rsid w:val="00B24274"/>
    <w:rsid w:val="00B24341"/>
    <w:rsid w:val="00B247EF"/>
    <w:rsid w:val="00B2502C"/>
    <w:rsid w:val="00B25974"/>
    <w:rsid w:val="00B26B4C"/>
    <w:rsid w:val="00B27606"/>
    <w:rsid w:val="00B27C3E"/>
    <w:rsid w:val="00B3065F"/>
    <w:rsid w:val="00B308EC"/>
    <w:rsid w:val="00B30F2A"/>
    <w:rsid w:val="00B3216A"/>
    <w:rsid w:val="00B3379D"/>
    <w:rsid w:val="00B34021"/>
    <w:rsid w:val="00B34E4D"/>
    <w:rsid w:val="00B351E5"/>
    <w:rsid w:val="00B35658"/>
    <w:rsid w:val="00B36723"/>
    <w:rsid w:val="00B36D3F"/>
    <w:rsid w:val="00B40CF6"/>
    <w:rsid w:val="00B41A98"/>
    <w:rsid w:val="00B42D7A"/>
    <w:rsid w:val="00B4425A"/>
    <w:rsid w:val="00B44F13"/>
    <w:rsid w:val="00B455AE"/>
    <w:rsid w:val="00B45D64"/>
    <w:rsid w:val="00B466AA"/>
    <w:rsid w:val="00B46AD7"/>
    <w:rsid w:val="00B4794D"/>
    <w:rsid w:val="00B50A02"/>
    <w:rsid w:val="00B52268"/>
    <w:rsid w:val="00B52D43"/>
    <w:rsid w:val="00B53684"/>
    <w:rsid w:val="00B54CCC"/>
    <w:rsid w:val="00B56130"/>
    <w:rsid w:val="00B572CC"/>
    <w:rsid w:val="00B6051E"/>
    <w:rsid w:val="00B61FFE"/>
    <w:rsid w:val="00B6350C"/>
    <w:rsid w:val="00B64630"/>
    <w:rsid w:val="00B64F91"/>
    <w:rsid w:val="00B656C3"/>
    <w:rsid w:val="00B66223"/>
    <w:rsid w:val="00B66607"/>
    <w:rsid w:val="00B6726D"/>
    <w:rsid w:val="00B71416"/>
    <w:rsid w:val="00B733D0"/>
    <w:rsid w:val="00B735AE"/>
    <w:rsid w:val="00B737A3"/>
    <w:rsid w:val="00B73918"/>
    <w:rsid w:val="00B73C67"/>
    <w:rsid w:val="00B750FC"/>
    <w:rsid w:val="00B75250"/>
    <w:rsid w:val="00B752A8"/>
    <w:rsid w:val="00B757B1"/>
    <w:rsid w:val="00B824B4"/>
    <w:rsid w:val="00B82AB8"/>
    <w:rsid w:val="00B83110"/>
    <w:rsid w:val="00B84D8D"/>
    <w:rsid w:val="00B85323"/>
    <w:rsid w:val="00B873B8"/>
    <w:rsid w:val="00B919D9"/>
    <w:rsid w:val="00B92237"/>
    <w:rsid w:val="00B93405"/>
    <w:rsid w:val="00B93BE9"/>
    <w:rsid w:val="00B93EF9"/>
    <w:rsid w:val="00B94A15"/>
    <w:rsid w:val="00B956B5"/>
    <w:rsid w:val="00B963FF"/>
    <w:rsid w:val="00B974C0"/>
    <w:rsid w:val="00B97C4E"/>
    <w:rsid w:val="00B97E1D"/>
    <w:rsid w:val="00BA04F1"/>
    <w:rsid w:val="00BA11FE"/>
    <w:rsid w:val="00BA1790"/>
    <w:rsid w:val="00BA27E3"/>
    <w:rsid w:val="00BA332A"/>
    <w:rsid w:val="00BA3593"/>
    <w:rsid w:val="00BA38D3"/>
    <w:rsid w:val="00BB0E66"/>
    <w:rsid w:val="00BB0E77"/>
    <w:rsid w:val="00BB13F2"/>
    <w:rsid w:val="00BB1564"/>
    <w:rsid w:val="00BB16B2"/>
    <w:rsid w:val="00BB48CF"/>
    <w:rsid w:val="00BB5D25"/>
    <w:rsid w:val="00BB60E6"/>
    <w:rsid w:val="00BB7D49"/>
    <w:rsid w:val="00BC097A"/>
    <w:rsid w:val="00BC0B99"/>
    <w:rsid w:val="00BC0CE9"/>
    <w:rsid w:val="00BC0D7D"/>
    <w:rsid w:val="00BC11A9"/>
    <w:rsid w:val="00BC1E74"/>
    <w:rsid w:val="00BC490C"/>
    <w:rsid w:val="00BC4A4A"/>
    <w:rsid w:val="00BC4EE4"/>
    <w:rsid w:val="00BC54E8"/>
    <w:rsid w:val="00BC5787"/>
    <w:rsid w:val="00BC6215"/>
    <w:rsid w:val="00BC6433"/>
    <w:rsid w:val="00BD1278"/>
    <w:rsid w:val="00BD17A4"/>
    <w:rsid w:val="00BD2093"/>
    <w:rsid w:val="00BD2682"/>
    <w:rsid w:val="00BD428F"/>
    <w:rsid w:val="00BD4496"/>
    <w:rsid w:val="00BD779C"/>
    <w:rsid w:val="00BD77EA"/>
    <w:rsid w:val="00BD782C"/>
    <w:rsid w:val="00BE08AD"/>
    <w:rsid w:val="00BE0B19"/>
    <w:rsid w:val="00BE0CF7"/>
    <w:rsid w:val="00BE1ADB"/>
    <w:rsid w:val="00BE3C2E"/>
    <w:rsid w:val="00BE3CDF"/>
    <w:rsid w:val="00BE4265"/>
    <w:rsid w:val="00BE46EA"/>
    <w:rsid w:val="00BE4899"/>
    <w:rsid w:val="00BE4C35"/>
    <w:rsid w:val="00BE5BE0"/>
    <w:rsid w:val="00BE5C76"/>
    <w:rsid w:val="00BE60D4"/>
    <w:rsid w:val="00BE7A66"/>
    <w:rsid w:val="00BE7EAA"/>
    <w:rsid w:val="00BF0A42"/>
    <w:rsid w:val="00BF1353"/>
    <w:rsid w:val="00BF2FBB"/>
    <w:rsid w:val="00BF31AE"/>
    <w:rsid w:val="00BF3B11"/>
    <w:rsid w:val="00BF3D47"/>
    <w:rsid w:val="00BF57C7"/>
    <w:rsid w:val="00BF6768"/>
    <w:rsid w:val="00BF6BBE"/>
    <w:rsid w:val="00C00843"/>
    <w:rsid w:val="00C01C7B"/>
    <w:rsid w:val="00C029AC"/>
    <w:rsid w:val="00C02D2F"/>
    <w:rsid w:val="00C02E40"/>
    <w:rsid w:val="00C034F0"/>
    <w:rsid w:val="00C04664"/>
    <w:rsid w:val="00C04876"/>
    <w:rsid w:val="00C049F6"/>
    <w:rsid w:val="00C04A3B"/>
    <w:rsid w:val="00C0528E"/>
    <w:rsid w:val="00C05349"/>
    <w:rsid w:val="00C076B4"/>
    <w:rsid w:val="00C07ED6"/>
    <w:rsid w:val="00C11A67"/>
    <w:rsid w:val="00C11D82"/>
    <w:rsid w:val="00C123E1"/>
    <w:rsid w:val="00C131D3"/>
    <w:rsid w:val="00C144DC"/>
    <w:rsid w:val="00C15021"/>
    <w:rsid w:val="00C20414"/>
    <w:rsid w:val="00C20873"/>
    <w:rsid w:val="00C212F8"/>
    <w:rsid w:val="00C21DE9"/>
    <w:rsid w:val="00C220D7"/>
    <w:rsid w:val="00C2455B"/>
    <w:rsid w:val="00C265DA"/>
    <w:rsid w:val="00C27A40"/>
    <w:rsid w:val="00C311DC"/>
    <w:rsid w:val="00C356F5"/>
    <w:rsid w:val="00C36390"/>
    <w:rsid w:val="00C402E2"/>
    <w:rsid w:val="00C413EA"/>
    <w:rsid w:val="00C41C46"/>
    <w:rsid w:val="00C42F84"/>
    <w:rsid w:val="00C431D6"/>
    <w:rsid w:val="00C43B31"/>
    <w:rsid w:val="00C45E2A"/>
    <w:rsid w:val="00C46F13"/>
    <w:rsid w:val="00C5036B"/>
    <w:rsid w:val="00C52A98"/>
    <w:rsid w:val="00C5483F"/>
    <w:rsid w:val="00C55E83"/>
    <w:rsid w:val="00C574E6"/>
    <w:rsid w:val="00C57871"/>
    <w:rsid w:val="00C57D0A"/>
    <w:rsid w:val="00C604F9"/>
    <w:rsid w:val="00C605A1"/>
    <w:rsid w:val="00C6131A"/>
    <w:rsid w:val="00C613EC"/>
    <w:rsid w:val="00C63950"/>
    <w:rsid w:val="00C63FDD"/>
    <w:rsid w:val="00C65459"/>
    <w:rsid w:val="00C6593F"/>
    <w:rsid w:val="00C72B8F"/>
    <w:rsid w:val="00C73A54"/>
    <w:rsid w:val="00C73C88"/>
    <w:rsid w:val="00C7412D"/>
    <w:rsid w:val="00C76F24"/>
    <w:rsid w:val="00C80AC6"/>
    <w:rsid w:val="00C80FD4"/>
    <w:rsid w:val="00C84C1D"/>
    <w:rsid w:val="00C84C66"/>
    <w:rsid w:val="00C85391"/>
    <w:rsid w:val="00C8711B"/>
    <w:rsid w:val="00C90BD1"/>
    <w:rsid w:val="00C91A4E"/>
    <w:rsid w:val="00C92AE1"/>
    <w:rsid w:val="00C92F85"/>
    <w:rsid w:val="00C941CD"/>
    <w:rsid w:val="00C95F8C"/>
    <w:rsid w:val="00C964E7"/>
    <w:rsid w:val="00C97722"/>
    <w:rsid w:val="00CA17E8"/>
    <w:rsid w:val="00CA1A08"/>
    <w:rsid w:val="00CA1E3C"/>
    <w:rsid w:val="00CA2494"/>
    <w:rsid w:val="00CA257F"/>
    <w:rsid w:val="00CA2F91"/>
    <w:rsid w:val="00CA3446"/>
    <w:rsid w:val="00CA52A4"/>
    <w:rsid w:val="00CA716A"/>
    <w:rsid w:val="00CA7D18"/>
    <w:rsid w:val="00CB03EB"/>
    <w:rsid w:val="00CB0504"/>
    <w:rsid w:val="00CB09C6"/>
    <w:rsid w:val="00CB0F00"/>
    <w:rsid w:val="00CB22EF"/>
    <w:rsid w:val="00CB3033"/>
    <w:rsid w:val="00CB446D"/>
    <w:rsid w:val="00CB4945"/>
    <w:rsid w:val="00CB4A8D"/>
    <w:rsid w:val="00CB6E80"/>
    <w:rsid w:val="00CB6EE2"/>
    <w:rsid w:val="00CB7EBF"/>
    <w:rsid w:val="00CC070F"/>
    <w:rsid w:val="00CC0DB4"/>
    <w:rsid w:val="00CC2837"/>
    <w:rsid w:val="00CC2AD1"/>
    <w:rsid w:val="00CC2CC9"/>
    <w:rsid w:val="00CC2FE8"/>
    <w:rsid w:val="00CC3452"/>
    <w:rsid w:val="00CC439A"/>
    <w:rsid w:val="00CC5082"/>
    <w:rsid w:val="00CC5827"/>
    <w:rsid w:val="00CC59A5"/>
    <w:rsid w:val="00CC5EDE"/>
    <w:rsid w:val="00CC6D33"/>
    <w:rsid w:val="00CC7A67"/>
    <w:rsid w:val="00CD099E"/>
    <w:rsid w:val="00CD25B8"/>
    <w:rsid w:val="00CD2A71"/>
    <w:rsid w:val="00CD36E3"/>
    <w:rsid w:val="00CD5B0B"/>
    <w:rsid w:val="00CD5CE2"/>
    <w:rsid w:val="00CD7801"/>
    <w:rsid w:val="00CE0A04"/>
    <w:rsid w:val="00CE109C"/>
    <w:rsid w:val="00CE1386"/>
    <w:rsid w:val="00CE17DC"/>
    <w:rsid w:val="00CE18BD"/>
    <w:rsid w:val="00CE23D5"/>
    <w:rsid w:val="00CE3224"/>
    <w:rsid w:val="00CE40D5"/>
    <w:rsid w:val="00CE457F"/>
    <w:rsid w:val="00CE5F85"/>
    <w:rsid w:val="00CE6FE1"/>
    <w:rsid w:val="00CF10FA"/>
    <w:rsid w:val="00CF2C58"/>
    <w:rsid w:val="00CF4C81"/>
    <w:rsid w:val="00CF5C65"/>
    <w:rsid w:val="00CF5D11"/>
    <w:rsid w:val="00CF61A9"/>
    <w:rsid w:val="00CF62DC"/>
    <w:rsid w:val="00CF641D"/>
    <w:rsid w:val="00D004E4"/>
    <w:rsid w:val="00D004F5"/>
    <w:rsid w:val="00D009C3"/>
    <w:rsid w:val="00D01452"/>
    <w:rsid w:val="00D01E2F"/>
    <w:rsid w:val="00D03ACC"/>
    <w:rsid w:val="00D03D16"/>
    <w:rsid w:val="00D05037"/>
    <w:rsid w:val="00D05ACE"/>
    <w:rsid w:val="00D06326"/>
    <w:rsid w:val="00D07852"/>
    <w:rsid w:val="00D10177"/>
    <w:rsid w:val="00D11733"/>
    <w:rsid w:val="00D11C0A"/>
    <w:rsid w:val="00D11C39"/>
    <w:rsid w:val="00D11CB1"/>
    <w:rsid w:val="00D13BF7"/>
    <w:rsid w:val="00D14505"/>
    <w:rsid w:val="00D152F7"/>
    <w:rsid w:val="00D156B1"/>
    <w:rsid w:val="00D15F1E"/>
    <w:rsid w:val="00D160CA"/>
    <w:rsid w:val="00D17267"/>
    <w:rsid w:val="00D177B5"/>
    <w:rsid w:val="00D238B6"/>
    <w:rsid w:val="00D2486F"/>
    <w:rsid w:val="00D255E6"/>
    <w:rsid w:val="00D25F72"/>
    <w:rsid w:val="00D26176"/>
    <w:rsid w:val="00D26752"/>
    <w:rsid w:val="00D279E6"/>
    <w:rsid w:val="00D306F1"/>
    <w:rsid w:val="00D316C0"/>
    <w:rsid w:val="00D329A5"/>
    <w:rsid w:val="00D32F55"/>
    <w:rsid w:val="00D330D3"/>
    <w:rsid w:val="00D331A0"/>
    <w:rsid w:val="00D35D7A"/>
    <w:rsid w:val="00D35E98"/>
    <w:rsid w:val="00D36868"/>
    <w:rsid w:val="00D36F0E"/>
    <w:rsid w:val="00D37837"/>
    <w:rsid w:val="00D4015C"/>
    <w:rsid w:val="00D412E9"/>
    <w:rsid w:val="00D41E76"/>
    <w:rsid w:val="00D420EF"/>
    <w:rsid w:val="00D42581"/>
    <w:rsid w:val="00D43919"/>
    <w:rsid w:val="00D43F23"/>
    <w:rsid w:val="00D446A1"/>
    <w:rsid w:val="00D4764C"/>
    <w:rsid w:val="00D51740"/>
    <w:rsid w:val="00D526FB"/>
    <w:rsid w:val="00D53BDA"/>
    <w:rsid w:val="00D53EA7"/>
    <w:rsid w:val="00D54F4D"/>
    <w:rsid w:val="00D55B90"/>
    <w:rsid w:val="00D5759C"/>
    <w:rsid w:val="00D60915"/>
    <w:rsid w:val="00D60DBF"/>
    <w:rsid w:val="00D613F9"/>
    <w:rsid w:val="00D6464D"/>
    <w:rsid w:val="00D64722"/>
    <w:rsid w:val="00D651C3"/>
    <w:rsid w:val="00D657EA"/>
    <w:rsid w:val="00D65FCE"/>
    <w:rsid w:val="00D66273"/>
    <w:rsid w:val="00D66318"/>
    <w:rsid w:val="00D674A7"/>
    <w:rsid w:val="00D6755B"/>
    <w:rsid w:val="00D70953"/>
    <w:rsid w:val="00D71508"/>
    <w:rsid w:val="00D71F6A"/>
    <w:rsid w:val="00D73319"/>
    <w:rsid w:val="00D736A4"/>
    <w:rsid w:val="00D74CE3"/>
    <w:rsid w:val="00D75B66"/>
    <w:rsid w:val="00D7672A"/>
    <w:rsid w:val="00D769CA"/>
    <w:rsid w:val="00D76C26"/>
    <w:rsid w:val="00D820E5"/>
    <w:rsid w:val="00D82476"/>
    <w:rsid w:val="00D8254F"/>
    <w:rsid w:val="00D82810"/>
    <w:rsid w:val="00D82D80"/>
    <w:rsid w:val="00D83499"/>
    <w:rsid w:val="00D838A8"/>
    <w:rsid w:val="00D84452"/>
    <w:rsid w:val="00D8464E"/>
    <w:rsid w:val="00D87E0B"/>
    <w:rsid w:val="00D900DC"/>
    <w:rsid w:val="00D902C2"/>
    <w:rsid w:val="00D9283B"/>
    <w:rsid w:val="00D92C9F"/>
    <w:rsid w:val="00D93858"/>
    <w:rsid w:val="00D93895"/>
    <w:rsid w:val="00D945C7"/>
    <w:rsid w:val="00D94628"/>
    <w:rsid w:val="00D94768"/>
    <w:rsid w:val="00D9599F"/>
    <w:rsid w:val="00D96473"/>
    <w:rsid w:val="00D9661E"/>
    <w:rsid w:val="00D9746A"/>
    <w:rsid w:val="00DA132E"/>
    <w:rsid w:val="00DA236E"/>
    <w:rsid w:val="00DA3E0A"/>
    <w:rsid w:val="00DA4955"/>
    <w:rsid w:val="00DA49DE"/>
    <w:rsid w:val="00DA5301"/>
    <w:rsid w:val="00DA6796"/>
    <w:rsid w:val="00DB0070"/>
    <w:rsid w:val="00DB0945"/>
    <w:rsid w:val="00DB0A54"/>
    <w:rsid w:val="00DB18FB"/>
    <w:rsid w:val="00DB4173"/>
    <w:rsid w:val="00DB69B8"/>
    <w:rsid w:val="00DB71EA"/>
    <w:rsid w:val="00DB7526"/>
    <w:rsid w:val="00DB772D"/>
    <w:rsid w:val="00DC0F9E"/>
    <w:rsid w:val="00DC1874"/>
    <w:rsid w:val="00DC1A16"/>
    <w:rsid w:val="00DC29C9"/>
    <w:rsid w:val="00DC404B"/>
    <w:rsid w:val="00DC4F74"/>
    <w:rsid w:val="00DC646A"/>
    <w:rsid w:val="00DC7A5C"/>
    <w:rsid w:val="00DD0382"/>
    <w:rsid w:val="00DD23E0"/>
    <w:rsid w:val="00DD3790"/>
    <w:rsid w:val="00DD403C"/>
    <w:rsid w:val="00DD4AA8"/>
    <w:rsid w:val="00DD4BEA"/>
    <w:rsid w:val="00DD4D4F"/>
    <w:rsid w:val="00DD4FEE"/>
    <w:rsid w:val="00DD5245"/>
    <w:rsid w:val="00DD5BB6"/>
    <w:rsid w:val="00DD5C64"/>
    <w:rsid w:val="00DD6EF9"/>
    <w:rsid w:val="00DE2094"/>
    <w:rsid w:val="00DE51F0"/>
    <w:rsid w:val="00DE53EC"/>
    <w:rsid w:val="00DE565C"/>
    <w:rsid w:val="00DE5995"/>
    <w:rsid w:val="00DE75FC"/>
    <w:rsid w:val="00DE77FF"/>
    <w:rsid w:val="00DF0EDC"/>
    <w:rsid w:val="00DF19D9"/>
    <w:rsid w:val="00DF52FA"/>
    <w:rsid w:val="00DF7D87"/>
    <w:rsid w:val="00E003CF"/>
    <w:rsid w:val="00E01C9E"/>
    <w:rsid w:val="00E02AC4"/>
    <w:rsid w:val="00E0628B"/>
    <w:rsid w:val="00E0629A"/>
    <w:rsid w:val="00E06D4A"/>
    <w:rsid w:val="00E115D3"/>
    <w:rsid w:val="00E120AF"/>
    <w:rsid w:val="00E12D79"/>
    <w:rsid w:val="00E134AA"/>
    <w:rsid w:val="00E145E2"/>
    <w:rsid w:val="00E157F0"/>
    <w:rsid w:val="00E1594B"/>
    <w:rsid w:val="00E167ED"/>
    <w:rsid w:val="00E16CD1"/>
    <w:rsid w:val="00E21064"/>
    <w:rsid w:val="00E2121A"/>
    <w:rsid w:val="00E21800"/>
    <w:rsid w:val="00E21F9B"/>
    <w:rsid w:val="00E22305"/>
    <w:rsid w:val="00E24A4B"/>
    <w:rsid w:val="00E24BE3"/>
    <w:rsid w:val="00E27FC0"/>
    <w:rsid w:val="00E30AC4"/>
    <w:rsid w:val="00E314A7"/>
    <w:rsid w:val="00E33ECE"/>
    <w:rsid w:val="00E3454A"/>
    <w:rsid w:val="00E34799"/>
    <w:rsid w:val="00E34E89"/>
    <w:rsid w:val="00E34F61"/>
    <w:rsid w:val="00E3602D"/>
    <w:rsid w:val="00E36B4F"/>
    <w:rsid w:val="00E37EE0"/>
    <w:rsid w:val="00E37F59"/>
    <w:rsid w:val="00E417C2"/>
    <w:rsid w:val="00E41F59"/>
    <w:rsid w:val="00E43F67"/>
    <w:rsid w:val="00E444BE"/>
    <w:rsid w:val="00E44C0F"/>
    <w:rsid w:val="00E454B3"/>
    <w:rsid w:val="00E46137"/>
    <w:rsid w:val="00E469D7"/>
    <w:rsid w:val="00E479D1"/>
    <w:rsid w:val="00E50B53"/>
    <w:rsid w:val="00E50DE6"/>
    <w:rsid w:val="00E50F29"/>
    <w:rsid w:val="00E53322"/>
    <w:rsid w:val="00E53511"/>
    <w:rsid w:val="00E53CEA"/>
    <w:rsid w:val="00E53E6F"/>
    <w:rsid w:val="00E53F5F"/>
    <w:rsid w:val="00E54359"/>
    <w:rsid w:val="00E5445C"/>
    <w:rsid w:val="00E54A14"/>
    <w:rsid w:val="00E54FC6"/>
    <w:rsid w:val="00E57652"/>
    <w:rsid w:val="00E61214"/>
    <w:rsid w:val="00E6482E"/>
    <w:rsid w:val="00E659CD"/>
    <w:rsid w:val="00E65D44"/>
    <w:rsid w:val="00E666C1"/>
    <w:rsid w:val="00E678B3"/>
    <w:rsid w:val="00E7044C"/>
    <w:rsid w:val="00E71415"/>
    <w:rsid w:val="00E72210"/>
    <w:rsid w:val="00E73AB0"/>
    <w:rsid w:val="00E74159"/>
    <w:rsid w:val="00E75853"/>
    <w:rsid w:val="00E7673B"/>
    <w:rsid w:val="00E77C2E"/>
    <w:rsid w:val="00E77DEE"/>
    <w:rsid w:val="00E807D5"/>
    <w:rsid w:val="00E80884"/>
    <w:rsid w:val="00E80F6B"/>
    <w:rsid w:val="00E810CB"/>
    <w:rsid w:val="00E82194"/>
    <w:rsid w:val="00E82B4E"/>
    <w:rsid w:val="00E82C0B"/>
    <w:rsid w:val="00E83317"/>
    <w:rsid w:val="00E84EB3"/>
    <w:rsid w:val="00E86191"/>
    <w:rsid w:val="00E8685D"/>
    <w:rsid w:val="00E87167"/>
    <w:rsid w:val="00E87A01"/>
    <w:rsid w:val="00E9028B"/>
    <w:rsid w:val="00E90A5F"/>
    <w:rsid w:val="00E91573"/>
    <w:rsid w:val="00E91739"/>
    <w:rsid w:val="00E91EED"/>
    <w:rsid w:val="00E92975"/>
    <w:rsid w:val="00E92A34"/>
    <w:rsid w:val="00E92C11"/>
    <w:rsid w:val="00E9334B"/>
    <w:rsid w:val="00E9354D"/>
    <w:rsid w:val="00E94F3B"/>
    <w:rsid w:val="00E9659A"/>
    <w:rsid w:val="00E966A0"/>
    <w:rsid w:val="00E9701E"/>
    <w:rsid w:val="00EA1632"/>
    <w:rsid w:val="00EA4E8E"/>
    <w:rsid w:val="00EA58E5"/>
    <w:rsid w:val="00EA5C36"/>
    <w:rsid w:val="00EA6586"/>
    <w:rsid w:val="00EA7C95"/>
    <w:rsid w:val="00EB0A7E"/>
    <w:rsid w:val="00EB1BC1"/>
    <w:rsid w:val="00EB3F67"/>
    <w:rsid w:val="00EB4302"/>
    <w:rsid w:val="00EB5418"/>
    <w:rsid w:val="00EB5EA7"/>
    <w:rsid w:val="00EB6BFE"/>
    <w:rsid w:val="00EB6EB7"/>
    <w:rsid w:val="00EB7E8F"/>
    <w:rsid w:val="00EC0192"/>
    <w:rsid w:val="00EC24DA"/>
    <w:rsid w:val="00EC285B"/>
    <w:rsid w:val="00EC2E00"/>
    <w:rsid w:val="00EC2E1C"/>
    <w:rsid w:val="00EC5BF4"/>
    <w:rsid w:val="00ED05A8"/>
    <w:rsid w:val="00ED15F3"/>
    <w:rsid w:val="00ED18CF"/>
    <w:rsid w:val="00ED2A2F"/>
    <w:rsid w:val="00ED37FB"/>
    <w:rsid w:val="00ED3D14"/>
    <w:rsid w:val="00ED4114"/>
    <w:rsid w:val="00ED5896"/>
    <w:rsid w:val="00ED5BED"/>
    <w:rsid w:val="00ED713A"/>
    <w:rsid w:val="00ED7449"/>
    <w:rsid w:val="00ED7992"/>
    <w:rsid w:val="00EE12B3"/>
    <w:rsid w:val="00EE3446"/>
    <w:rsid w:val="00EE4B56"/>
    <w:rsid w:val="00EE65E7"/>
    <w:rsid w:val="00EE683D"/>
    <w:rsid w:val="00EE6C98"/>
    <w:rsid w:val="00EE7223"/>
    <w:rsid w:val="00EE7F9E"/>
    <w:rsid w:val="00EF0432"/>
    <w:rsid w:val="00EF0F3C"/>
    <w:rsid w:val="00EF1D51"/>
    <w:rsid w:val="00EF2087"/>
    <w:rsid w:val="00EF5169"/>
    <w:rsid w:val="00EF5E4B"/>
    <w:rsid w:val="00EF6527"/>
    <w:rsid w:val="00EF6BFC"/>
    <w:rsid w:val="00F01A54"/>
    <w:rsid w:val="00F02519"/>
    <w:rsid w:val="00F02A27"/>
    <w:rsid w:val="00F02CBB"/>
    <w:rsid w:val="00F031F4"/>
    <w:rsid w:val="00F048B6"/>
    <w:rsid w:val="00F05CEF"/>
    <w:rsid w:val="00F05FCB"/>
    <w:rsid w:val="00F069F2"/>
    <w:rsid w:val="00F10308"/>
    <w:rsid w:val="00F1453D"/>
    <w:rsid w:val="00F15863"/>
    <w:rsid w:val="00F2150E"/>
    <w:rsid w:val="00F21BC6"/>
    <w:rsid w:val="00F22CD0"/>
    <w:rsid w:val="00F23178"/>
    <w:rsid w:val="00F24C39"/>
    <w:rsid w:val="00F24FC4"/>
    <w:rsid w:val="00F2714D"/>
    <w:rsid w:val="00F274AC"/>
    <w:rsid w:val="00F277BF"/>
    <w:rsid w:val="00F31028"/>
    <w:rsid w:val="00F31857"/>
    <w:rsid w:val="00F33926"/>
    <w:rsid w:val="00F3403E"/>
    <w:rsid w:val="00F37127"/>
    <w:rsid w:val="00F40DD1"/>
    <w:rsid w:val="00F42705"/>
    <w:rsid w:val="00F46267"/>
    <w:rsid w:val="00F469C9"/>
    <w:rsid w:val="00F46E6B"/>
    <w:rsid w:val="00F507E1"/>
    <w:rsid w:val="00F516D2"/>
    <w:rsid w:val="00F5170B"/>
    <w:rsid w:val="00F51C4D"/>
    <w:rsid w:val="00F51E39"/>
    <w:rsid w:val="00F5266E"/>
    <w:rsid w:val="00F53523"/>
    <w:rsid w:val="00F56907"/>
    <w:rsid w:val="00F572FA"/>
    <w:rsid w:val="00F573E2"/>
    <w:rsid w:val="00F57D48"/>
    <w:rsid w:val="00F60904"/>
    <w:rsid w:val="00F60E42"/>
    <w:rsid w:val="00F613B2"/>
    <w:rsid w:val="00F6211C"/>
    <w:rsid w:val="00F632CB"/>
    <w:rsid w:val="00F63AA1"/>
    <w:rsid w:val="00F64231"/>
    <w:rsid w:val="00F64BFF"/>
    <w:rsid w:val="00F64E65"/>
    <w:rsid w:val="00F668FE"/>
    <w:rsid w:val="00F6699F"/>
    <w:rsid w:val="00F7080C"/>
    <w:rsid w:val="00F71B8F"/>
    <w:rsid w:val="00F72B7A"/>
    <w:rsid w:val="00F74996"/>
    <w:rsid w:val="00F75153"/>
    <w:rsid w:val="00F76A3B"/>
    <w:rsid w:val="00F76D82"/>
    <w:rsid w:val="00F77D1B"/>
    <w:rsid w:val="00F8136C"/>
    <w:rsid w:val="00F817E9"/>
    <w:rsid w:val="00F8449C"/>
    <w:rsid w:val="00F8738C"/>
    <w:rsid w:val="00F878E5"/>
    <w:rsid w:val="00F8793C"/>
    <w:rsid w:val="00F91BE4"/>
    <w:rsid w:val="00F94135"/>
    <w:rsid w:val="00F94AFF"/>
    <w:rsid w:val="00F96081"/>
    <w:rsid w:val="00F96E26"/>
    <w:rsid w:val="00FA0C8B"/>
    <w:rsid w:val="00FA129E"/>
    <w:rsid w:val="00FA44CF"/>
    <w:rsid w:val="00FA45C7"/>
    <w:rsid w:val="00FA4D4D"/>
    <w:rsid w:val="00FA55F4"/>
    <w:rsid w:val="00FA7CF9"/>
    <w:rsid w:val="00FA7F37"/>
    <w:rsid w:val="00FB1ECA"/>
    <w:rsid w:val="00FB2330"/>
    <w:rsid w:val="00FB35F4"/>
    <w:rsid w:val="00FB3D8F"/>
    <w:rsid w:val="00FB4161"/>
    <w:rsid w:val="00FB5D5C"/>
    <w:rsid w:val="00FB5F78"/>
    <w:rsid w:val="00FB6141"/>
    <w:rsid w:val="00FB7F6C"/>
    <w:rsid w:val="00FC0144"/>
    <w:rsid w:val="00FC1464"/>
    <w:rsid w:val="00FC29B5"/>
    <w:rsid w:val="00FC322F"/>
    <w:rsid w:val="00FC3BF6"/>
    <w:rsid w:val="00FC47FB"/>
    <w:rsid w:val="00FC53BC"/>
    <w:rsid w:val="00FC6BAC"/>
    <w:rsid w:val="00FC6E17"/>
    <w:rsid w:val="00FD1030"/>
    <w:rsid w:val="00FD1277"/>
    <w:rsid w:val="00FD2740"/>
    <w:rsid w:val="00FD377A"/>
    <w:rsid w:val="00FD3966"/>
    <w:rsid w:val="00FD3A58"/>
    <w:rsid w:val="00FD44D4"/>
    <w:rsid w:val="00FD4501"/>
    <w:rsid w:val="00FD4567"/>
    <w:rsid w:val="00FD4FF4"/>
    <w:rsid w:val="00FD57B8"/>
    <w:rsid w:val="00FD589A"/>
    <w:rsid w:val="00FD5EE4"/>
    <w:rsid w:val="00FD647D"/>
    <w:rsid w:val="00FD6EA6"/>
    <w:rsid w:val="00FD7833"/>
    <w:rsid w:val="00FE0602"/>
    <w:rsid w:val="00FE19EA"/>
    <w:rsid w:val="00FE2F3E"/>
    <w:rsid w:val="00FE3713"/>
    <w:rsid w:val="00FE37BD"/>
    <w:rsid w:val="00FE589D"/>
    <w:rsid w:val="00FE68AC"/>
    <w:rsid w:val="00FF0437"/>
    <w:rsid w:val="00FF04ED"/>
    <w:rsid w:val="00FF1492"/>
    <w:rsid w:val="00FF2884"/>
    <w:rsid w:val="00FF4292"/>
    <w:rsid w:val="00FF43FF"/>
    <w:rsid w:val="00FF5228"/>
    <w:rsid w:val="00FF6C77"/>
    <w:rsid w:val="00FF6E06"/>
    <w:rsid w:val="00FF78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7C0BBBD"/>
  <w15:docId w15:val="{F36EB95E-044D-4BF2-946C-BC0F131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1,H1,l1,level 1 heading"/>
    <w:basedOn w:val="Normal"/>
    <w:next w:val="Normal"/>
    <w:link w:val="Ttulo1Car"/>
    <w:qFormat/>
    <w:rsid w:val="006B04B7"/>
    <w:pPr>
      <w:spacing w:before="720" w:after="600"/>
      <w:jc w:val="center"/>
      <w:outlineLvl w:val="0"/>
    </w:pPr>
    <w:rPr>
      <w:rFonts w:ascii="ITC Avant Garde" w:hAnsi="ITC Avant Garde"/>
      <w:b/>
    </w:rPr>
  </w:style>
  <w:style w:type="paragraph" w:styleId="Ttulo2">
    <w:name w:val="heading 2"/>
    <w:aliases w:val="KJL:1st Level,2,l2,level 2 heading"/>
    <w:basedOn w:val="Tituloconsiderando"/>
    <w:next w:val="Normal"/>
    <w:link w:val="Ttulo2Car"/>
    <w:unhideWhenUsed/>
    <w:qFormat/>
    <w:rsid w:val="006B04B7"/>
    <w:pPr>
      <w:spacing w:before="480"/>
      <w:outlineLvl w:val="1"/>
    </w:pPr>
  </w:style>
  <w:style w:type="paragraph" w:styleId="Ttulo3">
    <w:name w:val="heading 3"/>
    <w:basedOn w:val="Subttulo"/>
    <w:next w:val="Normal"/>
    <w:link w:val="Ttulo3Car"/>
    <w:unhideWhenUsed/>
    <w:qFormat/>
    <w:rsid w:val="00B07B9E"/>
    <w:pPr>
      <w:outlineLvl w:val="2"/>
    </w:pPr>
  </w:style>
  <w:style w:type="paragraph" w:styleId="Ttulo4">
    <w:name w:val="heading 4"/>
    <w:basedOn w:val="Ttulo3"/>
    <w:next w:val="Normal"/>
    <w:link w:val="Ttulo4Car"/>
    <w:unhideWhenUsed/>
    <w:qFormat/>
    <w:rsid w:val="004F46EA"/>
    <w:pPr>
      <w:outlineLvl w:val="3"/>
    </w:pPr>
  </w:style>
  <w:style w:type="paragraph" w:styleId="Ttulo5">
    <w:name w:val="heading 5"/>
    <w:basedOn w:val="Normal"/>
    <w:next w:val="Normal"/>
    <w:link w:val="Ttulo5Car"/>
    <w:unhideWhenUsed/>
    <w:qFormat/>
    <w:rsid w:val="00B07B9E"/>
    <w:pPr>
      <w:keepNext/>
      <w:keepLines/>
      <w:spacing w:before="40" w:after="0" w:line="336" w:lineRule="auto"/>
      <w:jc w:val="both"/>
      <w:outlineLvl w:val="4"/>
    </w:pPr>
    <w:rPr>
      <w:rFonts w:asciiTheme="majorHAnsi" w:eastAsiaTheme="majorEastAsia" w:hAnsiTheme="majorHAnsi" w:cstheme="majorBidi"/>
      <w:b/>
      <w:color w:val="2E74B5" w:themeColor="accent1" w:themeShade="BF"/>
      <w:sz w:val="20"/>
      <w:szCs w:val="24"/>
      <w:lang w:val="en-GB" w:eastAsia="es-ES"/>
    </w:rPr>
  </w:style>
  <w:style w:type="paragraph" w:styleId="Ttulo6">
    <w:name w:val="heading 6"/>
    <w:basedOn w:val="Normal"/>
    <w:next w:val="Normal"/>
    <w:link w:val="Ttulo6Car"/>
    <w:unhideWhenUsed/>
    <w:qFormat/>
    <w:rsid w:val="00B07B9E"/>
    <w:pPr>
      <w:keepNext/>
      <w:keepLines/>
      <w:spacing w:before="200" w:after="0" w:line="336" w:lineRule="auto"/>
      <w:jc w:val="both"/>
      <w:outlineLvl w:val="5"/>
    </w:pPr>
    <w:rPr>
      <w:rFonts w:asciiTheme="majorHAnsi" w:eastAsiaTheme="majorEastAsia" w:hAnsiTheme="majorHAnsi" w:cstheme="majorBidi"/>
      <w:i/>
      <w:iCs/>
      <w:color w:val="1F4D78" w:themeColor="accent1" w:themeShade="7F"/>
      <w:sz w:val="20"/>
      <w:szCs w:val="24"/>
      <w:lang w:val="es-ES" w:eastAsia="es-ES"/>
    </w:rPr>
  </w:style>
  <w:style w:type="paragraph" w:styleId="Ttulo7">
    <w:name w:val="heading 7"/>
    <w:basedOn w:val="Annex1"/>
    <w:next w:val="Normal"/>
    <w:link w:val="Ttulo7Car"/>
    <w:unhideWhenUsed/>
    <w:qFormat/>
    <w:rsid w:val="00B07B9E"/>
    <w:pPr>
      <w:outlineLvl w:val="6"/>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47C38"/>
    <w:pPr>
      <w:ind w:left="720"/>
      <w:contextualSpacing/>
    </w:pPr>
  </w:style>
  <w:style w:type="paragraph" w:customStyle="1" w:styleId="Normal1">
    <w:name w:val="Normal1"/>
    <w:uiPriority w:val="99"/>
    <w:rsid w:val="00112F0B"/>
    <w:pPr>
      <w:spacing w:after="0" w:line="276" w:lineRule="auto"/>
    </w:pPr>
    <w:rPr>
      <w:rFonts w:ascii="Arial" w:eastAsia="Arial" w:hAnsi="Arial" w:cs="Arial"/>
      <w:color w:val="000000"/>
      <w:szCs w:val="24"/>
      <w:lang w:eastAsia="es-ES"/>
    </w:rPr>
  </w:style>
  <w:style w:type="paragraph" w:customStyle="1" w:styleId="Texto">
    <w:name w:val="Texto"/>
    <w:basedOn w:val="Normal"/>
    <w:link w:val="TextoChar"/>
    <w:rsid w:val="00320743"/>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unhideWhenUsed/>
    <w:rsid w:val="00320743"/>
    <w:rPr>
      <w:sz w:val="16"/>
      <w:szCs w:val="16"/>
    </w:rPr>
  </w:style>
  <w:style w:type="paragraph" w:styleId="Textocomentario">
    <w:name w:val="annotation text"/>
    <w:basedOn w:val="Normal"/>
    <w:link w:val="TextocomentarioCar"/>
    <w:uiPriority w:val="99"/>
    <w:unhideWhenUsed/>
    <w:rsid w:val="00320743"/>
    <w:pPr>
      <w:spacing w:line="240" w:lineRule="auto"/>
    </w:pPr>
    <w:rPr>
      <w:sz w:val="20"/>
      <w:szCs w:val="20"/>
    </w:rPr>
  </w:style>
  <w:style w:type="character" w:customStyle="1" w:styleId="TextocomentarioCar">
    <w:name w:val="Texto comentario Car"/>
    <w:basedOn w:val="Fuentedeprrafopredeter"/>
    <w:link w:val="Textocomentario"/>
    <w:uiPriority w:val="99"/>
    <w:rsid w:val="00320743"/>
    <w:rPr>
      <w:sz w:val="20"/>
      <w:szCs w:val="20"/>
    </w:rPr>
  </w:style>
  <w:style w:type="paragraph" w:styleId="Asuntodelcomentario">
    <w:name w:val="annotation subject"/>
    <w:basedOn w:val="Textocomentario"/>
    <w:next w:val="Textocomentario"/>
    <w:link w:val="AsuntodelcomentarioCar"/>
    <w:uiPriority w:val="99"/>
    <w:unhideWhenUsed/>
    <w:rsid w:val="00320743"/>
    <w:rPr>
      <w:b/>
      <w:bCs/>
    </w:rPr>
  </w:style>
  <w:style w:type="character" w:customStyle="1" w:styleId="AsuntodelcomentarioCar">
    <w:name w:val="Asunto del comentario Car"/>
    <w:basedOn w:val="TextocomentarioCar"/>
    <w:link w:val="Asuntodelcomentario"/>
    <w:uiPriority w:val="99"/>
    <w:rsid w:val="00320743"/>
    <w:rPr>
      <w:b/>
      <w:bCs/>
      <w:sz w:val="20"/>
      <w:szCs w:val="20"/>
    </w:rPr>
  </w:style>
  <w:style w:type="paragraph" w:styleId="Textodeglobo">
    <w:name w:val="Balloon Text"/>
    <w:basedOn w:val="Normal"/>
    <w:link w:val="TextodegloboCar"/>
    <w:uiPriority w:val="99"/>
    <w:unhideWhenUsed/>
    <w:rsid w:val="003207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320743"/>
    <w:rPr>
      <w:rFonts w:ascii="Segoe UI" w:hAnsi="Segoe UI" w:cs="Segoe UI"/>
      <w:sz w:val="18"/>
      <w:szCs w:val="18"/>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unhideWhenUsed/>
    <w:qFormat/>
    <w:rsid w:val="001D2142"/>
    <w:pPr>
      <w:spacing w:after="0" w:line="240" w:lineRule="auto"/>
    </w:pPr>
    <w:rPr>
      <w:sz w:val="20"/>
      <w:szCs w:val="20"/>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uiPriority w:val="99"/>
    <w:rsid w:val="001D2142"/>
    <w:rPr>
      <w:sz w:val="20"/>
      <w:szCs w:val="20"/>
    </w:rPr>
  </w:style>
  <w:style w:type="character" w:styleId="Refdenotaalpie">
    <w:name w:val="footnote reference"/>
    <w:aliases w:val="fr,o,Style 6,Footnote Reference Superscript,Ref,de nota al pie,FC,Appel note de bas de p,referencia nota al pie,Footnote symbol,Texto de nota al pie,Footnotes refss,Appel note de bas de page,Style 12,(NECG) Footnote Reference"/>
    <w:basedOn w:val="Fuentedeprrafopredeter"/>
    <w:uiPriority w:val="99"/>
    <w:unhideWhenUsed/>
    <w:qFormat/>
    <w:rsid w:val="001D2142"/>
    <w:rPr>
      <w:vertAlign w:val="superscript"/>
    </w:rPr>
  </w:style>
  <w:style w:type="paragraph" w:customStyle="1" w:styleId="Indentado1">
    <w:name w:val="Indentado 1"/>
    <w:basedOn w:val="Normal"/>
    <w:link w:val="Indentado1Car"/>
    <w:uiPriority w:val="99"/>
    <w:qFormat/>
    <w:rsid w:val="002862BF"/>
    <w:pPr>
      <w:numPr>
        <w:numId w:val="10"/>
      </w:numPr>
      <w:spacing w:after="60" w:line="336" w:lineRule="auto"/>
      <w:ind w:left="357" w:hanging="357"/>
      <w:jc w:val="both"/>
    </w:pPr>
    <w:rPr>
      <w:rFonts w:ascii="Verdana" w:eastAsia="Times New Roman" w:hAnsi="Verdana" w:cs="Times New Roman"/>
      <w:sz w:val="20"/>
      <w:szCs w:val="24"/>
      <w:lang w:val="es-ES" w:eastAsia="es-ES"/>
    </w:rPr>
  </w:style>
  <w:style w:type="character" w:customStyle="1" w:styleId="Indentado1Car">
    <w:name w:val="Indentado 1 Car"/>
    <w:basedOn w:val="Fuentedeprrafopredeter"/>
    <w:link w:val="Indentado1"/>
    <w:rsid w:val="002862BF"/>
    <w:rPr>
      <w:rFonts w:ascii="Verdana" w:eastAsia="Times New Roman" w:hAnsi="Verdana" w:cs="Times New Roman"/>
      <w:sz w:val="20"/>
      <w:szCs w:val="24"/>
      <w:lang w:val="es-ES" w:eastAsia="es-ES"/>
    </w:rPr>
  </w:style>
  <w:style w:type="paragraph" w:customStyle="1" w:styleId="Indentado3">
    <w:name w:val="Indentado 3"/>
    <w:basedOn w:val="Texto"/>
    <w:link w:val="Indentado3Car"/>
    <w:qFormat/>
    <w:rsid w:val="00397D0A"/>
    <w:pPr>
      <w:numPr>
        <w:ilvl w:val="1"/>
        <w:numId w:val="9"/>
      </w:numPr>
      <w:spacing w:before="60" w:after="0" w:line="240" w:lineRule="auto"/>
      <w:ind w:left="1775" w:hanging="357"/>
    </w:pPr>
    <w:rPr>
      <w:rFonts w:ascii="ITC Avant Garde" w:hAnsi="ITC Avant Garde"/>
      <w:sz w:val="22"/>
      <w:szCs w:val="22"/>
    </w:rPr>
  </w:style>
  <w:style w:type="character" w:customStyle="1" w:styleId="Indentado3Car">
    <w:name w:val="Indentado 3 Car"/>
    <w:basedOn w:val="Fuentedeprrafopredeter"/>
    <w:link w:val="Indentado3"/>
    <w:rsid w:val="00397D0A"/>
    <w:rPr>
      <w:rFonts w:ascii="ITC Avant Garde" w:eastAsia="Times New Roman" w:hAnsi="ITC Avant Garde" w:cs="Arial"/>
      <w:lang w:val="es-ES" w:eastAsia="es-ES"/>
    </w:rPr>
  </w:style>
  <w:style w:type="paragraph" w:styleId="Cita">
    <w:name w:val="Quote"/>
    <w:basedOn w:val="Normal"/>
    <w:next w:val="Normal"/>
    <w:link w:val="CitaCar"/>
    <w:uiPriority w:val="29"/>
    <w:qFormat/>
    <w:rsid w:val="00625C0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25C09"/>
    <w:rPr>
      <w:i/>
      <w:iCs/>
      <w:color w:val="404040" w:themeColor="text1" w:themeTint="BF"/>
    </w:rPr>
  </w:style>
  <w:style w:type="paragraph" w:customStyle="1" w:styleId="Tableheading">
    <w:name w:val="Table: heading"/>
    <w:basedOn w:val="Normal"/>
    <w:uiPriority w:val="99"/>
    <w:rsid w:val="002C4D56"/>
    <w:pPr>
      <w:spacing w:before="60" w:after="60" w:line="240" w:lineRule="auto"/>
      <w:jc w:val="center"/>
    </w:pPr>
    <w:rPr>
      <w:rFonts w:ascii="Verdana" w:eastAsia="Times New Roman" w:hAnsi="Verdana" w:cs="Times New Roman"/>
      <w:b/>
      <w:color w:val="7B8A35"/>
      <w:sz w:val="20"/>
      <w:szCs w:val="24"/>
      <w:lang w:val="es-ES_tradnl" w:eastAsia="es-ES"/>
    </w:rPr>
  </w:style>
  <w:style w:type="paragraph" w:customStyle="1" w:styleId="Normalresolucion">
    <w:name w:val="Normal resolucion"/>
    <w:basedOn w:val="Texto"/>
    <w:link w:val="NormalresolucionChar"/>
    <w:qFormat/>
    <w:rsid w:val="00625A2E"/>
    <w:pPr>
      <w:spacing w:before="240" w:after="120" w:line="240" w:lineRule="auto"/>
      <w:ind w:firstLine="0"/>
    </w:pPr>
    <w:rPr>
      <w:rFonts w:ascii="ITC Avant Garde" w:hAnsi="ITC Avant Garde"/>
      <w:sz w:val="22"/>
      <w:szCs w:val="22"/>
    </w:rPr>
  </w:style>
  <w:style w:type="paragraph" w:customStyle="1" w:styleId="Indentadoresolucin">
    <w:name w:val="Indentado resolución"/>
    <w:basedOn w:val="Texto"/>
    <w:link w:val="IndentadoresolucinChar"/>
    <w:qFormat/>
    <w:rsid w:val="007304F5"/>
    <w:pPr>
      <w:numPr>
        <w:numId w:val="9"/>
      </w:numPr>
      <w:spacing w:before="60" w:after="0" w:line="240" w:lineRule="auto"/>
    </w:pPr>
    <w:rPr>
      <w:rFonts w:ascii="ITC Avant Garde" w:hAnsi="ITC Avant Garde"/>
      <w:sz w:val="22"/>
      <w:szCs w:val="22"/>
    </w:rPr>
  </w:style>
  <w:style w:type="character" w:customStyle="1" w:styleId="TextoChar">
    <w:name w:val="Texto Char"/>
    <w:basedOn w:val="Fuentedeprrafopredeter"/>
    <w:link w:val="Texto"/>
    <w:rsid w:val="00A95254"/>
    <w:rPr>
      <w:rFonts w:ascii="Arial" w:eastAsia="Times New Roman" w:hAnsi="Arial" w:cs="Arial"/>
      <w:sz w:val="18"/>
      <w:szCs w:val="20"/>
      <w:lang w:val="es-ES" w:eastAsia="es-ES"/>
    </w:rPr>
  </w:style>
  <w:style w:type="character" w:customStyle="1" w:styleId="NormalresolucionChar">
    <w:name w:val="Normal resolucion Char"/>
    <w:basedOn w:val="TextoChar"/>
    <w:link w:val="Normalresolucion"/>
    <w:rsid w:val="00625A2E"/>
    <w:rPr>
      <w:rFonts w:ascii="ITC Avant Garde" w:eastAsia="Times New Roman" w:hAnsi="ITC Avant Garde" w:cs="Arial"/>
      <w:sz w:val="18"/>
      <w:szCs w:val="20"/>
      <w:lang w:val="es-ES" w:eastAsia="es-ES"/>
    </w:rPr>
  </w:style>
  <w:style w:type="character" w:customStyle="1" w:styleId="IndentadoresolucinChar">
    <w:name w:val="Indentado resolución Char"/>
    <w:basedOn w:val="TextoChar"/>
    <w:link w:val="Indentadoresolucin"/>
    <w:rsid w:val="00866CFB"/>
    <w:rPr>
      <w:rFonts w:ascii="ITC Avant Garde" w:eastAsia="Times New Roman" w:hAnsi="ITC Avant Garde" w:cs="Arial"/>
      <w:sz w:val="18"/>
      <w:szCs w:val="20"/>
      <w:lang w:val="es-ES" w:eastAsia="es-ES"/>
    </w:rPr>
  </w:style>
  <w:style w:type="paragraph" w:customStyle="1" w:styleId="Tituloconsiderando">
    <w:name w:val="Titulo considerando"/>
    <w:basedOn w:val="Normal"/>
    <w:link w:val="TituloconsiderandoChar"/>
    <w:qFormat/>
    <w:rsid w:val="006B19E2"/>
    <w:pPr>
      <w:spacing w:before="600"/>
      <w:jc w:val="both"/>
    </w:pPr>
    <w:rPr>
      <w:rFonts w:ascii="ITC Avant Garde" w:hAnsi="ITC Avant Garde"/>
      <w:b/>
    </w:rPr>
  </w:style>
  <w:style w:type="table" w:styleId="Tablaconcuadrcula">
    <w:name w:val="Table Grid"/>
    <w:basedOn w:val="Tablanormal"/>
    <w:uiPriority w:val="39"/>
    <w:rsid w:val="0084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considerandoChar">
    <w:name w:val="Titulo considerando Char"/>
    <w:basedOn w:val="Fuentedeprrafopredeter"/>
    <w:link w:val="Tituloconsiderando"/>
    <w:rsid w:val="006B19E2"/>
    <w:rPr>
      <w:rFonts w:ascii="ITC Avant Garde" w:hAnsi="ITC Avant Garde"/>
      <w:b/>
    </w:rPr>
  </w:style>
  <w:style w:type="character" w:customStyle="1" w:styleId="FootnoteTextChar2">
    <w:name w:val="Footnote Text Char2"/>
    <w:aliases w:val="Footnote Text Char1 Char,Footnote Text Char Char1 Char,Footnote Text Char4 Char Char Char,Footnote Text Char1 Char1 Char1 Char Char,Footnote Text Char Char1 Char1 Char Char Char,Footnote Text Char1 Char1 Char1 Char Char Char1 Char"/>
    <w:basedOn w:val="Fuentedeprrafopredeter"/>
    <w:uiPriority w:val="99"/>
    <w:rsid w:val="00BB13F2"/>
    <w:rPr>
      <w:rFonts w:ascii="Times New Roman" w:eastAsia="Calibri" w:hAnsi="Times New Roman" w:cs="Times New Roman"/>
      <w:sz w:val="20"/>
      <w:szCs w:val="20"/>
      <w:lang w:val="es-ES_tradnl" w:eastAsia="es-MX"/>
    </w:rPr>
  </w:style>
  <w:style w:type="character" w:customStyle="1" w:styleId="PrrafodelistaCar">
    <w:name w:val="Párrafo de lista Car"/>
    <w:link w:val="Prrafodelista"/>
    <w:uiPriority w:val="34"/>
    <w:rsid w:val="00142D24"/>
  </w:style>
  <w:style w:type="character" w:customStyle="1" w:styleId="BulletPointsChar">
    <w:name w:val="Bullet Points Char"/>
    <w:basedOn w:val="Fuentedeprrafopredeter"/>
    <w:link w:val="BulletPoints"/>
    <w:locked/>
    <w:rsid w:val="00BE60D4"/>
    <w:rPr>
      <w:rFonts w:ascii="Verdana" w:hAnsi="Verdana"/>
      <w:szCs w:val="24"/>
      <w:lang w:val="en-GB"/>
    </w:rPr>
  </w:style>
  <w:style w:type="paragraph" w:customStyle="1" w:styleId="BulletPoints">
    <w:name w:val="Bullet Points"/>
    <w:basedOn w:val="Normal"/>
    <w:link w:val="BulletPointsChar"/>
    <w:qFormat/>
    <w:rsid w:val="00BE60D4"/>
    <w:pPr>
      <w:numPr>
        <w:numId w:val="26"/>
      </w:numPr>
      <w:spacing w:before="120" w:after="120" w:line="336" w:lineRule="auto"/>
      <w:jc w:val="both"/>
    </w:pPr>
    <w:rPr>
      <w:rFonts w:ascii="Verdana" w:hAnsi="Verdana"/>
      <w:szCs w:val="24"/>
      <w:lang w:val="en-GB"/>
    </w:rPr>
  </w:style>
  <w:style w:type="character" w:styleId="Nmerodepgina">
    <w:name w:val="page number"/>
    <w:basedOn w:val="Fuentedeprrafopredeter"/>
    <w:rsid w:val="000C0A19"/>
    <w:rPr>
      <w:rFonts w:ascii="Verdana" w:hAnsi="Verdana"/>
      <w:sz w:val="16"/>
    </w:rPr>
  </w:style>
  <w:style w:type="paragraph" w:styleId="Encabezado">
    <w:name w:val="header"/>
    <w:basedOn w:val="Normal"/>
    <w:link w:val="EncabezadoCar"/>
    <w:uiPriority w:val="99"/>
    <w:unhideWhenUsed/>
    <w:rsid w:val="00625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5A2E"/>
  </w:style>
  <w:style w:type="paragraph" w:styleId="Piedepgina">
    <w:name w:val="footer"/>
    <w:basedOn w:val="Normal"/>
    <w:link w:val="PiedepginaCar"/>
    <w:uiPriority w:val="99"/>
    <w:unhideWhenUsed/>
    <w:rsid w:val="00625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A2E"/>
  </w:style>
  <w:style w:type="character" w:customStyle="1" w:styleId="Ttulo1Car">
    <w:name w:val="Título 1 Car"/>
    <w:aliases w:val="1 Car,H1 Car,l1 Car,level 1 heading Car"/>
    <w:basedOn w:val="Fuentedeprrafopredeter"/>
    <w:link w:val="Ttulo1"/>
    <w:rsid w:val="006B04B7"/>
    <w:rPr>
      <w:rFonts w:ascii="ITC Avant Garde" w:hAnsi="ITC Avant Garde"/>
      <w:b/>
    </w:rPr>
  </w:style>
  <w:style w:type="character" w:customStyle="1" w:styleId="Ttulo2Car">
    <w:name w:val="Título 2 Car"/>
    <w:aliases w:val="KJL:1st Level Car,2 Car,l2 Car,level 2 heading Car"/>
    <w:basedOn w:val="Fuentedeprrafopredeter"/>
    <w:link w:val="Ttulo2"/>
    <w:rsid w:val="006B04B7"/>
    <w:rPr>
      <w:rFonts w:ascii="ITC Avant Garde" w:hAnsi="ITC Avant Garde"/>
      <w:b/>
    </w:rPr>
  </w:style>
  <w:style w:type="paragraph" w:styleId="Subttulo">
    <w:name w:val="Subtitle"/>
    <w:basedOn w:val="Normalresolucion"/>
    <w:next w:val="Normal"/>
    <w:link w:val="SubttuloCar"/>
    <w:uiPriority w:val="11"/>
    <w:qFormat/>
    <w:rsid w:val="004F46EA"/>
    <w:pPr>
      <w:numPr>
        <w:ilvl w:val="1"/>
        <w:numId w:val="28"/>
      </w:numPr>
    </w:pPr>
    <w:rPr>
      <w:b/>
      <w:bCs/>
    </w:rPr>
  </w:style>
  <w:style w:type="character" w:customStyle="1" w:styleId="SubttuloCar">
    <w:name w:val="Subtítulo Car"/>
    <w:basedOn w:val="Fuentedeprrafopredeter"/>
    <w:link w:val="Subttulo"/>
    <w:uiPriority w:val="11"/>
    <w:rsid w:val="004F46EA"/>
    <w:rPr>
      <w:rFonts w:ascii="ITC Avant Garde" w:eastAsia="Times New Roman" w:hAnsi="ITC Avant Garde" w:cs="Arial"/>
      <w:b/>
      <w:bCs/>
      <w:lang w:val="es-ES" w:eastAsia="es-ES"/>
    </w:rPr>
  </w:style>
  <w:style w:type="character" w:customStyle="1" w:styleId="Ttulo3Car">
    <w:name w:val="Título 3 Car"/>
    <w:basedOn w:val="Fuentedeprrafopredeter"/>
    <w:link w:val="Ttulo3"/>
    <w:rsid w:val="00B07B9E"/>
    <w:rPr>
      <w:rFonts w:ascii="ITC Avant Garde" w:eastAsia="Times New Roman" w:hAnsi="ITC Avant Garde" w:cs="Arial"/>
      <w:b/>
      <w:bCs/>
      <w:lang w:val="es-ES" w:eastAsia="es-ES"/>
    </w:rPr>
  </w:style>
  <w:style w:type="character" w:customStyle="1" w:styleId="Ttulo4Car">
    <w:name w:val="Título 4 Car"/>
    <w:basedOn w:val="Fuentedeprrafopredeter"/>
    <w:link w:val="Ttulo4"/>
    <w:rsid w:val="004F46EA"/>
    <w:rPr>
      <w:rFonts w:ascii="ITC Avant Garde" w:eastAsia="Times New Roman" w:hAnsi="ITC Avant Garde" w:cs="Arial"/>
      <w:b/>
      <w:bCs/>
      <w:lang w:val="es-ES" w:eastAsia="es-ES"/>
    </w:rPr>
  </w:style>
  <w:style w:type="character" w:customStyle="1" w:styleId="Ttulo5Car">
    <w:name w:val="Título 5 Car"/>
    <w:basedOn w:val="Fuentedeprrafopredeter"/>
    <w:link w:val="Ttulo5"/>
    <w:rsid w:val="00B07B9E"/>
    <w:rPr>
      <w:rFonts w:asciiTheme="majorHAnsi" w:eastAsiaTheme="majorEastAsia" w:hAnsiTheme="majorHAnsi" w:cstheme="majorBidi"/>
      <w:b/>
      <w:color w:val="2E74B5" w:themeColor="accent1" w:themeShade="BF"/>
      <w:sz w:val="20"/>
      <w:szCs w:val="24"/>
      <w:lang w:val="en-GB" w:eastAsia="es-ES"/>
    </w:rPr>
  </w:style>
  <w:style w:type="character" w:customStyle="1" w:styleId="Ttulo6Car">
    <w:name w:val="Título 6 Car"/>
    <w:basedOn w:val="Fuentedeprrafopredeter"/>
    <w:link w:val="Ttulo6"/>
    <w:rsid w:val="00B07B9E"/>
    <w:rPr>
      <w:rFonts w:asciiTheme="majorHAnsi" w:eastAsiaTheme="majorEastAsia" w:hAnsiTheme="majorHAnsi" w:cstheme="majorBidi"/>
      <w:i/>
      <w:iCs/>
      <w:color w:val="1F4D78" w:themeColor="accent1" w:themeShade="7F"/>
      <w:sz w:val="20"/>
      <w:szCs w:val="24"/>
      <w:lang w:val="es-ES" w:eastAsia="es-ES"/>
    </w:rPr>
  </w:style>
  <w:style w:type="character" w:customStyle="1" w:styleId="Ttulo7Car">
    <w:name w:val="Título 7 Car"/>
    <w:basedOn w:val="Fuentedeprrafopredeter"/>
    <w:link w:val="Ttulo7"/>
    <w:rsid w:val="00B07B9E"/>
    <w:rPr>
      <w:rFonts w:ascii="Verdana" w:eastAsia="Times New Roman" w:hAnsi="Verdana" w:cs="Arial"/>
      <w:bCs/>
      <w:iCs/>
      <w:color w:val="5B9BD5" w:themeColor="accent1"/>
      <w:sz w:val="40"/>
      <w:szCs w:val="28"/>
      <w:lang w:eastAsia="es-ES"/>
    </w:rPr>
  </w:style>
  <w:style w:type="character" w:styleId="Hipervnculo">
    <w:name w:val="Hyperlink"/>
    <w:basedOn w:val="Fuentedeprrafopredeter"/>
    <w:uiPriority w:val="99"/>
    <w:rsid w:val="00B07B9E"/>
    <w:rPr>
      <w:color w:val="B76172"/>
      <w:u w:val="single"/>
    </w:rPr>
  </w:style>
  <w:style w:type="paragraph" w:customStyle="1" w:styleId="Index">
    <w:name w:val="Index"/>
    <w:basedOn w:val="Normal"/>
    <w:link w:val="IndexCar"/>
    <w:rsid w:val="00B07B9E"/>
    <w:pPr>
      <w:pageBreakBefore/>
      <w:widowControl w:val="0"/>
      <w:spacing w:before="840" w:after="480" w:line="240" w:lineRule="auto"/>
      <w:jc w:val="both"/>
    </w:pPr>
    <w:rPr>
      <w:rFonts w:ascii="Verdana" w:eastAsia="Times New Roman" w:hAnsi="Verdana" w:cs="Times New Roman"/>
      <w:b/>
      <w:color w:val="B76172"/>
      <w:sz w:val="40"/>
      <w:szCs w:val="32"/>
      <w:lang w:val="en-GB" w:eastAsia="es-ES"/>
    </w:rPr>
  </w:style>
  <w:style w:type="paragraph" w:customStyle="1" w:styleId="Annex10">
    <w:name w:val="Annex1"/>
    <w:basedOn w:val="Ttulo1"/>
    <w:uiPriority w:val="99"/>
    <w:rsid w:val="00B07B9E"/>
    <w:pPr>
      <w:keepNext/>
      <w:pageBreakBefore/>
      <w:numPr>
        <w:numId w:val="31"/>
      </w:numPr>
      <w:spacing w:before="480" w:after="240" w:line="336" w:lineRule="auto"/>
      <w:jc w:val="both"/>
    </w:pPr>
    <w:rPr>
      <w:rFonts w:ascii="Verdana" w:eastAsia="Times New Roman" w:hAnsi="Verdana" w:cs="Arial"/>
      <w:bCs/>
      <w:iCs/>
      <w:color w:val="5B9BD5" w:themeColor="accent1"/>
      <w:sz w:val="40"/>
      <w:szCs w:val="28"/>
      <w:lang w:val="en-GB" w:eastAsia="es-ES"/>
    </w:rPr>
  </w:style>
  <w:style w:type="paragraph" w:styleId="TDC1">
    <w:name w:val="toc 1"/>
    <w:basedOn w:val="Normalresolucion"/>
    <w:next w:val="Normal"/>
    <w:autoRedefine/>
    <w:uiPriority w:val="39"/>
    <w:rsid w:val="00C0528E"/>
    <w:pPr>
      <w:tabs>
        <w:tab w:val="left" w:pos="660"/>
        <w:tab w:val="right" w:leader="dot" w:pos="8505"/>
      </w:tabs>
      <w:spacing w:line="336" w:lineRule="auto"/>
      <w:ind w:right="425"/>
    </w:pPr>
    <w:rPr>
      <w:rFonts w:cs="Times New Roman"/>
      <w:szCs w:val="24"/>
      <w:lang w:val="en-GB"/>
    </w:rPr>
  </w:style>
  <w:style w:type="paragraph" w:styleId="TDC2">
    <w:name w:val="toc 2"/>
    <w:basedOn w:val="Normal"/>
    <w:next w:val="Normal"/>
    <w:autoRedefine/>
    <w:uiPriority w:val="39"/>
    <w:rsid w:val="00C0528E"/>
    <w:pPr>
      <w:tabs>
        <w:tab w:val="right" w:leader="dot" w:pos="8505"/>
      </w:tabs>
      <w:spacing w:before="120" w:after="60" w:line="336" w:lineRule="auto"/>
      <w:ind w:right="425"/>
      <w:jc w:val="both"/>
    </w:pPr>
    <w:rPr>
      <w:rFonts w:ascii="ITC Avant Garde" w:eastAsia="Times New Roman" w:hAnsi="ITC Avant Garde" w:cs="Times New Roman"/>
      <w:szCs w:val="24"/>
      <w:lang w:val="en-GB" w:eastAsia="es-ES"/>
    </w:rPr>
  </w:style>
  <w:style w:type="paragraph" w:styleId="TDC3">
    <w:name w:val="toc 3"/>
    <w:basedOn w:val="Normal"/>
    <w:next w:val="Normal"/>
    <w:autoRedefine/>
    <w:uiPriority w:val="39"/>
    <w:rsid w:val="00C0528E"/>
    <w:pPr>
      <w:tabs>
        <w:tab w:val="right" w:leader="dot" w:pos="8505"/>
      </w:tabs>
      <w:spacing w:after="0" w:line="336" w:lineRule="auto"/>
      <w:ind w:right="425"/>
      <w:jc w:val="both"/>
    </w:pPr>
    <w:rPr>
      <w:rFonts w:ascii="ITC Avant Garde" w:eastAsia="Times New Roman" w:hAnsi="ITC Avant Garde" w:cs="Times New Roman"/>
      <w:szCs w:val="24"/>
      <w:lang w:val="en-GB" w:eastAsia="es-ES"/>
    </w:rPr>
  </w:style>
  <w:style w:type="paragraph" w:styleId="Descripcin">
    <w:name w:val="caption"/>
    <w:basedOn w:val="Normal"/>
    <w:next w:val="Normal"/>
    <w:link w:val="DescripcinCar"/>
    <w:qFormat/>
    <w:rsid w:val="00B07B9E"/>
    <w:pPr>
      <w:spacing w:before="60" w:after="360" w:line="336" w:lineRule="auto"/>
      <w:jc w:val="center"/>
    </w:pPr>
    <w:rPr>
      <w:rFonts w:ascii="Verdana" w:eastAsia="Times New Roman" w:hAnsi="Verdana" w:cs="Times New Roman"/>
      <w:b/>
      <w:bCs/>
      <w:sz w:val="16"/>
      <w:szCs w:val="20"/>
      <w:lang w:val="en-GB" w:eastAsia="es-ES"/>
    </w:rPr>
  </w:style>
  <w:style w:type="paragraph" w:customStyle="1" w:styleId="Glossary">
    <w:name w:val="Glossary"/>
    <w:basedOn w:val="Normal"/>
    <w:uiPriority w:val="99"/>
    <w:rsid w:val="00B07B9E"/>
    <w:pPr>
      <w:spacing w:before="60" w:after="60" w:line="336" w:lineRule="auto"/>
      <w:jc w:val="both"/>
    </w:pPr>
    <w:rPr>
      <w:rFonts w:ascii="Verdana" w:eastAsia="Times New Roman" w:hAnsi="Verdana" w:cs="Times New Roman"/>
      <w:sz w:val="20"/>
      <w:szCs w:val="24"/>
      <w:lang w:val="en-GB" w:eastAsia="es-ES"/>
    </w:rPr>
  </w:style>
  <w:style w:type="paragraph" w:styleId="Tabladeilustraciones">
    <w:name w:val="table of figures"/>
    <w:basedOn w:val="Normal"/>
    <w:next w:val="Normal"/>
    <w:link w:val="TabladeilustracionesCar"/>
    <w:uiPriority w:val="99"/>
    <w:rsid w:val="00B07B9E"/>
    <w:pPr>
      <w:spacing w:after="0" w:line="336" w:lineRule="auto"/>
      <w:jc w:val="both"/>
    </w:pPr>
    <w:rPr>
      <w:rFonts w:ascii="Verdana" w:eastAsia="Times New Roman" w:hAnsi="Verdana" w:cs="Times New Roman"/>
      <w:sz w:val="20"/>
      <w:szCs w:val="24"/>
      <w:lang w:val="en-GB" w:eastAsia="es-ES"/>
    </w:rPr>
  </w:style>
  <w:style w:type="character" w:customStyle="1" w:styleId="DescripcinCar">
    <w:name w:val="Descripción Car"/>
    <w:basedOn w:val="Fuentedeprrafopredeter"/>
    <w:link w:val="Descripcin"/>
    <w:rsid w:val="00B07B9E"/>
    <w:rPr>
      <w:rFonts w:ascii="Verdana" w:eastAsia="Times New Roman" w:hAnsi="Verdana" w:cs="Times New Roman"/>
      <w:b/>
      <w:bCs/>
      <w:sz w:val="16"/>
      <w:szCs w:val="20"/>
      <w:lang w:val="en-GB" w:eastAsia="es-ES"/>
    </w:rPr>
  </w:style>
  <w:style w:type="paragraph" w:customStyle="1" w:styleId="Tablelinename">
    <w:name w:val="Table: line name"/>
    <w:basedOn w:val="Tableheading"/>
    <w:uiPriority w:val="99"/>
    <w:rsid w:val="00B07B9E"/>
    <w:pPr>
      <w:ind w:left="227"/>
      <w:jc w:val="left"/>
    </w:pPr>
    <w:rPr>
      <w:b w:val="0"/>
      <w:sz w:val="16"/>
      <w:lang w:val="en-GB"/>
    </w:rPr>
  </w:style>
  <w:style w:type="character" w:customStyle="1" w:styleId="FooterChar1">
    <w:name w:val="Footer Char1"/>
    <w:basedOn w:val="Fuentedeprrafopredeter"/>
    <w:uiPriority w:val="99"/>
    <w:rsid w:val="00B07B9E"/>
    <w:rPr>
      <w:rFonts w:ascii="Verdana" w:hAnsi="Verdana"/>
      <w:sz w:val="16"/>
      <w:szCs w:val="24"/>
      <w:lang w:val="es-ES" w:eastAsia="es-ES" w:bidi="ar-SA"/>
    </w:rPr>
  </w:style>
  <w:style w:type="paragraph" w:customStyle="1" w:styleId="Exhibitpaste">
    <w:name w:val="Exhibit paste"/>
    <w:basedOn w:val="Normal"/>
    <w:next w:val="Normal"/>
    <w:uiPriority w:val="99"/>
    <w:rsid w:val="00B07B9E"/>
    <w:pPr>
      <w:keepNext/>
      <w:spacing w:before="240" w:after="0" w:line="336" w:lineRule="auto"/>
      <w:jc w:val="both"/>
    </w:pPr>
    <w:rPr>
      <w:rFonts w:ascii="Verdana" w:eastAsia="Times New Roman" w:hAnsi="Verdana" w:cs="Times New Roman"/>
      <w:sz w:val="20"/>
      <w:szCs w:val="24"/>
      <w:lang w:val="en-GB" w:eastAsia="es-ES"/>
    </w:rPr>
  </w:style>
  <w:style w:type="paragraph" w:customStyle="1" w:styleId="Tabledata">
    <w:name w:val="Table: data"/>
    <w:basedOn w:val="Tablelinename"/>
    <w:uiPriority w:val="99"/>
    <w:rsid w:val="00B07B9E"/>
    <w:pPr>
      <w:ind w:left="0" w:right="284"/>
      <w:jc w:val="right"/>
    </w:pPr>
    <w:rPr>
      <w:color w:val="auto"/>
    </w:rPr>
  </w:style>
  <w:style w:type="paragraph" w:customStyle="1" w:styleId="Tablelabeltotal">
    <w:name w:val="Table label: total"/>
    <w:basedOn w:val="Tablelinename"/>
    <w:uiPriority w:val="99"/>
    <w:rsid w:val="00B07B9E"/>
    <w:pPr>
      <w:jc w:val="right"/>
    </w:pPr>
    <w:rPr>
      <w:b/>
      <w:szCs w:val="16"/>
    </w:rPr>
  </w:style>
  <w:style w:type="paragraph" w:customStyle="1" w:styleId="Tabletotaldata">
    <w:name w:val="Table: total data"/>
    <w:basedOn w:val="Tabledata"/>
    <w:uiPriority w:val="99"/>
    <w:rsid w:val="00B07B9E"/>
    <w:rPr>
      <w:b/>
    </w:rPr>
  </w:style>
  <w:style w:type="paragraph" w:customStyle="1" w:styleId="Highlight">
    <w:name w:val="Highlight"/>
    <w:basedOn w:val="Normal"/>
    <w:link w:val="HighlightCar"/>
    <w:uiPriority w:val="99"/>
    <w:rsid w:val="00B07B9E"/>
    <w:pPr>
      <w:numPr>
        <w:numId w:val="35"/>
      </w:numPr>
      <w:pBdr>
        <w:top w:val="thickThinLargeGap" w:sz="24" w:space="1" w:color="C4D188"/>
        <w:bottom w:val="thickThinLargeGap" w:sz="24" w:space="1" w:color="C4D188"/>
      </w:pBdr>
      <w:shd w:val="clear" w:color="auto" w:fill="FFFFFF"/>
      <w:spacing w:before="240" w:after="240" w:line="336" w:lineRule="auto"/>
      <w:ind w:right="567"/>
      <w:jc w:val="both"/>
    </w:pPr>
    <w:rPr>
      <w:rFonts w:ascii="Verdana" w:eastAsia="Times New Roman" w:hAnsi="Verdana" w:cs="Times New Roman"/>
      <w:sz w:val="20"/>
      <w:szCs w:val="20"/>
      <w:lang w:val="en-GB" w:eastAsia="es-ES"/>
    </w:rPr>
  </w:style>
  <w:style w:type="paragraph" w:customStyle="1" w:styleId="EstiloHighlightNegrita">
    <w:name w:val="Estilo Highlight + Negrita"/>
    <w:basedOn w:val="Highlight"/>
    <w:link w:val="EstiloHighlightNegritaCar"/>
    <w:uiPriority w:val="99"/>
    <w:rsid w:val="00B07B9E"/>
    <w:rPr>
      <w:b/>
      <w:bCs/>
    </w:rPr>
  </w:style>
  <w:style w:type="paragraph" w:customStyle="1" w:styleId="Box">
    <w:name w:val="Box"/>
    <w:basedOn w:val="Normal"/>
    <w:next w:val="Boxtext"/>
    <w:link w:val="BoxCar"/>
    <w:rsid w:val="00B07B9E"/>
    <w:pPr>
      <w:pBdr>
        <w:top w:val="double" w:sz="4" w:space="1" w:color="auto"/>
        <w:left w:val="double" w:sz="4" w:space="4" w:color="auto"/>
        <w:right w:val="double" w:sz="4" w:space="4" w:color="auto"/>
      </w:pBdr>
      <w:spacing w:before="240" w:after="240" w:line="336" w:lineRule="auto"/>
      <w:ind w:right="142"/>
      <w:jc w:val="both"/>
    </w:pPr>
    <w:rPr>
      <w:rFonts w:ascii="Verdana" w:eastAsia="Times New Roman" w:hAnsi="Verdana" w:cs="Times New Roman"/>
      <w:b/>
      <w:sz w:val="16"/>
      <w:szCs w:val="24"/>
      <w:lang w:val="en-GB" w:eastAsia="es-ES"/>
    </w:rPr>
  </w:style>
  <w:style w:type="paragraph" w:customStyle="1" w:styleId="Boxtext">
    <w:name w:val="Box:text"/>
    <w:basedOn w:val="Box"/>
    <w:next w:val="Normal"/>
    <w:uiPriority w:val="99"/>
    <w:rsid w:val="00B07B9E"/>
    <w:pPr>
      <w:pBdr>
        <w:top w:val="none" w:sz="0" w:space="0" w:color="auto"/>
        <w:bottom w:val="double" w:sz="4" w:space="1" w:color="auto"/>
      </w:pBdr>
      <w:ind w:left="142"/>
    </w:pPr>
    <w:rPr>
      <w:b w:val="0"/>
    </w:rPr>
  </w:style>
  <w:style w:type="paragraph" w:customStyle="1" w:styleId="I1">
    <w:name w:val="I1"/>
    <w:basedOn w:val="Normal"/>
    <w:link w:val="I1Car"/>
    <w:uiPriority w:val="99"/>
    <w:rsid w:val="00B07B9E"/>
    <w:pPr>
      <w:numPr>
        <w:numId w:val="36"/>
      </w:numPr>
      <w:spacing w:after="0" w:line="336" w:lineRule="auto"/>
      <w:jc w:val="both"/>
    </w:pPr>
    <w:rPr>
      <w:rFonts w:ascii="Verdana" w:eastAsia="Times New Roman" w:hAnsi="Verdana" w:cs="Times New Roman"/>
      <w:sz w:val="20"/>
      <w:szCs w:val="24"/>
      <w:lang w:val="en-GB" w:eastAsia="es-ES"/>
    </w:rPr>
  </w:style>
  <w:style w:type="paragraph" w:customStyle="1" w:styleId="I2">
    <w:name w:val="I2"/>
    <w:basedOn w:val="Normal"/>
    <w:uiPriority w:val="99"/>
    <w:rsid w:val="00B07B9E"/>
    <w:pPr>
      <w:numPr>
        <w:numId w:val="33"/>
      </w:numPr>
      <w:spacing w:before="240" w:after="240" w:line="336" w:lineRule="auto"/>
      <w:jc w:val="both"/>
    </w:pPr>
    <w:rPr>
      <w:rFonts w:ascii="Verdana" w:eastAsia="Times New Roman" w:hAnsi="Verdana" w:cs="Times New Roman"/>
      <w:sz w:val="20"/>
      <w:szCs w:val="24"/>
      <w:lang w:val="en-GB" w:eastAsia="es-ES"/>
    </w:rPr>
  </w:style>
  <w:style w:type="character" w:styleId="Referenciasutil">
    <w:name w:val="Subtle Reference"/>
    <w:basedOn w:val="Fuentedeprrafopredeter"/>
    <w:uiPriority w:val="31"/>
    <w:qFormat/>
    <w:rsid w:val="00B07B9E"/>
    <w:rPr>
      <w:smallCaps/>
      <w:color w:val="5B9BD5" w:themeColor="accent1"/>
      <w:u w:val="single"/>
    </w:rPr>
  </w:style>
  <w:style w:type="character" w:styleId="Referenciaintensa">
    <w:name w:val="Intense Reference"/>
    <w:basedOn w:val="Fuentedeprrafopredeter"/>
    <w:uiPriority w:val="32"/>
    <w:qFormat/>
    <w:rsid w:val="00B07B9E"/>
    <w:rPr>
      <w:b/>
      <w:bCs/>
      <w:smallCaps/>
      <w:color w:val="5B9BD5" w:themeColor="accent1"/>
      <w:spacing w:val="5"/>
      <w:u w:val="single"/>
    </w:rPr>
  </w:style>
  <w:style w:type="paragraph" w:customStyle="1" w:styleId="Encbezado">
    <w:name w:val="Encbezado"/>
    <w:basedOn w:val="Normal"/>
    <w:link w:val="EncbezadoCar"/>
    <w:qFormat/>
    <w:rsid w:val="00B07B9E"/>
    <w:pPr>
      <w:spacing w:before="240" w:after="240" w:line="336" w:lineRule="auto"/>
      <w:jc w:val="both"/>
    </w:pPr>
    <w:rPr>
      <w:rFonts w:ascii="Verdana" w:eastAsia="Times New Roman" w:hAnsi="Verdana" w:cs="Times New Roman"/>
      <w:color w:val="5B9BD5" w:themeColor="accent1"/>
      <w:sz w:val="20"/>
      <w:szCs w:val="24"/>
      <w:lang w:val="es-ES" w:eastAsia="es-ES"/>
    </w:rPr>
  </w:style>
  <w:style w:type="paragraph" w:customStyle="1" w:styleId="Ttulodeldocumento">
    <w:name w:val="Título del documento"/>
    <w:basedOn w:val="Normal"/>
    <w:link w:val="TtulodeldocumentoCar"/>
    <w:qFormat/>
    <w:rsid w:val="00B07B9E"/>
    <w:pPr>
      <w:spacing w:before="240" w:after="0" w:line="240" w:lineRule="auto"/>
      <w:jc w:val="right"/>
    </w:pPr>
    <w:rPr>
      <w:rFonts w:ascii="Verdana" w:eastAsia="Times New Roman" w:hAnsi="Verdana" w:cs="Times New Roman"/>
      <w:b/>
      <w:sz w:val="40"/>
      <w:szCs w:val="40"/>
      <w:lang w:val="es-ES" w:eastAsia="es-ES"/>
    </w:rPr>
  </w:style>
  <w:style w:type="character" w:customStyle="1" w:styleId="EncbezadoCar">
    <w:name w:val="Encbezado Car"/>
    <w:basedOn w:val="Fuentedeprrafopredeter"/>
    <w:link w:val="Encbezado"/>
    <w:rsid w:val="00B07B9E"/>
    <w:rPr>
      <w:rFonts w:ascii="Verdana" w:eastAsia="Times New Roman" w:hAnsi="Verdana" w:cs="Times New Roman"/>
      <w:color w:val="5B9BD5" w:themeColor="accent1"/>
      <w:sz w:val="20"/>
      <w:szCs w:val="24"/>
      <w:lang w:val="es-ES" w:eastAsia="es-ES"/>
    </w:rPr>
  </w:style>
  <w:style w:type="paragraph" w:customStyle="1" w:styleId="Subttulodeldocumento">
    <w:name w:val="Subtítulo del documento"/>
    <w:basedOn w:val="Normal"/>
    <w:link w:val="SubttulodeldocumentoCar"/>
    <w:qFormat/>
    <w:rsid w:val="00B07B9E"/>
    <w:pPr>
      <w:spacing w:before="240" w:after="0" w:line="240" w:lineRule="auto"/>
      <w:jc w:val="right"/>
    </w:pPr>
    <w:rPr>
      <w:rFonts w:ascii="Verdana" w:eastAsia="Times New Roman" w:hAnsi="Verdana" w:cs="Times New Roman"/>
      <w:i/>
      <w:color w:val="ED7D31" w:themeColor="accent2"/>
      <w:sz w:val="36"/>
      <w:szCs w:val="36"/>
      <w:lang w:val="es-ES" w:eastAsia="es-ES"/>
    </w:rPr>
  </w:style>
  <w:style w:type="character" w:customStyle="1" w:styleId="TtulodeldocumentoCar">
    <w:name w:val="Título del documento Car"/>
    <w:basedOn w:val="Fuentedeprrafopredeter"/>
    <w:link w:val="Ttulodeldocumento"/>
    <w:rsid w:val="00B07B9E"/>
    <w:rPr>
      <w:rFonts w:ascii="Verdana" w:eastAsia="Times New Roman" w:hAnsi="Verdana" w:cs="Times New Roman"/>
      <w:b/>
      <w:sz w:val="40"/>
      <w:szCs w:val="40"/>
      <w:lang w:val="es-ES" w:eastAsia="es-ES"/>
    </w:rPr>
  </w:style>
  <w:style w:type="paragraph" w:customStyle="1" w:styleId="FechadePresentacin">
    <w:name w:val="Fecha de Presentación"/>
    <w:basedOn w:val="Normal"/>
    <w:link w:val="FechadePresentacinCar"/>
    <w:qFormat/>
    <w:rsid w:val="00B07B9E"/>
    <w:pPr>
      <w:spacing w:before="240" w:after="0" w:line="240" w:lineRule="auto"/>
      <w:jc w:val="right"/>
    </w:pPr>
    <w:rPr>
      <w:rFonts w:ascii="Verdana" w:eastAsia="Times New Roman" w:hAnsi="Verdana" w:cs="Times New Roman"/>
      <w:color w:val="70AD47" w:themeColor="accent6"/>
      <w:sz w:val="20"/>
      <w:szCs w:val="24"/>
      <w:lang w:val="es-ES" w:eastAsia="es-ES"/>
    </w:rPr>
  </w:style>
  <w:style w:type="character" w:customStyle="1" w:styleId="SubttulodeldocumentoCar">
    <w:name w:val="Subtítulo del documento Car"/>
    <w:basedOn w:val="Fuentedeprrafopredeter"/>
    <w:link w:val="Subttulodeldocumento"/>
    <w:rsid w:val="00B07B9E"/>
    <w:rPr>
      <w:rFonts w:ascii="Verdana" w:eastAsia="Times New Roman" w:hAnsi="Verdana" w:cs="Times New Roman"/>
      <w:i/>
      <w:color w:val="ED7D31" w:themeColor="accent2"/>
      <w:sz w:val="36"/>
      <w:szCs w:val="36"/>
      <w:lang w:val="es-ES" w:eastAsia="es-ES"/>
    </w:rPr>
  </w:style>
  <w:style w:type="paragraph" w:customStyle="1" w:styleId="Figures">
    <w:name w:val="Figures"/>
    <w:basedOn w:val="Tabladeilustraciones"/>
    <w:link w:val="FiguresCar"/>
    <w:qFormat/>
    <w:rsid w:val="00B07B9E"/>
    <w:pPr>
      <w:tabs>
        <w:tab w:val="right" w:leader="dot" w:pos="8495"/>
      </w:tabs>
    </w:pPr>
    <w:rPr>
      <w:lang w:val="es-ES"/>
    </w:rPr>
  </w:style>
  <w:style w:type="character" w:customStyle="1" w:styleId="FechadePresentacinCar">
    <w:name w:val="Fecha de Presentación Car"/>
    <w:basedOn w:val="Fuentedeprrafopredeter"/>
    <w:link w:val="FechadePresentacin"/>
    <w:rsid w:val="00B07B9E"/>
    <w:rPr>
      <w:rFonts w:ascii="Verdana" w:eastAsia="Times New Roman" w:hAnsi="Verdana" w:cs="Times New Roman"/>
      <w:color w:val="70AD47" w:themeColor="accent6"/>
      <w:sz w:val="20"/>
      <w:szCs w:val="24"/>
      <w:lang w:val="es-ES" w:eastAsia="es-ES"/>
    </w:rPr>
  </w:style>
  <w:style w:type="paragraph" w:customStyle="1" w:styleId="TtulodelDocAnexos">
    <w:name w:val="Título del Doc_Anexos"/>
    <w:basedOn w:val="Ttulodeldocumento"/>
    <w:link w:val="TtulodelDocAnexosCar"/>
    <w:qFormat/>
    <w:rsid w:val="00B07B9E"/>
    <w:rPr>
      <w:b w:val="0"/>
      <w:color w:val="5B9BD5" w:themeColor="accent1"/>
    </w:rPr>
  </w:style>
  <w:style w:type="character" w:customStyle="1" w:styleId="TabladeilustracionesCar">
    <w:name w:val="Tabla de ilustraciones Car"/>
    <w:basedOn w:val="Fuentedeprrafopredeter"/>
    <w:link w:val="Tabladeilustraciones"/>
    <w:uiPriority w:val="99"/>
    <w:rsid w:val="00B07B9E"/>
    <w:rPr>
      <w:rFonts w:ascii="Verdana" w:eastAsia="Times New Roman" w:hAnsi="Verdana" w:cs="Times New Roman"/>
      <w:sz w:val="20"/>
      <w:szCs w:val="24"/>
      <w:lang w:val="en-GB" w:eastAsia="es-ES"/>
    </w:rPr>
  </w:style>
  <w:style w:type="character" w:customStyle="1" w:styleId="FiguresCar">
    <w:name w:val="Figures Car"/>
    <w:basedOn w:val="TabladeilustracionesCar"/>
    <w:link w:val="Figures"/>
    <w:rsid w:val="00B07B9E"/>
    <w:rPr>
      <w:rFonts w:ascii="Verdana" w:eastAsia="Times New Roman" w:hAnsi="Verdana" w:cs="Times New Roman"/>
      <w:sz w:val="20"/>
      <w:szCs w:val="24"/>
      <w:lang w:val="es-ES" w:eastAsia="es-ES"/>
    </w:rPr>
  </w:style>
  <w:style w:type="paragraph" w:customStyle="1" w:styleId="SubttulodelDocAnexos">
    <w:name w:val="Subtítulo del Doc_Anexos"/>
    <w:basedOn w:val="Subttulodeldocumento"/>
    <w:link w:val="SubttulodelDocAnexosCar"/>
    <w:qFormat/>
    <w:rsid w:val="00B07B9E"/>
    <w:rPr>
      <w:b/>
    </w:rPr>
  </w:style>
  <w:style w:type="character" w:customStyle="1" w:styleId="TtulodelDocAnexosCar">
    <w:name w:val="Título del Doc_Anexos Car"/>
    <w:basedOn w:val="TtulodeldocumentoCar"/>
    <w:link w:val="TtulodelDocAnexos"/>
    <w:rsid w:val="00B07B9E"/>
    <w:rPr>
      <w:rFonts w:ascii="Verdana" w:eastAsia="Times New Roman" w:hAnsi="Verdana" w:cs="Times New Roman"/>
      <w:b w:val="0"/>
      <w:color w:val="5B9BD5" w:themeColor="accent1"/>
      <w:sz w:val="40"/>
      <w:szCs w:val="40"/>
      <w:lang w:val="es-ES" w:eastAsia="es-ES"/>
    </w:rPr>
  </w:style>
  <w:style w:type="character" w:customStyle="1" w:styleId="SubttulodelDocAnexosCar">
    <w:name w:val="Subtítulo del Doc_Anexos Car"/>
    <w:basedOn w:val="SubttulodeldocumentoCar"/>
    <w:link w:val="SubttulodelDocAnexos"/>
    <w:rsid w:val="00B07B9E"/>
    <w:rPr>
      <w:rFonts w:ascii="Verdana" w:eastAsia="Times New Roman" w:hAnsi="Verdana" w:cs="Times New Roman"/>
      <w:b/>
      <w:i/>
      <w:color w:val="ED7D31" w:themeColor="accent2"/>
      <w:sz w:val="36"/>
      <w:szCs w:val="36"/>
      <w:lang w:val="es-ES" w:eastAsia="es-ES"/>
    </w:rPr>
  </w:style>
  <w:style w:type="paragraph" w:customStyle="1" w:styleId="Indentado2">
    <w:name w:val="Indentado 2"/>
    <w:basedOn w:val="I1"/>
    <w:link w:val="Indentado1Car0"/>
    <w:uiPriority w:val="99"/>
    <w:qFormat/>
    <w:rsid w:val="00B07B9E"/>
    <w:pPr>
      <w:numPr>
        <w:numId w:val="37"/>
      </w:numPr>
    </w:pPr>
  </w:style>
  <w:style w:type="character" w:customStyle="1" w:styleId="I1Car">
    <w:name w:val="I1 Car"/>
    <w:basedOn w:val="Fuentedeprrafopredeter"/>
    <w:link w:val="I1"/>
    <w:uiPriority w:val="99"/>
    <w:rsid w:val="00B07B9E"/>
    <w:rPr>
      <w:rFonts w:ascii="Verdana" w:eastAsia="Times New Roman" w:hAnsi="Verdana" w:cs="Times New Roman"/>
      <w:sz w:val="20"/>
      <w:szCs w:val="24"/>
      <w:lang w:val="en-GB" w:eastAsia="es-ES"/>
    </w:rPr>
  </w:style>
  <w:style w:type="character" w:customStyle="1" w:styleId="Indentado1Car0">
    <w:name w:val="Indentado_1 Car"/>
    <w:basedOn w:val="I1Car"/>
    <w:link w:val="Indentado2"/>
    <w:uiPriority w:val="99"/>
    <w:rsid w:val="00B07B9E"/>
    <w:rPr>
      <w:rFonts w:ascii="Verdana" w:eastAsia="Times New Roman" w:hAnsi="Verdana" w:cs="Times New Roman"/>
      <w:sz w:val="20"/>
      <w:szCs w:val="24"/>
      <w:lang w:val="en-GB" w:eastAsia="es-ES"/>
    </w:rPr>
  </w:style>
  <w:style w:type="paragraph" w:customStyle="1" w:styleId="Indentado4">
    <w:name w:val="Indentado 4"/>
    <w:basedOn w:val="Indentado3"/>
    <w:link w:val="Indentado4Car"/>
    <w:uiPriority w:val="99"/>
    <w:qFormat/>
    <w:rsid w:val="00B07B9E"/>
    <w:pPr>
      <w:numPr>
        <w:ilvl w:val="0"/>
        <w:numId w:val="38"/>
      </w:numPr>
      <w:spacing w:before="0" w:line="336" w:lineRule="auto"/>
      <w:ind w:left="2977"/>
    </w:pPr>
    <w:rPr>
      <w:rFonts w:ascii="Verdana" w:hAnsi="Verdana" w:cs="Times New Roman"/>
      <w:sz w:val="20"/>
      <w:szCs w:val="24"/>
      <w:lang w:val="en-GB"/>
    </w:rPr>
  </w:style>
  <w:style w:type="paragraph" w:customStyle="1" w:styleId="Highlights">
    <w:name w:val="Highlights"/>
    <w:basedOn w:val="EstiloHighlightNegrita"/>
    <w:link w:val="HighlightsCar"/>
    <w:qFormat/>
    <w:rsid w:val="00B07B9E"/>
    <w:pPr>
      <w:numPr>
        <w:numId w:val="0"/>
      </w:numPr>
      <w:pBdr>
        <w:top w:val="thickThinLargeGap" w:sz="24" w:space="1" w:color="4472C4" w:themeColor="accent5"/>
        <w:bottom w:val="thickThinLargeGap" w:sz="24" w:space="1" w:color="4472C4" w:themeColor="accent5"/>
      </w:pBdr>
      <w:ind w:left="602"/>
    </w:pPr>
    <w:rPr>
      <w:color w:val="BF8F00" w:themeColor="accent4" w:themeShade="BF"/>
    </w:rPr>
  </w:style>
  <w:style w:type="character" w:customStyle="1" w:styleId="Indentado4Car">
    <w:name w:val="Indentado 4 Car"/>
    <w:basedOn w:val="Indentado3Car"/>
    <w:link w:val="Indentado4"/>
    <w:uiPriority w:val="99"/>
    <w:rsid w:val="00B07B9E"/>
    <w:rPr>
      <w:rFonts w:ascii="Verdana" w:eastAsia="Times New Roman" w:hAnsi="Verdana" w:cs="Times New Roman"/>
      <w:sz w:val="20"/>
      <w:szCs w:val="24"/>
      <w:lang w:val="en-GB" w:eastAsia="es-ES"/>
    </w:rPr>
  </w:style>
  <w:style w:type="paragraph" w:customStyle="1" w:styleId="ContentsFiguresGlossary">
    <w:name w:val="Contents_Figures_ Glossary"/>
    <w:basedOn w:val="Index"/>
    <w:link w:val="ContentsFiguresGlossaryCar"/>
    <w:qFormat/>
    <w:rsid w:val="00B07B9E"/>
    <w:rPr>
      <w:color w:val="5B9BD5" w:themeColor="accent1"/>
    </w:rPr>
  </w:style>
  <w:style w:type="character" w:customStyle="1" w:styleId="HighlightCar">
    <w:name w:val="Highlight Car"/>
    <w:basedOn w:val="Fuentedeprrafopredeter"/>
    <w:link w:val="Highlight"/>
    <w:uiPriority w:val="99"/>
    <w:rsid w:val="00B07B9E"/>
    <w:rPr>
      <w:rFonts w:ascii="Verdana" w:eastAsia="Times New Roman" w:hAnsi="Verdana" w:cs="Times New Roman"/>
      <w:sz w:val="20"/>
      <w:szCs w:val="20"/>
      <w:shd w:val="clear" w:color="auto" w:fill="FFFFFF"/>
      <w:lang w:val="en-GB" w:eastAsia="es-ES"/>
    </w:rPr>
  </w:style>
  <w:style w:type="character" w:customStyle="1" w:styleId="EstiloHighlightNegritaCar">
    <w:name w:val="Estilo Highlight + Negrita Car"/>
    <w:basedOn w:val="HighlightCar"/>
    <w:link w:val="EstiloHighlightNegrita"/>
    <w:uiPriority w:val="99"/>
    <w:rsid w:val="00B07B9E"/>
    <w:rPr>
      <w:rFonts w:ascii="Verdana" w:eastAsia="Times New Roman" w:hAnsi="Verdana" w:cs="Times New Roman"/>
      <w:b/>
      <w:bCs/>
      <w:sz w:val="20"/>
      <w:szCs w:val="20"/>
      <w:shd w:val="clear" w:color="auto" w:fill="FFFFFF"/>
      <w:lang w:val="en-GB" w:eastAsia="es-ES"/>
    </w:rPr>
  </w:style>
  <w:style w:type="character" w:customStyle="1" w:styleId="HighlightsCar">
    <w:name w:val="Highlights Car"/>
    <w:basedOn w:val="EstiloHighlightNegritaCar"/>
    <w:link w:val="Highlights"/>
    <w:rsid w:val="00B07B9E"/>
    <w:rPr>
      <w:rFonts w:ascii="Verdana" w:eastAsia="Times New Roman" w:hAnsi="Verdana" w:cs="Times New Roman"/>
      <w:b/>
      <w:bCs/>
      <w:color w:val="BF8F00" w:themeColor="accent4" w:themeShade="BF"/>
      <w:sz w:val="20"/>
      <w:szCs w:val="20"/>
      <w:shd w:val="clear" w:color="auto" w:fill="FFFFFF"/>
      <w:lang w:val="en-GB" w:eastAsia="es-ES"/>
    </w:rPr>
  </w:style>
  <w:style w:type="paragraph" w:customStyle="1" w:styleId="Boxes">
    <w:name w:val="Boxes"/>
    <w:basedOn w:val="Box"/>
    <w:link w:val="BoxesCar"/>
    <w:uiPriority w:val="99"/>
    <w:qFormat/>
    <w:rsid w:val="00B07B9E"/>
    <w:pPr>
      <w:numPr>
        <w:numId w:val="34"/>
      </w:numPr>
      <w:pBdr>
        <w:top w:val="double" w:sz="4" w:space="1" w:color="ED7D31" w:themeColor="accent2"/>
        <w:left w:val="double" w:sz="4" w:space="4" w:color="ED7D31" w:themeColor="accent2"/>
        <w:bottom w:val="double" w:sz="4" w:space="1" w:color="ED7D31" w:themeColor="accent2"/>
        <w:right w:val="double" w:sz="4" w:space="4" w:color="ED7D31" w:themeColor="accent2"/>
      </w:pBdr>
    </w:pPr>
    <w:rPr>
      <w:color w:val="ED7D31" w:themeColor="accent2"/>
    </w:rPr>
  </w:style>
  <w:style w:type="character" w:customStyle="1" w:styleId="IndexCar">
    <w:name w:val="Index Car"/>
    <w:basedOn w:val="Fuentedeprrafopredeter"/>
    <w:link w:val="Index"/>
    <w:rsid w:val="00B07B9E"/>
    <w:rPr>
      <w:rFonts w:ascii="Verdana" w:eastAsia="Times New Roman" w:hAnsi="Verdana" w:cs="Times New Roman"/>
      <w:b/>
      <w:color w:val="B76172"/>
      <w:sz w:val="40"/>
      <w:szCs w:val="32"/>
      <w:lang w:val="en-GB" w:eastAsia="es-ES"/>
    </w:rPr>
  </w:style>
  <w:style w:type="character" w:customStyle="1" w:styleId="ContentsFiguresGlossaryCar">
    <w:name w:val="Contents_Figures_ Glossary Car"/>
    <w:basedOn w:val="IndexCar"/>
    <w:link w:val="ContentsFiguresGlossary"/>
    <w:rsid w:val="00B07B9E"/>
    <w:rPr>
      <w:rFonts w:ascii="Verdana" w:eastAsia="Times New Roman" w:hAnsi="Verdana" w:cs="Times New Roman"/>
      <w:b/>
      <w:color w:val="5B9BD5" w:themeColor="accent1"/>
      <w:sz w:val="40"/>
      <w:szCs w:val="32"/>
      <w:lang w:val="en-GB" w:eastAsia="es-ES"/>
    </w:rPr>
  </w:style>
  <w:style w:type="paragraph" w:customStyle="1" w:styleId="Contents">
    <w:name w:val="Contents"/>
    <w:aliases w:val="Figures y Glossary"/>
    <w:basedOn w:val="Index"/>
    <w:uiPriority w:val="99"/>
    <w:rsid w:val="00B07B9E"/>
    <w:rPr>
      <w:color w:val="5B9BD5" w:themeColor="accent1"/>
    </w:rPr>
  </w:style>
  <w:style w:type="character" w:customStyle="1" w:styleId="BoxCar">
    <w:name w:val="Box Car"/>
    <w:basedOn w:val="Fuentedeprrafopredeter"/>
    <w:link w:val="Box"/>
    <w:rsid w:val="00B07B9E"/>
    <w:rPr>
      <w:rFonts w:ascii="Verdana" w:eastAsia="Times New Roman" w:hAnsi="Verdana" w:cs="Times New Roman"/>
      <w:b/>
      <w:sz w:val="16"/>
      <w:szCs w:val="24"/>
      <w:lang w:val="en-GB" w:eastAsia="es-ES"/>
    </w:rPr>
  </w:style>
  <w:style w:type="character" w:customStyle="1" w:styleId="BoxesCar">
    <w:name w:val="Boxes Car"/>
    <w:basedOn w:val="BoxCar"/>
    <w:link w:val="Boxes"/>
    <w:uiPriority w:val="99"/>
    <w:rsid w:val="00B07B9E"/>
    <w:rPr>
      <w:rFonts w:ascii="Verdana" w:eastAsia="Times New Roman" w:hAnsi="Verdana" w:cs="Times New Roman"/>
      <w:b/>
      <w:color w:val="ED7D31" w:themeColor="accent2"/>
      <w:sz w:val="16"/>
      <w:szCs w:val="24"/>
      <w:lang w:val="en-GB" w:eastAsia="es-ES"/>
    </w:rPr>
  </w:style>
  <w:style w:type="character" w:customStyle="1" w:styleId="Heading4Char1">
    <w:name w:val="Heading 4 Char1"/>
    <w:basedOn w:val="Fuentedeprrafopredeter"/>
    <w:rsid w:val="00B07B9E"/>
    <w:rPr>
      <w:rFonts w:ascii="Verdana" w:eastAsia="Times New Roman" w:hAnsi="Verdana" w:cs="Times New Roman"/>
      <w:b/>
      <w:bCs/>
      <w:i/>
      <w:color w:val="5B9BD5" w:themeColor="accent1"/>
      <w:sz w:val="20"/>
      <w:szCs w:val="24"/>
      <w:lang w:val="en-GB" w:eastAsia="es-ES"/>
    </w:rPr>
  </w:style>
  <w:style w:type="paragraph" w:styleId="NormalWeb">
    <w:name w:val="Normal (Web)"/>
    <w:basedOn w:val="Normal"/>
    <w:uiPriority w:val="99"/>
    <w:unhideWhenUsed/>
    <w:rsid w:val="00B07B9E"/>
    <w:pPr>
      <w:spacing w:before="100" w:beforeAutospacing="1" w:after="100" w:afterAutospacing="1" w:line="240" w:lineRule="auto"/>
    </w:pPr>
    <w:rPr>
      <w:rFonts w:ascii="Times" w:eastAsiaTheme="minorEastAsia" w:hAnsi="Times" w:cs="Times New Roman"/>
      <w:sz w:val="20"/>
      <w:szCs w:val="20"/>
      <w:lang w:val="es-ES_tradnl"/>
    </w:rPr>
  </w:style>
  <w:style w:type="paragraph" w:styleId="Mapadeldocumento">
    <w:name w:val="Document Map"/>
    <w:basedOn w:val="Normal"/>
    <w:link w:val="MapadeldocumentoCar"/>
    <w:uiPriority w:val="99"/>
    <w:rsid w:val="00B07B9E"/>
    <w:pPr>
      <w:spacing w:after="0" w:line="240" w:lineRule="auto"/>
      <w:jc w:val="both"/>
    </w:pPr>
    <w:rPr>
      <w:rFonts w:ascii="Tahoma" w:eastAsia="Times New Roman" w:hAnsi="Tahoma" w:cs="Tahoma"/>
      <w:sz w:val="16"/>
      <w:szCs w:val="16"/>
      <w:lang w:val="en-GB" w:eastAsia="es-ES"/>
    </w:rPr>
  </w:style>
  <w:style w:type="character" w:customStyle="1" w:styleId="MapadeldocumentoCar">
    <w:name w:val="Mapa del documento Car"/>
    <w:basedOn w:val="Fuentedeprrafopredeter"/>
    <w:link w:val="Mapadeldocumento"/>
    <w:uiPriority w:val="99"/>
    <w:rsid w:val="00B07B9E"/>
    <w:rPr>
      <w:rFonts w:ascii="Tahoma" w:eastAsia="Times New Roman" w:hAnsi="Tahoma" w:cs="Tahoma"/>
      <w:sz w:val="16"/>
      <w:szCs w:val="16"/>
      <w:lang w:val="en-GB" w:eastAsia="es-ES"/>
    </w:rPr>
  </w:style>
  <w:style w:type="paragraph" w:styleId="Revisin">
    <w:name w:val="Revision"/>
    <w:hidden/>
    <w:uiPriority w:val="99"/>
    <w:semiHidden/>
    <w:rsid w:val="00B07B9E"/>
    <w:pPr>
      <w:spacing w:after="0" w:line="240" w:lineRule="auto"/>
    </w:pPr>
    <w:rPr>
      <w:rFonts w:ascii="Verdana" w:eastAsia="Times New Roman" w:hAnsi="Verdana" w:cs="Times New Roman"/>
      <w:sz w:val="20"/>
      <w:szCs w:val="24"/>
      <w:lang w:val="en-GB" w:eastAsia="es-ES"/>
    </w:rPr>
  </w:style>
  <w:style w:type="character" w:customStyle="1" w:styleId="hps">
    <w:name w:val="hps"/>
    <w:basedOn w:val="Fuentedeprrafopredeter"/>
    <w:rsid w:val="00B07B9E"/>
  </w:style>
  <w:style w:type="character" w:customStyle="1" w:styleId="atn">
    <w:name w:val="atn"/>
    <w:basedOn w:val="Fuentedeprrafopredeter"/>
    <w:rsid w:val="00B07B9E"/>
  </w:style>
  <w:style w:type="table" w:styleId="Cuadrculavistosa-nfasis4">
    <w:name w:val="Colorful Grid Accent 4"/>
    <w:basedOn w:val="Tablanormal"/>
    <w:uiPriority w:val="73"/>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ombreadomedio2-nfasis5">
    <w:name w:val="Medium Shading 2 Accent 5"/>
    <w:basedOn w:val="Tablanormal"/>
    <w:uiPriority w:val="64"/>
    <w:rsid w:val="00B07B9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1">
    <w:name w:val="L1"/>
    <w:basedOn w:val="I1"/>
    <w:uiPriority w:val="99"/>
    <w:rsid w:val="00B07B9E"/>
    <w:pPr>
      <w:numPr>
        <w:numId w:val="39"/>
      </w:numPr>
      <w:tabs>
        <w:tab w:val="clear" w:pos="360"/>
      </w:tabs>
      <w:spacing w:line="360" w:lineRule="atLeast"/>
      <w:ind w:left="2345"/>
    </w:pPr>
    <w:rPr>
      <w:rFonts w:ascii="Times New Roman" w:hAnsi="Times New Roman"/>
      <w:sz w:val="22"/>
      <w:szCs w:val="20"/>
      <w:lang w:eastAsia="en-US"/>
    </w:rPr>
  </w:style>
  <w:style w:type="character" w:customStyle="1" w:styleId="EpgrafeCar1">
    <w:name w:val="Epígrafe Car1"/>
    <w:basedOn w:val="Fuentedeprrafopredeter"/>
    <w:locked/>
    <w:rsid w:val="00B07B9E"/>
    <w:rPr>
      <w:rFonts w:ascii="Verdana" w:hAnsi="Verdana"/>
      <w:b/>
      <w:bCs/>
      <w:sz w:val="16"/>
      <w:lang w:val="en-GB" w:eastAsia="es-ES"/>
    </w:rPr>
  </w:style>
  <w:style w:type="character" w:styleId="Textoennegrita">
    <w:name w:val="Strong"/>
    <w:basedOn w:val="Fuentedeprrafopredeter"/>
    <w:uiPriority w:val="22"/>
    <w:qFormat/>
    <w:rsid w:val="00B07B9E"/>
    <w:rPr>
      <w:b/>
      <w:bCs/>
    </w:rPr>
  </w:style>
  <w:style w:type="character" w:styleId="nfasisintenso">
    <w:name w:val="Intense Emphasis"/>
    <w:basedOn w:val="Fuentedeprrafopredeter"/>
    <w:uiPriority w:val="21"/>
    <w:qFormat/>
    <w:rsid w:val="00B07B9E"/>
    <w:rPr>
      <w:b/>
      <w:bCs/>
      <w:i/>
      <w:iCs/>
      <w:color w:val="5B9BD5" w:themeColor="accent1"/>
    </w:rPr>
  </w:style>
  <w:style w:type="paragraph" w:customStyle="1" w:styleId="normaltableau">
    <w:name w:val="normal_tableau"/>
    <w:basedOn w:val="Normal"/>
    <w:uiPriority w:val="99"/>
    <w:rsid w:val="00B07B9E"/>
    <w:pPr>
      <w:spacing w:before="120" w:after="120" w:line="240" w:lineRule="auto"/>
      <w:jc w:val="both"/>
    </w:pPr>
    <w:rPr>
      <w:rFonts w:ascii="Optima" w:eastAsia="Times New Roman" w:hAnsi="Optima" w:cs="Times New Roman"/>
      <w:szCs w:val="20"/>
      <w:lang w:val="en-GB" w:eastAsia="en-GB"/>
    </w:rPr>
  </w:style>
  <w:style w:type="paragraph" w:styleId="Listaconvietas">
    <w:name w:val="List Bullet"/>
    <w:aliases w:val="List Bullet Char Char Char Char,List Bullet Char Char Char Char Char Char Char Char,List Bullet Char Char Char Char Char Char Char,List Bullet Char Char Char Char Char Char,List Bullet Char1 Char"/>
    <w:basedOn w:val="Normal"/>
    <w:uiPriority w:val="99"/>
    <w:rsid w:val="00B07B9E"/>
    <w:pPr>
      <w:numPr>
        <w:numId w:val="40"/>
      </w:numPr>
      <w:tabs>
        <w:tab w:val="left" w:pos="709"/>
      </w:tabs>
      <w:spacing w:before="60" w:after="120" w:line="240" w:lineRule="auto"/>
    </w:pPr>
    <w:rPr>
      <w:rFonts w:ascii="Arial" w:eastAsia="Times New Roman" w:hAnsi="Arial" w:cs="Times New Roman"/>
      <w:szCs w:val="24"/>
      <w:lang w:val="en-GB"/>
    </w:rPr>
  </w:style>
  <w:style w:type="paragraph" w:customStyle="1" w:styleId="ListParagraph1">
    <w:name w:val="List Paragraph1"/>
    <w:basedOn w:val="Normal"/>
    <w:uiPriority w:val="99"/>
    <w:rsid w:val="00B07B9E"/>
    <w:pPr>
      <w:spacing w:after="0" w:line="240" w:lineRule="auto"/>
      <w:ind w:left="720"/>
    </w:pPr>
    <w:rPr>
      <w:rFonts w:ascii="Calibri" w:eastAsia="Times New Roman" w:hAnsi="Calibri" w:cs="Times New Roman"/>
      <w:lang w:val="en-GB" w:eastAsia="en-GB"/>
    </w:rPr>
  </w:style>
  <w:style w:type="character" w:customStyle="1" w:styleId="apple-style-span">
    <w:name w:val="apple-style-span"/>
    <w:basedOn w:val="Fuentedeprrafopredeter"/>
    <w:rsid w:val="00B07B9E"/>
    <w:rPr>
      <w:rFonts w:cs="Times New Roman"/>
    </w:rPr>
  </w:style>
  <w:style w:type="paragraph" w:styleId="Sangra3detindependiente">
    <w:name w:val="Body Text Indent 3"/>
    <w:basedOn w:val="Normal"/>
    <w:link w:val="Sangra3detindependienteCar"/>
    <w:uiPriority w:val="99"/>
    <w:rsid w:val="00B07B9E"/>
    <w:pPr>
      <w:spacing w:after="0" w:line="240" w:lineRule="auto"/>
      <w:ind w:left="4242"/>
      <w:jc w:val="center"/>
    </w:pPr>
    <w:rPr>
      <w:rFonts w:ascii="Times New Roman" w:eastAsia="Times New Roman" w:hAnsi="Times New Roman" w:cs="Times New Roman"/>
      <w:sz w:val="28"/>
      <w:szCs w:val="24"/>
      <w:lang w:val="hu-HU" w:eastAsia="hu-HU"/>
    </w:rPr>
  </w:style>
  <w:style w:type="character" w:customStyle="1" w:styleId="Sangra3detindependienteCar">
    <w:name w:val="Sangría 3 de t. independiente Car"/>
    <w:basedOn w:val="Fuentedeprrafopredeter"/>
    <w:link w:val="Sangra3detindependiente"/>
    <w:uiPriority w:val="99"/>
    <w:rsid w:val="00B07B9E"/>
    <w:rPr>
      <w:rFonts w:ascii="Times New Roman" w:eastAsia="Times New Roman" w:hAnsi="Times New Roman" w:cs="Times New Roman"/>
      <w:sz w:val="28"/>
      <w:szCs w:val="24"/>
      <w:lang w:val="hu-HU" w:eastAsia="hu-HU"/>
    </w:rPr>
  </w:style>
  <w:style w:type="paragraph" w:customStyle="1" w:styleId="almenstyle27style29style30">
    <w:name w:val="almen style27 style29 style30"/>
    <w:basedOn w:val="Normal"/>
    <w:uiPriority w:val="99"/>
    <w:rsid w:val="00B07B9E"/>
    <w:pPr>
      <w:spacing w:after="0" w:line="240" w:lineRule="auto"/>
    </w:pPr>
    <w:rPr>
      <w:rFonts w:ascii="Times New Roman" w:eastAsia="Times New Roman" w:hAnsi="Times New Roman" w:cs="Times New Roman"/>
      <w:sz w:val="24"/>
      <w:szCs w:val="24"/>
      <w:lang w:val="hu-HU" w:eastAsia="hu-HU"/>
    </w:rPr>
  </w:style>
  <w:style w:type="paragraph" w:styleId="Puesto">
    <w:name w:val="Title"/>
    <w:basedOn w:val="Normal"/>
    <w:link w:val="PuestoCar"/>
    <w:uiPriority w:val="10"/>
    <w:qFormat/>
    <w:rsid w:val="00B07B9E"/>
    <w:pPr>
      <w:spacing w:after="0" w:line="240" w:lineRule="auto"/>
      <w:jc w:val="center"/>
    </w:pPr>
    <w:rPr>
      <w:rFonts w:ascii="Times New Roman" w:eastAsia="Times New Roman" w:hAnsi="Times New Roman" w:cs="Times New Roman"/>
      <w:b/>
      <w:sz w:val="28"/>
      <w:szCs w:val="24"/>
      <w:lang w:val="hu-HU" w:eastAsia="hu-HU"/>
    </w:rPr>
  </w:style>
  <w:style w:type="character" w:customStyle="1" w:styleId="PuestoCar">
    <w:name w:val="Puesto Car"/>
    <w:basedOn w:val="Fuentedeprrafopredeter"/>
    <w:link w:val="Puesto"/>
    <w:uiPriority w:val="10"/>
    <w:rsid w:val="00B07B9E"/>
    <w:rPr>
      <w:rFonts w:ascii="Times New Roman" w:eastAsia="Times New Roman" w:hAnsi="Times New Roman" w:cs="Times New Roman"/>
      <w:b/>
      <w:sz w:val="28"/>
      <w:szCs w:val="24"/>
      <w:lang w:val="hu-HU" w:eastAsia="hu-HU"/>
    </w:rPr>
  </w:style>
  <w:style w:type="table" w:styleId="Listavistosa-nfasis3">
    <w:name w:val="Colorful List Accent 3"/>
    <w:basedOn w:val="Tablanormal"/>
    <w:uiPriority w:val="72"/>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Lista">
    <w:name w:val="List"/>
    <w:basedOn w:val="Normal"/>
    <w:uiPriority w:val="99"/>
    <w:rsid w:val="00B07B9E"/>
    <w:pPr>
      <w:spacing w:before="240" w:after="240" w:line="336" w:lineRule="auto"/>
      <w:ind w:left="283" w:hanging="283"/>
      <w:contextualSpacing/>
      <w:jc w:val="both"/>
    </w:pPr>
    <w:rPr>
      <w:rFonts w:ascii="Verdana" w:eastAsia="Times New Roman" w:hAnsi="Verdana" w:cs="Times New Roman"/>
      <w:sz w:val="20"/>
      <w:szCs w:val="24"/>
      <w:lang w:val="es-ES" w:eastAsia="es-ES"/>
    </w:rPr>
  </w:style>
  <w:style w:type="paragraph" w:styleId="Listaconvietas2">
    <w:name w:val="List Bullet 2"/>
    <w:basedOn w:val="Normal"/>
    <w:uiPriority w:val="99"/>
    <w:rsid w:val="00B07B9E"/>
    <w:pPr>
      <w:tabs>
        <w:tab w:val="num" w:pos="643"/>
      </w:tabs>
      <w:spacing w:before="240" w:after="240" w:line="336" w:lineRule="auto"/>
      <w:ind w:left="643" w:hanging="360"/>
      <w:contextualSpacing/>
      <w:jc w:val="both"/>
    </w:pPr>
    <w:rPr>
      <w:rFonts w:ascii="Verdana" w:eastAsia="Times New Roman" w:hAnsi="Verdana" w:cs="Times New Roman"/>
      <w:sz w:val="20"/>
      <w:szCs w:val="24"/>
      <w:lang w:val="es-ES" w:eastAsia="es-ES"/>
    </w:rPr>
  </w:style>
  <w:style w:type="paragraph" w:styleId="Textoindependiente">
    <w:name w:val="Body Text"/>
    <w:basedOn w:val="Normal"/>
    <w:link w:val="TextoindependienteCar"/>
    <w:uiPriority w:val="99"/>
    <w:rsid w:val="00B07B9E"/>
    <w:pPr>
      <w:spacing w:before="240" w:after="120" w:line="336" w:lineRule="auto"/>
      <w:jc w:val="both"/>
    </w:pPr>
    <w:rPr>
      <w:rFonts w:ascii="Verdana" w:eastAsia="Times New Roman" w:hAnsi="Verdana" w:cs="Times New Roman"/>
      <w:sz w:val="20"/>
      <w:szCs w:val="24"/>
      <w:lang w:val="es-ES" w:eastAsia="es-ES"/>
    </w:rPr>
  </w:style>
  <w:style w:type="character" w:customStyle="1" w:styleId="TextoindependienteCar">
    <w:name w:val="Texto independiente Car"/>
    <w:basedOn w:val="Fuentedeprrafopredeter"/>
    <w:link w:val="Textoindependiente"/>
    <w:uiPriority w:val="99"/>
    <w:rsid w:val="00B07B9E"/>
    <w:rPr>
      <w:rFonts w:ascii="Verdana" w:eastAsia="Times New Roman" w:hAnsi="Verdana" w:cs="Times New Roman"/>
      <w:sz w:val="20"/>
      <w:szCs w:val="24"/>
      <w:lang w:val="es-ES" w:eastAsia="es-ES"/>
    </w:rPr>
  </w:style>
  <w:style w:type="paragraph" w:styleId="TtulodeTDC">
    <w:name w:val="TOC Heading"/>
    <w:basedOn w:val="Ttulo1"/>
    <w:next w:val="Normal"/>
    <w:uiPriority w:val="39"/>
    <w:unhideWhenUsed/>
    <w:qFormat/>
    <w:rsid w:val="00B07B9E"/>
    <w:pPr>
      <w:keepNext/>
      <w:keepLines/>
      <w:pageBreakBefore/>
      <w:spacing w:before="480" w:after="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paragraph" w:customStyle="1" w:styleId="Default">
    <w:name w:val="Default"/>
    <w:uiPriority w:val="99"/>
    <w:rsid w:val="00B07B9E"/>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apple-converted-space">
    <w:name w:val="apple-converted-space"/>
    <w:basedOn w:val="Fuentedeprrafopredeter"/>
    <w:rsid w:val="00B07B9E"/>
  </w:style>
  <w:style w:type="paragraph" w:customStyle="1" w:styleId="Usualtext">
    <w:name w:val="Usual text"/>
    <w:basedOn w:val="Normal"/>
    <w:uiPriority w:val="99"/>
    <w:rsid w:val="00B07B9E"/>
    <w:pPr>
      <w:spacing w:before="120" w:after="120" w:line="360" w:lineRule="auto"/>
      <w:jc w:val="both"/>
    </w:pPr>
    <w:rPr>
      <w:rFonts w:ascii="Verdana" w:eastAsia="Times New Roman" w:hAnsi="Verdana" w:cs="Times New Roman"/>
      <w:sz w:val="20"/>
      <w:szCs w:val="20"/>
      <w:lang w:val="en-GB" w:eastAsia="es-ES"/>
    </w:rPr>
  </w:style>
  <w:style w:type="paragraph" w:styleId="Lista2">
    <w:name w:val="List 2"/>
    <w:basedOn w:val="Normal"/>
    <w:uiPriority w:val="99"/>
    <w:rsid w:val="00B07B9E"/>
    <w:pPr>
      <w:spacing w:before="240" w:after="240" w:line="336" w:lineRule="auto"/>
      <w:ind w:left="720" w:hanging="360"/>
      <w:contextualSpacing/>
      <w:jc w:val="both"/>
    </w:pPr>
    <w:rPr>
      <w:rFonts w:ascii="Verdana" w:eastAsia="Times New Roman" w:hAnsi="Verdana" w:cs="Times New Roman"/>
      <w:sz w:val="20"/>
      <w:szCs w:val="24"/>
      <w:lang w:val="en-GB" w:eastAsia="es-ES"/>
    </w:rPr>
  </w:style>
  <w:style w:type="paragraph" w:styleId="Lista3">
    <w:name w:val="List 3"/>
    <w:basedOn w:val="Normal"/>
    <w:uiPriority w:val="99"/>
    <w:rsid w:val="00B07B9E"/>
    <w:pPr>
      <w:spacing w:before="240" w:after="240" w:line="336" w:lineRule="auto"/>
      <w:ind w:left="1080" w:hanging="360"/>
      <w:contextualSpacing/>
      <w:jc w:val="both"/>
    </w:pPr>
    <w:rPr>
      <w:rFonts w:ascii="Verdana" w:eastAsia="Times New Roman" w:hAnsi="Verdana" w:cs="Times New Roman"/>
      <w:sz w:val="20"/>
      <w:szCs w:val="24"/>
      <w:lang w:val="en-GB" w:eastAsia="es-ES"/>
    </w:rPr>
  </w:style>
  <w:style w:type="paragraph" w:customStyle="1" w:styleId="Indentation1">
    <w:name w:val="Indentation 1"/>
    <w:basedOn w:val="Indentado1"/>
    <w:link w:val="Indentation1Char"/>
    <w:uiPriority w:val="99"/>
    <w:qFormat/>
    <w:rsid w:val="00B07B9E"/>
    <w:pPr>
      <w:numPr>
        <w:numId w:val="0"/>
      </w:numPr>
      <w:spacing w:before="240" w:after="0"/>
      <w:ind w:left="357" w:hanging="357"/>
      <w:contextualSpacing/>
    </w:pPr>
    <w:rPr>
      <w:lang w:val="en-GB"/>
    </w:rPr>
  </w:style>
  <w:style w:type="character" w:customStyle="1" w:styleId="Indentation1Char">
    <w:name w:val="Indentation 1 Char"/>
    <w:basedOn w:val="Indentado1Car"/>
    <w:link w:val="Indentation1"/>
    <w:uiPriority w:val="99"/>
    <w:rsid w:val="00B07B9E"/>
    <w:rPr>
      <w:rFonts w:ascii="Verdana" w:eastAsia="Times New Roman" w:hAnsi="Verdana" w:cs="Times New Roman"/>
      <w:sz w:val="20"/>
      <w:szCs w:val="24"/>
      <w:lang w:val="en-GB" w:eastAsia="es-ES"/>
    </w:rPr>
  </w:style>
  <w:style w:type="paragraph" w:customStyle="1" w:styleId="Anexo">
    <w:name w:val="Anexo"/>
    <w:basedOn w:val="Ttulo1"/>
    <w:link w:val="AnexoChar"/>
    <w:qFormat/>
    <w:rsid w:val="00B07B9E"/>
    <w:pPr>
      <w:keepNext/>
      <w:spacing w:before="480" w:after="240" w:line="336" w:lineRule="auto"/>
      <w:jc w:val="both"/>
    </w:pPr>
    <w:rPr>
      <w:rFonts w:ascii="Verdana" w:eastAsia="Times New Roman" w:hAnsi="Verdana" w:cs="Arial"/>
      <w:bCs/>
      <w:iCs/>
      <w:color w:val="5B9BD5" w:themeColor="accent1"/>
      <w:sz w:val="40"/>
      <w:szCs w:val="28"/>
      <w:lang w:val="en-GB" w:eastAsia="es-ES"/>
    </w:rPr>
  </w:style>
  <w:style w:type="character" w:customStyle="1" w:styleId="AnexoChar">
    <w:name w:val="Anexo Char"/>
    <w:basedOn w:val="ContentsFiguresGlossaryCar"/>
    <w:link w:val="Anexo"/>
    <w:rsid w:val="00B07B9E"/>
    <w:rPr>
      <w:rFonts w:ascii="Verdana" w:eastAsia="Times New Roman" w:hAnsi="Verdana" w:cs="Arial"/>
      <w:b/>
      <w:bCs/>
      <w:iCs/>
      <w:color w:val="5B9BD5" w:themeColor="accent1"/>
      <w:sz w:val="40"/>
      <w:szCs w:val="28"/>
      <w:lang w:val="en-GB" w:eastAsia="es-ES"/>
    </w:rPr>
  </w:style>
  <w:style w:type="numbering" w:customStyle="1" w:styleId="AnexoL1">
    <w:name w:val="Anexo L1"/>
    <w:uiPriority w:val="99"/>
    <w:rsid w:val="00B07B9E"/>
    <w:pPr>
      <w:numPr>
        <w:numId w:val="41"/>
      </w:numPr>
    </w:pPr>
  </w:style>
  <w:style w:type="paragraph" w:customStyle="1" w:styleId="Paragraph">
    <w:name w:val="Paragraph"/>
    <w:basedOn w:val="Normal"/>
    <w:link w:val="ParagraphChar"/>
    <w:uiPriority w:val="99"/>
    <w:rsid w:val="00B07B9E"/>
    <w:pPr>
      <w:numPr>
        <w:numId w:val="42"/>
      </w:numPr>
      <w:autoSpaceDE w:val="0"/>
      <w:autoSpaceDN w:val="0"/>
      <w:adjustRightInd w:val="0"/>
      <w:spacing w:before="240" w:after="240" w:line="360" w:lineRule="auto"/>
      <w:jc w:val="both"/>
    </w:pPr>
    <w:rPr>
      <w:rFonts w:ascii="Verdana" w:eastAsia="Times New Roman" w:hAnsi="Verdana" w:cs="Times New Roman"/>
      <w:lang w:val="en-US" w:eastAsia="en-GB"/>
    </w:rPr>
  </w:style>
  <w:style w:type="character" w:customStyle="1" w:styleId="ParagraphChar">
    <w:name w:val="Paragraph Char"/>
    <w:basedOn w:val="Fuentedeprrafopredeter"/>
    <w:link w:val="Paragraph"/>
    <w:uiPriority w:val="99"/>
    <w:locked/>
    <w:rsid w:val="00B07B9E"/>
    <w:rPr>
      <w:rFonts w:ascii="Verdana" w:eastAsia="Times New Roman" w:hAnsi="Verdana" w:cs="Times New Roman"/>
      <w:lang w:val="en-US" w:eastAsia="en-GB"/>
    </w:rPr>
  </w:style>
  <w:style w:type="paragraph" w:customStyle="1" w:styleId="Paragraph2">
    <w:name w:val="Paragraph 2"/>
    <w:basedOn w:val="Paragraph"/>
    <w:link w:val="Paragraph2Char"/>
    <w:uiPriority w:val="99"/>
    <w:rsid w:val="00B07B9E"/>
    <w:pPr>
      <w:numPr>
        <w:ilvl w:val="1"/>
      </w:numPr>
    </w:pPr>
  </w:style>
  <w:style w:type="character" w:customStyle="1" w:styleId="Paragraph2Char">
    <w:name w:val="Paragraph 2 Char"/>
    <w:basedOn w:val="ParagraphChar"/>
    <w:link w:val="Paragraph2"/>
    <w:uiPriority w:val="99"/>
    <w:locked/>
    <w:rsid w:val="00B07B9E"/>
    <w:rPr>
      <w:rFonts w:ascii="Verdana" w:eastAsia="Times New Roman" w:hAnsi="Verdana" w:cs="Times New Roman"/>
      <w:lang w:val="en-US" w:eastAsia="en-GB"/>
    </w:rPr>
  </w:style>
  <w:style w:type="numbering" w:customStyle="1" w:styleId="paragraph20">
    <w:name w:val="paragraph2"/>
    <w:rsid w:val="00B07B9E"/>
    <w:pPr>
      <w:numPr>
        <w:numId w:val="43"/>
      </w:numPr>
    </w:pPr>
  </w:style>
  <w:style w:type="paragraph" w:customStyle="1" w:styleId="Notaalpie">
    <w:name w:val="Nota al pie"/>
    <w:basedOn w:val="Textonotapie"/>
    <w:link w:val="NotaalpieCar"/>
    <w:qFormat/>
    <w:rsid w:val="00B07B9E"/>
    <w:pPr>
      <w:jc w:val="both"/>
    </w:pPr>
    <w:rPr>
      <w:rFonts w:ascii="Verdana" w:eastAsia="Times New Roman" w:hAnsi="Verdana" w:cs="Times New Roman"/>
      <w:sz w:val="16"/>
      <w:szCs w:val="24"/>
      <w:lang w:val="es-ES" w:eastAsia="es-ES"/>
    </w:rPr>
  </w:style>
  <w:style w:type="character" w:customStyle="1" w:styleId="NotaalpieCar">
    <w:name w:val="Nota al pie Car"/>
    <w:basedOn w:val="Fuentedeprrafopredeter"/>
    <w:link w:val="Notaalpie"/>
    <w:rsid w:val="00B07B9E"/>
    <w:rPr>
      <w:rFonts w:ascii="Verdana" w:eastAsia="Times New Roman" w:hAnsi="Verdana" w:cs="Times New Roman"/>
      <w:sz w:val="16"/>
      <w:szCs w:val="24"/>
      <w:lang w:val="es-ES" w:eastAsia="es-ES"/>
    </w:rPr>
  </w:style>
  <w:style w:type="paragraph" w:styleId="TDC4">
    <w:name w:val="toc 4"/>
    <w:basedOn w:val="Normal"/>
    <w:next w:val="Normal"/>
    <w:autoRedefine/>
    <w:uiPriority w:val="39"/>
    <w:rsid w:val="00C0528E"/>
    <w:pPr>
      <w:spacing w:before="240" w:after="100" w:line="336" w:lineRule="auto"/>
      <w:ind w:left="600"/>
      <w:jc w:val="both"/>
    </w:pPr>
    <w:rPr>
      <w:rFonts w:ascii="ITC Avant Garde" w:eastAsia="Times New Roman" w:hAnsi="ITC Avant Garde" w:cs="Times New Roman"/>
      <w:szCs w:val="24"/>
      <w:lang w:val="en-GB" w:eastAsia="es-ES"/>
    </w:rPr>
  </w:style>
  <w:style w:type="paragraph" w:customStyle="1" w:styleId="Anexo2">
    <w:name w:val="Anexo 2"/>
    <w:basedOn w:val="Ttulo2"/>
    <w:next w:val="Normal"/>
    <w:uiPriority w:val="99"/>
    <w:rsid w:val="00B07B9E"/>
    <w:pPr>
      <w:keepNext/>
      <w:numPr>
        <w:ilvl w:val="1"/>
        <w:numId w:val="44"/>
      </w:numPr>
      <w:spacing w:before="0" w:after="0" w:line="360" w:lineRule="auto"/>
    </w:pPr>
    <w:rPr>
      <w:rFonts w:ascii="Tahoma" w:eastAsia="Times New Roman" w:hAnsi="Tahoma" w:cs="Times New Roman"/>
      <w:sz w:val="20"/>
      <w:szCs w:val="20"/>
      <w:lang w:val="es-ES"/>
    </w:rPr>
  </w:style>
  <w:style w:type="paragraph" w:styleId="Sinespaciado">
    <w:name w:val="No Spacing"/>
    <w:uiPriority w:val="1"/>
    <w:qFormat/>
    <w:rsid w:val="00B07B9E"/>
    <w:pPr>
      <w:spacing w:after="0" w:line="240" w:lineRule="auto"/>
      <w:jc w:val="both"/>
    </w:pPr>
    <w:rPr>
      <w:rFonts w:ascii="Verdana" w:eastAsia="Times New Roman" w:hAnsi="Verdana" w:cs="Times New Roman"/>
      <w:sz w:val="20"/>
      <w:szCs w:val="24"/>
      <w:lang w:val="en-GB" w:eastAsia="es-ES"/>
    </w:rPr>
  </w:style>
  <w:style w:type="character" w:styleId="Textodelmarcadordeposicin">
    <w:name w:val="Placeholder Text"/>
    <w:basedOn w:val="Fuentedeprrafopredeter"/>
    <w:uiPriority w:val="99"/>
    <w:semiHidden/>
    <w:rsid w:val="00B07B9E"/>
    <w:rPr>
      <w:color w:val="808080"/>
    </w:rPr>
  </w:style>
  <w:style w:type="character" w:styleId="Hipervnculovisitado">
    <w:name w:val="FollowedHyperlink"/>
    <w:basedOn w:val="Fuentedeprrafopredeter"/>
    <w:rsid w:val="00B07B9E"/>
    <w:rPr>
      <w:color w:val="954F72" w:themeColor="followedHyperlink"/>
      <w:u w:val="single"/>
    </w:rPr>
  </w:style>
  <w:style w:type="character" w:customStyle="1" w:styleId="Annex1Char">
    <w:name w:val="Annex 1 Char"/>
    <w:basedOn w:val="Ttulo1Car"/>
    <w:link w:val="Annex1"/>
    <w:uiPriority w:val="99"/>
    <w:locked/>
    <w:rsid w:val="00B07B9E"/>
    <w:rPr>
      <w:rFonts w:ascii="Verdana" w:eastAsia="Times New Roman" w:hAnsi="Verdana" w:cs="Arial"/>
      <w:b w:val="0"/>
      <w:bCs/>
      <w:iCs/>
      <w:color w:val="5B9BD5" w:themeColor="accent1"/>
      <w:sz w:val="40"/>
      <w:szCs w:val="28"/>
      <w:lang w:val="en-GB" w:eastAsia="es-ES"/>
    </w:rPr>
  </w:style>
  <w:style w:type="paragraph" w:customStyle="1" w:styleId="Annex1">
    <w:name w:val="Annex 1"/>
    <w:basedOn w:val="Ttulo1"/>
    <w:next w:val="Normal"/>
    <w:link w:val="Annex1Char"/>
    <w:uiPriority w:val="99"/>
    <w:qFormat/>
    <w:rsid w:val="00B07B9E"/>
    <w:pPr>
      <w:keepNext/>
      <w:pageBreakBefore/>
      <w:numPr>
        <w:numId w:val="45"/>
      </w:numPr>
      <w:spacing w:before="480" w:after="240" w:line="336" w:lineRule="auto"/>
      <w:jc w:val="both"/>
    </w:pPr>
    <w:rPr>
      <w:rFonts w:ascii="Verdana" w:eastAsia="Times New Roman" w:hAnsi="Verdana" w:cs="Arial"/>
      <w:b w:val="0"/>
      <w:bCs/>
      <w:iCs/>
      <w:color w:val="5B9BD5" w:themeColor="accent1"/>
      <w:sz w:val="40"/>
      <w:szCs w:val="28"/>
      <w:lang w:val="en-GB" w:eastAsia="es-ES"/>
    </w:rPr>
  </w:style>
  <w:style w:type="paragraph" w:customStyle="1" w:styleId="Annexlv2">
    <w:name w:val="Annex lv 2"/>
    <w:basedOn w:val="Annex1"/>
    <w:next w:val="Normal"/>
    <w:uiPriority w:val="99"/>
    <w:qFormat/>
    <w:rsid w:val="00B07B9E"/>
    <w:pPr>
      <w:pageBreakBefore w:val="0"/>
      <w:numPr>
        <w:ilvl w:val="1"/>
      </w:numPr>
      <w:tabs>
        <w:tab w:val="num" w:pos="360"/>
      </w:tabs>
      <w:ind w:left="2088" w:hanging="360"/>
      <w:outlineLvl w:val="1"/>
    </w:pPr>
    <w:rPr>
      <w:sz w:val="28"/>
    </w:rPr>
  </w:style>
  <w:style w:type="paragraph" w:customStyle="1" w:styleId="AnnexLvl3">
    <w:name w:val="Annex Lvl 3"/>
    <w:basedOn w:val="Annexlv2"/>
    <w:next w:val="Normal"/>
    <w:uiPriority w:val="99"/>
    <w:qFormat/>
    <w:rsid w:val="00B07B9E"/>
    <w:pPr>
      <w:numPr>
        <w:ilvl w:val="2"/>
      </w:numPr>
      <w:tabs>
        <w:tab w:val="num" w:pos="360"/>
      </w:tabs>
      <w:spacing w:before="360" w:after="120"/>
      <w:ind w:left="357" w:hanging="360"/>
      <w:outlineLvl w:val="2"/>
    </w:pPr>
    <w:rPr>
      <w:iCs w:val="0"/>
      <w:sz w:val="24"/>
    </w:rPr>
  </w:style>
  <w:style w:type="character" w:customStyle="1" w:styleId="Heading1Char1">
    <w:name w:val="Heading 1 Char1"/>
    <w:aliases w:val="1 Char1,H1 Char1,l1 Char1,level 1 heading Char1"/>
    <w:basedOn w:val="Fuentedeprrafopredeter"/>
    <w:rsid w:val="00B07B9E"/>
    <w:rPr>
      <w:rFonts w:asciiTheme="majorHAnsi" w:eastAsiaTheme="majorEastAsia" w:hAnsiTheme="majorHAnsi" w:cstheme="majorBidi"/>
      <w:color w:val="2E74B5" w:themeColor="accent1" w:themeShade="BF"/>
      <w:sz w:val="32"/>
      <w:szCs w:val="32"/>
      <w:lang w:val="en-GB" w:eastAsia="es-ES"/>
    </w:rPr>
  </w:style>
  <w:style w:type="character" w:customStyle="1" w:styleId="FootnoteTextChar1">
    <w:name w:val="Footnote Text Char1"/>
    <w:aliases w:val="Texto nota pie Car2 Char1,Texto nota pie Car1 Car Char1,Texto nota pie Car Car Car Char1,Texto nota pie Car Car1 Char1,Texto nota pie Car2 Car Car1 Char1,Texto nota pie Car1 Car Car Car1 Char1,Texto nota pie Car Car1 Car Car Char"/>
    <w:basedOn w:val="Fuentedeprrafopredeter"/>
    <w:uiPriority w:val="99"/>
    <w:semiHidden/>
    <w:rsid w:val="001A38B7"/>
    <w:rPr>
      <w:sz w:val="20"/>
      <w:szCs w:val="20"/>
    </w:rPr>
  </w:style>
  <w:style w:type="character" w:customStyle="1" w:styleId="HeadingAnexo1L1Char">
    <w:name w:val="Heading Anexo 1 L1 Char"/>
    <w:basedOn w:val="TituloconsiderandoChar"/>
    <w:link w:val="HeadingAnexo1L1"/>
    <w:locked/>
    <w:rsid w:val="00BF31AE"/>
    <w:rPr>
      <w:rFonts w:ascii="ITC Avant Garde" w:hAnsi="ITC Avant Garde"/>
      <w:b/>
      <w:lang w:val="es-ES"/>
    </w:rPr>
  </w:style>
  <w:style w:type="paragraph" w:customStyle="1" w:styleId="HeadingAnexo1L1">
    <w:name w:val="Heading Anexo 1 L1"/>
    <w:basedOn w:val="HeadingAnexo1L2"/>
    <w:link w:val="HeadingAnexo1L1Char"/>
    <w:qFormat/>
    <w:rsid w:val="000B407A"/>
    <w:pPr>
      <w:spacing w:before="600" w:after="360"/>
    </w:pPr>
  </w:style>
  <w:style w:type="character" w:customStyle="1" w:styleId="Style1Char">
    <w:name w:val="Style1 Char"/>
    <w:basedOn w:val="Ttulo4Car"/>
    <w:link w:val="Style1"/>
    <w:locked/>
    <w:rsid w:val="001A38B7"/>
    <w:rPr>
      <w:rFonts w:ascii="ITC Avant Garde" w:eastAsia="Times New Roman" w:hAnsi="ITC Avant Garde" w:cs="Arial"/>
      <w:b w:val="0"/>
      <w:bCs w:val="0"/>
      <w:i/>
      <w:iCs/>
      <w:sz w:val="18"/>
      <w:szCs w:val="20"/>
      <w:lang w:val="es-ES" w:eastAsia="es-ES"/>
    </w:rPr>
  </w:style>
  <w:style w:type="paragraph" w:customStyle="1" w:styleId="Style1">
    <w:name w:val="Style1"/>
    <w:basedOn w:val="Ttulo4"/>
    <w:link w:val="Style1Char"/>
    <w:qFormat/>
    <w:rsid w:val="001A38B7"/>
    <w:pPr>
      <w:numPr>
        <w:ilvl w:val="0"/>
        <w:numId w:val="0"/>
      </w:numPr>
    </w:pPr>
    <w:rPr>
      <w:b w:val="0"/>
      <w:bCs w:val="0"/>
      <w:i/>
      <w:iCs/>
      <w:sz w:val="18"/>
      <w:szCs w:val="20"/>
    </w:rPr>
  </w:style>
  <w:style w:type="paragraph" w:customStyle="1" w:styleId="HeadingAnexo1L2">
    <w:name w:val="Heading Anexo 1 L2"/>
    <w:basedOn w:val="Normal"/>
    <w:link w:val="HeadingAnexo1L2Char"/>
    <w:qFormat/>
    <w:rsid w:val="000B407A"/>
    <w:pPr>
      <w:numPr>
        <w:ilvl w:val="1"/>
        <w:numId w:val="82"/>
      </w:numPr>
      <w:spacing w:before="480" w:line="257" w:lineRule="auto"/>
      <w:jc w:val="both"/>
    </w:pPr>
    <w:rPr>
      <w:rFonts w:ascii="ITC Avant Garde" w:hAnsi="ITC Avant Garde"/>
      <w:b/>
      <w:lang w:val="es-ES"/>
    </w:rPr>
  </w:style>
  <w:style w:type="paragraph" w:customStyle="1" w:styleId="Anexo2L2">
    <w:name w:val="Anexo 2 L2"/>
    <w:basedOn w:val="HeadingAnexo1L2"/>
    <w:link w:val="Anexo2L2Char"/>
    <w:qFormat/>
    <w:rsid w:val="004F7656"/>
    <w:pPr>
      <w:numPr>
        <w:ilvl w:val="2"/>
        <w:numId w:val="107"/>
      </w:numPr>
    </w:pPr>
  </w:style>
  <w:style w:type="character" w:customStyle="1" w:styleId="HeadingAnexo1L3Char">
    <w:name w:val="Heading Anexo 1 L3 Char"/>
    <w:basedOn w:val="Fuentedeprrafopredeter"/>
    <w:link w:val="HeadingAnexo1L3"/>
    <w:locked/>
    <w:rsid w:val="00203EB2"/>
    <w:rPr>
      <w:rFonts w:ascii="ITC Avant Garde" w:hAnsi="ITC Avant Garde"/>
      <w:b/>
      <w:i/>
      <w:iCs/>
      <w:lang w:val="es-ES"/>
    </w:rPr>
  </w:style>
  <w:style w:type="paragraph" w:customStyle="1" w:styleId="HeadingAnexo1L3">
    <w:name w:val="Heading Anexo 1 L3"/>
    <w:basedOn w:val="Normal"/>
    <w:link w:val="HeadingAnexo1L3Char"/>
    <w:qFormat/>
    <w:rsid w:val="00203EB2"/>
    <w:pPr>
      <w:spacing w:before="360" w:after="120" w:line="257" w:lineRule="auto"/>
      <w:jc w:val="both"/>
    </w:pPr>
    <w:rPr>
      <w:rFonts w:ascii="ITC Avant Garde" w:hAnsi="ITC Avant Garde"/>
      <w:b/>
      <w:i/>
      <w:iCs/>
      <w:lang w:val="es-ES"/>
    </w:rPr>
  </w:style>
  <w:style w:type="character" w:customStyle="1" w:styleId="bleChar">
    <w:name w:val="ble Char"/>
    <w:basedOn w:val="Fuentedeprrafopredeter"/>
    <w:link w:val="ble"/>
    <w:locked/>
    <w:rsid w:val="009B0B3E"/>
    <w:rPr>
      <w:rFonts w:ascii="ITC Avant Garde" w:hAnsi="ITC Avant Garde"/>
      <w:b/>
    </w:rPr>
  </w:style>
  <w:style w:type="paragraph" w:customStyle="1" w:styleId="ble">
    <w:name w:val="ble"/>
    <w:basedOn w:val="Normal"/>
    <w:link w:val="bleChar"/>
    <w:qFormat/>
    <w:rsid w:val="009B0B3E"/>
    <w:pPr>
      <w:spacing w:before="120" w:after="0" w:line="256" w:lineRule="auto"/>
      <w:jc w:val="both"/>
    </w:pPr>
    <w:rPr>
      <w:rFonts w:ascii="ITC Avant Garde" w:hAnsi="ITC Avant Garde"/>
      <w:b/>
    </w:rPr>
  </w:style>
  <w:style w:type="character" w:customStyle="1" w:styleId="HeadingAnexo2L1Char">
    <w:name w:val="Heading Anexo 2 L1 Char"/>
    <w:basedOn w:val="HeadingAnexo1L1Char"/>
    <w:link w:val="HeadingAnexo2L1"/>
    <w:locked/>
    <w:rsid w:val="00645D4C"/>
    <w:rPr>
      <w:rFonts w:ascii="ITC Avant Garde" w:hAnsi="ITC Avant Garde"/>
      <w:b/>
      <w:lang w:val="es-ES"/>
    </w:rPr>
  </w:style>
  <w:style w:type="paragraph" w:customStyle="1" w:styleId="HeadingAnexo2L1">
    <w:name w:val="Heading Anexo 2 L1"/>
    <w:basedOn w:val="HeadingAnexo1L1"/>
    <w:link w:val="HeadingAnexo2L1Char"/>
    <w:rsid w:val="00645D4C"/>
    <w:pPr>
      <w:numPr>
        <w:numId w:val="107"/>
      </w:numPr>
      <w:spacing w:before="120" w:after="0"/>
    </w:pPr>
  </w:style>
  <w:style w:type="character" w:customStyle="1" w:styleId="maloChar">
    <w:name w:val="malo Char"/>
    <w:basedOn w:val="Fuentedeprrafopredeter"/>
    <w:link w:val="malo"/>
    <w:locked/>
    <w:rsid w:val="009B0B3E"/>
    <w:rPr>
      <w:rFonts w:ascii="ITC Avant Garde" w:hAnsi="ITC Avant Garde"/>
      <w:b/>
    </w:rPr>
  </w:style>
  <w:style w:type="paragraph" w:customStyle="1" w:styleId="malo">
    <w:name w:val="malo"/>
    <w:basedOn w:val="Normal"/>
    <w:link w:val="maloChar"/>
    <w:qFormat/>
    <w:rsid w:val="009B0B3E"/>
    <w:pPr>
      <w:numPr>
        <w:numId w:val="84"/>
      </w:numPr>
      <w:spacing w:before="120" w:after="0" w:line="256" w:lineRule="auto"/>
      <w:ind w:left="0" w:firstLine="0"/>
      <w:jc w:val="both"/>
    </w:pPr>
    <w:rPr>
      <w:rFonts w:ascii="ITC Avant Garde" w:hAnsi="ITC Avant Garde"/>
      <w:b/>
    </w:rPr>
  </w:style>
  <w:style w:type="character" w:customStyle="1" w:styleId="errorChar">
    <w:name w:val="error Char"/>
    <w:basedOn w:val="Fuentedeprrafopredeter"/>
    <w:link w:val="error"/>
    <w:locked/>
    <w:rsid w:val="009B0B3E"/>
    <w:rPr>
      <w:rFonts w:ascii="ITC Avant Garde" w:hAnsi="ITC Avant Garde"/>
      <w:b/>
    </w:rPr>
  </w:style>
  <w:style w:type="paragraph" w:customStyle="1" w:styleId="error">
    <w:name w:val="error"/>
    <w:basedOn w:val="Normal"/>
    <w:link w:val="errorChar"/>
    <w:qFormat/>
    <w:rsid w:val="009B0B3E"/>
    <w:pPr>
      <w:spacing w:before="120" w:after="0" w:line="256" w:lineRule="auto"/>
      <w:jc w:val="both"/>
    </w:pPr>
    <w:rPr>
      <w:rFonts w:ascii="ITC Avant Garde" w:hAnsi="ITC Avant Garde"/>
      <w:b/>
    </w:rPr>
  </w:style>
  <w:style w:type="character" w:customStyle="1" w:styleId="HeadingAnexo1L2Char">
    <w:name w:val="Heading Anexo 1 L2 Char"/>
    <w:basedOn w:val="HeadingAnexo1L1Char"/>
    <w:link w:val="HeadingAnexo1L2"/>
    <w:rsid w:val="000C1C11"/>
    <w:rPr>
      <w:rFonts w:ascii="ITC Avant Garde" w:hAnsi="ITC Avant Garde"/>
      <w:b/>
      <w:lang w:val="es-ES"/>
    </w:rPr>
  </w:style>
  <w:style w:type="paragraph" w:customStyle="1" w:styleId="HeadingAnexo2L2">
    <w:name w:val="Heading Anexo 2 L2"/>
    <w:basedOn w:val="HeadingAnexo1L3"/>
    <w:link w:val="HeadingAnexo2L2Char"/>
    <w:qFormat/>
    <w:rsid w:val="00375FDC"/>
    <w:pPr>
      <w:numPr>
        <w:ilvl w:val="2"/>
        <w:numId w:val="82"/>
      </w:numPr>
    </w:pPr>
    <w:rPr>
      <w:i w:val="0"/>
      <w:iCs w:val="0"/>
    </w:rPr>
  </w:style>
  <w:style w:type="character" w:customStyle="1" w:styleId="Anexo2L2Char">
    <w:name w:val="Anexo 2 L2 Char"/>
    <w:basedOn w:val="HeadingAnexo1L2Char"/>
    <w:link w:val="Anexo2L2"/>
    <w:rsid w:val="004F7656"/>
    <w:rPr>
      <w:rFonts w:ascii="ITC Avant Garde" w:hAnsi="ITC Avant Garde"/>
      <w:b/>
      <w:lang w:val="es-ES"/>
    </w:rPr>
  </w:style>
  <w:style w:type="character" w:customStyle="1" w:styleId="HeadingAnexo2L2Char">
    <w:name w:val="Heading Anexo 2 L2 Char"/>
    <w:basedOn w:val="HeadingAnexo1L2Char"/>
    <w:link w:val="HeadingAnexo2L2"/>
    <w:rsid w:val="00375FDC"/>
    <w:rPr>
      <w:rFonts w:ascii="ITC Avant Garde" w:hAnsi="ITC Avant Garde"/>
      <w:b/>
      <w:lang w:val="es-ES"/>
    </w:rPr>
  </w:style>
  <w:style w:type="paragraph" w:customStyle="1" w:styleId="HeadingA2L1">
    <w:name w:val="Heading A2 L1"/>
    <w:basedOn w:val="HeadingAnexo1L1"/>
    <w:link w:val="HeadingA2L1Char"/>
    <w:qFormat/>
    <w:rsid w:val="000320E3"/>
  </w:style>
  <w:style w:type="paragraph" w:customStyle="1" w:styleId="HeadingA2L2">
    <w:name w:val="Heading A2 L2"/>
    <w:basedOn w:val="HeadingAnexo1L2"/>
    <w:link w:val="HeadingA2L2Char"/>
    <w:qFormat/>
    <w:rsid w:val="00EB5EA7"/>
  </w:style>
  <w:style w:type="character" w:customStyle="1" w:styleId="HeadingA2L1Char">
    <w:name w:val="Heading A2 L1 Char"/>
    <w:basedOn w:val="Indentado3Car"/>
    <w:link w:val="HeadingA2L1"/>
    <w:rsid w:val="000320E3"/>
    <w:rPr>
      <w:rFonts w:ascii="ITC Avant Garde" w:eastAsia="Times New Roman" w:hAnsi="ITC Avant Garde" w:cs="Arial"/>
      <w:b/>
      <w:lang w:val="es-ES" w:eastAsia="es-ES"/>
    </w:rPr>
  </w:style>
  <w:style w:type="paragraph" w:customStyle="1" w:styleId="HeadingA2L3">
    <w:name w:val="Heading A2 L3"/>
    <w:basedOn w:val="HeadingAnexo2L2"/>
    <w:link w:val="HeadingA2L3Char"/>
    <w:qFormat/>
    <w:rsid w:val="000B407A"/>
    <w:pPr>
      <w:numPr>
        <w:ilvl w:val="0"/>
        <w:numId w:val="0"/>
      </w:numPr>
    </w:pPr>
  </w:style>
  <w:style w:type="character" w:customStyle="1" w:styleId="HeadingA2L2Char">
    <w:name w:val="Heading A2 L2 Char"/>
    <w:basedOn w:val="HeadingAnexo1L2Char"/>
    <w:link w:val="HeadingA2L2"/>
    <w:rsid w:val="000320E3"/>
    <w:rPr>
      <w:rFonts w:ascii="ITC Avant Garde" w:hAnsi="ITC Avant Garde"/>
      <w:b/>
      <w:lang w:val="es-ES"/>
    </w:rPr>
  </w:style>
  <w:style w:type="character" w:customStyle="1" w:styleId="HeadingA2L3Char">
    <w:name w:val="Heading A2 L3 Char"/>
    <w:basedOn w:val="HeadingAnexo2L2Char"/>
    <w:link w:val="HeadingA2L3"/>
    <w:rsid w:val="000320E3"/>
    <w:rPr>
      <w:rFonts w:ascii="ITC Avant Garde" w:hAnsi="ITC Avant Garde"/>
      <w:b/>
      <w:lang w:val="es-ES"/>
    </w:rPr>
  </w:style>
  <w:style w:type="paragraph" w:styleId="TDC5">
    <w:name w:val="toc 5"/>
    <w:basedOn w:val="Normal"/>
    <w:next w:val="Normal"/>
    <w:autoRedefine/>
    <w:uiPriority w:val="39"/>
    <w:semiHidden/>
    <w:unhideWhenUsed/>
    <w:rsid w:val="00C0528E"/>
    <w:pPr>
      <w:spacing w:after="100"/>
      <w:ind w:left="880"/>
    </w:pPr>
    <w:rPr>
      <w:rFonts w:ascii="ITC Avant Garde" w:hAnsi="ITC Avant Garde"/>
    </w:rPr>
  </w:style>
  <w:style w:type="character" w:styleId="nfasis">
    <w:name w:val="Emphasis"/>
    <w:basedOn w:val="Fuentedeprrafopredeter"/>
    <w:qFormat/>
    <w:rsid w:val="002B2A5B"/>
    <w:rPr>
      <w:i/>
      <w:iCs/>
    </w:rPr>
  </w:style>
  <w:style w:type="paragraph" w:customStyle="1" w:styleId="A1L1">
    <w:name w:val="A1 L1"/>
    <w:basedOn w:val="Ttulo1"/>
    <w:link w:val="A1L1Char"/>
    <w:qFormat/>
    <w:rsid w:val="005A1236"/>
    <w:pPr>
      <w:numPr>
        <w:numId w:val="186"/>
      </w:numPr>
      <w:spacing w:before="600" w:after="360" w:line="257" w:lineRule="auto"/>
      <w:jc w:val="left"/>
      <w:outlineLvl w:val="9"/>
    </w:pPr>
  </w:style>
  <w:style w:type="paragraph" w:customStyle="1" w:styleId="A1L2">
    <w:name w:val="A1 L2"/>
    <w:basedOn w:val="A1L1"/>
    <w:link w:val="A1L2Char"/>
    <w:qFormat/>
    <w:rsid w:val="00805C37"/>
    <w:pPr>
      <w:numPr>
        <w:ilvl w:val="1"/>
        <w:numId w:val="197"/>
      </w:numPr>
      <w:spacing w:before="480" w:after="160"/>
      <w:ind w:left="0" w:firstLine="0"/>
    </w:pPr>
  </w:style>
  <w:style w:type="character" w:customStyle="1" w:styleId="A1L1Char">
    <w:name w:val="A1 L1 Char"/>
    <w:basedOn w:val="Ttulo1Car"/>
    <w:link w:val="A1L1"/>
    <w:rsid w:val="005A1236"/>
    <w:rPr>
      <w:rFonts w:ascii="ITC Avant Garde" w:hAnsi="ITC Avant Garde"/>
      <w:b/>
    </w:rPr>
  </w:style>
  <w:style w:type="paragraph" w:customStyle="1" w:styleId="A1L3">
    <w:name w:val="A1 L3"/>
    <w:basedOn w:val="A1L2"/>
    <w:link w:val="A1L3Char"/>
    <w:qFormat/>
    <w:rsid w:val="00805C37"/>
    <w:pPr>
      <w:numPr>
        <w:ilvl w:val="2"/>
        <w:numId w:val="186"/>
      </w:numPr>
      <w:spacing w:before="360" w:after="120"/>
    </w:pPr>
  </w:style>
  <w:style w:type="character" w:customStyle="1" w:styleId="A1L2Char">
    <w:name w:val="A1 L2 Char"/>
    <w:basedOn w:val="NormalresolucionChar"/>
    <w:link w:val="A1L2"/>
    <w:rsid w:val="00805C37"/>
    <w:rPr>
      <w:rFonts w:ascii="ITC Avant Garde" w:eastAsia="Times New Roman" w:hAnsi="ITC Avant Garde" w:cs="Arial"/>
      <w:b/>
      <w:sz w:val="18"/>
      <w:szCs w:val="20"/>
      <w:lang w:val="es-ES" w:eastAsia="es-ES"/>
    </w:rPr>
  </w:style>
  <w:style w:type="numbering" w:customStyle="1" w:styleId="AA1L1">
    <w:name w:val="A A1 L1"/>
    <w:uiPriority w:val="99"/>
    <w:rsid w:val="005A1236"/>
    <w:pPr>
      <w:numPr>
        <w:numId w:val="185"/>
      </w:numPr>
    </w:pPr>
  </w:style>
  <w:style w:type="character" w:customStyle="1" w:styleId="A1L3Char">
    <w:name w:val="A1 L3 Char"/>
    <w:basedOn w:val="NormalresolucionChar"/>
    <w:link w:val="A1L3"/>
    <w:rsid w:val="00805C37"/>
    <w:rPr>
      <w:rFonts w:ascii="ITC Avant Garde" w:eastAsia="Times New Roman" w:hAnsi="ITC Avant Garde" w:cs="Arial"/>
      <w:b/>
      <w:sz w:val="18"/>
      <w:szCs w:val="20"/>
      <w:lang w:val="es-ES" w:eastAsia="es-ES"/>
    </w:rPr>
  </w:style>
  <w:style w:type="paragraph" w:customStyle="1" w:styleId="A3L1">
    <w:name w:val="A3 L1"/>
    <w:basedOn w:val="Normalresolucion"/>
    <w:link w:val="A3L1Char"/>
    <w:qFormat/>
    <w:rsid w:val="0030092E"/>
    <w:pPr>
      <w:numPr>
        <w:numId w:val="200"/>
      </w:numPr>
      <w:spacing w:before="600" w:after="360" w:line="257" w:lineRule="auto"/>
    </w:pPr>
    <w:rPr>
      <w:b/>
      <w:bCs/>
    </w:rPr>
  </w:style>
  <w:style w:type="paragraph" w:customStyle="1" w:styleId="A3L2">
    <w:name w:val="A3 L2"/>
    <w:basedOn w:val="A3L1"/>
    <w:link w:val="A3L2Char"/>
    <w:qFormat/>
    <w:rsid w:val="00C431D6"/>
    <w:pPr>
      <w:numPr>
        <w:ilvl w:val="1"/>
      </w:numPr>
      <w:spacing w:before="480" w:after="160"/>
      <w:ind w:left="0" w:firstLine="0"/>
    </w:pPr>
  </w:style>
  <w:style w:type="character" w:customStyle="1" w:styleId="A3L1Char">
    <w:name w:val="A3 L1 Char"/>
    <w:basedOn w:val="NormalresolucionChar"/>
    <w:link w:val="A3L1"/>
    <w:rsid w:val="0030092E"/>
    <w:rPr>
      <w:rFonts w:ascii="ITC Avant Garde" w:eastAsia="Times New Roman" w:hAnsi="ITC Avant Garde" w:cs="Arial"/>
      <w:b/>
      <w:bCs/>
      <w:sz w:val="18"/>
      <w:szCs w:val="20"/>
      <w:lang w:val="es-ES" w:eastAsia="es-ES"/>
    </w:rPr>
  </w:style>
  <w:style w:type="paragraph" w:customStyle="1" w:styleId="A3L3">
    <w:name w:val="A3 L3"/>
    <w:basedOn w:val="A3L2"/>
    <w:link w:val="A3L3Char"/>
    <w:qFormat/>
    <w:rsid w:val="0030092E"/>
    <w:pPr>
      <w:numPr>
        <w:ilvl w:val="2"/>
      </w:numPr>
      <w:spacing w:before="360" w:after="120"/>
      <w:ind w:left="0" w:firstLine="0"/>
    </w:pPr>
  </w:style>
  <w:style w:type="character" w:customStyle="1" w:styleId="A3L2Char">
    <w:name w:val="A3 L2 Char"/>
    <w:basedOn w:val="A3L1Char"/>
    <w:link w:val="A3L2"/>
    <w:rsid w:val="00C431D6"/>
    <w:rPr>
      <w:rFonts w:ascii="ITC Avant Garde" w:eastAsia="Times New Roman" w:hAnsi="ITC Avant Garde" w:cs="Arial"/>
      <w:b/>
      <w:bCs/>
      <w:sz w:val="18"/>
      <w:szCs w:val="20"/>
      <w:lang w:val="es-ES" w:eastAsia="es-ES"/>
    </w:rPr>
  </w:style>
  <w:style w:type="character" w:customStyle="1" w:styleId="A3L3Char">
    <w:name w:val="A3 L3 Char"/>
    <w:basedOn w:val="A3L2Char"/>
    <w:link w:val="A3L3"/>
    <w:rsid w:val="0030092E"/>
    <w:rPr>
      <w:rFonts w:ascii="ITC Avant Garde" w:eastAsia="Times New Roman" w:hAnsi="ITC Avant Garde" w:cs="Arial"/>
      <w:b/>
      <w:bCs/>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3600">
      <w:bodyDiv w:val="1"/>
      <w:marLeft w:val="0"/>
      <w:marRight w:val="0"/>
      <w:marTop w:val="0"/>
      <w:marBottom w:val="0"/>
      <w:divBdr>
        <w:top w:val="none" w:sz="0" w:space="0" w:color="auto"/>
        <w:left w:val="none" w:sz="0" w:space="0" w:color="auto"/>
        <w:bottom w:val="none" w:sz="0" w:space="0" w:color="auto"/>
        <w:right w:val="none" w:sz="0" w:space="0" w:color="auto"/>
      </w:divBdr>
      <w:divsChild>
        <w:div w:id="284242380">
          <w:marLeft w:val="0"/>
          <w:marRight w:val="0"/>
          <w:marTop w:val="0"/>
          <w:marBottom w:val="80"/>
          <w:divBdr>
            <w:top w:val="none" w:sz="0" w:space="0" w:color="auto"/>
            <w:left w:val="none" w:sz="0" w:space="0" w:color="auto"/>
            <w:bottom w:val="none" w:sz="0" w:space="0" w:color="auto"/>
            <w:right w:val="none" w:sz="0" w:space="0" w:color="auto"/>
          </w:divBdr>
        </w:div>
        <w:div w:id="1796867887">
          <w:marLeft w:val="0"/>
          <w:marRight w:val="0"/>
          <w:marTop w:val="0"/>
          <w:marBottom w:val="80"/>
          <w:divBdr>
            <w:top w:val="none" w:sz="0" w:space="0" w:color="auto"/>
            <w:left w:val="none" w:sz="0" w:space="0" w:color="auto"/>
            <w:bottom w:val="none" w:sz="0" w:space="0" w:color="auto"/>
            <w:right w:val="none" w:sz="0" w:space="0" w:color="auto"/>
          </w:divBdr>
        </w:div>
        <w:div w:id="1858345148">
          <w:marLeft w:val="0"/>
          <w:marRight w:val="0"/>
          <w:marTop w:val="0"/>
          <w:marBottom w:val="80"/>
          <w:divBdr>
            <w:top w:val="none" w:sz="0" w:space="0" w:color="auto"/>
            <w:left w:val="none" w:sz="0" w:space="0" w:color="auto"/>
            <w:bottom w:val="none" w:sz="0" w:space="0" w:color="auto"/>
            <w:right w:val="none" w:sz="0" w:space="0" w:color="auto"/>
          </w:divBdr>
        </w:div>
      </w:divsChild>
    </w:div>
    <w:div w:id="243422204">
      <w:bodyDiv w:val="1"/>
      <w:marLeft w:val="0"/>
      <w:marRight w:val="0"/>
      <w:marTop w:val="0"/>
      <w:marBottom w:val="0"/>
      <w:divBdr>
        <w:top w:val="none" w:sz="0" w:space="0" w:color="auto"/>
        <w:left w:val="none" w:sz="0" w:space="0" w:color="auto"/>
        <w:bottom w:val="none" w:sz="0" w:space="0" w:color="auto"/>
        <w:right w:val="none" w:sz="0" w:space="0" w:color="auto"/>
      </w:divBdr>
    </w:div>
    <w:div w:id="252395906">
      <w:bodyDiv w:val="1"/>
      <w:marLeft w:val="0"/>
      <w:marRight w:val="0"/>
      <w:marTop w:val="0"/>
      <w:marBottom w:val="0"/>
      <w:divBdr>
        <w:top w:val="none" w:sz="0" w:space="0" w:color="auto"/>
        <w:left w:val="none" w:sz="0" w:space="0" w:color="auto"/>
        <w:bottom w:val="none" w:sz="0" w:space="0" w:color="auto"/>
        <w:right w:val="none" w:sz="0" w:space="0" w:color="auto"/>
      </w:divBdr>
    </w:div>
    <w:div w:id="346713695">
      <w:bodyDiv w:val="1"/>
      <w:marLeft w:val="0"/>
      <w:marRight w:val="0"/>
      <w:marTop w:val="0"/>
      <w:marBottom w:val="0"/>
      <w:divBdr>
        <w:top w:val="none" w:sz="0" w:space="0" w:color="auto"/>
        <w:left w:val="none" w:sz="0" w:space="0" w:color="auto"/>
        <w:bottom w:val="none" w:sz="0" w:space="0" w:color="auto"/>
        <w:right w:val="none" w:sz="0" w:space="0" w:color="auto"/>
      </w:divBdr>
    </w:div>
    <w:div w:id="443157415">
      <w:bodyDiv w:val="1"/>
      <w:marLeft w:val="0"/>
      <w:marRight w:val="0"/>
      <w:marTop w:val="0"/>
      <w:marBottom w:val="0"/>
      <w:divBdr>
        <w:top w:val="none" w:sz="0" w:space="0" w:color="auto"/>
        <w:left w:val="none" w:sz="0" w:space="0" w:color="auto"/>
        <w:bottom w:val="none" w:sz="0" w:space="0" w:color="auto"/>
        <w:right w:val="none" w:sz="0" w:space="0" w:color="auto"/>
      </w:divBdr>
      <w:divsChild>
        <w:div w:id="1052272760">
          <w:marLeft w:val="1080"/>
          <w:marRight w:val="0"/>
          <w:marTop w:val="0"/>
          <w:marBottom w:val="70"/>
          <w:divBdr>
            <w:top w:val="none" w:sz="0" w:space="0" w:color="auto"/>
            <w:left w:val="none" w:sz="0" w:space="0" w:color="auto"/>
            <w:bottom w:val="none" w:sz="0" w:space="0" w:color="auto"/>
            <w:right w:val="none" w:sz="0" w:space="0" w:color="auto"/>
          </w:divBdr>
        </w:div>
        <w:div w:id="1587376400">
          <w:marLeft w:val="1080"/>
          <w:marRight w:val="0"/>
          <w:marTop w:val="0"/>
          <w:marBottom w:val="70"/>
          <w:divBdr>
            <w:top w:val="none" w:sz="0" w:space="0" w:color="auto"/>
            <w:left w:val="none" w:sz="0" w:space="0" w:color="auto"/>
            <w:bottom w:val="none" w:sz="0" w:space="0" w:color="auto"/>
            <w:right w:val="none" w:sz="0" w:space="0" w:color="auto"/>
          </w:divBdr>
        </w:div>
      </w:divsChild>
    </w:div>
    <w:div w:id="444617135">
      <w:bodyDiv w:val="1"/>
      <w:marLeft w:val="0"/>
      <w:marRight w:val="0"/>
      <w:marTop w:val="0"/>
      <w:marBottom w:val="0"/>
      <w:divBdr>
        <w:top w:val="none" w:sz="0" w:space="0" w:color="auto"/>
        <w:left w:val="none" w:sz="0" w:space="0" w:color="auto"/>
        <w:bottom w:val="none" w:sz="0" w:space="0" w:color="auto"/>
        <w:right w:val="none" w:sz="0" w:space="0" w:color="auto"/>
      </w:divBdr>
    </w:div>
    <w:div w:id="469790893">
      <w:bodyDiv w:val="1"/>
      <w:marLeft w:val="0"/>
      <w:marRight w:val="0"/>
      <w:marTop w:val="0"/>
      <w:marBottom w:val="0"/>
      <w:divBdr>
        <w:top w:val="none" w:sz="0" w:space="0" w:color="auto"/>
        <w:left w:val="none" w:sz="0" w:space="0" w:color="auto"/>
        <w:bottom w:val="none" w:sz="0" w:space="0" w:color="auto"/>
        <w:right w:val="none" w:sz="0" w:space="0" w:color="auto"/>
      </w:divBdr>
    </w:div>
    <w:div w:id="551307616">
      <w:bodyDiv w:val="1"/>
      <w:marLeft w:val="0"/>
      <w:marRight w:val="0"/>
      <w:marTop w:val="0"/>
      <w:marBottom w:val="0"/>
      <w:divBdr>
        <w:top w:val="none" w:sz="0" w:space="0" w:color="auto"/>
        <w:left w:val="none" w:sz="0" w:space="0" w:color="auto"/>
        <w:bottom w:val="none" w:sz="0" w:space="0" w:color="auto"/>
        <w:right w:val="none" w:sz="0" w:space="0" w:color="auto"/>
      </w:divBdr>
    </w:div>
    <w:div w:id="707528906">
      <w:bodyDiv w:val="1"/>
      <w:marLeft w:val="0"/>
      <w:marRight w:val="0"/>
      <w:marTop w:val="0"/>
      <w:marBottom w:val="0"/>
      <w:divBdr>
        <w:top w:val="none" w:sz="0" w:space="0" w:color="auto"/>
        <w:left w:val="none" w:sz="0" w:space="0" w:color="auto"/>
        <w:bottom w:val="none" w:sz="0" w:space="0" w:color="auto"/>
        <w:right w:val="none" w:sz="0" w:space="0" w:color="auto"/>
      </w:divBdr>
    </w:div>
    <w:div w:id="801728257">
      <w:bodyDiv w:val="1"/>
      <w:marLeft w:val="0"/>
      <w:marRight w:val="0"/>
      <w:marTop w:val="0"/>
      <w:marBottom w:val="0"/>
      <w:divBdr>
        <w:top w:val="none" w:sz="0" w:space="0" w:color="auto"/>
        <w:left w:val="none" w:sz="0" w:space="0" w:color="auto"/>
        <w:bottom w:val="none" w:sz="0" w:space="0" w:color="auto"/>
        <w:right w:val="none" w:sz="0" w:space="0" w:color="auto"/>
      </w:divBdr>
    </w:div>
    <w:div w:id="1097677908">
      <w:bodyDiv w:val="1"/>
      <w:marLeft w:val="0"/>
      <w:marRight w:val="0"/>
      <w:marTop w:val="0"/>
      <w:marBottom w:val="0"/>
      <w:divBdr>
        <w:top w:val="none" w:sz="0" w:space="0" w:color="auto"/>
        <w:left w:val="none" w:sz="0" w:space="0" w:color="auto"/>
        <w:bottom w:val="none" w:sz="0" w:space="0" w:color="auto"/>
        <w:right w:val="none" w:sz="0" w:space="0" w:color="auto"/>
      </w:divBdr>
    </w:div>
    <w:div w:id="1142383322">
      <w:bodyDiv w:val="1"/>
      <w:marLeft w:val="0"/>
      <w:marRight w:val="0"/>
      <w:marTop w:val="0"/>
      <w:marBottom w:val="0"/>
      <w:divBdr>
        <w:top w:val="none" w:sz="0" w:space="0" w:color="auto"/>
        <w:left w:val="none" w:sz="0" w:space="0" w:color="auto"/>
        <w:bottom w:val="none" w:sz="0" w:space="0" w:color="auto"/>
        <w:right w:val="none" w:sz="0" w:space="0" w:color="auto"/>
      </w:divBdr>
      <w:divsChild>
        <w:div w:id="1761220482">
          <w:marLeft w:val="0"/>
          <w:marRight w:val="0"/>
          <w:marTop w:val="0"/>
          <w:marBottom w:val="90"/>
          <w:divBdr>
            <w:top w:val="none" w:sz="0" w:space="0" w:color="auto"/>
            <w:left w:val="none" w:sz="0" w:space="0" w:color="auto"/>
            <w:bottom w:val="none" w:sz="0" w:space="0" w:color="auto"/>
            <w:right w:val="none" w:sz="0" w:space="0" w:color="auto"/>
          </w:divBdr>
        </w:div>
        <w:div w:id="1860044111">
          <w:marLeft w:val="0"/>
          <w:marRight w:val="0"/>
          <w:marTop w:val="0"/>
          <w:marBottom w:val="90"/>
          <w:divBdr>
            <w:top w:val="none" w:sz="0" w:space="0" w:color="auto"/>
            <w:left w:val="none" w:sz="0" w:space="0" w:color="auto"/>
            <w:bottom w:val="none" w:sz="0" w:space="0" w:color="auto"/>
            <w:right w:val="none" w:sz="0" w:space="0" w:color="auto"/>
          </w:divBdr>
        </w:div>
      </w:divsChild>
    </w:div>
    <w:div w:id="1338381238">
      <w:bodyDiv w:val="1"/>
      <w:marLeft w:val="0"/>
      <w:marRight w:val="0"/>
      <w:marTop w:val="0"/>
      <w:marBottom w:val="0"/>
      <w:divBdr>
        <w:top w:val="none" w:sz="0" w:space="0" w:color="auto"/>
        <w:left w:val="none" w:sz="0" w:space="0" w:color="auto"/>
        <w:bottom w:val="none" w:sz="0" w:space="0" w:color="auto"/>
        <w:right w:val="none" w:sz="0" w:space="0" w:color="auto"/>
      </w:divBdr>
    </w:div>
    <w:div w:id="1426800873">
      <w:bodyDiv w:val="1"/>
      <w:marLeft w:val="0"/>
      <w:marRight w:val="0"/>
      <w:marTop w:val="0"/>
      <w:marBottom w:val="0"/>
      <w:divBdr>
        <w:top w:val="none" w:sz="0" w:space="0" w:color="auto"/>
        <w:left w:val="none" w:sz="0" w:space="0" w:color="auto"/>
        <w:bottom w:val="none" w:sz="0" w:space="0" w:color="auto"/>
        <w:right w:val="none" w:sz="0" w:space="0" w:color="auto"/>
      </w:divBdr>
    </w:div>
    <w:div w:id="1427656257">
      <w:bodyDiv w:val="1"/>
      <w:marLeft w:val="0"/>
      <w:marRight w:val="0"/>
      <w:marTop w:val="0"/>
      <w:marBottom w:val="0"/>
      <w:divBdr>
        <w:top w:val="none" w:sz="0" w:space="0" w:color="auto"/>
        <w:left w:val="none" w:sz="0" w:space="0" w:color="auto"/>
        <w:bottom w:val="none" w:sz="0" w:space="0" w:color="auto"/>
        <w:right w:val="none" w:sz="0" w:space="0" w:color="auto"/>
      </w:divBdr>
    </w:div>
    <w:div w:id="1531458147">
      <w:bodyDiv w:val="1"/>
      <w:marLeft w:val="0"/>
      <w:marRight w:val="0"/>
      <w:marTop w:val="0"/>
      <w:marBottom w:val="0"/>
      <w:divBdr>
        <w:top w:val="none" w:sz="0" w:space="0" w:color="auto"/>
        <w:left w:val="none" w:sz="0" w:space="0" w:color="auto"/>
        <w:bottom w:val="none" w:sz="0" w:space="0" w:color="auto"/>
        <w:right w:val="none" w:sz="0" w:space="0" w:color="auto"/>
      </w:divBdr>
    </w:div>
    <w:div w:id="1664628005">
      <w:bodyDiv w:val="1"/>
      <w:marLeft w:val="0"/>
      <w:marRight w:val="0"/>
      <w:marTop w:val="0"/>
      <w:marBottom w:val="0"/>
      <w:divBdr>
        <w:top w:val="none" w:sz="0" w:space="0" w:color="auto"/>
        <w:left w:val="none" w:sz="0" w:space="0" w:color="auto"/>
        <w:bottom w:val="none" w:sz="0" w:space="0" w:color="auto"/>
        <w:right w:val="none" w:sz="0" w:space="0" w:color="auto"/>
      </w:divBdr>
    </w:div>
    <w:div w:id="1804227137">
      <w:bodyDiv w:val="1"/>
      <w:marLeft w:val="0"/>
      <w:marRight w:val="0"/>
      <w:marTop w:val="0"/>
      <w:marBottom w:val="0"/>
      <w:divBdr>
        <w:top w:val="none" w:sz="0" w:space="0" w:color="auto"/>
        <w:left w:val="none" w:sz="0" w:space="0" w:color="auto"/>
        <w:bottom w:val="none" w:sz="0" w:space="0" w:color="auto"/>
        <w:right w:val="none" w:sz="0" w:space="0" w:color="auto"/>
      </w:divBdr>
      <w:divsChild>
        <w:div w:id="95758251">
          <w:marLeft w:val="1080"/>
          <w:marRight w:val="0"/>
          <w:marTop w:val="0"/>
          <w:marBottom w:val="70"/>
          <w:divBdr>
            <w:top w:val="none" w:sz="0" w:space="0" w:color="auto"/>
            <w:left w:val="none" w:sz="0" w:space="0" w:color="auto"/>
            <w:bottom w:val="none" w:sz="0" w:space="0" w:color="auto"/>
            <w:right w:val="none" w:sz="0" w:space="0" w:color="auto"/>
          </w:divBdr>
        </w:div>
        <w:div w:id="1772360222">
          <w:marLeft w:val="1080"/>
          <w:marRight w:val="0"/>
          <w:marTop w:val="0"/>
          <w:marBottom w:val="70"/>
          <w:divBdr>
            <w:top w:val="none" w:sz="0" w:space="0" w:color="auto"/>
            <w:left w:val="none" w:sz="0" w:space="0" w:color="auto"/>
            <w:bottom w:val="none" w:sz="0" w:space="0" w:color="auto"/>
            <w:right w:val="none" w:sz="0" w:space="0" w:color="auto"/>
          </w:divBdr>
        </w:div>
      </w:divsChild>
    </w:div>
    <w:div w:id="1842505762">
      <w:bodyDiv w:val="1"/>
      <w:marLeft w:val="0"/>
      <w:marRight w:val="0"/>
      <w:marTop w:val="0"/>
      <w:marBottom w:val="0"/>
      <w:divBdr>
        <w:top w:val="none" w:sz="0" w:space="0" w:color="auto"/>
        <w:left w:val="none" w:sz="0" w:space="0" w:color="auto"/>
        <w:bottom w:val="none" w:sz="0" w:space="0" w:color="auto"/>
        <w:right w:val="none" w:sz="0" w:space="0" w:color="auto"/>
      </w:divBdr>
    </w:div>
    <w:div w:id="1874266301">
      <w:bodyDiv w:val="1"/>
      <w:marLeft w:val="0"/>
      <w:marRight w:val="0"/>
      <w:marTop w:val="0"/>
      <w:marBottom w:val="0"/>
      <w:divBdr>
        <w:top w:val="none" w:sz="0" w:space="0" w:color="auto"/>
        <w:left w:val="none" w:sz="0" w:space="0" w:color="auto"/>
        <w:bottom w:val="none" w:sz="0" w:space="0" w:color="auto"/>
        <w:right w:val="none" w:sz="0" w:space="0" w:color="auto"/>
      </w:divBdr>
    </w:div>
    <w:div w:id="204702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citc.gov.sa/en/new/publicConsultation/Pages/a37.aspx" TargetMode="External"/><Relationship Id="rId2" Type="http://schemas.openxmlformats.org/officeDocument/2006/relationships/hyperlink" Target="https://www.imda.gov.sg/~/media/imda/files/regulation%20licensing%20and%20consultations/codes%20of%20practice%20and%20guidelines/5%20revisedasg.pdf?la=en" TargetMode="External"/><Relationship Id="rId1" Type="http://schemas.openxmlformats.org/officeDocument/2006/relationships/hyperlink" Target="https://www.ursec.gub.uy/wps/wcm/connect/ursec/8eed19c8-e802-4808-ae87-ec9836457c9e/Reglamento+Contabilidad+Separada.pdf?MOD=AJPERES&amp;CONVERT_TO=url&amp;CACHEID=8eed19c8-e802-4808-ae87-ec9836457c9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7623759B9FF541BE82F474C680BACE" ma:contentTypeVersion="4" ma:contentTypeDescription="Crear nuevo documento." ma:contentTypeScope="" ma:versionID="5520aec7380b5ade8aac52fc02f29716">
  <xsd:schema xmlns:xsd="http://www.w3.org/2001/XMLSchema" xmlns:xs="http://www.w3.org/2001/XMLSchema" xmlns:p="http://schemas.microsoft.com/office/2006/metadata/properties" xmlns:ns2="0982e5c8-bccb-4584-9f6e-05bf2d5c7ac0" targetNamespace="http://schemas.microsoft.com/office/2006/metadata/properties" ma:root="true" ma:fieldsID="d1a5eccbe519bb858dd2cfc11def09b6" ns2:_="">
    <xsd:import namespace="0982e5c8-bccb-4584-9f6e-05bf2d5c7ac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2e5c8-bccb-4584-9f6e-05bf2d5c7ac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description=""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41F79-C71D-4410-8995-EBF39BFE8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2e5c8-bccb-4584-9f6e-05bf2d5c7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AF84B-2CB1-4210-81BF-F66AE6BAAE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371C39-6466-452B-A662-BC7FD4CF42E6}">
  <ds:schemaRefs>
    <ds:schemaRef ds:uri="http://schemas.microsoft.com/sharepoint/v3/contenttype/forms"/>
  </ds:schemaRefs>
</ds:datastoreItem>
</file>

<file path=customXml/itemProps4.xml><?xml version="1.0" encoding="utf-8"?>
<ds:datastoreItem xmlns:ds="http://schemas.openxmlformats.org/officeDocument/2006/customXml" ds:itemID="{70CD5140-0F98-450A-87E1-BD7D9772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116</Pages>
  <Words>34554</Words>
  <Characters>190052</Characters>
  <Application>Microsoft Office Word</Application>
  <DocSecurity>0</DocSecurity>
  <Lines>1583</Lines>
  <Paragraphs>448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dc:creator>
  <cp:keywords/>
  <dc:description/>
  <cp:lastModifiedBy>UPR</cp:lastModifiedBy>
  <cp:revision>11</cp:revision>
  <dcterms:created xsi:type="dcterms:W3CDTF">2017-06-07T02:38:00Z</dcterms:created>
  <dcterms:modified xsi:type="dcterms:W3CDTF">2017-06-07T03:01:00Z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0x010100C67623759B9FF541BE82F474C680BACE</vt:lpwstr>
  </property>
</Properties>
</file>