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1B" w:rsidRPr="00BB33CC" w:rsidRDefault="00A1321B" w:rsidP="00172B5F">
      <w:pPr>
        <w:pStyle w:val="Ttulo1"/>
        <w:jc w:val="both"/>
      </w:pPr>
      <w:bookmarkStart w:id="0" w:name="_Toc484022078"/>
      <w:r w:rsidRPr="00BB33CC">
        <w:t>ACUERDO MEDIANTE EL CUAL EL PLENO DEL INSTITUTO FEDERAL DE TELECOMUNICACIONES EXPIDE LA METODOLOGÍA DE SEPARACIÓN CONTABLE APLICABLE A LOS AGENTES ECONÓMICOS PREPONDERANTES, AGENTES DECLARADOS CON PODER SUSTANCIAL DE MERCADO Y REDES COMPARTIDAS</w:t>
      </w:r>
      <w:r w:rsidR="00FA77C5" w:rsidRPr="00BB33CC">
        <w:t xml:space="preserve"> MAYORISTAS</w:t>
      </w:r>
      <w:r w:rsidRPr="00BB33CC">
        <w:t>.</w:t>
      </w:r>
      <w:bookmarkEnd w:id="0"/>
    </w:p>
    <w:p w:rsidR="00A1321B" w:rsidRPr="00BB33CC" w:rsidRDefault="00A1321B" w:rsidP="00A1321B">
      <w:pPr>
        <w:pStyle w:val="Ttulo1"/>
      </w:pPr>
      <w:bookmarkStart w:id="1" w:name="_Toc484022079"/>
      <w:r w:rsidRPr="00BB33CC">
        <w:t>ANTECEDENTES</w:t>
      </w:r>
      <w:bookmarkEnd w:id="1"/>
    </w:p>
    <w:p w:rsidR="00A1321B" w:rsidRPr="00BB33CC" w:rsidRDefault="00A1321B" w:rsidP="005B354F">
      <w:pPr>
        <w:pStyle w:val="Antecedentes"/>
        <w:numPr>
          <w:ilvl w:val="0"/>
          <w:numId w:val="224"/>
        </w:numPr>
        <w:spacing w:after="0"/>
      </w:pPr>
      <w:r w:rsidRPr="00BB33CC">
        <w:rPr>
          <w:b/>
          <w:bCs/>
          <w:color w:val="000000" w:themeColor="text1"/>
          <w:shd w:val="clear" w:color="auto" w:fill="FFFFFF"/>
        </w:rPr>
        <w:t>Resolución que expide el manual de criterios y metodología de separación contable</w:t>
      </w:r>
      <w:r w:rsidRPr="00BB33CC">
        <w:rPr>
          <w:b/>
        </w:rPr>
        <w:t>.</w:t>
      </w:r>
      <w:r w:rsidR="00E0013E" w:rsidRPr="00BB33CC">
        <w:rPr>
          <w:b/>
        </w:rPr>
        <w:t>-</w:t>
      </w:r>
      <w:r w:rsidRPr="00BB33CC">
        <w:t xml:space="preserve"> El 22 de marzo de 2013, la </w:t>
      </w:r>
      <w:r w:rsidR="00AA071C" w:rsidRPr="00BB33CC">
        <w:t xml:space="preserve">extinta </w:t>
      </w:r>
      <w:r w:rsidRPr="00BB33CC">
        <w:t>Comisión Federal de Telecomunicaciones (en lo sucesivo, la “COFETEL”) publicó en el Diario Oficial de la Federación (en lo sucesivo, el “DOF”) la “</w:t>
      </w:r>
      <w:r w:rsidRPr="00BB33CC">
        <w:rPr>
          <w:i/>
          <w:iCs/>
        </w:rPr>
        <w:t>Resolución por la que el Pleno de la Comisión Federal de Telecomunicaciones expide el Manual que provee los criterios y metodología de separación contable por servicio, aplicable a los concesionarios de redes públicas de telecomunicaciones</w:t>
      </w:r>
      <w:r w:rsidRPr="00BB33CC">
        <w:t xml:space="preserve">” (en lo sucesivo, la “Resolución de 2013”), </w:t>
      </w:r>
      <w:r w:rsidRPr="00BB33CC">
        <w:rPr>
          <w:bCs/>
          <w:color w:val="000000" w:themeColor="text1"/>
          <w:shd w:val="clear" w:color="auto" w:fill="FFFFFF"/>
        </w:rPr>
        <w:t>a través de la cual se establec</w:t>
      </w:r>
      <w:r w:rsidR="00E0267D" w:rsidRPr="00BB33CC">
        <w:rPr>
          <w:bCs/>
          <w:color w:val="000000" w:themeColor="text1"/>
          <w:shd w:val="clear" w:color="auto" w:fill="FFFFFF"/>
        </w:rPr>
        <w:t>i</w:t>
      </w:r>
      <w:r w:rsidR="00995769" w:rsidRPr="00BB33CC">
        <w:rPr>
          <w:bCs/>
          <w:color w:val="000000" w:themeColor="text1"/>
          <w:shd w:val="clear" w:color="auto" w:fill="FFFFFF"/>
        </w:rPr>
        <w:t>ó</w:t>
      </w:r>
      <w:r w:rsidRPr="00BB33CC">
        <w:rPr>
          <w:bCs/>
          <w:color w:val="000000" w:themeColor="text1"/>
          <w:shd w:val="clear" w:color="auto" w:fill="FFFFFF"/>
        </w:rPr>
        <w:t xml:space="preserve"> la metodología para la entrega de información contable de los concesionarios de redes públicas de telecomunicaciones</w:t>
      </w:r>
      <w:r w:rsidRPr="00BB33CC">
        <w:t>.</w:t>
      </w:r>
      <w:bookmarkStart w:id="2" w:name="_GoBack"/>
      <w:bookmarkEnd w:id="2"/>
    </w:p>
    <w:p w:rsidR="00664F3A" w:rsidRPr="00BB33CC" w:rsidRDefault="00664F3A" w:rsidP="005B354F">
      <w:pPr>
        <w:pStyle w:val="Antecedentes"/>
        <w:numPr>
          <w:ilvl w:val="0"/>
          <w:numId w:val="224"/>
        </w:numPr>
        <w:spacing w:after="0"/>
        <w:rPr>
          <w:rFonts w:eastAsia="Times New Roman"/>
          <w:b/>
          <w:lang w:val="es-ES" w:eastAsia="es-ES"/>
        </w:rPr>
      </w:pPr>
      <w:r w:rsidRPr="00BB33CC">
        <w:rPr>
          <w:rFonts w:eastAsia="Times New Roman"/>
          <w:b/>
          <w:lang w:val="es-ES" w:eastAsia="es-ES"/>
        </w:rPr>
        <w:t xml:space="preserve">Decreto de Reforma Constitucional.- </w:t>
      </w:r>
      <w:r w:rsidRPr="00BB33CC">
        <w:rPr>
          <w:rFonts w:eastAsia="Times New Roman"/>
          <w:lang w:val="es-ES" w:eastAsia="es-ES"/>
        </w:rPr>
        <w:t xml:space="preserve">El 11 de junio de 2013 fue publicado en el DOF el “Decreto por el que se reforman y adicionan diversas disposiciones de los artículos </w:t>
      </w:r>
      <w:r w:rsidR="006111D2" w:rsidRPr="00BB33CC">
        <w:rPr>
          <w:rFonts w:eastAsia="Times New Roman"/>
          <w:i/>
          <w:lang w:val="es-ES" w:eastAsia="es-ES"/>
        </w:rPr>
        <w:t>6o., 7o.,</w:t>
      </w:r>
      <w:r w:rsidRPr="00BB33CC">
        <w:rPr>
          <w:rFonts w:eastAsia="Times New Roman"/>
          <w:lang w:val="es-ES" w:eastAsia="es-ES"/>
        </w:rPr>
        <w:t xml:space="preserve"> 27, 28, 73, 78, 94 y 105 de la Constitución Política de los Estados Unidos Mexicanos, en materia de telecomunicaciones” (en lo sucesivo, el “Decreto”),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664F3A" w:rsidRPr="00BB33CC" w:rsidRDefault="00664F3A" w:rsidP="00664F3A">
      <w:pPr>
        <w:pStyle w:val="Antecedentes"/>
        <w:numPr>
          <w:ilvl w:val="0"/>
          <w:numId w:val="224"/>
        </w:numPr>
        <w:spacing w:after="0"/>
      </w:pPr>
      <w:r w:rsidRPr="00BB33CC">
        <w:rPr>
          <w:b/>
        </w:rPr>
        <w:t>Decreto por el</w:t>
      </w:r>
      <w:r w:rsidR="00D63A70" w:rsidRPr="00BB33CC">
        <w:rPr>
          <w:b/>
        </w:rPr>
        <w:t xml:space="preserve"> </w:t>
      </w:r>
      <w:r w:rsidRPr="00BB33CC">
        <w:rPr>
          <w:b/>
        </w:rPr>
        <w:t xml:space="preserve">que se expide la Ley Federal de Telecomunicaciones y Radiodifusión.- </w:t>
      </w:r>
      <w:r w:rsidRPr="00BB33CC">
        <w:t xml:space="preserve">El 14 de julio de 2014, fue publicado en el DOF el </w:t>
      </w:r>
      <w:r w:rsidRPr="00BB33CC">
        <w:rPr>
          <w:i/>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BB33CC">
        <w:t>mediante el cual se expidió la Ley Federal de Telecomunicaciones y Radiodifusión (en lo sucesivo, la “LFTR”).</w:t>
      </w:r>
    </w:p>
    <w:p w:rsidR="00664F3A" w:rsidRPr="00BB33CC" w:rsidRDefault="00664F3A" w:rsidP="00664F3A">
      <w:pPr>
        <w:pStyle w:val="Antecedentes"/>
        <w:numPr>
          <w:ilvl w:val="0"/>
          <w:numId w:val="224"/>
        </w:numPr>
        <w:spacing w:after="0"/>
      </w:pPr>
      <w:r w:rsidRPr="00BB33CC">
        <w:rPr>
          <w:b/>
        </w:rPr>
        <w:lastRenderedPageBreak/>
        <w:t xml:space="preserve">Estatuto Orgánico.- </w:t>
      </w:r>
      <w:r w:rsidRPr="00BB33CC">
        <w:t>El 4 de septiembre de 2014, se publicó en el DOF el “</w:t>
      </w:r>
      <w:r w:rsidRPr="00BB33CC">
        <w:rPr>
          <w:i/>
        </w:rPr>
        <w:t>Estatuto Orgánico del Instituto Federal de Telecomunicaciones</w:t>
      </w:r>
      <w:r w:rsidRPr="00BB33CC">
        <w:t xml:space="preserve">” (en lo sucesivo, el “Estatuto”), mismo que entró en vigor el 26 de septiembre de 2014 y fue modificado </w:t>
      </w:r>
      <w:r w:rsidRPr="00BB33CC">
        <w:rPr>
          <w:lang w:val="es-ES_tradnl"/>
        </w:rPr>
        <w:t>mediante publicaciones en el medio de difusión citado, el 17 de octubre de 2014, el 17 de octubre de 2016 y el 20 de julio de 2017</w:t>
      </w:r>
      <w:r w:rsidRPr="00BB33CC">
        <w:t>.</w:t>
      </w:r>
    </w:p>
    <w:p w:rsidR="006679F9" w:rsidRPr="00BB33CC" w:rsidRDefault="00664F3A" w:rsidP="005B354F">
      <w:pPr>
        <w:pStyle w:val="Antecedentes"/>
        <w:numPr>
          <w:ilvl w:val="0"/>
          <w:numId w:val="224"/>
        </w:numPr>
        <w:spacing w:after="0"/>
      </w:pPr>
      <w:r w:rsidRPr="00BB33CC">
        <w:rPr>
          <w:b/>
        </w:rPr>
        <w:t>Consulta Pública.-</w:t>
      </w:r>
      <w:r w:rsidRPr="00BB33CC">
        <w:t xml:space="preserve"> El 31 de mayo de 2017, el Pleno del Instituto en su XX Sesión Ordinaria aprobó mediante acuerdo P/IFT/310517/279 el “ACUERDO MEDIANTE EL CUAL EL PLENO DEL INSTITUTO FEDERAL DE TELECOMUNICACIONES </w:t>
      </w:r>
      <w:r w:rsidR="006111D2" w:rsidRPr="00BB33CC">
        <w:t>SOMETE</w:t>
      </w:r>
      <w:r w:rsidRPr="00BB33CC">
        <w:t xml:space="preserve"> A CONSULTA PÚBLICA EL ANTEPROYECTO DE METODOLOGÍA DE SEPARACIÓN CONTABLE APLICABLE A LOS AGENTES ECONÓMICOS PREPONDERANTES, AGENTES DECLARADOS CON PODER SUSTANCIAL DE MERCADO Y REDES COMPARTIDAS.”</w:t>
      </w:r>
      <w:r w:rsidR="006111D2" w:rsidRPr="00BB33CC">
        <w:t>.</w:t>
      </w:r>
      <w:r w:rsidRPr="00BB33CC">
        <w:t xml:space="preserve"> </w:t>
      </w:r>
      <w:r w:rsidR="006111D2" w:rsidRPr="00BB33CC">
        <w:t xml:space="preserve">Dicha  consulta pública </w:t>
      </w:r>
      <w:r w:rsidRPr="00BB33CC">
        <w:t>se llevó a cabo del 7 de junio al 1 de agosto de 2017.</w:t>
      </w:r>
      <w:r w:rsidR="00DC127E" w:rsidRPr="00BB33CC">
        <w:t xml:space="preserve"> </w:t>
      </w:r>
    </w:p>
    <w:p w:rsidR="00664F3A" w:rsidRPr="00BB33CC" w:rsidRDefault="006679F9" w:rsidP="005B354F">
      <w:pPr>
        <w:pStyle w:val="Antecedentes"/>
        <w:numPr>
          <w:ilvl w:val="0"/>
          <w:numId w:val="224"/>
        </w:numPr>
        <w:spacing w:after="0"/>
      </w:pPr>
      <w:r w:rsidRPr="00BB33CC">
        <w:rPr>
          <w:b/>
        </w:rPr>
        <w:t>Opinión del Centro de Estudios.</w:t>
      </w:r>
      <w:r w:rsidR="00E0013E" w:rsidRPr="00BB33CC">
        <w:rPr>
          <w:b/>
        </w:rPr>
        <w:t>-</w:t>
      </w:r>
      <w:r w:rsidRPr="00BB33CC">
        <w:rPr>
          <w:b/>
        </w:rPr>
        <w:t xml:space="preserve"> </w:t>
      </w:r>
      <w:r w:rsidRPr="00BB33CC">
        <w:t>El 31 de mayo de 2017, el Pleno del Instituto en su XX Sesión Ordinaria solicitó opinión al Centro de Estudios del Instituto. M</w:t>
      </w:r>
      <w:r w:rsidR="00DC127E" w:rsidRPr="00BB33CC">
        <w:t>ediante oficio IFT/100/PLENO/STP/1743/2017, emitido por la Secretaría Técnica del Pleno, se dio vista del acuerdo P/IFT/310517/279 al Centro de Estudios del mismo Instituto con la finalidad de que éste emitiera su opinión técnica respecto al “ACUERDO MEDIANTE EL CUAL EL PLENO DEL INSTITUTO FEDERAL DE TELECOMUNICACIONES SOMETE A CONSULTA PÚBLICA EL ANTEPROYECTO DE METODOLOGÍA DE SEPARACIÓN CONTABLE APLICABLE A LOS AGENTES ECONÓMICOS PREPONDERANTES, AGENTES DECLARADOS CON PODER SUSTANCIAL DE MERCADO Y REDES COMPARTIDAS.” Así, mediante oficio IFT/230/CES/052/2017 fechado el 5 de julio de 2017, el Centro de Estudios del Instituto remitió su opinión técnica a la Unidad de Política Regulatoria.</w:t>
      </w:r>
    </w:p>
    <w:p w:rsidR="007B7B7E" w:rsidRPr="00BB33CC" w:rsidRDefault="007B7B7E">
      <w:pPr>
        <w:pStyle w:val="Antecedentes"/>
        <w:numPr>
          <w:ilvl w:val="0"/>
          <w:numId w:val="224"/>
        </w:numPr>
        <w:spacing w:after="0"/>
        <w:rPr>
          <w:lang w:val="es-ES_tradnl"/>
        </w:rPr>
      </w:pPr>
      <w:r w:rsidRPr="00BB33CC">
        <w:rPr>
          <w:b/>
          <w:lang w:val="es-ES_tradnl"/>
        </w:rPr>
        <w:t>Análisis de Impacto Regulatorio.-</w:t>
      </w:r>
      <w:r w:rsidRPr="00BB33CC">
        <w:rPr>
          <w:lang w:val="es-ES_tradnl"/>
        </w:rPr>
        <w:t xml:space="preserve"> El </w:t>
      </w:r>
      <w:r w:rsidR="00537068" w:rsidRPr="00BB33CC">
        <w:rPr>
          <w:lang w:val="es-ES_tradnl"/>
        </w:rPr>
        <w:t>1°</w:t>
      </w:r>
      <w:r w:rsidRPr="00BB33CC">
        <w:rPr>
          <w:lang w:val="es-ES_tradnl"/>
        </w:rPr>
        <w:t xml:space="preserve"> de </w:t>
      </w:r>
      <w:r w:rsidR="00537068" w:rsidRPr="00BB33CC">
        <w:rPr>
          <w:lang w:val="es-ES_tradnl"/>
        </w:rPr>
        <w:t>diciembre</w:t>
      </w:r>
      <w:r w:rsidR="00E0013E" w:rsidRPr="00BB33CC">
        <w:rPr>
          <w:lang w:val="es-ES_tradnl"/>
        </w:rPr>
        <w:t xml:space="preserve"> </w:t>
      </w:r>
      <w:r w:rsidRPr="00BB33CC">
        <w:rPr>
          <w:lang w:val="es-ES_tradnl"/>
        </w:rPr>
        <w:t xml:space="preserve">de 2017, la Unidad de Política Regulatoria del Instituto sometió formalmente a opinión no vinculante de la Coordinación General de Mejora Regulatoria del Instituto el Análisis de Impacto Regulatorio correspondiente. Al respecto, el </w:t>
      </w:r>
      <w:r w:rsidR="0094163F" w:rsidRPr="00BB33CC">
        <w:rPr>
          <w:lang w:val="es-ES_tradnl"/>
        </w:rPr>
        <w:t>8</w:t>
      </w:r>
      <w:r w:rsidRPr="00BB33CC">
        <w:rPr>
          <w:lang w:val="es-ES_tradnl"/>
        </w:rPr>
        <w:t xml:space="preserve"> de </w:t>
      </w:r>
      <w:r w:rsidR="0094163F" w:rsidRPr="00BB33CC">
        <w:rPr>
          <w:lang w:val="es-ES_tradnl"/>
        </w:rPr>
        <w:t xml:space="preserve">diciembre </w:t>
      </w:r>
      <w:r w:rsidRPr="00BB33CC">
        <w:rPr>
          <w:lang w:val="es-ES_tradnl"/>
        </w:rPr>
        <w:t xml:space="preserve">de 2017, la Coordinación General de Mejora Regulatoria emitió, mediante oficio </w:t>
      </w:r>
      <w:r w:rsidR="0094163F" w:rsidRPr="00BB33CC">
        <w:rPr>
          <w:lang w:val="es-ES_tradnl"/>
        </w:rPr>
        <w:t>IFT/211/CGMR/171/2017</w:t>
      </w:r>
      <w:r w:rsidRPr="00BB33CC">
        <w:rPr>
          <w:lang w:val="es-ES_tradnl"/>
        </w:rPr>
        <w:t>, la opinión no vinculante respecto del proyecto de “ACUERDO MEDIANTE EL CUAL EL PLENO DEL INSTITUTO FEDERAL DE TELECOMUNICACIONES EXPIDE LA METODOLOGÍA DE SEPARACIÓN CONTABLE APLICABLE A LOS AGENTES ECONÓMICOS PREPONDERANTES, AGENTES DECLARADOS CON PODER SUSTANCIAL DE MERCADO Y REDES COMPARTIDAS.”</w:t>
      </w:r>
    </w:p>
    <w:p w:rsidR="00BB5DA7" w:rsidRPr="00BB33CC" w:rsidRDefault="00BB5DA7" w:rsidP="005B354F">
      <w:pPr>
        <w:pStyle w:val="Antecedentes"/>
        <w:numPr>
          <w:ilvl w:val="0"/>
          <w:numId w:val="0"/>
        </w:numPr>
        <w:spacing w:after="0"/>
        <w:ind w:left="720"/>
        <w:rPr>
          <w:lang w:val="es-ES_tradnl"/>
        </w:rPr>
      </w:pPr>
    </w:p>
    <w:p w:rsidR="00664F3A" w:rsidRPr="00BB33CC" w:rsidRDefault="00664F3A" w:rsidP="00664F3A">
      <w:pPr>
        <w:jc w:val="both"/>
      </w:pPr>
      <w:r w:rsidRPr="00BB33CC">
        <w:rPr>
          <w:rFonts w:ascii="ITC Avant Garde" w:hAnsi="ITC Avant Garde" w:cs="Arial"/>
        </w:rPr>
        <w:t>En virtud de los referidos Antecedentes señalados, y</w:t>
      </w:r>
    </w:p>
    <w:p w:rsidR="00A1321B" w:rsidRPr="00BB33CC" w:rsidRDefault="00A1321B" w:rsidP="00A1321B">
      <w:pPr>
        <w:pStyle w:val="Ttulo1"/>
      </w:pPr>
      <w:bookmarkStart w:id="3" w:name="_Toc484022080"/>
      <w:r w:rsidRPr="00BB33CC">
        <w:lastRenderedPageBreak/>
        <w:t>CONSIDERANDO</w:t>
      </w:r>
      <w:bookmarkEnd w:id="3"/>
    </w:p>
    <w:p w:rsidR="00A1321B" w:rsidRPr="00BB33CC" w:rsidRDefault="00664F3A" w:rsidP="00A1321B">
      <w:pPr>
        <w:pStyle w:val="Ttulo2"/>
      </w:pPr>
      <w:bookmarkStart w:id="4" w:name="_Toc484022081"/>
      <w:r w:rsidRPr="00BB33CC">
        <w:t>PRIMERO.- COMPETENCIA DEL INSTITUTO</w:t>
      </w:r>
      <w:bookmarkEnd w:id="4"/>
    </w:p>
    <w:p w:rsidR="00664F3A" w:rsidRPr="00BB33CC" w:rsidRDefault="00664F3A" w:rsidP="00664F3A">
      <w:pPr>
        <w:pStyle w:val="Normalresolucion"/>
      </w:pPr>
      <w:r w:rsidRPr="00BB33CC">
        <w:t>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664F3A" w:rsidRPr="00BB33CC" w:rsidRDefault="00664F3A" w:rsidP="00664F3A">
      <w:pPr>
        <w:pStyle w:val="Normalresolucion"/>
      </w:pPr>
      <w:r w:rsidRPr="00BB33CC">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664F3A" w:rsidRPr="00BB33CC" w:rsidRDefault="00664F3A" w:rsidP="00664F3A">
      <w:pPr>
        <w:pStyle w:val="Normalresolucion"/>
      </w:pPr>
      <w:r w:rsidRPr="00BB33CC">
        <w:t xml:space="preserve">Asimismo, de conformidad con el párrafo décimo sexto del ya mencionado artículo 28 de la Constitución, el Instituto es </w:t>
      </w:r>
      <w:r w:rsidR="00DC101B" w:rsidRPr="00BB33CC">
        <w:t xml:space="preserve">la </w:t>
      </w:r>
      <w:r w:rsidRPr="00BB33CC">
        <w:t>autoridad en materia de competencia económica de los sectores de radiodifusión y telecomunicaciones, por lo que en éstos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p>
    <w:p w:rsidR="00DB2D56" w:rsidRPr="00BB33CC" w:rsidRDefault="00DB2D56" w:rsidP="008D7963">
      <w:pPr>
        <w:pStyle w:val="Normalresolucion"/>
      </w:pPr>
      <w:r w:rsidRPr="00BB33CC">
        <w:t>De conformidad con el vigésimo párrafo, fracción IV del artículo 28 de la Constitución, el Instituto podrá emitir disposiciones administrativas de carácter general exclusivamente para el cumplimiento de su función regulatoria en el sector de su competencia.</w:t>
      </w:r>
    </w:p>
    <w:p w:rsidR="00A1321B" w:rsidRPr="00BB33CC" w:rsidRDefault="00AA071C" w:rsidP="00A1321B">
      <w:pPr>
        <w:pStyle w:val="Normalresolucion"/>
      </w:pPr>
      <w:r w:rsidRPr="00BB33CC">
        <w:t>En ese sentido</w:t>
      </w:r>
      <w:r w:rsidR="006A0040" w:rsidRPr="00BB33CC">
        <w:t>, e</w:t>
      </w:r>
      <w:r w:rsidR="00A1321B" w:rsidRPr="00BB33CC">
        <w:t>l artículo 15 fracción I de la L</w:t>
      </w:r>
      <w:r w:rsidR="00E0267D" w:rsidRPr="00BB33CC">
        <w:t>FTR</w:t>
      </w:r>
      <w:r w:rsidR="00A1321B" w:rsidRPr="00BB33CC">
        <w:t>, establece que es competencia del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w:t>
      </w:r>
      <w:r w:rsidR="006E3716" w:rsidRPr="00BB33CC">
        <w:t>FTR</w:t>
      </w:r>
      <w:r w:rsidR="00A1321B" w:rsidRPr="00BB33CC">
        <w:t>.</w:t>
      </w:r>
    </w:p>
    <w:p w:rsidR="00A1321B" w:rsidRPr="00BB33CC" w:rsidRDefault="00A1321B" w:rsidP="00A1321B">
      <w:pPr>
        <w:pStyle w:val="Normalresolucion"/>
      </w:pPr>
      <w:r w:rsidRPr="00BB33CC">
        <w:t>Por su parte, el artículo 292 de la L</w:t>
      </w:r>
      <w:r w:rsidR="006E3716" w:rsidRPr="00BB33CC">
        <w:t>FTR</w:t>
      </w:r>
      <w:r w:rsidRPr="00BB33CC">
        <w:t xml:space="preserve"> establece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Asimismo, señala que esta información se deberá presentar de acuerdo a la metodología, formato y periodicidad que para tal efecto establezca el Instituto.</w:t>
      </w:r>
    </w:p>
    <w:p w:rsidR="006111D2" w:rsidRPr="00BB33CC" w:rsidRDefault="006111D2" w:rsidP="006111D2">
      <w:pPr>
        <w:pStyle w:val="Normalresolucion"/>
      </w:pPr>
      <w:r w:rsidRPr="00BB33CC">
        <w:lastRenderedPageBreak/>
        <w:t>En términos de los artículos 6, fracción I, 19, fracción VI, 21, 22, fracción I, 23, fracción XXI y 24, fracción VIII del Estatuto, corresponde al Pleno del Instituto regular los servicios de telecomunicaciones y radiodifusión, y a la Unidad de Política Regulatoria, de conformidad con las atribuciones que originariamente le corresponden, proponer al Pleno las disposiciones administrativas de carácter general en materia de telecomunicaciones y radiodifusión.</w:t>
      </w:r>
    </w:p>
    <w:p w:rsidR="00DB2D56" w:rsidRPr="00BB33CC" w:rsidRDefault="00DB2D56" w:rsidP="00A1321B">
      <w:pPr>
        <w:pStyle w:val="Normalresolucion"/>
      </w:pPr>
      <w:r w:rsidRPr="00BB33CC">
        <w:t>Con base en lo anterior, el Instituto cuenta con facultades para expedir la METODOLOGÍA DE SEPARACIÓN CONTABLE APLICABLE A LOS AGENTES ECONÓMICOS PREPONDERANTES, AGENTES DECLARADOS CON PODER SUSTANCIAL DE MERCADO Y REDES COMPARTIDAS, con fundamento en el artículo 28, párrafos décimo quinto, décimo sexto y vigésimo, fracción IV, de la Constitución; 1, 2, 7, 15, fracci</w:t>
      </w:r>
      <w:r w:rsidR="00917594" w:rsidRPr="00BB33CC">
        <w:t>ó</w:t>
      </w:r>
      <w:r w:rsidRPr="00BB33CC">
        <w:t xml:space="preserve">n I y 292 de la LFTR, así como en </w:t>
      </w:r>
      <w:r w:rsidR="0052629A" w:rsidRPr="00BB33CC">
        <w:t>el</w:t>
      </w:r>
      <w:r w:rsidRPr="00BB33CC">
        <w:t xml:space="preserve"> artículo</w:t>
      </w:r>
      <w:r w:rsidR="0052629A" w:rsidRPr="00BB33CC">
        <w:t xml:space="preserve"> 19 fracción VI </w:t>
      </w:r>
      <w:r w:rsidRPr="00BB33CC">
        <w:t>del Estatuto.</w:t>
      </w:r>
    </w:p>
    <w:p w:rsidR="00A1321B" w:rsidRPr="00BB33CC" w:rsidRDefault="00A1321B" w:rsidP="00A1321B">
      <w:pPr>
        <w:pStyle w:val="Ttulo2"/>
      </w:pPr>
      <w:bookmarkStart w:id="5" w:name="_Toc484022082"/>
      <w:r w:rsidRPr="00BB33CC">
        <w:t>SEGUNDO.</w:t>
      </w:r>
      <w:r w:rsidR="00664F3A" w:rsidRPr="00BB33CC">
        <w:t>-</w:t>
      </w:r>
      <w:r w:rsidRPr="00BB33CC">
        <w:t xml:space="preserve"> </w:t>
      </w:r>
      <w:r w:rsidR="00664F3A" w:rsidRPr="00BB33CC">
        <w:t>IMPORTANCIA DE LA SEPARACIÓN CONTABLE</w:t>
      </w:r>
      <w:bookmarkEnd w:id="5"/>
    </w:p>
    <w:p w:rsidR="00994C00" w:rsidRPr="00BB33CC" w:rsidRDefault="00994C00" w:rsidP="00A1321B">
      <w:pPr>
        <w:pStyle w:val="Normalresolucion"/>
      </w:pPr>
      <w:r w:rsidRPr="00BB33CC">
        <w:t>La importancia de la separación contable para los organismos reguladores radica en la obtención de información asociada a la prestación de los diferentes servicios que proveen los operadores, lo cual ayuda a reducir las asimetrías de información existentes entre el regulador y los operadores, lo que resulta en una identificación de los costos de operación, ingresos, inversiones y otros términos asociados a los servicios.</w:t>
      </w:r>
    </w:p>
    <w:p w:rsidR="00A1321B" w:rsidRPr="00BB33CC" w:rsidRDefault="00994C00" w:rsidP="00A1321B">
      <w:pPr>
        <w:pStyle w:val="Normalresolucion"/>
      </w:pPr>
      <w:r w:rsidRPr="00BB33CC">
        <w:t>Asimismo, l</w:t>
      </w:r>
      <w:r w:rsidR="00A1321B" w:rsidRPr="00BB33CC">
        <w:t xml:space="preserve">a separación contable sirve como herramienta de </w:t>
      </w:r>
      <w:r w:rsidR="009A533B" w:rsidRPr="00BB33CC">
        <w:t>monitoreo</w:t>
      </w:r>
      <w:r w:rsidR="00A1321B" w:rsidRPr="00BB33CC">
        <w:t xml:space="preserve"> en la prestación </w:t>
      </w:r>
      <w:r w:rsidR="0088710C" w:rsidRPr="00BB33CC">
        <w:t xml:space="preserve">de servicios </w:t>
      </w:r>
      <w:r w:rsidR="00113132" w:rsidRPr="00BB33CC">
        <w:t>entre</w:t>
      </w:r>
      <w:r w:rsidR="0088710C" w:rsidRPr="00BB33CC">
        <w:t xml:space="preserve"> operaciones propias y </w:t>
      </w:r>
      <w:r w:rsidR="008D7963" w:rsidRPr="00BB33CC">
        <w:t xml:space="preserve">a </w:t>
      </w:r>
      <w:r w:rsidR="0088710C" w:rsidRPr="00BB33CC">
        <w:t xml:space="preserve">terceros </w:t>
      </w:r>
      <w:r w:rsidR="002A2D19" w:rsidRPr="00BB33CC">
        <w:t xml:space="preserve">para verificar que se cumpla </w:t>
      </w:r>
      <w:r w:rsidR="00257A34" w:rsidRPr="00BB33CC">
        <w:t xml:space="preserve">con </w:t>
      </w:r>
      <w:r w:rsidR="002A2D19" w:rsidRPr="00BB33CC">
        <w:t>el</w:t>
      </w:r>
      <w:r w:rsidR="00A1321B" w:rsidRPr="00BB33CC">
        <w:t xml:space="preserve"> principio de no discriminación.</w:t>
      </w:r>
    </w:p>
    <w:p w:rsidR="002C0F9F" w:rsidRPr="00BB33CC" w:rsidRDefault="00611396" w:rsidP="00611396">
      <w:pPr>
        <w:pStyle w:val="Normalresolucion"/>
        <w:rPr>
          <w:rStyle w:val="Refdecomentario"/>
          <w:rFonts w:asciiTheme="minorHAnsi" w:eastAsiaTheme="minorHAnsi" w:hAnsiTheme="minorHAnsi" w:cstheme="minorBidi"/>
          <w:lang w:val="es-MX" w:eastAsia="en-US"/>
        </w:rPr>
      </w:pPr>
      <w:r w:rsidRPr="00BB33CC">
        <w:t>En este orden de ideas, algunos organismos internacionales, describen la importancia de la separación contable como obligación ex ante que se impone a los operadores con poder sustancial de mercado (PSM), como se señala a continuación</w:t>
      </w:r>
      <w:r w:rsidR="00137209" w:rsidRPr="00BB33CC">
        <w:t>.</w:t>
      </w:r>
      <w:r w:rsidR="00137209" w:rsidRPr="00BB33CC" w:rsidDel="00137209">
        <w:rPr>
          <w:rStyle w:val="Refdecomentario"/>
          <w:rFonts w:asciiTheme="minorHAnsi" w:eastAsiaTheme="minorHAnsi" w:hAnsiTheme="minorHAnsi" w:cstheme="minorBidi"/>
          <w:lang w:val="es-MX" w:eastAsia="en-US"/>
        </w:rPr>
        <w:t xml:space="preserve"> </w:t>
      </w:r>
    </w:p>
    <w:p w:rsidR="00845FE0" w:rsidRPr="00BB33CC" w:rsidRDefault="00283543" w:rsidP="00797696">
      <w:pPr>
        <w:pStyle w:val="Ttulo2"/>
        <w:numPr>
          <w:ilvl w:val="0"/>
          <w:numId w:val="270"/>
        </w:numPr>
      </w:pPr>
      <w:r w:rsidRPr="00BB33CC">
        <w:t>Unión Internacional de Telecomunicaciones (UIT)</w:t>
      </w:r>
    </w:p>
    <w:p w:rsidR="00283543" w:rsidRPr="00BB33CC" w:rsidRDefault="00283543" w:rsidP="00F7543E">
      <w:pPr>
        <w:pStyle w:val="Normalresolucion"/>
      </w:pPr>
      <w:r w:rsidRPr="00BB33CC">
        <w:t>En su “</w:t>
      </w:r>
      <w:r w:rsidRPr="00BB33CC">
        <w:rPr>
          <w:i/>
        </w:rPr>
        <w:t>Guía de Contabilidad Regulatoria”</w:t>
      </w:r>
      <w:r w:rsidRPr="00BB33CC">
        <w:rPr>
          <w:vertAlign w:val="superscript"/>
        </w:rPr>
        <w:footnoteReference w:id="2"/>
      </w:r>
      <w:r w:rsidRPr="00BB33CC">
        <w:t xml:space="preserve">, publicada en marzo de 2009, la UIT menciona que la contabilidad de costos y la separación contable son obligaciones </w:t>
      </w:r>
      <w:r w:rsidRPr="00BB33CC">
        <w:rPr>
          <w:i/>
        </w:rPr>
        <w:t xml:space="preserve">ex ante </w:t>
      </w:r>
      <w:r w:rsidRPr="00BB33CC">
        <w:t>impuestas a los operadores con PSM y señala que:</w:t>
      </w:r>
    </w:p>
    <w:p w:rsidR="00283543" w:rsidRPr="00BB33CC" w:rsidRDefault="00283543" w:rsidP="00283543">
      <w:pPr>
        <w:pStyle w:val="Normalresolucion"/>
        <w:numPr>
          <w:ilvl w:val="0"/>
          <w:numId w:val="246"/>
        </w:numPr>
        <w:rPr>
          <w:lang w:val="es-MX"/>
        </w:rPr>
      </w:pPr>
      <w:r w:rsidRPr="00BB33CC">
        <w:rPr>
          <w:lang w:val="es-MX"/>
        </w:rPr>
        <w:t>La separación contable es un conjunto global de políticas, procedimientos y técnicas contables aplicadas a información financiera que demuestra el cumplimiento de obligaciones de no discriminación y la ausencia de subsidios cruzados, y</w:t>
      </w:r>
    </w:p>
    <w:p w:rsidR="00283543" w:rsidRPr="00BB33CC" w:rsidRDefault="00283543" w:rsidP="00797696">
      <w:pPr>
        <w:pStyle w:val="Normalresolucion"/>
        <w:numPr>
          <w:ilvl w:val="0"/>
          <w:numId w:val="246"/>
        </w:numPr>
        <w:rPr>
          <w:lang w:val="es-MX"/>
        </w:rPr>
      </w:pPr>
      <w:r w:rsidRPr="00BB33CC">
        <w:rPr>
          <w:lang w:val="es-MX"/>
        </w:rPr>
        <w:lastRenderedPageBreak/>
        <w:t>Los resultados deben ser auditables y presentar objetivamente la posición financiera y la relación (acuerdos de tasas de transferencia) entre el mercado de productos y el de servicios, es decir, los resultados deben desglosar sistemáticamente los costos, ingresos y capital empleado para los distintos servicios incluidos en el modelo contable.</w:t>
      </w:r>
    </w:p>
    <w:p w:rsidR="00845FE0" w:rsidRPr="00BB33CC" w:rsidRDefault="00611396" w:rsidP="00743FC4">
      <w:pPr>
        <w:pStyle w:val="Ttulo2"/>
        <w:numPr>
          <w:ilvl w:val="0"/>
          <w:numId w:val="270"/>
        </w:numPr>
      </w:pPr>
      <w:r w:rsidRPr="00BB33CC">
        <w:t>Grupo de Reguladores Europeos de Comunicaciones Electrónicas (BEREC por sus siglas en inglés)</w:t>
      </w:r>
    </w:p>
    <w:p w:rsidR="00312DA8" w:rsidRPr="00BB33CC" w:rsidRDefault="00750315" w:rsidP="00743FC4">
      <w:pPr>
        <w:pStyle w:val="Normalresolucion"/>
        <w:rPr>
          <w:lang w:val="es-MX"/>
        </w:rPr>
      </w:pPr>
      <w:r w:rsidRPr="00BB33CC">
        <w:t>E</w:t>
      </w:r>
      <w:r w:rsidR="00611396" w:rsidRPr="00BB33CC">
        <w:t>ste organismo considera que la separación contable es clave dentro de las herramientas reguladoras que existen</w:t>
      </w:r>
      <w:r w:rsidR="00B96CEC" w:rsidRPr="00BB33CC">
        <w:t xml:space="preserve">, a fin de </w:t>
      </w:r>
      <w:r w:rsidR="00611396" w:rsidRPr="00BB33CC">
        <w:t>garantiza</w:t>
      </w:r>
      <w:r w:rsidR="00B96CEC" w:rsidRPr="00BB33CC">
        <w:t>r</w:t>
      </w:r>
      <w:r w:rsidR="00611396" w:rsidRPr="00BB33CC">
        <w:t xml:space="preserve"> la no discriminación</w:t>
      </w:r>
      <w:r w:rsidR="00FD3153" w:rsidRPr="00BB33CC">
        <w:t>.</w:t>
      </w:r>
      <w:r w:rsidR="00E0013E" w:rsidRPr="00BB33CC">
        <w:rPr>
          <w:rStyle w:val="Refdenotaalpie"/>
          <w:b/>
        </w:rPr>
        <w:footnoteReference w:id="3"/>
      </w:r>
      <w:r w:rsidR="00361742" w:rsidRPr="00BB33CC">
        <w:t xml:space="preserve"> Asimismo, s</w:t>
      </w:r>
      <w:r w:rsidR="00FD3153" w:rsidRPr="00BB33CC">
        <w:t>eñala que la separación contable ga</w:t>
      </w:r>
      <w:r w:rsidR="00611396" w:rsidRPr="00BB33CC">
        <w:t>rantiza</w:t>
      </w:r>
      <w:r w:rsidR="00611396" w:rsidRPr="00BB33CC">
        <w:rPr>
          <w:lang w:val="es-MX"/>
        </w:rPr>
        <w:t xml:space="preserve"> que los precios </w:t>
      </w:r>
      <w:r w:rsidR="00F23E02" w:rsidRPr="00BB33CC">
        <w:rPr>
          <w:lang w:val="es-MX"/>
        </w:rPr>
        <w:t xml:space="preserve">pagados por los insumos </w:t>
      </w:r>
      <w:r w:rsidR="00611396" w:rsidRPr="00BB33CC">
        <w:rPr>
          <w:lang w:val="es-MX"/>
        </w:rPr>
        <w:t>mayoristas</w:t>
      </w:r>
      <w:r w:rsidR="001219B6" w:rsidRPr="00BB33CC">
        <w:rPr>
          <w:lang w:val="es-MX"/>
        </w:rPr>
        <w:t xml:space="preserve"> </w:t>
      </w:r>
      <w:r w:rsidR="00F23E02" w:rsidRPr="00BB33CC">
        <w:rPr>
          <w:lang w:val="es-MX"/>
        </w:rPr>
        <w:t>de la competencia</w:t>
      </w:r>
      <w:r w:rsidR="00611396" w:rsidRPr="00BB33CC">
        <w:rPr>
          <w:lang w:val="es-MX"/>
        </w:rPr>
        <w:t xml:space="preserve"> y los precios minoristas del operador con PSM sean iguales.</w:t>
      </w:r>
      <w:r w:rsidR="00FD3153" w:rsidRPr="00BB33CC">
        <w:rPr>
          <w:lang w:val="es-MX"/>
        </w:rPr>
        <w:t xml:space="preserve"> </w:t>
      </w:r>
      <w:r w:rsidR="00611396" w:rsidRPr="00BB33CC">
        <w:rPr>
          <w:lang w:val="es-MX"/>
        </w:rPr>
        <w:t>Esto quiere decir que el precio del insumo mayorista se basa solo en el costo de proporcionar el insumo en cuestión</w:t>
      </w:r>
      <w:r w:rsidR="00FD3153" w:rsidRPr="00BB33CC">
        <w:rPr>
          <w:lang w:val="es-MX"/>
        </w:rPr>
        <w:t>, impidiendo</w:t>
      </w:r>
      <w:r w:rsidR="00611396" w:rsidRPr="00BB33CC">
        <w:rPr>
          <w:lang w:val="es-MX"/>
        </w:rPr>
        <w:t xml:space="preserve"> que la empresa integrada verticalmente</w:t>
      </w:r>
      <w:r w:rsidR="00ED659B" w:rsidRPr="00BB33CC">
        <w:rPr>
          <w:lang w:val="es-MX"/>
        </w:rPr>
        <w:t>:</w:t>
      </w:r>
    </w:p>
    <w:p w:rsidR="00312DA8" w:rsidRPr="00BB33CC" w:rsidRDefault="00297D7D" w:rsidP="00743FC4">
      <w:pPr>
        <w:pStyle w:val="Normalresolucion"/>
        <w:numPr>
          <w:ilvl w:val="0"/>
          <w:numId w:val="247"/>
        </w:numPr>
        <w:ind w:left="1080"/>
        <w:rPr>
          <w:lang w:val="es-MX"/>
        </w:rPr>
      </w:pPr>
      <w:r w:rsidRPr="00BB33CC">
        <w:rPr>
          <w:lang w:val="es-MX"/>
        </w:rPr>
        <w:t>A</w:t>
      </w:r>
      <w:r w:rsidR="00611396" w:rsidRPr="00BB33CC">
        <w:rPr>
          <w:lang w:val="es-MX"/>
        </w:rPr>
        <w:t xml:space="preserve">signe de manera incorrecta los costos de sus productos </w:t>
      </w:r>
      <w:r w:rsidR="00312DA8" w:rsidRPr="00BB33CC">
        <w:rPr>
          <w:lang w:val="es-MX"/>
        </w:rPr>
        <w:t xml:space="preserve">minoristas a su parte mayorista, </w:t>
      </w:r>
      <w:r w:rsidR="00611396" w:rsidRPr="00BB33CC">
        <w:rPr>
          <w:lang w:val="es-MX"/>
        </w:rPr>
        <w:t xml:space="preserve">y </w:t>
      </w:r>
    </w:p>
    <w:p w:rsidR="00611396" w:rsidRPr="00BB33CC" w:rsidRDefault="00297D7D" w:rsidP="00743FC4">
      <w:pPr>
        <w:pStyle w:val="Normalresolucion"/>
        <w:numPr>
          <w:ilvl w:val="0"/>
          <w:numId w:val="247"/>
        </w:numPr>
        <w:ind w:left="1080"/>
        <w:rPr>
          <w:lang w:val="es-MX"/>
        </w:rPr>
      </w:pPr>
      <w:r w:rsidRPr="00BB33CC">
        <w:rPr>
          <w:lang w:val="es-MX"/>
        </w:rPr>
        <w:t>A</w:t>
      </w:r>
      <w:r w:rsidR="00611396" w:rsidRPr="00BB33CC">
        <w:rPr>
          <w:lang w:val="es-MX"/>
        </w:rPr>
        <w:t>signe incorrectamente los costos de sus productos mayoristas que pueden crear competencia en el nivel minorista. La importancia de esto es que se reduce la posibilidad de que la empresa integrada verticalmente incurra e</w:t>
      </w:r>
      <w:r w:rsidR="00312DA8" w:rsidRPr="00BB33CC">
        <w:rPr>
          <w:lang w:val="es-MX"/>
        </w:rPr>
        <w:t>n un precio mayorista excesivo.</w:t>
      </w:r>
    </w:p>
    <w:p w:rsidR="00611396" w:rsidRPr="00BB33CC" w:rsidRDefault="00611396" w:rsidP="00743FC4">
      <w:pPr>
        <w:pStyle w:val="Normalresolucion"/>
        <w:rPr>
          <w:lang w:val="es-MX"/>
        </w:rPr>
      </w:pPr>
      <w:r w:rsidRPr="00BB33CC">
        <w:rPr>
          <w:lang w:val="es-MX"/>
        </w:rPr>
        <w:t>Además</w:t>
      </w:r>
      <w:r w:rsidR="00ED659B" w:rsidRPr="00BB33CC">
        <w:rPr>
          <w:lang w:val="es-MX"/>
        </w:rPr>
        <w:t>,</w:t>
      </w:r>
      <w:r w:rsidRPr="00BB33CC">
        <w:rPr>
          <w:lang w:val="es-MX"/>
        </w:rPr>
        <w:t xml:space="preserve"> se</w:t>
      </w:r>
      <w:r w:rsidR="00B07FDF" w:rsidRPr="00BB33CC">
        <w:rPr>
          <w:lang w:val="es-MX"/>
        </w:rPr>
        <w:t>ñala que se</w:t>
      </w:r>
      <w:r w:rsidRPr="00BB33CC">
        <w:rPr>
          <w:lang w:val="es-MX"/>
        </w:rPr>
        <w:t xml:space="preserve"> evita el riesgo de estrechamiento de </w:t>
      </w:r>
      <w:r w:rsidR="00F908D2" w:rsidRPr="00BB33CC">
        <w:rPr>
          <w:lang w:val="es-MX"/>
        </w:rPr>
        <w:t>márgenes</w:t>
      </w:r>
      <w:r w:rsidRPr="00BB33CC">
        <w:rPr>
          <w:lang w:val="es-MX"/>
        </w:rPr>
        <w:t>, por lo que la separación contable debe aplicar</w:t>
      </w:r>
      <w:r w:rsidR="00B07FDF" w:rsidRPr="00BB33CC">
        <w:rPr>
          <w:lang w:val="es-MX"/>
        </w:rPr>
        <w:t>se</w:t>
      </w:r>
      <w:r w:rsidRPr="00BB33CC">
        <w:rPr>
          <w:lang w:val="es-MX"/>
        </w:rPr>
        <w:t xml:space="preserve"> tanto a nivel mayorista como minorista</w:t>
      </w:r>
      <w:r w:rsidR="00ED659B" w:rsidRPr="00BB33CC">
        <w:rPr>
          <w:lang w:val="es-MX"/>
        </w:rPr>
        <w:t>.</w:t>
      </w:r>
    </w:p>
    <w:p w:rsidR="00845FE0" w:rsidRPr="00BB33CC" w:rsidRDefault="00611396" w:rsidP="00743FC4">
      <w:pPr>
        <w:pStyle w:val="Ttulo2"/>
        <w:numPr>
          <w:ilvl w:val="0"/>
          <w:numId w:val="270"/>
        </w:numPr>
      </w:pPr>
      <w:r w:rsidRPr="00BB33CC">
        <w:t>Comisión de las Comunidades Europeas (CCE)</w:t>
      </w:r>
    </w:p>
    <w:p w:rsidR="00611396" w:rsidRPr="00BB33CC" w:rsidRDefault="00611396" w:rsidP="00F7543E">
      <w:pPr>
        <w:pStyle w:val="Normalresolucion"/>
        <w:rPr>
          <w:rFonts w:eastAsiaTheme="minorHAnsi" w:cstheme="minorBidi"/>
          <w:lang w:val="es-MX" w:eastAsia="en-US"/>
        </w:rPr>
      </w:pPr>
      <w:r w:rsidRPr="00BB33CC">
        <w:rPr>
          <w:rFonts w:eastAsiaTheme="minorHAnsi" w:cstheme="minorBidi"/>
          <w:lang w:eastAsia="en-US"/>
        </w:rPr>
        <w:t xml:space="preserve">En </w:t>
      </w:r>
      <w:r w:rsidR="00FF11BB" w:rsidRPr="00BB33CC">
        <w:rPr>
          <w:rFonts w:eastAsiaTheme="minorHAnsi" w:cstheme="minorBidi"/>
          <w:lang w:eastAsia="en-US"/>
        </w:rPr>
        <w:t>una de sus recomendaciones</w:t>
      </w:r>
      <w:r w:rsidRPr="00BB33CC">
        <w:rPr>
          <w:rFonts w:eastAsiaTheme="minorHAnsi" w:cstheme="minorBidi"/>
          <w:i/>
          <w:vertAlign w:val="superscript"/>
          <w:lang w:eastAsia="en-US"/>
        </w:rPr>
        <w:footnoteReference w:id="4"/>
      </w:r>
      <w:r w:rsidRPr="00BB33CC">
        <w:rPr>
          <w:rFonts w:eastAsiaTheme="minorHAnsi" w:cstheme="minorBidi"/>
          <w:i/>
          <w:lang w:eastAsia="en-US"/>
        </w:rPr>
        <w:t xml:space="preserve">, </w:t>
      </w:r>
      <w:r w:rsidRPr="00BB33CC">
        <w:rPr>
          <w:rFonts w:eastAsiaTheme="minorHAnsi" w:cstheme="minorBidi"/>
          <w:lang w:eastAsia="en-US"/>
        </w:rPr>
        <w:t xml:space="preserve">considera que a los operadores que hayan sido designados como operadores con </w:t>
      </w:r>
      <w:r w:rsidR="00190685" w:rsidRPr="00BB33CC">
        <w:rPr>
          <w:rFonts w:eastAsiaTheme="minorHAnsi" w:cstheme="minorBidi"/>
          <w:lang w:eastAsia="en-US"/>
        </w:rPr>
        <w:t>PSM</w:t>
      </w:r>
      <w:r w:rsidRPr="00BB33CC">
        <w:rPr>
          <w:rFonts w:eastAsiaTheme="minorHAnsi" w:cstheme="minorBidi"/>
          <w:lang w:eastAsia="en-US"/>
        </w:rPr>
        <w:t xml:space="preserve"> se les puede</w:t>
      </w:r>
      <w:r w:rsidR="0079433D" w:rsidRPr="00BB33CC">
        <w:rPr>
          <w:rFonts w:eastAsiaTheme="minorHAnsi" w:cstheme="minorBidi"/>
          <w:lang w:eastAsia="en-US"/>
        </w:rPr>
        <w:t>n</w:t>
      </w:r>
      <w:r w:rsidRPr="00BB33CC">
        <w:rPr>
          <w:rFonts w:eastAsiaTheme="minorHAnsi" w:cstheme="minorBidi"/>
          <w:lang w:eastAsia="en-US"/>
        </w:rPr>
        <w:t xml:space="preserve"> imponer</w:t>
      </w:r>
      <w:r w:rsidR="0079433D" w:rsidRPr="00BB33CC">
        <w:rPr>
          <w:rFonts w:eastAsiaTheme="minorHAnsi" w:cstheme="minorBidi"/>
          <w:lang w:eastAsia="en-US"/>
        </w:rPr>
        <w:t>,</w:t>
      </w:r>
      <w:r w:rsidRPr="00BB33CC">
        <w:rPr>
          <w:rFonts w:eastAsiaTheme="minorHAnsi" w:cstheme="minorBidi"/>
          <w:lang w:eastAsia="en-US"/>
        </w:rPr>
        <w:t xml:space="preserve"> entre otras, obligaciones de cuentas separadas y/o implantación de un sistema de contabilidad de costos, como base para el control de precios</w:t>
      </w:r>
      <w:r w:rsidR="0079433D" w:rsidRPr="00BB33CC">
        <w:rPr>
          <w:rFonts w:eastAsiaTheme="minorHAnsi" w:cstheme="minorBidi"/>
          <w:lang w:eastAsia="en-US"/>
        </w:rPr>
        <w:t>,</w:t>
      </w:r>
      <w:r w:rsidRPr="00BB33CC">
        <w:rPr>
          <w:rFonts w:eastAsiaTheme="minorHAnsi" w:cstheme="minorBidi"/>
          <w:lang w:eastAsia="en-US"/>
        </w:rPr>
        <w:t xml:space="preserve"> de manera tal que:</w:t>
      </w:r>
    </w:p>
    <w:p w:rsidR="00611396" w:rsidRPr="00BB33CC" w:rsidRDefault="0079433D" w:rsidP="00611396">
      <w:pPr>
        <w:pStyle w:val="Normalresolucion"/>
        <w:numPr>
          <w:ilvl w:val="0"/>
          <w:numId w:val="247"/>
        </w:numPr>
        <w:rPr>
          <w:i/>
          <w:lang w:val="es-MX"/>
        </w:rPr>
      </w:pPr>
      <w:r w:rsidRPr="00BB33CC">
        <w:rPr>
          <w:lang w:val="es-MX"/>
        </w:rPr>
        <w:t>Se f</w:t>
      </w:r>
      <w:r w:rsidR="00611396" w:rsidRPr="00BB33CC">
        <w:rPr>
          <w:lang w:val="es-MX"/>
        </w:rPr>
        <w:t xml:space="preserve">omente la inversión eficiente y se identifiquen los potenciales comportamientos anticompetitivos como el estrechamiento </w:t>
      </w:r>
      <w:r w:rsidR="00297D7D" w:rsidRPr="00BB33CC">
        <w:rPr>
          <w:lang w:val="es-MX"/>
        </w:rPr>
        <w:t>de márgenes;</w:t>
      </w:r>
    </w:p>
    <w:p w:rsidR="00611396" w:rsidRPr="00BB33CC" w:rsidRDefault="0079433D" w:rsidP="00611396">
      <w:pPr>
        <w:pStyle w:val="Normalresolucion"/>
        <w:numPr>
          <w:ilvl w:val="0"/>
          <w:numId w:val="247"/>
        </w:numPr>
        <w:rPr>
          <w:i/>
          <w:lang w:val="es-MX"/>
        </w:rPr>
      </w:pPr>
      <w:r w:rsidRPr="00BB33CC">
        <w:rPr>
          <w:lang w:val="es-MX"/>
        </w:rPr>
        <w:t>S</w:t>
      </w:r>
      <w:r w:rsidR="00611396" w:rsidRPr="00BB33CC">
        <w:rPr>
          <w:lang w:val="es-MX"/>
        </w:rPr>
        <w:t>e refleje de la manera más precisa posible el comporta</w:t>
      </w:r>
      <w:r w:rsidR="00297D7D" w:rsidRPr="00BB33CC">
        <w:rPr>
          <w:lang w:val="es-MX"/>
        </w:rPr>
        <w:t>miento de las diferentes partes</w:t>
      </w:r>
      <w:r w:rsidR="00611396" w:rsidRPr="00BB33CC">
        <w:rPr>
          <w:lang w:val="es-MX"/>
        </w:rPr>
        <w:t xml:space="preserve"> de la empresa con PSM, como si funcionaran como empresas externas y</w:t>
      </w:r>
      <w:r w:rsidRPr="00BB33CC">
        <w:rPr>
          <w:lang w:val="es-MX"/>
        </w:rPr>
        <w:t>,</w:t>
      </w:r>
      <w:r w:rsidR="00611396" w:rsidRPr="00BB33CC">
        <w:rPr>
          <w:lang w:val="es-MX"/>
        </w:rPr>
        <w:t xml:space="preserve"> en el caso de empresas integradas verticalmente, </w:t>
      </w:r>
      <w:r w:rsidRPr="00BB33CC">
        <w:rPr>
          <w:lang w:val="es-MX"/>
        </w:rPr>
        <w:t xml:space="preserve">se </w:t>
      </w:r>
      <w:r w:rsidRPr="00BB33CC">
        <w:rPr>
          <w:lang w:val="es-MX"/>
        </w:rPr>
        <w:lastRenderedPageBreak/>
        <w:t xml:space="preserve">evite </w:t>
      </w:r>
      <w:r w:rsidR="00611396" w:rsidRPr="00BB33CC">
        <w:rPr>
          <w:lang w:val="es-MX"/>
        </w:rPr>
        <w:t>la discriminación a favor de sus propias opera</w:t>
      </w:r>
      <w:r w:rsidR="00297D7D" w:rsidRPr="00BB33CC">
        <w:rPr>
          <w:lang w:val="es-MX"/>
        </w:rPr>
        <w:t>ciones y los subsidios cruzados, y</w:t>
      </w:r>
      <w:r w:rsidR="00611396" w:rsidRPr="00BB33CC">
        <w:rPr>
          <w:lang w:val="es-MX"/>
        </w:rPr>
        <w:t xml:space="preserve"> </w:t>
      </w:r>
    </w:p>
    <w:p w:rsidR="00611396" w:rsidRPr="00BB33CC" w:rsidRDefault="0079433D" w:rsidP="00611396">
      <w:pPr>
        <w:pStyle w:val="Normalresolucion"/>
        <w:numPr>
          <w:ilvl w:val="0"/>
          <w:numId w:val="247"/>
        </w:numPr>
        <w:rPr>
          <w:i/>
          <w:lang w:val="es-MX"/>
        </w:rPr>
      </w:pPr>
      <w:r w:rsidRPr="00BB33CC">
        <w:rPr>
          <w:lang w:val="es-MX"/>
        </w:rPr>
        <w:t xml:space="preserve">Se facilite contar con </w:t>
      </w:r>
      <w:r w:rsidR="00611396" w:rsidRPr="00BB33CC">
        <w:rPr>
          <w:lang w:val="es-MX"/>
        </w:rPr>
        <w:t>información financiera relacionada con la regulación a fin de demostrar que se cumplen las obligaciones</w:t>
      </w:r>
      <w:r w:rsidR="00F23E02" w:rsidRPr="00BB33CC">
        <w:rPr>
          <w:lang w:val="es-MX"/>
        </w:rPr>
        <w:t xml:space="preserve"> de contabilidad de costos y de separación contable</w:t>
      </w:r>
      <w:r w:rsidR="00611396" w:rsidRPr="00BB33CC">
        <w:rPr>
          <w:lang w:val="es-MX"/>
        </w:rPr>
        <w:t xml:space="preserve">. Se recomienda que esto se mida en función de criterios cualitativos de pertinencia, fiabilidad, comparabilidad e importancia relativa. </w:t>
      </w:r>
    </w:p>
    <w:p w:rsidR="00611396" w:rsidRPr="00BB33CC" w:rsidRDefault="00624C9D">
      <w:pPr>
        <w:pStyle w:val="Normalresolucion"/>
        <w:rPr>
          <w:lang w:val="es-MX"/>
        </w:rPr>
      </w:pPr>
      <w:r w:rsidRPr="00BB33CC">
        <w:rPr>
          <w:lang w:val="es-MX"/>
        </w:rPr>
        <w:t>Cabe señalar que e</w:t>
      </w:r>
      <w:r w:rsidR="00611396" w:rsidRPr="00BB33CC">
        <w:rPr>
          <w:lang w:val="es-MX"/>
        </w:rPr>
        <w:t xml:space="preserve">stas </w:t>
      </w:r>
      <w:r w:rsidR="007A24ED" w:rsidRPr="00BB33CC">
        <w:rPr>
          <w:lang w:val="es-MX"/>
        </w:rPr>
        <w:t>d</w:t>
      </w:r>
      <w:r w:rsidR="00611396" w:rsidRPr="00BB33CC">
        <w:rPr>
          <w:lang w:val="es-MX"/>
        </w:rPr>
        <w:t>irectrices se refieren a informes de carácter regulatorio y no tienen por objeto sustituir los informes financieros que exige cada estado miembro</w:t>
      </w:r>
      <w:r w:rsidR="00361742" w:rsidRPr="00BB33CC">
        <w:rPr>
          <w:lang w:val="es-MX"/>
        </w:rPr>
        <w:t xml:space="preserve"> de la Unión Europea</w:t>
      </w:r>
      <w:r w:rsidR="00611396" w:rsidRPr="00BB33CC">
        <w:rPr>
          <w:lang w:val="es-MX"/>
        </w:rPr>
        <w:t>.</w:t>
      </w:r>
    </w:p>
    <w:p w:rsidR="00FB66CD" w:rsidRPr="00BB33CC" w:rsidRDefault="00F17EDF" w:rsidP="00FB66CD">
      <w:pPr>
        <w:pStyle w:val="Ttulo2"/>
      </w:pPr>
      <w:bookmarkStart w:id="6" w:name="_Toc484022083"/>
      <w:r w:rsidRPr="00BB33CC">
        <w:t>TERCERO</w:t>
      </w:r>
      <w:r w:rsidR="00FB66CD" w:rsidRPr="00BB33CC">
        <w:t>.- METODOLOGÍA DE SEPARACIÓN CONTABLE</w:t>
      </w:r>
    </w:p>
    <w:p w:rsidR="007E094B" w:rsidRPr="00BB33CC" w:rsidRDefault="006B6312">
      <w:pPr>
        <w:pStyle w:val="Normalresolucion"/>
      </w:pPr>
      <w:r w:rsidRPr="00BB33CC">
        <w:t xml:space="preserve">La </w:t>
      </w:r>
      <w:r w:rsidR="00763B4F" w:rsidRPr="00BB33CC">
        <w:t>metodología</w:t>
      </w:r>
      <w:r w:rsidRPr="00BB33CC">
        <w:t xml:space="preserve"> de separaci</w:t>
      </w:r>
      <w:r w:rsidR="00763B4F" w:rsidRPr="00BB33CC">
        <w:t>ón contable incluye</w:t>
      </w:r>
      <w:r w:rsidRPr="00BB33CC">
        <w:t xml:space="preserve"> </w:t>
      </w:r>
      <w:r w:rsidR="00F908D2" w:rsidRPr="00BB33CC">
        <w:t>principalmente aspectos relacionados con principios generales, arquitectura, base de costos e ingresos, mantenimiento de capital y cálculo de su depreciación, costo de capital, atribución de costos a servicios, cargos de tra</w:t>
      </w:r>
      <w:r w:rsidR="00AA071C" w:rsidRPr="00BB33CC">
        <w:t>n</w:t>
      </w:r>
      <w:r w:rsidR="00F908D2" w:rsidRPr="00BB33CC">
        <w:t>sferencia, formatos de presentación de la información, criterios de imputación de costos e ingresos y estudios de soporte. Adicionalmente, incluye proceso</w:t>
      </w:r>
      <w:r w:rsidR="0047620F" w:rsidRPr="00BB33CC">
        <w:t>s</w:t>
      </w:r>
      <w:r w:rsidR="00F908D2" w:rsidRPr="00BB33CC">
        <w:t xml:space="preserve"> de revisión así como </w:t>
      </w:r>
      <w:r w:rsidR="0047620F" w:rsidRPr="00BB33CC">
        <w:t>de i</w:t>
      </w:r>
      <w:r w:rsidR="00D46F13" w:rsidRPr="00BB33CC">
        <w:t>mplementación</w:t>
      </w:r>
      <w:r w:rsidR="00F908D2" w:rsidRPr="00BB33CC">
        <w:t xml:space="preserve">. Dichos aspectos </w:t>
      </w:r>
      <w:r w:rsidRPr="00BB33CC">
        <w:t>se presentan a continuación</w:t>
      </w:r>
      <w:r w:rsidR="00222B97" w:rsidRPr="00BB33CC">
        <w:t xml:space="preserve">. </w:t>
      </w:r>
    </w:p>
    <w:p w:rsidR="00FB66CD" w:rsidRPr="00BB33CC" w:rsidRDefault="00FB66CD" w:rsidP="00743FC4">
      <w:pPr>
        <w:pStyle w:val="Ttulo2"/>
        <w:numPr>
          <w:ilvl w:val="0"/>
          <w:numId w:val="272"/>
        </w:numPr>
        <w:rPr>
          <w:b w:val="0"/>
        </w:rPr>
      </w:pPr>
      <w:r w:rsidRPr="00BB33CC">
        <w:t>Principios de la separación contable</w:t>
      </w:r>
    </w:p>
    <w:p w:rsidR="00FB66CD" w:rsidRPr="00BB33CC" w:rsidRDefault="00FB66CD" w:rsidP="00FB66CD">
      <w:pPr>
        <w:pStyle w:val="Normalresolucion"/>
        <w:spacing w:after="240"/>
      </w:pPr>
      <w:r w:rsidRPr="00BB33CC">
        <w:t xml:space="preserve">Las disposiciones en materia de separación contable definen principios generales ya que constituyen el instrumento básico para asegurar la robustez, credibilidad y fiabilidad de la separación contable. Los </w:t>
      </w:r>
      <w:r w:rsidR="00B87334" w:rsidRPr="00BB33CC">
        <w:t>operadores</w:t>
      </w:r>
      <w:r w:rsidRPr="00BB33CC">
        <w:t xml:space="preserve"> sobre los cuales recae esta obligación deben respetar estos principios en el diseño e implementación de la separación contable, así como en la presentación de sus resultados.</w:t>
      </w:r>
    </w:p>
    <w:p w:rsidR="00FB66CD" w:rsidRPr="00BB33CC" w:rsidRDefault="00FB4878" w:rsidP="00FB66CD">
      <w:pPr>
        <w:pStyle w:val="Normalresolucion"/>
      </w:pPr>
      <w:r w:rsidRPr="00BB33CC">
        <w:t>L</w:t>
      </w:r>
      <w:r w:rsidR="00FB66CD" w:rsidRPr="00BB33CC">
        <w:t xml:space="preserve">os principios </w:t>
      </w:r>
      <w:r w:rsidR="002E6325" w:rsidRPr="00BB33CC">
        <w:t>observados</w:t>
      </w:r>
      <w:r w:rsidR="00FB66CD" w:rsidRPr="00BB33CC">
        <w:t xml:space="preserve"> en la implementación de la separación contable son los siguientes:</w:t>
      </w:r>
    </w:p>
    <w:p w:rsidR="00FB66CD" w:rsidRPr="00BB33CC" w:rsidRDefault="00FB66CD" w:rsidP="00222B97">
      <w:pPr>
        <w:pStyle w:val="Indentadoresolucin"/>
        <w:ind w:left="426"/>
      </w:pPr>
      <w:r w:rsidRPr="00BB33CC">
        <w:rPr>
          <w:i/>
          <w:iCs/>
        </w:rPr>
        <w:t>Causalidad</w:t>
      </w:r>
      <w:r w:rsidR="0082689C" w:rsidRPr="00BB33CC">
        <w:t>.</w:t>
      </w:r>
      <w:r w:rsidRPr="00BB33CC">
        <w:t xml:space="preserve"> Consiste en la imputación de costos a las actividades o servicios (y cualquier elemento contable en general) responsables de su generación. Este principio permite evidenciar la relación de causación que influye en la asignación, tanto directa como indirecta, de los costos e ingresos. De esta manera, al asegurar el cumplimiento del principio de causalidad se logra que los costos e ingresos sean efectivamente asignados a los servicios que los generan.</w:t>
      </w:r>
    </w:p>
    <w:p w:rsidR="00FB66CD" w:rsidRPr="00BB33CC" w:rsidRDefault="00FB66CD" w:rsidP="00B13A76">
      <w:pPr>
        <w:pStyle w:val="Indentadoresolucin"/>
        <w:numPr>
          <w:ilvl w:val="0"/>
          <w:numId w:val="0"/>
        </w:numPr>
        <w:ind w:left="426"/>
      </w:pPr>
      <w:r w:rsidRPr="00BB33CC">
        <w:rPr>
          <w:i/>
          <w:iCs/>
        </w:rPr>
        <w:t>Transparencia</w:t>
      </w:r>
      <w:r w:rsidR="0082689C" w:rsidRPr="00BB33CC">
        <w:t>.</w:t>
      </w:r>
      <w:r w:rsidRPr="00BB33CC">
        <w:t xml:space="preserve"> Establece que la información de la separación contable debe ser susceptible de desglose, trazable y debidamente documentada a fin de que los procesos, imputaciones y cálculos llevados a cabo por el </w:t>
      </w:r>
      <w:r w:rsidR="0063288F" w:rsidRPr="00BB33CC">
        <w:t>operador</w:t>
      </w:r>
      <w:r w:rsidRPr="00BB33CC">
        <w:t xml:space="preserve"> sean auditables por una tercera parte interesada en el análisis de esta información.</w:t>
      </w:r>
    </w:p>
    <w:p w:rsidR="00FB66CD" w:rsidRPr="00BB33CC" w:rsidRDefault="00FB66CD" w:rsidP="00222B97">
      <w:pPr>
        <w:pStyle w:val="Indentadoresolucin"/>
        <w:ind w:left="426"/>
      </w:pPr>
      <w:r w:rsidRPr="00BB33CC">
        <w:rPr>
          <w:i/>
          <w:iCs/>
        </w:rPr>
        <w:lastRenderedPageBreak/>
        <w:t>Auditabilidad</w:t>
      </w:r>
      <w:r w:rsidR="0082689C" w:rsidRPr="00BB33CC">
        <w:t>.</w:t>
      </w:r>
      <w:r w:rsidRPr="00BB33CC">
        <w:t xml:space="preserve"> La información debe estar auditada de manera adecuada, con el fin de que un profesional, tanto interno como externo, pueda revisarla con facilidad. Lo anterior, con el propósito de que la información pueda ser rastreada y conciliada con las fuentes empleadas.</w:t>
      </w:r>
    </w:p>
    <w:p w:rsidR="00FB66CD" w:rsidRPr="00BB33CC" w:rsidRDefault="00FB66CD" w:rsidP="00222B97">
      <w:pPr>
        <w:pStyle w:val="Indentadoresolucin"/>
        <w:ind w:left="426"/>
      </w:pPr>
      <w:r w:rsidRPr="00BB33CC">
        <w:rPr>
          <w:i/>
          <w:iCs/>
        </w:rPr>
        <w:t>Objetividad</w:t>
      </w:r>
      <w:r w:rsidR="0082689C" w:rsidRPr="00BB33CC">
        <w:t>.</w:t>
      </w:r>
      <w:r w:rsidRPr="00BB33CC">
        <w:t xml:space="preserve"> Los métodos de atribución deben ser imparciales y no diseñados con el fin de beneficiar a algún operador, producto o servicio. Los generadores de costos deben ser cuantificables y basados en criterios de imputación e insumos que puedan ser contrastados y verificados por la autoridad regulatoria en el proceso de revisión.</w:t>
      </w:r>
    </w:p>
    <w:p w:rsidR="00FB66CD" w:rsidRPr="00BB33CC" w:rsidRDefault="00FB66CD" w:rsidP="00222B97">
      <w:pPr>
        <w:pStyle w:val="Indentadoresolucin"/>
        <w:ind w:left="426"/>
      </w:pPr>
      <w:r w:rsidRPr="00BB33CC">
        <w:rPr>
          <w:i/>
          <w:iCs/>
        </w:rPr>
        <w:t>Consistencia</w:t>
      </w:r>
      <w:r w:rsidR="0082689C" w:rsidRPr="00BB33CC">
        <w:t>.</w:t>
      </w:r>
      <w:r w:rsidRPr="00BB33CC">
        <w:t xml:space="preserve"> La metodología, principios contables y criterios adoptados por el operador en la elaboración de la separación contable deben preservarse a lo largo de los años, a fin de asegurar su comparabilidad.</w:t>
      </w:r>
    </w:p>
    <w:p w:rsidR="00FB66CD" w:rsidRPr="00BB33CC" w:rsidRDefault="00FB66CD" w:rsidP="00222B97">
      <w:pPr>
        <w:pStyle w:val="Indentadoresolucin"/>
        <w:ind w:left="426"/>
      </w:pPr>
      <w:r w:rsidRPr="00BB33CC">
        <w:rPr>
          <w:i/>
          <w:iCs/>
        </w:rPr>
        <w:t>Materialidad</w:t>
      </w:r>
      <w:r w:rsidR="0082689C" w:rsidRPr="00BB33CC">
        <w:t>.</w:t>
      </w:r>
      <w:r w:rsidRPr="00BB33CC">
        <w:t xml:space="preserve"> La información debe ser preparada de tal forma que se asegure que no existe una omisión significativa que pueda influir en los resultados y reportes entregados al regulador.</w:t>
      </w:r>
    </w:p>
    <w:p w:rsidR="00FB66CD" w:rsidRPr="00BB33CC" w:rsidRDefault="00FB66CD" w:rsidP="00222B97">
      <w:pPr>
        <w:pStyle w:val="Indentadoresolucin"/>
        <w:ind w:left="426"/>
      </w:pPr>
      <w:r w:rsidRPr="00BB33CC">
        <w:rPr>
          <w:i/>
        </w:rPr>
        <w:t>No compensación</w:t>
      </w:r>
      <w:r w:rsidR="0082689C" w:rsidRPr="00BB33CC">
        <w:t>.</w:t>
      </w:r>
      <w:r w:rsidRPr="00BB33CC">
        <w:t xml:space="preserve"> Los costos e ingresos deben tratarse de manera diferenciada en todo momento, sin compensarse entre ellos. Equivalentemente, los costos e ingresos de un servicio no pueden compensarse con los de otro servicio. </w:t>
      </w:r>
    </w:p>
    <w:p w:rsidR="00FB66CD" w:rsidRPr="00BB33CC" w:rsidRDefault="000B6BE7" w:rsidP="00743FC4">
      <w:pPr>
        <w:pStyle w:val="Indentadoresolucin"/>
        <w:numPr>
          <w:ilvl w:val="0"/>
          <w:numId w:val="0"/>
        </w:numPr>
        <w:ind w:left="426"/>
      </w:pPr>
      <w:r w:rsidRPr="00BB33CC">
        <w:t>L</w:t>
      </w:r>
      <w:r w:rsidR="00FB66CD" w:rsidRPr="00BB33CC">
        <w:t xml:space="preserve">os ingresos obtenidos por la prestación de los servicios </w:t>
      </w:r>
      <w:r w:rsidRPr="00BB33CC">
        <w:t>pueden</w:t>
      </w:r>
      <w:r w:rsidR="00FB66CD" w:rsidRPr="00BB33CC">
        <w:t xml:space="preserve"> valorarse a precios de catálogo del proveedor, separando contablemente las subvenciones, descuentos o minoraciones de carácter comercial que se hayan producido.</w:t>
      </w:r>
    </w:p>
    <w:p w:rsidR="00FB66CD" w:rsidRPr="00BB33CC" w:rsidRDefault="00FB66CD" w:rsidP="00222B97">
      <w:pPr>
        <w:pStyle w:val="Indentadoresolucin"/>
        <w:ind w:left="426"/>
      </w:pPr>
      <w:r w:rsidRPr="00BB33CC">
        <w:rPr>
          <w:bCs/>
          <w:i/>
        </w:rPr>
        <w:t>Conciliación</w:t>
      </w:r>
      <w:r w:rsidR="0082689C" w:rsidRPr="00BB33CC">
        <w:t>.</w:t>
      </w:r>
      <w:r w:rsidRPr="00BB33CC">
        <w:t xml:space="preserve"> Para cada metodología y estándar de costos se debe presentar información financiera que concilie con los resultados de la separación contable, aportando para ello el soporte que resultara necesario.</w:t>
      </w:r>
    </w:p>
    <w:p w:rsidR="00FB66CD" w:rsidRPr="00BB33CC" w:rsidRDefault="00FB66CD" w:rsidP="00222B97">
      <w:pPr>
        <w:pStyle w:val="Indentadoresolucin"/>
        <w:ind w:left="426"/>
      </w:pPr>
      <w:r w:rsidRPr="00BB33CC">
        <w:rPr>
          <w:bCs/>
          <w:i/>
        </w:rPr>
        <w:t>No discriminación</w:t>
      </w:r>
      <w:r w:rsidR="0082689C" w:rsidRPr="00BB33CC">
        <w:t>.</w:t>
      </w:r>
      <w:r w:rsidRPr="00BB33CC">
        <w:t xml:space="preserve"> Las imputaciones a servicios deben ser equivalentes cuando el servicio sea prestado internamente </w:t>
      </w:r>
      <w:r w:rsidR="000B6BE7" w:rsidRPr="00BB33CC">
        <w:t xml:space="preserve">y también cuando </w:t>
      </w:r>
      <w:r w:rsidRPr="00BB33CC">
        <w:t>se preste a un tercero. Esto incluye</w:t>
      </w:r>
      <w:r w:rsidR="00B57001" w:rsidRPr="00BB33CC" w:rsidDel="000B6BE7">
        <w:t>:</w:t>
      </w:r>
      <w:r w:rsidRPr="00BB33CC">
        <w:t xml:space="preserve"> (i) la tarificación mayorista homogénea a todas las contrapartes, sin fluctuaciones no justificadas</w:t>
      </w:r>
      <w:r w:rsidR="00B57001" w:rsidRPr="00BB33CC">
        <w:t>,</w:t>
      </w:r>
      <w:r w:rsidRPr="00BB33CC">
        <w:t xml:space="preserve"> y (ii) la orientación a costos propios de los cargos mayoristas aplicados a terceros operadores.</w:t>
      </w:r>
    </w:p>
    <w:p w:rsidR="00FB66CD" w:rsidRPr="00BB33CC" w:rsidRDefault="00FB66CD" w:rsidP="00222B97">
      <w:pPr>
        <w:pStyle w:val="Indentadoresolucin"/>
        <w:ind w:left="426"/>
      </w:pPr>
      <w:r w:rsidRPr="00BB33CC">
        <w:rPr>
          <w:bCs/>
          <w:i/>
        </w:rPr>
        <w:t>Relevancia</w:t>
      </w:r>
      <w:r w:rsidR="0082689C" w:rsidRPr="00BB33CC">
        <w:t>.</w:t>
      </w:r>
      <w:r w:rsidRPr="00BB33CC">
        <w:t xml:space="preserve"> La información de la separación contable debe asegurar que no existen omisiones significativas que puedan afectar las decisiones regulatorias del Instituto.</w:t>
      </w:r>
    </w:p>
    <w:p w:rsidR="00FB66CD" w:rsidRPr="00BB33CC" w:rsidRDefault="00FB66CD" w:rsidP="00222B97">
      <w:pPr>
        <w:pStyle w:val="Indentadoresolucin"/>
        <w:ind w:left="426"/>
      </w:pPr>
      <w:r w:rsidRPr="00BB33CC">
        <w:rPr>
          <w:i/>
        </w:rPr>
        <w:t>Neutralidad</w:t>
      </w:r>
      <w:r w:rsidR="0082689C" w:rsidRPr="00BB33CC">
        <w:t>.</w:t>
      </w:r>
      <w:r w:rsidRPr="00BB33CC">
        <w:t xml:space="preserve"> La información de separación contable debe señalar los costos de transferencia interna del </w:t>
      </w:r>
      <w:r w:rsidR="00B1603B" w:rsidRPr="00BB33CC">
        <w:t>operador</w:t>
      </w:r>
      <w:r w:rsidRPr="00BB33CC">
        <w:t xml:space="preserve"> en cuentas separadas, a fin de distinguir cuando presta servicios a otras empresas</w:t>
      </w:r>
      <w:r w:rsidR="00802712" w:rsidRPr="00BB33CC">
        <w:t>, así como</w:t>
      </w:r>
      <w:r w:rsidRPr="00BB33CC" w:rsidDel="00802712">
        <w:t xml:space="preserve"> </w:t>
      </w:r>
      <w:r w:rsidRPr="00BB33CC">
        <w:t>los márgenes obtenidos cuando la prestación de servicios se realice entre empresas del mismo grupo.</w:t>
      </w:r>
    </w:p>
    <w:p w:rsidR="00FB66CD" w:rsidRPr="00BB33CC" w:rsidRDefault="00FB66CD" w:rsidP="00222B97">
      <w:pPr>
        <w:pStyle w:val="Indentadoresolucin"/>
        <w:ind w:left="426"/>
      </w:pPr>
      <w:r w:rsidRPr="00BB33CC">
        <w:rPr>
          <w:i/>
        </w:rPr>
        <w:t>Suficiencia</w:t>
      </w:r>
      <w:r w:rsidR="0082689C" w:rsidRPr="00BB33CC">
        <w:t>.</w:t>
      </w:r>
      <w:r w:rsidRPr="00BB33CC">
        <w:t xml:space="preserve"> La información de separación contable debe permitir obtener toda la información necesaria para el cumplimiento de los objetivos del regulador.</w:t>
      </w:r>
    </w:p>
    <w:p w:rsidR="00AF0590" w:rsidRPr="00BB33CC" w:rsidRDefault="00443B5D" w:rsidP="00F21199">
      <w:pPr>
        <w:pStyle w:val="Indentadoresolucin"/>
        <w:ind w:left="426"/>
      </w:pPr>
      <w:r w:rsidRPr="00BB33CC">
        <w:rPr>
          <w:i/>
        </w:rPr>
        <w:t>Desagregabilidad</w:t>
      </w:r>
      <w:r w:rsidRPr="00BB33CC">
        <w:t xml:space="preserve">. La totalidad de los costos atribuidos a los servicios deberá estar detallada de acuerdo con el catálogo de cuentas, </w:t>
      </w:r>
      <w:r w:rsidR="00802712" w:rsidRPr="00BB33CC">
        <w:t xml:space="preserve">frecuentemente </w:t>
      </w:r>
      <w:r w:rsidRPr="00BB33CC">
        <w:t>con un detalle de hasta el sexto dígito.</w:t>
      </w:r>
    </w:p>
    <w:p w:rsidR="00443B5D" w:rsidRPr="00BB33CC" w:rsidRDefault="00AF0590" w:rsidP="00F21199">
      <w:pPr>
        <w:pStyle w:val="Indentadoresolucin"/>
        <w:ind w:left="426"/>
      </w:pPr>
      <w:r w:rsidRPr="00BB33CC">
        <w:rPr>
          <w:i/>
        </w:rPr>
        <w:t>Prueba</w:t>
      </w:r>
      <w:r w:rsidR="00443B5D" w:rsidRPr="00BB33CC">
        <w:rPr>
          <w:i/>
        </w:rPr>
        <w:t xml:space="preserve"> y muestreo</w:t>
      </w:r>
      <w:r w:rsidR="00443B5D" w:rsidRPr="00BB33CC">
        <w:t xml:space="preserve">. Los proveedores de servicios pueden usar técnicas de encuesta y muestreo como patrones de uso del elemento de red para cada </w:t>
      </w:r>
      <w:r w:rsidR="00443B5D" w:rsidRPr="00BB33CC">
        <w:lastRenderedPageBreak/>
        <w:t>tipo de producto, minutos de uso, cantidad de suscriptores, datos de actividad de empleados, información de ingeniería, etc.</w:t>
      </w:r>
      <w:r w:rsidR="00AA071C" w:rsidRPr="00BB33CC">
        <w:t>,</w:t>
      </w:r>
      <w:r w:rsidR="00443B5D" w:rsidRPr="00BB33CC">
        <w:t xml:space="preserve"> para</w:t>
      </w:r>
      <w:r w:rsidRPr="00BB33CC">
        <w:t xml:space="preserve"> asignar costos a los servicios, productos y </w:t>
      </w:r>
      <w:r w:rsidR="00443B5D" w:rsidRPr="00BB33CC">
        <w:t>elementos de red. El objetivo fundamental de esta actividad es llegar a una base de atribución adecuada para cumplir con el principio de causalidad. Cuando se utiliza el muestreo, debe basarse en técnicas estadísticas generalmente aceptadas u otros métodos, lo que debería dar como resultado una atribución precisa del costo, los ingresos, etc.</w:t>
      </w:r>
    </w:p>
    <w:p w:rsidR="00443B5D" w:rsidRPr="00BB33CC" w:rsidRDefault="00443B5D" w:rsidP="00443B5D">
      <w:pPr>
        <w:pStyle w:val="Indentadoresolucin"/>
        <w:ind w:left="426"/>
      </w:pPr>
      <w:r w:rsidRPr="00BB33CC">
        <w:rPr>
          <w:i/>
        </w:rPr>
        <w:t>Flexibilidad</w:t>
      </w:r>
      <w:r w:rsidRPr="00BB33CC">
        <w:t>. La metodología define lineamientos generales que se deberán seguir para elaborar y presentar los reportes. En este sentido, los operadores tienen la flexibilidad de utilizar diferentes herramientas para la obtención de la información requerida, siempre y cuando no se contrapongan con los principios metodológicos generales.</w:t>
      </w:r>
    </w:p>
    <w:p w:rsidR="00A7530A" w:rsidRPr="00BB33CC" w:rsidRDefault="00443B5D" w:rsidP="00443B5D">
      <w:pPr>
        <w:pStyle w:val="Indentadoresolucin"/>
        <w:ind w:left="426"/>
      </w:pPr>
      <w:r w:rsidRPr="00BB33CC">
        <w:rPr>
          <w:i/>
        </w:rPr>
        <w:t>Adaptabilidad</w:t>
      </w:r>
      <w:r w:rsidRPr="00BB33CC">
        <w:t>. La disposición de separación contable podrá variar en función de las necesidades del mercado. En el futuro el regulador puede modificar la disposición impuesta de separación contable si así lo considera necesario para llevar a cabo sus objetivos.</w:t>
      </w:r>
    </w:p>
    <w:p w:rsidR="00FE2FDA" w:rsidRPr="00BB33CC" w:rsidRDefault="00FE2FDA" w:rsidP="00797696">
      <w:pPr>
        <w:pStyle w:val="Ttulo2"/>
        <w:numPr>
          <w:ilvl w:val="0"/>
          <w:numId w:val="272"/>
        </w:numPr>
        <w:rPr>
          <w:b w:val="0"/>
        </w:rPr>
      </w:pPr>
      <w:r w:rsidRPr="00BB33CC">
        <w:t>Arquitectura de separación contable</w:t>
      </w:r>
    </w:p>
    <w:p w:rsidR="00FE2FDA" w:rsidRPr="00BB33CC" w:rsidRDefault="00FE2FDA" w:rsidP="000E2E1B">
      <w:pPr>
        <w:pStyle w:val="Normalresolucion"/>
      </w:pPr>
      <w:r w:rsidRPr="00BB33CC">
        <w:t xml:space="preserve">La arquitectura de separación contable se basa en la definición </w:t>
      </w:r>
      <w:r w:rsidR="007D4718" w:rsidRPr="00BB33CC">
        <w:t xml:space="preserve">de </w:t>
      </w:r>
      <w:r w:rsidR="008766D9" w:rsidRPr="00BB33CC">
        <w:t xml:space="preserve">diferentes </w:t>
      </w:r>
      <w:r w:rsidRPr="00BB33CC">
        <w:t>niveles</w:t>
      </w:r>
      <w:r w:rsidR="008766D9" w:rsidRPr="00BB33CC">
        <w:t xml:space="preserve">. Es frecuente el uso de arquitecturas con </w:t>
      </w:r>
      <w:r w:rsidR="008C5C43" w:rsidRPr="00BB33CC">
        <w:t xml:space="preserve">tres y </w:t>
      </w:r>
      <w:r w:rsidR="008766D9" w:rsidRPr="00BB33CC">
        <w:t>cuatro niveles,</w:t>
      </w:r>
      <w:r w:rsidR="000E2E1B" w:rsidRPr="00BB33CC">
        <w:t xml:space="preserve"> que incluyen fases de asignación de costos e ingresos </w:t>
      </w:r>
      <w:r w:rsidR="00020F1A" w:rsidRPr="00BB33CC">
        <w:t xml:space="preserve">que van </w:t>
      </w:r>
      <w:r w:rsidR="000E2E1B" w:rsidRPr="00BB33CC">
        <w:t>desde los informes y registros financieros de los operadores hasta los servicios mayoristas y minoristas</w:t>
      </w:r>
      <w:r w:rsidR="00B9149E" w:rsidRPr="00BB33CC">
        <w:t xml:space="preserve">. </w:t>
      </w:r>
      <w:r w:rsidR="00D46F13" w:rsidRPr="00BB33CC">
        <w:t xml:space="preserve">En cada nivel se </w:t>
      </w:r>
      <w:r w:rsidRPr="00BB33CC">
        <w:t>especifica una desagregación mínima de cuentas.</w:t>
      </w:r>
      <w:r w:rsidR="00C43569" w:rsidRPr="00BB33CC">
        <w:t xml:space="preserve"> </w:t>
      </w:r>
    </w:p>
    <w:p w:rsidR="00565047" w:rsidRPr="00BB33CC" w:rsidRDefault="00565047" w:rsidP="000E2E1B">
      <w:pPr>
        <w:pStyle w:val="Normalresolucion"/>
      </w:pPr>
      <w:r w:rsidRPr="00BB33CC">
        <w:t>A continuación se describe a detalle la desagregación mínima de los elementos de separación contable a considerar por el operador en cada nivel.</w:t>
      </w:r>
    </w:p>
    <w:p w:rsidR="00FE2FDA" w:rsidRPr="00BB33CC" w:rsidRDefault="00845FE0" w:rsidP="00797696">
      <w:pPr>
        <w:pStyle w:val="Ttulo2"/>
        <w:numPr>
          <w:ilvl w:val="1"/>
          <w:numId w:val="272"/>
        </w:numPr>
        <w:rPr>
          <w:i/>
        </w:rPr>
      </w:pPr>
      <w:r w:rsidRPr="00BB33CC">
        <w:t xml:space="preserve"> </w:t>
      </w:r>
      <w:r w:rsidR="00FE2FDA" w:rsidRPr="00BB33CC">
        <w:rPr>
          <w:i/>
        </w:rPr>
        <w:t>Visión general</w:t>
      </w:r>
    </w:p>
    <w:p w:rsidR="00FE2FDA" w:rsidRPr="00BB33CC" w:rsidRDefault="00FE2FDA" w:rsidP="00FE2FDA">
      <w:pPr>
        <w:pStyle w:val="Normalresolucion"/>
      </w:pPr>
      <w:r w:rsidRPr="00BB33CC">
        <w:t xml:space="preserve">La separación contable se </w:t>
      </w:r>
      <w:r w:rsidR="008C5C43" w:rsidRPr="00BB33CC">
        <w:t xml:space="preserve">puede </w:t>
      </w:r>
      <w:r w:rsidRPr="00BB33CC">
        <w:t>r</w:t>
      </w:r>
      <w:r w:rsidR="008C5C43" w:rsidRPr="00BB33CC">
        <w:t>e</w:t>
      </w:r>
      <w:r w:rsidRPr="00BB33CC">
        <w:t>g</w:t>
      </w:r>
      <w:r w:rsidR="008C5C43" w:rsidRPr="00BB33CC">
        <w:t>ir</w:t>
      </w:r>
      <w:r w:rsidRPr="00BB33CC">
        <w:t xml:space="preserve"> por un enfoque descendente que permite imputar la totalidad de los ingresos, costos de operación (incluyendo gastos operativos, depreciación y amortización) y capital empleado registrados en el Balance de Prueba</w:t>
      </w:r>
      <w:r w:rsidR="000B6CA1" w:rsidRPr="00BB33CC">
        <w:rPr>
          <w:rStyle w:val="Refdenotaalpie"/>
        </w:rPr>
        <w:footnoteReference w:id="5"/>
      </w:r>
      <w:r w:rsidRPr="00BB33CC">
        <w:t xml:space="preserve"> a cuentas de servicios, mediante una aproximación de </w:t>
      </w:r>
      <w:r w:rsidR="00010F86" w:rsidRPr="00BB33CC">
        <w:t>Costos Completamente Distribuidos (</w:t>
      </w:r>
      <w:r w:rsidRPr="00BB33CC">
        <w:t>CCD</w:t>
      </w:r>
      <w:r w:rsidR="00010F86" w:rsidRPr="00BB33CC">
        <w:t>)</w:t>
      </w:r>
      <w:r w:rsidRPr="00BB33CC">
        <w:t>. Bajo este esquema, se reconoce asimismo que el capital empleado deberá tratarse y distribuirse a servicios de manera separada a los costos operativos y de depreciación.</w:t>
      </w:r>
    </w:p>
    <w:p w:rsidR="00FE2FDA" w:rsidRPr="00BB33CC" w:rsidRDefault="00FE2FDA" w:rsidP="00797696">
      <w:pPr>
        <w:pStyle w:val="Ttulo2"/>
        <w:numPr>
          <w:ilvl w:val="1"/>
          <w:numId w:val="272"/>
        </w:numPr>
        <w:rPr>
          <w:i/>
        </w:rPr>
      </w:pPr>
      <w:r w:rsidRPr="00BB33CC">
        <w:rPr>
          <w:i/>
        </w:rPr>
        <w:t>Desagregación mínima de elementos de la separación contable</w:t>
      </w:r>
    </w:p>
    <w:p w:rsidR="00EA02C0" w:rsidRPr="00BB33CC" w:rsidRDefault="00EA02C0" w:rsidP="00EA02C0">
      <w:pPr>
        <w:pStyle w:val="Normalresolucion"/>
      </w:pPr>
      <w:r w:rsidRPr="00BB33CC">
        <w:lastRenderedPageBreak/>
        <w:t xml:space="preserve">La desagregación de las cuentas de ingresos y costos </w:t>
      </w:r>
      <w:r w:rsidR="003E606C" w:rsidRPr="00BB33CC">
        <w:t>de</w:t>
      </w:r>
      <w:r w:rsidRPr="00BB33CC">
        <w:t xml:space="preserve"> </w:t>
      </w:r>
      <w:r w:rsidR="0081018C" w:rsidRPr="00BB33CC">
        <w:t>tres</w:t>
      </w:r>
      <w:r w:rsidRPr="00BB33CC">
        <w:t xml:space="preserve"> niveles</w:t>
      </w:r>
      <w:r w:rsidR="0081018C" w:rsidRPr="00BB33CC">
        <w:t xml:space="preserve"> puede incluir un nivel inicial o nivel 0, conforme</w:t>
      </w:r>
      <w:r w:rsidRPr="00BB33CC">
        <w:t xml:space="preserve"> </w:t>
      </w:r>
      <w:r w:rsidR="003E606C" w:rsidRPr="00BB33CC">
        <w:t>se describe a continuación</w:t>
      </w:r>
      <w:r w:rsidRPr="00BB33CC">
        <w:t>.</w:t>
      </w:r>
    </w:p>
    <w:p w:rsidR="00EA02C0" w:rsidRPr="00BB33CC" w:rsidRDefault="00EA02C0" w:rsidP="00EA02C0">
      <w:pPr>
        <w:pStyle w:val="Normalresolucion"/>
        <w:numPr>
          <w:ilvl w:val="0"/>
          <w:numId w:val="247"/>
        </w:numPr>
      </w:pPr>
      <w:r w:rsidRPr="00BB33CC">
        <w:rPr>
          <w:b/>
        </w:rPr>
        <w:t>Nivel inicial.</w:t>
      </w:r>
      <w:r w:rsidRPr="00BB33CC">
        <w:t xml:space="preserve"> El nivel inicial (Nivel 0) toma en consideración las cuentas financieras de ingresos, gastos, y de activos y pasivos que ya son generados por los operadores.</w:t>
      </w:r>
    </w:p>
    <w:p w:rsidR="00EA02C0" w:rsidRPr="00BB33CC" w:rsidRDefault="00EA02C0" w:rsidP="00EA02C0">
      <w:pPr>
        <w:pStyle w:val="Normalresolucion"/>
        <w:ind w:left="708"/>
      </w:pPr>
      <w:r w:rsidRPr="00BB33CC">
        <w:t>Posteriormente, en los siguientes tres niveles se tienen fases de atribución para agrupar o distribuir los ingresos, costos, activos y pasivos incluidos en las cuentas precedentes con el objetivo de garantizar que las asignaciones a servicios (mayoristas y minoristas) del último nivel se realicen mediante criterios de reparto causales y transparentes.</w:t>
      </w:r>
    </w:p>
    <w:p w:rsidR="00EA02C0" w:rsidRPr="00BB33CC" w:rsidRDefault="00EA02C0" w:rsidP="00EA02C0">
      <w:pPr>
        <w:pStyle w:val="Normalresolucion"/>
        <w:numPr>
          <w:ilvl w:val="0"/>
          <w:numId w:val="247"/>
        </w:numPr>
      </w:pPr>
      <w:r w:rsidRPr="00BB33CC">
        <w:rPr>
          <w:b/>
        </w:rPr>
        <w:t>Nivel 1: Cuentas por Naturaleza.</w:t>
      </w:r>
      <w:r w:rsidRPr="00BB33CC">
        <w:t xml:space="preserve"> En el primer nivel de la separación contable se agrupan las cuentas de ingresos y costos provenientes de la contabilidad financiera con el objetivo de facilitar su posterior reparto a las cuentas de servicios mediante criterios de asignación causales. </w:t>
      </w:r>
    </w:p>
    <w:p w:rsidR="00EA02C0" w:rsidRPr="00BB33CC" w:rsidRDefault="00EA02C0" w:rsidP="00EA02C0">
      <w:pPr>
        <w:pStyle w:val="Normalresolucion"/>
        <w:numPr>
          <w:ilvl w:val="0"/>
          <w:numId w:val="247"/>
        </w:numPr>
      </w:pPr>
      <w:r w:rsidRPr="00BB33CC">
        <w:rPr>
          <w:b/>
          <w:bCs/>
        </w:rPr>
        <w:t>Nivel 2: Actividades y elementos de red.</w:t>
      </w:r>
      <w:r w:rsidRPr="00BB33CC">
        <w:rPr>
          <w:bCs/>
        </w:rPr>
        <w:t xml:space="preserve"> </w:t>
      </w:r>
      <w:r w:rsidRPr="00BB33CC">
        <w:t>El segundo nivel de la separación contable contiene una desagregación de cuentas en función de las actividades y elementos de red a las que éstas se encuentran asociadas. Éstas deben recoger, por un lado, los costos operativos y asociados al capital y, por otro, el capital promedio empleado.</w:t>
      </w:r>
    </w:p>
    <w:p w:rsidR="00EA02C0" w:rsidRPr="00BB33CC" w:rsidRDefault="00EA02C0" w:rsidP="00776A41">
      <w:pPr>
        <w:pStyle w:val="Prrafodelista"/>
        <w:numPr>
          <w:ilvl w:val="0"/>
          <w:numId w:val="247"/>
        </w:numPr>
        <w:jc w:val="both"/>
        <w:rPr>
          <w:rFonts w:ascii="ITC Avant Garde" w:eastAsia="Times New Roman" w:hAnsi="ITC Avant Garde" w:cs="Arial"/>
          <w:lang w:val="es-ES" w:eastAsia="es-ES"/>
        </w:rPr>
      </w:pPr>
      <w:r w:rsidRPr="00BB33CC">
        <w:rPr>
          <w:rFonts w:ascii="ITC Avant Garde" w:eastAsia="Times New Roman" w:hAnsi="ITC Avant Garde" w:cs="Arial"/>
          <w:b/>
          <w:lang w:val="es-ES" w:eastAsia="es-ES"/>
        </w:rPr>
        <w:t>Nivel 3: Servicios.</w:t>
      </w:r>
      <w:r w:rsidRPr="00BB33CC">
        <w:rPr>
          <w:rFonts w:ascii="ITC Avant Garde" w:eastAsia="Times New Roman" w:hAnsi="ITC Avant Garde" w:cs="Arial"/>
          <w:lang w:val="es-ES" w:eastAsia="es-ES"/>
        </w:rPr>
        <w:t xml:space="preserve"> Por último, en el tercer nivel se deben reflejar los resultados de ingresos, costos y capital empleado por servicio prestado por el operador, los cuales pueden ser clasificados según el destinatario final de los mismos.</w:t>
      </w:r>
    </w:p>
    <w:p w:rsidR="00E948FB" w:rsidRPr="00BB33CC" w:rsidRDefault="0081018C" w:rsidP="00776A41">
      <w:pPr>
        <w:pStyle w:val="Normalresolucion"/>
      </w:pPr>
      <w:r w:rsidRPr="00BB33CC">
        <w:rPr>
          <w:lang w:val="es-MX"/>
        </w:rPr>
        <w:t>D</w:t>
      </w:r>
      <w:r w:rsidR="00EA02C0" w:rsidRPr="00BB33CC">
        <w:rPr>
          <w:lang w:val="es-MX"/>
        </w:rPr>
        <w:t xml:space="preserve">espués de asignar ingresos, costos y capital empleado a servicios finales, </w:t>
      </w:r>
      <w:r w:rsidR="00EA02C0" w:rsidRPr="00BB33CC">
        <w:t>se aplican cargos de transferencia entre los segmentos minorista y mayorista y se calcula el costo de capital empleado asociado a cada servicio.</w:t>
      </w:r>
    </w:p>
    <w:p w:rsidR="0081018C" w:rsidRPr="00BB33CC" w:rsidRDefault="0081018C" w:rsidP="0081018C">
      <w:pPr>
        <w:pStyle w:val="Normalresolucion"/>
      </w:pPr>
      <w:r w:rsidRPr="00BB33CC">
        <w:t>Respecto a la desagregación de las cuentas de ingresos y costos de cuatro niveles ésta puede considerar las fases que se describen a continuación.</w:t>
      </w:r>
    </w:p>
    <w:p w:rsidR="0081018C" w:rsidRPr="00BB33CC" w:rsidRDefault="0081018C" w:rsidP="0081018C">
      <w:pPr>
        <w:pStyle w:val="Normalresolucion"/>
      </w:pPr>
      <w:r w:rsidRPr="00BB33CC">
        <w:rPr>
          <w:b/>
        </w:rPr>
        <w:t>Nivel 1. Cuentas por naturaleza.</w:t>
      </w:r>
      <w:r w:rsidRPr="00BB33CC">
        <w:t xml:space="preserve"> Corresponde al primer nivel en el que se efectúa la asignación de ingresos y costos provenientes de los registros financieros del operador a las cuentas de ingresos y costos definidos en el nivel 1.</w:t>
      </w:r>
    </w:p>
    <w:p w:rsidR="0081018C" w:rsidRPr="00BB33CC" w:rsidRDefault="0081018C" w:rsidP="0081018C">
      <w:pPr>
        <w:pStyle w:val="Normalresolucion"/>
      </w:pPr>
      <w:r w:rsidRPr="00BB33CC">
        <w:rPr>
          <w:b/>
        </w:rPr>
        <w:t>Nivel 2. Actividades.</w:t>
      </w:r>
      <w:r w:rsidRPr="00BB33CC">
        <w:t xml:space="preserve"> Se efectúa la desagregación de cuentas de acuerdo a las actividades de red asociadas, para ello resulta útil emplear una matriz de asignación de cuentas de costos y activos a costos por actividades.</w:t>
      </w:r>
    </w:p>
    <w:p w:rsidR="0081018C" w:rsidRPr="00BB33CC" w:rsidRDefault="0081018C" w:rsidP="0081018C">
      <w:pPr>
        <w:pStyle w:val="Normalresolucion"/>
      </w:pPr>
      <w:r w:rsidRPr="00BB33CC">
        <w:rPr>
          <w:b/>
        </w:rPr>
        <w:t>Nivel 3. Funciones.</w:t>
      </w:r>
      <w:r w:rsidRPr="00BB33CC">
        <w:t xml:space="preserve"> En este nivel, las cuentas se desagregan conforme a las funciones de red, para lo cual se puede definir una matriz de asignación de costos por actividades a funciones que enlaza el nivel 2 con el nivel 3.</w:t>
      </w:r>
    </w:p>
    <w:p w:rsidR="0081018C" w:rsidRPr="00BB33CC" w:rsidRDefault="0081018C" w:rsidP="00776A41">
      <w:pPr>
        <w:pStyle w:val="Normalresolucion"/>
      </w:pPr>
      <w:r w:rsidRPr="00BB33CC">
        <w:rPr>
          <w:b/>
        </w:rPr>
        <w:lastRenderedPageBreak/>
        <w:t>Nivel 4. Servicios.</w:t>
      </w:r>
      <w:r w:rsidRPr="00BB33CC">
        <w:t xml:space="preserve"> Corresponde al último nivel en donde se materializa el concepto de separación contable ya que se efectúa la asignación de los costos a cuentas de servicios por segmento, mayorista y minorista. Se consideran además las imputaciones o transferencias entre dichos segmentos.</w:t>
      </w:r>
    </w:p>
    <w:p w:rsidR="00052F33" w:rsidRPr="00BB33CC" w:rsidRDefault="00052F33" w:rsidP="00797696">
      <w:pPr>
        <w:pStyle w:val="Ttulo2"/>
        <w:numPr>
          <w:ilvl w:val="0"/>
          <w:numId w:val="272"/>
        </w:numPr>
        <w:rPr>
          <w:b w:val="0"/>
        </w:rPr>
      </w:pPr>
      <w:r w:rsidRPr="00BB33CC">
        <w:t>Determinación de la base de costos e ingresos</w:t>
      </w:r>
    </w:p>
    <w:p w:rsidR="00052F33" w:rsidRPr="00BB33CC" w:rsidRDefault="00052F33" w:rsidP="00FB66CD">
      <w:pPr>
        <w:pStyle w:val="Normalresolucion"/>
      </w:pPr>
      <w:r w:rsidRPr="00BB33CC">
        <w:t xml:space="preserve">En esta sección se presenta la </w:t>
      </w:r>
      <w:r w:rsidR="004E7B71" w:rsidRPr="00BB33CC">
        <w:t xml:space="preserve">descripción de la </w:t>
      </w:r>
      <w:r w:rsidRPr="00BB33CC">
        <w:t xml:space="preserve">base de costos e ingresos que </w:t>
      </w:r>
      <w:r w:rsidR="004E7B71" w:rsidRPr="00BB33CC">
        <w:t>se utiliza en la separación contable</w:t>
      </w:r>
      <w:r w:rsidR="00F74044" w:rsidRPr="00BB33CC">
        <w:t>.</w:t>
      </w:r>
      <w:r w:rsidRPr="00BB33CC">
        <w:t xml:space="preserve"> </w:t>
      </w:r>
    </w:p>
    <w:p w:rsidR="00FB66CD" w:rsidRPr="00BB33CC" w:rsidRDefault="00FB66CD" w:rsidP="00797696">
      <w:pPr>
        <w:pStyle w:val="Ttulo2"/>
        <w:numPr>
          <w:ilvl w:val="1"/>
          <w:numId w:val="272"/>
        </w:numPr>
        <w:rPr>
          <w:b w:val="0"/>
        </w:rPr>
      </w:pPr>
      <w:r w:rsidRPr="00BB33CC">
        <w:t>Base de costos</w:t>
      </w:r>
    </w:p>
    <w:p w:rsidR="00FE78BE" w:rsidRPr="00BB33CC" w:rsidRDefault="00FE78BE" w:rsidP="00FE78BE">
      <w:pPr>
        <w:pStyle w:val="Normalresolucion"/>
        <w:rPr>
          <w:color w:val="000000"/>
        </w:rPr>
      </w:pPr>
      <w:r w:rsidRPr="00BB33CC">
        <w:rPr>
          <w:color w:val="000000"/>
        </w:rPr>
        <w:t>Los modelos de contabilidad de costos requieren de normas de costos que atribuyan de forma adecuada los costos a los servicios incluidos en el modelo. Los distintos modelos de contabilidad de costos que pueden definir los órganos reguladores incluyen los siguientes:</w:t>
      </w:r>
    </w:p>
    <w:p w:rsidR="00FE78BE" w:rsidRPr="00BB33CC" w:rsidRDefault="00FE78BE" w:rsidP="00FE78BE">
      <w:pPr>
        <w:pStyle w:val="Prrafodelista"/>
        <w:numPr>
          <w:ilvl w:val="0"/>
          <w:numId w:val="293"/>
        </w:numPr>
        <w:spacing w:after="0" w:line="240" w:lineRule="auto"/>
        <w:ind w:left="1080"/>
        <w:jc w:val="both"/>
        <w:rPr>
          <w:rFonts w:ascii="ITC Avant Garde" w:eastAsia="Times New Roman" w:hAnsi="ITC Avant Garde"/>
          <w:color w:val="000000"/>
        </w:rPr>
      </w:pPr>
      <w:r w:rsidRPr="00BB33CC">
        <w:rPr>
          <w:rFonts w:ascii="ITC Avant Garde" w:eastAsia="Times New Roman" w:hAnsi="ITC Avant Garde"/>
          <w:color w:val="000000"/>
        </w:rPr>
        <w:t>Contabilidad de Costos Históricos (CCH)</w:t>
      </w:r>
    </w:p>
    <w:p w:rsidR="00FE78BE" w:rsidRPr="00BB33CC" w:rsidRDefault="00FE78BE" w:rsidP="00FE78BE">
      <w:pPr>
        <w:pStyle w:val="Prrafodelista"/>
        <w:numPr>
          <w:ilvl w:val="0"/>
          <w:numId w:val="293"/>
        </w:numPr>
        <w:spacing w:after="0" w:line="240" w:lineRule="auto"/>
        <w:ind w:left="1080"/>
        <w:jc w:val="both"/>
        <w:rPr>
          <w:rFonts w:ascii="ITC Avant Garde" w:eastAsia="Times New Roman" w:hAnsi="ITC Avant Garde"/>
          <w:color w:val="000000"/>
        </w:rPr>
      </w:pPr>
      <w:r w:rsidRPr="00BB33CC">
        <w:rPr>
          <w:rFonts w:ascii="ITC Avant Garde" w:eastAsia="Times New Roman" w:hAnsi="ITC Avant Garde"/>
          <w:color w:val="000000"/>
        </w:rPr>
        <w:t>Contabilidad de Costos Actuales (CCA)</w:t>
      </w:r>
    </w:p>
    <w:p w:rsidR="00FB66CD" w:rsidRPr="00BB33CC" w:rsidRDefault="00FB66CD" w:rsidP="00FB66CD">
      <w:pPr>
        <w:pStyle w:val="Normalresolucion"/>
      </w:pPr>
      <w:r w:rsidRPr="00BB33CC">
        <w:t xml:space="preserve">La metodología de separación contable </w:t>
      </w:r>
      <w:r w:rsidR="008C5C43" w:rsidRPr="00BB33CC">
        <w:t xml:space="preserve">también </w:t>
      </w:r>
      <w:r w:rsidR="0052556A" w:rsidRPr="00BB33CC">
        <w:t>puede</w:t>
      </w:r>
      <w:r w:rsidRPr="00BB33CC">
        <w:t xml:space="preserve"> ser multiestándar, de modo que los </w:t>
      </w:r>
      <w:r w:rsidR="00263D72" w:rsidRPr="00BB33CC">
        <w:rPr>
          <w:bCs/>
        </w:rPr>
        <w:t>operadores</w:t>
      </w:r>
      <w:r w:rsidRPr="00BB33CC">
        <w:t xml:space="preserve"> </w:t>
      </w:r>
      <w:r w:rsidR="0052556A" w:rsidRPr="00BB33CC">
        <w:t>puedan</w:t>
      </w:r>
      <w:r w:rsidR="00052F33" w:rsidRPr="00BB33CC">
        <w:t xml:space="preserve"> </w:t>
      </w:r>
      <w:r w:rsidRPr="00BB33CC">
        <w:t>report</w:t>
      </w:r>
      <w:r w:rsidR="00052F33" w:rsidRPr="00BB33CC">
        <w:t>ar</w:t>
      </w:r>
      <w:r w:rsidRPr="00BB33CC">
        <w:t xml:space="preserve"> </w:t>
      </w:r>
      <w:r w:rsidR="0059690A" w:rsidRPr="00BB33CC">
        <w:t xml:space="preserve">los resultados </w:t>
      </w:r>
      <w:r w:rsidRPr="00BB33CC">
        <w:t xml:space="preserve">de separación contable bajo las metodologías de CCH y CCA. </w:t>
      </w:r>
      <w:r w:rsidR="00C34010" w:rsidRPr="00BB33CC">
        <w:t>Es importante señalar que</w:t>
      </w:r>
      <w:r w:rsidRPr="00BB33CC">
        <w:t xml:space="preserve">, la revaluación de activos mediante la </w:t>
      </w:r>
      <w:r w:rsidR="00C9058A" w:rsidRPr="00BB33CC">
        <w:t>CCA</w:t>
      </w:r>
      <w:r w:rsidRPr="00BB33CC">
        <w:t xml:space="preserve"> debe estar fundamentada en metodologías propias de estos ejercicios regulatorios, tales como mantenimiento a costos de la contabilidad financiera, tasación, valoración absoluta, activos modernos equivalentes o indexación</w:t>
      </w:r>
      <w:r w:rsidR="0000179B" w:rsidRPr="00BB33CC">
        <w:t>. En este sentido, no es conveniente aceptar</w:t>
      </w:r>
      <w:r w:rsidRPr="00BB33CC">
        <w:t xml:space="preserve"> otros ejercicios de revaluación de activos propios de la contabilidad financiera a no ser que </w:t>
      </w:r>
      <w:r w:rsidR="00F32E31" w:rsidRPr="00BB33CC">
        <w:t>e</w:t>
      </w:r>
      <w:r w:rsidRPr="00BB33CC">
        <w:t xml:space="preserve">stos estén alineados con los criterios establecidos por el </w:t>
      </w:r>
      <w:r w:rsidR="00F32E31" w:rsidRPr="00BB33CC">
        <w:t>regulador</w:t>
      </w:r>
      <w:r w:rsidRPr="00BB33CC">
        <w:t>.</w:t>
      </w:r>
      <w:r w:rsidR="0059690A" w:rsidRPr="00BB33CC">
        <w:t xml:space="preserve"> A continuación se describe cada un</w:t>
      </w:r>
      <w:r w:rsidR="00533701" w:rsidRPr="00BB33CC">
        <w:t>a</w:t>
      </w:r>
      <w:r w:rsidR="00987F25" w:rsidRPr="00BB33CC">
        <w:t xml:space="preserve"> de las metodologías antes señaladas</w:t>
      </w:r>
      <w:r w:rsidR="00533701" w:rsidRPr="00BB33CC">
        <w:t xml:space="preserve">. </w:t>
      </w:r>
    </w:p>
    <w:p w:rsidR="00FB66CD" w:rsidRPr="00BB33CC" w:rsidRDefault="00FB66CD" w:rsidP="007E001E">
      <w:pPr>
        <w:pStyle w:val="Ttulo2"/>
        <w:numPr>
          <w:ilvl w:val="2"/>
          <w:numId w:val="272"/>
        </w:numPr>
        <w:ind w:left="1560"/>
      </w:pPr>
      <w:r w:rsidRPr="00BB33CC">
        <w:t>Contabilidad de Costos Históricos</w:t>
      </w:r>
    </w:p>
    <w:p w:rsidR="00FB66CD" w:rsidRPr="00BB33CC" w:rsidRDefault="00FB66CD" w:rsidP="00FB66CD">
      <w:pPr>
        <w:pStyle w:val="Normalresolucion"/>
      </w:pPr>
      <w:r w:rsidRPr="00BB33CC">
        <w:t xml:space="preserve">La CCH </w:t>
      </w:r>
      <w:r w:rsidR="00FE78BE" w:rsidRPr="00BB33CC">
        <w:t xml:space="preserve">es una base contable que emplea información histórica facilitada por los sistemas de contabilidad estatutaria, en donde las transacciones se registran e indican en su valor inicial. Se suele emplear como base para la información con fines estatutarios y administrativos. Al emplear esta base, el valor de los activos puede verse afectado ya que se basa en una estructura de costos distinta de la que encuentran los nuevos entrantes al mercado. Asimismo, la CCH </w:t>
      </w:r>
      <w:r w:rsidRPr="00BB33CC">
        <w:t>se basa en el reconocimiento de los costos reales de adquisición de los activos, según se refleja en sus órdenes de compra originales, en la construcción de la base de costos aplicable.</w:t>
      </w:r>
    </w:p>
    <w:p w:rsidR="00FB66CD" w:rsidRPr="00BB33CC" w:rsidRDefault="00987F25" w:rsidP="00FB66CD">
      <w:pPr>
        <w:pStyle w:val="Normalresolucion"/>
      </w:pPr>
      <w:r w:rsidRPr="00BB33CC">
        <w:t>Adicionalmente, l</w:t>
      </w:r>
      <w:r w:rsidR="00FB66CD" w:rsidRPr="00BB33CC">
        <w:t xml:space="preserve">a información alcanzada mediante el estándar de costos históricos permite comprender los costos de prestación de los servicios en los que está incurriendo un </w:t>
      </w:r>
      <w:r w:rsidR="00FE1A6C" w:rsidRPr="00BB33CC">
        <w:rPr>
          <w:bCs/>
        </w:rPr>
        <w:t>operador</w:t>
      </w:r>
      <w:r w:rsidR="00FB66CD" w:rsidRPr="00BB33CC">
        <w:t xml:space="preserve">. </w:t>
      </w:r>
    </w:p>
    <w:p w:rsidR="00FB66CD" w:rsidRPr="00BB33CC" w:rsidRDefault="00FB66CD" w:rsidP="007E001E">
      <w:pPr>
        <w:pStyle w:val="Ttulo2"/>
        <w:numPr>
          <w:ilvl w:val="2"/>
          <w:numId w:val="272"/>
        </w:numPr>
        <w:ind w:left="1560"/>
      </w:pPr>
      <w:r w:rsidRPr="00BB33CC">
        <w:lastRenderedPageBreak/>
        <w:t>Contabilidad de Costos Actuales</w:t>
      </w:r>
    </w:p>
    <w:p w:rsidR="00FB66CD" w:rsidRPr="00BB33CC" w:rsidRDefault="00FB66CD" w:rsidP="00FB66CD">
      <w:pPr>
        <w:pStyle w:val="Normalresolucion"/>
      </w:pPr>
      <w:r w:rsidRPr="00BB33CC">
        <w:t xml:space="preserve">La CCA </w:t>
      </w:r>
      <w:r w:rsidR="00FE78BE" w:rsidRPr="00BB33CC">
        <w:t>es una base contable que reconoce e incorpora los efectos de los cambios de precio a lo largo del tiempo,</w:t>
      </w:r>
      <w:r w:rsidRPr="00BB33CC">
        <w:t xml:space="preserve"> </w:t>
      </w:r>
      <w:r w:rsidR="00FE78BE" w:rsidRPr="00BB33CC">
        <w:t xml:space="preserve">haciendo </w:t>
      </w:r>
      <w:r w:rsidRPr="00BB33CC">
        <w:t xml:space="preserve">referencia a la revalorización de los activos con el objetivo de reflejar el costo que un nuevo </w:t>
      </w:r>
      <w:r w:rsidR="00FE1A6C" w:rsidRPr="00BB33CC">
        <w:rPr>
          <w:bCs/>
        </w:rPr>
        <w:t>operador</w:t>
      </w:r>
      <w:r w:rsidRPr="00BB33CC">
        <w:t xml:space="preserve"> entrante en el mercado debería afrontar en la actualidad para construir una red equivalente a la del </w:t>
      </w:r>
      <w:r w:rsidR="007F56DD" w:rsidRPr="00BB33CC">
        <w:t>operador</w:t>
      </w:r>
      <w:r w:rsidR="007F56DD" w:rsidRPr="00BB33CC">
        <w:rPr>
          <w:bCs/>
        </w:rPr>
        <w:t xml:space="preserve"> </w:t>
      </w:r>
      <w:r w:rsidRPr="00BB33CC">
        <w:t>que tiene la obligación de separación contable.</w:t>
      </w:r>
    </w:p>
    <w:p w:rsidR="00FB66CD" w:rsidRPr="00BB33CC" w:rsidRDefault="00987F25" w:rsidP="00FB66CD">
      <w:pPr>
        <w:pStyle w:val="Normalresolucion"/>
      </w:pPr>
      <w:r w:rsidRPr="00BB33CC">
        <w:t>En este sentido, l</w:t>
      </w:r>
      <w:r w:rsidR="00FB66CD" w:rsidRPr="00BB33CC">
        <w:t>a CCA permite reflejar el valor actual de los activos en el mercado en que opera la empresa, bajo condiciones de mercado competitivas, considerando los equipos disponibles más ventajosos en términos económicos</w:t>
      </w:r>
      <w:r w:rsidR="00FE78BE" w:rsidRPr="00BB33CC">
        <w:t>, por lo que establece de manera fiable los costos en función de la realidad del mercado</w:t>
      </w:r>
      <w:r w:rsidR="00FB66CD" w:rsidRPr="00BB33CC">
        <w:t>.</w:t>
      </w:r>
    </w:p>
    <w:p w:rsidR="00FB66CD" w:rsidRPr="00BB33CC" w:rsidRDefault="00987F25" w:rsidP="00FB66CD">
      <w:pPr>
        <w:pStyle w:val="Normalresolucion"/>
      </w:pPr>
      <w:r w:rsidRPr="00BB33CC">
        <w:t>Ahora bien, l</w:t>
      </w:r>
      <w:r w:rsidR="00FB66CD" w:rsidRPr="00BB33CC">
        <w:t xml:space="preserve">os reguladores deben de adoptar las medidas necesarias para replicar un mercado competitivo, aplicando modelos de </w:t>
      </w:r>
      <w:r w:rsidR="00C34010" w:rsidRPr="00BB33CC">
        <w:t>costos</w:t>
      </w:r>
      <w:r w:rsidR="00FB66CD" w:rsidRPr="00BB33CC">
        <w:t xml:space="preserve"> que permitan reflejar las decisiones que han de tomar nuevos competidores (eficientes) sobre si construir o adquirir la red. Asimismo, y debido a que las redes de telecomunicaciones se caracterizan por economías de escala y de alcance, se debe evitar la duplicación innecesaria de la infraestructura de red de los operadores, que contribuiría al aumento de la base de costos de la industria en su conjunto, mediante la regulación basada en CCA.</w:t>
      </w:r>
      <w:r w:rsidR="00FB66CD" w:rsidRPr="00BB33CC">
        <w:rPr>
          <w:rStyle w:val="Refdenotaalpie"/>
        </w:rPr>
        <w:footnoteReference w:id="6"/>
      </w:r>
    </w:p>
    <w:p w:rsidR="00FB66CD" w:rsidRPr="00BB33CC" w:rsidRDefault="00FB66CD" w:rsidP="00FB66CD">
      <w:pPr>
        <w:pStyle w:val="Normalresolucion"/>
      </w:pPr>
      <w:r w:rsidRPr="00BB33CC">
        <w:t>Por otro lado, de acuerdo con las Recomendaciones de la Comisión Europea, la estimación de un costo de reposición de los activos permite que la contabilidad refleje el costo de una red eficiente con la tecnología más avanzada disponible, en caso de que la red del operador se haya quedado obsoleta.</w:t>
      </w:r>
      <w:r w:rsidRPr="00BB33CC">
        <w:rPr>
          <w:rStyle w:val="Refdenotaalpie"/>
        </w:rPr>
        <w:footnoteReference w:id="7"/>
      </w:r>
      <w:r w:rsidR="00987F25" w:rsidRPr="00BB33CC">
        <w:t>Es necesario que dicha</w:t>
      </w:r>
      <w:r w:rsidRPr="00BB33CC">
        <w:t xml:space="preserve"> actualización de la planta de activos a costos actuales se implement</w:t>
      </w:r>
      <w:r w:rsidR="00DF0A5E" w:rsidRPr="00BB33CC">
        <w:t>e</w:t>
      </w:r>
      <w:r w:rsidRPr="00BB33CC">
        <w:t xml:space="preserve"> por los </w:t>
      </w:r>
      <w:r w:rsidR="00263D72" w:rsidRPr="00BB33CC">
        <w:t>operadores</w:t>
      </w:r>
      <w:r w:rsidRPr="00BB33CC">
        <w:t xml:space="preserve"> de manera específica para el ejercicio de separación contable ya que pueden diferir considerablemente de los ejercicios de revaluación de activos propios de la contabilidad financiera bajo las directrices aprobadas por las Normas Internacionales de Información Financiera.</w:t>
      </w:r>
      <w:r w:rsidR="00FE78BE" w:rsidRPr="00BB33CC">
        <w:t xml:space="preserve"> Cabe señalar que la valoración de un activo consiste en determinar el precio que acordarían un comprador y un vendedor sobre los pagos futuros y el riesgo asociado a tales pagos</w:t>
      </w:r>
      <w:r w:rsidR="00FE78BE" w:rsidRPr="00BB33CC">
        <w:rPr>
          <w:rStyle w:val="Refdenotaalpie"/>
          <w:color w:val="000000"/>
        </w:rPr>
        <w:footnoteReference w:id="8"/>
      </w:r>
    </w:p>
    <w:p w:rsidR="00FB66CD" w:rsidRPr="00BB33CC" w:rsidRDefault="00FB66CD" w:rsidP="00FB66CD">
      <w:pPr>
        <w:pStyle w:val="Normalresolucion"/>
      </w:pPr>
      <w:r w:rsidRPr="00BB33CC">
        <w:t xml:space="preserve">Con base en la experiencia internacional, en la mayoría de los casos se da flexibilidad a los </w:t>
      </w:r>
      <w:r w:rsidR="00263D72" w:rsidRPr="00BB33CC">
        <w:t>operadores</w:t>
      </w:r>
      <w:r w:rsidRPr="00BB33CC">
        <w:t xml:space="preserve"> para realizar el proceso de revaluación de su planta de activos a costos actuales por medio de las alternativas definidas a continuación</w:t>
      </w:r>
      <w:r w:rsidR="00F74044" w:rsidRPr="00BB33CC">
        <w:t>.</w:t>
      </w:r>
    </w:p>
    <w:p w:rsidR="00FB66CD" w:rsidRPr="00BB33CC" w:rsidRDefault="00FB66CD" w:rsidP="007E001E">
      <w:pPr>
        <w:pStyle w:val="Normalresolucion"/>
        <w:numPr>
          <w:ilvl w:val="0"/>
          <w:numId w:val="310"/>
        </w:numPr>
        <w:ind w:left="993"/>
        <w:rPr>
          <w:bCs/>
          <w:u w:val="single"/>
        </w:rPr>
      </w:pPr>
      <w:r w:rsidRPr="00BB33CC">
        <w:rPr>
          <w:bCs/>
          <w:u w:val="single"/>
        </w:rPr>
        <w:t>Mantenimiento a costos de la contabilidad financiera (no revalorización).</w:t>
      </w:r>
    </w:p>
    <w:p w:rsidR="00FB66CD" w:rsidRPr="00BB33CC" w:rsidRDefault="00FB66CD" w:rsidP="008A2210">
      <w:pPr>
        <w:pStyle w:val="Normalresolucion"/>
        <w:rPr>
          <w:bCs/>
        </w:rPr>
      </w:pPr>
      <w:r w:rsidRPr="00BB33CC">
        <w:rPr>
          <w:lang w:val="es-MX"/>
        </w:rPr>
        <w:lastRenderedPageBreak/>
        <w:t xml:space="preserve">Esta alternativa resulta aplicable </w:t>
      </w:r>
      <w:r w:rsidRPr="00BB33CC">
        <w:t xml:space="preserve">para aquellos activos de baja materialidad, que estén totalmente depreciados o que presenten una vida útil reducida (menor a cinco años). El valor neto de los activos para los cuales se emplee esta aproximación no debe ser en ningún caso superior al 20% del valor neto total de la planta del </w:t>
      </w:r>
      <w:r w:rsidR="00815BD4" w:rsidRPr="00BB33CC">
        <w:t>operador</w:t>
      </w:r>
      <w:r w:rsidR="005B4A65" w:rsidRPr="00BB33CC">
        <w:t>.</w:t>
      </w:r>
    </w:p>
    <w:p w:rsidR="00FB66CD" w:rsidRPr="00BB33CC" w:rsidRDefault="00FB66CD" w:rsidP="007E001E">
      <w:pPr>
        <w:pStyle w:val="Normalresolucion"/>
        <w:numPr>
          <w:ilvl w:val="0"/>
          <w:numId w:val="310"/>
        </w:numPr>
        <w:ind w:left="993"/>
        <w:rPr>
          <w:bCs/>
          <w:szCs w:val="20"/>
          <w:u w:val="single"/>
        </w:rPr>
      </w:pPr>
      <w:r w:rsidRPr="00BB33CC">
        <w:rPr>
          <w:bCs/>
          <w:u w:val="single"/>
        </w:rPr>
        <w:t>Metodología de tasación</w:t>
      </w:r>
    </w:p>
    <w:p w:rsidR="00FB66CD" w:rsidRPr="00BB33CC" w:rsidRDefault="00FB66CD" w:rsidP="00776A41">
      <w:pPr>
        <w:pStyle w:val="Normalresolucion"/>
      </w:pPr>
      <w:r w:rsidRPr="00BB33CC">
        <w:t xml:space="preserve">El método de tasación se basa en la opinión de expertos para la determinación del valor actual del activo. Esta alternativa se utiliza únicamente para los activos asociados a los bienes </w:t>
      </w:r>
      <w:r w:rsidR="008B5B9B" w:rsidRPr="00BB33CC">
        <w:t>inmuebles</w:t>
      </w:r>
      <w:r w:rsidRPr="00BB33CC">
        <w:t xml:space="preserve"> (terrenos, edificios y emplazamientos) propiedad del </w:t>
      </w:r>
      <w:r w:rsidR="00815BD4" w:rsidRPr="00BB33CC">
        <w:t>operador</w:t>
      </w:r>
      <w:r w:rsidRPr="00BB33CC">
        <w:t>. La tasación es realizada por un experto independiente e imparcial.</w:t>
      </w:r>
    </w:p>
    <w:p w:rsidR="00FB66CD" w:rsidRPr="00BB33CC" w:rsidRDefault="00FB66CD" w:rsidP="007E001E">
      <w:pPr>
        <w:pStyle w:val="Normalresolucion"/>
        <w:numPr>
          <w:ilvl w:val="0"/>
          <w:numId w:val="310"/>
        </w:numPr>
        <w:ind w:left="993"/>
        <w:rPr>
          <w:bCs/>
          <w:u w:val="single"/>
        </w:rPr>
      </w:pPr>
      <w:r w:rsidRPr="00BB33CC">
        <w:rPr>
          <w:bCs/>
          <w:u w:val="single"/>
        </w:rPr>
        <w:t>Metodología de valoración absoluta</w:t>
      </w:r>
    </w:p>
    <w:p w:rsidR="00FB66CD" w:rsidRPr="00BB33CC" w:rsidRDefault="00FB66CD" w:rsidP="00776A41">
      <w:pPr>
        <w:pStyle w:val="Normalresolucion"/>
      </w:pPr>
      <w:r w:rsidRPr="00BB33CC">
        <w:t xml:space="preserve">Esta alternativa consiste en la revaluación de la planta de activos mediante el producto de su precio unitario actual por el número de elementos en planta. Este es el método de revaluación más común y </w:t>
      </w:r>
      <w:r w:rsidR="002B030E" w:rsidRPr="00BB33CC">
        <w:t>es</w:t>
      </w:r>
      <w:r w:rsidRPr="00BB33CC">
        <w:t xml:space="preserve"> aplicado para los equipos de acceso, conmutación y en general sobre todos aquellos en los cuales exista una o varias tipologías estándar de equipos y el número de unidades pueda ser determinado de manera robusta.</w:t>
      </w:r>
    </w:p>
    <w:p w:rsidR="00FB66CD" w:rsidRPr="00BB33CC" w:rsidRDefault="00FB66CD" w:rsidP="00776A41">
      <w:pPr>
        <w:pStyle w:val="Normalresolucion"/>
      </w:pPr>
      <w:r w:rsidRPr="00BB33CC">
        <w:t>Esta metodología puede no ser aplicable sobre aquellos activos para los cuales se identifiquen desarrollos o avances en la tecnología empleada</w:t>
      </w:r>
      <w:r w:rsidR="00C15BFA" w:rsidRPr="00BB33CC">
        <w:t xml:space="preserve"> de forma generalizada en la industria</w:t>
      </w:r>
      <w:r w:rsidRPr="00BB33CC">
        <w:t>. En tales casos, se emplea la metodología de Activo Moderno Equivalente (AME).</w:t>
      </w:r>
    </w:p>
    <w:p w:rsidR="00FB66CD" w:rsidRPr="00BB33CC" w:rsidRDefault="00FB66CD" w:rsidP="007E001E">
      <w:pPr>
        <w:pStyle w:val="Normalresolucion"/>
        <w:numPr>
          <w:ilvl w:val="0"/>
          <w:numId w:val="310"/>
        </w:numPr>
        <w:ind w:left="993"/>
        <w:rPr>
          <w:bCs/>
          <w:u w:val="single"/>
        </w:rPr>
      </w:pPr>
      <w:r w:rsidRPr="00BB33CC">
        <w:rPr>
          <w:bCs/>
          <w:u w:val="single"/>
        </w:rPr>
        <w:t>Activo Moderno Equivalente</w:t>
      </w:r>
    </w:p>
    <w:p w:rsidR="00FB66CD" w:rsidRPr="00BB33CC" w:rsidRDefault="00DF0A5E" w:rsidP="00776A41">
      <w:pPr>
        <w:pStyle w:val="Normalresolucion"/>
      </w:pPr>
      <w:r w:rsidRPr="00BB33CC">
        <w:t>La</w:t>
      </w:r>
      <w:r w:rsidR="00FB66CD" w:rsidRPr="00BB33CC">
        <w:t xml:space="preserve"> metodología</w:t>
      </w:r>
      <w:r w:rsidRPr="00BB33CC">
        <w:t xml:space="preserve"> de AME</w:t>
      </w:r>
      <w:r w:rsidR="00FB66CD" w:rsidRPr="00BB33CC">
        <w:t xml:space="preserve"> se aplica habitualmente cuando</w:t>
      </w:r>
      <w:r w:rsidR="00930D02" w:rsidRPr="00BB33CC">
        <w:t>,</w:t>
      </w:r>
      <w:r w:rsidR="00FB66CD" w:rsidRPr="00BB33CC">
        <w:t xml:space="preserve"> debido al progreso tecnológico u obsolescencia, una empresa eficiente no reemplazaría un activo de la misma forma, sino que emplearía un activo más reciente que permitiera garantizar su funcionalidad. A modo de ejemplo, no resultaría razonable valorar los enlaces de</w:t>
      </w:r>
      <w:r w:rsidR="000E0C62" w:rsidRPr="00BB33CC">
        <w:t xml:space="preserve"> transmisión de jerarquía plesio</w:t>
      </w:r>
      <w:r w:rsidR="00FB66CD" w:rsidRPr="00BB33CC">
        <w:t>crona (PDH</w:t>
      </w:r>
      <w:r w:rsidR="00041FFE" w:rsidRPr="00BB33CC">
        <w:rPr>
          <w:rStyle w:val="Refdenotaalpie"/>
        </w:rPr>
        <w:footnoteReference w:id="9"/>
      </w:r>
      <w:r w:rsidR="00FB66CD" w:rsidRPr="00BB33CC">
        <w:t>) por la misma tecnología debido a su obsolescencia; en su defecto dichos enlaces deberían ser revaluados a costos actuales mediante tecnologías alternativas como Jerarquía Digital Síncrona (SDH</w:t>
      </w:r>
      <w:r w:rsidR="00A1076A" w:rsidRPr="00BB33CC">
        <w:rPr>
          <w:rStyle w:val="Refdenotaalpie"/>
        </w:rPr>
        <w:footnoteReference w:id="10"/>
      </w:r>
      <w:r w:rsidR="00FB66CD" w:rsidRPr="00BB33CC">
        <w:t>) o Ethernet, las cuales aportan la misma funcionalidad a un menor precio.</w:t>
      </w:r>
    </w:p>
    <w:p w:rsidR="00FB66CD" w:rsidRPr="00BB33CC" w:rsidRDefault="00DF0A5E" w:rsidP="00776A41">
      <w:pPr>
        <w:pStyle w:val="Normalresolucion"/>
      </w:pPr>
      <w:r w:rsidRPr="00BB33CC">
        <w:t>Asimismo, e</w:t>
      </w:r>
      <w:r w:rsidR="00FB66CD" w:rsidRPr="00BB33CC">
        <w:t xml:space="preserve">l </w:t>
      </w:r>
      <w:r w:rsidRPr="00BB33CC">
        <w:t>operador</w:t>
      </w:r>
      <w:r w:rsidR="00FB66CD" w:rsidRPr="00BB33CC">
        <w:t xml:space="preserve"> debe asegurar la precisa valoración a costos actuales de todos aquellos activos cuyo costo tenga un peso </w:t>
      </w:r>
      <w:r w:rsidR="00840141" w:rsidRPr="00BB33CC">
        <w:t xml:space="preserve">relevante </w:t>
      </w:r>
      <w:r w:rsidR="00FB66CD" w:rsidRPr="00BB33CC">
        <w:t>en las cuentas de servicios, ya sean minoristas o mayoristas, por medio de una valoración basada en un método de valoración absoluta o de AME.</w:t>
      </w:r>
      <w:r w:rsidR="009F68DC" w:rsidRPr="00BB33CC">
        <w:t xml:space="preserve"> </w:t>
      </w:r>
      <w:r w:rsidR="00820D16">
        <w:t>E</w:t>
      </w:r>
      <w:r w:rsidR="009F68DC" w:rsidRPr="00BB33CC">
        <w:t xml:space="preserve">s conveniente </w:t>
      </w:r>
      <w:r w:rsidR="00820D16">
        <w:t xml:space="preserve">que dicho peso relevante </w:t>
      </w:r>
      <w:r w:rsidR="009F68DC" w:rsidRPr="00BB33CC">
        <w:t xml:space="preserve">se defina por operador, en función del tipo de activos que posea, </w:t>
      </w:r>
      <w:r w:rsidR="009F68DC" w:rsidRPr="00BB33CC">
        <w:lastRenderedPageBreak/>
        <w:t xml:space="preserve">habiéndose observado en la experiencia internacional </w:t>
      </w:r>
      <w:r w:rsidR="00307DEC">
        <w:t xml:space="preserve">un </w:t>
      </w:r>
      <w:r w:rsidR="009F68DC" w:rsidRPr="00BB33CC">
        <w:t xml:space="preserve">umbral </w:t>
      </w:r>
      <w:r w:rsidR="00820D16">
        <w:t xml:space="preserve">mínimo </w:t>
      </w:r>
      <w:r w:rsidR="009F68DC" w:rsidRPr="00BB33CC">
        <w:t xml:space="preserve">de referencia </w:t>
      </w:r>
      <w:r w:rsidR="00820D16">
        <w:t>entre el</w:t>
      </w:r>
      <w:r w:rsidR="009F68DC" w:rsidRPr="00BB33CC">
        <w:t xml:space="preserve"> 2 </w:t>
      </w:r>
      <w:r w:rsidR="00820D16">
        <w:t>y el</w:t>
      </w:r>
      <w:r w:rsidR="009F68DC" w:rsidRPr="00BB33CC">
        <w:t xml:space="preserve"> 5 por ciento.</w:t>
      </w:r>
    </w:p>
    <w:p w:rsidR="00FB66CD" w:rsidRPr="00BB33CC" w:rsidRDefault="00FB66CD" w:rsidP="007E001E">
      <w:pPr>
        <w:pStyle w:val="Normalresolucion"/>
        <w:numPr>
          <w:ilvl w:val="0"/>
          <w:numId w:val="310"/>
        </w:numPr>
        <w:ind w:left="993"/>
        <w:rPr>
          <w:bCs/>
          <w:szCs w:val="20"/>
          <w:u w:val="single"/>
        </w:rPr>
      </w:pPr>
      <w:r w:rsidRPr="00BB33CC">
        <w:rPr>
          <w:bCs/>
          <w:u w:val="single"/>
        </w:rPr>
        <w:t>Metodología de indexación</w:t>
      </w:r>
    </w:p>
    <w:p w:rsidR="00FB66CD" w:rsidRPr="00BB33CC" w:rsidRDefault="00FB66CD" w:rsidP="00776A41">
      <w:pPr>
        <w:pStyle w:val="Normalresolucion"/>
      </w:pPr>
      <w:r w:rsidRPr="00BB33CC">
        <w:t>Conforme a esta metodología, la valoración de los activos se realiza mediante la aplicación de un número índice que refleje la variación en el valor de los activos sobre sus valores históricos de adquisición. Este número índice representa la evolución en el precio del activo desde la fecha de adquisición hasta el ejercicio fiscal correspondiente a la obligación de separación contable y procede de fuentes oficiales o de estudios elaborados por expertos en la materia.</w:t>
      </w:r>
    </w:p>
    <w:p w:rsidR="00FB66CD" w:rsidRPr="00BB33CC" w:rsidRDefault="00FB66CD" w:rsidP="00776A41">
      <w:pPr>
        <w:pStyle w:val="Normalresolucion"/>
      </w:pPr>
      <w:r w:rsidRPr="00BB33CC">
        <w:t>Esta metodología se utiliza principalmente en aquellos activos que presenten una naturaleza heterogénea (por ejemplo, elementos de transmisión) o bien que presenten dificultad a la hora de establecer un número de unidades de manera robusta (por ejemplo, baterías y grupos electrógenos); es decir, para aquellos en los que resulte de mayor dificultad la aplicación de otros métodos como el de valoración absoluta, tasación, entre otros.</w:t>
      </w:r>
    </w:p>
    <w:p w:rsidR="00FB66CD" w:rsidRPr="00BB33CC" w:rsidRDefault="00FB66CD" w:rsidP="007D3307">
      <w:pPr>
        <w:pStyle w:val="Ttulo2"/>
        <w:numPr>
          <w:ilvl w:val="0"/>
          <w:numId w:val="272"/>
        </w:numPr>
        <w:rPr>
          <w:b w:val="0"/>
        </w:rPr>
      </w:pPr>
      <w:r w:rsidRPr="00BB33CC">
        <w:t xml:space="preserve">Mantenimiento de </w:t>
      </w:r>
      <w:r w:rsidR="006831B0" w:rsidRPr="00BB33CC">
        <w:t>c</w:t>
      </w:r>
      <w:r w:rsidRPr="00BB33CC">
        <w:t>apital</w:t>
      </w:r>
      <w:r w:rsidR="006831B0" w:rsidRPr="00BB33CC">
        <w:t xml:space="preserve"> y cálculo de su depreciación</w:t>
      </w:r>
    </w:p>
    <w:p w:rsidR="00E41DF3" w:rsidRPr="00BB33CC" w:rsidRDefault="00E41DF3" w:rsidP="00E41DF3">
      <w:pPr>
        <w:pStyle w:val="Normalresolucion"/>
        <w:rPr>
          <w:lang w:val="es-MX"/>
        </w:rPr>
      </w:pPr>
      <w:r w:rsidRPr="00BB33CC">
        <w:rPr>
          <w:color w:val="000000"/>
        </w:rPr>
        <w:t xml:space="preserve">El mantenimiento de capital resulta un aspecto relevante en la medición de los beneficios </w:t>
      </w:r>
      <w:r w:rsidRPr="00BB33CC">
        <w:t>disponibles</w:t>
      </w:r>
      <w:r w:rsidRPr="00BB33CC">
        <w:rPr>
          <w:color w:val="000000"/>
        </w:rPr>
        <w:t xml:space="preserve"> para la distribución en la cuenta de beneficios y pérdidas, además de presentar efectos </w:t>
      </w:r>
      <w:r w:rsidRPr="00BB33CC">
        <w:t>entre</w:t>
      </w:r>
      <w:r w:rsidRPr="00BB33CC">
        <w:rPr>
          <w:color w:val="000000"/>
        </w:rPr>
        <w:t xml:space="preserve"> la división del capital y los beneficios retenidos en el balance. </w:t>
      </w:r>
    </w:p>
    <w:p w:rsidR="00FB66CD" w:rsidRPr="00BB33CC" w:rsidRDefault="00FB66CD" w:rsidP="00FB66CD">
      <w:pPr>
        <w:pStyle w:val="Normalresolucion"/>
      </w:pPr>
      <w:r w:rsidRPr="00BB33CC">
        <w:t>En virtud de que los precios de los activos difieren entre el inicio y final del periodo financiero debido al progreso tecnológico o a la inflación, resulta necesario reflejar el impacto de dichas variaciones en la separación contable bajo el estándar de CCA. Para ello existen dos aproximaciones alternativas, bajo una visión operativa o financiera, cuyo detalle se expone a continuación:</w:t>
      </w:r>
    </w:p>
    <w:p w:rsidR="00FB66CD" w:rsidRPr="00BB33CC" w:rsidRDefault="00FB66CD" w:rsidP="00FB66CD">
      <w:pPr>
        <w:pStyle w:val="Indentadoresolucin"/>
      </w:pPr>
      <w:r w:rsidRPr="00BB33CC">
        <w:rPr>
          <w:i/>
          <w:iCs/>
        </w:rPr>
        <w:t>Mantenimiento Operativo del Capital</w:t>
      </w:r>
      <w:r w:rsidRPr="00BB33CC">
        <w:t xml:space="preserve"> (OCM, por sus siglas en inglés), que persigue mantener la capacidad de producción de los activos de la empresa. Esta aproximación requiere mantener la capacidad operativa de la empresa constante entre el inicio y el final del periodo considerado, de modo que los beneficios sólo se materializan después de que se haya previsto sustituir la capacidad de producción de los activos de una empresa.</w:t>
      </w:r>
      <w:r w:rsidR="00E41DF3" w:rsidRPr="00BB33CC">
        <w:t xml:space="preserve"> Bajo el método OCM, la tasa de depreciación anual se obtiene a partir de la valoración de nuevos activos. Se considera además una depreciación suplementaria que corresponde a la diferencia entre la depreciación de costos históricos y la tasa de depreciación de costos corrientes. Este valor puede ser positivo o negativo, según si el valor de los activos sube o baja.</w:t>
      </w:r>
    </w:p>
    <w:p w:rsidR="00FB66CD" w:rsidRPr="00BB33CC" w:rsidRDefault="00FB66CD" w:rsidP="00FB66CD">
      <w:pPr>
        <w:pStyle w:val="Indentadoresolucin"/>
      </w:pPr>
      <w:r w:rsidRPr="00BB33CC">
        <w:rPr>
          <w:bCs/>
          <w:i/>
          <w:iCs/>
        </w:rPr>
        <w:t xml:space="preserve">Mantenimiento </w:t>
      </w:r>
      <w:r w:rsidR="00545D12" w:rsidRPr="00BB33CC">
        <w:rPr>
          <w:bCs/>
          <w:i/>
          <w:iCs/>
        </w:rPr>
        <w:t>F</w:t>
      </w:r>
      <w:r w:rsidRPr="00BB33CC">
        <w:rPr>
          <w:bCs/>
          <w:i/>
          <w:iCs/>
        </w:rPr>
        <w:t xml:space="preserve">inanciero del </w:t>
      </w:r>
      <w:r w:rsidR="00545D12" w:rsidRPr="00BB33CC">
        <w:rPr>
          <w:bCs/>
          <w:i/>
          <w:iCs/>
        </w:rPr>
        <w:t>C</w:t>
      </w:r>
      <w:r w:rsidRPr="00BB33CC">
        <w:rPr>
          <w:bCs/>
          <w:i/>
          <w:iCs/>
        </w:rPr>
        <w:t>apital</w:t>
      </w:r>
      <w:r w:rsidRPr="00BB33CC">
        <w:rPr>
          <w:bCs/>
        </w:rPr>
        <w:t xml:space="preserve"> (FCM, por sus siglas en inglés), persigue preservar </w:t>
      </w:r>
      <w:r w:rsidRPr="00BB33CC">
        <w:t xml:space="preserve">el capital financiero de una empresa y su habilidad para continuar financiando sus funciones. Bajo esta </w:t>
      </w:r>
      <w:r w:rsidR="00821D20" w:rsidRPr="00BB33CC">
        <w:t>concepción</w:t>
      </w:r>
      <w:r w:rsidRPr="00BB33CC">
        <w:t xml:space="preserve">, se asume </w:t>
      </w:r>
      <w:r w:rsidRPr="00BB33CC">
        <w:lastRenderedPageBreak/>
        <w:t>que se mantendrá el capital financiero siempre que los fondos de los inversionistas se mantengan en el mismo nivel que al inicio del período, de modo que los beneficios sólo se materializarán una vez que se haya realizado una provisión suficiente que asegure que el poder adquisitivo del capital financiero inicial se mant</w:t>
      </w:r>
      <w:r w:rsidR="00D74B4D" w:rsidRPr="00BB33CC">
        <w:t>enga</w:t>
      </w:r>
      <w:r w:rsidRPr="00BB33CC">
        <w:t xml:space="preserve"> al cierre del período.</w:t>
      </w:r>
      <w:r w:rsidR="00E41DF3" w:rsidRPr="00BB33CC">
        <w:t xml:space="preserve"> Al emplear el método FCM, la cuenta de pérdidas y beneficios, además de incorporar los ajustes relacionados con la depreciación adicional anual del valor neto de un activo, se toma en cuenta el efecto inflacionario de los fondos o del valor neto de los activos valorados a su costo corriente.</w:t>
      </w:r>
    </w:p>
    <w:p w:rsidR="00FB66CD" w:rsidRPr="00BB33CC" w:rsidRDefault="00FB66CD" w:rsidP="00FB66CD">
      <w:pPr>
        <w:pStyle w:val="Normalresolucion"/>
      </w:pPr>
      <w:r w:rsidRPr="00BB33CC">
        <w:t>La aproximación más usada en la práctica internacional es la del FCM, por los siguientes motivos:</w:t>
      </w:r>
    </w:p>
    <w:p w:rsidR="00FB66CD" w:rsidRPr="00BB33CC" w:rsidRDefault="00FB66CD" w:rsidP="00FB66CD">
      <w:pPr>
        <w:pStyle w:val="Indentadoresolucin"/>
      </w:pPr>
      <w:r w:rsidRPr="00BB33CC">
        <w:t>Bajo la aproximación de FCM, los rendimientos de los aportadores de capital resultan iguales a la rentabilidad requerida (medida por el costo del capital), independientemente de si los costos de reemplazo suben o bajan con relación al índice general de precios.</w:t>
      </w:r>
    </w:p>
    <w:p w:rsidR="00FB66CD" w:rsidRPr="00BB33CC" w:rsidRDefault="00FB66CD" w:rsidP="00FB66CD">
      <w:pPr>
        <w:pStyle w:val="Indentadoresolucin"/>
      </w:pPr>
      <w:r w:rsidRPr="00BB33CC">
        <w:t>Tal y como menciona la UIT en su guía de contabilidad regulatoria, “</w:t>
      </w:r>
      <w:r w:rsidRPr="00BB33CC">
        <w:rPr>
          <w:i/>
        </w:rPr>
        <w:t>el uso del OCM puede incorporar sistemáticamente retornos insuficientes o excesivos en función de si la inflación esperada de un activo se estimó por debajo o por encima del índice general de precios, lo cual no es recomendable para ningún regulador</w:t>
      </w:r>
      <w:r w:rsidRPr="00BB33CC">
        <w:t>”.</w:t>
      </w:r>
    </w:p>
    <w:p w:rsidR="00B96AAC" w:rsidRPr="00BB33CC" w:rsidRDefault="005104E2" w:rsidP="00B96AAC">
      <w:pPr>
        <w:pStyle w:val="Normalresolucion"/>
      </w:pPr>
      <w:r w:rsidRPr="00BB33CC">
        <w:t xml:space="preserve">A </w:t>
      </w:r>
      <w:r w:rsidR="002230DF" w:rsidRPr="00BB33CC">
        <w:t xml:space="preserve">mayor </w:t>
      </w:r>
      <w:r w:rsidRPr="00BB33CC">
        <w:t>abundamiento</w:t>
      </w:r>
      <w:r w:rsidR="002230DF" w:rsidRPr="00BB33CC">
        <w:t xml:space="preserve"> sobre </w:t>
      </w:r>
      <w:r w:rsidR="00FB66CD" w:rsidRPr="00BB33CC">
        <w:t>la metodología FCM</w:t>
      </w:r>
      <w:r w:rsidR="00B96AAC" w:rsidRPr="00BB33CC">
        <w:t>,</w:t>
      </w:r>
      <w:r w:rsidR="00771BD0" w:rsidRPr="00BB33CC">
        <w:t xml:space="preserve"> </w:t>
      </w:r>
      <w:r w:rsidR="002230DF" w:rsidRPr="00BB33CC">
        <w:t xml:space="preserve">se señala que </w:t>
      </w:r>
      <w:r w:rsidRPr="00BB33CC">
        <w:t xml:space="preserve">permite </w:t>
      </w:r>
      <w:r w:rsidR="00771BD0" w:rsidRPr="00BB33CC">
        <w:t xml:space="preserve">asegurar que se reconoce un correcto retorno sobre los activos en la CCA. Esta metodología </w:t>
      </w:r>
      <w:r w:rsidR="00B96AAC" w:rsidRPr="00BB33CC">
        <w:t>requiere de la definición de los siguientes términos para el correcto cálculo de los términos financieros:</w:t>
      </w:r>
    </w:p>
    <w:p w:rsidR="00B96AAC" w:rsidRPr="00BB33CC" w:rsidRDefault="00B96AAC" w:rsidP="00B96AAC">
      <w:pPr>
        <w:pStyle w:val="Indentadoresolucin"/>
      </w:pPr>
      <w:r w:rsidRPr="00BB33CC">
        <w:rPr>
          <w:i/>
          <w:iCs/>
        </w:rPr>
        <w:t>Depreciación acumulada</w:t>
      </w:r>
      <w:r w:rsidRPr="00BB33CC">
        <w:t xml:space="preserve">: obtenida como la suma de la depreciación acumulada bajo la CCA al final del ejercicio anterior, la depreciación atrasada del ejercicio anterior, y la depreciación anual bajo la CCA del ejercicio en curso. </w:t>
      </w:r>
    </w:p>
    <w:p w:rsidR="00C15BFA" w:rsidRPr="00BB33CC" w:rsidRDefault="00C15BFA" w:rsidP="00C15BFA">
      <w:pPr>
        <w:pStyle w:val="Indentadoresolucin"/>
      </w:pPr>
      <w:r w:rsidRPr="00BB33CC">
        <w:rPr>
          <w:i/>
          <w:iCs/>
        </w:rPr>
        <w:t>Depreciación atrasada</w:t>
      </w:r>
      <w:r w:rsidRPr="00BB33CC">
        <w:t>: corresponde a la depreciación debida a las variaciones en el valor del activo durante el año en curso.</w:t>
      </w:r>
    </w:p>
    <w:p w:rsidR="00C15BFA" w:rsidRPr="00BB33CC" w:rsidRDefault="00C15BFA" w:rsidP="00C15BFA">
      <w:pPr>
        <w:pStyle w:val="Indentadoresolucin"/>
      </w:pPr>
      <w:r w:rsidRPr="00BB33CC">
        <w:rPr>
          <w:i/>
          <w:iCs/>
        </w:rPr>
        <w:t>Depreciación contable,</w:t>
      </w:r>
      <w:r w:rsidRPr="00BB33CC">
        <w:t xml:space="preserve"> representa la depreciación registrada en los libros de contabilidad del operador;</w:t>
      </w:r>
    </w:p>
    <w:p w:rsidR="00C15BFA" w:rsidRPr="00BB33CC" w:rsidRDefault="00C15BFA" w:rsidP="00C15BFA">
      <w:pPr>
        <w:pStyle w:val="Indentadoresolucin"/>
      </w:pPr>
      <w:r w:rsidRPr="00BB33CC">
        <w:rPr>
          <w:i/>
          <w:iCs/>
        </w:rPr>
        <w:t>Depreciación requerida</w:t>
      </w:r>
      <w:r w:rsidRPr="00BB33CC">
        <w:t>: corresponde a la depreciación acumulada que se habría generado con base en el costo actual del activo.</w:t>
      </w:r>
    </w:p>
    <w:p w:rsidR="00C15BFA" w:rsidRPr="00BB33CC" w:rsidRDefault="00B96AAC" w:rsidP="00BB79BD">
      <w:pPr>
        <w:pStyle w:val="Indentadoresolucin"/>
      </w:pPr>
      <w:r w:rsidRPr="00BB33CC">
        <w:rPr>
          <w:i/>
          <w:iCs/>
        </w:rPr>
        <w:t>Depreciación suplementaria</w:t>
      </w:r>
      <w:r w:rsidRPr="00BB33CC">
        <w:t>: corresponde a la diferencia observada entre la depreciación histórica (contable) y la depreciación a costos actuales.</w:t>
      </w:r>
    </w:p>
    <w:p w:rsidR="00B96AAC" w:rsidRPr="00BB33CC" w:rsidRDefault="00B96AAC" w:rsidP="00B96AAC">
      <w:pPr>
        <w:pStyle w:val="Indentadoresolucin"/>
      </w:pPr>
      <w:r w:rsidRPr="00BB33CC">
        <w:rPr>
          <w:i/>
          <w:iCs/>
        </w:rPr>
        <w:t>Ganancias o Pérdidas de posesión</w:t>
      </w:r>
      <w:r w:rsidRPr="00BB33CC">
        <w:t>: corresponde a los ajustes por plusvalías o minusvalías que puedan resultar del efecto de cambios de precios en la valorización a costos actuales de determinados activos.</w:t>
      </w:r>
    </w:p>
    <w:p w:rsidR="00B96AAC" w:rsidRPr="00BB33CC" w:rsidRDefault="00B96AAC" w:rsidP="00B96AAC">
      <w:pPr>
        <w:pStyle w:val="Normalresolucion"/>
      </w:pPr>
      <w:r w:rsidRPr="00BB33CC">
        <w:t>La aplicación práctica de los conceptos anteriores se expone a continuación.</w:t>
      </w:r>
    </w:p>
    <w:p w:rsidR="00B96AAC" w:rsidRPr="00BB33CC" w:rsidRDefault="00B96AAC" w:rsidP="00B96AAC">
      <w:pPr>
        <w:pStyle w:val="Normalresolucion"/>
      </w:pPr>
      <w:r w:rsidRPr="00BB33CC">
        <w:t xml:space="preserve">Una vez definida la aproximación para asegurar el mantenimiento del capital en la CCA, resulta necesario definir los mecanismos a seguir en el cálculo de los </w:t>
      </w:r>
      <w:r w:rsidRPr="00BB33CC">
        <w:lastRenderedPageBreak/>
        <w:t>diferentes parámetros financieros (por ejemplo depreciación anual, valor neto) bajo esta contabilidad. Para ello, se presenta a continuación la descripción del procedimiento a aplicar</w:t>
      </w:r>
      <w:r w:rsidR="00680203">
        <w:t>se</w:t>
      </w:r>
      <w:r w:rsidRPr="00BB33CC">
        <w:t xml:space="preserve"> para el cálculo de estos componentes:</w:t>
      </w:r>
    </w:p>
    <w:p w:rsidR="00B96AAC" w:rsidRPr="00BB33CC" w:rsidRDefault="00B96AAC" w:rsidP="00B96AAC">
      <w:pPr>
        <w:pStyle w:val="Normalresolucion"/>
        <w:keepNext/>
        <w:keepLines/>
        <w:rPr>
          <w:bCs/>
          <w:u w:val="single"/>
        </w:rPr>
      </w:pPr>
      <w:r w:rsidRPr="00BB33CC">
        <w:rPr>
          <w:bCs/>
          <w:u w:val="single"/>
        </w:rPr>
        <w:t xml:space="preserve">Cargos de depreciación. </w:t>
      </w:r>
    </w:p>
    <w:p w:rsidR="00B96AAC" w:rsidRPr="00BB33CC" w:rsidRDefault="00B96AAC" w:rsidP="00B96AAC">
      <w:pPr>
        <w:pStyle w:val="Normalresolucion"/>
        <w:keepNext/>
        <w:keepLines/>
      </w:pPr>
      <w:r w:rsidRPr="00BB33CC">
        <w:t>Los cargos de depreciación en la CCA se componen del conjunto de los siguientes tres conceptos</w:t>
      </w:r>
      <w:r w:rsidR="003032FA" w:rsidRPr="00BB33CC">
        <w:t xml:space="preserve"> integrados en la ecuación</w:t>
      </w:r>
      <w:r w:rsidRPr="00BB33CC">
        <w:t>:</w:t>
      </w:r>
    </w:p>
    <w:p w:rsidR="003032FA" w:rsidRPr="00BB33CC" w:rsidRDefault="003032FA" w:rsidP="003032FA">
      <w:pPr>
        <w:pStyle w:val="ListBullet1"/>
        <w:numPr>
          <w:ilvl w:val="0"/>
          <w:numId w:val="0"/>
        </w:numPr>
        <w:ind w:left="1021"/>
        <w:rPr>
          <w:rFonts w:eastAsiaTheme="minorEastAsia"/>
          <w:color w:val="auto"/>
        </w:rPr>
      </w:pPr>
      <m:oMathPara>
        <m:oMath>
          <m:r>
            <w:rPr>
              <w:rFonts w:ascii="Cambria Math" w:hAnsi="Cambria Math"/>
              <w:color w:val="auto"/>
            </w:rPr>
            <m:t>Depreciaci</m:t>
          </m:r>
          <m:r>
            <w:rPr>
              <w:rFonts w:ascii="Cambria Math" w:hAnsi="Cambria Math" w:hint="eastAsia"/>
              <w:color w:val="auto"/>
            </w:rPr>
            <m:t>ó</m:t>
          </m:r>
          <m:r>
            <w:rPr>
              <w:rFonts w:ascii="Cambria Math" w:hAnsi="Cambria Math"/>
              <w:color w:val="auto"/>
            </w:rPr>
            <m:t>nCCA=Depreciaci</m:t>
          </m:r>
          <m:r>
            <w:rPr>
              <w:rFonts w:ascii="Cambria Math" w:hAnsi="Cambria Math" w:hint="eastAsia"/>
              <w:color w:val="auto"/>
            </w:rPr>
            <m:t>ó</m:t>
          </m:r>
          <m:r>
            <w:rPr>
              <w:rFonts w:ascii="Cambria Math" w:hAnsi="Cambria Math"/>
              <w:color w:val="auto"/>
            </w:rPr>
            <m:t>n Contable+Depreciaci</m:t>
          </m:r>
          <m:r>
            <w:rPr>
              <w:rFonts w:ascii="Cambria Math" w:hAnsi="Cambria Math" w:hint="eastAsia"/>
              <w:color w:val="auto"/>
            </w:rPr>
            <m:t>ó</m:t>
          </m:r>
          <m:r>
            <w:rPr>
              <w:rFonts w:ascii="Cambria Math" w:hAnsi="Cambria Math"/>
              <w:color w:val="auto"/>
            </w:rPr>
            <m:t>n suplementaria+ Ganancias o P</m:t>
          </m:r>
          <m:r>
            <w:rPr>
              <w:rFonts w:ascii="Cambria Math" w:hAnsi="Cambria Math" w:hint="eastAsia"/>
              <w:color w:val="auto"/>
            </w:rPr>
            <m:t>é</m:t>
          </m:r>
          <m:r>
            <w:rPr>
              <w:rFonts w:ascii="Cambria Math" w:hAnsi="Cambria Math"/>
              <w:color w:val="auto"/>
            </w:rPr>
            <m:t>rdidas netas de posesi</m:t>
          </m:r>
          <m:r>
            <w:rPr>
              <w:rFonts w:ascii="Cambria Math" w:hAnsi="Cambria Math" w:hint="eastAsia"/>
              <w:color w:val="auto"/>
            </w:rPr>
            <m:t>ó</m:t>
          </m:r>
          <m:r>
            <w:rPr>
              <w:rFonts w:ascii="Cambria Math" w:hAnsi="Cambria Math"/>
              <w:color w:val="auto"/>
            </w:rPr>
            <m:t>n</m:t>
          </m:r>
        </m:oMath>
      </m:oMathPara>
    </w:p>
    <w:p w:rsidR="003032FA" w:rsidRPr="00BB33CC" w:rsidRDefault="003032FA" w:rsidP="003032FA">
      <w:pPr>
        <w:pStyle w:val="Normalresolucion"/>
        <w:keepNext/>
        <w:keepLines/>
      </w:pPr>
      <w:r w:rsidRPr="00BB33CC">
        <w:t>Donde:</w:t>
      </w:r>
    </w:p>
    <w:p w:rsidR="00B96AAC" w:rsidRPr="00BB33CC" w:rsidRDefault="00B96AAC" w:rsidP="00B96AAC">
      <w:pPr>
        <w:pStyle w:val="Indentadoresolucin"/>
        <w:spacing w:after="120"/>
      </w:pPr>
      <w:r w:rsidRPr="00BB33CC">
        <w:rPr>
          <w:i/>
          <w:iCs/>
        </w:rPr>
        <w:t>Depreciación suplementaria</w:t>
      </w:r>
      <w:r w:rsidRPr="00BB33CC">
        <w:t>, se obt</w:t>
      </w:r>
      <w:r w:rsidR="00C24BD8" w:rsidRPr="00BB33CC">
        <w:t>iene</w:t>
      </w:r>
      <w:r w:rsidRPr="00BB33CC">
        <w:t xml:space="preserve"> de acuerdo a la formulación expuesta a continuación:</w:t>
      </w:r>
    </w:p>
    <w:p w:rsidR="00B96AAC" w:rsidRPr="00BB33CC" w:rsidRDefault="00B96AAC" w:rsidP="00B96AAC">
      <w:pPr>
        <w:pStyle w:val="Indentado2"/>
        <w:numPr>
          <w:ilvl w:val="0"/>
          <w:numId w:val="0"/>
        </w:numPr>
        <w:ind w:left="1176"/>
        <w:rPr>
          <w:rFonts w:ascii="ITC Avant Garde" w:hAnsi="ITC Avant Garde" w:cs="Arial"/>
          <w:sz w:val="22"/>
          <w:szCs w:val="22"/>
          <w:lang w:val="es-ES"/>
        </w:rPr>
      </w:pPr>
      <m:oMathPara>
        <m:oMath>
          <m:r>
            <w:rPr>
              <w:rFonts w:ascii="Cambria Math" w:hAnsi="Cambria Math" w:cs="Arial"/>
              <w:sz w:val="22"/>
              <w:szCs w:val="22"/>
              <w:lang w:val="es-ES"/>
            </w:rPr>
            <m:t>Depreciaci</m:t>
          </m:r>
          <m:r>
            <m:rPr>
              <m:sty m:val="p"/>
            </m:rPr>
            <w:rPr>
              <w:rFonts w:ascii="Cambria Math" w:hAnsi="Cambria Math" w:cs="Arial" w:hint="eastAsia"/>
              <w:sz w:val="22"/>
              <w:szCs w:val="22"/>
              <w:lang w:val="es-ES"/>
            </w:rPr>
            <m:t>ó</m:t>
          </m:r>
          <m:r>
            <w:rPr>
              <w:rFonts w:ascii="Cambria Math" w:hAnsi="Cambria Math" w:cs="Arial"/>
              <w:sz w:val="22"/>
              <w:szCs w:val="22"/>
              <w:lang w:val="es-ES"/>
            </w:rPr>
            <m:t>nSuplementaria</m:t>
          </m:r>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cierre</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apertura</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r>
            <w:rPr>
              <w:rFonts w:ascii="Cambria Math" w:hAnsi="Cambria Math" w:cs="Arial"/>
              <w:sz w:val="22"/>
              <w:szCs w:val="22"/>
              <w:lang w:val="es-ES"/>
            </w:rPr>
            <m:t>Depreciaci</m:t>
          </m:r>
          <m:r>
            <m:rPr>
              <m:sty m:val="p"/>
            </m:rPr>
            <w:rPr>
              <w:rFonts w:ascii="Cambria Math" w:hAnsi="Cambria Math" w:cs="Arial" w:hint="eastAsia"/>
              <w:sz w:val="22"/>
              <w:szCs w:val="22"/>
              <w:lang w:val="es-ES"/>
            </w:rPr>
            <m:t>ó</m:t>
          </m:r>
          <m:r>
            <w:rPr>
              <w:rFonts w:ascii="Cambria Math" w:hAnsi="Cambria Math" w:cs="Arial"/>
              <w:sz w:val="22"/>
              <w:szCs w:val="22"/>
              <w:lang w:val="es-ES"/>
            </w:rPr>
            <m:t>nAtrasada</m:t>
          </m:r>
          <m:r>
            <m:rPr>
              <m:sty m:val="p"/>
            </m:rPr>
            <w:rPr>
              <w:rFonts w:ascii="Cambria Math" w:hAnsi="Cambria Math" w:cs="Arial"/>
              <w:sz w:val="22"/>
              <w:szCs w:val="22"/>
              <w:lang w:val="es-ES"/>
            </w:rPr>
            <m:t>-</m:t>
          </m:r>
          <m:r>
            <w:rPr>
              <w:rFonts w:ascii="Cambria Math" w:hAnsi="Cambria Math" w:cs="Arial"/>
              <w:sz w:val="22"/>
              <w:szCs w:val="22"/>
              <w:lang w:val="es-ES"/>
            </w:rPr>
            <m:t>Traspasos</m:t>
          </m:r>
          <m:d>
            <m:dPr>
              <m:ctrlPr>
                <w:rPr>
                  <w:rFonts w:ascii="Cambria Math" w:hAnsi="Cambria Math" w:cs="Arial"/>
                  <w:sz w:val="22"/>
                  <w:szCs w:val="22"/>
                  <w:lang w:val="es-ES"/>
                </w:rPr>
              </m:ctrlPr>
            </m:dPr>
            <m:e>
              <m:r>
                <w:rPr>
                  <w:rFonts w:ascii="Cambria Math" w:hAnsi="Cambria Math" w:cs="Arial"/>
                  <w:sz w:val="22"/>
                  <w:szCs w:val="22"/>
                  <w:lang w:val="es-ES"/>
                </w:rPr>
                <m:t>Aj</m:t>
              </m:r>
              <m:r>
                <m:rPr>
                  <m:sty m:val="p"/>
                </m:rPr>
                <w:rPr>
                  <w:rFonts w:ascii="Cambria Math" w:hAnsi="Cambria Math" w:cs="Arial"/>
                  <w:sz w:val="22"/>
                  <w:szCs w:val="22"/>
                  <w:lang w:val="es-ES"/>
                </w:rPr>
                <m:t xml:space="preserve">. </m:t>
              </m:r>
              <m:r>
                <w:rPr>
                  <w:rFonts w:ascii="Cambria Math" w:hAnsi="Cambria Math" w:cs="Arial"/>
                  <w:sz w:val="22"/>
                  <w:szCs w:val="22"/>
                  <w:lang w:val="es-ES"/>
                </w:rPr>
                <m:t>Depr</m:t>
              </m:r>
            </m:e>
          </m:d>
          <m:r>
            <m:rPr>
              <m:sty m:val="p"/>
            </m:rPr>
            <w:rPr>
              <w:rFonts w:ascii="Cambria Math" w:hAnsi="Cambria Math" w:cs="Arial"/>
              <w:sz w:val="22"/>
              <w:szCs w:val="22"/>
              <w:lang w:val="es-ES"/>
            </w:rPr>
            <m:t>+</m:t>
          </m:r>
          <m:r>
            <w:rPr>
              <w:rFonts w:ascii="Cambria Math" w:hAnsi="Cambria Math" w:cs="Arial"/>
              <w:sz w:val="22"/>
              <w:szCs w:val="22"/>
              <w:lang w:val="es-ES"/>
            </w:rPr>
            <m:t>Bajas</m:t>
          </m:r>
        </m:oMath>
      </m:oMathPara>
    </w:p>
    <w:p w:rsidR="00B96AAC" w:rsidRPr="00BB33CC" w:rsidRDefault="00B96AAC" w:rsidP="00B96AAC">
      <w:pPr>
        <w:pStyle w:val="Normalresolucion"/>
        <w:ind w:left="709"/>
        <w:rPr>
          <w:sz w:val="18"/>
          <w:szCs w:val="20"/>
        </w:rPr>
      </w:pPr>
      <w:r w:rsidRPr="00BB33CC">
        <w:t>Donde:</w:t>
      </w:r>
    </w:p>
    <w:p w:rsidR="00B96AAC" w:rsidRPr="00BB33CC" w:rsidRDefault="00FB2C80" w:rsidP="00B96AAC">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m:t>
            </m:r>
            <m:r>
              <w:rPr>
                <w:rFonts w:ascii="Cambria Math" w:hAnsi="Cambria Math" w:cs="Cambria Math"/>
              </w:rPr>
              <m:t>e</m:t>
            </m:r>
            <m:r>
              <w:rPr>
                <w:rFonts w:ascii="Cambria Math" w:hAnsi="Cambria Math"/>
              </w:rPr>
              <m:t>rre</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cierre</m:t>
            </m:r>
          </m:sub>
        </m:sSub>
        <m:d>
          <m:dPr>
            <m:ctrlPr>
              <w:rPr>
                <w:rFonts w:ascii="Cambria Math" w:hAnsi="Cambria Math"/>
                <w:sz w:val="18"/>
              </w:rPr>
            </m:ctrlPr>
          </m:dPr>
          <m:e>
            <m:r>
              <w:rPr>
                <w:rFonts w:ascii="Cambria Math" w:hAnsi="Cambria Math"/>
              </w:rPr>
              <m:t>Contable</m:t>
            </m:r>
          </m:e>
        </m:d>
        <m:r>
          <m:rPr>
            <m:sty m:val="p"/>
          </m:rPr>
          <w:rPr>
            <w:rFonts w:ascii="Cambria Math" w:hAnsi="Cambria Math" w:hint="eastAsia"/>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m:rPr>
                    <m:sty m:val="p"/>
                  </m:rPr>
                  <w:rPr>
                    <w:rFonts w:ascii="Cambria Math" w:hAnsi="Cambria Math" w:cs="Cambria Math"/>
                  </w:rPr>
                  <m:t>c</m:t>
                </m:r>
                <m:r>
                  <w:rPr>
                    <w:rFonts w:ascii="Cambria Math" w:hAnsi="Cambria Math"/>
                  </w:rPr>
                  <m:t>ierre</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cierre</m:t>
                </m:r>
              </m:sub>
            </m:sSub>
          </m:den>
        </m:f>
      </m:oMath>
    </w:p>
    <w:p w:rsidR="00B96AAC" w:rsidRPr="00BB33CC" w:rsidRDefault="00FB2C80" w:rsidP="00B96AAC">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Contable</m:t>
            </m:r>
          </m:e>
        </m:d>
        <m:r>
          <m:rPr>
            <m:sty m:val="p"/>
          </m:rPr>
          <w:rPr>
            <w:rFonts w:ascii="Cambria Math" w:hAnsi="Cambria Math" w:hint="eastAsia"/>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oMath>
    </w:p>
    <w:p w:rsidR="00B96AAC" w:rsidRPr="00BB33CC" w:rsidRDefault="00C24BD8" w:rsidP="00776A41">
      <w:pPr>
        <w:pStyle w:val="Indentado3"/>
        <w:numPr>
          <w:ilvl w:val="0"/>
          <w:numId w:val="0"/>
        </w:numPr>
        <w:spacing w:after="60"/>
        <w:ind w:left="1648" w:hanging="372"/>
      </w:pPr>
      <w:r w:rsidRPr="00BB33CC">
        <w:t>Donde</w:t>
      </w:r>
      <w:r w:rsidR="00B96AAC" w:rsidRPr="00BB33CC">
        <w:t>:</w:t>
      </w:r>
    </w:p>
    <w:p w:rsidR="00B96AAC" w:rsidRPr="00BB33CC" w:rsidRDefault="00B96AAC" w:rsidP="008C374E">
      <w:pPr>
        <w:pStyle w:val="Indentado3"/>
        <w:numPr>
          <w:ilvl w:val="2"/>
          <w:numId w:val="9"/>
        </w:numPr>
        <w:spacing w:after="60"/>
      </w:pPr>
      <w:r w:rsidRPr="00BB33CC">
        <w:t xml:space="preserve">VBR </w:t>
      </w:r>
      <w:r w:rsidR="00390836" w:rsidRPr="00BB33CC">
        <w:t xml:space="preserve">es </w:t>
      </w:r>
      <w:r w:rsidRPr="00BB33CC">
        <w:t>el Valor Bruto de Reemplazo</w:t>
      </w:r>
      <w:r w:rsidR="00C24BD8" w:rsidRPr="00BB33CC">
        <w:t>.</w:t>
      </w:r>
      <w:r w:rsidR="00390836" w:rsidRPr="00BB33CC">
        <w:t xml:space="preserve"> </w:t>
      </w:r>
      <w:r w:rsidR="008C374E" w:rsidRPr="00BB33CC">
        <w:t xml:space="preserve">Representa el costo incurrido para reemplazar, en el ejercicio para el que se desarrolla la separación contable, un activo de tipo y características similares, </w:t>
      </w:r>
      <w:r w:rsidR="001B6EAB" w:rsidRPr="00BB33CC">
        <w:t>sin considerar</w:t>
      </w:r>
      <w:r w:rsidR="008C374E" w:rsidRPr="00BB33CC">
        <w:t xml:space="preserve"> la depreciación acumulada. Es el término equivalente al </w:t>
      </w:r>
      <w:r w:rsidR="00545D12" w:rsidRPr="00BB33CC">
        <w:t>Valor Bruto Contable (</w:t>
      </w:r>
      <w:r w:rsidR="008C374E" w:rsidRPr="00BB33CC">
        <w:t>VBC</w:t>
      </w:r>
      <w:r w:rsidR="00545D12" w:rsidRPr="00BB33CC">
        <w:t>)</w:t>
      </w:r>
      <w:r w:rsidR="008C374E" w:rsidRPr="00BB33CC">
        <w:t xml:space="preserve"> pero para CCA. Este </w:t>
      </w:r>
      <w:r w:rsidR="00FD3FF0" w:rsidRPr="00BB33CC">
        <w:t xml:space="preserve">es </w:t>
      </w:r>
      <w:r w:rsidR="008C374E" w:rsidRPr="00BB33CC">
        <w:t xml:space="preserve">obtenido de acuerdo a las metodologías </w:t>
      </w:r>
      <w:r w:rsidR="00D23861" w:rsidRPr="00BB33CC">
        <w:t>de revaluación de la planta de activos a costos actuales</w:t>
      </w:r>
      <w:r w:rsidR="00FD3FF0" w:rsidRPr="00BB33CC">
        <w:t xml:space="preserve"> establecidas por el regulador</w:t>
      </w:r>
      <w:r w:rsidR="008C374E" w:rsidRPr="00BB33CC">
        <w:t>.</w:t>
      </w:r>
    </w:p>
    <w:p w:rsidR="00B96AAC" w:rsidRPr="00BB33CC" w:rsidRDefault="00B96AAC" w:rsidP="00B96AAC">
      <w:pPr>
        <w:pStyle w:val="Indentado3"/>
        <w:numPr>
          <w:ilvl w:val="2"/>
          <w:numId w:val="9"/>
        </w:numPr>
        <w:spacing w:after="60"/>
      </w:pPr>
      <w:r w:rsidRPr="00BB33CC">
        <w:t xml:space="preserve">VBC </w:t>
      </w:r>
      <w:r w:rsidR="00390836" w:rsidRPr="00BB33CC">
        <w:t xml:space="preserve">es </w:t>
      </w:r>
      <w:r w:rsidRPr="00BB33CC">
        <w:t>el Valor Bruto Contable</w:t>
      </w:r>
      <w:r w:rsidR="00C24BD8" w:rsidRPr="00BB33CC">
        <w:t>.</w:t>
      </w:r>
      <w:r w:rsidR="008C374E" w:rsidRPr="00BB33CC">
        <w:t xml:space="preserve"> Representa el valor de adquisición de un activo, incluyendo cualquier corrección de valor que le afecte (por ejemplo, ajustes por inflación). Como parámetro contable, este </w:t>
      </w:r>
      <w:r w:rsidR="00FD3FF0" w:rsidRPr="00BB33CC">
        <w:t>es</w:t>
      </w:r>
      <w:r w:rsidR="008C374E" w:rsidRPr="00BB33CC">
        <w:t xml:space="preserve"> extraído directamente de los estados financieros de los </w:t>
      </w:r>
      <w:r w:rsidR="00FD3FF0" w:rsidRPr="00BB33CC">
        <w:t>operadores</w:t>
      </w:r>
      <w:r w:rsidR="008C374E" w:rsidRPr="00BB33CC">
        <w:t>.</w:t>
      </w:r>
    </w:p>
    <w:p w:rsidR="00B96AAC" w:rsidRPr="00BB33CC" w:rsidRDefault="00B96AAC" w:rsidP="00B96AAC">
      <w:pPr>
        <w:pStyle w:val="Indentado3"/>
        <w:spacing w:after="60"/>
      </w:pPr>
      <m:oMath>
        <m:r>
          <w:rPr>
            <w:rFonts w:ascii="Cambria Math" w:hAnsi="Cambria Math"/>
          </w:rPr>
          <m:t>Depreciaci</m:t>
        </m:r>
        <m:r>
          <m:rPr>
            <m:sty m:val="p"/>
          </m:rPr>
          <w:rPr>
            <w:rFonts w:ascii="Cambria Math" w:hAnsi="Cambria Math" w:hint="eastAsia"/>
          </w:rPr>
          <m:t>ó</m:t>
        </m:r>
        <m:r>
          <w:rPr>
            <w:rFonts w:ascii="Cambria Math" w:hAnsi="Cambria Math"/>
          </w:rPr>
          <m:t>nAtrasada</m:t>
        </m:r>
        <m:r>
          <m:rPr>
            <m:sty m:val="p"/>
          </m:rPr>
          <w:rPr>
            <w:rFonts w:ascii="Cambria Math" w:hAnsi="Cambria Math"/>
          </w:rPr>
          <m:t>=</m:t>
        </m:r>
        <m:d>
          <m:dPr>
            <m:ctrlPr>
              <w:rPr>
                <w:rFonts w:ascii="Cambria Math" w:hAnsi="Cambria Math"/>
                <w:sz w:val="18"/>
              </w:rPr>
            </m:ctrlPr>
          </m:dPr>
          <m:e>
            <m:r>
              <m:rPr>
                <m:sty m:val="p"/>
              </m:rPr>
              <w:rPr>
                <w:rFonts w:ascii="Cambria Math" w:hAnsi="Cambria Math"/>
              </w:rPr>
              <m:t>1-</m:t>
            </m:r>
            <m:f>
              <m:fPr>
                <m:ctrlPr>
                  <w:rPr>
                    <w:rFonts w:ascii="Cambria Math" w:hAnsi="Cambria Math"/>
                    <w:sz w:val="18"/>
                  </w:rPr>
                </m:ctrlPr>
              </m:fPr>
              <m:num>
                <m:r>
                  <w:rPr>
                    <w:rFonts w:ascii="Cambria Math" w:hAnsi="Cambria Math"/>
                  </w:rPr>
                  <m:t>VN</m:t>
                </m:r>
                <m:sSub>
                  <m:sSubPr>
                    <m:ctrlPr>
                      <w:rPr>
                        <w:rFonts w:ascii="Cambria Math" w:hAnsi="Cambria Math"/>
                        <w:sz w:val="18"/>
                      </w:rPr>
                    </m:ctrlPr>
                  </m:sSubPr>
                  <m:e>
                    <m:r>
                      <w:rPr>
                        <w:rFonts w:ascii="Cambria Math" w:hAnsi="Cambria Math"/>
                      </w:rPr>
                      <m:t>C</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e>
        </m:d>
        <m:r>
          <m:rPr>
            <m:sty m:val="p"/>
          </m:rPr>
          <w:rPr>
            <w:rFonts w:ascii="Cambria Math" w:hAnsi="Cambria Math" w:hint="eastAsia"/>
          </w:rPr>
          <m:t>·</m:t>
        </m:r>
        <m:r>
          <w:rPr>
            <w:rFonts w:ascii="Cambria Math" w:hAnsi="Cambria Math"/>
          </w:rPr>
          <m:t>Ganancias</m:t>
        </m:r>
        <m:r>
          <m:rPr>
            <m:sty m:val="p"/>
          </m:rPr>
          <w:rPr>
            <w:rFonts w:ascii="Cambria Math" w:hAnsi="Cambria Math"/>
          </w:rPr>
          <m:t xml:space="preserve"> </m:t>
        </m:r>
        <m:r>
          <w:rPr>
            <w:rFonts w:ascii="Cambria Math" w:hAnsi="Cambria Math" w:cs="Cambria Math"/>
          </w:rPr>
          <m:t xml:space="preserve">o Pérdidas </m:t>
        </m:r>
        <m:r>
          <w:rPr>
            <w:rFonts w:ascii="Cambria Math" w:hAnsi="Cambria Math"/>
          </w:rPr>
          <m:t>de</m:t>
        </m:r>
        <m:r>
          <m:rPr>
            <m:sty m:val="p"/>
          </m:rPr>
          <w:rPr>
            <w:rFonts w:ascii="Cambria Math" w:hAnsi="Cambria Math"/>
          </w:rPr>
          <m:t xml:space="preserve"> </m:t>
        </m:r>
        <m:r>
          <w:rPr>
            <w:rFonts w:ascii="Cambria Math" w:hAnsi="Cambria Math"/>
          </w:rPr>
          <m:t>posesi</m:t>
        </m:r>
        <m:r>
          <m:rPr>
            <m:sty m:val="p"/>
          </m:rPr>
          <w:rPr>
            <w:rFonts w:ascii="Cambria Math" w:hAnsi="Cambria Math" w:hint="eastAsia"/>
          </w:rPr>
          <m:t>ó</m:t>
        </m:r>
        <m:r>
          <w:rPr>
            <w:rFonts w:ascii="Cambria Math" w:hAnsi="Cambria Math"/>
          </w:rPr>
          <m:t>n</m:t>
        </m:r>
      </m:oMath>
    </w:p>
    <w:p w:rsidR="00B96AAC" w:rsidRPr="00BB33CC" w:rsidRDefault="00C24BD8" w:rsidP="00B96AAC">
      <w:pPr>
        <w:pStyle w:val="Indentado3"/>
        <w:spacing w:after="60"/>
      </w:pPr>
      <w:r w:rsidRPr="00BB33CC">
        <w:t>Donde</w:t>
      </w:r>
      <w:r w:rsidR="00B96AAC" w:rsidRPr="00BB33CC">
        <w:t>:</w:t>
      </w:r>
    </w:p>
    <w:p w:rsidR="00B96AAC" w:rsidRPr="00BB33CC" w:rsidRDefault="00B96AAC" w:rsidP="00B96AAC">
      <w:pPr>
        <w:pStyle w:val="Indentado3"/>
        <w:numPr>
          <w:ilvl w:val="2"/>
          <w:numId w:val="9"/>
        </w:numPr>
        <w:spacing w:after="60"/>
      </w:pPr>
      <m:oMath>
        <m:r>
          <w:rPr>
            <w:rFonts w:ascii="Cambria Math" w:hAnsi="Cambria Math"/>
          </w:rPr>
          <m:t>Gananci</m:t>
        </m:r>
        <m:r>
          <w:rPr>
            <w:rFonts w:ascii="Cambria Math" w:hAnsi="Cambria Math" w:cs="Cambria Math"/>
          </w:rPr>
          <m:t>as o Pérdidas de po</m:t>
        </m:r>
        <m:r>
          <w:rPr>
            <w:rFonts w:ascii="Cambria Math" w:hAnsi="Cambria Math"/>
          </w:rPr>
          <m:t>sesi</m:t>
        </m:r>
        <m:r>
          <m:rPr>
            <m:sty m:val="p"/>
          </m:rPr>
          <w:rPr>
            <w:rFonts w:ascii="Cambria Math" w:hAnsi="Cambria Math" w:hint="eastAsia"/>
          </w:rPr>
          <m:t>ó</m:t>
        </m:r>
        <m:r>
          <w:rPr>
            <w:rFonts w:ascii="Cambria Math" w:hAnsi="Cambria Math"/>
          </w:rPr>
          <m:t>n</m:t>
        </m:r>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cierre</m:t>
            </m:r>
          </m:sub>
        </m:sSub>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r>
          <m:rPr>
            <m:sty m:val="p"/>
          </m:rPr>
          <w:rPr>
            <w:rFonts w:ascii="Cambria Math" w:hAnsi="Cambria Math"/>
          </w:rPr>
          <m:t>-</m:t>
        </m:r>
        <m:r>
          <w:rPr>
            <w:rFonts w:ascii="Cambria Math" w:hAnsi="Cambria Math"/>
          </w:rPr>
          <m:t>Altas</m:t>
        </m:r>
        <m:r>
          <m:rPr>
            <m:sty m:val="p"/>
          </m:rPr>
          <w:rPr>
            <w:rFonts w:ascii="Cambria Math" w:hAnsi="Cambria Math"/>
          </w:rPr>
          <m:t>-</m:t>
        </m:r>
        <m:r>
          <w:rPr>
            <w:rFonts w:ascii="Cambria Math" w:hAnsi="Cambria Math"/>
          </w:rPr>
          <m:t>Ba</m:t>
        </m:r>
        <m:r>
          <m:rPr>
            <m:sty m:val="p"/>
          </m:rPr>
          <w:rPr>
            <w:rFonts w:ascii="Cambria Math" w:hAnsi="Cambria Math" w:cs="Cambria Math"/>
          </w:rPr>
          <m:t>j</m:t>
        </m:r>
        <m:r>
          <w:rPr>
            <w:rFonts w:ascii="Cambria Math" w:hAnsi="Cambria Math"/>
          </w:rPr>
          <m:t>as</m:t>
        </m:r>
        <m:r>
          <m:rPr>
            <m:sty m:val="p"/>
          </m:rPr>
          <w:rPr>
            <w:rFonts w:ascii="Cambria Math" w:hAnsi="Cambria Math"/>
          </w:rPr>
          <m:t>-</m:t>
        </m:r>
        <m:r>
          <w:rPr>
            <w:rFonts w:ascii="Cambria Math" w:hAnsi="Cambria Math"/>
          </w:rPr>
          <m:t>Traspasos</m:t>
        </m:r>
        <m:r>
          <m:rPr>
            <m:sty m:val="p"/>
          </m:rPr>
          <w:rPr>
            <w:rFonts w:ascii="Cambria Math" w:hAnsi="Cambria Math"/>
          </w:rPr>
          <m:t>)</m:t>
        </m:r>
      </m:oMath>
    </w:p>
    <w:p w:rsidR="00B96AAC" w:rsidRPr="00BB33CC" w:rsidRDefault="00B96AAC" w:rsidP="00B96AAC">
      <w:pPr>
        <w:pStyle w:val="Indentado3"/>
        <w:spacing w:after="60"/>
      </w:pPr>
      <m:oMath>
        <m:r>
          <w:rPr>
            <w:rFonts w:ascii="Cambria Math" w:hAnsi="Cambria Math"/>
          </w:rPr>
          <w:lastRenderedPageBreak/>
          <m:t>Traspasos</m:t>
        </m:r>
        <m:d>
          <m:dPr>
            <m:ctrlPr>
              <w:rPr>
                <w:rFonts w:ascii="Cambria Math" w:hAnsi="Cambria Math"/>
                <w:sz w:val="18"/>
              </w:rPr>
            </m:ctrlPr>
          </m:dPr>
          <m:e>
            <m:r>
              <w:rPr>
                <w:rFonts w:ascii="Cambria Math" w:hAnsi="Cambria Math"/>
              </w:rPr>
              <m:t>Aj</m:t>
            </m:r>
            <m:r>
              <m:rPr>
                <m:sty m:val="p"/>
              </m:rPr>
              <w:rPr>
                <w:rFonts w:ascii="Cambria Math" w:hAnsi="Cambria Math"/>
              </w:rPr>
              <m:t xml:space="preserve">. </m:t>
            </m:r>
            <m:r>
              <w:rPr>
                <w:rFonts w:ascii="Cambria Math" w:hAnsi="Cambria Math"/>
              </w:rPr>
              <m:t>Depr</m:t>
            </m:r>
          </m:e>
        </m:d>
        <m:r>
          <m:rPr>
            <m:sty m:val="p"/>
          </m:rPr>
          <w:rPr>
            <w:rFonts w:ascii="Cambria Math" w:hAnsi="Cambria Math"/>
          </w:rPr>
          <m:t>=</m:t>
        </m:r>
        <m:r>
          <w:rPr>
            <w:rFonts w:ascii="Cambria Math" w:hAnsi="Cambria Math"/>
          </w:rPr>
          <m:t>Traspasos</m:t>
        </m:r>
        <m:d>
          <m:dPr>
            <m:ctrlPr>
              <w:rPr>
                <w:rFonts w:ascii="Cambria Math" w:hAnsi="Cambria Math"/>
                <w:sz w:val="18"/>
              </w:rPr>
            </m:ctrlPr>
          </m:dPr>
          <m:e>
            <m:r>
              <w:rPr>
                <w:rFonts w:ascii="Cambria Math" w:hAnsi="Cambria Math"/>
              </w:rPr>
              <m:t>Contables</m:t>
            </m:r>
          </m:e>
        </m:d>
        <m:r>
          <m:rPr>
            <m:sty m:val="p"/>
          </m:rPr>
          <w:rPr>
            <w:rFonts w:ascii="Cambria Math" w:hAnsi="Cambria Math" w:hint="eastAsia"/>
          </w:rPr>
          <m:t>·</m:t>
        </m:r>
        <m:f>
          <m:fPr>
            <m:ctrlPr>
              <w:rPr>
                <w:rFonts w:ascii="Cambria Math" w:hAnsi="Cambria Math"/>
                <w:sz w:val="18"/>
              </w:rPr>
            </m:ctrlPr>
          </m:fPr>
          <m:num>
            <m:r>
              <w:rPr>
                <w:rFonts w:ascii="Cambria Math" w:hAnsi="Cambria Math"/>
              </w:rPr>
              <m:t>Depr</m:t>
            </m:r>
            <m:r>
              <m:rPr>
                <m:sty m:val="p"/>
              </m:rPr>
              <w:rPr>
                <w:rFonts w:ascii="Cambria Math" w:hAnsi="Cambria Math"/>
              </w:rPr>
              <m:t>.</m:t>
            </m:r>
            <m:r>
              <w:rPr>
                <w:rFonts w:ascii="Cambria Math" w:hAnsi="Cambria Math"/>
              </w:rPr>
              <m:t>Acum</m:t>
            </m:r>
            <m:sSub>
              <m:sSubPr>
                <m:ctrlPr>
                  <w:rPr>
                    <w:rFonts w:ascii="Cambria Math" w:hAnsi="Cambria Math"/>
                    <w:sz w:val="18"/>
                  </w:rPr>
                </m:ctrlPr>
              </m:sSubPr>
              <m:e>
                <m:d>
                  <m:dPr>
                    <m:ctrlPr>
                      <w:rPr>
                        <w:rFonts w:ascii="Cambria Math" w:hAnsi="Cambria Math"/>
                        <w:sz w:val="18"/>
                      </w:rPr>
                    </m:ctrlPr>
                  </m:dPr>
                  <m:e>
                    <m:r>
                      <w:rPr>
                        <w:rFonts w:ascii="Cambria Math" w:hAnsi="Cambria Math"/>
                      </w:rPr>
                      <m:t>Contable</m:t>
                    </m:r>
                  </m:e>
                </m:d>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m:t>
                </m:r>
                <m:r>
                  <w:rPr>
                    <w:rFonts w:ascii="Cambria Math" w:hAnsi="Cambria Math" w:cs="Cambria Math"/>
                  </w:rPr>
                  <m:t>r</m:t>
                </m:r>
                <m:r>
                  <w:rPr>
                    <w:rFonts w:ascii="Cambria Math" w:hAnsi="Cambria Math"/>
                  </w:rPr>
                  <m:t>a</m:t>
                </m:r>
              </m:sub>
            </m:sSub>
          </m:den>
        </m:f>
      </m:oMath>
    </w:p>
    <w:p w:rsidR="00A90220" w:rsidRPr="00BB33CC" w:rsidRDefault="00A90220" w:rsidP="00B87334">
      <w:pPr>
        <w:pStyle w:val="Indentadoresolucin"/>
        <w:numPr>
          <w:ilvl w:val="0"/>
          <w:numId w:val="0"/>
        </w:numPr>
        <w:ind w:left="1008"/>
      </w:pPr>
      <w:r w:rsidRPr="00BB33CC">
        <w:t xml:space="preserve">Los valores de los activos de </w:t>
      </w:r>
      <w:r w:rsidRPr="00BB33CC">
        <w:rPr>
          <w:i/>
        </w:rPr>
        <w:t>cierre</w:t>
      </w:r>
      <w:r w:rsidRPr="00BB33CC">
        <w:t xml:space="preserve"> y de </w:t>
      </w:r>
      <w:r w:rsidRPr="00BB33CC">
        <w:rPr>
          <w:i/>
        </w:rPr>
        <w:t>apertura</w:t>
      </w:r>
      <w:r w:rsidRPr="00BB33CC">
        <w:t>, corresponden a los valores al final del ejercicio para el cual se desarrolla la separación contable y su valor en la apertura del ejercicio, respectivamente.</w:t>
      </w:r>
    </w:p>
    <w:p w:rsidR="00B96AAC" w:rsidRPr="00BB33CC" w:rsidRDefault="00B96AAC" w:rsidP="00B96AAC">
      <w:pPr>
        <w:pStyle w:val="Indentadoresolucin"/>
      </w:pPr>
      <w:r w:rsidRPr="00BB33CC">
        <w:rPr>
          <w:i/>
        </w:rPr>
        <w:t>Ganancias o Pérdidas netas de posesión</w:t>
      </w:r>
      <w:r w:rsidRPr="00BB33CC">
        <w:t xml:space="preserve">, que corresponde a la suma de los términos de las </w:t>
      </w:r>
      <w:r w:rsidR="00C3288C" w:rsidRPr="00BB33CC">
        <w:t>g</w:t>
      </w:r>
      <w:r w:rsidRPr="00BB33CC">
        <w:t xml:space="preserve">anancias o </w:t>
      </w:r>
      <w:r w:rsidR="00C3288C" w:rsidRPr="00BB33CC">
        <w:t>p</w:t>
      </w:r>
      <w:r w:rsidRPr="00BB33CC">
        <w:t>érdidas de posesión y la depreciación atrasada:</w:t>
      </w:r>
    </w:p>
    <w:p w:rsidR="00B96AAC" w:rsidRPr="00BB33CC" w:rsidRDefault="00B96AAC" w:rsidP="00B96AAC">
      <w:pPr>
        <w:pStyle w:val="Indentadoresolucin"/>
        <w:numPr>
          <w:ilvl w:val="0"/>
          <w:numId w:val="0"/>
        </w:numPr>
        <w:ind w:left="1008"/>
      </w:pPr>
      <m:oMathPara>
        <m:oMath>
          <m:r>
            <w:rPr>
              <w:rFonts w:ascii="Cambria Math" w:hAnsi="Cambria Math"/>
            </w:rPr>
            <m:t>Ganancias o P</m:t>
          </m:r>
          <m:r>
            <w:rPr>
              <w:rFonts w:ascii="Cambria Math" w:hAnsi="Cambria Math" w:hint="eastAsia"/>
            </w:rPr>
            <m:t>é</m:t>
          </m:r>
          <m:r>
            <w:rPr>
              <w:rFonts w:ascii="Cambria Math" w:hAnsi="Cambria Math"/>
            </w:rPr>
            <m:t>rdidas netas de posesi</m:t>
          </m:r>
          <m:r>
            <w:rPr>
              <w:rFonts w:ascii="Cambria Math" w:hAnsi="Cambria Math" w:hint="eastAsia"/>
            </w:rPr>
            <m:t>ó</m:t>
          </m:r>
          <m:r>
            <w:rPr>
              <w:rFonts w:ascii="Cambria Math" w:hAnsi="Cambria Math"/>
            </w:rPr>
            <m:t>n=Ganancias o P</m:t>
          </m:r>
          <m:r>
            <w:rPr>
              <w:rFonts w:ascii="Cambria Math" w:hAnsi="Cambria Math" w:hint="eastAsia"/>
            </w:rPr>
            <m:t>é</m:t>
          </m:r>
          <m:r>
            <w:rPr>
              <w:rFonts w:ascii="Cambria Math" w:hAnsi="Cambria Math"/>
            </w:rPr>
            <m:t>rdidas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m:t>
          </m:r>
          <m:r>
            <w:rPr>
              <w:rFonts w:ascii="Cambria Math" w:hAnsi="Cambria Math" w:cs="Cambria Math"/>
            </w:rPr>
            <m:t>o</m:t>
          </m:r>
          <m:r>
            <w:rPr>
              <w:rFonts w:ascii="Cambria Math" w:hAnsi="Cambria Math"/>
            </w:rPr>
            <m:t>sesi</m:t>
          </m:r>
          <m:r>
            <m:rPr>
              <m:sty m:val="p"/>
            </m:rPr>
            <w:rPr>
              <w:rFonts w:ascii="Cambria Math" w:hAnsi="Cambria Math" w:hint="eastAsia"/>
            </w:rPr>
            <m:t>ó</m:t>
          </m:r>
          <m:r>
            <w:rPr>
              <w:rFonts w:ascii="Cambria Math" w:hAnsi="Cambria Math"/>
            </w:rPr>
            <m:t>n+ Depreciaci</m:t>
          </m:r>
          <m:r>
            <m:rPr>
              <m:sty m:val="p"/>
            </m:rPr>
            <w:rPr>
              <w:rFonts w:ascii="Cambria Math" w:hAnsi="Cambria Math" w:hint="eastAsia"/>
            </w:rPr>
            <m:t>ó</m:t>
          </m:r>
          <m:r>
            <w:rPr>
              <w:rFonts w:ascii="Cambria Math" w:hAnsi="Cambria Math"/>
            </w:rPr>
            <m:t xml:space="preserve">nAtrasada  </m:t>
          </m:r>
        </m:oMath>
      </m:oMathPara>
    </w:p>
    <w:p w:rsidR="00B96AAC" w:rsidRPr="00BB33CC" w:rsidRDefault="00B96AAC" w:rsidP="00B96AAC">
      <w:pPr>
        <w:pStyle w:val="Normalresolucion"/>
        <w:rPr>
          <w:bCs/>
          <w:u w:val="single"/>
        </w:rPr>
      </w:pPr>
      <w:r w:rsidRPr="00BB33CC">
        <w:rPr>
          <w:bCs/>
          <w:u w:val="single"/>
        </w:rPr>
        <w:t>Valor Neto de Reposición</w:t>
      </w:r>
    </w:p>
    <w:p w:rsidR="00B96AAC" w:rsidRPr="00BB33CC" w:rsidRDefault="00B96AAC" w:rsidP="00B96AAC">
      <w:pPr>
        <w:pStyle w:val="Normalresolucion"/>
      </w:pPr>
      <w:r w:rsidRPr="00BB33CC">
        <w:t xml:space="preserve">Por </w:t>
      </w:r>
      <w:r w:rsidR="00606371" w:rsidRPr="00BB33CC">
        <w:t>otra parte</w:t>
      </w:r>
      <w:r w:rsidRPr="00BB33CC">
        <w:t xml:space="preserve">, el Valor Neto de Reposición (VNR) </w:t>
      </w:r>
      <w:r w:rsidR="00AD7445" w:rsidRPr="00BB33CC">
        <w:t>se obtiene</w:t>
      </w:r>
      <w:r w:rsidRPr="00BB33CC">
        <w:t xml:space="preserve"> mediante la aplicación de la relación entre el Valor Neto Contable (VNC) y el Valor Bruto Contable (VBC) sobre el Valor Bruto de Reposición (VBR):</w:t>
      </w:r>
    </w:p>
    <w:p w:rsidR="00B96AAC" w:rsidRPr="00BB33CC" w:rsidRDefault="00B96AAC" w:rsidP="00B96AAC">
      <w:pPr>
        <w:pStyle w:val="Indentado1"/>
        <w:numPr>
          <w:ilvl w:val="0"/>
          <w:numId w:val="0"/>
        </w:numPr>
        <w:ind w:left="357"/>
        <w:rPr>
          <w:rFonts w:ascii="ITC Avant Garde" w:hAnsi="ITC Avant Garde"/>
        </w:rPr>
      </w:pPr>
      <m:oMathPara>
        <m:oMath>
          <m:r>
            <w:rPr>
              <w:rFonts w:ascii="Cambria Math" w:hAnsi="Cambria Math"/>
              <w:lang w:val="pt-PT"/>
            </w:rPr>
            <m:t>VNR=</m:t>
          </m:r>
          <m:f>
            <m:fPr>
              <m:ctrlPr>
                <w:rPr>
                  <w:rFonts w:ascii="Cambria Math" w:hAnsi="Cambria Math"/>
                  <w:i/>
                </w:rPr>
              </m:ctrlPr>
            </m:fPr>
            <m:num>
              <m:r>
                <w:rPr>
                  <w:rFonts w:ascii="Cambria Math" w:hAnsi="Cambria Math"/>
                </w:rPr>
                <m:t>VNC</m:t>
              </m:r>
            </m:num>
            <m:den>
              <m:r>
                <w:rPr>
                  <w:rFonts w:ascii="Cambria Math" w:hAnsi="Cambria Math"/>
                </w:rPr>
                <m:t>VBC</m:t>
              </m:r>
            </m:den>
          </m:f>
          <m:r>
            <w:rPr>
              <w:rFonts w:ascii="Cambria Math" w:hAnsi="Cambria Math"/>
            </w:rPr>
            <m:t>∙VBR</m:t>
          </m:r>
        </m:oMath>
      </m:oMathPara>
    </w:p>
    <w:p w:rsidR="00373DA8" w:rsidRPr="00BB33CC" w:rsidRDefault="00373DA8" w:rsidP="00B96AAC">
      <w:pPr>
        <w:pStyle w:val="Normalresolucion"/>
      </w:pPr>
      <w:r w:rsidRPr="00BB33CC">
        <w:t xml:space="preserve">Donde: </w:t>
      </w:r>
    </w:p>
    <w:p w:rsidR="00373DA8" w:rsidRPr="00BB33CC" w:rsidRDefault="004F010F" w:rsidP="00B87334">
      <w:pPr>
        <w:pStyle w:val="Indentadoresolucin"/>
      </w:pPr>
      <w:r w:rsidRPr="00BB33CC">
        <w:rPr>
          <w:iCs/>
        </w:rPr>
        <w:t>VNR</w:t>
      </w:r>
      <w:r w:rsidRPr="00BB33CC">
        <w:t xml:space="preserve"> </w:t>
      </w:r>
      <w:r w:rsidR="00B01C1F">
        <w:t>es el Valor Neto de Reposición. R</w:t>
      </w:r>
      <w:r w:rsidR="00373DA8" w:rsidRPr="00BB33CC">
        <w:t xml:space="preserve">epresenta el costo incurrido para reemplazar, en el ejercicio para el que se desarrolla la separación contable, un activo de tipo y características similares, teniendo en cuenta la depreciación acumulada. </w:t>
      </w:r>
    </w:p>
    <w:p w:rsidR="00373DA8" w:rsidRPr="00BB33CC" w:rsidRDefault="00373DA8" w:rsidP="00B87334">
      <w:pPr>
        <w:pStyle w:val="Indentadoresolucin"/>
      </w:pPr>
      <w:r w:rsidRPr="00BB33CC">
        <w:t>VNC</w:t>
      </w:r>
      <w:r w:rsidR="004F010F" w:rsidRPr="00BB33CC">
        <w:t xml:space="preserve"> </w:t>
      </w:r>
      <w:r w:rsidRPr="00BB33CC">
        <w:t xml:space="preserve">es el </w:t>
      </w:r>
      <w:r w:rsidR="00B01C1F">
        <w:t>V</w:t>
      </w:r>
      <w:r w:rsidRPr="00BB33CC">
        <w:t xml:space="preserve">alor </w:t>
      </w:r>
      <w:r w:rsidR="00B01C1F">
        <w:t xml:space="preserve">Neto Contable. Representa el valor </w:t>
      </w:r>
      <w:r w:rsidRPr="00BB33CC">
        <w:t xml:space="preserve">que coincide con el valor de adquisición </w:t>
      </w:r>
      <w:r w:rsidR="007B75DD" w:rsidRPr="00BB33CC">
        <w:t>atenuado</w:t>
      </w:r>
      <w:r w:rsidRPr="00BB33CC">
        <w:t xml:space="preserve"> por la amortización acumulada y cualquier otra corrección de valor que le afecte. Como parámetro contable, este deberá ser extraído directamente de los estados financieros de los </w:t>
      </w:r>
      <w:r w:rsidR="00FD3FF0" w:rsidRPr="00BB33CC">
        <w:t>operadores</w:t>
      </w:r>
      <w:r w:rsidRPr="00BB33CC">
        <w:t>.</w:t>
      </w:r>
    </w:p>
    <w:p w:rsidR="00B96AAC" w:rsidRPr="00BB33CC" w:rsidRDefault="00B96AAC" w:rsidP="00B96AAC">
      <w:pPr>
        <w:pStyle w:val="Normalresolucion"/>
      </w:pPr>
      <w:r w:rsidRPr="00BB33CC">
        <w:t xml:space="preserve">Con respecto al proceso de cálculo de las variables relativas a los cargos de depreciación y al </w:t>
      </w:r>
      <w:r w:rsidR="00545D12" w:rsidRPr="00BB33CC">
        <w:t>VNR</w:t>
      </w:r>
      <w:r w:rsidRPr="00BB33CC">
        <w:t>, es de suma importancia que los cálculos arriba presentados se realicen a nivel de línea de activo (cada fila del registro de activo fijo) y no de manera agregada por categorías de activo.</w:t>
      </w:r>
    </w:p>
    <w:p w:rsidR="00B96AAC" w:rsidRPr="00BB33CC" w:rsidRDefault="00D475DA" w:rsidP="00B96AAC">
      <w:pPr>
        <w:pStyle w:val="Normalresolucion"/>
      </w:pPr>
      <w:r w:rsidRPr="00BB33CC">
        <w:t>Cabe agregar que e</w:t>
      </w:r>
      <w:r w:rsidR="00B96AAC" w:rsidRPr="00BB33CC">
        <w:t xml:space="preserve">n la aplicación de los conceptos anteriores se ha supuesto en todo momento que los </w:t>
      </w:r>
      <w:r w:rsidR="00263D72" w:rsidRPr="00BB33CC">
        <w:t>operadores</w:t>
      </w:r>
      <w:r w:rsidR="005B4A65" w:rsidRPr="00BB33CC">
        <w:t xml:space="preserve"> </w:t>
      </w:r>
      <w:r w:rsidR="00B96AAC" w:rsidRPr="00BB33CC">
        <w:t>emplean un método de depreciación en línea recta para la anualización de sus activos. Esta metodología distribuye el valor bruto de un activo a lo largo de su vida útil</w:t>
      </w:r>
      <w:r w:rsidR="00B96AAC" w:rsidRPr="00BB33CC">
        <w:rPr>
          <w:rStyle w:val="Refdenotaalpie"/>
        </w:rPr>
        <w:footnoteReference w:id="11"/>
      </w:r>
      <w:r w:rsidR="00B96AAC" w:rsidRPr="00BB33CC">
        <w:t xml:space="preserve"> y es la alternativa </w:t>
      </w:r>
      <w:r w:rsidR="00B96AAC" w:rsidRPr="00BB33CC">
        <w:rPr>
          <w:i/>
        </w:rPr>
        <w:t>de facto</w:t>
      </w:r>
      <w:r w:rsidR="00B96AAC" w:rsidRPr="00BB33CC">
        <w:t xml:space="preserve"> adoptada habitualmente en la preparación de los estados financieros contables.</w:t>
      </w:r>
    </w:p>
    <w:p w:rsidR="00B96AAC" w:rsidRPr="00BB33CC" w:rsidRDefault="00B96AAC" w:rsidP="00B96AAC">
      <w:pPr>
        <w:pStyle w:val="Normalresolucion"/>
      </w:pPr>
      <w:r w:rsidRPr="00BB33CC">
        <w:t xml:space="preserve">El cálculo del costo de capital promedio empleado </w:t>
      </w:r>
      <w:r w:rsidR="001D71AE" w:rsidRPr="00BB33CC">
        <w:t>es</w:t>
      </w:r>
      <w:r w:rsidRPr="00BB33CC">
        <w:t xml:space="preserve"> efectuado de forma separada e incluido dentro de la separación contable.</w:t>
      </w:r>
    </w:p>
    <w:p w:rsidR="00FB66CD" w:rsidRPr="00BB33CC" w:rsidRDefault="00FB66CD" w:rsidP="00AD7445">
      <w:pPr>
        <w:pStyle w:val="Ttulo2"/>
        <w:numPr>
          <w:ilvl w:val="0"/>
          <w:numId w:val="272"/>
        </w:numPr>
        <w:rPr>
          <w:b w:val="0"/>
        </w:rPr>
      </w:pPr>
      <w:r w:rsidRPr="00BB33CC">
        <w:lastRenderedPageBreak/>
        <w:t>Costo de capital</w:t>
      </w:r>
    </w:p>
    <w:p w:rsidR="00FB66CD" w:rsidRPr="00BB33CC" w:rsidRDefault="00FB66CD" w:rsidP="00FB66CD">
      <w:pPr>
        <w:pStyle w:val="Normalresolucion"/>
      </w:pPr>
      <w:r w:rsidRPr="00BB33CC">
        <w:t>El concepto regulatorio de costo del capital empleado se refiere al costo de oportunidad del capital de los accionistas y de la deuda que se ha depositado en una empresa para el desempeño de sus operaciones.</w:t>
      </w:r>
    </w:p>
    <w:p w:rsidR="00E5460E" w:rsidRPr="00BB33CC" w:rsidRDefault="00FB66CD" w:rsidP="00E5460E">
      <w:pPr>
        <w:pStyle w:val="Normalresolucion"/>
      </w:pPr>
      <w:r w:rsidRPr="00BB33CC">
        <w:t>En este sentido, el empleo de una tasa de retorno de capital permite una cuantificación objetiva del rendimiento esperado y del costo de capital. Esta tasa de retorno, conocida como</w:t>
      </w:r>
      <w:r w:rsidR="00DE44B3" w:rsidRPr="00BB33CC">
        <w:t xml:space="preserve"> Costo Promedio Ponderado del Capital</w:t>
      </w:r>
      <w:r w:rsidRPr="00BB33CC">
        <w:t xml:space="preserve"> </w:t>
      </w:r>
      <w:r w:rsidR="00DE44B3" w:rsidRPr="00BB33CC">
        <w:t>(</w:t>
      </w:r>
      <w:r w:rsidRPr="00BB33CC">
        <w:t>WACC</w:t>
      </w:r>
      <w:r w:rsidR="00DE44B3" w:rsidRPr="00BB33CC">
        <w:rPr>
          <w:rStyle w:val="Refdenotaalpie"/>
        </w:rPr>
        <w:footnoteReference w:id="12"/>
      </w:r>
      <w:r w:rsidR="00DE44B3" w:rsidRPr="00BB33CC">
        <w:t>)</w:t>
      </w:r>
      <w:r w:rsidRPr="00BB33CC">
        <w:t>, toma en consideración los riesgos y la volatilidad inherentes al invertir en la empresa. Esta se define como el costo promedio de la deuda y de los fondos propios, ponderados en función de sus respectivos pesos en la estructura de financiación de la compañía</w:t>
      </w:r>
      <w:r w:rsidR="00E5460E" w:rsidRPr="00BB33CC">
        <w:t>, y se calcula mediante la siguiente expresión:</w:t>
      </w:r>
    </w:p>
    <w:p w:rsidR="00E5460E" w:rsidRPr="00BB33CC" w:rsidRDefault="00FB2C80" w:rsidP="00492863">
      <w:pPr>
        <w:ind w:left="284"/>
        <w:rPr>
          <w:rFonts w:ascii="ITC Avant Garde" w:eastAsia="Times New Roman" w:hAnsi="ITC Avant Garde" w:cs="Arial"/>
          <w:lang w:val="es-ES" w:eastAsia="es-ES"/>
        </w:rPr>
      </w:pPr>
      <m:oMathPara>
        <m:oMath>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WACC</m:t>
              </m:r>
            </m:e>
            <m:sub>
              <m:r>
                <w:rPr>
                  <w:rFonts w:ascii="Cambria Math" w:eastAsia="Times New Roman" w:hAnsi="Cambria Math" w:cs="Arial"/>
                  <w:lang w:val="es-ES" w:eastAsia="es-ES"/>
                </w:rPr>
                <m:t>antes</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impuestos</m:t>
              </m:r>
            </m:sub>
          </m:sSub>
          <m:r>
            <m:rPr>
              <m:sty m:val="p"/>
            </m:rPr>
            <w:rPr>
              <w:rFonts w:ascii="Cambria Math" w:eastAsia="Times New Roman" w:hAnsi="Cambria Math" w:cs="Arial"/>
              <w:lang w:val="es-ES" w:eastAsia="es-ES"/>
            </w:rPr>
            <m:t>=</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e</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E</m:t>
              </m:r>
            </m:num>
            <m:den>
              <m:d>
                <m:dPr>
                  <m:ctrlPr>
                    <w:rPr>
                      <w:rFonts w:ascii="Cambria Math" w:eastAsia="Times New Roman" w:hAnsi="Cambria Math" w:cs="Arial"/>
                      <w:lang w:val="es-ES" w:eastAsia="es-ES"/>
                    </w:rPr>
                  </m:ctrlPr>
                </m:dPr>
                <m:e>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e>
              </m:d>
              <m:r>
                <m:rPr>
                  <m:sty m:val="p"/>
                </m:rPr>
                <w:rPr>
                  <w:rFonts w:ascii="Cambria Math" w:eastAsia="Times New Roman" w:hAnsi="Cambria Math" w:cs="Arial"/>
                  <w:lang w:val="es-ES" w:eastAsia="es-ES"/>
                </w:rPr>
                <m:t>∙(1-</m:t>
              </m:r>
              <m:r>
                <w:rPr>
                  <w:rFonts w:ascii="Cambria Math" w:eastAsia="Times New Roman" w:hAnsi="Cambria Math" w:cs="Arial"/>
                  <w:lang w:val="es-ES" w:eastAsia="es-ES"/>
                </w:rPr>
                <m:t>t</m:t>
              </m:r>
              <m:r>
                <m:rPr>
                  <m:sty m:val="p"/>
                </m:rPr>
                <w:rPr>
                  <w:rFonts w:ascii="Cambria Math" w:eastAsia="Times New Roman" w:hAnsi="Cambria Math" w:cs="Arial"/>
                  <w:lang w:val="es-ES" w:eastAsia="es-ES"/>
                </w:rPr>
                <m:t>)</m:t>
              </m:r>
            </m:den>
          </m:f>
          <m:r>
            <m:rPr>
              <m:sty m:val="p"/>
            </m:rPr>
            <w:rPr>
              <w:rFonts w:ascii="Cambria Math" w:eastAsia="Times New Roman" w:hAnsi="Cambria Math" w:cs="Arial"/>
              <w:lang w:val="es-ES" w:eastAsia="es-ES"/>
            </w:rPr>
            <m:t xml:space="preserve">+ </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d</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D</m:t>
              </m:r>
            </m:num>
            <m:den>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den>
          </m:f>
        </m:oMath>
      </m:oMathPara>
    </w:p>
    <w:p w:rsidR="00E5460E" w:rsidRPr="00BB33CC" w:rsidRDefault="00E5460E" w:rsidP="00492863">
      <w:pPr>
        <w:ind w:left="284"/>
        <w:rPr>
          <w:rFonts w:ascii="ITC Avant Garde" w:hAnsi="ITC Avant Garde"/>
        </w:rPr>
      </w:pPr>
      <w:r w:rsidRPr="00BB33CC">
        <w:rPr>
          <w:rFonts w:ascii="ITC Avant Garde" w:hAnsi="ITC Avant Garde"/>
        </w:rPr>
        <w:t>Donde:</w:t>
      </w:r>
    </w:p>
    <w:p w:rsidR="00E5460E" w:rsidRPr="00BB33CC" w:rsidRDefault="00FB2C80" w:rsidP="006B62E2">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e</m:t>
            </m:r>
          </m:sub>
        </m:sSub>
      </m:oMath>
      <w:r w:rsidR="00E5460E" w:rsidRPr="00BB33CC">
        <w:t>: Es el costo del patrimonio</w:t>
      </w:r>
      <w:r w:rsidR="006B62E2" w:rsidRPr="00BB33CC">
        <w:t>, es la tasa de rentabilidad esperada de un activo</w:t>
      </w:r>
      <w:r w:rsidR="004E726A" w:rsidRPr="00BB33CC">
        <w:t>;</w:t>
      </w:r>
    </w:p>
    <w:p w:rsidR="00E5460E" w:rsidRPr="00BB33CC" w:rsidRDefault="00FB2C80" w:rsidP="00E5460E">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d</m:t>
            </m:r>
          </m:sub>
        </m:sSub>
      </m:oMath>
      <w:r w:rsidR="00E5460E" w:rsidRPr="00BB33CC">
        <w:t>: Es el costo de la deuda</w:t>
      </w:r>
      <w:r w:rsidR="004E726A" w:rsidRPr="00BB33CC">
        <w:t>;</w:t>
      </w:r>
    </w:p>
    <w:p w:rsidR="00E5460E" w:rsidRPr="00BB33CC" w:rsidRDefault="00E5460E" w:rsidP="00E5460E">
      <w:pPr>
        <w:pStyle w:val="Indentadoresolucin"/>
      </w:pPr>
      <m:oMath>
        <m:r>
          <m:rPr>
            <m:sty m:val="bi"/>
          </m:rPr>
          <w:rPr>
            <w:rFonts w:ascii="Cambria Math" w:hAnsi="Cambria Math"/>
            <w:lang w:val="es-MX"/>
          </w:rPr>
          <m:t>E</m:t>
        </m:r>
      </m:oMath>
      <w:r w:rsidRPr="00BB33CC">
        <w:t>: Es el valor total de mercado del patrimonio</w:t>
      </w:r>
      <w:r w:rsidR="004E726A" w:rsidRPr="00BB33CC">
        <w:t>;</w:t>
      </w:r>
    </w:p>
    <w:p w:rsidR="00E5460E" w:rsidRPr="00BB33CC" w:rsidRDefault="00E5460E" w:rsidP="00E5460E">
      <w:pPr>
        <w:pStyle w:val="Indentadoresolucin"/>
      </w:pPr>
      <m:oMath>
        <m:r>
          <m:rPr>
            <m:sty m:val="bi"/>
          </m:rPr>
          <w:rPr>
            <w:rFonts w:ascii="Cambria Math" w:hAnsi="Cambria Math"/>
            <w:lang w:val="es-MX"/>
          </w:rPr>
          <m:t>D</m:t>
        </m:r>
      </m:oMath>
      <w:r w:rsidRPr="00BB33CC">
        <w:t>: Es el valor total de mercado de la deuda, incluyendo intereses</w:t>
      </w:r>
      <w:r w:rsidR="004E726A" w:rsidRPr="00BB33CC">
        <w:t>, y</w:t>
      </w:r>
    </w:p>
    <w:p w:rsidR="00E5460E" w:rsidRPr="00BB33CC" w:rsidRDefault="00E5460E" w:rsidP="00E5460E">
      <w:pPr>
        <w:pStyle w:val="Indentadoresolucin"/>
      </w:pPr>
      <m:oMath>
        <m:r>
          <m:rPr>
            <m:sty m:val="bi"/>
          </m:rPr>
          <w:rPr>
            <w:rFonts w:ascii="Cambria Math" w:hAnsi="Cambria Math"/>
            <w:lang w:val="es-MX"/>
          </w:rPr>
          <m:t>t</m:t>
        </m:r>
      </m:oMath>
      <w:r w:rsidRPr="00BB33CC">
        <w:t>: Tasa de impuestos</w:t>
      </w:r>
      <w:r w:rsidR="004E726A" w:rsidRPr="00BB33CC">
        <w:t>.</w:t>
      </w:r>
    </w:p>
    <w:p w:rsidR="00E5460E" w:rsidRPr="00BB33CC" w:rsidRDefault="00E5460E" w:rsidP="007E001E">
      <w:pPr>
        <w:pStyle w:val="Normalresolucion"/>
      </w:pPr>
      <w:r w:rsidRPr="00BB33CC">
        <w:t>Para el cálculo del costo del patrimonio (r</w:t>
      </w:r>
      <w:r w:rsidRPr="00BB33CC">
        <w:rPr>
          <w:vertAlign w:val="subscript"/>
        </w:rPr>
        <w:t>e</w:t>
      </w:r>
      <w:r w:rsidRPr="00BB33CC">
        <w:t xml:space="preserve">), se usa la metodología </w:t>
      </w:r>
      <w:r w:rsidR="00386067" w:rsidRPr="00BB33CC">
        <w:t>de Modelo de Evaluación de Activos Financieros (</w:t>
      </w:r>
      <w:r w:rsidRPr="00BB33CC">
        <w:t>CAPM</w:t>
      </w:r>
      <w:r w:rsidR="00386067" w:rsidRPr="00BB33CC">
        <w:rPr>
          <w:rStyle w:val="Refdenotaalpie"/>
        </w:rPr>
        <w:footnoteReference w:id="13"/>
      </w:r>
      <w:r w:rsidR="00386067" w:rsidRPr="00BB33CC">
        <w:t>)</w:t>
      </w:r>
      <w:r w:rsidR="00B84FA6" w:rsidRPr="00BB33CC">
        <w:t xml:space="preserve"> que es el modelo más ampliamente utilizado en la industria,</w:t>
      </w:r>
      <w:r w:rsidRPr="00BB33CC">
        <w:t xml:space="preserve"> adicion</w:t>
      </w:r>
      <w:r w:rsidR="00B21792" w:rsidRPr="00BB33CC">
        <w:t>a</w:t>
      </w:r>
      <w:r w:rsidRPr="00BB33CC">
        <w:t>ndo una medida de riesgo asociada al mercado nacional (o riesgo país), de modo que se tenga en consideración la volatilidad asociada al funcionamiento de la compañía en dicho entorno.</w:t>
      </w:r>
      <w:r w:rsidR="006B62E2" w:rsidRPr="00BB33CC">
        <w:t xml:space="preserve"> De acuerdo a la metodología CAPM el retorno del capital de la empresa equivale a la tasa libre de riesgo, más </w:t>
      </w:r>
      <w:r w:rsidR="00D475DA" w:rsidRPr="00BB33CC">
        <w:t xml:space="preserve">un factor </w:t>
      </w:r>
      <w:r w:rsidR="006B62E2" w:rsidRPr="00BB33CC">
        <w:t>Beta multiplicad</w:t>
      </w:r>
      <w:r w:rsidR="00D475DA" w:rsidRPr="00BB33CC">
        <w:t>o</w:t>
      </w:r>
      <w:r w:rsidR="006B62E2" w:rsidRPr="00BB33CC">
        <w:t xml:space="preserve"> por el retorno del mercado por encima de la tasa libre de riesgo.</w:t>
      </w:r>
      <w:r w:rsidR="006C15C4" w:rsidRPr="00BB33CC">
        <w:rPr>
          <w:rStyle w:val="Refdenotaalpie"/>
        </w:rPr>
        <w:t xml:space="preserve"> </w:t>
      </w:r>
      <w:r w:rsidR="006C15C4" w:rsidRPr="00BB33CC">
        <w:rPr>
          <w:rStyle w:val="Refdenotaalpie"/>
        </w:rPr>
        <w:footnoteReference w:id="14"/>
      </w:r>
      <w:r w:rsidR="006B62E2" w:rsidRPr="00BB33CC">
        <w:t xml:space="preserve"> </w:t>
      </w:r>
      <w:r w:rsidRPr="00BB33CC">
        <w:t xml:space="preserve">Concretamente, la formulación a seguir </w:t>
      </w:r>
      <w:r w:rsidR="00B21792" w:rsidRPr="00BB33CC">
        <w:t>se expresa en la</w:t>
      </w:r>
      <w:r w:rsidRPr="00BB33CC">
        <w:t xml:space="preserve"> siguiente ecuación:</w:t>
      </w:r>
    </w:p>
    <w:p w:rsidR="00E5460E" w:rsidRPr="00BB33CC" w:rsidRDefault="00FB2C80" w:rsidP="003130F9">
      <w:pPr>
        <w:ind w:left="567"/>
        <w:rPr>
          <w:rFonts w:ascii="ITC Avant Garde" w:hAnsi="ITC Avant Garde"/>
        </w:rPr>
      </w:pPr>
      <m:oMathPara>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p</m:t>
              </m:r>
            </m:sub>
          </m:sSub>
        </m:oMath>
      </m:oMathPara>
    </w:p>
    <w:p w:rsidR="00E5460E" w:rsidRPr="00BB33CC" w:rsidRDefault="00E5460E" w:rsidP="003130F9">
      <w:pPr>
        <w:pStyle w:val="Normalresolucion"/>
        <w:ind w:left="567"/>
      </w:pPr>
      <w:r w:rsidRPr="00BB33CC">
        <w:t>Donde</w:t>
      </w:r>
      <w:r w:rsidR="006C15C4" w:rsidRPr="00BB33CC">
        <w:t>:</w:t>
      </w:r>
      <w:r w:rsidR="009E60E8" w:rsidRPr="00BB33CC">
        <w:rPr>
          <w:vertAlign w:val="superscript"/>
        </w:rPr>
        <w:footnoteReference w:id="15"/>
      </w:r>
    </w:p>
    <w:p w:rsidR="00E5460E" w:rsidRPr="00BB33CC" w:rsidRDefault="00FB2C80" w:rsidP="003130F9">
      <w:pPr>
        <w:pStyle w:val="Indentadoresolucin"/>
        <w:ind w:left="993"/>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f</m:t>
            </m:r>
          </m:sub>
        </m:sSub>
      </m:oMath>
      <w:r w:rsidR="00E5460E" w:rsidRPr="00BB33CC">
        <w:rPr>
          <w:b/>
        </w:rPr>
        <w:t xml:space="preserve">: </w:t>
      </w:r>
      <w:r w:rsidR="00E5460E" w:rsidRPr="00BB33CC">
        <w:t>Tasa libre de riesgo</w:t>
      </w:r>
      <w:r w:rsidR="006B62E2" w:rsidRPr="00BB33CC">
        <w:t xml:space="preserve">, es la tasa de rendimiento teórica de una inversión sin volatilidad y, por lo tanto, sin ningún riesgo financiero. Los analistas </w:t>
      </w:r>
      <w:r w:rsidR="006B62E2" w:rsidRPr="00BB33CC">
        <w:lastRenderedPageBreak/>
        <w:t xml:space="preserve">financieros generalmente </w:t>
      </w:r>
      <w:r w:rsidR="007379E1" w:rsidRPr="00BB33CC">
        <w:t>advierten</w:t>
      </w:r>
      <w:r w:rsidR="007937F7" w:rsidRPr="00BB33CC">
        <w:t xml:space="preserve"> </w:t>
      </w:r>
      <w:r w:rsidR="006B62E2" w:rsidRPr="00BB33CC">
        <w:t>que un buen indicador de la tasa de rendimiento de la inversión libre de riesgo puede ser la tasa de rendimiento de un bono nacional en condiciones económicas estables</w:t>
      </w:r>
      <w:r w:rsidR="00B21792" w:rsidRPr="00BB33CC">
        <w:t>;</w:t>
      </w:r>
    </w:p>
    <w:p w:rsidR="00E5460E" w:rsidRPr="00BB33CC" w:rsidRDefault="00FB2C80" w:rsidP="003130F9">
      <w:pPr>
        <w:pStyle w:val="Indentadoresolucin"/>
        <w:ind w:left="993"/>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m</m:t>
            </m:r>
          </m:sub>
        </m:sSub>
      </m:oMath>
      <w:r w:rsidR="00E5460E" w:rsidRPr="00BB33CC">
        <w:rPr>
          <w:bCs/>
        </w:rPr>
        <w:t>:</w:t>
      </w:r>
      <w:r w:rsidR="00E5460E" w:rsidRPr="00BB33CC">
        <w:t xml:space="preserve"> Rendimiento esperado del mercado</w:t>
      </w:r>
      <w:r w:rsidR="006B62E2" w:rsidRPr="00BB33CC">
        <w:t>, es la tasa de rentabilidad esperada del mercado en que cotiza el activo</w:t>
      </w:r>
      <w:r w:rsidR="00B21792" w:rsidRPr="00BB33CC">
        <w:t>;</w:t>
      </w:r>
    </w:p>
    <w:p w:rsidR="00E5460E" w:rsidRPr="00BB33CC" w:rsidRDefault="00E5460E" w:rsidP="003130F9">
      <w:pPr>
        <w:pStyle w:val="Indentadoresolucin"/>
        <w:ind w:left="993"/>
      </w:pPr>
      <m:oMath>
        <m:r>
          <m:rPr>
            <m:sty m:val="bi"/>
          </m:rPr>
          <w:rPr>
            <w:rFonts w:ascii="Cambria Math" w:hAnsi="Cambria Math"/>
            <w:lang w:val="es-MX"/>
          </w:rPr>
          <m:t>β</m:t>
        </m:r>
      </m:oMath>
      <w:r w:rsidRPr="00BB33CC">
        <w:rPr>
          <w:b/>
        </w:rPr>
        <w:t xml:space="preserve">: </w:t>
      </w:r>
      <w:r w:rsidRPr="00BB33CC">
        <w:t>Beta del operador</w:t>
      </w:r>
      <w:r w:rsidR="00B21792" w:rsidRPr="00BB33CC">
        <w:t xml:space="preserve">, </w:t>
      </w:r>
      <w:r w:rsidR="006B62E2" w:rsidRPr="00BB33CC">
        <w:t xml:space="preserve">la beta (capital) es el sistema de riesgo (riesgo de mercado) de un valor de capital dado y proporciona una medida acerca de cuánto es su rendimiento con respecto al rendimiento del mercado entero de referencia, </w:t>
      </w:r>
      <w:r w:rsidR="00B21792" w:rsidRPr="00BB33CC">
        <w:t>y</w:t>
      </w:r>
    </w:p>
    <w:p w:rsidR="00E5460E" w:rsidRPr="00BB33CC" w:rsidRDefault="00FB2C80" w:rsidP="003130F9">
      <w:pPr>
        <w:pStyle w:val="Indentadoresolucin"/>
        <w:ind w:left="993"/>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p</m:t>
            </m:r>
          </m:sub>
        </m:sSub>
      </m:oMath>
      <w:r w:rsidR="00E5460E" w:rsidRPr="00BB33CC">
        <w:rPr>
          <w:b/>
        </w:rPr>
        <w:t>:</w:t>
      </w:r>
      <w:r w:rsidR="00E5460E" w:rsidRPr="00BB33CC">
        <w:t xml:space="preserve"> Riesgo asociado al país</w:t>
      </w:r>
      <w:r w:rsidR="00B21792" w:rsidRPr="00BB33CC">
        <w:t>.</w:t>
      </w:r>
    </w:p>
    <w:p w:rsidR="00E5460E" w:rsidRPr="00BB33CC" w:rsidRDefault="00E5460E" w:rsidP="007E001E">
      <w:pPr>
        <w:pStyle w:val="Normalresolucion"/>
      </w:pPr>
      <w:r w:rsidRPr="00BB33CC">
        <w:t>Una vez obtenido el valor del WACC aplicable, el costo de capital a introducir en la separación contable se obt</w:t>
      </w:r>
      <w:r w:rsidR="007937F7" w:rsidRPr="00BB33CC">
        <w:t>iene</w:t>
      </w:r>
      <w:r w:rsidRPr="00BB33CC">
        <w:t xml:space="preserve"> mediante la siguiente f</w:t>
      </w:r>
      <w:r w:rsidR="00D475DA" w:rsidRPr="00BB33CC">
        <w:t>ó</w:t>
      </w:r>
      <w:r w:rsidRPr="00BB33CC">
        <w:t>rmula:</w:t>
      </w:r>
    </w:p>
    <w:p w:rsidR="00E5460E" w:rsidRPr="00BB33CC" w:rsidRDefault="00E5460E" w:rsidP="00E5460E">
      <w:pPr>
        <w:rPr>
          <w:rFonts w:ascii="ITC Avant Garde" w:eastAsia="Times New Roman" w:hAnsi="ITC Avant Garde" w:cs="Arial"/>
          <w:lang w:val="es-ES" w:eastAsia="es-ES"/>
        </w:rPr>
      </w:pPr>
      <m:oMathPara>
        <m:oMath>
          <m:r>
            <w:rPr>
              <w:rFonts w:ascii="Cambria Math" w:eastAsia="Times New Roman" w:hAnsi="Cambria Math" w:cs="Arial"/>
              <w:lang w:val="es-ES" w:eastAsia="es-ES"/>
            </w:rPr>
            <m:t>Costo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capital 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Capital</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Promedio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WACC</m:t>
          </m:r>
        </m:oMath>
      </m:oMathPara>
    </w:p>
    <w:p w:rsidR="00E5460E" w:rsidRPr="00BB33CC" w:rsidRDefault="00E5460E" w:rsidP="007E001E">
      <w:pPr>
        <w:pStyle w:val="Normalresolucion"/>
      </w:pPr>
      <w:r w:rsidRPr="00BB33CC">
        <w:t>Donde el capital promedio empleado se define como la diferencia entre dos componentes:</w:t>
      </w:r>
    </w:p>
    <w:p w:rsidR="00E5460E" w:rsidRPr="00BB33CC" w:rsidRDefault="00E5460E" w:rsidP="00C8224E">
      <w:pPr>
        <w:pStyle w:val="Indentadoresolucin"/>
        <w:ind w:left="709"/>
      </w:pPr>
      <w:r w:rsidRPr="00BB33CC">
        <w:rPr>
          <w:i/>
        </w:rPr>
        <w:t>Activo fijo y circulante</w:t>
      </w:r>
      <w:r w:rsidRPr="00BB33CC">
        <w:t>, excluyendo créditos mercantiles, activos intangibles procedentes de adquisiciones (con excepción de los activos de software y licencias), los activos/pasivos asociados a planes de retiro, así como los saldos relacionados con partidas extraordinarias y no relevantes para la separación contable; menos</w:t>
      </w:r>
    </w:p>
    <w:p w:rsidR="00E5460E" w:rsidRPr="00BB33CC" w:rsidRDefault="00E5460E" w:rsidP="00C8224E">
      <w:pPr>
        <w:pStyle w:val="Indentadoresolucin"/>
        <w:ind w:left="709"/>
      </w:pPr>
      <w:r w:rsidRPr="00BB33CC">
        <w:rPr>
          <w:i/>
        </w:rPr>
        <w:t>Pasivo circulante</w:t>
      </w:r>
      <w:r w:rsidRPr="00BB33CC">
        <w:t>, excluidos pasivos por impuestos corrientes y diferidos, los dividendos a pagar, así como préstamos.</w:t>
      </w:r>
    </w:p>
    <w:p w:rsidR="00E5460E" w:rsidRPr="00BB33CC" w:rsidRDefault="00E5460E" w:rsidP="007E001E">
      <w:pPr>
        <w:pStyle w:val="Normalresolucion"/>
      </w:pPr>
      <w:r w:rsidRPr="00BB33CC">
        <w:t xml:space="preserve">En </w:t>
      </w:r>
      <w:r w:rsidRPr="00BB33CC">
        <w:rPr>
          <w:lang w:val="es-MX"/>
        </w:rPr>
        <w:t>particular</w:t>
      </w:r>
      <w:r w:rsidRPr="00BB33CC">
        <w:t>, el cálculo del costo de capital empleado se puede re-expresar como:</w:t>
      </w:r>
    </w:p>
    <w:p w:rsidR="00E5460E" w:rsidRPr="00BB33CC" w:rsidRDefault="00E5460E" w:rsidP="00C8224E">
      <w:pPr>
        <w:ind w:left="284"/>
      </w:pPr>
      <m:oMathPara>
        <m:oMath>
          <m:r>
            <w:rPr>
              <w:rFonts w:ascii="Cambria Math" w:hAnsi="Cambria Math"/>
              <w:sz w:val="20"/>
            </w:rPr>
            <m:t>Costo de capital empleado=Costo Capital+Costo Capital Trabajo=ActivoFijo</m:t>
          </m:r>
          <m:r>
            <w:rPr>
              <w:rFonts w:ascii="Cambria Math" w:hAnsi="Cambria Math" w:hint="eastAsia"/>
              <w:sz w:val="20"/>
            </w:rPr>
            <m:t>·</m:t>
          </m:r>
          <m:r>
            <w:rPr>
              <w:rFonts w:ascii="Cambria Math" w:hAnsi="Cambria Math"/>
              <w:sz w:val="20"/>
            </w:rPr>
            <m:t>WACC+</m:t>
          </m:r>
          <m:d>
            <m:dPr>
              <m:ctrlPr>
                <w:rPr>
                  <w:rFonts w:ascii="Cambria Math" w:hAnsi="Cambria Math"/>
                  <w:i/>
                  <w:sz w:val="20"/>
                </w:rPr>
              </m:ctrlPr>
            </m:dPr>
            <m:e>
              <m:r>
                <w:rPr>
                  <w:rFonts w:ascii="Cambria Math" w:hAnsi="Cambria Math"/>
                  <w:sz w:val="20"/>
                </w:rPr>
                <m:t>ActivoCirculante-PasivoCirculante</m:t>
              </m:r>
            </m:e>
          </m:d>
          <m:r>
            <w:rPr>
              <w:rFonts w:ascii="Cambria Math" w:hAnsi="Cambria Math" w:hint="eastAsia"/>
              <w:sz w:val="20"/>
            </w:rPr>
            <m:t>·</m:t>
          </m:r>
          <m:r>
            <w:rPr>
              <w:rFonts w:ascii="Cambria Math" w:hAnsi="Cambria Math"/>
              <w:sz w:val="20"/>
            </w:rPr>
            <m:t>WACC</m:t>
          </m:r>
        </m:oMath>
      </m:oMathPara>
    </w:p>
    <w:p w:rsidR="00BB5DA7" w:rsidRPr="00BB33CC" w:rsidRDefault="00C06596" w:rsidP="007E001E">
      <w:pPr>
        <w:pStyle w:val="Normalresolucion"/>
      </w:pPr>
      <w:r w:rsidRPr="00BB33CC">
        <w:t xml:space="preserve">Los cálculos del WACC pueden ser realizados por el operador o por el agente regulado en </w:t>
      </w:r>
      <w:r w:rsidRPr="00BB33CC">
        <w:rPr>
          <w:lang w:val="es-MX"/>
        </w:rPr>
        <w:t>función</w:t>
      </w:r>
      <w:r w:rsidRPr="00BB33CC">
        <w:t xml:space="preserve"> del grado de flexibilidad adoptado.</w:t>
      </w:r>
    </w:p>
    <w:p w:rsidR="001D21C7" w:rsidRPr="00BB33CC" w:rsidRDefault="001D21C7" w:rsidP="00D676BE">
      <w:pPr>
        <w:pStyle w:val="Ttulo2"/>
        <w:numPr>
          <w:ilvl w:val="0"/>
          <w:numId w:val="272"/>
        </w:numPr>
        <w:rPr>
          <w:b w:val="0"/>
        </w:rPr>
      </w:pPr>
      <w:r w:rsidRPr="00BB33CC">
        <w:t xml:space="preserve">Esquema de </w:t>
      </w:r>
      <w:r w:rsidR="00F978AE" w:rsidRPr="00BB33CC">
        <w:t>a</w:t>
      </w:r>
      <w:r w:rsidRPr="00BB33CC">
        <w:t xml:space="preserve">tribución de </w:t>
      </w:r>
      <w:r w:rsidR="00F978AE" w:rsidRPr="00BB33CC">
        <w:t>c</w:t>
      </w:r>
      <w:r w:rsidRPr="00BB33CC">
        <w:t xml:space="preserve">ostos a </w:t>
      </w:r>
      <w:r w:rsidR="00F978AE" w:rsidRPr="00BB33CC">
        <w:t>s</w:t>
      </w:r>
      <w:r w:rsidRPr="00BB33CC">
        <w:t>ervicios</w:t>
      </w:r>
    </w:p>
    <w:p w:rsidR="00E41DF3" w:rsidRPr="00BB33CC" w:rsidRDefault="00E41DF3" w:rsidP="00E41DF3">
      <w:pPr>
        <w:pStyle w:val="Normalresolucion"/>
        <w:rPr>
          <w:lang w:val="es-MX"/>
        </w:rPr>
      </w:pPr>
      <w:r w:rsidRPr="00BB33CC">
        <w:rPr>
          <w:lang w:val="es-MX"/>
        </w:rPr>
        <w:t>La separación contable requiere de un análisis detallado de los distintos costos en relación con los departamentos o secciones en que se divide la empresa, ya sea de producción, servicio o apoyo. Posteriormente, se procede a reagrupar y a ordenar la información, para atribuirla a costos de procesos de producción o servicios. Al respecto, existen distintos métodos para efectuar la imputación de costos a cada uno de los servicios ofrecidos por el operador.</w:t>
      </w:r>
    </w:p>
    <w:p w:rsidR="001D21C7" w:rsidRPr="00BB33CC" w:rsidRDefault="001D21C7" w:rsidP="001D21C7">
      <w:pPr>
        <w:pStyle w:val="Normalresolucion"/>
      </w:pPr>
      <w:r w:rsidRPr="00BB33CC">
        <w:t xml:space="preserve">Con base en la experiencia internacional, se observa que la metodología de atribución de costos más utilizada es la de CCD, mediante la cual los costos provenientes de la contabilidad financiera son distribuidos a lo largo de las </w:t>
      </w:r>
      <w:r w:rsidRPr="00BB33CC">
        <w:lastRenderedPageBreak/>
        <w:t>diferentes etapas o niveles de la separación contable. Los costos que se deben distribuir entre los distintos servicios, se pueden catalogar de la siguiente forma:</w:t>
      </w:r>
    </w:p>
    <w:p w:rsidR="001D21C7" w:rsidRPr="00BB33CC" w:rsidRDefault="001D21C7" w:rsidP="001D21C7">
      <w:pPr>
        <w:pStyle w:val="Indentadoresolucin"/>
        <w:rPr>
          <w:lang w:val="es-MX"/>
        </w:rPr>
      </w:pPr>
      <w:r w:rsidRPr="00BB33CC">
        <w:rPr>
          <w:i/>
          <w:iCs/>
        </w:rPr>
        <w:t>Costos directos</w:t>
      </w:r>
      <w:r w:rsidR="00D676BE" w:rsidRPr="00BB33CC">
        <w:t>:</w:t>
      </w:r>
      <w:r w:rsidRPr="00BB33CC">
        <w:t xml:space="preserve"> aquellos que pueden ser asociados a un determinado servicio de manera directa y que no necesitan criterios de reparto para su distribución a lo largo de la separación contable, como pueden ser los costos derivados de pagos de </w:t>
      </w:r>
      <w:r w:rsidRPr="00BB33CC">
        <w:rPr>
          <w:i/>
          <w:iCs/>
        </w:rPr>
        <w:t>roaming</w:t>
      </w:r>
      <w:r w:rsidRPr="00BB33CC">
        <w:t xml:space="preserve"> internacional a otros operadores. </w:t>
      </w:r>
    </w:p>
    <w:p w:rsidR="001D21C7" w:rsidRPr="00BB33CC" w:rsidRDefault="001D21C7" w:rsidP="001D21C7">
      <w:pPr>
        <w:pStyle w:val="Indentadoresolucin"/>
      </w:pPr>
      <w:r w:rsidRPr="00BB33CC">
        <w:rPr>
          <w:i/>
          <w:iCs/>
        </w:rPr>
        <w:t>Costos indirectos</w:t>
      </w:r>
      <w:r w:rsidR="00D676BE" w:rsidRPr="00BB33CC">
        <w:t>:</w:t>
      </w:r>
      <w:r w:rsidRPr="00BB33CC">
        <w:t xml:space="preserve"> aquellos costos compartidos entre dos o más servicios, los cuales necesitan de la definición de criterios de atribución causales para distribuirlos, como por ejemplo los costos de la mayoría de los elementos de red.</w:t>
      </w:r>
    </w:p>
    <w:p w:rsidR="001D21C7" w:rsidRPr="00BB33CC" w:rsidRDefault="001D21C7" w:rsidP="001D21C7">
      <w:pPr>
        <w:pStyle w:val="Indentadoresolucin"/>
      </w:pPr>
      <w:r w:rsidRPr="00BB33CC">
        <w:rPr>
          <w:i/>
          <w:iCs/>
        </w:rPr>
        <w:t>Costos generales</w:t>
      </w:r>
      <w:r w:rsidR="00D676BE" w:rsidRPr="00BB33CC">
        <w:rPr>
          <w:i/>
          <w:iCs/>
        </w:rPr>
        <w:t>:</w:t>
      </w:r>
      <w:r w:rsidRPr="00BB33CC">
        <w:t xml:space="preserve"> aquellos para los que no se identifican criterios de reparto que permitan una distribución causal a servicios y para los cuales es necesario emplear márgenes equiproporcionales para su reparto a etapas posteriores de la separación contable.</w:t>
      </w:r>
    </w:p>
    <w:p w:rsidR="001D21C7" w:rsidRPr="00BB33CC" w:rsidRDefault="00C73B54" w:rsidP="001D21C7">
      <w:pPr>
        <w:pStyle w:val="Normalresolucion"/>
      </w:pPr>
      <w:r w:rsidRPr="00BB33CC">
        <w:t xml:space="preserve">En </w:t>
      </w:r>
      <w:r w:rsidR="001D21C7" w:rsidRPr="00BB33CC">
        <w:t xml:space="preserve">la implementación de la metodología de CCD se extrae la información de los registros contables, de los diferentes sistemas de información del operador y de estudios técnicos de la infraestructura de red y de </w:t>
      </w:r>
      <w:r w:rsidRPr="00BB33CC">
        <w:t xml:space="preserve">sus </w:t>
      </w:r>
      <w:r w:rsidR="001D21C7" w:rsidRPr="00BB33CC">
        <w:t>operaciones, los cuales refleja</w:t>
      </w:r>
      <w:r w:rsidRPr="00BB33CC">
        <w:t>n</w:t>
      </w:r>
      <w:r w:rsidR="001D21C7" w:rsidRPr="00BB33CC">
        <w:t xml:space="preserve"> la planta actual del operador considerando </w:t>
      </w:r>
      <w:r w:rsidR="0013787A" w:rsidRPr="00BB33CC">
        <w:t>su</w:t>
      </w:r>
      <w:r w:rsidR="001D21C7" w:rsidRPr="00BB33CC">
        <w:t xml:space="preserve"> uso. Es a través de estos registros y estudios que se realiza el reparto de los costos indirectos a servicios de una manera causal y orientada a costos.</w:t>
      </w:r>
    </w:p>
    <w:p w:rsidR="001D21C7" w:rsidRPr="00BB33CC" w:rsidRDefault="001D21C7" w:rsidP="00037F6E">
      <w:pPr>
        <w:pStyle w:val="Ttulo2"/>
        <w:numPr>
          <w:ilvl w:val="0"/>
          <w:numId w:val="272"/>
        </w:numPr>
        <w:rPr>
          <w:b w:val="0"/>
        </w:rPr>
      </w:pPr>
      <w:r w:rsidRPr="00BB33CC">
        <w:t>Cargos de transferencia</w:t>
      </w:r>
    </w:p>
    <w:p w:rsidR="00E41DF3" w:rsidRPr="00BB33CC" w:rsidRDefault="00E41DF3" w:rsidP="00E41DF3">
      <w:pPr>
        <w:pStyle w:val="Normalresolucion"/>
      </w:pPr>
      <w:r w:rsidRPr="00BB33CC">
        <w:t xml:space="preserve">Un aspecto importante a considerar en la separación contable es la imputación de ingresos y costos en las secciones mayorista y minorista de la empresa. Para comprender estas imputaciones, se implementarán los cargos de transferencia,  los cuales requieren de la división virtual de los negocios minorista y mayorista de dicha empresa, de tal modo que el segundo sería el propietario y gestor de la red, quién revendería los servicios mayoristas al primero para que éste pudiera comercializar sus servicios a los usuarios finales. Bajo este esquema, se aplicarían imputaciones de costos (y de ingresos) virtuales entre ambas divisiones que reflejaran adecuadamente los cargos que </w:t>
      </w:r>
      <w:r w:rsidR="00B01C1F">
        <w:t xml:space="preserve">se </w:t>
      </w:r>
      <w:r w:rsidRPr="00BB33CC">
        <w:t xml:space="preserve">aplicarían si los servicios de red fueran prestados por un tercer operador externo, ajeno a la empresa. </w:t>
      </w:r>
    </w:p>
    <w:p w:rsidR="001D21C7" w:rsidRPr="00BB33CC" w:rsidRDefault="001D21C7" w:rsidP="001D21C7">
      <w:pPr>
        <w:pStyle w:val="Normalresolucion"/>
      </w:pPr>
      <w:r w:rsidRPr="00BB33CC">
        <w:t>En la separación contable</w:t>
      </w:r>
      <w:r w:rsidRPr="00BB33CC">
        <w:rPr>
          <w:rStyle w:val="Refdenotaalpie"/>
        </w:rPr>
        <w:footnoteReference w:id="16"/>
      </w:r>
      <w:r w:rsidRPr="00BB33CC">
        <w:t>, una correcta, transparente y verificable definición de los cargos de transferencia permite el cálculo no discriminado y orientado a costos de los conceptos internos de la separación contable de los operadores. Igualmente, la definición de los cargos de transferencia permite añadir transparencia a la integración vertical de los operadores, verificar la rentabilidad de sus servicios de manera individual e identificar eventuales subsidios cruzados que puedan existir.</w:t>
      </w:r>
    </w:p>
    <w:p w:rsidR="001D21C7" w:rsidRPr="00BB33CC" w:rsidRDefault="001D21C7" w:rsidP="001D21C7">
      <w:pPr>
        <w:pStyle w:val="Normalresolucion"/>
      </w:pPr>
      <w:r w:rsidRPr="00BB33CC">
        <w:lastRenderedPageBreak/>
        <w:t xml:space="preserve">Dentro de la separación contable, estos cargos de transferencia </w:t>
      </w:r>
      <w:r w:rsidR="00391029" w:rsidRPr="00BB33CC">
        <w:t>son</w:t>
      </w:r>
      <w:r w:rsidRPr="00BB33CC">
        <w:t xml:space="preserve"> reportados como costos dentro de los resultados del segmento minorista y como ingresos dentro de los resultados del segmento mayorista, como si el segmento mayorista brindara los servicios de red al segmento minorista de la propia empresa.</w:t>
      </w:r>
    </w:p>
    <w:p w:rsidR="00FB66CD" w:rsidRPr="00BB33CC" w:rsidRDefault="00FB66CD" w:rsidP="00797696">
      <w:pPr>
        <w:pStyle w:val="Ttulo2"/>
        <w:numPr>
          <w:ilvl w:val="0"/>
          <w:numId w:val="272"/>
        </w:numPr>
        <w:rPr>
          <w:b w:val="0"/>
        </w:rPr>
      </w:pPr>
      <w:r w:rsidRPr="00BB33CC">
        <w:t>Formatos</w:t>
      </w:r>
    </w:p>
    <w:p w:rsidR="00FB66CD" w:rsidRPr="00BB33CC" w:rsidRDefault="00E41DF3" w:rsidP="00FB66CD">
      <w:pPr>
        <w:jc w:val="both"/>
        <w:rPr>
          <w:rFonts w:ascii="ITC Avant Garde" w:eastAsia="Times New Roman" w:hAnsi="ITC Avant Garde" w:cs="Arial"/>
          <w:lang w:val="es-ES" w:eastAsia="es-ES"/>
        </w:rPr>
      </w:pPr>
      <w:r w:rsidRPr="00BB33CC">
        <w:rPr>
          <w:rFonts w:ascii="ITC Avant Garde" w:eastAsia="Times New Roman" w:hAnsi="ITC Avant Garde" w:cs="Arial"/>
          <w:lang w:val="es-ES" w:eastAsia="es-ES"/>
        </w:rPr>
        <w:t xml:space="preserve">Para asegurar la presentación de resultados de forma correcta, oportuna y específica de los operadores para </w:t>
      </w:r>
      <w:r w:rsidR="004E1D30" w:rsidRPr="00BB33CC">
        <w:rPr>
          <w:rFonts w:ascii="ITC Avant Garde" w:eastAsia="Times New Roman" w:hAnsi="ITC Avant Garde" w:cs="Arial"/>
          <w:lang w:val="es-ES" w:eastAsia="es-ES"/>
        </w:rPr>
        <w:t>la implementación de una metodología de separación contable resulta adecuado que el regulador determine formatos a efectos de que los operadores elaboren el reporte de la información</w:t>
      </w:r>
      <w:r w:rsidRPr="00BB33CC">
        <w:rPr>
          <w:rFonts w:ascii="ITC Avant Garde" w:eastAsia="Times New Roman" w:hAnsi="ITC Avant Garde" w:cs="Arial"/>
          <w:lang w:val="es-ES" w:eastAsia="es-ES"/>
        </w:rPr>
        <w:t>. A través de estos formatos se podrá facilitar la extracción de información que</w:t>
      </w:r>
      <w:r w:rsidR="004E1D30" w:rsidRPr="00BB33CC">
        <w:rPr>
          <w:rFonts w:ascii="ITC Avant Garde" w:eastAsia="Times New Roman" w:hAnsi="ITC Avant Garde" w:cs="Arial"/>
          <w:lang w:val="es-ES" w:eastAsia="es-ES"/>
        </w:rPr>
        <w:t xml:space="preserve"> permita alcanzar los objetivos planteados.</w:t>
      </w:r>
    </w:p>
    <w:p w:rsidR="008632BF" w:rsidRPr="00BB33CC" w:rsidRDefault="008632BF" w:rsidP="005F568B">
      <w:pPr>
        <w:pStyle w:val="Ttulo2"/>
        <w:numPr>
          <w:ilvl w:val="0"/>
          <w:numId w:val="272"/>
        </w:numPr>
        <w:rPr>
          <w:rFonts w:eastAsia="Times New Roman" w:cs="Arial"/>
          <w:lang w:val="es-ES" w:eastAsia="es-ES"/>
        </w:rPr>
      </w:pPr>
      <w:r w:rsidRPr="00BB33CC">
        <w:rPr>
          <w:rFonts w:eastAsia="Times New Roman" w:cs="Arial"/>
          <w:lang w:val="es-ES" w:eastAsia="es-ES"/>
        </w:rPr>
        <w:t>Lineamientos generales para la selección de los criterios de imputación de costos e ingresos en la separación contable</w:t>
      </w:r>
    </w:p>
    <w:p w:rsidR="00966AE0" w:rsidRPr="00BB33CC" w:rsidRDefault="008632BF" w:rsidP="00776A41">
      <w:pPr>
        <w:jc w:val="both"/>
      </w:pPr>
      <w:r w:rsidRPr="00BB33CC">
        <w:rPr>
          <w:rFonts w:ascii="ITC Avant Garde" w:eastAsia="Times New Roman" w:hAnsi="ITC Avant Garde" w:cs="Arial"/>
          <w:lang w:val="es-ES" w:eastAsia="es-ES"/>
        </w:rPr>
        <w:t>Con el fin de obtener un mejor alineamiento con los principios de causalidad</w:t>
      </w:r>
      <w:r w:rsidR="00AD21D5" w:rsidRPr="00BB33CC">
        <w:rPr>
          <w:rFonts w:ascii="ITC Avant Garde" w:eastAsia="Times New Roman" w:hAnsi="ITC Avant Garde" w:cs="Arial"/>
          <w:lang w:val="es-ES" w:eastAsia="es-ES"/>
        </w:rPr>
        <w:t>, transparencia</w:t>
      </w:r>
      <w:r w:rsidRPr="00BB33CC">
        <w:rPr>
          <w:rFonts w:ascii="ITC Avant Garde" w:eastAsia="Times New Roman" w:hAnsi="ITC Avant Garde" w:cs="Arial"/>
          <w:lang w:val="es-ES" w:eastAsia="es-ES"/>
        </w:rPr>
        <w:t xml:space="preserve"> y objetividad </w:t>
      </w:r>
      <w:r w:rsidR="0057234E" w:rsidRPr="00BB33CC">
        <w:rPr>
          <w:rFonts w:ascii="ITC Avant Garde" w:eastAsia="Times New Roman" w:hAnsi="ITC Avant Garde" w:cs="Arial"/>
          <w:lang w:val="es-ES" w:eastAsia="es-ES"/>
        </w:rPr>
        <w:t>empleados</w:t>
      </w:r>
      <w:r w:rsidRPr="00BB33CC">
        <w:rPr>
          <w:rFonts w:ascii="ITC Avant Garde" w:eastAsia="Times New Roman" w:hAnsi="ITC Avant Garde" w:cs="Arial"/>
          <w:lang w:val="es-ES" w:eastAsia="es-ES"/>
        </w:rPr>
        <w:t xml:space="preserve"> en la metodología de separación contable, </w:t>
      </w:r>
      <w:r w:rsidR="00390B9D" w:rsidRPr="00BB33CC">
        <w:rPr>
          <w:rFonts w:ascii="ITC Avant Garde" w:eastAsia="Times New Roman" w:hAnsi="ITC Avant Garde" w:cs="Arial"/>
          <w:lang w:val="es-ES" w:eastAsia="es-ES"/>
        </w:rPr>
        <w:t>es necesario</w:t>
      </w:r>
      <w:r w:rsidRPr="00BB33CC">
        <w:rPr>
          <w:rFonts w:ascii="ITC Avant Garde" w:eastAsia="Times New Roman" w:hAnsi="ITC Avant Garde" w:cs="Arial"/>
          <w:lang w:val="es-ES" w:eastAsia="es-ES"/>
        </w:rPr>
        <w:t xml:space="preserve"> inclu</w:t>
      </w:r>
      <w:r w:rsidR="0057234E" w:rsidRPr="00BB33CC">
        <w:rPr>
          <w:rFonts w:ascii="ITC Avant Garde" w:eastAsia="Times New Roman" w:hAnsi="ITC Avant Garde" w:cs="Arial"/>
          <w:lang w:val="es-ES" w:eastAsia="es-ES"/>
        </w:rPr>
        <w:t>ir</w:t>
      </w:r>
      <w:r w:rsidRPr="00BB33CC">
        <w:rPr>
          <w:rFonts w:ascii="ITC Avant Garde" w:eastAsia="Times New Roman" w:hAnsi="ITC Avant Garde" w:cs="Arial"/>
          <w:lang w:val="es-ES" w:eastAsia="es-ES"/>
        </w:rPr>
        <w:t xml:space="preserve"> un conjunto de guías y lineam</w:t>
      </w:r>
      <w:r w:rsidR="00B01C1F">
        <w:rPr>
          <w:rFonts w:ascii="ITC Avant Garde" w:eastAsia="Times New Roman" w:hAnsi="ITC Avant Garde" w:cs="Arial"/>
          <w:lang w:val="es-ES" w:eastAsia="es-ES"/>
        </w:rPr>
        <w:t>i</w:t>
      </w:r>
      <w:r w:rsidRPr="00BB33CC">
        <w:rPr>
          <w:rFonts w:ascii="ITC Avant Garde" w:eastAsia="Times New Roman" w:hAnsi="ITC Avant Garde" w:cs="Arial"/>
          <w:lang w:val="es-ES" w:eastAsia="es-ES"/>
        </w:rPr>
        <w:t>entos generales sobre determinadas atribuciones de costos de especial relevancia</w:t>
      </w:r>
      <w:r w:rsidR="00390B9D" w:rsidRPr="00BB33CC">
        <w:rPr>
          <w:rFonts w:ascii="ITC Avant Garde" w:eastAsia="Times New Roman" w:hAnsi="ITC Avant Garde" w:cs="Arial"/>
          <w:lang w:val="es-ES" w:eastAsia="es-ES"/>
        </w:rPr>
        <w:t xml:space="preserve"> en la separación contable</w:t>
      </w:r>
      <w:r w:rsidRPr="00BB33CC">
        <w:rPr>
          <w:rFonts w:ascii="ITC Avant Garde" w:eastAsia="Times New Roman" w:hAnsi="ITC Avant Garde" w:cs="Arial"/>
          <w:lang w:val="es-ES" w:eastAsia="es-ES"/>
        </w:rPr>
        <w:t>.</w:t>
      </w:r>
    </w:p>
    <w:p w:rsidR="00876365" w:rsidRPr="00BB33CC" w:rsidRDefault="00704456" w:rsidP="00704456">
      <w:pPr>
        <w:jc w:val="both"/>
        <w:rPr>
          <w:rFonts w:ascii="ITC Avant Garde" w:eastAsia="Times New Roman" w:hAnsi="ITC Avant Garde" w:cs="Arial"/>
          <w:lang w:val="es-ES" w:eastAsia="es-ES"/>
        </w:rPr>
      </w:pPr>
      <w:r w:rsidRPr="00BB33CC">
        <w:rPr>
          <w:rFonts w:ascii="ITC Avant Garde" w:eastAsia="Times New Roman" w:hAnsi="ITC Avant Garde" w:cs="Arial"/>
          <w:lang w:val="es-ES" w:eastAsia="es-ES"/>
        </w:rPr>
        <w:t>Las atribuciones de costos donde es necesario especificar ciertos criterios corresponden a los niveles de la arquitectura</w:t>
      </w:r>
      <w:r w:rsidR="00876365" w:rsidRPr="00BB33CC">
        <w:rPr>
          <w:rFonts w:ascii="ITC Avant Garde" w:eastAsia="Times New Roman" w:hAnsi="ITC Avant Garde" w:cs="Arial"/>
          <w:lang w:val="es-ES" w:eastAsia="es-ES"/>
        </w:rPr>
        <w:t xml:space="preserve"> conforme a lo siguiente:</w:t>
      </w:r>
    </w:p>
    <w:p w:rsidR="00704456" w:rsidRPr="00BB33CC" w:rsidRDefault="00704456" w:rsidP="00704456">
      <w:pPr>
        <w:pStyle w:val="Indentadoresolucin"/>
      </w:pPr>
      <w:r w:rsidRPr="00BB33CC" w:rsidDel="008849DA">
        <w:t>Imputación de ingresos por naturaleza (Nivel 1) a cuentas de servicios (Nivel 3)</w:t>
      </w:r>
      <w:r w:rsidRPr="00BB33CC">
        <w:t xml:space="preserve">. </w:t>
      </w:r>
      <w:r w:rsidRPr="00BB33CC" w:rsidDel="008849DA">
        <w:t xml:space="preserve">En esta fase de imputación el principal reto consiste en la identificación de los ingresos a nivel de servicio cuando los mismos son prestados de manera conjunta mediante ofertas empaquetadas (paquetes </w:t>
      </w:r>
      <w:r w:rsidR="007E001E" w:rsidRPr="00BB33CC">
        <w:rPr>
          <w:iCs/>
        </w:rPr>
        <w:t xml:space="preserve">doble </w:t>
      </w:r>
      <w:r w:rsidRPr="00BB33CC" w:rsidDel="008849DA">
        <w:rPr>
          <w:iCs/>
        </w:rPr>
        <w:t>play</w:t>
      </w:r>
      <w:r w:rsidRPr="00BB33CC" w:rsidDel="008849DA">
        <w:t xml:space="preserve"> de voz y datos). </w:t>
      </w:r>
    </w:p>
    <w:p w:rsidR="00704456" w:rsidRPr="00BB33CC" w:rsidDel="008849DA" w:rsidRDefault="00704456" w:rsidP="00704456">
      <w:pPr>
        <w:pStyle w:val="Indentadoresolucin"/>
      </w:pPr>
      <w:r w:rsidRPr="00BB33CC" w:rsidDel="008849DA">
        <w:t>Imputación de costos por naturaleza (Nivel 1) a cuentas de costos por actividades y elementos de red (Nivel 2)</w:t>
      </w:r>
      <w:r w:rsidRPr="00BB33CC">
        <w:t xml:space="preserve">, en la que se indique </w:t>
      </w:r>
      <w:r w:rsidRPr="00BB33CC" w:rsidDel="008849DA">
        <w:t>la imputación de categorías de costos por na</w:t>
      </w:r>
      <w:r w:rsidRPr="00BB33CC">
        <w:t>turaleza de especial relevancia, como costos asociados al personal, e</w:t>
      </w:r>
      <w:r w:rsidRPr="00BB33CC" w:rsidDel="008849DA">
        <w:rPr>
          <w:bCs/>
          <w:iCs/>
        </w:rPr>
        <w:t>lementos de soporte (arrendamientos, edificios, reparaciones, energía, suministros)</w:t>
      </w:r>
      <w:r w:rsidRPr="00BB33CC">
        <w:rPr>
          <w:bCs/>
          <w:iCs/>
        </w:rPr>
        <w:t xml:space="preserve"> </w:t>
      </w:r>
      <w:r w:rsidRPr="00BB33CC" w:rsidDel="008849DA">
        <w:t>distribuidos a las actividades o elementos de red que los originan</w:t>
      </w:r>
      <w:r w:rsidRPr="00BB33CC">
        <w:t xml:space="preserve"> y a</w:t>
      </w:r>
      <w:r w:rsidRPr="00BB33CC" w:rsidDel="008849DA">
        <w:rPr>
          <w:bCs/>
          <w:iCs/>
        </w:rPr>
        <w:t>ctivos de red</w:t>
      </w:r>
      <w:r w:rsidR="00876365" w:rsidRPr="00BB33CC">
        <w:t>.</w:t>
      </w:r>
    </w:p>
    <w:p w:rsidR="0089716E" w:rsidRPr="00BB33CC" w:rsidRDefault="00704456" w:rsidP="00776A41">
      <w:pPr>
        <w:pStyle w:val="Indentadoresolucin"/>
        <w:rPr>
          <w:i/>
        </w:rPr>
      </w:pPr>
      <w:r w:rsidRPr="00BB33CC" w:rsidDel="008849DA">
        <w:t>Imputación de costos por actividades y elementos de red (Nivel 2) a servicios (Nivel 3)</w:t>
      </w:r>
      <w:r w:rsidRPr="00BB33CC">
        <w:t>, que incluya la distribución de c</w:t>
      </w:r>
      <w:r w:rsidRPr="00BB33CC" w:rsidDel="008849DA">
        <w:rPr>
          <w:bCs/>
          <w:iCs/>
        </w:rPr>
        <w:t>omponentes de red</w:t>
      </w:r>
      <w:r w:rsidRPr="00BB33CC">
        <w:rPr>
          <w:bCs/>
          <w:iCs/>
        </w:rPr>
        <w:t>, c</w:t>
      </w:r>
      <w:r w:rsidRPr="00BB33CC" w:rsidDel="008849DA">
        <w:rPr>
          <w:bCs/>
          <w:iCs/>
        </w:rPr>
        <w:t>omponentes no relacionados con la red</w:t>
      </w:r>
      <w:r w:rsidRPr="00BB33CC">
        <w:rPr>
          <w:bCs/>
          <w:iCs/>
        </w:rPr>
        <w:t>, c</w:t>
      </w:r>
      <w:r w:rsidRPr="00BB33CC" w:rsidDel="008849DA">
        <w:rPr>
          <w:bCs/>
          <w:iCs/>
        </w:rPr>
        <w:t>ostos directos de ventas</w:t>
      </w:r>
      <w:r w:rsidRPr="00BB33CC">
        <w:t xml:space="preserve"> y c</w:t>
      </w:r>
      <w:r w:rsidRPr="00BB33CC" w:rsidDel="008849DA">
        <w:rPr>
          <w:bCs/>
          <w:iCs/>
        </w:rPr>
        <w:t>ostos comunes</w:t>
      </w:r>
      <w:r w:rsidRPr="00BB33CC" w:rsidDel="008849DA">
        <w:t>.</w:t>
      </w:r>
    </w:p>
    <w:p w:rsidR="00FB66CD" w:rsidRPr="00BB33CC" w:rsidRDefault="00FB66CD" w:rsidP="00B13FA0">
      <w:pPr>
        <w:pStyle w:val="Ttulo2"/>
        <w:numPr>
          <w:ilvl w:val="0"/>
          <w:numId w:val="272"/>
        </w:numPr>
        <w:rPr>
          <w:b w:val="0"/>
        </w:rPr>
      </w:pPr>
      <w:r w:rsidRPr="00BB33CC">
        <w:t>Estudios de soporte</w:t>
      </w:r>
    </w:p>
    <w:p w:rsidR="00FB66CD" w:rsidRPr="00BB33CC" w:rsidRDefault="00FB66CD" w:rsidP="00C068A7">
      <w:pPr>
        <w:pStyle w:val="Ttulo2"/>
        <w:numPr>
          <w:ilvl w:val="1"/>
          <w:numId w:val="272"/>
        </w:numPr>
        <w:rPr>
          <w:u w:val="single"/>
        </w:rPr>
      </w:pPr>
      <w:r w:rsidRPr="00BB33CC">
        <w:rPr>
          <w:u w:val="single"/>
        </w:rPr>
        <w:lastRenderedPageBreak/>
        <w:t>Manual Explicativo de la separación contable</w:t>
      </w:r>
    </w:p>
    <w:p w:rsidR="00D91835" w:rsidRPr="00BB33CC" w:rsidRDefault="00E47E01" w:rsidP="00FB66CD">
      <w:pPr>
        <w:pStyle w:val="Normalresolucion"/>
      </w:pPr>
      <w:r w:rsidRPr="00BB33CC">
        <w:t>En el establecimiento de l</w:t>
      </w:r>
      <w:r w:rsidR="00D91835" w:rsidRPr="00BB33CC">
        <w:t xml:space="preserve">a metodología de separación contable </w:t>
      </w:r>
      <w:r w:rsidRPr="00BB33CC">
        <w:t xml:space="preserve">resulta adecuado </w:t>
      </w:r>
      <w:r w:rsidR="00D91835" w:rsidRPr="00BB33CC">
        <w:t>inclu</w:t>
      </w:r>
      <w:r w:rsidRPr="00BB33CC">
        <w:t>ir</w:t>
      </w:r>
      <w:r w:rsidR="00D91835" w:rsidRPr="00BB33CC">
        <w:t xml:space="preserve"> un manual explicativo, </w:t>
      </w:r>
      <w:r w:rsidR="00C068A7" w:rsidRPr="00BB33CC">
        <w:t>con</w:t>
      </w:r>
      <w:r w:rsidR="00D91835" w:rsidRPr="00BB33CC">
        <w:t xml:space="preserve"> la finalidad de mostrar la forma en que los operadores adoptan los criterios, parámetros y metodologías para implementar la separación contable. Con ello, </w:t>
      </w:r>
      <w:r w:rsidR="00C068A7" w:rsidRPr="00BB33CC">
        <w:t xml:space="preserve">además de facilitar la implementación de la separación contable, </w:t>
      </w:r>
      <w:r w:rsidR="00D91835" w:rsidRPr="00BB33CC">
        <w:t>se d</w:t>
      </w:r>
      <w:r w:rsidR="00C068A7" w:rsidRPr="00BB33CC">
        <w:t>ota de</w:t>
      </w:r>
      <w:r w:rsidR="00D91835" w:rsidRPr="00BB33CC">
        <w:t xml:space="preserve"> mayor claridad al regulador para realizar una revisión de la </w:t>
      </w:r>
      <w:r w:rsidR="00C068A7" w:rsidRPr="00BB33CC">
        <w:t xml:space="preserve">información de </w:t>
      </w:r>
      <w:r w:rsidR="00D91835" w:rsidRPr="00BB33CC">
        <w:t xml:space="preserve">separación contable </w:t>
      </w:r>
      <w:r w:rsidR="00C068A7" w:rsidRPr="00BB33CC">
        <w:t>que se entregue</w:t>
      </w:r>
      <w:r w:rsidR="00D91835" w:rsidRPr="00BB33CC">
        <w:t>.</w:t>
      </w:r>
    </w:p>
    <w:p w:rsidR="00FB66CD" w:rsidRPr="00BB33CC" w:rsidRDefault="00FB66CD" w:rsidP="00C068A7">
      <w:pPr>
        <w:pStyle w:val="Ttulo2"/>
        <w:numPr>
          <w:ilvl w:val="1"/>
          <w:numId w:val="272"/>
        </w:numPr>
        <w:rPr>
          <w:u w:val="single"/>
        </w:rPr>
      </w:pPr>
      <w:r w:rsidRPr="00BB33CC">
        <w:rPr>
          <w:u w:val="single"/>
        </w:rPr>
        <w:t>Precios de transferencia</w:t>
      </w:r>
    </w:p>
    <w:p w:rsidR="007835E7" w:rsidRPr="00BB33CC" w:rsidRDefault="007835E7" w:rsidP="007835E7">
      <w:pPr>
        <w:pStyle w:val="Normalresolucion"/>
        <w:rPr>
          <w:rFonts w:eastAsiaTheme="minorHAnsi" w:cstheme="minorBidi"/>
          <w:lang w:val="es-MX" w:eastAsia="en-US"/>
        </w:rPr>
      </w:pPr>
      <w:r w:rsidRPr="00BB33CC">
        <w:rPr>
          <w:rFonts w:eastAsiaTheme="minorHAnsi" w:cstheme="minorBidi"/>
          <w:lang w:val="es-MX" w:eastAsia="en-US"/>
        </w:rPr>
        <w:t xml:space="preserve">Los precios de transferencia se refieren a los precios que se acuerdan entre empresas para transferirse bienes, servicios o derechos. En el caso de la separación contable, se hace referencia particular a las operaciones realizadas entre partes relacionadas, es decir, entre empresas que tienen vínculos de propiedad o de administración entre sí. </w:t>
      </w:r>
    </w:p>
    <w:p w:rsidR="007835E7" w:rsidRPr="00BB33CC" w:rsidRDefault="007835E7" w:rsidP="007835E7">
      <w:pPr>
        <w:pStyle w:val="Normalresolucion"/>
        <w:rPr>
          <w:rFonts w:eastAsiaTheme="minorHAnsi" w:cstheme="minorBidi"/>
          <w:lang w:val="es-MX" w:eastAsia="en-US"/>
        </w:rPr>
      </w:pPr>
      <w:r w:rsidRPr="00BB33CC">
        <w:rPr>
          <w:rFonts w:eastAsiaTheme="minorHAnsi" w:cstheme="minorBidi"/>
          <w:lang w:val="es-MX" w:eastAsia="en-US"/>
        </w:rPr>
        <w:t>Estas transferencias son de relevancia para el regulador, entre otros aspectos,</w:t>
      </w:r>
      <w:r w:rsidR="008939D5" w:rsidRPr="00BB33CC">
        <w:rPr>
          <w:rFonts w:eastAsiaTheme="minorHAnsi" w:cstheme="minorBidi"/>
          <w:lang w:val="es-MX" w:eastAsia="en-US"/>
        </w:rPr>
        <w:t xml:space="preserve"> porque permitirían </w:t>
      </w:r>
      <w:r w:rsidR="008939D5" w:rsidRPr="00BB33CC">
        <w:t xml:space="preserve">identificar indicios sobre </w:t>
      </w:r>
      <w:r w:rsidR="007543B8">
        <w:t xml:space="preserve">trato discriminatorio y </w:t>
      </w:r>
      <w:r w:rsidR="008939D5" w:rsidRPr="00BB33CC">
        <w:t>prácticas anticompetitivas, ya que la información permitirá observar las transacciones que realizan los sujetos obligados con sus empresas filiales, subsidiarias y afiliadas.</w:t>
      </w:r>
    </w:p>
    <w:p w:rsidR="007835E7" w:rsidRPr="00BB33CC" w:rsidRDefault="007835E7" w:rsidP="00776A41">
      <w:pPr>
        <w:pStyle w:val="Normalresolucion"/>
      </w:pPr>
      <w:r w:rsidRPr="00BB33CC">
        <w:rPr>
          <w:rFonts w:eastAsiaTheme="minorHAnsi" w:cstheme="minorBidi"/>
          <w:lang w:val="es-MX" w:eastAsia="en-US"/>
        </w:rPr>
        <w:t xml:space="preserve">Con base en lo anterior, y en el entendido de la relevancia de esta información, </w:t>
      </w:r>
      <w:r w:rsidR="005C1024" w:rsidRPr="00BB33CC">
        <w:rPr>
          <w:rFonts w:eastAsiaTheme="minorHAnsi" w:cstheme="minorBidi"/>
          <w:lang w:val="es-MX" w:eastAsia="en-US"/>
        </w:rPr>
        <w:t xml:space="preserve">es conveniente que </w:t>
      </w:r>
      <w:r w:rsidRPr="00BB33CC">
        <w:rPr>
          <w:rFonts w:eastAsiaTheme="minorHAnsi" w:cstheme="minorBidi"/>
          <w:lang w:val="es-MX" w:eastAsia="en-US"/>
        </w:rPr>
        <w:t xml:space="preserve">los </w:t>
      </w:r>
      <w:r w:rsidR="005C1024" w:rsidRPr="00BB33CC">
        <w:rPr>
          <w:rFonts w:eastAsiaTheme="minorHAnsi" w:cstheme="minorBidi"/>
          <w:lang w:val="es-MX" w:eastAsia="en-US"/>
        </w:rPr>
        <w:t xml:space="preserve">operadores aporten al regulador la </w:t>
      </w:r>
      <w:r w:rsidRPr="00BB33CC">
        <w:rPr>
          <w:rFonts w:eastAsiaTheme="minorHAnsi" w:cstheme="minorBidi"/>
          <w:lang w:val="es-MX" w:eastAsia="en-US"/>
        </w:rPr>
        <w:t>información relativa a las operaciones y transferencias con partes relacionadas, tales como filiales, subsidiarias y afiliadas.</w:t>
      </w:r>
    </w:p>
    <w:p w:rsidR="00FB66CD" w:rsidRPr="00BB33CC" w:rsidRDefault="00FB66CD" w:rsidP="00EF30F0">
      <w:pPr>
        <w:pStyle w:val="Ttulo2"/>
        <w:numPr>
          <w:ilvl w:val="1"/>
          <w:numId w:val="272"/>
        </w:numPr>
        <w:rPr>
          <w:u w:val="single"/>
        </w:rPr>
      </w:pPr>
      <w:r w:rsidRPr="00BB33CC">
        <w:rPr>
          <w:u w:val="single"/>
        </w:rPr>
        <w:t>Estudios técnicos de soporte</w:t>
      </w:r>
    </w:p>
    <w:p w:rsidR="000E2B24" w:rsidRPr="00BB33CC" w:rsidRDefault="009E7293" w:rsidP="00776A41">
      <w:pPr>
        <w:pStyle w:val="Indentadoresolucin"/>
        <w:numPr>
          <w:ilvl w:val="0"/>
          <w:numId w:val="0"/>
        </w:numPr>
        <w:spacing w:before="240"/>
      </w:pPr>
      <w:r w:rsidRPr="00BB33CC">
        <w:t>Los estudios técnicos de soporte aportan un mayor detalle sobre las principales asignaciones de costos efectuadas por los operadores sobre la infraestructura de planta externa, energía eléctrica, elementos de red de servicios mayoristas, y la vida útil de los activos empleados en la separación contable.</w:t>
      </w:r>
    </w:p>
    <w:p w:rsidR="00FB66CD" w:rsidRPr="00BB33CC" w:rsidRDefault="00FB66CD" w:rsidP="00EF5DA0">
      <w:pPr>
        <w:pStyle w:val="Ttulo2"/>
        <w:numPr>
          <w:ilvl w:val="0"/>
          <w:numId w:val="272"/>
        </w:numPr>
        <w:rPr>
          <w:b w:val="0"/>
        </w:rPr>
      </w:pPr>
      <w:r w:rsidRPr="00BB33CC">
        <w:t>Revisión de la información de separación contable</w:t>
      </w:r>
    </w:p>
    <w:p w:rsidR="00FB66CD" w:rsidRPr="00BB33CC" w:rsidRDefault="008D5A2E" w:rsidP="00FB66CD">
      <w:pPr>
        <w:pStyle w:val="Normalresolucion"/>
      </w:pPr>
      <w:r w:rsidRPr="00BB33CC">
        <w:t>U</w:t>
      </w:r>
      <w:r w:rsidR="00FB66CD" w:rsidRPr="00BB33CC">
        <w:t xml:space="preserve">n aspecto fundamental para asegurar la validez de los resultados de la separación contable </w:t>
      </w:r>
      <w:r w:rsidR="006E658A" w:rsidRPr="00BB33CC">
        <w:t xml:space="preserve">entregada por </w:t>
      </w:r>
      <w:r w:rsidRPr="00BB33CC">
        <w:t xml:space="preserve">los operadores </w:t>
      </w:r>
      <w:r w:rsidR="00FB66CD" w:rsidRPr="00BB33CC">
        <w:t>consiste en el desarrollo de un profundo ejercicio de revis</w:t>
      </w:r>
      <w:r w:rsidR="00284AA7" w:rsidRPr="00BB33CC">
        <w:t>ión</w:t>
      </w:r>
      <w:r w:rsidR="00FB66CD" w:rsidRPr="00BB33CC">
        <w:t xml:space="preserve"> económica y técnica mediante el cual se valide la correcta implementación de los principios metodológicos </w:t>
      </w:r>
      <w:r w:rsidR="006E658A" w:rsidRPr="00BB33CC">
        <w:t xml:space="preserve">establecidos </w:t>
      </w:r>
      <w:r w:rsidRPr="00BB33CC">
        <w:t>por el regulador</w:t>
      </w:r>
      <w:r w:rsidR="00FB66CD" w:rsidRPr="00BB33CC">
        <w:t>.</w:t>
      </w:r>
    </w:p>
    <w:p w:rsidR="00FB66CD" w:rsidRPr="00BB33CC" w:rsidRDefault="00FB66CD" w:rsidP="00FB66CD">
      <w:pPr>
        <w:pStyle w:val="Normalresolucion"/>
      </w:pPr>
      <w:r w:rsidRPr="00BB33CC">
        <w:t xml:space="preserve">Si bien existe una tendencia general a delegar la función de revisión a los propios </w:t>
      </w:r>
      <w:r w:rsidR="008D5A2E" w:rsidRPr="00BB33CC">
        <w:t>operadores</w:t>
      </w:r>
      <w:r w:rsidRPr="00BB33CC">
        <w:t xml:space="preserve">, </w:t>
      </w:r>
      <w:r w:rsidR="006E658A" w:rsidRPr="00BB33CC">
        <w:t xml:space="preserve">esto </w:t>
      </w:r>
      <w:r w:rsidRPr="00BB33CC">
        <w:t>puede deriva</w:t>
      </w:r>
      <w:r w:rsidR="008D5A2E" w:rsidRPr="00BB33CC">
        <w:t>r</w:t>
      </w:r>
      <w:r w:rsidRPr="00BB33CC">
        <w:t xml:space="preserve"> en ineficiencias y necesidades adicionales de </w:t>
      </w:r>
      <w:r w:rsidRPr="00BB33CC">
        <w:lastRenderedPageBreak/>
        <w:t>revisión por parte del regulador, adoptándose finalmente un esquema de revisión doble.</w:t>
      </w:r>
    </w:p>
    <w:p w:rsidR="00FB66CD" w:rsidRPr="00BB33CC" w:rsidRDefault="006E658A" w:rsidP="00FB66CD">
      <w:pPr>
        <w:pStyle w:val="Normalresolucion"/>
      </w:pPr>
      <w:r w:rsidRPr="00BB33CC">
        <w:t>Es común que l</w:t>
      </w:r>
      <w:r w:rsidR="00FB66CD" w:rsidRPr="00BB33CC">
        <w:t xml:space="preserve">a duplicidad de las tareas de revisión de la </w:t>
      </w:r>
      <w:r w:rsidRPr="00BB33CC">
        <w:t xml:space="preserve">información de </w:t>
      </w:r>
      <w:r w:rsidR="00FB66CD" w:rsidRPr="00BB33CC">
        <w:t>separación contable, se</w:t>
      </w:r>
      <w:r w:rsidRPr="00BB33CC">
        <w:t xml:space="preserve">a evitada mediante la intervención del regulador, al </w:t>
      </w:r>
      <w:r w:rsidR="00FB66CD" w:rsidRPr="00BB33CC">
        <w:t>encarga</w:t>
      </w:r>
      <w:r w:rsidRPr="00BB33CC">
        <w:t xml:space="preserve">rse </w:t>
      </w:r>
      <w:r w:rsidR="00FB66CD" w:rsidRPr="00BB33CC">
        <w:t xml:space="preserve">de </w:t>
      </w:r>
      <w:r w:rsidR="00626690" w:rsidRPr="00BB33CC">
        <w:t>realizar la revisión</w:t>
      </w:r>
      <w:r w:rsidR="00FB66CD" w:rsidRPr="00BB33CC">
        <w:t xml:space="preserve">. </w:t>
      </w:r>
    </w:p>
    <w:p w:rsidR="00283543" w:rsidRPr="00BB33CC" w:rsidRDefault="00FB66CD" w:rsidP="00FB66CD">
      <w:pPr>
        <w:pStyle w:val="Normalresolucion"/>
      </w:pPr>
      <w:r w:rsidRPr="00BB33CC">
        <w:t>Como resultado del proceso de revisión</w:t>
      </w:r>
      <w:r w:rsidR="006E658A" w:rsidRPr="00BB33CC">
        <w:t xml:space="preserve"> de la información de separación contable</w:t>
      </w:r>
      <w:r w:rsidRPr="00BB33CC">
        <w:t>, se especifican las posibles incidencias que hayan sido detectadas en l</w:t>
      </w:r>
      <w:r w:rsidR="006E658A" w:rsidRPr="00BB33CC">
        <w:t xml:space="preserve">a implementación de la </w:t>
      </w:r>
      <w:r w:rsidRPr="00BB33CC">
        <w:t xml:space="preserve">separación contable, y se establecen las acciones que deberán implementar los </w:t>
      </w:r>
      <w:r w:rsidR="00263D72" w:rsidRPr="00BB33CC">
        <w:t>operadores</w:t>
      </w:r>
      <w:r w:rsidRPr="00BB33CC">
        <w:t xml:space="preserve"> con el fin de solventarlas. </w:t>
      </w:r>
      <w:r w:rsidR="006E658A" w:rsidRPr="00BB33CC">
        <w:t xml:space="preserve">Finalmente, el regulador puede emitir </w:t>
      </w:r>
      <w:r w:rsidRPr="00BB33CC">
        <w:t>un informe junto con la recomendación de aceptar, aceptar condicionalmente o rechazar la separación contable elaborada</w:t>
      </w:r>
      <w:r w:rsidR="00357D2B" w:rsidRPr="00BB33CC">
        <w:t xml:space="preserve"> por el operador</w:t>
      </w:r>
      <w:r w:rsidRPr="00BB33CC">
        <w:t>.</w:t>
      </w:r>
    </w:p>
    <w:p w:rsidR="00283543" w:rsidRPr="00BB33CC" w:rsidRDefault="00283543" w:rsidP="005F0914">
      <w:pPr>
        <w:pStyle w:val="Ttulo2"/>
        <w:numPr>
          <w:ilvl w:val="0"/>
          <w:numId w:val="272"/>
        </w:numPr>
        <w:rPr>
          <w:b w:val="0"/>
        </w:rPr>
      </w:pPr>
      <w:r w:rsidRPr="00BB33CC">
        <w:t>Proceso de implement</w:t>
      </w:r>
      <w:r w:rsidR="00B976A2" w:rsidRPr="00BB33CC">
        <w:t>ación en la separación contable</w:t>
      </w:r>
    </w:p>
    <w:p w:rsidR="00B55287" w:rsidRPr="00BB33CC" w:rsidRDefault="00B55287" w:rsidP="005F0914">
      <w:pPr>
        <w:pStyle w:val="Normalresolucion"/>
        <w:rPr>
          <w:lang w:val="es-MX"/>
        </w:rPr>
      </w:pPr>
      <w:r w:rsidRPr="00BB33CC">
        <w:rPr>
          <w:lang w:val="es-MX"/>
        </w:rPr>
        <w:t xml:space="preserve">Con la finalidad de asegurar una correcta implementación de la separación contable, las autoridades regulatorias han establecido como una obligación la de entregar un </w:t>
      </w:r>
      <w:r w:rsidR="0021689E" w:rsidRPr="00BB33CC">
        <w:rPr>
          <w:lang w:val="es-MX"/>
        </w:rPr>
        <w:t>p</w:t>
      </w:r>
      <w:r w:rsidRPr="00BB33CC">
        <w:rPr>
          <w:lang w:val="es-MX"/>
        </w:rPr>
        <w:t xml:space="preserve">rograma de </w:t>
      </w:r>
      <w:r w:rsidR="0021689E" w:rsidRPr="00BB33CC">
        <w:rPr>
          <w:lang w:val="es-MX"/>
        </w:rPr>
        <w:t>i</w:t>
      </w:r>
      <w:r w:rsidRPr="00BB33CC">
        <w:rPr>
          <w:lang w:val="es-MX"/>
        </w:rPr>
        <w:t xml:space="preserve">mplementación, instrumento que consiste en una estructura preliminar sobre cómo se va entregar la información de separación contable por parte de los agentes obligados. </w:t>
      </w:r>
    </w:p>
    <w:p w:rsidR="00B55287" w:rsidRPr="00BB33CC" w:rsidRDefault="00B022AA" w:rsidP="005F0914">
      <w:pPr>
        <w:pStyle w:val="Normalresolucion"/>
      </w:pPr>
      <w:r w:rsidRPr="00BB33CC">
        <w:rPr>
          <w:lang w:val="es-MX"/>
        </w:rPr>
        <w:t>En el programa de i</w:t>
      </w:r>
      <w:r w:rsidR="00B55287" w:rsidRPr="00BB33CC">
        <w:rPr>
          <w:lang w:val="es-MX"/>
        </w:rPr>
        <w:t xml:space="preserve">mplementación se refleja una propuesta sobre cómo implementar la metodología de separación contable conforme a la naturaleza de los operadores, donde se reflejan cada uno de los rubros establecidos considerando los servicios que presta cada uno de </w:t>
      </w:r>
      <w:r w:rsidR="00357D2B" w:rsidRPr="00BB33CC">
        <w:rPr>
          <w:lang w:val="es-MX"/>
        </w:rPr>
        <w:t>estos</w:t>
      </w:r>
      <w:r w:rsidR="00B55287" w:rsidRPr="00BB33CC">
        <w:rPr>
          <w:lang w:val="es-MX"/>
        </w:rPr>
        <w:t xml:space="preserve"> operadores. El </w:t>
      </w:r>
      <w:r w:rsidR="002005B2" w:rsidRPr="00BB33CC">
        <w:rPr>
          <w:lang w:val="es-MX"/>
        </w:rPr>
        <w:t>p</w:t>
      </w:r>
      <w:r w:rsidR="00B55287" w:rsidRPr="00BB33CC">
        <w:rPr>
          <w:lang w:val="es-MX"/>
        </w:rPr>
        <w:t xml:space="preserve">rograma de </w:t>
      </w:r>
      <w:r w:rsidR="002005B2" w:rsidRPr="00BB33CC">
        <w:rPr>
          <w:lang w:val="es-MX"/>
        </w:rPr>
        <w:t>i</w:t>
      </w:r>
      <w:r w:rsidR="00B55287" w:rsidRPr="00BB33CC">
        <w:rPr>
          <w:lang w:val="es-MX"/>
        </w:rPr>
        <w:t>mplementación minimiza riesgos de divergencia entre la información entregada por los operadores y las obligaciones relativas a la separación contable, y permite realizar ajustes cuando media su autorización por parte de la autoridad regulatoria.</w:t>
      </w:r>
    </w:p>
    <w:p w:rsidR="00283543" w:rsidRPr="00BB33CC" w:rsidRDefault="00B022AA" w:rsidP="00283543">
      <w:pPr>
        <w:jc w:val="both"/>
        <w:rPr>
          <w:rFonts w:ascii="ITC Avant Garde" w:hAnsi="ITC Avant Garde"/>
        </w:rPr>
      </w:pPr>
      <w:r w:rsidRPr="00BB33CC">
        <w:rPr>
          <w:rFonts w:ascii="ITC Avant Garde" w:hAnsi="ITC Avant Garde"/>
        </w:rPr>
        <w:t>Por lo anterior, el p</w:t>
      </w:r>
      <w:r w:rsidR="00283543" w:rsidRPr="00BB33CC">
        <w:rPr>
          <w:rFonts w:ascii="ITC Avant Garde" w:hAnsi="ITC Avant Garde"/>
        </w:rPr>
        <w:t>rog</w:t>
      </w:r>
      <w:r w:rsidRPr="00BB33CC">
        <w:rPr>
          <w:rFonts w:ascii="ITC Avant Garde" w:hAnsi="ITC Avant Garde"/>
        </w:rPr>
        <w:t>rama de i</w:t>
      </w:r>
      <w:r w:rsidR="00283543" w:rsidRPr="00BB33CC">
        <w:rPr>
          <w:rFonts w:ascii="ITC Avant Garde" w:hAnsi="ITC Avant Garde"/>
        </w:rPr>
        <w:t xml:space="preserve">mplementación se establece como una estructura que permitirá integrar la información que los distintos </w:t>
      </w:r>
      <w:r w:rsidR="00357D2B" w:rsidRPr="00BB33CC">
        <w:rPr>
          <w:rFonts w:ascii="ITC Avant Garde" w:hAnsi="ITC Avant Garde"/>
        </w:rPr>
        <w:t>operadores</w:t>
      </w:r>
      <w:r w:rsidR="00283543" w:rsidRPr="00BB33CC">
        <w:rPr>
          <w:rFonts w:ascii="ITC Avant Garde" w:hAnsi="ITC Avant Garde"/>
        </w:rPr>
        <w:t xml:space="preserve"> presentarán anualmente, lo cual implica las siguientes ventajas:</w:t>
      </w:r>
    </w:p>
    <w:p w:rsidR="00283543" w:rsidRPr="00BB33CC" w:rsidRDefault="00283543" w:rsidP="00283543">
      <w:pPr>
        <w:pStyle w:val="Prrafodelista"/>
        <w:numPr>
          <w:ilvl w:val="0"/>
          <w:numId w:val="232"/>
        </w:numPr>
        <w:jc w:val="both"/>
        <w:rPr>
          <w:rFonts w:ascii="ITC Avant Garde" w:hAnsi="ITC Avant Garde"/>
        </w:rPr>
      </w:pPr>
      <w:r w:rsidRPr="00BB33CC">
        <w:rPr>
          <w:rFonts w:ascii="ITC Avant Garde" w:hAnsi="ITC Avant Garde"/>
          <w:i/>
        </w:rPr>
        <w:t>Eficiencia</w:t>
      </w:r>
      <w:r w:rsidRPr="00BB33CC">
        <w:rPr>
          <w:rFonts w:ascii="ITC Avant Garde" w:hAnsi="ITC Avant Garde"/>
        </w:rPr>
        <w:t xml:space="preserve">. Ayudará a agilizar las tareas de catalogar cada servicio y búsqueda de datos y con ello disminuir el uso de recursos humanos y si existen errores se podrán identificar y eliminar fácilmente. </w:t>
      </w:r>
    </w:p>
    <w:p w:rsidR="00283543" w:rsidRPr="00BB33CC" w:rsidRDefault="00283543" w:rsidP="00283543">
      <w:pPr>
        <w:pStyle w:val="Prrafodelista"/>
        <w:numPr>
          <w:ilvl w:val="0"/>
          <w:numId w:val="232"/>
        </w:numPr>
        <w:jc w:val="both"/>
        <w:rPr>
          <w:rFonts w:ascii="ITC Avant Garde" w:hAnsi="ITC Avant Garde"/>
        </w:rPr>
      </w:pPr>
      <w:r w:rsidRPr="00BB33CC">
        <w:rPr>
          <w:rFonts w:ascii="ITC Avant Garde" w:hAnsi="ITC Avant Garde"/>
          <w:i/>
        </w:rPr>
        <w:t>Metodología clara</w:t>
      </w:r>
      <w:r w:rsidRPr="00BB33CC">
        <w:rPr>
          <w:rFonts w:ascii="ITC Avant Garde" w:hAnsi="ITC Avant Garde"/>
        </w:rPr>
        <w:t xml:space="preserve">. El programa de implementación puede ayudar a realizar un análisis profundo de los datos, de tipo económico, financiero y técnico, que suministrarán información útil para alcanzar los objetivos de la separación contable. </w:t>
      </w:r>
    </w:p>
    <w:p w:rsidR="00283543" w:rsidRPr="00BB33CC" w:rsidRDefault="00283543" w:rsidP="00283543">
      <w:pPr>
        <w:pStyle w:val="Prrafodelista"/>
        <w:numPr>
          <w:ilvl w:val="0"/>
          <w:numId w:val="232"/>
        </w:numPr>
        <w:jc w:val="both"/>
        <w:rPr>
          <w:rFonts w:ascii="ITC Avant Garde" w:hAnsi="ITC Avant Garde"/>
        </w:rPr>
      </w:pPr>
      <w:r w:rsidRPr="00BB33CC">
        <w:rPr>
          <w:rFonts w:ascii="ITC Avant Garde" w:hAnsi="ITC Avant Garde"/>
          <w:i/>
        </w:rPr>
        <w:t>Disponibilidad</w:t>
      </w:r>
      <w:r w:rsidRPr="00BB33CC">
        <w:rPr>
          <w:rFonts w:ascii="ITC Avant Garde" w:hAnsi="ITC Avant Garde"/>
        </w:rPr>
        <w:t xml:space="preserve">. La información integrada y uniforme, permitirá acceder fácilmente a cualquier elemento para su revisión, a fin de fortalecer el sistema de información. </w:t>
      </w:r>
    </w:p>
    <w:p w:rsidR="00283543" w:rsidRPr="00BB33CC" w:rsidRDefault="00283543" w:rsidP="005F0914">
      <w:pPr>
        <w:pStyle w:val="Prrafodelista"/>
        <w:numPr>
          <w:ilvl w:val="0"/>
          <w:numId w:val="232"/>
        </w:numPr>
        <w:jc w:val="both"/>
      </w:pPr>
      <w:r w:rsidRPr="00BB33CC">
        <w:rPr>
          <w:rFonts w:ascii="ITC Avant Garde" w:hAnsi="ITC Avant Garde"/>
          <w:i/>
        </w:rPr>
        <w:lastRenderedPageBreak/>
        <w:t>Transparencia</w:t>
      </w:r>
      <w:r w:rsidRPr="00BB33CC">
        <w:rPr>
          <w:rFonts w:ascii="ITC Avant Garde" w:hAnsi="ITC Avant Garde"/>
        </w:rPr>
        <w:t xml:space="preserve">. </w:t>
      </w:r>
      <w:r w:rsidR="00357D2B" w:rsidRPr="00BB33CC">
        <w:rPr>
          <w:rFonts w:ascii="ITC Avant Garde" w:hAnsi="ITC Avant Garde"/>
        </w:rPr>
        <w:t>Servirá para transparentar la información provista por el operador, con esto limitará su discrecionalidad a través de este programa de implementación único ya que precisará los datos que se requieren, la forma de presentarlos los criterios de elaboración utilizados</w:t>
      </w:r>
      <w:r w:rsidRPr="00BB33CC">
        <w:rPr>
          <w:rFonts w:ascii="ITC Avant Garde" w:hAnsi="ITC Avant Garde"/>
        </w:rPr>
        <w:t xml:space="preserve"> y el tiempo en que se deben presentar.</w:t>
      </w:r>
    </w:p>
    <w:p w:rsidR="00A1321B" w:rsidRPr="00BB33CC" w:rsidRDefault="00F17EDF" w:rsidP="00A1321B">
      <w:pPr>
        <w:pStyle w:val="Ttulo2"/>
        <w:keepNext/>
        <w:keepLines/>
      </w:pPr>
      <w:r w:rsidRPr="00BB33CC">
        <w:t>CUARTO</w:t>
      </w:r>
      <w:r w:rsidR="00664F3A" w:rsidRPr="00BB33CC">
        <w:t>.- EVIDENCIA INTERNACIONAL</w:t>
      </w:r>
      <w:bookmarkEnd w:id="6"/>
    </w:p>
    <w:p w:rsidR="009D1E20" w:rsidRPr="00BB33CC" w:rsidRDefault="00A1321B" w:rsidP="00B07C1C">
      <w:pPr>
        <w:pStyle w:val="Normalresolucion"/>
      </w:pPr>
      <w:r w:rsidRPr="00BB33CC">
        <w:t xml:space="preserve">La separación contable como instrumento regulatorio es una medida extendida en el ámbito internacional y con una trayectoria probada </w:t>
      </w:r>
      <w:r w:rsidR="00257A34" w:rsidRPr="00BB33CC">
        <w:t>que proporciona</w:t>
      </w:r>
      <w:r w:rsidR="0036165B" w:rsidRPr="00BB33CC">
        <w:t xml:space="preserve"> </w:t>
      </w:r>
      <w:r w:rsidRPr="00BB33CC">
        <w:t xml:space="preserve">información </w:t>
      </w:r>
      <w:r w:rsidR="004221C7" w:rsidRPr="00BB33CC">
        <w:t>relativa a los sectores de</w:t>
      </w:r>
      <w:r w:rsidRPr="00BB33CC">
        <w:t xml:space="preserve"> telecomunicaciones y radiodifusión. </w:t>
      </w:r>
      <w:r w:rsidR="000C712F" w:rsidRPr="00BB33CC">
        <w:t xml:space="preserve">Asimismo, resulta </w:t>
      </w:r>
      <w:r w:rsidR="004221C7" w:rsidRPr="00BB33CC">
        <w:t>útil</w:t>
      </w:r>
      <w:r w:rsidRPr="00BB33CC">
        <w:t xml:space="preserve"> para monitorear </w:t>
      </w:r>
      <w:r w:rsidR="004221C7" w:rsidRPr="00BB33CC">
        <w:t>disposiciones regulatorias</w:t>
      </w:r>
      <w:r w:rsidRPr="00BB33CC">
        <w:t xml:space="preserve"> tal</w:t>
      </w:r>
      <w:r w:rsidR="004221C7" w:rsidRPr="00BB33CC">
        <w:t>es</w:t>
      </w:r>
      <w:r w:rsidRPr="00BB33CC">
        <w:t xml:space="preserve"> como el control de precios</w:t>
      </w:r>
      <w:r w:rsidR="007543B8">
        <w:t xml:space="preserve">, </w:t>
      </w:r>
      <w:r w:rsidRPr="00BB33CC">
        <w:t>identificación de potencial</w:t>
      </w:r>
      <w:r w:rsidR="007543B8">
        <w:t xml:space="preserve"> trato discriminatorio y</w:t>
      </w:r>
      <w:r w:rsidR="007543B8" w:rsidRPr="00BB33CC">
        <w:t xml:space="preserve"> </w:t>
      </w:r>
      <w:r w:rsidRPr="00BB33CC">
        <w:t>prácticas anticompetitivas, entre otros</w:t>
      </w:r>
      <w:r w:rsidR="004221C7" w:rsidRPr="00BB33CC">
        <w:t xml:space="preserve"> aspectos</w:t>
      </w:r>
      <w:r w:rsidRPr="00BB33CC">
        <w:t>.</w:t>
      </w:r>
    </w:p>
    <w:p w:rsidR="009D1E20" w:rsidRPr="00BB33CC" w:rsidRDefault="009D1E20" w:rsidP="009D1E20">
      <w:pPr>
        <w:pStyle w:val="Normalresolucion"/>
        <w:rPr>
          <w:lang w:val="es-MX"/>
        </w:rPr>
      </w:pPr>
      <w:r w:rsidRPr="00BB33CC">
        <w:rPr>
          <w:lang w:val="es-MX"/>
        </w:rPr>
        <w:t xml:space="preserve">A continuación se muestra una tabla donde se relacionan los  usos regulatorios de la separación contable en algunos países: </w:t>
      </w:r>
    </w:p>
    <w:p w:rsidR="009D1E20" w:rsidRPr="00BB33CC" w:rsidRDefault="009D1E20" w:rsidP="009D1E20">
      <w:pPr>
        <w:pStyle w:val="Descripcin"/>
        <w:keepNext/>
        <w:keepLines/>
        <w:spacing w:after="120" w:line="240" w:lineRule="auto"/>
        <w:rPr>
          <w:sz w:val="20"/>
          <w:lang w:val="es-MX"/>
        </w:rPr>
      </w:pPr>
      <w:r w:rsidRPr="00BB33CC">
        <w:rPr>
          <w:rFonts w:ascii="ITC Avant Garde" w:hAnsi="ITC Avant Garde"/>
          <w:sz w:val="20"/>
          <w:lang w:val="es-ES"/>
        </w:rPr>
        <w:t xml:space="preserve">Tabla </w:t>
      </w:r>
      <w:r w:rsidRPr="00BB33CC">
        <w:rPr>
          <w:rFonts w:ascii="ITC Avant Garde" w:hAnsi="ITC Avant Garde"/>
          <w:sz w:val="20"/>
          <w:lang w:val="es-ES"/>
        </w:rPr>
        <w:fldChar w:fldCharType="begin"/>
      </w:r>
      <w:r w:rsidRPr="00BB33CC">
        <w:rPr>
          <w:rFonts w:ascii="ITC Avant Garde" w:hAnsi="ITC Avant Garde"/>
          <w:sz w:val="20"/>
          <w:lang w:val="es-ES"/>
        </w:rPr>
        <w:instrText xml:space="preserve"> SEQ Tabla \* ARABIC </w:instrText>
      </w:r>
      <w:r w:rsidRPr="00BB33CC">
        <w:rPr>
          <w:rFonts w:ascii="ITC Avant Garde" w:hAnsi="ITC Avant Garde"/>
          <w:sz w:val="20"/>
          <w:lang w:val="es-ES"/>
        </w:rPr>
        <w:fldChar w:fldCharType="separate"/>
      </w:r>
      <w:r w:rsidRPr="00BB33CC">
        <w:rPr>
          <w:rFonts w:ascii="ITC Avant Garde" w:hAnsi="ITC Avant Garde"/>
          <w:noProof/>
          <w:sz w:val="20"/>
          <w:lang w:val="es-ES"/>
        </w:rPr>
        <w:t>2</w:t>
      </w:r>
      <w:r w:rsidRPr="00BB33CC">
        <w:rPr>
          <w:rFonts w:ascii="ITC Avant Garde" w:hAnsi="ITC Avant Garde"/>
          <w:sz w:val="20"/>
          <w:lang w:val="es-ES"/>
        </w:rPr>
        <w:fldChar w:fldCharType="end"/>
      </w:r>
      <w:r w:rsidRPr="00BB33CC">
        <w:rPr>
          <w:rFonts w:ascii="ITC Avant Garde" w:hAnsi="ITC Avant Garde"/>
          <w:sz w:val="20"/>
          <w:lang w:val="es-ES"/>
        </w:rPr>
        <w:t xml:space="preserve">: </w:t>
      </w:r>
      <w:r w:rsidR="005F04C3" w:rsidRPr="00BB33CC">
        <w:rPr>
          <w:rFonts w:ascii="ITC Avant Garde" w:hAnsi="ITC Avant Garde"/>
          <w:sz w:val="20"/>
          <w:lang w:val="es-ES"/>
        </w:rPr>
        <w:t xml:space="preserve">Usos </w:t>
      </w:r>
      <w:r w:rsidRPr="00BB33CC">
        <w:rPr>
          <w:rFonts w:ascii="ITC Avant Garde" w:hAnsi="ITC Avant Garde"/>
          <w:sz w:val="20"/>
          <w:lang w:val="es-ES"/>
        </w:rPr>
        <w:t>de la separación contable en la práctica internacional</w:t>
      </w:r>
    </w:p>
    <w:tbl>
      <w:tblPr>
        <w:tblStyle w:val="Tablaconcuadrcula"/>
        <w:tblW w:w="4875" w:type="pct"/>
        <w:jc w:val="center"/>
        <w:tblLayout w:type="fixed"/>
        <w:tblLook w:val="04A0" w:firstRow="1" w:lastRow="0" w:firstColumn="1" w:lastColumn="0" w:noHBand="0" w:noVBand="1"/>
      </w:tblPr>
      <w:tblGrid>
        <w:gridCol w:w="3088"/>
        <w:gridCol w:w="1103"/>
        <w:gridCol w:w="1104"/>
        <w:gridCol w:w="1104"/>
        <w:gridCol w:w="1104"/>
        <w:gridCol w:w="1104"/>
      </w:tblGrid>
      <w:tr w:rsidR="009D1E20" w:rsidRPr="00BB33CC" w:rsidTr="00222605">
        <w:trPr>
          <w:trHeight w:val="579"/>
          <w:jc w:val="center"/>
        </w:trPr>
        <w:tc>
          <w:tcPr>
            <w:tcW w:w="3088" w:type="dxa"/>
            <w:shd w:val="clear" w:color="auto" w:fill="BFBFBF" w:themeFill="background1" w:themeFillShade="BF"/>
            <w:vAlign w:val="center"/>
            <w:hideMark/>
          </w:tcPr>
          <w:p w:rsidR="009D1E20" w:rsidRPr="00BB33CC" w:rsidRDefault="009D1E20" w:rsidP="00222605">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Uso de la separación contable</w:t>
            </w:r>
          </w:p>
        </w:tc>
        <w:tc>
          <w:tcPr>
            <w:tcW w:w="1103" w:type="dxa"/>
            <w:shd w:val="clear" w:color="auto" w:fill="BFBFBF" w:themeFill="background1" w:themeFillShade="BF"/>
            <w:vAlign w:val="center"/>
            <w:hideMark/>
          </w:tcPr>
          <w:p w:rsidR="009D1E20" w:rsidRPr="00BB33CC" w:rsidRDefault="009D1E20" w:rsidP="00222605">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Perú</w:t>
            </w:r>
          </w:p>
        </w:tc>
        <w:tc>
          <w:tcPr>
            <w:tcW w:w="1104" w:type="dxa"/>
            <w:shd w:val="clear" w:color="auto" w:fill="BFBFBF" w:themeFill="background1" w:themeFillShade="BF"/>
            <w:vAlign w:val="center"/>
            <w:hideMark/>
          </w:tcPr>
          <w:p w:rsidR="009D1E20" w:rsidRPr="00BB33CC" w:rsidRDefault="009D1E20" w:rsidP="00222605">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España</w:t>
            </w:r>
          </w:p>
        </w:tc>
        <w:tc>
          <w:tcPr>
            <w:tcW w:w="1104" w:type="dxa"/>
            <w:shd w:val="clear" w:color="auto" w:fill="BFBFBF" w:themeFill="background1" w:themeFillShade="BF"/>
            <w:vAlign w:val="center"/>
            <w:hideMark/>
          </w:tcPr>
          <w:p w:rsidR="009D1E20" w:rsidRPr="00BB33CC" w:rsidRDefault="009D1E20" w:rsidP="00222605">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Reino Unido</w:t>
            </w:r>
          </w:p>
        </w:tc>
        <w:tc>
          <w:tcPr>
            <w:tcW w:w="1104" w:type="dxa"/>
            <w:shd w:val="clear" w:color="auto" w:fill="BFBFBF" w:themeFill="background1" w:themeFillShade="BF"/>
            <w:vAlign w:val="center"/>
            <w:hideMark/>
          </w:tcPr>
          <w:p w:rsidR="009D1E20" w:rsidRPr="00BB33CC" w:rsidRDefault="009D1E20" w:rsidP="00222605">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India</w:t>
            </w:r>
          </w:p>
        </w:tc>
        <w:tc>
          <w:tcPr>
            <w:tcW w:w="1104" w:type="dxa"/>
            <w:shd w:val="clear" w:color="auto" w:fill="BFBFBF" w:themeFill="background1" w:themeFillShade="BF"/>
            <w:vAlign w:val="center"/>
            <w:hideMark/>
          </w:tcPr>
          <w:p w:rsidR="009D1E20" w:rsidRPr="00BB33CC" w:rsidRDefault="009D1E20" w:rsidP="00222605">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Singapur</w:t>
            </w:r>
          </w:p>
        </w:tc>
      </w:tr>
      <w:tr w:rsidR="009D1E20" w:rsidRPr="00BB33CC" w:rsidTr="00222605">
        <w:trPr>
          <w:trHeight w:val="312"/>
          <w:jc w:val="center"/>
        </w:trPr>
        <w:tc>
          <w:tcPr>
            <w:tcW w:w="3088" w:type="dxa"/>
            <w:vAlign w:val="center"/>
            <w:hideMark/>
          </w:tcPr>
          <w:p w:rsidR="009D1E20" w:rsidRPr="00BB33CC" w:rsidRDefault="009D1E20" w:rsidP="00222605">
            <w:pPr>
              <w:keepNext/>
              <w:keepLines/>
              <w:ind w:left="57"/>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Estrechamiento de márgenes</w:t>
            </w:r>
          </w:p>
        </w:tc>
        <w:tc>
          <w:tcPr>
            <w:tcW w:w="1103" w:type="dxa"/>
            <w:noWrap/>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r w:rsidR="009D1E20" w:rsidRPr="00BB33CC" w:rsidTr="00222605">
        <w:trPr>
          <w:trHeight w:val="312"/>
          <w:jc w:val="center"/>
        </w:trPr>
        <w:tc>
          <w:tcPr>
            <w:tcW w:w="3088" w:type="dxa"/>
            <w:vAlign w:val="center"/>
            <w:hideMark/>
          </w:tcPr>
          <w:p w:rsidR="009D1E20" w:rsidRPr="00BB33CC" w:rsidRDefault="007543B8" w:rsidP="00BB79BD">
            <w:pPr>
              <w:keepNext/>
              <w:keepLines/>
              <w:ind w:left="57"/>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t>Depredación de precios</w:t>
            </w:r>
          </w:p>
        </w:tc>
        <w:tc>
          <w:tcPr>
            <w:tcW w:w="1103" w:type="dxa"/>
            <w:noWrap/>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r w:rsidR="009D1E20" w:rsidRPr="00BB33CC" w:rsidTr="00222605">
        <w:trPr>
          <w:trHeight w:val="312"/>
          <w:jc w:val="center"/>
        </w:trPr>
        <w:tc>
          <w:tcPr>
            <w:tcW w:w="3088" w:type="dxa"/>
            <w:vAlign w:val="center"/>
            <w:hideMark/>
          </w:tcPr>
          <w:p w:rsidR="009D1E20" w:rsidRPr="00BB33CC" w:rsidRDefault="009D1E20" w:rsidP="00222605">
            <w:pPr>
              <w:keepNext/>
              <w:keepLines/>
              <w:ind w:left="57"/>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Fijación de tarifas</w:t>
            </w:r>
          </w:p>
        </w:tc>
        <w:tc>
          <w:tcPr>
            <w:tcW w:w="1103" w:type="dxa"/>
            <w:noWrap/>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r w:rsidR="009D1E20" w:rsidRPr="00BB33CC" w:rsidTr="00222605">
        <w:trPr>
          <w:trHeight w:val="312"/>
          <w:jc w:val="center"/>
        </w:trPr>
        <w:tc>
          <w:tcPr>
            <w:tcW w:w="3088" w:type="dxa"/>
            <w:vAlign w:val="center"/>
            <w:hideMark/>
          </w:tcPr>
          <w:p w:rsidR="009D1E20" w:rsidRPr="00BB33CC" w:rsidRDefault="009D1E20" w:rsidP="00222605">
            <w:pPr>
              <w:keepNext/>
              <w:keepLines/>
              <w:ind w:left="57"/>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Subsidios cruzados</w:t>
            </w:r>
          </w:p>
        </w:tc>
        <w:tc>
          <w:tcPr>
            <w:tcW w:w="1103" w:type="dxa"/>
            <w:noWrap/>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r w:rsidR="009D1E20" w:rsidRPr="00BB33CC" w:rsidTr="00222605">
        <w:trPr>
          <w:trHeight w:val="312"/>
          <w:jc w:val="center"/>
        </w:trPr>
        <w:tc>
          <w:tcPr>
            <w:tcW w:w="3088" w:type="dxa"/>
            <w:vAlign w:val="center"/>
            <w:hideMark/>
          </w:tcPr>
          <w:p w:rsidR="009D1E20" w:rsidRPr="00BB33CC" w:rsidRDefault="009D1E20" w:rsidP="00222605">
            <w:pPr>
              <w:keepNext/>
              <w:keepLines/>
              <w:ind w:left="57"/>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Disputas</w:t>
            </w:r>
          </w:p>
        </w:tc>
        <w:tc>
          <w:tcPr>
            <w:tcW w:w="1103" w:type="dxa"/>
            <w:noWrap/>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r w:rsidR="009D1E20" w:rsidRPr="00BB33CC" w:rsidTr="00222605">
        <w:trPr>
          <w:trHeight w:val="312"/>
          <w:jc w:val="center"/>
        </w:trPr>
        <w:tc>
          <w:tcPr>
            <w:tcW w:w="3088" w:type="dxa"/>
            <w:vAlign w:val="center"/>
            <w:hideMark/>
          </w:tcPr>
          <w:p w:rsidR="009D1E20" w:rsidRPr="00BB33CC" w:rsidRDefault="009D1E20" w:rsidP="00222605">
            <w:pPr>
              <w:keepNext/>
              <w:keepLines/>
              <w:ind w:left="57"/>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Modelos </w:t>
            </w:r>
            <w:r w:rsidRPr="00BB33CC">
              <w:rPr>
                <w:rFonts w:ascii="ITC Avant Garde" w:eastAsia="Times New Roman" w:hAnsi="ITC Avant Garde" w:cs="Arial"/>
                <w:i/>
                <w:iCs/>
                <w:sz w:val="20"/>
                <w:szCs w:val="20"/>
                <w:lang w:val="es-ES" w:eastAsia="es-ES"/>
              </w:rPr>
              <w:t>bottom-up</w:t>
            </w:r>
          </w:p>
        </w:tc>
        <w:tc>
          <w:tcPr>
            <w:tcW w:w="1103" w:type="dxa"/>
            <w:noWrap/>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r w:rsidR="009D1E20" w:rsidRPr="00BB33CC" w:rsidTr="00222605">
        <w:trPr>
          <w:trHeight w:val="312"/>
          <w:jc w:val="center"/>
        </w:trPr>
        <w:tc>
          <w:tcPr>
            <w:tcW w:w="3088" w:type="dxa"/>
            <w:vAlign w:val="center"/>
            <w:hideMark/>
          </w:tcPr>
          <w:p w:rsidR="009D1E20" w:rsidRPr="00BB33CC" w:rsidRDefault="009D1E20" w:rsidP="00222605">
            <w:pPr>
              <w:keepNext/>
              <w:keepLines/>
              <w:ind w:left="57"/>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Precios tope</w:t>
            </w:r>
          </w:p>
        </w:tc>
        <w:tc>
          <w:tcPr>
            <w:tcW w:w="1103" w:type="dxa"/>
            <w:noWrap/>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hideMark/>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r w:rsidR="009D1E20" w:rsidRPr="00BB33CC" w:rsidTr="00222605">
        <w:trPr>
          <w:trHeight w:val="312"/>
          <w:jc w:val="center"/>
        </w:trPr>
        <w:tc>
          <w:tcPr>
            <w:tcW w:w="3088" w:type="dxa"/>
            <w:vAlign w:val="center"/>
            <w:hideMark/>
          </w:tcPr>
          <w:p w:rsidR="009D1E20" w:rsidRPr="00BB33CC" w:rsidRDefault="009D1E20" w:rsidP="00222605">
            <w:pPr>
              <w:keepNext/>
              <w:keepLines/>
              <w:ind w:left="57"/>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Valuación espectro</w:t>
            </w:r>
          </w:p>
        </w:tc>
        <w:tc>
          <w:tcPr>
            <w:tcW w:w="1103" w:type="dxa"/>
            <w:noWrap/>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c>
          <w:tcPr>
            <w:tcW w:w="1104" w:type="dxa"/>
            <w:vAlign w:val="center"/>
          </w:tcPr>
          <w:p w:rsidR="009D1E20" w:rsidRPr="00BB33CC" w:rsidRDefault="009D1E20" w:rsidP="00222605">
            <w:pPr>
              <w:keepNext/>
              <w:keepLines/>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w:t>
            </w:r>
          </w:p>
        </w:tc>
      </w:tr>
    </w:tbl>
    <w:p w:rsidR="00A1321B" w:rsidRPr="00BB33CC" w:rsidRDefault="009D1E20" w:rsidP="0021689E">
      <w:pPr>
        <w:pStyle w:val="Normalresolucion"/>
        <w:spacing w:before="0"/>
        <w:jc w:val="right"/>
        <w:rPr>
          <w:sz w:val="20"/>
          <w:lang w:val="en-GB"/>
        </w:rPr>
      </w:pPr>
      <w:r w:rsidRPr="00BB33CC">
        <w:rPr>
          <w:sz w:val="20"/>
          <w:lang w:val="en-GB"/>
        </w:rPr>
        <w:t xml:space="preserve">Fuente: Axon </w:t>
      </w:r>
      <w:r w:rsidR="005A4121" w:rsidRPr="00BB33CC">
        <w:rPr>
          <w:sz w:val="20"/>
          <w:lang w:val="en-GB"/>
        </w:rPr>
        <w:t>Partners Group Consulting</w:t>
      </w:r>
      <w:r w:rsidRPr="00BB33CC">
        <w:rPr>
          <w:sz w:val="20"/>
          <w:lang w:val="en-GB"/>
        </w:rPr>
        <w:t>.</w:t>
      </w:r>
    </w:p>
    <w:p w:rsidR="00A1321B" w:rsidRPr="00BB33CC" w:rsidRDefault="00A1321B" w:rsidP="00B07C1C">
      <w:pPr>
        <w:pStyle w:val="Normalresolucion"/>
      </w:pPr>
      <w:r w:rsidRPr="00BB33CC">
        <w:t>En particular, según reporta la UIT en un estudio sobre la implementación de la separación contable en el año 201</w:t>
      </w:r>
      <w:r w:rsidR="0011006C" w:rsidRPr="00BB33CC">
        <w:t>6</w:t>
      </w:r>
      <w:r w:rsidRPr="00BB33CC">
        <w:rPr>
          <w:rStyle w:val="Refdenotaalpie"/>
        </w:rPr>
        <w:footnoteReference w:id="17"/>
      </w:r>
      <w:r w:rsidRPr="00BB33CC">
        <w:t>, un 5</w:t>
      </w:r>
      <w:r w:rsidR="0011006C" w:rsidRPr="00BB33CC">
        <w:t>7</w:t>
      </w:r>
      <w:r w:rsidRPr="00BB33CC">
        <w:t>.</w:t>
      </w:r>
      <w:r w:rsidR="0011006C" w:rsidRPr="00BB33CC">
        <w:t>3</w:t>
      </w:r>
      <w:r w:rsidRPr="00BB33CC">
        <w:t>% de los países analizados (90 de 15</w:t>
      </w:r>
      <w:r w:rsidR="0011006C" w:rsidRPr="00BB33CC">
        <w:t>7</w:t>
      </w:r>
      <w:r w:rsidRPr="00BB33CC">
        <w:t>) cuentan ya con esta herramienta, con una especial adopción en los continentes Europeo y Americano (</w:t>
      </w:r>
      <w:r w:rsidR="006208B0" w:rsidRPr="00BB33CC">
        <w:t>19</w:t>
      </w:r>
      <w:r w:rsidRPr="00BB33CC">
        <w:t>.</w:t>
      </w:r>
      <w:r w:rsidR="006208B0" w:rsidRPr="00BB33CC">
        <w:t>1</w:t>
      </w:r>
      <w:r w:rsidRPr="00BB33CC">
        <w:t xml:space="preserve">% y </w:t>
      </w:r>
      <w:r w:rsidR="006208B0" w:rsidRPr="00BB33CC">
        <w:t>12</w:t>
      </w:r>
      <w:r w:rsidRPr="00BB33CC">
        <w:t>.</w:t>
      </w:r>
      <w:r w:rsidR="006208B0" w:rsidRPr="00BB33CC">
        <w:t>1</w:t>
      </w:r>
      <w:r w:rsidRPr="00BB33CC">
        <w:t>% respectivamente). Además un 2</w:t>
      </w:r>
      <w:r w:rsidR="0011006C" w:rsidRPr="00BB33CC">
        <w:t>2</w:t>
      </w:r>
      <w:r w:rsidRPr="00BB33CC">
        <w:t>.</w:t>
      </w:r>
      <w:r w:rsidR="0011006C" w:rsidRPr="00BB33CC">
        <w:t>9</w:t>
      </w:r>
      <w:r w:rsidRPr="00BB33CC">
        <w:t>% adicional de los países analizados (3</w:t>
      </w:r>
      <w:r w:rsidR="0011006C" w:rsidRPr="00BB33CC">
        <w:t>6</w:t>
      </w:r>
      <w:r w:rsidRPr="00BB33CC">
        <w:t xml:space="preserve"> de 15</w:t>
      </w:r>
      <w:r w:rsidR="008556F2" w:rsidRPr="00BB33CC">
        <w:t>7</w:t>
      </w:r>
      <w:r w:rsidRPr="00BB33CC">
        <w:t>) estaría planeando su implementación.</w:t>
      </w:r>
    </w:p>
    <w:p w:rsidR="00A1321B" w:rsidRPr="00BB33CC" w:rsidRDefault="009D1E20" w:rsidP="00B07C1C">
      <w:pPr>
        <w:spacing w:before="240" w:after="120" w:line="240" w:lineRule="auto"/>
        <w:jc w:val="both"/>
      </w:pPr>
      <w:r w:rsidRPr="00BB33CC">
        <w:rPr>
          <w:rFonts w:ascii="ITC Avant Garde" w:hAnsi="ITC Avant Garde"/>
        </w:rPr>
        <w:t>Ahora bien, l</w:t>
      </w:r>
      <w:r w:rsidR="00A1321B" w:rsidRPr="00BB33CC">
        <w:rPr>
          <w:rFonts w:ascii="ITC Avant Garde" w:hAnsi="ITC Avant Garde"/>
        </w:rPr>
        <w:t>a imposición de la obligación de separación contable suele enmarcarse en diversos contextos regulatorios</w:t>
      </w:r>
      <w:r w:rsidR="00EC2733" w:rsidRPr="00BB33CC">
        <w:rPr>
          <w:rFonts w:ascii="ITC Avant Garde" w:hAnsi="ITC Avant Garde"/>
        </w:rPr>
        <w:t>;</w:t>
      </w:r>
      <w:r w:rsidR="00A1321B" w:rsidRPr="00BB33CC">
        <w:rPr>
          <w:rFonts w:ascii="ITC Avant Garde" w:hAnsi="ITC Avant Garde"/>
        </w:rPr>
        <w:t xml:space="preserve"> como ejemplo se pueden señalar aquellos orientados a una regulación de carácter general o típicamente a aquellos aplicables a la regulación asimétrica relativa a la dominancia. Se puede hacer referencia a una regulación sectorial, cuando la obligación se impone a todo el </w:t>
      </w:r>
      <w:r w:rsidR="00A1321B" w:rsidRPr="00BB33CC">
        <w:rPr>
          <w:rFonts w:ascii="ITC Avant Garde" w:hAnsi="ITC Avant Garde"/>
        </w:rPr>
        <w:lastRenderedPageBreak/>
        <w:t xml:space="preserve">sector en general. En estos casos y cuando resulte aplicable, la obligación se puede sujetar a la relevancia y </w:t>
      </w:r>
      <w:r w:rsidR="00F51B84" w:rsidRPr="00BB33CC">
        <w:rPr>
          <w:rFonts w:ascii="ITC Avant Garde" w:hAnsi="ITC Avant Garde"/>
        </w:rPr>
        <w:t xml:space="preserve">participación </w:t>
      </w:r>
      <w:r w:rsidR="00A1321B" w:rsidRPr="00BB33CC">
        <w:rPr>
          <w:rFonts w:ascii="ITC Avant Garde" w:hAnsi="ITC Avant Garde"/>
        </w:rPr>
        <w:t>de los operadores en el mercado. Por ejemplo, se puede definir un umbral de ingresos por arriba del cual los operadores se encuentren obligados a presentar una separación contable más detallada.</w:t>
      </w:r>
    </w:p>
    <w:p w:rsidR="00A1321B" w:rsidRPr="00BB33CC" w:rsidRDefault="00A1321B" w:rsidP="00B07C1C">
      <w:pPr>
        <w:spacing w:before="240" w:after="120" w:line="240" w:lineRule="auto"/>
        <w:jc w:val="both"/>
      </w:pPr>
      <w:r w:rsidRPr="00BB33CC">
        <w:rPr>
          <w:rFonts w:ascii="ITC Avant Garde" w:hAnsi="ITC Avant Garde"/>
        </w:rPr>
        <w:t xml:space="preserve">En otros casos, se aplica una regulación de separación contable como consecuencia de un estado de dominancia por parte de algunos agentes económicos, cuando la obligación se impone únicamente a aquellos operadores identificados con poder sustancial de mercado en uno o más mercados relevantes. </w:t>
      </w:r>
    </w:p>
    <w:p w:rsidR="00AE158F" w:rsidRDefault="00A1321B" w:rsidP="00B07C1C">
      <w:pPr>
        <w:spacing w:before="240" w:after="120" w:line="240" w:lineRule="auto"/>
        <w:jc w:val="both"/>
        <w:rPr>
          <w:rFonts w:ascii="ITC Avant Garde" w:hAnsi="ITC Avant Garde"/>
        </w:rPr>
      </w:pPr>
      <w:r w:rsidRPr="00BB33CC">
        <w:rPr>
          <w:rFonts w:ascii="ITC Avant Garde" w:hAnsi="ITC Avant Garde"/>
        </w:rPr>
        <w:t xml:space="preserve">En la práctica internacional se identifican </w:t>
      </w:r>
      <w:r w:rsidR="006A1A66" w:rsidRPr="00BB33CC">
        <w:rPr>
          <w:rFonts w:ascii="ITC Avant Garde" w:hAnsi="ITC Avant Garde"/>
        </w:rPr>
        <w:t xml:space="preserve">dos enfoques de aplicación </w:t>
      </w:r>
      <w:r w:rsidRPr="00BB33CC">
        <w:rPr>
          <w:rFonts w:ascii="ITC Avant Garde" w:hAnsi="ITC Avant Garde"/>
        </w:rPr>
        <w:t>en la imposición de la obligación de separación contable</w:t>
      </w:r>
      <w:r w:rsidR="006A1A66" w:rsidRPr="00BB33CC">
        <w:rPr>
          <w:rFonts w:ascii="ITC Avant Garde" w:hAnsi="ITC Avant Garde"/>
        </w:rPr>
        <w:t xml:space="preserve">: a través de una disposición de carácter general o </w:t>
      </w:r>
      <w:r w:rsidR="00200C54" w:rsidRPr="00BB33CC">
        <w:rPr>
          <w:rFonts w:ascii="ITC Avant Garde" w:hAnsi="ITC Avant Garde"/>
        </w:rPr>
        <w:t xml:space="preserve">a </w:t>
      </w:r>
      <w:r w:rsidR="006A1A66" w:rsidRPr="00BB33CC">
        <w:rPr>
          <w:rFonts w:ascii="ITC Avant Garde" w:hAnsi="ITC Avant Garde"/>
        </w:rPr>
        <w:t>partir del carácter de dominancia de un agente económico</w:t>
      </w:r>
      <w:r w:rsidRPr="00BB33CC">
        <w:rPr>
          <w:rFonts w:ascii="ITC Avant Garde" w:hAnsi="ITC Avant Garde"/>
        </w:rPr>
        <w:t xml:space="preserve">. </w:t>
      </w:r>
      <w:r w:rsidR="00AF5AB2" w:rsidRPr="00BB33CC">
        <w:rPr>
          <w:rFonts w:ascii="ITC Avant Garde" w:hAnsi="ITC Avant Garde"/>
        </w:rPr>
        <w:t>En la siguiente tabla</w:t>
      </w:r>
      <w:r w:rsidRPr="00BB33CC">
        <w:rPr>
          <w:rFonts w:ascii="ITC Avant Garde" w:hAnsi="ITC Avant Garde"/>
        </w:rPr>
        <w:t>, se incluyen algunos ejemplos ilustrativos</w:t>
      </w:r>
      <w:r w:rsidR="00171C7F" w:rsidRPr="00BB33CC">
        <w:rPr>
          <w:rFonts w:ascii="ITC Avant Garde" w:hAnsi="ITC Avant Garde"/>
        </w:rPr>
        <w:t>.</w:t>
      </w:r>
    </w:p>
    <w:p w:rsidR="00DB1DC2" w:rsidRDefault="00DB1DC2" w:rsidP="00B07C1C">
      <w:pPr>
        <w:spacing w:before="240" w:after="120" w:line="240" w:lineRule="auto"/>
        <w:jc w:val="both"/>
        <w:rPr>
          <w:rFonts w:ascii="ITC Avant Garde" w:hAnsi="ITC Avant Garde"/>
        </w:rPr>
      </w:pPr>
    </w:p>
    <w:p w:rsidR="00DB1DC2" w:rsidRPr="00BB33CC" w:rsidRDefault="00DB1DC2" w:rsidP="00B07C1C">
      <w:pPr>
        <w:spacing w:before="240" w:after="120" w:line="240" w:lineRule="auto"/>
        <w:jc w:val="both"/>
      </w:pPr>
    </w:p>
    <w:p w:rsidR="00AE158F" w:rsidRPr="00BB33CC" w:rsidRDefault="00AE158F" w:rsidP="00154F13">
      <w:pPr>
        <w:pStyle w:val="Normalresolucion"/>
        <w:jc w:val="center"/>
      </w:pPr>
      <w:r w:rsidRPr="00BB33CC">
        <w:rPr>
          <w:b/>
          <w:sz w:val="20"/>
          <w:szCs w:val="20"/>
          <w:lang w:val="es-MX"/>
        </w:rPr>
        <w:t xml:space="preserve">Tabla </w:t>
      </w:r>
      <w:r w:rsidR="008A0E6D" w:rsidRPr="00BB33CC">
        <w:rPr>
          <w:b/>
          <w:sz w:val="20"/>
          <w:szCs w:val="20"/>
          <w:lang w:val="es-MX"/>
        </w:rPr>
        <w:fldChar w:fldCharType="begin"/>
      </w:r>
      <w:r w:rsidR="008A0E6D" w:rsidRPr="00BB33CC">
        <w:rPr>
          <w:b/>
          <w:sz w:val="20"/>
          <w:szCs w:val="20"/>
          <w:lang w:val="es-MX"/>
        </w:rPr>
        <w:instrText xml:space="preserve"> SEQ Tabla \* ARABIC </w:instrText>
      </w:r>
      <w:r w:rsidR="008A0E6D" w:rsidRPr="00BB33CC">
        <w:rPr>
          <w:b/>
          <w:sz w:val="20"/>
          <w:szCs w:val="20"/>
          <w:lang w:val="es-MX"/>
        </w:rPr>
        <w:fldChar w:fldCharType="separate"/>
      </w:r>
      <w:r w:rsidR="009D1E20" w:rsidRPr="00BB33CC">
        <w:rPr>
          <w:b/>
          <w:noProof/>
          <w:sz w:val="20"/>
          <w:szCs w:val="20"/>
          <w:lang w:val="es-MX"/>
        </w:rPr>
        <w:t>3</w:t>
      </w:r>
      <w:r w:rsidR="008A0E6D" w:rsidRPr="00BB33CC">
        <w:rPr>
          <w:b/>
          <w:sz w:val="20"/>
          <w:szCs w:val="20"/>
          <w:lang w:val="es-MX"/>
        </w:rPr>
        <w:fldChar w:fldCharType="end"/>
      </w:r>
      <w:r w:rsidRPr="00BB33CC">
        <w:rPr>
          <w:b/>
          <w:sz w:val="20"/>
          <w:szCs w:val="20"/>
          <w:lang w:val="es-MX"/>
        </w:rPr>
        <w:t xml:space="preserve">: </w:t>
      </w:r>
      <w:r w:rsidR="00200C54" w:rsidRPr="00BB33CC">
        <w:rPr>
          <w:b/>
          <w:sz w:val="20"/>
          <w:szCs w:val="20"/>
          <w:lang w:val="es-MX"/>
        </w:rPr>
        <w:t xml:space="preserve">Enfoque de </w:t>
      </w:r>
      <w:r w:rsidR="0021689E" w:rsidRPr="00BB33CC">
        <w:rPr>
          <w:b/>
          <w:sz w:val="20"/>
          <w:szCs w:val="20"/>
          <w:lang w:val="es-MX"/>
        </w:rPr>
        <w:t>a</w:t>
      </w:r>
      <w:r w:rsidR="00023D93" w:rsidRPr="00BB33CC">
        <w:rPr>
          <w:b/>
          <w:sz w:val="20"/>
          <w:szCs w:val="20"/>
          <w:lang w:val="es-MX"/>
        </w:rPr>
        <w:t>plicación de la regulación</w:t>
      </w:r>
      <w:r w:rsidRPr="00BB33CC">
        <w:rPr>
          <w:b/>
          <w:sz w:val="20"/>
          <w:szCs w:val="20"/>
          <w:lang w:val="es-MX"/>
        </w:rPr>
        <w:t xml:space="preserve"> de separación contable</w:t>
      </w:r>
    </w:p>
    <w:tbl>
      <w:tblPr>
        <w:tblStyle w:val="Tablaconcuadrcula"/>
        <w:tblW w:w="3486" w:type="pct"/>
        <w:jc w:val="center"/>
        <w:tblLayout w:type="fixed"/>
        <w:tblLook w:val="04A0" w:firstRow="1" w:lastRow="0" w:firstColumn="1" w:lastColumn="0" w:noHBand="0" w:noVBand="1"/>
      </w:tblPr>
      <w:tblGrid>
        <w:gridCol w:w="2855"/>
        <w:gridCol w:w="3300"/>
      </w:tblGrid>
      <w:tr w:rsidR="00A1321B" w:rsidRPr="00BB33CC" w:rsidTr="00AF5AB2">
        <w:trPr>
          <w:trHeight w:val="340"/>
          <w:jc w:val="center"/>
        </w:trPr>
        <w:tc>
          <w:tcPr>
            <w:tcW w:w="2855" w:type="dxa"/>
            <w:tcBorders>
              <w:bottom w:val="single" w:sz="4" w:space="0" w:color="auto"/>
            </w:tcBorders>
            <w:shd w:val="clear" w:color="auto" w:fill="BFBFBF" w:themeFill="background1" w:themeFillShade="BF"/>
            <w:vAlign w:val="center"/>
            <w:hideMark/>
          </w:tcPr>
          <w:p w:rsidR="00A1321B" w:rsidRPr="00BB33CC" w:rsidRDefault="00A1321B" w:rsidP="008B4286">
            <w:pPr>
              <w:keepNext/>
              <w:keepLines/>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Regulación sectorial</w:t>
            </w:r>
          </w:p>
        </w:tc>
        <w:tc>
          <w:tcPr>
            <w:tcW w:w="3300" w:type="dxa"/>
            <w:tcBorders>
              <w:bottom w:val="single" w:sz="4" w:space="0" w:color="auto"/>
            </w:tcBorders>
            <w:shd w:val="clear" w:color="auto" w:fill="BFBFBF" w:themeFill="background1" w:themeFillShade="BF"/>
            <w:vAlign w:val="center"/>
            <w:hideMark/>
          </w:tcPr>
          <w:p w:rsidR="00A1321B" w:rsidRPr="00BB33CC" w:rsidRDefault="00A1321B" w:rsidP="008B4286">
            <w:pPr>
              <w:keepNext/>
              <w:keepLines/>
              <w:jc w:val="center"/>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Regulación por dominancia</w:t>
            </w:r>
          </w:p>
        </w:tc>
      </w:tr>
      <w:tr w:rsidR="00A1321B" w:rsidRPr="00BB33CC" w:rsidTr="00AF5AB2">
        <w:trPr>
          <w:trHeight w:val="340"/>
          <w:jc w:val="center"/>
        </w:trPr>
        <w:tc>
          <w:tcPr>
            <w:tcW w:w="2855" w:type="dxa"/>
            <w:tcBorders>
              <w:left w:val="single" w:sz="4" w:space="0" w:color="auto"/>
              <w:bottom w:val="nil"/>
              <w:right w:val="single" w:sz="4" w:space="0" w:color="auto"/>
            </w:tcBorders>
            <w:noWrap/>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Colombia</w:t>
            </w:r>
          </w:p>
        </w:tc>
        <w:tc>
          <w:tcPr>
            <w:tcW w:w="3300" w:type="dxa"/>
            <w:tcBorders>
              <w:left w:val="single" w:sz="4" w:space="0" w:color="auto"/>
              <w:bottom w:val="nil"/>
              <w:right w:val="single" w:sz="4" w:space="0" w:color="auto"/>
            </w:tcBorders>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Brasil</w:t>
            </w:r>
          </w:p>
        </w:tc>
      </w:tr>
      <w:tr w:rsidR="00A1321B" w:rsidRPr="00BB33CC" w:rsidTr="00AF5AB2">
        <w:trPr>
          <w:trHeight w:val="340"/>
          <w:jc w:val="center"/>
        </w:trPr>
        <w:tc>
          <w:tcPr>
            <w:tcW w:w="2855" w:type="dxa"/>
            <w:tcBorders>
              <w:top w:val="nil"/>
              <w:left w:val="single" w:sz="4" w:space="0" w:color="auto"/>
              <w:bottom w:val="nil"/>
              <w:right w:val="single" w:sz="4" w:space="0" w:color="auto"/>
            </w:tcBorders>
            <w:noWrap/>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Ecuador</w:t>
            </w:r>
          </w:p>
        </w:tc>
        <w:tc>
          <w:tcPr>
            <w:tcW w:w="3300" w:type="dxa"/>
            <w:tcBorders>
              <w:top w:val="nil"/>
              <w:left w:val="single" w:sz="4" w:space="0" w:color="auto"/>
              <w:bottom w:val="nil"/>
              <w:right w:val="single" w:sz="4" w:space="0" w:color="auto"/>
            </w:tcBorders>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Costa Rica</w:t>
            </w:r>
          </w:p>
        </w:tc>
      </w:tr>
      <w:tr w:rsidR="00A1321B" w:rsidRPr="00BB33CC" w:rsidTr="00AF5AB2">
        <w:trPr>
          <w:trHeight w:val="340"/>
          <w:jc w:val="center"/>
        </w:trPr>
        <w:tc>
          <w:tcPr>
            <w:tcW w:w="2855" w:type="dxa"/>
            <w:tcBorders>
              <w:top w:val="nil"/>
              <w:left w:val="single" w:sz="4" w:space="0" w:color="auto"/>
              <w:bottom w:val="nil"/>
              <w:right w:val="single" w:sz="4" w:space="0" w:color="auto"/>
            </w:tcBorders>
            <w:noWrap/>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 Salvador</w:t>
            </w:r>
          </w:p>
        </w:tc>
        <w:tc>
          <w:tcPr>
            <w:tcW w:w="3300" w:type="dxa"/>
            <w:tcBorders>
              <w:top w:val="nil"/>
              <w:left w:val="single" w:sz="4" w:space="0" w:color="auto"/>
              <w:bottom w:val="nil"/>
              <w:right w:val="single" w:sz="4" w:space="0" w:color="auto"/>
            </w:tcBorders>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España</w:t>
            </w:r>
          </w:p>
        </w:tc>
      </w:tr>
      <w:tr w:rsidR="00A1321B" w:rsidRPr="00BB33CC" w:rsidTr="00AF5AB2">
        <w:trPr>
          <w:trHeight w:val="340"/>
          <w:jc w:val="center"/>
        </w:trPr>
        <w:tc>
          <w:tcPr>
            <w:tcW w:w="2855" w:type="dxa"/>
            <w:tcBorders>
              <w:top w:val="nil"/>
              <w:left w:val="single" w:sz="4" w:space="0" w:color="auto"/>
              <w:bottom w:val="nil"/>
              <w:right w:val="single" w:sz="4" w:space="0" w:color="auto"/>
            </w:tcBorders>
            <w:noWrap/>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Perú</w:t>
            </w:r>
          </w:p>
        </w:tc>
        <w:tc>
          <w:tcPr>
            <w:tcW w:w="3300" w:type="dxa"/>
            <w:tcBorders>
              <w:top w:val="nil"/>
              <w:left w:val="single" w:sz="4" w:space="0" w:color="auto"/>
              <w:bottom w:val="nil"/>
              <w:right w:val="single" w:sz="4" w:space="0" w:color="auto"/>
            </w:tcBorders>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Reino Unido</w:t>
            </w:r>
          </w:p>
        </w:tc>
      </w:tr>
      <w:tr w:rsidR="00A1321B" w:rsidRPr="00BB33CC" w:rsidTr="00AF5AB2">
        <w:trPr>
          <w:trHeight w:val="340"/>
          <w:jc w:val="center"/>
        </w:trPr>
        <w:tc>
          <w:tcPr>
            <w:tcW w:w="2855" w:type="dxa"/>
            <w:tcBorders>
              <w:top w:val="nil"/>
              <w:left w:val="single" w:sz="4" w:space="0" w:color="auto"/>
              <w:bottom w:val="nil"/>
              <w:right w:val="single" w:sz="4" w:space="0" w:color="auto"/>
            </w:tcBorders>
            <w:noWrap/>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República Dominicana</w:t>
            </w:r>
          </w:p>
        </w:tc>
        <w:tc>
          <w:tcPr>
            <w:tcW w:w="3300" w:type="dxa"/>
            <w:tcBorders>
              <w:top w:val="nil"/>
              <w:left w:val="single" w:sz="4" w:space="0" w:color="auto"/>
              <w:bottom w:val="nil"/>
              <w:right w:val="single" w:sz="4" w:space="0" w:color="auto"/>
            </w:tcBorders>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Singapur</w:t>
            </w:r>
          </w:p>
        </w:tc>
      </w:tr>
      <w:tr w:rsidR="00A1321B" w:rsidRPr="00BB33CC" w:rsidTr="00AF5AB2">
        <w:trPr>
          <w:trHeight w:val="340"/>
          <w:jc w:val="center"/>
        </w:trPr>
        <w:tc>
          <w:tcPr>
            <w:tcW w:w="2855" w:type="dxa"/>
            <w:tcBorders>
              <w:top w:val="nil"/>
              <w:left w:val="single" w:sz="4" w:space="0" w:color="auto"/>
              <w:bottom w:val="nil"/>
              <w:right w:val="single" w:sz="4" w:space="0" w:color="auto"/>
            </w:tcBorders>
            <w:noWrap/>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Uruguay</w:t>
            </w:r>
          </w:p>
        </w:tc>
        <w:tc>
          <w:tcPr>
            <w:tcW w:w="3300" w:type="dxa"/>
            <w:tcBorders>
              <w:top w:val="nil"/>
              <w:left w:val="single" w:sz="4" w:space="0" w:color="auto"/>
              <w:bottom w:val="nil"/>
              <w:right w:val="single" w:sz="4" w:space="0" w:color="auto"/>
            </w:tcBorders>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Arabia Saudita</w:t>
            </w:r>
          </w:p>
        </w:tc>
      </w:tr>
      <w:tr w:rsidR="00A1321B" w:rsidRPr="00BB33CC" w:rsidTr="00AF5AB2">
        <w:trPr>
          <w:trHeight w:val="340"/>
          <w:jc w:val="center"/>
        </w:trPr>
        <w:tc>
          <w:tcPr>
            <w:tcW w:w="2855" w:type="dxa"/>
            <w:tcBorders>
              <w:top w:val="nil"/>
              <w:left w:val="single" w:sz="4" w:space="0" w:color="auto"/>
              <w:bottom w:val="single" w:sz="4" w:space="0" w:color="auto"/>
              <w:right w:val="single" w:sz="4" w:space="0" w:color="auto"/>
            </w:tcBorders>
            <w:noWrap/>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India</w:t>
            </w:r>
          </w:p>
        </w:tc>
        <w:tc>
          <w:tcPr>
            <w:tcW w:w="3300" w:type="dxa"/>
            <w:tcBorders>
              <w:top w:val="nil"/>
              <w:left w:val="single" w:sz="4" w:space="0" w:color="auto"/>
              <w:bottom w:val="single" w:sz="4" w:space="0" w:color="auto"/>
              <w:right w:val="single" w:sz="4" w:space="0" w:color="auto"/>
            </w:tcBorders>
            <w:vAlign w:val="center"/>
          </w:tcPr>
          <w:p w:rsidR="00A1321B" w:rsidRPr="00BB33CC" w:rsidRDefault="00A1321B" w:rsidP="008B4286">
            <w:pPr>
              <w:keepNext/>
              <w:keepLines/>
              <w:spacing w:before="40" w:after="40"/>
              <w:jc w:val="center"/>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Omán</w:t>
            </w:r>
          </w:p>
        </w:tc>
      </w:tr>
    </w:tbl>
    <w:p w:rsidR="00AF5AB2" w:rsidRPr="00BB33CC" w:rsidRDefault="00AF5AB2" w:rsidP="00B07C1C">
      <w:pPr>
        <w:pStyle w:val="Normalresolucion"/>
        <w:spacing w:before="0"/>
        <w:jc w:val="right"/>
        <w:rPr>
          <w:sz w:val="20"/>
          <w:szCs w:val="20"/>
          <w:lang w:val="en-GB"/>
        </w:rPr>
      </w:pPr>
      <w:r w:rsidRPr="00BB33CC">
        <w:rPr>
          <w:sz w:val="20"/>
          <w:szCs w:val="20"/>
          <w:lang w:val="en-GB"/>
        </w:rPr>
        <w:t xml:space="preserve">Fuente: </w:t>
      </w:r>
      <w:r w:rsidR="00303600" w:rsidRPr="00BB33CC">
        <w:rPr>
          <w:sz w:val="20"/>
          <w:szCs w:val="20"/>
          <w:lang w:val="en-GB"/>
        </w:rPr>
        <w:t xml:space="preserve">Axon </w:t>
      </w:r>
      <w:r w:rsidR="005A4121" w:rsidRPr="00BB33CC">
        <w:rPr>
          <w:sz w:val="20"/>
          <w:lang w:val="en-GB"/>
        </w:rPr>
        <w:t>Partners Group Consulting</w:t>
      </w:r>
      <w:r w:rsidR="002E7858" w:rsidRPr="00BB33CC">
        <w:rPr>
          <w:sz w:val="20"/>
          <w:szCs w:val="20"/>
          <w:lang w:val="en-GB"/>
        </w:rPr>
        <w:t>.</w:t>
      </w:r>
    </w:p>
    <w:p w:rsidR="001E5CAE" w:rsidRPr="00BB33CC" w:rsidRDefault="001E5CAE" w:rsidP="0021689E">
      <w:pPr>
        <w:pStyle w:val="Ttulo2"/>
        <w:numPr>
          <w:ilvl w:val="0"/>
          <w:numId w:val="274"/>
        </w:numPr>
      </w:pPr>
      <w:bookmarkStart w:id="7" w:name="_Toc484022085"/>
      <w:r w:rsidRPr="00BB33CC">
        <w:t>Análisis comparado de experiencias internacionales</w:t>
      </w:r>
    </w:p>
    <w:p w:rsidR="00441828" w:rsidRPr="00BB33CC" w:rsidRDefault="00C71D50" w:rsidP="0021689E">
      <w:pPr>
        <w:jc w:val="both"/>
      </w:pPr>
      <w:r w:rsidRPr="00BB33CC">
        <w:rPr>
          <w:rFonts w:ascii="ITC Avant Garde" w:hAnsi="ITC Avant Garde"/>
        </w:rPr>
        <w:t>En la experiencia internacional se observa la implementación de diversas arquitecturas de separación contable, principalmente aquellas que desagregan la información de las cuentas de ingresos y costos en varios niveles hasta con un grado de detalle cada vez mayor</w:t>
      </w:r>
      <w:r w:rsidR="0017573D" w:rsidRPr="00BB33CC">
        <w:rPr>
          <w:rFonts w:ascii="ITC Avant Garde" w:hAnsi="ITC Avant Garde"/>
        </w:rPr>
        <w:t>, además de la adopción de diversos aspectos metodológicos</w:t>
      </w:r>
      <w:r w:rsidRPr="00BB33CC">
        <w:rPr>
          <w:rFonts w:ascii="ITC Avant Garde" w:hAnsi="ITC Avant Garde"/>
        </w:rPr>
        <w:t xml:space="preserve">. </w:t>
      </w:r>
      <w:r w:rsidR="00441828" w:rsidRPr="00BB33CC">
        <w:rPr>
          <w:rFonts w:ascii="ITC Avant Garde" w:hAnsi="ITC Avant Garde"/>
        </w:rPr>
        <w:t>A continuación se presenta una tabla con el resumen de los criterios, metodologías así como la periodicidad adoptada en la práctica internacional en materia de separación contable.</w:t>
      </w:r>
    </w:p>
    <w:p w:rsidR="00441828" w:rsidRPr="00BB33CC" w:rsidRDefault="00441828" w:rsidP="00441828">
      <w:pPr>
        <w:rPr>
          <w:rFonts w:ascii="ITC Avant Garde" w:eastAsia="Times New Roman" w:hAnsi="ITC Avant Garde" w:cs="Arial"/>
          <w:lang w:val="es-ES" w:eastAsia="es-ES"/>
        </w:rPr>
      </w:pPr>
    </w:p>
    <w:p w:rsidR="00441828" w:rsidRPr="00BB33CC" w:rsidRDefault="00441828" w:rsidP="00441828">
      <w:pPr>
        <w:rPr>
          <w:rFonts w:ascii="ITC Avant Garde" w:hAnsi="ITC Avant Garde"/>
        </w:rPr>
        <w:sectPr w:rsidR="00441828" w:rsidRPr="00BB33CC" w:rsidSect="00EC2E00">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709" w:footer="709" w:gutter="0"/>
          <w:cols w:space="720"/>
        </w:sectPr>
      </w:pPr>
    </w:p>
    <w:p w:rsidR="00441828" w:rsidRPr="00BB33CC" w:rsidRDefault="00441828" w:rsidP="00441828">
      <w:pPr>
        <w:pStyle w:val="Descripcin"/>
        <w:rPr>
          <w:lang w:val="es-MX"/>
        </w:rPr>
      </w:pPr>
      <w:r w:rsidRPr="00BB33CC">
        <w:rPr>
          <w:rFonts w:ascii="ITC Avant Garde" w:hAnsi="ITC Avant Garde"/>
          <w:iCs/>
          <w:sz w:val="20"/>
          <w:lang w:val="es-MX"/>
        </w:rPr>
        <w:lastRenderedPageBreak/>
        <w:t xml:space="preserve">Tabla </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 \* ARABIC </w:instrText>
      </w:r>
      <w:r w:rsidRPr="00BB33CC">
        <w:rPr>
          <w:rFonts w:ascii="ITC Avant Garde" w:hAnsi="ITC Avant Garde"/>
          <w:iCs/>
          <w:sz w:val="20"/>
          <w:lang w:val="es-MX"/>
        </w:rPr>
        <w:fldChar w:fldCharType="separate"/>
      </w:r>
      <w:r w:rsidR="00763CE2" w:rsidRPr="00BB33CC">
        <w:rPr>
          <w:rFonts w:ascii="ITC Avant Garde" w:hAnsi="ITC Avant Garde"/>
          <w:iCs/>
          <w:noProof/>
          <w:sz w:val="20"/>
          <w:lang w:val="es-MX"/>
        </w:rPr>
        <w:t>4</w:t>
      </w:r>
      <w:r w:rsidRPr="00BB33CC">
        <w:rPr>
          <w:rFonts w:ascii="ITC Avant Garde" w:hAnsi="ITC Avant Garde"/>
          <w:iCs/>
          <w:sz w:val="20"/>
          <w:lang w:val="es-MX"/>
        </w:rPr>
        <w:fldChar w:fldCharType="end"/>
      </w:r>
      <w:r w:rsidRPr="00BB33CC">
        <w:rPr>
          <w:rFonts w:ascii="ITC Avant Garde" w:hAnsi="ITC Avant Garde"/>
          <w:iCs/>
          <w:sz w:val="20"/>
          <w:lang w:val="es-MX"/>
        </w:rPr>
        <w:t xml:space="preserve">: Experiencia </w:t>
      </w:r>
      <w:r w:rsidR="0021689E" w:rsidRPr="00BB33CC">
        <w:rPr>
          <w:rFonts w:ascii="ITC Avant Garde" w:hAnsi="ITC Avant Garde"/>
          <w:iCs/>
          <w:sz w:val="20"/>
          <w:lang w:val="es-MX"/>
        </w:rPr>
        <w:t>i</w:t>
      </w:r>
      <w:r w:rsidRPr="00BB33CC">
        <w:rPr>
          <w:rFonts w:ascii="ITC Avant Garde" w:hAnsi="ITC Avant Garde"/>
          <w:iCs/>
          <w:sz w:val="20"/>
          <w:lang w:val="es-MX"/>
        </w:rPr>
        <w:t>nternacional sobre separación contable</w:t>
      </w:r>
    </w:p>
    <w:tbl>
      <w:tblPr>
        <w:tblStyle w:val="Tablaconcuadrcula"/>
        <w:tblW w:w="5000" w:type="pct"/>
        <w:tblLayout w:type="fixed"/>
        <w:tblLook w:val="04A0" w:firstRow="1" w:lastRow="0" w:firstColumn="1" w:lastColumn="0" w:noHBand="0" w:noVBand="1"/>
      </w:tblPr>
      <w:tblGrid>
        <w:gridCol w:w="1352"/>
        <w:gridCol w:w="2266"/>
        <w:gridCol w:w="1416"/>
        <w:gridCol w:w="943"/>
        <w:gridCol w:w="1411"/>
        <w:gridCol w:w="1414"/>
        <w:gridCol w:w="1414"/>
        <w:gridCol w:w="1572"/>
        <w:gridCol w:w="1206"/>
      </w:tblGrid>
      <w:tr w:rsidR="00441828" w:rsidRPr="00BB33CC" w:rsidTr="00D94E19">
        <w:trPr>
          <w:tblHeader/>
        </w:trPr>
        <w:tc>
          <w:tcPr>
            <w:tcW w:w="520"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sz w:val="16"/>
                <w:szCs w:val="16"/>
              </w:rPr>
              <w:t>País</w:t>
            </w:r>
          </w:p>
        </w:tc>
        <w:tc>
          <w:tcPr>
            <w:tcW w:w="872" w:type="pct"/>
            <w:shd w:val="clear" w:color="auto" w:fill="BFBFBF" w:themeFill="background1" w:themeFillShade="BF"/>
            <w:vAlign w:val="center"/>
          </w:tcPr>
          <w:p w:rsidR="00441828" w:rsidRPr="00BB33CC" w:rsidRDefault="00441828" w:rsidP="00D94E19">
            <w:pPr>
              <w:pStyle w:val="Normalresolucion"/>
              <w:jc w:val="center"/>
              <w:rPr>
                <w:b/>
                <w:iCs/>
                <w:sz w:val="16"/>
                <w:szCs w:val="16"/>
              </w:rPr>
            </w:pPr>
            <w:r w:rsidRPr="00BB33CC">
              <w:rPr>
                <w:b/>
                <w:iCs/>
                <w:sz w:val="16"/>
                <w:szCs w:val="16"/>
              </w:rPr>
              <w:t>Descripción</w:t>
            </w:r>
          </w:p>
        </w:tc>
        <w:tc>
          <w:tcPr>
            <w:tcW w:w="545"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iCs/>
                <w:sz w:val="16"/>
                <w:szCs w:val="16"/>
              </w:rPr>
              <w:t>Metodología de atribución de costos</w:t>
            </w:r>
          </w:p>
        </w:tc>
        <w:tc>
          <w:tcPr>
            <w:tcW w:w="363"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iCs/>
                <w:sz w:val="16"/>
                <w:szCs w:val="16"/>
              </w:rPr>
              <w:t>Base de costos</w:t>
            </w:r>
          </w:p>
        </w:tc>
        <w:tc>
          <w:tcPr>
            <w:tcW w:w="543"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iCs/>
                <w:sz w:val="16"/>
                <w:szCs w:val="16"/>
              </w:rPr>
              <w:t>Metodología de valoración a Costos Actuales</w:t>
            </w:r>
          </w:p>
        </w:tc>
        <w:tc>
          <w:tcPr>
            <w:tcW w:w="544"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iCs/>
                <w:sz w:val="16"/>
                <w:szCs w:val="16"/>
              </w:rPr>
              <w:t>Método de depreciación</w:t>
            </w:r>
          </w:p>
        </w:tc>
        <w:tc>
          <w:tcPr>
            <w:tcW w:w="544"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iCs/>
                <w:sz w:val="16"/>
                <w:szCs w:val="16"/>
              </w:rPr>
              <w:t>Periodicidad de la obligación</w:t>
            </w:r>
          </w:p>
        </w:tc>
        <w:tc>
          <w:tcPr>
            <w:tcW w:w="605"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iCs/>
                <w:sz w:val="16"/>
                <w:szCs w:val="16"/>
              </w:rPr>
              <w:t>Aproximación para mantenimiento de capital</w:t>
            </w:r>
          </w:p>
        </w:tc>
        <w:tc>
          <w:tcPr>
            <w:tcW w:w="465" w:type="pct"/>
            <w:shd w:val="clear" w:color="auto" w:fill="BFBFBF" w:themeFill="background1" w:themeFillShade="BF"/>
            <w:vAlign w:val="center"/>
          </w:tcPr>
          <w:p w:rsidR="00441828" w:rsidRPr="00BB33CC" w:rsidRDefault="00441828" w:rsidP="00D94E19">
            <w:pPr>
              <w:pStyle w:val="Normalresolucion"/>
              <w:jc w:val="center"/>
              <w:rPr>
                <w:b/>
                <w:sz w:val="16"/>
                <w:szCs w:val="16"/>
              </w:rPr>
            </w:pPr>
            <w:r w:rsidRPr="00BB33CC">
              <w:rPr>
                <w:b/>
                <w:iCs/>
                <w:sz w:val="16"/>
                <w:szCs w:val="16"/>
              </w:rPr>
              <w:t>Cálculo del WACC</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Brasil</w:t>
            </w:r>
          </w:p>
        </w:tc>
        <w:tc>
          <w:tcPr>
            <w:tcW w:w="872" w:type="pct"/>
          </w:tcPr>
          <w:p w:rsidR="00441828" w:rsidRPr="00BB33CC" w:rsidRDefault="00730FA5" w:rsidP="00776A41">
            <w:pPr>
              <w:pStyle w:val="Normalresolucion"/>
              <w:jc w:val="left"/>
              <w:rPr>
                <w:sz w:val="16"/>
                <w:szCs w:val="16"/>
              </w:rPr>
            </w:pPr>
            <w:r w:rsidRPr="00BB33CC">
              <w:rPr>
                <w:sz w:val="16"/>
                <w:szCs w:val="16"/>
                <w:lang w:val="es-MX"/>
              </w:rPr>
              <w:t>La Agencia Nacional de Telecomunicaciones (</w:t>
            </w:r>
            <w:r w:rsidR="00441828" w:rsidRPr="00BB33CC">
              <w:rPr>
                <w:sz w:val="16"/>
                <w:szCs w:val="16"/>
                <w:lang w:val="es-MX"/>
              </w:rPr>
              <w:t>ANATEL</w:t>
            </w:r>
            <w:r w:rsidRPr="00BB33CC">
              <w:rPr>
                <w:sz w:val="16"/>
                <w:szCs w:val="16"/>
                <w:lang w:val="es-MX"/>
              </w:rPr>
              <w:t>)</w:t>
            </w:r>
            <w:r w:rsidR="00441828" w:rsidRPr="00BB33CC">
              <w:rPr>
                <w:sz w:val="16"/>
                <w:szCs w:val="16"/>
                <w:lang w:val="es-MX"/>
              </w:rPr>
              <w:t xml:space="preserve"> estableció en 2005</w:t>
            </w:r>
            <w:r w:rsidR="00441828" w:rsidRPr="00BB33CC">
              <w:rPr>
                <w:rStyle w:val="Refdenotaalpie"/>
                <w:sz w:val="16"/>
                <w:szCs w:val="16"/>
              </w:rPr>
              <w:footnoteReference w:id="18"/>
            </w:r>
            <w:r w:rsidR="00441828" w:rsidRPr="00BB33CC">
              <w:rPr>
                <w:sz w:val="16"/>
                <w:szCs w:val="16"/>
                <w:lang w:val="es-MX"/>
              </w:rPr>
              <w:t xml:space="preserve"> la metodología para la implementación de la separación contable.</w:t>
            </w:r>
          </w:p>
        </w:tc>
        <w:tc>
          <w:tcPr>
            <w:tcW w:w="545" w:type="pct"/>
          </w:tcPr>
          <w:p w:rsidR="00441828" w:rsidRPr="00BB33CC" w:rsidRDefault="00441828" w:rsidP="00776A41">
            <w:pPr>
              <w:pStyle w:val="Normalresolucion"/>
              <w:jc w:val="left"/>
              <w:rPr>
                <w:sz w:val="16"/>
                <w:szCs w:val="16"/>
              </w:rPr>
            </w:pPr>
            <w:r w:rsidRPr="00BB33CC">
              <w:rPr>
                <w:sz w:val="16"/>
                <w:szCs w:val="16"/>
              </w:rPr>
              <w:t>CCD</w:t>
            </w:r>
          </w:p>
          <w:p w:rsidR="00441828" w:rsidRPr="00BB33CC" w:rsidRDefault="00441828" w:rsidP="00776A41">
            <w:pPr>
              <w:pStyle w:val="Normalresolucion"/>
              <w:jc w:val="left"/>
              <w:rPr>
                <w:sz w:val="16"/>
                <w:szCs w:val="16"/>
              </w:rPr>
            </w:pPr>
            <w:r w:rsidRPr="00BB33CC">
              <w:rPr>
                <w:sz w:val="16"/>
                <w:szCs w:val="16"/>
              </w:rPr>
              <w:t>CILP</w:t>
            </w:r>
            <w:r w:rsidR="00E20A4F" w:rsidRPr="00BB33CC">
              <w:rPr>
                <w:rStyle w:val="Refdenotaalpie"/>
                <w:sz w:val="16"/>
                <w:szCs w:val="16"/>
              </w:rPr>
              <w:footnoteReference w:id="19"/>
            </w:r>
          </w:p>
        </w:tc>
        <w:tc>
          <w:tcPr>
            <w:tcW w:w="363" w:type="pct"/>
          </w:tcPr>
          <w:p w:rsidR="00441828" w:rsidRPr="00BB33CC" w:rsidRDefault="00441828" w:rsidP="00776A41">
            <w:pPr>
              <w:pStyle w:val="Normalresolucion"/>
              <w:jc w:val="left"/>
              <w:rPr>
                <w:sz w:val="16"/>
                <w:szCs w:val="16"/>
              </w:rPr>
            </w:pPr>
            <w:r w:rsidRPr="00BB33CC">
              <w:rPr>
                <w:sz w:val="16"/>
                <w:szCs w:val="16"/>
              </w:rPr>
              <w:t>CH</w:t>
            </w:r>
            <w:r w:rsidR="00E20A4F" w:rsidRPr="00BB33CC">
              <w:rPr>
                <w:rStyle w:val="Refdenotaalpie"/>
                <w:sz w:val="16"/>
                <w:szCs w:val="16"/>
              </w:rPr>
              <w:footnoteReference w:id="20"/>
            </w:r>
          </w:p>
          <w:p w:rsidR="00441828" w:rsidRPr="00BB33CC" w:rsidRDefault="00441828" w:rsidP="00776A41">
            <w:pPr>
              <w:pStyle w:val="Normalresolucion"/>
              <w:jc w:val="left"/>
              <w:rPr>
                <w:sz w:val="16"/>
                <w:szCs w:val="16"/>
              </w:rPr>
            </w:pPr>
            <w:r w:rsidRPr="00BB33CC">
              <w:rPr>
                <w:sz w:val="16"/>
                <w:szCs w:val="16"/>
              </w:rPr>
              <w:t>CA</w:t>
            </w:r>
            <w:r w:rsidR="00E20A4F" w:rsidRPr="00BB33CC">
              <w:rPr>
                <w:rStyle w:val="Refdenotaalpie"/>
                <w:sz w:val="16"/>
                <w:szCs w:val="16"/>
              </w:rPr>
              <w:footnoteReference w:id="21"/>
            </w:r>
          </w:p>
        </w:tc>
        <w:tc>
          <w:tcPr>
            <w:tcW w:w="543" w:type="pct"/>
          </w:tcPr>
          <w:p w:rsidR="00441828" w:rsidRPr="00BB33CC" w:rsidRDefault="00441828" w:rsidP="00776A41">
            <w:pPr>
              <w:pStyle w:val="Normalresolucion"/>
              <w:jc w:val="left"/>
              <w:rPr>
                <w:sz w:val="16"/>
                <w:szCs w:val="16"/>
              </w:rPr>
            </w:pPr>
            <w:r w:rsidRPr="00BB33CC">
              <w:rPr>
                <w:sz w:val="16"/>
                <w:szCs w:val="16"/>
              </w:rPr>
              <w:t>Mantenimiento de costos históricos</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No definido</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regulador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Colombia</w:t>
            </w:r>
          </w:p>
        </w:tc>
        <w:tc>
          <w:tcPr>
            <w:tcW w:w="872" w:type="pct"/>
          </w:tcPr>
          <w:p w:rsidR="00441828" w:rsidRPr="00BB33CC" w:rsidRDefault="00441828" w:rsidP="00776A41">
            <w:pPr>
              <w:pStyle w:val="Normalresolucion"/>
              <w:jc w:val="left"/>
              <w:rPr>
                <w:sz w:val="16"/>
                <w:szCs w:val="16"/>
              </w:rPr>
            </w:pPr>
            <w:r w:rsidRPr="00BB33CC">
              <w:rPr>
                <w:sz w:val="16"/>
                <w:lang w:val="es-MX"/>
              </w:rPr>
              <w:t>La Comisión de Regulación de Comunicaciones definió en 2014 los aspectos bajo los cuales deberá regularse la separación contable en materia de telecomunicaciones</w:t>
            </w:r>
            <w:r w:rsidRPr="00BB33CC">
              <w:rPr>
                <w:rStyle w:val="Refdenotaalpie"/>
                <w:sz w:val="16"/>
              </w:rPr>
              <w:footnoteReference w:id="22"/>
            </w:r>
            <w:r w:rsidRPr="00BB33CC">
              <w:rPr>
                <w:sz w:val="16"/>
                <w:lang w:val="es-MX"/>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Mantenimiento de costos históricos</w:t>
            </w:r>
          </w:p>
          <w:p w:rsidR="00441828" w:rsidRPr="00BB33CC" w:rsidRDefault="00441828" w:rsidP="00776A41">
            <w:pPr>
              <w:pStyle w:val="Normalresolucion"/>
              <w:jc w:val="left"/>
              <w:rPr>
                <w:sz w:val="16"/>
                <w:szCs w:val="16"/>
              </w:rPr>
            </w:pPr>
            <w:r w:rsidRPr="00BB33CC">
              <w:rPr>
                <w:sz w:val="16"/>
                <w:szCs w:val="16"/>
              </w:rPr>
              <w:t>Indexación</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lastRenderedPageBreak/>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lastRenderedPageBreak/>
              <w:t>No definido</w:t>
            </w:r>
          </w:p>
        </w:tc>
        <w:tc>
          <w:tcPr>
            <w:tcW w:w="544" w:type="pct"/>
          </w:tcPr>
          <w:p w:rsidR="00441828" w:rsidRPr="00BB33CC" w:rsidRDefault="00441828" w:rsidP="00776A41">
            <w:pPr>
              <w:pStyle w:val="Normalresolucion"/>
              <w:jc w:val="left"/>
              <w:rPr>
                <w:sz w:val="16"/>
                <w:szCs w:val="16"/>
              </w:rPr>
            </w:pPr>
            <w:r w:rsidRPr="00BB33CC">
              <w:rPr>
                <w:sz w:val="16"/>
                <w:szCs w:val="16"/>
              </w:rPr>
              <w:t>Semestral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operador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Costa Rica</w:t>
            </w:r>
          </w:p>
        </w:tc>
        <w:tc>
          <w:tcPr>
            <w:tcW w:w="872" w:type="pct"/>
          </w:tcPr>
          <w:p w:rsidR="00441828" w:rsidRPr="00BB33CC" w:rsidRDefault="00441828" w:rsidP="00776A41">
            <w:pPr>
              <w:pStyle w:val="Normalresolucion"/>
              <w:jc w:val="left"/>
              <w:rPr>
                <w:sz w:val="16"/>
                <w:szCs w:val="16"/>
              </w:rPr>
            </w:pPr>
            <w:r w:rsidRPr="00BB33CC">
              <w:rPr>
                <w:sz w:val="16"/>
              </w:rPr>
              <w:t>En 2014 se publicó en el diario oficial el manual sobre la metodología para la aplicación de la contabilidad de costos</w:t>
            </w:r>
            <w:r w:rsidRPr="00BB33CC">
              <w:rPr>
                <w:rStyle w:val="Refdenotaalpie"/>
                <w:sz w:val="16"/>
              </w:rPr>
              <w:footnoteReference w:id="23"/>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Mantenimiento de costos históricos</w:t>
            </w:r>
          </w:p>
          <w:p w:rsidR="00441828" w:rsidRPr="00BB33CC" w:rsidRDefault="00441828" w:rsidP="00776A41">
            <w:pPr>
              <w:pStyle w:val="Normalresolucion"/>
              <w:jc w:val="left"/>
              <w:rPr>
                <w:sz w:val="16"/>
                <w:szCs w:val="16"/>
              </w:rPr>
            </w:pPr>
            <w:r w:rsidRPr="00BB33CC">
              <w:rPr>
                <w:sz w:val="16"/>
                <w:szCs w:val="16"/>
              </w:rPr>
              <w:t>Indexación</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regulador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Ecuador</w:t>
            </w:r>
          </w:p>
        </w:tc>
        <w:tc>
          <w:tcPr>
            <w:tcW w:w="872" w:type="pct"/>
          </w:tcPr>
          <w:p w:rsidR="00441828" w:rsidRPr="00BB33CC" w:rsidRDefault="00441828" w:rsidP="00776A41">
            <w:pPr>
              <w:pStyle w:val="Normalresolucion"/>
              <w:jc w:val="left"/>
              <w:rPr>
                <w:sz w:val="16"/>
                <w:szCs w:val="16"/>
              </w:rPr>
            </w:pPr>
            <w:r w:rsidRPr="00BB33CC">
              <w:rPr>
                <w:sz w:val="16"/>
              </w:rPr>
              <w:t>El Consejo Nacional de Telecomunicaciones emitió en 2012 la norma que regula la presentación de la información de la contabilidad separada</w:t>
            </w:r>
            <w:r w:rsidRPr="00BB33CC">
              <w:rPr>
                <w:rStyle w:val="Refdenotaalpie"/>
                <w:sz w:val="16"/>
              </w:rPr>
              <w:footnoteReference w:id="24"/>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No definido</w:t>
            </w:r>
          </w:p>
        </w:tc>
        <w:tc>
          <w:tcPr>
            <w:tcW w:w="544" w:type="pct"/>
          </w:tcPr>
          <w:p w:rsidR="00441828" w:rsidRPr="00BB33CC" w:rsidRDefault="00441828" w:rsidP="00776A41">
            <w:pPr>
              <w:pStyle w:val="Normalresolucion"/>
              <w:jc w:val="left"/>
              <w:rPr>
                <w:sz w:val="16"/>
                <w:szCs w:val="16"/>
              </w:rPr>
            </w:pPr>
            <w:r w:rsidRPr="00BB33CC">
              <w:rPr>
                <w:sz w:val="16"/>
                <w:szCs w:val="16"/>
              </w:rPr>
              <w:t>No definido</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No definido</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lastRenderedPageBreak/>
              <w:t>El Salvador</w:t>
            </w:r>
          </w:p>
        </w:tc>
        <w:tc>
          <w:tcPr>
            <w:tcW w:w="872" w:type="pct"/>
          </w:tcPr>
          <w:p w:rsidR="00441828" w:rsidRPr="00BB33CC" w:rsidRDefault="00441828" w:rsidP="00776A41">
            <w:pPr>
              <w:pStyle w:val="Normalresolucion"/>
              <w:jc w:val="left"/>
              <w:rPr>
                <w:sz w:val="16"/>
                <w:szCs w:val="16"/>
              </w:rPr>
            </w:pPr>
            <w:r w:rsidRPr="00BB33CC">
              <w:rPr>
                <w:sz w:val="16"/>
              </w:rPr>
              <w:t>A través del Reglamento de la Ley de Telecomunicaciones</w:t>
            </w:r>
            <w:r w:rsidRPr="00BB33CC">
              <w:rPr>
                <w:rStyle w:val="Refdenotaalpie"/>
                <w:sz w:val="16"/>
              </w:rPr>
              <w:footnoteReference w:id="25"/>
            </w:r>
            <w:r w:rsidRPr="00BB33CC">
              <w:rPr>
                <w:sz w:val="16"/>
              </w:rPr>
              <w:t xml:space="preserve"> se estipularon los lineamientos que se deben seguir para cumplir con la obligación de la presentación de información de separación contable.</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operador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Perú</w:t>
            </w:r>
          </w:p>
        </w:tc>
        <w:tc>
          <w:tcPr>
            <w:tcW w:w="872" w:type="pct"/>
          </w:tcPr>
          <w:p w:rsidR="00441828" w:rsidRPr="00BB33CC" w:rsidRDefault="0017573D" w:rsidP="00776A41">
            <w:pPr>
              <w:pStyle w:val="Normalresolucion"/>
              <w:jc w:val="left"/>
              <w:rPr>
                <w:sz w:val="16"/>
                <w:szCs w:val="16"/>
              </w:rPr>
            </w:pPr>
            <w:r w:rsidRPr="00BB33CC">
              <w:rPr>
                <w:sz w:val="16"/>
              </w:rPr>
              <w:t>El</w:t>
            </w:r>
            <w:r w:rsidRPr="00BB33CC">
              <w:t xml:space="preserve"> </w:t>
            </w:r>
            <w:r w:rsidRPr="00BB33CC">
              <w:rPr>
                <w:sz w:val="16"/>
              </w:rPr>
              <w:t>Organismo Supervisor de Inversión Privada en Telecomunicaciones</w:t>
            </w:r>
            <w:r w:rsidR="00441828" w:rsidRPr="00BB33CC">
              <w:rPr>
                <w:sz w:val="16"/>
              </w:rPr>
              <w:t xml:space="preserve"> </w:t>
            </w:r>
            <w:r w:rsidRPr="00BB33CC">
              <w:rPr>
                <w:sz w:val="16"/>
              </w:rPr>
              <w:t>(</w:t>
            </w:r>
            <w:r w:rsidR="00441828" w:rsidRPr="00BB33CC">
              <w:rPr>
                <w:sz w:val="16"/>
              </w:rPr>
              <w:t>OSIPTEL</w:t>
            </w:r>
            <w:r w:rsidRPr="00BB33CC">
              <w:rPr>
                <w:sz w:val="16"/>
              </w:rPr>
              <w:t>)</w:t>
            </w:r>
            <w:r w:rsidR="00441828" w:rsidRPr="00BB33CC">
              <w:rPr>
                <w:sz w:val="16"/>
              </w:rPr>
              <w:t xml:space="preserve"> publicó el instructivo general de contabilidad separada</w:t>
            </w:r>
            <w:r w:rsidR="00441828" w:rsidRPr="00BB33CC">
              <w:rPr>
                <w:rStyle w:val="Refdenotaalpie"/>
                <w:sz w:val="16"/>
              </w:rPr>
              <w:footnoteReference w:id="26"/>
            </w:r>
            <w:r w:rsidR="00441828" w:rsidRPr="00BB33CC">
              <w:rPr>
                <w:sz w:val="16"/>
              </w:rPr>
              <w:t xml:space="preserve"> donde se establecieron los elementos relativos a la obligación de la separación contable.</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Mantenimiento a costos históricos</w:t>
            </w:r>
          </w:p>
          <w:p w:rsidR="00441828" w:rsidRPr="00BB33CC" w:rsidRDefault="00441828" w:rsidP="00776A41">
            <w:pPr>
              <w:pStyle w:val="Normalresolucion"/>
              <w:jc w:val="left"/>
              <w:rPr>
                <w:sz w:val="16"/>
                <w:szCs w:val="16"/>
              </w:rPr>
            </w:pPr>
            <w:r w:rsidRPr="00BB33CC">
              <w:rPr>
                <w:sz w:val="16"/>
                <w:szCs w:val="16"/>
              </w:rPr>
              <w:t>Indexación</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FCM</w:t>
            </w:r>
          </w:p>
        </w:tc>
        <w:tc>
          <w:tcPr>
            <w:tcW w:w="465" w:type="pct"/>
          </w:tcPr>
          <w:p w:rsidR="00441828" w:rsidRPr="00BB33CC" w:rsidRDefault="00441828" w:rsidP="00776A41">
            <w:pPr>
              <w:pStyle w:val="Normalresolucion"/>
              <w:jc w:val="left"/>
              <w:rPr>
                <w:sz w:val="16"/>
                <w:szCs w:val="16"/>
              </w:rPr>
            </w:pPr>
            <w:r w:rsidRPr="00BB33CC">
              <w:rPr>
                <w:sz w:val="16"/>
                <w:szCs w:val="16"/>
              </w:rPr>
              <w:t>No definido</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lastRenderedPageBreak/>
              <w:t>República Dominicana</w:t>
            </w:r>
          </w:p>
        </w:tc>
        <w:tc>
          <w:tcPr>
            <w:tcW w:w="872" w:type="pct"/>
          </w:tcPr>
          <w:p w:rsidR="00441828" w:rsidRPr="00BB33CC" w:rsidRDefault="00441828" w:rsidP="00776A41">
            <w:pPr>
              <w:pStyle w:val="Normalresolucion"/>
              <w:jc w:val="left"/>
              <w:rPr>
                <w:sz w:val="16"/>
                <w:szCs w:val="16"/>
              </w:rPr>
            </w:pPr>
            <w:r w:rsidRPr="00BB33CC">
              <w:rPr>
                <w:sz w:val="16"/>
              </w:rPr>
              <w:t>El Instituto Dominicano de las Telecomunicaciones publicó el reglamento de contabilidad separada</w:t>
            </w:r>
            <w:r w:rsidRPr="00BB33CC">
              <w:rPr>
                <w:rStyle w:val="Refdenotaalpie"/>
                <w:sz w:val="16"/>
              </w:rPr>
              <w:footnoteReference w:id="27"/>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Indexación</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operador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Uruguay</w:t>
            </w:r>
          </w:p>
        </w:tc>
        <w:tc>
          <w:tcPr>
            <w:tcW w:w="872" w:type="pct"/>
          </w:tcPr>
          <w:p w:rsidR="00441828" w:rsidRPr="00BB33CC" w:rsidRDefault="00441828" w:rsidP="00776A41">
            <w:pPr>
              <w:pStyle w:val="Normalresolucion"/>
              <w:jc w:val="left"/>
              <w:rPr>
                <w:sz w:val="16"/>
                <w:szCs w:val="16"/>
              </w:rPr>
            </w:pPr>
            <w:r w:rsidRPr="00BB33CC">
              <w:rPr>
                <w:sz w:val="16"/>
              </w:rPr>
              <w:t>La Unidad Reguladora de Servicios de Comunicaciones (URSEC) definió en el “Reglamento de contabilidad separada por servicios para el sector telecomunicaciones”</w:t>
            </w:r>
            <w:r w:rsidRPr="00BB33CC">
              <w:rPr>
                <w:rStyle w:val="Refdenotaalpie"/>
                <w:sz w:val="16"/>
              </w:rPr>
              <w:footnoteReference w:id="28"/>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No definido</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Semestral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operador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España</w:t>
            </w:r>
          </w:p>
        </w:tc>
        <w:tc>
          <w:tcPr>
            <w:tcW w:w="872" w:type="pct"/>
          </w:tcPr>
          <w:p w:rsidR="00441828" w:rsidRPr="00BB33CC" w:rsidRDefault="00441828" w:rsidP="00776A41">
            <w:pPr>
              <w:pStyle w:val="Normalresolucion"/>
              <w:jc w:val="left"/>
              <w:rPr>
                <w:sz w:val="16"/>
                <w:szCs w:val="16"/>
              </w:rPr>
            </w:pPr>
            <w:r w:rsidRPr="00BB33CC">
              <w:rPr>
                <w:sz w:val="16"/>
              </w:rPr>
              <w:t>La extinta Comisión del Mercado de Telecomunicaciones definió principios, criterios y condiciones para el desarrollo del sistema de contabilidad de costos</w:t>
            </w:r>
            <w:r w:rsidRPr="00BB33CC">
              <w:rPr>
                <w:rStyle w:val="Refdenotaalpie"/>
                <w:sz w:val="16"/>
              </w:rPr>
              <w:footnoteReference w:id="29"/>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Mantenimiento a costos históricos</w:t>
            </w:r>
          </w:p>
          <w:p w:rsidR="00441828" w:rsidRPr="00BB33CC" w:rsidRDefault="00441828" w:rsidP="00776A41">
            <w:pPr>
              <w:pStyle w:val="Normalresolucion"/>
              <w:jc w:val="left"/>
              <w:rPr>
                <w:sz w:val="16"/>
                <w:szCs w:val="16"/>
              </w:rPr>
            </w:pPr>
            <w:r w:rsidRPr="00BB33CC">
              <w:rPr>
                <w:sz w:val="16"/>
                <w:szCs w:val="16"/>
              </w:rPr>
              <w:t>Indexación</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regulador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lastRenderedPageBreak/>
              <w:t>Reino Unido</w:t>
            </w:r>
          </w:p>
        </w:tc>
        <w:tc>
          <w:tcPr>
            <w:tcW w:w="872" w:type="pct"/>
          </w:tcPr>
          <w:p w:rsidR="00441828" w:rsidRPr="00BB33CC" w:rsidRDefault="00441828" w:rsidP="00776A41">
            <w:pPr>
              <w:pStyle w:val="Normalresolucion"/>
              <w:jc w:val="left"/>
              <w:rPr>
                <w:sz w:val="16"/>
                <w:szCs w:val="16"/>
              </w:rPr>
            </w:pPr>
            <w:r w:rsidRPr="00BB33CC">
              <w:rPr>
                <w:sz w:val="16"/>
              </w:rPr>
              <w:t xml:space="preserve">La Oficina de Comunicaciones publicó las obligaciones reglamentarias de la información de separación contable y contabilidad de costos aplicables a los operadores </w:t>
            </w:r>
            <w:r w:rsidRPr="00BB33CC">
              <w:rPr>
                <w:i/>
                <w:sz w:val="16"/>
                <w:lang w:val="es-MX"/>
              </w:rPr>
              <w:t>British Telecommunications plc</w:t>
            </w:r>
            <w:r w:rsidRPr="00BB33CC">
              <w:rPr>
                <w:sz w:val="16"/>
                <w:lang w:val="es-MX"/>
              </w:rPr>
              <w:t xml:space="preserve"> y </w:t>
            </w:r>
            <w:r w:rsidRPr="00BB33CC">
              <w:rPr>
                <w:i/>
                <w:sz w:val="16"/>
                <w:lang w:val="es-MX"/>
              </w:rPr>
              <w:t>Kingston Communications</w:t>
            </w:r>
            <w:r w:rsidRPr="00BB33CC">
              <w:rPr>
                <w:rStyle w:val="Refdenotaalpie"/>
                <w:sz w:val="16"/>
              </w:rPr>
              <w:footnoteReference w:id="30"/>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p w:rsidR="00441828" w:rsidRPr="00BB33CC" w:rsidRDefault="00441828" w:rsidP="00776A41">
            <w:pPr>
              <w:pStyle w:val="Normalresolucion"/>
              <w:jc w:val="left"/>
              <w:rPr>
                <w:sz w:val="16"/>
                <w:szCs w:val="16"/>
              </w:rPr>
            </w:pPr>
            <w:r w:rsidRPr="00BB33CC">
              <w:rPr>
                <w:sz w:val="16"/>
                <w:szCs w:val="16"/>
              </w:rPr>
              <w:t>CILP</w:t>
            </w:r>
          </w:p>
        </w:tc>
        <w:tc>
          <w:tcPr>
            <w:tcW w:w="363" w:type="pct"/>
          </w:tcPr>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Mantenimiento a costos históricos</w:t>
            </w:r>
          </w:p>
          <w:p w:rsidR="00441828" w:rsidRPr="00BB33CC" w:rsidRDefault="00441828" w:rsidP="00776A41">
            <w:pPr>
              <w:pStyle w:val="Normalresolucion"/>
              <w:jc w:val="left"/>
              <w:rPr>
                <w:sz w:val="16"/>
                <w:szCs w:val="16"/>
              </w:rPr>
            </w:pPr>
            <w:r w:rsidRPr="00BB33CC">
              <w:rPr>
                <w:sz w:val="16"/>
                <w:szCs w:val="16"/>
              </w:rPr>
              <w:t>Indexación</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FCM</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regulador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India</w:t>
            </w:r>
          </w:p>
        </w:tc>
        <w:tc>
          <w:tcPr>
            <w:tcW w:w="872" w:type="pct"/>
          </w:tcPr>
          <w:p w:rsidR="00441828" w:rsidRPr="00BB33CC" w:rsidRDefault="00441828" w:rsidP="00776A41">
            <w:pPr>
              <w:pStyle w:val="Normalresolucion"/>
              <w:jc w:val="left"/>
              <w:rPr>
                <w:sz w:val="16"/>
                <w:szCs w:val="16"/>
              </w:rPr>
            </w:pPr>
            <w:r w:rsidRPr="00BB33CC">
              <w:rPr>
                <w:sz w:val="16"/>
              </w:rPr>
              <w:t>La Autoridad Regulatoria de Telecomunicaciones publicó en 2016 los elementos bajo los cuales se debe preparar la separación contable por parte de los operadores</w:t>
            </w:r>
            <w:r w:rsidRPr="00BB33CC">
              <w:rPr>
                <w:rStyle w:val="Refdenotaalpie"/>
                <w:sz w:val="16"/>
              </w:rPr>
              <w:footnoteReference w:id="31"/>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Mantenimiento a costos históricos</w:t>
            </w:r>
          </w:p>
          <w:p w:rsidR="00441828" w:rsidRPr="00BB33CC" w:rsidRDefault="00441828" w:rsidP="00776A41">
            <w:pPr>
              <w:pStyle w:val="Normalresolucion"/>
              <w:jc w:val="left"/>
              <w:rPr>
                <w:sz w:val="16"/>
                <w:szCs w:val="16"/>
              </w:rPr>
            </w:pPr>
            <w:r w:rsidRPr="00BB33CC">
              <w:rPr>
                <w:sz w:val="16"/>
                <w:szCs w:val="16"/>
              </w:rPr>
              <w:t>Indexación</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FCM</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operador</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lastRenderedPageBreak/>
              <w:t>Singapur</w:t>
            </w:r>
          </w:p>
        </w:tc>
        <w:tc>
          <w:tcPr>
            <w:tcW w:w="872" w:type="pct"/>
          </w:tcPr>
          <w:p w:rsidR="00441828" w:rsidRPr="00BB33CC" w:rsidRDefault="00441828" w:rsidP="00776A41">
            <w:pPr>
              <w:pStyle w:val="Normalresolucion"/>
              <w:jc w:val="left"/>
              <w:rPr>
                <w:sz w:val="16"/>
              </w:rPr>
            </w:pPr>
            <w:r w:rsidRPr="00BB33CC">
              <w:rPr>
                <w:sz w:val="16"/>
              </w:rPr>
              <w:t xml:space="preserve">La autoridad reguladora de Singapur </w:t>
            </w:r>
            <w:r w:rsidRPr="00BB33CC">
              <w:rPr>
                <w:i/>
                <w:sz w:val="16"/>
                <w:lang w:val="es-MX"/>
              </w:rPr>
              <w:t>Infocomm Development Authority</w:t>
            </w:r>
            <w:r w:rsidRPr="00BB33CC">
              <w:rPr>
                <w:i/>
                <w:sz w:val="16"/>
              </w:rPr>
              <w:t xml:space="preserve"> (IDA) </w:t>
            </w:r>
            <w:r w:rsidRPr="00BB33CC">
              <w:rPr>
                <w:sz w:val="16"/>
              </w:rPr>
              <w:t>publicó en 2004 los lineamientos para la separación contable</w:t>
            </w:r>
            <w:r w:rsidRPr="00BB33CC">
              <w:rPr>
                <w:rStyle w:val="Refdenotaalpie"/>
                <w:sz w:val="16"/>
              </w:rPr>
              <w:footnoteReference w:id="32"/>
            </w:r>
            <w:r w:rsidRPr="00BB33CC">
              <w:rPr>
                <w:sz w:val="16"/>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tc>
        <w:tc>
          <w:tcPr>
            <w:tcW w:w="543" w:type="pct"/>
          </w:tcPr>
          <w:p w:rsidR="00441828" w:rsidRPr="00BB33CC" w:rsidRDefault="00441828" w:rsidP="00776A41">
            <w:pPr>
              <w:pStyle w:val="Normalresolucion"/>
              <w:jc w:val="left"/>
              <w:rPr>
                <w:sz w:val="16"/>
                <w:szCs w:val="16"/>
              </w:rPr>
            </w:pPr>
            <w:r w:rsidRPr="00BB33CC">
              <w:rPr>
                <w:sz w:val="16"/>
                <w:szCs w:val="16"/>
              </w:rPr>
              <w:t>No definido</w:t>
            </w:r>
          </w:p>
        </w:tc>
        <w:tc>
          <w:tcPr>
            <w:tcW w:w="544" w:type="pct"/>
          </w:tcPr>
          <w:p w:rsidR="00441828" w:rsidRPr="00BB33CC" w:rsidRDefault="00441828" w:rsidP="00776A41">
            <w:pPr>
              <w:pStyle w:val="Normalresolucion"/>
              <w:jc w:val="left"/>
              <w:rPr>
                <w:sz w:val="16"/>
                <w:szCs w:val="16"/>
              </w:rPr>
            </w:pPr>
            <w:r w:rsidRPr="00BB33CC">
              <w:rPr>
                <w:sz w:val="16"/>
                <w:szCs w:val="16"/>
              </w:rPr>
              <w:t>No definido</w:t>
            </w:r>
          </w:p>
        </w:tc>
        <w:tc>
          <w:tcPr>
            <w:tcW w:w="544" w:type="pct"/>
          </w:tcPr>
          <w:p w:rsidR="00441828" w:rsidRPr="00BB33CC" w:rsidRDefault="00441828" w:rsidP="00776A41">
            <w:pPr>
              <w:pStyle w:val="Normalresolucion"/>
              <w:jc w:val="left"/>
              <w:rPr>
                <w:sz w:val="16"/>
                <w:szCs w:val="16"/>
              </w:rPr>
            </w:pPr>
            <w:r w:rsidRPr="00BB33CC">
              <w:rPr>
                <w:sz w:val="16"/>
                <w:szCs w:val="16"/>
              </w:rPr>
              <w:t>Semestral</w:t>
            </w:r>
          </w:p>
        </w:tc>
        <w:tc>
          <w:tcPr>
            <w:tcW w:w="605" w:type="pct"/>
          </w:tcPr>
          <w:p w:rsidR="00441828" w:rsidRPr="00BB33CC" w:rsidRDefault="00441828" w:rsidP="00776A41">
            <w:pPr>
              <w:pStyle w:val="Normalresolucion"/>
              <w:jc w:val="left"/>
              <w:rPr>
                <w:sz w:val="16"/>
                <w:szCs w:val="16"/>
              </w:rPr>
            </w:pPr>
            <w:r w:rsidRPr="00BB33CC">
              <w:rPr>
                <w:sz w:val="16"/>
                <w:szCs w:val="16"/>
              </w:rPr>
              <w:t>No definido</w:t>
            </w:r>
          </w:p>
        </w:tc>
        <w:tc>
          <w:tcPr>
            <w:tcW w:w="465" w:type="pct"/>
          </w:tcPr>
          <w:p w:rsidR="00441828" w:rsidRPr="00BB33CC" w:rsidRDefault="00441828" w:rsidP="00776A41">
            <w:pPr>
              <w:pStyle w:val="Normalresolucion"/>
              <w:jc w:val="left"/>
              <w:rPr>
                <w:sz w:val="16"/>
                <w:szCs w:val="16"/>
              </w:rPr>
            </w:pPr>
            <w:r w:rsidRPr="00BB33CC">
              <w:rPr>
                <w:sz w:val="16"/>
                <w:szCs w:val="16"/>
              </w:rPr>
              <w:t>No definido</w:t>
            </w:r>
          </w:p>
        </w:tc>
      </w:tr>
      <w:tr w:rsidR="00441828" w:rsidRPr="00BB33CC" w:rsidTr="00D94E19">
        <w:tc>
          <w:tcPr>
            <w:tcW w:w="520" w:type="pct"/>
          </w:tcPr>
          <w:p w:rsidR="00441828" w:rsidRPr="00BB33CC" w:rsidRDefault="00441828">
            <w:pPr>
              <w:pStyle w:val="Normalresolucion"/>
              <w:jc w:val="left"/>
              <w:rPr>
                <w:b/>
                <w:sz w:val="16"/>
                <w:szCs w:val="16"/>
              </w:rPr>
            </w:pPr>
            <w:r w:rsidRPr="00BB33CC">
              <w:rPr>
                <w:b/>
                <w:sz w:val="16"/>
                <w:szCs w:val="16"/>
              </w:rPr>
              <w:t>Arabia Saudita</w:t>
            </w:r>
          </w:p>
        </w:tc>
        <w:tc>
          <w:tcPr>
            <w:tcW w:w="872" w:type="pct"/>
          </w:tcPr>
          <w:p w:rsidR="00441828" w:rsidRPr="00BB33CC" w:rsidRDefault="00441828" w:rsidP="00776A41">
            <w:pPr>
              <w:pStyle w:val="Normalresolucion"/>
              <w:jc w:val="left"/>
              <w:rPr>
                <w:sz w:val="16"/>
                <w:szCs w:val="16"/>
              </w:rPr>
            </w:pPr>
            <w:r w:rsidRPr="00BB33CC">
              <w:rPr>
                <w:sz w:val="16"/>
              </w:rPr>
              <w:t>La</w:t>
            </w:r>
            <w:r w:rsidRPr="00BB33CC">
              <w:rPr>
                <w:sz w:val="16"/>
                <w:lang w:val="es-MX"/>
              </w:rPr>
              <w:t xml:space="preserve"> Comisión de Comunicaciones y Tecnologías de la Información emitió los lineamientos que los operadores deberán seguir para la presentación de la información de separación contable</w:t>
            </w:r>
            <w:r w:rsidRPr="00BB33CC">
              <w:rPr>
                <w:rStyle w:val="Refdenotaalpie"/>
                <w:sz w:val="16"/>
              </w:rPr>
              <w:footnoteReference w:id="33"/>
            </w:r>
            <w:r w:rsidRPr="00BB33CC">
              <w:rPr>
                <w:sz w:val="16"/>
                <w:lang w:val="es-MX"/>
              </w:rPr>
              <w:t>.</w:t>
            </w:r>
          </w:p>
        </w:tc>
        <w:tc>
          <w:tcPr>
            <w:tcW w:w="545" w:type="pct"/>
          </w:tcPr>
          <w:p w:rsidR="00441828" w:rsidRPr="00BB33CC" w:rsidRDefault="00441828" w:rsidP="00776A41">
            <w:pPr>
              <w:pStyle w:val="Normalresolucion"/>
              <w:jc w:val="left"/>
              <w:rPr>
                <w:sz w:val="16"/>
                <w:szCs w:val="16"/>
              </w:rPr>
            </w:pPr>
            <w:r w:rsidRPr="00BB33CC">
              <w:rPr>
                <w:sz w:val="16"/>
                <w:szCs w:val="16"/>
              </w:rPr>
              <w:t>CCD</w:t>
            </w:r>
          </w:p>
        </w:tc>
        <w:tc>
          <w:tcPr>
            <w:tcW w:w="363" w:type="pct"/>
          </w:tcPr>
          <w:p w:rsidR="00441828" w:rsidRPr="00BB33CC" w:rsidRDefault="00441828" w:rsidP="00776A41">
            <w:pPr>
              <w:pStyle w:val="Normalresolucion"/>
              <w:jc w:val="left"/>
              <w:rPr>
                <w:sz w:val="16"/>
                <w:szCs w:val="16"/>
              </w:rPr>
            </w:pPr>
            <w:r w:rsidRPr="00BB33CC">
              <w:rPr>
                <w:sz w:val="16"/>
                <w:szCs w:val="16"/>
              </w:rPr>
              <w:t>CH</w:t>
            </w:r>
          </w:p>
          <w:p w:rsidR="00441828" w:rsidRPr="00BB33CC" w:rsidRDefault="00441828" w:rsidP="00776A41">
            <w:pPr>
              <w:pStyle w:val="Normalresolucion"/>
              <w:jc w:val="left"/>
              <w:rPr>
                <w:sz w:val="16"/>
                <w:szCs w:val="16"/>
              </w:rPr>
            </w:pPr>
            <w:r w:rsidRPr="00BB33CC">
              <w:rPr>
                <w:sz w:val="16"/>
                <w:szCs w:val="16"/>
              </w:rPr>
              <w:t>CA</w:t>
            </w:r>
          </w:p>
        </w:tc>
        <w:tc>
          <w:tcPr>
            <w:tcW w:w="543" w:type="pct"/>
          </w:tcPr>
          <w:p w:rsidR="00441828" w:rsidRPr="00BB33CC" w:rsidRDefault="00441828" w:rsidP="00776A41">
            <w:pPr>
              <w:pStyle w:val="Normalresolucion"/>
              <w:jc w:val="left"/>
              <w:rPr>
                <w:sz w:val="16"/>
                <w:szCs w:val="16"/>
              </w:rPr>
            </w:pPr>
            <w:r w:rsidRPr="00BB33CC">
              <w:rPr>
                <w:sz w:val="16"/>
                <w:szCs w:val="16"/>
              </w:rPr>
              <w:t>Mantenimiento a costos históricos</w:t>
            </w:r>
          </w:p>
          <w:p w:rsidR="00441828" w:rsidRPr="00BB33CC" w:rsidRDefault="00441828" w:rsidP="00776A41">
            <w:pPr>
              <w:pStyle w:val="Normalresolucion"/>
              <w:jc w:val="left"/>
              <w:rPr>
                <w:sz w:val="16"/>
                <w:szCs w:val="16"/>
              </w:rPr>
            </w:pPr>
            <w:r w:rsidRPr="00BB33CC">
              <w:rPr>
                <w:sz w:val="16"/>
                <w:szCs w:val="16"/>
              </w:rPr>
              <w:t>Indexación</w:t>
            </w:r>
          </w:p>
          <w:p w:rsidR="00441828" w:rsidRPr="00BB33CC" w:rsidRDefault="00441828" w:rsidP="00776A41">
            <w:pPr>
              <w:pStyle w:val="Normalresolucion"/>
              <w:jc w:val="left"/>
              <w:rPr>
                <w:sz w:val="16"/>
                <w:szCs w:val="16"/>
              </w:rPr>
            </w:pPr>
            <w:r w:rsidRPr="00BB33CC">
              <w:rPr>
                <w:sz w:val="16"/>
                <w:szCs w:val="16"/>
              </w:rPr>
              <w:t>Valoración absoluta</w:t>
            </w:r>
          </w:p>
          <w:p w:rsidR="00441828" w:rsidRPr="00BB33CC" w:rsidRDefault="00441828" w:rsidP="00776A41">
            <w:pPr>
              <w:pStyle w:val="Normalresolucion"/>
              <w:jc w:val="left"/>
              <w:rPr>
                <w:sz w:val="16"/>
                <w:szCs w:val="16"/>
              </w:rPr>
            </w:pPr>
            <w:r w:rsidRPr="00BB33CC">
              <w:rPr>
                <w:sz w:val="16"/>
                <w:szCs w:val="16"/>
              </w:rPr>
              <w:t>Activo moderno equivalente</w:t>
            </w:r>
          </w:p>
        </w:tc>
        <w:tc>
          <w:tcPr>
            <w:tcW w:w="544" w:type="pct"/>
          </w:tcPr>
          <w:p w:rsidR="00441828" w:rsidRPr="00BB33CC" w:rsidRDefault="00441828" w:rsidP="00776A41">
            <w:pPr>
              <w:pStyle w:val="Normalresolucion"/>
              <w:jc w:val="left"/>
              <w:rPr>
                <w:sz w:val="16"/>
                <w:szCs w:val="16"/>
              </w:rPr>
            </w:pPr>
            <w:r w:rsidRPr="00BB33CC">
              <w:rPr>
                <w:sz w:val="16"/>
                <w:szCs w:val="16"/>
              </w:rPr>
              <w:t>Lineal</w:t>
            </w:r>
          </w:p>
        </w:tc>
        <w:tc>
          <w:tcPr>
            <w:tcW w:w="544" w:type="pct"/>
          </w:tcPr>
          <w:p w:rsidR="00441828" w:rsidRPr="00BB33CC" w:rsidRDefault="00441828" w:rsidP="00776A41">
            <w:pPr>
              <w:pStyle w:val="Normalresolucion"/>
              <w:jc w:val="left"/>
              <w:rPr>
                <w:sz w:val="16"/>
                <w:szCs w:val="16"/>
              </w:rPr>
            </w:pPr>
            <w:r w:rsidRPr="00BB33CC">
              <w:rPr>
                <w:sz w:val="16"/>
                <w:szCs w:val="16"/>
              </w:rPr>
              <w:t>Anual</w:t>
            </w:r>
          </w:p>
        </w:tc>
        <w:tc>
          <w:tcPr>
            <w:tcW w:w="605" w:type="pct"/>
          </w:tcPr>
          <w:p w:rsidR="00441828" w:rsidRPr="00BB33CC" w:rsidRDefault="00441828" w:rsidP="00776A41">
            <w:pPr>
              <w:pStyle w:val="Normalresolucion"/>
              <w:jc w:val="left"/>
              <w:rPr>
                <w:sz w:val="16"/>
                <w:szCs w:val="16"/>
              </w:rPr>
            </w:pPr>
            <w:r w:rsidRPr="00BB33CC">
              <w:rPr>
                <w:sz w:val="16"/>
                <w:szCs w:val="16"/>
              </w:rPr>
              <w:t>FCM</w:t>
            </w:r>
          </w:p>
        </w:tc>
        <w:tc>
          <w:tcPr>
            <w:tcW w:w="465" w:type="pct"/>
          </w:tcPr>
          <w:p w:rsidR="00441828" w:rsidRPr="00BB33CC" w:rsidRDefault="00441828" w:rsidP="00776A41">
            <w:pPr>
              <w:pStyle w:val="Normalresolucion"/>
              <w:jc w:val="left"/>
              <w:rPr>
                <w:sz w:val="16"/>
                <w:szCs w:val="16"/>
              </w:rPr>
            </w:pPr>
            <w:r w:rsidRPr="00BB33CC">
              <w:rPr>
                <w:sz w:val="16"/>
                <w:szCs w:val="16"/>
              </w:rPr>
              <w:t>Calculado por el operador</w:t>
            </w:r>
          </w:p>
        </w:tc>
      </w:tr>
    </w:tbl>
    <w:p w:rsidR="00441828" w:rsidRPr="00BB33CC" w:rsidRDefault="00441828" w:rsidP="00441828">
      <w:pPr>
        <w:pStyle w:val="Normalresolucion"/>
        <w:spacing w:before="0"/>
        <w:jc w:val="right"/>
        <w:rPr>
          <w:lang w:val="en-GB"/>
        </w:rPr>
      </w:pPr>
      <w:r w:rsidRPr="00BB33CC">
        <w:rPr>
          <w:sz w:val="20"/>
          <w:lang w:val="en-GB"/>
        </w:rPr>
        <w:t xml:space="preserve">Fuente: </w:t>
      </w:r>
      <w:r w:rsidR="00303600" w:rsidRPr="00BB33CC">
        <w:rPr>
          <w:sz w:val="20"/>
          <w:lang w:val="en-GB"/>
        </w:rPr>
        <w:t xml:space="preserve">Axon </w:t>
      </w:r>
      <w:r w:rsidR="002656C1" w:rsidRPr="00BB33CC">
        <w:rPr>
          <w:sz w:val="20"/>
          <w:lang w:val="en-GB"/>
        </w:rPr>
        <w:t xml:space="preserve">Partners </w:t>
      </w:r>
      <w:r w:rsidR="00303600" w:rsidRPr="00BB33CC">
        <w:rPr>
          <w:sz w:val="20"/>
          <w:lang w:val="en-GB"/>
        </w:rPr>
        <w:t>Group</w:t>
      </w:r>
      <w:r w:rsidR="002656C1" w:rsidRPr="00BB33CC">
        <w:rPr>
          <w:sz w:val="20"/>
          <w:lang w:val="en-GB"/>
        </w:rPr>
        <w:t xml:space="preserve"> Consulting</w:t>
      </w:r>
      <w:r w:rsidRPr="00BB33CC">
        <w:rPr>
          <w:sz w:val="20"/>
          <w:lang w:val="en-GB"/>
        </w:rPr>
        <w:t>.</w:t>
      </w:r>
    </w:p>
    <w:p w:rsidR="000C3CE7" w:rsidRPr="00BB33CC" w:rsidRDefault="000C3CE7" w:rsidP="000C3CE7">
      <w:pPr>
        <w:jc w:val="both"/>
        <w:rPr>
          <w:rFonts w:ascii="ITC Avant Garde" w:hAnsi="ITC Avant Garde"/>
          <w:b/>
          <w:lang w:val="en-GB"/>
        </w:rPr>
      </w:pPr>
    </w:p>
    <w:p w:rsidR="00441828" w:rsidRPr="00BB33CC" w:rsidRDefault="00441828" w:rsidP="00441828">
      <w:pPr>
        <w:rPr>
          <w:rFonts w:ascii="ITC Avant Garde" w:hAnsi="ITC Avant Garde"/>
          <w:lang w:val="en-GB"/>
        </w:rPr>
      </w:pPr>
    </w:p>
    <w:p w:rsidR="00441828" w:rsidRPr="00BB33CC" w:rsidRDefault="00441828" w:rsidP="00441828">
      <w:pPr>
        <w:rPr>
          <w:rFonts w:ascii="ITC Avant Garde" w:hAnsi="ITC Avant Garde"/>
          <w:lang w:val="en-GB"/>
        </w:rPr>
        <w:sectPr w:rsidR="00441828" w:rsidRPr="00BB33CC" w:rsidSect="009D0891">
          <w:pgSz w:w="15840" w:h="12240" w:orient="landscape"/>
          <w:pgMar w:top="1701" w:right="1418" w:bottom="1701" w:left="1418" w:header="709" w:footer="709" w:gutter="0"/>
          <w:cols w:space="720"/>
        </w:sectPr>
      </w:pPr>
    </w:p>
    <w:p w:rsidR="00010BFB" w:rsidRPr="00BB33CC" w:rsidRDefault="00010BFB" w:rsidP="00010BFB">
      <w:pPr>
        <w:pStyle w:val="Ttulo2"/>
        <w:numPr>
          <w:ilvl w:val="0"/>
          <w:numId w:val="274"/>
        </w:numPr>
      </w:pPr>
      <w:r w:rsidRPr="00BB33CC">
        <w:lastRenderedPageBreak/>
        <w:t>Aspectos relevantes de las experiencias de separación contable en América Latina</w:t>
      </w:r>
    </w:p>
    <w:p w:rsidR="00010BFB" w:rsidRPr="00BB33CC" w:rsidRDefault="00010BFB" w:rsidP="00010BFB">
      <w:pPr>
        <w:jc w:val="both"/>
        <w:rPr>
          <w:rFonts w:ascii="ITC Avant Garde" w:hAnsi="ITC Avant Garde"/>
        </w:rPr>
      </w:pPr>
      <w:r w:rsidRPr="00BB33CC">
        <w:rPr>
          <w:rFonts w:ascii="ITC Avant Garde" w:hAnsi="ITC Avant Garde"/>
        </w:rPr>
        <w:t>Como se observó anteriormente, varios países de América Latina han implementado obligaciones relativas a la metodología de separación contable, con sus respectivas arquitecturas, metodologías y formatos, atendiendo al contexto específico de los operadores y su industria de telecomunicaciones y televisión. En este aparatado se describen las principales características y arquitecturas de separación contable que han implementado.</w:t>
      </w:r>
    </w:p>
    <w:p w:rsidR="00010BFB" w:rsidRPr="00BB33CC" w:rsidRDefault="00010BFB" w:rsidP="00010BFB">
      <w:pPr>
        <w:pStyle w:val="Ttulo2"/>
        <w:numPr>
          <w:ilvl w:val="1"/>
          <w:numId w:val="274"/>
        </w:numPr>
        <w:rPr>
          <w:b w:val="0"/>
        </w:rPr>
      </w:pPr>
      <w:r w:rsidRPr="00BB33CC">
        <w:t>Colombia</w:t>
      </w:r>
    </w:p>
    <w:p w:rsidR="00010BFB" w:rsidRPr="00BB33CC" w:rsidRDefault="00010BFB" w:rsidP="00010BFB">
      <w:pPr>
        <w:jc w:val="both"/>
        <w:rPr>
          <w:rFonts w:ascii="ITC Avant Garde" w:hAnsi="ITC Avant Garde"/>
        </w:rPr>
      </w:pPr>
      <w:r w:rsidRPr="00BB33CC">
        <w:rPr>
          <w:rFonts w:ascii="ITC Avant Garde" w:hAnsi="ITC Avant Garde"/>
        </w:rPr>
        <w:t>En Colombia, las fases del proceso de identificación y asignación de ingresos y costos en el modelo de separación contable utiliza el siguiente esquema:</w:t>
      </w:r>
    </w:p>
    <w:p w:rsidR="00010BFB" w:rsidRPr="00BB33CC" w:rsidRDefault="00010BFB" w:rsidP="00010BFB">
      <w:pPr>
        <w:pStyle w:val="Descripcin"/>
        <w:keepNext/>
        <w:rPr>
          <w:rFonts w:ascii="ITC Avant Garde" w:hAnsi="ITC Avant Garde"/>
          <w:i/>
          <w:color w:val="000000" w:themeColor="text1"/>
          <w:sz w:val="20"/>
          <w:lang w:val="es-MX"/>
        </w:rPr>
      </w:pPr>
      <w:r w:rsidRPr="00BB33CC">
        <w:rPr>
          <w:rFonts w:ascii="ITC Avant Garde" w:hAnsi="ITC Avant Garde"/>
          <w:color w:val="000000" w:themeColor="text1"/>
          <w:sz w:val="20"/>
          <w:lang w:val="es-MX"/>
        </w:rPr>
        <w:t xml:space="preserve">Figura </w:t>
      </w:r>
      <w:r w:rsidR="000B7E93" w:rsidRPr="00BB33CC">
        <w:rPr>
          <w:rFonts w:ascii="ITC Avant Garde" w:hAnsi="ITC Avant Garde"/>
          <w:color w:val="000000" w:themeColor="text1"/>
          <w:sz w:val="20"/>
        </w:rPr>
        <w:fldChar w:fldCharType="begin"/>
      </w:r>
      <w:r w:rsidR="000B7E93" w:rsidRPr="00BB33CC">
        <w:rPr>
          <w:rFonts w:ascii="ITC Avant Garde" w:hAnsi="ITC Avant Garde"/>
          <w:color w:val="000000" w:themeColor="text1"/>
          <w:sz w:val="20"/>
          <w:lang w:val="es-MX"/>
        </w:rPr>
        <w:instrText xml:space="preserve"> SEQ Figura. \* ARABIC </w:instrText>
      </w:r>
      <w:r w:rsidR="000B7E93" w:rsidRPr="00BB33CC">
        <w:rPr>
          <w:rFonts w:ascii="ITC Avant Garde" w:hAnsi="ITC Avant Garde"/>
          <w:color w:val="000000" w:themeColor="text1"/>
          <w:sz w:val="20"/>
        </w:rPr>
        <w:fldChar w:fldCharType="separate"/>
      </w:r>
      <w:r w:rsidR="00C03E81" w:rsidRPr="00BB33CC">
        <w:rPr>
          <w:rFonts w:ascii="ITC Avant Garde" w:hAnsi="ITC Avant Garde"/>
          <w:noProof/>
          <w:color w:val="000000" w:themeColor="text1"/>
          <w:sz w:val="20"/>
          <w:lang w:val="es-MX"/>
        </w:rPr>
        <w:t>1</w:t>
      </w:r>
      <w:r w:rsidR="000B7E93" w:rsidRPr="00BB33CC">
        <w:rPr>
          <w:rFonts w:ascii="ITC Avant Garde" w:hAnsi="ITC Avant Garde"/>
          <w:color w:val="000000" w:themeColor="text1"/>
          <w:sz w:val="20"/>
        </w:rPr>
        <w:fldChar w:fldCharType="end"/>
      </w:r>
      <w:r w:rsidRPr="00BB33CC">
        <w:rPr>
          <w:rFonts w:ascii="ITC Avant Garde" w:hAnsi="ITC Avant Garde"/>
          <w:color w:val="000000" w:themeColor="text1"/>
          <w:sz w:val="20"/>
          <w:lang w:val="es-MX"/>
        </w:rPr>
        <w:t>. Esquema general del modelo de separación contable</w:t>
      </w:r>
    </w:p>
    <w:p w:rsidR="00010BFB" w:rsidRPr="00BB33CC" w:rsidRDefault="00010BFB" w:rsidP="00797696">
      <w:pPr>
        <w:jc w:val="center"/>
      </w:pPr>
      <w:r w:rsidRPr="00BB33CC">
        <w:rPr>
          <w:rFonts w:ascii="ITC Avant Garde" w:hAnsi="ITC Avant Garde"/>
          <w:noProof/>
          <w:lang w:eastAsia="es-MX"/>
        </w:rPr>
        <mc:AlternateContent>
          <mc:Choice Requires="wpc">
            <w:drawing>
              <wp:inline distT="0" distB="0" distL="0" distR="0" wp14:anchorId="77ADF2AA" wp14:editId="67434B9B">
                <wp:extent cx="5486400" cy="4428877"/>
                <wp:effectExtent l="0" t="0" r="0" b="0"/>
                <wp:docPr id="130" name="Lienzo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7" name="Grupo 167"/>
                        <wpg:cNvGrpSpPr/>
                        <wpg:grpSpPr>
                          <a:xfrm>
                            <a:off x="230589" y="32322"/>
                            <a:ext cx="5054728" cy="4340042"/>
                            <a:chOff x="87245" y="32719"/>
                            <a:chExt cx="5054728" cy="4340042"/>
                          </a:xfrm>
                        </wpg:grpSpPr>
                        <wps:wsp>
                          <wps:cNvPr id="96" name="Rectángulo 96"/>
                          <wps:cNvSpPr/>
                          <wps:spPr>
                            <a:xfrm>
                              <a:off x="445275" y="501034"/>
                              <a:ext cx="1073425" cy="3450763"/>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ángulo 97"/>
                          <wps:cNvSpPr/>
                          <wps:spPr>
                            <a:xfrm>
                              <a:off x="445276" y="501035"/>
                              <a:ext cx="1073424" cy="44505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F25514" w:rsidRDefault="00820D16" w:rsidP="00010BFB">
                                <w:pPr>
                                  <w:pStyle w:val="Sinespaciado"/>
                                  <w:jc w:val="center"/>
                                  <w:rPr>
                                    <w:rFonts w:ascii="ITC Avant Garde" w:hAnsi="ITC Avant Garde"/>
                                    <w:b/>
                                    <w:sz w:val="14"/>
                                  </w:rPr>
                                </w:pPr>
                                <w:r w:rsidRPr="00F25514">
                                  <w:rPr>
                                    <w:rFonts w:ascii="ITC Avant Garde" w:hAnsi="ITC Avant Garde"/>
                                    <w:b/>
                                    <w:sz w:val="14"/>
                                  </w:rPr>
                                  <w:t>NIVEL 1</w:t>
                                </w:r>
                              </w:p>
                              <w:p w:rsidR="00820D16" w:rsidRPr="00F25514" w:rsidRDefault="00820D16" w:rsidP="00010BFB">
                                <w:pPr>
                                  <w:pStyle w:val="Sinespaciado"/>
                                  <w:jc w:val="center"/>
                                  <w:rPr>
                                    <w:rFonts w:ascii="ITC Avant Garde" w:hAnsi="ITC Avant Garde"/>
                                    <w:b/>
                                    <w:sz w:val="14"/>
                                  </w:rPr>
                                </w:pPr>
                                <w:r w:rsidRPr="00F25514">
                                  <w:rPr>
                                    <w:rFonts w:ascii="ITC Avant Garde" w:hAnsi="ITC Avant Garde"/>
                                    <w:b/>
                                    <w:sz w:val="14"/>
                                  </w:rPr>
                                  <w:t>CUENTAS POR NATURALEZA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Cuadro de texto 127"/>
                          <wps:cNvSpPr txBox="1"/>
                          <wps:spPr>
                            <a:xfrm>
                              <a:off x="795131" y="32719"/>
                              <a:ext cx="1152939" cy="428444"/>
                            </a:xfrm>
                            <a:prstGeom prst="rect">
                              <a:avLst/>
                            </a:prstGeom>
                            <a:noFill/>
                            <a:ln w="254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20D16" w:rsidRPr="00776A41" w:rsidRDefault="00820D16" w:rsidP="00010BFB">
                                <w:pPr>
                                  <w:pStyle w:val="Sinespaciado"/>
                                  <w:jc w:val="center"/>
                                  <w:rPr>
                                    <w:rFonts w:ascii="ITC Avant Garde" w:hAnsi="ITC Avant Garde"/>
                                    <w:sz w:val="12"/>
                                    <w:lang w:val="es-MX"/>
                                  </w:rPr>
                                </w:pPr>
                                <w:r w:rsidRPr="00776A41">
                                  <w:rPr>
                                    <w:rFonts w:ascii="ITC Avant Garde" w:hAnsi="ITC Avant Garde"/>
                                    <w:sz w:val="12"/>
                                    <w:lang w:val="es-MX"/>
                                  </w:rPr>
                                  <w:t>Identificación de costos compartidos sobre el nivel de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Rectángulo 131"/>
                          <wps:cNvSpPr/>
                          <wps:spPr>
                            <a:xfrm>
                              <a:off x="87465" y="945498"/>
                              <a:ext cx="310099" cy="66860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1E6625" w:rsidRDefault="00820D16" w:rsidP="00010BFB">
                                <w:pPr>
                                  <w:jc w:val="center"/>
                                  <w:rPr>
                                    <w:rFonts w:ascii="ITC Avant Garde" w:hAnsi="ITC Avant Garde"/>
                                    <w:b/>
                                    <w:sz w:val="18"/>
                                  </w:rPr>
                                </w:pPr>
                                <w:r w:rsidRPr="001E6625">
                                  <w:rPr>
                                    <w:b/>
                                    <w:sz w:val="18"/>
                                  </w:rPr>
                                  <w:t>INGRESOS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2" name="Rectángulo 132"/>
                          <wps:cNvSpPr/>
                          <wps:spPr>
                            <a:xfrm>
                              <a:off x="445276" y="946574"/>
                              <a:ext cx="1073424" cy="30052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776A41" w:rsidRDefault="00820D16" w:rsidP="00010BFB">
                                <w:pPr>
                                  <w:pStyle w:val="Sinespaciado"/>
                                  <w:rPr>
                                    <w:rFonts w:ascii="ITC Avant Garde" w:hAnsi="ITC Avant Garde"/>
                                    <w:b/>
                                    <w:color w:val="000000" w:themeColor="text1"/>
                                    <w:sz w:val="14"/>
                                    <w:szCs w:val="14"/>
                                    <w:lang w:val="es-MX"/>
                                  </w:rPr>
                                </w:pPr>
                                <w:r w:rsidRPr="00776A41">
                                  <w:rPr>
                                    <w:rFonts w:ascii="ITC Avant Garde" w:hAnsi="ITC Avant Garde"/>
                                    <w:b/>
                                    <w:color w:val="000000" w:themeColor="text1"/>
                                    <w:sz w:val="14"/>
                                    <w:szCs w:val="14"/>
                                    <w:lang w:val="es-MX"/>
                                  </w:rPr>
                                  <w:t>INGRESOS:</w:t>
                                </w:r>
                              </w:p>
                              <w:p w:rsidR="00820D16" w:rsidRPr="00776A41" w:rsidRDefault="00820D16" w:rsidP="00010BFB">
                                <w:pPr>
                                  <w:pStyle w:val="Sinespaciado"/>
                                  <w:rPr>
                                    <w:rFonts w:ascii="ITC Avant Garde" w:hAnsi="ITC Avant Garde"/>
                                    <w:color w:val="000000" w:themeColor="text1"/>
                                    <w:sz w:val="14"/>
                                    <w:szCs w:val="14"/>
                                    <w:lang w:val="es-MX"/>
                                  </w:rPr>
                                </w:pPr>
                                <w:r w:rsidRPr="00776A41">
                                  <w:rPr>
                                    <w:rFonts w:ascii="ITC Avant Garde" w:hAnsi="ITC Avant Garde"/>
                                    <w:color w:val="000000" w:themeColor="text1"/>
                                    <w:sz w:val="14"/>
                                    <w:szCs w:val="14"/>
                                    <w:lang w:val="es-MX"/>
                                  </w:rPr>
                                  <w:t>- Ingresos operacionales</w:t>
                                </w:r>
                              </w:p>
                              <w:p w:rsidR="00820D16" w:rsidRPr="00776A41" w:rsidRDefault="00820D16" w:rsidP="00010BFB">
                                <w:pPr>
                                  <w:pStyle w:val="Sinespaciado"/>
                                  <w:rPr>
                                    <w:rFonts w:ascii="ITC Avant Garde" w:hAnsi="ITC Avant Garde"/>
                                    <w:color w:val="000000" w:themeColor="text1"/>
                                    <w:sz w:val="14"/>
                                    <w:szCs w:val="14"/>
                                    <w:lang w:val="es-MX"/>
                                  </w:rPr>
                                </w:pPr>
                                <w:r w:rsidRPr="00776A41">
                                  <w:rPr>
                                    <w:rFonts w:ascii="ITC Avant Garde" w:hAnsi="ITC Avant Garde"/>
                                    <w:color w:val="000000" w:themeColor="text1"/>
                                    <w:sz w:val="14"/>
                                    <w:szCs w:val="14"/>
                                    <w:lang w:val="es-MX"/>
                                  </w:rPr>
                                  <w:t>- Ingresos extraordinarios</w:t>
                                </w:r>
                              </w:p>
                              <w:p w:rsidR="00820D16" w:rsidRPr="00894D77" w:rsidRDefault="00820D16" w:rsidP="00010BFB">
                                <w:pPr>
                                  <w:pStyle w:val="NormalWeb"/>
                                  <w:spacing w:before="0" w:beforeAutospacing="0" w:after="0" w:afterAutospacing="0"/>
                                  <w:rPr>
                                    <w:rFonts w:ascii="ITC Avant Garde" w:eastAsia="Calibri" w:hAnsi="ITC Avant Garde"/>
                                    <w:b/>
                                    <w:bCs/>
                                    <w:color w:val="000000"/>
                                    <w:sz w:val="14"/>
                                    <w:szCs w:val="14"/>
                                  </w:rPr>
                                </w:pPr>
                              </w:p>
                              <w:p w:rsidR="00820D16" w:rsidRDefault="00820D16" w:rsidP="00010BFB">
                                <w:pPr>
                                  <w:pStyle w:val="NormalWeb"/>
                                  <w:spacing w:before="0" w:beforeAutospacing="0" w:after="0" w:afterAutospacing="0"/>
                                  <w:rPr>
                                    <w:rFonts w:ascii="ITC Avant Garde" w:eastAsia="Calibri" w:hAnsi="ITC Avant Garde"/>
                                    <w:b/>
                                    <w:bCs/>
                                    <w:color w:val="000000"/>
                                    <w:sz w:val="14"/>
                                    <w:szCs w:val="14"/>
                                  </w:rPr>
                                </w:pPr>
                              </w:p>
                              <w:p w:rsidR="00820D16" w:rsidRDefault="00820D16" w:rsidP="00010BFB">
                                <w:pPr>
                                  <w:pStyle w:val="NormalWeb"/>
                                  <w:spacing w:before="0" w:beforeAutospacing="0" w:after="0" w:afterAutospacing="0"/>
                                  <w:rPr>
                                    <w:rFonts w:ascii="ITC Avant Garde" w:eastAsia="Calibri" w:hAnsi="ITC Avant Garde"/>
                                    <w:b/>
                                    <w:bCs/>
                                    <w:color w:val="000000"/>
                                    <w:sz w:val="14"/>
                                    <w:szCs w:val="14"/>
                                  </w:rPr>
                                </w:pPr>
                              </w:p>
                              <w:p w:rsidR="00820D16" w:rsidRDefault="00820D16" w:rsidP="00010BFB">
                                <w:pPr>
                                  <w:jc w:val="both"/>
                                  <w:rPr>
                                    <w:rFonts w:ascii="ITC Avant Garde" w:eastAsia="Calibri" w:hAnsi="ITC Avant Garde"/>
                                    <w:b/>
                                    <w:bCs/>
                                    <w:color w:val="000000"/>
                                    <w:sz w:val="14"/>
                                    <w:szCs w:val="14"/>
                                  </w:rPr>
                                </w:pPr>
                              </w:p>
                              <w:p w:rsidR="00820D16" w:rsidRPr="00894D77" w:rsidRDefault="00820D16" w:rsidP="00010BFB">
                                <w:pPr>
                                  <w:pStyle w:val="NormalWeb"/>
                                  <w:spacing w:before="0" w:beforeAutospacing="0" w:after="0" w:afterAutospacing="0"/>
                                  <w:rPr>
                                    <w:sz w:val="14"/>
                                    <w:szCs w:val="14"/>
                                  </w:rPr>
                                </w:pPr>
                                <w:r w:rsidRPr="00894D77">
                                  <w:rPr>
                                    <w:rFonts w:ascii="ITC Avant Garde" w:eastAsia="Calibri" w:hAnsi="ITC Avant Garde"/>
                                    <w:b/>
                                    <w:bCs/>
                                    <w:color w:val="000000"/>
                                    <w:sz w:val="14"/>
                                    <w:szCs w:val="14"/>
                                  </w:rPr>
                                  <w:t>ACTIVOS:</w:t>
                                </w:r>
                              </w:p>
                              <w:p w:rsidR="00820D16" w:rsidRPr="00894D77" w:rsidRDefault="00820D16" w:rsidP="00010BFB">
                                <w:pPr>
                                  <w:pStyle w:val="NormalWeb"/>
                                  <w:spacing w:before="0" w:beforeAutospacing="0" w:after="0" w:afterAutospacing="0"/>
                                  <w:rPr>
                                    <w:sz w:val="14"/>
                                    <w:szCs w:val="14"/>
                                  </w:rPr>
                                </w:pPr>
                                <w:r w:rsidRPr="00894D77">
                                  <w:rPr>
                                    <w:rFonts w:ascii="ITC Avant Garde" w:eastAsia="Calibri" w:hAnsi="ITC Avant Garde"/>
                                    <w:color w:val="000000"/>
                                    <w:sz w:val="14"/>
                                    <w:szCs w:val="14"/>
                                  </w:rPr>
                                  <w:t>- Costos de depreciación</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Costos de capital</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p>
                              <w:p w:rsidR="00820D16" w:rsidRPr="00894D77" w:rsidRDefault="00820D16" w:rsidP="00010BFB">
                                <w:pPr>
                                  <w:pStyle w:val="NormalWeb"/>
                                  <w:spacing w:before="0" w:beforeAutospacing="0" w:after="0" w:afterAutospacing="0"/>
                                  <w:rPr>
                                    <w:rFonts w:ascii="ITC Avant Garde" w:eastAsia="Calibri" w:hAnsi="ITC Avant Garde"/>
                                    <w:b/>
                                    <w:color w:val="000000"/>
                                    <w:sz w:val="14"/>
                                    <w:szCs w:val="14"/>
                                  </w:rPr>
                                </w:pPr>
                                <w:r w:rsidRPr="00894D77">
                                  <w:rPr>
                                    <w:rFonts w:ascii="ITC Avant Garde" w:eastAsia="Calibri" w:hAnsi="ITC Avant Garde"/>
                                    <w:b/>
                                    <w:color w:val="000000"/>
                                    <w:sz w:val="14"/>
                                    <w:szCs w:val="14"/>
                                  </w:rPr>
                                  <w:t>COSTOS:</w:t>
                                </w:r>
                              </w:p>
                              <w:p w:rsidR="00820D16" w:rsidRPr="00894D77" w:rsidRDefault="00820D16" w:rsidP="00010BFB">
                                <w:pPr>
                                  <w:jc w:val="both"/>
                                  <w:rPr>
                                    <w:rFonts w:ascii="ITC Avant Garde" w:eastAsia="Calibri" w:hAnsi="ITC Avant Garde"/>
                                    <w:color w:val="000000"/>
                                    <w:sz w:val="14"/>
                                    <w:szCs w:val="14"/>
                                  </w:rPr>
                                </w:pPr>
                                <w:r w:rsidRPr="00894D77">
                                  <w:rPr>
                                    <w:rFonts w:ascii="ITC Avant Garde" w:eastAsia="Calibri" w:hAnsi="ITC Avant Garde"/>
                                    <w:color w:val="000000"/>
                                    <w:sz w:val="14"/>
                                    <w:szCs w:val="14"/>
                                  </w:rPr>
                                  <w:t>- Gastos de personal</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Gastos comerciales</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Otros costos operaciones</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Costos directos de ventas</w:t>
                                </w:r>
                              </w:p>
                              <w:p w:rsidR="00820D16" w:rsidRPr="00894D77" w:rsidRDefault="00820D16" w:rsidP="00010BFB">
                                <w:pPr>
                                  <w:pStyle w:val="NormalWeb"/>
                                  <w:spacing w:before="0" w:beforeAutospacing="0" w:after="0" w:afterAutospacing="0"/>
                                  <w:rPr>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Rectángulo 134"/>
                          <wps:cNvSpPr/>
                          <wps:spPr>
                            <a:xfrm>
                              <a:off x="87245" y="1650717"/>
                              <a:ext cx="309880" cy="230107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1E6625" w:rsidRDefault="00820D16" w:rsidP="00010BFB">
                                <w:pPr>
                                  <w:pStyle w:val="NormalWeb"/>
                                  <w:spacing w:before="0" w:beforeAutospacing="0" w:after="160" w:afterAutospacing="0" w:line="254" w:lineRule="auto"/>
                                  <w:jc w:val="center"/>
                                  <w:rPr>
                                    <w:rFonts w:ascii="ITC Avant Garde" w:hAnsi="ITC Avant Garde"/>
                                  </w:rPr>
                                </w:pPr>
                                <w:r>
                                  <w:rPr>
                                    <w:rFonts w:ascii="ITC Avant Garde" w:eastAsia="Calibri" w:hAnsi="ITC Avant Garde"/>
                                    <w:b/>
                                    <w:bCs/>
                                    <w:sz w:val="18"/>
                                    <w:szCs w:val="18"/>
                                  </w:rPr>
                                  <w:t>COSTOS</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35" name="Rectángulo 135"/>
                          <wps:cNvSpPr/>
                          <wps:spPr>
                            <a:xfrm>
                              <a:off x="1635089" y="502025"/>
                              <a:ext cx="1073150" cy="3449773"/>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Rectángulo 136"/>
                          <wps:cNvSpPr/>
                          <wps:spPr>
                            <a:xfrm>
                              <a:off x="1635089" y="502074"/>
                              <a:ext cx="1073150" cy="4445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NIVEL 2</w:t>
                                </w:r>
                                <w:r>
                                  <w:t xml:space="preserve"> </w:t>
                                </w:r>
                                <w:r>
                                  <w:rPr>
                                    <w:rFonts w:ascii="ITC Avant Garde" w:eastAsia="Calibri" w:hAnsi="ITC Avant Garde"/>
                                    <w:b/>
                                    <w:bCs/>
                                    <w:sz w:val="14"/>
                                    <w:szCs w:val="14"/>
                                  </w:rPr>
                                  <w:t>ACTIVIDADES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Rectángulo 138"/>
                          <wps:cNvSpPr/>
                          <wps:spPr>
                            <a:xfrm>
                              <a:off x="1658942" y="1673461"/>
                              <a:ext cx="1020647" cy="775544"/>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776A41" w:rsidRDefault="00820D16" w:rsidP="00010BFB">
                                <w:pPr>
                                  <w:pStyle w:val="Sinespaciado"/>
                                  <w:rPr>
                                    <w:rFonts w:ascii="ITC Avant Garde" w:hAnsi="ITC Avant Garde"/>
                                    <w:b/>
                                    <w:color w:val="000000" w:themeColor="text1"/>
                                    <w:sz w:val="14"/>
                                    <w:lang w:val="es-MX"/>
                                  </w:rPr>
                                </w:pPr>
                                <w:r w:rsidRPr="00776A41">
                                  <w:rPr>
                                    <w:rFonts w:ascii="ITC Avant Garde" w:hAnsi="ITC Avant Garde"/>
                                    <w:b/>
                                    <w:color w:val="000000" w:themeColor="text1"/>
                                    <w:sz w:val="14"/>
                                    <w:lang w:val="es-MX"/>
                                  </w:rPr>
                                  <w:t>COMPONENTES DE RED:</w:t>
                                </w:r>
                              </w:p>
                              <w:p w:rsidR="00820D16" w:rsidRPr="00776A41" w:rsidRDefault="00820D16" w:rsidP="00010BFB">
                                <w:pPr>
                                  <w:pStyle w:val="Sinespaciado"/>
                                  <w:rPr>
                                    <w:rFonts w:ascii="ITC Avant Garde" w:hAnsi="ITC Avant Garde"/>
                                    <w:color w:val="000000" w:themeColor="text1"/>
                                    <w:sz w:val="14"/>
                                    <w:lang w:val="es-MX"/>
                                  </w:rPr>
                                </w:pPr>
                                <w:r w:rsidRPr="00776A41">
                                  <w:rPr>
                                    <w:rFonts w:ascii="ITC Avant Garde" w:hAnsi="ITC Avant Garde"/>
                                    <w:color w:val="000000" w:themeColor="text1"/>
                                    <w:sz w:val="14"/>
                                    <w:lang w:val="es-MX"/>
                                  </w:rPr>
                                  <w:t>- Activos de red</w:t>
                                </w:r>
                              </w:p>
                              <w:p w:rsidR="00820D16" w:rsidRPr="00776A41" w:rsidRDefault="00820D16" w:rsidP="00010BFB">
                                <w:pPr>
                                  <w:pStyle w:val="Sinespaciado"/>
                                  <w:rPr>
                                    <w:rFonts w:ascii="ITC Avant Garde" w:hAnsi="ITC Avant Garde"/>
                                    <w:color w:val="000000" w:themeColor="text1"/>
                                    <w:sz w:val="14"/>
                                    <w:lang w:val="es-MX"/>
                                  </w:rPr>
                                </w:pPr>
                                <w:r w:rsidRPr="00776A41">
                                  <w:rPr>
                                    <w:rFonts w:ascii="ITC Avant Garde" w:hAnsi="ITC Avant Garde"/>
                                    <w:color w:val="000000" w:themeColor="text1"/>
                                    <w:sz w:val="14"/>
                                    <w:lang w:val="es-MX"/>
                                  </w:rPr>
                                  <w:t>- Actividades de red de soporte</w:t>
                                </w:r>
                              </w:p>
                              <w:p w:rsidR="00820D16" w:rsidRPr="00776A41" w:rsidRDefault="00820D16" w:rsidP="00010BFB">
                                <w:pPr>
                                  <w:pStyle w:val="Sinespaciado"/>
                                  <w:rPr>
                                    <w:rFonts w:ascii="ITC Avant Garde" w:hAnsi="ITC Avant Garde"/>
                                    <w:color w:val="000000" w:themeColor="text1"/>
                                    <w:sz w:val="14"/>
                                    <w:lang w:val="es-MX"/>
                                  </w:rPr>
                                </w:pPr>
                                <w:r w:rsidRPr="00776A41">
                                  <w:rPr>
                                    <w:rFonts w:ascii="ITC Avant Garde" w:hAnsi="ITC Avant Garde"/>
                                    <w:color w:val="000000" w:themeColor="text1"/>
                                    <w:sz w:val="14"/>
                                    <w:lang w:val="es-MX"/>
                                  </w:rPr>
                                  <w:t>- Costos operativos tidfos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Rectángulo 139"/>
                          <wps:cNvSpPr/>
                          <wps:spPr>
                            <a:xfrm>
                              <a:off x="2843687" y="500942"/>
                              <a:ext cx="1073150" cy="3450439"/>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ángulo 140"/>
                          <wps:cNvSpPr/>
                          <wps:spPr>
                            <a:xfrm>
                              <a:off x="2843687" y="500995"/>
                              <a:ext cx="1073150" cy="44386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jc w:val="center"/>
                                  <w:rPr>
                                    <w:rFonts w:eastAsia="Times New Roman"/>
                                  </w:rPr>
                                </w:pPr>
                                <w:r>
                                  <w:rPr>
                                    <w:rFonts w:ascii="ITC Avant Garde" w:eastAsia="Calibri" w:hAnsi="ITC Avant Garde"/>
                                    <w:b/>
                                    <w:bCs/>
                                    <w:sz w:val="14"/>
                                    <w:szCs w:val="14"/>
                                  </w:rPr>
                                  <w:t>NIVEL 3</w:t>
                                </w:r>
                                <w:r>
                                  <w:rPr>
                                    <w:rFonts w:eastAsia="Times New Roman"/>
                                  </w:rPr>
                                  <w:t xml:space="preserve"> </w:t>
                                </w:r>
                              </w:p>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FUNCIONES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Conector recto 142"/>
                          <wps:cNvCnPr/>
                          <wps:spPr>
                            <a:xfrm>
                              <a:off x="397125" y="1626694"/>
                              <a:ext cx="3419062" cy="7952"/>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 name="Rectángulo 144"/>
                          <wps:cNvSpPr/>
                          <wps:spPr>
                            <a:xfrm>
                              <a:off x="1659144" y="2469496"/>
                              <a:ext cx="1020445" cy="77463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COMPONENTES NO DE RED:</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Actividades comerciales</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Actividades de soporte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Rectángulo 145"/>
                          <wps:cNvSpPr/>
                          <wps:spPr>
                            <a:xfrm>
                              <a:off x="1658942" y="3265109"/>
                              <a:ext cx="1020445" cy="305026"/>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ACTIVIDADES COMUNES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Rectángulo 146"/>
                          <wps:cNvSpPr/>
                          <wps:spPr>
                            <a:xfrm>
                              <a:off x="1658942" y="3591111"/>
                              <a:ext cx="1020445" cy="304800"/>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COSTOS DIRECTOS DE VENTAS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Flecha derecha 148"/>
                          <wps:cNvSpPr/>
                          <wps:spPr>
                            <a:xfrm>
                              <a:off x="1200648" y="3959293"/>
                              <a:ext cx="604299" cy="413468"/>
                            </a:xfrm>
                            <a:prstGeom prst="right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5D4273" w:rsidRDefault="00820D16" w:rsidP="00010BFB">
                                <w:pPr>
                                  <w:pStyle w:val="Sinespaciado"/>
                                  <w:rPr>
                                    <w:rFonts w:ascii="ITC Avant Garde" w:hAnsi="ITC Avant Garde"/>
                                    <w:b/>
                                    <w:sz w:val="14"/>
                                  </w:rPr>
                                </w:pPr>
                                <w:r w:rsidRPr="005D4273">
                                  <w:rPr>
                                    <w:rFonts w:ascii="ITC Avant Garde" w:hAnsi="ITC Avant Garde"/>
                                    <w:b/>
                                    <w:sz w:val="14"/>
                                  </w:rPr>
                                  <w:t>Fase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ángulo 149"/>
                          <wps:cNvSpPr/>
                          <wps:spPr>
                            <a:xfrm>
                              <a:off x="2875491" y="1674525"/>
                              <a:ext cx="1020445" cy="77533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FUNCIONES DE RED:</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Elementos funcionales de 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Rectángulo 150"/>
                          <wps:cNvSpPr/>
                          <wps:spPr>
                            <a:xfrm>
                              <a:off x="2875491" y="2470180"/>
                              <a:ext cx="1020445" cy="7740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FUNCIONES NO DE RED:</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Funciones comerciales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2875491" y="3265835"/>
                              <a:ext cx="1020445" cy="304800"/>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FUNCIONES COMUNES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2" name="Rectángulo 152"/>
                          <wps:cNvSpPr/>
                          <wps:spPr>
                            <a:xfrm>
                              <a:off x="2875491" y="3591590"/>
                              <a:ext cx="1020445" cy="3041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COSTOS DIRECTOS DE VENTAS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Flecha derecha 153"/>
                          <wps:cNvSpPr/>
                          <wps:spPr>
                            <a:xfrm>
                              <a:off x="2469976" y="3958980"/>
                              <a:ext cx="603885" cy="413385"/>
                            </a:xfrm>
                            <a:prstGeom prst="right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sz w:val="14"/>
                                    <w:szCs w:val="14"/>
                                  </w:rPr>
                                  <w:t>Fase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Flecha derecha 154"/>
                          <wps:cNvSpPr/>
                          <wps:spPr>
                            <a:xfrm>
                              <a:off x="3712820" y="3958979"/>
                              <a:ext cx="603885" cy="413385"/>
                            </a:xfrm>
                            <a:prstGeom prst="right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sz w:val="14"/>
                                    <w:szCs w:val="14"/>
                                  </w:rPr>
                                  <w:t>Fase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4068188" y="500909"/>
                              <a:ext cx="1073150" cy="3449955"/>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Rectángulo 156"/>
                          <wps:cNvSpPr/>
                          <wps:spPr>
                            <a:xfrm>
                              <a:off x="4068188" y="500909"/>
                              <a:ext cx="1073150" cy="44323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NIVEL 4</w:t>
                                </w:r>
                              </w:p>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Flecha arriba y abajo 161"/>
                          <wps:cNvSpPr/>
                          <wps:spPr>
                            <a:xfrm>
                              <a:off x="4317340" y="1786820"/>
                              <a:ext cx="591691" cy="1286539"/>
                            </a:xfrm>
                            <a:prstGeom prst="upDownArrow">
                              <a:avLst/>
                            </a:prstGeom>
                            <a:solidFill>
                              <a:srgbClr val="339966"/>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4068823" y="2170251"/>
                              <a:ext cx="1073150" cy="517061"/>
                            </a:xfrm>
                            <a:prstGeom prst="rect">
                              <a:avLst/>
                            </a:prstGeom>
                            <a:solidFill>
                              <a:srgbClr val="339966"/>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A73912" w:rsidRDefault="00820D16" w:rsidP="00010BFB">
                                <w:pPr>
                                  <w:pStyle w:val="NormalWeb"/>
                                  <w:spacing w:before="0" w:beforeAutospacing="0" w:after="160" w:afterAutospacing="0" w:line="252" w:lineRule="auto"/>
                                  <w:jc w:val="center"/>
                                  <w:rPr>
                                    <w:sz w:val="28"/>
                                  </w:rPr>
                                </w:pPr>
                                <w:r w:rsidRPr="00A73912">
                                  <w:rPr>
                                    <w:rFonts w:ascii="ITC Avant Garde" w:eastAsia="Calibri" w:hAnsi="ITC Avant Garde"/>
                                    <w:b/>
                                    <w:bCs/>
                                    <w:sz w:val="14"/>
                                    <w:szCs w:val="12"/>
                                  </w:rPr>
                                  <w:t>Cargos de transferencia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Cuadro de texto 163"/>
                          <wps:cNvSpPr txBox="1"/>
                          <wps:spPr>
                            <a:xfrm>
                              <a:off x="4068823" y="1415853"/>
                              <a:ext cx="1073149" cy="4457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D16" w:rsidRPr="00A73912" w:rsidRDefault="00820D16" w:rsidP="00010BFB">
                                <w:pPr>
                                  <w:pStyle w:val="Sinespaciado"/>
                                  <w:jc w:val="center"/>
                                  <w:rPr>
                                    <w:rFonts w:ascii="ITC Avant Garde" w:hAnsi="ITC Avant Garde"/>
                                    <w:b/>
                                    <w:sz w:val="14"/>
                                  </w:rPr>
                                </w:pPr>
                                <w:r w:rsidRPr="00A73912">
                                  <w:rPr>
                                    <w:rFonts w:ascii="ITC Avant Garde" w:hAnsi="ITC Avant Garde"/>
                                    <w:b/>
                                    <w:sz w:val="14"/>
                                  </w:rPr>
                                  <w:t>SERVICIOS MAYORISTAS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Cuadro de texto 163"/>
                          <wps:cNvSpPr txBox="1"/>
                          <wps:spPr>
                            <a:xfrm>
                              <a:off x="4068823" y="3146444"/>
                              <a:ext cx="1072515" cy="44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SERVICIOS MINORISTAS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Cuadro de texto 127"/>
                          <wps:cNvSpPr txBox="1"/>
                          <wps:spPr>
                            <a:xfrm>
                              <a:off x="2032214" y="33172"/>
                              <a:ext cx="1593142" cy="427990"/>
                            </a:xfrm>
                            <a:prstGeom prst="rect">
                              <a:avLst/>
                            </a:prstGeom>
                            <a:noFill/>
                            <a:ln w="254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20D16" w:rsidRPr="00E5504C" w:rsidRDefault="00820D16" w:rsidP="00010BFB">
                                <w:pPr>
                                  <w:pStyle w:val="NormalWeb"/>
                                  <w:spacing w:after="0"/>
                                  <w:jc w:val="center"/>
                                  <w:rPr>
                                    <w:sz w:val="22"/>
                                  </w:rPr>
                                </w:pPr>
                                <w:r w:rsidRPr="00E5504C">
                                  <w:rPr>
                                    <w:rFonts w:ascii="ITC Avant Garde" w:eastAsia="Calibri" w:hAnsi="ITC Avant Garde"/>
                                    <w:sz w:val="12"/>
                                    <w:szCs w:val="14"/>
                                  </w:rPr>
                                  <w:t>Asignación de actividades de soporte y costos operativos compartidos a bloques funcionales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6" name="Cuadro de texto 127"/>
                          <wps:cNvSpPr txBox="1"/>
                          <wps:spPr>
                            <a:xfrm>
                              <a:off x="3712820" y="32723"/>
                              <a:ext cx="1050011" cy="427355"/>
                            </a:xfrm>
                            <a:prstGeom prst="rect">
                              <a:avLst/>
                            </a:prstGeom>
                            <a:noFill/>
                            <a:ln w="254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20D16" w:rsidRDefault="00820D16" w:rsidP="00010BFB">
                                <w:pPr>
                                  <w:pStyle w:val="NormalWeb"/>
                                  <w:spacing w:after="0"/>
                                  <w:jc w:val="center"/>
                                </w:pPr>
                                <w:r>
                                  <w:rPr>
                                    <w:rFonts w:ascii="ITC Avant Garde" w:eastAsia="Calibri" w:hAnsi="ITC Avant Garde"/>
                                    <w:sz w:val="12"/>
                                    <w:szCs w:val="12"/>
                                  </w:rPr>
                                  <w:t>Reparto</w:t>
                                </w:r>
                                <w:r w:rsidRPr="00E5504C">
                                  <w:rPr>
                                    <w:rFonts w:ascii="ITC Avant Garde" w:eastAsia="Calibri" w:hAnsi="ITC Avant Garde"/>
                                    <w:sz w:val="12"/>
                                    <w:szCs w:val="12"/>
                                  </w:rPr>
                                  <w:t xml:space="preserve"> a servicios </w:t>
                                </w:r>
                                <w:r>
                                  <w:rPr>
                                    <w:rFonts w:ascii="ITC Avant Garde" w:eastAsia="Calibri" w:hAnsi="ITC Avant Garde"/>
                                    <w:sz w:val="12"/>
                                    <w:szCs w:val="12"/>
                                  </w:rPr>
                                  <w:t xml:space="preserve">y </w:t>
                                </w:r>
                                <w:r w:rsidRPr="00E5504C">
                                  <w:rPr>
                                    <w:rFonts w:ascii="ITC Avant Garde" w:eastAsia="Calibri" w:hAnsi="ITC Avant Garde"/>
                                    <w:sz w:val="12"/>
                                    <w:szCs w:val="12"/>
                                  </w:rPr>
                                  <w:t>aplicación de cargos de</w:t>
                                </w:r>
                                <w:r>
                                  <w:rPr>
                                    <w:rFonts w:ascii="ITC Avant Garde" w:eastAsia="Calibri" w:hAnsi="ITC Avant Garde"/>
                                    <w:sz w:val="12"/>
                                    <w:szCs w:val="12"/>
                                  </w:rPr>
                                  <w:t xml:space="preserve"> </w:t>
                                </w:r>
                                <w:r w:rsidRPr="00E5504C">
                                  <w:rPr>
                                    <w:rFonts w:ascii="ITC Avant Garde" w:eastAsia="Calibri" w:hAnsi="ITC Avant Garde"/>
                                    <w:sz w:val="12"/>
                                    <w:szCs w:val="12"/>
                                  </w:rPr>
                                  <w:t>transferencia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77ADF2AA" id="Lienzo 130" o:spid="_x0000_s1026" editas="canvas" style="width:6in;height:348.75pt;mso-position-horizontal-relative:char;mso-position-vertical-relative:line" coordsize="54864,4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">
                <v:shape id="_x0000_s1027" type="#_x0000_t75" style="position:absolute;width:54864;height:44284;visibility:visible;mso-wrap-style:square">
                  <v:fill o:detectmouseclick="t"/>
                  <v:path o:connecttype="none"/>
                </v:shape>
                <v:group id="Grupo 167" o:spid="_x0000_s1028" style="position:absolute;left:2305;top:323;width:50548;height:43400" coordorigin="872,327" coordsize="50547,43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ect id="Rectángulo 96" o:spid="_x0000_s1029" style="position:absolute;left:4452;top:5010;width:10735;height:34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5NcYA&#10;AADbAAAADwAAAGRycy9kb3ducmV2LnhtbESPQWsCMRSE74X+h/AK3mq2HqTdGqVVBC0WdCulx8fm&#10;dZN287Jsorv6602h4HGYmW+Yyax3tThSG6xnBQ/DDARx6bXlSsH+Y3n/CCJEZI21Z1JwogCz6e3N&#10;BHPtO97RsYiVSBAOOSowMTa5lKE05DAMfUOcvG/fOoxJtpXULXYJ7mo5yrKxdGg5LRhsaG6o/C0O&#10;TsF5YV4/Nz/zr/dQbA+8r2y3frNKDe76l2cQkfp4Df+3V1rB0xj+vqQf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J5NcYAAADbAAAADwAAAAAAAAAAAAAAAACYAgAAZHJz&#10;L2Rvd25yZXYueG1sUEsFBgAAAAAEAAQA9QAAAIsDAAAAAA==&#10;" fillcolor="#d9e2f3 [664]" strokecolor="#deeaf6 [660]" strokeweight="1pt"/>
                  <v:rect id="Rectángulo 97" o:spid="_x0000_s1030" style="position:absolute;left:4452;top:5010;width:10735;height: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ea8QA&#10;AADbAAAADwAAAGRycy9kb3ducmV2LnhtbESPQWvCQBSE7wX/w/IEb3VjQGtTV5GUipRejEKvj+xr&#10;Esy+DdnVJP76riB4HGbmG2a16U0trtS6yrKC2TQCQZxbXXGh4HT8el2CcB5ZY22ZFAzkYLMevaww&#10;0bbjA10zX4gAYZeggtL7JpHS5SUZdFPbEAfvz7YGfZBtIXWLXYCbWsZRtJAGKw4LJTaUlpSfs4tR&#10;QCb9/v2ZZwe7iIZjPPu0t8tur9Rk3G8/QHjq/TP8aO+1gvc3uH8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fXmvEAAAA2wAAAA8AAAAAAAAAAAAAAAAAmAIAAGRycy9k&#10;b3ducmV2LnhtbFBLBQYAAAAABAAEAPUAAACJAwAAAAA=&#10;" fillcolor="#002060" strokecolor="#002060" strokeweight="1pt">
                    <v:textbox>
                      <w:txbxContent>
                        <w:p w:rsidR="00820D16" w:rsidRPr="00F25514" w:rsidRDefault="00820D16" w:rsidP="00010BFB">
                          <w:pPr>
                            <w:pStyle w:val="Sinespaciado"/>
                            <w:jc w:val="center"/>
                            <w:rPr>
                              <w:rFonts w:ascii="ITC Avant Garde" w:hAnsi="ITC Avant Garde"/>
                              <w:b/>
                              <w:sz w:val="14"/>
                            </w:rPr>
                          </w:pPr>
                          <w:r w:rsidRPr="00F25514">
                            <w:rPr>
                              <w:rFonts w:ascii="ITC Avant Garde" w:hAnsi="ITC Avant Garde"/>
                              <w:b/>
                              <w:sz w:val="14"/>
                            </w:rPr>
                            <w:t>NIVEL 1</w:t>
                          </w:r>
                        </w:p>
                        <w:p w:rsidR="00820D16" w:rsidRPr="00F25514" w:rsidRDefault="00820D16" w:rsidP="00010BFB">
                          <w:pPr>
                            <w:pStyle w:val="Sinespaciado"/>
                            <w:jc w:val="center"/>
                            <w:rPr>
                              <w:rFonts w:ascii="ITC Avant Garde" w:hAnsi="ITC Avant Garde"/>
                              <w:b/>
                              <w:sz w:val="14"/>
                            </w:rPr>
                          </w:pPr>
                          <w:r w:rsidRPr="00F25514">
                            <w:rPr>
                              <w:rFonts w:ascii="ITC Avant Garde" w:hAnsi="ITC Avant Garde"/>
                              <w:b/>
                              <w:sz w:val="14"/>
                            </w:rPr>
                            <w:t>CUENTAS POR NATURALEZA</w:t>
                          </w:r>
                        </w:p>
                      </w:txbxContent>
                    </v:textbox>
                  </v:rect>
                  <v:shapetype id="_x0000_t202" coordsize="21600,21600" o:spt="202" path="m,l,21600r21600,l21600,xe">
                    <v:stroke joinstyle="miter"/>
                    <v:path gradientshapeok="t" o:connecttype="rect"/>
                  </v:shapetype>
                  <v:shape id="Cuadro de texto 127" o:spid="_x0000_s1031" type="#_x0000_t202" style="position:absolute;left:7951;top:327;width:11529;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3rMQA&#10;AADcAAAADwAAAGRycy9kb3ducmV2LnhtbERPS2vCQBC+C/0PyxS86aY+akmzkRIfeFBoo9DrNDtN&#10;QrOzIbtq/PfdgtDbfHzPSZa9acSFOldbVvA0jkAQF1bXXCo4HTejFxDOI2tsLJOCGzlYpg+DBGNt&#10;r/xBl9yXIoSwi1FB5X0bS+mKigy6sW2JA/dtO4M+wK6UusNrCDeNnETRszRYc2iosKWsouInPxsF&#10;2Xx/sDu/nX29W5yus9Pq8JmvlBo+9m+vIDz1/l98d+90mD9ZwN8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96zEAAAA3AAAAA8AAAAAAAAAAAAAAAAAmAIAAGRycy9k&#10;b3ducmV2LnhtbFBLBQYAAAAABAAEAPUAAACJAwAAAAA=&#10;" filled="f" strokecolor="#002060" strokeweight="2pt">
                    <v:textbox>
                      <w:txbxContent>
                        <w:p w:rsidR="00820D16" w:rsidRPr="00776A41" w:rsidRDefault="00820D16" w:rsidP="00010BFB">
                          <w:pPr>
                            <w:pStyle w:val="Sinespaciado"/>
                            <w:jc w:val="center"/>
                            <w:rPr>
                              <w:rFonts w:ascii="ITC Avant Garde" w:hAnsi="ITC Avant Garde"/>
                              <w:sz w:val="12"/>
                              <w:lang w:val="es-MX"/>
                            </w:rPr>
                          </w:pPr>
                          <w:r w:rsidRPr="00776A41">
                            <w:rPr>
                              <w:rFonts w:ascii="ITC Avant Garde" w:hAnsi="ITC Avant Garde"/>
                              <w:sz w:val="12"/>
                              <w:lang w:val="es-MX"/>
                            </w:rPr>
                            <w:t>Identificación de costos compartidos sobre el nivel de actividades</w:t>
                          </w:r>
                        </w:p>
                      </w:txbxContent>
                    </v:textbox>
                  </v:shape>
                  <v:rect id="Rectángulo 131" o:spid="_x0000_s1032" style="position:absolute;left:874;top:9454;width:3101;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yO8MA&#10;AADcAAAADwAAAGRycy9kb3ducmV2LnhtbERPTWvCQBC9F/wPywi91Y0ptDZ1FUlJ9VTRCl6H7DQJ&#10;Zmfj7hrjv+8Khd7m8T5nvhxMK3pyvrGsYDpJQBCXVjdcKTh8F08zED4ga2wtk4IbeVguRg9zzLS9&#10;8o76fahEDGGfoYI6hC6T0pc1GfQT2xFH7sc6gyFCV0nt8BrDTSvTJHmRBhuODTV2lNdUnvYXo4Bt&#10;ub5dtnr14Y/rN3cu0vzr9VOpx/GwegcRaAj/4j/3Rsf5z1O4PxM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KyO8MAAADcAAAADwAAAAAAAAAAAAAAAACYAgAAZHJzL2Rv&#10;d25yZXYueG1sUEsFBgAAAAAEAAQA9QAAAIgDAAAAAA==&#10;" fillcolor="#002060" strokecolor="#002060" strokeweight="1pt">
                    <v:textbox style="layout-flow:vertical;mso-layout-flow-alt:bottom-to-top">
                      <w:txbxContent>
                        <w:p w:rsidR="00820D16" w:rsidRPr="001E6625" w:rsidRDefault="00820D16" w:rsidP="00010BFB">
                          <w:pPr>
                            <w:jc w:val="center"/>
                            <w:rPr>
                              <w:rFonts w:ascii="ITC Avant Garde" w:hAnsi="ITC Avant Garde"/>
                              <w:b/>
                              <w:sz w:val="18"/>
                            </w:rPr>
                          </w:pPr>
                          <w:r w:rsidRPr="001E6625">
                            <w:rPr>
                              <w:b/>
                              <w:sz w:val="18"/>
                            </w:rPr>
                            <w:t>INGRESOS</w:t>
                          </w:r>
                        </w:p>
                      </w:txbxContent>
                    </v:textbox>
                  </v:rect>
                  <v:rect id="Rectángulo 132" o:spid="_x0000_s1033" style="position:absolute;left:4452;top:9465;width:10735;height:30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0fasIA&#10;AADcAAAADwAAAGRycy9kb3ducmV2LnhtbERP32vCMBB+F/wfwg32ZtO5UVzXtIgyGEwFdez5aG5t&#10;WXMpSdT635vBwLf7+H5eUY2mF2dyvrOs4ClJQRDXVnfcKPg6vs8WIHxA1thbJgVX8lCV00mBubYX&#10;3tP5EBoRQ9jnqKANYcil9HVLBn1iB+LI/VhnMEToGqkdXmK46eU8TTNpsOPY0OJAq5bq38PJKHjd&#10;uu/NsrvWWebty6ferUOKR6UeH8blG4hAY7iL/90fOs5/nsPfM/EC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R9qwgAAANwAAAAPAAAAAAAAAAAAAAAAAJgCAABkcnMvZG93&#10;bnJldi54bWxQSwUGAAAAAAQABAD1AAAAhwMAAAAA&#10;" filled="f" stroked="f" strokeweight="1pt">
                    <v:textbox>
                      <w:txbxContent>
                        <w:p w:rsidR="00820D16" w:rsidRPr="00776A41" w:rsidRDefault="00820D16" w:rsidP="00010BFB">
                          <w:pPr>
                            <w:pStyle w:val="Sinespaciado"/>
                            <w:rPr>
                              <w:rFonts w:ascii="ITC Avant Garde" w:hAnsi="ITC Avant Garde"/>
                              <w:b/>
                              <w:color w:val="000000" w:themeColor="text1"/>
                              <w:sz w:val="14"/>
                              <w:szCs w:val="14"/>
                              <w:lang w:val="es-MX"/>
                            </w:rPr>
                          </w:pPr>
                          <w:r w:rsidRPr="00776A41">
                            <w:rPr>
                              <w:rFonts w:ascii="ITC Avant Garde" w:hAnsi="ITC Avant Garde"/>
                              <w:b/>
                              <w:color w:val="000000" w:themeColor="text1"/>
                              <w:sz w:val="14"/>
                              <w:szCs w:val="14"/>
                              <w:lang w:val="es-MX"/>
                            </w:rPr>
                            <w:t>INGRESOS:</w:t>
                          </w:r>
                        </w:p>
                        <w:p w:rsidR="00820D16" w:rsidRPr="00776A41" w:rsidRDefault="00820D16" w:rsidP="00010BFB">
                          <w:pPr>
                            <w:pStyle w:val="Sinespaciado"/>
                            <w:rPr>
                              <w:rFonts w:ascii="ITC Avant Garde" w:hAnsi="ITC Avant Garde"/>
                              <w:color w:val="000000" w:themeColor="text1"/>
                              <w:sz w:val="14"/>
                              <w:szCs w:val="14"/>
                              <w:lang w:val="es-MX"/>
                            </w:rPr>
                          </w:pPr>
                          <w:r w:rsidRPr="00776A41">
                            <w:rPr>
                              <w:rFonts w:ascii="ITC Avant Garde" w:hAnsi="ITC Avant Garde"/>
                              <w:color w:val="000000" w:themeColor="text1"/>
                              <w:sz w:val="14"/>
                              <w:szCs w:val="14"/>
                              <w:lang w:val="es-MX"/>
                            </w:rPr>
                            <w:t>- Ingresos operacionales</w:t>
                          </w:r>
                        </w:p>
                        <w:p w:rsidR="00820D16" w:rsidRPr="00776A41" w:rsidRDefault="00820D16" w:rsidP="00010BFB">
                          <w:pPr>
                            <w:pStyle w:val="Sinespaciado"/>
                            <w:rPr>
                              <w:rFonts w:ascii="ITC Avant Garde" w:hAnsi="ITC Avant Garde"/>
                              <w:color w:val="000000" w:themeColor="text1"/>
                              <w:sz w:val="14"/>
                              <w:szCs w:val="14"/>
                              <w:lang w:val="es-MX"/>
                            </w:rPr>
                          </w:pPr>
                          <w:r w:rsidRPr="00776A41">
                            <w:rPr>
                              <w:rFonts w:ascii="ITC Avant Garde" w:hAnsi="ITC Avant Garde"/>
                              <w:color w:val="000000" w:themeColor="text1"/>
                              <w:sz w:val="14"/>
                              <w:szCs w:val="14"/>
                              <w:lang w:val="es-MX"/>
                            </w:rPr>
                            <w:t>- Ingresos extraordinarios</w:t>
                          </w:r>
                        </w:p>
                        <w:p w:rsidR="00820D16" w:rsidRPr="00894D77" w:rsidRDefault="00820D16" w:rsidP="00010BFB">
                          <w:pPr>
                            <w:pStyle w:val="NormalWeb"/>
                            <w:spacing w:before="0" w:beforeAutospacing="0" w:after="0" w:afterAutospacing="0"/>
                            <w:rPr>
                              <w:rFonts w:ascii="ITC Avant Garde" w:eastAsia="Calibri" w:hAnsi="ITC Avant Garde"/>
                              <w:b/>
                              <w:bCs/>
                              <w:color w:val="000000"/>
                              <w:sz w:val="14"/>
                              <w:szCs w:val="14"/>
                            </w:rPr>
                          </w:pPr>
                        </w:p>
                        <w:p w:rsidR="00820D16" w:rsidRDefault="00820D16" w:rsidP="00010BFB">
                          <w:pPr>
                            <w:pStyle w:val="NormalWeb"/>
                            <w:spacing w:before="0" w:beforeAutospacing="0" w:after="0" w:afterAutospacing="0"/>
                            <w:rPr>
                              <w:rFonts w:ascii="ITC Avant Garde" w:eastAsia="Calibri" w:hAnsi="ITC Avant Garde"/>
                              <w:b/>
                              <w:bCs/>
                              <w:color w:val="000000"/>
                              <w:sz w:val="14"/>
                              <w:szCs w:val="14"/>
                            </w:rPr>
                          </w:pPr>
                        </w:p>
                        <w:p w:rsidR="00820D16" w:rsidRDefault="00820D16" w:rsidP="00010BFB">
                          <w:pPr>
                            <w:pStyle w:val="NormalWeb"/>
                            <w:spacing w:before="0" w:beforeAutospacing="0" w:after="0" w:afterAutospacing="0"/>
                            <w:rPr>
                              <w:rFonts w:ascii="ITC Avant Garde" w:eastAsia="Calibri" w:hAnsi="ITC Avant Garde"/>
                              <w:b/>
                              <w:bCs/>
                              <w:color w:val="000000"/>
                              <w:sz w:val="14"/>
                              <w:szCs w:val="14"/>
                            </w:rPr>
                          </w:pPr>
                        </w:p>
                        <w:p w:rsidR="00820D16" w:rsidRDefault="00820D16" w:rsidP="00010BFB">
                          <w:pPr>
                            <w:jc w:val="both"/>
                            <w:rPr>
                              <w:rFonts w:ascii="ITC Avant Garde" w:eastAsia="Calibri" w:hAnsi="ITC Avant Garde"/>
                              <w:b/>
                              <w:bCs/>
                              <w:color w:val="000000"/>
                              <w:sz w:val="14"/>
                              <w:szCs w:val="14"/>
                            </w:rPr>
                          </w:pPr>
                        </w:p>
                        <w:p w:rsidR="00820D16" w:rsidRPr="00894D77" w:rsidRDefault="00820D16" w:rsidP="00010BFB">
                          <w:pPr>
                            <w:pStyle w:val="NormalWeb"/>
                            <w:spacing w:before="0" w:beforeAutospacing="0" w:after="0" w:afterAutospacing="0"/>
                            <w:rPr>
                              <w:sz w:val="14"/>
                              <w:szCs w:val="14"/>
                            </w:rPr>
                          </w:pPr>
                          <w:r w:rsidRPr="00894D77">
                            <w:rPr>
                              <w:rFonts w:ascii="ITC Avant Garde" w:eastAsia="Calibri" w:hAnsi="ITC Avant Garde"/>
                              <w:b/>
                              <w:bCs/>
                              <w:color w:val="000000"/>
                              <w:sz w:val="14"/>
                              <w:szCs w:val="14"/>
                            </w:rPr>
                            <w:t>ACTIVOS:</w:t>
                          </w:r>
                        </w:p>
                        <w:p w:rsidR="00820D16" w:rsidRPr="00894D77" w:rsidRDefault="00820D16" w:rsidP="00010BFB">
                          <w:pPr>
                            <w:pStyle w:val="NormalWeb"/>
                            <w:spacing w:before="0" w:beforeAutospacing="0" w:after="0" w:afterAutospacing="0"/>
                            <w:rPr>
                              <w:sz w:val="14"/>
                              <w:szCs w:val="14"/>
                            </w:rPr>
                          </w:pPr>
                          <w:r w:rsidRPr="00894D77">
                            <w:rPr>
                              <w:rFonts w:ascii="ITC Avant Garde" w:eastAsia="Calibri" w:hAnsi="ITC Avant Garde"/>
                              <w:color w:val="000000"/>
                              <w:sz w:val="14"/>
                              <w:szCs w:val="14"/>
                            </w:rPr>
                            <w:t>- Costos de depreciación</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Costos de capital</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p>
                        <w:p w:rsidR="00820D16" w:rsidRPr="00894D77" w:rsidRDefault="00820D16" w:rsidP="00010BFB">
                          <w:pPr>
                            <w:pStyle w:val="NormalWeb"/>
                            <w:spacing w:before="0" w:beforeAutospacing="0" w:after="0" w:afterAutospacing="0"/>
                            <w:rPr>
                              <w:rFonts w:ascii="ITC Avant Garde" w:eastAsia="Calibri" w:hAnsi="ITC Avant Garde"/>
                              <w:b/>
                              <w:color w:val="000000"/>
                              <w:sz w:val="14"/>
                              <w:szCs w:val="14"/>
                            </w:rPr>
                          </w:pPr>
                          <w:r w:rsidRPr="00894D77">
                            <w:rPr>
                              <w:rFonts w:ascii="ITC Avant Garde" w:eastAsia="Calibri" w:hAnsi="ITC Avant Garde"/>
                              <w:b/>
                              <w:color w:val="000000"/>
                              <w:sz w:val="14"/>
                              <w:szCs w:val="14"/>
                            </w:rPr>
                            <w:t>COSTOS:</w:t>
                          </w:r>
                        </w:p>
                        <w:p w:rsidR="00820D16" w:rsidRPr="00894D77" w:rsidRDefault="00820D16" w:rsidP="00010BFB">
                          <w:pPr>
                            <w:jc w:val="both"/>
                            <w:rPr>
                              <w:rFonts w:ascii="ITC Avant Garde" w:eastAsia="Calibri" w:hAnsi="ITC Avant Garde"/>
                              <w:color w:val="000000"/>
                              <w:sz w:val="14"/>
                              <w:szCs w:val="14"/>
                            </w:rPr>
                          </w:pPr>
                          <w:r w:rsidRPr="00894D77">
                            <w:rPr>
                              <w:rFonts w:ascii="ITC Avant Garde" w:eastAsia="Calibri" w:hAnsi="ITC Avant Garde"/>
                              <w:color w:val="000000"/>
                              <w:sz w:val="14"/>
                              <w:szCs w:val="14"/>
                            </w:rPr>
                            <w:t>- Gastos de personal</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Gastos comerciales</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Otros costos operaciones</w:t>
                          </w:r>
                        </w:p>
                        <w:p w:rsidR="00820D16" w:rsidRPr="00894D77" w:rsidRDefault="00820D16" w:rsidP="00010BFB">
                          <w:pPr>
                            <w:pStyle w:val="NormalWeb"/>
                            <w:spacing w:before="0" w:beforeAutospacing="0" w:after="0" w:afterAutospacing="0"/>
                            <w:rPr>
                              <w:rFonts w:ascii="ITC Avant Garde" w:eastAsia="Calibri" w:hAnsi="ITC Avant Garde"/>
                              <w:color w:val="000000"/>
                              <w:sz w:val="14"/>
                              <w:szCs w:val="14"/>
                            </w:rPr>
                          </w:pPr>
                          <w:r w:rsidRPr="00894D77">
                            <w:rPr>
                              <w:rFonts w:ascii="ITC Avant Garde" w:eastAsia="Calibri" w:hAnsi="ITC Avant Garde"/>
                              <w:color w:val="000000"/>
                              <w:sz w:val="14"/>
                              <w:szCs w:val="14"/>
                            </w:rPr>
                            <w:t>- Costos directos de ventas</w:t>
                          </w:r>
                        </w:p>
                        <w:p w:rsidR="00820D16" w:rsidRPr="00894D77" w:rsidRDefault="00820D16" w:rsidP="00010BFB">
                          <w:pPr>
                            <w:pStyle w:val="NormalWeb"/>
                            <w:spacing w:before="0" w:beforeAutospacing="0" w:after="0" w:afterAutospacing="0"/>
                            <w:rPr>
                              <w:sz w:val="14"/>
                              <w:szCs w:val="14"/>
                            </w:rPr>
                          </w:pPr>
                        </w:p>
                      </w:txbxContent>
                    </v:textbox>
                  </v:rect>
                  <v:rect id="Rectángulo 134" o:spid="_x0000_s1034" style="position:absolute;left:872;top:16507;width:3099;height:2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Ro8IA&#10;AADcAAAADwAAAGRycy9kb3ducmV2LnhtbERPTWsCMRC9C/6HMII3N6uW2m6NIharJ6Uq9DpspruL&#10;m8k2ibr+e1MQvM3jfc503ppaXMj5yrKCYZKCIM6trrhQcDysBm8gfEDWWFsmBTfyMJ91O1PMtL3y&#10;N132oRAxhH2GCsoQmkxKn5dk0Ce2IY7cr3UGQ4SukNrhNYabWo7S9FUarDg2lNjQsqT8tD8bBWzz&#10;9e2804tP/7N+d3+r0XI7+VKq32sXHyACteEpfrg3Os4fv8D/M/EC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RGjwgAAANwAAAAPAAAAAAAAAAAAAAAAAJgCAABkcnMvZG93&#10;bnJldi54bWxQSwUGAAAAAAQABAD1AAAAhwMAAAAA&#10;" fillcolor="#002060" strokecolor="#002060" strokeweight="1pt">
                    <v:textbox style="layout-flow:vertical;mso-layout-flow-alt:bottom-to-top">
                      <w:txbxContent>
                        <w:p w:rsidR="00820D16" w:rsidRPr="001E6625" w:rsidRDefault="00820D16" w:rsidP="00010BFB">
                          <w:pPr>
                            <w:pStyle w:val="NormalWeb"/>
                            <w:spacing w:before="0" w:beforeAutospacing="0" w:after="160" w:afterAutospacing="0" w:line="254" w:lineRule="auto"/>
                            <w:jc w:val="center"/>
                            <w:rPr>
                              <w:rFonts w:ascii="ITC Avant Garde" w:hAnsi="ITC Avant Garde"/>
                            </w:rPr>
                          </w:pPr>
                          <w:r>
                            <w:rPr>
                              <w:rFonts w:ascii="ITC Avant Garde" w:eastAsia="Calibri" w:hAnsi="ITC Avant Garde"/>
                              <w:b/>
                              <w:bCs/>
                              <w:sz w:val="18"/>
                              <w:szCs w:val="18"/>
                            </w:rPr>
                            <w:t>COSTOS</w:t>
                          </w:r>
                        </w:p>
                      </w:txbxContent>
                    </v:textbox>
                  </v:rect>
                  <v:rect id="Rectángulo 135" o:spid="_x0000_s1035" style="position:absolute;left:16350;top:5020;width:10732;height:34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5ycQA&#10;AADcAAAADwAAAGRycy9kb3ducmV2LnhtbERP30vDMBB+F/Y/hBP25lInk1GXDd0QNnEw6xAfj+Zs&#10;MptLabK1219vBMG3+/h+3mzRu1qcqA3Ws4LbUQaCuPTacqVg//58MwURIrLG2jMpOFOAxXxwNcNc&#10;+47f6FTESqQQDjkqMDE2uZShNOQwjHxDnLgv3zqMCbaV1C12KdzVcpxl99Kh5dRgsKGlofK7ODoF&#10;l5V5+ng9LD+3odgdeV/ZbvNilRpe948PICL18V/8517rNP9uAr/PpAv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CucnEAAAA3AAAAA8AAAAAAAAAAAAAAAAAmAIAAGRycy9k&#10;b3ducmV2LnhtbFBLBQYAAAAABAAEAPUAAACJAwAAAAA=&#10;" fillcolor="#d9e2f3 [664]" strokecolor="#deeaf6 [660]" strokeweight="1pt"/>
                  <v:rect id="Rectángulo 136" o:spid="_x0000_s1036" style="position:absolute;left:16350;top:5020;width:10732;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J2sIA&#10;AADcAAAADwAAAGRycy9kb3ducmV2LnhtbERPTWvCQBC9C/6HZQredKNiKGk2UpQWkV6MhV6H7JgE&#10;s7Mhu5rEX+8WCr3N431Ouh1MI+7UudqyguUiAkFcWF1zqeD7/DF/BeE8ssbGMikYycE2m05STLTt&#10;+UT33JcihLBLUEHlfZtI6YqKDLqFbYkDd7GdQR9gV0rdYR/CTSNXURRLgzWHhgpb2lVUXPObUUBm&#10;d/z52uQnG0fjebXc28ft86DU7GV4fwPhafD/4j/3QYf56xh+nwkX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onawgAAANwAAAAPAAAAAAAAAAAAAAAAAJgCAABkcnMvZG93&#10;bnJldi54bWxQSwUGAAAAAAQABAD1AAAAhwMAAAAA&#10;" fillcolor="#002060" strokecolor="#002060" strokeweight="1pt">
                    <v:textbox>
                      <w:txbxContent>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NIVEL 2</w:t>
                          </w:r>
                          <w:r>
                            <w:t xml:space="preserve"> </w:t>
                          </w:r>
                          <w:r>
                            <w:rPr>
                              <w:rFonts w:ascii="ITC Avant Garde" w:eastAsia="Calibri" w:hAnsi="ITC Avant Garde"/>
                              <w:b/>
                              <w:bCs/>
                              <w:sz w:val="14"/>
                              <w:szCs w:val="14"/>
                            </w:rPr>
                            <w:t>ACTIVIDADES</w:t>
                          </w:r>
                        </w:p>
                      </w:txbxContent>
                    </v:textbox>
                  </v:rect>
                  <v:rect id="Rectángulo 138" o:spid="_x0000_s1037" style="position:absolute;left:16589;top:16734;width:10206;height:7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bmMQA&#10;AADcAAAADwAAAGRycy9kb3ducmV2LnhtbESPT2vCQBDF7wW/wzKCt7rRlFCjq/gHoddGEXobsmMS&#10;zM6G7Krx23cOhd5meG/e+81qM7hWPagPjWcDs2kCirj0tuHKwPl0fP8EFSKyxdYzGXhRgM169LbC&#10;3Ponf9OjiJWSEA45Gqhj7HKtQ1mTwzD1HbFoV987jLL2lbY9PiXctXqeJJl22LA01NjRvqbyVtyd&#10;gf2Ci+HscHe4n9KfS5Nll480M2YyHrZLUJGG+G/+u/6ygp8KrT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lm5jEAAAA3AAAAA8AAAAAAAAAAAAAAAAAmAIAAGRycy9k&#10;b3ducmV2LnhtbFBLBQYAAAAABAAEAPUAAACJAwAAAAA=&#10;" fillcolor="#cfcdcd [2894]" strokecolor="#002060" strokeweight="1pt">
                    <v:textbox>
                      <w:txbxContent>
                        <w:p w:rsidR="00820D16" w:rsidRPr="00776A41" w:rsidRDefault="00820D16" w:rsidP="00010BFB">
                          <w:pPr>
                            <w:pStyle w:val="Sinespaciado"/>
                            <w:rPr>
                              <w:rFonts w:ascii="ITC Avant Garde" w:hAnsi="ITC Avant Garde"/>
                              <w:b/>
                              <w:color w:val="000000" w:themeColor="text1"/>
                              <w:sz w:val="14"/>
                              <w:lang w:val="es-MX"/>
                            </w:rPr>
                          </w:pPr>
                          <w:r w:rsidRPr="00776A41">
                            <w:rPr>
                              <w:rFonts w:ascii="ITC Avant Garde" w:hAnsi="ITC Avant Garde"/>
                              <w:b/>
                              <w:color w:val="000000" w:themeColor="text1"/>
                              <w:sz w:val="14"/>
                              <w:lang w:val="es-MX"/>
                            </w:rPr>
                            <w:t>COMPONENTES DE RED:</w:t>
                          </w:r>
                        </w:p>
                        <w:p w:rsidR="00820D16" w:rsidRPr="00776A41" w:rsidRDefault="00820D16" w:rsidP="00010BFB">
                          <w:pPr>
                            <w:pStyle w:val="Sinespaciado"/>
                            <w:rPr>
                              <w:rFonts w:ascii="ITC Avant Garde" w:hAnsi="ITC Avant Garde"/>
                              <w:color w:val="000000" w:themeColor="text1"/>
                              <w:sz w:val="14"/>
                              <w:lang w:val="es-MX"/>
                            </w:rPr>
                          </w:pPr>
                          <w:r w:rsidRPr="00776A41">
                            <w:rPr>
                              <w:rFonts w:ascii="ITC Avant Garde" w:hAnsi="ITC Avant Garde"/>
                              <w:color w:val="000000" w:themeColor="text1"/>
                              <w:sz w:val="14"/>
                              <w:lang w:val="es-MX"/>
                            </w:rPr>
                            <w:t>- Activos de red</w:t>
                          </w:r>
                        </w:p>
                        <w:p w:rsidR="00820D16" w:rsidRPr="00776A41" w:rsidRDefault="00820D16" w:rsidP="00010BFB">
                          <w:pPr>
                            <w:pStyle w:val="Sinespaciado"/>
                            <w:rPr>
                              <w:rFonts w:ascii="ITC Avant Garde" w:hAnsi="ITC Avant Garde"/>
                              <w:color w:val="000000" w:themeColor="text1"/>
                              <w:sz w:val="14"/>
                              <w:lang w:val="es-MX"/>
                            </w:rPr>
                          </w:pPr>
                          <w:r w:rsidRPr="00776A41">
                            <w:rPr>
                              <w:rFonts w:ascii="ITC Avant Garde" w:hAnsi="ITC Avant Garde"/>
                              <w:color w:val="000000" w:themeColor="text1"/>
                              <w:sz w:val="14"/>
                              <w:lang w:val="es-MX"/>
                            </w:rPr>
                            <w:t>- Actividades de red de soporte</w:t>
                          </w:r>
                        </w:p>
                        <w:p w:rsidR="00820D16" w:rsidRPr="00776A41" w:rsidRDefault="00820D16" w:rsidP="00010BFB">
                          <w:pPr>
                            <w:pStyle w:val="Sinespaciado"/>
                            <w:rPr>
                              <w:rFonts w:ascii="ITC Avant Garde" w:hAnsi="ITC Avant Garde"/>
                              <w:color w:val="000000" w:themeColor="text1"/>
                              <w:sz w:val="14"/>
                              <w:lang w:val="es-MX"/>
                            </w:rPr>
                          </w:pPr>
                          <w:r w:rsidRPr="00776A41">
                            <w:rPr>
                              <w:rFonts w:ascii="ITC Avant Garde" w:hAnsi="ITC Avant Garde"/>
                              <w:color w:val="000000" w:themeColor="text1"/>
                              <w:sz w:val="14"/>
                              <w:lang w:val="es-MX"/>
                            </w:rPr>
                            <w:t>- Costos operativos tidfos</w:t>
                          </w:r>
                        </w:p>
                      </w:txbxContent>
                    </v:textbox>
                  </v:rect>
                  <v:rect id="Rectángulo 139" o:spid="_x0000_s1038" style="position:absolute;left:28436;top:5009;width:10732;height:34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zMQA&#10;AADcAAAADwAAAGRycy9kb3ducmV2LnhtbERP30vDMBB+F/Y/hBP25lInDFeXDd0QNnEw6xAfj+Zs&#10;MptLabK1219vBMG3+/h+3mzRu1qcqA3Ws4LbUQaCuPTacqVg//58cw8iRGSNtWdScKYAi/ngaoa5&#10;9h2/0amIlUghHHJUYGJscilDachhGPmGOHFfvnUYE2wrqVvsUrir5TjLJtKh5dRgsKGlofK7ODoF&#10;l5V5+ng9LD+3odgdeV/ZbvNilRpe948PICL18V/8517rNP9uCr/PpAv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s8zEAAAA3AAAAA8AAAAAAAAAAAAAAAAAmAIAAGRycy9k&#10;b3ducmV2LnhtbFBLBQYAAAAABAAEAPUAAACJAwAAAAA=&#10;" fillcolor="#d9e2f3 [664]" strokecolor="#deeaf6 [660]" strokeweight="1pt"/>
                  <v:rect id="Rectángulo 140" o:spid="_x0000_s1039" style="position:absolute;left:28436;top:5009;width:10732;height:4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HSMQA&#10;AADcAAAADwAAAGRycy9kb3ducmV2LnhtbESPQYvCQAyF78L+hyEL3nSqqEjXUcRlRcSLdWGvoZNt&#10;i51M6Yxa/fXmIHhLeC/vfVmsOlerK7Wh8mxgNExAEefeVlwY+D39DOagQkS2WHsmA3cKsFp+9BaY&#10;Wn/jI12zWCgJ4ZCigTLGJtU65CU5DEPfEIv271uHUda20LbFm4S7Wo+TZKYdViwNJTa0KSk/Zxdn&#10;gNxm/3eYZkc/S+6n8ejbPy7bnTH9z279BSpSF9/m1/XOCv5E8OUZm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x0jEAAAA3AAAAA8AAAAAAAAAAAAAAAAAmAIAAGRycy9k&#10;b3ducmV2LnhtbFBLBQYAAAAABAAEAPUAAACJAwAAAAA=&#10;" fillcolor="#002060" strokecolor="#002060" strokeweight="1pt">
                    <v:textbox>
                      <w:txbxContent>
                        <w:p w:rsidR="00820D16" w:rsidRDefault="00820D16" w:rsidP="00010BFB">
                          <w:pPr>
                            <w:pStyle w:val="NormalWeb"/>
                            <w:spacing w:before="0" w:beforeAutospacing="0" w:after="0" w:afterAutospacing="0"/>
                            <w:jc w:val="center"/>
                            <w:rPr>
                              <w:rFonts w:eastAsia="Times New Roman"/>
                            </w:rPr>
                          </w:pPr>
                          <w:r>
                            <w:rPr>
                              <w:rFonts w:ascii="ITC Avant Garde" w:eastAsia="Calibri" w:hAnsi="ITC Avant Garde"/>
                              <w:b/>
                              <w:bCs/>
                              <w:sz w:val="14"/>
                              <w:szCs w:val="14"/>
                            </w:rPr>
                            <w:t>NIVEL 3</w:t>
                          </w:r>
                          <w:r>
                            <w:rPr>
                              <w:rFonts w:eastAsia="Times New Roman"/>
                            </w:rPr>
                            <w:t xml:space="preserve"> </w:t>
                          </w:r>
                        </w:p>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FUNCIONES</w:t>
                          </w:r>
                        </w:p>
                      </w:txbxContent>
                    </v:textbox>
                  </v:rect>
                  <v:line id="Conector recto 142" o:spid="_x0000_s1040" style="position:absolute;visibility:visible;mso-wrap-style:square" from="3971,16266" to="38161,1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W48MAAADcAAAADwAAAGRycy9kb3ducmV2LnhtbERPTWsCMRC9F/wPYQQvpWaVonU1iihS&#10;25PaHjyOm3F3cTNZk6jrvzdCobd5vM+ZzBpTiSs5X1pW0OsmIIgzq0vOFfz+rN4+QPiArLGyTAru&#10;5GE2bb1MMNX2xlu67kIuYgj7FBUUIdSplD4ryKDv2po4ckfrDIYIXS61w1sMN5XsJ8lAGiw5NhRY&#10;06Kg7LS7GAVfn+XC82b5PTyM6lU1eB2e871TqtNu5mMQgZrwL/5zr3Wc/96H5zPx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1uPDAAAA3AAAAA8AAAAAAAAAAAAA&#10;AAAAoQIAAGRycy9kb3ducmV2LnhtbFBLBQYAAAAABAAEAPkAAACRAwAAAAA=&#10;" strokecolor="black [3213]">
                    <v:stroke dashstyle="dash" joinstyle="miter"/>
                  </v:line>
                  <v:rect id="Rectángulo 144" o:spid="_x0000_s1041" style="position:absolute;left:16591;top:24694;width:10204;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i4MEA&#10;AADcAAAADwAAAGRycy9kb3ducmV2LnhtbERPTWuDQBC9F/Iflgn0VtdUkcZkE9KUQq9VEXob3IlK&#10;3FlxN9H++26h0Ns83ufsj4sZxJ0m11tWsIliEMSN1T23Cqry/ekFhPPIGgfLpOCbHBwPq4c95trO&#10;/En3wrcihLDLUUHn/ZhL6ZqODLrIjsSBu9jJoA9waqWecA7hZpDPcZxJgz2Hhg5HOnfUXIubUXDe&#10;crFUBl/fbmXyVfdZVqdJptTjejntQHha/L/4z/2hw/w0hd9nw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u4uDBAAAA3AAAAA8AAAAAAAAAAAAAAAAAmAIAAGRycy9kb3du&#10;cmV2LnhtbFBLBQYAAAAABAAEAPUAAACGAwAAAAA=&#10;" fillcolor="#cfcdcd [2894]"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COMPONENTES NO DE RED:</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Actividades comerciales</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Actividades de soporte</w:t>
                          </w:r>
                        </w:p>
                      </w:txbxContent>
                    </v:textbox>
                  </v:rect>
                  <v:rect id="Rectángulo 145" o:spid="_x0000_s1042" style="position:absolute;left:16589;top:32651;width:10204;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He8EA&#10;AADcAAAADwAAAGRycy9kb3ducmV2LnhtbERPTYvCMBC9C/6HMII3TXfVorWprC4LXq0ieBuasS3b&#10;TEoTtfvvN4LgbR7vc9JNbxpxp87VlhV8TCMQxIXVNZcKTsefyRKE88gaG8uk4I8cbLLhIMVE2wcf&#10;6J77UoQQdgkqqLxvEyldUZFBN7UtceCutjPoA+xKqTt8hHDTyM8oiqXBmkNDhS3tKip+85tRsFtx&#10;3p8Mbr9vx9nlXMfxeT6LlRqP+q81CE+9f4tf7r0O8+cLeD4TL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R3vBAAAA3AAAAA8AAAAAAAAAAAAAAAAAmAIAAGRycy9kb3du&#10;cmV2LnhtbFBLBQYAAAAABAAEAPUAAACGAwAAAAA=&#10;" fillcolor="#cfcdcd [2894]"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ACTIVIDADES COMUNES</w:t>
                          </w:r>
                        </w:p>
                      </w:txbxContent>
                    </v:textbox>
                  </v:rect>
                  <v:rect id="Rectángulo 146" o:spid="_x0000_s1043" style="position:absolute;left:16589;top:35911;width:1020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ZDMAA&#10;AADcAAAADwAAAGRycy9kb3ducmV2LnhtbERPTYvCMBC9C/sfwix403RVgts1yqoseLUVwdvQjG2x&#10;mZQmavffG0HwNo/3OYtVbxtxo87XjjV8jRMQxIUzNZcaDvnfaA7CB2SDjWPS8E8eVsuPwQJT4+68&#10;p1sWShFD2KeooQqhTaX0RUUW/di1xJE7u85iiLArpenwHsNtIydJoqTFmmNDhS1tKiou2dVq2Hxz&#10;1h8srrfXfHo61kodZ1Ol9fCz//0BEagPb/HLvTNx/kz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DZDMAAAADcAAAADwAAAAAAAAAAAAAAAACYAgAAZHJzL2Rvd25y&#10;ZXYueG1sUEsFBgAAAAAEAAQA9QAAAIUDAAAAAA==&#10;" fillcolor="#cfcdcd [2894]"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COSTOS DIRECTOS DE VENTAS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8" o:spid="_x0000_s1044" type="#_x0000_t13" style="position:absolute;left:12006;top:39592;width:6043;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YBcUA&#10;AADcAAAADwAAAGRycy9kb3ducmV2LnhtbESPT2/CMAzF70h8h8hIu9F0aH+gEBACTew0iY4DR6sx&#10;bUfjVEkG3befD5N2s/We3/t5tRlcp24UYuvZwGOWgyKuvG25NnD6fJvOQcWEbLHzTAZ+KMJmPR6t&#10;sLD+zke6lalWEsKxQANNSn2hdawachgz3xOLdvHBYZI11NoGvEu46/Qsz1+0w5alocGedg1V1/Lb&#10;Gfi4np77av+6CHV5+NrvDuk8+IUxD5NhuwSVaEj/5r/rdyv4T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1gFxQAAANwAAAAPAAAAAAAAAAAAAAAAAJgCAABkcnMv&#10;ZG93bnJldi54bWxQSwUGAAAAAAQABAD1AAAAigMAAAAA&#10;" adj="14211" fillcolor="#002060" strokecolor="#002060" strokeweight="1pt">
                    <v:textbox>
                      <w:txbxContent>
                        <w:p w:rsidR="00820D16" w:rsidRPr="005D4273" w:rsidRDefault="00820D16" w:rsidP="00010BFB">
                          <w:pPr>
                            <w:pStyle w:val="Sinespaciado"/>
                            <w:rPr>
                              <w:rFonts w:ascii="ITC Avant Garde" w:hAnsi="ITC Avant Garde"/>
                              <w:b/>
                              <w:sz w:val="14"/>
                            </w:rPr>
                          </w:pPr>
                          <w:r w:rsidRPr="005D4273">
                            <w:rPr>
                              <w:rFonts w:ascii="ITC Avant Garde" w:hAnsi="ITC Avant Garde"/>
                              <w:b/>
                              <w:sz w:val="14"/>
                            </w:rPr>
                            <w:t>Fase A</w:t>
                          </w:r>
                        </w:p>
                      </w:txbxContent>
                    </v:textbox>
                  </v:shape>
                  <v:rect id="Rectángulo 149" o:spid="_x0000_s1045" style="position:absolute;left:28754;top:16745;width:10205;height:7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aeMMA&#10;AADcAAAADwAAAGRycy9kb3ducmV2LnhtbERPTWvCQBC9F/oflhF604mttRpdpQgFKb2ovXgbsmM2&#10;mp0N2a1J++u7BaG3ebzPWa57V6srt6HyomE8ykCxFN5UUmr4PLwNZ6BCJDFUe2EN3xxgvbq/W1Ju&#10;fCc7vu5jqVKIhJw02BibHDEUlh2FkW9YEnfyraOYYFuiaalL4a7GxyyboqNKUoOlhjeWi8v+y2l4&#10;f9rgS3b5iUd7Dh0+f9THEsdaPwz61wWoyH38F9/cW5PmT+bw90y6A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CaeMMAAADcAAAADwAAAAAAAAAAAAAAAACYAgAAZHJzL2Rv&#10;d25yZXYueG1sUEsFBgAAAAAEAAQA9QAAAIgDAAAAAA==&#10;" fillcolor="#cfcdcd [2894]"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FUNCIONES DE RED:</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Elementos funcionales de red</w:t>
                          </w:r>
                        </w:p>
                      </w:txbxContent>
                    </v:textbox>
                  </v:rect>
                  <v:rect id="Rectángulo 150" o:spid="_x0000_s1046" style="position:absolute;left:28754;top:24701;width:10205;height:7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lOMUA&#10;AADcAAAADwAAAGRycy9kb3ducmV2LnhtbESPQUsDQQyF74L/YYjgzWZbqZVtp6UUBBEvtr30Fnbi&#10;zrY7mWVn7K7+enMQvCW8l/e+rDZjaM2V+9REsTCdFGBYqugaqS0cDy8Pz2BSJnHURmEL35xgs769&#10;WVHp4iAffN3n2miIpJIs+Jy7EjFVngOlSexYVPuMfaCsa1+j62nQ8NDirCieMFAj2uCp453n6rL/&#10;ChbeHne4KC4/+eTPacD5e3uqcWrt/d24XYLJPOZ/89/1q1P8ueLrMzo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6U4xQAAANwAAAAPAAAAAAAAAAAAAAAAAJgCAABkcnMv&#10;ZG93bnJldi54bWxQSwUGAAAAAAQABAD1AAAAigMAAAAA&#10;" fillcolor="#cfcdcd [2894]"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FUNCIONES NO DE RED:</w:t>
                          </w:r>
                        </w:p>
                        <w:p w:rsidR="00820D16" w:rsidRDefault="00820D16" w:rsidP="00010BFB">
                          <w:pPr>
                            <w:pStyle w:val="NormalWeb"/>
                            <w:spacing w:before="0" w:beforeAutospacing="0" w:after="0" w:afterAutospacing="0"/>
                          </w:pPr>
                          <w:r>
                            <w:rPr>
                              <w:rFonts w:ascii="ITC Avant Garde" w:eastAsia="Calibri" w:hAnsi="ITC Avant Garde"/>
                              <w:color w:val="000000"/>
                              <w:sz w:val="14"/>
                              <w:szCs w:val="14"/>
                            </w:rPr>
                            <w:t>- Funciones comerciales</w:t>
                          </w:r>
                        </w:p>
                      </w:txbxContent>
                    </v:textbox>
                  </v:rect>
                  <v:rect id="Rectángulo 151" o:spid="_x0000_s1047" style="position:absolute;left:28754;top:32658;width:1020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Xpb8A&#10;AADcAAAADwAAAGRycy9kb3ducmV2LnhtbERPTYvCMBC9L/gfwgje1tRVi1ajuIrg1SqCt6EZ22Iz&#10;KU3U+u+NIHibx/uc+bI1lbhT40rLCgb9CARxZnXJuYLjYfs7AeE8ssbKMil4koPlovMzx0TbB+/p&#10;nvpchBB2CSoovK8TKV1WkEHXtzVx4C62MegDbHKpG3yEcFPJvyiKpcGSQ0OBNa0Lyq7pzShYTzlt&#10;jwb/N7fD8Hwq4/g0GsZK9brtagbCU+u/4o97p8P88QD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NelvwAAANwAAAAPAAAAAAAAAAAAAAAAAJgCAABkcnMvZG93bnJl&#10;di54bWxQSwUGAAAAAAQABAD1AAAAhAMAAAAA&#10;" fillcolor="#cfcdcd [2894]"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FUNCIONES COMUNES</w:t>
                          </w:r>
                        </w:p>
                      </w:txbxContent>
                    </v:textbox>
                  </v:rect>
                  <v:rect id="Rectángulo 152" o:spid="_x0000_s1048" style="position:absolute;left:28754;top:35915;width:10205;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J0sEA&#10;AADcAAAADwAAAGRycy9kb3ducmV2LnhtbERPS4vCMBC+C/sfwix409THFu02FR8Ie90qgrehmW2L&#10;zaQ0Ueu/NwuCt/n4npOuetOIG3WutqxgMo5AEBdW11wqOB72owUI55E1NpZJwYMcrLKPQYqJtnf+&#10;pVvuSxFC2CWooPK+TaR0RUUG3di2xIH7s51BH2BXSt3hPYSbRk6jKJYGaw4NFba0rai45FejYLvk&#10;vD8a3Oyuh9n5VMfxaT6LlRp+9utvEJ56/xa/3D86zP+awv8z4QK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SSdLBAAAA3AAAAA8AAAAAAAAAAAAAAAAAmAIAAGRycy9kb3du&#10;cmV2LnhtbFBLBQYAAAAABAAEAPUAAACGAwAAAAA=&#10;" fillcolor="#cfcdcd [2894]"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4"/>
                              <w:szCs w:val="14"/>
                            </w:rPr>
                            <w:t>COSTOS DIRECTOS DE VENTAS</w:t>
                          </w:r>
                        </w:p>
                      </w:txbxContent>
                    </v:textbox>
                  </v:rect>
                  <v:shape id="Flecha derecha 153" o:spid="_x0000_s1049" type="#_x0000_t13" style="position:absolute;left:24699;top:39589;width:6039;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DJcMA&#10;AADcAAAADwAAAGRycy9kb3ducmV2LnhtbERPzWqDQBC+F/oOyxR6KcmahIRoXSUEEnropSYPMLhT&#10;Fd1ZcTdq8/TZQqG3+fh+J81n04mRBtdYVrBaRiCIS6sbrhRcL6fFHoTzyBo7y6Tghxzk2fNTiom2&#10;E3/RWPhKhBB2CSqove8TKV1Zk0G3tD1x4L7tYNAHOFRSDziFcNPJdRTtpMGGQ0ONPR1rKtviZhSc&#10;3/ZtiX28qo58L+LtJf7cnL1Sry/z4R2Ep9n/i//cHzrM327g95lw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DJcMAAADcAAAADwAAAAAAAAAAAAAAAACYAgAAZHJzL2Rv&#10;d25yZXYueG1sUEsFBgAAAAAEAAQA9QAAAIgDAAAAAA==&#10;" adj="14207" fillcolor="#002060"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sz w:val="14"/>
                              <w:szCs w:val="14"/>
                            </w:rPr>
                            <w:t>Fase B</w:t>
                          </w:r>
                        </w:p>
                      </w:txbxContent>
                    </v:textbox>
                  </v:shape>
                  <v:shape id="Flecha derecha 154" o:spid="_x0000_s1050" type="#_x0000_t13" style="position:absolute;left:37128;top:39589;width:6039;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bUcEA&#10;AADcAAAADwAAAGRycy9kb3ducmV2LnhtbERPzYrCMBC+C75DGMGLaKqrYqtRRFD24MXqAwzN2Bab&#10;SWmiVp9+syB4m4/vd1ab1lTiQY0rLSsYjyIQxJnVJecKLuf9cAHCeWSNlWVS8CIHm3W3s8JE2yef&#10;6JH6XIQQdgkqKLyvEyldVpBBN7I1ceCutjHoA2xyqRt8hnBTyUkUzaXBkkNDgTXtCspu6d0oOAwW&#10;twzreJzv+J3Gs3N8/Dl4pfq9drsE4an1X/HH/avD/NkU/p8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um1HBAAAA3AAAAA8AAAAAAAAAAAAAAAAAmAIAAGRycy9kb3du&#10;cmV2LnhtbFBLBQYAAAAABAAEAPUAAACGAwAAAAA=&#10;" adj="14207" fillcolor="#002060" strokecolor="#002060" strokeweight="1pt">
                    <v:textbox>
                      <w:txbxContent>
                        <w:p w:rsidR="00820D16" w:rsidRDefault="00820D16" w:rsidP="00010BFB">
                          <w:pPr>
                            <w:pStyle w:val="NormalWeb"/>
                            <w:spacing w:before="0" w:beforeAutospacing="0" w:after="0" w:afterAutospacing="0"/>
                          </w:pPr>
                          <w:r>
                            <w:rPr>
                              <w:rFonts w:ascii="ITC Avant Garde" w:eastAsia="Calibri" w:hAnsi="ITC Avant Garde"/>
                              <w:b/>
                              <w:bCs/>
                              <w:sz w:val="14"/>
                              <w:szCs w:val="14"/>
                            </w:rPr>
                            <w:t>Fase C</w:t>
                          </w:r>
                        </w:p>
                      </w:txbxContent>
                    </v:textbox>
                  </v:shape>
                  <v:rect id="Rectángulo 155" o:spid="_x0000_s1051" style="position:absolute;left:40681;top:5009;width:10732;height:34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cacQA&#10;AADcAAAADwAAAGRycy9kb3ducmV2LnhtbERP32vCMBB+H+x/CDfwbaYTHKMzyqYIOhxoJ2OPR3Nr&#10;sjWX0kRb/evNYODbfXw/bzLrXS2O1AbrWcHDMANBXHptuVKw/1jeP4EIEVlj7ZkUnCjAbHp7M8Fc&#10;+453dCxiJVIIhxwVmBibXMpQGnIYhr4hTty3bx3GBNtK6ha7FO5qOcqyR+nQcmow2NDcUPlbHJyC&#10;88K8fm5+5l/vodgeeF/Zbv1mlRrc9S/PICL18Sr+d690mj8ew98z6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dXGnEAAAA3AAAAA8AAAAAAAAAAAAAAAAAmAIAAGRycy9k&#10;b3ducmV2LnhtbFBLBQYAAAAABAAEAPUAAACJAwAAAAA=&#10;" fillcolor="#d9e2f3 [664]" strokecolor="#deeaf6 [660]" strokeweight="1pt"/>
                  <v:rect id="Rectángulo 156" o:spid="_x0000_s1052" style="position:absolute;left:40681;top:5009;width:10732;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sesEA&#10;AADcAAAADwAAAGRycy9kb3ducmV2LnhtbERPTYvCMBC9C/6HMII3TRUs0m0qi6KIeLEu7HVoZtuy&#10;zaQ0Uau/3giCt3m8z0lXvWnElTpXW1Ywm0YgiAuray4V/Jy3kyUI55E1NpZJwZ0crLLhIMVE2xuf&#10;6Jr7UoQQdgkqqLxvEyldUZFBN7UtceD+bGfQB9iVUnd4C+GmkfMoiqXBmkNDhS2tKyr+84tRQGZ9&#10;+D0u8pONo/t5PtvYx2W3V2o86r+/QHjq/Uf8du91mL+I4f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bHrBAAAA3AAAAA8AAAAAAAAAAAAAAAAAmAIAAGRycy9kb3du&#10;cmV2LnhtbFBLBQYAAAAABAAEAPUAAACGAwAAAAA=&#10;" fillcolor="#002060" strokecolor="#002060" strokeweight="1pt">
                    <v:textbox>
                      <w:txbxContent>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NIVEL 4</w:t>
                          </w:r>
                        </w:p>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SERVICIOS</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161" o:spid="_x0000_s1053" type="#_x0000_t70" style="position:absolute;left:43173;top:17868;width:5917;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0N878A&#10;AADcAAAADwAAAGRycy9kb3ducmV2LnhtbERPTYvCMBC9C/sfwizsTdPuQaQaRRRF6GnV3odkbIvN&#10;pCZZ7f77jSB4m8f7nMVqsJ24kw+tYwX5JANBrJ1puVZwPu3GMxAhIhvsHJOCPwqwWn6MFlgY9+Af&#10;uh9jLVIIhwIVNDH2hZRBN2QxTFxPnLiL8xZjgr6WxuMjhdtOfmfZVFpsOTU02NOmIX09/loFbW+G&#10;3bbcl9e83t/8QVey1JVSX5/Deg4i0hDf4pf7YNL8aQ7PZ9IF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vQ3zvwAAANwAAAAPAAAAAAAAAAAAAAAAAJgCAABkcnMvZG93bnJl&#10;di54bWxQSwUGAAAAAAQABAD1AAAAhAMAAAAA&#10;" adj=",4967" fillcolor="#396" strokecolor="#396" strokeweight="1pt"/>
                  <v:rect id="Rectángulo 162" o:spid="_x0000_s1054" style="position:absolute;left:40688;top:21702;width:10731;height:5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Q7sIA&#10;AADcAAAADwAAAGRycy9kb3ducmV2LnhtbERPS2sCMRC+F/wPYYTealYrKqtRxLZY8eTrPm7G3WU3&#10;kyVJdfXXN0Kht/n4njNbtKYWV3K+tKyg30tAEGdWl5wrOB6+3iYgfEDWWFsmBXfysJh3XmaYanvj&#10;HV33IRcxhH2KCooQmlRKnxVk0PdsQxy5i3UGQ4Qul9rhLYabWg6SZCQNlhwbCmxoVVBW7X+MgmHF&#10;643bfvAp6T8en5N3Vw3HZ6Veu+1yCiJQG/7Ff+5vHeePBvB8Jl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RDuwgAAANwAAAAPAAAAAAAAAAAAAAAAAJgCAABkcnMvZG93&#10;bnJldi54bWxQSwUGAAAAAAQABAD1AAAAhwMAAAAA&#10;" fillcolor="#396" strokecolor="#396" strokeweight="1pt">
                    <v:textbox>
                      <w:txbxContent>
                        <w:p w:rsidR="00820D16" w:rsidRPr="00A73912" w:rsidRDefault="00820D16" w:rsidP="00010BFB">
                          <w:pPr>
                            <w:pStyle w:val="NormalWeb"/>
                            <w:spacing w:before="0" w:beforeAutospacing="0" w:after="160" w:afterAutospacing="0" w:line="252" w:lineRule="auto"/>
                            <w:jc w:val="center"/>
                            <w:rPr>
                              <w:sz w:val="28"/>
                            </w:rPr>
                          </w:pPr>
                          <w:r w:rsidRPr="00A73912">
                            <w:rPr>
                              <w:rFonts w:ascii="ITC Avant Garde" w:eastAsia="Calibri" w:hAnsi="ITC Avant Garde"/>
                              <w:b/>
                              <w:bCs/>
                              <w:sz w:val="14"/>
                              <w:szCs w:val="12"/>
                            </w:rPr>
                            <w:t>Cargos de transferencia</w:t>
                          </w:r>
                        </w:p>
                      </w:txbxContent>
                    </v:textbox>
                  </v:rect>
                  <v:shape id="Cuadro de texto 163" o:spid="_x0000_s1055" type="#_x0000_t202" style="position:absolute;left:40688;top:14158;width:10731;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820D16" w:rsidRPr="00A73912" w:rsidRDefault="00820D16" w:rsidP="00010BFB">
                          <w:pPr>
                            <w:pStyle w:val="Sinespaciado"/>
                            <w:jc w:val="center"/>
                            <w:rPr>
                              <w:rFonts w:ascii="ITC Avant Garde" w:hAnsi="ITC Avant Garde"/>
                              <w:b/>
                              <w:sz w:val="14"/>
                            </w:rPr>
                          </w:pPr>
                          <w:r w:rsidRPr="00A73912">
                            <w:rPr>
                              <w:rFonts w:ascii="ITC Avant Garde" w:hAnsi="ITC Avant Garde"/>
                              <w:b/>
                              <w:sz w:val="14"/>
                            </w:rPr>
                            <w:t>SERVICIOS MAYORISTAS</w:t>
                          </w:r>
                        </w:p>
                      </w:txbxContent>
                    </v:textbox>
                  </v:shape>
                  <v:shape id="Cuadro de texto 163" o:spid="_x0000_s1056" type="#_x0000_t202" style="position:absolute;left:40688;top:31464;width:10725;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820D16" w:rsidRDefault="00820D16" w:rsidP="00010BFB">
                          <w:pPr>
                            <w:pStyle w:val="NormalWeb"/>
                            <w:spacing w:before="0" w:beforeAutospacing="0" w:after="0" w:afterAutospacing="0"/>
                            <w:jc w:val="center"/>
                          </w:pPr>
                          <w:r>
                            <w:rPr>
                              <w:rFonts w:ascii="ITC Avant Garde" w:eastAsia="Calibri" w:hAnsi="ITC Avant Garde"/>
                              <w:b/>
                              <w:bCs/>
                              <w:sz w:val="14"/>
                              <w:szCs w:val="14"/>
                            </w:rPr>
                            <w:t>SERVICIOS MINORISTAS</w:t>
                          </w:r>
                        </w:p>
                      </w:txbxContent>
                    </v:textbox>
                  </v:shape>
                  <v:shape id="Cuadro de texto 127" o:spid="_x0000_s1057" type="#_x0000_t202" style="position:absolute;left:20322;top:331;width:15931;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11gMMA&#10;AADcAAAADwAAAGRycy9kb3ducmV2LnhtbERPS2vCQBC+F/oflil4q5v6QqKrlPjAg0KNgtcxO01C&#10;s7Mhu2r8964g9DYf33Om89ZU4kqNKy0r+OpGIIgzq0vOFRwPq88xCOeRNVaWScGdHMxn729TjLW9&#10;8Z6uqc9FCGEXo4LC+zqW0mUFGXRdWxMH7tc2Bn2ATS51g7cQbirZi6KRNFhyaCiwpqSg7C+9GAXJ&#10;cLuzG78enH8s9pfJcbE7pQulOh/t9wSEp9b/i1/ujQ7zR0N4PhMu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11gMMAAADcAAAADwAAAAAAAAAAAAAAAACYAgAAZHJzL2Rv&#10;d25yZXYueG1sUEsFBgAAAAAEAAQA9QAAAIgDAAAAAA==&#10;" filled="f" strokecolor="#002060" strokeweight="2pt">
                    <v:textbox>
                      <w:txbxContent>
                        <w:p w:rsidR="00820D16" w:rsidRPr="00E5504C" w:rsidRDefault="00820D16" w:rsidP="00010BFB">
                          <w:pPr>
                            <w:pStyle w:val="NormalWeb"/>
                            <w:spacing w:after="0"/>
                            <w:jc w:val="center"/>
                            <w:rPr>
                              <w:sz w:val="22"/>
                            </w:rPr>
                          </w:pPr>
                          <w:r w:rsidRPr="00E5504C">
                            <w:rPr>
                              <w:rFonts w:ascii="ITC Avant Garde" w:eastAsia="Calibri" w:hAnsi="ITC Avant Garde"/>
                              <w:sz w:val="12"/>
                              <w:szCs w:val="14"/>
                            </w:rPr>
                            <w:t>Asignación de actividades de soporte y costos operativos compartidos a bloques funcionales</w:t>
                          </w:r>
                        </w:p>
                      </w:txbxContent>
                    </v:textbox>
                  </v:shape>
                  <v:shape id="Cuadro de texto 127" o:spid="_x0000_s1058" type="#_x0000_t202" style="position:absolute;left:37128;top:327;width:10500;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98MA&#10;AADcAAAADwAAAGRycy9kb3ducmV2LnhtbERPTWvCQBC9C/0PyxR6001tDSVmIxKreFBoU8HrNDtN&#10;QrOzIbvV9N+7guBtHu9z0sVgWnGi3jWWFTxPIhDEpdUNVwoOX+vxGwjnkTW2lknBPzlYZA+jFBNt&#10;z/xJp8JXIoSwS1BB7X2XSOnKmgy6ie2IA/dje4M+wL6SusdzCDetnEZRLA02HBpq7Civqfwt/oyC&#10;fLbb263fvH5/WHx5zw+r/bFYKfX0OCznIDwN/i6+ubc6zI9juD4TLpD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r98MAAADcAAAADwAAAAAAAAAAAAAAAACYAgAAZHJzL2Rv&#10;d25yZXYueG1sUEsFBgAAAAAEAAQA9QAAAIgDAAAAAA==&#10;" filled="f" strokecolor="#002060" strokeweight="2pt">
                    <v:textbox>
                      <w:txbxContent>
                        <w:p w:rsidR="00820D16" w:rsidRDefault="00820D16" w:rsidP="00010BFB">
                          <w:pPr>
                            <w:pStyle w:val="NormalWeb"/>
                            <w:spacing w:after="0"/>
                            <w:jc w:val="center"/>
                          </w:pPr>
                          <w:r>
                            <w:rPr>
                              <w:rFonts w:ascii="ITC Avant Garde" w:eastAsia="Calibri" w:hAnsi="ITC Avant Garde"/>
                              <w:sz w:val="12"/>
                              <w:szCs w:val="12"/>
                            </w:rPr>
                            <w:t>Reparto</w:t>
                          </w:r>
                          <w:r w:rsidRPr="00E5504C">
                            <w:rPr>
                              <w:rFonts w:ascii="ITC Avant Garde" w:eastAsia="Calibri" w:hAnsi="ITC Avant Garde"/>
                              <w:sz w:val="12"/>
                              <w:szCs w:val="12"/>
                            </w:rPr>
                            <w:t xml:space="preserve"> a servicios </w:t>
                          </w:r>
                          <w:r>
                            <w:rPr>
                              <w:rFonts w:ascii="ITC Avant Garde" w:eastAsia="Calibri" w:hAnsi="ITC Avant Garde"/>
                              <w:sz w:val="12"/>
                              <w:szCs w:val="12"/>
                            </w:rPr>
                            <w:t xml:space="preserve">y </w:t>
                          </w:r>
                          <w:r w:rsidRPr="00E5504C">
                            <w:rPr>
                              <w:rFonts w:ascii="ITC Avant Garde" w:eastAsia="Calibri" w:hAnsi="ITC Avant Garde"/>
                              <w:sz w:val="12"/>
                              <w:szCs w:val="12"/>
                            </w:rPr>
                            <w:t>aplicación de cargos de</w:t>
                          </w:r>
                          <w:r>
                            <w:rPr>
                              <w:rFonts w:ascii="ITC Avant Garde" w:eastAsia="Calibri" w:hAnsi="ITC Avant Garde"/>
                              <w:sz w:val="12"/>
                              <w:szCs w:val="12"/>
                            </w:rPr>
                            <w:t xml:space="preserve"> </w:t>
                          </w:r>
                          <w:r w:rsidRPr="00E5504C">
                            <w:rPr>
                              <w:rFonts w:ascii="ITC Avant Garde" w:eastAsia="Calibri" w:hAnsi="ITC Avant Garde"/>
                              <w:sz w:val="12"/>
                              <w:szCs w:val="12"/>
                            </w:rPr>
                            <w:t>transferencia</w:t>
                          </w:r>
                        </w:p>
                      </w:txbxContent>
                    </v:textbox>
                  </v:shape>
                </v:group>
                <w10:anchorlock/>
              </v:group>
            </w:pict>
          </mc:Fallback>
        </mc:AlternateContent>
      </w:r>
    </w:p>
    <w:p w:rsidR="00010BFB" w:rsidRPr="00BB33CC" w:rsidRDefault="00010BFB" w:rsidP="00010BFB">
      <w:pPr>
        <w:jc w:val="both"/>
        <w:rPr>
          <w:rFonts w:ascii="ITC Avant Garde" w:hAnsi="ITC Avant Garde"/>
          <w:sz w:val="20"/>
        </w:rPr>
      </w:pPr>
      <w:r w:rsidRPr="00BB33CC">
        <w:rPr>
          <w:rFonts w:ascii="ITC Avant Garde" w:hAnsi="ITC Avant Garde"/>
          <w:sz w:val="20"/>
        </w:rPr>
        <w:t xml:space="preserve">Fuente: Comisión de Regulación de Comunicaciones de Colombia, Resolución 4577 de 2014, “Por la cual se regulan los aspectos relacionados con la obligación de separación </w:t>
      </w:r>
      <w:r w:rsidRPr="00BB33CC">
        <w:rPr>
          <w:rFonts w:ascii="ITC Avant Garde" w:hAnsi="ITC Avant Garde"/>
          <w:sz w:val="20"/>
        </w:rPr>
        <w:lastRenderedPageBreak/>
        <w:t>contable por parte de los Proveedores de Redes y Servicios de Telecomunicaciones y Operadores de televisión por suscripción y se dictan otras disposiciones.”</w:t>
      </w:r>
    </w:p>
    <w:p w:rsidR="00010BFB" w:rsidRPr="00BB33CC" w:rsidRDefault="00010BFB" w:rsidP="00010BFB">
      <w:pPr>
        <w:jc w:val="both"/>
        <w:rPr>
          <w:rFonts w:ascii="ITC Avant Garde" w:hAnsi="ITC Avant Garde"/>
        </w:rPr>
      </w:pPr>
      <w:r w:rsidRPr="00BB33CC">
        <w:rPr>
          <w:rFonts w:ascii="ITC Avant Garde" w:hAnsi="ITC Avant Garde"/>
        </w:rPr>
        <w:t>El modelo de separación contable utiliza un total de 4 fases de asignación de costos e ingresos, conforme a lo siguiente:</w:t>
      </w:r>
    </w:p>
    <w:p w:rsidR="00010BFB" w:rsidRPr="00BB33CC" w:rsidRDefault="00010BFB" w:rsidP="00010BFB">
      <w:pPr>
        <w:pStyle w:val="Prrafodelista"/>
        <w:numPr>
          <w:ilvl w:val="0"/>
          <w:numId w:val="267"/>
        </w:numPr>
        <w:jc w:val="both"/>
        <w:rPr>
          <w:rFonts w:ascii="ITC Avant Garde" w:hAnsi="ITC Avant Garde"/>
        </w:rPr>
      </w:pPr>
      <w:r w:rsidRPr="00BB33CC">
        <w:rPr>
          <w:rFonts w:ascii="ITC Avant Garde" w:hAnsi="ITC Avant Garde"/>
          <w:b/>
        </w:rPr>
        <w:t xml:space="preserve">Fase Inicial. </w:t>
      </w:r>
      <w:r w:rsidRPr="00BB33CC">
        <w:rPr>
          <w:rFonts w:ascii="ITC Avant Garde" w:hAnsi="ITC Avant Garde"/>
        </w:rPr>
        <w:t xml:space="preserve">En esta fase se realiza el mapeo de la contabilidad financiera al modelo de separación contable para introducir los datos en el sistema. En </w:t>
      </w:r>
      <w:r w:rsidR="003C4851" w:rsidRPr="00BB33CC">
        <w:rPr>
          <w:rFonts w:ascii="ITC Avant Garde" w:hAnsi="ITC Avant Garde"/>
        </w:rPr>
        <w:t xml:space="preserve">el </w:t>
      </w:r>
      <w:r w:rsidRPr="00BB33CC">
        <w:rPr>
          <w:rFonts w:ascii="ITC Avant Garde" w:hAnsi="ITC Avant Garde"/>
        </w:rPr>
        <w:t>Nivel 1 del sistema se introducen, en función de su naturaleza, todas las cuentas de la contabilidad financiera, por lo que la conciliación del modelo de separación contable con la contabilidad financiera debe ser directa y transparente.</w:t>
      </w:r>
    </w:p>
    <w:p w:rsidR="00010BFB" w:rsidRPr="00BB33CC" w:rsidRDefault="00010BFB" w:rsidP="00010BFB">
      <w:pPr>
        <w:pStyle w:val="Prrafodelista"/>
        <w:numPr>
          <w:ilvl w:val="0"/>
          <w:numId w:val="267"/>
        </w:numPr>
        <w:jc w:val="both"/>
        <w:rPr>
          <w:rFonts w:ascii="ITC Avant Garde" w:hAnsi="ITC Avant Garde"/>
        </w:rPr>
      </w:pPr>
      <w:r w:rsidRPr="00BB33CC">
        <w:rPr>
          <w:rFonts w:ascii="ITC Avant Garde" w:hAnsi="ITC Avant Garde"/>
          <w:b/>
        </w:rPr>
        <w:t>Fase A.</w:t>
      </w:r>
      <w:r w:rsidRPr="00BB33CC">
        <w:rPr>
          <w:rFonts w:ascii="ITC Avant Garde" w:hAnsi="ITC Avant Garde"/>
        </w:rPr>
        <w:t xml:space="preserve"> Asignación de costos a actividades. En esta fase, las cuentas de costos e ingresos por naturaleza de Nivel 1 se atribuyen a cuentas de actividades a las que son dedicados. Los costos asociados al capital se atribuyen a grupos de activos según las actividades que realizan.</w:t>
      </w:r>
    </w:p>
    <w:p w:rsidR="00010BFB" w:rsidRPr="00BB33CC" w:rsidRDefault="00010BFB" w:rsidP="00010BFB">
      <w:pPr>
        <w:pStyle w:val="Prrafodelista"/>
        <w:numPr>
          <w:ilvl w:val="0"/>
          <w:numId w:val="267"/>
        </w:numPr>
        <w:jc w:val="both"/>
        <w:rPr>
          <w:rFonts w:ascii="ITC Avant Garde" w:hAnsi="ITC Avant Garde"/>
        </w:rPr>
      </w:pPr>
      <w:r w:rsidRPr="00BB33CC">
        <w:rPr>
          <w:rFonts w:ascii="ITC Avant Garde" w:hAnsi="ITC Avant Garde"/>
          <w:b/>
        </w:rPr>
        <w:t>Fase B.</w:t>
      </w:r>
      <w:r w:rsidRPr="00BB33CC">
        <w:rPr>
          <w:rFonts w:ascii="ITC Avant Garde" w:hAnsi="ITC Avant Garde"/>
        </w:rPr>
        <w:t xml:space="preserve"> Asignación de costos a funciones. En esta fase se distribuyen los costos de las actividades según su función en el proceso productivo de la empresa</w:t>
      </w:r>
    </w:p>
    <w:p w:rsidR="00010BFB" w:rsidRPr="00BB33CC" w:rsidRDefault="00010BFB" w:rsidP="00010BFB">
      <w:pPr>
        <w:pStyle w:val="Prrafodelista"/>
        <w:numPr>
          <w:ilvl w:val="0"/>
          <w:numId w:val="267"/>
        </w:numPr>
        <w:jc w:val="both"/>
        <w:rPr>
          <w:rFonts w:ascii="ITC Avant Garde" w:hAnsi="ITC Avant Garde"/>
        </w:rPr>
      </w:pPr>
      <w:r w:rsidRPr="00BB33CC">
        <w:rPr>
          <w:rFonts w:ascii="ITC Avant Garde" w:hAnsi="ITC Avant Garde"/>
          <w:b/>
        </w:rPr>
        <w:t>Fase C.</w:t>
      </w:r>
      <w:r w:rsidRPr="00BB33CC">
        <w:rPr>
          <w:rFonts w:ascii="ITC Avant Garde" w:hAnsi="ITC Avant Garde"/>
        </w:rPr>
        <w:t xml:space="preserve"> Asignación de ingresos y costos a servicios. En esta fase se identifican las asignaciones de ingresos y costos a servicios. Al realizar la distribución de los ingresos, se puede realizar de modo directo con base en la información de facturación disponible en los sistemas internos de los operadores.</w:t>
      </w:r>
    </w:p>
    <w:p w:rsidR="00010BFB" w:rsidRPr="00BB33CC" w:rsidRDefault="00010BFB" w:rsidP="00010BFB">
      <w:pPr>
        <w:pStyle w:val="Ttulo2"/>
        <w:numPr>
          <w:ilvl w:val="1"/>
          <w:numId w:val="274"/>
        </w:numPr>
        <w:rPr>
          <w:b w:val="0"/>
        </w:rPr>
      </w:pPr>
      <w:r w:rsidRPr="00BB33CC">
        <w:t>Costa Rica</w:t>
      </w:r>
    </w:p>
    <w:p w:rsidR="00010BFB" w:rsidRPr="00BB33CC" w:rsidRDefault="00010BFB" w:rsidP="00010BFB">
      <w:pPr>
        <w:jc w:val="both"/>
        <w:rPr>
          <w:rFonts w:ascii="ITC Avant Garde" w:hAnsi="ITC Avant Garde"/>
        </w:rPr>
      </w:pPr>
      <w:r w:rsidRPr="00BB33CC">
        <w:rPr>
          <w:rFonts w:ascii="ITC Avant Garde" w:hAnsi="ITC Avant Garde"/>
        </w:rPr>
        <w:t>El regulador de Costa Rica</w:t>
      </w:r>
      <w:r w:rsidRPr="00BB33CC">
        <w:rPr>
          <w:rStyle w:val="Refdenotaalpie"/>
          <w:rFonts w:ascii="ITC Avant Garde" w:hAnsi="ITC Avant Garde"/>
        </w:rPr>
        <w:footnoteReference w:id="34"/>
      </w:r>
      <w:r w:rsidRPr="00BB33CC">
        <w:rPr>
          <w:rFonts w:ascii="ITC Avant Garde" w:hAnsi="ITC Avant Garde"/>
        </w:rPr>
        <w:t>, estableció un proceso de asignación de costos e ingresos empleando un modelo de contabilidad regulatoria que parte de un enfoque descendente (</w:t>
      </w:r>
      <w:r w:rsidRPr="00BB33CC">
        <w:rPr>
          <w:rFonts w:ascii="ITC Avant Garde" w:hAnsi="ITC Avant Garde"/>
          <w:i/>
        </w:rPr>
        <w:t>Top-down</w:t>
      </w:r>
      <w:r w:rsidRPr="00BB33CC">
        <w:rPr>
          <w:rFonts w:ascii="ITC Avant Garde" w:hAnsi="ITC Avant Garde"/>
        </w:rPr>
        <w:t>) basado en fases de asignación de costos e ingresos desde los registros financieros hasta los servicios, conforme al siguiente diagrama:</w:t>
      </w:r>
    </w:p>
    <w:p w:rsidR="00010BFB" w:rsidRPr="00BB33CC" w:rsidRDefault="00010BFB" w:rsidP="00010BFB">
      <w:pPr>
        <w:pStyle w:val="Descripcin"/>
        <w:keepNext/>
        <w:rPr>
          <w:rFonts w:ascii="ITC Avant Garde" w:hAnsi="ITC Avant Garde"/>
          <w:color w:val="000000" w:themeColor="text1"/>
          <w:sz w:val="20"/>
          <w:lang w:val="es-MX"/>
        </w:rPr>
      </w:pPr>
      <w:r w:rsidRPr="00BB33CC">
        <w:rPr>
          <w:rFonts w:ascii="ITC Avant Garde" w:hAnsi="ITC Avant Garde"/>
          <w:color w:val="000000" w:themeColor="text1"/>
          <w:sz w:val="20"/>
          <w:lang w:val="es-MX"/>
        </w:rPr>
        <w:lastRenderedPageBreak/>
        <w:t xml:space="preserve">Figura </w:t>
      </w:r>
      <w:r w:rsidR="000B7E93" w:rsidRPr="00BB33CC">
        <w:rPr>
          <w:rFonts w:ascii="ITC Avant Garde" w:hAnsi="ITC Avant Garde"/>
          <w:color w:val="000000" w:themeColor="text1"/>
          <w:sz w:val="20"/>
        </w:rPr>
        <w:fldChar w:fldCharType="begin"/>
      </w:r>
      <w:r w:rsidR="000B7E93" w:rsidRPr="00BB33CC">
        <w:rPr>
          <w:rFonts w:ascii="ITC Avant Garde" w:hAnsi="ITC Avant Garde"/>
          <w:color w:val="000000" w:themeColor="text1"/>
          <w:sz w:val="20"/>
          <w:lang w:val="es-MX"/>
        </w:rPr>
        <w:instrText xml:space="preserve"> SEQ Figura. \* ARABIC </w:instrText>
      </w:r>
      <w:r w:rsidR="000B7E93" w:rsidRPr="00BB33CC">
        <w:rPr>
          <w:rFonts w:ascii="ITC Avant Garde" w:hAnsi="ITC Avant Garde"/>
          <w:color w:val="000000" w:themeColor="text1"/>
          <w:sz w:val="20"/>
        </w:rPr>
        <w:fldChar w:fldCharType="separate"/>
      </w:r>
      <w:r w:rsidR="00C03E81" w:rsidRPr="00BB33CC">
        <w:rPr>
          <w:rFonts w:ascii="ITC Avant Garde" w:hAnsi="ITC Avant Garde"/>
          <w:noProof/>
          <w:color w:val="000000" w:themeColor="text1"/>
          <w:sz w:val="20"/>
          <w:lang w:val="es-MX"/>
        </w:rPr>
        <w:t>2</w:t>
      </w:r>
      <w:r w:rsidR="000B7E93" w:rsidRPr="00BB33CC">
        <w:rPr>
          <w:rFonts w:ascii="ITC Avant Garde" w:hAnsi="ITC Avant Garde"/>
          <w:color w:val="000000" w:themeColor="text1"/>
          <w:sz w:val="20"/>
        </w:rPr>
        <w:fldChar w:fldCharType="end"/>
      </w:r>
      <w:r w:rsidRPr="00BB33CC">
        <w:rPr>
          <w:rFonts w:ascii="ITC Avant Garde" w:hAnsi="ITC Avant Garde"/>
          <w:color w:val="000000" w:themeColor="text1"/>
          <w:sz w:val="20"/>
          <w:lang w:val="es-MX"/>
        </w:rPr>
        <w:t>. Proceso de asignación de costos e ingresos</w:t>
      </w:r>
    </w:p>
    <w:p w:rsidR="00010BFB" w:rsidRPr="00BB33CC" w:rsidRDefault="00010BFB" w:rsidP="00797696">
      <w:pPr>
        <w:keepNext/>
        <w:jc w:val="center"/>
      </w:pPr>
      <w:r w:rsidRPr="00BB33CC">
        <w:rPr>
          <w:rFonts w:ascii="ITC Avant Garde" w:hAnsi="ITC Avant Garde"/>
          <w:noProof/>
          <w:lang w:eastAsia="es-MX"/>
        </w:rPr>
        <mc:AlternateContent>
          <mc:Choice Requires="wpc">
            <w:drawing>
              <wp:inline distT="0" distB="0" distL="0" distR="0" wp14:anchorId="1BB87039" wp14:editId="0DB5F84D">
                <wp:extent cx="5486400" cy="3200400"/>
                <wp:effectExtent l="0" t="0" r="0" b="0"/>
                <wp:docPr id="83" name="Lienzo 8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3" name="Grupo 43"/>
                        <wpg:cNvGrpSpPr/>
                        <wpg:grpSpPr>
                          <a:xfrm>
                            <a:off x="262392" y="16814"/>
                            <a:ext cx="4890056" cy="3068623"/>
                            <a:chOff x="262392" y="16814"/>
                            <a:chExt cx="4890056" cy="3068623"/>
                          </a:xfrm>
                        </wpg:grpSpPr>
                        <wpg:grpSp>
                          <wpg:cNvPr id="44" name="Grupo 44"/>
                          <wpg:cNvGrpSpPr/>
                          <wpg:grpSpPr>
                            <a:xfrm>
                              <a:off x="262392" y="16814"/>
                              <a:ext cx="4890056" cy="3068623"/>
                              <a:chOff x="262392" y="16814"/>
                              <a:chExt cx="4890056" cy="3068623"/>
                            </a:xfrm>
                          </wpg:grpSpPr>
                          <wpg:grpSp>
                            <wpg:cNvPr id="45" name="Grupo 45"/>
                            <wpg:cNvGrpSpPr/>
                            <wpg:grpSpPr>
                              <a:xfrm>
                                <a:off x="357810" y="214685"/>
                                <a:ext cx="4794638" cy="2870752"/>
                                <a:chOff x="159026" y="214354"/>
                                <a:chExt cx="4794638" cy="2870752"/>
                              </a:xfrm>
                            </wpg:grpSpPr>
                            <wps:wsp>
                              <wps:cNvPr id="46" name="Rectángulo 46"/>
                              <wps:cNvSpPr/>
                              <wps:spPr>
                                <a:xfrm>
                                  <a:off x="159026" y="214355"/>
                                  <a:ext cx="1089329" cy="287075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Grupo 47"/>
                              <wpg:cNvGrpSpPr/>
                              <wpg:grpSpPr>
                                <a:xfrm>
                                  <a:off x="246492" y="270345"/>
                                  <a:ext cx="922350" cy="2711395"/>
                                  <a:chOff x="246492" y="270345"/>
                                  <a:chExt cx="922350" cy="2711395"/>
                                </a:xfrm>
                              </wpg:grpSpPr>
                              <wps:wsp>
                                <wps:cNvPr id="48" name="Rectángulo 48"/>
                                <wps:cNvSpPr/>
                                <wps:spPr>
                                  <a:xfrm>
                                    <a:off x="246492" y="270345"/>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246492" y="270345"/>
                                    <a:ext cx="922350" cy="54068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jc w:val="center"/>
                                        <w:rPr>
                                          <w:rFonts w:ascii="ITC Avant Garde" w:hAnsi="ITC Avant Garde"/>
                                          <w:b/>
                                          <w:sz w:val="18"/>
                                          <w:szCs w:val="18"/>
                                        </w:rPr>
                                      </w:pPr>
                                      <w:r w:rsidRPr="006C0D4D">
                                        <w:rPr>
                                          <w:rFonts w:ascii="ITC Avant Garde" w:hAnsi="ITC Avant Garde"/>
                                          <w:b/>
                                          <w:sz w:val="18"/>
                                          <w:szCs w:val="18"/>
                                        </w:rPr>
                                        <w:t>Registros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310102" y="930303"/>
                                    <a:ext cx="803082" cy="3975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jc w:val="center"/>
                                        <w:rPr>
                                          <w:rFonts w:ascii="ITC Avant Garde" w:hAnsi="ITC Avant Garde"/>
                                          <w:b/>
                                          <w:color w:val="000000" w:themeColor="text1"/>
                                          <w:sz w:val="16"/>
                                          <w:szCs w:val="18"/>
                                        </w:rPr>
                                      </w:pPr>
                                      <w:r w:rsidRPr="006C0D4D">
                                        <w:rPr>
                                          <w:rFonts w:ascii="ITC Avant Garde" w:hAnsi="ITC Avant Garde"/>
                                          <w:b/>
                                          <w:color w:val="000000" w:themeColor="text1"/>
                                          <w:sz w:val="16"/>
                                          <w:szCs w:val="18"/>
                                        </w:rPr>
                                        <w:t>Ingresos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ángulo 51"/>
                                <wps:cNvSpPr/>
                                <wps:spPr>
                                  <a:xfrm>
                                    <a:off x="326253" y="1681306"/>
                                    <a:ext cx="786932" cy="1205221"/>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6" w:lineRule="auto"/>
                                        <w:jc w:val="center"/>
                                        <w:rPr>
                                          <w:rFonts w:ascii="ITC Avant Garde" w:hAnsi="ITC Avant Garde"/>
                                          <w:b/>
                                          <w:sz w:val="16"/>
                                          <w:szCs w:val="18"/>
                                        </w:rPr>
                                      </w:pPr>
                                      <w:r w:rsidRPr="006C0D4D">
                                        <w:rPr>
                                          <w:rFonts w:ascii="ITC Avant Garde" w:eastAsia="Calibri" w:hAnsi="ITC Avant Garde"/>
                                          <w:b/>
                                          <w:color w:val="000000"/>
                                          <w:sz w:val="16"/>
                                          <w:szCs w:val="18"/>
                                        </w:rPr>
                                        <w:t>Costos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2" name="Rectángulo 52"/>
                              <wps:cNvSpPr/>
                              <wps:spPr>
                                <a:xfrm>
                                  <a:off x="1309003" y="214354"/>
                                  <a:ext cx="3644661" cy="287075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 name="Grupo 53"/>
                              <wpg:cNvGrpSpPr/>
                              <wpg:grpSpPr>
                                <a:xfrm>
                                  <a:off x="1460137" y="270925"/>
                                  <a:ext cx="922020" cy="2710815"/>
                                  <a:chOff x="1396550" y="270925"/>
                                  <a:chExt cx="922020" cy="2710815"/>
                                </a:xfrm>
                              </wpg:grpSpPr>
                              <wpg:grpSp>
                                <wpg:cNvPr id="54" name="Grupo 54"/>
                                <wpg:cNvGrpSpPr/>
                                <wpg:grpSpPr>
                                  <a:xfrm>
                                    <a:off x="1396550" y="270925"/>
                                    <a:ext cx="922020" cy="2710815"/>
                                    <a:chOff x="0" y="0"/>
                                    <a:chExt cx="922350" cy="2711395"/>
                                  </a:xfrm>
                                </wpg:grpSpPr>
                                <wps:wsp>
                                  <wps:cNvPr id="55" name="Rectángulo 55"/>
                                  <wps:cNvSpPr/>
                                  <wps:spPr>
                                    <a:xfrm>
                                      <a:off x="0" y="0"/>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Rectángulo 56"/>
                                  <wps:cNvSpPr/>
                                  <wps:spPr>
                                    <a:xfrm>
                                      <a:off x="0" y="0"/>
                                      <a:ext cx="922350" cy="54068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6" w:lineRule="auto"/>
                                          <w:jc w:val="center"/>
                                          <w:rPr>
                                            <w:rFonts w:ascii="ITC Avant Garde" w:hAnsi="ITC Avant Garde"/>
                                          </w:rPr>
                                        </w:pPr>
                                        <w:r w:rsidRPr="006C0D4D">
                                          <w:rPr>
                                            <w:rFonts w:ascii="ITC Avant Garde" w:eastAsia="Calibri" w:hAnsi="ITC Avant Garde"/>
                                            <w:b/>
                                            <w:bCs/>
                                            <w:sz w:val="18"/>
                                            <w:szCs w:val="18"/>
                                          </w:rPr>
                                          <w:t>Costos e Ingresos por naturaleza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63610" y="659958"/>
                                      <a:ext cx="803082" cy="3975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6" w:lineRule="auto"/>
                                          <w:jc w:val="center"/>
                                          <w:rPr>
                                            <w:rFonts w:ascii="ITC Avant Garde" w:hAnsi="ITC Avant Garde"/>
                                            <w:b/>
                                            <w:sz w:val="22"/>
                                          </w:rPr>
                                        </w:pPr>
                                        <w:r w:rsidRPr="006C0D4D">
                                          <w:rPr>
                                            <w:rFonts w:ascii="ITC Avant Garde" w:eastAsia="Calibri" w:hAnsi="ITC Avant Garde"/>
                                            <w:b/>
                                            <w:color w:val="000000"/>
                                            <w:sz w:val="16"/>
                                            <w:szCs w:val="18"/>
                                          </w:rPr>
                                          <w:t>Ingresos reflejados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ángulo 58"/>
                                  <wps:cNvSpPr/>
                                  <wps:spPr>
                                    <a:xfrm>
                                      <a:off x="79761" y="2202402"/>
                                      <a:ext cx="786932" cy="413780"/>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4" w:lineRule="auto"/>
                                          <w:jc w:val="center"/>
                                          <w:rPr>
                                            <w:rFonts w:ascii="ITC Avant Garde" w:hAnsi="ITC Avant Garde"/>
                                            <w:b/>
                                            <w:sz w:val="22"/>
                                          </w:rPr>
                                        </w:pPr>
                                        <w:r w:rsidRPr="006C0D4D">
                                          <w:rPr>
                                            <w:rFonts w:ascii="ITC Avant Garde" w:eastAsia="Calibri" w:hAnsi="ITC Avant Garde"/>
                                            <w:b/>
                                            <w:color w:val="000000"/>
                                            <w:sz w:val="16"/>
                                            <w:szCs w:val="18"/>
                                          </w:rPr>
                                          <w:t>Costos calculados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9" name="Rectángulo 59"/>
                                <wps:cNvSpPr/>
                                <wps:spPr>
                                  <a:xfrm>
                                    <a:off x="1460137" y="1686294"/>
                                    <a:ext cx="786130" cy="41338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2" w:lineRule="auto"/>
                                        <w:jc w:val="center"/>
                                        <w:rPr>
                                          <w:rFonts w:ascii="ITC Avant Garde" w:hAnsi="ITC Avant Garde"/>
                                        </w:rPr>
                                      </w:pPr>
                                      <w:r w:rsidRPr="006C0D4D">
                                        <w:rPr>
                                          <w:rFonts w:ascii="ITC Avant Garde" w:eastAsia="Calibri" w:hAnsi="ITC Avant Garde"/>
                                          <w:b/>
                                          <w:bCs/>
                                          <w:color w:val="000000"/>
                                          <w:sz w:val="16"/>
                                          <w:szCs w:val="16"/>
                                        </w:rPr>
                                        <w:t>Costos reflejados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0" name="Grupo 60"/>
                              <wpg:cNvGrpSpPr/>
                              <wpg:grpSpPr>
                                <a:xfrm>
                                  <a:off x="2692589" y="270345"/>
                                  <a:ext cx="922020" cy="2710815"/>
                                  <a:chOff x="0" y="0"/>
                                  <a:chExt cx="922020" cy="2710815"/>
                                </a:xfrm>
                              </wpg:grpSpPr>
                              <wpg:grpSp>
                                <wpg:cNvPr id="61" name="Grupo 61"/>
                                <wpg:cNvGrpSpPr/>
                                <wpg:grpSpPr>
                                  <a:xfrm>
                                    <a:off x="0" y="0"/>
                                    <a:ext cx="922020" cy="2710815"/>
                                    <a:chOff x="0" y="0"/>
                                    <a:chExt cx="922350" cy="2711395"/>
                                  </a:xfrm>
                                </wpg:grpSpPr>
                                <wps:wsp>
                                  <wps:cNvPr id="62" name="Rectángulo 62"/>
                                  <wps:cNvSpPr/>
                                  <wps:spPr>
                                    <a:xfrm>
                                      <a:off x="0" y="0"/>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Rectángulo 63"/>
                                  <wps:cNvSpPr/>
                                  <wps:spPr>
                                    <a:xfrm>
                                      <a:off x="0" y="0"/>
                                      <a:ext cx="922350" cy="54068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4" w:lineRule="auto"/>
                                          <w:jc w:val="center"/>
                                          <w:rPr>
                                            <w:rFonts w:ascii="ITC Avant Garde" w:hAnsi="ITC Avant Garde"/>
                                          </w:rPr>
                                        </w:pPr>
                                        <w:r w:rsidRPr="006C0D4D">
                                          <w:rPr>
                                            <w:rFonts w:ascii="ITC Avant Garde" w:eastAsia="Calibri" w:hAnsi="ITC Avant Garde"/>
                                            <w:b/>
                                            <w:bCs/>
                                            <w:sz w:val="18"/>
                                            <w:szCs w:val="18"/>
                                          </w:rPr>
                                          <w:t>Centros de actividad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4" name="Rectángulo 64"/>
                                <wps:cNvSpPr/>
                                <wps:spPr>
                                  <a:xfrm>
                                    <a:off x="63587" y="1415369"/>
                                    <a:ext cx="786130" cy="1200253"/>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2" w:lineRule="auto"/>
                                        <w:jc w:val="center"/>
                                        <w:rPr>
                                          <w:rFonts w:ascii="ITC Avant Garde" w:hAnsi="ITC Avant Garde"/>
                                        </w:rPr>
                                      </w:pPr>
                                      <w:r w:rsidRPr="006C0D4D">
                                        <w:rPr>
                                          <w:rFonts w:ascii="ITC Avant Garde" w:eastAsia="Calibri" w:hAnsi="ITC Avant Garde"/>
                                          <w:b/>
                                          <w:bCs/>
                                          <w:color w:val="000000"/>
                                          <w:sz w:val="16"/>
                                          <w:szCs w:val="16"/>
                                        </w:rPr>
                                        <w:t>Costos por centro de actividad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 name="Grupo 65"/>
                              <wpg:cNvGrpSpPr/>
                              <wpg:grpSpPr>
                                <a:xfrm>
                                  <a:off x="3893235" y="270345"/>
                                  <a:ext cx="922020" cy="2710815"/>
                                  <a:chOff x="0" y="0"/>
                                  <a:chExt cx="922020" cy="2710815"/>
                                </a:xfrm>
                              </wpg:grpSpPr>
                              <wpg:grpSp>
                                <wpg:cNvPr id="66" name="Grupo 66"/>
                                <wpg:cNvGrpSpPr/>
                                <wpg:grpSpPr>
                                  <a:xfrm>
                                    <a:off x="0" y="0"/>
                                    <a:ext cx="922020" cy="2710815"/>
                                    <a:chOff x="0" y="0"/>
                                    <a:chExt cx="922350" cy="2711395"/>
                                  </a:xfrm>
                                </wpg:grpSpPr>
                                <wps:wsp>
                                  <wps:cNvPr id="67" name="Rectángulo 67"/>
                                  <wps:cNvSpPr/>
                                  <wps:spPr>
                                    <a:xfrm>
                                      <a:off x="0" y="0"/>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Rectángulo 68"/>
                                  <wps:cNvSpPr/>
                                  <wps:spPr>
                                    <a:xfrm>
                                      <a:off x="0" y="0"/>
                                      <a:ext cx="922350" cy="540688"/>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4" w:lineRule="auto"/>
                                          <w:jc w:val="center"/>
                                          <w:rPr>
                                            <w:rFonts w:ascii="ITC Avant Garde" w:hAnsi="ITC Avant Garde"/>
                                          </w:rPr>
                                        </w:pPr>
                                        <w:r w:rsidRPr="006C0D4D">
                                          <w:rPr>
                                            <w:rFonts w:ascii="ITC Avant Garde" w:eastAsia="Calibri" w:hAnsi="ITC Avant Garde"/>
                                            <w:b/>
                                            <w:bCs/>
                                            <w:sz w:val="18"/>
                                            <w:szCs w:val="18"/>
                                          </w:rPr>
                                          <w:t>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ángulo 69"/>
                                  <wps:cNvSpPr/>
                                  <wps:spPr>
                                    <a:xfrm>
                                      <a:off x="63610" y="659958"/>
                                      <a:ext cx="803082" cy="3975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4" w:lineRule="auto"/>
                                          <w:jc w:val="center"/>
                                          <w:rPr>
                                            <w:rFonts w:ascii="ITC Avant Garde" w:hAnsi="ITC Avant Garde"/>
                                          </w:rPr>
                                        </w:pPr>
                                        <w:r w:rsidRPr="006C0D4D">
                                          <w:rPr>
                                            <w:rFonts w:ascii="ITC Avant Garde" w:eastAsia="Calibri" w:hAnsi="ITC Avant Garde"/>
                                            <w:b/>
                                            <w:bCs/>
                                            <w:color w:val="000000"/>
                                            <w:sz w:val="16"/>
                                            <w:szCs w:val="16"/>
                                          </w:rPr>
                                          <w:t>Ingresos por servicio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0" name="Rectángulo 70"/>
                                <wps:cNvSpPr/>
                                <wps:spPr>
                                  <a:xfrm>
                                    <a:off x="63587" y="1415369"/>
                                    <a:ext cx="786130" cy="1200253"/>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r w:rsidRPr="006C0D4D">
                                        <w:rPr>
                                          <w:rFonts w:ascii="ITC Avant Garde" w:eastAsia="Calibri" w:hAnsi="ITC Avant Garde"/>
                                          <w:b/>
                                          <w:bCs/>
                                          <w:color w:val="000000"/>
                                          <w:sz w:val="12"/>
                                          <w:szCs w:val="16"/>
                                        </w:rPr>
                                        <w:t>Costos Servicios Mayoristas</w:t>
                                      </w: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r w:rsidRPr="006C0D4D">
                                        <w:rPr>
                                          <w:rFonts w:ascii="ITC Avant Garde" w:eastAsia="Calibri" w:hAnsi="ITC Avant Garde"/>
                                          <w:b/>
                                          <w:bCs/>
                                          <w:color w:val="000000"/>
                                          <w:sz w:val="12"/>
                                          <w:szCs w:val="16"/>
                                        </w:rPr>
                                        <w:t>Costos Servicios Minoristas</w:t>
                                      </w:r>
                                    </w:p>
                                    <w:p w:rsidR="00820D16" w:rsidRPr="006C0D4D" w:rsidRDefault="00820D16" w:rsidP="00010BFB">
                                      <w:pPr>
                                        <w:pStyle w:val="NormalWeb"/>
                                        <w:spacing w:before="0" w:beforeAutospacing="0" w:after="160" w:afterAutospacing="0" w:line="252" w:lineRule="auto"/>
                                        <w:jc w:val="center"/>
                                        <w:rPr>
                                          <w:rFonts w:ascii="ITC Avant Garde" w:hAnsi="ITC Avant Gard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1" name="Conector recto de flecha 71"/>
                              <wps:cNvCnPr>
                                <a:endCxn id="69" idx="1"/>
                              </wps:cNvCnPr>
                              <wps:spPr>
                                <a:xfrm>
                                  <a:off x="2326519" y="1121134"/>
                                  <a:ext cx="1630303" cy="7768"/>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Conector recto de flecha 72"/>
                              <wps:cNvCnPr>
                                <a:stCxn id="50" idx="3"/>
                                <a:endCxn id="57" idx="1"/>
                              </wps:cNvCnPr>
                              <wps:spPr>
                                <a:xfrm>
                                  <a:off x="1113184" y="1129086"/>
                                  <a:ext cx="410540" cy="396"/>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Conector recto de flecha 73"/>
                              <wps:cNvCnPr>
                                <a:stCxn id="51" idx="3"/>
                                <a:endCxn id="59" idx="1"/>
                              </wps:cNvCnPr>
                              <wps:spPr>
                                <a:xfrm flipV="1">
                                  <a:off x="1113185" y="1892987"/>
                                  <a:ext cx="410539" cy="39093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Conector recto de flecha 74"/>
                              <wps:cNvCnPr>
                                <a:endCxn id="58" idx="1"/>
                              </wps:cNvCnPr>
                              <wps:spPr>
                                <a:xfrm>
                                  <a:off x="1113186" y="2329733"/>
                                  <a:ext cx="426683" cy="349969"/>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Conector recto de flecha 75"/>
                              <wps:cNvCnPr>
                                <a:stCxn id="59" idx="3"/>
                                <a:endCxn id="64" idx="1"/>
                              </wps:cNvCnPr>
                              <wps:spPr>
                                <a:xfrm>
                                  <a:off x="2309854" y="1892987"/>
                                  <a:ext cx="446322" cy="392854"/>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Conector recto de flecha 77"/>
                              <wps:cNvCnPr>
                                <a:stCxn id="58" idx="3"/>
                                <a:endCxn id="64" idx="1"/>
                              </wps:cNvCnPr>
                              <wps:spPr>
                                <a:xfrm flipV="1">
                                  <a:off x="2326519" y="2285841"/>
                                  <a:ext cx="429657" cy="393861"/>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Conector recto de flecha 78"/>
                              <wps:cNvCnPr>
                                <a:stCxn id="64" idx="3"/>
                                <a:endCxn id="70" idx="1"/>
                              </wps:cNvCnPr>
                              <wps:spPr>
                                <a:xfrm>
                                  <a:off x="3542306" y="2285841"/>
                                  <a:ext cx="414516"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Flecha arriba y abajo 79"/>
                              <wps:cNvSpPr/>
                              <wps:spPr>
                                <a:xfrm>
                                  <a:off x="4198290" y="1924793"/>
                                  <a:ext cx="310101" cy="707090"/>
                                </a:xfrm>
                                <a:prstGeom prst="up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 name="Cuadro de texto 80"/>
                            <wps:cNvSpPr txBox="1"/>
                            <wps:spPr>
                              <a:xfrm>
                                <a:off x="262392" y="16814"/>
                                <a:ext cx="1343771"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D16" w:rsidRPr="006C0D4D" w:rsidRDefault="00820D16" w:rsidP="00010BFB">
                                  <w:pPr>
                                    <w:rPr>
                                      <w:rFonts w:ascii="ITC Avant Garde" w:hAnsi="ITC Avant Garde"/>
                                      <w:b/>
                                      <w:sz w:val="14"/>
                                    </w:rPr>
                                  </w:pPr>
                                  <w:r w:rsidRPr="006C0D4D">
                                    <w:rPr>
                                      <w:rFonts w:ascii="ITC Avant Garde" w:hAnsi="ITC Avant Garde"/>
                                      <w:b/>
                                      <w:sz w:val="14"/>
                                    </w:rPr>
                                    <w:t>Contabilidad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Cuadro de texto 46"/>
                            <wps:cNvSpPr txBox="1"/>
                            <wps:spPr>
                              <a:xfrm>
                                <a:off x="1407383" y="17256"/>
                                <a:ext cx="134366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D16" w:rsidRDefault="00820D16" w:rsidP="00010BFB">
                                  <w:pPr>
                                    <w:pStyle w:val="NormalWeb"/>
                                    <w:spacing w:before="0" w:beforeAutospacing="0" w:after="160" w:afterAutospacing="0" w:line="256" w:lineRule="auto"/>
                                  </w:pPr>
                                  <w:r>
                                    <w:rPr>
                                      <w:rFonts w:ascii="ITC Avant Garde" w:eastAsia="Calibri" w:hAnsi="ITC Avant Garde"/>
                                      <w:b/>
                                      <w:bCs/>
                                      <w:sz w:val="14"/>
                                      <w:szCs w:val="14"/>
                                    </w:rPr>
                                    <w:t>Contabilidad Regulatoria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82" name="Rectángulo 82"/>
                          <wps:cNvSpPr/>
                          <wps:spPr>
                            <a:xfrm>
                              <a:off x="4158781" y="2120156"/>
                              <a:ext cx="782955" cy="29337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160" w:afterAutospacing="0" w:line="252" w:lineRule="auto"/>
                                  <w:jc w:val="center"/>
                                </w:pPr>
                                <w:r>
                                  <w:rPr>
                                    <w:rFonts w:ascii="ITC Avant Garde" w:eastAsia="Calibri" w:hAnsi="ITC Avant Garde"/>
                                    <w:b/>
                                    <w:bCs/>
                                    <w:sz w:val="12"/>
                                    <w:szCs w:val="12"/>
                                  </w:rPr>
                                  <w:t>Cargos de transferencia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1BB87039" id="Lienzo 83" o:spid="_x0000_s1059"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">
                <v:shape id="_x0000_s1060" type="#_x0000_t75" style="position:absolute;width:54864;height:32004;visibility:visible;mso-wrap-style:square">
                  <v:fill o:detectmouseclick="t"/>
                  <v:path o:connecttype="none"/>
                </v:shape>
                <v:group id="Grupo 43" o:spid="_x0000_s1061" style="position:absolute;left:2623;top:168;width:48901;height:30686" coordorigin="2623,168" coordsize="48900,30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upo 44" o:spid="_x0000_s1062" style="position:absolute;left:2623;top:168;width:48901;height:30686" coordorigin="2623,168" coordsize="48900,30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upo 45" o:spid="_x0000_s1063" style="position:absolute;left:3578;top:2146;width:47946;height:28708" coordorigin="1590,2143" coordsize="47946,28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ángulo 46" o:spid="_x0000_s1064" style="position:absolute;left:1590;top:2143;width:10893;height:28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bFcQA&#10;AADbAAAADwAAAGRycy9kb3ducmV2LnhtbESPQWvCQBSE74X+h+UVvNXdBgkaXaVoCx5yaFXQ4yP7&#10;TILZtyG7JvHfdwuFHoeZ+YZZbUbbiJ46XzvW8DZVIIgLZ2ouNZyOn69zED4gG2wck4YHedisn59W&#10;mBk38Df1h1CKCGGfoYYqhDaT0hcVWfRT1xJH7+o6iyHKrpSmwyHCbSMTpVJpsea4UGFL24qK2+Fu&#10;NeTHL7rdT8l5bi95sqgL5dTuQ+vJy/i+BBFoDP/hv/beaJil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2xXEAAAA2wAAAA8AAAAAAAAAAAAAAAAAmAIAAGRycy9k&#10;b3ducmV2LnhtbFBLBQYAAAAABAAEAPUAAACJAwAAAAA=&#10;" filled="f" strokecolor="black [3213]" strokeweight="1pt">
                        <v:stroke dashstyle="dash"/>
                      </v:rect>
                      <v:group id="Grupo 47" o:spid="_x0000_s1065" style="position:absolute;left:2464;top:2703;width:9224;height:27114" coordorigin="2464,2703"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ángulo 48" o:spid="_x0000_s1066" style="position:absolute;left:2464;top:2703;width:9224;height:27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FysIA&#10;AADbAAAADwAAAGRycy9kb3ducmV2LnhtbERPXWvCMBR9F/wP4Q58m+mkbKMaRQeiMCboBPHt0lzT&#10;YnPTNdF0/355GPh4ON+zRW8bcafO144VvIwzEMSl0zUbBcfv9fM7CB+QNTaOScEveVjMh4MZFtpF&#10;3tP9EIxIIewLVFCF0BZS+rIii37sWuLEXVxnMSTYGak7jCncNnKSZa/SYs2pocKWPioqr4ebVRDz&#10;nYv52rytJl/H03n3aTY/dVRq9NQvpyAC9eEh/ndvtYI8jU1f0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4XKwgAAANsAAAAPAAAAAAAAAAAAAAAAAJgCAABkcnMvZG93&#10;bnJldi54bWxQSwUGAAAAAAQABAD1AAAAhwMAAAAA&#10;" fillcolor="#d9e2f3 [664]" stroked="f" strokeweight="1pt"/>
                        <v:rect id="Rectángulo 49" o:spid="_x0000_s1067" style="position:absolute;left:2464;top:2703;width:9224;height:5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DxcQA&#10;AADbAAAADwAAAGRycy9kb3ducmV2LnhtbESPQWvCQBSE7wX/w/IEb3VjsGJTV5GUikgvRqHXR/Y1&#10;CWbfhuxqEn99Vyh4HGbmG2a16U0tbtS6yrKC2TQCQZxbXXGh4Hz6el2CcB5ZY22ZFAzkYLMevaww&#10;0bbjI90yX4gAYZeggtL7JpHS5SUZdFPbEAfv17YGfZBtIXWLXYCbWsZRtJAGKw4LJTaUlpRfsqtR&#10;QCY9/Hy/ZUe7iIZTPPu09+tur9Rk3G8/QHjq/TP8395rBfN3eHw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Q8XEAAAA2wAAAA8AAAAAAAAAAAAAAAAAmAIAAGRycy9k&#10;b3ducmV2LnhtbFBLBQYAAAAABAAEAPUAAACJAwAAAAA=&#10;" fillcolor="#002060" strokecolor="#002060" strokeweight="1pt">
                          <v:textbox>
                            <w:txbxContent>
                              <w:p w:rsidR="00820D16" w:rsidRPr="006C0D4D" w:rsidRDefault="00820D16" w:rsidP="00010BFB">
                                <w:pPr>
                                  <w:jc w:val="center"/>
                                  <w:rPr>
                                    <w:rFonts w:ascii="ITC Avant Garde" w:hAnsi="ITC Avant Garde"/>
                                    <w:b/>
                                    <w:sz w:val="18"/>
                                    <w:szCs w:val="18"/>
                                  </w:rPr>
                                </w:pPr>
                                <w:r w:rsidRPr="006C0D4D">
                                  <w:rPr>
                                    <w:rFonts w:ascii="ITC Avant Garde" w:hAnsi="ITC Avant Garde"/>
                                    <w:b/>
                                    <w:sz w:val="18"/>
                                    <w:szCs w:val="18"/>
                                  </w:rPr>
                                  <w:t>Registros Financieros</w:t>
                                </w:r>
                              </w:p>
                            </w:txbxContent>
                          </v:textbox>
                        </v:rect>
                        <v:rect id="Rectángulo 50" o:spid="_x0000_s1068" style="position:absolute;left:3101;top:9303;width:8030;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HFsAA&#10;AADbAAAADwAAAGRycy9kb3ducmV2LnhtbERPTWvCQBC9F/wPywje6kTFKtFVRChI6aXqxduQHbPR&#10;7GzIbk3sr+8eCj0+3vd627taPbgNlRcNk3EGiqXwppJSw/n0/roEFSKJodoLa3hygO1m8LKm3PhO&#10;vvhxjKVKIRJy0mBjbHLEUFh2FMa+YUnc1beOYoJtiaalLoW7GqdZ9oaOKkkNlhreWy7ux2+n4WO2&#10;x0V2/4kXewsdzj/rS4kTrUfDfrcCFbmP/+I/98FomKf16Uv6Abj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rHFsAAAADbAAAADwAAAAAAAAAAAAAAAACYAgAAZHJzL2Rvd25y&#10;ZXYueG1sUEsFBgAAAAAEAAQA9QAAAIUDAAAAAA==&#10;" fillcolor="#cfcdcd [2894]" strokecolor="#002060" strokeweight="1pt">
                          <v:textbox>
                            <w:txbxContent>
                              <w:p w:rsidR="00820D16" w:rsidRPr="006C0D4D" w:rsidRDefault="00820D16" w:rsidP="00010BFB">
                                <w:pPr>
                                  <w:jc w:val="center"/>
                                  <w:rPr>
                                    <w:rFonts w:ascii="ITC Avant Garde" w:hAnsi="ITC Avant Garde"/>
                                    <w:b/>
                                    <w:color w:val="000000" w:themeColor="text1"/>
                                    <w:sz w:val="16"/>
                                    <w:szCs w:val="18"/>
                                  </w:rPr>
                                </w:pPr>
                                <w:r w:rsidRPr="006C0D4D">
                                  <w:rPr>
                                    <w:rFonts w:ascii="ITC Avant Garde" w:hAnsi="ITC Avant Garde"/>
                                    <w:b/>
                                    <w:color w:val="000000" w:themeColor="text1"/>
                                    <w:sz w:val="16"/>
                                    <w:szCs w:val="18"/>
                                  </w:rPr>
                                  <w:t>Ingresos</w:t>
                                </w:r>
                              </w:p>
                            </w:txbxContent>
                          </v:textbox>
                        </v:rect>
                        <v:rect id="Rectángulo 51" o:spid="_x0000_s1069" style="position:absolute;left:3262;top:16813;width:7869;height:1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ijcQA&#10;AADbAAAADwAAAGRycy9kb3ducmV2LnhtbESPQWvCQBSE74X+h+UVvNWXKLYldZUiCCJetL14e2Rf&#10;s6nZtyG7mthf3xWEHoeZ+YaZLwfXqAt3ofaiIR9noFhKb2qpNHx9rp/fQIVIYqjxwhquHGC5eHyY&#10;U2F8L3u+HGKlEkRCQRpsjG2BGErLjsLYtyzJ+/ado5hkV6HpqE9w1+Aky17QUS1pwVLLK8vl6XB2&#10;GrbTFb5mp994tD+hx9muOVaYaz16Gj7eQUUe4n/43t4YDbMcbl/SD8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WYo3EAAAA2wAAAA8AAAAAAAAAAAAAAAAAmAIAAGRycy9k&#10;b3ducmV2LnhtbFBLBQYAAAAABAAEAPUAAACJAwAAAAA=&#10;" fillcolor="#cfcdcd [2894]" strokecolor="#002060" strokeweight="1pt">
                          <v:textbox>
                            <w:txbxContent>
                              <w:p w:rsidR="00820D16" w:rsidRPr="006C0D4D" w:rsidRDefault="00820D16" w:rsidP="00010BFB">
                                <w:pPr>
                                  <w:pStyle w:val="NormalWeb"/>
                                  <w:spacing w:before="0" w:beforeAutospacing="0" w:after="160" w:afterAutospacing="0" w:line="256" w:lineRule="auto"/>
                                  <w:jc w:val="center"/>
                                  <w:rPr>
                                    <w:rFonts w:ascii="ITC Avant Garde" w:hAnsi="ITC Avant Garde"/>
                                    <w:b/>
                                    <w:sz w:val="16"/>
                                    <w:szCs w:val="18"/>
                                  </w:rPr>
                                </w:pPr>
                                <w:r w:rsidRPr="006C0D4D">
                                  <w:rPr>
                                    <w:rFonts w:ascii="ITC Avant Garde" w:eastAsia="Calibri" w:hAnsi="ITC Avant Garde"/>
                                    <w:b/>
                                    <w:color w:val="000000"/>
                                    <w:sz w:val="16"/>
                                    <w:szCs w:val="18"/>
                                  </w:rPr>
                                  <w:t>Costos</w:t>
                                </w:r>
                              </w:p>
                            </w:txbxContent>
                          </v:textbox>
                        </v:rect>
                      </v:group>
                      <v:rect id="Rectángulo 52" o:spid="_x0000_s1070" style="position:absolute;left:13090;top:2143;width:36446;height:28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Ly8MA&#10;AADbAAAADwAAAGRycy9kb3ducmV2LnhtbESPT4vCMBTE7wt+h/AEb2tiQdGuURb/gAcPbhXc46N5&#10;2xabl9JErd/eCMIeh5n5DTNfdrYWN2p95VjDaKhAEOfOVFxoOB23n1MQPiAbrB2Thgd5WC56H3NM&#10;jbvzD92yUIgIYZ+ihjKEJpXS5yVZ9EPXEEfvz7UWQ5RtIU2L9wi3tUyUmkiLFceFEhtalZRfsqvV&#10;sD8e6HI9Jeep/d0nsypXTq03Wg/63fcXiEBd+A+/2zujYZzA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RLy8MAAADbAAAADwAAAAAAAAAAAAAAAACYAgAAZHJzL2Rv&#10;d25yZXYueG1sUEsFBgAAAAAEAAQA9QAAAIgDAAAAAA==&#10;" filled="f" strokecolor="black [3213]" strokeweight="1pt">
                        <v:stroke dashstyle="dash"/>
                      </v:rect>
                      <v:group id="Grupo 53" o:spid="_x0000_s1071" style="position:absolute;left:14601;top:2709;width:9220;height:27108" coordorigin="13965,2709" coordsize="9220,2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upo 54" o:spid="_x0000_s1072" style="position:absolute;left:13965;top:2709;width:9220;height:27108"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ángulo 55" o:spid="_x0000_s1073" style="position:absolute;width:9223;height:2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icUA&#10;AADbAAAADwAAAGRycy9kb3ducmV2LnhtbESP3WoCMRSE7wt9h3CE3mlW8aesRqkFsSAVqkLx7rA5&#10;zS7dnKybaLZvbwqFXg4z8w2zWHW2FjdqfeVYwXCQgSAunK7YKDgdN/1nED4ga6wdk4If8rBaPj4s&#10;MNcu8gfdDsGIBGGfo4IyhCaX0hclWfQD1xAn78u1FkOSrZG6xZjgtpajLJtKixWnhRIbei2p+D5c&#10;rYI43rs43pjZevR++jzvd2Z7qaJST73uZQ4iUBf+w3/tN61gMoHfL+k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7yJxQAAANsAAAAPAAAAAAAAAAAAAAAAAJgCAABkcnMv&#10;ZG93bnJldi54bWxQSwUGAAAAAAQABAD1AAAAigMAAAAA&#10;" fillcolor="#d9e2f3 [664]" stroked="f" strokeweight="1pt"/>
                          <v:rect id="Rectángulo 56" o:spid="_x0000_s1074" style="position:absolute;width:9223;height:5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asEA&#10;AADbAAAADwAAAGRycy9kb3ducmV2LnhtbESPQYvCMBSE7wv+h/AEb2uqYJFqFFEUkb3YCl4fzbMt&#10;Ni+liVr99RtB8DjMzDfMfNmZWtypdZVlBaNhBII4t7riQsEp2/5OQTiPrLG2TAqe5GC56P3MMdH2&#10;wUe6p74QAcIuQQWl900ipctLMuiGtiEO3sW2Bn2QbSF1i48AN7UcR1EsDVYcFkpsaF1Sfk1vRgGZ&#10;9eH8N0mPNo6e2Xi0sa/bbq/UoN+tZiA8df4b/rT3WsEkhve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qQWrBAAAA2wAAAA8AAAAAAAAAAAAAAAAAmAIAAGRycy9kb3du&#10;cmV2LnhtbFBLBQYAAAAABAAEAPUAAACGAwAAAAA=&#10;" fillcolor="#002060" strokecolor="#002060" strokeweight="1pt">
                            <v:textbox>
                              <w:txbxContent>
                                <w:p w:rsidR="00820D16" w:rsidRPr="006C0D4D" w:rsidRDefault="00820D16" w:rsidP="00010BFB">
                                  <w:pPr>
                                    <w:pStyle w:val="NormalWeb"/>
                                    <w:spacing w:before="0" w:beforeAutospacing="0" w:after="160" w:afterAutospacing="0" w:line="256" w:lineRule="auto"/>
                                    <w:jc w:val="center"/>
                                    <w:rPr>
                                      <w:rFonts w:ascii="ITC Avant Garde" w:hAnsi="ITC Avant Garde"/>
                                    </w:rPr>
                                  </w:pPr>
                                  <w:r w:rsidRPr="006C0D4D">
                                    <w:rPr>
                                      <w:rFonts w:ascii="ITC Avant Garde" w:eastAsia="Calibri" w:hAnsi="ITC Avant Garde"/>
                                      <w:b/>
                                      <w:bCs/>
                                      <w:sz w:val="18"/>
                                      <w:szCs w:val="18"/>
                                    </w:rPr>
                                    <w:t>Costos e Ingresos por naturaleza</w:t>
                                  </w:r>
                                </w:p>
                              </w:txbxContent>
                            </v:textbox>
                          </v:rect>
                          <v:rect id="Rectángulo 57" o:spid="_x0000_s1075" style="position:absolute;left:636;top:6599;width:8030;height:3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YsMA&#10;AADbAAAADwAAAGRycy9kb3ducmV2LnhtbESPQWvCQBSE7wX/w/KE3uqLLVaJriKCINJL1Yu3R/aZ&#10;jWbfhuzWxP76bqHQ4zAz3zCLVe9qdec2VF40jEcZKJbCm0pKDafj9mUGKkQSQ7UX1vDgAKvl4GlB&#10;ufGdfPL9EEuVIBJy0mBjbHLEUFh2FEa+YUnexbeOYpJtiaalLsFdja9Z9o6OKkkLlhreWC5uhy+n&#10;Yf+2wWl2+45new0dTj7qc4ljrZ+H/XoOKnIf/8N/7Z3RMJnC75f0A3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fYsMAAADbAAAADwAAAAAAAAAAAAAAAACYAgAAZHJzL2Rv&#10;d25yZXYueG1sUEsFBgAAAAAEAAQA9QAAAIgDAAAAAA==&#10;" fillcolor="#cfcdcd [2894]" strokecolor="#002060" strokeweight="1pt">
                            <v:textbox>
                              <w:txbxContent>
                                <w:p w:rsidR="00820D16" w:rsidRPr="006C0D4D" w:rsidRDefault="00820D16" w:rsidP="00010BFB">
                                  <w:pPr>
                                    <w:pStyle w:val="NormalWeb"/>
                                    <w:spacing w:before="0" w:beforeAutospacing="0" w:after="160" w:afterAutospacing="0" w:line="256" w:lineRule="auto"/>
                                    <w:jc w:val="center"/>
                                    <w:rPr>
                                      <w:rFonts w:ascii="ITC Avant Garde" w:hAnsi="ITC Avant Garde"/>
                                      <w:b/>
                                      <w:sz w:val="22"/>
                                    </w:rPr>
                                  </w:pPr>
                                  <w:r w:rsidRPr="006C0D4D">
                                    <w:rPr>
                                      <w:rFonts w:ascii="ITC Avant Garde" w:eastAsia="Calibri" w:hAnsi="ITC Avant Garde"/>
                                      <w:b/>
                                      <w:color w:val="000000"/>
                                      <w:sz w:val="16"/>
                                      <w:szCs w:val="18"/>
                                    </w:rPr>
                                    <w:t>Ingresos reflejados</w:t>
                                  </w:r>
                                </w:p>
                              </w:txbxContent>
                            </v:textbox>
                          </v:rect>
                          <v:rect id="Rectángulo 58" o:spid="_x0000_s1076" style="position:absolute;left:797;top:22024;width:7869;height:4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LEMAA&#10;AADbAAAADwAAAGRycy9kb3ducmV2LnhtbERPTWvCQBC9F/wPywje6kTFKtFVRChI6aXqxduQHbPR&#10;7GzIbk3sr+8eCj0+3vd627taPbgNlRcNk3EGiqXwppJSw/n0/roEFSKJodoLa3hygO1m8LKm3PhO&#10;vvhxjKVKIRJy0mBjbHLEUFh2FMa+YUnc1beOYoJtiaalLoW7GqdZ9oaOKkkNlhreWy7ux2+n4WO2&#10;x0V2/4kXewsdzj/rS4kTrUfDfrcCFbmP/+I/98FomKex6Uv6Abj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zLEMAAAADbAAAADwAAAAAAAAAAAAAAAACYAgAAZHJzL2Rvd25y&#10;ZXYueG1sUEsFBgAAAAAEAAQA9QAAAIUDAAAAAA==&#10;" fillcolor="#cfcdcd [2894]" strokecolor="#002060" strokeweight="1pt">
                            <v:textbox>
                              <w:txbxContent>
                                <w:p w:rsidR="00820D16" w:rsidRPr="006C0D4D" w:rsidRDefault="00820D16" w:rsidP="00010BFB">
                                  <w:pPr>
                                    <w:pStyle w:val="NormalWeb"/>
                                    <w:spacing w:before="0" w:beforeAutospacing="0" w:after="160" w:afterAutospacing="0" w:line="254" w:lineRule="auto"/>
                                    <w:jc w:val="center"/>
                                    <w:rPr>
                                      <w:rFonts w:ascii="ITC Avant Garde" w:hAnsi="ITC Avant Garde"/>
                                      <w:b/>
                                      <w:sz w:val="22"/>
                                    </w:rPr>
                                  </w:pPr>
                                  <w:r w:rsidRPr="006C0D4D">
                                    <w:rPr>
                                      <w:rFonts w:ascii="ITC Avant Garde" w:eastAsia="Calibri" w:hAnsi="ITC Avant Garde"/>
                                      <w:b/>
                                      <w:color w:val="000000"/>
                                      <w:sz w:val="16"/>
                                      <w:szCs w:val="18"/>
                                    </w:rPr>
                                    <w:t>Costos calculados</w:t>
                                  </w:r>
                                </w:p>
                              </w:txbxContent>
                            </v:textbox>
                          </v:rect>
                        </v:group>
                        <v:rect id="Rectángulo 59" o:spid="_x0000_s1077" style="position:absolute;left:14601;top:16862;width:7861;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Bui8QA&#10;AADbAAAADwAAAGRycy9kb3ducmV2LnhtbESPQWvCQBSE74X+h+UVeqsvWtQ2dRURClK8qL14e2Rf&#10;s6nZtyG7NbG/3hUEj8PMfMPMFr2r1YnbUHnRMBxkoFgKbyopNXzvP1/eQIVIYqj2whrOHGAxf3yY&#10;UW58J1s+7WKpEkRCThpsjE2OGArLjsLANyzJ+/Gto5hkW6JpqUtwV+MoyyboqJK0YKnhleXiuPtz&#10;Gr5eVzjNjv/xYH9Dh+NNfShxqPXzU7/8ABW5j/fwrb02GsbvcP2Sfg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bovEAAAA2wAAAA8AAAAAAAAAAAAAAAAAmAIAAGRycy9k&#10;b3ducmV2LnhtbFBLBQYAAAAABAAEAPUAAACJAwAAAAA=&#10;" fillcolor="#cfcdcd [2894]" strokecolor="#002060" strokeweight="1pt">
                          <v:textbox>
                            <w:txbxContent>
                              <w:p w:rsidR="00820D16" w:rsidRPr="006C0D4D" w:rsidRDefault="00820D16" w:rsidP="00010BFB">
                                <w:pPr>
                                  <w:pStyle w:val="NormalWeb"/>
                                  <w:spacing w:before="0" w:beforeAutospacing="0" w:after="160" w:afterAutospacing="0" w:line="252" w:lineRule="auto"/>
                                  <w:jc w:val="center"/>
                                  <w:rPr>
                                    <w:rFonts w:ascii="ITC Avant Garde" w:hAnsi="ITC Avant Garde"/>
                                  </w:rPr>
                                </w:pPr>
                                <w:r w:rsidRPr="006C0D4D">
                                  <w:rPr>
                                    <w:rFonts w:ascii="ITC Avant Garde" w:eastAsia="Calibri" w:hAnsi="ITC Avant Garde"/>
                                    <w:b/>
                                    <w:bCs/>
                                    <w:color w:val="000000"/>
                                    <w:sz w:val="16"/>
                                    <w:szCs w:val="16"/>
                                  </w:rPr>
                                  <w:t>Costos reflejados</w:t>
                                </w:r>
                              </w:p>
                            </w:txbxContent>
                          </v:textbox>
                        </v:rect>
                      </v:group>
                      <v:group id="Grupo 60" o:spid="_x0000_s1078" style="position:absolute;left:26925;top:2703;width:9221;height:27108" coordsize="9220,2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upo 61" o:spid="_x0000_s1079" style="position:absolute;width:9220;height:27108"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ángulo 62" o:spid="_x0000_s1080" style="position:absolute;width:9223;height:2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QMUA&#10;AADbAAAADwAAAGRycy9kb3ducmV2LnhtbESP3WoCMRSE74W+QziF3tVsF1HZGqUVpAVR8AdK7w6b&#10;0+zSzcm6Sc369kYoeDnMzDfMbNHbRpyp87VjBS/DDARx6XTNRsHxsHqegvABWWPjmBRcyMNi/jCY&#10;YaFd5B2d98GIBGFfoIIqhLaQ0pcVWfRD1xIn78d1FkOSnZG6w5jgtpF5lo2lxZrTQoUtLSsqf/d/&#10;VkEcbV0crczkPd8cv763a/NxqqNST4/92yuIQH24h//bn1rBOIfbl/Q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u5AxQAAANsAAAAPAAAAAAAAAAAAAAAAAJgCAABkcnMv&#10;ZG93bnJldi54bWxQSwUGAAAAAAQABAD1AAAAigMAAAAA&#10;" fillcolor="#d9e2f3 [664]" stroked="f" strokeweight="1pt"/>
                          <v:rect id="Rectángulo 63" o:spid="_x0000_s1081" style="position:absolute;width:9223;height:5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oT8MA&#10;AADbAAAADwAAAGRycy9kb3ducmV2LnhtbESPQYvCMBSE7wv+h/AEb2taZYtUYxFFkcWLVfD6aN62&#10;ZZuX0kSt++s3guBxmJlvmEXWm0bcqHO1ZQXxOAJBXFhdc6ngfNp+zkA4j6yxsUwKHuQgWw4+Fphq&#10;e+cj3XJfigBhl6KCyvs2ldIVFRl0Y9sSB+/HdgZ9kF0pdYf3ADeNnERRIg3WHBYqbGldUfGbX40C&#10;Muvvy+ErP9okepwm8cb+XXd7pUbDfjUH4an37/CrvdcKkik8v4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EoT8MAAADbAAAADwAAAAAAAAAAAAAAAACYAgAAZHJzL2Rv&#10;d25yZXYueG1sUEsFBgAAAAAEAAQA9QAAAIgDAAAAAA==&#10;" fillcolor="#002060" strokecolor="#002060" strokeweight="1pt">
                            <v:textbox>
                              <w:txbxContent>
                                <w:p w:rsidR="00820D16" w:rsidRPr="006C0D4D" w:rsidRDefault="00820D16" w:rsidP="00010BFB">
                                  <w:pPr>
                                    <w:pStyle w:val="NormalWeb"/>
                                    <w:spacing w:before="0" w:beforeAutospacing="0" w:after="160" w:afterAutospacing="0" w:line="254" w:lineRule="auto"/>
                                    <w:jc w:val="center"/>
                                    <w:rPr>
                                      <w:rFonts w:ascii="ITC Avant Garde" w:hAnsi="ITC Avant Garde"/>
                                    </w:rPr>
                                  </w:pPr>
                                  <w:r w:rsidRPr="006C0D4D">
                                    <w:rPr>
                                      <w:rFonts w:ascii="ITC Avant Garde" w:eastAsia="Calibri" w:hAnsi="ITC Avant Garde"/>
                                      <w:b/>
                                      <w:bCs/>
                                      <w:sz w:val="18"/>
                                      <w:szCs w:val="18"/>
                                    </w:rPr>
                                    <w:t>Centros de actividad</w:t>
                                  </w:r>
                                </w:p>
                              </w:txbxContent>
                            </v:textbox>
                          </v:rect>
                        </v:group>
                        <v:rect id="Rectángulo 64" o:spid="_x0000_s1082" style="position:absolute;left:635;top:14153;width:7862;height:12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0LqMQA&#10;AADbAAAADwAAAGRycy9kb3ducmV2LnhtbESPQWvCQBSE7wX/w/IEb/XF2tqSuooIgpReql68PbKv&#10;2Wj2bchuTfTXdwsFj8PMfMPMl72r1YXbUHnRMBlnoFgKbyopNRz2m8c3UCGSGKq9sIYrB1guBg9z&#10;yo3v5Isvu1iqBJGQkwYbY5MjhsKyozD2DUvyvn3rKCbZlmha6hLc1fiUZTN0VElasNTw2nJx3v04&#10;DR/TNb5m51s82lPo8OWzPpY40Xo07FfvoCL38R7+b2+Nhtkz/H1JPw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C6jEAAAA2wAAAA8AAAAAAAAAAAAAAAAAmAIAAGRycy9k&#10;b3ducmV2LnhtbFBLBQYAAAAABAAEAPUAAACJAwAAAAA=&#10;" fillcolor="#cfcdcd [2894]" strokecolor="#002060" strokeweight="1pt">
                          <v:textbox>
                            <w:txbxContent>
                              <w:p w:rsidR="00820D16" w:rsidRPr="006C0D4D" w:rsidRDefault="00820D16" w:rsidP="00010BFB">
                                <w:pPr>
                                  <w:pStyle w:val="NormalWeb"/>
                                  <w:spacing w:before="0" w:beforeAutospacing="0" w:after="160" w:afterAutospacing="0" w:line="252" w:lineRule="auto"/>
                                  <w:jc w:val="center"/>
                                  <w:rPr>
                                    <w:rFonts w:ascii="ITC Avant Garde" w:hAnsi="ITC Avant Garde"/>
                                  </w:rPr>
                                </w:pPr>
                                <w:r w:rsidRPr="006C0D4D">
                                  <w:rPr>
                                    <w:rFonts w:ascii="ITC Avant Garde" w:eastAsia="Calibri" w:hAnsi="ITC Avant Garde"/>
                                    <w:b/>
                                    <w:bCs/>
                                    <w:color w:val="000000"/>
                                    <w:sz w:val="16"/>
                                    <w:szCs w:val="16"/>
                                  </w:rPr>
                                  <w:t>Costos por centro de actividad</w:t>
                                </w:r>
                              </w:p>
                            </w:txbxContent>
                          </v:textbox>
                        </v:rect>
                      </v:group>
                      <v:group id="Grupo 65" o:spid="_x0000_s1083" style="position:absolute;left:38932;top:2703;width:9220;height:27108" coordsize="9220,2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upo 66" o:spid="_x0000_s1084" style="position:absolute;width:9220;height:27108"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ángulo 67" o:spid="_x0000_s1085" style="position:absolute;width:9223;height:2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N2MQA&#10;AADbAAAADwAAAGRycy9kb3ducmV2LnhtbESPQWsCMRSE7wX/Q3hCbzVbEZXVKFWQCqKgFYq3x+Y1&#10;u3Tzst2kZv33Rij0OMzMN8x82dlaXKn1lWMFr4MMBHHhdMVGwflj8zIF4QOyxtoxKbiRh+Wi9zTH&#10;XLvIR7qeghEJwj5HBWUITS6lL0qy6AeuIU7el2sthiRbI3WLMcFtLYdZNpYWK04LJTa0Lqn4Pv1a&#10;BXF0cHG0MZPVcH/+vBx25v2niko997u3GYhAXfgP/7W3WsF4A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TdjEAAAA2wAAAA8AAAAAAAAAAAAAAAAAmAIAAGRycy9k&#10;b3ducmV2LnhtbFBLBQYAAAAABAAEAPUAAACJAwAAAAA=&#10;" fillcolor="#d9e2f3 [664]" stroked="f" strokeweight="1pt"/>
                          <v:rect id="Rectángulo 68" o:spid="_x0000_s1086" style="position:absolute;width:9223;height:5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NN8EA&#10;AADbAAAADwAAAGRycy9kb3ducmV2LnhtbERPXWvCMBR9F/Yfwh34pmll1K0zlk02JgjCnPh819y1&#10;Zc1NSWJb/715EHw8nO9VMZpW9OR8Y1lBOk9AEJdWN1wpOP58zp5B+ICssbVMCi7koVg/TFaYazvw&#10;N/WHUIkYwj5HBXUIXS6lL2sy6Oe2I47cn3UGQ4SuktrhEMNNKxdJkkmDDceGGjva1FT+H85GgUv7&#10;ne2XL6k7uf1vufsa3j+eBqWmj+PbK4hAY7iLb+6tVpDFsfFL/AF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uzTfBAAAA2wAAAA8AAAAAAAAAAAAAAAAAmAIAAGRycy9kb3du&#10;cmV2LnhtbFBLBQYAAAAABAAEAPUAAACGAwAAAAA=&#10;" fillcolor="#002060" strokecolor="#1f4d78 [1604]" strokeweight="1pt">
                            <v:textbox>
                              <w:txbxContent>
                                <w:p w:rsidR="00820D16" w:rsidRPr="006C0D4D" w:rsidRDefault="00820D16" w:rsidP="00010BFB">
                                  <w:pPr>
                                    <w:pStyle w:val="NormalWeb"/>
                                    <w:spacing w:before="0" w:beforeAutospacing="0" w:after="160" w:afterAutospacing="0" w:line="254" w:lineRule="auto"/>
                                    <w:jc w:val="center"/>
                                    <w:rPr>
                                      <w:rFonts w:ascii="ITC Avant Garde" w:hAnsi="ITC Avant Garde"/>
                                    </w:rPr>
                                  </w:pPr>
                                  <w:r w:rsidRPr="006C0D4D">
                                    <w:rPr>
                                      <w:rFonts w:ascii="ITC Avant Garde" w:eastAsia="Calibri" w:hAnsi="ITC Avant Garde"/>
                                      <w:b/>
                                      <w:bCs/>
                                      <w:sz w:val="18"/>
                                      <w:szCs w:val="18"/>
                                    </w:rPr>
                                    <w:t>Servicios</w:t>
                                  </w:r>
                                </w:p>
                              </w:txbxContent>
                            </v:textbox>
                          </v:rect>
                          <v:rect id="Rectángulo 69" o:spid="_x0000_s1087" style="position:absolute;left:636;top:6599;width:8030;height:3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kNsQA&#10;AADbAAAADwAAAGRycy9kb3ducmV2LnhtbESPQWvCQBSE70L/w/IKvemLFrVNXUWEghQv1V68PbKv&#10;2dTs25Ddmthf7woFj8PMfMMsVr2r1ZnbUHnRMB5loFgKbyopNXwd3ocvoEIkMVR7YQ0XDrBaPgwW&#10;lBvfySef97FUCSIhJw02xiZHDIVlR2HkG5bkffvWUUyyLdG01CW4q3GSZTN0VElasNTwxnJx2v86&#10;DR/PG5xnp794tD+hw+muPpY41vrpsV+/gYrcx3v4v701GmavcPuSfg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pDbEAAAA2wAAAA8AAAAAAAAAAAAAAAAAmAIAAGRycy9k&#10;b3ducmV2LnhtbFBLBQYAAAAABAAEAPUAAACJAwAAAAA=&#10;" fillcolor="#cfcdcd [2894]" strokecolor="#002060" strokeweight="1pt">
                            <v:textbox>
                              <w:txbxContent>
                                <w:p w:rsidR="00820D16" w:rsidRPr="006C0D4D" w:rsidRDefault="00820D16" w:rsidP="00010BFB">
                                  <w:pPr>
                                    <w:pStyle w:val="NormalWeb"/>
                                    <w:spacing w:before="0" w:beforeAutospacing="0" w:after="160" w:afterAutospacing="0" w:line="254" w:lineRule="auto"/>
                                    <w:jc w:val="center"/>
                                    <w:rPr>
                                      <w:rFonts w:ascii="ITC Avant Garde" w:hAnsi="ITC Avant Garde"/>
                                    </w:rPr>
                                  </w:pPr>
                                  <w:r w:rsidRPr="006C0D4D">
                                    <w:rPr>
                                      <w:rFonts w:ascii="ITC Avant Garde" w:eastAsia="Calibri" w:hAnsi="ITC Avant Garde"/>
                                      <w:b/>
                                      <w:bCs/>
                                      <w:color w:val="000000"/>
                                      <w:sz w:val="16"/>
                                      <w:szCs w:val="16"/>
                                    </w:rPr>
                                    <w:t>Ingresos por servicio</w:t>
                                  </w:r>
                                </w:p>
                              </w:txbxContent>
                            </v:textbox>
                          </v:rect>
                        </v:group>
                        <v:rect id="Rectángulo 70" o:spid="_x0000_s1088" style="position:absolute;left:635;top:14153;width:7862;height:12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dsAA&#10;AADbAAAADwAAAGRycy9kb3ducmV2LnhtbERPTWvCQBC9F/wPywje6sRKq0RXEUEQ6aXqxduQHbPR&#10;7GzIbk3sr+8eCj0+3vdy3btaPbgNlRcNk3EGiqXwppJSw/m0e52DCpHEUO2FNTw5wHo1eFlSbnwn&#10;X/w4xlKlEAk5abAxNjliKCw7CmPfsCTu6ltHMcG2RNNSl8JdjW9Z9oGOKkkNlhreWi7ux2+n4TDd&#10;4iy7/8SLvYUO3z/rS4kTrUfDfrMAFbmP/+I/995omKX16Uv6Abj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bdsAAAADbAAAADwAAAAAAAAAAAAAAAACYAgAAZHJzL2Rvd25y&#10;ZXYueG1sUEsFBgAAAAAEAAQA9QAAAIUDAAAAAA==&#10;" fillcolor="#cfcdcd [2894]" strokecolor="#002060" strokeweight="1pt">
                          <v:textbox>
                            <w:txbxContent>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r w:rsidRPr="006C0D4D">
                                  <w:rPr>
                                    <w:rFonts w:ascii="ITC Avant Garde" w:eastAsia="Calibri" w:hAnsi="ITC Avant Garde"/>
                                    <w:b/>
                                    <w:bCs/>
                                    <w:color w:val="000000"/>
                                    <w:sz w:val="12"/>
                                    <w:szCs w:val="16"/>
                                  </w:rPr>
                                  <w:t>Costos Servicios Mayoristas</w:t>
                                </w: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p>
                              <w:p w:rsidR="00820D16" w:rsidRPr="006C0D4D" w:rsidRDefault="00820D16" w:rsidP="00010BFB">
                                <w:pPr>
                                  <w:pStyle w:val="NormalWeb"/>
                                  <w:spacing w:before="0" w:beforeAutospacing="0" w:after="160" w:afterAutospacing="0" w:line="252" w:lineRule="auto"/>
                                  <w:jc w:val="center"/>
                                  <w:rPr>
                                    <w:rFonts w:ascii="ITC Avant Garde" w:eastAsia="Calibri" w:hAnsi="ITC Avant Garde"/>
                                    <w:b/>
                                    <w:bCs/>
                                    <w:color w:val="000000"/>
                                    <w:sz w:val="12"/>
                                    <w:szCs w:val="16"/>
                                  </w:rPr>
                                </w:pPr>
                                <w:r w:rsidRPr="006C0D4D">
                                  <w:rPr>
                                    <w:rFonts w:ascii="ITC Avant Garde" w:eastAsia="Calibri" w:hAnsi="ITC Avant Garde"/>
                                    <w:b/>
                                    <w:bCs/>
                                    <w:color w:val="000000"/>
                                    <w:sz w:val="12"/>
                                    <w:szCs w:val="16"/>
                                  </w:rPr>
                                  <w:t>Costos Servicios Minoristas</w:t>
                                </w:r>
                              </w:p>
                              <w:p w:rsidR="00820D16" w:rsidRPr="006C0D4D" w:rsidRDefault="00820D16" w:rsidP="00010BFB">
                                <w:pPr>
                                  <w:pStyle w:val="NormalWeb"/>
                                  <w:spacing w:before="0" w:beforeAutospacing="0" w:after="160" w:afterAutospacing="0" w:line="252" w:lineRule="auto"/>
                                  <w:jc w:val="center"/>
                                  <w:rPr>
                                    <w:rFonts w:ascii="ITC Avant Garde" w:hAnsi="ITC Avant Garde"/>
                                  </w:rPr>
                                </w:pPr>
                              </w:p>
                            </w:txbxContent>
                          </v:textbox>
                        </v:rect>
                      </v:group>
                      <v:shapetype id="_x0000_t32" coordsize="21600,21600" o:spt="32" o:oned="t" path="m,l21600,21600e" filled="f">
                        <v:path arrowok="t" fillok="f" o:connecttype="none"/>
                        <o:lock v:ext="edit" shapetype="t"/>
                      </v:shapetype>
                      <v:shape id="Conector recto de flecha 71" o:spid="_x0000_s1089" type="#_x0000_t32" style="position:absolute;left:23265;top:11211;width:16303;height: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H7sUAAADbAAAADwAAAGRycy9kb3ducmV2LnhtbESPQWvCQBSE74L/YXmF3nSj0Nqk2YgU&#10;pCK9aAOht0f2NRuSfRuyW03/vVsoeBxm5hsm3062FxcafetYwWqZgCCunW65UVB+7hcvIHxA1tg7&#10;JgW/5GFbzGc5Ztpd+USXc2hEhLDPUIEJYcik9LUhi37pBuLofbvRYohybKQe8RrhtpfrJHmWFluO&#10;CwYHejNUd+cfq+A9TaoqtKZsuv0XPa0PH+nm6JV6fJh2ryACTeEe/m8ftILNCv6+xB8g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H7sUAAADbAAAADwAAAAAAAAAA&#10;AAAAAAChAgAAZHJzL2Rvd25yZXYueG1sUEsFBgAAAAAEAAQA+QAAAJMDAAAAAA==&#10;" strokecolor="black [3213]" strokeweight="2pt">
                        <v:stroke endarrow="block" joinstyle="miter"/>
                      </v:shape>
                      <v:shape id="Conector recto de flecha 72" o:spid="_x0000_s1090" type="#_x0000_t32" style="position:absolute;left:11131;top:11290;width:410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ZmcIAAADbAAAADwAAAGRycy9kb3ducmV2LnhtbESPT4vCMBTE7wt+h/AEb2tqwX/VKCKI&#10;IntZFcTbo3k2xealNFHrtzfCwh6HmfkNM1+2thIPanzpWMGgn4Agzp0uuVBwOm6+JyB8QNZYOSYF&#10;L/KwXHS+5php9+RfehxCISKEfYYKTAh1JqXPDVn0fVcTR+/qGoshyqaQusFnhNtKpkkykhZLjgsG&#10;a1obym+Hu1WwnSbncyjNqbhtLjRMdz/T8d4r1eu2qxmIQG34D/+1d1rBOIXPl/gD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eZmcIAAADbAAAADwAAAAAAAAAAAAAA&#10;AAChAgAAZHJzL2Rvd25yZXYueG1sUEsFBgAAAAAEAAQA+QAAAJADAAAAAA==&#10;" strokecolor="black [3213]" strokeweight="2pt">
                        <v:stroke endarrow="block" joinstyle="miter"/>
                      </v:shape>
                      <v:shape id="Conector recto de flecha 73" o:spid="_x0000_s1091" type="#_x0000_t32" style="position:absolute;left:11131;top:18929;width:4106;height:3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LN8UAAADbAAAADwAAAGRycy9kb3ducmV2LnhtbESPzW7CMBCE70h9B2sr9QZOCf1RwKCC&#10;WgrqqWkPPa7iJU4bryPbhfD2GAmJ42hmvtHMFr1txZ58aBwruB9lIIgrpxuuFXx/vQ2fQYSIrLF1&#10;TAqOFGAxvxnMsNDuwJ+0L2MtEoRDgQpMjF0hZagMWQwj1xEnb+e8xZikr6X2eEhw28pxlj1Kiw2n&#10;BYMdrQxVf+W/VfBQ5tv3D/Oj/aZd+99JfnxdL1dK3d32L1MQkfp4DV/aG63gKYfzl/QD5Pw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ELN8UAAADbAAAADwAAAAAAAAAA&#10;AAAAAAChAgAAZHJzL2Rvd25yZXYueG1sUEsFBgAAAAAEAAQA+QAAAJMDAAAAAA==&#10;" strokecolor="black [3213]" strokeweight="2pt">
                        <v:stroke endarrow="block" joinstyle="miter"/>
                      </v:shape>
                      <v:shape id="Conector recto de flecha 74" o:spid="_x0000_s1092" type="#_x0000_t32" style="position:absolute;left:11131;top:23297;width:4267;height:3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kdsQAAADbAAAADwAAAGRycy9kb3ducmV2LnhtbESPQWvCQBSE7wX/w/IEb3VTqY2mriKC&#10;GEovVUF6e2Rfs8Hs25DdJvHfdwWhx2FmvmFWm8HWoqPWV44VvEwTEMSF0xWXCs6n/fMChA/IGmvH&#10;pOBGHjbr0dMKM+16/qLuGEoRIewzVGBCaDIpfWHIop+6hjh6P661GKJsS6lb7CPc1nKWJG/SYsVx&#10;wWBDO0PF9fhrFRyWyeUSKnMur/tvms/yz2X64ZWajIftO4hAQ/gPP9q5VpC+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qR2xAAAANsAAAAPAAAAAAAAAAAA&#10;AAAAAKECAABkcnMvZG93bnJldi54bWxQSwUGAAAAAAQABAD5AAAAkgMAAAAA&#10;" strokecolor="black [3213]" strokeweight="2pt">
                        <v:stroke endarrow="block" joinstyle="miter"/>
                      </v:shape>
                      <v:shape id="Conector recto de flecha 75" o:spid="_x0000_s1093" type="#_x0000_t32" style="position:absolute;left:23098;top:18929;width:4463;height:39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7cMAAADbAAAADwAAAGRycy9kb3ducmV2LnhtbESPQYvCMBSE74L/ITzBm6YrqNtuo4gg&#10;iuxFV5C9PZq3TbF5KU3U+u+NsOBxmJlvmHzZ2VrcqPWVYwUf4wQEceF0xaWC089m9AnCB2SNtWNS&#10;8CAPy0W/l2Om3Z0PdDuGUkQI+wwVmBCaTEpfGLLox64hjt6fay2GKNtS6hbvEW5rOUmSmbRYcVww&#10;2NDaUHE5Xq2CbZqcz6Eyp/Ky+aXpZPedzvdeqeGgW32BCNSFd/i/vdMK5lN4fYk/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OAe3DAAAA2wAAAA8AAAAAAAAAAAAA&#10;AAAAoQIAAGRycy9kb3ducmV2LnhtbFBLBQYAAAAABAAEAPkAAACRAwAAAAA=&#10;" strokecolor="black [3213]" strokeweight="2pt">
                        <v:stroke endarrow="block" joinstyle="miter"/>
                      </v:shape>
                      <v:shape id="Conector recto de flecha 77" o:spid="_x0000_s1094" type="#_x0000_t32" style="position:absolute;left:23265;top:22858;width:4296;height:39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NNMUAAADbAAAADwAAAGRycy9kb3ducmV2LnhtbESPT08CMRTE7yR+h+aRcJMufwSzUogQ&#10;RIgnVw8eX7bP7er2ddNWWL49JTHhOJmZ32QWq8424kg+1I4VjIYZCOLS6ZorBZ8fL/ePIEJE1tg4&#10;JgVnCrBa3vUWmGt34nc6FrESCcIhRwUmxjaXMpSGLIaha4mT9+28xZikr6T2eEpw28hxls2kxZrT&#10;gsGWNobK3+LPKngoJofXN/Ol/b7Z+Z/p5LzdrTdKDfrd8xOISF28hf/be61gPo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oNNMUAAADbAAAADwAAAAAAAAAA&#10;AAAAAAChAgAAZHJzL2Rvd25yZXYueG1sUEsFBgAAAAAEAAQA+QAAAJMDAAAAAA==&#10;" strokecolor="black [3213]" strokeweight="2pt">
                        <v:stroke endarrow="block" joinstyle="miter"/>
                      </v:shape>
                      <v:shape id="Conector recto de flecha 78" o:spid="_x0000_s1095" type="#_x0000_t32" style="position:absolute;left:35423;top:22858;width:4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c8AAAADbAAAADwAAAGRycy9kb3ducmV2LnhtbERPTYvCMBC9L/gfwgje1lTBda2mRQRR&#10;Fi+6gngbmrEpNpPSRK3/3hwEj4/3vcg7W4s7tb5yrGA0TEAQF05XXCo4/q+/f0H4gKyxdkwKnuQh&#10;z3pfC0y1e/Ce7odQihjCPkUFJoQmldIXhiz6oWuII3dxrcUQYVtK3eIjhttajpPkR1qsODYYbGhl&#10;qLgeblbBZpacTqEyx/K6PtNkvN3Npn9eqUG/W85BBOrCR/x2b7WCaRwbv8Qf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PrnPAAAAA2wAAAA8AAAAAAAAAAAAAAAAA&#10;oQIAAGRycy9kb3ducmV2LnhtbFBLBQYAAAAABAAEAPkAAACOAwAAAAA=&#10;" strokecolor="black [3213]" strokeweight="2pt">
                        <v:stroke endarrow="block" joinstyle="miter"/>
                      </v:shape>
                      <v:shape id="Flecha arriba y abajo 79" o:spid="_x0000_s1096" type="#_x0000_t70" style="position:absolute;left:41982;top:19247;width:3101;height:7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WecQA&#10;AADbAAAADwAAAGRycy9kb3ducmV2LnhtbESPzWrDMBCE74G+g9hCb4mcHprYiRxCaEtPLfkh5421&#10;tkyslWuptvv2VSGQ4zAz3zDrzWgb0VPna8cK5rMEBHHhdM2VgtPxbboE4QOyxsYxKfglD5v8YbLG&#10;TLuB99QfQiUihH2GCkwIbSalLwxZ9DPXEkevdJ3FEGVXSd3hEOG2kc9J8iIt1hwXDLa0M1RcDz9W&#10;QeqLvjwPr8Z/f532u/fx8llfFko9PY7bFYhAY7iHb+0PrWCRwv+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SVnnEAAAA2wAAAA8AAAAAAAAAAAAAAAAAmAIAAGRycy9k&#10;b3ducmV2LnhtbFBLBQYAAAAABAAEAPUAAACJAwAAAAA=&#10;" adj=",4736" fillcolor="#002060" strokecolor="#002060" strokeweight="1pt"/>
                    </v:group>
                    <v:shape id="Cuadro de texto 80" o:spid="_x0000_s1097" type="#_x0000_t202" style="position:absolute;left:2623;top:168;width:13438;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820D16" w:rsidRPr="006C0D4D" w:rsidRDefault="00820D16" w:rsidP="00010BFB">
                            <w:pPr>
                              <w:rPr>
                                <w:rFonts w:ascii="ITC Avant Garde" w:hAnsi="ITC Avant Garde"/>
                                <w:b/>
                                <w:sz w:val="14"/>
                              </w:rPr>
                            </w:pPr>
                            <w:r w:rsidRPr="006C0D4D">
                              <w:rPr>
                                <w:rFonts w:ascii="ITC Avant Garde" w:hAnsi="ITC Avant Garde"/>
                                <w:b/>
                                <w:sz w:val="14"/>
                              </w:rPr>
                              <w:t>Contabilidad Financiera</w:t>
                            </w:r>
                          </w:p>
                        </w:txbxContent>
                      </v:textbox>
                    </v:shape>
                    <v:shape id="Cuadro de texto 46" o:spid="_x0000_s1098" type="#_x0000_t202" style="position:absolute;left:14073;top:172;width:134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820D16" w:rsidRDefault="00820D16" w:rsidP="00010BFB">
                            <w:pPr>
                              <w:pStyle w:val="NormalWeb"/>
                              <w:spacing w:before="0" w:beforeAutospacing="0" w:after="160" w:afterAutospacing="0" w:line="256" w:lineRule="auto"/>
                            </w:pPr>
                            <w:r>
                              <w:rPr>
                                <w:rFonts w:ascii="ITC Avant Garde" w:eastAsia="Calibri" w:hAnsi="ITC Avant Garde"/>
                                <w:b/>
                                <w:bCs/>
                                <w:sz w:val="14"/>
                                <w:szCs w:val="14"/>
                              </w:rPr>
                              <w:t>Contabilidad Regulatoria</w:t>
                            </w:r>
                          </w:p>
                        </w:txbxContent>
                      </v:textbox>
                    </v:shape>
                  </v:group>
                  <v:rect id="Rectángulo 82" o:spid="_x0000_s1099" style="position:absolute;left:41587;top:21201;width:7830;height: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LsMA&#10;AADbAAAADwAAAGRycy9kb3ducmV2LnhtbESPQWvCQBSE74X+h+UVvNWNAYOkriKKEqQXY6HXR/Y1&#10;CWbfhuxqEn+9WxA8DjPzDbNcD6YRN+pcbVnBbBqBIC6srrlU8HPefy5AOI+ssbFMCkZysF69vy0x&#10;1bbnE91yX4oAYZeigsr7NpXSFRUZdFPbEgfvz3YGfZBdKXWHfYCbRsZRlEiDNYeFClvaVlRc8qtR&#10;QGZ7/P2e5yebROM5nu3s/XrIlJp8DJsvEJ4G/wo/25lWsIjh/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rLsMAAADbAAAADwAAAAAAAAAAAAAAAACYAgAAZHJzL2Rv&#10;d25yZXYueG1sUEsFBgAAAAAEAAQA9QAAAIgDAAAAAA==&#10;" fillcolor="#002060" strokecolor="#002060" strokeweight="1pt">
                    <v:textbox>
                      <w:txbxContent>
                        <w:p w:rsidR="00820D16" w:rsidRDefault="00820D16" w:rsidP="00010BFB">
                          <w:pPr>
                            <w:pStyle w:val="NormalWeb"/>
                            <w:spacing w:before="0" w:beforeAutospacing="0" w:after="160" w:afterAutospacing="0" w:line="252" w:lineRule="auto"/>
                            <w:jc w:val="center"/>
                          </w:pPr>
                          <w:r>
                            <w:rPr>
                              <w:rFonts w:ascii="ITC Avant Garde" w:eastAsia="Calibri" w:hAnsi="ITC Avant Garde"/>
                              <w:b/>
                              <w:bCs/>
                              <w:sz w:val="12"/>
                              <w:szCs w:val="12"/>
                            </w:rPr>
                            <w:t>Cargos de transferencia</w:t>
                          </w:r>
                        </w:p>
                      </w:txbxContent>
                    </v:textbox>
                  </v:rect>
                </v:group>
                <w10:anchorlock/>
              </v:group>
            </w:pict>
          </mc:Fallback>
        </mc:AlternateContent>
      </w:r>
    </w:p>
    <w:p w:rsidR="00010BFB" w:rsidRPr="00BB33CC" w:rsidRDefault="00010BFB" w:rsidP="00010BFB">
      <w:pPr>
        <w:jc w:val="both"/>
        <w:rPr>
          <w:rFonts w:ascii="ITC Avant Garde" w:hAnsi="ITC Avant Garde"/>
          <w:sz w:val="20"/>
        </w:rPr>
      </w:pPr>
      <w:r w:rsidRPr="00BB33CC">
        <w:rPr>
          <w:rFonts w:ascii="ITC Avant Garde" w:hAnsi="ITC Avant Garde"/>
          <w:sz w:val="20"/>
        </w:rPr>
        <w:t>Fuente: Superintendencia de Telecomunicaciones de Costa Rica, “MANUAL SOBRE LA METODOLOGÍA PARA LA APLICACIÓN DEL SISTEMA DE CONTABILIDAD DE COSTOS SEPARADA (CONTABILIDAD REGULATORIA)”, EXPEDIENTE GCO-NRE-RCS-00476-2014.</w:t>
      </w:r>
    </w:p>
    <w:p w:rsidR="00010BFB" w:rsidRPr="00BB33CC" w:rsidRDefault="00010BFB" w:rsidP="00010BFB">
      <w:pPr>
        <w:jc w:val="both"/>
        <w:rPr>
          <w:rFonts w:ascii="ITC Avant Garde" w:hAnsi="ITC Avant Garde"/>
        </w:rPr>
      </w:pPr>
      <w:r w:rsidRPr="00BB33CC">
        <w:rPr>
          <w:rFonts w:ascii="ITC Avant Garde" w:hAnsi="ITC Avant Garde"/>
        </w:rPr>
        <w:t>Para llegar a los resultados a nivel de servicios se requieren al menos tres fases de atribución de costos, incluyendo un proceso de imputación entre el segmento mayorista y el minorista a partir de cargos de transferencia. En cuanto a los ingresos de la contabilidad financiera, estos solo requieren de dos fases de asignación. Finalmente, se señala que para todos los costos e ingresos de entrada al sistema, y que son imputados a los servicios, se debe pasar por estados intermedios de distribución, que aseguren la consistencia entre ellos y con ello la conciliación con la contabilidad financiera.</w:t>
      </w:r>
    </w:p>
    <w:p w:rsidR="00010BFB" w:rsidRPr="00BB33CC" w:rsidRDefault="00010BFB" w:rsidP="00010BFB">
      <w:pPr>
        <w:pStyle w:val="Ttulo2"/>
        <w:numPr>
          <w:ilvl w:val="1"/>
          <w:numId w:val="274"/>
        </w:numPr>
        <w:rPr>
          <w:b w:val="0"/>
        </w:rPr>
      </w:pPr>
      <w:r w:rsidRPr="00BB33CC">
        <w:t>República Dominicana</w:t>
      </w:r>
    </w:p>
    <w:p w:rsidR="00010BFB" w:rsidRPr="00BB33CC" w:rsidRDefault="00010BFB" w:rsidP="00010BFB">
      <w:pPr>
        <w:jc w:val="both"/>
        <w:rPr>
          <w:rFonts w:ascii="ITC Avant Garde" w:hAnsi="ITC Avant Garde"/>
        </w:rPr>
      </w:pPr>
      <w:r w:rsidRPr="00BB33CC">
        <w:rPr>
          <w:rFonts w:ascii="ITC Avant Garde" w:hAnsi="ITC Avant Garde"/>
        </w:rPr>
        <w:t>En República Dominicana</w:t>
      </w:r>
      <w:r w:rsidRPr="00BB33CC">
        <w:rPr>
          <w:rStyle w:val="Refdenotaalpie"/>
          <w:rFonts w:ascii="ITC Avant Garde" w:hAnsi="ITC Avant Garde"/>
        </w:rPr>
        <w:footnoteReference w:id="35"/>
      </w:r>
      <w:r w:rsidRPr="00BB33CC">
        <w:rPr>
          <w:rFonts w:ascii="ITC Avant Garde" w:hAnsi="ITC Avant Garde"/>
        </w:rPr>
        <w:t xml:space="preserve"> el sistema de separación contable incluye fases de asignación de activos, ingresos y costos conforme a lo siguiente:</w:t>
      </w:r>
    </w:p>
    <w:p w:rsidR="00010BFB" w:rsidRPr="00BB33CC" w:rsidRDefault="00010BFB" w:rsidP="00010BFB">
      <w:pPr>
        <w:pStyle w:val="Prrafodelista"/>
        <w:numPr>
          <w:ilvl w:val="0"/>
          <w:numId w:val="268"/>
        </w:numPr>
        <w:jc w:val="both"/>
        <w:rPr>
          <w:rFonts w:ascii="ITC Avant Garde" w:hAnsi="ITC Avant Garde"/>
          <w:b/>
        </w:rPr>
      </w:pPr>
      <w:r w:rsidRPr="00BB33CC">
        <w:rPr>
          <w:rFonts w:ascii="ITC Avant Garde" w:hAnsi="ITC Avant Garde"/>
          <w:b/>
        </w:rPr>
        <w:t xml:space="preserve">Fase 1. </w:t>
      </w:r>
      <w:r w:rsidRPr="00BB33CC">
        <w:rPr>
          <w:rFonts w:ascii="ITC Avant Garde" w:hAnsi="ITC Avant Garde"/>
        </w:rPr>
        <w:t>Incluye dos fases:</w:t>
      </w:r>
    </w:p>
    <w:p w:rsidR="00010BFB" w:rsidRPr="00BB33CC" w:rsidRDefault="00010BFB" w:rsidP="00010BFB">
      <w:pPr>
        <w:pStyle w:val="Prrafodelista"/>
        <w:numPr>
          <w:ilvl w:val="1"/>
          <w:numId w:val="269"/>
        </w:numPr>
        <w:jc w:val="both"/>
        <w:rPr>
          <w:rFonts w:ascii="ITC Avant Garde" w:hAnsi="ITC Avant Garde"/>
        </w:rPr>
      </w:pPr>
      <w:r w:rsidRPr="00BB33CC">
        <w:rPr>
          <w:rFonts w:ascii="ITC Avant Garde" w:hAnsi="ITC Avant Garde"/>
        </w:rPr>
        <w:t>Fase 1. a) Determinación de ingresos reflejados.</w:t>
      </w:r>
      <w:r w:rsidRPr="00BB33CC">
        <w:rPr>
          <w:rFonts w:ascii="ITC Avant Garde" w:hAnsi="ITC Avant Garde"/>
          <w:b/>
        </w:rPr>
        <w:t xml:space="preserve"> </w:t>
      </w:r>
      <w:r w:rsidRPr="00BB33CC">
        <w:rPr>
          <w:rFonts w:ascii="ITC Avant Garde" w:hAnsi="ITC Avant Garde"/>
        </w:rPr>
        <w:t xml:space="preserve">Incluye los ingresos brutos por servicio de la contabilidad financiera, así como los descuentos, reducciones y bonificaciones, que se asignan </w:t>
      </w:r>
      <w:r w:rsidRPr="00BB33CC">
        <w:rPr>
          <w:rFonts w:ascii="ITC Avant Garde" w:hAnsi="ITC Avant Garde"/>
        </w:rPr>
        <w:lastRenderedPageBreak/>
        <w:t>directamente a los servicios en función de los registros contables y la información de los sistemas de facturación de los operadores.</w:t>
      </w:r>
    </w:p>
    <w:p w:rsidR="00010BFB" w:rsidRPr="00BB33CC" w:rsidRDefault="00010BFB" w:rsidP="00010BFB">
      <w:pPr>
        <w:pStyle w:val="Prrafodelista"/>
        <w:numPr>
          <w:ilvl w:val="1"/>
          <w:numId w:val="269"/>
        </w:numPr>
        <w:jc w:val="both"/>
        <w:rPr>
          <w:rFonts w:ascii="ITC Avant Garde" w:hAnsi="ITC Avant Garde"/>
        </w:rPr>
      </w:pPr>
      <w:r w:rsidRPr="00BB33CC">
        <w:rPr>
          <w:rFonts w:ascii="ITC Avant Garde" w:hAnsi="ITC Avant Garde"/>
        </w:rPr>
        <w:t>Fase 1</w:t>
      </w:r>
      <w:r w:rsidR="003D7B0B" w:rsidRPr="00BB33CC">
        <w:rPr>
          <w:rFonts w:ascii="ITC Avant Garde" w:hAnsi="ITC Avant Garde"/>
        </w:rPr>
        <w:t>.</w:t>
      </w:r>
      <w:r w:rsidRPr="00BB33CC">
        <w:rPr>
          <w:rFonts w:ascii="ITC Avant Garde" w:hAnsi="ITC Avant Garde"/>
        </w:rPr>
        <w:t xml:space="preserve"> b) Determinación de costos reflejados y calculados. A partir de la contabilidad financiera se extraen los costos por naturaleza que se imputan a la contabilidad de costos divididos en costos reflejados y costos calculados.</w:t>
      </w:r>
    </w:p>
    <w:p w:rsidR="00010BFB" w:rsidRPr="00BB33CC" w:rsidRDefault="00010BFB" w:rsidP="00010BFB">
      <w:pPr>
        <w:pStyle w:val="Prrafodelista"/>
        <w:numPr>
          <w:ilvl w:val="0"/>
          <w:numId w:val="268"/>
        </w:numPr>
        <w:jc w:val="both"/>
        <w:rPr>
          <w:rFonts w:ascii="ITC Avant Garde" w:hAnsi="ITC Avant Garde"/>
        </w:rPr>
      </w:pPr>
      <w:r w:rsidRPr="00BB33CC">
        <w:rPr>
          <w:rFonts w:ascii="ITC Avant Garde" w:hAnsi="ITC Avant Garde"/>
          <w:b/>
        </w:rPr>
        <w:t>Fase 2.</w:t>
      </w:r>
      <w:r w:rsidRPr="00BB33CC">
        <w:rPr>
          <w:rFonts w:ascii="ITC Avant Garde" w:hAnsi="ITC Avant Garde"/>
        </w:rPr>
        <w:t xml:space="preserve"> Asignación de </w:t>
      </w:r>
      <w:r w:rsidR="003D7B0B" w:rsidRPr="00BB33CC">
        <w:rPr>
          <w:rFonts w:ascii="ITC Avant Garde" w:hAnsi="ITC Avant Garde"/>
        </w:rPr>
        <w:t>costos a centros de actividad. T</w:t>
      </w:r>
      <w:r w:rsidRPr="00BB33CC">
        <w:rPr>
          <w:rFonts w:ascii="ITC Avant Garde" w:hAnsi="ITC Avant Garde"/>
        </w:rPr>
        <w:t>odos los costos reflejados y calculados se asignan a los centros de actividad. El operador puede incorporar las sub fases a su consideración para la distribución en centros de costos intermedios.</w:t>
      </w:r>
    </w:p>
    <w:p w:rsidR="00010BFB" w:rsidRPr="00BB33CC" w:rsidRDefault="00010BFB" w:rsidP="00010BFB">
      <w:pPr>
        <w:pStyle w:val="Prrafodelista"/>
        <w:numPr>
          <w:ilvl w:val="0"/>
          <w:numId w:val="268"/>
        </w:numPr>
        <w:jc w:val="both"/>
        <w:rPr>
          <w:rFonts w:ascii="ITC Avant Garde" w:hAnsi="ITC Avant Garde"/>
        </w:rPr>
      </w:pPr>
      <w:r w:rsidRPr="00BB33CC">
        <w:rPr>
          <w:rFonts w:ascii="ITC Avant Garde" w:hAnsi="ITC Avant Garde"/>
          <w:b/>
        </w:rPr>
        <w:t xml:space="preserve">Fase 3. </w:t>
      </w:r>
      <w:r w:rsidRPr="00BB33CC">
        <w:rPr>
          <w:rFonts w:ascii="ITC Avant Garde" w:hAnsi="ITC Avant Garde"/>
        </w:rPr>
        <w:t>Asignación de costos a servicios.</w:t>
      </w:r>
      <w:r w:rsidRPr="00BB33CC">
        <w:rPr>
          <w:rFonts w:ascii="ITC Avant Garde" w:hAnsi="ITC Avant Garde"/>
          <w:b/>
        </w:rPr>
        <w:t xml:space="preserve"> </w:t>
      </w:r>
      <w:r w:rsidRPr="00BB33CC">
        <w:rPr>
          <w:rFonts w:ascii="ITC Avant Garde" w:hAnsi="ITC Avant Garde"/>
        </w:rPr>
        <w:t>En esta fase, los Centros de Actividad de Componentes de Red (CACR) se asignan en función del volumen de actividad realizada por cada centro y del grado de utilización que cada servicio realiza del centro.</w:t>
      </w:r>
      <w:r w:rsidRPr="00BB33CC">
        <w:rPr>
          <w:rFonts w:ascii="ITC Avant Garde" w:hAnsi="ITC Avant Garde"/>
          <w:b/>
        </w:rPr>
        <w:t xml:space="preserve"> </w:t>
      </w:r>
      <w:r w:rsidRPr="00BB33CC">
        <w:rPr>
          <w:rFonts w:ascii="ITC Avant Garde" w:hAnsi="ITC Avant Garde"/>
        </w:rPr>
        <w:t>Los Centros de Actividad Asignables Directamente a Servicios (CAADS) se asignan mediante generadores de costos a los servicios en función del consumo de recursos que cada uno de ellos realice de cada centro. Para los Centros de Actividad No Asignables Directamente a Servicios (CANADS) el sistema establece la base objetiva de distribución.</w:t>
      </w:r>
    </w:p>
    <w:p w:rsidR="00010BFB" w:rsidRPr="00BB33CC" w:rsidRDefault="00010BFB" w:rsidP="00010BFB">
      <w:pPr>
        <w:pStyle w:val="Prrafodelista"/>
        <w:numPr>
          <w:ilvl w:val="0"/>
          <w:numId w:val="268"/>
        </w:numPr>
        <w:jc w:val="both"/>
        <w:rPr>
          <w:rFonts w:ascii="ITC Avant Garde" w:hAnsi="ITC Avant Garde"/>
        </w:rPr>
      </w:pPr>
      <w:r w:rsidRPr="00BB33CC">
        <w:rPr>
          <w:rFonts w:ascii="ITC Avant Garde" w:hAnsi="ITC Avant Garde"/>
          <w:b/>
        </w:rPr>
        <w:t xml:space="preserve">Fase 4. </w:t>
      </w:r>
      <w:r w:rsidRPr="00BB33CC">
        <w:rPr>
          <w:rFonts w:ascii="ITC Avant Garde" w:hAnsi="ITC Avant Garde"/>
        </w:rPr>
        <w:t>Asignación de costos e ingresos a la cuenta de márgenes. En esta fase, los costos imputados a los servicios y los ingresos por servicio establecidos en la Fase 1. b) se asigna a las cuentas de márgenes. El resultado de esta fase es la cuenta de resultados interna para cada uno de los servicios y bajo cada uno de los estándares definidos.</w:t>
      </w:r>
    </w:p>
    <w:p w:rsidR="00010BFB" w:rsidRPr="00BB33CC" w:rsidRDefault="00010BFB" w:rsidP="00010BFB">
      <w:pPr>
        <w:jc w:val="both"/>
        <w:rPr>
          <w:rFonts w:ascii="ITC Avant Garde" w:hAnsi="ITC Avant Garde"/>
        </w:rPr>
      </w:pPr>
      <w:r w:rsidRPr="00BB33CC">
        <w:rPr>
          <w:rFonts w:ascii="ITC Avant Garde" w:hAnsi="ITC Avant Garde"/>
        </w:rPr>
        <w:t>No obstante, el regulador permite que los operadores dividan las cuentas en subfases a su conveniencia.</w:t>
      </w:r>
    </w:p>
    <w:p w:rsidR="00010BFB" w:rsidRPr="00BB33CC" w:rsidRDefault="00010BFB" w:rsidP="00010BFB">
      <w:pPr>
        <w:jc w:val="both"/>
        <w:rPr>
          <w:rFonts w:ascii="ITC Avant Garde" w:hAnsi="ITC Avant Garde"/>
        </w:rPr>
      </w:pPr>
      <w:r w:rsidRPr="00BB33CC">
        <w:rPr>
          <w:rFonts w:ascii="ITC Avant Garde" w:hAnsi="ITC Avant Garde"/>
        </w:rPr>
        <w:t>En la siguiente imagen se muestran las fases del sistema de separación contable</w:t>
      </w:r>
      <w:r w:rsidR="004B3566" w:rsidRPr="00BB33CC">
        <w:rPr>
          <w:rFonts w:ascii="ITC Avant Garde" w:hAnsi="ITC Avant Garde"/>
        </w:rPr>
        <w:t>.</w:t>
      </w:r>
    </w:p>
    <w:p w:rsidR="00010BFB" w:rsidRPr="00BB33CC" w:rsidRDefault="00010BFB" w:rsidP="00010BFB">
      <w:pPr>
        <w:pStyle w:val="Descripcin"/>
        <w:keepNext/>
        <w:rPr>
          <w:rFonts w:ascii="ITC Avant Garde" w:hAnsi="ITC Avant Garde"/>
          <w:color w:val="000000" w:themeColor="text1"/>
          <w:sz w:val="20"/>
          <w:lang w:val="es-MX"/>
        </w:rPr>
      </w:pPr>
      <w:r w:rsidRPr="00BB33CC">
        <w:rPr>
          <w:rFonts w:ascii="ITC Avant Garde" w:hAnsi="ITC Avant Garde"/>
          <w:color w:val="000000" w:themeColor="text1"/>
          <w:sz w:val="20"/>
          <w:lang w:val="es-MX"/>
        </w:rPr>
        <w:lastRenderedPageBreak/>
        <w:t xml:space="preserve">Figura </w:t>
      </w:r>
      <w:r w:rsidR="000B7E93" w:rsidRPr="00BB33CC">
        <w:rPr>
          <w:rFonts w:ascii="ITC Avant Garde" w:hAnsi="ITC Avant Garde"/>
          <w:color w:val="000000" w:themeColor="text1"/>
          <w:sz w:val="20"/>
        </w:rPr>
        <w:fldChar w:fldCharType="begin"/>
      </w:r>
      <w:r w:rsidR="000B7E93" w:rsidRPr="00BB33CC">
        <w:rPr>
          <w:rFonts w:ascii="ITC Avant Garde" w:hAnsi="ITC Avant Garde"/>
          <w:color w:val="000000" w:themeColor="text1"/>
          <w:sz w:val="20"/>
          <w:lang w:val="es-MX"/>
        </w:rPr>
        <w:instrText xml:space="preserve"> SEQ Figura. \* ARABIC </w:instrText>
      </w:r>
      <w:r w:rsidR="000B7E93" w:rsidRPr="00BB33CC">
        <w:rPr>
          <w:rFonts w:ascii="ITC Avant Garde" w:hAnsi="ITC Avant Garde"/>
          <w:color w:val="000000" w:themeColor="text1"/>
          <w:sz w:val="20"/>
        </w:rPr>
        <w:fldChar w:fldCharType="separate"/>
      </w:r>
      <w:r w:rsidR="00C03E81" w:rsidRPr="00BB33CC">
        <w:rPr>
          <w:rFonts w:ascii="ITC Avant Garde" w:hAnsi="ITC Avant Garde"/>
          <w:noProof/>
          <w:color w:val="000000" w:themeColor="text1"/>
          <w:sz w:val="20"/>
          <w:lang w:val="es-MX"/>
        </w:rPr>
        <w:t>3</w:t>
      </w:r>
      <w:r w:rsidR="000B7E93" w:rsidRPr="00BB33CC">
        <w:rPr>
          <w:rFonts w:ascii="ITC Avant Garde" w:hAnsi="ITC Avant Garde"/>
          <w:color w:val="000000" w:themeColor="text1"/>
          <w:sz w:val="20"/>
        </w:rPr>
        <w:fldChar w:fldCharType="end"/>
      </w:r>
      <w:r w:rsidRPr="00BB33CC">
        <w:rPr>
          <w:rFonts w:ascii="ITC Avant Garde" w:hAnsi="ITC Avant Garde"/>
          <w:color w:val="000000" w:themeColor="text1"/>
          <w:sz w:val="20"/>
          <w:lang w:val="es-MX"/>
        </w:rPr>
        <w:t>. Descripción del plan de cuentas</w:t>
      </w:r>
    </w:p>
    <w:p w:rsidR="00010BFB" w:rsidRPr="00BB33CC" w:rsidRDefault="00010BFB" w:rsidP="00797696">
      <w:pPr>
        <w:keepNext/>
        <w:jc w:val="center"/>
      </w:pPr>
      <w:r w:rsidRPr="00BB33CC">
        <w:rPr>
          <w:rFonts w:ascii="ITC Avant Garde" w:hAnsi="ITC Avant Garde"/>
          <w:noProof/>
          <w:lang w:eastAsia="es-MX"/>
        </w:rPr>
        <mc:AlternateContent>
          <mc:Choice Requires="wpc">
            <w:drawing>
              <wp:inline distT="0" distB="0" distL="0" distR="0" wp14:anchorId="1903614A" wp14:editId="31B81A04">
                <wp:extent cx="5486400" cy="3737113"/>
                <wp:effectExtent l="0" t="0" r="0" b="0"/>
                <wp:docPr id="279" name="Lienzo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16" name="Grupo 316"/>
                        <wpg:cNvGrpSpPr/>
                        <wpg:grpSpPr>
                          <a:xfrm>
                            <a:off x="55890" y="167631"/>
                            <a:ext cx="5350997" cy="3464003"/>
                            <a:chOff x="55890" y="167631"/>
                            <a:chExt cx="5350997" cy="3464003"/>
                          </a:xfrm>
                        </wpg:grpSpPr>
                        <wps:wsp>
                          <wps:cNvPr id="250" name="Rectángulo 250"/>
                          <wps:cNvSpPr/>
                          <wps:spPr>
                            <a:xfrm>
                              <a:off x="55890" y="501945"/>
                              <a:ext cx="810803" cy="433456"/>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8830ED" w:rsidRDefault="00820D16" w:rsidP="00010BFB">
                                <w:pPr>
                                  <w:pStyle w:val="Sinespaciado"/>
                                  <w:jc w:val="center"/>
                                  <w:rPr>
                                    <w:rFonts w:ascii="ITC Avant Garde" w:hAnsi="ITC Avant Garde"/>
                                    <w:b/>
                                    <w:color w:val="000000" w:themeColor="text1"/>
                                    <w:sz w:val="12"/>
                                    <w:szCs w:val="12"/>
                                    <w:lang w:val="es-MX"/>
                                  </w:rPr>
                                </w:pPr>
                                <w:r w:rsidRPr="008830ED">
                                  <w:rPr>
                                    <w:rFonts w:ascii="ITC Avant Garde" w:hAnsi="ITC Avant Garde"/>
                                    <w:b/>
                                    <w:color w:val="000000" w:themeColor="text1"/>
                                    <w:sz w:val="12"/>
                                    <w:szCs w:val="12"/>
                                    <w:lang w:val="es-MX"/>
                                  </w:rPr>
                                  <w:t>Contabilidad financiera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ángulo 256"/>
                          <wps:cNvSpPr/>
                          <wps:spPr>
                            <a:xfrm>
                              <a:off x="954164" y="501194"/>
                              <a:ext cx="1296056" cy="443098"/>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Determinación de ingresos y costes reflejados y calculados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Rectángulo 259"/>
                          <wps:cNvSpPr/>
                          <wps:spPr>
                            <a:xfrm>
                              <a:off x="2295275" y="501901"/>
                              <a:ext cx="996565" cy="443865"/>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Asignación de costes a centros de actividad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Rectángulo 272"/>
                          <wps:cNvSpPr/>
                          <wps:spPr>
                            <a:xfrm>
                              <a:off x="3336896" y="502491"/>
                              <a:ext cx="1012467" cy="443230"/>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Asignación de costes en ingresos a 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8" name="Cuadro de texto 127"/>
                          <wps:cNvSpPr txBox="1"/>
                          <wps:spPr>
                            <a:xfrm>
                              <a:off x="1240193" y="167631"/>
                              <a:ext cx="835105" cy="285033"/>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820D16" w:rsidRPr="00C26454" w:rsidRDefault="00820D16" w:rsidP="00010BFB">
                                <w:pPr>
                                  <w:pStyle w:val="NormalWeb"/>
                                  <w:spacing w:after="0"/>
                                  <w:jc w:val="center"/>
                                  <w:rPr>
                                    <w:b/>
                                    <w:sz w:val="40"/>
                                  </w:rPr>
                                </w:pPr>
                                <w:r w:rsidRPr="00C26454">
                                  <w:rPr>
                                    <w:rFonts w:ascii="ITC Avant Garde" w:eastAsia="Calibri" w:hAnsi="ITC Avant Garde"/>
                                    <w:b/>
                                    <w:szCs w:val="12"/>
                                  </w:rPr>
                                  <w:t>Fase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Rectángulo 280"/>
                          <wps:cNvSpPr/>
                          <wps:spPr>
                            <a:xfrm>
                              <a:off x="55890" y="1139776"/>
                              <a:ext cx="810803" cy="35507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Ingresos por naturaleza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Rectángulo 281"/>
                          <wps:cNvSpPr/>
                          <wps:spPr>
                            <a:xfrm>
                              <a:off x="64116" y="2415854"/>
                              <a:ext cx="802577" cy="444500"/>
                            </a:xfrm>
                            <a:prstGeom prst="rect">
                              <a:avLst/>
                            </a:prstGeom>
                            <a:solidFill>
                              <a:srgbClr val="CC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Gastos por naturaleza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Conector recto de flecha 282"/>
                          <wps:cNvCnPr>
                            <a:stCxn id="280" idx="3"/>
                            <a:endCxn id="283" idx="3"/>
                          </wps:cNvCnPr>
                          <wps:spPr>
                            <a:xfrm flipV="1">
                              <a:off x="866693" y="1307020"/>
                              <a:ext cx="636947" cy="10291"/>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3" name="Datos almacenados 283"/>
                          <wps:cNvSpPr/>
                          <wps:spPr>
                            <a:xfrm flipH="1">
                              <a:off x="1349073" y="1031932"/>
                              <a:ext cx="927401" cy="550196"/>
                            </a:xfrm>
                            <a:prstGeom prst="flowChartOnlineStorag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8830ED" w:rsidRDefault="00820D16" w:rsidP="00010BFB">
                                <w:pPr>
                                  <w:pStyle w:val="Sinespaciado"/>
                                  <w:rPr>
                                    <w:rFonts w:ascii="ITC Avant Garde" w:hAnsi="ITC Avant Garde"/>
                                    <w:b/>
                                    <w:color w:val="000000" w:themeColor="text1"/>
                                    <w:sz w:val="12"/>
                                    <w:szCs w:val="12"/>
                                    <w:lang w:val="es-MX"/>
                                  </w:rPr>
                                </w:pPr>
                                <w:r w:rsidRPr="008830ED">
                                  <w:rPr>
                                    <w:rFonts w:ascii="ITC Avant Garde" w:hAnsi="ITC Avant Garde"/>
                                    <w:b/>
                                    <w:color w:val="000000" w:themeColor="text1"/>
                                    <w:sz w:val="12"/>
                                    <w:szCs w:val="12"/>
                                    <w:lang w:val="es-MX"/>
                                  </w:rPr>
                                  <w:t>Ingresos reflejados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Rectángulo 286"/>
                          <wps:cNvSpPr/>
                          <wps:spPr>
                            <a:xfrm>
                              <a:off x="4402143" y="501532"/>
                              <a:ext cx="1004744" cy="442595"/>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Asignación de costes en ingresos a 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 name="Cuadro de texto 127"/>
                          <wps:cNvSpPr txBox="1"/>
                          <wps:spPr>
                            <a:xfrm>
                              <a:off x="2406501" y="168184"/>
                              <a:ext cx="835025" cy="284480"/>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820D16" w:rsidRDefault="00820D16" w:rsidP="00010BFB">
                                <w:pPr>
                                  <w:pStyle w:val="NormalWeb"/>
                                  <w:spacing w:before="0" w:beforeAutospacing="0" w:after="0" w:afterAutospacing="0"/>
                                  <w:jc w:val="center"/>
                                </w:pPr>
                                <w:r>
                                  <w:rPr>
                                    <w:rFonts w:ascii="ITC Avant Garde" w:eastAsia="Calibri" w:hAnsi="ITC Avant Garde"/>
                                    <w:b/>
                                    <w:bCs/>
                                  </w:rPr>
                                  <w:t>Fase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8" name="Cuadro de texto 127"/>
                          <wps:cNvSpPr txBox="1"/>
                          <wps:spPr>
                            <a:xfrm>
                              <a:off x="3424132" y="185276"/>
                              <a:ext cx="835025" cy="283845"/>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820D16" w:rsidRDefault="00820D16" w:rsidP="00010BFB">
                                <w:pPr>
                                  <w:pStyle w:val="NormalWeb"/>
                                  <w:spacing w:before="0" w:beforeAutospacing="0" w:after="0" w:afterAutospacing="0"/>
                                  <w:jc w:val="center"/>
                                </w:pPr>
                                <w:r>
                                  <w:rPr>
                                    <w:rFonts w:ascii="ITC Avant Garde" w:eastAsia="Calibri" w:hAnsi="ITC Avant Garde"/>
                                    <w:b/>
                                    <w:bCs/>
                                  </w:rPr>
                                  <w:t>Fase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9" name="Cuadro de texto 127"/>
                          <wps:cNvSpPr txBox="1"/>
                          <wps:spPr>
                            <a:xfrm>
                              <a:off x="4349363" y="180000"/>
                              <a:ext cx="835025" cy="283845"/>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820D16" w:rsidRDefault="00820D16" w:rsidP="00010BFB">
                                <w:pPr>
                                  <w:pStyle w:val="NormalWeb"/>
                                  <w:spacing w:before="0" w:beforeAutospacing="0" w:after="0" w:afterAutospacing="0"/>
                                  <w:jc w:val="center"/>
                                </w:pPr>
                                <w:r>
                                  <w:rPr>
                                    <w:rFonts w:ascii="ITC Avant Garde" w:eastAsia="Calibri" w:hAnsi="ITC Avant Garde"/>
                                    <w:b/>
                                    <w:bCs/>
                                  </w:rPr>
                                  <w:t>Fase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0" name="Rectángulo 290"/>
                          <wps:cNvSpPr/>
                          <wps:spPr>
                            <a:xfrm>
                              <a:off x="3657600" y="1090555"/>
                              <a:ext cx="691763" cy="443865"/>
                            </a:xfrm>
                            <a:prstGeom prst="rect">
                              <a:avLst/>
                            </a:prstGeom>
                            <a:solidFill>
                              <a:schemeClr val="accent4">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rPr>
                                </w:pPr>
                                <w:r>
                                  <w:rPr>
                                    <w:rFonts w:ascii="ITC Avant Garde" w:eastAsia="Calibri" w:hAnsi="ITC Avant Garde"/>
                                    <w:b/>
                                    <w:bCs/>
                                    <w:color w:val="000000" w:themeColor="text1"/>
                                    <w:sz w:val="12"/>
                                    <w:szCs w:val="12"/>
                                  </w:rPr>
                                  <w:t>Ingresos de los servicios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Rectángulo 291"/>
                          <wps:cNvSpPr/>
                          <wps:spPr>
                            <a:xfrm>
                              <a:off x="3667125" y="1737651"/>
                              <a:ext cx="682238" cy="1886978"/>
                            </a:xfrm>
                            <a:prstGeom prst="rect">
                              <a:avLst/>
                            </a:prstGeom>
                            <a:solidFill>
                              <a:schemeClr val="accent4">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D223FF" w:rsidRDefault="00820D16" w:rsidP="00010BFB">
                                <w:pPr>
                                  <w:pStyle w:val="NormalWeb"/>
                                  <w:spacing w:before="0" w:beforeAutospacing="0" w:after="0" w:afterAutospacing="0"/>
                                  <w:jc w:val="center"/>
                                  <w:rPr>
                                    <w:color w:val="000000" w:themeColor="text1"/>
                                  </w:rPr>
                                </w:pPr>
                                <w:r>
                                  <w:rPr>
                                    <w:rFonts w:ascii="ITC Avant Garde" w:eastAsia="Calibri" w:hAnsi="ITC Avant Garde"/>
                                    <w:b/>
                                    <w:bCs/>
                                    <w:color w:val="000000" w:themeColor="text1"/>
                                    <w:sz w:val="12"/>
                                    <w:szCs w:val="12"/>
                                  </w:rPr>
                                  <w:t>Costes de los servicios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 name="Conector recto de flecha 292"/>
                          <wps:cNvCnPr>
                            <a:stCxn id="281" idx="3"/>
                          </wps:cNvCnPr>
                          <wps:spPr>
                            <a:xfrm flipV="1">
                              <a:off x="866693" y="2140369"/>
                              <a:ext cx="603417" cy="49773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3" name="Conector recto de flecha 293"/>
                          <wps:cNvCnPr>
                            <a:stCxn id="281" idx="3"/>
                          </wps:cNvCnPr>
                          <wps:spPr>
                            <a:xfrm>
                              <a:off x="866693" y="2638104"/>
                              <a:ext cx="605630" cy="587717"/>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7" name="Datos almacenados 297"/>
                          <wps:cNvSpPr/>
                          <wps:spPr>
                            <a:xfrm flipH="1">
                              <a:off x="1351725" y="1865837"/>
                              <a:ext cx="943549" cy="549910"/>
                            </a:xfrm>
                            <a:prstGeom prst="flowChartOnlineStorage">
                              <a:avLst/>
                            </a:prstGeom>
                            <a:solidFill>
                              <a:srgbClr val="CC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1161F4" w:rsidRDefault="00820D16" w:rsidP="00010BFB">
                                <w:pPr>
                                  <w:pStyle w:val="NormalWeb"/>
                                  <w:spacing w:before="0" w:beforeAutospacing="0" w:after="0" w:afterAutospacing="0"/>
                                  <w:rPr>
                                    <w:sz w:val="12"/>
                                    <w:szCs w:val="8"/>
                                  </w:rPr>
                                </w:pPr>
                                <w:r w:rsidRPr="001161F4">
                                  <w:rPr>
                                    <w:rFonts w:ascii="ITC Avant Garde" w:eastAsia="Calibri" w:hAnsi="ITC Avant Garde"/>
                                    <w:b/>
                                    <w:bCs/>
                                    <w:color w:val="000000"/>
                                    <w:sz w:val="12"/>
                                    <w:szCs w:val="8"/>
                                  </w:rPr>
                                  <w:t>Costes calculados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8" name="Datos almacenados 298"/>
                          <wps:cNvSpPr/>
                          <wps:spPr>
                            <a:xfrm flipH="1">
                              <a:off x="1351727" y="2915141"/>
                              <a:ext cx="943546" cy="549910"/>
                            </a:xfrm>
                            <a:prstGeom prst="flowChartOnlineStorage">
                              <a:avLst/>
                            </a:prstGeom>
                            <a:solidFill>
                              <a:srgbClr val="CC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6D4C8B" w:rsidRDefault="00820D16" w:rsidP="00010BFB">
                                <w:pPr>
                                  <w:pStyle w:val="NormalWeb"/>
                                  <w:spacing w:before="0" w:beforeAutospacing="0" w:after="0" w:afterAutospacing="0"/>
                                </w:pPr>
                                <w:r w:rsidRPr="006D4C8B">
                                  <w:rPr>
                                    <w:rFonts w:ascii="ITC Avant Garde" w:eastAsia="Calibri" w:hAnsi="ITC Avant Garde"/>
                                    <w:b/>
                                    <w:bCs/>
                                    <w:color w:val="000000"/>
                                    <w:sz w:val="12"/>
                                    <w:szCs w:val="12"/>
                                  </w:rPr>
                                  <w:t>Costes reflejados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2" name="Rectángulo 302"/>
                          <wps:cNvSpPr/>
                          <wps:spPr>
                            <a:xfrm>
                              <a:off x="2335033" y="1737802"/>
                              <a:ext cx="1141591" cy="18870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4" name="Datos almacenados 304"/>
                          <wps:cNvSpPr/>
                          <wps:spPr>
                            <a:xfrm flipH="1">
                              <a:off x="2371723" y="1761196"/>
                              <a:ext cx="1085851" cy="548640"/>
                            </a:xfrm>
                            <a:prstGeom prst="flowChartOnlineStorag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2"/>
                                    <w:szCs w:val="12"/>
                                  </w:rPr>
                                  <w:t>CACR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5" name="Datos almacenados 305"/>
                          <wps:cNvSpPr/>
                          <wps:spPr>
                            <a:xfrm flipH="1">
                              <a:off x="2352675" y="2399429"/>
                              <a:ext cx="1071457" cy="548640"/>
                            </a:xfrm>
                            <a:prstGeom prst="flowChartOnlineStorag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pPr>
                                <w:r>
                                  <w:rPr>
                                    <w:rFonts w:ascii="ITC Avant Garde" w:eastAsia="Calibri" w:hAnsi="ITC Avant Garde"/>
                                    <w:b/>
                                    <w:bCs/>
                                    <w:color w:val="000000"/>
                                    <w:sz w:val="12"/>
                                    <w:szCs w:val="12"/>
                                  </w:rPr>
                                  <w:t>CAADS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6" name="Datos almacenados 306"/>
                          <wps:cNvSpPr/>
                          <wps:spPr>
                            <a:xfrm flipH="1">
                              <a:off x="2371723" y="3034472"/>
                              <a:ext cx="1085850" cy="548005"/>
                            </a:xfrm>
                            <a:prstGeom prst="flowChartOnlineStorag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Pr="00776A41" w:rsidRDefault="00820D16" w:rsidP="00010BFB">
                                <w:pPr>
                                  <w:pStyle w:val="NormalWeb"/>
                                  <w:spacing w:before="0" w:beforeAutospacing="0" w:after="0" w:afterAutospacing="0"/>
                                  <w:rPr>
                                    <w:sz w:val="12"/>
                                    <w:szCs w:val="10"/>
                                  </w:rPr>
                                </w:pPr>
                                <w:r w:rsidRPr="00776A41">
                                  <w:rPr>
                                    <w:rFonts w:ascii="ITC Avant Garde" w:eastAsia="Calibri" w:hAnsi="ITC Avant Garde"/>
                                    <w:b/>
                                    <w:bCs/>
                                    <w:color w:val="000000"/>
                                    <w:sz w:val="12"/>
                                    <w:szCs w:val="10"/>
                                  </w:rPr>
                                  <w:t>CANADS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0" name="Rectángulo 310"/>
                          <wps:cNvSpPr/>
                          <wps:spPr>
                            <a:xfrm>
                              <a:off x="4529364" y="1090500"/>
                              <a:ext cx="802005" cy="2541134"/>
                            </a:xfrm>
                            <a:prstGeom prst="rect">
                              <a:avLst/>
                            </a:prstGeom>
                            <a:solidFill>
                              <a:schemeClr val="accent4">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16" w:rsidRDefault="00820D16" w:rsidP="00010BFB">
                                <w:pPr>
                                  <w:pStyle w:val="NormalWeb"/>
                                  <w:spacing w:before="0" w:beforeAutospacing="0" w:after="0" w:afterAutospacing="0"/>
                                  <w:jc w:val="center"/>
                                </w:pPr>
                                <w:r>
                                  <w:rPr>
                                    <w:rFonts w:ascii="ITC Avant Garde" w:eastAsia="Calibri" w:hAnsi="ITC Avant Garde"/>
                                    <w:b/>
                                    <w:bCs/>
                                    <w:color w:val="000000"/>
                                    <w:sz w:val="12"/>
                                    <w:szCs w:val="12"/>
                                  </w:rPr>
                                  <w:t>Cuentas de margen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1" name="Conector recto de flecha 311"/>
                          <wps:cNvCnPr>
                            <a:stCxn id="283" idx="1"/>
                            <a:endCxn id="290" idx="1"/>
                          </wps:cNvCnPr>
                          <wps:spPr>
                            <a:xfrm>
                              <a:off x="2276474" y="1307030"/>
                              <a:ext cx="1381126" cy="54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2" name="Conector recto de flecha 312"/>
                          <wps:cNvCnPr>
                            <a:stCxn id="302" idx="3"/>
                            <a:endCxn id="291" idx="1"/>
                          </wps:cNvCnPr>
                          <wps:spPr>
                            <a:xfrm flipV="1">
                              <a:off x="3476624" y="2681140"/>
                              <a:ext cx="190501" cy="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3" name="Conector recto de flecha 313"/>
                          <wps:cNvCnPr/>
                          <wps:spPr>
                            <a:xfrm>
                              <a:off x="4359505" y="2686482"/>
                              <a:ext cx="17328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5" name="Conector recto de flecha 315"/>
                          <wps:cNvCnPr/>
                          <wps:spPr>
                            <a:xfrm>
                              <a:off x="4360065" y="1302559"/>
                              <a:ext cx="17272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1903614A" id="Lienzo 279" o:spid="_x0000_s1100" editas="canvas" style="width:6in;height:294.25pt;mso-position-horizontal-relative:char;mso-position-vertical-relative:line" coordsize="54864,3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">
                <v:shape id="_x0000_s1101" type="#_x0000_t75" style="position:absolute;width:54864;height:37369;visibility:visible;mso-wrap-style:square">
                  <v:fill o:detectmouseclick="t"/>
                  <v:path o:connecttype="none"/>
                </v:shape>
                <v:group id="Grupo 316" o:spid="_x0000_s1102" style="position:absolute;left:558;top:1676;width:53510;height:34640" coordorigin="558,1676" coordsize="53509,34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ángulo 250" o:spid="_x0000_s1103" style="position:absolute;left:558;top:5019;width:8108;height:4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UvMMA&#10;AADcAAAADwAAAGRycy9kb3ducmV2LnhtbERPu2rDMBTdC/kHcQvZGtkmLcGNEkogJaQZmsfS7WJd&#10;W8bWlbHU2PXXV0Oh4+G819vRtuJOva8dK0gXCQjiwumaKwW36/5pBcIHZI2tY1LwQx62m9nDGnPt&#10;Bj7T/RIqEUPY56jAhNDlUvrCkEW/cB1x5ErXWwwR9pXUPQ4x3LYyS5IXabHm2GCwo52horl8WwXn&#10;0pz8/v3z9OEa3SynCdPy66jU/HF8ewURaAz/4j/3QSvInuP8eC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dUvMMAAADcAAAADwAAAAAAAAAAAAAAAACYAgAAZHJzL2Rv&#10;d25yZXYueG1sUEsFBgAAAAAEAAQA9QAAAIgDAAAAAA==&#10;" fillcolor="#f7caac [1301]" strokecolor="#f7caac [1301]" strokeweight="1pt">
                    <v:textbox>
                      <w:txbxContent>
                        <w:p w:rsidR="00820D16" w:rsidRPr="008830ED" w:rsidRDefault="00820D16" w:rsidP="00010BFB">
                          <w:pPr>
                            <w:pStyle w:val="Sinespaciado"/>
                            <w:jc w:val="center"/>
                            <w:rPr>
                              <w:rFonts w:ascii="ITC Avant Garde" w:hAnsi="ITC Avant Garde"/>
                              <w:b/>
                              <w:color w:val="000000" w:themeColor="text1"/>
                              <w:sz w:val="12"/>
                              <w:szCs w:val="12"/>
                              <w:lang w:val="es-MX"/>
                            </w:rPr>
                          </w:pPr>
                          <w:r w:rsidRPr="008830ED">
                            <w:rPr>
                              <w:rFonts w:ascii="ITC Avant Garde" w:hAnsi="ITC Avant Garde"/>
                              <w:b/>
                              <w:color w:val="000000" w:themeColor="text1"/>
                              <w:sz w:val="12"/>
                              <w:szCs w:val="12"/>
                              <w:lang w:val="es-MX"/>
                            </w:rPr>
                            <w:t>Contabilidad financiera</w:t>
                          </w:r>
                        </w:p>
                      </w:txbxContent>
                    </v:textbox>
                  </v:rect>
                  <v:rect id="Rectángulo 256" o:spid="_x0000_s1104" style="position:absolute;left:9541;top:5011;width:12961;height:4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pU8UA&#10;AADcAAAADwAAAGRycy9kb3ducmV2LnhtbESPQWvCQBSE70L/w/IKvelGqVKiq4igFPVQ0156e2Rf&#10;siHZtyG71eivd4WCx2FmvmEWq9424kydrxwrGI8SEMS50xWXCn6+t8MPED4ga2wck4IreVgtXwYL&#10;TLW78InOWShFhLBPUYEJoU2l9Lkhi37kWuLoFa6zGKLsSqk7vES4beQkSWbSYsVxwWBLG0N5nf1Z&#10;BafCHP1293U8uFrX77cbjovfvVJvr/16DiJQH57h//anVjCZz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mlTxQAAANwAAAAPAAAAAAAAAAAAAAAAAJgCAABkcnMv&#10;ZG93bnJldi54bWxQSwUGAAAAAAQABAD1AAAAigMAAAAA&#10;" fillcolor="#f7caac [1301]" strokecolor="#f7caac [1301]" strokeweight="1pt">
                    <v:textbo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Determinación de ingresos y costes reflejados y calculados</w:t>
                          </w:r>
                        </w:p>
                      </w:txbxContent>
                    </v:textbox>
                  </v:rect>
                  <v:rect id="Rectángulo 259" o:spid="_x0000_s1105" style="position:absolute;left:22952;top:5019;width:9966;height:4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9IcUA&#10;AADcAAAADwAAAGRycy9kb3ducmV2LnhtbESPQWvCQBSE74L/YXmCt7pRrLTRVUpBkdaD2l68PbIv&#10;2ZDs25BdNfrru0LB4zAz3zCLVWdrcaHWl44VjEcJCOLM6ZILBb8/65c3ED4ga6wdk4IbeVgt+70F&#10;ptpd+UCXYyhEhLBPUYEJoUml9Jkhi37kGuLo5a61GKJsC6lbvEa4reUkSWbSYslxwWBDn4ay6ni2&#10;Cg652fn1Zr/7dpWupvc7jvPTl1LDQfcxBxGoC8/wf3urFUxe3+Fx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f0hxQAAANwAAAAPAAAAAAAAAAAAAAAAAJgCAABkcnMv&#10;ZG93bnJldi54bWxQSwUGAAAAAAQABAD1AAAAigMAAAAA&#10;" fillcolor="#f7caac [1301]" strokecolor="#f7caac [1301]" strokeweight="1pt">
                    <v:textbo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Asignación de costes a centros de actividad</w:t>
                          </w:r>
                        </w:p>
                      </w:txbxContent>
                    </v:textbox>
                  </v:rect>
                  <v:rect id="Rectángulo 272" o:spid="_x0000_s1106" style="position:absolute;left:33368;top:5024;width:10125;height: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zMMUA&#10;AADcAAAADwAAAGRycy9kb3ducmV2LnhtbESPQWvCQBSE70L/w/IK3nRjECupq5SCRdRDtb309si+&#10;ZEOyb0N2q9Ff7wqCx2FmvmEWq9424kSdrxwrmIwTEMS50xWXCn5/1qM5CB+QNTaOScGFPKyWL4MF&#10;Ztqd+UCnYyhFhLDPUIEJoc2k9Lkhi37sWuLoFa6zGKLsSqk7PEe4bWSaJDNpseK4YLClT0N5ffy3&#10;Cg6F2fv11/d+52pdT69XnBR/W6WGr/3HO4hAfXiGH+2NVpC+pX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DMwxQAAANwAAAAPAAAAAAAAAAAAAAAAAJgCAABkcnMv&#10;ZG93bnJldi54bWxQSwUGAAAAAAQABAD1AAAAigMAAAAA&#10;" fillcolor="#f7caac [1301]" strokecolor="#f7caac [1301]" strokeweight="1pt">
                    <v:textbo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Asignación de costes en ingresos a servicios</w:t>
                          </w:r>
                        </w:p>
                      </w:txbxContent>
                    </v:textbox>
                  </v:rect>
                  <v:shape id="Cuadro de texto 127" o:spid="_x0000_s1107" type="#_x0000_t202" style="position:absolute;left:12401;top:1676;width:8351;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EMUA&#10;AADcAAAADwAAAGRycy9kb3ducmV2LnhtbERPy2rCQBTdC/7DcAU3pU60rUp0EkRoKS6sjy7a3TVz&#10;TYKZO2FmqunfdxYFl4fzXuadacSVnK8tKxiPEhDEhdU1lwo+j6+PcxA+IGtsLJOCX/KQZ/3eElNt&#10;b7yn6yGUIoawT1FBFUKbSumLigz6kW2JI3e2zmCI0JVSO7zFcNPISZJMpcGaY0OFLa0rKi6HH6Pg&#10;+Lw/PeiXt/nXU73a7jazj++NOys1HHSrBYhAXbiL/93vWsFkFtfG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z4QxQAAANwAAAAPAAAAAAAAAAAAAAAAAJgCAABkcnMv&#10;ZG93bnJldi54bWxQSwUGAAAAAAQABAD1AAAAigMAAAAA&#10;" filled="f" stroked="f" strokeweight="2pt">
                    <v:textbox>
                      <w:txbxContent>
                        <w:p w:rsidR="00820D16" w:rsidRPr="00C26454" w:rsidRDefault="00820D16" w:rsidP="00010BFB">
                          <w:pPr>
                            <w:pStyle w:val="NormalWeb"/>
                            <w:spacing w:after="0"/>
                            <w:jc w:val="center"/>
                            <w:rPr>
                              <w:b/>
                              <w:sz w:val="40"/>
                            </w:rPr>
                          </w:pPr>
                          <w:r w:rsidRPr="00C26454">
                            <w:rPr>
                              <w:rFonts w:ascii="ITC Avant Garde" w:eastAsia="Calibri" w:hAnsi="ITC Avant Garde"/>
                              <w:b/>
                              <w:szCs w:val="12"/>
                            </w:rPr>
                            <w:t>Fase 1</w:t>
                          </w:r>
                        </w:p>
                      </w:txbxContent>
                    </v:textbox>
                  </v:shape>
                  <v:rect id="Rectángulo 280" o:spid="_x0000_s1108" style="position:absolute;left:558;top:11397;width:8108;height:3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Oq8EA&#10;AADcAAAADwAAAGRycy9kb3ducmV2LnhtbERPTWvCMBi+D/Yfwit4m6mCH3RGcYLobVR32e0ledvG&#10;NW9KE9vu3y+HgceH53u7H10jeuqC9axgPstAEGtvLFcKvm6ntw2IEJENNp5JwS8F2O9eX7aYGz9w&#10;Qf01ViKFcMhRQR1jm0sZdE0Ow8y3xIkrfecwJthV0nQ4pHDXyEWWraRDy6mhxpaONemf68MpOA+9&#10;/rwX9+/5yq6X1lxKXXyUSk0n4+EdRKQxPsX/7otRsNik+elMO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zqvBAAAA3AAAAA8AAAAAAAAAAAAAAAAAmAIAAGRycy9kb3du&#10;cmV2LnhtbFBLBQYAAAAABAAEAPUAAACGAwAAAAA=&#10;" fillcolor="#fff2cc [663]" strokecolor="black [3213]" strokeweight="1pt">
                    <v:textbo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Ingresos por naturaleza</w:t>
                          </w:r>
                        </w:p>
                      </w:txbxContent>
                    </v:textbox>
                  </v:rect>
                  <v:rect id="Rectángulo 281" o:spid="_x0000_s1109" style="position:absolute;left:641;top:24158;width:8025;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39sYA&#10;AADcAAAADwAAAGRycy9kb3ducmV2LnhtbESPzWrDMBCE74W+g9hCLyWRE0pxnCjBBAo5tIfm55Db&#10;Ym1kE2tlrE3svn1VKPQ4zMw3zGoz+lbdqY9NYAOzaQaKuAq2YWfgeHif5KCiIFtsA5OBb4qwWT8+&#10;rLCwYeAvuu/FqQThWKCBWqQrtI5VTR7jNHTEybuE3qMk2TttexwS3Ld6nmVv2mPDaaHGjrY1Vdf9&#10;zRt4Ob5+nFpx51MZyk8XBtnl+cKY56exXIISGuU//NfeWQPzfAa/Z9IR0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39sYAAADcAAAADwAAAAAAAAAAAAAAAACYAgAAZHJz&#10;L2Rvd25yZXYueG1sUEsFBgAAAAAEAAQA9QAAAIsDAAAAAA==&#10;" fillcolor="#ccf" strokecolor="black [3213]" strokeweight="1pt">
                    <v:textbo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Gastos por naturaleza</w:t>
                          </w:r>
                        </w:p>
                      </w:txbxContent>
                    </v:textbox>
                  </v:rect>
                  <v:shape id="Conector recto de flecha 282" o:spid="_x0000_s1110" type="#_x0000_t32" style="position:absolute;left:8666;top:13070;width:6370;height: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J/MYAAADcAAAADwAAAGRycy9kb3ducmV2LnhtbESPQWsCMRSE70L/Q3iF3jTbVYtsjdJK&#10;tUpP3Xrw+Ni8brbdvCxJquu/bwTB4zAz3zDzZW9bcSQfGscKHkcZCOLK6YZrBfuv9XAGIkRkja1j&#10;UnCmAMvF3WCOhXYn/qRjGWuRIBwKVGBi7AopQ2XIYhi5jjh5385bjEn6WmqPpwS3rcyz7ElabDgt&#10;GOxoZaj6Lf+sgmk53r1/mIP223bjfybj89vmdaXUw33/8gwiUh9v4Wt7qxXksxw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ifzGAAAA3AAAAA8AAAAAAAAA&#10;AAAAAAAAoQIAAGRycy9kb3ducmV2LnhtbFBLBQYAAAAABAAEAPkAAACUAwAAAAA=&#10;" strokecolor="black [3213]" strokeweight="2pt">
                    <v:stroke endarrow="block" joinstyle="miter"/>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Datos almacenados 283" o:spid="_x0000_s1111" type="#_x0000_t130" style="position:absolute;left:13490;top:10319;width:9274;height:550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zQsMA&#10;AADcAAAADwAAAGRycy9kb3ducmV2LnhtbESP0YrCMBRE3wX/IVxh3zS1Sildo7iCrKAvVj/g0txt&#10;i81Nt4m1+/cbQfBxmJkzzGozmEb01LnasoL5LAJBXFhdc6ngetlPUxDOI2tsLJOCP3KwWY9HK8y0&#10;ffCZ+tyXIkDYZaig8r7NpHRFRQbdzLbEwfuxnUEfZFdK3eEjwE0j4yhKpMGaw0KFLe0qKm753ShI&#10;4m10+k6Gr93id5n31/J4qPmo1Mdk2H6C8DT4d/jVPmgFcbqA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nzQsMAAADcAAAADwAAAAAAAAAAAAAAAACYAgAAZHJzL2Rv&#10;d25yZXYueG1sUEsFBgAAAAAEAAQA9QAAAIgDAAAAAA==&#10;" fillcolor="#fff2cc [663]" strokecolor="black [3213]" strokeweight="1pt">
                    <v:textbox>
                      <w:txbxContent>
                        <w:p w:rsidR="00820D16" w:rsidRPr="008830ED" w:rsidRDefault="00820D16" w:rsidP="00010BFB">
                          <w:pPr>
                            <w:pStyle w:val="Sinespaciado"/>
                            <w:rPr>
                              <w:rFonts w:ascii="ITC Avant Garde" w:hAnsi="ITC Avant Garde"/>
                              <w:b/>
                              <w:color w:val="000000" w:themeColor="text1"/>
                              <w:sz w:val="12"/>
                              <w:szCs w:val="12"/>
                              <w:lang w:val="es-MX"/>
                            </w:rPr>
                          </w:pPr>
                          <w:r w:rsidRPr="008830ED">
                            <w:rPr>
                              <w:rFonts w:ascii="ITC Avant Garde" w:hAnsi="ITC Avant Garde"/>
                              <w:b/>
                              <w:color w:val="000000" w:themeColor="text1"/>
                              <w:sz w:val="12"/>
                              <w:szCs w:val="12"/>
                              <w:lang w:val="es-MX"/>
                            </w:rPr>
                            <w:t>Ingresos reflejados</w:t>
                          </w:r>
                        </w:p>
                      </w:txbxContent>
                    </v:textbox>
                  </v:shape>
                  <v:rect id="Rectángulo 286" o:spid="_x0000_s1112" style="position:absolute;left:44021;top:5015;width:10047;height:4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FFMQA&#10;AADcAAAADwAAAGRycy9kb3ducmV2LnhtbESPT4vCMBTE74LfITzBm6bKItI1yiIosuth/XPx9mhe&#10;m9LmpTRRq59+syB4HGbmN8xi1dla3Kj1pWMFk3ECgjhzuuRCwfm0Gc1B+ICssXZMCh7kYbXs9xaY&#10;anfnA92OoRARwj5FBSaEJpXSZ4Ys+rFriKOXu9ZiiLItpG7xHuG2ltMkmUmLJccFgw2tDWXV8WoV&#10;HHKz95vt7/7HVbr6eD5xkl++lRoOuq9PEIG68A6/2jutYDqfwf+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RRTEAAAA3AAAAA8AAAAAAAAAAAAAAAAAmAIAAGRycy9k&#10;b3ducmV2LnhtbFBLBQYAAAAABAAEAPUAAACJAwAAAAA=&#10;" fillcolor="#f7caac [1301]" strokecolor="#f7caac [1301]" strokeweight="1pt">
                    <v:textbox>
                      <w:txbxContent>
                        <w:p w:rsidR="00820D16" w:rsidRPr="00D223FF" w:rsidRDefault="00820D16" w:rsidP="00010BFB">
                          <w:pPr>
                            <w:pStyle w:val="NormalWeb"/>
                            <w:spacing w:before="0" w:beforeAutospacing="0" w:after="0" w:afterAutospacing="0"/>
                            <w:jc w:val="center"/>
                            <w:rPr>
                              <w:color w:val="000000" w:themeColor="text1"/>
                              <w:sz w:val="12"/>
                              <w:szCs w:val="12"/>
                            </w:rPr>
                          </w:pPr>
                          <w:r w:rsidRPr="00D223FF">
                            <w:rPr>
                              <w:rFonts w:ascii="ITC Avant Garde" w:eastAsia="Calibri" w:hAnsi="ITC Avant Garde"/>
                              <w:b/>
                              <w:bCs/>
                              <w:color w:val="000000" w:themeColor="text1"/>
                              <w:sz w:val="12"/>
                              <w:szCs w:val="12"/>
                            </w:rPr>
                            <w:t>Asignación de costes en ingresos a servicios</w:t>
                          </w:r>
                        </w:p>
                      </w:txbxContent>
                    </v:textbox>
                  </v:rect>
                  <v:shape id="Cuadro de texto 127" o:spid="_x0000_s1113" type="#_x0000_t202" style="position:absolute;left:24065;top:1681;width:8350;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aRcgA&#10;AADcAAAADwAAAGRycy9kb3ducmV2LnhtbESPT2sCMRTE70K/Q3iCl1KztbYuq1GkoIiHtv452Nvr&#10;5rm7dPOyJFHXb98IBY/DzPyGmcxaU4szOV9ZVvDcT0AQ51ZXXCjY7xZPKQgfkDXWlknBlTzMpg+d&#10;CWbaXnhD520oRISwz1BBGUKTSenzkgz6vm2Io3e0zmCI0hVSO7xEuKnlIEnepMGK40KJDb2XlP9u&#10;T0bBbrj5edSvy/TwUs0/vtajz++1OyrV67bzMYhAbbiH/9srrWCQjuB2Jh4BO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4dpFyAAAANwAAAAPAAAAAAAAAAAAAAAAAJgCAABk&#10;cnMvZG93bnJldi54bWxQSwUGAAAAAAQABAD1AAAAjQMAAAAA&#10;" filled="f" stroked="f" strokeweight="2pt">
                    <v:textbox>
                      <w:txbxContent>
                        <w:p w:rsidR="00820D16" w:rsidRDefault="00820D16" w:rsidP="00010BFB">
                          <w:pPr>
                            <w:pStyle w:val="NormalWeb"/>
                            <w:spacing w:before="0" w:beforeAutospacing="0" w:after="0" w:afterAutospacing="0"/>
                            <w:jc w:val="center"/>
                          </w:pPr>
                          <w:r>
                            <w:rPr>
                              <w:rFonts w:ascii="ITC Avant Garde" w:eastAsia="Calibri" w:hAnsi="ITC Avant Garde"/>
                              <w:b/>
                              <w:bCs/>
                            </w:rPr>
                            <w:t>Fase 2</w:t>
                          </w:r>
                        </w:p>
                      </w:txbxContent>
                    </v:textbox>
                  </v:shape>
                  <v:shape id="Cuadro de texto 127" o:spid="_x0000_s1114" type="#_x0000_t202" style="position:absolute;left:34241;top:1852;width:8350;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5ON8UA&#10;AADcAAAADwAAAGRycy9kb3ducmV2LnhtbERPy2rCQBTdF/oPwy10I3VSH21IHUUKFXGhRrvQ3W3m&#10;moRm7oSZqca/dxZCl4fznsw604gzOV9bVvDaT0AQF1bXXCr43n+9pCB8QNbYWCYFV/Iwmz4+TDDT&#10;9sI5nXehFDGEfYYKqhDaTEpfVGTQ921LHLmTdQZDhK6U2uElhptGDpLkTRqsOTZU2NJnRcXv7s8o&#10;2I/yn54eL9LDsJ6vt6v3zXHlTko9P3XzDxCBuvAvvruXWsEgjWvj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k43xQAAANwAAAAPAAAAAAAAAAAAAAAAAJgCAABkcnMv&#10;ZG93bnJldi54bWxQSwUGAAAAAAQABAD1AAAAigMAAAAA&#10;" filled="f" stroked="f" strokeweight="2pt">
                    <v:textbox>
                      <w:txbxContent>
                        <w:p w:rsidR="00820D16" w:rsidRDefault="00820D16" w:rsidP="00010BFB">
                          <w:pPr>
                            <w:pStyle w:val="NormalWeb"/>
                            <w:spacing w:before="0" w:beforeAutospacing="0" w:after="0" w:afterAutospacing="0"/>
                            <w:jc w:val="center"/>
                          </w:pPr>
                          <w:r>
                            <w:rPr>
                              <w:rFonts w:ascii="ITC Avant Garde" w:eastAsia="Calibri" w:hAnsi="ITC Avant Garde"/>
                              <w:b/>
                              <w:bCs/>
                            </w:rPr>
                            <w:t>Fase 3</w:t>
                          </w:r>
                        </w:p>
                      </w:txbxContent>
                    </v:textbox>
                  </v:shape>
                  <v:shape id="Cuadro de texto 127" o:spid="_x0000_s1115" type="#_x0000_t202" style="position:absolute;left:43493;top:1800;width:8350;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rrMgA&#10;AADcAAAADwAAAGRycy9kb3ducmV2LnhtbESPT2sCMRTE70K/Q3iFXopma6uuq1Gk0FI81L8HvT03&#10;z92lm5clSXX77ZtCweMwM79hpvPW1OJCzleWFTz1EhDEudUVFwr2u7duCsIHZI21ZVLwQx7ms7vO&#10;FDNtr7yhyzYUIkLYZ6igDKHJpPR5SQZ9zzbE0TtbZzBE6QqpHV4j3NSynyRDabDiuFBiQ68l5V/b&#10;b6Ng97I5PerBe3p4rhaf6+VodVy6s1IP9+1iAiJQG27h//aHVtBPx/B3Jh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MuusyAAAANwAAAAPAAAAAAAAAAAAAAAAAJgCAABk&#10;cnMvZG93bnJldi54bWxQSwUGAAAAAAQABAD1AAAAjQMAAAAA&#10;" filled="f" stroked="f" strokeweight="2pt">
                    <v:textbox>
                      <w:txbxContent>
                        <w:p w:rsidR="00820D16" w:rsidRDefault="00820D16" w:rsidP="00010BFB">
                          <w:pPr>
                            <w:pStyle w:val="NormalWeb"/>
                            <w:spacing w:before="0" w:beforeAutospacing="0" w:after="0" w:afterAutospacing="0"/>
                            <w:jc w:val="center"/>
                          </w:pPr>
                          <w:r>
                            <w:rPr>
                              <w:rFonts w:ascii="ITC Avant Garde" w:eastAsia="Calibri" w:hAnsi="ITC Avant Garde"/>
                              <w:b/>
                              <w:bCs/>
                            </w:rPr>
                            <w:t>Fase 4</w:t>
                          </w:r>
                        </w:p>
                      </w:txbxContent>
                    </v:textbox>
                  </v:shape>
                  <v:rect id="Rectángulo 290" o:spid="_x0000_s1116" style="position:absolute;left:36576;top:10905;width:6917;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hOMIA&#10;AADcAAAADwAAAGRycy9kb3ducmV2LnhtbERPXWvCMBR9F/Yfwh34pqkVxFWjyMAhqAx1oI/X5toU&#10;m5vSRK379cvDwMfD+Z7OW1uJOzW+dKxg0E9AEOdOl1wo+Dkse2MQPiBrrByTgid5mM/eOlPMtHvw&#10;ju77UIgYwj5DBSaEOpPS54Ys+r6riSN3cY3FEGFTSN3gI4bbSqZJMpIWS44NBmv6NJRf9zer4DQ0&#10;vvjeHNfjX708lNvdl96eU6W67+1iAiJQG17if/dKK0g/4vx4Jh4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E4wgAAANwAAAAPAAAAAAAAAAAAAAAAAJgCAABkcnMvZG93&#10;bnJldi54bWxQSwUGAAAAAAQABAD1AAAAhwMAAAAA&#10;" fillcolor="#fff2cc [663]" strokecolor="#002060" strokeweight="1pt">
                    <v:textbox>
                      <w:txbxContent>
                        <w:p w:rsidR="00820D16" w:rsidRPr="00D223FF" w:rsidRDefault="00820D16" w:rsidP="00010BFB">
                          <w:pPr>
                            <w:pStyle w:val="NormalWeb"/>
                            <w:spacing w:before="0" w:beforeAutospacing="0" w:after="0" w:afterAutospacing="0"/>
                            <w:jc w:val="center"/>
                            <w:rPr>
                              <w:color w:val="000000" w:themeColor="text1"/>
                            </w:rPr>
                          </w:pPr>
                          <w:r>
                            <w:rPr>
                              <w:rFonts w:ascii="ITC Avant Garde" w:eastAsia="Calibri" w:hAnsi="ITC Avant Garde"/>
                              <w:b/>
                              <w:bCs/>
                              <w:color w:val="000000" w:themeColor="text1"/>
                              <w:sz w:val="12"/>
                              <w:szCs w:val="12"/>
                            </w:rPr>
                            <w:t>Ingresos de los servicios</w:t>
                          </w:r>
                        </w:p>
                      </w:txbxContent>
                    </v:textbox>
                  </v:rect>
                  <v:rect id="Rectángulo 291" o:spid="_x0000_s1117" style="position:absolute;left:36671;top:17376;width:6822;height:1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o8YA&#10;AADcAAAADwAAAGRycy9kb3ducmV2LnhtbESP3WoCMRSE7wt9h3AK3tWsK4iuRimCIrQi/oBenm5O&#10;N0s3J8sm6tqnNwXBy2FmvmEms9ZW4kKNLx0r6HUTEMS50yUXCg77xfsQhA/IGivHpOBGHmbT15cJ&#10;ZtpdeUuXXShEhLDPUIEJoc6k9Lkhi77rauLo/bjGYoiyKaRu8BrhtpJpkgykxZLjgsGa5oby393Z&#10;Kjj1jS82X8fP4Z9e7Mv1dqnX36lSnbf2YwwiUBue4Ud7pRWkox78n4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Eo8YAAADcAAAADwAAAAAAAAAAAAAAAACYAgAAZHJz&#10;L2Rvd25yZXYueG1sUEsFBgAAAAAEAAQA9QAAAIsDAAAAAA==&#10;" fillcolor="#fff2cc [663]" strokecolor="#002060" strokeweight="1pt">
                    <v:textbox>
                      <w:txbxContent>
                        <w:p w:rsidR="00820D16" w:rsidRPr="00D223FF" w:rsidRDefault="00820D16" w:rsidP="00010BFB">
                          <w:pPr>
                            <w:pStyle w:val="NormalWeb"/>
                            <w:spacing w:before="0" w:beforeAutospacing="0" w:after="0" w:afterAutospacing="0"/>
                            <w:jc w:val="center"/>
                            <w:rPr>
                              <w:color w:val="000000" w:themeColor="text1"/>
                            </w:rPr>
                          </w:pPr>
                          <w:r>
                            <w:rPr>
                              <w:rFonts w:ascii="ITC Avant Garde" w:eastAsia="Calibri" w:hAnsi="ITC Avant Garde"/>
                              <w:b/>
                              <w:bCs/>
                              <w:color w:val="000000" w:themeColor="text1"/>
                              <w:sz w:val="12"/>
                              <w:szCs w:val="12"/>
                            </w:rPr>
                            <w:t>Costes de los servicios</w:t>
                          </w:r>
                        </w:p>
                      </w:txbxContent>
                    </v:textbox>
                  </v:rect>
                  <v:shape id="Conector recto de flecha 292" o:spid="_x0000_s1118" type="#_x0000_t32" style="position:absolute;left:8666;top:21403;width:6035;height:49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cfIcYAAADcAAAADwAAAGRycy9kb3ducmV2LnhtbESPQU8CMRSE7yT+h+aZeJOuCxhcKUSJ&#10;AsaTiwePL9vndmH7umkrLP+ekphwnMzMN5nZoretOJAPjWMFD8MMBHHldMO1gu/t+/0URIjIGlvH&#10;pOBEARbzm8EMC+2O/EWHMtYiQTgUqMDE2BVShsqQxTB0HXHyfp23GJP0tdQejwluW5ln2aO02HBa&#10;MNjR0lC1L/+sgkk5+lh/mh/tN+3K78aj09vqdanU3W3/8gwiUh+v4f/2RivIn3K4nElH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nHyHGAAAA3AAAAA8AAAAAAAAA&#10;AAAAAAAAoQIAAGRycy9kb3ducmV2LnhtbFBLBQYAAAAABAAEAPkAAACUAwAAAAA=&#10;" strokecolor="black [3213]" strokeweight="2pt">
                    <v:stroke endarrow="block" joinstyle="miter"/>
                  </v:shape>
                  <v:shape id="Conector recto de flecha 293" o:spid="_x0000_s1119" type="#_x0000_t32" style="position:absolute;left:8666;top:26381;width:6057;height:5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9VpcUAAADcAAAADwAAAGRycy9kb3ducmV2LnhtbESPQWvCQBSE70L/w/IKvemmKbUmupFS&#10;kErxYiqIt0f2mQ3Jvg3Zrab/vlsQPA4z8w2zWo+2ExcafONYwfMsAUFcOd1wreDwvZkuQPiArLFz&#10;TAp+ycO6eJisMNfuynu6lKEWEcI+RwUmhD6X0leGLPqZ64mjd3aDxRDlUEs94DXCbSfTJJlLiw3H&#10;BYM9fRiq2vLHKvjMkuMxNOZQt5sTvabbXfb25ZV6ehzflyACjeEevrW3WkGavcD/mXg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9VpcUAAADcAAAADwAAAAAAAAAA&#10;AAAAAAChAgAAZHJzL2Rvd25yZXYueG1sUEsFBgAAAAAEAAQA+QAAAJMDAAAAAA==&#10;" strokecolor="black [3213]" strokeweight="2pt">
                    <v:stroke endarrow="block" joinstyle="miter"/>
                  </v:shape>
                  <v:shape id="Datos almacenados 297" o:spid="_x0000_s1120" type="#_x0000_t130" style="position:absolute;left:13517;top:18658;width:9435;height:54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GYcQA&#10;AADcAAAADwAAAGRycy9kb3ducmV2LnhtbESPzW7CMBCE75V4B2uRuBUHkEqSYhBCIu2FQ/m5b+Nt&#10;HDVeR7aB9O3rSkg9jmbmG81qM9hO3MiH1rGC2TQDQVw73XKj4HzaP+cgQkTW2DkmBT8UYLMePa2w&#10;1O7OH3Q7xkYkCIcSFZgY+1LKUBuyGKauJ07el/MWY5K+kdrjPcFtJ+dZ9iIttpwWDPa0M1R/H69W&#10;AfrK5M1lfwi2rwoqqrf8c7lQajIetq8gIg3xP/xov2sF82IJ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BmHEAAAA3AAAAA8AAAAAAAAAAAAAAAAAmAIAAGRycy9k&#10;b3ducmV2LnhtbFBLBQYAAAAABAAEAPUAAACJAwAAAAA=&#10;" fillcolor="#ccf" strokecolor="black [3213]" strokeweight="1pt">
                    <v:textbox>
                      <w:txbxContent>
                        <w:p w:rsidR="00820D16" w:rsidRPr="001161F4" w:rsidRDefault="00820D16" w:rsidP="00010BFB">
                          <w:pPr>
                            <w:pStyle w:val="NormalWeb"/>
                            <w:spacing w:before="0" w:beforeAutospacing="0" w:after="0" w:afterAutospacing="0"/>
                            <w:rPr>
                              <w:sz w:val="12"/>
                              <w:szCs w:val="8"/>
                            </w:rPr>
                          </w:pPr>
                          <w:r w:rsidRPr="001161F4">
                            <w:rPr>
                              <w:rFonts w:ascii="ITC Avant Garde" w:eastAsia="Calibri" w:hAnsi="ITC Avant Garde"/>
                              <w:b/>
                              <w:bCs/>
                              <w:color w:val="000000"/>
                              <w:sz w:val="12"/>
                              <w:szCs w:val="8"/>
                            </w:rPr>
                            <w:t>Costes calculados</w:t>
                          </w:r>
                        </w:p>
                      </w:txbxContent>
                    </v:textbox>
                  </v:shape>
                  <v:shape id="Datos almacenados 298" o:spid="_x0000_s1121" type="#_x0000_t130" style="position:absolute;left:13517;top:29151;width:9435;height:54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SE8AA&#10;AADcAAAADwAAAGRycy9kb3ducmV2LnhtbERPu27CMBTdK/EP1kViKw4gtUnAIFSJ0KVDeeyX+BJH&#10;xNeR7UL4+3qo1PHovFebwXbiTj60jhXMphkI4trplhsFp+PuNQcRIrLGzjEpeFKAzXr0ssJSuwd/&#10;0/0QG5FCOJSowMTYl1KG2pDFMHU9ceKuzluMCfpGao+PFG47Oc+yN2mx5dRgsKcPQ/Xt8GMVoK9M&#10;3px3X8H2VUFFtc8v7wulJuNhuwQRaYj/4j/3p1YwL9La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uSE8AAAADcAAAADwAAAAAAAAAAAAAAAACYAgAAZHJzL2Rvd25y&#10;ZXYueG1sUEsFBgAAAAAEAAQA9QAAAIUDAAAAAA==&#10;" fillcolor="#ccf" strokecolor="black [3213]" strokeweight="1pt">
                    <v:textbox>
                      <w:txbxContent>
                        <w:p w:rsidR="00820D16" w:rsidRPr="006D4C8B" w:rsidRDefault="00820D16" w:rsidP="00010BFB">
                          <w:pPr>
                            <w:pStyle w:val="NormalWeb"/>
                            <w:spacing w:before="0" w:beforeAutospacing="0" w:after="0" w:afterAutospacing="0"/>
                          </w:pPr>
                          <w:r w:rsidRPr="006D4C8B">
                            <w:rPr>
                              <w:rFonts w:ascii="ITC Avant Garde" w:eastAsia="Calibri" w:hAnsi="ITC Avant Garde"/>
                              <w:b/>
                              <w:bCs/>
                              <w:color w:val="000000"/>
                              <w:sz w:val="12"/>
                              <w:szCs w:val="12"/>
                            </w:rPr>
                            <w:t>Costes reflejados</w:t>
                          </w:r>
                        </w:p>
                      </w:txbxContent>
                    </v:textbox>
                  </v:shape>
                  <v:rect id="Rectángulo 302" o:spid="_x0000_s1122" style="position:absolute;left:23350;top:17378;width:11416;height:1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pdMUA&#10;AADcAAAADwAAAGRycy9kb3ducmV2LnhtbESP3YrCMBSE7xd8h3AEb0RTXRSpRtlVhMVF8A/x8tAc&#10;22JzUpqo1ac3C8JeDjPzDTOZ1aYQN6pcbllBrxuBIE6szjlVcNgvOyMQziNrLCyTggc5mE0bHxOM&#10;tb3zlm47n4oAYRejgsz7MpbSJRkZdF1bEgfvbCuDPsgqlbrCe4CbQvajaCgN5hwWMixpnlFy2V1N&#10;oOj8tB/0Vpv171yXR3xuB4v2t1KtZv01BuGp9v/hd/tHK/iM+vB3JhwBO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Gl0xQAAANwAAAAPAAAAAAAAAAAAAAAAAJgCAABkcnMv&#10;ZG93bnJldi54bWxQSwUGAAAAAAQABAD1AAAAigMAAAAA&#10;" filled="f" strokecolor="black [3213]" strokeweight="1pt">
                    <v:textbox>
                      <w:txbxContent>
                        <w:p w:rsidR="00820D16" w:rsidRDefault="00820D16" w:rsidP="00010BFB">
                          <w:pPr>
                            <w:pStyle w:val="NormalWeb"/>
                            <w:spacing w:before="0" w:beforeAutospacing="0" w:after="0" w:afterAutospacing="0"/>
                            <w:jc w:val="center"/>
                          </w:pPr>
                        </w:p>
                      </w:txbxContent>
                    </v:textbox>
                  </v:rect>
                  <v:shape id="Datos almacenados 304" o:spid="_x0000_s1123" type="#_x0000_t130" style="position:absolute;left:23717;top:17611;width:10858;height:54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WL8UA&#10;AADcAAAADwAAAGRycy9kb3ducmV2LnhtbESPQWsCMRSE7wX/Q3hCL0WzrdLKapRiLQiiUBV6fd08&#10;d0M3L0uSuuu/N4LQ4zAz3zCzRWdrcSYfjGMFz8MMBHHhtOFSwfHwOZiACBFZY+2YFFwowGLee5hh&#10;rl3LX3Tex1IkCIccFVQxNrmUoajIYhi6hjh5J+ctxiR9KbXHNsFtLV+y7FVaNJwWKmxoWVHxu/+z&#10;Clbmaet2H8fW4O5t803LH786eKUe+937FESkLv6H7+21VjDKx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ZYvxQAAANwAAAAPAAAAAAAAAAAAAAAAAJgCAABkcnMv&#10;ZG93bnJldi54bWxQSwUGAAAAAAQABAD1AAAAigMAAAAA&#10;" fillcolor="#c5e0b3 [1305]" strokecolor="#c5e0b3 [1305]"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2"/>
                              <w:szCs w:val="12"/>
                            </w:rPr>
                            <w:t>CACR</w:t>
                          </w:r>
                        </w:p>
                      </w:txbxContent>
                    </v:textbox>
                  </v:shape>
                  <v:shape id="Datos almacenados 305" o:spid="_x0000_s1124" type="#_x0000_t130" style="position:absolute;left:23526;top:23994;width:10715;height:54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ztMUA&#10;AADcAAAADwAAAGRycy9kb3ducmV2LnhtbESPQWsCMRSE7wX/Q3hCL0WzrdjKapRiLQiiUBV6fd08&#10;d0M3L0uSuuu/N4LQ4zAz3zCzRWdrcSYfjGMFz8MMBHHhtOFSwfHwOZiACBFZY+2YFFwowGLee5hh&#10;rl3LX3Tex1IkCIccFVQxNrmUoajIYhi6hjh5J+ctxiR9KbXHNsFtLV+y7FVaNJwWKmxoWVHxu/+z&#10;Clbmaet2H8fW4O5t803LH786eKUe+937FESkLv6H7+21VjDKx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2TO0xQAAANwAAAAPAAAAAAAAAAAAAAAAAJgCAABkcnMv&#10;ZG93bnJldi54bWxQSwUGAAAAAAQABAD1AAAAigMAAAAA&#10;" fillcolor="#c5e0b3 [1305]" strokecolor="#c5e0b3 [1305]" strokeweight="1pt">
                    <v:textbox>
                      <w:txbxContent>
                        <w:p w:rsidR="00820D16" w:rsidRDefault="00820D16" w:rsidP="00010BFB">
                          <w:pPr>
                            <w:pStyle w:val="NormalWeb"/>
                            <w:spacing w:before="0" w:beforeAutospacing="0" w:after="0" w:afterAutospacing="0"/>
                          </w:pPr>
                          <w:r>
                            <w:rPr>
                              <w:rFonts w:ascii="ITC Avant Garde" w:eastAsia="Calibri" w:hAnsi="ITC Avant Garde"/>
                              <w:b/>
                              <w:bCs/>
                              <w:color w:val="000000"/>
                              <w:sz w:val="12"/>
                              <w:szCs w:val="12"/>
                            </w:rPr>
                            <w:t>CAADS</w:t>
                          </w:r>
                        </w:p>
                      </w:txbxContent>
                    </v:textbox>
                  </v:shape>
                  <v:shape id="Datos almacenados 306" o:spid="_x0000_s1125" type="#_x0000_t130" style="position:absolute;left:23717;top:30344;width:10858;height:54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tw8QA&#10;AADcAAAADwAAAGRycy9kb3ducmV2LnhtbESPQWsCMRSE70L/Q3gFL1KzVbBla5RiFQRRqApen5vX&#10;3dDNy5JEd/vvG0HwOMzMN8x03tlaXMkH41jB6zADQVw4bbhUcDysXt5BhIissXZMCv4owHz21Jti&#10;rl3L33Tdx1IkCIccFVQxNrmUoajIYhi6hjh5P85bjEn6UmqPbYLbWo6ybCItGk4LFTa0qKj43V+s&#10;gqUZbN3u69ga3L1tTrQ4++XBK9V/7j4/QETq4iN8b6+1gnE2gduZd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LrcPEAAAA3AAAAA8AAAAAAAAAAAAAAAAAmAIAAGRycy9k&#10;b3ducmV2LnhtbFBLBQYAAAAABAAEAPUAAACJAwAAAAA=&#10;" fillcolor="#c5e0b3 [1305]" strokecolor="#c5e0b3 [1305]" strokeweight="1pt">
                    <v:textbox>
                      <w:txbxContent>
                        <w:p w:rsidR="00820D16" w:rsidRPr="00776A41" w:rsidRDefault="00820D16" w:rsidP="00010BFB">
                          <w:pPr>
                            <w:pStyle w:val="NormalWeb"/>
                            <w:spacing w:before="0" w:beforeAutospacing="0" w:after="0" w:afterAutospacing="0"/>
                            <w:rPr>
                              <w:sz w:val="12"/>
                              <w:szCs w:val="10"/>
                            </w:rPr>
                          </w:pPr>
                          <w:r w:rsidRPr="00776A41">
                            <w:rPr>
                              <w:rFonts w:ascii="ITC Avant Garde" w:eastAsia="Calibri" w:hAnsi="ITC Avant Garde"/>
                              <w:b/>
                              <w:bCs/>
                              <w:color w:val="000000"/>
                              <w:sz w:val="12"/>
                              <w:szCs w:val="10"/>
                            </w:rPr>
                            <w:t>CANADS</w:t>
                          </w:r>
                        </w:p>
                      </w:txbxContent>
                    </v:textbox>
                  </v:shape>
                  <v:rect id="Rectángulo 310" o:spid="_x0000_s1126" style="position:absolute;left:45293;top:10905;width:8020;height:2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t/8MA&#10;AADcAAAADwAAAGRycy9kb3ducmV2LnhtbERPW2vCMBR+F/wP4Qh70/QCQzqjyKAibDKsg/l4bI5N&#10;WXNSmky7/frlYbDHj+++2oy2EzcafOtYQbpIQBDXTrfcKHg/lfMlCB+QNXaOScE3edisp5MVFtrd&#10;+Ui3KjQihrAvUIEJoS+k9LUhi37heuLIXd1gMUQ4NFIPeI/htpNZkjxKiy3HBoM9PRuqP6svq+Cc&#10;G9+8vX68LH90eWoPx50+XDKlHmbj9glEoDH8i//ce60gT+P8eC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Xt/8MAAADcAAAADwAAAAAAAAAAAAAAAACYAgAAZHJzL2Rv&#10;d25yZXYueG1sUEsFBgAAAAAEAAQA9QAAAIgDAAAAAA==&#10;" fillcolor="#fff2cc [663]" strokecolor="#002060" strokeweight="1pt">
                    <v:textbox>
                      <w:txbxContent>
                        <w:p w:rsidR="00820D16" w:rsidRDefault="00820D16" w:rsidP="00010BFB">
                          <w:pPr>
                            <w:pStyle w:val="NormalWeb"/>
                            <w:spacing w:before="0" w:beforeAutospacing="0" w:after="0" w:afterAutospacing="0"/>
                            <w:jc w:val="center"/>
                          </w:pPr>
                          <w:r>
                            <w:rPr>
                              <w:rFonts w:ascii="ITC Avant Garde" w:eastAsia="Calibri" w:hAnsi="ITC Avant Garde"/>
                              <w:b/>
                              <w:bCs/>
                              <w:color w:val="000000"/>
                              <w:sz w:val="12"/>
                              <w:szCs w:val="12"/>
                            </w:rPr>
                            <w:t>Cuentas de margen</w:t>
                          </w:r>
                        </w:p>
                      </w:txbxContent>
                    </v:textbox>
                  </v:rect>
                  <v:shape id="Conector recto de flecha 311" o:spid="_x0000_s1127" type="#_x0000_t32" style="position:absolute;left:22764;top:13070;width:13812;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NijsQAAADcAAAADwAAAGRycy9kb3ducmV2LnhtbESPW4vCMBSE3xf8D+EIvmlaxVs1iiyI&#10;suyLFxDfDs2xKTYnpclq/fdmYWEfh5n5hlmuW1uJBzW+dKwgHSQgiHOnSy4UnE/b/gyED8gaK8ek&#10;4EUe1qvOxxIz7Z58oMcxFCJC2GeowIRQZ1L63JBFP3A1cfRurrEYomwKqRt8Rrit5DBJJtJiyXHB&#10;YE2fhvL78ccq2M2TyyWU5lzct1caD/ff8+mXV6rXbTcLEIHa8B/+a++1glGawu+ZeATk6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2KOxAAAANwAAAAPAAAAAAAAAAAA&#10;AAAAAKECAABkcnMvZG93bnJldi54bWxQSwUGAAAAAAQABAD5AAAAkgMAAAAA&#10;" strokecolor="black [3213]" strokeweight="2pt">
                    <v:stroke endarrow="block" joinstyle="miter"/>
                  </v:shape>
                  <v:shape id="Conector recto de flecha 312" o:spid="_x0000_s1128" type="#_x0000_t32" style="position:absolute;left:34766;top:26811;width:190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T5sYAAADcAAAADwAAAGRycy9kb3ducmV2LnhtbESPQWsCMRSE74X+h/AK3mpW1xZZjdJK&#10;tUpPrh48Pjavm203L0sSdf33TaHQ4zAz3zDzZW9bcSEfGscKRsMMBHHldMO1guNh/TgFESKyxtYx&#10;KbhRgOXi/m6OhXZX3tOljLVIEA4FKjAxdoWUoTJkMQxdR5y8T+ctxiR9LbXHa4LbVo6z7FlabDgt&#10;GOxoZaj6Ls9WwVOZ794/zEn7bbvxX5P89rZ5XSk1eOhfZiAi9fE//NfeagX5aA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E+bGAAAA3AAAAA8AAAAAAAAA&#10;AAAAAAAAoQIAAGRycy9kb3ducmV2LnhtbFBLBQYAAAAABAAEAPkAAACUAwAAAAA=&#10;" strokecolor="black [3213]" strokeweight="2pt">
                    <v:stroke endarrow="block" joinstyle="miter"/>
                  </v:shape>
                  <v:shape id="Conector recto de flecha 313" o:spid="_x0000_s1129" type="#_x0000_t32" style="position:absolute;left:43595;top:26864;width:17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1ZYsQAAADcAAAADwAAAGRycy9kb3ducmV2LnhtbESPQYvCMBSE78L+h/AW9qapiq5Wo4gg&#10;yuLFriDeHs2zKTYvpclq/fdmQfA4zMw3zHzZ2krcqPGlYwX9XgKCOHe65ELB8XfTnYDwAVlj5ZgU&#10;PMjDcvHRmWOq3Z0PdMtCISKEfYoKTAh1KqXPDVn0PVcTR+/iGoshyqaQusF7hNtKDpJkLC2WHBcM&#10;1rQ2lF+zP6tgO01Op1CaY3HdnGk02O2n3z9eqa/PdjUDEagN7/CrvdMKhv0h/J+JR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VlixAAAANwAAAAPAAAAAAAAAAAA&#10;AAAAAKECAABkcnMvZG93bnJldi54bWxQSwUGAAAAAAQABAD5AAAAkgMAAAAA&#10;" strokecolor="black [3213]" strokeweight="2pt">
                    <v:stroke endarrow="block" joinstyle="miter"/>
                  </v:shape>
                  <v:shape id="Conector recto de flecha 315" o:spid="_x0000_s1130" type="#_x0000_t32" style="position:absolute;left:43600;top:13025;width:17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hkjcQAAADcAAAADwAAAGRycy9kb3ducmV2LnhtbESPQYvCMBSE74L/ITxhb5qq6K7VKCLI&#10;inixK8jeHs2zKTYvpYna/fcbQfA4zMw3zGLV2krcqfGlYwXDQQKCOHe65ELB6Wfb/wLhA7LGyjEp&#10;+CMPq2W3s8BUuwcf6Z6FQkQI+xQVmBDqVEqfG7LoB64mjt7FNRZDlE0hdYOPCLeVHCXJVFosOS4Y&#10;rGljKL9mN6vge5acz6E0p+K6/aXJaHeYfe69Uh+9dj0HEagN7/CrvdMKxsMJ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GSNxAAAANwAAAAPAAAAAAAAAAAA&#10;AAAAAKECAABkcnMvZG93bnJldi54bWxQSwUGAAAAAAQABAD5AAAAkgMAAAAA&#10;" strokecolor="black [3213]" strokeweight="2pt">
                    <v:stroke endarrow="block" joinstyle="miter"/>
                  </v:shape>
                </v:group>
                <w10:anchorlock/>
              </v:group>
            </w:pict>
          </mc:Fallback>
        </mc:AlternateContent>
      </w:r>
    </w:p>
    <w:p w:rsidR="00441828" w:rsidRPr="00BB33CC" w:rsidRDefault="00010BFB" w:rsidP="00797696">
      <w:pPr>
        <w:jc w:val="both"/>
        <w:rPr>
          <w:sz w:val="20"/>
        </w:rPr>
      </w:pPr>
      <w:r w:rsidRPr="00BB33CC">
        <w:rPr>
          <w:rFonts w:ascii="ITC Avant Garde" w:hAnsi="ITC Avant Garde"/>
          <w:sz w:val="20"/>
        </w:rPr>
        <w:t>Fuente: Instituto Dominicano de las Telecomunicaciones, Republica Dominicana, “REGLAMENTO DE CONTABILIDAD SEPARADA POR SERVICIOS”, RESOLUCIÓN No. 228-06.</w:t>
      </w:r>
    </w:p>
    <w:p w:rsidR="00A1321B" w:rsidRPr="00BB33CC" w:rsidRDefault="00F17EDF" w:rsidP="00A1321B">
      <w:pPr>
        <w:pStyle w:val="Ttulo2"/>
      </w:pPr>
      <w:r w:rsidRPr="00BB33CC">
        <w:t>QUINTO</w:t>
      </w:r>
      <w:r w:rsidR="00A1321B" w:rsidRPr="00BB33CC">
        <w:t>.</w:t>
      </w:r>
      <w:r w:rsidR="00664F3A" w:rsidRPr="00BB33CC">
        <w:t>-</w:t>
      </w:r>
      <w:r w:rsidR="00A1321B" w:rsidRPr="00BB33CC">
        <w:t xml:space="preserve"> </w:t>
      </w:r>
      <w:r w:rsidR="0030261F" w:rsidRPr="00BB33CC">
        <w:t xml:space="preserve">IMPLEMENTACIÓN DE LA </w:t>
      </w:r>
      <w:r w:rsidR="00664F3A" w:rsidRPr="00BB33CC">
        <w:t xml:space="preserve">SEPARACIÓN CONTABLE </w:t>
      </w:r>
      <w:r w:rsidR="002351B1" w:rsidRPr="00BB33CC">
        <w:t>EN MÉXICO</w:t>
      </w:r>
      <w:bookmarkEnd w:id="7"/>
    </w:p>
    <w:p w:rsidR="000037DC" w:rsidRPr="00BB33CC" w:rsidRDefault="003D7B0B" w:rsidP="000037DC">
      <w:pPr>
        <w:pStyle w:val="Normalresolucion"/>
      </w:pPr>
      <w:r w:rsidRPr="00BB33CC">
        <w:t>L</w:t>
      </w:r>
      <w:r w:rsidR="000037DC" w:rsidRPr="00BB33CC">
        <w:t>a separación contable es un instrumento de información fundamental para el cumplimiento de determinados objetivos del Instituto, especialmente para la definición y monitoreo de aquellas políticas regulatorias que por su complejidad son intensivas en el uso de la información.</w:t>
      </w:r>
    </w:p>
    <w:p w:rsidR="000037DC" w:rsidRPr="00BB33CC" w:rsidRDefault="000037DC" w:rsidP="000037DC">
      <w:pPr>
        <w:pStyle w:val="Normalresolucion"/>
      </w:pPr>
      <w:r w:rsidRPr="00BB33CC">
        <w:t>Aunado a lo anterior, la separación contable ayuda en la supervisión y verificación del cumplimiento de la normatividad y legislación aplicable, ya que permite conocer la operación y explotación de los servicios de telecomunicaciones y radiodifusión por servicio, función y componentes de las redes.</w:t>
      </w:r>
    </w:p>
    <w:p w:rsidR="000037DC" w:rsidRPr="00BB33CC" w:rsidRDefault="000037DC" w:rsidP="00A1321B">
      <w:pPr>
        <w:pStyle w:val="Normalresolucion"/>
      </w:pPr>
      <w:r w:rsidRPr="00BB33CC">
        <w:t>En este sentido, con la información obtenida de la separación contable el Instituto tendrá la posibilidad de identificar potenciales prácticas anticompetitivas, tal</w:t>
      </w:r>
      <w:r w:rsidR="00232F48" w:rsidRPr="00BB33CC">
        <w:t>es</w:t>
      </w:r>
      <w:r w:rsidRPr="00BB33CC">
        <w:t xml:space="preserve"> como estrechamiento de márgenes, </w:t>
      </w:r>
      <w:r w:rsidR="00FE7E1A">
        <w:t>depredación de precios</w:t>
      </w:r>
      <w:r w:rsidRPr="00BB33CC">
        <w:t xml:space="preserve"> o subsidios cruzados, entre otras conductas, así como para detectar un potencial trato discriminatorio en la prestación de los servicios mayoristas. Con ello, se fomenta certidumbre tanto a los nuevos entrantes ya que su incursión en el mercado será en condiciones </w:t>
      </w:r>
      <w:r w:rsidRPr="00BB33CC">
        <w:lastRenderedPageBreak/>
        <w:t xml:space="preserve">equitativas, como a los concesionarios y/o autorizados que actualmente están operando. </w:t>
      </w:r>
    </w:p>
    <w:p w:rsidR="00A1321B" w:rsidRPr="00BB33CC" w:rsidRDefault="000037DC" w:rsidP="00A1321B">
      <w:pPr>
        <w:pStyle w:val="Normalresolucion"/>
      </w:pPr>
      <w:r w:rsidRPr="00BB33CC">
        <w:t>Ahora bien, l</w:t>
      </w:r>
      <w:r w:rsidR="004F4055" w:rsidRPr="00BB33CC">
        <w:t>a Resolución de 2013</w:t>
      </w:r>
      <w:r w:rsidR="00DC2F43" w:rsidRPr="00BB33CC">
        <w:t xml:space="preserve"> </w:t>
      </w:r>
      <w:r w:rsidR="00A1321B" w:rsidRPr="00BB33CC">
        <w:t xml:space="preserve">se estableció como una disposición administrativa de carácter general, aplicable a todos los concesionarios de redes públicas de telecomunicaciones que prestan uno o más de los servicios descritos en </w:t>
      </w:r>
      <w:r w:rsidR="00DC2F43" w:rsidRPr="00BB33CC">
        <w:t xml:space="preserve">dicha </w:t>
      </w:r>
      <w:r w:rsidR="002D270C" w:rsidRPr="00BB33CC">
        <w:t>r</w:t>
      </w:r>
      <w:r w:rsidR="00DC2F43" w:rsidRPr="00BB33CC">
        <w:t xml:space="preserve">esolución. </w:t>
      </w:r>
    </w:p>
    <w:p w:rsidR="00EC261B" w:rsidRPr="00BB33CC" w:rsidRDefault="00EC261B" w:rsidP="00EC261B">
      <w:pPr>
        <w:pStyle w:val="Normalresolucion"/>
        <w:spacing w:after="240"/>
      </w:pPr>
      <w:r w:rsidRPr="00BB33CC">
        <w:t xml:space="preserve">A continuación se presenta una tabla comparativa de los principios adoptados en la Resolución </w:t>
      </w:r>
      <w:r w:rsidR="00DD3ECA" w:rsidRPr="00BB33CC">
        <w:t xml:space="preserve">de </w:t>
      </w:r>
      <w:r w:rsidRPr="00BB33CC">
        <w:t>2013, los principios indicados por la U</w:t>
      </w:r>
      <w:r w:rsidR="0086665D" w:rsidRPr="00BB33CC">
        <w:t>IT</w:t>
      </w:r>
      <w:r w:rsidRPr="00BB33CC">
        <w:t xml:space="preserve"> en su guía de contabilidad regulatoria y los principios habitualmente establecidos en el contexto internacional:</w:t>
      </w:r>
    </w:p>
    <w:p w:rsidR="00EC261B" w:rsidRPr="00BB33CC" w:rsidRDefault="00EC261B" w:rsidP="00EC261B">
      <w:pPr>
        <w:pStyle w:val="Descripcin"/>
        <w:rPr>
          <w:lang w:val="es-MX"/>
        </w:rPr>
      </w:pPr>
      <w:r w:rsidRPr="00BB33CC">
        <w:rPr>
          <w:rFonts w:ascii="ITC Avant Garde" w:hAnsi="ITC Avant Garde"/>
          <w:iCs/>
          <w:sz w:val="20"/>
          <w:lang w:val="es-MX"/>
        </w:rPr>
        <w:t xml:space="preserve">Tabla </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 \* ARABIC </w:instrText>
      </w:r>
      <w:r w:rsidRPr="00BB33CC">
        <w:rPr>
          <w:rFonts w:ascii="ITC Avant Garde" w:hAnsi="ITC Avant Garde"/>
          <w:iCs/>
          <w:sz w:val="20"/>
          <w:lang w:val="es-MX"/>
        </w:rPr>
        <w:fldChar w:fldCharType="separate"/>
      </w:r>
      <w:r w:rsidR="00DE5A6A" w:rsidRPr="00BB33CC">
        <w:rPr>
          <w:rFonts w:ascii="ITC Avant Garde" w:hAnsi="ITC Avant Garde"/>
          <w:iCs/>
          <w:noProof/>
          <w:sz w:val="20"/>
          <w:lang w:val="es-MX"/>
        </w:rPr>
        <w:t>5</w:t>
      </w:r>
      <w:r w:rsidRPr="00BB33CC">
        <w:rPr>
          <w:rFonts w:ascii="ITC Avant Garde" w:hAnsi="ITC Avant Garde"/>
          <w:iCs/>
          <w:sz w:val="20"/>
          <w:lang w:val="es-MX"/>
        </w:rPr>
        <w:fldChar w:fldCharType="end"/>
      </w:r>
      <w:r w:rsidR="00DE5A6A" w:rsidRPr="00BB33CC">
        <w:rPr>
          <w:rFonts w:ascii="ITC Avant Garde" w:hAnsi="ITC Avant Garde"/>
          <w:iCs/>
          <w:sz w:val="20"/>
          <w:lang w:val="es-MX"/>
        </w:rPr>
        <w:t>.</w:t>
      </w:r>
      <w:r w:rsidRPr="00BB33CC">
        <w:rPr>
          <w:rFonts w:ascii="ITC Avant Garde" w:hAnsi="ITC Avant Garde"/>
          <w:iCs/>
          <w:sz w:val="20"/>
          <w:lang w:val="es-MX"/>
        </w:rPr>
        <w:t xml:space="preserve"> Adopción de principios de la separación contable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086"/>
        <w:gridCol w:w="1052"/>
        <w:gridCol w:w="1011"/>
        <w:gridCol w:w="1010"/>
        <w:gridCol w:w="1012"/>
        <w:gridCol w:w="1007"/>
      </w:tblGrid>
      <w:tr w:rsidR="00EC261B" w:rsidRPr="00BB33CC" w:rsidTr="00D94E19">
        <w:trPr>
          <w:trHeight w:val="340"/>
        </w:trPr>
        <w:tc>
          <w:tcPr>
            <w:tcW w:w="1433" w:type="pct"/>
            <w:shd w:val="clear" w:color="auto" w:fill="BFBFBF"/>
            <w:vAlign w:val="center"/>
            <w:hideMark/>
          </w:tcPr>
          <w:p w:rsidR="00EC261B" w:rsidRPr="00BB33CC" w:rsidRDefault="00EC261B" w:rsidP="00D94E19">
            <w:pPr>
              <w:pStyle w:val="Normalresolucion"/>
              <w:keepNext/>
              <w:spacing w:before="40" w:after="40"/>
              <w:jc w:val="center"/>
              <w:rPr>
                <w:b/>
                <w:bCs/>
                <w:sz w:val="20"/>
                <w:lang w:eastAsia="es-MX"/>
              </w:rPr>
            </w:pPr>
            <w:r w:rsidRPr="00BB33CC">
              <w:rPr>
                <w:b/>
                <w:bCs/>
                <w:sz w:val="20"/>
              </w:rPr>
              <w:t>Principios generales</w:t>
            </w:r>
          </w:p>
        </w:tc>
        <w:tc>
          <w:tcPr>
            <w:tcW w:w="613" w:type="pct"/>
            <w:shd w:val="clear" w:color="auto" w:fill="BFBFBF"/>
            <w:vAlign w:val="center"/>
            <w:hideMark/>
          </w:tcPr>
          <w:p w:rsidR="00EC261B" w:rsidRPr="00BB33CC" w:rsidRDefault="00EC261B" w:rsidP="00D94E19">
            <w:pPr>
              <w:pStyle w:val="Normalresolucion"/>
              <w:keepNext/>
              <w:spacing w:before="40" w:after="40"/>
              <w:jc w:val="center"/>
              <w:rPr>
                <w:b/>
                <w:bCs/>
                <w:sz w:val="20"/>
              </w:rPr>
            </w:pPr>
            <w:r w:rsidRPr="00BB33CC">
              <w:rPr>
                <w:b/>
                <w:bCs/>
                <w:sz w:val="20"/>
              </w:rPr>
              <w:t>México</w:t>
            </w:r>
            <w:r w:rsidRPr="00BB33CC">
              <w:rPr>
                <w:rStyle w:val="Refdenotaalpie"/>
                <w:b/>
                <w:bCs/>
                <w:sz w:val="20"/>
              </w:rPr>
              <w:footnoteReference w:id="36"/>
            </w:r>
          </w:p>
        </w:tc>
        <w:tc>
          <w:tcPr>
            <w:tcW w:w="606" w:type="pct"/>
            <w:shd w:val="clear" w:color="auto" w:fill="BFBFBF"/>
            <w:vAlign w:val="center"/>
            <w:hideMark/>
          </w:tcPr>
          <w:p w:rsidR="00EC261B" w:rsidRPr="00BB33CC" w:rsidRDefault="00EC261B" w:rsidP="00D94E19">
            <w:pPr>
              <w:pStyle w:val="Normalresolucion"/>
              <w:keepNext/>
              <w:spacing w:before="40" w:after="40"/>
              <w:jc w:val="center"/>
              <w:rPr>
                <w:b/>
                <w:bCs/>
                <w:sz w:val="20"/>
                <w:lang w:eastAsia="es-MX"/>
              </w:rPr>
            </w:pPr>
            <w:r w:rsidRPr="00BB33CC">
              <w:rPr>
                <w:b/>
                <w:bCs/>
                <w:sz w:val="20"/>
              </w:rPr>
              <w:t>América</w:t>
            </w:r>
          </w:p>
        </w:tc>
        <w:tc>
          <w:tcPr>
            <w:tcW w:w="588" w:type="pct"/>
            <w:shd w:val="clear" w:color="auto" w:fill="BFBFBF"/>
            <w:vAlign w:val="center"/>
            <w:hideMark/>
          </w:tcPr>
          <w:p w:rsidR="00EC261B" w:rsidRPr="00BB33CC" w:rsidRDefault="00EC261B" w:rsidP="00D94E19">
            <w:pPr>
              <w:pStyle w:val="Normalresolucion"/>
              <w:keepNext/>
              <w:spacing w:before="40" w:after="40"/>
              <w:jc w:val="center"/>
              <w:rPr>
                <w:b/>
                <w:bCs/>
                <w:sz w:val="20"/>
                <w:lang w:eastAsia="es-MX"/>
              </w:rPr>
            </w:pPr>
            <w:r w:rsidRPr="00BB33CC">
              <w:rPr>
                <w:b/>
                <w:bCs/>
                <w:sz w:val="20"/>
              </w:rPr>
              <w:t>Europa</w:t>
            </w:r>
          </w:p>
        </w:tc>
        <w:tc>
          <w:tcPr>
            <w:tcW w:w="587" w:type="pct"/>
            <w:shd w:val="clear" w:color="auto" w:fill="BFBFBF"/>
            <w:vAlign w:val="center"/>
            <w:hideMark/>
          </w:tcPr>
          <w:p w:rsidR="00EC261B" w:rsidRPr="00BB33CC" w:rsidRDefault="00EC261B" w:rsidP="00D94E19">
            <w:pPr>
              <w:pStyle w:val="Normalresolucion"/>
              <w:keepNext/>
              <w:spacing w:before="40" w:after="40"/>
              <w:jc w:val="center"/>
              <w:rPr>
                <w:b/>
                <w:bCs/>
                <w:sz w:val="20"/>
                <w:lang w:eastAsia="es-MX"/>
              </w:rPr>
            </w:pPr>
            <w:r w:rsidRPr="00BB33CC">
              <w:rPr>
                <w:b/>
                <w:bCs/>
                <w:sz w:val="20"/>
              </w:rPr>
              <w:t>Asia</w:t>
            </w:r>
          </w:p>
        </w:tc>
        <w:tc>
          <w:tcPr>
            <w:tcW w:w="588" w:type="pct"/>
            <w:shd w:val="clear" w:color="auto" w:fill="BFBFBF"/>
            <w:vAlign w:val="center"/>
            <w:hideMark/>
          </w:tcPr>
          <w:p w:rsidR="00EC261B" w:rsidRPr="00BB33CC" w:rsidRDefault="00EC261B" w:rsidP="00D94E19">
            <w:pPr>
              <w:pStyle w:val="Normalresolucion"/>
              <w:keepNext/>
              <w:spacing w:before="40" w:after="40"/>
              <w:jc w:val="center"/>
              <w:rPr>
                <w:b/>
                <w:bCs/>
                <w:sz w:val="20"/>
                <w:lang w:eastAsia="es-MX"/>
              </w:rPr>
            </w:pPr>
            <w:r w:rsidRPr="00BB33CC">
              <w:rPr>
                <w:b/>
                <w:bCs/>
                <w:sz w:val="20"/>
              </w:rPr>
              <w:t>UIT</w:t>
            </w:r>
          </w:p>
        </w:tc>
        <w:tc>
          <w:tcPr>
            <w:tcW w:w="585" w:type="pct"/>
            <w:shd w:val="clear" w:color="auto" w:fill="BFBFBF"/>
            <w:vAlign w:val="center"/>
            <w:hideMark/>
          </w:tcPr>
          <w:p w:rsidR="00EC261B" w:rsidRPr="00BB33CC" w:rsidRDefault="00EC261B" w:rsidP="00D94E19">
            <w:pPr>
              <w:pStyle w:val="Normalresolucion"/>
              <w:keepNext/>
              <w:spacing w:before="40" w:after="40"/>
              <w:jc w:val="center"/>
              <w:rPr>
                <w:b/>
                <w:bCs/>
                <w:sz w:val="20"/>
                <w:lang w:eastAsia="es-MX"/>
              </w:rPr>
            </w:pPr>
            <w:r w:rsidRPr="00BB33CC">
              <w:rPr>
                <w:b/>
                <w:bCs/>
                <w:sz w:val="20"/>
              </w:rPr>
              <w:t>Total</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Causalidad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20"/>
                <w:szCs w:val="18"/>
              </w:rPr>
              <w:sym w:font="Wingdings" w:char="F0FC"/>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7</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2</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4</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14/16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Consistencia</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6</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2</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4</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13/16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Objetividad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6</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2</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3</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12/16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Transparencia</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6</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3</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11/16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Auditabilidad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20"/>
                <w:szCs w:val="18"/>
              </w:rPr>
              <w:sym w:font="Wingdings" w:char="F0FC"/>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6</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9/16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Materialidad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3</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3</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7/16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No compensación</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20"/>
                <w:szCs w:val="18"/>
              </w:rPr>
              <w:sym w:font="Wingdings" w:char="F0FC"/>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4</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6/16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Conciliación</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2</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5/16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No discriminación</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20"/>
                <w:szCs w:val="18"/>
              </w:rPr>
              <w:sym w:font="Wingdings" w:char="F0FC"/>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3</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4/16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Relevancia</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2</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2</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4/16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Neutralidad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2</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4/16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Suficiencia</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2</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2</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4/16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Desagregabilidad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1</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1</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3/16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Prueba y muestreo</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18"/>
                <w:szCs w:val="18"/>
              </w:rPr>
              <w:t>X</w:t>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2</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2/16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Flexibilidad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20"/>
                <w:szCs w:val="18"/>
              </w:rPr>
              <w:sym w:font="Wingdings" w:char="F0FC"/>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1</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1/16</w:t>
            </w:r>
          </w:p>
        </w:tc>
      </w:tr>
      <w:tr w:rsidR="00EC261B" w:rsidRPr="00BB33CC" w:rsidTr="00D94E19">
        <w:trPr>
          <w:trHeight w:val="397"/>
        </w:trPr>
        <w:tc>
          <w:tcPr>
            <w:tcW w:w="1433" w:type="pct"/>
            <w:shd w:val="clear" w:color="auto" w:fill="F2F2F2" w:themeFill="background1" w:themeFillShade="F2"/>
            <w:vAlign w:val="center"/>
            <w:hideMark/>
          </w:tcPr>
          <w:p w:rsidR="00EC261B" w:rsidRPr="00BB33CC" w:rsidRDefault="00EC261B" w:rsidP="00D94E19">
            <w:pPr>
              <w:pStyle w:val="Normalresolucion"/>
              <w:keepNext/>
              <w:spacing w:before="40" w:after="40"/>
              <w:jc w:val="left"/>
              <w:rPr>
                <w:b/>
                <w:sz w:val="20"/>
                <w:lang w:eastAsia="es-MX"/>
              </w:rPr>
            </w:pPr>
            <w:r w:rsidRPr="00BB33CC">
              <w:rPr>
                <w:b/>
                <w:sz w:val="20"/>
              </w:rPr>
              <w:t>Adaptabilidad</w:t>
            </w:r>
          </w:p>
        </w:tc>
        <w:tc>
          <w:tcPr>
            <w:tcW w:w="613" w:type="pct"/>
            <w:noWrap/>
            <w:vAlign w:val="center"/>
            <w:hideMark/>
          </w:tcPr>
          <w:p w:rsidR="00EC261B" w:rsidRPr="00BB33CC" w:rsidRDefault="00EC261B" w:rsidP="00D94E19">
            <w:pPr>
              <w:pStyle w:val="Normalresolucion"/>
              <w:keepNext/>
              <w:spacing w:before="40" w:after="40"/>
              <w:jc w:val="center"/>
              <w:rPr>
                <w:bCs/>
                <w:sz w:val="18"/>
                <w:szCs w:val="18"/>
                <w:lang w:eastAsia="es-MX"/>
              </w:rPr>
            </w:pPr>
            <w:r w:rsidRPr="00BB33CC">
              <w:rPr>
                <w:bCs/>
                <w:sz w:val="20"/>
                <w:szCs w:val="18"/>
              </w:rPr>
              <w:sym w:font="Wingdings" w:char="F0FC"/>
            </w:r>
          </w:p>
        </w:tc>
        <w:tc>
          <w:tcPr>
            <w:tcW w:w="606" w:type="pct"/>
            <w:noWrap/>
            <w:vAlign w:val="center"/>
            <w:hideMark/>
          </w:tcPr>
          <w:p w:rsidR="00EC261B" w:rsidRPr="00BB33CC" w:rsidRDefault="00EC261B" w:rsidP="00D94E19">
            <w:pPr>
              <w:pStyle w:val="Normalresolucion"/>
              <w:keepNext/>
              <w:spacing w:before="40" w:after="40"/>
              <w:jc w:val="center"/>
              <w:rPr>
                <w:bCs/>
                <w:sz w:val="20"/>
                <w:szCs w:val="20"/>
                <w:lang w:eastAsia="es-MX"/>
              </w:rPr>
            </w:pPr>
            <w:r w:rsidRPr="00BB33CC">
              <w:rPr>
                <w:bCs/>
                <w:sz w:val="20"/>
              </w:rPr>
              <w:t>1</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7"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8" w:type="pct"/>
            <w:noWrap/>
            <w:vAlign w:val="center"/>
            <w:hideMark/>
          </w:tcPr>
          <w:p w:rsidR="00EC261B" w:rsidRPr="00BB33CC" w:rsidRDefault="00EC261B" w:rsidP="00D94E19">
            <w:pPr>
              <w:pStyle w:val="Normalresolucion"/>
              <w:keepNext/>
              <w:spacing w:before="40" w:after="40"/>
              <w:jc w:val="center"/>
              <w:rPr>
                <w:bCs/>
                <w:sz w:val="20"/>
                <w:lang w:eastAsia="es-MX"/>
              </w:rPr>
            </w:pPr>
            <w:r w:rsidRPr="00BB33CC">
              <w:rPr>
                <w:bCs/>
                <w:sz w:val="20"/>
              </w:rPr>
              <w:t>-</w:t>
            </w:r>
          </w:p>
        </w:tc>
        <w:tc>
          <w:tcPr>
            <w:tcW w:w="585" w:type="pct"/>
            <w:noWrap/>
            <w:vAlign w:val="center"/>
            <w:hideMark/>
          </w:tcPr>
          <w:p w:rsidR="00EC261B" w:rsidRPr="00BB33CC" w:rsidRDefault="00EC261B" w:rsidP="00D94E19">
            <w:pPr>
              <w:pStyle w:val="Normalresolucion"/>
              <w:keepNext/>
              <w:spacing w:before="40" w:after="40"/>
              <w:jc w:val="center"/>
              <w:rPr>
                <w:b/>
                <w:sz w:val="20"/>
                <w:lang w:eastAsia="es-MX"/>
              </w:rPr>
            </w:pPr>
            <w:r w:rsidRPr="00BB33CC">
              <w:rPr>
                <w:b/>
                <w:sz w:val="20"/>
              </w:rPr>
              <w:t>1/16</w:t>
            </w:r>
          </w:p>
        </w:tc>
      </w:tr>
    </w:tbl>
    <w:p w:rsidR="00EC261B" w:rsidRPr="00BB33CC" w:rsidRDefault="00EC261B" w:rsidP="00EC261B">
      <w:pPr>
        <w:pStyle w:val="Normalresolucion"/>
        <w:spacing w:before="0"/>
        <w:jc w:val="right"/>
        <w:rPr>
          <w:lang w:val="en-GB"/>
        </w:rPr>
      </w:pPr>
      <w:r w:rsidRPr="00BB33CC">
        <w:rPr>
          <w:iCs/>
          <w:sz w:val="20"/>
          <w:lang w:val="en-GB"/>
        </w:rPr>
        <w:t xml:space="preserve">Fuente: </w:t>
      </w:r>
      <w:r w:rsidR="002F6458" w:rsidRPr="00BB33CC">
        <w:rPr>
          <w:iCs/>
          <w:sz w:val="20"/>
          <w:lang w:val="en-GB"/>
        </w:rPr>
        <w:t>Axon</w:t>
      </w:r>
      <w:r w:rsidR="002F6458" w:rsidRPr="00BB33CC" w:rsidDel="002F6458">
        <w:rPr>
          <w:iCs/>
          <w:sz w:val="20"/>
          <w:lang w:val="en-GB"/>
        </w:rPr>
        <w:t xml:space="preserve"> </w:t>
      </w:r>
      <w:r w:rsidR="005A4121" w:rsidRPr="00BB33CC">
        <w:rPr>
          <w:sz w:val="20"/>
          <w:lang w:val="en-GB"/>
        </w:rPr>
        <w:t>Partners Group Consulting</w:t>
      </w:r>
      <w:r w:rsidR="005A4121" w:rsidRPr="00BB33CC" w:rsidDel="002F6458">
        <w:rPr>
          <w:iCs/>
          <w:sz w:val="20"/>
          <w:lang w:val="en-GB"/>
        </w:rPr>
        <w:t xml:space="preserve"> </w:t>
      </w:r>
      <w:r w:rsidRPr="00BB33CC">
        <w:rPr>
          <w:iCs/>
          <w:sz w:val="20"/>
          <w:lang w:val="en-GB"/>
        </w:rPr>
        <w:t>.</w:t>
      </w:r>
    </w:p>
    <w:p w:rsidR="00EC261B" w:rsidRPr="00BB33CC" w:rsidRDefault="00EC261B" w:rsidP="00A1321B">
      <w:pPr>
        <w:pStyle w:val="Normalresolucion"/>
        <w:rPr>
          <w:lang w:val="en-GB"/>
        </w:rPr>
      </w:pPr>
    </w:p>
    <w:p w:rsidR="00A1321B" w:rsidRPr="00BB33CC" w:rsidRDefault="00A1321B" w:rsidP="00A1321B">
      <w:pPr>
        <w:pStyle w:val="Normalresolucion"/>
      </w:pPr>
      <w:r w:rsidRPr="00BB33CC">
        <w:lastRenderedPageBreak/>
        <w:t>Con la publicación tanto del Decreto, como de la L</w:t>
      </w:r>
      <w:r w:rsidR="001A3BC6" w:rsidRPr="00BB33CC">
        <w:t>FTR</w:t>
      </w:r>
      <w:r w:rsidRPr="00BB33CC">
        <w:t xml:space="preserve"> y de la Ley Federal de Competencia Económica en 2014, se modificó significativamente el marco regulatorio de</w:t>
      </w:r>
      <w:r w:rsidR="001A3BC6" w:rsidRPr="00BB33CC">
        <w:t xml:space="preserve"> </w:t>
      </w:r>
      <w:r w:rsidRPr="00BB33CC">
        <w:t>l</w:t>
      </w:r>
      <w:r w:rsidR="001A3BC6" w:rsidRPr="00BB33CC">
        <w:t>os</w:t>
      </w:r>
      <w:r w:rsidRPr="00BB33CC">
        <w:t xml:space="preserve"> sector</w:t>
      </w:r>
      <w:r w:rsidR="001A3BC6" w:rsidRPr="00BB33CC">
        <w:t>es de</w:t>
      </w:r>
      <w:r w:rsidRPr="00BB33CC">
        <w:t xml:space="preserve"> telecomunicaciones y radiodifusión, </w:t>
      </w:r>
      <w:r w:rsidR="00070B6E" w:rsidRPr="00BB33CC">
        <w:t xml:space="preserve">por </w:t>
      </w:r>
      <w:r w:rsidRPr="00BB33CC">
        <w:t xml:space="preserve">lo cual resulta necesario actualizar la metodología de separación contable para asegurar consistencia con las nuevas disposiciones legales y regulatorias, en particular aquellas relacionadas con el uso intensivo de información por parte </w:t>
      </w:r>
      <w:r w:rsidR="001A5DBE" w:rsidRPr="00BB33CC">
        <w:t xml:space="preserve">del </w:t>
      </w:r>
      <w:r w:rsidR="007006B0" w:rsidRPr="00BB33CC">
        <w:t>Instituto</w:t>
      </w:r>
      <w:r w:rsidRPr="00BB33CC">
        <w:t>.</w:t>
      </w:r>
    </w:p>
    <w:p w:rsidR="0080559F" w:rsidRPr="00BB33CC" w:rsidRDefault="00E20A4F" w:rsidP="00A1321B">
      <w:pPr>
        <w:pStyle w:val="Normalresolucion"/>
      </w:pPr>
      <w:r w:rsidRPr="00BB33CC">
        <w:t>En este sentido, e</w:t>
      </w:r>
      <w:r w:rsidR="00134196" w:rsidRPr="00BB33CC">
        <w:t xml:space="preserve">l marco legal vigente estableció nuevas figuras regulatorias tales como los </w:t>
      </w:r>
      <w:r w:rsidR="0069733F" w:rsidRPr="00BB33CC">
        <w:t xml:space="preserve">agentes económicos preponderantes </w:t>
      </w:r>
      <w:r w:rsidR="00134196" w:rsidRPr="00BB33CC">
        <w:t xml:space="preserve">y las </w:t>
      </w:r>
      <w:r w:rsidR="00A43B50" w:rsidRPr="00BB33CC">
        <w:t>redes compartidas mayoristas</w:t>
      </w:r>
      <w:r w:rsidR="00134196" w:rsidRPr="00BB33CC">
        <w:t>, a l</w:t>
      </w:r>
      <w:r w:rsidR="00200C54" w:rsidRPr="00BB33CC">
        <w:t>a</w:t>
      </w:r>
      <w:r w:rsidR="00134196" w:rsidRPr="00BB33CC">
        <w:t>s cuales se le</w:t>
      </w:r>
      <w:r w:rsidR="0052473B" w:rsidRPr="00BB33CC">
        <w:t>s</w:t>
      </w:r>
      <w:r w:rsidR="00134196" w:rsidRPr="00BB33CC">
        <w:t xml:space="preserve"> han establec</w:t>
      </w:r>
      <w:r w:rsidR="0052473B" w:rsidRPr="00BB33CC">
        <w:t>ido obligaciones fundamentadas en la LFTR</w:t>
      </w:r>
      <w:r w:rsidR="00134196" w:rsidRPr="00BB33CC">
        <w:t xml:space="preserve">, así como en </w:t>
      </w:r>
      <w:r w:rsidR="001C2C59" w:rsidRPr="00BB33CC">
        <w:t xml:space="preserve">las </w:t>
      </w:r>
      <w:r w:rsidR="00134196" w:rsidRPr="00BB33CC">
        <w:t>disposiciones regulatorias</w:t>
      </w:r>
      <w:r w:rsidR="001C2C59" w:rsidRPr="00BB33CC">
        <w:t xml:space="preserve"> emitidas por el Instituto</w:t>
      </w:r>
      <w:r w:rsidR="00134196" w:rsidRPr="00BB33CC">
        <w:t>.</w:t>
      </w:r>
      <w:r w:rsidR="001C2C59" w:rsidRPr="00BB33CC">
        <w:t xml:space="preserve"> Con ello se hace necesario que el Instituto disponga de </w:t>
      </w:r>
      <w:r w:rsidR="008B2863" w:rsidRPr="00BB33CC">
        <w:t xml:space="preserve">toda la </w:t>
      </w:r>
      <w:r w:rsidR="001C2C59" w:rsidRPr="00BB33CC">
        <w:t>información que permita asegurar el cumplimiento de</w:t>
      </w:r>
      <w:r w:rsidR="00200C54" w:rsidRPr="00BB33CC">
        <w:t xml:space="preserve"> </w:t>
      </w:r>
      <w:r w:rsidR="001C2C59" w:rsidRPr="00BB33CC">
        <w:t>l</w:t>
      </w:r>
      <w:r w:rsidR="00200C54" w:rsidRPr="00BB33CC">
        <w:t>o</w:t>
      </w:r>
      <w:r w:rsidR="001C2C59" w:rsidRPr="00BB33CC">
        <w:t xml:space="preserve"> </w:t>
      </w:r>
      <w:r w:rsidR="001E1D84" w:rsidRPr="00BB33CC">
        <w:t>establecido en la LFTR</w:t>
      </w:r>
      <w:r w:rsidR="006C6527" w:rsidRPr="00BB33CC">
        <w:t xml:space="preserve"> y demás disposiciones aplicables</w:t>
      </w:r>
      <w:r w:rsidR="001C2C59" w:rsidRPr="00BB33CC">
        <w:t>.</w:t>
      </w:r>
      <w:r w:rsidR="008B2863" w:rsidRPr="00BB33CC">
        <w:t xml:space="preserve"> </w:t>
      </w:r>
    </w:p>
    <w:p w:rsidR="00984AA4" w:rsidRPr="00BB33CC" w:rsidRDefault="009301A1" w:rsidP="001F44FF">
      <w:pPr>
        <w:pStyle w:val="Ttulo2"/>
        <w:numPr>
          <w:ilvl w:val="0"/>
          <w:numId w:val="275"/>
        </w:numPr>
        <w:rPr>
          <w:b w:val="0"/>
        </w:rPr>
      </w:pPr>
      <w:r w:rsidRPr="00BB33CC">
        <w:t>S</w:t>
      </w:r>
      <w:r w:rsidR="005D2589" w:rsidRPr="00BB33CC">
        <w:t xml:space="preserve">eparación contable de los </w:t>
      </w:r>
      <w:r w:rsidRPr="00BB33CC">
        <w:t xml:space="preserve">agentes económicos preponderantes </w:t>
      </w:r>
      <w:r w:rsidR="00984AA4" w:rsidRPr="00BB33CC">
        <w:t>y agentes declarados con poder sustancial de mercado</w:t>
      </w:r>
    </w:p>
    <w:p w:rsidR="00D1682A" w:rsidRPr="00BB33CC" w:rsidRDefault="00D1682A" w:rsidP="00D1682A">
      <w:pPr>
        <w:pStyle w:val="Normalresolucion"/>
      </w:pPr>
      <w:r w:rsidRPr="00BB33CC">
        <w:t xml:space="preserve">En el marco </w:t>
      </w:r>
      <w:r w:rsidR="00070B6E" w:rsidRPr="00BB33CC">
        <w:t>jurídico</w:t>
      </w:r>
      <w:r w:rsidRPr="00BB33CC">
        <w:t xml:space="preserve"> establecido a partir de la reforma constitucional en materia de telecomunicaciones, </w:t>
      </w:r>
      <w:r w:rsidR="00FA389B" w:rsidRPr="00BB33CC">
        <w:t>destaca</w:t>
      </w:r>
      <w:r w:rsidRPr="00BB33CC">
        <w:t xml:space="preserve"> la figura de los </w:t>
      </w:r>
      <w:r w:rsidR="00612FB6" w:rsidRPr="00BB33CC">
        <w:t>agentes económicos preponderantes</w:t>
      </w:r>
      <w:r w:rsidRPr="00BB33CC">
        <w:t>, prevista en la fracción III del artículo Octavo Transitorio del Decreto, y en el Capítulo I del Título Décimo Segundo de la L</w:t>
      </w:r>
      <w:r w:rsidR="0052473B" w:rsidRPr="00BB33CC">
        <w:t>FTR</w:t>
      </w:r>
      <w:r w:rsidR="00772749" w:rsidRPr="00BB33CC">
        <w:t>.</w:t>
      </w:r>
      <w:r w:rsidRPr="00BB33CC">
        <w:t xml:space="preserve"> </w:t>
      </w:r>
      <w:r w:rsidR="00DE5A6A" w:rsidRPr="00BB33CC">
        <w:t>Dichos agentes s</w:t>
      </w:r>
      <w:r w:rsidR="00A5452B" w:rsidRPr="00BB33CC">
        <w:t>on</w:t>
      </w:r>
      <w:r w:rsidRPr="00BB33CC">
        <w:t xml:space="preserve"> declarados a partir de su participación nacional en la prestación de los servicios de radiodifusión o telecomunicaciones, </w:t>
      </w:r>
      <w:r w:rsidR="00A5452B" w:rsidRPr="00BB33CC">
        <w:t xml:space="preserve">es decir, </w:t>
      </w:r>
      <w:r w:rsidRPr="00BB33CC">
        <w:t xml:space="preserve">por contar directa o indirectamente, con una participación nacional mayor al cincuenta por ciento, medido ya sea por el número de usuarios, suscriptores, audiencia, por el tráfico en sus redes o por la capacidad utilizada de las mismas. </w:t>
      </w:r>
    </w:p>
    <w:p w:rsidR="00A1321B" w:rsidRPr="00BB33CC" w:rsidRDefault="00A1321B" w:rsidP="00A1321B">
      <w:pPr>
        <w:pStyle w:val="Normalresolucion"/>
      </w:pPr>
      <w:r w:rsidRPr="00BB33CC">
        <w:t xml:space="preserve">Otro de los aspectos que resalta de la reforma es que se facultó al Instituto como la autoridad en materia de competencia económica de los sectores de radiodifusión y telecomunicaciones, por lo que ejerce en forma exclusiva las facultades previstas en el artículo 28 de la Constitución y </w:t>
      </w:r>
      <w:r w:rsidR="006C6527" w:rsidRPr="00BB33CC">
        <w:t xml:space="preserve">en </w:t>
      </w:r>
      <w:r w:rsidRPr="00BB33CC">
        <w:t xml:space="preserve">las </w:t>
      </w:r>
      <w:r w:rsidR="00D8729C" w:rsidRPr="00BB33CC">
        <w:t xml:space="preserve">que las </w:t>
      </w:r>
      <w:r w:rsidRPr="00BB33CC">
        <w:t>leyes establec</w:t>
      </w:r>
      <w:r w:rsidR="00D8729C" w:rsidRPr="00BB33CC">
        <w:t>en</w:t>
      </w:r>
      <w:r w:rsidRPr="00BB33CC">
        <w:t xml:space="preserve"> para la Comisión Federal de Competencia Económica. De esta manera, el Instituto puede determinar la existencia de agentes con poder sustancial en cualquier mercado relevante de los sectores de radiodifusión y telecomunicaciones.</w:t>
      </w:r>
    </w:p>
    <w:p w:rsidR="00A1321B" w:rsidRPr="00BB33CC" w:rsidRDefault="00A1321B" w:rsidP="00A1321B">
      <w:pPr>
        <w:pStyle w:val="Normalresolucion"/>
      </w:pPr>
      <w:r w:rsidRPr="00BB33CC">
        <w:t xml:space="preserve">En ambos casos, tanto para los </w:t>
      </w:r>
      <w:r w:rsidR="00612FB6" w:rsidRPr="00BB33CC">
        <w:t xml:space="preserve">agentes económicos preponderantes </w:t>
      </w:r>
      <w:r w:rsidRPr="00BB33CC">
        <w:t>como para los agentes con poder sustancial de mercado, el supuesto legal se actualiza mediante una declaratoria a través de procedimientos establecidos en la propia L</w:t>
      </w:r>
      <w:r w:rsidR="00942F12" w:rsidRPr="00BB33CC">
        <w:t>FTR</w:t>
      </w:r>
      <w:r w:rsidR="00A5452B" w:rsidRPr="00BB33CC">
        <w:t xml:space="preserve"> y </w:t>
      </w:r>
      <w:r w:rsidR="006C6527" w:rsidRPr="00BB33CC">
        <w:t xml:space="preserve">en </w:t>
      </w:r>
      <w:r w:rsidR="00A5452B" w:rsidRPr="00BB33CC">
        <w:t>la Ley Federal de Competencia Económica</w:t>
      </w:r>
      <w:r w:rsidR="00070B6E" w:rsidRPr="00BB33CC">
        <w:t>, respectivamente</w:t>
      </w:r>
      <w:r w:rsidRPr="00BB33CC">
        <w:t>.</w:t>
      </w:r>
    </w:p>
    <w:p w:rsidR="005D2589" w:rsidRPr="00BB33CC" w:rsidRDefault="00AF2982" w:rsidP="005D2589">
      <w:pPr>
        <w:pStyle w:val="Normalresolucion"/>
      </w:pPr>
      <w:r w:rsidRPr="00BB33CC">
        <w:t>Ahora bien, r</w:t>
      </w:r>
      <w:r w:rsidR="005D2589" w:rsidRPr="00BB33CC">
        <w:t xml:space="preserve">esulta indispensable revisar que la conducta de </w:t>
      </w:r>
      <w:r w:rsidR="00612FB6" w:rsidRPr="00BB33CC">
        <w:t xml:space="preserve">los agentes económicos preponderantes </w:t>
      </w:r>
      <w:r w:rsidR="005D2589" w:rsidRPr="00BB33CC">
        <w:t>y agentes económicos con poder sustancial</w:t>
      </w:r>
      <w:r w:rsidR="006C6527" w:rsidRPr="00BB33CC">
        <w:t xml:space="preserve"> de mercado</w:t>
      </w:r>
      <w:r w:rsidR="005D2589" w:rsidRPr="00BB33CC">
        <w:t>, no tenga efectos adversos en el proceso de competencia y libre concurrencia.</w:t>
      </w:r>
      <w:r w:rsidR="006C6527" w:rsidRPr="00BB33CC">
        <w:t xml:space="preserve"> </w:t>
      </w:r>
      <w:r w:rsidR="00403A35" w:rsidRPr="00BB33CC">
        <w:t>Es por esta razón que la</w:t>
      </w:r>
      <w:r w:rsidR="005D2589" w:rsidRPr="00BB33CC">
        <w:t xml:space="preserve"> utilidad de la separación contable</w:t>
      </w:r>
      <w:r w:rsidR="00AF586B" w:rsidRPr="00BB33CC">
        <w:t xml:space="preserve"> </w:t>
      </w:r>
      <w:r w:rsidR="006C6527" w:rsidRPr="00BB33CC">
        <w:t>para dichos</w:t>
      </w:r>
      <w:r w:rsidR="00AF586B" w:rsidRPr="00BB33CC">
        <w:t xml:space="preserve"> </w:t>
      </w:r>
      <w:r w:rsidR="00612FB6" w:rsidRPr="00BB33CC">
        <w:t xml:space="preserve">agentes económicos </w:t>
      </w:r>
      <w:r w:rsidR="005153FA" w:rsidRPr="00BB33CC">
        <w:t>tiene los siguientes beneficios</w:t>
      </w:r>
      <w:r w:rsidR="005D2589" w:rsidRPr="00BB33CC">
        <w:t>:</w:t>
      </w:r>
    </w:p>
    <w:p w:rsidR="00A86459" w:rsidRDefault="001A481B">
      <w:pPr>
        <w:pStyle w:val="Indentadoresolucin"/>
      </w:pPr>
      <w:r w:rsidRPr="00BB33CC">
        <w:rPr>
          <w:u w:val="single"/>
        </w:rPr>
        <w:lastRenderedPageBreak/>
        <w:t>I</w:t>
      </w:r>
      <w:r w:rsidR="00A86459" w:rsidRPr="00BB33CC">
        <w:rPr>
          <w:u w:val="single"/>
        </w:rPr>
        <w:t>dentificar potenciales comportamientos anticompetitivos</w:t>
      </w:r>
      <w:r w:rsidR="00A86459" w:rsidRPr="00BB33CC">
        <w:t>. La información de separación contable p</w:t>
      </w:r>
      <w:r w:rsidR="00B60AB6" w:rsidRPr="00BB33CC">
        <w:t>odrá</w:t>
      </w:r>
      <w:r w:rsidR="00A86459" w:rsidRPr="00BB33CC">
        <w:t xml:space="preserve"> utilizarse como insumo para l</w:t>
      </w:r>
      <w:r w:rsidR="00065488" w:rsidRPr="00BB33CC">
        <w:t xml:space="preserve">os </w:t>
      </w:r>
      <w:r w:rsidR="00A86459" w:rsidRPr="00BB33CC">
        <w:t xml:space="preserve">procesos regulatorios que permitan identificar o evaluar prácticas anticompetitivas en el mercado, tal y como estrechamiento de márgenes o </w:t>
      </w:r>
      <w:r w:rsidR="00895602">
        <w:t xml:space="preserve">depredación de </w:t>
      </w:r>
      <w:r w:rsidR="00A86459" w:rsidRPr="00BB33CC">
        <w:t>precios, entre otras previstas en la legislación vigente.</w:t>
      </w:r>
    </w:p>
    <w:p w:rsidR="00895602" w:rsidRPr="00BB33CC" w:rsidRDefault="00895602">
      <w:pPr>
        <w:pStyle w:val="Indentadoresolucin"/>
      </w:pPr>
      <w:r>
        <w:rPr>
          <w:u w:val="single"/>
        </w:rPr>
        <w:t>Identificar potencial trato discriminatorio</w:t>
      </w:r>
      <w:r w:rsidRPr="00B46D5C">
        <w:t>.</w:t>
      </w:r>
      <w:r>
        <w:t xml:space="preserve"> Coadyuvar en el monitoreo de las obligaciones regulatorias de no discriminación.</w:t>
      </w:r>
    </w:p>
    <w:p w:rsidR="005D2589" w:rsidRPr="00BB33CC" w:rsidRDefault="00B60AB6" w:rsidP="0016107C">
      <w:pPr>
        <w:pStyle w:val="Indentadoresolucin"/>
      </w:pPr>
      <w:r w:rsidRPr="00BB33CC">
        <w:rPr>
          <w:u w:val="single"/>
        </w:rPr>
        <w:t>Otorga</w:t>
      </w:r>
      <w:r w:rsidR="001A481B" w:rsidRPr="00BB33CC">
        <w:rPr>
          <w:u w:val="single"/>
        </w:rPr>
        <w:t>r</w:t>
      </w:r>
      <w:r w:rsidRPr="00BB33CC">
        <w:rPr>
          <w:u w:val="single"/>
        </w:rPr>
        <w:t xml:space="preserve"> c</w:t>
      </w:r>
      <w:r w:rsidR="00D508C0" w:rsidRPr="00BB33CC">
        <w:rPr>
          <w:u w:val="single"/>
        </w:rPr>
        <w:t>ertidumbre</w:t>
      </w:r>
      <w:r w:rsidR="005D2589" w:rsidRPr="00BB33CC">
        <w:rPr>
          <w:u w:val="single"/>
        </w:rPr>
        <w:t xml:space="preserve"> jurídica</w:t>
      </w:r>
      <w:r w:rsidR="005D2589" w:rsidRPr="00BB33CC">
        <w:t xml:space="preserve">. </w:t>
      </w:r>
      <w:r w:rsidR="002B5EE8" w:rsidRPr="00BB33CC">
        <w:t xml:space="preserve">La disponibilidad de una metodología </w:t>
      </w:r>
      <w:r w:rsidR="00FA389B" w:rsidRPr="00BB33CC">
        <w:t>y criterios definidos para</w:t>
      </w:r>
      <w:r w:rsidR="002B5EE8" w:rsidRPr="00BB33CC">
        <w:t xml:space="preserve"> la integración y organización de la información de separación contable </w:t>
      </w:r>
      <w:r w:rsidR="00D508C0" w:rsidRPr="00BB33CC">
        <w:t>permite otorgar certeza jurídica a los sujetos obligados a entregar dicha información al Instituto.</w:t>
      </w:r>
    </w:p>
    <w:p w:rsidR="009C1167" w:rsidRPr="00BB33CC" w:rsidRDefault="001A481B">
      <w:pPr>
        <w:pStyle w:val="Indentadoresolucin"/>
        <w:rPr>
          <w:rStyle w:val="Refdecomentario"/>
          <w:sz w:val="22"/>
          <w:szCs w:val="22"/>
        </w:rPr>
      </w:pPr>
      <w:r w:rsidRPr="00BB33CC">
        <w:rPr>
          <w:u w:val="single"/>
        </w:rPr>
        <w:t>G</w:t>
      </w:r>
      <w:r w:rsidR="005D2589" w:rsidRPr="00BB33CC">
        <w:rPr>
          <w:u w:val="single"/>
        </w:rPr>
        <w:t>arantizar la transparencia</w:t>
      </w:r>
      <w:r w:rsidR="005D2589" w:rsidRPr="00BB33CC">
        <w:t>. Los resultados de la separación contable permit</w:t>
      </w:r>
      <w:r w:rsidR="00FA389B" w:rsidRPr="00BB33CC">
        <w:t>e</w:t>
      </w:r>
      <w:r w:rsidR="00403A35" w:rsidRPr="00BB33CC">
        <w:t>n</w:t>
      </w:r>
      <w:r w:rsidR="005D2589" w:rsidRPr="00BB33CC">
        <w:t xml:space="preserve"> evaluar el desempeño de los operadores por servicio o categorías de servicio bajo las condiciones actuales del mercado.</w:t>
      </w:r>
    </w:p>
    <w:p w:rsidR="00265F2C" w:rsidRPr="00BB33CC" w:rsidRDefault="00641B01">
      <w:pPr>
        <w:pStyle w:val="Indentadoresolucin"/>
      </w:pPr>
      <w:r w:rsidRPr="00BB33CC">
        <w:rPr>
          <w:u w:val="single"/>
        </w:rPr>
        <w:t>Brindar</w:t>
      </w:r>
      <w:r w:rsidR="00265F2C" w:rsidRPr="00BB33CC">
        <w:rPr>
          <w:u w:val="single"/>
        </w:rPr>
        <w:t xml:space="preserve"> soporte en el control de precios</w:t>
      </w:r>
      <w:r w:rsidR="00265F2C" w:rsidRPr="00BB33CC">
        <w:t xml:space="preserve">. </w:t>
      </w:r>
      <w:r w:rsidR="00801E38" w:rsidRPr="00BB33CC">
        <w:t>Por un lado, l</w:t>
      </w:r>
      <w:r w:rsidR="00265F2C" w:rsidRPr="00BB33CC">
        <w:t xml:space="preserve">a información de separación contable permitirá contrastar la información utilizada en los modelos de costos para la prestación de servicios mayoristas. Lo anterior, debido a que el Instituto emplea habitualmente modelos de costos, los cuales además de un proceso complejo de implementación, requieren de información exhaustiva de los operadores para garantizar su robustez en la fijación de precios de los servicios mayoristas. </w:t>
      </w:r>
    </w:p>
    <w:p w:rsidR="00265F2C" w:rsidRPr="00BB33CC" w:rsidRDefault="00801E38" w:rsidP="00FE1C2B">
      <w:pPr>
        <w:pStyle w:val="Indentadoresolucin"/>
        <w:numPr>
          <w:ilvl w:val="0"/>
          <w:numId w:val="0"/>
        </w:numPr>
        <w:ind w:left="928"/>
      </w:pPr>
      <w:r w:rsidRPr="00BB33CC">
        <w:t>Por otro lado, l</w:t>
      </w:r>
      <w:r w:rsidR="00265F2C" w:rsidRPr="00BB33CC">
        <w:t xml:space="preserve">a información de separación contable </w:t>
      </w:r>
      <w:r w:rsidRPr="00BB33CC">
        <w:t xml:space="preserve">también </w:t>
      </w:r>
      <w:r w:rsidR="00265F2C" w:rsidRPr="00BB33CC">
        <w:t xml:space="preserve">permitirá complementar la información necesaria para establecer los controles de precios </w:t>
      </w:r>
      <w:r w:rsidRPr="00BB33CC">
        <w:t xml:space="preserve">de servicios minoristas </w:t>
      </w:r>
      <w:r w:rsidR="00265F2C" w:rsidRPr="00BB33CC">
        <w:t xml:space="preserve">que se hayan impuesto </w:t>
      </w:r>
      <w:r w:rsidR="00116FBB" w:rsidRPr="00BB33CC">
        <w:t>a los operadores</w:t>
      </w:r>
      <w:r w:rsidRPr="00BB33CC">
        <w:t xml:space="preserve"> regulados</w:t>
      </w:r>
      <w:r w:rsidR="00265F2C" w:rsidRPr="00BB33CC">
        <w:t xml:space="preserve">, </w:t>
      </w:r>
      <w:r w:rsidR="00116FBB" w:rsidRPr="00BB33CC">
        <w:t>y fortalecerá</w:t>
      </w:r>
      <w:r w:rsidR="00265F2C" w:rsidRPr="00BB33CC">
        <w:t xml:space="preserve"> la robustez y calidad de los insumos empleados. </w:t>
      </w:r>
      <w:r w:rsidR="00116FBB" w:rsidRPr="00BB33CC">
        <w:t>Esto</w:t>
      </w:r>
      <w:r w:rsidR="00265F2C" w:rsidRPr="00BB33CC">
        <w:t xml:space="preserve"> debido a que este tipo de </w:t>
      </w:r>
      <w:r w:rsidR="00116FBB" w:rsidRPr="00BB33CC">
        <w:t xml:space="preserve">disposiciones regulatorias </w:t>
      </w:r>
      <w:r w:rsidR="00265F2C" w:rsidRPr="00BB33CC">
        <w:t>requiere</w:t>
      </w:r>
      <w:r w:rsidR="00116FBB" w:rsidRPr="00BB33CC">
        <w:t>n</w:t>
      </w:r>
      <w:r w:rsidR="00265F2C" w:rsidRPr="00BB33CC">
        <w:t xml:space="preserve"> de información relacionada con ingresos por servicio, volúmenes por servicio, así como </w:t>
      </w:r>
      <w:r w:rsidR="00116FBB" w:rsidRPr="00BB33CC">
        <w:t>aquella</w:t>
      </w:r>
      <w:r w:rsidR="00265F2C" w:rsidRPr="00BB33CC">
        <w:t xml:space="preserve"> relacionada con el capital y mano de obra de los operadores regulados.</w:t>
      </w:r>
    </w:p>
    <w:p w:rsidR="009C7816" w:rsidRPr="00BB33CC" w:rsidRDefault="00340E8D" w:rsidP="00776A41">
      <w:pPr>
        <w:pStyle w:val="Indentadoresolucin"/>
        <w:numPr>
          <w:ilvl w:val="0"/>
          <w:numId w:val="0"/>
        </w:numPr>
        <w:ind w:left="928"/>
      </w:pPr>
      <w:r w:rsidRPr="00BB33CC">
        <w:t>Adicionalmente, l</w:t>
      </w:r>
      <w:r w:rsidR="00265F2C" w:rsidRPr="00BB33CC">
        <w:t>a información generada por la separación contable podrá ser un insumo para el análisis y retroalimentación de la información necesaria para corroborar la replicabilidad económica conforme a la naturaleza operativa de los operadores.</w:t>
      </w:r>
    </w:p>
    <w:p w:rsidR="00984AA4" w:rsidRPr="00BB33CC" w:rsidRDefault="00612FB6" w:rsidP="00FE1C2B">
      <w:pPr>
        <w:pStyle w:val="Ttulo2"/>
        <w:numPr>
          <w:ilvl w:val="0"/>
          <w:numId w:val="275"/>
        </w:numPr>
      </w:pPr>
      <w:r w:rsidRPr="00BB33CC">
        <w:t>S</w:t>
      </w:r>
      <w:r w:rsidR="005D2589" w:rsidRPr="00BB33CC">
        <w:t xml:space="preserve">eparación contable de las </w:t>
      </w:r>
      <w:r w:rsidR="00942F12" w:rsidRPr="00BB33CC">
        <w:t>redes compartidas mayoristas</w:t>
      </w:r>
    </w:p>
    <w:p w:rsidR="00E919F1" w:rsidRPr="00BB33CC" w:rsidRDefault="00E919F1" w:rsidP="00E919F1">
      <w:pPr>
        <w:pStyle w:val="Normalresolucion"/>
      </w:pPr>
      <w:r w:rsidRPr="00BB33CC">
        <w:t xml:space="preserve">Ahora bien, la reforma creó la figura de red compartida mayorista, establecida en el artículo Décimo Sexto Transitorio del Decreto y en el Capítulo V del Título Quinto de la LFTR. </w:t>
      </w:r>
      <w:r w:rsidR="006C6527" w:rsidRPr="00BB33CC">
        <w:t>Una red compartida mayorista</w:t>
      </w:r>
      <w:r w:rsidRPr="00BB33CC">
        <w:t xml:space="preserve"> no podrá ofrecer servicios a los usuarios finales y se resalta que los concesionarios con participación pública deben sujetarse a principios de neutralidad a la competencia cuando sus fines sean comerciales conforme al artículo 141 de la LFTR.</w:t>
      </w:r>
    </w:p>
    <w:p w:rsidR="00E919F1" w:rsidRPr="00BB33CC" w:rsidRDefault="00E919F1" w:rsidP="00E919F1">
      <w:pPr>
        <w:pStyle w:val="Normalresolucion"/>
      </w:pPr>
      <w:r w:rsidRPr="00BB33CC">
        <w:t xml:space="preserve">Las concesiones de los agentes económicos adquieren el carácter de red compartida mayorista a través del acto administrativo mediante el cual el Instituto </w:t>
      </w:r>
      <w:r w:rsidRPr="00BB33CC">
        <w:lastRenderedPageBreak/>
        <w:t>otorga un título de concesión con ese carácter. Cabe resaltar que en la experiencia internacional no existe este tipo de agentes económicos</w:t>
      </w:r>
      <w:r w:rsidR="009C7C94" w:rsidRPr="00BB33CC">
        <w:t xml:space="preserve"> con las características previstas en la </w:t>
      </w:r>
      <w:r w:rsidR="00921293" w:rsidRPr="00BB33CC">
        <w:t>LFTR</w:t>
      </w:r>
      <w:r w:rsidRPr="00BB33CC">
        <w:t>.</w:t>
      </w:r>
    </w:p>
    <w:p w:rsidR="009A4E28" w:rsidRPr="00BB33CC" w:rsidRDefault="00E919F1" w:rsidP="009A4E28">
      <w:pPr>
        <w:pStyle w:val="Normalresolucion"/>
      </w:pPr>
      <w:r w:rsidRPr="00BB33CC">
        <w:t>Si bien los agentes económicos que tienen una concesión de red compartida mayorista pueden ser tanto públicos como privados, estos deben sujetarse al principio de neutralidad a la competencia. Dicho principio establece la obligación del Estado de no generar distorsiones al mercado como consecuencia de la propiedad pública. De lo anterior, se advierte que las redes compartidas mayoristas pueden contar con participación púb</w:t>
      </w:r>
      <w:r w:rsidR="0098252E" w:rsidRPr="00BB33CC">
        <w:t>l</w:t>
      </w:r>
      <w:r w:rsidRPr="00BB33CC">
        <w:t xml:space="preserve">ica, incluso pueden formar asociaciones público privadas para el desarrollo y operación de sus redes, por lo que resulta necesario monitorear que las actividades realizadas entre </w:t>
      </w:r>
      <w:r w:rsidR="00403A35" w:rsidRPr="00BB33CC">
        <w:t>autoridades</w:t>
      </w:r>
      <w:r w:rsidRPr="00BB33CC">
        <w:t xml:space="preserve"> públicas y privadas no generen distorsiones al mercado.</w:t>
      </w:r>
      <w:r w:rsidR="00257904" w:rsidRPr="00BB33CC">
        <w:t xml:space="preserve"> </w:t>
      </w:r>
    </w:p>
    <w:p w:rsidR="00E919F1" w:rsidRPr="00BB33CC" w:rsidRDefault="009A4E28" w:rsidP="00E919F1">
      <w:pPr>
        <w:pStyle w:val="Normalresolucion"/>
      </w:pPr>
      <w:r w:rsidRPr="00BB33CC">
        <w:t>Cabe agregar que las autoridades públicas incluyen las dependencias de la administración pública federal</w:t>
      </w:r>
      <w:r w:rsidRPr="00BB33CC">
        <w:rPr>
          <w:rStyle w:val="Refdenotaalpie"/>
        </w:rPr>
        <w:footnoteReference w:id="37"/>
      </w:r>
      <w:r w:rsidRPr="00BB33CC">
        <w:t>, de la administración pública estatal</w:t>
      </w:r>
      <w:r w:rsidRPr="00BB33CC">
        <w:rPr>
          <w:rStyle w:val="Refdenotaalpie"/>
        </w:rPr>
        <w:footnoteReference w:id="38"/>
      </w:r>
      <w:r w:rsidRPr="00BB33CC">
        <w:t xml:space="preserve"> y de la administración pública municipal</w:t>
      </w:r>
      <w:r w:rsidRPr="00BB33CC">
        <w:rPr>
          <w:rStyle w:val="Refdenotaalpie"/>
        </w:rPr>
        <w:footnoteReference w:id="39"/>
      </w:r>
      <w:r w:rsidRPr="00BB33CC">
        <w:t>, así como organismos constitucionalmente autónomos</w:t>
      </w:r>
      <w:r w:rsidRPr="00BB33CC">
        <w:rPr>
          <w:rStyle w:val="Refdenotaalpie"/>
        </w:rPr>
        <w:footnoteReference w:id="40"/>
      </w:r>
      <w:r w:rsidRPr="00BB33CC">
        <w:t xml:space="preserve">. </w:t>
      </w:r>
      <w:r w:rsidR="00403A35" w:rsidRPr="00BB33CC">
        <w:t>Toda</w:t>
      </w:r>
      <w:r w:rsidR="008C2A82" w:rsidRPr="00BB33CC">
        <w:t xml:space="preserve">s </w:t>
      </w:r>
      <w:r w:rsidR="00403A35" w:rsidRPr="00BB33CC">
        <w:t>esta</w:t>
      </w:r>
      <w:r w:rsidR="008C2A82" w:rsidRPr="00BB33CC">
        <w:t xml:space="preserve">s </w:t>
      </w:r>
      <w:r w:rsidR="00403A35" w:rsidRPr="00BB33CC">
        <w:t>dependencias</w:t>
      </w:r>
      <w:r w:rsidR="008C2A82" w:rsidRPr="00BB33CC">
        <w:t xml:space="preserve"> señalad</w:t>
      </w:r>
      <w:r w:rsidR="00353094" w:rsidRPr="00BB33CC">
        <w:t>a</w:t>
      </w:r>
      <w:r w:rsidR="008C2A82" w:rsidRPr="00BB33CC">
        <w:t>s anteriormente constituyen autoridades públicas, y la separaci</w:t>
      </w:r>
      <w:r w:rsidR="006772BB" w:rsidRPr="00BB33CC">
        <w:t>ón contable aplicable a</w:t>
      </w:r>
      <w:r w:rsidR="008C2A82" w:rsidRPr="00BB33CC">
        <w:t xml:space="preserve"> </w:t>
      </w:r>
      <w:r w:rsidR="00DD02BA" w:rsidRPr="00BB33CC">
        <w:t>lo</w:t>
      </w:r>
      <w:r w:rsidR="008C2A82" w:rsidRPr="00BB33CC">
        <w:t xml:space="preserve">s </w:t>
      </w:r>
      <w:r w:rsidR="00DD02BA" w:rsidRPr="00BB33CC">
        <w:t xml:space="preserve">concesionarios con carácter de </w:t>
      </w:r>
      <w:r w:rsidR="008C2A82" w:rsidRPr="00BB33CC">
        <w:t>redes compartidas</w:t>
      </w:r>
      <w:r w:rsidR="006772BB" w:rsidRPr="00BB33CC">
        <w:t xml:space="preserve"> mayoristas que </w:t>
      </w:r>
      <w:r w:rsidR="002158D4" w:rsidRPr="00BB33CC">
        <w:t xml:space="preserve">conforme a la LFTR también </w:t>
      </w:r>
      <w:r w:rsidR="006772BB" w:rsidRPr="00BB33CC">
        <w:t>son concesionarios con participación pública</w:t>
      </w:r>
      <w:r w:rsidR="00DD02BA" w:rsidRPr="00BB33CC">
        <w:t>,</w:t>
      </w:r>
      <w:r w:rsidR="008C2A82" w:rsidRPr="00BB33CC">
        <w:t xml:space="preserve"> permitirá </w:t>
      </w:r>
      <w:r w:rsidR="00DD02BA" w:rsidRPr="00BB33CC">
        <w:t xml:space="preserve">monitorear o identificar si dichos agentes </w:t>
      </w:r>
      <w:r w:rsidR="00403A35" w:rsidRPr="00BB33CC">
        <w:t xml:space="preserve">económicos </w:t>
      </w:r>
      <w:r w:rsidR="00DD02BA" w:rsidRPr="00BB33CC">
        <w:t>se sujetan a principios de neutralidad a la competencia cuando sus fines sean comerciales</w:t>
      </w:r>
      <w:r w:rsidR="008C2A82" w:rsidRPr="00BB33CC">
        <w:t>.</w:t>
      </w:r>
    </w:p>
    <w:p w:rsidR="007A292A" w:rsidRPr="00BB33CC" w:rsidRDefault="009A4E28" w:rsidP="007A292A">
      <w:pPr>
        <w:pStyle w:val="Normalresolucion"/>
      </w:pPr>
      <w:r w:rsidRPr="00BB33CC">
        <w:t>Es así que la implementación de la separación contable a los concesionarios con carácter de redes compartidas mayoristas, constituye un instrumento que asegura la robustez, credibilidad y fiabilidad de información para identificar posibles conductas contrarias al principio de neutralidad a la competencia.</w:t>
      </w:r>
    </w:p>
    <w:p w:rsidR="00580E0D" w:rsidRPr="00BB33CC" w:rsidRDefault="002C2366" w:rsidP="00BB33CC">
      <w:pPr>
        <w:jc w:val="both"/>
        <w:rPr>
          <w:rFonts w:ascii="ITC Avant Garde" w:hAnsi="ITC Avant Garde"/>
        </w:rPr>
      </w:pPr>
      <w:r w:rsidRPr="00BB33CC">
        <w:rPr>
          <w:rFonts w:ascii="ITC Avant Garde" w:hAnsi="ITC Avant Garde"/>
        </w:rPr>
        <w:t>En este sentido, las disposiciones de</w:t>
      </w:r>
      <w:r w:rsidR="006D4947" w:rsidRPr="00BB33CC">
        <w:rPr>
          <w:rFonts w:ascii="ITC Avant Garde" w:hAnsi="ITC Avant Garde"/>
        </w:rPr>
        <w:t xml:space="preserve"> separación contable a</w:t>
      </w:r>
      <w:r w:rsidRPr="00BB33CC">
        <w:rPr>
          <w:rFonts w:ascii="ITC Avant Garde" w:hAnsi="ITC Avant Garde"/>
        </w:rPr>
        <w:t>plicables</w:t>
      </w:r>
      <w:r w:rsidR="006D4947" w:rsidRPr="00BB33CC">
        <w:rPr>
          <w:rFonts w:ascii="ITC Avant Garde" w:hAnsi="ITC Avant Garde"/>
        </w:rPr>
        <w:t xml:space="preserve"> </w:t>
      </w:r>
      <w:r w:rsidRPr="00BB33CC">
        <w:rPr>
          <w:rFonts w:ascii="ITC Avant Garde" w:hAnsi="ITC Avant Garde"/>
        </w:rPr>
        <w:t xml:space="preserve">a </w:t>
      </w:r>
      <w:r w:rsidR="00580E0D" w:rsidRPr="00BB33CC">
        <w:rPr>
          <w:rFonts w:ascii="ITC Avant Garde" w:hAnsi="ITC Avant Garde"/>
        </w:rPr>
        <w:t>los</w:t>
      </w:r>
      <w:r w:rsidR="006D4947" w:rsidRPr="00BB33CC">
        <w:rPr>
          <w:rFonts w:ascii="ITC Avant Garde" w:hAnsi="ITC Avant Garde"/>
        </w:rPr>
        <w:t xml:space="preserve"> concesionarios con carácter de redes compartidas mayoristas </w:t>
      </w:r>
      <w:r w:rsidR="00021870" w:rsidRPr="00BB33CC">
        <w:rPr>
          <w:rFonts w:ascii="ITC Avant Garde" w:hAnsi="ITC Avant Garde"/>
        </w:rPr>
        <w:t xml:space="preserve">tienen un alcance </w:t>
      </w:r>
      <w:r w:rsidR="00D77642" w:rsidRPr="00BB33CC">
        <w:rPr>
          <w:rFonts w:ascii="ITC Avant Garde" w:hAnsi="ITC Avant Garde"/>
        </w:rPr>
        <w:lastRenderedPageBreak/>
        <w:t xml:space="preserve">significativamente </w:t>
      </w:r>
      <w:r w:rsidR="00021870" w:rsidRPr="00BB33CC">
        <w:rPr>
          <w:rFonts w:ascii="ITC Avant Garde" w:hAnsi="ITC Avant Garde"/>
        </w:rPr>
        <w:t>distinto a las aplicables a los concesionarios y/o autorizados que conforman a los agentes económicos preponderantes y con poder sustancial</w:t>
      </w:r>
      <w:r w:rsidR="00580E0D" w:rsidRPr="00BB33CC">
        <w:rPr>
          <w:rFonts w:ascii="ITC Avant Garde" w:hAnsi="ITC Avant Garde"/>
        </w:rPr>
        <w:t xml:space="preserve"> de mercado, toda vez que </w:t>
      </w:r>
      <w:r w:rsidR="00A93504" w:rsidRPr="00BB33CC">
        <w:rPr>
          <w:rFonts w:ascii="ITC Avant Garde" w:hAnsi="ITC Avant Garde"/>
        </w:rPr>
        <w:t xml:space="preserve">no tiene como objetivo identificar si han incurrido en conductas anticompetitivas tales como subsidios cruzados, estrechamiento de márgenes o algunas otras previstas en la legislación vigente. </w:t>
      </w:r>
    </w:p>
    <w:p w:rsidR="00580E0D" w:rsidRPr="00BB33CC" w:rsidRDefault="00CA16ED" w:rsidP="00BB33CC">
      <w:pPr>
        <w:jc w:val="both"/>
        <w:rPr>
          <w:rFonts w:ascii="ITC Avant Garde" w:hAnsi="ITC Avant Garde"/>
        </w:rPr>
      </w:pPr>
      <w:r w:rsidRPr="00BB33CC">
        <w:rPr>
          <w:rFonts w:ascii="ITC Avant Garde" w:hAnsi="ITC Avant Garde"/>
        </w:rPr>
        <w:t>Por lo anterior, s</w:t>
      </w:r>
      <w:r w:rsidR="00A93504" w:rsidRPr="00BB33CC">
        <w:rPr>
          <w:rFonts w:ascii="ITC Avant Garde" w:hAnsi="ITC Avant Garde"/>
        </w:rPr>
        <w:t xml:space="preserve">u uso está </w:t>
      </w:r>
      <w:r w:rsidR="005A6ACA" w:rsidRPr="00BB33CC">
        <w:rPr>
          <w:rFonts w:ascii="ITC Avant Garde" w:hAnsi="ITC Avant Garde"/>
        </w:rPr>
        <w:t xml:space="preserve">solamente </w:t>
      </w:r>
      <w:r w:rsidR="00A93504" w:rsidRPr="00BB33CC">
        <w:rPr>
          <w:rFonts w:ascii="ITC Avant Garde" w:hAnsi="ITC Avant Garde"/>
        </w:rPr>
        <w:t xml:space="preserve">orientado a identificar en qué medida las redes compartidas mayoristas se apegan </w:t>
      </w:r>
      <w:r w:rsidR="005A6ACA" w:rsidRPr="00BB33CC">
        <w:rPr>
          <w:rFonts w:ascii="ITC Avant Garde" w:hAnsi="ITC Avant Garde"/>
        </w:rPr>
        <w:t>al principio de neutralidad a la competencia previsto en la LFTR</w:t>
      </w:r>
      <w:r w:rsidR="00580E0D" w:rsidRPr="00BB33CC">
        <w:rPr>
          <w:rFonts w:ascii="ITC Avant Garde" w:hAnsi="ITC Avant Garde"/>
        </w:rPr>
        <w:t>, situación que se refleja en un menor volumen de información así como en un reducido nivel de desagregación de la información de separación contable que se solicita a las redes compartidas mayoristas.</w:t>
      </w:r>
    </w:p>
    <w:p w:rsidR="006D4947" w:rsidRPr="00BB33CC" w:rsidRDefault="00C5646A" w:rsidP="00BB33CC">
      <w:pPr>
        <w:jc w:val="both"/>
        <w:rPr>
          <w:rFonts w:ascii="ITC Avant Garde" w:hAnsi="ITC Avant Garde"/>
        </w:rPr>
      </w:pPr>
      <w:r w:rsidRPr="00BB33CC">
        <w:rPr>
          <w:rFonts w:ascii="ITC Avant Garde" w:hAnsi="ITC Avant Garde"/>
        </w:rPr>
        <w:t xml:space="preserve">No obstante si algún concesionario con carácter de red compartida mayorista fuera declarado como </w:t>
      </w:r>
      <w:r w:rsidR="00DE3FDF" w:rsidRPr="00BB33CC">
        <w:rPr>
          <w:rFonts w:ascii="ITC Avant Garde" w:hAnsi="ITC Avant Garde"/>
        </w:rPr>
        <w:t xml:space="preserve">agente económico preponderante o agente económico con poder sustancial, </w:t>
      </w:r>
      <w:r w:rsidR="00ED5738" w:rsidRPr="00BB33CC">
        <w:rPr>
          <w:rFonts w:ascii="ITC Avant Garde" w:hAnsi="ITC Avant Garde"/>
        </w:rPr>
        <w:t>y solamente una vez que ocurra tal declaratoria</w:t>
      </w:r>
      <w:r w:rsidR="00CA16ED" w:rsidRPr="00BB33CC">
        <w:rPr>
          <w:rFonts w:ascii="ITC Avant Garde" w:hAnsi="ITC Avant Garde"/>
        </w:rPr>
        <w:t>, deber</w:t>
      </w:r>
      <w:r w:rsidR="00895602">
        <w:rPr>
          <w:rFonts w:ascii="ITC Avant Garde" w:hAnsi="ITC Avant Garde"/>
        </w:rPr>
        <w:t>á</w:t>
      </w:r>
      <w:r w:rsidR="00ED5738" w:rsidRPr="00BB33CC">
        <w:rPr>
          <w:rFonts w:ascii="ITC Avant Garde" w:hAnsi="ITC Avant Garde"/>
        </w:rPr>
        <w:t xml:space="preserve"> entregar la información de separación contable conforme resulte ap</w:t>
      </w:r>
      <w:r w:rsidR="00CA16ED" w:rsidRPr="00BB33CC">
        <w:rPr>
          <w:rFonts w:ascii="ITC Avant Garde" w:hAnsi="ITC Avant Garde"/>
        </w:rPr>
        <w:t>licable a dicho agente</w:t>
      </w:r>
      <w:r w:rsidR="00ED5738" w:rsidRPr="00BB33CC">
        <w:rPr>
          <w:rFonts w:ascii="ITC Avant Garde" w:hAnsi="ITC Avant Garde"/>
        </w:rPr>
        <w:t>.</w:t>
      </w:r>
    </w:p>
    <w:p w:rsidR="0080559F" w:rsidRPr="00BB33CC" w:rsidRDefault="0080559F" w:rsidP="00FE1C2B">
      <w:pPr>
        <w:pStyle w:val="Ttulo2"/>
        <w:numPr>
          <w:ilvl w:val="0"/>
          <w:numId w:val="275"/>
        </w:numPr>
      </w:pPr>
      <w:r w:rsidRPr="00BB33CC">
        <w:t>Información de separación contable</w:t>
      </w:r>
      <w:r w:rsidR="00453020" w:rsidRPr="00BB33CC">
        <w:t xml:space="preserve"> de lo</w:t>
      </w:r>
      <w:r w:rsidR="00D055A7" w:rsidRPr="00BB33CC">
        <w:t>s</w:t>
      </w:r>
      <w:r w:rsidR="00453020" w:rsidRPr="00BB33CC">
        <w:t xml:space="preserve"> </w:t>
      </w:r>
      <w:r w:rsidR="00D055A7" w:rsidRPr="00BB33CC">
        <w:t>sujetos obligados</w:t>
      </w:r>
    </w:p>
    <w:p w:rsidR="004B7EFB" w:rsidRPr="00BB33CC" w:rsidRDefault="004B7EFB" w:rsidP="00FE1C2B">
      <w:pPr>
        <w:spacing w:line="240" w:lineRule="auto"/>
        <w:jc w:val="both"/>
        <w:rPr>
          <w:bCs/>
        </w:rPr>
      </w:pPr>
      <w:r w:rsidRPr="00BB33CC">
        <w:rPr>
          <w:rFonts w:ascii="ITC Avant Garde" w:hAnsi="ITC Avant Garde"/>
          <w:bCs/>
        </w:rPr>
        <w:t>L</w:t>
      </w:r>
      <w:r w:rsidR="0080559F" w:rsidRPr="00BB33CC">
        <w:rPr>
          <w:rFonts w:ascii="ITC Avant Garde" w:hAnsi="ITC Avant Garde"/>
          <w:bCs/>
        </w:rPr>
        <w:t xml:space="preserve">a metodología, los términos y las condiciones de separación contable </w:t>
      </w:r>
      <w:r w:rsidRPr="00BB33CC">
        <w:rPr>
          <w:rFonts w:ascii="ITC Avant Garde" w:hAnsi="ITC Avant Garde"/>
          <w:bCs/>
        </w:rPr>
        <w:t>debe</w:t>
      </w:r>
      <w:r w:rsidR="003059F8" w:rsidRPr="00BB33CC">
        <w:rPr>
          <w:rFonts w:ascii="ITC Avant Garde" w:hAnsi="ITC Avant Garde"/>
          <w:bCs/>
        </w:rPr>
        <w:t>n</w:t>
      </w:r>
      <w:r w:rsidRPr="00BB33CC">
        <w:rPr>
          <w:rFonts w:ascii="ITC Avant Garde" w:hAnsi="ITC Avant Garde"/>
          <w:bCs/>
        </w:rPr>
        <w:t xml:space="preserve"> ser </w:t>
      </w:r>
      <w:r w:rsidR="0080559F" w:rsidRPr="00BB33CC">
        <w:rPr>
          <w:rFonts w:ascii="ITC Avant Garde" w:hAnsi="ITC Avant Garde"/>
          <w:bCs/>
        </w:rPr>
        <w:t>aplicable</w:t>
      </w:r>
      <w:r w:rsidR="003059F8" w:rsidRPr="00BB33CC">
        <w:rPr>
          <w:rFonts w:ascii="ITC Avant Garde" w:hAnsi="ITC Avant Garde"/>
          <w:bCs/>
        </w:rPr>
        <w:t>s</w:t>
      </w:r>
      <w:r w:rsidR="0080559F" w:rsidRPr="00BB33CC">
        <w:rPr>
          <w:rFonts w:ascii="ITC Avant Garde" w:hAnsi="ITC Avant Garde"/>
          <w:bCs/>
        </w:rPr>
        <w:t xml:space="preserve"> a los concesionarios y/o autorizados que conforman los agentes económicos preponderantes, los agentes declarados con poder sustancial de mercado y las redes compartidas</w:t>
      </w:r>
      <w:r w:rsidR="00A43B50" w:rsidRPr="00BB33CC">
        <w:rPr>
          <w:rFonts w:ascii="ITC Avant Garde" w:hAnsi="ITC Avant Garde"/>
          <w:bCs/>
        </w:rPr>
        <w:t xml:space="preserve"> mayoristas</w:t>
      </w:r>
      <w:r w:rsidRPr="00BB33CC">
        <w:rPr>
          <w:rFonts w:ascii="ITC Avant Garde" w:hAnsi="ITC Avant Garde"/>
          <w:bCs/>
        </w:rPr>
        <w:t>, por la</w:t>
      </w:r>
      <w:r w:rsidR="003059F8" w:rsidRPr="00BB33CC">
        <w:rPr>
          <w:rFonts w:ascii="ITC Avant Garde" w:hAnsi="ITC Avant Garde"/>
          <w:bCs/>
        </w:rPr>
        <w:t>s</w:t>
      </w:r>
      <w:r w:rsidRPr="00BB33CC">
        <w:rPr>
          <w:rFonts w:ascii="ITC Avant Garde" w:hAnsi="ITC Avant Garde"/>
          <w:bCs/>
        </w:rPr>
        <w:t xml:space="preserve"> razones anteriormente señaladas.</w:t>
      </w:r>
    </w:p>
    <w:p w:rsidR="00E245CA" w:rsidRPr="00BB33CC" w:rsidRDefault="0000332C" w:rsidP="00776A41">
      <w:pPr>
        <w:pStyle w:val="Indentadoresolucin"/>
        <w:numPr>
          <w:ilvl w:val="0"/>
          <w:numId w:val="0"/>
        </w:numPr>
        <w:spacing w:before="240"/>
        <w:outlineLvl w:val="2"/>
        <w:rPr>
          <w:b/>
          <w:bCs/>
        </w:rPr>
      </w:pPr>
      <w:r w:rsidRPr="00BB33CC">
        <w:rPr>
          <w:b/>
          <w:bCs/>
        </w:rPr>
        <w:t>5.3.1</w:t>
      </w:r>
      <w:r w:rsidR="00E245CA" w:rsidRPr="00BB33CC">
        <w:rPr>
          <w:b/>
          <w:bCs/>
        </w:rPr>
        <w:t xml:space="preserve"> </w:t>
      </w:r>
      <w:r w:rsidRPr="00BB33CC">
        <w:rPr>
          <w:b/>
          <w:bCs/>
        </w:rPr>
        <w:t>Principios de la separación contable</w:t>
      </w:r>
    </w:p>
    <w:p w:rsidR="00E245CA" w:rsidRPr="00BB33CC" w:rsidRDefault="005D2D24" w:rsidP="00FE1C2B">
      <w:pPr>
        <w:pStyle w:val="Indentadoresolucin"/>
        <w:numPr>
          <w:ilvl w:val="0"/>
          <w:numId w:val="0"/>
        </w:numPr>
        <w:spacing w:before="240"/>
        <w:rPr>
          <w:bCs/>
        </w:rPr>
      </w:pPr>
      <w:r w:rsidRPr="00BB33CC">
        <w:rPr>
          <w:bCs/>
        </w:rPr>
        <w:t>L</w:t>
      </w:r>
      <w:r w:rsidR="00A44EDC" w:rsidRPr="00BB33CC">
        <w:rPr>
          <w:bCs/>
        </w:rPr>
        <w:t xml:space="preserve">a información </w:t>
      </w:r>
      <w:r w:rsidR="0019667B" w:rsidRPr="00BB33CC">
        <w:rPr>
          <w:bCs/>
        </w:rPr>
        <w:t xml:space="preserve">de </w:t>
      </w:r>
      <w:r w:rsidRPr="00BB33CC">
        <w:rPr>
          <w:bCs/>
        </w:rPr>
        <w:t xml:space="preserve">separación contable de </w:t>
      </w:r>
      <w:r w:rsidR="0019667B" w:rsidRPr="00BB33CC">
        <w:rPr>
          <w:bCs/>
        </w:rPr>
        <w:t xml:space="preserve">los sujetos regulados </w:t>
      </w:r>
      <w:r w:rsidRPr="00BB33CC">
        <w:rPr>
          <w:bCs/>
        </w:rPr>
        <w:t xml:space="preserve">debe cumplir </w:t>
      </w:r>
      <w:r w:rsidR="00A44EDC" w:rsidRPr="00BB33CC">
        <w:rPr>
          <w:bCs/>
        </w:rPr>
        <w:t xml:space="preserve">con principios </w:t>
      </w:r>
      <w:r w:rsidRPr="00BB33CC">
        <w:rPr>
          <w:bCs/>
        </w:rPr>
        <w:t xml:space="preserve">de aplicación </w:t>
      </w:r>
      <w:r w:rsidR="00A44EDC" w:rsidRPr="00BB33CC">
        <w:rPr>
          <w:bCs/>
        </w:rPr>
        <w:t>genera</w:t>
      </w:r>
      <w:r w:rsidRPr="00BB33CC">
        <w:rPr>
          <w:bCs/>
        </w:rPr>
        <w:t xml:space="preserve">l para asegurar </w:t>
      </w:r>
      <w:r w:rsidRPr="00BB33CC">
        <w:t>la robustez, credibilidad y fiabilidad de la información entregada al Instituto. En este sentido, el Instituto considera adecuado adoptar los principios más utilizados en la experiencia internacional</w:t>
      </w:r>
      <w:r w:rsidR="00815E52" w:rsidRPr="00BB33CC">
        <w:t>, que resultarían aplicables a agentes económicos preponderantes y con poder sustancial de mercado, tales como</w:t>
      </w:r>
      <w:r w:rsidRPr="00BB33CC">
        <w:t xml:space="preserve"> </w:t>
      </w:r>
      <w:r w:rsidR="00827652" w:rsidRPr="00BB33CC">
        <w:rPr>
          <w:bCs/>
        </w:rPr>
        <w:t>causalidad, transparencia, auditabilidad, objetividad, consistencia, materialidad, no compensación, conciliación, no discriminación, relevancia, neutralidad y suficiencia.</w:t>
      </w:r>
      <w:r w:rsidR="00815E52" w:rsidRPr="00BB33CC">
        <w:rPr>
          <w:bCs/>
        </w:rPr>
        <w:t xml:space="preserve"> </w:t>
      </w:r>
    </w:p>
    <w:p w:rsidR="00815E52" w:rsidRPr="00BB33CC" w:rsidRDefault="00815E52" w:rsidP="009155FD">
      <w:pPr>
        <w:pStyle w:val="Normalresolucion"/>
        <w:rPr>
          <w:bCs/>
        </w:rPr>
      </w:pPr>
      <w:r w:rsidRPr="00BB33CC">
        <w:t>En el caso de los concesionarios de una red compartida mayorista</w:t>
      </w:r>
      <w:r w:rsidR="009155FD" w:rsidRPr="00BB33CC">
        <w:t>, a estos son aplicables los</w:t>
      </w:r>
      <w:r w:rsidRPr="00BB33CC">
        <w:t xml:space="preserve"> principios de transparencia, auditabilidad, consistencia, materialidad, no compensación, conciliación, relevancia, neutralidad y suficiencia, toda vez que no se les requiere una desagregación exhaustiva en los términos solicitados a los demás agentes al tener distintos objetivos sobre la información de separación contable.</w:t>
      </w:r>
      <w:r w:rsidR="009155FD" w:rsidRPr="00BB33CC">
        <w:t xml:space="preserve"> En el caso de entes públicos con carácter de red compartida mayorista, toda vez que estos tienen la obligación de presentar reportes de cuenta pública ya auditados, resultaría ineficiente solicitar la entrega de la información de separación contable regulatoria bajo el principio de auditabilidad. </w:t>
      </w:r>
    </w:p>
    <w:p w:rsidR="00A44EDC" w:rsidRPr="00BB33CC" w:rsidRDefault="00E245CA" w:rsidP="00776A41">
      <w:pPr>
        <w:pStyle w:val="Indentadoresolucin"/>
        <w:numPr>
          <w:ilvl w:val="0"/>
          <w:numId w:val="0"/>
        </w:numPr>
        <w:spacing w:before="240"/>
        <w:outlineLvl w:val="2"/>
        <w:rPr>
          <w:b/>
          <w:bCs/>
        </w:rPr>
      </w:pPr>
      <w:r w:rsidRPr="00BB33CC">
        <w:rPr>
          <w:b/>
          <w:bCs/>
        </w:rPr>
        <w:lastRenderedPageBreak/>
        <w:t>5.3.2 Arquitectura de separación contable</w:t>
      </w:r>
    </w:p>
    <w:p w:rsidR="009D3473" w:rsidRPr="00BB33CC" w:rsidRDefault="00B75DD3" w:rsidP="00596B42">
      <w:pPr>
        <w:pStyle w:val="Normalresolucion"/>
      </w:pPr>
      <w:r w:rsidRPr="00BB33CC">
        <w:t xml:space="preserve">Respecto a la arquitectura que se </w:t>
      </w:r>
      <w:r w:rsidR="00C03E81" w:rsidRPr="00BB33CC">
        <w:t>considera adecuad</w:t>
      </w:r>
      <w:r w:rsidR="003059F8" w:rsidRPr="00BB33CC">
        <w:t>a</w:t>
      </w:r>
      <w:r w:rsidR="00C03E81" w:rsidRPr="00BB33CC">
        <w:t xml:space="preserve"> aplicar en el caso de </w:t>
      </w:r>
      <w:r w:rsidRPr="00BB33CC">
        <w:t xml:space="preserve">México, </w:t>
      </w:r>
      <w:r w:rsidR="009D3473" w:rsidRPr="00BB33CC">
        <w:t xml:space="preserve">se adopta una estructura basada en 3 niveles, más el nivel de partida correspondiente al Balance de Prueba, con 3 fases de imputación, lo cual permitirá identificar y distribuir los ingresos, costos y capital empleado, de forma causal, a lo largo de la separación contable. </w:t>
      </w:r>
      <w:r w:rsidR="00C03E81" w:rsidRPr="00BB33CC">
        <w:t>En la figura siguiente se muestra el esquema general de la arquitectura de separación contable.</w:t>
      </w:r>
    </w:p>
    <w:p w:rsidR="009D3473" w:rsidRPr="00BB33CC" w:rsidRDefault="009D3473" w:rsidP="009D3473">
      <w:pPr>
        <w:pStyle w:val="Descripcin"/>
        <w:rPr>
          <w:rFonts w:ascii="ITC Avant Garde" w:hAnsi="ITC Avant Garde"/>
          <w:lang w:val="es-ES"/>
        </w:rPr>
      </w:pPr>
      <w:r w:rsidRPr="00BB33CC">
        <w:rPr>
          <w:rFonts w:ascii="ITC Avant Garde" w:hAnsi="ITC Avant Garde"/>
          <w:iCs/>
          <w:sz w:val="20"/>
          <w:lang w:val="es-MX"/>
        </w:rPr>
        <w:t xml:space="preserve">Figura </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Figura. \* ARABIC </w:instrText>
      </w:r>
      <w:r w:rsidRPr="00BB33CC">
        <w:rPr>
          <w:rFonts w:ascii="ITC Avant Garde" w:hAnsi="ITC Avant Garde"/>
          <w:iCs/>
          <w:sz w:val="20"/>
          <w:lang w:val="es-MX"/>
        </w:rPr>
        <w:fldChar w:fldCharType="separate"/>
      </w:r>
      <w:r w:rsidR="00C03E81" w:rsidRPr="00BB33CC">
        <w:rPr>
          <w:rFonts w:ascii="ITC Avant Garde" w:hAnsi="ITC Avant Garde"/>
          <w:iCs/>
          <w:noProof/>
          <w:sz w:val="20"/>
          <w:lang w:val="es-MX"/>
        </w:rPr>
        <w:t>4</w:t>
      </w:r>
      <w:r w:rsidRPr="00BB33CC">
        <w:rPr>
          <w:rFonts w:ascii="ITC Avant Garde" w:hAnsi="ITC Avant Garde"/>
          <w:iCs/>
          <w:sz w:val="20"/>
          <w:lang w:val="es-MX"/>
        </w:rPr>
        <w:fldChar w:fldCharType="end"/>
      </w:r>
      <w:r w:rsidRPr="00BB33CC">
        <w:rPr>
          <w:rFonts w:ascii="ITC Avant Garde" w:hAnsi="ITC Avant Garde"/>
          <w:iCs/>
          <w:sz w:val="20"/>
          <w:lang w:val="es-MX"/>
        </w:rPr>
        <w:t>. Esquema general de la separación contable</w:t>
      </w:r>
    </w:p>
    <w:p w:rsidR="009D3473" w:rsidRPr="00BB33CC" w:rsidRDefault="009D3473" w:rsidP="009D3473">
      <w:pPr>
        <w:pStyle w:val="Normalresolucion"/>
        <w:jc w:val="center"/>
      </w:pPr>
      <w:r w:rsidRPr="00BB33CC">
        <w:rPr>
          <w:noProof/>
          <w:lang w:val="es-MX" w:eastAsia="es-MX"/>
        </w:rPr>
        <w:drawing>
          <wp:inline distT="0" distB="0" distL="0" distR="0" wp14:anchorId="7ECAE5E3" wp14:editId="48E23EE2">
            <wp:extent cx="5534108" cy="4545092"/>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068" cy="4553272"/>
                    </a:xfrm>
                    <a:prstGeom prst="rect">
                      <a:avLst/>
                    </a:prstGeom>
                    <a:noFill/>
                  </pic:spPr>
                </pic:pic>
              </a:graphicData>
            </a:graphic>
          </wp:inline>
        </w:drawing>
      </w:r>
    </w:p>
    <w:p w:rsidR="009D3473" w:rsidRPr="00BB33CC" w:rsidRDefault="009D3473" w:rsidP="00D975D8">
      <w:pPr>
        <w:pStyle w:val="Normalresolucion"/>
      </w:pPr>
      <w:r w:rsidRPr="00BB33CC">
        <w:t xml:space="preserve">En la estructura general de la separación contable </w:t>
      </w:r>
      <w:r w:rsidR="00C03E81" w:rsidRPr="00BB33CC">
        <w:t xml:space="preserve">de la figura anterior, </w:t>
      </w:r>
      <w:r w:rsidRPr="00BB33CC">
        <w:t xml:space="preserve">se observa un flujo de atribución de ingresos, costos y capital empleado desde el balance de prueba (Nivel 0), hasta un tercer nivel de servicios finales, tanto minoristas como mayoristas. Esta asignación se realiza a través de 3 fases de atribución: </w:t>
      </w:r>
    </w:p>
    <w:p w:rsidR="009D3473" w:rsidRPr="00BB33CC" w:rsidRDefault="009D3473" w:rsidP="00D975D8">
      <w:pPr>
        <w:pStyle w:val="Indentadoresolucin"/>
      </w:pPr>
      <w:r w:rsidRPr="00BB33CC">
        <w:rPr>
          <w:u w:val="single"/>
        </w:rPr>
        <w:t>Fase A</w:t>
      </w:r>
      <w:r w:rsidRPr="00BB33CC">
        <w:t>: donde se extraen los ingresos, costos y capital empleado registrados en el Balance de Prueba de la compañía y se organizan en función de la naturaleza a la que corresponden.</w:t>
      </w:r>
    </w:p>
    <w:p w:rsidR="009D3473" w:rsidRPr="00BB33CC" w:rsidRDefault="009D3473" w:rsidP="00D975D8">
      <w:pPr>
        <w:pStyle w:val="Indentadoresolucin"/>
      </w:pPr>
      <w:r w:rsidRPr="00BB33CC">
        <w:rPr>
          <w:u w:val="single"/>
        </w:rPr>
        <w:lastRenderedPageBreak/>
        <w:t>Fase B</w:t>
      </w:r>
      <w:r w:rsidRPr="00BB33CC">
        <w:t>: donde se reparten las cuentas de costos y capital empleado por naturaleza a cuentas de actividades y elementos de red, para lo cual será necesaria la definición de determinados factores de atribución. Es importante señalar que, de acuerdo a la naturaleza de la separación contable, las cuentas de costos y de capital empleado deben estar diferenciadas en todo momento en los diferentes niveles. Nótese por último que en la Fase B no se realiza una imputación de ingresos al Nivel 2, sino que éstos van del nivel 1 al 3.</w:t>
      </w:r>
    </w:p>
    <w:p w:rsidR="009D3473" w:rsidRPr="00BB33CC" w:rsidRDefault="009D3473" w:rsidP="00D975D8">
      <w:pPr>
        <w:pStyle w:val="Indentadoresolucin"/>
        <w:rPr>
          <w:b/>
          <w:bCs/>
        </w:rPr>
      </w:pPr>
      <w:r w:rsidRPr="00BB33CC">
        <w:rPr>
          <w:u w:val="single"/>
        </w:rPr>
        <w:t>Fase C</w:t>
      </w:r>
      <w:r w:rsidRPr="00BB33CC">
        <w:t>:</w:t>
      </w:r>
      <w:r w:rsidRPr="00BB33CC">
        <w:rPr>
          <w:b/>
          <w:bCs/>
        </w:rPr>
        <w:t xml:space="preserve"> </w:t>
      </w:r>
      <w:r w:rsidRPr="00BB33CC">
        <w:t>donde se reparten los ingresos, costos y capital empleado a servicios finales, se aplican los cargos de transferencia entre los segmentos minorista y mayorista y se calcula el costo de capital asociado a cada servicio como el producto del Costo Promedio Ponderado del Capital (WACC) por el capital promedio empleado.</w:t>
      </w:r>
    </w:p>
    <w:p w:rsidR="009D3473" w:rsidRPr="00BB33CC" w:rsidRDefault="009D3473" w:rsidP="00D975D8">
      <w:pPr>
        <w:pStyle w:val="Normalresolucion"/>
      </w:pPr>
      <w:r w:rsidRPr="00BB33CC">
        <w:t xml:space="preserve">El listado mínimo de cuentas que deberá ser plasmado en cada uno de los niveles arriba representados deberá ser definido de acuerdo al marco de referencia aplicable a cada tipo de </w:t>
      </w:r>
      <w:r w:rsidR="00A01FB6" w:rsidRPr="00BB33CC">
        <w:rPr>
          <w:bCs/>
        </w:rPr>
        <w:t>concesionario y/o autorizado</w:t>
      </w:r>
      <w:r w:rsidRPr="00BB33CC">
        <w:t>.</w:t>
      </w:r>
    </w:p>
    <w:p w:rsidR="00BC4E53" w:rsidRPr="00BB33CC" w:rsidRDefault="00BC4E53" w:rsidP="00D975D8">
      <w:pPr>
        <w:pStyle w:val="Normalresolucion"/>
      </w:pPr>
      <w:r w:rsidRPr="00BB33CC">
        <w:t xml:space="preserve">De acuerdo con el esquema presentado en la Figura </w:t>
      </w:r>
      <w:r w:rsidR="00A01FB6" w:rsidRPr="00BB33CC">
        <w:t>4</w:t>
      </w:r>
      <w:r w:rsidRPr="00BB33CC">
        <w:t xml:space="preserve">, los siguientes insumos procedentes del balance de prueba del </w:t>
      </w:r>
      <w:r w:rsidR="00A01FB6" w:rsidRPr="00BB33CC">
        <w:rPr>
          <w:bCs/>
        </w:rPr>
        <w:t xml:space="preserve">concesionario y/o autorizado </w:t>
      </w:r>
      <w:r w:rsidRPr="00BB33CC">
        <w:t>constituyen el nivel 0 de entrada a la separación contable:</w:t>
      </w:r>
    </w:p>
    <w:p w:rsidR="00BC4E53" w:rsidRPr="00BB33CC" w:rsidRDefault="00BC4E53" w:rsidP="00D975D8">
      <w:pPr>
        <w:pStyle w:val="Indentadoresolucin"/>
      </w:pPr>
      <w:r w:rsidRPr="00BB33CC">
        <w:t>Cuentas financieras de ingresos;</w:t>
      </w:r>
    </w:p>
    <w:p w:rsidR="00BC4E53" w:rsidRPr="00BB33CC" w:rsidRDefault="00BC4E53" w:rsidP="00D975D8">
      <w:pPr>
        <w:pStyle w:val="Indentadoresolucin"/>
      </w:pPr>
      <w:r w:rsidRPr="00BB33CC">
        <w:t>Cuentas financieras de gastos, y</w:t>
      </w:r>
    </w:p>
    <w:p w:rsidR="00BC4E53" w:rsidRPr="00BB33CC" w:rsidRDefault="00BC4E53" w:rsidP="00D975D8">
      <w:pPr>
        <w:pStyle w:val="Indentadoresolucin"/>
      </w:pPr>
      <w:r w:rsidRPr="00BB33CC">
        <w:t>Cuentas financieras de activos y pasivos.</w:t>
      </w:r>
    </w:p>
    <w:p w:rsidR="00BC4E53" w:rsidRPr="00BB33CC" w:rsidRDefault="00BC4E53" w:rsidP="00D975D8">
      <w:pPr>
        <w:pStyle w:val="Normalresolucion"/>
      </w:pPr>
      <w:r w:rsidRPr="00BB33CC">
        <w:t>En cada una de las etapas de atribución se procede a una agrupación o distribución de los ingresos, costos, activos y pasivos incluidos en las anteriores cuentas con el objetivo de garantizar que las asignaciones a servicios (Nivel 3) se realicen mediante criterios de reparto causales y transparentes.</w:t>
      </w:r>
    </w:p>
    <w:p w:rsidR="00BC4E53" w:rsidRPr="00BB33CC" w:rsidRDefault="00BC4E53" w:rsidP="00D975D8">
      <w:pPr>
        <w:pStyle w:val="Normalresolucion"/>
      </w:pPr>
      <w:r w:rsidRPr="00BB33CC">
        <w:t>En concreto, se presenta a continuación una descripción detallada de los 3 niveles mínimos para la elaboración de la separación contable.</w:t>
      </w:r>
    </w:p>
    <w:p w:rsidR="00BC4E53" w:rsidRPr="00BB33CC" w:rsidRDefault="00BC4E53" w:rsidP="00D975D8">
      <w:pPr>
        <w:pStyle w:val="Normalresolucion"/>
        <w:keepNext/>
        <w:keepLines/>
        <w:rPr>
          <w:bCs/>
          <w:u w:val="single"/>
        </w:rPr>
      </w:pPr>
      <w:r w:rsidRPr="00BB33CC">
        <w:rPr>
          <w:bCs/>
          <w:u w:val="single"/>
        </w:rPr>
        <w:t>Nivel 1: Cuentas por Naturaleza</w:t>
      </w:r>
    </w:p>
    <w:p w:rsidR="00BC4E53" w:rsidRPr="00BB33CC" w:rsidRDefault="00BC4E53" w:rsidP="00D975D8">
      <w:pPr>
        <w:pStyle w:val="Normalresolucion"/>
        <w:keepNext/>
        <w:keepLines/>
      </w:pPr>
      <w:r w:rsidRPr="00BB33CC">
        <w:rPr>
          <w:lang w:val="es-MX"/>
        </w:rPr>
        <w:t>En</w:t>
      </w:r>
      <w:r w:rsidRPr="00BB33CC">
        <w:t xml:space="preserve"> el primer nivel de la separación contable se agrupan las cuentas de</w:t>
      </w:r>
      <w:r w:rsidRPr="00BB33CC">
        <w:rPr>
          <w:b/>
          <w:bCs/>
        </w:rPr>
        <w:t xml:space="preserve"> </w:t>
      </w:r>
      <w:r w:rsidRPr="00BB33CC">
        <w:rPr>
          <w:bCs/>
        </w:rPr>
        <w:t xml:space="preserve">ingresos provenientes de la contabilidad financiera </w:t>
      </w:r>
      <w:r w:rsidRPr="00BB33CC">
        <w:t xml:space="preserve">con el objetivo de facilitar su posterior reparto a las cuentas de servicios mediante criterios de asignación causales. En función de su naturaleza, los </w:t>
      </w:r>
      <w:r w:rsidR="00A01FB6" w:rsidRPr="00BB33CC">
        <w:rPr>
          <w:bCs/>
        </w:rPr>
        <w:t xml:space="preserve">concesionarios y/o autorizados </w:t>
      </w:r>
      <w:r w:rsidRPr="00BB33CC">
        <w:t>deben utilizar la siguiente clasificación:</w:t>
      </w:r>
    </w:p>
    <w:p w:rsidR="00BC4E53" w:rsidRPr="00BB33CC" w:rsidRDefault="00BC4E53" w:rsidP="00D975D8">
      <w:pPr>
        <w:pStyle w:val="Indentadoresolucin"/>
        <w:rPr>
          <w:lang w:val="es-MX"/>
        </w:rPr>
      </w:pPr>
      <w:r w:rsidRPr="00BB33CC">
        <w:rPr>
          <w:i/>
          <w:iCs/>
        </w:rPr>
        <w:t>Ingresos operativos</w:t>
      </w:r>
      <w:r w:rsidRPr="00BB33CC">
        <w:t xml:space="preserve">, procedentes de la venta de servicios objeto del negocio (telecomunicaciones, radiodifusión, etc. según corresponda), por parte de los </w:t>
      </w:r>
      <w:r w:rsidR="00A01FB6" w:rsidRPr="00BB33CC">
        <w:rPr>
          <w:bCs/>
        </w:rPr>
        <w:t>concesionarios y/o autorizados</w:t>
      </w:r>
      <w:r w:rsidRPr="00BB33CC">
        <w:t>.</w:t>
      </w:r>
    </w:p>
    <w:p w:rsidR="00BC4E53" w:rsidRPr="00BB33CC" w:rsidRDefault="00BC4E53" w:rsidP="00D975D8">
      <w:pPr>
        <w:pStyle w:val="Indentadoresolucin"/>
        <w:rPr>
          <w:lang w:val="es-MX"/>
        </w:rPr>
      </w:pPr>
      <w:r w:rsidRPr="00BB33CC">
        <w:rPr>
          <w:i/>
          <w:iCs/>
        </w:rPr>
        <w:t>Ingresos no operativos</w:t>
      </w:r>
      <w:r w:rsidRPr="00BB33CC">
        <w:t xml:space="preserve">, relativos a transacciones que no guardan relación directa con el funcionamiento operativo del negocio para el cual se </w:t>
      </w:r>
      <w:r w:rsidRPr="00BB33CC">
        <w:lastRenderedPageBreak/>
        <w:t>presentan resultados o bien que no se refieren a la operación de servicios de telecomunicaciones (actividades financieras o ventas de activos).</w:t>
      </w:r>
    </w:p>
    <w:p w:rsidR="00BC4E53" w:rsidRPr="00BB33CC" w:rsidRDefault="00BC4E53" w:rsidP="00D975D8">
      <w:pPr>
        <w:pStyle w:val="Normalresolucion"/>
      </w:pPr>
      <w:r w:rsidRPr="00BB33CC">
        <w:t>Por otro lado, este Nivel 1 deberá incluir la totalidad de los costos incurridos por el concesionario y/o autorizado en el ejercicio, así como el capital promedio empleado</w:t>
      </w:r>
      <w:r w:rsidR="003C178E" w:rsidRPr="00BB33CC">
        <w:t>, y el activo y pasivo circulante</w:t>
      </w:r>
      <w:r w:rsidRPr="00BB33CC">
        <w:t xml:space="preserve">. Los </w:t>
      </w:r>
      <w:r w:rsidR="00A01FB6" w:rsidRPr="00BB33CC">
        <w:rPr>
          <w:bCs/>
        </w:rPr>
        <w:t xml:space="preserve">concesionarios y/o autorizados </w:t>
      </w:r>
      <w:r w:rsidRPr="00BB33CC">
        <w:t>deben utilizar la siguiente clasificación:</w:t>
      </w:r>
    </w:p>
    <w:p w:rsidR="00BC4E53" w:rsidRPr="00BB33CC" w:rsidRDefault="00BC4E53" w:rsidP="00D975D8">
      <w:pPr>
        <w:pStyle w:val="Indentadoresolucin"/>
        <w:rPr>
          <w:b/>
          <w:bCs/>
          <w:i/>
          <w:iCs/>
          <w:lang w:val="es-MX"/>
        </w:rPr>
      </w:pPr>
      <w:r w:rsidRPr="00BB33CC">
        <w:rPr>
          <w:i/>
          <w:iCs/>
        </w:rPr>
        <w:t>Costos operativos</w:t>
      </w:r>
      <w:r w:rsidRPr="00BB33CC">
        <w:t>, en los que incurre el concesionario y/o autorizado por el desarrollo de sus actividades relacionadas con la operación del negocio.</w:t>
      </w:r>
    </w:p>
    <w:p w:rsidR="00BC4E53" w:rsidRPr="00BB33CC" w:rsidRDefault="003C178E" w:rsidP="00D975D8">
      <w:pPr>
        <w:pStyle w:val="Indentadoresolucin"/>
        <w:rPr>
          <w:b/>
          <w:bCs/>
          <w:iCs/>
          <w:lang w:val="es-MX"/>
        </w:rPr>
      </w:pPr>
      <w:r w:rsidRPr="00BB33CC">
        <w:rPr>
          <w:i/>
          <w:iCs/>
        </w:rPr>
        <w:t>C</w:t>
      </w:r>
      <w:r w:rsidR="00BC4E53" w:rsidRPr="00BB33CC">
        <w:rPr>
          <w:i/>
          <w:iCs/>
        </w:rPr>
        <w:t xml:space="preserve">ostos asociados al </w:t>
      </w:r>
      <w:r w:rsidRPr="00BB33CC">
        <w:rPr>
          <w:i/>
          <w:iCs/>
        </w:rPr>
        <w:t>capital</w:t>
      </w:r>
      <w:r w:rsidR="00BC4E53" w:rsidRPr="00BB33CC">
        <w:rPr>
          <w:i/>
          <w:iCs/>
        </w:rPr>
        <w:t xml:space="preserve">, </w:t>
      </w:r>
      <w:r w:rsidR="00BC4E53" w:rsidRPr="00BB33CC">
        <w:rPr>
          <w:iCs/>
        </w:rPr>
        <w:t xml:space="preserve">procedentes de la depreciación y amortización de la planta de activos del concesionario </w:t>
      </w:r>
      <w:r w:rsidR="00BC4E53" w:rsidRPr="00BB33CC">
        <w:t>y/o autorizado</w:t>
      </w:r>
      <w:r w:rsidR="00BC4E53" w:rsidRPr="00BB33CC">
        <w:rPr>
          <w:iCs/>
        </w:rPr>
        <w:t>.</w:t>
      </w:r>
    </w:p>
    <w:p w:rsidR="003C178E" w:rsidRPr="00BB33CC" w:rsidRDefault="003C178E" w:rsidP="00D975D8">
      <w:pPr>
        <w:pStyle w:val="Indentadoresolucin"/>
        <w:rPr>
          <w:b/>
          <w:bCs/>
          <w:iCs/>
          <w:lang w:val="es-MX"/>
        </w:rPr>
      </w:pPr>
      <w:r w:rsidRPr="00BB33CC">
        <w:rPr>
          <w:i/>
          <w:iCs/>
        </w:rPr>
        <w:t xml:space="preserve">Capital empleado, </w:t>
      </w:r>
      <w:r w:rsidRPr="00BB33CC">
        <w:rPr>
          <w:iCs/>
        </w:rPr>
        <w:t>donde se obtendrá el capital promedio empleado por las cuentas de activos y pasivos del balance.</w:t>
      </w:r>
    </w:p>
    <w:p w:rsidR="00BC4E53" w:rsidRPr="00BB33CC" w:rsidRDefault="00BC4E53" w:rsidP="00D975D8">
      <w:pPr>
        <w:pStyle w:val="Indentadoresolucin"/>
        <w:rPr>
          <w:b/>
          <w:bCs/>
          <w:iCs/>
          <w:lang w:val="es-MX"/>
        </w:rPr>
      </w:pPr>
      <w:r w:rsidRPr="00BB33CC">
        <w:rPr>
          <w:i/>
          <w:iCs/>
        </w:rPr>
        <w:t>Activo y pasivo circulante,</w:t>
      </w:r>
      <w:r w:rsidRPr="00BB33CC">
        <w:rPr>
          <w:iCs/>
        </w:rPr>
        <w:t xml:space="preserve"> incluyendo aquellos bienes y derechos de propiedad que son de movimiento y recuperación rápida (efectivo y equivalentes, cuentas por cobrar, inventarios), así como deudas por pagar a corto plazo (deudas a proveedores, ingresos diferidos).</w:t>
      </w:r>
    </w:p>
    <w:p w:rsidR="00BC4E53" w:rsidRPr="00BB33CC" w:rsidRDefault="00BC4E53" w:rsidP="00D975D8">
      <w:pPr>
        <w:pStyle w:val="Indentadoresolucin"/>
        <w:rPr>
          <w:lang w:val="es-MX"/>
        </w:rPr>
      </w:pPr>
      <w:r w:rsidRPr="00BB33CC">
        <w:rPr>
          <w:i/>
          <w:iCs/>
        </w:rPr>
        <w:t>Costos no relevantes para la separación contable</w:t>
      </w:r>
      <w:r w:rsidRPr="00BB33CC">
        <w:t>, incluyendo todos aquellos conceptos de costos (o capital promedio empleado) que no son relevantes para llevar a cabo las operaciones ligadas a la prestación de servicios, como costos financieros, ajustes por revalorización a CCA, provisiones extraordinarias (provisiones financieras y/o dotaciones por despidos masivos), etc.</w:t>
      </w:r>
    </w:p>
    <w:p w:rsidR="00BC4E53" w:rsidRPr="00BB33CC" w:rsidRDefault="00BC4E53" w:rsidP="00D975D8">
      <w:pPr>
        <w:pStyle w:val="Normalresolucion"/>
        <w:rPr>
          <w:bCs/>
          <w:u w:val="single"/>
        </w:rPr>
      </w:pPr>
      <w:r w:rsidRPr="00BB33CC">
        <w:rPr>
          <w:bCs/>
          <w:u w:val="single"/>
        </w:rPr>
        <w:t>Nivel 2: Actividades y elementos de red</w:t>
      </w:r>
    </w:p>
    <w:p w:rsidR="00BC4E53" w:rsidRPr="00BB33CC" w:rsidRDefault="00BC4E53" w:rsidP="00D975D8">
      <w:pPr>
        <w:pStyle w:val="Normalresolucion"/>
      </w:pPr>
      <w:r w:rsidRPr="00BB33CC">
        <w:t>El segundo nivel de la separación contable contiene una desagregación de cuentas en función de las actividades y elementos de red a las que éstas se encuentran asociadas. Éstas deben recoger, por un lado, los costos operativos y asociados al capital y, por otro, el capital promedio empleado.</w:t>
      </w:r>
    </w:p>
    <w:p w:rsidR="00BC4E53" w:rsidRPr="00BB33CC" w:rsidRDefault="00BC4E53" w:rsidP="00D975D8">
      <w:pPr>
        <w:pStyle w:val="Normalresolucion"/>
      </w:pPr>
      <w:r w:rsidRPr="00BB33CC">
        <w:t>Concretamente, las cuentas de Nivel 2 se deben clasificar del siguiente modo:</w:t>
      </w:r>
    </w:p>
    <w:p w:rsidR="00BC4E53" w:rsidRPr="00BB33CC" w:rsidRDefault="00BC4E53" w:rsidP="00D975D8">
      <w:pPr>
        <w:pStyle w:val="Indentadoresolucin"/>
        <w:rPr>
          <w:b/>
          <w:bCs/>
          <w:i/>
          <w:iCs/>
          <w:lang w:val="es-MX"/>
        </w:rPr>
      </w:pPr>
      <w:r w:rsidRPr="00BB33CC">
        <w:rPr>
          <w:i/>
          <w:iCs/>
        </w:rPr>
        <w:t>Componentes de red</w:t>
      </w:r>
      <w:r w:rsidR="008830ED" w:rsidRPr="00BB33CC">
        <w:t>:</w:t>
      </w:r>
      <w:r w:rsidRPr="00BB33CC">
        <w:t xml:space="preserve"> costos y el capital promedio empleado que guardan relación directa con el funcionamiento de la red del concesionario y/o autorizado.</w:t>
      </w:r>
    </w:p>
    <w:p w:rsidR="00BC4E53" w:rsidRPr="00BB33CC" w:rsidRDefault="00BC4E53" w:rsidP="00D975D8">
      <w:pPr>
        <w:pStyle w:val="Indentadoresolucin"/>
        <w:rPr>
          <w:b/>
          <w:bCs/>
          <w:i/>
          <w:iCs/>
          <w:lang w:val="es-MX"/>
        </w:rPr>
      </w:pPr>
      <w:r w:rsidRPr="00BB33CC">
        <w:rPr>
          <w:i/>
          <w:iCs/>
        </w:rPr>
        <w:t>Componentes no relacionados con la red</w:t>
      </w:r>
      <w:r w:rsidR="008830ED" w:rsidRPr="00BB33CC">
        <w:t>:</w:t>
      </w:r>
      <w:r w:rsidRPr="00BB33CC">
        <w:t xml:space="preserve"> costos y capital empleado no directamente relacionadas con la red del concesionario y/o autorizado, como pueden ser actividades de atención al cliente, mercadeo o publicidad, que están asociadas a un servicio o a un conjunto de éstos.</w:t>
      </w:r>
    </w:p>
    <w:p w:rsidR="00BC4E53" w:rsidRPr="00BB33CC" w:rsidRDefault="00BC4E53" w:rsidP="00D975D8">
      <w:pPr>
        <w:pStyle w:val="Indentadoresolucin"/>
        <w:rPr>
          <w:b/>
          <w:bCs/>
          <w:i/>
          <w:iCs/>
          <w:lang w:val="es-MX"/>
        </w:rPr>
      </w:pPr>
      <w:r w:rsidRPr="00BB33CC">
        <w:rPr>
          <w:i/>
          <w:iCs/>
        </w:rPr>
        <w:t>Costos directos de ventas</w:t>
      </w:r>
      <w:r w:rsidR="008830ED" w:rsidRPr="00BB33CC">
        <w:t>:</w:t>
      </w:r>
      <w:r w:rsidRPr="00BB33CC">
        <w:t xml:space="preserve"> costos que presentan una relación directa con la prestación de servicios, como son los costos por interconexión de tráfico o por la venta de terminales.</w:t>
      </w:r>
    </w:p>
    <w:p w:rsidR="00BC4E53" w:rsidRPr="00BB33CC" w:rsidRDefault="00BC4E53" w:rsidP="00D975D8">
      <w:pPr>
        <w:pStyle w:val="Indentadoresolucin"/>
        <w:rPr>
          <w:b/>
          <w:bCs/>
          <w:i/>
          <w:iCs/>
          <w:lang w:val="es-MX"/>
        </w:rPr>
      </w:pPr>
      <w:r w:rsidRPr="00BB33CC">
        <w:rPr>
          <w:i/>
          <w:iCs/>
        </w:rPr>
        <w:t>Costos comunes</w:t>
      </w:r>
      <w:r w:rsidR="008830ED" w:rsidRPr="00BB33CC">
        <w:t>:</w:t>
      </w:r>
      <w:r w:rsidRPr="00BB33CC">
        <w:t xml:space="preserve"> costos y capital empleado asociados a la administración y gestión general de la compañía.</w:t>
      </w:r>
    </w:p>
    <w:p w:rsidR="00BC4E53" w:rsidRPr="00BB33CC" w:rsidRDefault="00BC4E53" w:rsidP="00D975D8">
      <w:pPr>
        <w:pStyle w:val="Indentadoresolucin"/>
        <w:rPr>
          <w:b/>
          <w:bCs/>
          <w:i/>
          <w:iCs/>
          <w:lang w:val="es-MX"/>
        </w:rPr>
      </w:pPr>
      <w:r w:rsidRPr="00BB33CC">
        <w:rPr>
          <w:i/>
          <w:iCs/>
          <w:lang w:val="es-MX"/>
        </w:rPr>
        <w:lastRenderedPageBreak/>
        <w:t>Costos no relevantes para la separación contable</w:t>
      </w:r>
      <w:r w:rsidR="008830ED" w:rsidRPr="00BB33CC">
        <w:rPr>
          <w:bCs/>
          <w:i/>
          <w:iCs/>
          <w:lang w:val="es-MX"/>
        </w:rPr>
        <w:t>:</w:t>
      </w:r>
      <w:r w:rsidRPr="00BB33CC">
        <w:rPr>
          <w:bCs/>
          <w:i/>
          <w:iCs/>
          <w:lang w:val="es-MX"/>
        </w:rPr>
        <w:t xml:space="preserve"> </w:t>
      </w:r>
      <w:r w:rsidRPr="00BB33CC">
        <w:rPr>
          <w:bCs/>
          <w:iCs/>
          <w:lang w:val="es-MX"/>
        </w:rPr>
        <w:t xml:space="preserve">aquellas partidas que, debido a su naturaleza, no sean relevantes para la separación contable, incluyendo los conceptos definidos en la cuenta </w:t>
      </w:r>
      <w:r w:rsidR="003C178E" w:rsidRPr="00BB33CC">
        <w:rPr>
          <w:bCs/>
          <w:iCs/>
          <w:lang w:val="es-MX"/>
        </w:rPr>
        <w:t xml:space="preserve">análoga </w:t>
      </w:r>
      <w:r w:rsidRPr="00BB33CC">
        <w:rPr>
          <w:bCs/>
          <w:iCs/>
          <w:lang w:val="es-MX"/>
        </w:rPr>
        <w:t>de</w:t>
      </w:r>
      <w:r w:rsidR="003C178E" w:rsidRPr="00BB33CC">
        <w:rPr>
          <w:bCs/>
          <w:iCs/>
          <w:lang w:val="es-MX"/>
        </w:rPr>
        <w:t>l</w:t>
      </w:r>
      <w:r w:rsidRPr="00BB33CC">
        <w:rPr>
          <w:bCs/>
          <w:iCs/>
          <w:lang w:val="es-MX"/>
        </w:rPr>
        <w:t xml:space="preserve"> Nivel 1.</w:t>
      </w:r>
    </w:p>
    <w:p w:rsidR="00BC4E53" w:rsidRPr="00BB33CC" w:rsidRDefault="00BC4E53" w:rsidP="00D975D8">
      <w:pPr>
        <w:pStyle w:val="Normalresolucion"/>
        <w:keepNext/>
        <w:keepLines/>
        <w:rPr>
          <w:bCs/>
          <w:u w:val="single"/>
        </w:rPr>
      </w:pPr>
      <w:r w:rsidRPr="00BB33CC">
        <w:rPr>
          <w:bCs/>
          <w:u w:val="single"/>
        </w:rPr>
        <w:t>Nivel 3: Servicios</w:t>
      </w:r>
    </w:p>
    <w:p w:rsidR="00BC4E53" w:rsidRPr="00BB33CC" w:rsidRDefault="00BC4E53" w:rsidP="00D975D8">
      <w:pPr>
        <w:pStyle w:val="Normalresolucion"/>
        <w:keepNext/>
        <w:keepLines/>
      </w:pPr>
      <w:r w:rsidRPr="00BB33CC">
        <w:t>Por último, en el Nivel 3 se deben reflejar los resultados de ingresos, costos y capital empleado por servicio prestado por el concesionario y/o autorizado, los cuales pueden ser clasificados según el destinatario final de los mismos, tal y como se expone a continuación:</w:t>
      </w:r>
    </w:p>
    <w:p w:rsidR="00BC4E53" w:rsidRPr="00BB33CC" w:rsidRDefault="00BC4E53" w:rsidP="00D975D8">
      <w:pPr>
        <w:pStyle w:val="Indentadoresolucin"/>
        <w:rPr>
          <w:b/>
          <w:bCs/>
          <w:i/>
          <w:lang w:val="es-MX"/>
        </w:rPr>
      </w:pPr>
      <w:r w:rsidRPr="00BB33CC">
        <w:rPr>
          <w:i/>
        </w:rPr>
        <w:t>Servicios minoristas,</w:t>
      </w:r>
      <w:r w:rsidRPr="00BB33CC">
        <w:rPr>
          <w:b/>
          <w:bCs/>
          <w:i/>
        </w:rPr>
        <w:t xml:space="preserve"> </w:t>
      </w:r>
      <w:r w:rsidRPr="00BB33CC">
        <w:t xml:space="preserve">ofrecidos por los </w:t>
      </w:r>
      <w:r w:rsidR="00A01FB6" w:rsidRPr="00BB33CC">
        <w:rPr>
          <w:bCs/>
        </w:rPr>
        <w:t xml:space="preserve">concesionarios y/o autorizados </w:t>
      </w:r>
      <w:r w:rsidRPr="00BB33CC">
        <w:t>a usuarios finales, como servicios telefónicos en hogar y acceso a Internet</w:t>
      </w:r>
      <w:r w:rsidRPr="00BB33CC">
        <w:rPr>
          <w:b/>
          <w:bCs/>
          <w:i/>
        </w:rPr>
        <w:t>.</w:t>
      </w:r>
    </w:p>
    <w:p w:rsidR="00BC4E53" w:rsidRPr="00BB33CC" w:rsidRDefault="00BC4E53" w:rsidP="00D975D8">
      <w:pPr>
        <w:pStyle w:val="Indentadoresolucin"/>
        <w:rPr>
          <w:b/>
          <w:bCs/>
          <w:i/>
          <w:lang w:val="es-MX"/>
        </w:rPr>
      </w:pPr>
      <w:r w:rsidRPr="00BB33CC">
        <w:rPr>
          <w:i/>
        </w:rPr>
        <w:t>Servicios mayoristas,</w:t>
      </w:r>
      <w:r w:rsidRPr="00BB33CC">
        <w:rPr>
          <w:b/>
          <w:bCs/>
          <w:i/>
        </w:rPr>
        <w:t xml:space="preserve"> </w:t>
      </w:r>
      <w:r w:rsidRPr="00BB33CC">
        <w:rPr>
          <w:bCs/>
        </w:rPr>
        <w:t xml:space="preserve">ofrecidos entre </w:t>
      </w:r>
      <w:r w:rsidR="00A01FB6" w:rsidRPr="00BB33CC">
        <w:rPr>
          <w:bCs/>
        </w:rPr>
        <w:t xml:space="preserve">concesionarios y/o autorizados </w:t>
      </w:r>
      <w:r w:rsidRPr="00BB33CC">
        <w:rPr>
          <w:bCs/>
        </w:rPr>
        <w:t>para el desarrollo de sus actividades operativas en el sector</w:t>
      </w:r>
      <w:r w:rsidRPr="00BB33CC">
        <w:rPr>
          <w:b/>
          <w:bCs/>
          <w:i/>
          <w:lang w:val="es-MX"/>
        </w:rPr>
        <w:t>.</w:t>
      </w:r>
    </w:p>
    <w:p w:rsidR="00BC4E53" w:rsidRPr="00BB33CC" w:rsidRDefault="00BC4E53" w:rsidP="00D975D8">
      <w:pPr>
        <w:pStyle w:val="Indentadoresolucin"/>
        <w:rPr>
          <w:i/>
        </w:rPr>
      </w:pPr>
      <w:r w:rsidRPr="00BB33CC">
        <w:rPr>
          <w:i/>
        </w:rPr>
        <w:t xml:space="preserve">Servicios no relevantes para la separación contable, </w:t>
      </w:r>
      <w:r w:rsidR="000154F2" w:rsidRPr="00BB33CC">
        <w:t xml:space="preserve">incluidas </w:t>
      </w:r>
      <w:r w:rsidRPr="00BB33CC">
        <w:t>todas aquellas partidas de costos relativas a los servicios no relevantes para la prestación de servicios de telecomunicaciones y radiodifusión.</w:t>
      </w:r>
    </w:p>
    <w:p w:rsidR="00BC4E53" w:rsidRPr="00BB33CC" w:rsidRDefault="00BC4E53" w:rsidP="00D975D8">
      <w:pPr>
        <w:pStyle w:val="Normalresolucion"/>
        <w:rPr>
          <w:lang w:val="es-MX"/>
        </w:rPr>
      </w:pPr>
      <w:r w:rsidRPr="00BB33CC">
        <w:rPr>
          <w:lang w:val="es-MX"/>
        </w:rPr>
        <w:t xml:space="preserve">Tras asignar ingresos, costos y capital empleado a servicios finales, </w:t>
      </w:r>
      <w:r w:rsidRPr="00BB33CC">
        <w:t>se deberán aplicar los cargos de transferencia entre los segmentos minorista y mayorista y se calculará el costo de capital empleado asociado a cada servicio.</w:t>
      </w:r>
    </w:p>
    <w:p w:rsidR="00BC4E53" w:rsidRPr="00BB33CC" w:rsidRDefault="00BC4E53" w:rsidP="00D975D8">
      <w:pPr>
        <w:pStyle w:val="Normalresolucion"/>
        <w:rPr>
          <w:lang w:val="es-MX"/>
        </w:rPr>
      </w:pPr>
      <w:r w:rsidRPr="00BB33CC">
        <w:rPr>
          <w:lang w:val="es-MX"/>
        </w:rPr>
        <w:t>Por último, será necesario obtener el margen a nivel de servicio de acuerdo a la siguiente expresión:</w:t>
      </w:r>
    </w:p>
    <w:p w:rsidR="00BC4E53" w:rsidRPr="00BB33CC" w:rsidRDefault="00BC4E53" w:rsidP="00776A41">
      <w:pPr>
        <w:pStyle w:val="BulletPoints"/>
        <w:numPr>
          <w:ilvl w:val="0"/>
          <w:numId w:val="0"/>
        </w:numPr>
        <w:spacing w:before="240" w:line="240" w:lineRule="auto"/>
        <w:ind w:left="357"/>
        <w:rPr>
          <w:rFonts w:ascii="ITC Avant Garde" w:hAnsi="ITC Avant Garde"/>
          <w:lang w:val="es-MX"/>
        </w:rPr>
      </w:pPr>
      <m:oMathPara>
        <m:oMath>
          <m:r>
            <w:rPr>
              <w:rFonts w:ascii="Cambria Math" w:hAnsi="Cambria Math"/>
              <w:lang w:val="es-MX"/>
            </w:rPr>
            <m:t>Marge</m:t>
          </m:r>
          <m:sSub>
            <m:sSubPr>
              <m:ctrlPr>
                <w:rPr>
                  <w:rFonts w:ascii="Cambria Math" w:hAnsi="Cambria Math"/>
                  <w:i/>
                  <w:lang w:val="es-MX"/>
                </w:rPr>
              </m:ctrlPr>
            </m:sSubPr>
            <m:e>
              <m:r>
                <w:rPr>
                  <w:rFonts w:ascii="Cambria Math" w:hAnsi="Cambria Math"/>
                  <w:lang w:val="es-MX"/>
                </w:rPr>
                <m:t>n</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 xml:space="preserve"> =Ingreso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-Costo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-CapitalEmplead</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·WACC</m:t>
          </m:r>
        </m:oMath>
      </m:oMathPara>
    </w:p>
    <w:p w:rsidR="00BC4E53" w:rsidRPr="00BB33CC" w:rsidRDefault="00BC4E53" w:rsidP="00D975D8">
      <w:pPr>
        <w:pStyle w:val="Normalresolucion"/>
      </w:pPr>
      <w:r w:rsidRPr="00BB33CC">
        <w:t>Cabe agregar que en caso que un concesionario y/o autorizado integrado brindara simultáneamente servicios en múltiples segmentos (telecomunicaciones fijas, telecomunicaciones móviles, TV restringida) la estructura de cuentas mínimas a desagregar resultará de la combinación de los servicios y elementos asociados a los segmentos en los que participe.</w:t>
      </w:r>
    </w:p>
    <w:p w:rsidR="00D975D8" w:rsidRPr="00BB33CC" w:rsidRDefault="00D975D8" w:rsidP="00776A41">
      <w:pPr>
        <w:pStyle w:val="Indentadoresolucin"/>
        <w:numPr>
          <w:ilvl w:val="0"/>
          <w:numId w:val="0"/>
        </w:numPr>
        <w:spacing w:before="240"/>
        <w:outlineLvl w:val="2"/>
        <w:rPr>
          <w:b/>
          <w:bCs/>
        </w:rPr>
      </w:pPr>
      <w:r w:rsidRPr="00BB33CC">
        <w:rPr>
          <w:b/>
          <w:bCs/>
        </w:rPr>
        <w:t>5.3.3 Determinación de la base de costos e ingresos</w:t>
      </w:r>
    </w:p>
    <w:p w:rsidR="002E1A08" w:rsidRPr="00BB33CC" w:rsidRDefault="002E1A08" w:rsidP="00D975D8">
      <w:pPr>
        <w:pStyle w:val="Indentadoresolucin"/>
        <w:numPr>
          <w:ilvl w:val="0"/>
          <w:numId w:val="0"/>
        </w:numPr>
        <w:spacing w:before="240"/>
        <w:rPr>
          <w:bCs/>
        </w:rPr>
      </w:pPr>
      <w:r w:rsidRPr="00BB33CC">
        <w:rPr>
          <w:bCs/>
        </w:rPr>
        <w:t xml:space="preserve">Ahora bien, con la finalidad de otorgar un nivel apto de flexibilidad en función de la naturaleza de los distintos concesionarios y/o autorizados que son sujetos de la obligación, la metodología de separación contable debe ser multiestándar, por lo que se deberá poder reportar la información de separación contable bajo las metodologías de CCH y CCA. </w:t>
      </w:r>
    </w:p>
    <w:p w:rsidR="00FE1A6C" w:rsidRPr="00BB33CC" w:rsidRDefault="00FE1A6C" w:rsidP="00D975D8">
      <w:pPr>
        <w:pStyle w:val="Indentadoresolucin"/>
        <w:numPr>
          <w:ilvl w:val="0"/>
          <w:numId w:val="0"/>
        </w:numPr>
        <w:spacing w:before="240"/>
        <w:rPr>
          <w:bCs/>
        </w:rPr>
      </w:pPr>
      <w:r w:rsidRPr="00BB33CC">
        <w:rPr>
          <w:bCs/>
        </w:rPr>
        <w:t xml:space="preserve">Además, conforme a la práctica internacional, se estima conveniente adoptar </w:t>
      </w:r>
      <w:r w:rsidR="001A5B6F" w:rsidRPr="00BB33CC">
        <w:rPr>
          <w:bCs/>
        </w:rPr>
        <w:t>una variedad de metodologías</w:t>
      </w:r>
      <w:r w:rsidRPr="00BB33CC">
        <w:rPr>
          <w:bCs/>
        </w:rPr>
        <w:t xml:space="preserve"> </w:t>
      </w:r>
      <w:r w:rsidR="001A5B6F" w:rsidRPr="00BB33CC">
        <w:t xml:space="preserve">para la actualización de la planta de activos a costos actuales, tales como el mantenimiento a costos de la contabilidad financiera (no revalorización), tasación, valoración absoluta, AME e indexación. Lo anterior, a fin de dar flexibilidad a los concesionarios y/o autorizados para realizar el proceso de </w:t>
      </w:r>
      <w:r w:rsidR="001A5B6F" w:rsidRPr="00BB33CC">
        <w:lastRenderedPageBreak/>
        <w:t>revaluación de su planta de activos a costos actuales por medio de varias alternativas que mejor se adapten al tipo de activos con que cuenten.</w:t>
      </w:r>
    </w:p>
    <w:p w:rsidR="00D975D8" w:rsidRPr="00BB33CC" w:rsidRDefault="00D975D8" w:rsidP="00776A41">
      <w:pPr>
        <w:pStyle w:val="Indentadoresolucin"/>
        <w:numPr>
          <w:ilvl w:val="0"/>
          <w:numId w:val="0"/>
        </w:numPr>
        <w:spacing w:before="240"/>
        <w:outlineLvl w:val="2"/>
      </w:pPr>
      <w:r w:rsidRPr="00BB33CC">
        <w:rPr>
          <w:b/>
          <w:bCs/>
        </w:rPr>
        <w:t>5.3.4 Mantenimiento de capital y cálculo de su depreciación</w:t>
      </w:r>
    </w:p>
    <w:p w:rsidR="001A5B6F" w:rsidRPr="00BB33CC" w:rsidRDefault="001A5B6F" w:rsidP="00776A41">
      <w:pPr>
        <w:spacing w:before="240" w:line="240" w:lineRule="auto"/>
        <w:jc w:val="both"/>
      </w:pPr>
      <w:r w:rsidRPr="00BB33CC">
        <w:rPr>
          <w:rFonts w:ascii="ITC Avant Garde" w:eastAsia="Times New Roman" w:hAnsi="ITC Avant Garde" w:cs="Arial"/>
          <w:lang w:val="es-ES" w:eastAsia="es-ES"/>
        </w:rPr>
        <w:t xml:space="preserve">En lo relativo al mantenimiento de capital, el Instituto considera conveniente adoptar el enfoque </w:t>
      </w:r>
      <w:r w:rsidR="002E1A08" w:rsidRPr="00BB33CC">
        <w:rPr>
          <w:rFonts w:ascii="ITC Avant Garde" w:eastAsia="Times New Roman" w:hAnsi="ITC Avant Garde" w:cs="Arial"/>
          <w:lang w:val="es-ES" w:eastAsia="es-ES"/>
        </w:rPr>
        <w:t>FCM</w:t>
      </w:r>
      <w:r w:rsidRPr="00BB33CC">
        <w:rPr>
          <w:rFonts w:ascii="ITC Avant Garde" w:eastAsia="Times New Roman" w:hAnsi="ITC Avant Garde" w:cs="Arial"/>
          <w:lang w:val="es-ES" w:eastAsia="es-ES"/>
        </w:rPr>
        <w:t xml:space="preserve">, en virtud de su amplio uso en la práctica internacional. En lo que respecta al cálculo de la depreciación, se considera pertinente un método de depreciación en línea recta para la anualización de </w:t>
      </w:r>
      <w:r w:rsidR="00710EBA" w:rsidRPr="00BB33CC">
        <w:rPr>
          <w:rFonts w:ascii="ITC Avant Garde" w:eastAsia="Times New Roman" w:hAnsi="ITC Avant Garde" w:cs="Arial"/>
          <w:lang w:val="es-ES" w:eastAsia="es-ES"/>
        </w:rPr>
        <w:t>los</w:t>
      </w:r>
      <w:r w:rsidRPr="00BB33CC">
        <w:rPr>
          <w:rFonts w:ascii="ITC Avant Garde" w:eastAsia="Times New Roman" w:hAnsi="ITC Avant Garde" w:cs="Arial"/>
          <w:lang w:val="es-ES" w:eastAsia="es-ES"/>
        </w:rPr>
        <w:t xml:space="preserve"> activos</w:t>
      </w:r>
      <w:r w:rsidR="00710EBA" w:rsidRPr="00BB33CC">
        <w:rPr>
          <w:rFonts w:ascii="ITC Avant Garde" w:eastAsia="Times New Roman" w:hAnsi="ITC Avant Garde" w:cs="Arial"/>
          <w:lang w:val="es-ES" w:eastAsia="es-ES"/>
        </w:rPr>
        <w:t xml:space="preserve">, ya que se asegura la </w:t>
      </w:r>
      <w:r w:rsidRPr="00BB33CC">
        <w:rPr>
          <w:rFonts w:ascii="ITC Avant Garde" w:eastAsia="Times New Roman" w:hAnsi="ITC Avant Garde" w:cs="Arial"/>
          <w:lang w:val="es-ES" w:eastAsia="es-ES"/>
        </w:rPr>
        <w:t>distribu</w:t>
      </w:r>
      <w:r w:rsidR="00710EBA" w:rsidRPr="00BB33CC">
        <w:rPr>
          <w:rFonts w:ascii="ITC Avant Garde" w:eastAsia="Times New Roman" w:hAnsi="ITC Avant Garde" w:cs="Arial"/>
          <w:lang w:val="es-ES" w:eastAsia="es-ES"/>
        </w:rPr>
        <w:t>ción de</w:t>
      </w:r>
      <w:r w:rsidRPr="00BB33CC">
        <w:rPr>
          <w:rFonts w:ascii="ITC Avant Garde" w:eastAsia="Times New Roman" w:hAnsi="ITC Avant Garde" w:cs="Arial"/>
          <w:lang w:val="es-ES" w:eastAsia="es-ES"/>
        </w:rPr>
        <w:t>l valor bruto de un activo a lo largo de su vida útil</w:t>
      </w:r>
      <w:r w:rsidR="00FA70CA" w:rsidRPr="00BB33CC">
        <w:rPr>
          <w:rFonts w:ascii="ITC Avant Garde" w:eastAsia="Times New Roman" w:hAnsi="ITC Avant Garde" w:cs="Arial"/>
          <w:lang w:val="es-ES" w:eastAsia="es-ES"/>
        </w:rPr>
        <w:t xml:space="preserve">, lo cual es consistente </w:t>
      </w:r>
      <w:r w:rsidR="005C2A21" w:rsidRPr="00BB33CC">
        <w:rPr>
          <w:rFonts w:ascii="ITC Avant Garde" w:eastAsia="Times New Roman" w:hAnsi="ITC Avant Garde" w:cs="Arial"/>
          <w:lang w:val="es-ES" w:eastAsia="es-ES"/>
        </w:rPr>
        <w:t xml:space="preserve">con </w:t>
      </w:r>
      <w:r w:rsidR="00FA70CA" w:rsidRPr="00BB33CC">
        <w:rPr>
          <w:rFonts w:ascii="ITC Avant Garde" w:eastAsia="Times New Roman" w:hAnsi="ITC Avant Garde" w:cs="Arial"/>
          <w:lang w:val="es-ES" w:eastAsia="es-ES"/>
        </w:rPr>
        <w:t xml:space="preserve">las prácticas </w:t>
      </w:r>
      <w:r w:rsidRPr="00BB33CC">
        <w:rPr>
          <w:rFonts w:ascii="ITC Avant Garde" w:eastAsia="Times New Roman" w:hAnsi="ITC Avant Garde" w:cs="Arial"/>
          <w:lang w:val="es-ES" w:eastAsia="es-ES"/>
        </w:rPr>
        <w:t>adoptada</w:t>
      </w:r>
      <w:r w:rsidR="00FA70CA" w:rsidRPr="00BB33CC">
        <w:rPr>
          <w:rFonts w:ascii="ITC Avant Garde" w:eastAsia="Times New Roman" w:hAnsi="ITC Avant Garde" w:cs="Arial"/>
          <w:lang w:val="es-ES" w:eastAsia="es-ES"/>
        </w:rPr>
        <w:t>s</w:t>
      </w:r>
      <w:r w:rsidRPr="00BB33CC">
        <w:rPr>
          <w:rFonts w:ascii="ITC Avant Garde" w:eastAsia="Times New Roman" w:hAnsi="ITC Avant Garde" w:cs="Arial"/>
          <w:lang w:val="es-ES" w:eastAsia="es-ES"/>
        </w:rPr>
        <w:t xml:space="preserve"> habitualmente en la preparación de los estados financieros contables.</w:t>
      </w:r>
    </w:p>
    <w:p w:rsidR="00D975D8" w:rsidRPr="00BB33CC" w:rsidRDefault="00D975D8" w:rsidP="00776A41">
      <w:pPr>
        <w:pStyle w:val="Indentadoresolucin"/>
        <w:numPr>
          <w:ilvl w:val="0"/>
          <w:numId w:val="0"/>
        </w:numPr>
        <w:spacing w:before="240"/>
        <w:outlineLvl w:val="2"/>
        <w:rPr>
          <w:b/>
          <w:bCs/>
        </w:rPr>
      </w:pPr>
      <w:r w:rsidRPr="00BB33CC">
        <w:rPr>
          <w:b/>
          <w:bCs/>
        </w:rPr>
        <w:t>5.3.5 Costo de capital</w:t>
      </w:r>
    </w:p>
    <w:p w:rsidR="000007D5" w:rsidRPr="00BB33CC" w:rsidRDefault="007937F7" w:rsidP="00D975D8">
      <w:pPr>
        <w:pStyle w:val="Normalresolucion"/>
      </w:pPr>
      <w:r w:rsidRPr="00BB33CC">
        <w:t>En l</w:t>
      </w:r>
      <w:r w:rsidR="00DC4162" w:rsidRPr="00BB33CC">
        <w:t xml:space="preserve">o que hace al costo de capital, se considera adecuada su incorporación en la metodología de </w:t>
      </w:r>
      <w:r w:rsidR="000007D5" w:rsidRPr="00BB33CC">
        <w:t>separación</w:t>
      </w:r>
      <w:r w:rsidR="00DC4162" w:rsidRPr="00BB33CC">
        <w:t xml:space="preserve"> </w:t>
      </w:r>
      <w:r w:rsidR="000007D5" w:rsidRPr="00BB33CC">
        <w:t>contable</w:t>
      </w:r>
      <w:r w:rsidR="00DC4162" w:rsidRPr="00BB33CC">
        <w:t xml:space="preserve"> </w:t>
      </w:r>
      <w:r w:rsidR="000007D5" w:rsidRPr="00BB33CC">
        <w:t>conforme a la práctica internacional en la que se emplea una tasa de retorno de capital (WACC) que permite una cuantificación objetiva del rendimiento esperado y d</w:t>
      </w:r>
      <w:r w:rsidR="00731815" w:rsidRPr="00BB33CC">
        <w:t>el costo de capital. Mediante el</w:t>
      </w:r>
      <w:r w:rsidR="000007D5" w:rsidRPr="00BB33CC">
        <w:t xml:space="preserve"> WACC se tomará</w:t>
      </w:r>
      <w:r w:rsidR="005C2A21" w:rsidRPr="00BB33CC">
        <w:t>n</w:t>
      </w:r>
      <w:r w:rsidR="000007D5" w:rsidRPr="00BB33CC">
        <w:t xml:space="preserve"> en consideración los riesgos y la volatilidad inherentes al invertir en la empresa del concesionario y/o autorizado. En este sentido, se define como el costo promedio de la deuda y de los fondos propios, ponderados en función de sus respectivos pesos en la estructura de financiación de la compañía. Sobre el cálculo del co</w:t>
      </w:r>
      <w:r w:rsidR="00731815" w:rsidRPr="00BB33CC">
        <w:t>sto de patrimonio incluido en el</w:t>
      </w:r>
      <w:r w:rsidR="000007D5" w:rsidRPr="00BB33CC">
        <w:t xml:space="preserve"> WACC, se debe utilizar </w:t>
      </w:r>
      <w:r w:rsidR="005C2A21" w:rsidRPr="00BB33CC">
        <w:t>l</w:t>
      </w:r>
      <w:r w:rsidR="000007D5" w:rsidRPr="00BB33CC">
        <w:t xml:space="preserve">a metodología de CAPM adicionando una medida de riesgo asociada al mercado nacional (o riesgo país), de modo que se tenga en consideración la volatilidad asociada al funcionamiento de la compañía en dicho entorno. </w:t>
      </w:r>
      <w:r w:rsidR="00252F3C" w:rsidRPr="00BB33CC">
        <w:t>Lo anterior, está en línea con las mejores prácticas internacionales que se han presentado.</w:t>
      </w:r>
    </w:p>
    <w:p w:rsidR="00FA301F" w:rsidRPr="00BB33CC" w:rsidRDefault="00FA301F" w:rsidP="00D975D8">
      <w:pPr>
        <w:pStyle w:val="Normalresolucion"/>
      </w:pPr>
      <w:r w:rsidRPr="00BB33CC">
        <w:t xml:space="preserve">Por último, y con el objetivo de evitar la doble contabilización de los costos e ingresos financieros en la separación contable (ya representados por el concepto del costo de capital empleado), se deberá asegurar que estos conceptos contables no sean asignados a las cuentas de servicios finales solicitados por el regulador. Para ello, </w:t>
      </w:r>
      <w:r w:rsidR="00252F3C" w:rsidRPr="00BB33CC">
        <w:t xml:space="preserve">el Instituto considera pertinente que </w:t>
      </w:r>
      <w:r w:rsidRPr="00BB33CC">
        <w:t xml:space="preserve">estos rubros </w:t>
      </w:r>
      <w:r w:rsidR="00252F3C" w:rsidRPr="00BB33CC">
        <w:t>sean</w:t>
      </w:r>
      <w:r w:rsidRPr="00BB33CC">
        <w:t xml:space="preserve"> </w:t>
      </w:r>
      <w:r w:rsidR="00252F3C" w:rsidRPr="00BB33CC">
        <w:t xml:space="preserve">incorporados </w:t>
      </w:r>
      <w:r w:rsidRPr="00BB33CC">
        <w:t xml:space="preserve">en una cuenta </w:t>
      </w:r>
      <w:r w:rsidR="005C2A21" w:rsidRPr="00BB33CC">
        <w:t xml:space="preserve">denominada </w:t>
      </w:r>
      <w:r w:rsidRPr="00BB33CC">
        <w:t xml:space="preserve">“No atribuibles a la actividad”. </w:t>
      </w:r>
    </w:p>
    <w:p w:rsidR="00FA301F" w:rsidRPr="00BB33CC" w:rsidRDefault="00252F3C" w:rsidP="00D975D8">
      <w:pPr>
        <w:pStyle w:val="Normalresolucion"/>
      </w:pPr>
      <w:r w:rsidRPr="00BB33CC">
        <w:t xml:space="preserve">Adicionalmente, dada </w:t>
      </w:r>
      <w:r w:rsidR="00FA301F" w:rsidRPr="00BB33CC">
        <w:t xml:space="preserve">la exhaustividad de la información que se requiere para el cálculo del costo promedio ponderado del capital empleado, </w:t>
      </w:r>
      <w:r w:rsidRPr="00BB33CC">
        <w:t xml:space="preserve">el Instituto considera oportuno dar </w:t>
      </w:r>
      <w:r w:rsidR="00FA301F" w:rsidRPr="00BB33CC">
        <w:t xml:space="preserve">flexibilidad para que los </w:t>
      </w:r>
      <w:r w:rsidRPr="00BB33CC">
        <w:t xml:space="preserve">concesionarios y/o autorizados </w:t>
      </w:r>
      <w:r w:rsidR="00731815" w:rsidRPr="00BB33CC">
        <w:t>realicen dichos cálculos, sin menoscabo de que este pueda estimar el WACC que deberán aplicar los concesionarios y/o autorizados.</w:t>
      </w:r>
    </w:p>
    <w:p w:rsidR="00D975D8" w:rsidRPr="00BB33CC" w:rsidRDefault="00D975D8" w:rsidP="00776A41">
      <w:pPr>
        <w:pStyle w:val="Indentadoresolucin"/>
        <w:numPr>
          <w:ilvl w:val="0"/>
          <w:numId w:val="0"/>
        </w:numPr>
        <w:spacing w:before="240"/>
        <w:outlineLvl w:val="2"/>
        <w:rPr>
          <w:b/>
          <w:bCs/>
        </w:rPr>
      </w:pPr>
      <w:r w:rsidRPr="00BB33CC">
        <w:rPr>
          <w:b/>
          <w:bCs/>
        </w:rPr>
        <w:t>5.3.6 Esquema de atribución de costos a servicios</w:t>
      </w:r>
    </w:p>
    <w:p w:rsidR="001B2CEE" w:rsidRPr="00BB33CC" w:rsidRDefault="00C73B54" w:rsidP="00D975D8">
      <w:pPr>
        <w:pStyle w:val="Normalresolucion"/>
      </w:pPr>
      <w:r w:rsidRPr="00BB33CC">
        <w:t xml:space="preserve">Sobre el esquema de atribución de costos a servicios, se </w:t>
      </w:r>
      <w:r w:rsidR="0076577B" w:rsidRPr="00BB33CC">
        <w:t>adopta la metodología de atribución de costos más utilizada en la práctica internacional, es decir, la de CCD, mediante la cual los costos provenientes de la contabilidad financiera son distribuidos a lo largo de los diferentes niveles de la separación contable.</w:t>
      </w:r>
      <w:r w:rsidR="00541F90" w:rsidRPr="00BB33CC">
        <w:t xml:space="preserve"> </w:t>
      </w:r>
      <w:r w:rsidR="00541F90" w:rsidRPr="00BB33CC">
        <w:lastRenderedPageBreak/>
        <w:t xml:space="preserve">Adicionalmente, </w:t>
      </w:r>
      <w:r w:rsidR="001B2CEE" w:rsidRPr="00BB33CC">
        <w:t>es necesario señalar que dada la falta de precisión innata en la distribución de los costos generales, se estima conveniente definir que los mismos no deben representar un porcentaje superior al 10% en cualquiera de las etapas o niveles de la separación contable con el objetivo de que el reparto sea lo más causal posible. Esta aproximación es también compartida por otras autoridades regulatorias</w:t>
      </w:r>
      <w:r w:rsidR="001B2CEE" w:rsidRPr="00BB33CC">
        <w:rPr>
          <w:rStyle w:val="Refdenotaalpie"/>
        </w:rPr>
        <w:footnoteReference w:id="41"/>
      </w:r>
      <w:r w:rsidR="001B2CEE" w:rsidRPr="00BB33CC">
        <w:t xml:space="preserve"> y persigue asegurar la calidad de los ejercicios de repartición de costos implementados por los </w:t>
      </w:r>
      <w:r w:rsidR="00B93F44" w:rsidRPr="00BB33CC">
        <w:t>concesionarios y/o autorizados</w:t>
      </w:r>
      <w:r w:rsidR="001B2CEE" w:rsidRPr="00BB33CC">
        <w:t xml:space="preserve"> y, de este modo, maximizar el cumplimiento del principio de causalidad.</w:t>
      </w:r>
    </w:p>
    <w:p w:rsidR="00D975D8" w:rsidRPr="00BB33CC" w:rsidRDefault="00D975D8" w:rsidP="00776A41">
      <w:pPr>
        <w:pStyle w:val="Indentadoresolucin"/>
        <w:numPr>
          <w:ilvl w:val="0"/>
          <w:numId w:val="0"/>
        </w:numPr>
        <w:spacing w:before="240"/>
        <w:outlineLvl w:val="2"/>
        <w:rPr>
          <w:b/>
          <w:bCs/>
        </w:rPr>
      </w:pPr>
      <w:r w:rsidRPr="00BB33CC">
        <w:rPr>
          <w:b/>
          <w:bCs/>
        </w:rPr>
        <w:t>5.3.7 Cargos de transferencia</w:t>
      </w:r>
    </w:p>
    <w:p w:rsidR="005B488A" w:rsidRPr="00BB33CC" w:rsidRDefault="009C65FF" w:rsidP="00D975D8">
      <w:pPr>
        <w:pStyle w:val="Normalresolucion"/>
      </w:pPr>
      <w:r w:rsidRPr="00BB33CC">
        <w:t xml:space="preserve">En lo que respecta a </w:t>
      </w:r>
      <w:r w:rsidR="000113E2" w:rsidRPr="00BB33CC">
        <w:t>la aplicación de los</w:t>
      </w:r>
      <w:r w:rsidRPr="00BB33CC">
        <w:t xml:space="preserve"> cargos de transferencia</w:t>
      </w:r>
      <w:r w:rsidR="000113E2" w:rsidRPr="00BB33CC">
        <w:t>, se considera adecuado incluir varias alternativas que otorguen flexibilidad a los concesionarios y</w:t>
      </w:r>
      <w:r w:rsidR="005B488A" w:rsidRPr="00BB33CC">
        <w:t>/o</w:t>
      </w:r>
      <w:r w:rsidR="000113E2" w:rsidRPr="00BB33CC">
        <w:t xml:space="preserve"> autorizados para una determinación m</w:t>
      </w:r>
      <w:r w:rsidR="005B488A" w:rsidRPr="00BB33CC">
        <w:t>ás expedita</w:t>
      </w:r>
      <w:r w:rsidR="007F4173" w:rsidRPr="00BB33CC">
        <w:t xml:space="preserve"> y utilizar la información que se encuentre en mejor disposición</w:t>
      </w:r>
      <w:r w:rsidR="005B488A" w:rsidRPr="00BB33CC">
        <w:t>. En este sentido, se establece que los precios unitarios deben ser extraídos de acuerdo a los mecanismos presentados a continuación, por orden de prioridad:</w:t>
      </w:r>
      <w:r w:rsidR="005B488A" w:rsidRPr="00BB33CC" w:rsidDel="008201FA">
        <w:t xml:space="preserve"> </w:t>
      </w:r>
    </w:p>
    <w:p w:rsidR="005B488A" w:rsidRPr="00BB33CC" w:rsidRDefault="005B488A" w:rsidP="00D975D8">
      <w:pPr>
        <w:pStyle w:val="Texto"/>
        <w:numPr>
          <w:ilvl w:val="0"/>
          <w:numId w:val="286"/>
        </w:numPr>
        <w:spacing w:before="120" w:after="0" w:line="240" w:lineRule="auto"/>
        <w:rPr>
          <w:i/>
          <w:iCs/>
        </w:rPr>
      </w:pPr>
      <w:r w:rsidRPr="00BB33CC">
        <w:rPr>
          <w:rFonts w:ascii="ITC Avant Garde" w:hAnsi="ITC Avant Garde"/>
          <w:i/>
          <w:iCs/>
          <w:sz w:val="22"/>
          <w:szCs w:val="22"/>
        </w:rPr>
        <w:t>Tarifas reguladas mayoristas</w:t>
      </w:r>
      <w:r w:rsidRPr="00BB33CC">
        <w:rPr>
          <w:rFonts w:ascii="ITC Avant Garde" w:hAnsi="ITC Avant Garde"/>
          <w:sz w:val="22"/>
          <w:szCs w:val="22"/>
        </w:rPr>
        <w:t xml:space="preserve">, es decir, </w:t>
      </w:r>
      <w:r w:rsidR="0013787A" w:rsidRPr="00BB33CC">
        <w:rPr>
          <w:rFonts w:ascii="ITC Avant Garde" w:hAnsi="ITC Avant Garde"/>
          <w:sz w:val="22"/>
          <w:szCs w:val="22"/>
        </w:rPr>
        <w:t>las tarifas autorizadas por el órgano regulador</w:t>
      </w:r>
      <w:r w:rsidRPr="00BB33CC">
        <w:rPr>
          <w:rFonts w:ascii="ITC Avant Garde" w:hAnsi="ITC Avant Garde"/>
          <w:sz w:val="22"/>
          <w:szCs w:val="22"/>
        </w:rPr>
        <w:t>;</w:t>
      </w:r>
    </w:p>
    <w:p w:rsidR="005B488A" w:rsidRPr="00BB33CC" w:rsidRDefault="005B488A" w:rsidP="00D975D8">
      <w:pPr>
        <w:pStyle w:val="Texto"/>
        <w:numPr>
          <w:ilvl w:val="0"/>
          <w:numId w:val="286"/>
        </w:numPr>
        <w:spacing w:before="120" w:after="0" w:line="240" w:lineRule="auto"/>
        <w:ind w:left="1003" w:hanging="357"/>
      </w:pPr>
      <w:r w:rsidRPr="00BB33CC">
        <w:rPr>
          <w:rFonts w:ascii="ITC Avant Garde" w:hAnsi="ITC Avant Garde"/>
          <w:i/>
          <w:iCs/>
          <w:sz w:val="22"/>
          <w:szCs w:val="22"/>
        </w:rPr>
        <w:t>Tarifas comerciales mayoristas</w:t>
      </w:r>
      <w:r w:rsidRPr="00BB33CC">
        <w:rPr>
          <w:rFonts w:ascii="ITC Avant Garde" w:hAnsi="ITC Avant Garde"/>
          <w:sz w:val="22"/>
          <w:szCs w:val="22"/>
        </w:rPr>
        <w:t xml:space="preserve">, que tiene convenidas el </w:t>
      </w:r>
      <w:r w:rsidR="00B93F44" w:rsidRPr="00BB33CC">
        <w:rPr>
          <w:rFonts w:ascii="ITC Avant Garde" w:hAnsi="ITC Avant Garde"/>
          <w:sz w:val="22"/>
          <w:szCs w:val="22"/>
        </w:rPr>
        <w:t>concesionario y/o autorizado</w:t>
      </w:r>
      <w:r w:rsidRPr="00BB33CC">
        <w:rPr>
          <w:rFonts w:ascii="ITC Avant Garde" w:hAnsi="ITC Avant Garde"/>
          <w:sz w:val="22"/>
          <w:szCs w:val="22"/>
        </w:rPr>
        <w:t xml:space="preserve"> con terceros para la prestación del servicio;</w:t>
      </w:r>
    </w:p>
    <w:p w:rsidR="005B488A" w:rsidRPr="00BB33CC" w:rsidRDefault="005B488A" w:rsidP="00D975D8">
      <w:pPr>
        <w:pStyle w:val="Texto"/>
        <w:numPr>
          <w:ilvl w:val="0"/>
          <w:numId w:val="286"/>
        </w:numPr>
        <w:spacing w:before="120" w:after="0" w:line="240" w:lineRule="auto"/>
        <w:ind w:left="1003" w:hanging="357"/>
      </w:pPr>
      <w:r w:rsidRPr="00BB33CC">
        <w:rPr>
          <w:rFonts w:ascii="ITC Avant Garde" w:hAnsi="ITC Avant Garde"/>
          <w:i/>
          <w:iCs/>
          <w:sz w:val="22"/>
          <w:szCs w:val="22"/>
        </w:rPr>
        <w:t>Ingreso unitario promedio recibido en el ejercicio</w:t>
      </w:r>
      <w:r w:rsidRPr="00BB33CC">
        <w:rPr>
          <w:rFonts w:ascii="ITC Avant Garde" w:hAnsi="ITC Avant Garde"/>
          <w:sz w:val="22"/>
          <w:szCs w:val="22"/>
        </w:rPr>
        <w:t xml:space="preserve">, por parte del </w:t>
      </w:r>
      <w:r w:rsidR="00B93F44" w:rsidRPr="00BB33CC">
        <w:rPr>
          <w:rFonts w:ascii="ITC Avant Garde" w:hAnsi="ITC Avant Garde"/>
          <w:sz w:val="22"/>
          <w:szCs w:val="22"/>
        </w:rPr>
        <w:t>concesionario y</w:t>
      </w:r>
      <w:r w:rsidR="00CE4C15" w:rsidRPr="00BB33CC">
        <w:rPr>
          <w:rFonts w:ascii="ITC Avant Garde" w:hAnsi="ITC Avant Garde"/>
          <w:sz w:val="22"/>
          <w:szCs w:val="22"/>
        </w:rPr>
        <w:t>/</w:t>
      </w:r>
      <w:r w:rsidR="00B93F44" w:rsidRPr="00BB33CC">
        <w:rPr>
          <w:rFonts w:ascii="ITC Avant Garde" w:hAnsi="ITC Avant Garde"/>
          <w:sz w:val="22"/>
          <w:szCs w:val="22"/>
        </w:rPr>
        <w:t>o autorizado</w:t>
      </w:r>
      <w:r w:rsidRPr="00BB33CC">
        <w:rPr>
          <w:rFonts w:ascii="ITC Avant Garde" w:hAnsi="ITC Avant Garde"/>
          <w:sz w:val="22"/>
          <w:szCs w:val="22"/>
        </w:rPr>
        <w:t>, y</w:t>
      </w:r>
    </w:p>
    <w:p w:rsidR="005B488A" w:rsidRPr="00BB33CC" w:rsidRDefault="005B488A" w:rsidP="00D975D8">
      <w:pPr>
        <w:pStyle w:val="Texto"/>
        <w:numPr>
          <w:ilvl w:val="0"/>
          <w:numId w:val="286"/>
        </w:numPr>
        <w:spacing w:before="120" w:after="0" w:line="240" w:lineRule="auto"/>
        <w:ind w:left="1003" w:hanging="357"/>
      </w:pPr>
      <w:r w:rsidRPr="00BB33CC">
        <w:rPr>
          <w:rFonts w:ascii="ITC Avant Garde" w:hAnsi="ITC Avant Garde"/>
          <w:i/>
          <w:iCs/>
          <w:sz w:val="22"/>
          <w:szCs w:val="22"/>
        </w:rPr>
        <w:t>Costo unitario promedio del servicio mayorista</w:t>
      </w:r>
      <w:r w:rsidRPr="00BB33CC">
        <w:rPr>
          <w:rFonts w:ascii="ITC Avant Garde" w:hAnsi="ITC Avant Garde"/>
          <w:sz w:val="22"/>
          <w:szCs w:val="22"/>
        </w:rPr>
        <w:t>, basado en el costo del servicio extraído de la propia separación contable, incluyendo el costo del capital empleado.</w:t>
      </w:r>
    </w:p>
    <w:p w:rsidR="009115E4" w:rsidRPr="00BB33CC" w:rsidRDefault="009115E4" w:rsidP="00D975D8">
      <w:pPr>
        <w:pStyle w:val="Normalresolucion"/>
      </w:pPr>
      <w:r w:rsidRPr="00BB33CC" w:rsidDel="00DF46F7">
        <w:t>Este orden de prioridad consistirá en emplear la primera fuente, siempre que ésta se encuentre disponible (es decir, tarifas reguladas mayoristas) para la determinación del precio de transferencia unitario. De no existir tarifas reguladas para el servicio bajo análisis, se procederá a la extracción de los precios de transferencia mediante la segunda alternativa, y así sucesivamente.</w:t>
      </w:r>
      <w:r w:rsidR="000113E2" w:rsidRPr="00BB33CC">
        <w:t xml:space="preserve"> Lo anterior, </w:t>
      </w:r>
      <w:r w:rsidR="005B488A" w:rsidRPr="00BB33CC">
        <w:t>a fin de</w:t>
      </w:r>
      <w:r w:rsidR="000113E2" w:rsidRPr="00BB33CC">
        <w:t xml:space="preserve"> </w:t>
      </w:r>
      <w:r w:rsidR="005B488A" w:rsidRPr="00BB33CC">
        <w:t xml:space="preserve">utilizar la información que ya se tenga disponible </w:t>
      </w:r>
      <w:r w:rsidR="000B5B75" w:rsidRPr="00BB33CC">
        <w:t>y con ello</w:t>
      </w:r>
      <w:r w:rsidR="005B488A" w:rsidRPr="00BB33CC">
        <w:t xml:space="preserve"> disminuir la complejidad al realizar cálculos adicionales. </w:t>
      </w:r>
    </w:p>
    <w:p w:rsidR="008E3BC5" w:rsidRPr="00BB33CC" w:rsidRDefault="008E3BC5" w:rsidP="008E3BC5">
      <w:pPr>
        <w:pStyle w:val="Normalresolucion"/>
        <w:spacing w:after="0" w:line="276" w:lineRule="auto"/>
      </w:pPr>
      <w:r w:rsidRPr="00BB33CC">
        <w:t>Ahora bien, en el caso de que las tarifas comerciales mayoristas estén sujetas a un descuento por volumen, el operador no debería aplicarse un descuento mayor que el descuento promedio ponderado que le aplica a terceros</w:t>
      </w:r>
      <w:r w:rsidR="000154F2" w:rsidRPr="00BB33CC">
        <w:t>, a efecto de prevenir que se beneficie por la aplicación de descuentos por volumen a los que solo él pueda acceder dada su escala de operación</w:t>
      </w:r>
      <w:r w:rsidRPr="00BB33CC">
        <w:t>.</w:t>
      </w:r>
    </w:p>
    <w:p w:rsidR="00D975D8" w:rsidRPr="00BB33CC" w:rsidRDefault="00D975D8" w:rsidP="00776A41">
      <w:pPr>
        <w:pStyle w:val="Indentadoresolucin"/>
        <w:numPr>
          <w:ilvl w:val="0"/>
          <w:numId w:val="0"/>
        </w:numPr>
        <w:spacing w:before="240"/>
        <w:outlineLvl w:val="2"/>
        <w:rPr>
          <w:b/>
          <w:bCs/>
        </w:rPr>
      </w:pPr>
      <w:r w:rsidRPr="00BB33CC">
        <w:rPr>
          <w:b/>
          <w:bCs/>
        </w:rPr>
        <w:t>5.3.8 Formatos</w:t>
      </w:r>
    </w:p>
    <w:p w:rsidR="00F0092D" w:rsidRPr="00BB33CC" w:rsidRDefault="008157F1" w:rsidP="00776A41">
      <w:pPr>
        <w:spacing w:before="240" w:line="240" w:lineRule="auto"/>
        <w:jc w:val="both"/>
      </w:pPr>
      <w:r w:rsidRPr="00BB33CC">
        <w:rPr>
          <w:rFonts w:ascii="ITC Avant Garde" w:eastAsia="Times New Roman" w:hAnsi="ITC Avant Garde" w:cs="Arial"/>
          <w:lang w:val="es-ES" w:eastAsia="es-ES"/>
        </w:rPr>
        <w:lastRenderedPageBreak/>
        <w:t>Respecto a</w:t>
      </w:r>
      <w:r w:rsidR="00153823" w:rsidRPr="00BB33CC">
        <w:rPr>
          <w:rFonts w:ascii="ITC Avant Garde" w:eastAsia="Times New Roman" w:hAnsi="ITC Avant Garde" w:cs="Arial"/>
          <w:lang w:val="es-ES" w:eastAsia="es-ES"/>
        </w:rPr>
        <w:t xml:space="preserve"> la presentación de la información de separación contable, se establecen formatos a fin de dar mayor certeza y claridad sobre los rubros que deberán desagregar los concesionarios y/o autorizados, y que resultan de utilidad para el Instituto, ya que permiten recabar la información necesaria para alcanzar los objetivos planteados.</w:t>
      </w:r>
      <w:r w:rsidR="00AF1BDD" w:rsidRPr="00BB33CC">
        <w:rPr>
          <w:rFonts w:ascii="ITC Avant Garde" w:eastAsia="Times New Roman" w:hAnsi="ITC Avant Garde" w:cs="Arial"/>
          <w:lang w:val="es-ES" w:eastAsia="es-ES"/>
        </w:rPr>
        <w:t xml:space="preserve"> </w:t>
      </w:r>
      <w:r w:rsidR="0012302D" w:rsidRPr="00BB33CC">
        <w:rPr>
          <w:rFonts w:ascii="ITC Avant Garde" w:eastAsia="Times New Roman" w:hAnsi="ITC Avant Garde" w:cs="Arial"/>
          <w:lang w:val="es-ES" w:eastAsia="es-ES"/>
        </w:rPr>
        <w:t xml:space="preserve">Derivado de lo anterior, </w:t>
      </w:r>
      <w:r w:rsidR="00DA4C33" w:rsidRPr="00BB33CC">
        <w:rPr>
          <w:rFonts w:ascii="ITC Avant Garde" w:eastAsia="Times New Roman" w:hAnsi="ITC Avant Garde" w:cs="Arial"/>
          <w:lang w:val="es-ES" w:eastAsia="es-ES"/>
        </w:rPr>
        <w:t xml:space="preserve">se establecen </w:t>
      </w:r>
      <w:r w:rsidR="0012302D" w:rsidRPr="00BB33CC">
        <w:rPr>
          <w:rFonts w:ascii="ITC Avant Garde" w:eastAsia="Times New Roman" w:hAnsi="ITC Avant Garde" w:cs="Arial"/>
          <w:lang w:val="es-ES" w:eastAsia="es-ES"/>
        </w:rPr>
        <w:t xml:space="preserve">formatos </w:t>
      </w:r>
      <w:r w:rsidR="00DA4C33" w:rsidRPr="00BB33CC">
        <w:rPr>
          <w:rFonts w:ascii="ITC Avant Garde" w:eastAsia="Times New Roman" w:hAnsi="ITC Avant Garde" w:cs="Arial"/>
          <w:lang w:val="es-ES" w:eastAsia="es-ES"/>
        </w:rPr>
        <w:t xml:space="preserve">que son adaptables </w:t>
      </w:r>
      <w:r w:rsidR="0012302D" w:rsidRPr="00BB33CC">
        <w:rPr>
          <w:rFonts w:ascii="ITC Avant Garde" w:eastAsia="Times New Roman" w:hAnsi="ITC Avant Garde" w:cs="Arial"/>
          <w:lang w:val="es-ES" w:eastAsia="es-ES"/>
        </w:rPr>
        <w:t xml:space="preserve">a la naturaleza de los concesionarios y/o autorizados. Los agentes económicos preponderantes y los agentes declarados con poder sustancial deben entregar información </w:t>
      </w:r>
      <w:r w:rsidR="00DA4C33" w:rsidRPr="00BB33CC">
        <w:rPr>
          <w:rFonts w:ascii="ITC Avant Garde" w:eastAsia="Times New Roman" w:hAnsi="ITC Avant Garde" w:cs="Arial"/>
          <w:lang w:val="es-ES" w:eastAsia="es-ES"/>
        </w:rPr>
        <w:t xml:space="preserve">más </w:t>
      </w:r>
      <w:r w:rsidR="0012302D" w:rsidRPr="00BB33CC">
        <w:rPr>
          <w:rFonts w:ascii="ITC Avant Garde" w:eastAsia="Times New Roman" w:hAnsi="ITC Avant Garde" w:cs="Arial"/>
          <w:lang w:val="es-ES" w:eastAsia="es-ES"/>
        </w:rPr>
        <w:t xml:space="preserve">detallada </w:t>
      </w:r>
      <w:r w:rsidR="00DA4C33" w:rsidRPr="00BB33CC">
        <w:rPr>
          <w:rFonts w:ascii="ITC Avant Garde" w:eastAsia="Times New Roman" w:hAnsi="ITC Avant Garde" w:cs="Arial"/>
          <w:lang w:val="es-ES" w:eastAsia="es-ES"/>
        </w:rPr>
        <w:t xml:space="preserve">y desagregada </w:t>
      </w:r>
      <w:r w:rsidR="0012302D" w:rsidRPr="00BB33CC">
        <w:rPr>
          <w:rFonts w:ascii="ITC Avant Garde" w:eastAsia="Times New Roman" w:hAnsi="ITC Avant Garde" w:cs="Arial"/>
          <w:lang w:val="es-ES" w:eastAsia="es-ES"/>
        </w:rPr>
        <w:t xml:space="preserve">que permita cumplir los objetivos </w:t>
      </w:r>
      <w:r w:rsidR="00DA4C33" w:rsidRPr="00BB33CC">
        <w:rPr>
          <w:rFonts w:ascii="ITC Avant Garde" w:eastAsia="Times New Roman" w:hAnsi="ITC Avant Garde" w:cs="Arial"/>
          <w:lang w:val="es-ES" w:eastAsia="es-ES"/>
        </w:rPr>
        <w:t>establecido</w:t>
      </w:r>
      <w:r w:rsidRPr="00BB33CC">
        <w:rPr>
          <w:rFonts w:ascii="ITC Avant Garde" w:eastAsia="Times New Roman" w:hAnsi="ITC Avant Garde" w:cs="Arial"/>
          <w:lang w:val="es-ES" w:eastAsia="es-ES"/>
        </w:rPr>
        <w:t>s</w:t>
      </w:r>
      <w:r w:rsidR="00DA4C33" w:rsidRPr="00BB33CC">
        <w:rPr>
          <w:rFonts w:ascii="ITC Avant Garde" w:eastAsia="Times New Roman" w:hAnsi="ITC Avant Garde" w:cs="Arial"/>
          <w:lang w:val="es-ES" w:eastAsia="es-ES"/>
        </w:rPr>
        <w:t xml:space="preserve"> para la separación contable</w:t>
      </w:r>
      <w:r w:rsidR="0012302D" w:rsidRPr="00BB33CC">
        <w:rPr>
          <w:rFonts w:ascii="ITC Avant Garde" w:eastAsia="Times New Roman" w:hAnsi="ITC Avant Garde" w:cs="Arial"/>
          <w:lang w:val="es-ES" w:eastAsia="es-ES"/>
        </w:rPr>
        <w:t xml:space="preserve">. Por otro lado, </w:t>
      </w:r>
      <w:r w:rsidR="00DA4C33" w:rsidRPr="00BB33CC">
        <w:rPr>
          <w:rFonts w:ascii="ITC Avant Garde" w:eastAsia="Times New Roman" w:hAnsi="ITC Avant Garde" w:cs="Arial"/>
          <w:lang w:val="es-ES" w:eastAsia="es-ES"/>
        </w:rPr>
        <w:t xml:space="preserve">se establecen </w:t>
      </w:r>
      <w:r w:rsidR="0012302D" w:rsidRPr="00BB33CC">
        <w:rPr>
          <w:rFonts w:ascii="ITC Avant Garde" w:eastAsia="Times New Roman" w:hAnsi="ITC Avant Garde" w:cs="Arial"/>
          <w:lang w:val="es-ES" w:eastAsia="es-ES"/>
        </w:rPr>
        <w:t xml:space="preserve">formatos </w:t>
      </w:r>
      <w:r w:rsidR="00DA4C33" w:rsidRPr="00BB33CC">
        <w:rPr>
          <w:rFonts w:ascii="ITC Avant Garde" w:eastAsia="Times New Roman" w:hAnsi="ITC Avant Garde" w:cs="Arial"/>
          <w:lang w:val="es-ES" w:eastAsia="es-ES"/>
        </w:rPr>
        <w:t xml:space="preserve">de aplicación especial para las </w:t>
      </w:r>
      <w:r w:rsidR="00A43B50" w:rsidRPr="00BB33CC">
        <w:rPr>
          <w:rFonts w:ascii="ITC Avant Garde" w:eastAsia="Times New Roman" w:hAnsi="ITC Avant Garde" w:cs="Arial"/>
          <w:lang w:val="es-ES" w:eastAsia="es-ES"/>
        </w:rPr>
        <w:t>redes compartidas mayoristas</w:t>
      </w:r>
      <w:r w:rsidR="00DA4C33" w:rsidRPr="00BB33CC">
        <w:rPr>
          <w:rFonts w:ascii="ITC Avant Garde" w:eastAsia="Times New Roman" w:hAnsi="ITC Avant Garde" w:cs="Arial"/>
          <w:lang w:val="es-ES" w:eastAsia="es-ES"/>
        </w:rPr>
        <w:t xml:space="preserve">, </w:t>
      </w:r>
      <w:r w:rsidRPr="00BB33CC">
        <w:rPr>
          <w:rFonts w:ascii="ITC Avant Garde" w:eastAsia="Times New Roman" w:hAnsi="ITC Avant Garde" w:cs="Arial"/>
          <w:lang w:val="es-ES" w:eastAsia="es-ES"/>
        </w:rPr>
        <w:t>que presentan</w:t>
      </w:r>
      <w:r w:rsidR="0012302D" w:rsidRPr="00BB33CC">
        <w:rPr>
          <w:rFonts w:ascii="ITC Avant Garde" w:eastAsia="Times New Roman" w:hAnsi="ITC Avant Garde" w:cs="Arial"/>
          <w:lang w:val="es-ES" w:eastAsia="es-ES"/>
        </w:rPr>
        <w:t xml:space="preserve"> menor nivel de desagregación</w:t>
      </w:r>
      <w:r w:rsidR="00DA4C33" w:rsidRPr="00BB33CC">
        <w:rPr>
          <w:rFonts w:ascii="ITC Avant Garde" w:eastAsia="Times New Roman" w:hAnsi="ITC Avant Garde" w:cs="Arial"/>
          <w:lang w:val="es-ES" w:eastAsia="es-ES"/>
        </w:rPr>
        <w:t>, ya que tienen la finalidad de coadyuvar</w:t>
      </w:r>
      <w:r w:rsidRPr="00BB33CC">
        <w:rPr>
          <w:rFonts w:ascii="ITC Avant Garde" w:eastAsia="Times New Roman" w:hAnsi="ITC Avant Garde" w:cs="Arial"/>
          <w:lang w:val="es-ES" w:eastAsia="es-ES"/>
        </w:rPr>
        <w:t xml:space="preserve"> a</w:t>
      </w:r>
      <w:r w:rsidR="00DA4C33" w:rsidRPr="00BB33CC">
        <w:rPr>
          <w:rFonts w:ascii="ITC Avant Garde" w:eastAsia="Times New Roman" w:hAnsi="ITC Avant Garde" w:cs="Arial"/>
          <w:lang w:val="es-ES" w:eastAsia="es-ES"/>
        </w:rPr>
        <w:t xml:space="preserve"> </w:t>
      </w:r>
      <w:r w:rsidR="0012302D" w:rsidRPr="00BB33CC">
        <w:rPr>
          <w:rFonts w:ascii="ITC Avant Garde" w:eastAsia="Times New Roman" w:hAnsi="ITC Avant Garde" w:cs="Arial"/>
          <w:lang w:val="es-ES" w:eastAsia="es-ES"/>
        </w:rPr>
        <w:t xml:space="preserve">identificar las operaciones que estas </w:t>
      </w:r>
      <w:r w:rsidRPr="00BB33CC">
        <w:rPr>
          <w:rFonts w:ascii="ITC Avant Garde" w:eastAsia="Times New Roman" w:hAnsi="ITC Avant Garde" w:cs="Arial"/>
          <w:lang w:val="es-ES" w:eastAsia="es-ES"/>
        </w:rPr>
        <w:t xml:space="preserve">redes </w:t>
      </w:r>
      <w:r w:rsidR="0012302D" w:rsidRPr="00BB33CC">
        <w:rPr>
          <w:rFonts w:ascii="ITC Avant Garde" w:eastAsia="Times New Roman" w:hAnsi="ITC Avant Garde" w:cs="Arial"/>
          <w:lang w:val="es-ES" w:eastAsia="es-ES"/>
        </w:rPr>
        <w:t>tengan con autoridades públicas</w:t>
      </w:r>
      <w:r w:rsidR="00DA4C33" w:rsidRPr="00BB33CC">
        <w:rPr>
          <w:rFonts w:ascii="ITC Avant Garde" w:eastAsia="Times New Roman" w:hAnsi="ITC Avant Garde" w:cs="Arial"/>
          <w:lang w:val="es-ES" w:eastAsia="es-ES"/>
        </w:rPr>
        <w:t>.</w:t>
      </w:r>
    </w:p>
    <w:p w:rsidR="00F0092D" w:rsidRPr="00BB33CC" w:rsidRDefault="00F0092D" w:rsidP="00776A41">
      <w:pPr>
        <w:pStyle w:val="Ttulo3"/>
        <w:numPr>
          <w:ilvl w:val="0"/>
          <w:numId w:val="0"/>
        </w:numPr>
      </w:pPr>
      <w:r w:rsidRPr="00BB33CC">
        <w:t>5.3.9 Lineamientos generales para la selección de los criterios de imputación de costos e ingresos en la separación contable</w:t>
      </w:r>
    </w:p>
    <w:p w:rsidR="00DF46F7" w:rsidRPr="00BB33CC" w:rsidRDefault="00B93BF3" w:rsidP="00D975D8">
      <w:pPr>
        <w:pStyle w:val="Normalresolucion"/>
      </w:pPr>
      <w:r w:rsidRPr="00BB33CC">
        <w:t xml:space="preserve">Respecto a los criterios de imputación de costos e ingresos en la separación contable, se </w:t>
      </w:r>
      <w:r w:rsidR="001C5B66" w:rsidRPr="00BB33CC">
        <w:t>incluye</w:t>
      </w:r>
      <w:r w:rsidRPr="00BB33CC">
        <w:t xml:space="preserve"> un conjunto de guías y lineamentos generales sobre determinadas atribuciones de costos de especial relevancia en la separación contable, a fin de obtener un mejor alineamiento con los principios de causalidad, transparencia y objetividad empleados en la metodología de separación contable.</w:t>
      </w:r>
    </w:p>
    <w:p w:rsidR="00696EBD" w:rsidRPr="00BB33CC" w:rsidDel="008849DA" w:rsidRDefault="00696EBD" w:rsidP="00776A41">
      <w:pPr>
        <w:spacing w:line="240" w:lineRule="auto"/>
        <w:jc w:val="both"/>
      </w:pPr>
      <w:r w:rsidRPr="00BB33CC" w:rsidDel="008849DA">
        <w:rPr>
          <w:rFonts w:ascii="ITC Avant Garde" w:eastAsia="Times New Roman" w:hAnsi="ITC Avant Garde" w:cs="Arial"/>
          <w:lang w:val="es-ES" w:eastAsia="es-ES"/>
        </w:rPr>
        <w:t xml:space="preserve">En este sentido, las principales directrices para las diferentes fases de imputación de costos e ingresos en la separación contable </w:t>
      </w:r>
      <w:r w:rsidR="00B93BF3" w:rsidRPr="00BB33CC">
        <w:rPr>
          <w:rFonts w:ascii="ITC Avant Garde" w:eastAsia="Times New Roman" w:hAnsi="ITC Avant Garde" w:cs="Arial"/>
          <w:lang w:val="es-ES" w:eastAsia="es-ES"/>
        </w:rPr>
        <w:t xml:space="preserve">que se consideran relevantes </w:t>
      </w:r>
      <w:r w:rsidRPr="00BB33CC" w:rsidDel="008849DA">
        <w:rPr>
          <w:rFonts w:ascii="ITC Avant Garde" w:eastAsia="Times New Roman" w:hAnsi="ITC Avant Garde" w:cs="Arial"/>
          <w:lang w:val="es-ES" w:eastAsia="es-ES"/>
        </w:rPr>
        <w:t>son las siguientes:</w:t>
      </w:r>
    </w:p>
    <w:p w:rsidR="00696EBD" w:rsidRPr="00BB33CC" w:rsidDel="008849DA" w:rsidRDefault="00696EBD" w:rsidP="00D975D8">
      <w:pPr>
        <w:pStyle w:val="Normalresolucion"/>
        <w:rPr>
          <w:u w:val="single"/>
        </w:rPr>
      </w:pPr>
      <w:r w:rsidRPr="00BB33CC" w:rsidDel="008849DA">
        <w:rPr>
          <w:u w:val="single"/>
        </w:rPr>
        <w:t>Imputación de ingresos por naturaleza (Nivel 1) a cuentas de servicios (Nivel 3)</w:t>
      </w:r>
    </w:p>
    <w:p w:rsidR="00696EBD" w:rsidRPr="00BB33CC" w:rsidDel="008849DA" w:rsidRDefault="00696EBD" w:rsidP="00D975D8">
      <w:pPr>
        <w:pStyle w:val="Normalresolucion"/>
      </w:pPr>
      <w:r w:rsidRPr="00BB33CC" w:rsidDel="008849DA">
        <w:t xml:space="preserve">En esta fase de imputación el principal reto consiste en la identificación de los ingresos a nivel de servicio cuando los mismos son prestados de manera conjunta mediante ofertas empaquetadas (paquetes </w:t>
      </w:r>
      <w:r w:rsidR="00BC073F" w:rsidRPr="00BB33CC">
        <w:rPr>
          <w:i/>
          <w:iCs/>
        </w:rPr>
        <w:t>doble play</w:t>
      </w:r>
      <w:r w:rsidRPr="00BB33CC" w:rsidDel="008849DA">
        <w:t xml:space="preserve"> de voz y datos). Para realizar esta identificación de ingresos por categoría de servicio el Instituto no considera como alternativas válidas la desagregación con base en costos o la imputación de la totalidad de los ingresos del paquete a un servicio en particular.</w:t>
      </w:r>
    </w:p>
    <w:p w:rsidR="00696EBD" w:rsidRPr="00BB33CC" w:rsidDel="008849DA" w:rsidRDefault="00696EBD" w:rsidP="00D975D8">
      <w:pPr>
        <w:pStyle w:val="Normalresolucion"/>
      </w:pPr>
      <w:r w:rsidRPr="00BB33CC" w:rsidDel="008849DA">
        <w:t>En su defecto, el Instituto considera que la mejor aproximación en estos casos consiste en el desarrollo de un ejercicio estadístico que determine el valor implícito de los diferentes servicios de telecomunicaciones reconociendo el portafolio de planes comerciales del concesionario</w:t>
      </w:r>
      <w:r w:rsidR="005051DE" w:rsidRPr="00BB33CC">
        <w:t xml:space="preserve"> y/o autorizado</w:t>
      </w:r>
      <w:r w:rsidRPr="00BB33CC" w:rsidDel="008849DA">
        <w:t>. De este modo, se podrá garantizar una máxima alineación con la realidad de</w:t>
      </w:r>
      <w:r w:rsidR="002548FA" w:rsidRPr="00BB33CC">
        <w:t>l</w:t>
      </w:r>
      <w:r w:rsidRPr="00BB33CC" w:rsidDel="008849DA">
        <w:t xml:space="preserve"> mercado y así maximizar el cumplimiento del principio de causalidad.</w:t>
      </w:r>
    </w:p>
    <w:p w:rsidR="00696EBD" w:rsidRPr="00BB33CC" w:rsidDel="008849DA" w:rsidRDefault="00696EBD" w:rsidP="00D975D8">
      <w:pPr>
        <w:pStyle w:val="Normalresolucion"/>
        <w:rPr>
          <w:u w:val="single"/>
        </w:rPr>
      </w:pPr>
      <w:r w:rsidRPr="00BB33CC" w:rsidDel="008849DA">
        <w:rPr>
          <w:u w:val="single"/>
        </w:rPr>
        <w:t>Imputación de costos por naturaleza (Nivel 1) a cuentas de costos por actividades y elementos de red (Nivel 2)</w:t>
      </w:r>
    </w:p>
    <w:p w:rsidR="00696EBD" w:rsidRPr="00BB33CC" w:rsidDel="008849DA" w:rsidRDefault="00696EBD" w:rsidP="00D975D8">
      <w:pPr>
        <w:pStyle w:val="Normalresolucion"/>
      </w:pPr>
      <w:r w:rsidRPr="00BB33CC" w:rsidDel="008849DA">
        <w:t>A continuación se proporcionan indicaciones para la imputación de categorías de costos por naturaleza de especial relevancia:</w:t>
      </w:r>
    </w:p>
    <w:p w:rsidR="00696EBD" w:rsidRPr="00BB33CC" w:rsidDel="008849DA" w:rsidRDefault="00696EBD" w:rsidP="00D975D8">
      <w:pPr>
        <w:pStyle w:val="Indentadoresolucin"/>
      </w:pPr>
      <w:r w:rsidRPr="00BB33CC" w:rsidDel="008849DA">
        <w:rPr>
          <w:bCs/>
          <w:i/>
          <w:iCs/>
        </w:rPr>
        <w:lastRenderedPageBreak/>
        <w:t>Personal</w:t>
      </w:r>
      <w:r w:rsidRPr="00BB33CC" w:rsidDel="008849DA">
        <w:t>: Los costos asociados al personal deberán ser atribuidos en el Nivel 2 a las actividades o elementos de red a los que éstos se dedican con base en el reconocimiento de las funciones realizadas (por medio de herramientas internas ABC</w:t>
      </w:r>
      <w:r w:rsidR="008329C5" w:rsidRPr="00BB33CC">
        <w:rPr>
          <w:rStyle w:val="Refdenotaalpie"/>
        </w:rPr>
        <w:footnoteReference w:id="42"/>
      </w:r>
      <w:r w:rsidRPr="00BB33CC" w:rsidDel="008849DA">
        <w:t xml:space="preserve"> o bases de datos que registren el tiempo dedicado por cada trabajador a cada una de las tareas parametrizadas). Este proceso deberá reconocer no solo la dedicación horaria del trabajador, sino también el sueldo asociado a este, para asegurar la máxima alineación a costos.</w:t>
      </w:r>
    </w:p>
    <w:p w:rsidR="00696EBD" w:rsidRPr="00BB33CC" w:rsidDel="008849DA" w:rsidRDefault="00696EBD" w:rsidP="00D975D8">
      <w:pPr>
        <w:pStyle w:val="Indentadoresolucin"/>
      </w:pPr>
      <w:r w:rsidRPr="00BB33CC" w:rsidDel="008849DA">
        <w:rPr>
          <w:bCs/>
          <w:i/>
          <w:iCs/>
        </w:rPr>
        <w:t>Elementos de soporte (arrendamientos, edificios, reparaciones, energía, suministros)</w:t>
      </w:r>
      <w:r w:rsidRPr="00BB33CC" w:rsidDel="008849DA">
        <w:t>: Los costos de estos conceptos deberán ser distribuidos a las actividades o elementos de red que los originan. Así, por ejemplo:</w:t>
      </w:r>
    </w:p>
    <w:p w:rsidR="00696EBD" w:rsidRPr="00BB33CC" w:rsidDel="008849DA" w:rsidRDefault="00696EBD" w:rsidP="00D975D8">
      <w:pPr>
        <w:pStyle w:val="Indentado3"/>
      </w:pPr>
      <w:r w:rsidRPr="00BB33CC" w:rsidDel="008849DA">
        <w:t>Para el reparto de los arrendamientos y edificios se analizarán las funciones de los locales del concesionario</w:t>
      </w:r>
      <w:r w:rsidR="005051DE" w:rsidRPr="00BB33CC">
        <w:t xml:space="preserve"> y/o autorizado</w:t>
      </w:r>
      <w:r w:rsidRPr="00BB33CC" w:rsidDel="008849DA">
        <w:t>, distribuyéndose el costo con base en los metros cuadrados (ponderados por el costo por metro cuadrado). Por ejemplo, si un 10% de un edificio está ocupado por equipos de Compuerta de Medios (MGW</w:t>
      </w:r>
      <w:r w:rsidRPr="00BB33CC" w:rsidDel="008849DA">
        <w:rPr>
          <w:rStyle w:val="Refdenotaalpie"/>
        </w:rPr>
        <w:footnoteReference w:id="43"/>
      </w:r>
      <w:r w:rsidRPr="00BB33CC" w:rsidDel="008849DA">
        <w:t>), entonces el 10% de ese edificio será imputado al elemento de red MGW de Nivel 2.</w:t>
      </w:r>
    </w:p>
    <w:p w:rsidR="00696EBD" w:rsidRPr="00BB33CC" w:rsidDel="008849DA" w:rsidRDefault="00696EBD" w:rsidP="00D975D8">
      <w:pPr>
        <w:pStyle w:val="Indentado3"/>
      </w:pPr>
      <w:r w:rsidRPr="00BB33CC" w:rsidDel="008849DA">
        <w:t>El reparto de la energía se realizará con base en el consumo eléctrico de las diferentes actividades y elementos de red de Nivel 2. Para ello, será necesario evaluar el consumo eléctrico de los equipos técnicos, así como el consumo para funciones de naturaleza administrativa.</w:t>
      </w:r>
    </w:p>
    <w:p w:rsidR="00696EBD" w:rsidRPr="00BB33CC" w:rsidDel="008849DA" w:rsidRDefault="00696EBD" w:rsidP="00D975D8">
      <w:pPr>
        <w:pStyle w:val="Indentadoresolucin"/>
      </w:pPr>
      <w:r w:rsidRPr="00BB33CC" w:rsidDel="008849DA">
        <w:rPr>
          <w:bCs/>
          <w:i/>
          <w:iCs/>
        </w:rPr>
        <w:t>Activos de red</w:t>
      </w:r>
      <w:r w:rsidRPr="00BB33CC" w:rsidDel="008849DA">
        <w:t>: Estos se repartirán, por normal general, de manera directa a los elementos de red homónimos de Nivel 2.</w:t>
      </w:r>
    </w:p>
    <w:p w:rsidR="00696EBD" w:rsidRPr="00BB33CC" w:rsidDel="008849DA" w:rsidRDefault="00696EBD" w:rsidP="00D975D8">
      <w:pPr>
        <w:pStyle w:val="Normalresolucion"/>
        <w:rPr>
          <w:u w:val="single"/>
        </w:rPr>
      </w:pPr>
      <w:r w:rsidRPr="00BB33CC" w:rsidDel="008849DA">
        <w:rPr>
          <w:u w:val="single"/>
        </w:rPr>
        <w:t>Imputación de costos por actividades y elementos de red (Nivel 2) a servicios (Nivel 3)</w:t>
      </w:r>
    </w:p>
    <w:p w:rsidR="00696EBD" w:rsidRPr="00BB33CC" w:rsidDel="008849DA" w:rsidRDefault="00696EBD" w:rsidP="00D975D8">
      <w:pPr>
        <w:pStyle w:val="Normalresolucion"/>
      </w:pPr>
      <w:r w:rsidRPr="00BB33CC" w:rsidDel="008849DA">
        <w:t>Por último, en los siguientes párrafos se aportan determinadas indicaciones para facilitar la imputación de costos de Nivel 2 a Nivel 3:</w:t>
      </w:r>
    </w:p>
    <w:p w:rsidR="00696EBD" w:rsidRPr="00BB33CC" w:rsidDel="008849DA" w:rsidRDefault="00696EBD" w:rsidP="00D975D8">
      <w:pPr>
        <w:pStyle w:val="Indentadoresolucin"/>
      </w:pPr>
      <w:r w:rsidRPr="00BB33CC" w:rsidDel="008849DA">
        <w:rPr>
          <w:bCs/>
          <w:i/>
          <w:iCs/>
        </w:rPr>
        <w:t>Componentes de red</w:t>
      </w:r>
      <w:r w:rsidRPr="00BB33CC" w:rsidDel="008849DA">
        <w:t>: Por norma general, se deberá definir una matriz de factores de uso que relacione la utilización de los diferentes elementos de red por parte de los servicios (mayoristas) definidos en la separación contable. Cuando sea necesario homogeneizar las unidades de volumen de los servicios para garantizar la aplicabilidad de esta matriz, las conversiones efectuadas deberán basarse en mediciones técnicas y la información de soporte deberá ser facilitada al Instituto cuando así se requiera.</w:t>
      </w:r>
    </w:p>
    <w:p w:rsidR="00696EBD" w:rsidRPr="00BB33CC" w:rsidDel="008849DA" w:rsidRDefault="00696EBD" w:rsidP="00D975D8">
      <w:pPr>
        <w:pStyle w:val="Indentadoresolucin"/>
        <w:numPr>
          <w:ilvl w:val="0"/>
          <w:numId w:val="0"/>
        </w:numPr>
        <w:ind w:left="928"/>
      </w:pPr>
      <w:r w:rsidRPr="00BB33CC" w:rsidDel="008849DA">
        <w:t>Una vez construida la matriz de factores de uso, ésta será multiplicada por los volúmenes de los servicios para construir los factores de atribución de costos aplicables.</w:t>
      </w:r>
    </w:p>
    <w:p w:rsidR="00696EBD" w:rsidRPr="00BB33CC" w:rsidDel="008849DA" w:rsidRDefault="00696EBD" w:rsidP="00D975D8">
      <w:pPr>
        <w:pStyle w:val="Indentadoresolucin"/>
      </w:pPr>
      <w:r w:rsidRPr="00BB33CC" w:rsidDel="008849DA">
        <w:rPr>
          <w:bCs/>
          <w:i/>
          <w:iCs/>
        </w:rPr>
        <w:lastRenderedPageBreak/>
        <w:t>Componentes no relacionados con la red</w:t>
      </w:r>
      <w:r w:rsidRPr="00BB33CC" w:rsidDel="008849DA">
        <w:t>: Cuando así resulte posible (costos comerciales, fidelización) se deberán emplear estudios extracontables que permitan relacionar la dedicación de estos componentes a servicios. A modo de ejemplo, en el caso de los costos comerciales, se debería identificar el grado de atención comercial dedicado a la prestación de los diferentes servicios (o grupos de servicios) para optimizar la causalidad de la atribución de costos. Por otro lado, en el caso de conceptos de tasas, impuestos o facturación, los mismos se podrían distribuir a servicios mediante márgenes equiproporcionales.</w:t>
      </w:r>
    </w:p>
    <w:p w:rsidR="00696EBD" w:rsidRPr="00BB33CC" w:rsidDel="008849DA" w:rsidRDefault="00696EBD" w:rsidP="00D975D8">
      <w:pPr>
        <w:pStyle w:val="Indentadoresolucin"/>
      </w:pPr>
      <w:r w:rsidRPr="00BB33CC" w:rsidDel="008849DA">
        <w:rPr>
          <w:bCs/>
          <w:i/>
          <w:iCs/>
        </w:rPr>
        <w:t>Costos directos de ventas</w:t>
      </w:r>
      <w:r w:rsidRPr="00BB33CC" w:rsidDel="008849DA">
        <w:t>: Estos costos serán asignados de manera directa al servicio (o servicios) que los ocasiona.</w:t>
      </w:r>
    </w:p>
    <w:p w:rsidR="00696EBD" w:rsidRPr="00BB33CC" w:rsidRDefault="00696EBD" w:rsidP="00D975D8">
      <w:pPr>
        <w:pStyle w:val="Indentadoresolucin"/>
        <w:rPr>
          <w:i/>
        </w:rPr>
      </w:pPr>
      <w:r w:rsidRPr="00BB33CC" w:rsidDel="008849DA">
        <w:rPr>
          <w:bCs/>
          <w:i/>
          <w:iCs/>
        </w:rPr>
        <w:t>Costos comunes</w:t>
      </w:r>
      <w:r w:rsidRPr="00BB33CC" w:rsidDel="008849DA">
        <w:t>: Estos costos se podrían distribuir a servicios mediante márgenes equiproporcionales.</w:t>
      </w:r>
    </w:p>
    <w:p w:rsidR="00F0092D" w:rsidRPr="00BB33CC" w:rsidRDefault="00F0092D" w:rsidP="00776A41">
      <w:pPr>
        <w:pStyle w:val="Indentadoresolucin"/>
        <w:numPr>
          <w:ilvl w:val="0"/>
          <w:numId w:val="0"/>
        </w:numPr>
        <w:spacing w:before="240"/>
        <w:outlineLvl w:val="2"/>
        <w:rPr>
          <w:b/>
          <w:bCs/>
        </w:rPr>
      </w:pPr>
      <w:r w:rsidRPr="00BB33CC">
        <w:rPr>
          <w:b/>
          <w:bCs/>
        </w:rPr>
        <w:t>5.3.10 Estudios de soporte</w:t>
      </w:r>
    </w:p>
    <w:p w:rsidR="00696EBD" w:rsidRPr="00BB33CC" w:rsidRDefault="00F70F56" w:rsidP="00D975D8">
      <w:pPr>
        <w:pStyle w:val="Indentadoresolucin"/>
        <w:numPr>
          <w:ilvl w:val="0"/>
          <w:numId w:val="0"/>
        </w:numPr>
      </w:pPr>
      <w:r w:rsidRPr="00BB33CC">
        <w:t xml:space="preserve">En lo que hace a los estudios de soporte, se considera necesario incluir un manual explicativo de la separación contable, información de precios de trasferencia y estudios de soporte a la separación contable, </w:t>
      </w:r>
      <w:r w:rsidR="009E03B6" w:rsidRPr="00BB33CC">
        <w:t xml:space="preserve">a fin </w:t>
      </w:r>
      <w:r w:rsidRPr="00BB33CC">
        <w:t xml:space="preserve">de complementar la información </w:t>
      </w:r>
      <w:r w:rsidR="009E03B6" w:rsidRPr="00BB33CC">
        <w:t>que entregan los concesionarios y/o autorizados al Instituto y que se pueda tener información que aporte mayor detalle.</w:t>
      </w:r>
    </w:p>
    <w:p w:rsidR="003B6F77" w:rsidRPr="00BB33CC" w:rsidRDefault="003B6F77" w:rsidP="00776A41">
      <w:pPr>
        <w:pStyle w:val="Indentadoresolucin"/>
        <w:numPr>
          <w:ilvl w:val="0"/>
          <w:numId w:val="304"/>
        </w:numPr>
        <w:spacing w:before="240"/>
        <w:rPr>
          <w:b/>
        </w:rPr>
      </w:pPr>
      <w:r w:rsidRPr="00BB33CC">
        <w:rPr>
          <w:b/>
        </w:rPr>
        <w:t>Manual Explicativo de la separación contable</w:t>
      </w:r>
    </w:p>
    <w:p w:rsidR="008849DA" w:rsidRPr="00BB33CC" w:rsidRDefault="0012302D" w:rsidP="00D975D8">
      <w:pPr>
        <w:pStyle w:val="Indentadoresolucin"/>
        <w:numPr>
          <w:ilvl w:val="0"/>
          <w:numId w:val="0"/>
        </w:numPr>
        <w:spacing w:before="240"/>
      </w:pPr>
      <w:r w:rsidRPr="00BB33CC">
        <w:t>Se debe entregar un manual explicativo de la separación contable que muestre la forma en que los concesionarios y/o autorizados adoptan los criterios, parámetros y metodologías establecidos en la separación contable.</w:t>
      </w:r>
    </w:p>
    <w:p w:rsidR="003B6F77" w:rsidRPr="00BB33CC" w:rsidRDefault="003B6F77" w:rsidP="00776A41">
      <w:pPr>
        <w:pStyle w:val="Indentadoresolucin"/>
        <w:numPr>
          <w:ilvl w:val="0"/>
          <w:numId w:val="304"/>
        </w:numPr>
        <w:spacing w:before="240"/>
        <w:rPr>
          <w:b/>
        </w:rPr>
      </w:pPr>
      <w:r w:rsidRPr="00BB33CC">
        <w:rPr>
          <w:b/>
        </w:rPr>
        <w:t>Precios de transferencia</w:t>
      </w:r>
    </w:p>
    <w:p w:rsidR="00847C49" w:rsidRPr="00BB33CC" w:rsidRDefault="00D643B4" w:rsidP="00D975D8">
      <w:pPr>
        <w:pStyle w:val="Indentadoresolucin"/>
        <w:numPr>
          <w:ilvl w:val="0"/>
          <w:numId w:val="0"/>
        </w:numPr>
        <w:spacing w:before="240"/>
      </w:pPr>
      <w:r w:rsidRPr="00BB33CC">
        <w:t xml:space="preserve">Es importante señalar que por lo que hace al estudio de precios de transferencia </w:t>
      </w:r>
      <w:r w:rsidR="00746C75" w:rsidRPr="00BB33CC">
        <w:t xml:space="preserve">incluido </w:t>
      </w:r>
      <w:r w:rsidRPr="00BB33CC">
        <w:t>e</w:t>
      </w:r>
      <w:r w:rsidR="00746C75" w:rsidRPr="00BB33CC">
        <w:t>n</w:t>
      </w:r>
      <w:r w:rsidRPr="00BB33CC">
        <w:t xml:space="preserve"> los estudio</w:t>
      </w:r>
      <w:r w:rsidR="00746C75" w:rsidRPr="00BB33CC">
        <w:t>s</w:t>
      </w:r>
      <w:r w:rsidRPr="00BB33CC">
        <w:t xml:space="preserve"> de soporte, </w:t>
      </w:r>
      <w:r w:rsidR="00847C49" w:rsidRPr="00BB33CC">
        <w:t xml:space="preserve">si bien los precios de transferencia ya se requieren conforme a la normatividad fiscal, la información contenida en dichos informes también es de utilidad para identificar indicios sobre </w:t>
      </w:r>
      <w:r w:rsidR="004E06AE">
        <w:t xml:space="preserve">trato no discriminatorio y </w:t>
      </w:r>
      <w:r w:rsidR="00847C49" w:rsidRPr="00BB33CC">
        <w:t xml:space="preserve">prácticas anticompetitivas, ya que la información permitirá observar las transacciones que realizan los sujetos obligados con sus empresas filiales, subsidiarias y afiliadas. </w:t>
      </w:r>
    </w:p>
    <w:p w:rsidR="004A26A9" w:rsidRPr="00BB33CC" w:rsidRDefault="001D5268" w:rsidP="004A26A9">
      <w:pPr>
        <w:pStyle w:val="Normalresolucion"/>
        <w:spacing w:after="0" w:line="276" w:lineRule="auto"/>
      </w:pPr>
      <w:r w:rsidRPr="00BB33CC">
        <w:t>No obstante, a fin de evitar una doble carga regulatoria para los sujetos regulados, además de posibles inconsistencias en metodologías, resul</w:t>
      </w:r>
      <w:r w:rsidR="001550E3" w:rsidRPr="00BB33CC">
        <w:t xml:space="preserve">ta conveniente, para el análisis de precios de transferencia, tomar como base lo que los agentes económicos entreguen a la autoridad en materia fiscal. En específico para el caso de México, ello se sujeta a lo establecido en </w:t>
      </w:r>
      <w:r w:rsidR="004A26A9" w:rsidRPr="00BB33CC">
        <w:t xml:space="preserve">las fracciones IX y XII del artículo 76, y fracción II del artículo 76-A de la Ley del Impuesto sobre la Renta. </w:t>
      </w:r>
    </w:p>
    <w:p w:rsidR="00847C49" w:rsidRPr="00BB33CC" w:rsidRDefault="004A26A9" w:rsidP="00D975D8">
      <w:pPr>
        <w:pStyle w:val="Indentadoresolucin"/>
        <w:numPr>
          <w:ilvl w:val="0"/>
          <w:numId w:val="0"/>
        </w:numPr>
        <w:spacing w:before="240"/>
      </w:pPr>
      <w:r w:rsidRPr="00BB33CC">
        <w:t>Por lo anterior, c</w:t>
      </w:r>
      <w:r w:rsidR="00847C49" w:rsidRPr="00BB33CC">
        <w:t>abe resaltar que el requerimiento de los estudios de precios de transferencia no</w:t>
      </w:r>
      <w:r w:rsidR="0015720F" w:rsidRPr="00BB33CC">
        <w:t xml:space="preserve"> implica</w:t>
      </w:r>
      <w:r w:rsidR="00847C49" w:rsidRPr="00BB33CC">
        <w:t xml:space="preserve"> costos regulatorios </w:t>
      </w:r>
      <w:r w:rsidR="0015720F" w:rsidRPr="00BB33CC">
        <w:t xml:space="preserve">adicionales </w:t>
      </w:r>
      <w:r w:rsidR="00847C49" w:rsidRPr="00BB33CC">
        <w:t xml:space="preserve">para los sujetos obligados </w:t>
      </w:r>
      <w:r w:rsidR="0008037D" w:rsidRPr="00BB33CC">
        <w:t>d</w:t>
      </w:r>
      <w:r w:rsidR="00847C49" w:rsidRPr="00BB33CC">
        <w:t xml:space="preserve">ebido a que </w:t>
      </w:r>
      <w:r w:rsidR="0015720F" w:rsidRPr="00BB33CC">
        <w:t xml:space="preserve">existen </w:t>
      </w:r>
      <w:r w:rsidR="00847C49" w:rsidRPr="00BB33CC">
        <w:t xml:space="preserve">obligaciones </w:t>
      </w:r>
      <w:r w:rsidR="0015720F" w:rsidRPr="00BB33CC">
        <w:t xml:space="preserve">de carácter </w:t>
      </w:r>
      <w:r w:rsidR="00847C49" w:rsidRPr="00BB33CC">
        <w:t xml:space="preserve">fiscal que </w:t>
      </w:r>
      <w:r w:rsidR="0015720F" w:rsidRPr="00BB33CC">
        <w:t xml:space="preserve">ya </w:t>
      </w:r>
      <w:r w:rsidR="00847C49" w:rsidRPr="00BB33CC">
        <w:t xml:space="preserve">requieren </w:t>
      </w:r>
      <w:r w:rsidR="0015720F" w:rsidRPr="00BB33CC">
        <w:t xml:space="preserve">los </w:t>
      </w:r>
      <w:r w:rsidR="00847C49" w:rsidRPr="00BB33CC">
        <w:t xml:space="preserve">estudios </w:t>
      </w:r>
      <w:r w:rsidR="00847C49" w:rsidRPr="00BB33CC">
        <w:lastRenderedPageBreak/>
        <w:t>de precios de tra</w:t>
      </w:r>
      <w:r w:rsidR="00AF5B19" w:rsidRPr="00BB33CC">
        <w:t>nsferencia.</w:t>
      </w:r>
      <w:r w:rsidR="00626B6D" w:rsidRPr="00BB33CC">
        <w:t xml:space="preserve"> Ad</w:t>
      </w:r>
      <w:r w:rsidR="0015720F" w:rsidRPr="00BB33CC">
        <w:t>icionalmente</w:t>
      </w:r>
      <w:r w:rsidR="00626B6D" w:rsidRPr="00BB33CC">
        <w:t xml:space="preserve">, la entrega de información conforme a la legislación </w:t>
      </w:r>
      <w:r w:rsidR="0015720F" w:rsidRPr="00BB33CC">
        <w:t xml:space="preserve">relativa al impuesto sobre la renta, </w:t>
      </w:r>
      <w:r w:rsidR="00237E4E" w:rsidRPr="00BB33CC">
        <w:t>ya permite garantizar en buena medida la robustez metodológica y</w:t>
      </w:r>
      <w:r w:rsidR="00626B6D" w:rsidRPr="00BB33CC">
        <w:t xml:space="preserve"> la consistencia de la información</w:t>
      </w:r>
      <w:r w:rsidR="004D2D45" w:rsidRPr="00BB33CC">
        <w:t>, sin limitar la demás información que el Instituto pueda requerir</w:t>
      </w:r>
      <w:r w:rsidR="00626B6D" w:rsidRPr="00BB33CC">
        <w:t>.</w:t>
      </w:r>
    </w:p>
    <w:p w:rsidR="003B6F77" w:rsidRPr="00BB33CC" w:rsidRDefault="003B6F77" w:rsidP="00776A41">
      <w:pPr>
        <w:pStyle w:val="Indentadoresolucin"/>
        <w:numPr>
          <w:ilvl w:val="0"/>
          <w:numId w:val="304"/>
        </w:numPr>
        <w:spacing w:before="240"/>
        <w:rPr>
          <w:b/>
        </w:rPr>
      </w:pPr>
      <w:r w:rsidRPr="00BB33CC">
        <w:rPr>
          <w:b/>
        </w:rPr>
        <w:t>Estudios técnicos de soporte</w:t>
      </w:r>
    </w:p>
    <w:p w:rsidR="000E2B24" w:rsidRPr="00BB33CC" w:rsidRDefault="008A60F5" w:rsidP="00D975D8">
      <w:pPr>
        <w:pStyle w:val="Indentadoresolucin"/>
        <w:numPr>
          <w:ilvl w:val="0"/>
          <w:numId w:val="0"/>
        </w:numPr>
        <w:spacing w:before="240"/>
      </w:pPr>
      <w:r w:rsidRPr="00BB33CC">
        <w:t xml:space="preserve">En lo que hace a los estudios técnicos de soporte, se considera necesaria su adopción en la metodología de separación contable en virtud de que </w:t>
      </w:r>
      <w:r w:rsidR="000E2B24" w:rsidRPr="00BB33CC">
        <w:t xml:space="preserve">darán mayor detalle sobre las principales asignaciones de costos efectuadas en la separación contable por parte de los </w:t>
      </w:r>
      <w:r w:rsidR="009E7293" w:rsidRPr="00BB33CC">
        <w:t>concesionarios y/o autorizados</w:t>
      </w:r>
      <w:r w:rsidR="000E2B24" w:rsidRPr="00BB33CC">
        <w:t xml:space="preserve">, </w:t>
      </w:r>
      <w:r w:rsidR="007F4173" w:rsidRPr="00BB33CC">
        <w:t xml:space="preserve">conforme a </w:t>
      </w:r>
      <w:r w:rsidR="000E2B24" w:rsidRPr="00BB33CC">
        <w:t>los siguientes aspectos</w:t>
      </w:r>
      <w:r w:rsidR="007F4173" w:rsidRPr="00BB33CC">
        <w:t xml:space="preserve"> relevantes</w:t>
      </w:r>
      <w:r w:rsidR="000E2B24" w:rsidRPr="00BB33CC">
        <w:t>:</w:t>
      </w:r>
    </w:p>
    <w:p w:rsidR="000E2B24" w:rsidRPr="00BB33CC" w:rsidRDefault="000E2B24" w:rsidP="00D975D8">
      <w:pPr>
        <w:pStyle w:val="Indentadoresolucin"/>
      </w:pPr>
      <w:r w:rsidRPr="00BB33CC">
        <w:rPr>
          <w:i/>
        </w:rPr>
        <w:t>Estudio de infraestructura</w:t>
      </w:r>
      <w:r w:rsidRPr="00BB33CC">
        <w:t>: donde se deben justificar los criterios de reparto empleados para la distribución de los costos de la infraestructura de planta externa a actividades y elementos de red;</w:t>
      </w:r>
    </w:p>
    <w:p w:rsidR="000E2B24" w:rsidRPr="00BB33CC" w:rsidRDefault="000E2B24" w:rsidP="00D975D8">
      <w:pPr>
        <w:pStyle w:val="Indentadoresolucin"/>
      </w:pPr>
      <w:r w:rsidRPr="00BB33CC">
        <w:rPr>
          <w:i/>
        </w:rPr>
        <w:t>Estudio de energía</w:t>
      </w:r>
      <w:r w:rsidRPr="00BB33CC">
        <w:t>: que debe servir como base para comprender los criterios empleados para la distribución de los costos de energía eléctrica a servicios finales. En este estudio se deberá determinar, entre otros, el porcentaje de energía eléctrica que está eventualmente destinado a cada elemento de red en primer lugar y a la prestación de servicios de telecomunicaciones mayoristas en segundo lugar;</w:t>
      </w:r>
    </w:p>
    <w:p w:rsidR="000E2B24" w:rsidRPr="00BB33CC" w:rsidRDefault="000E2B24" w:rsidP="00D975D8">
      <w:pPr>
        <w:pStyle w:val="Indentadoresolucin"/>
      </w:pPr>
      <w:r w:rsidRPr="00BB33CC">
        <w:rPr>
          <w:i/>
        </w:rPr>
        <w:t>Estudio de utilización de planta</w:t>
      </w:r>
      <w:r w:rsidRPr="00BB33CC">
        <w:t xml:space="preserve">: mediante el que se determine el grado de utilización de los diferentes elementos de red por parte de los servicios mayoristas, de modo que permita construir </w:t>
      </w:r>
      <w:r w:rsidR="0012302D" w:rsidRPr="00BB33CC">
        <w:t>una</w:t>
      </w:r>
      <w:r w:rsidRPr="00BB33CC">
        <w:t xml:space="preserve"> matriz de factores de enrutamiento para la distribución de costos en la Fase B de asignación, y</w:t>
      </w:r>
    </w:p>
    <w:p w:rsidR="000E2B24" w:rsidRPr="00BB33CC" w:rsidRDefault="000E2B24" w:rsidP="00D975D8">
      <w:pPr>
        <w:pStyle w:val="Indentadoresolucin"/>
      </w:pPr>
      <w:r w:rsidRPr="00BB33CC">
        <w:rPr>
          <w:i/>
        </w:rPr>
        <w:t>Estudio de vidas útiles</w:t>
      </w:r>
      <w:r w:rsidRPr="00BB33CC">
        <w:t>:</w:t>
      </w:r>
      <w:r w:rsidRPr="00BB33CC">
        <w:rPr>
          <w:i/>
        </w:rPr>
        <w:t xml:space="preserve"> </w:t>
      </w:r>
      <w:r w:rsidRPr="00BB33CC">
        <w:rPr>
          <w:iCs/>
        </w:rPr>
        <w:t>donde se deben justificar los criterios empleados para la obtención de las vidas útiles empleadas en las diferentes categorías de activos consideradas en la separación contable</w:t>
      </w:r>
      <w:r w:rsidRPr="00BB33CC">
        <w:t>.</w:t>
      </w:r>
    </w:p>
    <w:p w:rsidR="003B6F77" w:rsidRPr="00BB33CC" w:rsidRDefault="0008037D" w:rsidP="00776A41">
      <w:pPr>
        <w:pStyle w:val="Normalresolucion"/>
        <w:outlineLvl w:val="2"/>
        <w:rPr>
          <w:b/>
        </w:rPr>
      </w:pPr>
      <w:r w:rsidRPr="00BB33CC">
        <w:rPr>
          <w:b/>
        </w:rPr>
        <w:t>5</w:t>
      </w:r>
      <w:r w:rsidR="003B6F77" w:rsidRPr="00BB33CC">
        <w:rPr>
          <w:b/>
        </w:rPr>
        <w:t>.</w:t>
      </w:r>
      <w:r w:rsidRPr="00BB33CC">
        <w:rPr>
          <w:b/>
        </w:rPr>
        <w:t>3</w:t>
      </w:r>
      <w:r w:rsidR="003B6F77" w:rsidRPr="00BB33CC">
        <w:rPr>
          <w:b/>
        </w:rPr>
        <w:t>.11 Revisión de la información de separación contable</w:t>
      </w:r>
    </w:p>
    <w:p w:rsidR="00222605" w:rsidRPr="00BB33CC" w:rsidRDefault="00982148" w:rsidP="00D975D8">
      <w:pPr>
        <w:pStyle w:val="Normalresolucion"/>
      </w:pPr>
      <w:r w:rsidRPr="00BB33CC">
        <w:t>Por otro lado, a</w:t>
      </w:r>
      <w:r w:rsidR="00222605" w:rsidRPr="00BB33CC">
        <w:t xml:space="preserve"> fin de facilitar la comprensión por parte de los </w:t>
      </w:r>
      <w:r w:rsidR="003A64DF" w:rsidRPr="00BB33CC">
        <w:t xml:space="preserve">concesionarios y/o autorizados </w:t>
      </w:r>
      <w:r w:rsidR="00222605" w:rsidRPr="00BB33CC">
        <w:t xml:space="preserve">sobre la implementación de la separación contable, se muestran los pasos que se </w:t>
      </w:r>
      <w:r w:rsidR="00815E52" w:rsidRPr="00BB33CC">
        <w:t>podrían</w:t>
      </w:r>
      <w:r w:rsidR="004D2D45" w:rsidRPr="00BB33CC">
        <w:t xml:space="preserve"> </w:t>
      </w:r>
      <w:r w:rsidR="00222605" w:rsidRPr="00BB33CC">
        <w:t>llevar a cabo de manera anual y recurrente sobre la separación contable:</w:t>
      </w:r>
    </w:p>
    <w:p w:rsidR="00222605" w:rsidRPr="00BB33CC" w:rsidRDefault="00222605" w:rsidP="00222605">
      <w:pPr>
        <w:pStyle w:val="Descripcin"/>
        <w:rPr>
          <w:rFonts w:ascii="ITC Avant Garde" w:hAnsi="ITC Avant Garde"/>
          <w:iCs/>
          <w:sz w:val="20"/>
          <w:lang w:val="es-MX"/>
        </w:rPr>
      </w:pPr>
      <w:r w:rsidRPr="00BB33CC">
        <w:rPr>
          <w:rFonts w:ascii="ITC Avant Garde" w:hAnsi="ITC Avant Garde"/>
          <w:iCs/>
          <w:sz w:val="20"/>
          <w:lang w:val="es-MX"/>
        </w:rPr>
        <w:t xml:space="preserve">Figura </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Figura. \* ARABIC </w:instrText>
      </w:r>
      <w:r w:rsidRPr="00BB33CC">
        <w:rPr>
          <w:rFonts w:ascii="ITC Avant Garde" w:hAnsi="ITC Avant Garde"/>
          <w:iCs/>
          <w:sz w:val="20"/>
          <w:lang w:val="es-MX"/>
        </w:rPr>
        <w:fldChar w:fldCharType="separate"/>
      </w:r>
      <w:r w:rsidR="00982148" w:rsidRPr="00BB33CC">
        <w:rPr>
          <w:rFonts w:ascii="ITC Avant Garde" w:hAnsi="ITC Avant Garde"/>
          <w:iCs/>
          <w:noProof/>
          <w:sz w:val="20"/>
          <w:lang w:val="es-MX"/>
        </w:rPr>
        <w:t>5</w:t>
      </w:r>
      <w:r w:rsidRPr="00BB33CC">
        <w:rPr>
          <w:rFonts w:ascii="ITC Avant Garde" w:hAnsi="ITC Avant Garde"/>
          <w:iCs/>
          <w:sz w:val="20"/>
          <w:lang w:val="es-MX"/>
        </w:rPr>
        <w:fldChar w:fldCharType="end"/>
      </w:r>
      <w:r w:rsidRPr="00BB33CC">
        <w:rPr>
          <w:rFonts w:ascii="ITC Avant Garde" w:hAnsi="ITC Avant Garde"/>
          <w:iCs/>
          <w:sz w:val="20"/>
          <w:lang w:val="es-MX"/>
        </w:rPr>
        <w:t>. Flujo del proceso anual de entrega de resultados de la separación contable</w:t>
      </w:r>
    </w:p>
    <w:p w:rsidR="00222605" w:rsidRPr="00BB33CC" w:rsidRDefault="00222605" w:rsidP="00222605">
      <w:pPr>
        <w:keepNext/>
        <w:spacing w:after="120"/>
        <w:jc w:val="center"/>
      </w:pPr>
      <w:r w:rsidRPr="00BB33CC">
        <w:rPr>
          <w:noProof/>
          <w:lang w:eastAsia="es-MX"/>
        </w:rPr>
        <w:lastRenderedPageBreak/>
        <w:drawing>
          <wp:inline distT="0" distB="0" distL="0" distR="0" wp14:anchorId="2A93430A" wp14:editId="6E7F8F6D">
            <wp:extent cx="5400040" cy="3415773"/>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3415773"/>
                    </a:xfrm>
                    <a:prstGeom prst="rect">
                      <a:avLst/>
                    </a:prstGeom>
                    <a:noFill/>
                    <a:ln>
                      <a:noFill/>
                    </a:ln>
                  </pic:spPr>
                </pic:pic>
              </a:graphicData>
            </a:graphic>
          </wp:inline>
        </w:drawing>
      </w:r>
    </w:p>
    <w:p w:rsidR="00222605" w:rsidRPr="00BB33CC" w:rsidRDefault="00222605" w:rsidP="00222605">
      <w:pPr>
        <w:jc w:val="both"/>
        <w:rPr>
          <w:sz w:val="20"/>
        </w:rPr>
      </w:pPr>
    </w:p>
    <w:p w:rsidR="00222605" w:rsidRPr="00BB33CC" w:rsidRDefault="00222605" w:rsidP="00776A41">
      <w:pPr>
        <w:spacing w:line="240" w:lineRule="auto"/>
        <w:jc w:val="both"/>
        <w:rPr>
          <w:rFonts w:ascii="ITC Avant Garde" w:eastAsia="Times New Roman" w:hAnsi="ITC Avant Garde" w:cs="Arial"/>
          <w:lang w:val="es-ES" w:eastAsia="es-ES"/>
        </w:rPr>
      </w:pPr>
      <w:r w:rsidRPr="00BB33CC">
        <w:rPr>
          <w:rFonts w:ascii="ITC Avant Garde" w:eastAsia="Times New Roman" w:hAnsi="ITC Avant Garde" w:cs="Arial"/>
          <w:lang w:val="es-ES" w:eastAsia="es-ES"/>
        </w:rPr>
        <w:t xml:space="preserve">Las fases mostradas en la figura se </w:t>
      </w:r>
      <w:r w:rsidR="00360A4D" w:rsidRPr="00BB33CC">
        <w:rPr>
          <w:rFonts w:ascii="ITC Avant Garde" w:eastAsia="Times New Roman" w:hAnsi="ITC Avant Garde" w:cs="Arial"/>
          <w:lang w:val="es-ES" w:eastAsia="es-ES"/>
        </w:rPr>
        <w:t xml:space="preserve">detallan </w:t>
      </w:r>
      <w:r w:rsidRPr="00BB33CC">
        <w:rPr>
          <w:rFonts w:ascii="ITC Avant Garde" w:eastAsia="Times New Roman" w:hAnsi="ITC Avant Garde" w:cs="Arial"/>
          <w:lang w:val="es-ES" w:eastAsia="es-ES"/>
        </w:rPr>
        <w:t>a continuación:</w:t>
      </w:r>
    </w:p>
    <w:p w:rsidR="00222605" w:rsidRPr="00BB33CC" w:rsidRDefault="00222605" w:rsidP="00D975D8">
      <w:pPr>
        <w:pStyle w:val="Indentado1"/>
        <w:numPr>
          <w:ilvl w:val="0"/>
          <w:numId w:val="0"/>
        </w:numPr>
        <w:spacing w:line="240" w:lineRule="auto"/>
        <w:ind w:left="357"/>
        <w:rPr>
          <w:rFonts w:ascii="ITC Avant Garde" w:hAnsi="ITC Avant Garde" w:cs="Arial"/>
          <w:sz w:val="22"/>
          <w:szCs w:val="22"/>
        </w:rPr>
      </w:pPr>
      <w:r w:rsidRPr="00BB33CC">
        <w:rPr>
          <w:rFonts w:ascii="ITC Avant Garde" w:hAnsi="ITC Avant Garde" w:cs="Arial"/>
          <w:sz w:val="22"/>
          <w:szCs w:val="22"/>
        </w:rPr>
        <w:t xml:space="preserve">1. Entrega de la información de la separación contable, que incluye la totalidad de la documentación solicitada en función del tipo de </w:t>
      </w:r>
      <w:r w:rsidR="00334A08" w:rsidRPr="00BB33CC">
        <w:rPr>
          <w:rFonts w:ascii="ITC Avant Garde" w:hAnsi="ITC Avant Garde" w:cs="Arial"/>
          <w:sz w:val="22"/>
          <w:szCs w:val="22"/>
          <w:lang w:val="es-MX"/>
        </w:rPr>
        <w:t>concesionario y/o autorizado</w:t>
      </w:r>
      <w:r w:rsidRPr="00BB33CC">
        <w:rPr>
          <w:rFonts w:ascii="ITC Avant Garde" w:hAnsi="ITC Avant Garde" w:cs="Arial"/>
          <w:sz w:val="22"/>
          <w:szCs w:val="22"/>
        </w:rPr>
        <w:t>.</w:t>
      </w:r>
    </w:p>
    <w:p w:rsidR="00222605" w:rsidRPr="00BB33CC" w:rsidRDefault="00222605" w:rsidP="00D975D8">
      <w:pPr>
        <w:pStyle w:val="Indentado1"/>
        <w:numPr>
          <w:ilvl w:val="0"/>
          <w:numId w:val="0"/>
        </w:numPr>
        <w:spacing w:line="240" w:lineRule="auto"/>
        <w:ind w:left="357"/>
        <w:rPr>
          <w:rFonts w:ascii="ITC Avant Garde" w:hAnsi="ITC Avant Garde" w:cs="Arial"/>
          <w:sz w:val="22"/>
          <w:szCs w:val="22"/>
        </w:rPr>
      </w:pPr>
      <w:r w:rsidRPr="00BB33CC">
        <w:rPr>
          <w:rFonts w:ascii="ITC Avant Garde" w:hAnsi="ITC Avant Garde" w:cs="Arial"/>
          <w:sz w:val="22"/>
          <w:szCs w:val="22"/>
        </w:rPr>
        <w:t xml:space="preserve">2. Proceso de revisión de la separación contable por parte del Instituto, en el que se verifica el apego de la información entregada a los principios, criterios y condiciones </w:t>
      </w:r>
      <w:r w:rsidR="00334A08" w:rsidRPr="00BB33CC">
        <w:rPr>
          <w:rFonts w:ascii="ITC Avant Garde" w:hAnsi="ITC Avant Garde" w:cs="Arial"/>
          <w:sz w:val="22"/>
          <w:szCs w:val="22"/>
        </w:rPr>
        <w:t>establecidos</w:t>
      </w:r>
      <w:r w:rsidRPr="00BB33CC">
        <w:rPr>
          <w:rFonts w:ascii="ITC Avant Garde" w:hAnsi="ITC Avant Garde" w:cs="Arial"/>
          <w:sz w:val="22"/>
          <w:szCs w:val="22"/>
        </w:rPr>
        <w:t>.</w:t>
      </w:r>
    </w:p>
    <w:p w:rsidR="00222605" w:rsidRPr="00BB33CC" w:rsidRDefault="00222605" w:rsidP="00D975D8">
      <w:pPr>
        <w:pStyle w:val="Indentado1"/>
        <w:numPr>
          <w:ilvl w:val="0"/>
          <w:numId w:val="0"/>
        </w:numPr>
        <w:spacing w:line="240" w:lineRule="auto"/>
        <w:ind w:left="357"/>
        <w:rPr>
          <w:rFonts w:ascii="ITC Avant Garde" w:hAnsi="ITC Avant Garde" w:cs="Arial"/>
          <w:sz w:val="22"/>
          <w:szCs w:val="22"/>
        </w:rPr>
      </w:pPr>
      <w:r w:rsidRPr="00BB33CC">
        <w:rPr>
          <w:rFonts w:ascii="ITC Avant Garde" w:hAnsi="ITC Avant Garde" w:cs="Arial"/>
          <w:sz w:val="22"/>
          <w:szCs w:val="22"/>
        </w:rPr>
        <w:t>3. Presentación de observaciones del Instituto</w:t>
      </w:r>
      <w:r w:rsidR="00334A08" w:rsidRPr="00BB33CC">
        <w:rPr>
          <w:rFonts w:ascii="ITC Avant Garde" w:hAnsi="ITC Avant Garde" w:cs="Arial"/>
          <w:sz w:val="22"/>
          <w:szCs w:val="22"/>
        </w:rPr>
        <w:t xml:space="preserve"> a la información de separación contable entregada por los </w:t>
      </w:r>
      <w:r w:rsidR="00334A08" w:rsidRPr="00BB33CC">
        <w:rPr>
          <w:rFonts w:ascii="ITC Avant Garde" w:hAnsi="ITC Avant Garde" w:cs="Arial"/>
          <w:sz w:val="22"/>
          <w:szCs w:val="22"/>
          <w:lang w:val="es-MX"/>
        </w:rPr>
        <w:t>concesionarios y/o autorizados</w:t>
      </w:r>
      <w:r w:rsidR="00334A08" w:rsidRPr="00BB33CC">
        <w:rPr>
          <w:rFonts w:ascii="ITC Avant Garde" w:hAnsi="ITC Avant Garde" w:cs="Arial"/>
          <w:sz w:val="22"/>
          <w:szCs w:val="22"/>
        </w:rPr>
        <w:t xml:space="preserve"> involucrados. L</w:t>
      </w:r>
      <w:r w:rsidRPr="00BB33CC">
        <w:rPr>
          <w:rFonts w:ascii="ITC Avant Garde" w:hAnsi="ITC Avant Garde" w:cs="Arial"/>
          <w:sz w:val="22"/>
          <w:szCs w:val="22"/>
        </w:rPr>
        <w:t xml:space="preserve">as incidencias y/o áreas de mejora identificadas </w:t>
      </w:r>
      <w:r w:rsidR="00334A08" w:rsidRPr="00BB33CC">
        <w:rPr>
          <w:rFonts w:ascii="ITC Avant Garde" w:hAnsi="ITC Avant Garde" w:cs="Arial"/>
          <w:sz w:val="22"/>
          <w:szCs w:val="22"/>
        </w:rPr>
        <w:t>deben</w:t>
      </w:r>
      <w:r w:rsidR="009F7FAD" w:rsidRPr="00BB33CC">
        <w:rPr>
          <w:rFonts w:ascii="ITC Avant Garde" w:hAnsi="ITC Avant Garde" w:cs="Arial"/>
          <w:sz w:val="22"/>
          <w:szCs w:val="22"/>
        </w:rPr>
        <w:t xml:space="preserve"> </w:t>
      </w:r>
      <w:r w:rsidRPr="00BB33CC">
        <w:rPr>
          <w:rFonts w:ascii="ITC Avant Garde" w:hAnsi="ITC Avant Garde" w:cs="Arial"/>
          <w:sz w:val="22"/>
          <w:szCs w:val="22"/>
        </w:rPr>
        <w:t xml:space="preserve">ser subsanadas </w:t>
      </w:r>
      <w:r w:rsidR="00334A08" w:rsidRPr="00BB33CC">
        <w:rPr>
          <w:rFonts w:ascii="ITC Avant Garde" w:hAnsi="ITC Avant Garde" w:cs="Arial"/>
          <w:sz w:val="22"/>
          <w:szCs w:val="22"/>
        </w:rPr>
        <w:t xml:space="preserve">por los </w:t>
      </w:r>
      <w:r w:rsidR="00334A08" w:rsidRPr="00BB33CC">
        <w:rPr>
          <w:rFonts w:ascii="ITC Avant Garde" w:hAnsi="ITC Avant Garde" w:cs="Arial"/>
          <w:sz w:val="22"/>
          <w:szCs w:val="22"/>
          <w:lang w:val="es-MX"/>
        </w:rPr>
        <w:t xml:space="preserve">concesionarios y/o autorizados </w:t>
      </w:r>
      <w:r w:rsidR="00334A08" w:rsidRPr="00BB33CC">
        <w:rPr>
          <w:rFonts w:ascii="ITC Avant Garde" w:hAnsi="ITC Avant Garde" w:cs="Arial"/>
          <w:sz w:val="22"/>
          <w:szCs w:val="22"/>
        </w:rPr>
        <w:t>involucrados</w:t>
      </w:r>
      <w:r w:rsidRPr="00BB33CC">
        <w:rPr>
          <w:rFonts w:ascii="ITC Avant Garde" w:hAnsi="ITC Avant Garde" w:cs="Arial"/>
          <w:sz w:val="22"/>
          <w:szCs w:val="22"/>
        </w:rPr>
        <w:t>.</w:t>
      </w:r>
    </w:p>
    <w:p w:rsidR="00222605" w:rsidRPr="00BB33CC" w:rsidRDefault="00222605" w:rsidP="00D975D8">
      <w:pPr>
        <w:pStyle w:val="Indentado1"/>
        <w:numPr>
          <w:ilvl w:val="0"/>
          <w:numId w:val="0"/>
        </w:numPr>
        <w:spacing w:line="240" w:lineRule="auto"/>
        <w:ind w:left="357"/>
        <w:rPr>
          <w:rFonts w:ascii="ITC Avant Garde" w:hAnsi="ITC Avant Garde" w:cs="Arial"/>
          <w:sz w:val="22"/>
          <w:szCs w:val="22"/>
        </w:rPr>
      </w:pPr>
      <w:r w:rsidRPr="00BB33CC">
        <w:rPr>
          <w:rFonts w:ascii="ITC Avant Garde" w:hAnsi="ITC Avant Garde" w:cs="Arial"/>
          <w:sz w:val="22"/>
          <w:szCs w:val="22"/>
        </w:rPr>
        <w:t xml:space="preserve">4. Atención de </w:t>
      </w:r>
      <w:r w:rsidR="009858C4" w:rsidRPr="00BB33CC">
        <w:rPr>
          <w:rFonts w:ascii="ITC Avant Garde" w:hAnsi="ITC Avant Garde" w:cs="Arial"/>
          <w:sz w:val="22"/>
          <w:szCs w:val="22"/>
        </w:rPr>
        <w:t xml:space="preserve">las </w:t>
      </w:r>
      <w:r w:rsidRPr="00BB33CC">
        <w:rPr>
          <w:rFonts w:ascii="ITC Avant Garde" w:hAnsi="ITC Avant Garde" w:cs="Arial"/>
          <w:sz w:val="22"/>
          <w:szCs w:val="22"/>
        </w:rPr>
        <w:t xml:space="preserve">observaciones del Instituto por parte de los </w:t>
      </w:r>
      <w:r w:rsidR="009F7FAD" w:rsidRPr="00BB33CC">
        <w:rPr>
          <w:rFonts w:ascii="ITC Avant Garde" w:hAnsi="ITC Avant Garde" w:cs="Arial"/>
          <w:sz w:val="22"/>
          <w:szCs w:val="22"/>
          <w:lang w:val="es-MX"/>
        </w:rPr>
        <w:t>concesionarios y</w:t>
      </w:r>
      <w:r w:rsidR="0008037D" w:rsidRPr="00BB33CC">
        <w:rPr>
          <w:rFonts w:ascii="ITC Avant Garde" w:hAnsi="ITC Avant Garde" w:cs="Arial"/>
          <w:sz w:val="22"/>
          <w:szCs w:val="22"/>
          <w:lang w:val="es-MX"/>
        </w:rPr>
        <w:t>/o</w:t>
      </w:r>
      <w:r w:rsidR="009F7FAD" w:rsidRPr="00BB33CC">
        <w:rPr>
          <w:rFonts w:ascii="ITC Avant Garde" w:hAnsi="ITC Avant Garde" w:cs="Arial"/>
          <w:sz w:val="22"/>
          <w:szCs w:val="22"/>
          <w:lang w:val="es-MX"/>
        </w:rPr>
        <w:t xml:space="preserve"> autorizados</w:t>
      </w:r>
      <w:r w:rsidRPr="00BB33CC">
        <w:rPr>
          <w:rFonts w:ascii="ITC Avant Garde" w:hAnsi="ITC Avant Garde" w:cs="Arial"/>
          <w:sz w:val="22"/>
          <w:szCs w:val="22"/>
          <w:lang w:val="es-MX"/>
        </w:rPr>
        <w:t xml:space="preserve"> </w:t>
      </w:r>
      <w:r w:rsidRPr="00BB33CC">
        <w:rPr>
          <w:rFonts w:ascii="ITC Avant Garde" w:hAnsi="ITC Avant Garde" w:cs="Arial"/>
          <w:sz w:val="22"/>
          <w:szCs w:val="22"/>
        </w:rPr>
        <w:t>involucrados.</w:t>
      </w:r>
    </w:p>
    <w:p w:rsidR="00125B3D" w:rsidRPr="00BB33CC" w:rsidRDefault="0008037D" w:rsidP="00776A41">
      <w:pPr>
        <w:pStyle w:val="Normalresolucion"/>
        <w:outlineLvl w:val="2"/>
        <w:rPr>
          <w:b/>
        </w:rPr>
      </w:pPr>
      <w:r w:rsidRPr="00BB33CC">
        <w:rPr>
          <w:b/>
        </w:rPr>
        <w:t>5</w:t>
      </w:r>
      <w:r w:rsidR="00125B3D" w:rsidRPr="00BB33CC">
        <w:rPr>
          <w:b/>
        </w:rPr>
        <w:t>.3.12 Proceso de implementación en la separación contable</w:t>
      </w:r>
    </w:p>
    <w:p w:rsidR="00095B44" w:rsidRPr="00BB33CC" w:rsidRDefault="00430C2C" w:rsidP="00D975D8">
      <w:pPr>
        <w:pStyle w:val="Normalresolucion"/>
        <w:rPr>
          <w:lang w:val="es-MX"/>
        </w:rPr>
      </w:pPr>
      <w:r w:rsidRPr="00BB33CC">
        <w:t xml:space="preserve">Finalmente, en lo que hace a la implementación de la separación contable </w:t>
      </w:r>
      <w:r w:rsidR="004D2D45" w:rsidRPr="00BB33CC">
        <w:t>es necesario</w:t>
      </w:r>
      <w:r w:rsidRPr="00BB33CC">
        <w:t xml:space="preserve"> establece</w:t>
      </w:r>
      <w:r w:rsidR="004D2D45" w:rsidRPr="00BB33CC">
        <w:t>r</w:t>
      </w:r>
      <w:r w:rsidRPr="00BB33CC">
        <w:t xml:space="preserve"> la entrega de</w:t>
      </w:r>
      <w:r w:rsidR="004D2D45" w:rsidRPr="00BB33CC">
        <w:t xml:space="preserve"> un programa de implementación </w:t>
      </w:r>
      <w:r w:rsidR="00B16C43" w:rsidRPr="00BB33CC">
        <w:t>que permit</w:t>
      </w:r>
      <w:r w:rsidR="004D2D45" w:rsidRPr="00BB33CC">
        <w:t>a</w:t>
      </w:r>
      <w:r w:rsidR="00B16C43" w:rsidRPr="00BB33CC">
        <w:t xml:space="preserve"> al Instituto prever la información de separación contable que entregarán los concesionarios y/o autorizados. En este sentido, el programa de implementación debe </w:t>
      </w:r>
      <w:r w:rsidR="00B16C43" w:rsidRPr="00BB33CC">
        <w:rPr>
          <w:lang w:val="es-MX"/>
        </w:rPr>
        <w:t xml:space="preserve">reflejar una propuesta </w:t>
      </w:r>
      <w:r w:rsidR="004D2D45" w:rsidRPr="00BB33CC">
        <w:rPr>
          <w:lang w:val="es-MX"/>
        </w:rPr>
        <w:t xml:space="preserve">detallada </w:t>
      </w:r>
      <w:r w:rsidR="00B16C43" w:rsidRPr="00BB33CC">
        <w:rPr>
          <w:lang w:val="es-MX"/>
        </w:rPr>
        <w:t xml:space="preserve">sobre cómo </w:t>
      </w:r>
      <w:r w:rsidR="004D2D45" w:rsidRPr="00BB33CC">
        <w:rPr>
          <w:lang w:val="es-MX"/>
        </w:rPr>
        <w:t>los operadores reportarán la información</w:t>
      </w:r>
      <w:r w:rsidR="00B16C43" w:rsidRPr="00BB33CC">
        <w:rPr>
          <w:lang w:val="es-MX"/>
        </w:rPr>
        <w:t xml:space="preserve"> </w:t>
      </w:r>
      <w:r w:rsidR="004D2D45" w:rsidRPr="00BB33CC">
        <w:rPr>
          <w:lang w:val="es-MX"/>
        </w:rPr>
        <w:t xml:space="preserve">de </w:t>
      </w:r>
      <w:r w:rsidR="00B16C43" w:rsidRPr="00BB33CC">
        <w:rPr>
          <w:lang w:val="es-MX"/>
        </w:rPr>
        <w:t xml:space="preserve">separación contable atendiendo a su naturaleza, reflejando cada uno de los rubros establecidos y considerando los servicios que prestan. </w:t>
      </w:r>
      <w:r w:rsidR="00095B44" w:rsidRPr="00BB33CC">
        <w:rPr>
          <w:lang w:val="es-MX"/>
        </w:rPr>
        <w:t xml:space="preserve">A este respecto, es importante resaltar que dado que un agente económico sujeto a la </w:t>
      </w:r>
      <w:r w:rsidR="00095B44" w:rsidRPr="00BB33CC">
        <w:rPr>
          <w:lang w:val="es-MX"/>
        </w:rPr>
        <w:lastRenderedPageBreak/>
        <w:t xml:space="preserve">presente regulación puede estar conformado por uno o varios concesionarios y/o autorizados, resulta pertinente contemplar la posibilidad, </w:t>
      </w:r>
      <w:r w:rsidR="00CD3034">
        <w:rPr>
          <w:lang w:val="es-MX"/>
        </w:rPr>
        <w:t>una vez obtenida</w:t>
      </w:r>
      <w:r w:rsidR="00095B44" w:rsidRPr="00BB33CC">
        <w:rPr>
          <w:lang w:val="es-MX"/>
        </w:rPr>
        <w:t xml:space="preserve"> </w:t>
      </w:r>
      <w:r w:rsidR="00CD3034">
        <w:rPr>
          <w:lang w:val="es-MX"/>
        </w:rPr>
        <w:t xml:space="preserve">la </w:t>
      </w:r>
      <w:r w:rsidR="00095B44" w:rsidRPr="00BB33CC">
        <w:rPr>
          <w:lang w:val="es-MX"/>
        </w:rPr>
        <w:t xml:space="preserve">autorización del Instituto, de reportar la información de separación contable de manera conjunta, sin menoscabo de que dicho planteamiento pueda modificarse posteriormente atendiendo a las necesidades de información que </w:t>
      </w:r>
      <w:r w:rsidR="00CD3034" w:rsidRPr="00BB33CC">
        <w:rPr>
          <w:lang w:val="es-MX"/>
        </w:rPr>
        <w:t>identifique</w:t>
      </w:r>
      <w:r w:rsidR="00095B44" w:rsidRPr="00BB33CC">
        <w:rPr>
          <w:lang w:val="es-MX"/>
        </w:rPr>
        <w:t xml:space="preserve"> el Instituto.</w:t>
      </w:r>
    </w:p>
    <w:p w:rsidR="00B16C43" w:rsidRPr="00BB33CC" w:rsidRDefault="00B16C43" w:rsidP="00D975D8">
      <w:pPr>
        <w:pStyle w:val="Normalresolucion"/>
      </w:pPr>
      <w:r w:rsidRPr="00BB33CC">
        <w:rPr>
          <w:lang w:val="es-MX"/>
        </w:rPr>
        <w:t xml:space="preserve">El Instituto revisará y autorizará </w:t>
      </w:r>
      <w:r w:rsidR="004D2D45" w:rsidRPr="00BB33CC">
        <w:rPr>
          <w:lang w:val="es-MX"/>
        </w:rPr>
        <w:t>dichos</w:t>
      </w:r>
      <w:r w:rsidRPr="00BB33CC">
        <w:rPr>
          <w:lang w:val="es-MX"/>
        </w:rPr>
        <w:t xml:space="preserve"> programas a fin de minimizar riesgos de divergencia entre la información entregada por los concesionarios y/o autorizados y las obligaciones establecidas en la separación contable.</w:t>
      </w:r>
    </w:p>
    <w:p w:rsidR="000F7392" w:rsidRPr="00BB33CC" w:rsidRDefault="000F7392" w:rsidP="000F7392">
      <w:pPr>
        <w:pStyle w:val="Ttulo2"/>
      </w:pPr>
      <w:r w:rsidRPr="00BB33CC">
        <w:t>SEXTO.- CONSULTA PÚBLICA</w:t>
      </w:r>
      <w:r w:rsidR="00F9072F" w:rsidRPr="00BB33CC">
        <w:t xml:space="preserve"> Y OPINIÓN TÉCNICA</w:t>
      </w:r>
    </w:p>
    <w:p w:rsidR="00762017" w:rsidRPr="00BB33CC" w:rsidRDefault="00762017" w:rsidP="006447CD">
      <w:pPr>
        <w:pStyle w:val="Normalresolucion"/>
      </w:pPr>
      <w:r w:rsidRPr="00BB33CC">
        <w:t xml:space="preserve">En cumplimiento con el artículo 51 de la LFTR, bajo los principios de transparencia y participación ciudadana, el Instituto llevó a cabo </w:t>
      </w:r>
      <w:r w:rsidR="00435559" w:rsidRPr="00BB33CC">
        <w:t>una</w:t>
      </w:r>
      <w:r w:rsidRPr="00BB33CC">
        <w:t xml:space="preserve"> consulta pública del 7 de junio al 1 de agosto de 2017. Dich</w:t>
      </w:r>
      <w:r w:rsidR="00435559" w:rsidRPr="00BB33CC">
        <w:t>o proceso de</w:t>
      </w:r>
      <w:r w:rsidRPr="00BB33CC">
        <w:t xml:space="preserve"> consulta </w:t>
      </w:r>
      <w:r w:rsidR="00360A4D" w:rsidRPr="00BB33CC">
        <w:t xml:space="preserve">concluyó con </w:t>
      </w:r>
      <w:r w:rsidRPr="00BB33CC">
        <w:t>9 (nueve) participaciones,</w:t>
      </w:r>
      <w:r w:rsidR="00435559" w:rsidRPr="00BB33CC">
        <w:t xml:space="preserve"> </w:t>
      </w:r>
      <w:r w:rsidRPr="00BB33CC">
        <w:t xml:space="preserve">las cuales corresponden a personas morales. Las participaciones se valoraron y se encuentran publicadas en el portal del Instituto. </w:t>
      </w:r>
    </w:p>
    <w:p w:rsidR="000F7392" w:rsidRPr="00BB33CC" w:rsidRDefault="00762017" w:rsidP="00762017">
      <w:pPr>
        <w:pStyle w:val="Normalresolucion"/>
      </w:pPr>
      <w:r w:rsidRPr="00BB33CC">
        <w:t xml:space="preserve">Asimismo, mediante oficio </w:t>
      </w:r>
      <w:r w:rsidR="009D68FF" w:rsidRPr="00BB33CC">
        <w:t>IFT/230/CES/052/2017</w:t>
      </w:r>
      <w:r w:rsidR="009D6EDF" w:rsidRPr="00BB33CC">
        <w:t>,</w:t>
      </w:r>
      <w:r w:rsidRPr="00BB33CC">
        <w:t xml:space="preserve"> el Centro de Estudios </w:t>
      </w:r>
      <w:r w:rsidR="00170D8D" w:rsidRPr="00BB33CC">
        <w:t xml:space="preserve">del Instituto </w:t>
      </w:r>
      <w:r w:rsidRPr="00BB33CC">
        <w:t>emitió su opinión técnica relativa al “ACUERDO MEDIANTE EL CUAL EL PLENO DEL INSTITUTO FEDERAL DE TELECOMUNICACIONES SOMETE A CONSULTA PÚBLICA EL ANTEPROYECTO DE METODOLOGÍA DE SEPARACIÓN CONTABLE APLICABLE A LOS AGENTES ECONÓMICOS PREPONDERANTES, AGENTES DECLARADOS CON PODER SUSTANCIAL DE MERCADO Y REDES COMPARTIDAS.”, misma que fue valorada</w:t>
      </w:r>
      <w:r w:rsidR="00D8532D" w:rsidRPr="00BB33CC">
        <w:t xml:space="preserve"> para el diseño de la metodología de separación contable</w:t>
      </w:r>
      <w:r w:rsidRPr="00BB33CC">
        <w:t>.</w:t>
      </w:r>
    </w:p>
    <w:p w:rsidR="0002718E" w:rsidRPr="00BB33CC" w:rsidRDefault="0002718E" w:rsidP="0002718E">
      <w:pPr>
        <w:pStyle w:val="Ttulo2"/>
      </w:pPr>
      <w:r w:rsidRPr="00BB33CC">
        <w:t>SÉPTIMO.- ANÁLISIS DE IMPACTO REGULATORIO</w:t>
      </w:r>
    </w:p>
    <w:p w:rsidR="0002718E" w:rsidRPr="00BB33CC" w:rsidRDefault="0002718E" w:rsidP="0002718E">
      <w:pPr>
        <w:pStyle w:val="Normalresolucion"/>
      </w:pPr>
      <w:r w:rsidRPr="00BB33CC">
        <w:t>De conformidad con el segundo párrafo del artículo 51 de la LFTR, se establece que previ</w:t>
      </w:r>
      <w:r w:rsidR="00CD3034">
        <w:t>amente</w:t>
      </w:r>
      <w:r w:rsidRPr="00BB33CC">
        <w:t xml:space="preserve"> a la emisión de reglas, lineamientos o disposiciones administrativas de carácter general de que se trate, el Instituto deberá realizar y hacer público un análisis de impacto regulatorio.</w:t>
      </w:r>
    </w:p>
    <w:p w:rsidR="0002718E" w:rsidRPr="00BB33CC" w:rsidRDefault="0002718E" w:rsidP="0002718E">
      <w:pPr>
        <w:pStyle w:val="Normalresolucion"/>
      </w:pPr>
      <w:r w:rsidRPr="00BB33CC">
        <w:t>Al respecto, de conformidad con lo establecido en los artículos 51 de la LFTR; 4 fracción VIII, inciso IV) y 75</w:t>
      </w:r>
      <w:r w:rsidR="00D1525D" w:rsidRPr="00BB33CC">
        <w:t>,</w:t>
      </w:r>
      <w:r w:rsidRPr="00BB33CC">
        <w:t xml:space="preserve"> fracción II del Estatuto, la Coordinación General de Mejora Regulatoria emitió, mediante oficio </w:t>
      </w:r>
      <w:r w:rsidR="0094163F" w:rsidRPr="00BB33CC">
        <w:t>IFT/211/CGMR/171/2017</w:t>
      </w:r>
      <w:r w:rsidRPr="00BB33CC">
        <w:t>, la opinión no vincu</w:t>
      </w:r>
      <w:r w:rsidR="00975C02" w:rsidRPr="00BB33CC">
        <w:t>lante respecto del proyecto de “</w:t>
      </w:r>
      <w:r w:rsidR="007F42DF" w:rsidRPr="00BB33CC">
        <w:t>ACUERDO MEDIANTE EL CUAL EL PLENO DEL INSTITUTO FEDERAL DE TELECOMUNICACIONES EXPIDE LA METODOLOGÍA DE SEPARACIÓN CONTABLE APLICABLE A LOS AGENTES ECONÓMICOS PREPONDERANTES, AGENTES DECLARADOS CON PODER SUSTANCIAL DE MERCADO Y REDES COMPARTIDAS</w:t>
      </w:r>
      <w:r w:rsidR="00975C02" w:rsidRPr="00BB33CC">
        <w:t>”</w:t>
      </w:r>
      <w:r w:rsidRPr="00BB33CC">
        <w:t>.</w:t>
      </w:r>
    </w:p>
    <w:p w:rsidR="00A1321B" w:rsidRPr="00BB33CC" w:rsidRDefault="00A1321B" w:rsidP="00A1321B">
      <w:pPr>
        <w:pStyle w:val="Normalresolucion"/>
      </w:pPr>
      <w:bookmarkStart w:id="8" w:name="_Toc475094680"/>
      <w:bookmarkStart w:id="9" w:name="_Toc475094683"/>
      <w:bookmarkStart w:id="10" w:name="_Toc475094684"/>
      <w:bookmarkEnd w:id="8"/>
      <w:bookmarkEnd w:id="9"/>
      <w:bookmarkEnd w:id="10"/>
      <w:r w:rsidRPr="00BB33CC">
        <w:t xml:space="preserve">Por </w:t>
      </w:r>
      <w:r w:rsidR="00EF0D87" w:rsidRPr="00BB33CC">
        <w:t>las razones expuestas y</w:t>
      </w:r>
      <w:r w:rsidRPr="00BB33CC">
        <w:t xml:space="preserve"> con fundamento en </w:t>
      </w:r>
      <w:r w:rsidR="00EF0D87" w:rsidRPr="00BB33CC">
        <w:t xml:space="preserve">lo dispuesto </w:t>
      </w:r>
      <w:r w:rsidR="00D1525D" w:rsidRPr="00BB33CC">
        <w:t>en</w:t>
      </w:r>
      <w:r w:rsidR="00EF0D87" w:rsidRPr="00BB33CC">
        <w:t xml:space="preserve"> </w:t>
      </w:r>
      <w:r w:rsidR="00D8532D" w:rsidRPr="00BB33CC">
        <w:t>l</w:t>
      </w:r>
      <w:r w:rsidR="00D1525D" w:rsidRPr="00BB33CC">
        <w:t>os</w:t>
      </w:r>
      <w:r w:rsidR="00D8532D" w:rsidRPr="00BB33CC">
        <w:t xml:space="preserve"> </w:t>
      </w:r>
      <w:r w:rsidRPr="00BB33CC">
        <w:t>artículo</w:t>
      </w:r>
      <w:r w:rsidR="00D1525D" w:rsidRPr="00BB33CC">
        <w:t>s</w:t>
      </w:r>
      <w:r w:rsidRPr="00BB33CC">
        <w:t xml:space="preserve"> 28, párrafos décimo quinto</w:t>
      </w:r>
      <w:r w:rsidR="00D8532D" w:rsidRPr="00BB33CC">
        <w:t xml:space="preserve">, </w:t>
      </w:r>
      <w:r w:rsidRPr="00BB33CC">
        <w:t xml:space="preserve">décimo sexto </w:t>
      </w:r>
      <w:r w:rsidR="00D8532D" w:rsidRPr="00BB33CC">
        <w:t xml:space="preserve">y vigésimo, fracción IV </w:t>
      </w:r>
      <w:r w:rsidRPr="00BB33CC">
        <w:t xml:space="preserve">de la Constitución Política de los Estados Unidos Mexicanos; </w:t>
      </w:r>
      <w:r w:rsidR="00D8532D" w:rsidRPr="00BB33CC">
        <w:t xml:space="preserve">1, </w:t>
      </w:r>
      <w:r w:rsidRPr="00BB33CC">
        <w:t xml:space="preserve">2, 4, 7, 15, fracción I, 16, 17, fracción I, </w:t>
      </w:r>
      <w:r w:rsidRPr="00BB33CC">
        <w:lastRenderedPageBreak/>
        <w:t>51 y 292 de la Ley Federal de Telecomunicaciones y Radiodifusión, y 1 y 4, fracción I del Estatuto Orgánico del Instituto Federal de Telecomunicaciones, el Pleno de</w:t>
      </w:r>
      <w:r w:rsidR="00EF0D87" w:rsidRPr="00BB33CC">
        <w:t xml:space="preserve"> este</w:t>
      </w:r>
      <w:r w:rsidRPr="00BB33CC">
        <w:t xml:space="preserve"> Instituto</w:t>
      </w:r>
      <w:r w:rsidR="00EF0D87" w:rsidRPr="00BB33CC">
        <w:t xml:space="preserve"> </w:t>
      </w:r>
      <w:r w:rsidRPr="00BB33CC">
        <w:t>emite el</w:t>
      </w:r>
      <w:r w:rsidR="00D1525D" w:rsidRPr="00BB33CC">
        <w:t xml:space="preserve"> siguiente</w:t>
      </w:r>
      <w:r w:rsidRPr="00BB33CC">
        <w:t>:</w:t>
      </w:r>
    </w:p>
    <w:p w:rsidR="00A1321B" w:rsidRPr="00BB33CC" w:rsidRDefault="00A1321B" w:rsidP="00A1321B">
      <w:pPr>
        <w:pStyle w:val="Ttulo1"/>
      </w:pPr>
      <w:bookmarkStart w:id="11" w:name="_Toc484022086"/>
      <w:r w:rsidRPr="00BB33CC">
        <w:t>ACUERDO</w:t>
      </w:r>
      <w:bookmarkEnd w:id="11"/>
    </w:p>
    <w:p w:rsidR="00A1321B" w:rsidRPr="00BB33CC" w:rsidRDefault="00A1321B" w:rsidP="00A1321B">
      <w:pPr>
        <w:pStyle w:val="Normalresolucion"/>
      </w:pPr>
      <w:bookmarkStart w:id="12" w:name="_Toc484022087"/>
      <w:r w:rsidRPr="00BB33CC">
        <w:rPr>
          <w:rStyle w:val="Ttulo2Car"/>
          <w:bCs/>
        </w:rPr>
        <w:t>PRIMERO</w:t>
      </w:r>
      <w:bookmarkEnd w:id="12"/>
      <w:r w:rsidRPr="00BB33CC">
        <w:rPr>
          <w:b/>
          <w:bCs/>
        </w:rPr>
        <w:t>.-</w:t>
      </w:r>
      <w:r w:rsidRPr="00BB33CC">
        <w:t xml:space="preserve"> </w:t>
      </w:r>
      <w:r w:rsidR="00D1525D" w:rsidRPr="00BB33CC">
        <w:t xml:space="preserve">Se expide </w:t>
      </w:r>
      <w:r w:rsidRPr="00BB33CC">
        <w:t xml:space="preserve">la </w:t>
      </w:r>
      <w:r w:rsidR="002F03C5" w:rsidRPr="00BB33CC">
        <w:t>“</w:t>
      </w:r>
      <w:r w:rsidRPr="00BB33CC">
        <w:t>METODOLOGÍA DE SEPARACIÓN CONTABLE APLICABLE A LOS AGENTES ECONÓMICOS PREPONDERANTES, AGENTES DECLARADOS CON PODER SUSTANCIAL DE MERCADO Y REDES COMPARTIDAS</w:t>
      </w:r>
      <w:r w:rsidR="00792559" w:rsidRPr="00BB33CC">
        <w:t xml:space="preserve"> MAYORISTAS</w:t>
      </w:r>
      <w:r w:rsidR="002F03C5" w:rsidRPr="00BB33CC">
        <w:t>”</w:t>
      </w:r>
      <w:r w:rsidRPr="00BB33CC">
        <w:t xml:space="preserve">, </w:t>
      </w:r>
      <w:r w:rsidR="002F03C5" w:rsidRPr="00BB33CC">
        <w:t>misma que</w:t>
      </w:r>
      <w:r w:rsidR="00950DE0" w:rsidRPr="00BB33CC">
        <w:t>,</w:t>
      </w:r>
      <w:r w:rsidR="002F03C5" w:rsidRPr="00BB33CC">
        <w:t xml:space="preserve"> como A</w:t>
      </w:r>
      <w:r w:rsidR="00D977B3" w:rsidRPr="00BB33CC">
        <w:t>NEXO ÚNICO</w:t>
      </w:r>
      <w:r w:rsidR="002F03C5" w:rsidRPr="00BB33CC">
        <w:t xml:space="preserve">, se </w:t>
      </w:r>
      <w:r w:rsidRPr="00BB33CC">
        <w:t xml:space="preserve">adjunta </w:t>
      </w:r>
      <w:r w:rsidR="002F03C5" w:rsidRPr="00BB33CC">
        <w:t>al</w:t>
      </w:r>
      <w:r w:rsidRPr="00BB33CC">
        <w:t xml:space="preserve"> presente Acuerdo.</w:t>
      </w:r>
    </w:p>
    <w:p w:rsidR="006447CD" w:rsidRPr="00BB33CC" w:rsidRDefault="008567F7" w:rsidP="00FE1C2B">
      <w:pPr>
        <w:pStyle w:val="Normalresolucion"/>
      </w:pPr>
      <w:r w:rsidRPr="00BB33CC">
        <w:rPr>
          <w:b/>
        </w:rPr>
        <w:t>SEGUNDO</w:t>
      </w:r>
      <w:r w:rsidR="00C95199" w:rsidRPr="00BB33CC">
        <w:rPr>
          <w:b/>
        </w:rPr>
        <w:t>.-</w:t>
      </w:r>
      <w:r w:rsidR="00C95199" w:rsidRPr="00BB33CC">
        <w:t xml:space="preserve"> Publíquese el presente Acuerdo</w:t>
      </w:r>
      <w:r w:rsidR="007079D5" w:rsidRPr="00BB33CC">
        <w:t xml:space="preserve"> </w:t>
      </w:r>
      <w:r w:rsidR="00C95199" w:rsidRPr="00BB33CC">
        <w:t>en el Diario Oficial de la Federación.</w:t>
      </w:r>
    </w:p>
    <w:p w:rsidR="007B07F9" w:rsidRPr="00BB33CC" w:rsidRDefault="007B07F9" w:rsidP="006447CD">
      <w:pPr>
        <w:adjustRightInd w:val="0"/>
        <w:spacing w:before="120" w:after="120" w:line="276" w:lineRule="auto"/>
        <w:jc w:val="center"/>
        <w:rPr>
          <w:rFonts w:ascii="ITC Avant Garde" w:hAnsi="ITC Avant Garde" w:cs="Arial"/>
          <w:b/>
        </w:rPr>
      </w:pPr>
    </w:p>
    <w:p w:rsidR="006447CD" w:rsidRPr="00BB33CC" w:rsidRDefault="006447CD" w:rsidP="00DB1DC2">
      <w:pPr>
        <w:adjustRightInd w:val="0"/>
        <w:spacing w:before="120" w:after="120" w:line="276" w:lineRule="auto"/>
        <w:rPr>
          <w:rFonts w:ascii="ITC Avant Garde" w:hAnsi="ITC Avant Garde" w:cs="Arial"/>
          <w:b/>
        </w:rPr>
      </w:pPr>
    </w:p>
    <w:p w:rsidR="006447CD" w:rsidRPr="00BB33CC" w:rsidRDefault="006447CD" w:rsidP="006447CD">
      <w:pPr>
        <w:adjustRightInd w:val="0"/>
        <w:spacing w:before="120" w:after="120" w:line="276" w:lineRule="auto"/>
        <w:jc w:val="both"/>
        <w:rPr>
          <w:rFonts w:ascii="ITC Avant Garde" w:hAnsi="ITC Avant Garde" w:cs="Arial"/>
          <w:b/>
        </w:rPr>
      </w:pPr>
    </w:p>
    <w:p w:rsidR="006447CD" w:rsidRPr="00BB33CC" w:rsidRDefault="006447CD" w:rsidP="006447CD">
      <w:pPr>
        <w:adjustRightInd w:val="0"/>
        <w:spacing w:before="120" w:after="120" w:line="276" w:lineRule="auto"/>
        <w:jc w:val="center"/>
        <w:rPr>
          <w:rFonts w:ascii="ITC Avant Garde" w:hAnsi="ITC Avant Garde" w:cs="Arial"/>
          <w:b/>
          <w:bCs/>
          <w:lang w:bidi="he-IL"/>
        </w:rPr>
      </w:pPr>
      <w:r w:rsidRPr="00BB33CC">
        <w:rPr>
          <w:rFonts w:ascii="ITC Avant Garde" w:hAnsi="ITC Avant Garde" w:cs="Arial"/>
          <w:b/>
          <w:bCs/>
          <w:lang w:bidi="he-IL"/>
        </w:rPr>
        <w:t>Gabriel Oswaldo Contreras Saldívar</w:t>
      </w:r>
    </w:p>
    <w:p w:rsidR="006447CD" w:rsidRPr="00BB33CC" w:rsidRDefault="006447CD" w:rsidP="006447CD">
      <w:pPr>
        <w:adjustRightInd w:val="0"/>
        <w:spacing w:before="120" w:after="120" w:line="276" w:lineRule="auto"/>
        <w:jc w:val="center"/>
        <w:rPr>
          <w:rFonts w:ascii="ITC Avant Garde" w:hAnsi="ITC Avant Garde" w:cs="Arial"/>
          <w:b/>
        </w:rPr>
      </w:pPr>
      <w:r w:rsidRPr="00BB33CC">
        <w:rPr>
          <w:rFonts w:ascii="ITC Avant Garde" w:hAnsi="ITC Avant Garde" w:cs="Arial"/>
          <w:b/>
        </w:rPr>
        <w:t>Comisionado Presidente</w:t>
      </w:r>
    </w:p>
    <w:p w:rsidR="006447CD" w:rsidRPr="00BB33CC" w:rsidRDefault="006447CD" w:rsidP="006447CD">
      <w:pPr>
        <w:adjustRightInd w:val="0"/>
        <w:spacing w:before="120" w:after="120" w:line="276" w:lineRule="auto"/>
        <w:jc w:val="both"/>
        <w:rPr>
          <w:rFonts w:ascii="ITC Avant Garde" w:hAnsi="ITC Avant Garde" w:cs="Arial"/>
          <w:b/>
        </w:rPr>
      </w:pPr>
    </w:p>
    <w:p w:rsidR="006447CD" w:rsidRPr="00BB33CC" w:rsidRDefault="006447CD" w:rsidP="006447CD">
      <w:pPr>
        <w:adjustRightInd w:val="0"/>
        <w:spacing w:before="120" w:after="120" w:line="276" w:lineRule="auto"/>
        <w:jc w:val="center"/>
        <w:rPr>
          <w:rFonts w:ascii="ITC Avant Garde" w:hAnsi="ITC Avant Garde" w:cs="Arial"/>
          <w:b/>
        </w:rPr>
      </w:pPr>
    </w:p>
    <w:tbl>
      <w:tblPr>
        <w:tblStyle w:val="Tablanormal4"/>
        <w:tblW w:w="8931" w:type="dxa"/>
        <w:shd w:val="clear" w:color="auto" w:fill="FFFFFF" w:themeFill="background1"/>
        <w:tblLayout w:type="fixed"/>
        <w:tblLook w:val="04A0" w:firstRow="1" w:lastRow="0" w:firstColumn="1" w:lastColumn="0" w:noHBand="0" w:noVBand="1"/>
      </w:tblPr>
      <w:tblGrid>
        <w:gridCol w:w="4473"/>
        <w:gridCol w:w="352"/>
        <w:gridCol w:w="4106"/>
      </w:tblGrid>
      <w:tr w:rsidR="006447CD" w:rsidRPr="00BB33CC" w:rsidTr="00B07C1C">
        <w:trPr>
          <w:cnfStyle w:val="100000000000" w:firstRow="1" w:lastRow="0" w:firstColumn="0" w:lastColumn="0" w:oddVBand="0" w:evenVBand="0" w:oddHBand="0"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rsidR="006447CD" w:rsidRPr="00BB33CC" w:rsidRDefault="006447CD" w:rsidP="009D0891">
            <w:pPr>
              <w:adjustRightInd w:val="0"/>
              <w:spacing w:before="120" w:after="120" w:line="276" w:lineRule="auto"/>
              <w:jc w:val="center"/>
              <w:rPr>
                <w:rFonts w:ascii="ITC Avant Garde" w:hAnsi="ITC Avant Garde" w:cs="Arial"/>
                <w:lang w:val="es-MX"/>
              </w:rPr>
            </w:pPr>
            <w:r w:rsidRPr="00BB33CC">
              <w:rPr>
                <w:rFonts w:ascii="ITC Avant Garde" w:hAnsi="ITC Avant Garde" w:cs="Arial"/>
                <w:lang w:val="es-MX"/>
              </w:rPr>
              <w:t>Adriana Sofía Labardini Inzunza</w:t>
            </w:r>
          </w:p>
          <w:p w:rsidR="006447CD" w:rsidRPr="00BB33CC" w:rsidRDefault="006447CD" w:rsidP="009D0891">
            <w:pPr>
              <w:adjustRightInd w:val="0"/>
              <w:spacing w:before="120" w:after="120" w:line="276" w:lineRule="auto"/>
              <w:jc w:val="center"/>
              <w:rPr>
                <w:rFonts w:ascii="ITC Avant Garde" w:hAnsi="ITC Avant Garde" w:cs="Arial"/>
                <w:lang w:val="es-MX"/>
              </w:rPr>
            </w:pPr>
            <w:r w:rsidRPr="00BB33CC">
              <w:rPr>
                <w:rFonts w:ascii="ITC Avant Garde" w:hAnsi="ITC Avant Garde" w:cs="Arial"/>
                <w:lang w:val="es-MX"/>
              </w:rPr>
              <w:t>Comisionada</w:t>
            </w:r>
          </w:p>
          <w:p w:rsidR="006447CD" w:rsidRPr="00BB33CC" w:rsidRDefault="006447CD" w:rsidP="009D0891">
            <w:pPr>
              <w:adjustRightInd w:val="0"/>
              <w:spacing w:before="120" w:after="120" w:line="276" w:lineRule="auto"/>
              <w:jc w:val="center"/>
              <w:rPr>
                <w:rFonts w:ascii="ITC Avant Garde" w:hAnsi="ITC Avant Garde" w:cs="Arial"/>
                <w:lang w:val="es-MX"/>
              </w:rPr>
            </w:pPr>
          </w:p>
        </w:tc>
        <w:tc>
          <w:tcPr>
            <w:tcW w:w="352" w:type="dxa"/>
            <w:shd w:val="clear" w:color="auto" w:fill="FFFFFF" w:themeFill="background1"/>
          </w:tcPr>
          <w:p w:rsidR="006447CD" w:rsidRPr="00BB33CC" w:rsidRDefault="006447CD" w:rsidP="009D0891">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c>
          <w:tcPr>
            <w:tcW w:w="4106" w:type="dxa"/>
            <w:shd w:val="clear" w:color="auto" w:fill="FFFFFF" w:themeFill="background1"/>
          </w:tcPr>
          <w:p w:rsidR="009B59A8" w:rsidRPr="00BB33CC" w:rsidRDefault="00EB6178" w:rsidP="009B59A8">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BB33CC">
              <w:rPr>
                <w:rFonts w:ascii="ITC Avant Garde" w:hAnsi="ITC Avant Garde" w:cs="Arial"/>
                <w:lang w:val="es-MX"/>
              </w:rPr>
              <w:t xml:space="preserve">María Elena Estavillo Flores </w:t>
            </w:r>
            <w:r w:rsidR="009B59A8" w:rsidRPr="00BB33CC">
              <w:rPr>
                <w:rFonts w:ascii="ITC Avant Garde" w:hAnsi="ITC Avant Garde" w:cs="Arial"/>
                <w:lang w:val="es-MX"/>
              </w:rPr>
              <w:t>Comisionada</w:t>
            </w:r>
          </w:p>
          <w:p w:rsidR="006447CD" w:rsidRPr="00BB33CC" w:rsidRDefault="006447CD" w:rsidP="009D0891">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p w:rsidR="006447CD" w:rsidRPr="00BB33CC" w:rsidRDefault="006447CD" w:rsidP="009D0891">
            <w:pPr>
              <w:adjustRightInd w:val="0"/>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r>
      <w:tr w:rsidR="006447CD" w:rsidRPr="00BB33CC" w:rsidTr="00B07C1C">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hideMark/>
          </w:tcPr>
          <w:p w:rsidR="00EB6178" w:rsidRPr="00BB33CC" w:rsidRDefault="00EB6178" w:rsidP="00EB6178">
            <w:pPr>
              <w:adjustRightInd w:val="0"/>
              <w:spacing w:before="120" w:after="120" w:line="276" w:lineRule="auto"/>
              <w:jc w:val="center"/>
              <w:rPr>
                <w:rFonts w:ascii="ITC Avant Garde" w:hAnsi="ITC Avant Garde" w:cs="Arial"/>
                <w:lang w:val="es-MX"/>
              </w:rPr>
            </w:pPr>
            <w:r w:rsidRPr="00BB33CC">
              <w:rPr>
                <w:rFonts w:ascii="ITC Avant Garde" w:hAnsi="ITC Avant Garde" w:cs="Arial"/>
                <w:lang w:val="es-MX"/>
              </w:rPr>
              <w:t>Mario Germán Fromow Rangel</w:t>
            </w:r>
          </w:p>
          <w:p w:rsidR="00EB6178" w:rsidRPr="00BB33CC" w:rsidRDefault="00EB6178" w:rsidP="00EB6178">
            <w:pPr>
              <w:adjustRightInd w:val="0"/>
              <w:spacing w:before="120" w:after="120" w:line="276" w:lineRule="auto"/>
              <w:jc w:val="center"/>
              <w:rPr>
                <w:rFonts w:ascii="ITC Avant Garde" w:hAnsi="ITC Avant Garde" w:cs="Arial"/>
                <w:lang w:val="es-MX"/>
              </w:rPr>
            </w:pPr>
            <w:r w:rsidRPr="00BB33CC">
              <w:rPr>
                <w:rFonts w:ascii="ITC Avant Garde" w:hAnsi="ITC Avant Garde" w:cs="Arial"/>
                <w:lang w:val="es-MX"/>
              </w:rPr>
              <w:t>Comisionado</w:t>
            </w:r>
            <w:r w:rsidRPr="00BB33CC" w:rsidDel="00E14932">
              <w:rPr>
                <w:rFonts w:ascii="ITC Avant Garde" w:hAnsi="ITC Avant Garde" w:cs="Arial"/>
                <w:lang w:val="es-MX"/>
              </w:rPr>
              <w:t xml:space="preserve"> </w:t>
            </w:r>
          </w:p>
          <w:p w:rsidR="006447CD" w:rsidRPr="00BB33CC" w:rsidRDefault="006447CD" w:rsidP="009D0891">
            <w:pPr>
              <w:adjustRightInd w:val="0"/>
              <w:spacing w:before="120" w:after="120" w:line="276" w:lineRule="auto"/>
              <w:jc w:val="center"/>
              <w:rPr>
                <w:rFonts w:ascii="ITC Avant Garde" w:hAnsi="ITC Avant Garde" w:cs="Arial"/>
                <w:lang w:val="es-MX"/>
              </w:rPr>
            </w:pPr>
          </w:p>
          <w:p w:rsidR="006447CD" w:rsidRPr="00BB33CC" w:rsidRDefault="006447CD" w:rsidP="008227BF">
            <w:pPr>
              <w:adjustRightInd w:val="0"/>
              <w:spacing w:before="120" w:after="120" w:line="276" w:lineRule="auto"/>
              <w:jc w:val="center"/>
              <w:rPr>
                <w:rFonts w:ascii="ITC Avant Garde" w:hAnsi="ITC Avant Garde" w:cs="Arial"/>
                <w:lang w:val="es-MX"/>
              </w:rPr>
            </w:pPr>
          </w:p>
        </w:tc>
        <w:tc>
          <w:tcPr>
            <w:tcW w:w="352" w:type="dxa"/>
            <w:shd w:val="clear" w:color="auto" w:fill="FFFFFF" w:themeFill="background1"/>
          </w:tcPr>
          <w:p w:rsidR="006447CD" w:rsidRPr="00BB33CC"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rsidR="006447CD" w:rsidRPr="00BB33CC"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BB33CC">
              <w:rPr>
                <w:rFonts w:ascii="ITC Avant Garde" w:hAnsi="ITC Avant Garde" w:cs="Arial"/>
                <w:b/>
                <w:lang w:val="es-MX"/>
              </w:rPr>
              <w:t>Adolfo Cuevas Teja</w:t>
            </w:r>
          </w:p>
          <w:p w:rsidR="006447CD" w:rsidRPr="00BB33CC"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BB33CC">
              <w:rPr>
                <w:rFonts w:ascii="ITC Avant Garde" w:hAnsi="ITC Avant Garde" w:cs="Arial"/>
                <w:b/>
                <w:lang w:val="es-MX"/>
              </w:rPr>
              <w:t>Comisionado</w:t>
            </w:r>
            <w:r w:rsidRPr="00BB33CC" w:rsidDel="00E14932">
              <w:rPr>
                <w:rFonts w:ascii="ITC Avant Garde" w:hAnsi="ITC Avant Garde" w:cs="Arial"/>
                <w:b/>
                <w:lang w:val="es-MX"/>
              </w:rPr>
              <w:t xml:space="preserve"> </w:t>
            </w:r>
          </w:p>
          <w:p w:rsidR="006447CD" w:rsidRPr="00BB33CC"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p w:rsidR="006447CD" w:rsidRPr="00BB33CC"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p w:rsidR="006447CD" w:rsidRPr="00BB33CC"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r>
      <w:tr w:rsidR="006447CD" w:rsidRPr="00BB33CC" w:rsidTr="00B07C1C">
        <w:trPr>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rsidR="006447CD" w:rsidRPr="00BB33CC" w:rsidRDefault="006447CD" w:rsidP="009D0891">
            <w:pPr>
              <w:adjustRightInd w:val="0"/>
              <w:spacing w:before="120" w:after="120" w:line="276" w:lineRule="auto"/>
              <w:jc w:val="center"/>
              <w:rPr>
                <w:rFonts w:ascii="ITC Avant Garde" w:hAnsi="ITC Avant Garde" w:cs="Arial"/>
                <w:lang w:val="es-MX"/>
              </w:rPr>
            </w:pPr>
            <w:r w:rsidRPr="00BB33CC">
              <w:rPr>
                <w:rFonts w:ascii="ITC Avant Garde" w:hAnsi="ITC Avant Garde" w:cs="Arial"/>
                <w:lang w:val="es-MX"/>
              </w:rPr>
              <w:t>Javier Juárez Mojica</w:t>
            </w:r>
          </w:p>
          <w:p w:rsidR="006447CD" w:rsidRPr="00BB33CC" w:rsidRDefault="006447CD" w:rsidP="009D0891">
            <w:pPr>
              <w:adjustRightInd w:val="0"/>
              <w:spacing w:before="120" w:after="120" w:line="276" w:lineRule="auto"/>
              <w:jc w:val="center"/>
              <w:rPr>
                <w:rFonts w:ascii="ITC Avant Garde" w:hAnsi="ITC Avant Garde" w:cs="Arial"/>
                <w:lang w:val="es-MX"/>
              </w:rPr>
            </w:pPr>
            <w:r w:rsidRPr="00BB33CC">
              <w:rPr>
                <w:rFonts w:ascii="ITC Avant Garde" w:hAnsi="ITC Avant Garde" w:cs="Arial"/>
                <w:lang w:val="es-MX"/>
              </w:rPr>
              <w:t>Comisionado</w:t>
            </w:r>
          </w:p>
        </w:tc>
        <w:tc>
          <w:tcPr>
            <w:tcW w:w="352" w:type="dxa"/>
            <w:shd w:val="clear" w:color="auto" w:fill="FFFFFF" w:themeFill="background1"/>
          </w:tcPr>
          <w:p w:rsidR="006447CD" w:rsidRPr="00BB33CC" w:rsidRDefault="006447CD" w:rsidP="009D0891">
            <w:pPr>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rsidR="006447CD" w:rsidRPr="00BB33CC" w:rsidRDefault="006447CD" w:rsidP="009D0891">
            <w:pPr>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BB33CC">
              <w:rPr>
                <w:rFonts w:ascii="ITC Avant Garde" w:hAnsi="ITC Avant Garde" w:cs="Arial"/>
                <w:b/>
                <w:lang w:val="es-MX"/>
              </w:rPr>
              <w:t>Arturo Robles Rovalo</w:t>
            </w:r>
          </w:p>
          <w:p w:rsidR="006447CD" w:rsidRPr="00BB33CC" w:rsidRDefault="006447CD" w:rsidP="00B07C1C">
            <w:pPr>
              <w:tabs>
                <w:tab w:val="center" w:pos="2647"/>
                <w:tab w:val="left" w:pos="4230"/>
              </w:tabs>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BB33CC">
              <w:rPr>
                <w:rFonts w:ascii="ITC Avant Garde" w:hAnsi="ITC Avant Garde" w:cs="Arial"/>
                <w:b/>
                <w:lang w:val="es-MX"/>
              </w:rPr>
              <w:t>Comisionado</w:t>
            </w:r>
          </w:p>
        </w:tc>
      </w:tr>
    </w:tbl>
    <w:p w:rsidR="006447CD" w:rsidRPr="00BB33CC" w:rsidRDefault="006447CD" w:rsidP="006447CD">
      <w:pPr>
        <w:rPr>
          <w:rFonts w:ascii="ITC Avant Garde" w:hAnsi="ITC Avant Garde" w:cs="Arial"/>
          <w:lang w:val="es-ES" w:eastAsia="es-ES"/>
        </w:rPr>
      </w:pPr>
      <w:r w:rsidRPr="00BB33CC">
        <w:rPr>
          <w:rFonts w:ascii="ITC Avant Garde" w:hAnsi="ITC Avant Garde" w:cs="Arial"/>
          <w:lang w:val="es-ES" w:eastAsia="es-ES"/>
        </w:rPr>
        <w:br w:type="page"/>
      </w:r>
    </w:p>
    <w:p w:rsidR="00A1321B" w:rsidRPr="00BB33CC" w:rsidRDefault="00A1321B" w:rsidP="00776A41">
      <w:pPr>
        <w:pStyle w:val="Ttulo1"/>
        <w:spacing w:before="240" w:line="276" w:lineRule="auto"/>
      </w:pPr>
      <w:bookmarkStart w:id="13" w:name="_Toc484022090"/>
      <w:r w:rsidRPr="00BB33CC">
        <w:lastRenderedPageBreak/>
        <w:t>ANEXO</w:t>
      </w:r>
      <w:r w:rsidR="008D159B" w:rsidRPr="00BB33CC">
        <w:t xml:space="preserve"> ÚN</w:t>
      </w:r>
      <w:r w:rsidR="002D2495" w:rsidRPr="00BB33CC">
        <w:t>IC</w:t>
      </w:r>
      <w:r w:rsidR="008D159B" w:rsidRPr="00BB33CC">
        <w:t>O</w:t>
      </w:r>
      <w:bookmarkEnd w:id="13"/>
    </w:p>
    <w:p w:rsidR="00A1321B" w:rsidRPr="00BB33CC" w:rsidRDefault="000152F3" w:rsidP="00776A41">
      <w:pPr>
        <w:spacing w:before="240" w:line="276" w:lineRule="auto"/>
        <w:jc w:val="both"/>
      </w:pPr>
      <w:r w:rsidRPr="00BB33CC">
        <w:rPr>
          <w:rFonts w:ascii="ITC Avant Garde" w:hAnsi="ITC Avant Garde"/>
          <w:b/>
        </w:rPr>
        <w:t>METODOLOGÍA DE SEPARACIÓN CONTABLE APLICABLE A LOS AGENTES ECONÓMICOS PREPONDERANTES, AGENTES DECLARADOS CON PODER SUSTANCIAL DE MERCADO Y REDES COMPARTIDAS</w:t>
      </w:r>
      <w:r w:rsidR="00A37ADF" w:rsidRPr="00BB33CC">
        <w:rPr>
          <w:rFonts w:ascii="ITC Avant Garde" w:hAnsi="ITC Avant Garde"/>
          <w:b/>
        </w:rPr>
        <w:t xml:space="preserve"> MAYORISTAS</w:t>
      </w:r>
    </w:p>
    <w:p w:rsidR="00136629" w:rsidRPr="00BB33CC" w:rsidRDefault="00136629" w:rsidP="00FE1C2B">
      <w:pPr>
        <w:pStyle w:val="Ttulo2"/>
        <w:spacing w:before="240" w:line="276" w:lineRule="auto"/>
        <w:jc w:val="center"/>
      </w:pPr>
      <w:r w:rsidRPr="00BB33CC">
        <w:t>CAPÍTULO I</w:t>
      </w:r>
    </w:p>
    <w:p w:rsidR="00136629" w:rsidRPr="00BB33CC" w:rsidRDefault="00136629" w:rsidP="005521F8">
      <w:pPr>
        <w:pStyle w:val="estilo30"/>
        <w:spacing w:before="240" w:beforeAutospacing="0" w:after="0" w:afterAutospacing="0" w:line="276" w:lineRule="auto"/>
        <w:jc w:val="center"/>
        <w:rPr>
          <w:rFonts w:ascii="ITC Avant Garde" w:hAnsi="ITC Avant Garde"/>
          <w:b/>
          <w:bCs/>
          <w:sz w:val="22"/>
          <w:szCs w:val="22"/>
        </w:rPr>
      </w:pPr>
      <w:r w:rsidRPr="00BB33CC">
        <w:rPr>
          <w:rFonts w:ascii="ITC Avant Garde" w:hAnsi="ITC Avant Garde"/>
          <w:b/>
          <w:bCs/>
          <w:sz w:val="22"/>
          <w:szCs w:val="22"/>
        </w:rPr>
        <w:t>Disposiciones generales</w:t>
      </w:r>
    </w:p>
    <w:p w:rsidR="008800CE" w:rsidRPr="00BB33CC" w:rsidRDefault="00136629" w:rsidP="008800CE">
      <w:pPr>
        <w:pStyle w:val="estilo30"/>
        <w:spacing w:before="240" w:beforeAutospacing="0" w:after="0" w:afterAutospacing="0" w:line="276" w:lineRule="auto"/>
        <w:jc w:val="both"/>
        <w:rPr>
          <w:rFonts w:ascii="ITC Avant Garde" w:hAnsi="ITC Avant Garde"/>
          <w:bCs/>
          <w:sz w:val="22"/>
          <w:szCs w:val="22"/>
        </w:rPr>
      </w:pPr>
      <w:r w:rsidRPr="00BB33CC">
        <w:rPr>
          <w:rFonts w:ascii="ITC Avant Garde" w:hAnsi="ITC Avant Garde"/>
          <w:b/>
          <w:bCs/>
          <w:sz w:val="22"/>
          <w:szCs w:val="22"/>
        </w:rPr>
        <w:t>PRIMERA</w:t>
      </w:r>
      <w:r w:rsidRPr="00BB33CC">
        <w:rPr>
          <w:rFonts w:ascii="ITC Avant Garde" w:hAnsi="ITC Avant Garde"/>
          <w:bCs/>
          <w:sz w:val="22"/>
          <w:szCs w:val="22"/>
        </w:rPr>
        <w:t>.- El presente instrumento tiene por objeto establecer la metodología, los términos y las condiciones de separación contable aplicable</w:t>
      </w:r>
      <w:r w:rsidR="002C43EB" w:rsidRPr="00BB33CC">
        <w:rPr>
          <w:rFonts w:ascii="ITC Avant Garde" w:hAnsi="ITC Avant Garde"/>
          <w:bCs/>
          <w:sz w:val="22"/>
          <w:szCs w:val="22"/>
        </w:rPr>
        <w:t>s</w:t>
      </w:r>
      <w:r w:rsidRPr="00BB33CC">
        <w:rPr>
          <w:rFonts w:ascii="ITC Avant Garde" w:hAnsi="ITC Avant Garde"/>
          <w:bCs/>
          <w:sz w:val="22"/>
          <w:szCs w:val="22"/>
        </w:rPr>
        <w:t xml:space="preserve"> a los </w:t>
      </w:r>
      <w:r w:rsidR="00D600E5" w:rsidRPr="00BB33CC">
        <w:rPr>
          <w:rFonts w:ascii="ITC Avant Garde" w:hAnsi="ITC Avant Garde"/>
          <w:bCs/>
          <w:sz w:val="22"/>
          <w:szCs w:val="22"/>
        </w:rPr>
        <w:t>concesionarios y/o autorizados que conforman</w:t>
      </w:r>
      <w:r w:rsidR="00414960" w:rsidRPr="00BB33CC">
        <w:rPr>
          <w:rFonts w:ascii="ITC Avant Garde" w:hAnsi="ITC Avant Garde"/>
          <w:bCs/>
          <w:sz w:val="22"/>
          <w:szCs w:val="22"/>
        </w:rPr>
        <w:t xml:space="preserve"> los</w:t>
      </w:r>
      <w:r w:rsidR="00D600E5" w:rsidRPr="00BB33CC">
        <w:rPr>
          <w:rFonts w:ascii="ITC Avant Garde" w:hAnsi="ITC Avant Garde"/>
          <w:bCs/>
          <w:sz w:val="22"/>
          <w:szCs w:val="22"/>
        </w:rPr>
        <w:t xml:space="preserve"> </w:t>
      </w:r>
      <w:r w:rsidRPr="00BB33CC">
        <w:rPr>
          <w:rFonts w:ascii="ITC Avant Garde" w:hAnsi="ITC Avant Garde"/>
          <w:bCs/>
          <w:sz w:val="22"/>
          <w:szCs w:val="22"/>
        </w:rPr>
        <w:t>agentes económicos preponderantes</w:t>
      </w:r>
      <w:r w:rsidR="00A37ADF" w:rsidRPr="00BB33CC">
        <w:rPr>
          <w:rFonts w:ascii="ITC Avant Garde" w:hAnsi="ITC Avant Garde"/>
          <w:bCs/>
          <w:sz w:val="22"/>
          <w:szCs w:val="22"/>
        </w:rPr>
        <w:t>,</w:t>
      </w:r>
      <w:r w:rsidRPr="00BB33CC">
        <w:rPr>
          <w:rFonts w:ascii="ITC Avant Garde" w:hAnsi="ITC Avant Garde"/>
          <w:bCs/>
          <w:sz w:val="22"/>
          <w:szCs w:val="22"/>
        </w:rPr>
        <w:t xml:space="preserve"> </w:t>
      </w:r>
      <w:r w:rsidR="00414960" w:rsidRPr="00BB33CC">
        <w:rPr>
          <w:rFonts w:ascii="ITC Avant Garde" w:hAnsi="ITC Avant Garde"/>
          <w:bCs/>
          <w:sz w:val="22"/>
          <w:szCs w:val="22"/>
        </w:rPr>
        <w:t xml:space="preserve">los </w:t>
      </w:r>
      <w:r w:rsidRPr="00BB33CC">
        <w:rPr>
          <w:rFonts w:ascii="ITC Avant Garde" w:hAnsi="ITC Avant Garde"/>
          <w:bCs/>
          <w:sz w:val="22"/>
          <w:szCs w:val="22"/>
        </w:rPr>
        <w:t xml:space="preserve">agentes declarados con poder sustancial de mercado </w:t>
      </w:r>
      <w:r w:rsidR="00A37ADF" w:rsidRPr="00BB33CC">
        <w:rPr>
          <w:rFonts w:ascii="ITC Avant Garde" w:hAnsi="ITC Avant Garde"/>
          <w:bCs/>
          <w:sz w:val="22"/>
          <w:szCs w:val="22"/>
        </w:rPr>
        <w:t>y</w:t>
      </w:r>
      <w:r w:rsidR="00414960" w:rsidRPr="00BB33CC">
        <w:rPr>
          <w:rFonts w:ascii="ITC Avant Garde" w:hAnsi="ITC Avant Garde"/>
          <w:bCs/>
          <w:sz w:val="22"/>
          <w:szCs w:val="22"/>
        </w:rPr>
        <w:t xml:space="preserve"> </w:t>
      </w:r>
      <w:r w:rsidR="00A37ADF" w:rsidRPr="00BB33CC">
        <w:rPr>
          <w:rFonts w:ascii="ITC Avant Garde" w:hAnsi="ITC Avant Garde"/>
          <w:bCs/>
          <w:sz w:val="22"/>
          <w:szCs w:val="22"/>
        </w:rPr>
        <w:t xml:space="preserve">las </w:t>
      </w:r>
      <w:r w:rsidRPr="00BB33CC">
        <w:rPr>
          <w:rFonts w:ascii="ITC Avant Garde" w:hAnsi="ITC Avant Garde"/>
          <w:bCs/>
          <w:sz w:val="22"/>
          <w:szCs w:val="22"/>
        </w:rPr>
        <w:t>redes compartidas</w:t>
      </w:r>
      <w:r w:rsidR="005843F8" w:rsidRPr="00BB33CC">
        <w:rPr>
          <w:rFonts w:ascii="ITC Avant Garde" w:hAnsi="ITC Avant Garde"/>
          <w:bCs/>
          <w:sz w:val="22"/>
          <w:szCs w:val="22"/>
        </w:rPr>
        <w:t xml:space="preserve"> mayoristas</w:t>
      </w:r>
      <w:r w:rsidRPr="00BB33CC">
        <w:rPr>
          <w:rFonts w:ascii="ITC Avant Garde" w:hAnsi="ITC Avant Garde"/>
          <w:bCs/>
          <w:sz w:val="22"/>
          <w:szCs w:val="22"/>
        </w:rPr>
        <w:t>.</w:t>
      </w:r>
    </w:p>
    <w:p w:rsidR="005521F8" w:rsidRPr="00BB33CC" w:rsidRDefault="005521F8" w:rsidP="005521F8">
      <w:pPr>
        <w:pStyle w:val="Normalresolucion"/>
        <w:spacing w:line="276" w:lineRule="auto"/>
      </w:pPr>
      <w:r w:rsidRPr="00BB33CC">
        <w:rPr>
          <w:b/>
          <w:bCs/>
        </w:rPr>
        <w:t>SEGUNDA</w:t>
      </w:r>
      <w:r w:rsidRPr="00BB33CC">
        <w:rPr>
          <w:rFonts w:eastAsiaTheme="minorHAnsi" w:cstheme="minorBidi"/>
          <w:b/>
          <w:bCs/>
          <w:lang w:val="es-MX" w:eastAsia="en-US"/>
        </w:rPr>
        <w:t>.-</w:t>
      </w:r>
      <w:r w:rsidRPr="00BB33CC">
        <w:rPr>
          <w:rFonts w:eastAsiaTheme="minorHAnsi" w:cstheme="minorBidi"/>
          <w:lang w:val="es-MX" w:eastAsia="en-US"/>
        </w:rPr>
        <w:t xml:space="preserve"> Los concesionarios y/o autorizados que hayan sido declarados como agentes económicos preponderantes o agentes con poder sustancial de mercado por parte del Instituto, deberán sujetarse a los criterios y completar la información requerida en los </w:t>
      </w:r>
      <w:r w:rsidR="00AD2E97" w:rsidRPr="00BB33CC">
        <w:rPr>
          <w:rFonts w:eastAsiaTheme="minorHAnsi" w:cstheme="minorBidi"/>
          <w:lang w:val="es-MX" w:eastAsia="en-US"/>
        </w:rPr>
        <w:t>APARTADOS I, II</w:t>
      </w:r>
      <w:r w:rsidR="004F0534" w:rsidRPr="00BB33CC">
        <w:rPr>
          <w:rFonts w:eastAsiaTheme="minorHAnsi" w:cstheme="minorBidi"/>
          <w:lang w:val="es-MX" w:eastAsia="en-US"/>
        </w:rPr>
        <w:t xml:space="preserve"> y</w:t>
      </w:r>
      <w:r w:rsidR="00AD2E97" w:rsidRPr="00BB33CC" w:rsidDel="009F1B8B">
        <w:rPr>
          <w:rFonts w:eastAsiaTheme="minorHAnsi" w:cstheme="minorBidi"/>
          <w:lang w:val="es-MX" w:eastAsia="en-US"/>
        </w:rPr>
        <w:t xml:space="preserve"> </w:t>
      </w:r>
      <w:r w:rsidR="00AD2E97" w:rsidRPr="00BB33CC">
        <w:rPr>
          <w:rFonts w:eastAsiaTheme="minorHAnsi" w:cstheme="minorBidi"/>
          <w:lang w:val="es-MX" w:eastAsia="en-US"/>
        </w:rPr>
        <w:t>III</w:t>
      </w:r>
      <w:r w:rsidR="009F1B8B" w:rsidRPr="00BB33CC">
        <w:rPr>
          <w:rFonts w:eastAsiaTheme="minorHAnsi" w:cstheme="minorBidi"/>
          <w:lang w:val="es-MX" w:eastAsia="en-US"/>
        </w:rPr>
        <w:t xml:space="preserve"> </w:t>
      </w:r>
      <w:r w:rsidRPr="00BB33CC">
        <w:rPr>
          <w:rFonts w:eastAsiaTheme="minorHAnsi" w:cstheme="minorBidi"/>
          <w:lang w:val="es-MX" w:eastAsia="en-US"/>
        </w:rPr>
        <w:t>de la presente metodología</w:t>
      </w:r>
      <w:r w:rsidR="004F0534" w:rsidRPr="00BB33CC">
        <w:rPr>
          <w:rFonts w:eastAsiaTheme="minorHAnsi" w:cstheme="minorBidi"/>
          <w:lang w:val="es-MX" w:eastAsia="en-US"/>
        </w:rPr>
        <w:t>, conforme a lo dispuesto en el APARTADO V</w:t>
      </w:r>
      <w:r w:rsidRPr="00BB33CC">
        <w:t>.</w:t>
      </w:r>
    </w:p>
    <w:p w:rsidR="005521F8" w:rsidRPr="00BB33CC" w:rsidRDefault="005521F8" w:rsidP="005521F8">
      <w:pPr>
        <w:pStyle w:val="Normalresolucion"/>
        <w:spacing w:line="276" w:lineRule="auto"/>
      </w:pPr>
      <w:r w:rsidRPr="00BB33CC">
        <w:t xml:space="preserve">Los concesionarios </w:t>
      </w:r>
      <w:r w:rsidR="000D1E5C" w:rsidRPr="00BB33CC">
        <w:t xml:space="preserve">con participación pública o entes públicos </w:t>
      </w:r>
      <w:r w:rsidR="0075617C">
        <w:t xml:space="preserve">concesionarios </w:t>
      </w:r>
      <w:r w:rsidRPr="00BB33CC">
        <w:t xml:space="preserve">con carácter de redes compartidas </w:t>
      </w:r>
      <w:r w:rsidR="000D6017" w:rsidRPr="00BB33CC">
        <w:t xml:space="preserve">mayoristas </w:t>
      </w:r>
      <w:r w:rsidR="003D7388" w:rsidRPr="00BB33CC">
        <w:t>conforme a la LFTR</w:t>
      </w:r>
      <w:r w:rsidR="00AB3E9D">
        <w:t>,</w:t>
      </w:r>
      <w:r w:rsidRPr="00BB33CC">
        <w:rPr>
          <w:rFonts w:eastAsiaTheme="minorHAnsi"/>
        </w:rPr>
        <w:t xml:space="preserve"> deberán sujetarse a </w:t>
      </w:r>
      <w:r w:rsidRPr="00BB33CC">
        <w:rPr>
          <w:rFonts w:eastAsiaTheme="minorHAnsi" w:cstheme="minorBidi"/>
          <w:lang w:val="es-MX" w:eastAsia="en-US"/>
        </w:rPr>
        <w:t xml:space="preserve">los criterios y completar la información requerida en </w:t>
      </w:r>
      <w:r w:rsidR="00FE4A47" w:rsidRPr="00BB33CC">
        <w:rPr>
          <w:rFonts w:eastAsiaTheme="minorHAnsi" w:cstheme="minorBidi"/>
          <w:lang w:val="es-MX" w:eastAsia="en-US"/>
        </w:rPr>
        <w:t xml:space="preserve">el </w:t>
      </w:r>
      <w:r w:rsidR="0020558F" w:rsidRPr="00BB33CC">
        <w:rPr>
          <w:rFonts w:eastAsiaTheme="minorHAnsi" w:cstheme="minorBidi"/>
          <w:lang w:val="es-MX" w:eastAsia="en-US"/>
        </w:rPr>
        <w:t>APARTADO</w:t>
      </w:r>
      <w:r w:rsidR="00FE4A47" w:rsidRPr="00BB33CC">
        <w:rPr>
          <w:rFonts w:eastAsiaTheme="minorHAnsi" w:cstheme="minorBidi"/>
          <w:lang w:val="es-MX" w:eastAsia="en-US"/>
        </w:rPr>
        <w:t xml:space="preserve"> </w:t>
      </w:r>
      <w:r w:rsidR="008A31A9" w:rsidRPr="00BB33CC">
        <w:rPr>
          <w:rFonts w:eastAsiaTheme="minorHAnsi" w:cstheme="minorBidi"/>
          <w:lang w:val="es-MX" w:eastAsia="en-US"/>
        </w:rPr>
        <w:t>I</w:t>
      </w:r>
      <w:r w:rsidR="0020558F" w:rsidRPr="00BB33CC">
        <w:rPr>
          <w:rFonts w:eastAsiaTheme="minorHAnsi" w:cstheme="minorBidi"/>
          <w:lang w:val="es-MX" w:eastAsia="en-US"/>
        </w:rPr>
        <w:t>V</w:t>
      </w:r>
      <w:r w:rsidR="00AD2E97" w:rsidRPr="00BB33CC">
        <w:rPr>
          <w:rFonts w:eastAsiaTheme="minorHAnsi" w:cstheme="minorBidi"/>
          <w:lang w:val="es-MX" w:eastAsia="en-US"/>
        </w:rPr>
        <w:t xml:space="preserve"> de la presente metodología</w:t>
      </w:r>
      <w:r w:rsidRPr="00BB33CC">
        <w:t>.</w:t>
      </w:r>
    </w:p>
    <w:p w:rsidR="00136629" w:rsidRPr="00BB33CC" w:rsidRDefault="00136629" w:rsidP="00FE1C2B">
      <w:pPr>
        <w:pStyle w:val="Ttulo2"/>
        <w:spacing w:before="240" w:line="276" w:lineRule="auto"/>
        <w:jc w:val="center"/>
      </w:pPr>
      <w:r w:rsidRPr="00BB33CC">
        <w:t>CAPÍTULO II</w:t>
      </w:r>
    </w:p>
    <w:p w:rsidR="00136629" w:rsidRPr="00BB33CC" w:rsidRDefault="00136629" w:rsidP="005521F8">
      <w:pPr>
        <w:pStyle w:val="estilo30"/>
        <w:spacing w:before="240" w:beforeAutospacing="0" w:after="0" w:afterAutospacing="0" w:line="276" w:lineRule="auto"/>
        <w:jc w:val="center"/>
        <w:rPr>
          <w:rFonts w:ascii="ITC Avant Garde" w:hAnsi="ITC Avant Garde"/>
          <w:bCs/>
          <w:sz w:val="22"/>
          <w:szCs w:val="22"/>
        </w:rPr>
      </w:pPr>
      <w:r w:rsidRPr="00BB33CC">
        <w:rPr>
          <w:rFonts w:ascii="ITC Avant Garde" w:hAnsi="ITC Avant Garde"/>
          <w:b/>
          <w:bCs/>
          <w:sz w:val="22"/>
          <w:szCs w:val="22"/>
        </w:rPr>
        <w:t>Definiciones</w:t>
      </w:r>
    </w:p>
    <w:p w:rsidR="00136629" w:rsidRPr="00BB33CC" w:rsidRDefault="005521F8" w:rsidP="005521F8">
      <w:pPr>
        <w:pStyle w:val="estilo30"/>
        <w:spacing w:before="240" w:beforeAutospacing="0" w:after="0" w:afterAutospacing="0" w:line="276" w:lineRule="auto"/>
        <w:jc w:val="both"/>
        <w:rPr>
          <w:rFonts w:ascii="ITC Avant Garde" w:hAnsi="ITC Avant Garde"/>
          <w:bCs/>
          <w:sz w:val="22"/>
          <w:szCs w:val="22"/>
        </w:rPr>
      </w:pPr>
      <w:r w:rsidRPr="00BB33CC">
        <w:rPr>
          <w:rFonts w:ascii="ITC Avant Garde" w:hAnsi="ITC Avant Garde"/>
          <w:b/>
          <w:bCs/>
          <w:sz w:val="22"/>
          <w:szCs w:val="22"/>
        </w:rPr>
        <w:t>TERCERA</w:t>
      </w:r>
      <w:r w:rsidR="00136629" w:rsidRPr="00BB33CC">
        <w:rPr>
          <w:rFonts w:ascii="ITC Avant Garde" w:hAnsi="ITC Avant Garde"/>
          <w:b/>
          <w:bCs/>
          <w:sz w:val="22"/>
          <w:szCs w:val="22"/>
        </w:rPr>
        <w:t>.-</w:t>
      </w:r>
      <w:r w:rsidR="00136629" w:rsidRPr="00BB33CC">
        <w:rPr>
          <w:rFonts w:ascii="ITC Avant Garde" w:hAnsi="ITC Avant Garde"/>
          <w:bCs/>
          <w:sz w:val="22"/>
          <w:szCs w:val="22"/>
        </w:rPr>
        <w:t xml:space="preserve"> </w:t>
      </w:r>
      <w:r w:rsidR="005C4E8D" w:rsidRPr="00BB33CC">
        <w:rPr>
          <w:rFonts w:ascii="ITC Avant Garde" w:hAnsi="ITC Avant Garde"/>
          <w:bCs/>
          <w:sz w:val="22"/>
          <w:szCs w:val="22"/>
        </w:rPr>
        <w:t>A</w:t>
      </w:r>
      <w:r w:rsidR="00AE16D5" w:rsidRPr="00BB33CC">
        <w:rPr>
          <w:rFonts w:ascii="ITC Avant Garde" w:hAnsi="ITC Avant Garde"/>
          <w:bCs/>
          <w:sz w:val="22"/>
          <w:szCs w:val="22"/>
        </w:rPr>
        <w:t xml:space="preserve">demás de las definiciones </w:t>
      </w:r>
      <w:r w:rsidR="005C4E8D" w:rsidRPr="00BB33CC">
        <w:rPr>
          <w:rFonts w:ascii="ITC Avant Garde" w:hAnsi="ITC Avant Garde"/>
          <w:bCs/>
          <w:sz w:val="22"/>
          <w:szCs w:val="22"/>
        </w:rPr>
        <w:t xml:space="preserve">previstas en el artículo 3 de </w:t>
      </w:r>
      <w:r w:rsidR="00AE16D5" w:rsidRPr="00BB33CC">
        <w:rPr>
          <w:rFonts w:ascii="ITC Avant Garde" w:hAnsi="ITC Avant Garde"/>
          <w:bCs/>
          <w:sz w:val="22"/>
          <w:szCs w:val="22"/>
        </w:rPr>
        <w:t xml:space="preserve">la Ley Federal de Telecomunicaciones y Radiodifusión, </w:t>
      </w:r>
      <w:r w:rsidR="005C4E8D" w:rsidRPr="00BB33CC">
        <w:rPr>
          <w:rFonts w:ascii="ITC Avant Garde" w:hAnsi="ITC Avant Garde"/>
          <w:bCs/>
          <w:sz w:val="22"/>
          <w:szCs w:val="22"/>
        </w:rPr>
        <w:t xml:space="preserve">para efectos de la presente metodología, </w:t>
      </w:r>
      <w:r w:rsidR="00136629" w:rsidRPr="00BB33CC">
        <w:rPr>
          <w:rFonts w:ascii="ITC Avant Garde" w:hAnsi="ITC Avant Garde"/>
          <w:bCs/>
          <w:sz w:val="22"/>
          <w:szCs w:val="22"/>
        </w:rPr>
        <w:t>se entenderá por:</w:t>
      </w:r>
    </w:p>
    <w:p w:rsidR="00831FA3" w:rsidRPr="00BB33CC" w:rsidRDefault="00B72A79" w:rsidP="00831FA3">
      <w:pPr>
        <w:pStyle w:val="Indentadoresolucin"/>
        <w:numPr>
          <w:ilvl w:val="0"/>
          <w:numId w:val="233"/>
        </w:numPr>
        <w:spacing w:before="240" w:line="276" w:lineRule="auto"/>
      </w:pPr>
      <w:r w:rsidRPr="00BB33CC">
        <w:rPr>
          <w:b/>
        </w:rPr>
        <w:t>Activo Moderno Equivalente.</w:t>
      </w:r>
      <w:r w:rsidR="00831FA3" w:rsidRPr="00BB33CC">
        <w:rPr>
          <w:b/>
        </w:rPr>
        <w:t xml:space="preserve"> </w:t>
      </w:r>
      <w:r w:rsidR="00831FA3" w:rsidRPr="00BB33CC">
        <w:t>Metodología que se aplica habitualmente cuando debido al progreso tecnológico u obsolescencia, una empresa eficiente no reemplazaría un activo de la misma forma, sino que emplearía un activo más reciente que permitiera garantizar su funcionalidad</w:t>
      </w:r>
      <w:r w:rsidR="00AC10E1" w:rsidRPr="00BB33CC">
        <w:t>;</w:t>
      </w:r>
    </w:p>
    <w:p w:rsidR="006F48E0" w:rsidRPr="00BB33CC" w:rsidRDefault="00EB1513" w:rsidP="00831FA3">
      <w:pPr>
        <w:pStyle w:val="Indentadoresolucin"/>
        <w:numPr>
          <w:ilvl w:val="0"/>
          <w:numId w:val="233"/>
        </w:numPr>
        <w:spacing w:before="240" w:line="276" w:lineRule="auto"/>
      </w:pPr>
      <w:r w:rsidRPr="00BB33CC">
        <w:rPr>
          <w:b/>
        </w:rPr>
        <w:t>Beta del operador (</w:t>
      </w:r>
      <m:oMath>
        <m:r>
          <m:rPr>
            <m:sty m:val="bi"/>
          </m:rPr>
          <w:rPr>
            <w:rFonts w:ascii="Cambria Math" w:hAnsi="Cambria Math"/>
          </w:rPr>
          <m:t>β</m:t>
        </m:r>
      </m:oMath>
      <w:r w:rsidRPr="00BB33CC">
        <w:rPr>
          <w:b/>
        </w:rPr>
        <w:t xml:space="preserve">). </w:t>
      </w:r>
      <w:r w:rsidRPr="00BB33CC">
        <w:t>Es el sistema de riesgo (riesgo de mercado) de un valor de capital dado</w:t>
      </w:r>
      <w:r w:rsidR="00BC5A40" w:rsidRPr="00BB33CC">
        <w:t>,</w:t>
      </w:r>
      <w:r w:rsidRPr="00BB33CC">
        <w:t xml:space="preserve"> </w:t>
      </w:r>
      <w:r w:rsidR="00BC5A40" w:rsidRPr="00BB33CC">
        <w:t>que</w:t>
      </w:r>
      <w:r w:rsidRPr="00BB33CC">
        <w:t xml:space="preserve"> proporciona una medida acerca de cuánto es </w:t>
      </w:r>
      <w:r w:rsidRPr="00BB33CC">
        <w:lastRenderedPageBreak/>
        <w:t>su rendimiento con respecto al rendimiento del mercado entero de referencia;</w:t>
      </w:r>
    </w:p>
    <w:p w:rsidR="00136629" w:rsidRPr="00BB33CC" w:rsidRDefault="00136629" w:rsidP="00FE1C2B">
      <w:pPr>
        <w:pStyle w:val="estilo30"/>
        <w:numPr>
          <w:ilvl w:val="0"/>
          <w:numId w:val="233"/>
        </w:numPr>
        <w:spacing w:before="240" w:beforeAutospacing="0" w:after="0" w:afterAutospacing="0" w:line="276" w:lineRule="auto"/>
        <w:jc w:val="both"/>
        <w:rPr>
          <w:b/>
          <w:bCs/>
        </w:rPr>
      </w:pPr>
      <w:r w:rsidRPr="00BB33CC">
        <w:rPr>
          <w:rFonts w:ascii="ITC Avant Garde" w:hAnsi="ITC Avant Garde"/>
          <w:b/>
          <w:bCs/>
          <w:sz w:val="22"/>
          <w:szCs w:val="22"/>
        </w:rPr>
        <w:t>Contabilidad de Costos Actuales</w:t>
      </w:r>
      <w:r w:rsidR="00C26B4F" w:rsidRPr="00BB33CC">
        <w:rPr>
          <w:rFonts w:ascii="ITC Avant Garde" w:hAnsi="ITC Avant Garde"/>
          <w:b/>
          <w:bCs/>
          <w:sz w:val="22"/>
          <w:szCs w:val="22"/>
        </w:rPr>
        <w:t>,</w:t>
      </w:r>
      <w:r w:rsidR="002B3CBA" w:rsidRPr="00BB33CC">
        <w:rPr>
          <w:rFonts w:ascii="ITC Avant Garde" w:hAnsi="ITC Avant Garde"/>
          <w:b/>
          <w:bCs/>
          <w:sz w:val="22"/>
          <w:szCs w:val="22"/>
        </w:rPr>
        <w:t xml:space="preserve"> </w:t>
      </w:r>
      <w:r w:rsidR="00C26B4F" w:rsidRPr="00BB33CC">
        <w:rPr>
          <w:rFonts w:ascii="ITC Avant Garde" w:hAnsi="ITC Avant Garde"/>
          <w:b/>
          <w:bCs/>
          <w:sz w:val="22"/>
          <w:szCs w:val="22"/>
        </w:rPr>
        <w:t>(CC</w:t>
      </w:r>
      <w:r w:rsidR="00AC10E1" w:rsidRPr="00BB33CC">
        <w:rPr>
          <w:rFonts w:ascii="ITC Avant Garde" w:hAnsi="ITC Avant Garde"/>
          <w:b/>
          <w:bCs/>
          <w:sz w:val="22"/>
          <w:szCs w:val="22"/>
        </w:rPr>
        <w:t>A</w:t>
      </w:r>
      <w:r w:rsidR="00C26B4F" w:rsidRPr="00BB33CC">
        <w:rPr>
          <w:rFonts w:ascii="ITC Avant Garde" w:hAnsi="ITC Avant Garde"/>
          <w:b/>
          <w:bCs/>
          <w:sz w:val="22"/>
          <w:szCs w:val="22"/>
        </w:rPr>
        <w:t xml:space="preserve">). </w:t>
      </w:r>
      <w:r w:rsidR="005110F6" w:rsidRPr="00BB33CC">
        <w:rPr>
          <w:rFonts w:ascii="ITC Avant Garde" w:hAnsi="ITC Avant Garde"/>
          <w:bCs/>
          <w:sz w:val="22"/>
          <w:szCs w:val="22"/>
        </w:rPr>
        <w:t>Metodología de costos que h</w:t>
      </w:r>
      <w:r w:rsidRPr="00BB33CC">
        <w:rPr>
          <w:rFonts w:ascii="ITC Avant Garde" w:hAnsi="ITC Avant Garde"/>
          <w:bCs/>
          <w:sz w:val="22"/>
          <w:szCs w:val="22"/>
        </w:rPr>
        <w:t xml:space="preserve">ace referencia a la revalorización de los activos con el objetivo de reflejar el </w:t>
      </w:r>
      <w:r w:rsidR="000D1E5C" w:rsidRPr="00BB33CC">
        <w:rPr>
          <w:rFonts w:ascii="ITC Avant Garde" w:hAnsi="ITC Avant Garde"/>
          <w:bCs/>
          <w:sz w:val="22"/>
          <w:szCs w:val="22"/>
        </w:rPr>
        <w:t xml:space="preserve">valor actual de </w:t>
      </w:r>
      <w:r w:rsidR="00A41A36" w:rsidRPr="00BB33CC">
        <w:rPr>
          <w:rFonts w:ascii="ITC Avant Garde" w:hAnsi="ITC Avant Garde"/>
          <w:bCs/>
          <w:sz w:val="22"/>
          <w:szCs w:val="22"/>
        </w:rPr>
        <w:t>estos</w:t>
      </w:r>
      <w:r w:rsidR="000D1E5C" w:rsidRPr="00BB33CC">
        <w:rPr>
          <w:rFonts w:ascii="ITC Avant Garde" w:hAnsi="ITC Avant Garde"/>
          <w:bCs/>
          <w:sz w:val="22"/>
          <w:szCs w:val="22"/>
        </w:rPr>
        <w:t xml:space="preserve"> en el mercado en que opera la empresa, bajo condiciones de mercado competitivas </w:t>
      </w:r>
      <w:r w:rsidRPr="00BB33CC">
        <w:rPr>
          <w:rFonts w:ascii="ITC Avant Garde" w:hAnsi="ITC Avant Garde"/>
          <w:bCs/>
          <w:sz w:val="22"/>
          <w:szCs w:val="22"/>
        </w:rPr>
        <w:t xml:space="preserve">considerando los equipos disponibles más </w:t>
      </w:r>
      <w:r w:rsidR="00346A7D" w:rsidRPr="00BB33CC">
        <w:rPr>
          <w:rFonts w:ascii="ITC Avant Garde" w:hAnsi="ITC Avant Garde"/>
          <w:bCs/>
          <w:sz w:val="22"/>
          <w:szCs w:val="22"/>
        </w:rPr>
        <w:t>apropiados</w:t>
      </w:r>
      <w:r w:rsidR="00EE1B18" w:rsidRPr="00BB33CC">
        <w:rPr>
          <w:rFonts w:ascii="ITC Avant Garde" w:hAnsi="ITC Avant Garde"/>
          <w:bCs/>
          <w:sz w:val="22"/>
          <w:szCs w:val="22"/>
        </w:rPr>
        <w:t xml:space="preserve"> en términos económicos;</w:t>
      </w:r>
    </w:p>
    <w:p w:rsidR="005110F6" w:rsidRPr="00BB33CC" w:rsidRDefault="005110F6" w:rsidP="005110F6">
      <w:pPr>
        <w:pStyle w:val="estilo30"/>
        <w:numPr>
          <w:ilvl w:val="0"/>
          <w:numId w:val="233"/>
        </w:numPr>
        <w:spacing w:before="240" w:beforeAutospacing="0" w:after="0" w:afterAutospacing="0" w:line="276" w:lineRule="auto"/>
        <w:jc w:val="both"/>
        <w:rPr>
          <w:bCs/>
        </w:rPr>
      </w:pPr>
      <w:r w:rsidRPr="00BB33CC">
        <w:rPr>
          <w:rFonts w:ascii="ITC Avant Garde" w:hAnsi="ITC Avant Garde"/>
          <w:b/>
          <w:bCs/>
          <w:sz w:val="22"/>
          <w:szCs w:val="22"/>
        </w:rPr>
        <w:t>Contabilidad de Costos Históricos, (CCH).</w:t>
      </w:r>
      <w:r w:rsidRPr="00BB33CC">
        <w:rPr>
          <w:rFonts w:ascii="ITC Avant Garde" w:hAnsi="ITC Avant Garde"/>
          <w:bCs/>
          <w:sz w:val="22"/>
          <w:szCs w:val="22"/>
        </w:rPr>
        <w:t xml:space="preserve"> Metodología de costos que se basa en el reconocimiento de los costos reales de adquisición de los activos, según se refleja en sus órdenes de compra originales, en la construcción de la base de costos aplicable;</w:t>
      </w:r>
    </w:p>
    <w:p w:rsidR="00C26B4F" w:rsidRPr="00BB33CC" w:rsidRDefault="00EB1513" w:rsidP="00FE1C2B">
      <w:pPr>
        <w:pStyle w:val="estilo30"/>
        <w:numPr>
          <w:ilvl w:val="0"/>
          <w:numId w:val="233"/>
        </w:numPr>
        <w:spacing w:before="240" w:beforeAutospacing="0" w:after="0" w:afterAutospacing="0" w:line="276" w:lineRule="auto"/>
        <w:jc w:val="both"/>
      </w:pPr>
      <w:r w:rsidRPr="00BB33CC">
        <w:rPr>
          <w:rFonts w:ascii="ITC Avant Garde" w:hAnsi="ITC Avant Garde"/>
          <w:b/>
          <w:bCs/>
          <w:sz w:val="22"/>
          <w:szCs w:val="22"/>
        </w:rPr>
        <w:t>Costo del patrimonio (</w:t>
      </w:r>
      <m:oMath>
        <m:sSub>
          <m:sSubPr>
            <m:ctrlPr>
              <w:rPr>
                <w:rFonts w:ascii="Cambria Math" w:hAnsi="Cambria Math"/>
                <w:b/>
                <w:bCs/>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e</m:t>
            </m:r>
          </m:sub>
        </m:sSub>
      </m:oMath>
      <w:r w:rsidRPr="00BB33CC">
        <w:rPr>
          <w:rFonts w:ascii="ITC Avant Garde" w:hAnsi="ITC Avant Garde"/>
          <w:b/>
          <w:bCs/>
          <w:sz w:val="22"/>
          <w:szCs w:val="22"/>
        </w:rPr>
        <w:t>)</w:t>
      </w:r>
      <w:r w:rsidRPr="00BB33CC">
        <w:rPr>
          <w:rFonts w:ascii="ITC Avant Garde" w:hAnsi="ITC Avant Garde"/>
          <w:bCs/>
          <w:sz w:val="22"/>
          <w:szCs w:val="22"/>
        </w:rPr>
        <w:t xml:space="preserve">. Tasa de rentabilidad esperada de un activo; </w:t>
      </w:r>
    </w:p>
    <w:p w:rsidR="00CE567A" w:rsidRPr="00BB33CC" w:rsidRDefault="00CE567A" w:rsidP="00FE1C2B">
      <w:pPr>
        <w:pStyle w:val="estilo30"/>
        <w:numPr>
          <w:ilvl w:val="0"/>
          <w:numId w:val="233"/>
        </w:numPr>
        <w:spacing w:before="240" w:beforeAutospacing="0" w:after="0" w:afterAutospacing="0" w:line="276" w:lineRule="auto"/>
        <w:jc w:val="both"/>
        <w:rPr>
          <w:bCs/>
        </w:rPr>
      </w:pPr>
      <w:r w:rsidRPr="00BB33CC">
        <w:rPr>
          <w:rFonts w:ascii="ITC Avant Garde" w:hAnsi="ITC Avant Garde"/>
          <w:b/>
          <w:sz w:val="22"/>
          <w:szCs w:val="22"/>
          <w:lang w:val="es-ES"/>
        </w:rPr>
        <w:t>Costo Promedio Ponderado de Capital, (WACC).</w:t>
      </w:r>
      <w:r w:rsidRPr="00BB33CC">
        <w:rPr>
          <w:rFonts w:ascii="ITC Avant Garde" w:hAnsi="ITC Avant Garde"/>
          <w:sz w:val="22"/>
          <w:szCs w:val="22"/>
          <w:lang w:val="es-ES"/>
        </w:rPr>
        <w:t xml:space="preserve"> </w:t>
      </w:r>
      <w:r w:rsidRPr="00BB33CC">
        <w:rPr>
          <w:rFonts w:ascii="ITC Avant Garde" w:hAnsi="ITC Avant Garde"/>
          <w:sz w:val="22"/>
          <w:szCs w:val="22"/>
          <w:lang w:val="en-GB"/>
        </w:rPr>
        <w:t>(</w:t>
      </w:r>
      <w:r w:rsidRPr="00BB33CC">
        <w:rPr>
          <w:rFonts w:ascii="ITC Avant Garde" w:hAnsi="ITC Avant Garde"/>
          <w:i/>
          <w:sz w:val="22"/>
          <w:szCs w:val="22"/>
          <w:lang w:val="en-GB"/>
        </w:rPr>
        <w:t>Weighted Average Cost of Capital</w:t>
      </w:r>
      <w:r w:rsidRPr="00BB33CC">
        <w:rPr>
          <w:rFonts w:ascii="ITC Avant Garde" w:hAnsi="ITC Avant Garde"/>
          <w:sz w:val="22"/>
          <w:szCs w:val="22"/>
          <w:lang w:val="en-GB"/>
        </w:rPr>
        <w:t xml:space="preserve">, por sus siglas en inglés). </w:t>
      </w:r>
      <w:r w:rsidR="00F00955" w:rsidRPr="00BB33CC">
        <w:rPr>
          <w:rFonts w:ascii="ITC Avant Garde" w:hAnsi="ITC Avant Garde"/>
          <w:sz w:val="22"/>
          <w:szCs w:val="22"/>
          <w:lang w:val="es-ES"/>
        </w:rPr>
        <w:t>C</w:t>
      </w:r>
      <w:r w:rsidRPr="00BB33CC">
        <w:rPr>
          <w:rFonts w:ascii="ITC Avant Garde" w:hAnsi="ITC Avant Garde"/>
          <w:sz w:val="22"/>
          <w:szCs w:val="22"/>
          <w:lang w:val="es-ES"/>
        </w:rPr>
        <w:t>osto promedio de la deuda y de los fondos propios, ponderados en función de su respectiva participación en la estructura de financiación de la compañía;</w:t>
      </w:r>
    </w:p>
    <w:p w:rsidR="006664BD" w:rsidRPr="00BB33CC" w:rsidRDefault="006664BD" w:rsidP="006664BD">
      <w:pPr>
        <w:pStyle w:val="estilo30"/>
        <w:numPr>
          <w:ilvl w:val="0"/>
          <w:numId w:val="233"/>
        </w:numPr>
        <w:spacing w:before="240" w:beforeAutospacing="0" w:after="0" w:afterAutospacing="0" w:line="276" w:lineRule="auto"/>
        <w:jc w:val="both"/>
        <w:rPr>
          <w:bCs/>
        </w:rPr>
      </w:pPr>
      <w:r w:rsidRPr="00BB33CC">
        <w:rPr>
          <w:rFonts w:ascii="ITC Avant Garde" w:hAnsi="ITC Avant Garde"/>
          <w:b/>
          <w:bCs/>
          <w:sz w:val="22"/>
          <w:szCs w:val="22"/>
        </w:rPr>
        <w:t xml:space="preserve">Costos Completamente Distribuidos, (CCD). </w:t>
      </w:r>
      <w:r w:rsidRPr="00BB33CC">
        <w:rPr>
          <w:rFonts w:ascii="ITC Avant Garde" w:hAnsi="ITC Avant Garde"/>
          <w:bCs/>
          <w:sz w:val="22"/>
          <w:szCs w:val="22"/>
        </w:rPr>
        <w:t>Metodología de costos en la cual los costos provenientes de la contabilidad financiera son distribuidos a lo largo de las diferentes etapas o niveles de separación contable;</w:t>
      </w:r>
    </w:p>
    <w:p w:rsidR="00136629" w:rsidRPr="00BB33CC" w:rsidRDefault="00136629" w:rsidP="006A13FD">
      <w:pPr>
        <w:pStyle w:val="estilo30"/>
        <w:numPr>
          <w:ilvl w:val="0"/>
          <w:numId w:val="233"/>
        </w:numPr>
        <w:spacing w:before="240" w:beforeAutospacing="0" w:after="0" w:afterAutospacing="0" w:line="276" w:lineRule="auto"/>
        <w:jc w:val="both"/>
        <w:rPr>
          <w:bCs/>
        </w:rPr>
      </w:pPr>
      <w:r w:rsidRPr="00BB33CC">
        <w:rPr>
          <w:rFonts w:ascii="ITC Avant Garde" w:hAnsi="ITC Avant Garde"/>
          <w:b/>
          <w:bCs/>
          <w:sz w:val="22"/>
          <w:szCs w:val="22"/>
        </w:rPr>
        <w:t>Informe de Gestión o Administración.</w:t>
      </w:r>
      <w:r w:rsidRPr="00BB33CC">
        <w:rPr>
          <w:rFonts w:ascii="ITC Avant Garde" w:hAnsi="ITC Avant Garde"/>
          <w:bCs/>
          <w:sz w:val="22"/>
          <w:szCs w:val="22"/>
        </w:rPr>
        <w:t xml:space="preserve"> Informe que incluye las actividades de gestión y administración que ha efectuado durante un período de tiempo una empresa</w:t>
      </w:r>
      <w:r w:rsidR="00EE1B18" w:rsidRPr="00BB33CC">
        <w:rPr>
          <w:rFonts w:ascii="ITC Avant Garde" w:hAnsi="ITC Avant Garde"/>
          <w:bCs/>
          <w:sz w:val="22"/>
          <w:szCs w:val="22"/>
        </w:rPr>
        <w:t>;</w:t>
      </w:r>
    </w:p>
    <w:p w:rsidR="00334B33" w:rsidRPr="00BB33CC" w:rsidRDefault="00334B33" w:rsidP="00FE1C2B">
      <w:pPr>
        <w:pStyle w:val="Indentadoresolucin"/>
        <w:numPr>
          <w:ilvl w:val="0"/>
          <w:numId w:val="233"/>
        </w:numPr>
        <w:spacing w:before="240" w:line="276" w:lineRule="auto"/>
      </w:pPr>
      <w:r w:rsidRPr="00BB33CC">
        <w:rPr>
          <w:b/>
        </w:rPr>
        <w:t>LFTR.</w:t>
      </w:r>
      <w:r w:rsidRPr="00BB33CC">
        <w:t xml:space="preserve"> Ley Federal de Telecomunicaciones y Radiodifusión;</w:t>
      </w:r>
    </w:p>
    <w:p w:rsidR="00662F7F" w:rsidRPr="00BB33CC" w:rsidRDefault="00662F7F" w:rsidP="00662F7F">
      <w:pPr>
        <w:pStyle w:val="Indentadoresolucin"/>
        <w:numPr>
          <w:ilvl w:val="0"/>
          <w:numId w:val="233"/>
        </w:numPr>
        <w:spacing w:before="240" w:line="276" w:lineRule="auto"/>
        <w:rPr>
          <w:b/>
        </w:rPr>
      </w:pPr>
      <w:r w:rsidRPr="00BB33CC">
        <w:rPr>
          <w:b/>
        </w:rPr>
        <w:t>Mantenimiento Financiero del Capital, (FCM).</w:t>
      </w:r>
      <w:r w:rsidRPr="00BB33CC">
        <w:t xml:space="preserve"> (</w:t>
      </w:r>
      <w:r w:rsidRPr="00BB33CC">
        <w:rPr>
          <w:i/>
        </w:rPr>
        <w:t>Financial Capital Maintenance</w:t>
      </w:r>
      <w:r w:rsidRPr="00BB33CC">
        <w:t xml:space="preserve">, por sus siglas en inglés). </w:t>
      </w:r>
      <w:r w:rsidR="00AD1894" w:rsidRPr="00BB33CC">
        <w:t>Enfoque que permite</w:t>
      </w:r>
      <w:r w:rsidRPr="00BB33CC">
        <w:t xml:space="preserve"> preservar el capital financiero de una empresa y su habilidad para continuar financiando sus funciones. Bajo este enfoque, se asume que se mantendrá el capital financiero siempre que los fondos de los inversionistas se mantengan en el mismo nivel que al inicio del período, de modo que los beneficios sólo se materializarán una vez que se haya realizado una provisión suficiente que asegure que el poder adquisitivo del capital financiero inicial se mantiene al cierre del período;</w:t>
      </w:r>
    </w:p>
    <w:p w:rsidR="00CE567A" w:rsidRPr="00BB33CC" w:rsidRDefault="00CE567A" w:rsidP="00CE567A">
      <w:pPr>
        <w:pStyle w:val="Indentadoresolucin"/>
        <w:numPr>
          <w:ilvl w:val="0"/>
          <w:numId w:val="233"/>
        </w:numPr>
        <w:spacing w:before="240" w:line="276" w:lineRule="auto"/>
      </w:pPr>
      <w:r w:rsidRPr="00BB33CC">
        <w:rPr>
          <w:b/>
        </w:rPr>
        <w:t>Modelo de Valuación de Activos Financieros, (CAPM).</w:t>
      </w:r>
      <w:r w:rsidRPr="00BB33CC">
        <w:t xml:space="preserve"> (</w:t>
      </w:r>
      <w:r w:rsidRPr="00BB33CC">
        <w:rPr>
          <w:i/>
        </w:rPr>
        <w:t>Capital Asset Pricing Model</w:t>
      </w:r>
      <w:r w:rsidRPr="00BB33CC">
        <w:t xml:space="preserve">, por sus siglas en inglés). </w:t>
      </w:r>
      <w:r w:rsidR="00AD1894" w:rsidRPr="00BB33CC">
        <w:t>Modelo de valuación que s</w:t>
      </w:r>
      <w:r w:rsidRPr="00BB33CC">
        <w:t xml:space="preserve">eñala que el costo </w:t>
      </w:r>
      <w:r w:rsidRPr="00BB33CC">
        <w:lastRenderedPageBreak/>
        <w:t>del patrimonio se relaciona con una tasa libre de riesgo, el rendimiento esperado del mercado, un parámetro que estima el riesgo del operador de manera relativa a la economía nacional y una medida de riesgo asociada al país;</w:t>
      </w:r>
    </w:p>
    <w:p w:rsidR="00E254E6" w:rsidRPr="00BB33CC" w:rsidRDefault="00850FE1" w:rsidP="00FE1C2B">
      <w:pPr>
        <w:pStyle w:val="estilo30"/>
        <w:numPr>
          <w:ilvl w:val="0"/>
          <w:numId w:val="233"/>
        </w:numPr>
        <w:spacing w:before="240" w:beforeAutospacing="0" w:after="0" w:afterAutospacing="0" w:line="276" w:lineRule="auto"/>
        <w:jc w:val="both"/>
        <w:rPr>
          <w:rFonts w:ascii="ITC Avant Garde" w:hAnsi="ITC Avant Garde"/>
          <w:bCs/>
          <w:sz w:val="22"/>
        </w:rPr>
      </w:pPr>
      <w:r w:rsidRPr="00BB33CC">
        <w:rPr>
          <w:rFonts w:ascii="ITC Avant Garde" w:hAnsi="ITC Avant Garde"/>
          <w:b/>
          <w:bCs/>
          <w:sz w:val="22"/>
        </w:rPr>
        <w:t>Red compartida m</w:t>
      </w:r>
      <w:r w:rsidR="00E254E6" w:rsidRPr="00BB33CC">
        <w:rPr>
          <w:rFonts w:ascii="ITC Avant Garde" w:hAnsi="ITC Avant Garde"/>
          <w:b/>
          <w:bCs/>
          <w:sz w:val="22"/>
        </w:rPr>
        <w:t>ayorista.</w:t>
      </w:r>
      <w:r w:rsidR="00E254E6" w:rsidRPr="00BB33CC">
        <w:rPr>
          <w:rFonts w:ascii="ITC Avant Garde" w:hAnsi="ITC Avant Garde"/>
          <w:bCs/>
          <w:sz w:val="22"/>
        </w:rPr>
        <w:t xml:space="preserve"> Titular de una concesión </w:t>
      </w:r>
      <w:r w:rsidR="002C57AA" w:rsidRPr="00BB33CC">
        <w:rPr>
          <w:rFonts w:ascii="ITC Avant Garde" w:hAnsi="ITC Avant Garde"/>
          <w:bCs/>
          <w:sz w:val="22"/>
        </w:rPr>
        <w:t xml:space="preserve">de uso comercial </w:t>
      </w:r>
      <w:r w:rsidR="00E254E6" w:rsidRPr="00BB33CC">
        <w:rPr>
          <w:rFonts w:ascii="ITC Avant Garde" w:hAnsi="ITC Avant Garde"/>
          <w:bCs/>
          <w:sz w:val="22"/>
        </w:rPr>
        <w:t>con carácter de red compartida mayorista</w:t>
      </w:r>
      <w:r w:rsidRPr="00BB33CC">
        <w:rPr>
          <w:rFonts w:ascii="ITC Avant Garde" w:hAnsi="ITC Avant Garde"/>
          <w:bCs/>
          <w:sz w:val="22"/>
        </w:rPr>
        <w:t xml:space="preserve"> en carácter de ente público o privado con</w:t>
      </w:r>
      <w:r w:rsidR="006B0945" w:rsidRPr="00BB33CC">
        <w:rPr>
          <w:rFonts w:ascii="ITC Avant Garde" w:hAnsi="ITC Avant Garde"/>
          <w:bCs/>
          <w:sz w:val="22"/>
        </w:rPr>
        <w:t xml:space="preserve"> participación pública</w:t>
      </w:r>
      <w:r w:rsidR="00AA26B9" w:rsidRPr="00BB33CC">
        <w:rPr>
          <w:rFonts w:ascii="ITC Avant Garde" w:hAnsi="ITC Avant Garde"/>
          <w:bCs/>
          <w:sz w:val="22"/>
        </w:rPr>
        <w:t>;</w:t>
      </w:r>
    </w:p>
    <w:p w:rsidR="00EB1513" w:rsidRPr="00BB33CC" w:rsidRDefault="00EB1513" w:rsidP="00FE1C2B">
      <w:pPr>
        <w:pStyle w:val="estilo30"/>
        <w:numPr>
          <w:ilvl w:val="0"/>
          <w:numId w:val="233"/>
        </w:numPr>
        <w:spacing w:before="240" w:beforeAutospacing="0" w:after="0" w:afterAutospacing="0" w:line="276" w:lineRule="auto"/>
        <w:jc w:val="both"/>
        <w:rPr>
          <w:bCs/>
        </w:rPr>
      </w:pPr>
      <w:r w:rsidRPr="00BB33CC">
        <w:rPr>
          <w:rFonts w:ascii="ITC Avant Garde" w:hAnsi="ITC Avant Garde"/>
          <w:b/>
          <w:bCs/>
          <w:sz w:val="22"/>
          <w:szCs w:val="22"/>
        </w:rPr>
        <w:t>Rendimiento esperado del mercado (</w:t>
      </w:r>
      <m:oMath>
        <m:sSub>
          <m:sSubPr>
            <m:ctrlPr>
              <w:rPr>
                <w:rFonts w:ascii="Cambria Math" w:hAnsi="Cambria Math" w:cs="Arial"/>
                <w:b/>
                <w:bCs/>
                <w:i/>
                <w:sz w:val="22"/>
                <w:szCs w:val="22"/>
                <w:lang w:eastAsia="es-ES"/>
              </w:rPr>
            </m:ctrlPr>
          </m:sSubPr>
          <m:e>
            <m:r>
              <m:rPr>
                <m:sty m:val="bi"/>
              </m:rPr>
              <w:rPr>
                <w:rFonts w:ascii="Cambria Math" w:hAnsi="Cambria Math" w:cs="Arial"/>
                <w:sz w:val="22"/>
                <w:szCs w:val="22"/>
                <w:lang w:eastAsia="es-ES"/>
              </w:rPr>
              <m:t>r</m:t>
            </m:r>
          </m:e>
          <m:sub>
            <m:r>
              <m:rPr>
                <m:sty m:val="bi"/>
              </m:rPr>
              <w:rPr>
                <w:rFonts w:ascii="Cambria Math" w:hAnsi="Cambria Math" w:cs="Arial"/>
                <w:sz w:val="22"/>
                <w:szCs w:val="22"/>
                <w:lang w:eastAsia="es-ES"/>
              </w:rPr>
              <m:t>m</m:t>
            </m:r>
          </m:sub>
        </m:sSub>
      </m:oMath>
      <w:r w:rsidRPr="00BB33CC">
        <w:rPr>
          <w:rFonts w:ascii="ITC Avant Garde" w:hAnsi="ITC Avant Garde"/>
          <w:b/>
          <w:bCs/>
          <w:sz w:val="22"/>
          <w:szCs w:val="22"/>
        </w:rPr>
        <w:t xml:space="preserve">). </w:t>
      </w:r>
      <w:r w:rsidRPr="00BB33CC">
        <w:rPr>
          <w:rFonts w:ascii="ITC Avant Garde" w:hAnsi="ITC Avant Garde"/>
          <w:bCs/>
          <w:sz w:val="22"/>
          <w:szCs w:val="22"/>
        </w:rPr>
        <w:t>Tasa de rentabilidad esperada del mercado en que cotiza el activo;</w:t>
      </w:r>
    </w:p>
    <w:p w:rsidR="00EB1513" w:rsidRPr="00BB33CC" w:rsidRDefault="00EB1513" w:rsidP="00A37ADF">
      <w:pPr>
        <w:pStyle w:val="Indentadoresolucin"/>
        <w:numPr>
          <w:ilvl w:val="0"/>
          <w:numId w:val="233"/>
        </w:numPr>
        <w:spacing w:before="240" w:line="276" w:lineRule="auto"/>
        <w:ind w:left="714" w:hanging="357"/>
        <w:rPr>
          <w:lang w:val="es-MX"/>
        </w:rPr>
      </w:pPr>
      <w:r w:rsidRPr="00BB33CC">
        <w:rPr>
          <w:b/>
        </w:rPr>
        <w:t>Tasa libre de riesgo (</w:t>
      </w:r>
      <m:oMath>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f</m:t>
            </m:r>
          </m:sub>
        </m:sSub>
      </m:oMath>
      <w:r w:rsidRPr="00BB33CC">
        <w:rPr>
          <w:b/>
        </w:rPr>
        <w:t xml:space="preserve">). </w:t>
      </w:r>
      <w:r w:rsidR="00586C5D" w:rsidRPr="00BB33CC">
        <w:t>T</w:t>
      </w:r>
      <w:r w:rsidRPr="00BB33CC">
        <w:t xml:space="preserve">asa de rendimiento teórica de una inversión sin volatilidad y, por lo tanto, </w:t>
      </w:r>
      <w:r w:rsidR="005E04BE" w:rsidRPr="00BB33CC">
        <w:t>con bajo</w:t>
      </w:r>
      <w:r w:rsidRPr="00BB33CC">
        <w:t xml:space="preserve"> riesgo financiero. </w:t>
      </w:r>
      <w:r w:rsidR="005E04BE" w:rsidRPr="00BB33CC">
        <w:t>U</w:t>
      </w:r>
      <w:r w:rsidRPr="00BB33CC">
        <w:t>n buen indicador puede ser la tasa de rendimiento de un bono nacional;</w:t>
      </w:r>
    </w:p>
    <w:p w:rsidR="00CD01F5" w:rsidRPr="00BB33CC" w:rsidRDefault="00CD01F5" w:rsidP="00A37ADF">
      <w:pPr>
        <w:pStyle w:val="estilo30"/>
        <w:numPr>
          <w:ilvl w:val="0"/>
          <w:numId w:val="233"/>
        </w:numPr>
        <w:spacing w:before="240" w:beforeAutospacing="0" w:after="0" w:afterAutospacing="0" w:line="276" w:lineRule="auto"/>
        <w:ind w:left="714" w:hanging="357"/>
        <w:jc w:val="both"/>
        <w:rPr>
          <w:rFonts w:ascii="ITC Avant Garde" w:hAnsi="ITC Avant Garde"/>
          <w:bCs/>
          <w:sz w:val="22"/>
          <w:szCs w:val="22"/>
        </w:rPr>
      </w:pPr>
      <w:r w:rsidRPr="00BB33CC">
        <w:rPr>
          <w:rFonts w:ascii="ITC Avant Garde" w:hAnsi="ITC Avant Garde"/>
          <w:b/>
          <w:sz w:val="22"/>
          <w:szCs w:val="22"/>
        </w:rPr>
        <w:t xml:space="preserve">Valor Bruto Contable, </w:t>
      </w:r>
      <w:r w:rsidR="00CE567A" w:rsidRPr="00BB33CC">
        <w:rPr>
          <w:rFonts w:ascii="ITC Avant Garde" w:hAnsi="ITC Avant Garde"/>
          <w:b/>
          <w:bCs/>
          <w:sz w:val="22"/>
          <w:szCs w:val="22"/>
        </w:rPr>
        <w:t>(VBC).</w:t>
      </w:r>
      <w:r w:rsidR="00CE567A" w:rsidRPr="00BB33CC">
        <w:rPr>
          <w:rFonts w:ascii="ITC Avant Garde" w:hAnsi="ITC Avant Garde"/>
          <w:bCs/>
          <w:sz w:val="22"/>
          <w:szCs w:val="22"/>
        </w:rPr>
        <w:t xml:space="preserve"> R</w:t>
      </w:r>
      <w:r w:rsidRPr="00BB33CC">
        <w:rPr>
          <w:rFonts w:ascii="ITC Avant Garde" w:hAnsi="ITC Avant Garde"/>
          <w:bCs/>
          <w:sz w:val="22"/>
          <w:szCs w:val="22"/>
        </w:rPr>
        <w:t>epresenta el valor de adquisición de un activo, incluyendo cualquier corrección de valor que le afecte;</w:t>
      </w:r>
    </w:p>
    <w:p w:rsidR="00CD01F5" w:rsidRPr="00BB33CC" w:rsidRDefault="00CD01F5" w:rsidP="00CD01F5">
      <w:pPr>
        <w:pStyle w:val="estilo30"/>
        <w:numPr>
          <w:ilvl w:val="0"/>
          <w:numId w:val="233"/>
        </w:numPr>
        <w:spacing w:before="240" w:beforeAutospacing="0" w:after="0" w:afterAutospacing="0" w:line="276" w:lineRule="auto"/>
        <w:jc w:val="both"/>
        <w:rPr>
          <w:rFonts w:ascii="ITC Avant Garde" w:hAnsi="ITC Avant Garde"/>
          <w:bCs/>
          <w:sz w:val="22"/>
          <w:szCs w:val="22"/>
        </w:rPr>
      </w:pPr>
      <w:r w:rsidRPr="00BB33CC">
        <w:rPr>
          <w:rFonts w:ascii="ITC Avant Garde" w:hAnsi="ITC Avant Garde"/>
          <w:b/>
          <w:sz w:val="22"/>
          <w:szCs w:val="22"/>
        </w:rPr>
        <w:t xml:space="preserve">Valor Bruto de Reemplazo, </w:t>
      </w:r>
      <w:r w:rsidR="00CE567A" w:rsidRPr="00BB33CC">
        <w:rPr>
          <w:rFonts w:ascii="ITC Avant Garde" w:hAnsi="ITC Avant Garde"/>
          <w:b/>
          <w:bCs/>
          <w:sz w:val="22"/>
          <w:szCs w:val="22"/>
        </w:rPr>
        <w:t>(VBR).</w:t>
      </w:r>
      <w:r w:rsidR="00CE567A" w:rsidRPr="00BB33CC">
        <w:rPr>
          <w:rFonts w:ascii="ITC Avant Garde" w:hAnsi="ITC Avant Garde"/>
          <w:bCs/>
          <w:sz w:val="22"/>
          <w:szCs w:val="22"/>
        </w:rPr>
        <w:t xml:space="preserve"> R</w:t>
      </w:r>
      <w:r w:rsidRPr="00BB33CC">
        <w:rPr>
          <w:rFonts w:ascii="ITC Avant Garde" w:hAnsi="ITC Avant Garde"/>
          <w:bCs/>
          <w:sz w:val="22"/>
          <w:szCs w:val="22"/>
        </w:rPr>
        <w:t>epresenta el costo incurrido para reemplazar, en el ejercicio para el que se desarrolla la separación contable, un activo de tipo y características similares</w:t>
      </w:r>
      <w:r w:rsidR="00A51691" w:rsidRPr="00BB33CC">
        <w:rPr>
          <w:rFonts w:ascii="ITC Avant Garde" w:hAnsi="ITC Avant Garde"/>
          <w:bCs/>
          <w:sz w:val="22"/>
          <w:szCs w:val="22"/>
        </w:rPr>
        <w:t>, sin considerar</w:t>
      </w:r>
      <w:r w:rsidRPr="00BB33CC">
        <w:rPr>
          <w:rFonts w:ascii="ITC Avant Garde" w:hAnsi="ITC Avant Garde"/>
          <w:bCs/>
          <w:sz w:val="22"/>
          <w:szCs w:val="22"/>
        </w:rPr>
        <w:t xml:space="preserve"> la depreciación acumulada; </w:t>
      </w:r>
    </w:p>
    <w:p w:rsidR="00CD01F5" w:rsidRPr="00BB33CC" w:rsidRDefault="000C2ED9" w:rsidP="00CD01F5">
      <w:pPr>
        <w:pStyle w:val="estilo30"/>
        <w:numPr>
          <w:ilvl w:val="0"/>
          <w:numId w:val="233"/>
        </w:numPr>
        <w:spacing w:before="240" w:beforeAutospacing="0" w:after="0" w:afterAutospacing="0" w:line="276" w:lineRule="auto"/>
        <w:jc w:val="both"/>
        <w:rPr>
          <w:rFonts w:ascii="ITC Avant Garde" w:hAnsi="ITC Avant Garde"/>
          <w:bCs/>
          <w:sz w:val="22"/>
          <w:szCs w:val="22"/>
        </w:rPr>
      </w:pPr>
      <w:r w:rsidRPr="00BB33CC">
        <w:rPr>
          <w:rFonts w:ascii="ITC Avant Garde" w:hAnsi="ITC Avant Garde"/>
          <w:b/>
          <w:sz w:val="22"/>
          <w:szCs w:val="22"/>
        </w:rPr>
        <w:t xml:space="preserve">Valor Neto Contable, </w:t>
      </w:r>
      <w:r w:rsidR="00CE567A" w:rsidRPr="00BB33CC">
        <w:rPr>
          <w:rFonts w:ascii="ITC Avant Garde" w:hAnsi="ITC Avant Garde"/>
          <w:b/>
          <w:bCs/>
          <w:sz w:val="22"/>
          <w:szCs w:val="22"/>
        </w:rPr>
        <w:t>(VNC).</w:t>
      </w:r>
      <w:r w:rsidR="00CE567A" w:rsidRPr="00BB33CC">
        <w:rPr>
          <w:rFonts w:ascii="ITC Avant Garde" w:hAnsi="ITC Avant Garde"/>
          <w:bCs/>
          <w:sz w:val="22"/>
          <w:szCs w:val="22"/>
        </w:rPr>
        <w:t xml:space="preserve"> Valor </w:t>
      </w:r>
      <w:r w:rsidR="00CD01F5" w:rsidRPr="00BB33CC">
        <w:rPr>
          <w:rFonts w:ascii="ITC Avant Garde" w:hAnsi="ITC Avant Garde"/>
          <w:bCs/>
          <w:sz w:val="22"/>
          <w:szCs w:val="22"/>
        </w:rPr>
        <w:t xml:space="preserve">que coincide con el valor de adquisición </w:t>
      </w:r>
      <w:r w:rsidR="006A63D8" w:rsidRPr="00BB33CC">
        <w:rPr>
          <w:rFonts w:ascii="ITC Avant Garde" w:hAnsi="ITC Avant Garde"/>
          <w:bCs/>
          <w:sz w:val="22"/>
          <w:szCs w:val="22"/>
        </w:rPr>
        <w:t>considerando</w:t>
      </w:r>
      <w:r w:rsidR="00CD01F5" w:rsidRPr="00BB33CC">
        <w:rPr>
          <w:rFonts w:ascii="ITC Avant Garde" w:hAnsi="ITC Avant Garde"/>
          <w:bCs/>
          <w:sz w:val="22"/>
          <w:szCs w:val="22"/>
        </w:rPr>
        <w:t xml:space="preserve"> la amortización acumulada y cualquier otra co</w:t>
      </w:r>
      <w:r w:rsidR="00CB29DA" w:rsidRPr="00BB33CC">
        <w:rPr>
          <w:rFonts w:ascii="ITC Avant Garde" w:hAnsi="ITC Avant Garde"/>
          <w:bCs/>
          <w:sz w:val="22"/>
          <w:szCs w:val="22"/>
        </w:rPr>
        <w:t>rrección de valor que le afecte</w:t>
      </w:r>
      <w:r w:rsidR="00CE567A" w:rsidRPr="00BB33CC">
        <w:rPr>
          <w:rFonts w:ascii="ITC Avant Garde" w:hAnsi="ITC Avant Garde"/>
          <w:bCs/>
          <w:sz w:val="22"/>
          <w:szCs w:val="22"/>
        </w:rPr>
        <w:t>, y</w:t>
      </w:r>
    </w:p>
    <w:p w:rsidR="00CE5E57" w:rsidRPr="00BB33CC" w:rsidRDefault="000C2ED9" w:rsidP="00E46B65">
      <w:pPr>
        <w:pStyle w:val="estilo30"/>
        <w:numPr>
          <w:ilvl w:val="0"/>
          <w:numId w:val="233"/>
        </w:numPr>
        <w:spacing w:before="240" w:beforeAutospacing="0" w:after="0" w:afterAutospacing="0" w:line="276" w:lineRule="auto"/>
        <w:jc w:val="both"/>
      </w:pPr>
      <w:r w:rsidRPr="00BB33CC">
        <w:rPr>
          <w:rFonts w:ascii="ITC Avant Garde" w:hAnsi="ITC Avant Garde"/>
          <w:b/>
        </w:rPr>
        <w:t>Valor Neto de Reposición</w:t>
      </w:r>
      <w:r w:rsidR="00A4718F" w:rsidRPr="00BB33CC">
        <w:rPr>
          <w:rFonts w:ascii="ITC Avant Garde" w:hAnsi="ITC Avant Garde"/>
          <w:b/>
        </w:rPr>
        <w:t xml:space="preserve">, </w:t>
      </w:r>
      <w:r w:rsidR="00CE567A" w:rsidRPr="00BB33CC">
        <w:rPr>
          <w:rFonts w:ascii="ITC Avant Garde" w:hAnsi="ITC Avant Garde"/>
          <w:b/>
          <w:bCs/>
        </w:rPr>
        <w:t>(</w:t>
      </w:r>
      <w:r w:rsidR="00CE567A" w:rsidRPr="00BB33CC">
        <w:rPr>
          <w:rFonts w:ascii="ITC Avant Garde" w:hAnsi="ITC Avant Garde"/>
          <w:b/>
          <w:bCs/>
          <w:sz w:val="22"/>
          <w:szCs w:val="22"/>
        </w:rPr>
        <w:t>VNR</w:t>
      </w:r>
      <w:r w:rsidR="00CE567A" w:rsidRPr="00BB33CC">
        <w:rPr>
          <w:rFonts w:ascii="ITC Avant Garde" w:hAnsi="ITC Avant Garde"/>
          <w:b/>
          <w:bCs/>
        </w:rPr>
        <w:t>).</w:t>
      </w:r>
      <w:r w:rsidR="00CE567A" w:rsidRPr="00BB33CC">
        <w:rPr>
          <w:rFonts w:ascii="ITC Avant Garde" w:hAnsi="ITC Avant Garde"/>
          <w:bCs/>
          <w:sz w:val="22"/>
          <w:szCs w:val="22"/>
        </w:rPr>
        <w:t xml:space="preserve"> R</w:t>
      </w:r>
      <w:r w:rsidR="00CD01F5" w:rsidRPr="00BB33CC">
        <w:rPr>
          <w:rFonts w:ascii="ITC Avant Garde" w:hAnsi="ITC Avant Garde"/>
          <w:bCs/>
          <w:sz w:val="22"/>
          <w:szCs w:val="22"/>
        </w:rPr>
        <w:t>epresenta el costo incurrido para reemplazar, en el ejercicio para el que se desarrolla la separación contable, un activo de tipo y características similares, teniendo en cuenta la depreciación acumulada</w:t>
      </w:r>
      <w:r w:rsidR="00CE567A" w:rsidRPr="00BB33CC">
        <w:rPr>
          <w:rFonts w:ascii="ITC Avant Garde" w:hAnsi="ITC Avant Garde"/>
          <w:bCs/>
          <w:sz w:val="22"/>
          <w:szCs w:val="22"/>
        </w:rPr>
        <w:t>.</w:t>
      </w:r>
    </w:p>
    <w:p w:rsidR="00536C9D" w:rsidRPr="00BB33CC" w:rsidRDefault="00536C9D" w:rsidP="00FE1C2B">
      <w:pPr>
        <w:pStyle w:val="Ttulo2"/>
        <w:spacing w:before="240" w:line="276" w:lineRule="auto"/>
        <w:jc w:val="center"/>
      </w:pPr>
      <w:r w:rsidRPr="00BB33CC">
        <w:t>CAPÍTULO III</w:t>
      </w:r>
    </w:p>
    <w:p w:rsidR="00536C9D" w:rsidRPr="00BB33CC" w:rsidRDefault="00536C9D" w:rsidP="00FE1C2B">
      <w:pPr>
        <w:pStyle w:val="estilo30"/>
        <w:spacing w:before="240" w:beforeAutospacing="0" w:after="0" w:afterAutospacing="0" w:line="276" w:lineRule="auto"/>
        <w:jc w:val="center"/>
        <w:rPr>
          <w:b/>
          <w:bCs/>
        </w:rPr>
      </w:pPr>
      <w:r w:rsidRPr="00BB33CC">
        <w:rPr>
          <w:rFonts w:ascii="ITC Avant Garde" w:hAnsi="ITC Avant Garde"/>
          <w:b/>
          <w:bCs/>
          <w:sz w:val="22"/>
          <w:szCs w:val="22"/>
        </w:rPr>
        <w:t>Aspectos Generales de la Metodología de Separación Contable</w:t>
      </w:r>
    </w:p>
    <w:p w:rsidR="00953DE9" w:rsidRPr="00BB33CC" w:rsidRDefault="005521F8" w:rsidP="00FE1C2B">
      <w:pPr>
        <w:pStyle w:val="estilo30"/>
        <w:spacing w:before="240" w:beforeAutospacing="0" w:after="0" w:afterAutospacing="0" w:line="276" w:lineRule="auto"/>
        <w:jc w:val="both"/>
        <w:rPr>
          <w:bCs/>
        </w:rPr>
      </w:pPr>
      <w:r w:rsidRPr="00BB33CC">
        <w:rPr>
          <w:rFonts w:ascii="ITC Avant Garde" w:hAnsi="ITC Avant Garde"/>
          <w:b/>
          <w:bCs/>
          <w:sz w:val="22"/>
          <w:szCs w:val="22"/>
        </w:rPr>
        <w:t>CUARTA</w:t>
      </w:r>
      <w:r w:rsidR="00B0079D" w:rsidRPr="00BB33CC">
        <w:rPr>
          <w:rFonts w:ascii="ITC Avant Garde" w:hAnsi="ITC Avant Garde"/>
          <w:b/>
          <w:bCs/>
          <w:sz w:val="22"/>
          <w:szCs w:val="22"/>
        </w:rPr>
        <w:t>.-</w:t>
      </w:r>
      <w:r w:rsidR="00B0079D" w:rsidRPr="00BB33CC">
        <w:rPr>
          <w:rFonts w:ascii="ITC Avant Garde" w:hAnsi="ITC Avant Garde"/>
          <w:bCs/>
          <w:sz w:val="22"/>
          <w:szCs w:val="22"/>
        </w:rPr>
        <w:t xml:space="preserve"> </w:t>
      </w:r>
      <w:r w:rsidR="00953DE9" w:rsidRPr="00BB33CC">
        <w:rPr>
          <w:rFonts w:ascii="ITC Avant Garde" w:hAnsi="ITC Avant Garde"/>
          <w:bCs/>
          <w:sz w:val="22"/>
          <w:szCs w:val="22"/>
        </w:rPr>
        <w:t xml:space="preserve">Los concesionarios </w:t>
      </w:r>
      <w:r w:rsidR="003A54F4" w:rsidRPr="00BB33CC">
        <w:rPr>
          <w:rFonts w:ascii="ITC Avant Garde" w:hAnsi="ITC Avant Garde"/>
          <w:bCs/>
          <w:sz w:val="22"/>
          <w:szCs w:val="22"/>
        </w:rPr>
        <w:t xml:space="preserve">y/o autorizados </w:t>
      </w:r>
      <w:r w:rsidR="00953DE9" w:rsidRPr="00BB33CC">
        <w:rPr>
          <w:rFonts w:ascii="ITC Avant Garde" w:hAnsi="ITC Avant Garde"/>
          <w:bCs/>
          <w:sz w:val="22"/>
          <w:szCs w:val="22"/>
        </w:rPr>
        <w:t>deben adoptar los siguientes principios en la implementación de la separación contable:</w:t>
      </w:r>
    </w:p>
    <w:p w:rsidR="00D70F9A" w:rsidRPr="00BB33CC" w:rsidRDefault="00D70F9A" w:rsidP="00D70F9A">
      <w:pPr>
        <w:pStyle w:val="Indentadoresolucin"/>
        <w:numPr>
          <w:ilvl w:val="0"/>
          <w:numId w:val="230"/>
        </w:numPr>
        <w:spacing w:before="240" w:line="276" w:lineRule="auto"/>
      </w:pPr>
      <w:r w:rsidRPr="00BB33CC">
        <w:rPr>
          <w:b/>
          <w:iCs/>
        </w:rPr>
        <w:t>Auditabilidad</w:t>
      </w:r>
      <w:r w:rsidRPr="00BB33CC">
        <w:rPr>
          <w:b/>
          <w:i/>
          <w:iCs/>
        </w:rPr>
        <w:t>.</w:t>
      </w:r>
      <w:r w:rsidRPr="00BB33CC">
        <w:t xml:space="preserve"> La información debe estar auditada de manera adecuada, con el fin de que un profesional, tanto interno como externo, pueda revisarla con facilidad. Lo anterior, con el propósito de que la información pueda ser rastreada y conciliada con las fuentes empleadas;</w:t>
      </w:r>
    </w:p>
    <w:p w:rsidR="00953DE9" w:rsidRPr="00BB33CC" w:rsidRDefault="00953DE9" w:rsidP="00FE1C2B">
      <w:pPr>
        <w:pStyle w:val="Indentadoresolucin"/>
        <w:numPr>
          <w:ilvl w:val="0"/>
          <w:numId w:val="230"/>
        </w:numPr>
        <w:spacing w:before="240" w:line="276" w:lineRule="auto"/>
      </w:pPr>
      <w:r w:rsidRPr="00BB33CC">
        <w:rPr>
          <w:b/>
          <w:iCs/>
        </w:rPr>
        <w:lastRenderedPageBreak/>
        <w:t>Causalidad</w:t>
      </w:r>
      <w:r w:rsidR="003A54F4" w:rsidRPr="00BB33CC">
        <w:rPr>
          <w:b/>
        </w:rPr>
        <w:t>.</w:t>
      </w:r>
      <w:r w:rsidR="003A54F4" w:rsidRPr="00BB33CC">
        <w:t xml:space="preserve"> </w:t>
      </w:r>
      <w:r w:rsidRPr="00BB33CC">
        <w:t xml:space="preserve">Consiste en la imputación de costos a las actividades o servicios (y cualquier elemento contable en general) responsables de su generación. Este principio permite evidenciar la relación de causación que influye en la asignación, tanto directa como indirecta, de los costos e ingresos. De esta manera, al asegurar el cumplimiento del principio de causalidad se logra que los costos e ingresos sean efectivamente asignados </w:t>
      </w:r>
      <w:r w:rsidR="00955C0C" w:rsidRPr="00BB33CC">
        <w:t>a los servicios que los generan;</w:t>
      </w:r>
    </w:p>
    <w:p w:rsidR="00D70F9A" w:rsidRPr="00BB33CC" w:rsidRDefault="00D70F9A" w:rsidP="00D70F9A">
      <w:pPr>
        <w:pStyle w:val="Indentadoresolucin"/>
        <w:numPr>
          <w:ilvl w:val="0"/>
          <w:numId w:val="230"/>
        </w:numPr>
        <w:spacing w:before="240" w:line="276" w:lineRule="auto"/>
      </w:pPr>
      <w:r w:rsidRPr="00BB33CC">
        <w:rPr>
          <w:b/>
          <w:bCs/>
        </w:rPr>
        <w:t>Conciliación.</w:t>
      </w:r>
      <w:r w:rsidRPr="00BB33CC">
        <w:t xml:space="preserve"> Para cada metodología y estándar de costos se debe presentar información financiera que concilie con los resultados de la separación contable, aportando para ello el soporte que resultara necesario;</w:t>
      </w:r>
    </w:p>
    <w:p w:rsidR="00D70F9A" w:rsidRPr="00BB33CC" w:rsidRDefault="00D70F9A" w:rsidP="00FE1C2B">
      <w:pPr>
        <w:pStyle w:val="Indentadoresolucin"/>
        <w:numPr>
          <w:ilvl w:val="0"/>
          <w:numId w:val="230"/>
        </w:numPr>
        <w:spacing w:before="240" w:line="276" w:lineRule="auto"/>
      </w:pPr>
      <w:r w:rsidRPr="00BB33CC">
        <w:rPr>
          <w:b/>
          <w:iCs/>
        </w:rPr>
        <w:t>Consistencia.</w:t>
      </w:r>
      <w:r w:rsidRPr="00BB33CC">
        <w:t xml:space="preserve"> La metodología, principios contables y criterios adoptados por el </w:t>
      </w:r>
      <w:r w:rsidRPr="00BB33CC">
        <w:rPr>
          <w:bCs/>
        </w:rPr>
        <w:t>concesionario y/o autorizado</w:t>
      </w:r>
      <w:r w:rsidRPr="00BB33CC">
        <w:t xml:space="preserve"> en la elaboración de la separación contable deben preservarse a lo largo de los años, a fin de asegurar su comparabilidad.</w:t>
      </w:r>
    </w:p>
    <w:p w:rsidR="00953DE9" w:rsidRPr="00BB33CC" w:rsidRDefault="00953DE9" w:rsidP="00FE1C2B">
      <w:pPr>
        <w:pStyle w:val="Indentadoresolucin"/>
        <w:numPr>
          <w:ilvl w:val="0"/>
          <w:numId w:val="230"/>
        </w:numPr>
        <w:spacing w:before="240" w:line="276" w:lineRule="auto"/>
      </w:pPr>
      <w:r w:rsidRPr="00BB33CC">
        <w:rPr>
          <w:b/>
          <w:iCs/>
        </w:rPr>
        <w:t>Materialidad</w:t>
      </w:r>
      <w:r w:rsidR="003A54F4" w:rsidRPr="00BB33CC">
        <w:rPr>
          <w:b/>
        </w:rPr>
        <w:t>.</w:t>
      </w:r>
      <w:r w:rsidRPr="00BB33CC">
        <w:t xml:space="preserve"> La información debe ser preparada de tal forma que se asegure que no existe una omisión significativa que pueda influir en los resultados y repor</w:t>
      </w:r>
      <w:r w:rsidR="00955C0C" w:rsidRPr="00BB33CC">
        <w:t xml:space="preserve">tes entregados al </w:t>
      </w:r>
      <w:r w:rsidR="00A92CDB" w:rsidRPr="00BB33CC">
        <w:t>Instituto</w:t>
      </w:r>
      <w:r w:rsidR="00955C0C" w:rsidRPr="00BB33CC">
        <w:t>;</w:t>
      </w:r>
    </w:p>
    <w:p w:rsidR="00D70F9A" w:rsidRPr="00BB33CC" w:rsidRDefault="00D70F9A" w:rsidP="00D70F9A">
      <w:pPr>
        <w:pStyle w:val="Indentadoresolucin"/>
        <w:numPr>
          <w:ilvl w:val="0"/>
          <w:numId w:val="230"/>
        </w:numPr>
        <w:spacing w:before="240" w:line="276" w:lineRule="auto"/>
        <w:ind w:left="714" w:hanging="357"/>
      </w:pPr>
      <w:r w:rsidRPr="00BB33CC">
        <w:rPr>
          <w:b/>
        </w:rPr>
        <w:t>Neutralidad.</w:t>
      </w:r>
      <w:r w:rsidRPr="00BB33CC">
        <w:t xml:space="preserve"> La información de separación contable debe señalar los costos de transferencia interna del </w:t>
      </w:r>
      <w:r w:rsidRPr="00BB33CC">
        <w:rPr>
          <w:bCs/>
        </w:rPr>
        <w:t>concesionario y/o autorizado</w:t>
      </w:r>
      <w:r w:rsidRPr="00BB33CC">
        <w:t xml:space="preserve"> en cuentas separadas, a fin de distinguir cuando el concesionario</w:t>
      </w:r>
      <w:r w:rsidRPr="00BB33CC">
        <w:rPr>
          <w:bCs/>
        </w:rPr>
        <w:t xml:space="preserve"> y/o autorizado</w:t>
      </w:r>
      <w:r w:rsidRPr="00BB33CC">
        <w:t xml:space="preserve"> presta servicios a otras empresas y los márgenes obtenidos cuando la prestación de servicios se realice entre empresas del mismo grupo;</w:t>
      </w:r>
    </w:p>
    <w:p w:rsidR="00953DE9" w:rsidRPr="00BB33CC" w:rsidRDefault="00953DE9" w:rsidP="00FE1C2B">
      <w:pPr>
        <w:pStyle w:val="Indentadoresolucin"/>
        <w:numPr>
          <w:ilvl w:val="0"/>
          <w:numId w:val="230"/>
        </w:numPr>
        <w:spacing w:before="240" w:line="276" w:lineRule="auto"/>
      </w:pPr>
      <w:r w:rsidRPr="00BB33CC">
        <w:rPr>
          <w:b/>
        </w:rPr>
        <w:t>No compensación</w:t>
      </w:r>
      <w:r w:rsidR="003A54F4" w:rsidRPr="00BB33CC">
        <w:rPr>
          <w:b/>
        </w:rPr>
        <w:t>.</w:t>
      </w:r>
      <w:r w:rsidRPr="00BB33CC">
        <w:t xml:space="preserve"> Los costos e ingresos deben tratarse de manera diferenciada en todo momento, sin compensarse entre ellos. Equivalentemente, los costos e ingresos de un servicio no pueden compen</w:t>
      </w:r>
      <w:r w:rsidR="00955C0C" w:rsidRPr="00BB33CC">
        <w:t>sarse con los de otro servicio.</w:t>
      </w:r>
    </w:p>
    <w:p w:rsidR="00953DE9" w:rsidRPr="00BB33CC" w:rsidRDefault="00953DE9" w:rsidP="00FE1C2B">
      <w:pPr>
        <w:pStyle w:val="Indentadoresolucin"/>
        <w:numPr>
          <w:ilvl w:val="0"/>
          <w:numId w:val="0"/>
        </w:numPr>
        <w:spacing w:before="240" w:line="276" w:lineRule="auto"/>
        <w:ind w:left="720"/>
      </w:pPr>
      <w:r w:rsidRPr="00BB33CC">
        <w:t>Lo anterior implica, entre otros, que los ingresos obtenidos por la prestación de los servicios deben valorarse a precios de catálogo del proveedor, separando contablemente las subvenciones, descuentos o minoraciones de carácter comercial que se hayan prod</w:t>
      </w:r>
      <w:r w:rsidR="00955C0C" w:rsidRPr="00BB33CC">
        <w:t>ucido;</w:t>
      </w:r>
    </w:p>
    <w:p w:rsidR="00D70F9A" w:rsidRPr="00BB33CC" w:rsidRDefault="00953DE9" w:rsidP="00D70F9A">
      <w:pPr>
        <w:pStyle w:val="Indentadoresolucin"/>
        <w:numPr>
          <w:ilvl w:val="0"/>
          <w:numId w:val="230"/>
        </w:numPr>
        <w:spacing w:before="240" w:line="276" w:lineRule="auto"/>
      </w:pPr>
      <w:r w:rsidRPr="00BB33CC">
        <w:rPr>
          <w:b/>
          <w:bCs/>
        </w:rPr>
        <w:t>No discriminación</w:t>
      </w:r>
      <w:r w:rsidR="003A54F4" w:rsidRPr="00BB33CC">
        <w:rPr>
          <w:b/>
          <w:bCs/>
        </w:rPr>
        <w:t>.</w:t>
      </w:r>
      <w:r w:rsidRPr="00BB33CC">
        <w:t xml:space="preserve"> Las imputaciones a servicios deben </w:t>
      </w:r>
      <w:r w:rsidR="001A481B" w:rsidRPr="00BB33CC">
        <w:t xml:space="preserve">incluir, </w:t>
      </w:r>
      <w:r w:rsidRPr="00BB33CC">
        <w:t>fundamentalmente</w:t>
      </w:r>
      <w:r w:rsidR="0058284A" w:rsidRPr="00BB33CC">
        <w:t>,</w:t>
      </w:r>
      <w:r w:rsidRPr="00BB33CC">
        <w:t xml:space="preserve"> (i) la tarificación mayorista homogénea a todas las contrapartes, sin fluctuaciones no justificadas y (ii) la orientación a costos propios de los cargos mayoristas </w:t>
      </w:r>
      <w:r w:rsidR="00955C0C" w:rsidRPr="00BB33CC">
        <w:t>aplicados a terceros operadores</w:t>
      </w:r>
      <w:r w:rsidR="00A20AD5" w:rsidRPr="00BB33CC">
        <w:t>;</w:t>
      </w:r>
    </w:p>
    <w:p w:rsidR="00D70F9A" w:rsidRPr="00BB33CC" w:rsidRDefault="00D70F9A" w:rsidP="00D70F9A">
      <w:pPr>
        <w:pStyle w:val="Indentadoresolucin"/>
        <w:numPr>
          <w:ilvl w:val="0"/>
          <w:numId w:val="230"/>
        </w:numPr>
        <w:spacing w:before="240" w:line="276" w:lineRule="auto"/>
      </w:pPr>
      <w:r w:rsidRPr="00BB33CC">
        <w:rPr>
          <w:b/>
          <w:iCs/>
        </w:rPr>
        <w:lastRenderedPageBreak/>
        <w:t>Objetividad</w:t>
      </w:r>
      <w:r w:rsidRPr="00BB33CC">
        <w:rPr>
          <w:b/>
          <w:i/>
          <w:iCs/>
        </w:rPr>
        <w:t>.</w:t>
      </w:r>
      <w:r w:rsidRPr="00BB33CC">
        <w:t xml:space="preserve"> Los métodos de atribución deben ser imparciales y no diseñados con el fin de beneficiar a algún operador, producto o servicio. Los generadores de costos deben ser cuantificables y basados en criterios de imputación e insumos que puedan ser contrastados y verificados por el Instituto en el proceso de revisión;</w:t>
      </w:r>
    </w:p>
    <w:p w:rsidR="00953DE9" w:rsidRPr="00BB33CC" w:rsidRDefault="00953DE9" w:rsidP="00FE1C2B">
      <w:pPr>
        <w:pStyle w:val="Indentadoresolucin"/>
        <w:numPr>
          <w:ilvl w:val="0"/>
          <w:numId w:val="230"/>
        </w:numPr>
        <w:spacing w:before="240" w:line="276" w:lineRule="auto"/>
      </w:pPr>
      <w:r w:rsidRPr="00BB33CC">
        <w:rPr>
          <w:b/>
          <w:bCs/>
        </w:rPr>
        <w:t>Relevancia</w:t>
      </w:r>
      <w:r w:rsidR="003A54F4" w:rsidRPr="00BB33CC">
        <w:rPr>
          <w:b/>
          <w:bCs/>
        </w:rPr>
        <w:t>.</w:t>
      </w:r>
      <w:r w:rsidRPr="00BB33CC">
        <w:t xml:space="preserve"> La información de la separación contable debe asegurar que no existen omisiones significativas que puedan afectar las decisiones regulatorias del Instituto</w:t>
      </w:r>
      <w:r w:rsidR="00A20AD5" w:rsidRPr="00BB33CC">
        <w:t>;</w:t>
      </w:r>
    </w:p>
    <w:p w:rsidR="00A20AD5" w:rsidRPr="00BB33CC" w:rsidRDefault="00A20AD5" w:rsidP="00FE1C2B">
      <w:pPr>
        <w:pStyle w:val="Indentadoresolucin"/>
        <w:numPr>
          <w:ilvl w:val="0"/>
          <w:numId w:val="230"/>
        </w:numPr>
        <w:spacing w:before="240" w:line="276" w:lineRule="auto"/>
      </w:pPr>
      <w:r w:rsidRPr="00BB33CC">
        <w:rPr>
          <w:b/>
          <w:bCs/>
        </w:rPr>
        <w:t>Suficiencia</w:t>
      </w:r>
      <w:r w:rsidRPr="00BB33CC">
        <w:rPr>
          <w:b/>
        </w:rPr>
        <w:t>.</w:t>
      </w:r>
      <w:r w:rsidRPr="00BB33CC">
        <w:t xml:space="preserve"> La información de separación contable debe permitir obtener toda la información necesaria para el cumplimiento de los objetivos del </w:t>
      </w:r>
      <w:r w:rsidR="00A71DC2" w:rsidRPr="00BB33CC">
        <w:t>Instituto</w:t>
      </w:r>
      <w:r w:rsidR="00062F55" w:rsidRPr="00BB33CC">
        <w:t xml:space="preserve"> en materia de separación contable</w:t>
      </w:r>
      <w:r w:rsidR="00D70F9A" w:rsidRPr="00BB33CC">
        <w:t>, y</w:t>
      </w:r>
    </w:p>
    <w:p w:rsidR="00D70F9A" w:rsidRPr="00BB33CC" w:rsidRDefault="00D70F9A" w:rsidP="00FE1C2B">
      <w:pPr>
        <w:pStyle w:val="Indentadoresolucin"/>
        <w:numPr>
          <w:ilvl w:val="0"/>
          <w:numId w:val="230"/>
        </w:numPr>
        <w:spacing w:before="240" w:line="276" w:lineRule="auto"/>
      </w:pPr>
      <w:r w:rsidRPr="00BB33CC">
        <w:rPr>
          <w:b/>
          <w:iCs/>
        </w:rPr>
        <w:t>Transparencia</w:t>
      </w:r>
      <w:r w:rsidRPr="00BB33CC">
        <w:rPr>
          <w:b/>
          <w:i/>
          <w:iCs/>
        </w:rPr>
        <w:t>.</w:t>
      </w:r>
      <w:r w:rsidRPr="00BB33CC">
        <w:t xml:space="preserve"> Establece que la información de la separación contable debe ser susceptible de desglose, trazable, y debidamente documentada a fin de que los procesos, imputaciones y cálculos llevados a cabo por el </w:t>
      </w:r>
      <w:r w:rsidRPr="00BB33CC">
        <w:rPr>
          <w:bCs/>
        </w:rPr>
        <w:t>concesionario y/o autorizado</w:t>
      </w:r>
      <w:r w:rsidRPr="00BB33CC">
        <w:t xml:space="preserve"> sean rastreables por una tercera parte interesada en el análisis de esta información.</w:t>
      </w:r>
    </w:p>
    <w:p w:rsidR="00115BD4" w:rsidRPr="00BB33CC" w:rsidRDefault="00115BD4" w:rsidP="00AC2B34">
      <w:pPr>
        <w:pStyle w:val="Normalresolucion"/>
      </w:pPr>
    </w:p>
    <w:p w:rsidR="007932C4" w:rsidRPr="00BB33CC" w:rsidRDefault="00115BD4" w:rsidP="00AC2B34">
      <w:pPr>
        <w:pStyle w:val="Normalresolucion"/>
      </w:pPr>
      <w:r w:rsidRPr="00BB33CC">
        <w:t>Los</w:t>
      </w:r>
      <w:r w:rsidR="00AC2B34" w:rsidRPr="00BB33CC">
        <w:t xml:space="preserve"> entes públicos</w:t>
      </w:r>
      <w:r w:rsidRPr="00BB33CC">
        <w:t xml:space="preserve"> con carácter de red compartida mayorista</w:t>
      </w:r>
      <w:r w:rsidR="00AC2B34" w:rsidRPr="00BB33CC">
        <w:t xml:space="preserve"> estarán exentos de cumplir con el principio de auditabilidad.</w:t>
      </w:r>
    </w:p>
    <w:p w:rsidR="00582CE1" w:rsidRPr="00BB33CC" w:rsidRDefault="00582CE1" w:rsidP="00582CE1">
      <w:pPr>
        <w:pStyle w:val="estilo30"/>
        <w:spacing w:before="240" w:beforeAutospacing="0" w:after="0" w:afterAutospacing="0" w:line="276" w:lineRule="auto"/>
        <w:jc w:val="both"/>
        <w:rPr>
          <w:rFonts w:ascii="ITC Avant Garde" w:hAnsi="ITC Avant Garde"/>
          <w:bCs/>
          <w:sz w:val="22"/>
          <w:szCs w:val="22"/>
        </w:rPr>
      </w:pPr>
      <w:r w:rsidRPr="00BB33CC">
        <w:rPr>
          <w:rFonts w:ascii="ITC Avant Garde" w:hAnsi="ITC Avant Garde"/>
          <w:b/>
          <w:bCs/>
          <w:sz w:val="22"/>
          <w:szCs w:val="22"/>
        </w:rPr>
        <w:t>QUINTA.-</w:t>
      </w:r>
      <w:r w:rsidRPr="00BB33CC">
        <w:rPr>
          <w:rFonts w:ascii="ITC Avant Garde" w:hAnsi="ITC Avant Garde"/>
          <w:bCs/>
          <w:sz w:val="22"/>
          <w:szCs w:val="22"/>
        </w:rPr>
        <w:t xml:space="preserve"> </w:t>
      </w:r>
      <w:r w:rsidR="00CF3907" w:rsidRPr="00BB33CC">
        <w:rPr>
          <w:rFonts w:ascii="ITC Avant Garde" w:hAnsi="ITC Avant Garde"/>
          <w:bCs/>
          <w:sz w:val="22"/>
          <w:szCs w:val="22"/>
        </w:rPr>
        <w:t>L</w:t>
      </w:r>
      <w:r w:rsidR="00295F71" w:rsidRPr="00BB33CC">
        <w:rPr>
          <w:rFonts w:ascii="ITC Avant Garde" w:hAnsi="ITC Avant Garde"/>
          <w:bCs/>
          <w:sz w:val="22"/>
          <w:szCs w:val="22"/>
        </w:rPr>
        <w:t>os concesionarios y/o autorizados debe</w:t>
      </w:r>
      <w:r w:rsidR="006A13FD" w:rsidRPr="00BB33CC">
        <w:rPr>
          <w:rFonts w:ascii="ITC Avant Garde" w:hAnsi="ITC Avant Garde"/>
          <w:bCs/>
          <w:sz w:val="22"/>
          <w:szCs w:val="22"/>
        </w:rPr>
        <w:t>n</w:t>
      </w:r>
      <w:r w:rsidR="00295F71" w:rsidRPr="00BB33CC">
        <w:rPr>
          <w:rFonts w:ascii="ITC Avant Garde" w:hAnsi="ITC Avant Garde"/>
          <w:bCs/>
          <w:sz w:val="22"/>
          <w:szCs w:val="22"/>
        </w:rPr>
        <w:t xml:space="preserve"> </w:t>
      </w:r>
      <w:r w:rsidR="00CF3907" w:rsidRPr="00BB33CC">
        <w:rPr>
          <w:rFonts w:ascii="ITC Avant Garde" w:hAnsi="ITC Avant Garde"/>
          <w:bCs/>
          <w:sz w:val="22"/>
          <w:szCs w:val="22"/>
        </w:rPr>
        <w:t>report</w:t>
      </w:r>
      <w:r w:rsidR="00C321E5" w:rsidRPr="00BB33CC">
        <w:rPr>
          <w:rFonts w:ascii="ITC Avant Garde" w:hAnsi="ITC Avant Garde"/>
          <w:bCs/>
          <w:sz w:val="22"/>
          <w:szCs w:val="22"/>
        </w:rPr>
        <w:t>ar la</w:t>
      </w:r>
      <w:r w:rsidR="00CF3907" w:rsidRPr="00BB33CC">
        <w:rPr>
          <w:rFonts w:ascii="ITC Avant Garde" w:hAnsi="ITC Avant Garde"/>
          <w:bCs/>
          <w:sz w:val="22"/>
          <w:szCs w:val="22"/>
        </w:rPr>
        <w:t xml:space="preserve"> información de separación contable bajo las metodologías de CCH y CCA</w:t>
      </w:r>
      <w:r w:rsidR="00295F71" w:rsidRPr="00BB33CC">
        <w:rPr>
          <w:rFonts w:ascii="ITC Avant Garde" w:hAnsi="ITC Avant Garde"/>
          <w:bCs/>
          <w:sz w:val="22"/>
          <w:szCs w:val="22"/>
        </w:rPr>
        <w:t>, conforme a lo establecido en</w:t>
      </w:r>
      <w:r w:rsidR="006410DC" w:rsidRPr="00BB33CC">
        <w:rPr>
          <w:rFonts w:ascii="ITC Avant Garde" w:hAnsi="ITC Avant Garde"/>
          <w:bCs/>
          <w:sz w:val="22"/>
          <w:szCs w:val="22"/>
        </w:rPr>
        <w:t xml:space="preserve"> la presente metodología</w:t>
      </w:r>
      <w:r w:rsidR="00CF3907" w:rsidRPr="00BB33CC">
        <w:rPr>
          <w:rFonts w:ascii="ITC Avant Garde" w:hAnsi="ITC Avant Garde"/>
          <w:bCs/>
          <w:sz w:val="22"/>
          <w:szCs w:val="22"/>
        </w:rPr>
        <w:t>.</w:t>
      </w:r>
    </w:p>
    <w:p w:rsidR="006120A0" w:rsidRPr="00BB33CC" w:rsidRDefault="003D387D">
      <w:pPr>
        <w:pStyle w:val="Normalresolucion"/>
      </w:pPr>
      <w:r w:rsidRPr="00BB33CC">
        <w:rPr>
          <w:b/>
        </w:rPr>
        <w:t>SEXTA.-</w:t>
      </w:r>
      <w:r w:rsidRPr="00BB33CC">
        <w:t xml:space="preserve"> </w:t>
      </w:r>
      <w:r w:rsidR="00F678C6" w:rsidRPr="00BB33CC">
        <w:rPr>
          <w:bCs/>
        </w:rPr>
        <w:t>Los concesionarios y/o autorizados deben implementar l</w:t>
      </w:r>
      <w:r w:rsidR="006120A0" w:rsidRPr="00BB33CC">
        <w:t xml:space="preserve">a actualización de la planta de activos </w:t>
      </w:r>
      <w:r w:rsidR="003B7996" w:rsidRPr="00BB33CC">
        <w:t>bajo</w:t>
      </w:r>
      <w:r w:rsidR="00295F71" w:rsidRPr="00BB33CC">
        <w:t xml:space="preserve"> l</w:t>
      </w:r>
      <w:r w:rsidR="006120A0" w:rsidRPr="00BB33CC">
        <w:t>a</w:t>
      </w:r>
      <w:r w:rsidR="00DC3E07" w:rsidRPr="00BB33CC">
        <w:t xml:space="preserve"> metodología</w:t>
      </w:r>
      <w:r w:rsidR="006120A0" w:rsidRPr="00BB33CC">
        <w:t xml:space="preserve"> </w:t>
      </w:r>
      <w:r w:rsidR="00DC3E07" w:rsidRPr="00BB33CC">
        <w:t xml:space="preserve">de </w:t>
      </w:r>
      <w:r w:rsidR="00295F71" w:rsidRPr="00BB33CC">
        <w:t>CCA</w:t>
      </w:r>
      <w:r w:rsidR="006120A0" w:rsidRPr="00BB33CC">
        <w:t xml:space="preserve"> </w:t>
      </w:r>
      <w:r w:rsidR="00AB7C81" w:rsidRPr="00BB33CC">
        <w:t>con base en</w:t>
      </w:r>
      <w:r w:rsidR="0029456D" w:rsidRPr="00BB33CC">
        <w:t xml:space="preserve"> </w:t>
      </w:r>
      <w:r w:rsidR="006120A0" w:rsidRPr="00BB33CC">
        <w:t>las alternativas definidas a continuación</w:t>
      </w:r>
      <w:r w:rsidR="009150E1" w:rsidRPr="00BB33CC">
        <w:t>, según aplique para el tipo de activo.</w:t>
      </w:r>
    </w:p>
    <w:p w:rsidR="00D16C8F" w:rsidRPr="00BB33CC" w:rsidRDefault="006120A0" w:rsidP="00FE1C2B">
      <w:pPr>
        <w:pStyle w:val="Indentadoresolucin"/>
        <w:numPr>
          <w:ilvl w:val="0"/>
          <w:numId w:val="236"/>
        </w:numPr>
        <w:spacing w:before="240" w:line="276" w:lineRule="auto"/>
        <w:rPr>
          <w:bCs/>
        </w:rPr>
      </w:pPr>
      <w:r w:rsidRPr="00BB33CC">
        <w:rPr>
          <w:b/>
          <w:bCs/>
        </w:rPr>
        <w:t>Mantenimiento a costos de la contabilidad financiera (no revalorización).</w:t>
      </w:r>
      <w:r w:rsidR="00D16C8F" w:rsidRPr="00BB33CC">
        <w:rPr>
          <w:bCs/>
        </w:rPr>
        <w:t xml:space="preserve"> </w:t>
      </w:r>
      <w:r w:rsidRPr="00BB33CC">
        <w:rPr>
          <w:lang w:val="es-MX"/>
        </w:rPr>
        <w:t xml:space="preserve">Esta alternativa </w:t>
      </w:r>
      <w:r w:rsidR="00077293" w:rsidRPr="00BB33CC">
        <w:rPr>
          <w:lang w:val="es-MX"/>
        </w:rPr>
        <w:t>debe</w:t>
      </w:r>
      <w:r w:rsidRPr="00BB33CC">
        <w:rPr>
          <w:lang w:val="es-MX"/>
        </w:rPr>
        <w:t xml:space="preserve"> aplica</w:t>
      </w:r>
      <w:r w:rsidR="00077293" w:rsidRPr="00BB33CC">
        <w:rPr>
          <w:lang w:val="es-MX"/>
        </w:rPr>
        <w:t>rse</w:t>
      </w:r>
      <w:r w:rsidRPr="00BB33CC">
        <w:rPr>
          <w:lang w:val="es-MX"/>
        </w:rPr>
        <w:t xml:space="preserve"> </w:t>
      </w:r>
      <w:r w:rsidR="00077293" w:rsidRPr="00BB33CC">
        <w:t>a los</w:t>
      </w:r>
      <w:r w:rsidRPr="00BB33CC">
        <w:t xml:space="preserve"> activos de baja materialidad, que estén totalmente depreciados o que presenten una vida útil reducida (menor a cinco años). El valor neto de los activos para los cuales se emplee esta aproximación no debe ser en ningún caso superior al 20% del valor neto total de la planta del concesionario</w:t>
      </w:r>
      <w:r w:rsidR="00456C0D" w:rsidRPr="00BB33CC">
        <w:t xml:space="preserve"> </w:t>
      </w:r>
      <w:r w:rsidR="00456C0D" w:rsidRPr="00BB33CC">
        <w:rPr>
          <w:bCs/>
        </w:rPr>
        <w:t>y/o autorizado</w:t>
      </w:r>
      <w:r w:rsidRPr="00BB33CC">
        <w:t>.</w:t>
      </w:r>
    </w:p>
    <w:p w:rsidR="006120A0" w:rsidRPr="00BB33CC" w:rsidRDefault="006120A0" w:rsidP="00FE1C2B">
      <w:pPr>
        <w:pStyle w:val="Indentadoresolucin"/>
        <w:numPr>
          <w:ilvl w:val="0"/>
          <w:numId w:val="0"/>
        </w:numPr>
        <w:spacing w:before="240" w:line="276" w:lineRule="auto"/>
        <w:ind w:left="720"/>
        <w:rPr>
          <w:bCs/>
        </w:rPr>
      </w:pPr>
      <w:r w:rsidRPr="00BB33CC">
        <w:t xml:space="preserve">En caso </w:t>
      </w:r>
      <w:r w:rsidR="009E437B" w:rsidRPr="00BB33CC">
        <w:t xml:space="preserve">de </w:t>
      </w:r>
      <w:r w:rsidRPr="00BB33CC">
        <w:t>que el concesionario</w:t>
      </w:r>
      <w:r w:rsidR="00456C0D" w:rsidRPr="00BB33CC">
        <w:t xml:space="preserve"> </w:t>
      </w:r>
      <w:r w:rsidR="00456C0D" w:rsidRPr="00BB33CC">
        <w:rPr>
          <w:bCs/>
        </w:rPr>
        <w:t>y/o autorizado</w:t>
      </w:r>
      <w:r w:rsidRPr="00BB33CC">
        <w:t xml:space="preserve"> considere que la valoración de los activos registrada en su contabilidad pueda representar adecuadamente la valoración a costos actuales de acuerdo a los principios establecidos por el Instituto y, por consiguiente, que esta alternativa debería </w:t>
      </w:r>
      <w:r w:rsidRPr="00BB33CC">
        <w:lastRenderedPageBreak/>
        <w:t>extenderse a un porcentaje mayor de su planta de activos, debe</w:t>
      </w:r>
      <w:r w:rsidR="009E437B" w:rsidRPr="00BB33CC">
        <w:t>rá</w:t>
      </w:r>
      <w:r w:rsidRPr="00BB33CC">
        <w:t xml:space="preserve"> </w:t>
      </w:r>
      <w:r w:rsidR="009E437B" w:rsidRPr="00BB33CC">
        <w:t>sujetarse al procedimiento que se describe a continuación</w:t>
      </w:r>
      <w:r w:rsidRPr="00BB33CC">
        <w:t>:</w:t>
      </w:r>
    </w:p>
    <w:p w:rsidR="006120A0" w:rsidRPr="00BB33CC" w:rsidRDefault="00EB40E8" w:rsidP="00CA1738">
      <w:pPr>
        <w:pStyle w:val="Texto"/>
        <w:numPr>
          <w:ilvl w:val="0"/>
          <w:numId w:val="88"/>
        </w:numPr>
        <w:spacing w:before="240" w:after="0" w:line="276" w:lineRule="auto"/>
        <w:ind w:left="1065" w:hanging="357"/>
        <w:rPr>
          <w:rFonts w:ascii="ITC Avant Garde" w:hAnsi="ITC Avant Garde"/>
          <w:szCs w:val="22"/>
        </w:rPr>
      </w:pPr>
      <w:r w:rsidRPr="00BB33CC">
        <w:rPr>
          <w:rFonts w:ascii="ITC Avant Garde" w:hAnsi="ITC Avant Garde"/>
          <w:sz w:val="22"/>
          <w:szCs w:val="22"/>
        </w:rPr>
        <w:t xml:space="preserve">A más tardar el 31 de enero del año en que se entregue la información de separación contable, </w:t>
      </w:r>
      <w:r w:rsidR="009F38FD" w:rsidRPr="00BB33CC">
        <w:rPr>
          <w:rFonts w:ascii="ITC Avant Garde" w:hAnsi="ITC Avant Garde"/>
          <w:sz w:val="22"/>
          <w:szCs w:val="22"/>
        </w:rPr>
        <w:t>e</w:t>
      </w:r>
      <w:r w:rsidR="00BB4F4B" w:rsidRPr="00BB33CC">
        <w:rPr>
          <w:rFonts w:ascii="ITC Avant Garde" w:hAnsi="ITC Avant Garde"/>
          <w:sz w:val="22"/>
          <w:szCs w:val="22"/>
        </w:rPr>
        <w:t xml:space="preserve">l </w:t>
      </w:r>
      <w:r w:rsidR="006120A0" w:rsidRPr="00BB33CC">
        <w:rPr>
          <w:rFonts w:ascii="ITC Avant Garde" w:hAnsi="ITC Avant Garde"/>
          <w:sz w:val="22"/>
          <w:szCs w:val="22"/>
        </w:rPr>
        <w:t xml:space="preserve">concesionario </w:t>
      </w:r>
      <w:r w:rsidR="00456C0D" w:rsidRPr="00BB33CC">
        <w:rPr>
          <w:rFonts w:ascii="ITC Avant Garde" w:hAnsi="ITC Avant Garde"/>
          <w:bCs/>
          <w:sz w:val="22"/>
          <w:szCs w:val="22"/>
        </w:rPr>
        <w:t xml:space="preserve">y/o autorizado </w:t>
      </w:r>
      <w:r w:rsidR="006120A0" w:rsidRPr="00BB33CC">
        <w:rPr>
          <w:rFonts w:ascii="ITC Avant Garde" w:hAnsi="ITC Avant Garde"/>
          <w:sz w:val="22"/>
          <w:szCs w:val="22"/>
        </w:rPr>
        <w:t>debe</w:t>
      </w:r>
      <w:r w:rsidRPr="00BB33CC">
        <w:rPr>
          <w:rFonts w:ascii="ITC Avant Garde" w:hAnsi="ITC Avant Garde"/>
          <w:sz w:val="22"/>
          <w:szCs w:val="22"/>
        </w:rPr>
        <w:t>rá</w:t>
      </w:r>
      <w:r w:rsidR="006120A0" w:rsidRPr="00BB33CC">
        <w:rPr>
          <w:rFonts w:ascii="ITC Avant Garde" w:hAnsi="ITC Avant Garde"/>
          <w:sz w:val="22"/>
          <w:szCs w:val="22"/>
        </w:rPr>
        <w:t xml:space="preserve"> </w:t>
      </w:r>
      <w:r w:rsidR="0055741D" w:rsidRPr="00BB33CC">
        <w:rPr>
          <w:rFonts w:ascii="ITC Avant Garde" w:hAnsi="ITC Avant Garde"/>
          <w:sz w:val="22"/>
          <w:szCs w:val="22"/>
        </w:rPr>
        <w:t xml:space="preserve">solicitar </w:t>
      </w:r>
      <w:r w:rsidRPr="00BB33CC">
        <w:rPr>
          <w:rFonts w:ascii="ITC Avant Garde" w:hAnsi="ITC Avant Garde"/>
          <w:sz w:val="22"/>
          <w:szCs w:val="22"/>
        </w:rPr>
        <w:t>autorización de</w:t>
      </w:r>
      <w:r w:rsidR="009F38FD" w:rsidRPr="00BB33CC">
        <w:rPr>
          <w:rFonts w:ascii="ITC Avant Garde" w:hAnsi="ITC Avant Garde"/>
          <w:sz w:val="22"/>
          <w:szCs w:val="22"/>
        </w:rPr>
        <w:t xml:space="preserve">l Instituto, </w:t>
      </w:r>
      <w:r w:rsidR="0055741D" w:rsidRPr="00BB33CC">
        <w:rPr>
          <w:rFonts w:ascii="ITC Avant Garde" w:hAnsi="ITC Avant Garde"/>
          <w:sz w:val="22"/>
          <w:szCs w:val="22"/>
        </w:rPr>
        <w:t xml:space="preserve">para lo cual deberá presentar, </w:t>
      </w:r>
      <w:r w:rsidR="009F38FD" w:rsidRPr="00BB33CC">
        <w:rPr>
          <w:rFonts w:ascii="ITC Avant Garde" w:hAnsi="ITC Avant Garde"/>
          <w:sz w:val="22"/>
          <w:szCs w:val="22"/>
        </w:rPr>
        <w:t xml:space="preserve">como mínimo, </w:t>
      </w:r>
      <w:r w:rsidR="009E437B" w:rsidRPr="00BB33CC">
        <w:rPr>
          <w:rFonts w:ascii="ITC Avant Garde" w:hAnsi="ITC Avant Garde"/>
          <w:sz w:val="22"/>
          <w:szCs w:val="22"/>
        </w:rPr>
        <w:t>lo siguiente</w:t>
      </w:r>
      <w:r w:rsidR="006120A0" w:rsidRPr="00BB33CC">
        <w:rPr>
          <w:rFonts w:ascii="ITC Avant Garde" w:hAnsi="ITC Avant Garde"/>
          <w:sz w:val="22"/>
          <w:szCs w:val="22"/>
        </w:rPr>
        <w:t>:</w:t>
      </w:r>
    </w:p>
    <w:p w:rsidR="006120A0" w:rsidRPr="00BB33CC" w:rsidRDefault="006120A0" w:rsidP="00165BC0">
      <w:pPr>
        <w:pStyle w:val="Indentadoresolucin"/>
        <w:numPr>
          <w:ilvl w:val="1"/>
          <w:numId w:val="89"/>
        </w:numPr>
        <w:spacing w:before="240" w:line="276" w:lineRule="auto"/>
        <w:ind w:left="1428"/>
        <w:rPr>
          <w:szCs w:val="20"/>
        </w:rPr>
      </w:pPr>
      <w:r w:rsidRPr="00BB33CC">
        <w:t>Listado de activos para los cuales considera que su valor contable corresponde a la visión de costos actuales expuesta por el Instituto;</w:t>
      </w:r>
    </w:p>
    <w:p w:rsidR="006120A0" w:rsidRPr="00BB33CC" w:rsidRDefault="006120A0" w:rsidP="00165BC0">
      <w:pPr>
        <w:pStyle w:val="Indentadoresolucin"/>
        <w:numPr>
          <w:ilvl w:val="1"/>
          <w:numId w:val="89"/>
        </w:numPr>
        <w:spacing w:before="240" w:line="276" w:lineRule="auto"/>
        <w:ind w:left="1428"/>
      </w:pPr>
      <w:r w:rsidRPr="00BB33CC">
        <w:t>Detalle de la metodología empleada para la revaluación de los activos en la contabilidad financiera, y</w:t>
      </w:r>
    </w:p>
    <w:p w:rsidR="006120A0" w:rsidRPr="00BB33CC" w:rsidRDefault="006120A0" w:rsidP="00165BC0">
      <w:pPr>
        <w:pStyle w:val="Indentadoresolucin"/>
        <w:numPr>
          <w:ilvl w:val="1"/>
          <w:numId w:val="89"/>
        </w:numPr>
        <w:spacing w:before="240" w:line="276" w:lineRule="auto"/>
        <w:ind w:left="1428"/>
      </w:pPr>
      <w:r w:rsidRPr="00BB33CC">
        <w:t>Para cada categoría de activo</w:t>
      </w:r>
      <w:r w:rsidR="009E437B" w:rsidRPr="00BB33CC">
        <w:t>, información sobre</w:t>
      </w:r>
      <w:r w:rsidRPr="00BB33CC">
        <w:t>:</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Descripción</w:t>
      </w:r>
      <w:r w:rsidR="00456C0D" w:rsidRPr="00BB33CC">
        <w:rPr>
          <w:rFonts w:ascii="ITC Avant Garde" w:hAnsi="ITC Avant Garde"/>
          <w:sz w:val="22"/>
          <w:szCs w:val="22"/>
        </w:rPr>
        <w:t>;</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Funcionalidad</w:t>
      </w:r>
      <w:r w:rsidR="00456C0D" w:rsidRPr="00BB33CC">
        <w:rPr>
          <w:rFonts w:ascii="ITC Avant Garde" w:hAnsi="ITC Avant Garde"/>
          <w:sz w:val="22"/>
          <w:szCs w:val="22"/>
        </w:rPr>
        <w:t>;</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Valor Bruto</w:t>
      </w:r>
      <w:r w:rsidR="00456C0D" w:rsidRPr="00BB33CC">
        <w:rPr>
          <w:rFonts w:ascii="ITC Avant Garde" w:hAnsi="ITC Avant Garde"/>
          <w:sz w:val="22"/>
          <w:szCs w:val="22"/>
        </w:rPr>
        <w:t>;</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Valor Neto</w:t>
      </w:r>
      <w:r w:rsidR="00456C0D" w:rsidRPr="00BB33CC">
        <w:rPr>
          <w:rFonts w:ascii="ITC Avant Garde" w:hAnsi="ITC Avant Garde"/>
          <w:sz w:val="22"/>
          <w:szCs w:val="22"/>
        </w:rPr>
        <w:t>;</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Depreciación acumulada</w:t>
      </w:r>
      <w:r w:rsidR="00456C0D" w:rsidRPr="00BB33CC">
        <w:rPr>
          <w:rFonts w:ascii="ITC Avant Garde" w:hAnsi="ITC Avant Garde"/>
          <w:sz w:val="22"/>
          <w:szCs w:val="22"/>
        </w:rPr>
        <w:t>;</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Depreciación anual</w:t>
      </w:r>
      <w:r w:rsidR="00456C0D" w:rsidRPr="00BB33CC">
        <w:rPr>
          <w:rFonts w:ascii="ITC Avant Garde" w:hAnsi="ITC Avant Garde"/>
          <w:sz w:val="22"/>
          <w:szCs w:val="22"/>
        </w:rPr>
        <w:t>;</w:t>
      </w:r>
    </w:p>
    <w:p w:rsidR="006120A0" w:rsidRPr="00BB33CC" w:rsidRDefault="006120A0" w:rsidP="00FE1C2B">
      <w:pPr>
        <w:pStyle w:val="Texto"/>
        <w:numPr>
          <w:ilvl w:val="1"/>
          <w:numId w:val="9"/>
        </w:numPr>
        <w:spacing w:before="120" w:after="0" w:line="226" w:lineRule="exact"/>
        <w:ind w:left="2199" w:hanging="357"/>
      </w:pPr>
      <w:r w:rsidRPr="00BB33CC">
        <w:rPr>
          <w:rFonts w:ascii="ITC Avant Garde" w:hAnsi="ITC Avant Garde"/>
          <w:sz w:val="22"/>
          <w:szCs w:val="22"/>
        </w:rPr>
        <w:t>Vida útil, desde fecha de adquisición (no remanente)</w:t>
      </w:r>
      <w:r w:rsidR="00456C0D" w:rsidRPr="00BB33CC">
        <w:rPr>
          <w:rFonts w:ascii="ITC Avant Garde" w:hAnsi="ITC Avant Garde"/>
          <w:sz w:val="22"/>
          <w:szCs w:val="22"/>
        </w:rPr>
        <w:t>;</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Unidades</w:t>
      </w:r>
      <w:r w:rsidR="00456C0D" w:rsidRPr="00BB33CC">
        <w:rPr>
          <w:rFonts w:ascii="ITC Avant Garde" w:hAnsi="ITC Avant Garde"/>
          <w:sz w:val="22"/>
          <w:szCs w:val="22"/>
        </w:rPr>
        <w:t>, y</w:t>
      </w:r>
    </w:p>
    <w:p w:rsidR="006120A0" w:rsidRPr="00BB33CC" w:rsidRDefault="006120A0" w:rsidP="00FE1C2B">
      <w:pPr>
        <w:pStyle w:val="Texto"/>
        <w:numPr>
          <w:ilvl w:val="1"/>
          <w:numId w:val="9"/>
        </w:numPr>
        <w:spacing w:before="120" w:after="0" w:line="226" w:lineRule="exact"/>
        <w:ind w:left="2199" w:hanging="357"/>
        <w:rPr>
          <w:rFonts w:ascii="ITC Avant Garde" w:hAnsi="ITC Avant Garde"/>
          <w:szCs w:val="22"/>
        </w:rPr>
      </w:pPr>
      <w:r w:rsidRPr="00BB33CC">
        <w:rPr>
          <w:rFonts w:ascii="ITC Avant Garde" w:hAnsi="ITC Avant Garde"/>
          <w:sz w:val="22"/>
          <w:szCs w:val="22"/>
        </w:rPr>
        <w:t>Costo unitario</w:t>
      </w:r>
      <w:r w:rsidR="00456C0D" w:rsidRPr="00BB33CC">
        <w:rPr>
          <w:rFonts w:ascii="ITC Avant Garde" w:hAnsi="ITC Avant Garde"/>
          <w:sz w:val="22"/>
          <w:szCs w:val="22"/>
        </w:rPr>
        <w:t>.</w:t>
      </w:r>
    </w:p>
    <w:p w:rsidR="00D61D4D" w:rsidRPr="00BB33CC" w:rsidRDefault="00D61D4D" w:rsidP="00CD1FEE">
      <w:pPr>
        <w:pStyle w:val="Texto"/>
        <w:numPr>
          <w:ilvl w:val="0"/>
          <w:numId w:val="88"/>
        </w:numPr>
        <w:spacing w:before="240" w:after="0" w:line="276" w:lineRule="auto"/>
        <w:rPr>
          <w:rFonts w:ascii="ITC Avant Garde" w:hAnsi="ITC Avant Garde"/>
          <w:sz w:val="22"/>
          <w:szCs w:val="22"/>
        </w:rPr>
      </w:pPr>
      <w:r w:rsidRPr="00BB33CC">
        <w:rPr>
          <w:rFonts w:ascii="ITC Avant Garde" w:hAnsi="ITC Avant Garde"/>
          <w:sz w:val="22"/>
          <w:szCs w:val="22"/>
        </w:rPr>
        <w:t>El I</w:t>
      </w:r>
      <w:r w:rsidR="00ED64C9" w:rsidRPr="00BB33CC">
        <w:rPr>
          <w:rFonts w:ascii="ITC Avant Garde" w:hAnsi="ITC Avant Garde"/>
          <w:sz w:val="22"/>
          <w:szCs w:val="22"/>
        </w:rPr>
        <w:t>nstituto evaluará la solicitud</w:t>
      </w:r>
      <w:r w:rsidRPr="00BB33CC">
        <w:rPr>
          <w:rFonts w:ascii="ITC Avant Garde" w:hAnsi="ITC Avant Garde"/>
          <w:sz w:val="22"/>
          <w:szCs w:val="22"/>
        </w:rPr>
        <w:t xml:space="preserve"> y emitirá su fallo. En caso de existir información faltante </w:t>
      </w:r>
      <w:r w:rsidR="00177835" w:rsidRPr="00BB33CC">
        <w:rPr>
          <w:rFonts w:ascii="ITC Avant Garde" w:hAnsi="ITC Avant Garde"/>
          <w:sz w:val="22"/>
          <w:szCs w:val="22"/>
        </w:rPr>
        <w:t xml:space="preserve">o </w:t>
      </w:r>
      <w:r w:rsidR="00E57B75" w:rsidRPr="00BB33CC">
        <w:rPr>
          <w:rFonts w:ascii="ITC Avant Garde" w:hAnsi="ITC Avant Garde"/>
          <w:sz w:val="22"/>
          <w:szCs w:val="22"/>
        </w:rPr>
        <w:t xml:space="preserve">considerar que no hay elementos para justificar su procedencia, no se autorizará dicha </w:t>
      </w:r>
      <w:r w:rsidRPr="00BB33CC">
        <w:rPr>
          <w:rFonts w:ascii="ITC Avant Garde" w:hAnsi="ITC Avant Garde"/>
          <w:sz w:val="22"/>
          <w:szCs w:val="22"/>
        </w:rPr>
        <w:t xml:space="preserve"> solicitud.</w:t>
      </w:r>
    </w:p>
    <w:p w:rsidR="00D16C8F" w:rsidRPr="00BB33CC" w:rsidRDefault="006120A0" w:rsidP="00FE1C2B">
      <w:pPr>
        <w:pStyle w:val="Indentadoresolucin"/>
        <w:numPr>
          <w:ilvl w:val="0"/>
          <w:numId w:val="236"/>
        </w:numPr>
        <w:spacing w:before="240" w:line="276" w:lineRule="auto"/>
      </w:pPr>
      <w:r w:rsidRPr="00BB33CC">
        <w:rPr>
          <w:b/>
        </w:rPr>
        <w:t>Metodología de tasación</w:t>
      </w:r>
      <w:r w:rsidR="00D16C8F" w:rsidRPr="00BB33CC">
        <w:rPr>
          <w:b/>
        </w:rPr>
        <w:t>.</w:t>
      </w:r>
      <w:r w:rsidR="00D16C8F" w:rsidRPr="00BB33CC">
        <w:t xml:space="preserve"> </w:t>
      </w:r>
      <w:r w:rsidRPr="00BB33CC">
        <w:t xml:space="preserve">Esta alternativa </w:t>
      </w:r>
      <w:r w:rsidR="00786338" w:rsidRPr="00BB33CC">
        <w:t>debe</w:t>
      </w:r>
      <w:r w:rsidRPr="00BB33CC">
        <w:t xml:space="preserve"> utilizar</w:t>
      </w:r>
      <w:r w:rsidR="00786338" w:rsidRPr="00BB33CC">
        <w:t>se</w:t>
      </w:r>
      <w:r w:rsidRPr="00BB33CC">
        <w:t xml:space="preserve"> únicamente para los activos asociados a los bienes </w:t>
      </w:r>
      <w:r w:rsidR="00FC4FE9" w:rsidRPr="00BB33CC">
        <w:t>inmuebles</w:t>
      </w:r>
      <w:r w:rsidRPr="00BB33CC">
        <w:t xml:space="preserve"> propiedad del concesionario</w:t>
      </w:r>
      <w:r w:rsidR="00241BE6" w:rsidRPr="00BB33CC">
        <w:t xml:space="preserve"> y/o autorizado</w:t>
      </w:r>
      <w:r w:rsidRPr="00BB33CC">
        <w:t>.</w:t>
      </w:r>
    </w:p>
    <w:p w:rsidR="006120A0" w:rsidRPr="00BB33CC" w:rsidRDefault="006120A0" w:rsidP="00FE1C2B">
      <w:pPr>
        <w:pStyle w:val="Indentadoresolucin"/>
        <w:numPr>
          <w:ilvl w:val="0"/>
          <w:numId w:val="0"/>
        </w:numPr>
        <w:spacing w:before="240" w:line="276" w:lineRule="auto"/>
        <w:ind w:left="720"/>
      </w:pPr>
      <w:r w:rsidRPr="00BB33CC">
        <w:t>La tasación debe ser realizada por un experto independiente e imparcial designado por el concesionario</w:t>
      </w:r>
      <w:r w:rsidR="00241BE6" w:rsidRPr="00BB33CC">
        <w:t xml:space="preserve"> y/o autorizado</w:t>
      </w:r>
      <w:r w:rsidR="009150E1" w:rsidRPr="00BB33CC">
        <w:t>.</w:t>
      </w:r>
    </w:p>
    <w:p w:rsidR="00D16C8F" w:rsidRPr="00BB33CC" w:rsidRDefault="006120A0" w:rsidP="002A5872">
      <w:pPr>
        <w:pStyle w:val="Indentadoresolucin"/>
        <w:numPr>
          <w:ilvl w:val="0"/>
          <w:numId w:val="236"/>
        </w:numPr>
        <w:spacing w:before="240" w:line="276" w:lineRule="auto"/>
      </w:pPr>
      <w:r w:rsidRPr="00BB33CC">
        <w:rPr>
          <w:b/>
          <w:bCs/>
        </w:rPr>
        <w:t>Metodología de valoración absoluta</w:t>
      </w:r>
      <w:r w:rsidR="00D16C8F" w:rsidRPr="00BB33CC">
        <w:rPr>
          <w:b/>
          <w:bCs/>
        </w:rPr>
        <w:t xml:space="preserve">. </w:t>
      </w:r>
      <w:r w:rsidRPr="00BB33CC">
        <w:t>Esta alternativa consiste en la revaluación de la planta de activos mediante el producto de su precio unitario actual por el número de elementos en planta. Este método debe ser aplicado para los equipos de acceso, conmutación y en general sobre todos aquellos en los cuales exista</w:t>
      </w:r>
      <w:r w:rsidR="009150E1" w:rsidRPr="00BB33CC">
        <w:t>n</w:t>
      </w:r>
      <w:r w:rsidRPr="00BB33CC">
        <w:t xml:space="preserve"> una o varias tipologías estándar de </w:t>
      </w:r>
      <w:r w:rsidRPr="00BB33CC">
        <w:lastRenderedPageBreak/>
        <w:t>equipos y el número de unidades pueda ser determinado de manera robusta.</w:t>
      </w:r>
      <w:r w:rsidR="00D16C8F" w:rsidRPr="00BB33CC">
        <w:t xml:space="preserve"> </w:t>
      </w:r>
    </w:p>
    <w:p w:rsidR="006120A0" w:rsidRPr="00BB33CC" w:rsidRDefault="006120A0" w:rsidP="00FE1C2B">
      <w:pPr>
        <w:pStyle w:val="Indentadoresolucin"/>
        <w:numPr>
          <w:ilvl w:val="0"/>
          <w:numId w:val="0"/>
        </w:numPr>
        <w:spacing w:before="240" w:line="276" w:lineRule="auto"/>
        <w:ind w:left="720"/>
      </w:pPr>
      <w:r w:rsidRPr="00BB33CC">
        <w:t xml:space="preserve">Esta metodología puede no ser aplicable sobre aquellos activos para los cuales se identifiquen desarrollos o avances en la tecnología empleada </w:t>
      </w:r>
      <w:r w:rsidR="00A274DA" w:rsidRPr="00BB33CC">
        <w:t>de forma generalizada</w:t>
      </w:r>
      <w:r w:rsidRPr="00BB33CC">
        <w:t xml:space="preserve"> en la industria. En tales casos, se debe emplear la metodología de </w:t>
      </w:r>
      <w:r w:rsidR="00C1101C" w:rsidRPr="00BB33CC">
        <w:rPr>
          <w:bCs/>
        </w:rPr>
        <w:t>Activo Moderno Equivalente</w:t>
      </w:r>
      <w:r w:rsidRPr="00BB33CC">
        <w:t>.</w:t>
      </w:r>
    </w:p>
    <w:p w:rsidR="006120A0" w:rsidRPr="00BB33CC" w:rsidRDefault="006120A0" w:rsidP="00FE1C2B">
      <w:pPr>
        <w:pStyle w:val="Indentadoresolucin"/>
        <w:numPr>
          <w:ilvl w:val="0"/>
          <w:numId w:val="236"/>
        </w:numPr>
        <w:spacing w:before="240" w:line="276" w:lineRule="auto"/>
      </w:pPr>
      <w:r w:rsidRPr="00BB33CC">
        <w:rPr>
          <w:b/>
          <w:bCs/>
        </w:rPr>
        <w:t>Activo Moderno Equivalente</w:t>
      </w:r>
      <w:r w:rsidR="005341F8" w:rsidRPr="00BB33CC">
        <w:rPr>
          <w:b/>
          <w:bCs/>
        </w:rPr>
        <w:t xml:space="preserve">. </w:t>
      </w:r>
      <w:r w:rsidRPr="00BB33CC">
        <w:t xml:space="preserve">El concesionario </w:t>
      </w:r>
      <w:r w:rsidR="005D38D5" w:rsidRPr="00BB33CC">
        <w:rPr>
          <w:bCs/>
        </w:rPr>
        <w:t xml:space="preserve">y/o autorizado </w:t>
      </w:r>
      <w:r w:rsidRPr="00BB33CC">
        <w:t xml:space="preserve">deberá asegurar la precisa valoración a costos actuales de todos aquellos activos cuyo costo tenga un peso </w:t>
      </w:r>
      <w:r w:rsidR="003631D3" w:rsidRPr="00BB33CC">
        <w:t xml:space="preserve">relevante </w:t>
      </w:r>
      <w:r w:rsidRPr="00BB33CC">
        <w:t>en las cuentas de servicios, ya sean minoristas o mayoristas.</w:t>
      </w:r>
    </w:p>
    <w:p w:rsidR="006120A0" w:rsidRPr="00BB33CC" w:rsidRDefault="006120A0" w:rsidP="00FE1C2B">
      <w:pPr>
        <w:pStyle w:val="Indentadoresolucin"/>
        <w:numPr>
          <w:ilvl w:val="0"/>
          <w:numId w:val="236"/>
        </w:numPr>
        <w:spacing w:before="240" w:line="276" w:lineRule="auto"/>
      </w:pPr>
      <w:r w:rsidRPr="00BB33CC">
        <w:rPr>
          <w:b/>
        </w:rPr>
        <w:t>Metodología de indexación</w:t>
      </w:r>
      <w:r w:rsidR="00D16C8F" w:rsidRPr="00BB33CC">
        <w:rPr>
          <w:b/>
        </w:rPr>
        <w:t>.</w:t>
      </w:r>
      <w:r w:rsidR="00D16C8F" w:rsidRPr="00BB33CC">
        <w:t xml:space="preserve"> </w:t>
      </w:r>
      <w:r w:rsidR="00263AA5" w:rsidRPr="00BB33CC">
        <w:t>L</w:t>
      </w:r>
      <w:r w:rsidRPr="00BB33CC">
        <w:t>a valoración de los activos se</w:t>
      </w:r>
      <w:r w:rsidR="00263AA5" w:rsidRPr="00BB33CC">
        <w:t xml:space="preserve"> debe</w:t>
      </w:r>
      <w:r w:rsidRPr="00BB33CC">
        <w:t xml:space="preserve"> realiza</w:t>
      </w:r>
      <w:r w:rsidR="00263AA5" w:rsidRPr="00BB33CC">
        <w:t>r</w:t>
      </w:r>
      <w:r w:rsidRPr="00BB33CC">
        <w:t xml:space="preserve"> mediante la aplicación de un número índice que refleje la variación en el valor de los activos sobre sus valores históricos de adquisición. Este número índice debe representar la evolución en el precio del activo desde la fecha de adquisición hasta el ejercicio fiscal correspondiente a la obligación de separación contable y debe proceder de fuentes oficiales o de estudios elaborados por expertos en la materia.</w:t>
      </w:r>
    </w:p>
    <w:p w:rsidR="006120A0" w:rsidRPr="00BB33CC" w:rsidRDefault="006120A0" w:rsidP="00FE1C2B">
      <w:pPr>
        <w:pStyle w:val="Indentadoresolucin"/>
        <w:numPr>
          <w:ilvl w:val="0"/>
          <w:numId w:val="0"/>
        </w:numPr>
        <w:spacing w:before="240" w:line="276" w:lineRule="auto"/>
        <w:ind w:left="720"/>
      </w:pPr>
      <w:r w:rsidRPr="00BB33CC">
        <w:t xml:space="preserve">Esta metodología se </w:t>
      </w:r>
      <w:r w:rsidR="00263AA5" w:rsidRPr="00BB33CC">
        <w:t xml:space="preserve">debe </w:t>
      </w:r>
      <w:r w:rsidRPr="00BB33CC">
        <w:t>utilizar principalmente en aquellos activos que presenten una naturaleza heterogénea o bien que presenten dificultad a la hora de establecer un número de unidades de manera robusta</w:t>
      </w:r>
      <w:r w:rsidR="00A86B55" w:rsidRPr="00BB33CC">
        <w:t xml:space="preserve">, por lo que </w:t>
      </w:r>
      <w:r w:rsidR="002B2BB4" w:rsidRPr="00BB33CC">
        <w:t>no resultarían aplicables</w:t>
      </w:r>
      <w:r w:rsidR="00A86B55" w:rsidRPr="00BB33CC">
        <w:t xml:space="preserve"> otros métodos</w:t>
      </w:r>
      <w:r w:rsidR="002B2BB4" w:rsidRPr="00BB33CC">
        <w:t xml:space="preserve"> de valoración de activos</w:t>
      </w:r>
      <w:r w:rsidRPr="00BB33CC">
        <w:t>.</w:t>
      </w:r>
    </w:p>
    <w:p w:rsidR="005514FE" w:rsidRPr="00BB33CC" w:rsidRDefault="002B1D39" w:rsidP="005A6354">
      <w:pPr>
        <w:pStyle w:val="Indentadoresolucin"/>
        <w:numPr>
          <w:ilvl w:val="0"/>
          <w:numId w:val="0"/>
        </w:numPr>
        <w:spacing w:before="240" w:line="276" w:lineRule="auto"/>
      </w:pPr>
      <w:r w:rsidRPr="00BB33CC">
        <w:rPr>
          <w:b/>
        </w:rPr>
        <w:t>SÉPTIMA.-</w:t>
      </w:r>
      <w:r w:rsidRPr="00BB33CC">
        <w:t xml:space="preserve"> </w:t>
      </w:r>
      <w:r w:rsidRPr="00BB33CC">
        <w:rPr>
          <w:bCs/>
        </w:rPr>
        <w:t>Los concesionarios y/o autorizados</w:t>
      </w:r>
      <w:r w:rsidR="00DD256C" w:rsidRPr="00BB33CC">
        <w:rPr>
          <w:bCs/>
        </w:rPr>
        <w:t xml:space="preserve"> deben </w:t>
      </w:r>
      <w:r w:rsidR="00674CE8" w:rsidRPr="00BB33CC">
        <w:rPr>
          <w:bCs/>
        </w:rPr>
        <w:t xml:space="preserve">calcular </w:t>
      </w:r>
      <w:r w:rsidR="00A27DD2" w:rsidRPr="00BB33CC">
        <w:t>el</w:t>
      </w:r>
      <w:r w:rsidR="00E3452C" w:rsidRPr="00BB33CC">
        <w:t xml:space="preserve"> </w:t>
      </w:r>
      <w:r w:rsidR="00114A5E" w:rsidRPr="00BB33CC">
        <w:t xml:space="preserve">mantenimiento de capital bajo la metodología </w:t>
      </w:r>
      <w:r w:rsidR="00E3452C" w:rsidRPr="00BB33CC">
        <w:t>FCM</w:t>
      </w:r>
      <w:r w:rsidR="00674CE8" w:rsidRPr="00BB33CC">
        <w:t xml:space="preserve">, </w:t>
      </w:r>
      <w:r w:rsidR="00DD256C" w:rsidRPr="00BB33CC">
        <w:t>con base en</w:t>
      </w:r>
      <w:r w:rsidR="00674CE8" w:rsidRPr="00BB33CC">
        <w:t xml:space="preserve"> </w:t>
      </w:r>
      <w:r w:rsidR="00E3452C" w:rsidRPr="00BB33CC">
        <w:t xml:space="preserve">lo </w:t>
      </w:r>
      <w:r w:rsidR="00A27DD2" w:rsidRPr="00BB33CC">
        <w:t>siguiente</w:t>
      </w:r>
      <w:r w:rsidR="00E3452C" w:rsidRPr="00BB33CC">
        <w:t>:</w:t>
      </w:r>
      <w:bookmarkStart w:id="14" w:name="_Toc468114376"/>
      <w:bookmarkStart w:id="15" w:name="_Toc468114377"/>
      <w:bookmarkStart w:id="16" w:name="_Toc468114378"/>
      <w:bookmarkStart w:id="17" w:name="_Toc468114379"/>
      <w:bookmarkStart w:id="18" w:name="_Toc468114380"/>
      <w:bookmarkStart w:id="19" w:name="_Toc468114381"/>
      <w:bookmarkStart w:id="20" w:name="_Toc468114382"/>
      <w:bookmarkStart w:id="21" w:name="_Toc468114383"/>
      <w:bookmarkStart w:id="22" w:name="_Toc468114384"/>
      <w:bookmarkStart w:id="23" w:name="_Toc468114385"/>
      <w:bookmarkStart w:id="24" w:name="_Toc468114386"/>
      <w:bookmarkStart w:id="25" w:name="_Toc468866654"/>
      <w:bookmarkStart w:id="26" w:name="_Toc468867120"/>
      <w:bookmarkStart w:id="27" w:name="_Toc475112190"/>
      <w:bookmarkStart w:id="28" w:name="_Toc47511219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514FE" w:rsidRPr="00BB33CC" w:rsidRDefault="00944509" w:rsidP="00050D16">
      <w:pPr>
        <w:pStyle w:val="Normalresolucion"/>
        <w:keepNext/>
        <w:keepLines/>
        <w:spacing w:after="0" w:line="276" w:lineRule="auto"/>
        <w:ind w:left="567"/>
      </w:pPr>
      <w:r w:rsidRPr="00BB33CC">
        <w:rPr>
          <w:b/>
          <w:bCs/>
        </w:rPr>
        <w:t xml:space="preserve">a) </w:t>
      </w:r>
      <w:r w:rsidR="00A1321B" w:rsidRPr="00BB33CC">
        <w:rPr>
          <w:b/>
          <w:bCs/>
        </w:rPr>
        <w:t>Cargos de depreciación.</w:t>
      </w:r>
      <w:r w:rsidR="00A1321B" w:rsidRPr="00BB33CC">
        <w:rPr>
          <w:bCs/>
        </w:rPr>
        <w:t xml:space="preserve"> </w:t>
      </w:r>
      <w:r w:rsidR="005514FE" w:rsidRPr="00BB33CC">
        <w:rPr>
          <w:bCs/>
        </w:rPr>
        <w:t xml:space="preserve">Para obtener </w:t>
      </w:r>
      <w:r w:rsidR="005514FE" w:rsidRPr="00BB33CC">
        <w:t>l</w:t>
      </w:r>
      <w:r w:rsidR="00A1321B" w:rsidRPr="00BB33CC">
        <w:t xml:space="preserve">os cargos de depreciación en la CCA </w:t>
      </w:r>
      <w:r w:rsidR="005514FE" w:rsidRPr="00BB33CC">
        <w:t xml:space="preserve">se </w:t>
      </w:r>
      <w:r w:rsidR="00E60B94" w:rsidRPr="00BB33CC">
        <w:t>debe</w:t>
      </w:r>
      <w:r w:rsidR="0011454C" w:rsidRPr="00BB33CC">
        <w:t>n</w:t>
      </w:r>
      <w:r w:rsidR="005514FE" w:rsidRPr="00BB33CC">
        <w:t xml:space="preserve"> considerar</w:t>
      </w:r>
      <w:r w:rsidR="0011454C" w:rsidRPr="00BB33CC">
        <w:t xml:space="preserve"> </w:t>
      </w:r>
      <w:r w:rsidR="00A1321B" w:rsidRPr="00BB33CC">
        <w:t xml:space="preserve">los siguientes </w:t>
      </w:r>
      <w:r w:rsidR="005514FE" w:rsidRPr="00BB33CC">
        <w:t>términos financieros</w:t>
      </w:r>
      <w:r w:rsidR="00A1321B" w:rsidRPr="00BB33CC">
        <w:t>:</w:t>
      </w:r>
    </w:p>
    <w:p w:rsidR="005514FE" w:rsidRPr="00BB33CC" w:rsidRDefault="005514FE" w:rsidP="005514FE">
      <w:pPr>
        <w:pStyle w:val="Indentadoresolucin"/>
        <w:spacing w:before="240" w:line="276" w:lineRule="auto"/>
      </w:pPr>
      <w:r w:rsidRPr="00BB33CC">
        <w:rPr>
          <w:i/>
          <w:iCs/>
        </w:rPr>
        <w:t>Depreciación acumulada</w:t>
      </w:r>
      <w:r w:rsidRPr="00BB33CC">
        <w:t>: obtenida como la suma de la depreciación acumulada bajo la CCA al final del ejercicio anterior, la depreciación atrasada del ejercicio anterior, y la depreciación anual bajo la CCA del ejercicio en curso;</w:t>
      </w:r>
    </w:p>
    <w:p w:rsidR="005A6354" w:rsidRPr="00BB33CC" w:rsidRDefault="005A6354" w:rsidP="005A6354">
      <w:pPr>
        <w:pStyle w:val="Indentadoresolucin"/>
        <w:spacing w:before="240" w:line="276" w:lineRule="auto"/>
      </w:pPr>
      <w:r w:rsidRPr="00BB33CC">
        <w:rPr>
          <w:i/>
          <w:iCs/>
        </w:rPr>
        <w:t>Depreciación atrasada</w:t>
      </w:r>
      <w:r w:rsidRPr="00BB33CC">
        <w:t>: corresponde a la depreciación debida a las variaciones en el valor del activo durante el año en curso;</w:t>
      </w:r>
    </w:p>
    <w:p w:rsidR="005A6354" w:rsidRPr="00BB33CC" w:rsidRDefault="005A6354" w:rsidP="005A6354">
      <w:pPr>
        <w:pStyle w:val="Indentadoresolucin"/>
        <w:spacing w:before="240" w:line="276" w:lineRule="auto"/>
      </w:pPr>
      <w:r w:rsidRPr="00BB33CC">
        <w:rPr>
          <w:i/>
          <w:iCs/>
        </w:rPr>
        <w:t>Depreciación contable</w:t>
      </w:r>
      <w:r w:rsidRPr="00BB33CC">
        <w:rPr>
          <w:iCs/>
        </w:rPr>
        <w:t>:</w:t>
      </w:r>
      <w:r w:rsidRPr="00BB33CC">
        <w:t xml:space="preserve"> representa la depreciación registrada en los libros de contabilidad del concesionario </w:t>
      </w:r>
      <w:r w:rsidRPr="00BB33CC">
        <w:rPr>
          <w:bCs/>
        </w:rPr>
        <w:t>y/o autorizado</w:t>
      </w:r>
      <w:r w:rsidRPr="00BB33CC">
        <w:t>;</w:t>
      </w:r>
    </w:p>
    <w:p w:rsidR="005A6354" w:rsidRPr="00BB33CC" w:rsidRDefault="005A6354" w:rsidP="005A6354">
      <w:pPr>
        <w:pStyle w:val="Indentadoresolucin"/>
        <w:spacing w:before="240" w:line="276" w:lineRule="auto"/>
      </w:pPr>
      <w:r w:rsidRPr="00BB33CC">
        <w:rPr>
          <w:i/>
          <w:iCs/>
        </w:rPr>
        <w:lastRenderedPageBreak/>
        <w:t>Depreciación requerida</w:t>
      </w:r>
      <w:r w:rsidRPr="00BB33CC">
        <w:t>: corresponde a la depreciación acumulada que se habría generado con base en el costo actual del activo;</w:t>
      </w:r>
    </w:p>
    <w:p w:rsidR="005514FE" w:rsidRPr="00BB33CC" w:rsidRDefault="005514FE" w:rsidP="005514FE">
      <w:pPr>
        <w:pStyle w:val="Indentadoresolucin"/>
        <w:spacing w:before="240" w:line="276" w:lineRule="auto"/>
      </w:pPr>
      <w:r w:rsidRPr="00BB33CC">
        <w:rPr>
          <w:i/>
          <w:iCs/>
        </w:rPr>
        <w:t>Depreciación suplementaria</w:t>
      </w:r>
      <w:r w:rsidRPr="00BB33CC">
        <w:t>: corresponde a la diferencia observada entre la depreciación histórica (contable) y la depreciación a costos actuales;</w:t>
      </w:r>
    </w:p>
    <w:p w:rsidR="005514FE" w:rsidRPr="00BB33CC" w:rsidRDefault="005514FE" w:rsidP="005514FE">
      <w:pPr>
        <w:pStyle w:val="Indentadoresolucin"/>
        <w:spacing w:before="240" w:line="276" w:lineRule="auto"/>
      </w:pPr>
      <w:r w:rsidRPr="00BB33CC">
        <w:rPr>
          <w:i/>
          <w:iCs/>
        </w:rPr>
        <w:t>Ganancias o pérdidas de posesión</w:t>
      </w:r>
      <w:r w:rsidRPr="00BB33CC">
        <w:t>: corresponde a los ajustes por plusvalías o minusvalías que puedan resultar del efecto de cambios de precios en la valorización a costos actuales de determinados activos.</w:t>
      </w:r>
    </w:p>
    <w:p w:rsidR="00496AE0" w:rsidRPr="00BB33CC" w:rsidRDefault="005514FE" w:rsidP="00050D16">
      <w:pPr>
        <w:pStyle w:val="Normalresolucion"/>
        <w:keepNext/>
        <w:keepLines/>
        <w:spacing w:after="0" w:line="276" w:lineRule="auto"/>
        <w:ind w:left="567"/>
      </w:pPr>
      <w:r w:rsidRPr="00BB33CC">
        <w:t>El cálculo de los términos financieros anteriores se debe efectuar conforme a las siguientes ecuaciones:</w:t>
      </w:r>
    </w:p>
    <w:p w:rsidR="00280B31" w:rsidRPr="00BB33CC" w:rsidRDefault="00280B31" w:rsidP="00050D16">
      <w:pPr>
        <w:pStyle w:val="Normalresolucion"/>
        <w:keepNext/>
        <w:keepLines/>
        <w:spacing w:after="0" w:line="276" w:lineRule="auto"/>
        <w:ind w:left="567"/>
      </w:pPr>
    </w:p>
    <w:p w:rsidR="00C70BFF" w:rsidRPr="00BB33CC" w:rsidRDefault="00C70BFF" w:rsidP="001460B0">
      <w:pPr>
        <w:pStyle w:val="ListBullet1"/>
        <w:numPr>
          <w:ilvl w:val="0"/>
          <w:numId w:val="0"/>
        </w:numPr>
        <w:ind w:right="-376"/>
        <w:rPr>
          <w:rFonts w:eastAsiaTheme="minorEastAsia"/>
          <w:color w:val="auto"/>
        </w:rPr>
      </w:pPr>
      <m:oMathPara>
        <m:oMath>
          <m:r>
            <w:rPr>
              <w:rFonts w:ascii="Cambria Math" w:hAnsi="Cambria Math"/>
              <w:color w:val="auto"/>
            </w:rPr>
            <m:t>DepreciaciónCCA=Depreciación contable+Depreciación suplementaria+ Ganancias o pérdidas netas de posesión</m:t>
          </m:r>
        </m:oMath>
      </m:oMathPara>
    </w:p>
    <w:p w:rsidR="00C70BFF" w:rsidRPr="00BB33CC" w:rsidRDefault="00C70BFF" w:rsidP="00050D16">
      <w:pPr>
        <w:pStyle w:val="Normalresolucion"/>
        <w:keepNext/>
        <w:keepLines/>
        <w:ind w:left="567"/>
      </w:pPr>
      <w:r w:rsidRPr="00BB33CC">
        <w:t>Donde:</w:t>
      </w:r>
    </w:p>
    <w:p w:rsidR="00A1321B" w:rsidRPr="00BB33CC" w:rsidRDefault="00A1321B" w:rsidP="00A1321B">
      <w:pPr>
        <w:pStyle w:val="Indentadoresolucin"/>
        <w:spacing w:after="120"/>
      </w:pPr>
      <w:r w:rsidRPr="00BB33CC">
        <w:rPr>
          <w:i/>
          <w:iCs/>
        </w:rPr>
        <w:t>Depreciación suplementaria</w:t>
      </w:r>
      <w:r w:rsidR="008B4103" w:rsidRPr="00BB33CC">
        <w:t>:</w:t>
      </w:r>
      <w:r w:rsidR="00E60B94" w:rsidRPr="00BB33CC">
        <w:t xml:space="preserve"> </w:t>
      </w:r>
      <w:r w:rsidRPr="00BB33CC">
        <w:t xml:space="preserve">se </w:t>
      </w:r>
      <w:r w:rsidR="001460B0" w:rsidRPr="00BB33CC">
        <w:t>obtiene</w:t>
      </w:r>
      <w:r w:rsidR="00E60B94" w:rsidRPr="00BB33CC">
        <w:t xml:space="preserve"> conforme a la siguiente fórmula</w:t>
      </w:r>
      <w:r w:rsidRPr="00BB33CC">
        <w:t>:</w:t>
      </w:r>
    </w:p>
    <w:p w:rsidR="00A1321B" w:rsidRPr="00BB33CC" w:rsidRDefault="00A1321B" w:rsidP="00A1321B">
      <w:pPr>
        <w:pStyle w:val="Indentado2"/>
        <w:numPr>
          <w:ilvl w:val="0"/>
          <w:numId w:val="0"/>
        </w:numPr>
        <w:ind w:left="1176"/>
        <w:rPr>
          <w:rFonts w:ascii="ITC Avant Garde" w:hAnsi="ITC Avant Garde" w:cs="Arial"/>
          <w:sz w:val="22"/>
          <w:szCs w:val="22"/>
          <w:lang w:val="es-ES"/>
        </w:rPr>
      </w:pPr>
      <m:oMathPara>
        <m:oMath>
          <m:r>
            <w:rPr>
              <w:rFonts w:ascii="Cambria Math" w:hAnsi="Cambria Math" w:cs="Arial"/>
              <w:sz w:val="22"/>
              <w:szCs w:val="22"/>
              <w:lang w:val="es-ES"/>
            </w:rPr>
            <m:t>Depreciaci</m:t>
          </m:r>
          <m:r>
            <m:rPr>
              <m:sty m:val="p"/>
            </m:rPr>
            <w:rPr>
              <w:rFonts w:ascii="Cambria Math" w:hAnsi="Cambria Math" w:cs="Arial"/>
              <w:sz w:val="22"/>
              <w:szCs w:val="22"/>
              <w:lang w:val="es-ES"/>
            </w:rPr>
            <m:t>ó</m:t>
          </m:r>
          <m:r>
            <w:rPr>
              <w:rFonts w:ascii="Cambria Math" w:hAnsi="Cambria Math" w:cs="Arial"/>
              <w:sz w:val="22"/>
              <w:szCs w:val="22"/>
              <w:lang w:val="es-ES"/>
            </w:rPr>
            <m:t>nSuplementaria</m:t>
          </m:r>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cierre</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apertura</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r>
            <w:rPr>
              <w:rFonts w:ascii="Cambria Math" w:hAnsi="Cambria Math" w:cs="Arial"/>
              <w:sz w:val="22"/>
              <w:szCs w:val="22"/>
              <w:lang w:val="es-ES"/>
            </w:rPr>
            <m:t>Depreciaci</m:t>
          </m:r>
          <m:r>
            <m:rPr>
              <m:sty m:val="p"/>
            </m:rPr>
            <w:rPr>
              <w:rFonts w:ascii="Cambria Math" w:hAnsi="Cambria Math" w:cs="Arial"/>
              <w:sz w:val="22"/>
              <w:szCs w:val="22"/>
              <w:lang w:val="es-ES"/>
            </w:rPr>
            <m:t>ó</m:t>
          </m:r>
          <m:r>
            <w:rPr>
              <w:rFonts w:ascii="Cambria Math" w:hAnsi="Cambria Math" w:cs="Arial"/>
              <w:sz w:val="22"/>
              <w:szCs w:val="22"/>
              <w:lang w:val="es-ES"/>
            </w:rPr>
            <m:t>nAtrasada</m:t>
          </m:r>
          <m:r>
            <m:rPr>
              <m:sty m:val="p"/>
            </m:rPr>
            <w:rPr>
              <w:rFonts w:ascii="Cambria Math" w:hAnsi="Cambria Math" w:cs="Arial"/>
              <w:sz w:val="22"/>
              <w:szCs w:val="22"/>
              <w:lang w:val="es-ES"/>
            </w:rPr>
            <m:t>-</m:t>
          </m:r>
          <m:r>
            <w:rPr>
              <w:rFonts w:ascii="Cambria Math" w:hAnsi="Cambria Math" w:cs="Arial"/>
              <w:sz w:val="22"/>
              <w:szCs w:val="22"/>
              <w:lang w:val="es-ES"/>
            </w:rPr>
            <m:t>Traspasos</m:t>
          </m:r>
          <m:d>
            <m:dPr>
              <m:ctrlPr>
                <w:rPr>
                  <w:rFonts w:ascii="Cambria Math" w:hAnsi="Cambria Math" w:cs="Arial"/>
                  <w:sz w:val="22"/>
                  <w:szCs w:val="22"/>
                  <w:lang w:val="es-ES"/>
                </w:rPr>
              </m:ctrlPr>
            </m:dPr>
            <m:e>
              <m:r>
                <w:rPr>
                  <w:rFonts w:ascii="Cambria Math" w:hAnsi="Cambria Math" w:cs="Arial"/>
                  <w:sz w:val="22"/>
                  <w:szCs w:val="22"/>
                  <w:lang w:val="es-ES"/>
                </w:rPr>
                <m:t>Aj</m:t>
              </m:r>
              <m:r>
                <m:rPr>
                  <m:sty m:val="p"/>
                </m:rPr>
                <w:rPr>
                  <w:rFonts w:ascii="Cambria Math" w:hAnsi="Cambria Math" w:cs="Arial"/>
                  <w:sz w:val="22"/>
                  <w:szCs w:val="22"/>
                  <w:lang w:val="es-ES"/>
                </w:rPr>
                <m:t xml:space="preserve">. </m:t>
              </m:r>
              <m:r>
                <w:rPr>
                  <w:rFonts w:ascii="Cambria Math" w:hAnsi="Cambria Math" w:cs="Arial"/>
                  <w:sz w:val="22"/>
                  <w:szCs w:val="22"/>
                  <w:lang w:val="es-ES"/>
                </w:rPr>
                <m:t>Depr</m:t>
              </m:r>
            </m:e>
          </m:d>
          <m:r>
            <m:rPr>
              <m:sty m:val="p"/>
            </m:rPr>
            <w:rPr>
              <w:rFonts w:ascii="Cambria Math" w:hAnsi="Cambria Math" w:cs="Arial"/>
              <w:sz w:val="22"/>
              <w:szCs w:val="22"/>
              <w:lang w:val="es-ES"/>
            </w:rPr>
            <m:t>+</m:t>
          </m:r>
          <m:r>
            <w:rPr>
              <w:rFonts w:ascii="Cambria Math" w:hAnsi="Cambria Math" w:cs="Arial"/>
              <w:sz w:val="22"/>
              <w:szCs w:val="22"/>
              <w:lang w:val="es-ES"/>
            </w:rPr>
            <m:t>Bajas</m:t>
          </m:r>
        </m:oMath>
      </m:oMathPara>
    </w:p>
    <w:p w:rsidR="00A1321B" w:rsidRPr="00BB33CC" w:rsidRDefault="00A1321B" w:rsidP="00776A41">
      <w:pPr>
        <w:pStyle w:val="Normalresolucion"/>
        <w:ind w:left="709" w:firstLine="467"/>
        <w:rPr>
          <w:sz w:val="18"/>
          <w:szCs w:val="20"/>
        </w:rPr>
      </w:pPr>
      <w:r w:rsidRPr="00BB33CC">
        <w:t>Donde:</w:t>
      </w:r>
    </w:p>
    <w:p w:rsidR="00A1321B" w:rsidRPr="00BB33CC" w:rsidRDefault="00FB2C80" w:rsidP="00A1321B">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m:t>
            </m:r>
            <m:r>
              <w:rPr>
                <w:rFonts w:ascii="Cambria Math" w:hAnsi="Cambria Math" w:cs="Cambria Math"/>
              </w:rPr>
              <m:t>e</m:t>
            </m:r>
            <m:r>
              <w:rPr>
                <w:rFonts w:ascii="Cambria Math" w:hAnsi="Cambria Math"/>
              </w:rPr>
              <m:t>rre</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cierre</m:t>
            </m:r>
          </m:sub>
        </m:sSub>
        <m:d>
          <m:dPr>
            <m:ctrlPr>
              <w:rPr>
                <w:rFonts w:ascii="Cambria Math" w:hAnsi="Cambria Math"/>
                <w:sz w:val="18"/>
              </w:rPr>
            </m:ctrlPr>
          </m:dPr>
          <m:e>
            <m:r>
              <w:rPr>
                <w:rFonts w:ascii="Cambria Math" w:hAnsi="Cambria Math"/>
              </w:rPr>
              <m:t>Contable</m:t>
            </m:r>
          </m:e>
        </m:d>
        <m:r>
          <m:rPr>
            <m:sty m:val="p"/>
          </m:rPr>
          <w:rPr>
            <w:rFonts w:ascii="Cambria Math" w:hAnsi="Cambria Math"/>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m:rPr>
                    <m:sty m:val="p"/>
                  </m:rPr>
                  <w:rPr>
                    <w:rFonts w:ascii="Cambria Math" w:hAnsi="Cambria Math" w:cs="Cambria Math"/>
                  </w:rPr>
                  <m:t>c</m:t>
                </m:r>
                <m:r>
                  <w:rPr>
                    <w:rFonts w:ascii="Cambria Math" w:hAnsi="Cambria Math"/>
                  </w:rPr>
                  <m:t>ierre</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cierre</m:t>
                </m:r>
              </m:sub>
            </m:sSub>
          </m:den>
        </m:f>
      </m:oMath>
    </w:p>
    <w:p w:rsidR="00A1321B" w:rsidRPr="00BB33CC" w:rsidRDefault="00FB2C80" w:rsidP="00A1321B">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Contable</m:t>
            </m:r>
          </m:e>
        </m:d>
        <m:r>
          <m:rPr>
            <m:sty m:val="p"/>
          </m:rPr>
          <w:rPr>
            <w:rFonts w:ascii="Cambria Math" w:hAnsi="Cambria Math"/>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oMath>
    </w:p>
    <w:p w:rsidR="00A1321B" w:rsidRPr="00BB33CC" w:rsidRDefault="00CC529E" w:rsidP="00CA1738">
      <w:pPr>
        <w:pStyle w:val="Indentado3"/>
        <w:numPr>
          <w:ilvl w:val="0"/>
          <w:numId w:val="0"/>
        </w:numPr>
        <w:spacing w:before="240" w:line="276" w:lineRule="auto"/>
        <w:ind w:left="1775"/>
      </w:pPr>
      <w:r w:rsidRPr="00BB33CC">
        <w:t>Donde</w:t>
      </w:r>
      <w:r w:rsidR="00A1321B" w:rsidRPr="00BB33CC">
        <w:t>:</w:t>
      </w:r>
    </w:p>
    <w:p w:rsidR="00C47B2B" w:rsidRPr="00BB33CC" w:rsidRDefault="00F75CEE" w:rsidP="00CA1738">
      <w:pPr>
        <w:pStyle w:val="Indentado3"/>
        <w:numPr>
          <w:ilvl w:val="2"/>
          <w:numId w:val="9"/>
        </w:numPr>
        <w:spacing w:before="240" w:line="276" w:lineRule="auto"/>
      </w:pPr>
      <w:r w:rsidRPr="00BB33CC">
        <w:t xml:space="preserve">El </w:t>
      </w:r>
      <w:r w:rsidR="00A1321B" w:rsidRPr="00BB33CC">
        <w:t xml:space="preserve">VBR </w:t>
      </w:r>
      <w:r w:rsidR="00C47B2B" w:rsidRPr="00BB33CC">
        <w:t>debe ser obtenido de acuerdo a una de las metodologías de revaluación de la planta de activos a costos actuales</w:t>
      </w:r>
      <w:r w:rsidR="00F93779" w:rsidRPr="00BB33CC">
        <w:t xml:space="preserve"> </w:t>
      </w:r>
      <w:r w:rsidRPr="00BB33CC">
        <w:t>establecidas en</w:t>
      </w:r>
      <w:r w:rsidR="00F93779" w:rsidRPr="00BB33CC">
        <w:t xml:space="preserve"> la disposición SEXTA de </w:t>
      </w:r>
      <w:r w:rsidR="00984979" w:rsidRPr="00BB33CC">
        <w:t>la presente metodología</w:t>
      </w:r>
      <w:r w:rsidR="00C47B2B" w:rsidRPr="00BB33CC">
        <w:t>.</w:t>
      </w:r>
    </w:p>
    <w:p w:rsidR="00C47B2B" w:rsidRPr="00BB33CC" w:rsidRDefault="00F75CEE" w:rsidP="00CA1738">
      <w:pPr>
        <w:pStyle w:val="Indentado3"/>
        <w:numPr>
          <w:ilvl w:val="2"/>
          <w:numId w:val="9"/>
        </w:numPr>
        <w:spacing w:before="240" w:line="276" w:lineRule="auto"/>
      </w:pPr>
      <w:r w:rsidRPr="00BB33CC">
        <w:t xml:space="preserve">El </w:t>
      </w:r>
      <w:r w:rsidR="00A1321B" w:rsidRPr="00BB33CC">
        <w:t>VBC</w:t>
      </w:r>
      <w:r w:rsidR="00C47B2B" w:rsidRPr="00BB33CC">
        <w:t xml:space="preserve"> debe ser extraído directamente de los estados financieros de los </w:t>
      </w:r>
      <w:r w:rsidR="0012173F" w:rsidRPr="00BB33CC">
        <w:t>concesionarios y/o autorizados</w:t>
      </w:r>
      <w:r w:rsidR="00C47B2B" w:rsidRPr="00BB33CC">
        <w:t>.</w:t>
      </w:r>
    </w:p>
    <w:p w:rsidR="00A1321B" w:rsidRPr="00BB33CC" w:rsidRDefault="00A1321B" w:rsidP="00A1321B">
      <w:pPr>
        <w:pStyle w:val="Indentado3"/>
        <w:spacing w:after="60"/>
      </w:pPr>
      <m:oMath>
        <m:r>
          <w:rPr>
            <w:rFonts w:ascii="Cambria Math" w:hAnsi="Cambria Math"/>
          </w:rPr>
          <m:t>Depreciaci</m:t>
        </m:r>
        <m:r>
          <m:rPr>
            <m:sty m:val="p"/>
          </m:rPr>
          <w:rPr>
            <w:rFonts w:ascii="Cambria Math" w:hAnsi="Cambria Math"/>
          </w:rPr>
          <m:t>ó</m:t>
        </m:r>
        <m:r>
          <w:rPr>
            <w:rFonts w:ascii="Cambria Math" w:hAnsi="Cambria Math"/>
          </w:rPr>
          <m:t>nAtrasada</m:t>
        </m:r>
        <m:r>
          <m:rPr>
            <m:sty m:val="p"/>
          </m:rPr>
          <w:rPr>
            <w:rFonts w:ascii="Cambria Math" w:hAnsi="Cambria Math"/>
          </w:rPr>
          <m:t>=</m:t>
        </m:r>
        <m:d>
          <m:dPr>
            <m:ctrlPr>
              <w:rPr>
                <w:rFonts w:ascii="Cambria Math" w:hAnsi="Cambria Math"/>
                <w:sz w:val="18"/>
              </w:rPr>
            </m:ctrlPr>
          </m:dPr>
          <m:e>
            <m:r>
              <m:rPr>
                <m:sty m:val="p"/>
              </m:rPr>
              <w:rPr>
                <w:rFonts w:ascii="Cambria Math" w:hAnsi="Cambria Math"/>
              </w:rPr>
              <m:t>1-</m:t>
            </m:r>
            <m:f>
              <m:fPr>
                <m:ctrlPr>
                  <w:rPr>
                    <w:rFonts w:ascii="Cambria Math" w:hAnsi="Cambria Math"/>
                    <w:sz w:val="18"/>
                  </w:rPr>
                </m:ctrlPr>
              </m:fPr>
              <m:num>
                <m:r>
                  <w:rPr>
                    <w:rFonts w:ascii="Cambria Math" w:hAnsi="Cambria Math"/>
                  </w:rPr>
                  <m:t>VN</m:t>
                </m:r>
                <m:sSub>
                  <m:sSubPr>
                    <m:ctrlPr>
                      <w:rPr>
                        <w:rFonts w:ascii="Cambria Math" w:hAnsi="Cambria Math"/>
                        <w:sz w:val="18"/>
                      </w:rPr>
                    </m:ctrlPr>
                  </m:sSubPr>
                  <m:e>
                    <m:r>
                      <w:rPr>
                        <w:rFonts w:ascii="Cambria Math" w:hAnsi="Cambria Math"/>
                      </w:rPr>
                      <m:t>C</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e>
        </m:d>
        <m:r>
          <m:rPr>
            <m:sty m:val="p"/>
          </m:rPr>
          <w:rPr>
            <w:rFonts w:ascii="Cambria Math" w:hAnsi="Cambria Math"/>
          </w:rPr>
          <m:t>·</m:t>
        </m:r>
        <m:r>
          <w:rPr>
            <w:rFonts w:ascii="Cambria Math" w:hAnsi="Cambria Math"/>
          </w:rPr>
          <m:t>Ganancias o pérdidas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posesi</m:t>
        </m:r>
        <m:r>
          <m:rPr>
            <m:sty m:val="p"/>
          </m:rPr>
          <w:rPr>
            <w:rFonts w:ascii="Cambria Math" w:hAnsi="Cambria Math"/>
          </w:rPr>
          <m:t>ó</m:t>
        </m:r>
        <m:r>
          <w:rPr>
            <w:rFonts w:ascii="Cambria Math" w:hAnsi="Cambria Math"/>
          </w:rPr>
          <m:t>n</m:t>
        </m:r>
      </m:oMath>
    </w:p>
    <w:p w:rsidR="00496AE0" w:rsidRPr="00BB33CC" w:rsidRDefault="00496AE0" w:rsidP="00CF74A5">
      <w:pPr>
        <w:pStyle w:val="Indentado3"/>
        <w:numPr>
          <w:ilvl w:val="0"/>
          <w:numId w:val="0"/>
        </w:numPr>
        <w:spacing w:after="60"/>
        <w:ind w:left="1648"/>
      </w:pPr>
    </w:p>
    <w:p w:rsidR="00A1321B" w:rsidRPr="00BB33CC" w:rsidRDefault="005A7DEE" w:rsidP="00CF74A5">
      <w:pPr>
        <w:pStyle w:val="Indentado3"/>
        <w:numPr>
          <w:ilvl w:val="0"/>
          <w:numId w:val="0"/>
        </w:numPr>
        <w:spacing w:after="60"/>
        <w:ind w:left="1648"/>
      </w:pPr>
      <w:r w:rsidRPr="00BB33CC">
        <w:t>Donde</w:t>
      </w:r>
      <w:r w:rsidR="00A1321B" w:rsidRPr="00BB33CC">
        <w:t>:</w:t>
      </w:r>
    </w:p>
    <w:p w:rsidR="00A1321B" w:rsidRPr="00BB33CC" w:rsidRDefault="00A1321B" w:rsidP="00A1321B">
      <w:pPr>
        <w:pStyle w:val="Indentado3"/>
        <w:numPr>
          <w:ilvl w:val="2"/>
          <w:numId w:val="9"/>
        </w:numPr>
        <w:spacing w:after="60"/>
      </w:pPr>
      <m:oMath>
        <m:r>
          <w:rPr>
            <w:rFonts w:ascii="Cambria Math" w:hAnsi="Cambria Math"/>
          </w:rPr>
          <w:lastRenderedPageBreak/>
          <m:t>Gananci</m:t>
        </m:r>
        <m:r>
          <w:rPr>
            <w:rFonts w:ascii="Cambria Math" w:hAnsi="Cambria Math" w:cs="Cambria Math"/>
          </w:rPr>
          <m:t>as o pérdidas de po</m:t>
        </m:r>
        <m:r>
          <w:rPr>
            <w:rFonts w:ascii="Cambria Math" w:hAnsi="Cambria Math"/>
          </w:rPr>
          <m:t>sesi</m:t>
        </m:r>
        <m:r>
          <m:rPr>
            <m:sty m:val="p"/>
          </m:rPr>
          <w:rPr>
            <w:rFonts w:ascii="Cambria Math" w:hAnsi="Cambria Math"/>
          </w:rPr>
          <m:t>ó</m:t>
        </m:r>
        <m:r>
          <w:rPr>
            <w:rFonts w:ascii="Cambria Math" w:hAnsi="Cambria Math"/>
          </w:rPr>
          <m:t>n</m:t>
        </m:r>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cierre</m:t>
            </m:r>
          </m:sub>
        </m:sSub>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r>
          <m:rPr>
            <m:sty m:val="p"/>
          </m:rPr>
          <w:rPr>
            <w:rFonts w:ascii="Cambria Math" w:hAnsi="Cambria Math"/>
          </w:rPr>
          <m:t>-</m:t>
        </m:r>
        <m:r>
          <w:rPr>
            <w:rFonts w:ascii="Cambria Math" w:hAnsi="Cambria Math"/>
          </w:rPr>
          <m:t>Altas</m:t>
        </m:r>
        <m:r>
          <m:rPr>
            <m:sty m:val="p"/>
          </m:rPr>
          <w:rPr>
            <w:rFonts w:ascii="Cambria Math" w:hAnsi="Cambria Math"/>
          </w:rPr>
          <m:t>-</m:t>
        </m:r>
        <m:r>
          <w:rPr>
            <w:rFonts w:ascii="Cambria Math" w:hAnsi="Cambria Math"/>
          </w:rPr>
          <m:t>Ba</m:t>
        </m:r>
        <m:r>
          <m:rPr>
            <m:sty m:val="p"/>
          </m:rPr>
          <w:rPr>
            <w:rFonts w:ascii="Cambria Math" w:hAnsi="Cambria Math" w:cs="Cambria Math"/>
          </w:rPr>
          <m:t>j</m:t>
        </m:r>
        <m:r>
          <w:rPr>
            <w:rFonts w:ascii="Cambria Math" w:hAnsi="Cambria Math"/>
          </w:rPr>
          <m:t>as</m:t>
        </m:r>
        <m:r>
          <m:rPr>
            <m:sty m:val="p"/>
          </m:rPr>
          <w:rPr>
            <w:rFonts w:ascii="Cambria Math" w:hAnsi="Cambria Math"/>
          </w:rPr>
          <m:t>-</m:t>
        </m:r>
        <m:r>
          <w:rPr>
            <w:rFonts w:ascii="Cambria Math" w:hAnsi="Cambria Math"/>
          </w:rPr>
          <m:t>Traspasos</m:t>
        </m:r>
        <m:r>
          <m:rPr>
            <m:sty m:val="p"/>
          </m:rPr>
          <w:rPr>
            <w:rFonts w:ascii="Cambria Math" w:hAnsi="Cambria Math"/>
          </w:rPr>
          <m:t>)</m:t>
        </m:r>
      </m:oMath>
    </w:p>
    <w:p w:rsidR="00A1321B" w:rsidRPr="00BB33CC" w:rsidRDefault="00A1321B" w:rsidP="00A1321B">
      <w:pPr>
        <w:pStyle w:val="Indentado3"/>
        <w:spacing w:after="60"/>
      </w:pPr>
      <m:oMath>
        <m:r>
          <w:rPr>
            <w:rFonts w:ascii="Cambria Math" w:hAnsi="Cambria Math"/>
          </w:rPr>
          <m:t>Traspasos</m:t>
        </m:r>
        <m:d>
          <m:dPr>
            <m:ctrlPr>
              <w:rPr>
                <w:rFonts w:ascii="Cambria Math" w:hAnsi="Cambria Math"/>
                <w:sz w:val="18"/>
              </w:rPr>
            </m:ctrlPr>
          </m:dPr>
          <m:e>
            <m:r>
              <w:rPr>
                <w:rFonts w:ascii="Cambria Math" w:hAnsi="Cambria Math"/>
              </w:rPr>
              <m:t>Aj</m:t>
            </m:r>
            <m:r>
              <m:rPr>
                <m:sty m:val="p"/>
              </m:rPr>
              <w:rPr>
                <w:rFonts w:ascii="Cambria Math" w:hAnsi="Cambria Math"/>
              </w:rPr>
              <m:t xml:space="preserve">. </m:t>
            </m:r>
            <m:r>
              <w:rPr>
                <w:rFonts w:ascii="Cambria Math" w:hAnsi="Cambria Math"/>
              </w:rPr>
              <m:t>Depr</m:t>
            </m:r>
          </m:e>
        </m:d>
        <m:r>
          <m:rPr>
            <m:sty m:val="p"/>
          </m:rPr>
          <w:rPr>
            <w:rFonts w:ascii="Cambria Math" w:hAnsi="Cambria Math"/>
          </w:rPr>
          <m:t>=</m:t>
        </m:r>
        <m:r>
          <w:rPr>
            <w:rFonts w:ascii="Cambria Math" w:hAnsi="Cambria Math"/>
          </w:rPr>
          <m:t>Traspasos</m:t>
        </m:r>
        <m:d>
          <m:dPr>
            <m:ctrlPr>
              <w:rPr>
                <w:rFonts w:ascii="Cambria Math" w:hAnsi="Cambria Math"/>
                <w:sz w:val="18"/>
              </w:rPr>
            </m:ctrlPr>
          </m:dPr>
          <m:e>
            <m:r>
              <w:rPr>
                <w:rFonts w:ascii="Cambria Math" w:hAnsi="Cambria Math"/>
              </w:rPr>
              <m:t>Contables</m:t>
            </m:r>
          </m:e>
        </m:d>
        <m:r>
          <m:rPr>
            <m:sty m:val="p"/>
          </m:rPr>
          <w:rPr>
            <w:rFonts w:ascii="Cambria Math" w:hAnsi="Cambria Math"/>
          </w:rPr>
          <m:t>·</m:t>
        </m:r>
        <m:f>
          <m:fPr>
            <m:ctrlPr>
              <w:rPr>
                <w:rFonts w:ascii="Cambria Math" w:hAnsi="Cambria Math"/>
                <w:sz w:val="18"/>
              </w:rPr>
            </m:ctrlPr>
          </m:fPr>
          <m:num>
            <m:r>
              <w:rPr>
                <w:rFonts w:ascii="Cambria Math" w:hAnsi="Cambria Math"/>
              </w:rPr>
              <m:t>Depr</m:t>
            </m:r>
            <m:r>
              <m:rPr>
                <m:sty m:val="p"/>
              </m:rPr>
              <w:rPr>
                <w:rFonts w:ascii="Cambria Math" w:hAnsi="Cambria Math"/>
              </w:rPr>
              <m:t>.</m:t>
            </m:r>
            <m:r>
              <w:rPr>
                <w:rFonts w:ascii="Cambria Math" w:hAnsi="Cambria Math"/>
              </w:rPr>
              <m:t>Acum</m:t>
            </m:r>
            <m:sSub>
              <m:sSubPr>
                <m:ctrlPr>
                  <w:rPr>
                    <w:rFonts w:ascii="Cambria Math" w:hAnsi="Cambria Math"/>
                    <w:sz w:val="18"/>
                  </w:rPr>
                </m:ctrlPr>
              </m:sSubPr>
              <m:e>
                <m:d>
                  <m:dPr>
                    <m:ctrlPr>
                      <w:rPr>
                        <w:rFonts w:ascii="Cambria Math" w:hAnsi="Cambria Math"/>
                        <w:sz w:val="18"/>
                      </w:rPr>
                    </m:ctrlPr>
                  </m:dPr>
                  <m:e>
                    <m:r>
                      <w:rPr>
                        <w:rFonts w:ascii="Cambria Math" w:hAnsi="Cambria Math"/>
                      </w:rPr>
                      <m:t>Contable</m:t>
                    </m:r>
                  </m:e>
                </m:d>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m:t>
                </m:r>
                <m:r>
                  <w:rPr>
                    <w:rFonts w:ascii="Cambria Math" w:hAnsi="Cambria Math" w:cs="Cambria Math"/>
                  </w:rPr>
                  <m:t>r</m:t>
                </m:r>
                <m:r>
                  <w:rPr>
                    <w:rFonts w:ascii="Cambria Math" w:hAnsi="Cambria Math"/>
                  </w:rPr>
                  <m:t>a</m:t>
                </m:r>
              </m:sub>
            </m:sSub>
          </m:den>
        </m:f>
      </m:oMath>
    </w:p>
    <w:p w:rsidR="002C2D04" w:rsidRPr="00BB33CC" w:rsidRDefault="002C2D04" w:rsidP="00CF74A5">
      <w:pPr>
        <w:pStyle w:val="Normalresolucion"/>
        <w:spacing w:after="0" w:line="276" w:lineRule="auto"/>
        <w:ind w:left="1176"/>
      </w:pPr>
      <w:r w:rsidRPr="00BB33CC">
        <w:t xml:space="preserve">Los valores de los activos de </w:t>
      </w:r>
      <w:r w:rsidRPr="00BB33CC">
        <w:rPr>
          <w:i/>
        </w:rPr>
        <w:t>cierre</w:t>
      </w:r>
      <w:r w:rsidRPr="00BB33CC">
        <w:t xml:space="preserve"> y </w:t>
      </w:r>
      <w:r w:rsidRPr="00BB33CC">
        <w:rPr>
          <w:i/>
        </w:rPr>
        <w:t>apertura</w:t>
      </w:r>
      <w:r w:rsidRPr="00BB33CC">
        <w:t xml:space="preserve"> corresponden a los valores al final </w:t>
      </w:r>
      <w:r w:rsidR="00B33FBE" w:rsidRPr="00BB33CC">
        <w:t xml:space="preserve">y en la apertura </w:t>
      </w:r>
      <w:r w:rsidRPr="00BB33CC">
        <w:t>del ejercicio para el cual se desarrolla la separación contable, respectivamente.</w:t>
      </w:r>
    </w:p>
    <w:p w:rsidR="00A1321B" w:rsidRPr="00BB33CC" w:rsidRDefault="00A1321B" w:rsidP="00CF74A5">
      <w:pPr>
        <w:pStyle w:val="Indentadoresolucin"/>
        <w:spacing w:before="240" w:line="276" w:lineRule="auto"/>
      </w:pPr>
      <w:r w:rsidRPr="00BB33CC">
        <w:rPr>
          <w:i/>
        </w:rPr>
        <w:t>Ganancias</w:t>
      </w:r>
      <w:r w:rsidR="000B5B67" w:rsidRPr="00BB33CC">
        <w:rPr>
          <w:i/>
        </w:rPr>
        <w:t xml:space="preserve"> o </w:t>
      </w:r>
      <w:r w:rsidR="00B33FBE" w:rsidRPr="00BB33CC">
        <w:rPr>
          <w:i/>
        </w:rPr>
        <w:t>p</w:t>
      </w:r>
      <w:r w:rsidRPr="00BB33CC">
        <w:rPr>
          <w:i/>
        </w:rPr>
        <w:t>érdidas netas de posesión</w:t>
      </w:r>
      <w:r w:rsidR="008B4103" w:rsidRPr="00BB33CC">
        <w:t>:</w:t>
      </w:r>
      <w:r w:rsidRPr="00BB33CC">
        <w:t xml:space="preserve"> corresponde a la suma de los términos de las </w:t>
      </w:r>
      <w:r w:rsidR="000F272A" w:rsidRPr="00BB33CC">
        <w:t>g</w:t>
      </w:r>
      <w:r w:rsidRPr="00BB33CC">
        <w:t>anancias</w:t>
      </w:r>
      <w:r w:rsidR="00A41030" w:rsidRPr="00BB33CC">
        <w:t xml:space="preserve"> o </w:t>
      </w:r>
      <w:r w:rsidR="000F272A" w:rsidRPr="00BB33CC">
        <w:t>p</w:t>
      </w:r>
      <w:r w:rsidRPr="00BB33CC">
        <w:t>érdidas de posesión y la depreciación atrasada</w:t>
      </w:r>
      <w:r w:rsidR="00E60B94" w:rsidRPr="00BB33CC">
        <w:t>, conforme a la siguiente fórmula</w:t>
      </w:r>
      <w:r w:rsidRPr="00BB33CC">
        <w:t>:</w:t>
      </w:r>
    </w:p>
    <w:p w:rsidR="00496AE0" w:rsidRPr="00BB33CC" w:rsidRDefault="00496AE0" w:rsidP="00CF74A5">
      <w:pPr>
        <w:pStyle w:val="Indentadoresolucin"/>
        <w:numPr>
          <w:ilvl w:val="0"/>
          <w:numId w:val="0"/>
        </w:numPr>
        <w:spacing w:before="240" w:line="276" w:lineRule="auto"/>
        <w:ind w:left="928"/>
      </w:pPr>
    </w:p>
    <w:p w:rsidR="00A1321B" w:rsidRPr="00BB33CC" w:rsidRDefault="00A1321B" w:rsidP="00A1321B">
      <w:pPr>
        <w:pStyle w:val="Indentadoresolucin"/>
        <w:numPr>
          <w:ilvl w:val="0"/>
          <w:numId w:val="0"/>
        </w:numPr>
        <w:ind w:left="1008"/>
      </w:pPr>
      <m:oMathPara>
        <m:oMath>
          <m:r>
            <w:rPr>
              <w:rFonts w:ascii="Cambria Math" w:hAnsi="Cambria Math"/>
            </w:rPr>
            <m:t>Ganancias o pérdidas netas de posesión=Ganancias o pérdidas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m:t>
          </m:r>
          <m:r>
            <w:rPr>
              <w:rFonts w:ascii="Cambria Math" w:hAnsi="Cambria Math" w:cs="Cambria Math"/>
            </w:rPr>
            <m:t>o</m:t>
          </m:r>
          <m:r>
            <w:rPr>
              <w:rFonts w:ascii="Cambria Math" w:hAnsi="Cambria Math"/>
            </w:rPr>
            <m:t>sesi</m:t>
          </m:r>
          <m:r>
            <m:rPr>
              <m:sty m:val="p"/>
            </m:rPr>
            <w:rPr>
              <w:rFonts w:ascii="Cambria Math" w:hAnsi="Cambria Math"/>
            </w:rPr>
            <m:t>ó</m:t>
          </m:r>
          <m:r>
            <w:rPr>
              <w:rFonts w:ascii="Cambria Math" w:hAnsi="Cambria Math"/>
            </w:rPr>
            <m:t>n+ Depreciaci</m:t>
          </m:r>
          <m:r>
            <m:rPr>
              <m:sty m:val="p"/>
            </m:rPr>
            <w:rPr>
              <w:rFonts w:ascii="Cambria Math" w:hAnsi="Cambria Math"/>
            </w:rPr>
            <m:t>ó</m:t>
          </m:r>
          <m:r>
            <w:rPr>
              <w:rFonts w:ascii="Cambria Math" w:hAnsi="Cambria Math"/>
            </w:rPr>
            <m:t xml:space="preserve">nAtrasada  </m:t>
          </m:r>
        </m:oMath>
      </m:oMathPara>
    </w:p>
    <w:p w:rsidR="00050D16" w:rsidRPr="00BB33CC" w:rsidRDefault="00050D16" w:rsidP="00050D16">
      <w:pPr>
        <w:pStyle w:val="Normalresolucion"/>
        <w:spacing w:after="0" w:line="276" w:lineRule="auto"/>
        <w:ind w:left="567"/>
      </w:pPr>
      <w:r w:rsidRPr="00BB33CC">
        <w:t xml:space="preserve">En la aplicación de los conceptos anteriores, en todo momento los concesionarios y/o autorizados deben emplear un método de depreciación en línea recta para la anualización de sus activos. </w:t>
      </w:r>
    </w:p>
    <w:p w:rsidR="00A1321B" w:rsidRPr="00BB33CC" w:rsidRDefault="00944509" w:rsidP="00BA0D58">
      <w:pPr>
        <w:pStyle w:val="Normalresolucion"/>
        <w:spacing w:after="0" w:line="276" w:lineRule="auto"/>
        <w:ind w:left="567"/>
      </w:pPr>
      <w:r w:rsidRPr="00BB33CC">
        <w:rPr>
          <w:b/>
          <w:bCs/>
        </w:rPr>
        <w:t xml:space="preserve">b) </w:t>
      </w:r>
      <w:r w:rsidR="00A1321B" w:rsidRPr="00BB33CC">
        <w:rPr>
          <w:b/>
          <w:bCs/>
        </w:rPr>
        <w:t>Valor Neto de Reposición</w:t>
      </w:r>
      <w:r w:rsidR="001376F9" w:rsidRPr="00BB33CC">
        <w:rPr>
          <w:b/>
          <w:bCs/>
        </w:rPr>
        <w:t>.</w:t>
      </w:r>
      <w:r w:rsidR="00FD4197" w:rsidRPr="00BB33CC">
        <w:rPr>
          <w:b/>
          <w:bCs/>
        </w:rPr>
        <w:t xml:space="preserve"> </w:t>
      </w:r>
      <w:r w:rsidR="00FD4197" w:rsidRPr="00BB33CC">
        <w:t>E</w:t>
      </w:r>
      <w:r w:rsidR="00A1321B" w:rsidRPr="00BB33CC">
        <w:t xml:space="preserve">l VNR será obtenido mediante la aplicación de la </w:t>
      </w:r>
      <w:r w:rsidR="00B07306" w:rsidRPr="00BB33CC">
        <w:t xml:space="preserve">siguiente </w:t>
      </w:r>
      <w:r w:rsidR="00A1321B" w:rsidRPr="00BB33CC">
        <w:t>relación:</w:t>
      </w:r>
    </w:p>
    <w:p w:rsidR="00A1321B" w:rsidRPr="00BB33CC" w:rsidRDefault="00A1321B" w:rsidP="00BA0D58">
      <w:pPr>
        <w:pStyle w:val="Indentado1"/>
        <w:numPr>
          <w:ilvl w:val="0"/>
          <w:numId w:val="0"/>
        </w:numPr>
        <w:spacing w:before="240" w:after="0" w:line="276" w:lineRule="auto"/>
        <w:ind w:left="567"/>
        <w:rPr>
          <w:rFonts w:ascii="ITC Avant Garde" w:hAnsi="ITC Avant Garde"/>
          <w:sz w:val="22"/>
        </w:rPr>
      </w:pPr>
      <m:oMathPara>
        <m:oMath>
          <m:r>
            <w:rPr>
              <w:rFonts w:ascii="Cambria Math" w:hAnsi="Cambria Math"/>
              <w:sz w:val="22"/>
              <w:lang w:val="pt-PT"/>
            </w:rPr>
            <m:t>VNR=</m:t>
          </m:r>
          <m:f>
            <m:fPr>
              <m:ctrlPr>
                <w:rPr>
                  <w:rFonts w:ascii="Cambria Math" w:hAnsi="Cambria Math"/>
                  <w:i/>
                  <w:sz w:val="22"/>
                </w:rPr>
              </m:ctrlPr>
            </m:fPr>
            <m:num>
              <m:r>
                <w:rPr>
                  <w:rFonts w:ascii="Cambria Math" w:hAnsi="Cambria Math"/>
                  <w:sz w:val="22"/>
                </w:rPr>
                <m:t>VNC</m:t>
              </m:r>
            </m:num>
            <m:den>
              <m:r>
                <w:rPr>
                  <w:rFonts w:ascii="Cambria Math" w:hAnsi="Cambria Math"/>
                  <w:sz w:val="22"/>
                </w:rPr>
                <m:t>VBC</m:t>
              </m:r>
            </m:den>
          </m:f>
          <m:r>
            <w:rPr>
              <w:rFonts w:ascii="Cambria Math" w:hAnsi="Cambria Math"/>
              <w:sz w:val="22"/>
            </w:rPr>
            <m:t>∙VBR</m:t>
          </m:r>
        </m:oMath>
      </m:oMathPara>
    </w:p>
    <w:p w:rsidR="00C91BD7" w:rsidRPr="00BB33CC" w:rsidRDefault="00C91BD7" w:rsidP="00BA0D58">
      <w:pPr>
        <w:pStyle w:val="Normalresolucion"/>
        <w:spacing w:after="0" w:line="276" w:lineRule="auto"/>
        <w:ind w:left="567"/>
      </w:pPr>
      <w:r w:rsidRPr="00BB33CC">
        <w:t>El VNC debe ser extraído directamente de los estados financieros de los concesionarios y/o autorizados.</w:t>
      </w:r>
    </w:p>
    <w:p w:rsidR="00A1321B" w:rsidRPr="00BB33CC" w:rsidRDefault="00A1321B" w:rsidP="00BA0D58">
      <w:pPr>
        <w:pStyle w:val="Normalresolucion"/>
        <w:spacing w:after="0" w:line="276" w:lineRule="auto"/>
      </w:pPr>
      <w:r w:rsidRPr="00BB33CC">
        <w:t xml:space="preserve">Con respecto al proceso de cálculo de las variables </w:t>
      </w:r>
      <w:r w:rsidRPr="00BB33CC" w:rsidDel="00D00227">
        <w:t>relativas a los cargos de depreciación y</w:t>
      </w:r>
      <w:r w:rsidR="00A54155" w:rsidRPr="00BB33CC">
        <w:t xml:space="preserve"> </w:t>
      </w:r>
      <w:r w:rsidR="00D00227" w:rsidRPr="00BB33CC">
        <w:t>asociadas</w:t>
      </w:r>
      <w:r w:rsidRPr="00BB33CC">
        <w:t xml:space="preserve"> al </w:t>
      </w:r>
      <w:r w:rsidR="0011454C" w:rsidRPr="00BB33CC">
        <w:t>VNR</w:t>
      </w:r>
      <w:r w:rsidRPr="00BB33CC">
        <w:t xml:space="preserve">, </w:t>
      </w:r>
      <w:r w:rsidR="00D00227" w:rsidRPr="00BB33CC">
        <w:t>estas</w:t>
      </w:r>
      <w:r w:rsidRPr="00BB33CC">
        <w:t xml:space="preserve"> se </w:t>
      </w:r>
      <w:r w:rsidR="0074783C" w:rsidRPr="00BB33CC">
        <w:t xml:space="preserve">deben </w:t>
      </w:r>
      <w:r w:rsidRPr="00BB33CC">
        <w:t>reali</w:t>
      </w:r>
      <w:r w:rsidR="0074783C" w:rsidRPr="00BB33CC">
        <w:t>zar</w:t>
      </w:r>
      <w:r w:rsidRPr="00BB33CC">
        <w:t xml:space="preserve"> a nivel de línea de activo (cada fila del registro de activo fijo) y no de manera agregada por categorías de activo.</w:t>
      </w:r>
    </w:p>
    <w:p w:rsidR="00A1321B" w:rsidRPr="00BB33CC" w:rsidRDefault="00C4346A" w:rsidP="00551FE4">
      <w:pPr>
        <w:pStyle w:val="Normalresolucion"/>
        <w:spacing w:after="0" w:line="276" w:lineRule="auto"/>
      </w:pPr>
      <w:r w:rsidRPr="00BB33CC">
        <w:rPr>
          <w:b/>
        </w:rPr>
        <w:t xml:space="preserve">OCTAVA.- </w:t>
      </w:r>
      <w:r w:rsidRPr="00BB33CC">
        <w:t xml:space="preserve">Los concesionarios </w:t>
      </w:r>
      <w:r w:rsidRPr="00BB33CC">
        <w:rPr>
          <w:bCs/>
        </w:rPr>
        <w:t xml:space="preserve">y/o autorizados deben calcular </w:t>
      </w:r>
      <w:r w:rsidRPr="00BB33CC">
        <w:t>e</w:t>
      </w:r>
      <w:r w:rsidR="007D0334" w:rsidRPr="00BB33CC">
        <w:t xml:space="preserve">l </w:t>
      </w:r>
      <w:r w:rsidRPr="00BB33CC">
        <w:t>c</w:t>
      </w:r>
      <w:r w:rsidR="007D0334" w:rsidRPr="00BB33CC">
        <w:t xml:space="preserve">osto </w:t>
      </w:r>
      <w:r w:rsidR="00C32327" w:rsidRPr="00BB33CC">
        <w:t xml:space="preserve">de capital </w:t>
      </w:r>
      <w:r w:rsidR="007D0334" w:rsidRPr="00BB33CC">
        <w:t xml:space="preserve">promedio ponderado </w:t>
      </w:r>
      <w:r w:rsidR="00A1321B" w:rsidRPr="00BB33CC">
        <w:t>mediante la siguiente expresión:</w:t>
      </w:r>
    </w:p>
    <w:p w:rsidR="009E3926" w:rsidRPr="00BB33CC" w:rsidRDefault="009E3926" w:rsidP="00551FE4">
      <w:pPr>
        <w:pStyle w:val="Normalresolucion"/>
        <w:spacing w:after="0" w:line="276" w:lineRule="auto"/>
      </w:pPr>
    </w:p>
    <w:p w:rsidR="00A1321B" w:rsidRPr="00BB33CC" w:rsidRDefault="00FB2C80" w:rsidP="00A1321B">
      <w:pPr>
        <w:rPr>
          <w:rFonts w:ascii="ITC Avant Garde" w:eastAsia="Times New Roman" w:hAnsi="ITC Avant Garde" w:cs="Arial"/>
          <w:lang w:val="es-ES" w:eastAsia="es-ES"/>
        </w:rPr>
      </w:pPr>
      <m:oMathPara>
        <m:oMath>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WACC</m:t>
              </m:r>
            </m:e>
            <m:sub>
              <m:r>
                <w:rPr>
                  <w:rFonts w:ascii="Cambria Math" w:eastAsia="Times New Roman" w:hAnsi="Cambria Math" w:cs="Arial"/>
                  <w:lang w:val="es-ES" w:eastAsia="es-ES"/>
                </w:rPr>
                <m:t>antes</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impuestos</m:t>
              </m:r>
            </m:sub>
          </m:sSub>
          <m:r>
            <m:rPr>
              <m:sty m:val="p"/>
            </m:rPr>
            <w:rPr>
              <w:rFonts w:ascii="Cambria Math" w:eastAsia="Times New Roman" w:hAnsi="Cambria Math" w:cs="Arial"/>
              <w:lang w:val="es-ES" w:eastAsia="es-ES"/>
            </w:rPr>
            <m:t>=</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e</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E</m:t>
              </m:r>
            </m:num>
            <m:den>
              <m:d>
                <m:dPr>
                  <m:ctrlPr>
                    <w:rPr>
                      <w:rFonts w:ascii="Cambria Math" w:eastAsia="Times New Roman" w:hAnsi="Cambria Math" w:cs="Arial"/>
                      <w:lang w:val="es-ES" w:eastAsia="es-ES"/>
                    </w:rPr>
                  </m:ctrlPr>
                </m:dPr>
                <m:e>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e>
              </m:d>
              <m:r>
                <m:rPr>
                  <m:sty m:val="p"/>
                </m:rPr>
                <w:rPr>
                  <w:rFonts w:ascii="Cambria Math" w:eastAsia="Times New Roman" w:hAnsi="Cambria Math" w:cs="Arial"/>
                  <w:lang w:val="es-ES" w:eastAsia="es-ES"/>
                </w:rPr>
                <m:t>∙(1-</m:t>
              </m:r>
              <m:r>
                <w:rPr>
                  <w:rFonts w:ascii="Cambria Math" w:eastAsia="Times New Roman" w:hAnsi="Cambria Math" w:cs="Arial"/>
                  <w:lang w:val="es-ES" w:eastAsia="es-ES"/>
                </w:rPr>
                <m:t>t</m:t>
              </m:r>
              <m:r>
                <m:rPr>
                  <m:sty m:val="p"/>
                </m:rPr>
                <w:rPr>
                  <w:rFonts w:ascii="Cambria Math" w:eastAsia="Times New Roman" w:hAnsi="Cambria Math" w:cs="Arial"/>
                  <w:lang w:val="es-ES" w:eastAsia="es-ES"/>
                </w:rPr>
                <m:t>)</m:t>
              </m:r>
            </m:den>
          </m:f>
          <m:r>
            <m:rPr>
              <m:sty m:val="p"/>
            </m:rPr>
            <w:rPr>
              <w:rFonts w:ascii="Cambria Math" w:eastAsia="Times New Roman" w:hAnsi="Cambria Math" w:cs="Arial"/>
              <w:lang w:val="es-ES" w:eastAsia="es-ES"/>
            </w:rPr>
            <m:t xml:space="preserve">+ </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d</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D</m:t>
              </m:r>
            </m:num>
            <m:den>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den>
          </m:f>
        </m:oMath>
      </m:oMathPara>
    </w:p>
    <w:p w:rsidR="00A1321B" w:rsidRPr="00BB33CC" w:rsidRDefault="00A1321B" w:rsidP="00A1321B">
      <w:pPr>
        <w:rPr>
          <w:rFonts w:ascii="ITC Avant Garde" w:hAnsi="ITC Avant Garde"/>
        </w:rPr>
      </w:pPr>
      <w:r w:rsidRPr="00BB33CC">
        <w:rPr>
          <w:rFonts w:ascii="ITC Avant Garde" w:hAnsi="ITC Avant Garde"/>
        </w:rPr>
        <w:t>Donde:</w:t>
      </w:r>
    </w:p>
    <w:p w:rsidR="00A1321B" w:rsidRPr="00BB33CC" w:rsidRDefault="00FB2C8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e</m:t>
            </m:r>
          </m:sub>
        </m:sSub>
      </m:oMath>
      <w:r w:rsidR="00A1321B" w:rsidRPr="00BB33CC">
        <w:t xml:space="preserve">: </w:t>
      </w:r>
      <w:r w:rsidR="005228A9" w:rsidRPr="00BB33CC">
        <w:t>C</w:t>
      </w:r>
      <w:r w:rsidR="00A1321B" w:rsidRPr="00BB33CC">
        <w:t>osto del patrimonio</w:t>
      </w:r>
      <w:r w:rsidR="00C4346A" w:rsidRPr="00BB33CC">
        <w:t>;</w:t>
      </w:r>
    </w:p>
    <w:p w:rsidR="00A1321B" w:rsidRPr="00BB33CC" w:rsidRDefault="00FB2C8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d</m:t>
            </m:r>
          </m:sub>
        </m:sSub>
      </m:oMath>
      <w:r w:rsidR="00A1321B" w:rsidRPr="00BB33CC">
        <w:t xml:space="preserve">: </w:t>
      </w:r>
      <w:r w:rsidR="005228A9" w:rsidRPr="00BB33CC">
        <w:t>C</w:t>
      </w:r>
      <w:r w:rsidR="00A1321B" w:rsidRPr="00BB33CC">
        <w:t>osto de la deuda</w:t>
      </w:r>
      <w:r w:rsidR="00C4346A" w:rsidRPr="00BB33CC">
        <w:t>;</w:t>
      </w:r>
    </w:p>
    <w:p w:rsidR="00A1321B" w:rsidRPr="00BB33CC" w:rsidRDefault="00A1321B" w:rsidP="00A1321B">
      <w:pPr>
        <w:pStyle w:val="Indentadoresolucin"/>
      </w:pPr>
      <m:oMath>
        <m:r>
          <m:rPr>
            <m:sty m:val="bi"/>
          </m:rPr>
          <w:rPr>
            <w:rFonts w:ascii="Cambria Math" w:hAnsi="Cambria Math"/>
            <w:lang w:val="es-MX"/>
          </w:rPr>
          <w:lastRenderedPageBreak/>
          <m:t>E</m:t>
        </m:r>
      </m:oMath>
      <w:r w:rsidRPr="00BB33CC">
        <w:t xml:space="preserve">: </w:t>
      </w:r>
      <w:r w:rsidR="005228A9" w:rsidRPr="00BB33CC">
        <w:t>V</w:t>
      </w:r>
      <w:r w:rsidRPr="00BB33CC">
        <w:t>alor total de mercado del patrimonio</w:t>
      </w:r>
      <w:r w:rsidR="00C4346A" w:rsidRPr="00BB33CC">
        <w:t>;</w:t>
      </w:r>
    </w:p>
    <w:p w:rsidR="00A1321B" w:rsidRPr="00BB33CC" w:rsidRDefault="00A1321B" w:rsidP="00A1321B">
      <w:pPr>
        <w:pStyle w:val="Indentadoresolucin"/>
      </w:pPr>
      <m:oMath>
        <m:r>
          <m:rPr>
            <m:sty m:val="bi"/>
          </m:rPr>
          <w:rPr>
            <w:rFonts w:ascii="Cambria Math" w:hAnsi="Cambria Math"/>
            <w:lang w:val="es-MX"/>
          </w:rPr>
          <m:t>D</m:t>
        </m:r>
      </m:oMath>
      <w:r w:rsidRPr="00BB33CC">
        <w:t xml:space="preserve">: </w:t>
      </w:r>
      <w:r w:rsidR="005228A9" w:rsidRPr="00BB33CC">
        <w:t>V</w:t>
      </w:r>
      <w:r w:rsidRPr="00BB33CC">
        <w:t>alor total de mercado de la deuda, incluyendo intereses</w:t>
      </w:r>
      <w:r w:rsidR="00C4346A" w:rsidRPr="00BB33CC">
        <w:t>, y</w:t>
      </w:r>
    </w:p>
    <w:p w:rsidR="00A1321B" w:rsidRPr="00BB33CC" w:rsidRDefault="00A1321B" w:rsidP="00A1321B">
      <w:pPr>
        <w:pStyle w:val="Indentadoresolucin"/>
      </w:pPr>
      <m:oMath>
        <m:r>
          <m:rPr>
            <m:sty m:val="bi"/>
          </m:rPr>
          <w:rPr>
            <w:rFonts w:ascii="Cambria Math" w:hAnsi="Cambria Math"/>
            <w:lang w:val="es-MX"/>
          </w:rPr>
          <m:t>t</m:t>
        </m:r>
      </m:oMath>
      <w:r w:rsidRPr="00BB33CC">
        <w:t>: Tasa de impuestos</w:t>
      </w:r>
      <w:r w:rsidR="00AA3D7D" w:rsidRPr="00BB33CC">
        <w:t>.</w:t>
      </w:r>
    </w:p>
    <w:p w:rsidR="00A1321B" w:rsidRPr="00BB33CC" w:rsidRDefault="00A1321B" w:rsidP="00CA1738">
      <w:pPr>
        <w:pStyle w:val="Normalresolucion"/>
        <w:spacing w:after="0" w:line="276" w:lineRule="auto"/>
      </w:pPr>
      <w:r w:rsidRPr="00BB33CC">
        <w:t>Para el cálculo del costo del patrimonio (r</w:t>
      </w:r>
      <w:r w:rsidRPr="00BB33CC">
        <w:rPr>
          <w:vertAlign w:val="subscript"/>
        </w:rPr>
        <w:t>e</w:t>
      </w:r>
      <w:r w:rsidRPr="00BB33CC">
        <w:t>), se debe usar la metodología CAPM adicion</w:t>
      </w:r>
      <w:r w:rsidR="000D43DF" w:rsidRPr="00BB33CC">
        <w:t>a</w:t>
      </w:r>
      <w:r w:rsidRPr="00BB33CC">
        <w:t xml:space="preserve">ndo una medida de riesgo asociada al mercado </w:t>
      </w:r>
      <w:r w:rsidR="0086399B" w:rsidRPr="00BB33CC">
        <w:t xml:space="preserve">nacional </w:t>
      </w:r>
      <w:r w:rsidRPr="00BB33CC">
        <w:t xml:space="preserve">(o riesgo país), de modo que se tenga en consideración la volatilidad asociada al funcionamiento de la compañía en dicho entorno. Concretamente, la formulación a seguir </w:t>
      </w:r>
      <w:r w:rsidR="00AA3D7D" w:rsidRPr="00BB33CC">
        <w:t xml:space="preserve">se expresa en </w:t>
      </w:r>
      <w:r w:rsidRPr="00BB33CC">
        <w:t>la siguiente ecuación:</w:t>
      </w:r>
    </w:p>
    <w:p w:rsidR="009E3926" w:rsidRPr="00BB33CC" w:rsidRDefault="009E3926" w:rsidP="00CA1738">
      <w:pPr>
        <w:pStyle w:val="Normalresolucion"/>
        <w:spacing w:after="0" w:line="276" w:lineRule="auto"/>
      </w:pPr>
    </w:p>
    <w:p w:rsidR="00A1321B" w:rsidRPr="00BB33CC" w:rsidRDefault="00FB2C80" w:rsidP="00A1321B">
      <w:pPr>
        <w:rPr>
          <w:rFonts w:ascii="ITC Avant Garde" w:hAnsi="ITC Avant Garde"/>
        </w:rPr>
      </w:pPr>
      <m:oMathPara>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p</m:t>
              </m:r>
            </m:sub>
          </m:sSub>
        </m:oMath>
      </m:oMathPara>
    </w:p>
    <w:p w:rsidR="00A1321B" w:rsidRPr="00BB33CC" w:rsidRDefault="00A1321B" w:rsidP="00A1321B">
      <w:pPr>
        <w:pStyle w:val="Normalresolucion"/>
      </w:pPr>
      <w:r w:rsidRPr="00BB33CC">
        <w:t>Donde:</w:t>
      </w:r>
    </w:p>
    <w:p w:rsidR="00A1321B" w:rsidRPr="00BB33CC" w:rsidRDefault="00FB2C8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f</m:t>
            </m:r>
          </m:sub>
        </m:sSub>
      </m:oMath>
      <w:r w:rsidR="00A1321B" w:rsidRPr="00BB33CC">
        <w:rPr>
          <w:b/>
        </w:rPr>
        <w:t xml:space="preserve">: </w:t>
      </w:r>
      <w:r w:rsidR="00A1321B" w:rsidRPr="00BB33CC">
        <w:t>Tasa libre de riesgo</w:t>
      </w:r>
      <w:r w:rsidR="00E63419" w:rsidRPr="00BB33CC">
        <w:t>;</w:t>
      </w:r>
    </w:p>
    <w:p w:rsidR="00A1321B" w:rsidRPr="00BB33CC" w:rsidRDefault="00FB2C8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m</m:t>
            </m:r>
          </m:sub>
        </m:sSub>
      </m:oMath>
      <w:r w:rsidR="00A1321B" w:rsidRPr="00BB33CC">
        <w:rPr>
          <w:bCs/>
        </w:rPr>
        <w:t>:</w:t>
      </w:r>
      <w:r w:rsidR="00A1321B" w:rsidRPr="00BB33CC">
        <w:t xml:space="preserve"> Rendimiento esperado del mercado</w:t>
      </w:r>
      <w:r w:rsidR="00E63419" w:rsidRPr="00BB33CC">
        <w:t>;</w:t>
      </w:r>
    </w:p>
    <w:p w:rsidR="00A1321B" w:rsidRPr="00BB33CC" w:rsidRDefault="00A1321B" w:rsidP="00A1321B">
      <w:pPr>
        <w:pStyle w:val="Indentadoresolucin"/>
      </w:pPr>
      <m:oMath>
        <m:r>
          <m:rPr>
            <m:sty m:val="bi"/>
          </m:rPr>
          <w:rPr>
            <w:rFonts w:ascii="Cambria Math" w:hAnsi="Cambria Math"/>
            <w:lang w:val="es-MX"/>
          </w:rPr>
          <m:t>β</m:t>
        </m:r>
      </m:oMath>
      <w:r w:rsidRPr="00BB33CC">
        <w:rPr>
          <w:bCs/>
        </w:rPr>
        <w:t>:</w:t>
      </w:r>
      <w:r w:rsidRPr="00BB33CC">
        <w:rPr>
          <w:b/>
        </w:rPr>
        <w:t xml:space="preserve"> </w:t>
      </w:r>
      <w:r w:rsidR="00551FE4" w:rsidRPr="00BB33CC">
        <w:t>M</w:t>
      </w:r>
      <w:r w:rsidR="00274C22" w:rsidRPr="00BB33CC">
        <w:t xml:space="preserve">edida del riesgo del operador, </w:t>
      </w:r>
      <w:r w:rsidR="00E63419" w:rsidRPr="00BB33CC">
        <w:t>y</w:t>
      </w:r>
    </w:p>
    <w:p w:rsidR="00A1321B" w:rsidRPr="00BB33CC" w:rsidRDefault="00FB2C8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p</m:t>
            </m:r>
          </m:sub>
        </m:sSub>
      </m:oMath>
      <w:r w:rsidR="00A1321B" w:rsidRPr="00BB33CC">
        <w:rPr>
          <w:b/>
        </w:rPr>
        <w:t>:</w:t>
      </w:r>
      <w:r w:rsidR="00A1321B" w:rsidRPr="00BB33CC">
        <w:t xml:space="preserve"> Riesgo asociado al país</w:t>
      </w:r>
      <w:r w:rsidR="00AA3D7D" w:rsidRPr="00BB33CC">
        <w:t>.</w:t>
      </w:r>
    </w:p>
    <w:p w:rsidR="00A1321B" w:rsidRPr="00BB33CC" w:rsidRDefault="00A1321B" w:rsidP="00CA1738">
      <w:pPr>
        <w:pStyle w:val="Normalresolucion"/>
        <w:spacing w:after="0" w:line="276" w:lineRule="auto"/>
      </w:pPr>
      <w:r w:rsidRPr="00BB33CC">
        <w:t xml:space="preserve">Este WACC deberá hacer referencia al ejercicio para el cual se presenta la separación </w:t>
      </w:r>
      <w:r w:rsidR="00932970" w:rsidRPr="00BB33CC">
        <w:t>contable y expresarse en términos nominales (</w:t>
      </w:r>
      <w:r w:rsidRPr="00BB33CC">
        <w:t>antes de impuestos</w:t>
      </w:r>
      <w:r w:rsidR="00932970" w:rsidRPr="00BB33CC">
        <w:t>)</w:t>
      </w:r>
      <w:r w:rsidRPr="00BB33CC">
        <w:t xml:space="preserve">. </w:t>
      </w:r>
    </w:p>
    <w:p w:rsidR="007E6FA8" w:rsidRPr="00BB33CC" w:rsidRDefault="007E6FA8" w:rsidP="00C82F0F">
      <w:pPr>
        <w:pStyle w:val="Indentadoresolucin"/>
        <w:numPr>
          <w:ilvl w:val="0"/>
          <w:numId w:val="0"/>
        </w:numPr>
        <w:spacing w:before="240" w:line="276" w:lineRule="auto"/>
      </w:pPr>
      <w:r w:rsidRPr="00BB33CC">
        <w:t xml:space="preserve">El concesionario </w:t>
      </w:r>
      <w:r w:rsidRPr="00BB33CC">
        <w:rPr>
          <w:bCs/>
        </w:rPr>
        <w:t>y/o autorizado</w:t>
      </w:r>
      <w:r w:rsidRPr="00BB33CC">
        <w:t xml:space="preserve"> deberá</w:t>
      </w:r>
      <w:r w:rsidR="00C82F0F" w:rsidRPr="00BB33CC">
        <w:t xml:space="preserve"> detallar, de acuerdo con</w:t>
      </w:r>
      <w:r w:rsidRPr="00BB33CC">
        <w:t xml:space="preserve"> la </w:t>
      </w:r>
      <w:r w:rsidR="00C82F0F" w:rsidRPr="00BB33CC">
        <w:t>metodología</w:t>
      </w:r>
      <w:r w:rsidRPr="00BB33CC">
        <w:t xml:space="preserve"> de</w:t>
      </w:r>
      <w:r w:rsidR="00C82F0F" w:rsidRPr="00BB33CC">
        <w:t>scrita en el presente apartado</w:t>
      </w:r>
      <w:r w:rsidR="0047465F" w:rsidRPr="00BB33CC">
        <w:t>, los insumos, cálculos y procedimiento seguidos para la obtención del WACC,</w:t>
      </w:r>
      <w:r w:rsidR="00C82F0F" w:rsidRPr="00BB33CC">
        <w:t xml:space="preserve"> así como </w:t>
      </w:r>
      <w:r w:rsidRPr="00BB33CC">
        <w:t>con el Formato A3.19 del APARTADO III.</w:t>
      </w:r>
      <w:r w:rsidR="00C82F0F" w:rsidRPr="00BB33CC">
        <w:t xml:space="preserve"> No obstante, cuando el Instituto calcule un WACC para un concesionario y/o autorizado, dicho WACC deberá ser utilizado por el concesionario y/o autorizado en su reporte anual de separación contable, </w:t>
      </w:r>
      <w:r w:rsidR="00A635E5">
        <w:t>una vez realizada la</w:t>
      </w:r>
      <w:r w:rsidR="00C82F0F" w:rsidRPr="00BB33CC">
        <w:t xml:space="preserve"> notificación por parte del Instituto.</w:t>
      </w:r>
    </w:p>
    <w:p w:rsidR="00A1321B" w:rsidRPr="00BB33CC" w:rsidRDefault="00A1321B" w:rsidP="00490321">
      <w:pPr>
        <w:pStyle w:val="Normalresolucion"/>
        <w:spacing w:line="276" w:lineRule="auto"/>
      </w:pPr>
      <w:r w:rsidRPr="00BB33CC">
        <w:t>Una vez obtenido el valor del WACC aplicable, el costo de capital a introducir en la separación contable deberá ser obtenido mediante la siguiente formula:</w:t>
      </w:r>
    </w:p>
    <w:p w:rsidR="00A1321B" w:rsidRPr="00BB33CC" w:rsidRDefault="00A1321B" w:rsidP="00A1321B">
      <w:pPr>
        <w:rPr>
          <w:rFonts w:ascii="ITC Avant Garde" w:eastAsia="Times New Roman" w:hAnsi="ITC Avant Garde" w:cs="Arial"/>
          <w:lang w:val="es-ES" w:eastAsia="es-ES"/>
        </w:rPr>
      </w:pPr>
      <m:oMathPara>
        <m:oMath>
          <m:r>
            <w:rPr>
              <w:rFonts w:ascii="Cambria Math" w:eastAsia="Times New Roman" w:hAnsi="Cambria Math" w:cs="Arial"/>
              <w:lang w:val="es-ES" w:eastAsia="es-ES"/>
            </w:rPr>
            <m:t>Costo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capital 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Capital</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Promedio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WACC</m:t>
          </m:r>
        </m:oMath>
      </m:oMathPara>
    </w:p>
    <w:p w:rsidR="00A1321B" w:rsidRPr="00BB33CC" w:rsidRDefault="00A1321B" w:rsidP="00490321">
      <w:pPr>
        <w:pStyle w:val="Normalresolucion"/>
        <w:spacing w:after="0" w:line="276" w:lineRule="auto"/>
      </w:pPr>
      <w:r w:rsidRPr="00BB33CC">
        <w:t>Donde el capital promedio empleado se define como la diferencia entre los dos siguientes componentes:</w:t>
      </w:r>
    </w:p>
    <w:p w:rsidR="00A1321B" w:rsidRPr="00BB33CC" w:rsidRDefault="00A1321B" w:rsidP="00490321">
      <w:pPr>
        <w:pStyle w:val="Indentadoresolucin"/>
        <w:spacing w:before="240" w:line="276" w:lineRule="auto"/>
      </w:pPr>
      <w:r w:rsidRPr="00BB33CC">
        <w:rPr>
          <w:i/>
        </w:rPr>
        <w:t>Activo fijo y circulante</w:t>
      </w:r>
      <w:r w:rsidR="00065D58" w:rsidRPr="00BB33CC">
        <w:t>:</w:t>
      </w:r>
      <w:r w:rsidRPr="00BB33CC">
        <w:t xml:space="preserve"> excluyendo créditos mercantiles, activos intangibles procedentes de adquisiciones (con excepción de los activos de software y licencias), los activos/pasivos asociados a planes de retiro, así como los saldos relacionados con partidas extraordinarias y no relevantes para la separación contable</w:t>
      </w:r>
      <w:r w:rsidR="00E66245" w:rsidRPr="00BB33CC">
        <w:t>, y</w:t>
      </w:r>
    </w:p>
    <w:p w:rsidR="00A1321B" w:rsidRPr="00BB33CC" w:rsidRDefault="00A1321B" w:rsidP="00490321">
      <w:pPr>
        <w:pStyle w:val="Indentadoresolucin"/>
        <w:spacing w:before="240" w:line="276" w:lineRule="auto"/>
      </w:pPr>
      <w:r w:rsidRPr="00BB33CC">
        <w:rPr>
          <w:i/>
        </w:rPr>
        <w:lastRenderedPageBreak/>
        <w:t>Pasivo circulante</w:t>
      </w:r>
      <w:r w:rsidR="00065D58" w:rsidRPr="00BB33CC">
        <w:t>:</w:t>
      </w:r>
      <w:r w:rsidRPr="00BB33CC">
        <w:t xml:space="preserve"> excluidos pasivos por impuestos corrientes y diferidos, los dividendos a pagar, así como préstamos.</w:t>
      </w:r>
    </w:p>
    <w:p w:rsidR="00A1321B" w:rsidRPr="00BB33CC" w:rsidRDefault="00596272" w:rsidP="00490321">
      <w:pPr>
        <w:pStyle w:val="Normalresolucion"/>
        <w:spacing w:line="276" w:lineRule="auto"/>
      </w:pPr>
      <w:r w:rsidRPr="00BB33CC">
        <w:t>E</w:t>
      </w:r>
      <w:r w:rsidR="00A1321B" w:rsidRPr="00BB33CC">
        <w:t xml:space="preserve">l cálculo del costo de capital empleado se </w:t>
      </w:r>
      <w:r w:rsidRPr="00BB33CC">
        <w:t xml:space="preserve">debe </w:t>
      </w:r>
      <w:r w:rsidR="00A1321B" w:rsidRPr="00BB33CC">
        <w:t>re-expresar como:</w:t>
      </w:r>
    </w:p>
    <w:p w:rsidR="00A1321B" w:rsidRPr="00BB33CC" w:rsidRDefault="00A1321B" w:rsidP="00A1321B">
      <m:oMathPara>
        <m:oMath>
          <m:r>
            <w:rPr>
              <w:rFonts w:ascii="Cambria Math" w:hAnsi="Cambria Math"/>
              <w:sz w:val="20"/>
            </w:rPr>
            <m:t>Costo de capital empleado=Costo Capital+Costo Capital Trabajo=ActivoFijo·WACC+</m:t>
          </m:r>
          <m:d>
            <m:dPr>
              <m:ctrlPr>
                <w:rPr>
                  <w:rFonts w:ascii="Cambria Math" w:hAnsi="Cambria Math"/>
                  <w:i/>
                  <w:sz w:val="20"/>
                </w:rPr>
              </m:ctrlPr>
            </m:dPr>
            <m:e>
              <m:r>
                <w:rPr>
                  <w:rFonts w:ascii="Cambria Math" w:hAnsi="Cambria Math"/>
                  <w:sz w:val="20"/>
                </w:rPr>
                <m:t>ActivoCirculante-PasivoCirculante</m:t>
              </m:r>
            </m:e>
          </m:d>
          <m:r>
            <w:rPr>
              <w:rFonts w:ascii="Cambria Math" w:hAnsi="Cambria Math"/>
              <w:sz w:val="20"/>
            </w:rPr>
            <m:t>·WACC</m:t>
          </m:r>
        </m:oMath>
      </m:oMathPara>
    </w:p>
    <w:p w:rsidR="00A1321B" w:rsidRPr="00BB33CC" w:rsidRDefault="00596272" w:rsidP="00490321">
      <w:pPr>
        <w:pStyle w:val="Normalresolucion"/>
        <w:spacing w:after="0" w:line="276" w:lineRule="auto"/>
      </w:pPr>
      <w:r w:rsidRPr="00BB33CC">
        <w:t>C</w:t>
      </w:r>
      <w:r w:rsidR="00A1321B" w:rsidRPr="00BB33CC">
        <w:t xml:space="preserve">on el objetivo de evitar la doble contabilización de los costos e ingresos financieros en la separación contable (ya representados por el concepto del costo de capital empleado), se deberá asegurar que estos conceptos contables no sean asignados a las cuentas de servicios finales solicitados por el Instituto. Para ello, estos rubros deben ser </w:t>
      </w:r>
      <w:r w:rsidR="000E1BE7" w:rsidRPr="00BB33CC">
        <w:t xml:space="preserve">incluidos </w:t>
      </w:r>
      <w:r w:rsidR="00A1321B" w:rsidRPr="00BB33CC">
        <w:t>en una cuenta</w:t>
      </w:r>
      <w:r w:rsidR="001E358B" w:rsidRPr="00BB33CC">
        <w:t xml:space="preserve"> denominada</w:t>
      </w:r>
      <w:r w:rsidR="00A1321B" w:rsidRPr="00BB33CC">
        <w:t xml:space="preserve"> “No atribuibles a la actividad”. </w:t>
      </w:r>
    </w:p>
    <w:p w:rsidR="00A1321B" w:rsidRPr="00BB33CC" w:rsidRDefault="00411AE9" w:rsidP="00490321">
      <w:pPr>
        <w:pStyle w:val="Normalresolucion"/>
        <w:spacing w:after="0" w:line="276" w:lineRule="auto"/>
      </w:pPr>
      <w:r w:rsidRPr="00BB33CC">
        <w:rPr>
          <w:b/>
        </w:rPr>
        <w:t>NOVENA.-</w:t>
      </w:r>
      <w:r w:rsidRPr="00BB33CC">
        <w:t xml:space="preserve"> Los concesionarios y/o autorizados </w:t>
      </w:r>
      <w:r w:rsidR="00A1321B" w:rsidRPr="00BB33CC">
        <w:t>debe</w:t>
      </w:r>
      <w:r w:rsidRPr="00BB33CC">
        <w:t>n</w:t>
      </w:r>
      <w:r w:rsidR="00A1321B" w:rsidRPr="00BB33CC">
        <w:t xml:space="preserve"> aplicar una metodología de </w:t>
      </w:r>
      <w:r w:rsidRPr="00BB33CC">
        <w:t>CCD</w:t>
      </w:r>
      <w:r w:rsidR="00A1321B" w:rsidRPr="00BB33CC">
        <w:t xml:space="preserve"> mediante la cual los costos provenientes de la contabilidad financiera sean distribuidos a lo largo de las diferentes etapas o niveles de la separación contable. Los costos que se deben distribuir entre los distintos servicios se </w:t>
      </w:r>
      <w:r w:rsidRPr="00BB33CC">
        <w:t xml:space="preserve">deben </w:t>
      </w:r>
      <w:r w:rsidR="00A1321B" w:rsidRPr="00BB33CC">
        <w:t>catalogar de la siguiente forma</w:t>
      </w:r>
      <w:r w:rsidR="00230999" w:rsidRPr="00BB33CC">
        <w:t>:</w:t>
      </w:r>
    </w:p>
    <w:p w:rsidR="00A1321B" w:rsidRPr="00BB33CC" w:rsidRDefault="00A1321B" w:rsidP="00490321">
      <w:pPr>
        <w:pStyle w:val="Indentadoresolucin"/>
        <w:spacing w:before="240" w:line="276" w:lineRule="auto"/>
        <w:rPr>
          <w:lang w:val="es-MX"/>
        </w:rPr>
      </w:pPr>
      <w:r w:rsidRPr="00BB33CC">
        <w:rPr>
          <w:i/>
          <w:iCs/>
        </w:rPr>
        <w:t>Costos directos</w:t>
      </w:r>
      <w:r w:rsidR="00411AE9" w:rsidRPr="00BB33CC">
        <w:rPr>
          <w:iCs/>
        </w:rPr>
        <w:t>:</w:t>
      </w:r>
      <w:r w:rsidR="00411AE9" w:rsidRPr="00BB33CC">
        <w:rPr>
          <w:i/>
          <w:iCs/>
        </w:rPr>
        <w:t xml:space="preserve"> </w:t>
      </w:r>
      <w:r w:rsidRPr="00BB33CC">
        <w:t>son aquellos costos que pueden ser asociados a un determinado servicio de manera directa y que no necesitan criterios de reparto para su distribución a lo largo de la separación contable</w:t>
      </w:r>
      <w:r w:rsidR="00411AE9" w:rsidRPr="00BB33CC">
        <w:t>;</w:t>
      </w:r>
      <w:r w:rsidRPr="00BB33CC">
        <w:t xml:space="preserve"> </w:t>
      </w:r>
    </w:p>
    <w:p w:rsidR="00A1321B" w:rsidRPr="00BB33CC" w:rsidRDefault="00A1321B" w:rsidP="00490321">
      <w:pPr>
        <w:pStyle w:val="Indentadoresolucin"/>
        <w:spacing w:before="240" w:line="276" w:lineRule="auto"/>
      </w:pPr>
      <w:r w:rsidRPr="00BB33CC">
        <w:rPr>
          <w:i/>
          <w:iCs/>
        </w:rPr>
        <w:t>Costos indirectos</w:t>
      </w:r>
      <w:r w:rsidR="00411AE9" w:rsidRPr="00BB33CC">
        <w:t>:</w:t>
      </w:r>
      <w:r w:rsidRPr="00BB33CC">
        <w:t xml:space="preserve"> son aquellos costos compartidos entre </w:t>
      </w:r>
      <w:r w:rsidR="00066624" w:rsidRPr="00BB33CC">
        <w:t>dos</w:t>
      </w:r>
      <w:r w:rsidRPr="00BB33CC">
        <w:t xml:space="preserve"> o más servicios, los cuales necesitan de la definición de criterios de atribución causales para distribuirlos,</w:t>
      </w:r>
      <w:r w:rsidR="00411AE9" w:rsidRPr="00BB33CC">
        <w:t xml:space="preserve"> y</w:t>
      </w:r>
    </w:p>
    <w:p w:rsidR="00A1321B" w:rsidRPr="00BB33CC" w:rsidRDefault="00A1321B" w:rsidP="00490321">
      <w:pPr>
        <w:pStyle w:val="Indentadoresolucin"/>
        <w:spacing w:before="240" w:line="276" w:lineRule="auto"/>
      </w:pPr>
      <w:r w:rsidRPr="00BB33CC">
        <w:rPr>
          <w:i/>
          <w:iCs/>
        </w:rPr>
        <w:t>Costos generales</w:t>
      </w:r>
      <w:r w:rsidR="00411AE9" w:rsidRPr="00BB33CC">
        <w:t>:</w:t>
      </w:r>
      <w:r w:rsidRPr="00BB33CC">
        <w:t xml:space="preserve"> son aquellos para los que no se identifican criterios de reparto que permitan una distribución causal a servicios y para los cuales es necesario emplear márgenes equiproporcionales para su reparto </w:t>
      </w:r>
      <w:r w:rsidR="0076094B" w:rsidRPr="00BB33CC">
        <w:t xml:space="preserve">en </w:t>
      </w:r>
      <w:r w:rsidRPr="00BB33CC">
        <w:t>etapas posteriores de la separación contable.</w:t>
      </w:r>
    </w:p>
    <w:p w:rsidR="00D577AE" w:rsidRPr="00BB33CC" w:rsidRDefault="00D577AE" w:rsidP="00280B31">
      <w:pPr>
        <w:pStyle w:val="Indentadoresolucin"/>
        <w:numPr>
          <w:ilvl w:val="0"/>
          <w:numId w:val="0"/>
        </w:numPr>
        <w:spacing w:before="240" w:line="276" w:lineRule="auto"/>
        <w:ind w:left="928"/>
        <w:rPr>
          <w:i/>
        </w:rPr>
      </w:pPr>
      <w:r w:rsidRPr="00BB33CC">
        <w:t>Para la distribución de los costos generales, estos no deberán representar un porcentaje superior al 10% en cualquiera de las etapas o niveles de la separación contable</w:t>
      </w:r>
      <w:r w:rsidRPr="00BB33CC">
        <w:rPr>
          <w:i/>
        </w:rPr>
        <w:t>.</w:t>
      </w:r>
    </w:p>
    <w:p w:rsidR="00A1321B" w:rsidRPr="00BB33CC" w:rsidRDefault="00A1321B" w:rsidP="00E83DC7">
      <w:pPr>
        <w:pStyle w:val="Normalresolucion"/>
        <w:spacing w:after="0" w:line="276" w:lineRule="auto"/>
      </w:pPr>
      <w:r w:rsidRPr="00BB33CC">
        <w:t xml:space="preserve">Para la implementación de la metodología de CCD se debe extraer la información de los registros contables, de los diferentes sistemas de información del </w:t>
      </w:r>
      <w:r w:rsidR="00886E9B" w:rsidRPr="00BB33CC">
        <w:t xml:space="preserve">concesionario y/o autorizado </w:t>
      </w:r>
      <w:r w:rsidRPr="00BB33CC">
        <w:t xml:space="preserve">y de estudios técnicos de la infraestructura de red y de </w:t>
      </w:r>
      <w:r w:rsidR="0025515C" w:rsidRPr="00BB33CC">
        <w:t xml:space="preserve">sus </w:t>
      </w:r>
      <w:r w:rsidRPr="00BB33CC">
        <w:t>operaciones, los cuales debe</w:t>
      </w:r>
      <w:r w:rsidR="0076094B" w:rsidRPr="00BB33CC">
        <w:t>rá</w:t>
      </w:r>
      <w:r w:rsidRPr="00BB33CC">
        <w:t xml:space="preserve">n reflejar la planta actual del </w:t>
      </w:r>
      <w:r w:rsidR="00C674D0" w:rsidRPr="00BB33CC">
        <w:t xml:space="preserve">concesionario y/o autorizado </w:t>
      </w:r>
      <w:r w:rsidRPr="00BB33CC">
        <w:t xml:space="preserve">considerando </w:t>
      </w:r>
      <w:r w:rsidR="00024566" w:rsidRPr="00BB33CC">
        <w:t>su</w:t>
      </w:r>
      <w:r w:rsidRPr="00BB33CC">
        <w:t xml:space="preserve"> uso.</w:t>
      </w:r>
    </w:p>
    <w:p w:rsidR="00A1321B" w:rsidRPr="00BB33CC" w:rsidRDefault="00411AE9" w:rsidP="00E83DC7">
      <w:pPr>
        <w:pStyle w:val="Normalresolucion"/>
        <w:spacing w:after="0" w:line="276" w:lineRule="auto"/>
      </w:pPr>
      <w:r w:rsidRPr="00BB33CC">
        <w:rPr>
          <w:b/>
        </w:rPr>
        <w:lastRenderedPageBreak/>
        <w:t xml:space="preserve">DÉCIMA.- </w:t>
      </w:r>
      <w:r w:rsidR="0025515C" w:rsidRPr="00BB33CC">
        <w:t>Los concesionarios y/o autorizados deben reportar l</w:t>
      </w:r>
      <w:r w:rsidR="005D2E4F" w:rsidRPr="00BB33CC">
        <w:t>os</w:t>
      </w:r>
      <w:r w:rsidR="00A1321B" w:rsidRPr="00BB33CC">
        <w:t xml:space="preserve"> cargos de transferencia </w:t>
      </w:r>
      <w:r w:rsidR="005D2E4F" w:rsidRPr="00BB33CC">
        <w:t xml:space="preserve">de la separación contable </w:t>
      </w:r>
      <w:r w:rsidR="00A1321B" w:rsidRPr="00BB33CC">
        <w:t>como costos dentro de los resultados del segmento minorista y como ingresos dentro de los resultados del segmento mayorista, como si el segmento mayorista brindara los servicios de red al segmento minorista de la propia empresa.</w:t>
      </w:r>
    </w:p>
    <w:p w:rsidR="00A1321B" w:rsidRPr="00BB33CC" w:rsidRDefault="00A1321B" w:rsidP="00E83DC7">
      <w:pPr>
        <w:pStyle w:val="Normalresolucion"/>
        <w:spacing w:after="0" w:line="276" w:lineRule="auto"/>
      </w:pPr>
      <w:r w:rsidRPr="00BB33CC">
        <w:t>El cálculo de las transferencias entre ambos segmentos se deberá realizar como el producto del volumen del servicio proporcionado</w:t>
      </w:r>
      <w:r w:rsidR="005D2E4F" w:rsidRPr="00BB33CC">
        <w:t xml:space="preserve"> </w:t>
      </w:r>
      <w:r w:rsidRPr="00BB33CC">
        <w:t xml:space="preserve">por un </w:t>
      </w:r>
      <w:r w:rsidR="00C315F8">
        <w:t>cargo</w:t>
      </w:r>
      <w:r w:rsidRPr="00BB33CC">
        <w:t xml:space="preserve"> de transferencia unitario. </w:t>
      </w:r>
    </w:p>
    <w:p w:rsidR="00A1321B" w:rsidRPr="00BB33CC" w:rsidRDefault="005D2E4F" w:rsidP="00CA1738">
      <w:pPr>
        <w:pStyle w:val="Normalresolucion"/>
        <w:spacing w:after="0" w:line="276" w:lineRule="auto"/>
      </w:pPr>
      <w:r w:rsidRPr="00BB33CC">
        <w:t xml:space="preserve">Los </w:t>
      </w:r>
      <w:r w:rsidR="00C315F8">
        <w:t>cargos</w:t>
      </w:r>
      <w:r w:rsidR="00A1321B" w:rsidRPr="00BB33CC">
        <w:t xml:space="preserve"> unitarios deben ser extraídos de acuerdo a los mecanismos presentados a continuación, por orden de prioridad:</w:t>
      </w:r>
    </w:p>
    <w:p w:rsidR="00A1321B" w:rsidRPr="00BB33CC" w:rsidRDefault="00A1321B" w:rsidP="00E83DC7">
      <w:pPr>
        <w:pStyle w:val="Indentadoresolucin"/>
        <w:numPr>
          <w:ilvl w:val="0"/>
          <w:numId w:val="90"/>
        </w:numPr>
        <w:spacing w:before="240" w:line="276" w:lineRule="auto"/>
        <w:ind w:left="714" w:hanging="357"/>
      </w:pPr>
      <w:r w:rsidRPr="00BB33CC">
        <w:rPr>
          <w:i/>
          <w:iCs/>
        </w:rPr>
        <w:t>Tarifas reguladas mayoristas</w:t>
      </w:r>
      <w:r w:rsidR="003857BC" w:rsidRPr="00BB33CC">
        <w:rPr>
          <w:i/>
          <w:iCs/>
        </w:rPr>
        <w:t xml:space="preserve">, </w:t>
      </w:r>
      <w:r w:rsidR="00986326" w:rsidRPr="00BB33CC">
        <w:t xml:space="preserve">autorizadas por el </w:t>
      </w:r>
      <w:r w:rsidR="00E83DC7" w:rsidRPr="00BB33CC">
        <w:t>Instituto</w:t>
      </w:r>
      <w:r w:rsidR="005D2E4F" w:rsidRPr="00BB33CC">
        <w:t>;</w:t>
      </w:r>
    </w:p>
    <w:p w:rsidR="00A1321B" w:rsidRPr="00BB33CC" w:rsidRDefault="00A1321B" w:rsidP="00CA1738">
      <w:pPr>
        <w:pStyle w:val="Indentadoresolucin"/>
        <w:numPr>
          <w:ilvl w:val="0"/>
          <w:numId w:val="90"/>
        </w:numPr>
        <w:spacing w:before="240" w:line="276" w:lineRule="auto"/>
        <w:ind w:left="714" w:hanging="357"/>
      </w:pPr>
      <w:r w:rsidRPr="00BB33CC">
        <w:rPr>
          <w:i/>
          <w:iCs/>
        </w:rPr>
        <w:t>Tarifas comerciales mayoristas</w:t>
      </w:r>
      <w:r w:rsidRPr="00BB33CC">
        <w:t xml:space="preserve"> que pudiera haber convenido el </w:t>
      </w:r>
      <w:r w:rsidR="00E83CC9" w:rsidRPr="00BB33CC">
        <w:rPr>
          <w:bCs/>
          <w:lang w:val="es-MX"/>
        </w:rPr>
        <w:t>concesionario</w:t>
      </w:r>
      <w:r w:rsidR="009B59A8" w:rsidRPr="00BB33CC">
        <w:rPr>
          <w:bCs/>
          <w:lang w:val="es-MX"/>
        </w:rPr>
        <w:t xml:space="preserve"> </w:t>
      </w:r>
      <w:r w:rsidR="00E83CC9" w:rsidRPr="00BB33CC">
        <w:rPr>
          <w:bCs/>
          <w:lang w:val="es-MX"/>
        </w:rPr>
        <w:t>y/o autorizado</w:t>
      </w:r>
      <w:r w:rsidRPr="00BB33CC">
        <w:t xml:space="preserve"> con terceros para la prestación de un determinado servicio</w:t>
      </w:r>
      <w:r w:rsidR="005D2E4F" w:rsidRPr="00BB33CC">
        <w:t>;</w:t>
      </w:r>
    </w:p>
    <w:p w:rsidR="00A1321B" w:rsidRPr="00BB33CC" w:rsidRDefault="00A1321B" w:rsidP="00CA1738">
      <w:pPr>
        <w:pStyle w:val="Indentadoresolucin"/>
        <w:numPr>
          <w:ilvl w:val="0"/>
          <w:numId w:val="90"/>
        </w:numPr>
        <w:spacing w:before="240" w:line="276" w:lineRule="auto"/>
        <w:ind w:left="714" w:hanging="357"/>
      </w:pPr>
      <w:r w:rsidRPr="00BB33CC">
        <w:rPr>
          <w:i/>
          <w:iCs/>
        </w:rPr>
        <w:t>Ingreso unitario promedio recibido en el ejercicio</w:t>
      </w:r>
      <w:r w:rsidRPr="00BB33CC">
        <w:t xml:space="preserve"> por parte del </w:t>
      </w:r>
      <w:r w:rsidR="00C674D0" w:rsidRPr="00BB33CC">
        <w:t>concesionario y/o autorizado</w:t>
      </w:r>
      <w:r w:rsidR="005D2E4F" w:rsidRPr="00BB33CC">
        <w:t>, y</w:t>
      </w:r>
    </w:p>
    <w:p w:rsidR="00A1321B" w:rsidRPr="00BB33CC" w:rsidRDefault="00A1321B" w:rsidP="00CA1738">
      <w:pPr>
        <w:pStyle w:val="Indentadoresolucin"/>
        <w:numPr>
          <w:ilvl w:val="0"/>
          <w:numId w:val="90"/>
        </w:numPr>
        <w:spacing w:before="240" w:line="276" w:lineRule="auto"/>
        <w:ind w:left="714" w:hanging="357"/>
      </w:pPr>
      <w:r w:rsidRPr="00BB33CC">
        <w:rPr>
          <w:i/>
          <w:iCs/>
        </w:rPr>
        <w:t>Costo unitario promedio del servicio mayorista</w:t>
      </w:r>
      <w:r w:rsidRPr="00BB33CC">
        <w:t xml:space="preserve"> basado en el costo del servicio extraído de la propia separación contable, incluyendo el costo del capital empleado.</w:t>
      </w:r>
    </w:p>
    <w:p w:rsidR="001529DE" w:rsidRPr="00BB33CC" w:rsidRDefault="001529DE" w:rsidP="003400C1">
      <w:pPr>
        <w:pStyle w:val="Normalresolucion"/>
        <w:spacing w:after="0" w:line="276" w:lineRule="auto"/>
      </w:pPr>
      <w:r w:rsidRPr="00BB33CC">
        <w:t>El orden de prioridad consiste en emplear la primera fuente</w:t>
      </w:r>
      <w:r w:rsidR="0090571C" w:rsidRPr="00BB33CC">
        <w:t xml:space="preserve"> (t</w:t>
      </w:r>
      <w:r w:rsidR="00B54E46" w:rsidRPr="00BB33CC">
        <w:t>arifas reguladas mayoristas)</w:t>
      </w:r>
      <w:r w:rsidRPr="00BB33CC">
        <w:t xml:space="preserve">, siempre que </w:t>
      </w:r>
      <w:r w:rsidR="00B54E46" w:rsidRPr="00BB33CC">
        <w:t>e</w:t>
      </w:r>
      <w:r w:rsidRPr="00BB33CC">
        <w:t xml:space="preserve">sta se encuentre disponible. De no existir tarifas reguladas para el servicio bajo análisis, se procederá a la extracción de los </w:t>
      </w:r>
      <w:r w:rsidR="00C315F8">
        <w:t>cargos</w:t>
      </w:r>
      <w:r w:rsidRPr="00BB33CC">
        <w:t xml:space="preserve"> de transferencia unitarios mediante la segunda alternativa, y así sucesivamente.</w:t>
      </w:r>
    </w:p>
    <w:p w:rsidR="00A1321B" w:rsidRPr="00BB33CC" w:rsidRDefault="00D77BFE" w:rsidP="003400C1">
      <w:pPr>
        <w:pStyle w:val="Normalresolucion"/>
        <w:spacing w:after="0" w:line="276" w:lineRule="auto"/>
      </w:pPr>
      <w:r w:rsidRPr="00BB33CC">
        <w:t xml:space="preserve">En el caso de </w:t>
      </w:r>
      <w:r w:rsidR="0090571C" w:rsidRPr="00BB33CC">
        <w:t>que las t</w:t>
      </w:r>
      <w:r w:rsidRPr="00BB33CC">
        <w:t>arifas comerciales mayoristas estén sujetas a un descuento por volumen, el concesionario y/o autorizado no deberá aplicar</w:t>
      </w:r>
      <w:r w:rsidR="0090571C" w:rsidRPr="00BB33CC">
        <w:t>se</w:t>
      </w:r>
      <w:r w:rsidRPr="00BB33CC">
        <w:t xml:space="preserve"> un descuento </w:t>
      </w:r>
      <w:r w:rsidR="0090571C" w:rsidRPr="00BB33CC">
        <w:t xml:space="preserve">mayor que el descuento </w:t>
      </w:r>
      <w:r w:rsidRPr="00BB33CC">
        <w:t xml:space="preserve">promedio </w:t>
      </w:r>
      <w:r w:rsidR="0090571C" w:rsidRPr="00BB33CC">
        <w:t xml:space="preserve">ponderado que le aplica a </w:t>
      </w:r>
      <w:r w:rsidRPr="00BB33CC">
        <w:t>tercero</w:t>
      </w:r>
      <w:r w:rsidR="0090571C" w:rsidRPr="00BB33CC">
        <w:t>s</w:t>
      </w:r>
      <w:r w:rsidRPr="00BB33CC">
        <w:t>.</w:t>
      </w:r>
    </w:p>
    <w:p w:rsidR="009B4BB0" w:rsidRPr="00BB33CC" w:rsidRDefault="00BF1296" w:rsidP="0084507C">
      <w:pPr>
        <w:pStyle w:val="Normalresolucion"/>
        <w:spacing w:after="0" w:line="276" w:lineRule="auto"/>
      </w:pPr>
      <w:r w:rsidRPr="00BB33CC">
        <w:rPr>
          <w:b/>
          <w:bCs/>
        </w:rPr>
        <w:t>DÉCIMA PRIMERA.-</w:t>
      </w:r>
      <w:r w:rsidR="00585DF7" w:rsidRPr="00BB33CC">
        <w:rPr>
          <w:b/>
          <w:bCs/>
        </w:rPr>
        <w:t xml:space="preserve"> </w:t>
      </w:r>
      <w:r w:rsidR="00585DF7" w:rsidRPr="00BB33CC">
        <w:t xml:space="preserve">Los concesionarios </w:t>
      </w:r>
      <w:r w:rsidR="00585DF7" w:rsidRPr="00BB33CC">
        <w:rPr>
          <w:bCs/>
        </w:rPr>
        <w:t>y/o autorizados</w:t>
      </w:r>
      <w:r w:rsidR="00585DF7" w:rsidRPr="00BB33CC">
        <w:t xml:space="preserve"> deben </w:t>
      </w:r>
      <w:r w:rsidR="009B4BB0" w:rsidRPr="00BB33CC">
        <w:t>adopta</w:t>
      </w:r>
      <w:r w:rsidR="00585DF7" w:rsidRPr="00BB33CC">
        <w:t>r</w:t>
      </w:r>
      <w:r w:rsidR="009B4BB0" w:rsidRPr="00BB33CC">
        <w:t xml:space="preserve"> una estructura basada, como mínimo, en 3 etapas o niveles</w:t>
      </w:r>
      <w:r w:rsidR="006F373C" w:rsidRPr="00BB33CC">
        <w:t xml:space="preserve"> conforme a la desagregación mínima del A</w:t>
      </w:r>
      <w:r w:rsidR="00CF6062" w:rsidRPr="00BB33CC">
        <w:t>PARTADO</w:t>
      </w:r>
      <w:r w:rsidR="006F373C" w:rsidRPr="00BB33CC">
        <w:t xml:space="preserve"> </w:t>
      </w:r>
      <w:r w:rsidR="00CF6062" w:rsidRPr="00BB33CC">
        <w:t>I</w:t>
      </w:r>
      <w:r w:rsidR="009B4BB0" w:rsidRPr="00BB33CC">
        <w:t xml:space="preserve">, más el nivel </w:t>
      </w:r>
      <w:r w:rsidR="00944509" w:rsidRPr="00BB33CC">
        <w:t>inicial</w:t>
      </w:r>
      <w:r w:rsidR="009B4BB0" w:rsidRPr="00BB33CC">
        <w:t xml:space="preserve"> correspondiente al </w:t>
      </w:r>
      <w:r w:rsidR="00585DF7" w:rsidRPr="00BB33CC">
        <w:t>b</w:t>
      </w:r>
      <w:r w:rsidR="009B4BB0" w:rsidRPr="00BB33CC">
        <w:t xml:space="preserve">alance de </w:t>
      </w:r>
      <w:r w:rsidR="00585DF7" w:rsidRPr="00BB33CC">
        <w:t>p</w:t>
      </w:r>
      <w:r w:rsidR="009B4BB0" w:rsidRPr="00BB33CC">
        <w:t xml:space="preserve">rueba, con 3 fases de </w:t>
      </w:r>
      <w:r w:rsidR="00754151" w:rsidRPr="00BB33CC">
        <w:t>atribución</w:t>
      </w:r>
      <w:r w:rsidR="00F92027" w:rsidRPr="00BB33CC">
        <w:t xml:space="preserve"> conforme a lo siguiente:</w:t>
      </w:r>
    </w:p>
    <w:p w:rsidR="00F92027" w:rsidRPr="00BB33CC" w:rsidRDefault="00F92027" w:rsidP="0084507C">
      <w:pPr>
        <w:pStyle w:val="Normalresolucion"/>
        <w:spacing w:after="0" w:line="276" w:lineRule="auto"/>
        <w:rPr>
          <w:bCs/>
          <w:u w:val="single"/>
        </w:rPr>
      </w:pPr>
      <w:r w:rsidRPr="00BB33CC">
        <w:rPr>
          <w:bCs/>
          <w:u w:val="single"/>
        </w:rPr>
        <w:t>Nivel 0: Balance de Prueba</w:t>
      </w:r>
    </w:p>
    <w:p w:rsidR="00F92027" w:rsidRPr="00BB33CC" w:rsidRDefault="00F92027" w:rsidP="005B354F">
      <w:pPr>
        <w:pStyle w:val="Normalresolucion"/>
        <w:spacing w:after="0" w:line="276" w:lineRule="auto"/>
      </w:pPr>
      <w:r w:rsidRPr="00BB33CC">
        <w:t xml:space="preserve">Los siguientes insumos procedentes del balance de prueba del concesionario </w:t>
      </w:r>
      <w:r w:rsidRPr="00BB33CC">
        <w:rPr>
          <w:bCs/>
        </w:rPr>
        <w:t>y/o autorizado</w:t>
      </w:r>
      <w:r w:rsidRPr="00BB33CC">
        <w:t xml:space="preserve"> </w:t>
      </w:r>
      <w:r w:rsidR="00B97EA4" w:rsidRPr="00BB33CC">
        <w:t xml:space="preserve">deben constituir </w:t>
      </w:r>
      <w:r w:rsidRPr="00BB33CC">
        <w:t>el Nivel 0 de entrada a la separación contable:</w:t>
      </w:r>
    </w:p>
    <w:p w:rsidR="00F92027" w:rsidRPr="00BB33CC" w:rsidRDefault="00F92027" w:rsidP="005B354F">
      <w:pPr>
        <w:pStyle w:val="Indentadoresolucin"/>
        <w:spacing w:before="240" w:line="276" w:lineRule="auto"/>
      </w:pPr>
      <w:r w:rsidRPr="00BB33CC">
        <w:lastRenderedPageBreak/>
        <w:t>Cuentas financieras de ingresos</w:t>
      </w:r>
      <w:r w:rsidR="00F658DC" w:rsidRPr="00BB33CC">
        <w:t>;</w:t>
      </w:r>
    </w:p>
    <w:p w:rsidR="00F92027" w:rsidRPr="00BB33CC" w:rsidRDefault="00F92027" w:rsidP="005B354F">
      <w:pPr>
        <w:pStyle w:val="Indentadoresolucin"/>
        <w:spacing w:before="240" w:line="276" w:lineRule="auto"/>
      </w:pPr>
      <w:r w:rsidRPr="00BB33CC">
        <w:t>Cuentas financieras de gastos</w:t>
      </w:r>
      <w:r w:rsidR="00F658DC" w:rsidRPr="00BB33CC">
        <w:t>, y</w:t>
      </w:r>
    </w:p>
    <w:p w:rsidR="00F92027" w:rsidRPr="00BB33CC" w:rsidRDefault="00F92027" w:rsidP="005B354F">
      <w:pPr>
        <w:pStyle w:val="Indentadoresolucin"/>
        <w:spacing w:before="240" w:line="276" w:lineRule="auto"/>
      </w:pPr>
      <w:r w:rsidRPr="00BB33CC">
        <w:t>Cuentas financieras de activos y pasivos</w:t>
      </w:r>
      <w:r w:rsidR="00F658DC" w:rsidRPr="00BB33CC">
        <w:t>.</w:t>
      </w:r>
    </w:p>
    <w:p w:rsidR="00F92027" w:rsidRPr="00BB33CC" w:rsidRDefault="00F92027" w:rsidP="005B354F">
      <w:pPr>
        <w:pStyle w:val="Normalresolucion"/>
        <w:spacing w:after="0" w:line="276" w:lineRule="auto"/>
      </w:pPr>
      <w:r w:rsidRPr="00BB33CC">
        <w:t>En cada una de las etapas de atribución se procede a una agrupación o distribución de los ingresos, costos, activos y pasivos incluidos en las anteriores cuentas con el objetivo de garantizar que las asignaciones a servicios (Nivel 3) se realicen mediante criterios de reparto causales y transparentes.</w:t>
      </w:r>
    </w:p>
    <w:p w:rsidR="00F92027" w:rsidRPr="00BB33CC" w:rsidRDefault="00F92027" w:rsidP="0084507C">
      <w:pPr>
        <w:pStyle w:val="Normalresolucion"/>
        <w:spacing w:after="0" w:line="276" w:lineRule="auto"/>
        <w:rPr>
          <w:bCs/>
          <w:u w:val="single"/>
        </w:rPr>
      </w:pPr>
      <w:r w:rsidRPr="00BB33CC">
        <w:rPr>
          <w:bCs/>
          <w:u w:val="single"/>
        </w:rPr>
        <w:t>Nivel 1: Cuentas por Naturaleza</w:t>
      </w:r>
    </w:p>
    <w:p w:rsidR="00F92027" w:rsidRPr="00BB33CC" w:rsidRDefault="00F92027" w:rsidP="0084507C">
      <w:pPr>
        <w:pStyle w:val="Normalresolucion"/>
        <w:spacing w:after="0" w:line="276" w:lineRule="auto"/>
      </w:pPr>
      <w:r w:rsidRPr="00BB33CC">
        <w:rPr>
          <w:lang w:val="es-MX"/>
        </w:rPr>
        <w:t>En</w:t>
      </w:r>
      <w:r w:rsidRPr="00BB33CC">
        <w:t xml:space="preserve"> el primer nivel de la separación contable se deben agrupar las cuentas de</w:t>
      </w:r>
      <w:r w:rsidRPr="00BB33CC">
        <w:rPr>
          <w:b/>
          <w:bCs/>
        </w:rPr>
        <w:t xml:space="preserve"> </w:t>
      </w:r>
      <w:r w:rsidRPr="00BB33CC">
        <w:rPr>
          <w:bCs/>
        </w:rPr>
        <w:t xml:space="preserve">ingresos provenientes de la contabilidad financiera </w:t>
      </w:r>
      <w:r w:rsidRPr="00BB33CC">
        <w:t xml:space="preserve">con el objetivo de facilitar su posterior reparto a las cuentas de servicios mediante criterios de asignación causales. En función de su naturaleza, los concesionarios </w:t>
      </w:r>
      <w:r w:rsidR="00BD4646" w:rsidRPr="00BB33CC">
        <w:t xml:space="preserve">y/o autorizados </w:t>
      </w:r>
      <w:r w:rsidRPr="00BB33CC">
        <w:t>deben utilizar la siguiente clasificación:</w:t>
      </w:r>
    </w:p>
    <w:p w:rsidR="00F92027" w:rsidRPr="00BB33CC" w:rsidRDefault="00F92027" w:rsidP="0084507C">
      <w:pPr>
        <w:pStyle w:val="Indentadoresolucin"/>
        <w:spacing w:before="240" w:line="276" w:lineRule="auto"/>
        <w:rPr>
          <w:lang w:val="es-MX"/>
        </w:rPr>
      </w:pPr>
      <w:r w:rsidRPr="00BB33CC">
        <w:rPr>
          <w:i/>
          <w:iCs/>
        </w:rPr>
        <w:t>Ingresos operativos</w:t>
      </w:r>
      <w:r w:rsidR="00001AD5" w:rsidRPr="00BB33CC">
        <w:t xml:space="preserve">: </w:t>
      </w:r>
      <w:r w:rsidRPr="00BB33CC">
        <w:t>procedentes de la venta de servicios objeto del negocio, por parte del concesionario y/o autorizado.</w:t>
      </w:r>
    </w:p>
    <w:p w:rsidR="00F92027" w:rsidRPr="00BB33CC" w:rsidRDefault="00F92027" w:rsidP="0084507C">
      <w:pPr>
        <w:pStyle w:val="Indentadoresolucin"/>
        <w:spacing w:before="240" w:line="276" w:lineRule="auto"/>
        <w:rPr>
          <w:lang w:val="es-MX"/>
        </w:rPr>
      </w:pPr>
      <w:r w:rsidRPr="00BB33CC">
        <w:rPr>
          <w:i/>
          <w:iCs/>
        </w:rPr>
        <w:t>Ingresos no operativos</w:t>
      </w:r>
      <w:r w:rsidR="00001AD5" w:rsidRPr="00BB33CC">
        <w:rPr>
          <w:iCs/>
        </w:rPr>
        <w:t>:</w:t>
      </w:r>
      <w:r w:rsidRPr="00BB33CC">
        <w:t xml:space="preserve"> relativos a transacciones que no guardan relación directa con el funcionamiento operativo del negocio para el cual se presentan resultados o bien que no se refieren a la operación de servicios de telecomunicaciones.</w:t>
      </w:r>
    </w:p>
    <w:p w:rsidR="00F92027" w:rsidRPr="00BB33CC" w:rsidRDefault="00001AD5" w:rsidP="0084507C">
      <w:pPr>
        <w:pStyle w:val="Normalresolucion"/>
        <w:spacing w:after="0" w:line="276" w:lineRule="auto"/>
      </w:pPr>
      <w:r w:rsidRPr="00BB33CC">
        <w:t>El</w:t>
      </w:r>
      <w:r w:rsidR="00F92027" w:rsidRPr="00BB33CC">
        <w:t xml:space="preserve"> Nivel 1 deberá incluir la totalidad de los costos incurridos por el concesionario </w:t>
      </w:r>
      <w:r w:rsidRPr="00BB33CC">
        <w:t xml:space="preserve">y/o autorizado </w:t>
      </w:r>
      <w:r w:rsidR="00F92027" w:rsidRPr="00BB33CC">
        <w:t>en el ejercicio, así como el capital promedio empleado</w:t>
      </w:r>
      <w:r w:rsidR="003C178E" w:rsidRPr="00BB33CC">
        <w:t>,</w:t>
      </w:r>
      <w:r w:rsidR="008E3BC5" w:rsidRPr="00BB33CC">
        <w:t xml:space="preserve"> y el activo y pasivo circulante</w:t>
      </w:r>
      <w:r w:rsidR="00F92027" w:rsidRPr="00BB33CC">
        <w:t xml:space="preserve">. Los concesionarios </w:t>
      </w:r>
      <w:r w:rsidRPr="00BB33CC">
        <w:t xml:space="preserve">y/o autorizados </w:t>
      </w:r>
      <w:r w:rsidR="00F92027" w:rsidRPr="00BB33CC">
        <w:t>deben utilizar la siguiente clasificación:</w:t>
      </w:r>
    </w:p>
    <w:p w:rsidR="00F92027" w:rsidRPr="00BB33CC" w:rsidRDefault="00F92027" w:rsidP="0084507C">
      <w:pPr>
        <w:pStyle w:val="Indentadoresolucin"/>
        <w:spacing w:before="240" w:line="276" w:lineRule="auto"/>
        <w:rPr>
          <w:b/>
          <w:bCs/>
          <w:i/>
          <w:iCs/>
          <w:lang w:val="es-MX"/>
        </w:rPr>
      </w:pPr>
      <w:r w:rsidRPr="00BB33CC">
        <w:rPr>
          <w:i/>
          <w:iCs/>
        </w:rPr>
        <w:t>Costos operativos</w:t>
      </w:r>
      <w:r w:rsidR="00001AD5" w:rsidRPr="00BB33CC">
        <w:t>:</w:t>
      </w:r>
      <w:r w:rsidRPr="00BB33CC">
        <w:t xml:space="preserve"> en los que incurre el concesionario </w:t>
      </w:r>
      <w:r w:rsidR="00064AF2" w:rsidRPr="00BB33CC">
        <w:t xml:space="preserve">y/o autorizado </w:t>
      </w:r>
      <w:r w:rsidRPr="00BB33CC">
        <w:t>por el desarrollo de sus actividades relacionadas con la operación del negocio.</w:t>
      </w:r>
    </w:p>
    <w:p w:rsidR="00F92027" w:rsidRPr="00BB33CC" w:rsidRDefault="00F92027" w:rsidP="0084507C">
      <w:pPr>
        <w:pStyle w:val="Indentadoresolucin"/>
        <w:spacing w:before="240" w:line="276" w:lineRule="auto"/>
        <w:rPr>
          <w:b/>
          <w:bCs/>
          <w:i/>
          <w:iCs/>
          <w:lang w:val="es-MX"/>
        </w:rPr>
      </w:pPr>
      <w:r w:rsidRPr="00BB33CC">
        <w:rPr>
          <w:i/>
          <w:iCs/>
        </w:rPr>
        <w:t>Costos asociados al capital</w:t>
      </w:r>
      <w:r w:rsidR="00001AD5" w:rsidRPr="00BB33CC">
        <w:rPr>
          <w:bCs/>
          <w:iCs/>
        </w:rPr>
        <w:t>:</w:t>
      </w:r>
      <w:r w:rsidRPr="00BB33CC">
        <w:rPr>
          <w:bCs/>
          <w:iCs/>
        </w:rPr>
        <w:t xml:space="preserve"> procedentes de la depreciación y amortización de la planta de activos del concesionario</w:t>
      </w:r>
      <w:r w:rsidR="00064AF2" w:rsidRPr="00BB33CC">
        <w:rPr>
          <w:bCs/>
          <w:iCs/>
        </w:rPr>
        <w:t xml:space="preserve"> </w:t>
      </w:r>
      <w:r w:rsidR="00064AF2" w:rsidRPr="00BB33CC">
        <w:t>y/o autorizado</w:t>
      </w:r>
      <w:r w:rsidRPr="00BB33CC">
        <w:rPr>
          <w:bCs/>
          <w:iCs/>
        </w:rPr>
        <w:t>.</w:t>
      </w:r>
    </w:p>
    <w:p w:rsidR="00F92027" w:rsidRPr="00BB33CC" w:rsidRDefault="00F92027" w:rsidP="0084507C">
      <w:pPr>
        <w:pStyle w:val="Indentadoresolucin"/>
        <w:spacing w:before="240" w:line="276" w:lineRule="auto"/>
        <w:rPr>
          <w:b/>
          <w:bCs/>
          <w:i/>
          <w:iCs/>
          <w:lang w:val="es-MX"/>
        </w:rPr>
      </w:pPr>
      <w:r w:rsidRPr="00BB33CC">
        <w:rPr>
          <w:i/>
          <w:iCs/>
        </w:rPr>
        <w:t>Capital promedio empleado</w:t>
      </w:r>
      <w:r w:rsidR="00001AD5" w:rsidRPr="00BB33CC">
        <w:rPr>
          <w:bCs/>
          <w:iCs/>
        </w:rPr>
        <w:t>:</w:t>
      </w:r>
      <w:r w:rsidRPr="00BB33CC">
        <w:rPr>
          <w:b/>
          <w:bCs/>
          <w:i/>
          <w:iCs/>
        </w:rPr>
        <w:t xml:space="preserve"> </w:t>
      </w:r>
      <w:r w:rsidRPr="00BB33CC">
        <w:rPr>
          <w:bCs/>
          <w:iCs/>
        </w:rPr>
        <w:t xml:space="preserve">donde se </w:t>
      </w:r>
      <w:r w:rsidR="00064AF2" w:rsidRPr="00BB33CC">
        <w:rPr>
          <w:bCs/>
          <w:iCs/>
        </w:rPr>
        <w:t>obtendrá</w:t>
      </w:r>
      <w:r w:rsidRPr="00BB33CC">
        <w:rPr>
          <w:bCs/>
          <w:iCs/>
        </w:rPr>
        <w:t xml:space="preserve"> el capital promedio empleado por las cuentas de activos y pasivos del balance, según lo indicado en la </w:t>
      </w:r>
      <w:r w:rsidR="00850B4C" w:rsidRPr="00BB33CC">
        <w:rPr>
          <w:bCs/>
          <w:iCs/>
        </w:rPr>
        <w:t xml:space="preserve">disposición </w:t>
      </w:r>
      <w:r w:rsidR="00850B4C" w:rsidRPr="00BB33CC">
        <w:t>OCTAVA</w:t>
      </w:r>
      <w:r w:rsidR="00850B4C" w:rsidRPr="00BB33CC">
        <w:rPr>
          <w:bCs/>
          <w:iCs/>
        </w:rPr>
        <w:t xml:space="preserve"> </w:t>
      </w:r>
      <w:r w:rsidR="00984979" w:rsidRPr="00BB33CC">
        <w:rPr>
          <w:bCs/>
          <w:iCs/>
        </w:rPr>
        <w:t>de la presente metodología</w:t>
      </w:r>
      <w:r w:rsidRPr="00BB33CC">
        <w:rPr>
          <w:bCs/>
          <w:iCs/>
        </w:rPr>
        <w:t>.</w:t>
      </w:r>
    </w:p>
    <w:p w:rsidR="00886E9B" w:rsidRPr="00BB33CC" w:rsidRDefault="00DC3ED7" w:rsidP="00CA1738">
      <w:pPr>
        <w:pStyle w:val="Indentadoresolucin"/>
        <w:spacing w:before="240" w:line="276" w:lineRule="auto"/>
        <w:rPr>
          <w:b/>
          <w:bCs/>
          <w:i/>
          <w:iCs/>
          <w:lang w:val="es-MX"/>
        </w:rPr>
      </w:pPr>
      <w:r w:rsidRPr="00BB33CC">
        <w:rPr>
          <w:i/>
          <w:iCs/>
        </w:rPr>
        <w:lastRenderedPageBreak/>
        <w:t>Activo y pasivo circulante</w:t>
      </w:r>
      <w:r w:rsidRPr="00BB33CC">
        <w:rPr>
          <w:iCs/>
        </w:rPr>
        <w:t xml:space="preserve">: </w:t>
      </w:r>
      <w:r w:rsidR="00886E9B" w:rsidRPr="00BB33CC">
        <w:rPr>
          <w:iCs/>
        </w:rPr>
        <w:t>aquellos bienes y derechos de propiedad que son de movimiento y recuperación rápida, así como deudas por pagar a corto plazo.</w:t>
      </w:r>
    </w:p>
    <w:p w:rsidR="00F92027" w:rsidRPr="00BB33CC" w:rsidRDefault="00F92027" w:rsidP="00CA1738">
      <w:pPr>
        <w:pStyle w:val="Indentadoresolucin"/>
        <w:spacing w:before="240" w:line="276" w:lineRule="auto"/>
        <w:rPr>
          <w:lang w:val="es-MX"/>
        </w:rPr>
      </w:pPr>
      <w:r w:rsidRPr="00BB33CC">
        <w:rPr>
          <w:i/>
          <w:iCs/>
        </w:rPr>
        <w:t>Costos no relevantes para la separación contable</w:t>
      </w:r>
      <w:r w:rsidR="00A67833" w:rsidRPr="00BB33CC">
        <w:t>:</w:t>
      </w:r>
      <w:r w:rsidRPr="00BB33CC">
        <w:t xml:space="preserve"> todos aquellos conceptos de costos (o capital promedio empleado) que no son relevantes para llevar a cabo las operaciones ligadas a la prestación de servicios, como costos financieros, ajustes por revalorización a CCA, provisiones extraordinarias.</w:t>
      </w:r>
    </w:p>
    <w:p w:rsidR="00F92027" w:rsidRPr="00BB33CC" w:rsidRDefault="00F92027" w:rsidP="00CA1738">
      <w:pPr>
        <w:pStyle w:val="Normalresolucion"/>
        <w:spacing w:after="0" w:line="276" w:lineRule="auto"/>
        <w:rPr>
          <w:bCs/>
          <w:u w:val="single"/>
        </w:rPr>
      </w:pPr>
      <w:r w:rsidRPr="00BB33CC">
        <w:rPr>
          <w:bCs/>
          <w:u w:val="single"/>
        </w:rPr>
        <w:t>Nivel 2: Actividades y elementos de red</w:t>
      </w:r>
    </w:p>
    <w:p w:rsidR="00F92027" w:rsidRPr="00BB33CC" w:rsidRDefault="00F92027" w:rsidP="00700FFD">
      <w:pPr>
        <w:pStyle w:val="Normalresolucion"/>
        <w:spacing w:after="0" w:line="276" w:lineRule="auto"/>
      </w:pPr>
      <w:r w:rsidRPr="00BB33CC">
        <w:t xml:space="preserve">El segundo nivel de la separación contable </w:t>
      </w:r>
      <w:r w:rsidR="00850B4C" w:rsidRPr="00BB33CC">
        <w:t xml:space="preserve">debe contener </w:t>
      </w:r>
      <w:r w:rsidRPr="00BB33CC">
        <w:t>una desagregación de cuentas en función de las actividades y elementos de red a las que se encuentran asociadas</w:t>
      </w:r>
      <w:r w:rsidR="006D4DAB" w:rsidRPr="00BB33CC">
        <w:t xml:space="preserve"> y</w:t>
      </w:r>
      <w:r w:rsidRPr="00BB33CC">
        <w:t xml:space="preserve"> deben </w:t>
      </w:r>
      <w:r w:rsidR="00435670" w:rsidRPr="00BB33CC">
        <w:t xml:space="preserve">incluir </w:t>
      </w:r>
      <w:r w:rsidRPr="00BB33CC">
        <w:t>los costos operativos</w:t>
      </w:r>
      <w:r w:rsidR="00435670" w:rsidRPr="00BB33CC">
        <w:t xml:space="preserve">, los costos </w:t>
      </w:r>
      <w:r w:rsidRPr="00BB33CC">
        <w:t>asociados al capital y</w:t>
      </w:r>
      <w:r w:rsidR="00435670" w:rsidRPr="00BB33CC">
        <w:t xml:space="preserve"> </w:t>
      </w:r>
      <w:r w:rsidRPr="00BB33CC">
        <w:t>el capital promedio empleado.</w:t>
      </w:r>
    </w:p>
    <w:p w:rsidR="00F92027" w:rsidRPr="00BB33CC" w:rsidRDefault="00435670" w:rsidP="00CA1738">
      <w:pPr>
        <w:pStyle w:val="Normalresolucion"/>
        <w:spacing w:after="0" w:line="276" w:lineRule="auto"/>
      </w:pPr>
      <w:r w:rsidRPr="00BB33CC">
        <w:t>L</w:t>
      </w:r>
      <w:r w:rsidR="00F92027" w:rsidRPr="00BB33CC">
        <w:t>as cuentas de</w:t>
      </w:r>
      <w:r w:rsidRPr="00BB33CC">
        <w:t xml:space="preserve"> Nivel 2 se deben clasificar de la siguiente manera</w:t>
      </w:r>
      <w:r w:rsidR="00F92027" w:rsidRPr="00BB33CC">
        <w:t>:</w:t>
      </w:r>
    </w:p>
    <w:p w:rsidR="00F92027" w:rsidRPr="00BB33CC" w:rsidRDefault="00F92027" w:rsidP="00700FFD">
      <w:pPr>
        <w:pStyle w:val="Indentadoresolucin"/>
        <w:spacing w:before="240" w:line="276" w:lineRule="auto"/>
        <w:rPr>
          <w:b/>
          <w:bCs/>
          <w:i/>
          <w:iCs/>
          <w:lang w:val="es-MX"/>
        </w:rPr>
      </w:pPr>
      <w:r w:rsidRPr="00BB33CC">
        <w:rPr>
          <w:i/>
          <w:iCs/>
        </w:rPr>
        <w:t>Componentes de red</w:t>
      </w:r>
      <w:r w:rsidR="00B02719" w:rsidRPr="00BB33CC">
        <w:t>:</w:t>
      </w:r>
      <w:r w:rsidRPr="00BB33CC">
        <w:t xml:space="preserve"> costos y capital promedio empleado que </w:t>
      </w:r>
      <w:r w:rsidR="00B02719" w:rsidRPr="00BB33CC">
        <w:t>tienen</w:t>
      </w:r>
      <w:r w:rsidRPr="00BB33CC">
        <w:t xml:space="preserve"> relación directa con el funcionamiento de la red del concesionario</w:t>
      </w:r>
      <w:r w:rsidR="00B02719" w:rsidRPr="00BB33CC">
        <w:t xml:space="preserve"> y/o autorizado</w:t>
      </w:r>
      <w:r w:rsidRPr="00BB33CC">
        <w:t>.</w:t>
      </w:r>
    </w:p>
    <w:p w:rsidR="00F92027" w:rsidRPr="00BB33CC" w:rsidRDefault="00F92027" w:rsidP="00B91CC8">
      <w:pPr>
        <w:pStyle w:val="Indentadoresolucin"/>
        <w:spacing w:before="240" w:line="276" w:lineRule="auto"/>
        <w:rPr>
          <w:b/>
          <w:bCs/>
          <w:i/>
          <w:iCs/>
          <w:lang w:val="es-MX"/>
        </w:rPr>
      </w:pPr>
      <w:r w:rsidRPr="00BB33CC">
        <w:rPr>
          <w:i/>
          <w:iCs/>
        </w:rPr>
        <w:t>Componentes no relacionados con la red</w:t>
      </w:r>
      <w:r w:rsidR="00B02719" w:rsidRPr="00BB33CC">
        <w:t>:</w:t>
      </w:r>
      <w:r w:rsidRPr="00BB33CC">
        <w:t xml:space="preserve"> costos y capital empleado no directamente relacionadas con la red del concesionario</w:t>
      </w:r>
      <w:r w:rsidR="00B02719" w:rsidRPr="00BB33CC">
        <w:t xml:space="preserve"> y/o autorizado</w:t>
      </w:r>
      <w:r w:rsidRPr="00BB33CC">
        <w:t xml:space="preserve">, </w:t>
      </w:r>
      <w:r w:rsidR="006D4DAB" w:rsidRPr="00BB33CC">
        <w:t>sino que se asocian a otro tipo de</w:t>
      </w:r>
      <w:r w:rsidRPr="00BB33CC">
        <w:t xml:space="preserve"> actividades </w:t>
      </w:r>
      <w:r w:rsidR="006D4DAB" w:rsidRPr="00BB33CC">
        <w:t xml:space="preserve">como las </w:t>
      </w:r>
      <w:r w:rsidRPr="00BB33CC">
        <w:t>de atención al cliente, mercadeo o publicidad, que están asociadas a un servicio o a un conjunto de éstos.</w:t>
      </w:r>
    </w:p>
    <w:p w:rsidR="00F92027" w:rsidRPr="00BB33CC" w:rsidRDefault="00F92027" w:rsidP="00903350">
      <w:pPr>
        <w:pStyle w:val="Indentadoresolucin"/>
        <w:spacing w:before="240" w:line="276" w:lineRule="auto"/>
        <w:rPr>
          <w:b/>
          <w:bCs/>
          <w:i/>
          <w:iCs/>
          <w:lang w:val="es-MX"/>
        </w:rPr>
      </w:pPr>
      <w:r w:rsidRPr="00BB33CC">
        <w:rPr>
          <w:i/>
          <w:iCs/>
        </w:rPr>
        <w:t>Costos directos de ventas</w:t>
      </w:r>
      <w:r w:rsidR="00B02719" w:rsidRPr="00BB33CC">
        <w:t>:</w:t>
      </w:r>
      <w:r w:rsidRPr="00BB33CC">
        <w:t xml:space="preserve"> costos que presentan una relación directa con la prestación de servicios, como son los costos por interconexión de tráfico o por la venta de terminales.</w:t>
      </w:r>
    </w:p>
    <w:p w:rsidR="00F92027" w:rsidRPr="00BB33CC" w:rsidRDefault="00F92027" w:rsidP="00903350">
      <w:pPr>
        <w:pStyle w:val="Indentadoresolucin"/>
        <w:spacing w:before="240" w:line="276" w:lineRule="auto"/>
      </w:pPr>
      <w:r w:rsidRPr="00BB33CC">
        <w:rPr>
          <w:i/>
          <w:iCs/>
        </w:rPr>
        <w:t>Costos comunes</w:t>
      </w:r>
      <w:r w:rsidR="00B02719" w:rsidRPr="00BB33CC">
        <w:t>:</w:t>
      </w:r>
      <w:r w:rsidRPr="00BB33CC">
        <w:t xml:space="preserve"> costos y capital empleado asociados a la administración y gestión general de la compañía.</w:t>
      </w:r>
    </w:p>
    <w:p w:rsidR="00F92027" w:rsidRPr="00BB33CC" w:rsidRDefault="00F92027" w:rsidP="00CF378E">
      <w:pPr>
        <w:pStyle w:val="Indentadoresolucin"/>
        <w:spacing w:before="240" w:line="276" w:lineRule="auto"/>
        <w:rPr>
          <w:b/>
          <w:bCs/>
          <w:i/>
          <w:iCs/>
          <w:lang w:val="es-MX"/>
        </w:rPr>
      </w:pPr>
      <w:r w:rsidRPr="00BB33CC">
        <w:t>Costos no relevantes</w:t>
      </w:r>
      <w:r w:rsidR="00DC3ED7" w:rsidRPr="00BB33CC">
        <w:t xml:space="preserve"> para</w:t>
      </w:r>
      <w:r w:rsidR="00DC3ED7" w:rsidRPr="00BB33CC">
        <w:rPr>
          <w:i/>
          <w:iCs/>
          <w:lang w:val="es-MX"/>
        </w:rPr>
        <w:t xml:space="preserve"> la sep</w:t>
      </w:r>
      <w:r w:rsidR="00E84834" w:rsidRPr="00BB33CC">
        <w:rPr>
          <w:i/>
          <w:iCs/>
          <w:lang w:val="es-MX"/>
        </w:rPr>
        <w:t>a</w:t>
      </w:r>
      <w:r w:rsidR="00DC3ED7" w:rsidRPr="00BB33CC">
        <w:rPr>
          <w:i/>
          <w:iCs/>
          <w:lang w:val="es-MX"/>
        </w:rPr>
        <w:t>ración contable</w:t>
      </w:r>
      <w:r w:rsidR="00B02719" w:rsidRPr="00BB33CC">
        <w:rPr>
          <w:bCs/>
          <w:iCs/>
          <w:lang w:val="es-MX"/>
        </w:rPr>
        <w:t>:</w:t>
      </w:r>
      <w:r w:rsidRPr="00BB33CC">
        <w:rPr>
          <w:bCs/>
          <w:i/>
          <w:iCs/>
          <w:lang w:val="es-MX"/>
        </w:rPr>
        <w:t xml:space="preserve"> </w:t>
      </w:r>
      <w:r w:rsidRPr="00BB33CC">
        <w:rPr>
          <w:bCs/>
          <w:iCs/>
          <w:lang w:val="es-MX"/>
        </w:rPr>
        <w:t xml:space="preserve">aquellas partidas que, debido a su naturaleza, no sean relevantes para la separación contable, incluyendo los conceptos definidos en la cuenta </w:t>
      </w:r>
      <w:r w:rsidR="00B02719" w:rsidRPr="00BB33CC">
        <w:rPr>
          <w:bCs/>
          <w:iCs/>
          <w:lang w:val="es-MX"/>
        </w:rPr>
        <w:t>análoga</w:t>
      </w:r>
      <w:r w:rsidRPr="00BB33CC">
        <w:rPr>
          <w:bCs/>
          <w:iCs/>
          <w:lang w:val="es-MX"/>
        </w:rPr>
        <w:t xml:space="preserve"> de</w:t>
      </w:r>
      <w:r w:rsidR="006D4DAB" w:rsidRPr="00BB33CC">
        <w:rPr>
          <w:bCs/>
          <w:iCs/>
          <w:lang w:val="es-MX"/>
        </w:rPr>
        <w:t>l</w:t>
      </w:r>
      <w:r w:rsidRPr="00BB33CC">
        <w:rPr>
          <w:bCs/>
          <w:iCs/>
          <w:lang w:val="es-MX"/>
        </w:rPr>
        <w:t xml:space="preserve"> Nivel 1.</w:t>
      </w:r>
    </w:p>
    <w:p w:rsidR="00F92027" w:rsidRPr="00BB33CC" w:rsidRDefault="00F92027" w:rsidP="009D274F">
      <w:pPr>
        <w:pStyle w:val="Normalresolucion"/>
        <w:spacing w:after="0" w:line="276" w:lineRule="auto"/>
        <w:rPr>
          <w:bCs/>
          <w:u w:val="single"/>
        </w:rPr>
      </w:pPr>
      <w:r w:rsidRPr="00BB33CC">
        <w:rPr>
          <w:bCs/>
          <w:u w:val="single"/>
        </w:rPr>
        <w:t>Nivel 3: Servicios</w:t>
      </w:r>
    </w:p>
    <w:p w:rsidR="00F92027" w:rsidRPr="00BB33CC" w:rsidRDefault="00B02719" w:rsidP="00005378">
      <w:pPr>
        <w:pStyle w:val="Normalresolucion"/>
      </w:pPr>
      <w:r w:rsidRPr="00BB33CC">
        <w:lastRenderedPageBreak/>
        <w:t>E</w:t>
      </w:r>
      <w:r w:rsidR="00F92027" w:rsidRPr="00BB33CC">
        <w:t>n el Nivel 3 se deben reflejar los resultados de ingresos, costos y capital empleado por servicio prestado por el concesionario</w:t>
      </w:r>
      <w:r w:rsidR="00CC0C04" w:rsidRPr="00BB33CC">
        <w:t xml:space="preserve"> y/o autorizado</w:t>
      </w:r>
      <w:r w:rsidR="00F92027" w:rsidRPr="00BB33CC">
        <w:t xml:space="preserve">, los cuales pueden ser clasificados según el destinatario final de los mismos, </w:t>
      </w:r>
      <w:r w:rsidRPr="00BB33CC">
        <w:t>conforme a lo siguiente</w:t>
      </w:r>
      <w:r w:rsidR="00F92027" w:rsidRPr="00BB33CC">
        <w:t>:</w:t>
      </w:r>
    </w:p>
    <w:p w:rsidR="00F92027" w:rsidRPr="00BB33CC" w:rsidRDefault="00F92027" w:rsidP="009D274F">
      <w:pPr>
        <w:pStyle w:val="Indentadoresolucin"/>
        <w:spacing w:before="240" w:line="276" w:lineRule="auto"/>
        <w:rPr>
          <w:b/>
          <w:bCs/>
          <w:i/>
          <w:lang w:val="es-MX"/>
        </w:rPr>
      </w:pPr>
      <w:r w:rsidRPr="00BB33CC">
        <w:rPr>
          <w:i/>
        </w:rPr>
        <w:t>Servicios minoristas</w:t>
      </w:r>
      <w:r w:rsidR="00D57DE3" w:rsidRPr="00BB33CC">
        <w:t>:</w:t>
      </w:r>
      <w:r w:rsidRPr="00BB33CC">
        <w:rPr>
          <w:b/>
          <w:bCs/>
          <w:i/>
        </w:rPr>
        <w:t xml:space="preserve"> </w:t>
      </w:r>
      <w:r w:rsidRPr="00BB33CC">
        <w:t xml:space="preserve">ofrecidos por los concesionarios </w:t>
      </w:r>
      <w:r w:rsidR="00CC0C04" w:rsidRPr="00BB33CC">
        <w:t>y/o autorizados a usuarios finales</w:t>
      </w:r>
      <w:r w:rsidRPr="00BB33CC">
        <w:rPr>
          <w:b/>
          <w:bCs/>
          <w:i/>
        </w:rPr>
        <w:t>.</w:t>
      </w:r>
    </w:p>
    <w:p w:rsidR="00F92027" w:rsidRPr="00BB33CC" w:rsidRDefault="00F92027" w:rsidP="00700FFD">
      <w:pPr>
        <w:pStyle w:val="Indentadoresolucin"/>
        <w:spacing w:before="240" w:line="276" w:lineRule="auto"/>
        <w:rPr>
          <w:b/>
          <w:bCs/>
          <w:i/>
          <w:lang w:val="es-MX"/>
        </w:rPr>
      </w:pPr>
      <w:r w:rsidRPr="00BB33CC">
        <w:rPr>
          <w:i/>
        </w:rPr>
        <w:t>Servicios mayoristas</w:t>
      </w:r>
      <w:r w:rsidR="00D57DE3" w:rsidRPr="00BB33CC">
        <w:t>:</w:t>
      </w:r>
      <w:r w:rsidRPr="00BB33CC">
        <w:rPr>
          <w:b/>
          <w:bCs/>
          <w:i/>
        </w:rPr>
        <w:t xml:space="preserve"> </w:t>
      </w:r>
      <w:r w:rsidRPr="00BB33CC">
        <w:rPr>
          <w:bCs/>
        </w:rPr>
        <w:t xml:space="preserve">ofrecidos entre concesionarios </w:t>
      </w:r>
      <w:r w:rsidR="00CC0C04" w:rsidRPr="00BB33CC">
        <w:t>y/o autorizados</w:t>
      </w:r>
      <w:r w:rsidR="00CC0C04" w:rsidRPr="00BB33CC">
        <w:rPr>
          <w:bCs/>
        </w:rPr>
        <w:t xml:space="preserve"> </w:t>
      </w:r>
      <w:r w:rsidRPr="00BB33CC">
        <w:rPr>
          <w:bCs/>
        </w:rPr>
        <w:t>para el desarrollo de sus actividades operativas en el sector</w:t>
      </w:r>
      <w:r w:rsidRPr="00BB33CC">
        <w:rPr>
          <w:b/>
          <w:bCs/>
          <w:i/>
          <w:lang w:val="es-MX"/>
        </w:rPr>
        <w:t>.</w:t>
      </w:r>
    </w:p>
    <w:p w:rsidR="00A90266" w:rsidRPr="00BB33CC" w:rsidRDefault="00A90266" w:rsidP="00903350">
      <w:pPr>
        <w:pStyle w:val="Indentadoresolucin"/>
        <w:spacing w:before="240" w:line="276" w:lineRule="auto"/>
        <w:rPr>
          <w:i/>
        </w:rPr>
      </w:pPr>
      <w:r w:rsidRPr="00BB33CC">
        <w:rPr>
          <w:i/>
        </w:rPr>
        <w:t xml:space="preserve">Servicios no relevantes para la separación contable: </w:t>
      </w:r>
      <w:r w:rsidRPr="00BB33CC">
        <w:t>todas aquellas partidas de costos relativas a los servicios no relevantes para la prestación de servicios de telecomunicaciones y radiodifusión.</w:t>
      </w:r>
    </w:p>
    <w:p w:rsidR="00196B25" w:rsidRPr="00BB33CC" w:rsidRDefault="00196B25">
      <w:pPr>
        <w:pStyle w:val="Normalresolucion"/>
        <w:spacing w:after="0" w:line="276" w:lineRule="auto"/>
        <w:rPr>
          <w:bCs/>
          <w:u w:val="single"/>
        </w:rPr>
      </w:pPr>
      <w:r w:rsidRPr="00BB33CC">
        <w:rPr>
          <w:bCs/>
          <w:u w:val="single"/>
        </w:rPr>
        <w:t xml:space="preserve">Fases de </w:t>
      </w:r>
      <w:r w:rsidR="00754151" w:rsidRPr="00BB33CC">
        <w:rPr>
          <w:bCs/>
          <w:u w:val="single"/>
        </w:rPr>
        <w:t>atribución</w:t>
      </w:r>
    </w:p>
    <w:p w:rsidR="009B4BB0" w:rsidRPr="00BB33CC" w:rsidRDefault="00B10FE4" w:rsidP="00005378">
      <w:pPr>
        <w:pStyle w:val="Normalresolucion"/>
      </w:pPr>
      <w:r w:rsidRPr="00BB33CC">
        <w:t>L</w:t>
      </w:r>
      <w:r w:rsidR="009B4BB0" w:rsidRPr="00BB33CC">
        <w:t xml:space="preserve">a </w:t>
      </w:r>
      <w:r w:rsidRPr="00BB33CC">
        <w:t xml:space="preserve">atribución de ingresos, costos y capital empleado desde el balance de prueba </w:t>
      </w:r>
      <w:r w:rsidR="00196B25" w:rsidRPr="00BB33CC">
        <w:t xml:space="preserve">(Nivel 0) </w:t>
      </w:r>
      <w:r w:rsidRPr="00BB33CC">
        <w:t>hasta el nivel de servicios finales</w:t>
      </w:r>
      <w:r w:rsidR="00196B25" w:rsidRPr="00BB33CC">
        <w:t xml:space="preserve"> (Nivel 3)</w:t>
      </w:r>
      <w:r w:rsidRPr="00BB33CC">
        <w:t>, tanto minoristas como mayoristas</w:t>
      </w:r>
      <w:r w:rsidR="00C44B4B" w:rsidRPr="00BB33CC">
        <w:t>,</w:t>
      </w:r>
      <w:r w:rsidR="009B4BB0" w:rsidRPr="00BB33CC">
        <w:t xml:space="preserve"> se </w:t>
      </w:r>
      <w:r w:rsidRPr="00BB33CC">
        <w:t xml:space="preserve">debe </w:t>
      </w:r>
      <w:r w:rsidR="009B4BB0" w:rsidRPr="00BB33CC">
        <w:t>realiza</w:t>
      </w:r>
      <w:r w:rsidRPr="00BB33CC">
        <w:t>r</w:t>
      </w:r>
      <w:r w:rsidR="009B4BB0" w:rsidRPr="00BB33CC">
        <w:t xml:space="preserve"> a través de </w:t>
      </w:r>
      <w:r w:rsidR="00D57DE3" w:rsidRPr="00BB33CC">
        <w:t xml:space="preserve">las </w:t>
      </w:r>
      <w:r w:rsidR="009B4BB0" w:rsidRPr="00BB33CC">
        <w:t>3 fases de atribución</w:t>
      </w:r>
      <w:r w:rsidR="00D57DE3" w:rsidRPr="00BB33CC">
        <w:t xml:space="preserve"> siguientes</w:t>
      </w:r>
      <w:r w:rsidR="009B4BB0" w:rsidRPr="00BB33CC">
        <w:t xml:space="preserve">: </w:t>
      </w:r>
    </w:p>
    <w:p w:rsidR="009B4BB0" w:rsidRPr="00BB33CC" w:rsidRDefault="009B4BB0" w:rsidP="009D274F">
      <w:pPr>
        <w:pStyle w:val="Indentadoresolucin"/>
        <w:spacing w:before="240" w:line="276" w:lineRule="auto"/>
      </w:pPr>
      <w:r w:rsidRPr="00BB33CC">
        <w:t xml:space="preserve">Fase A: donde se </w:t>
      </w:r>
      <w:r w:rsidR="00B10FE4" w:rsidRPr="00BB33CC">
        <w:t xml:space="preserve">deben </w:t>
      </w:r>
      <w:r w:rsidRPr="00BB33CC">
        <w:t>extrae</w:t>
      </w:r>
      <w:r w:rsidR="00C315F8">
        <w:t>r</w:t>
      </w:r>
      <w:r w:rsidRPr="00BB33CC">
        <w:t xml:space="preserve"> los ingresos, costos y capital empleado registrados en el </w:t>
      </w:r>
      <w:r w:rsidR="00B10FE4" w:rsidRPr="00BB33CC">
        <w:t>balance de prueba</w:t>
      </w:r>
      <w:r w:rsidRPr="00BB33CC">
        <w:t xml:space="preserve"> de la </w:t>
      </w:r>
      <w:r w:rsidR="00B10FE4" w:rsidRPr="00BB33CC">
        <w:t>empresa</w:t>
      </w:r>
      <w:r w:rsidRPr="00BB33CC">
        <w:t xml:space="preserve"> y </w:t>
      </w:r>
      <w:r w:rsidR="00B10FE4" w:rsidRPr="00BB33CC">
        <w:t>organizarse</w:t>
      </w:r>
      <w:r w:rsidRPr="00BB33CC">
        <w:t xml:space="preserve"> en función de la n</w:t>
      </w:r>
      <w:r w:rsidR="00D57DE3" w:rsidRPr="00BB33CC">
        <w:t>aturaleza a la que corresponden;</w:t>
      </w:r>
    </w:p>
    <w:p w:rsidR="009B4BB0" w:rsidRPr="00BB33CC" w:rsidRDefault="009B4BB0" w:rsidP="00700FFD">
      <w:pPr>
        <w:pStyle w:val="Indentadoresolucin"/>
        <w:spacing w:before="240" w:line="276" w:lineRule="auto"/>
      </w:pPr>
      <w:r w:rsidRPr="00BB33CC">
        <w:t>Fase B: donde se</w:t>
      </w:r>
      <w:r w:rsidR="00285467" w:rsidRPr="00BB33CC">
        <w:t xml:space="preserve"> deben</w:t>
      </w:r>
      <w:r w:rsidRPr="00BB33CC">
        <w:t xml:space="preserve"> repart</w:t>
      </w:r>
      <w:r w:rsidR="00285467" w:rsidRPr="00BB33CC">
        <w:t>ir</w:t>
      </w:r>
      <w:r w:rsidRPr="00BB33CC">
        <w:t xml:space="preserve"> las cuentas de costos y capital empleado por naturaleza a cuentas de actividades y elementos de red, para lo cual será necesario la definición de determinados factores de atribución</w:t>
      </w:r>
      <w:r w:rsidR="0044237A" w:rsidRPr="00BB33CC">
        <w:t xml:space="preserve"> con base en el </w:t>
      </w:r>
      <w:r w:rsidR="00A563B3" w:rsidRPr="00BB33CC">
        <w:t>APARTADO</w:t>
      </w:r>
      <w:r w:rsidR="0044237A" w:rsidRPr="00BB33CC">
        <w:t xml:space="preserve"> </w:t>
      </w:r>
      <w:r w:rsidR="00A563B3" w:rsidRPr="00BB33CC">
        <w:t>V</w:t>
      </w:r>
      <w:r w:rsidRPr="00BB33CC">
        <w:t xml:space="preserve">. </w:t>
      </w:r>
      <w:r w:rsidR="002E4407" w:rsidRPr="00BB33CC">
        <w:t>L</w:t>
      </w:r>
      <w:r w:rsidRPr="00BB33CC">
        <w:t>as cuentas de costos y de capital empleado deben estar diferenciadas en todo mo</w:t>
      </w:r>
      <w:r w:rsidR="00D57DE3" w:rsidRPr="00BB33CC">
        <w:t>mento en los diferentes niveles, y</w:t>
      </w:r>
    </w:p>
    <w:p w:rsidR="009B4BB0" w:rsidRPr="00BB33CC" w:rsidRDefault="009B4BB0" w:rsidP="00F17946">
      <w:pPr>
        <w:pStyle w:val="Indentadoresolucin"/>
        <w:rPr>
          <w:b/>
          <w:bCs/>
        </w:rPr>
      </w:pPr>
      <w:r w:rsidRPr="00BB33CC">
        <w:t>Fase C:</w:t>
      </w:r>
      <w:r w:rsidRPr="00BB33CC">
        <w:rPr>
          <w:b/>
          <w:bCs/>
        </w:rPr>
        <w:t xml:space="preserve"> </w:t>
      </w:r>
      <w:r w:rsidRPr="00BB33CC">
        <w:t>donde se reparten los ingresos, costos y capital empleado a servicios finales, se aplican los cargos de transferencia entre los segmentos minorista y mayorista y se calcula el costo de capital asociado a cada servicio como el producto del WACC por el capital promedio empleado.</w:t>
      </w:r>
    </w:p>
    <w:p w:rsidR="009B4BB0" w:rsidRPr="00BB33CC" w:rsidRDefault="009B4BB0" w:rsidP="00F17946">
      <w:pPr>
        <w:pStyle w:val="Normalresolucion"/>
        <w:spacing w:after="0" w:line="276" w:lineRule="auto"/>
      </w:pPr>
      <w:r w:rsidRPr="00BB33CC">
        <w:t xml:space="preserve">El listado mínimo de cuentas que deberá ser plasmado en cada uno de los niveles deberá ser </w:t>
      </w:r>
      <w:r w:rsidR="00DF31F0" w:rsidRPr="00BB33CC">
        <w:t xml:space="preserve">adecuado conforme a los servicios del </w:t>
      </w:r>
      <w:r w:rsidR="00C35E48" w:rsidRPr="00BB33CC">
        <w:t xml:space="preserve">concesionario </w:t>
      </w:r>
      <w:r w:rsidR="00C35E48" w:rsidRPr="00BB33CC">
        <w:rPr>
          <w:bCs/>
        </w:rPr>
        <w:t>y/o autorizado</w:t>
      </w:r>
      <w:r w:rsidR="00C35E48" w:rsidRPr="00BB33CC">
        <w:t xml:space="preserve"> </w:t>
      </w:r>
      <w:r w:rsidRPr="00BB33CC">
        <w:t>en particular</w:t>
      </w:r>
      <w:r w:rsidR="00DC63E4" w:rsidRPr="00BB33CC">
        <w:t>, conforme al A</w:t>
      </w:r>
      <w:r w:rsidR="00A563B3" w:rsidRPr="00BB33CC">
        <w:t>PARTADO I</w:t>
      </w:r>
      <w:r w:rsidRPr="00BB33CC">
        <w:t>.</w:t>
      </w:r>
    </w:p>
    <w:p w:rsidR="009B4BB0" w:rsidRPr="00BB33CC" w:rsidRDefault="003C253A" w:rsidP="00F17946">
      <w:pPr>
        <w:pStyle w:val="Normalresolucion"/>
        <w:spacing w:after="0" w:line="276" w:lineRule="auto"/>
        <w:rPr>
          <w:lang w:val="es-MX"/>
        </w:rPr>
      </w:pPr>
      <w:r w:rsidRPr="00BB33CC">
        <w:rPr>
          <w:lang w:val="es-MX"/>
        </w:rPr>
        <w:t>Después de</w:t>
      </w:r>
      <w:r w:rsidR="009B4BB0" w:rsidRPr="00BB33CC">
        <w:rPr>
          <w:lang w:val="es-MX"/>
        </w:rPr>
        <w:t xml:space="preserve"> asignar ingresos, costos y capital empleado a servicios finales, </w:t>
      </w:r>
      <w:r w:rsidR="009B4BB0" w:rsidRPr="00BB33CC">
        <w:t xml:space="preserve">se deberán aplicar los cargos de transferencia entre los segmentos minorista y mayorista y calcular el costo de capital empleado asociado a cada servicio </w:t>
      </w:r>
      <w:r w:rsidRPr="00BB33CC">
        <w:t>conforme al</w:t>
      </w:r>
      <w:r w:rsidR="009B4BB0" w:rsidRPr="00BB33CC">
        <w:t xml:space="preserve"> procedimiento descrito en la </w:t>
      </w:r>
      <w:r w:rsidR="001F571F" w:rsidRPr="00BB33CC">
        <w:rPr>
          <w:bCs/>
          <w:iCs/>
        </w:rPr>
        <w:t xml:space="preserve">disposición </w:t>
      </w:r>
      <w:r w:rsidR="001F571F" w:rsidRPr="00BB33CC">
        <w:t>OCTAVA</w:t>
      </w:r>
      <w:r w:rsidR="00A563B3" w:rsidRPr="00BB33CC">
        <w:rPr>
          <w:bCs/>
          <w:iCs/>
        </w:rPr>
        <w:t xml:space="preserve"> </w:t>
      </w:r>
      <w:r w:rsidR="00984979" w:rsidRPr="00BB33CC">
        <w:rPr>
          <w:bCs/>
          <w:iCs/>
        </w:rPr>
        <w:t>de la presente metodología</w:t>
      </w:r>
      <w:r w:rsidR="009B4BB0" w:rsidRPr="00BB33CC">
        <w:t>.</w:t>
      </w:r>
    </w:p>
    <w:p w:rsidR="009B4BB0" w:rsidRPr="00BB33CC" w:rsidRDefault="003C253A" w:rsidP="00D81DCC">
      <w:pPr>
        <w:pStyle w:val="Normalresolucion"/>
        <w:spacing w:after="0" w:line="276" w:lineRule="auto"/>
        <w:rPr>
          <w:lang w:val="es-MX"/>
        </w:rPr>
      </w:pPr>
      <w:r w:rsidRPr="00BB33CC">
        <w:rPr>
          <w:lang w:val="es-MX"/>
        </w:rPr>
        <w:lastRenderedPageBreak/>
        <w:t>Finalmente</w:t>
      </w:r>
      <w:r w:rsidR="009B4BB0" w:rsidRPr="00BB33CC">
        <w:rPr>
          <w:lang w:val="es-MX"/>
        </w:rPr>
        <w:t>, se</w:t>
      </w:r>
      <w:r w:rsidRPr="00BB33CC">
        <w:rPr>
          <w:lang w:val="es-MX"/>
        </w:rPr>
        <w:t xml:space="preserve"> debe </w:t>
      </w:r>
      <w:r w:rsidR="009B4BB0" w:rsidRPr="00BB33CC">
        <w:rPr>
          <w:lang w:val="es-MX"/>
        </w:rPr>
        <w:t xml:space="preserve">obtener el margen a nivel de servicio de acuerdo </w:t>
      </w:r>
      <w:r w:rsidR="002F7FE2" w:rsidRPr="00BB33CC">
        <w:rPr>
          <w:lang w:val="es-MX"/>
        </w:rPr>
        <w:t>con</w:t>
      </w:r>
      <w:r w:rsidR="009B4BB0" w:rsidRPr="00BB33CC">
        <w:rPr>
          <w:lang w:val="es-MX"/>
        </w:rPr>
        <w:t xml:space="preserve"> la siguiente expresión:</w:t>
      </w:r>
    </w:p>
    <w:p w:rsidR="009B4BB0" w:rsidRPr="00BB33CC" w:rsidRDefault="009B4BB0" w:rsidP="00D81DCC">
      <w:pPr>
        <w:pStyle w:val="BulletPoints"/>
        <w:numPr>
          <w:ilvl w:val="0"/>
          <w:numId w:val="0"/>
        </w:numPr>
        <w:spacing w:before="240" w:after="0" w:line="276" w:lineRule="auto"/>
        <w:ind w:left="357"/>
        <w:rPr>
          <w:rFonts w:ascii="ITC Avant Garde" w:hAnsi="ITC Avant Garde"/>
          <w:lang w:val="es-MX"/>
        </w:rPr>
      </w:pPr>
      <m:oMathPara>
        <m:oMath>
          <m:r>
            <w:rPr>
              <w:rFonts w:ascii="Cambria Math" w:hAnsi="Cambria Math"/>
              <w:lang w:val="es-MX"/>
            </w:rPr>
            <m:t>Marge</m:t>
          </m:r>
          <m:sSub>
            <m:sSubPr>
              <m:ctrlPr>
                <w:rPr>
                  <w:rFonts w:ascii="Cambria Math" w:hAnsi="Cambria Math"/>
                  <w:i/>
                  <w:lang w:val="es-MX"/>
                </w:rPr>
              </m:ctrlPr>
            </m:sSubPr>
            <m:e>
              <m:r>
                <w:rPr>
                  <w:rFonts w:ascii="Cambria Math" w:hAnsi="Cambria Math"/>
                  <w:lang w:val="es-MX"/>
                </w:rPr>
                <m:t>n</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 xml:space="preserve"> =Ingreso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-Costo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-CapitalEmplead</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·WACC</m:t>
          </m:r>
        </m:oMath>
      </m:oMathPara>
    </w:p>
    <w:p w:rsidR="009B4BB0" w:rsidRPr="00BB33CC" w:rsidRDefault="009B4BB0" w:rsidP="00700FFD">
      <w:pPr>
        <w:pStyle w:val="Normalresolucion"/>
        <w:spacing w:after="0" w:line="276" w:lineRule="auto"/>
      </w:pPr>
      <w:r w:rsidRPr="00BB33CC">
        <w:t xml:space="preserve">En caso </w:t>
      </w:r>
      <w:r w:rsidR="002F7FE2" w:rsidRPr="00BB33CC">
        <w:t xml:space="preserve">de </w:t>
      </w:r>
      <w:r w:rsidRPr="00BB33CC">
        <w:t xml:space="preserve">que un concesionario </w:t>
      </w:r>
      <w:r w:rsidR="003C253A" w:rsidRPr="00BB33CC">
        <w:t>y/o autorizado</w:t>
      </w:r>
      <w:r w:rsidRPr="00BB33CC">
        <w:t xml:space="preserve"> brindara simultáneamente </w:t>
      </w:r>
      <w:r w:rsidR="004841D5" w:rsidRPr="00BB33CC">
        <w:t xml:space="preserve">varios </w:t>
      </w:r>
      <w:r w:rsidRPr="00BB33CC">
        <w:t xml:space="preserve">servicios </w:t>
      </w:r>
      <w:r w:rsidR="004841D5" w:rsidRPr="00BB33CC">
        <w:t>de telecomunicaciones y/o radiodifusión</w:t>
      </w:r>
      <w:r w:rsidR="002F7FE2" w:rsidRPr="00BB33CC">
        <w:t>,</w:t>
      </w:r>
      <w:r w:rsidRPr="00BB33CC">
        <w:t xml:space="preserve"> la estructura de cuentas mínimas a desagregar resultará de la combinación de los servicios y elementos asociados a los segmentos en los que participe.</w:t>
      </w:r>
    </w:p>
    <w:p w:rsidR="006120A0" w:rsidRPr="00BB33CC" w:rsidRDefault="0010723D" w:rsidP="006120A0">
      <w:pPr>
        <w:pStyle w:val="Ttulo2"/>
        <w:spacing w:before="240" w:line="276" w:lineRule="auto"/>
        <w:jc w:val="center"/>
      </w:pPr>
      <w:r w:rsidRPr="00BB33CC">
        <w:t xml:space="preserve">CAPÍTULO </w:t>
      </w:r>
      <w:r w:rsidR="00903350" w:rsidRPr="00BB33CC">
        <w:t>I</w:t>
      </w:r>
      <w:r w:rsidRPr="00BB33CC">
        <w:t>V</w:t>
      </w:r>
    </w:p>
    <w:p w:rsidR="006120A0" w:rsidRPr="00BB33CC" w:rsidRDefault="006120A0" w:rsidP="006120A0">
      <w:pPr>
        <w:pStyle w:val="estilo30"/>
        <w:spacing w:before="240" w:beforeAutospacing="0" w:after="0" w:afterAutospacing="0" w:line="276" w:lineRule="auto"/>
        <w:jc w:val="center"/>
        <w:rPr>
          <w:b/>
          <w:bCs/>
        </w:rPr>
      </w:pPr>
      <w:r w:rsidRPr="00BB33CC">
        <w:rPr>
          <w:rFonts w:ascii="ITC Avant Garde" w:hAnsi="ITC Avant Garde"/>
          <w:b/>
          <w:bCs/>
          <w:sz w:val="22"/>
          <w:szCs w:val="22"/>
        </w:rPr>
        <w:t>De la presentación de la información de separación contable</w:t>
      </w:r>
      <w:r w:rsidR="00B6120E" w:rsidRPr="00BB33CC">
        <w:rPr>
          <w:rFonts w:ascii="ITC Avant Garde" w:hAnsi="ITC Avant Garde"/>
          <w:b/>
          <w:bCs/>
          <w:sz w:val="22"/>
          <w:szCs w:val="22"/>
        </w:rPr>
        <w:t xml:space="preserve"> y el programa de implementación</w:t>
      </w:r>
    </w:p>
    <w:p w:rsidR="00D81DCC" w:rsidRPr="00BB33CC" w:rsidRDefault="002E1156" w:rsidP="002E1156">
      <w:pPr>
        <w:pStyle w:val="Normalresolucion"/>
        <w:spacing w:line="276" w:lineRule="auto"/>
      </w:pPr>
      <w:r w:rsidRPr="00BB33CC">
        <w:rPr>
          <w:b/>
          <w:bCs/>
        </w:rPr>
        <w:t>DÉCIMA SEGUNDA</w:t>
      </w:r>
      <w:r w:rsidRPr="00BB33CC">
        <w:rPr>
          <w:rFonts w:eastAsiaTheme="minorHAnsi" w:cstheme="minorBidi"/>
          <w:b/>
          <w:bCs/>
          <w:lang w:val="es-MX" w:eastAsia="en-US"/>
        </w:rPr>
        <w:t>.-</w:t>
      </w:r>
      <w:r w:rsidRPr="00BB33CC">
        <w:rPr>
          <w:rFonts w:eastAsiaTheme="minorHAnsi" w:cstheme="minorBidi"/>
          <w:lang w:val="es-MX" w:eastAsia="en-US"/>
        </w:rPr>
        <w:t xml:space="preserve"> Los </w:t>
      </w:r>
      <w:r w:rsidR="00C8754B" w:rsidRPr="00BB33CC">
        <w:rPr>
          <w:rFonts w:eastAsiaTheme="minorHAnsi" w:cstheme="minorBidi"/>
          <w:lang w:val="es-MX" w:eastAsia="en-US"/>
        </w:rPr>
        <w:t xml:space="preserve">concesionarios y/o autorizados </w:t>
      </w:r>
      <w:r w:rsidR="00C24E38" w:rsidRPr="00BB33CC">
        <w:rPr>
          <w:rFonts w:eastAsiaTheme="minorHAnsi" w:cstheme="minorBidi"/>
          <w:lang w:val="es-MX" w:eastAsia="en-US"/>
        </w:rPr>
        <w:t>declarados como</w:t>
      </w:r>
      <w:r w:rsidR="00C8754B" w:rsidRPr="00BB33CC">
        <w:rPr>
          <w:rFonts w:eastAsiaTheme="minorHAnsi" w:cstheme="minorBidi"/>
          <w:lang w:val="es-MX" w:eastAsia="en-US"/>
        </w:rPr>
        <w:t xml:space="preserve"> </w:t>
      </w:r>
      <w:r w:rsidRPr="00BB33CC">
        <w:rPr>
          <w:rFonts w:eastAsiaTheme="minorHAnsi" w:cstheme="minorBidi"/>
          <w:lang w:val="es-MX" w:eastAsia="en-US"/>
        </w:rPr>
        <w:t>agentes económicos preponderantes</w:t>
      </w:r>
      <w:r w:rsidR="00915D27" w:rsidRPr="00BB33CC">
        <w:rPr>
          <w:rFonts w:eastAsiaTheme="minorHAnsi" w:cstheme="minorBidi"/>
          <w:lang w:val="es-MX" w:eastAsia="en-US"/>
        </w:rPr>
        <w:t xml:space="preserve"> y</w:t>
      </w:r>
      <w:r w:rsidR="00C24E38" w:rsidRPr="00BB33CC">
        <w:rPr>
          <w:rFonts w:eastAsiaTheme="minorHAnsi" w:cstheme="minorBidi"/>
          <w:lang w:val="es-MX" w:eastAsia="en-US"/>
        </w:rPr>
        <w:t>/o</w:t>
      </w:r>
      <w:r w:rsidRPr="00BB33CC">
        <w:rPr>
          <w:rFonts w:eastAsiaTheme="minorHAnsi" w:cstheme="minorBidi"/>
          <w:lang w:val="es-MX" w:eastAsia="en-US"/>
        </w:rPr>
        <w:t xml:space="preserve"> con poder sustancial de mercado</w:t>
      </w:r>
      <w:r w:rsidR="00915D27" w:rsidRPr="00BB33CC">
        <w:rPr>
          <w:rFonts w:eastAsiaTheme="minorHAnsi" w:cstheme="minorBidi"/>
          <w:lang w:val="es-MX" w:eastAsia="en-US"/>
        </w:rPr>
        <w:t>, así como</w:t>
      </w:r>
      <w:r w:rsidRPr="00BB33CC">
        <w:rPr>
          <w:rFonts w:eastAsiaTheme="minorHAnsi" w:cstheme="minorBidi"/>
          <w:lang w:val="es-MX" w:eastAsia="en-US"/>
        </w:rPr>
        <w:t xml:space="preserve"> </w:t>
      </w:r>
      <w:r w:rsidR="00C24E38" w:rsidRPr="00BB33CC">
        <w:rPr>
          <w:rFonts w:eastAsiaTheme="minorHAnsi" w:cstheme="minorBidi"/>
          <w:lang w:val="es-MX" w:eastAsia="en-US"/>
        </w:rPr>
        <w:t xml:space="preserve">aquellos </w:t>
      </w:r>
      <w:r w:rsidRPr="00BB33CC">
        <w:rPr>
          <w:rFonts w:eastAsiaTheme="minorHAnsi" w:cstheme="minorBidi"/>
          <w:lang w:val="es-MX" w:eastAsia="en-US"/>
        </w:rPr>
        <w:t>con carácter de red compartida mayorista</w:t>
      </w:r>
      <w:r w:rsidR="00C24E38" w:rsidRPr="00BB33CC">
        <w:rPr>
          <w:rFonts w:eastAsiaTheme="minorHAnsi" w:cstheme="minorBidi"/>
          <w:lang w:val="es-MX" w:eastAsia="en-US"/>
        </w:rPr>
        <w:t>, debe</w:t>
      </w:r>
      <w:r w:rsidRPr="00BB33CC">
        <w:rPr>
          <w:rFonts w:eastAsiaTheme="minorHAnsi" w:cstheme="minorBidi"/>
          <w:lang w:val="es-MX" w:eastAsia="en-US"/>
        </w:rPr>
        <w:t>n presentar</w:t>
      </w:r>
      <w:r w:rsidRPr="00BB33CC">
        <w:t xml:space="preserve"> al Instituto la información</w:t>
      </w:r>
      <w:r w:rsidR="00595ECE" w:rsidRPr="00BB33CC">
        <w:t xml:space="preserve"> </w:t>
      </w:r>
      <w:r w:rsidRPr="00BB33CC">
        <w:t>de separación contable</w:t>
      </w:r>
      <w:r w:rsidR="00595ECE" w:rsidRPr="00BB33CC">
        <w:t xml:space="preserve"> </w:t>
      </w:r>
      <w:r w:rsidRPr="00BB33CC">
        <w:t>antes del 1° de agosto de cada año</w:t>
      </w:r>
      <w:r w:rsidR="003D7248" w:rsidRPr="00BB33CC">
        <w:t xml:space="preserve">, misma que deberá estar </w:t>
      </w:r>
      <w:r w:rsidR="0087722B" w:rsidRPr="00BB33CC">
        <w:t>validada por auditores externos</w:t>
      </w:r>
      <w:r w:rsidR="00777BB9">
        <w:t xml:space="preserve"> y corresponderá a uno o dos años fiscales inmediatos anteriores, según se establece en los apartados de la presente metodología</w:t>
      </w:r>
      <w:r w:rsidR="00D81DCC" w:rsidRPr="00BB33CC">
        <w:t xml:space="preserve">. </w:t>
      </w:r>
    </w:p>
    <w:p w:rsidR="002E1156" w:rsidRPr="00BB33CC" w:rsidRDefault="00D81DCC" w:rsidP="002E1156">
      <w:pPr>
        <w:pStyle w:val="Normalresolucion"/>
        <w:spacing w:line="276" w:lineRule="auto"/>
      </w:pPr>
      <w:r w:rsidRPr="00BB33CC">
        <w:t xml:space="preserve">En el caso de los entes públicos </w:t>
      </w:r>
      <w:r w:rsidR="00D378E7">
        <w:t xml:space="preserve">concesionarios </w:t>
      </w:r>
      <w:r w:rsidRPr="00BB33CC">
        <w:t>con carácter de red compartida mayorista, estos quedan exentos de presentar información auditada</w:t>
      </w:r>
      <w:r w:rsidR="002E1156" w:rsidRPr="00BB33CC">
        <w:t>.</w:t>
      </w:r>
    </w:p>
    <w:p w:rsidR="004F3545" w:rsidRPr="00BB33CC" w:rsidRDefault="005A2BDF" w:rsidP="002E1156">
      <w:pPr>
        <w:pStyle w:val="Normalresolucion"/>
        <w:spacing w:line="276" w:lineRule="auto"/>
        <w:rPr>
          <w:rFonts w:eastAsiaTheme="minorHAnsi" w:cstheme="minorBidi"/>
          <w:bCs/>
          <w:lang w:val="es-MX" w:eastAsia="en-US"/>
        </w:rPr>
      </w:pPr>
      <w:r w:rsidRPr="00BB33CC">
        <w:rPr>
          <w:b/>
          <w:bCs/>
        </w:rPr>
        <w:t>DÉCIMA TERCERA</w:t>
      </w:r>
      <w:r w:rsidR="004F3545" w:rsidRPr="00BB33CC">
        <w:rPr>
          <w:rFonts w:eastAsiaTheme="minorHAnsi" w:cstheme="minorBidi"/>
          <w:b/>
          <w:bCs/>
          <w:lang w:val="es-MX" w:eastAsia="en-US"/>
        </w:rPr>
        <w:t xml:space="preserve">.- </w:t>
      </w:r>
      <w:r w:rsidR="004F3545" w:rsidRPr="00BB33CC">
        <w:rPr>
          <w:rFonts w:eastAsiaTheme="minorHAnsi" w:cstheme="minorBidi"/>
          <w:bCs/>
          <w:lang w:val="es-MX" w:eastAsia="en-US"/>
        </w:rPr>
        <w:t>Los concesionarios y/o autorizados deben presentar la información de separación contable en formato electrónico y editable, mediante un disco compacto y/o dispositivo de almacenamiento.</w:t>
      </w:r>
    </w:p>
    <w:p w:rsidR="0099168D" w:rsidRPr="00BB33CC" w:rsidRDefault="0099168D" w:rsidP="009B72C2">
      <w:pPr>
        <w:spacing w:before="240" w:after="0" w:line="276" w:lineRule="auto"/>
        <w:jc w:val="both"/>
        <w:rPr>
          <w:rFonts w:ascii="ITC Avant Garde" w:hAnsi="ITC Avant Garde"/>
        </w:rPr>
      </w:pPr>
      <w:r w:rsidRPr="00BB33CC">
        <w:rPr>
          <w:rStyle w:val="Textoennegrita"/>
          <w:rFonts w:ascii="ITC Avant Garde" w:hAnsi="ITC Avant Garde"/>
          <w:color w:val="000000"/>
        </w:rPr>
        <w:t>DÉCIMA CUARTA.</w:t>
      </w:r>
      <w:r w:rsidRPr="00BB33CC">
        <w:rPr>
          <w:rFonts w:ascii="ITC Avant Garde" w:hAnsi="ITC Avant Garde"/>
          <w:color w:val="000000"/>
        </w:rPr>
        <w:t>- Los concesionarios y/o autorizados deberán presentar</w:t>
      </w:r>
      <w:r w:rsidR="00A71707" w:rsidRPr="00BB33CC">
        <w:rPr>
          <w:rFonts w:ascii="ITC Avant Garde" w:hAnsi="ITC Avant Garde"/>
          <w:color w:val="000000"/>
        </w:rPr>
        <w:t>,</w:t>
      </w:r>
      <w:r w:rsidRPr="00BB33CC">
        <w:rPr>
          <w:rFonts w:ascii="ITC Avant Garde" w:hAnsi="ITC Avant Garde"/>
          <w:color w:val="000000"/>
        </w:rPr>
        <w:t xml:space="preserve"> para autorización del Instituto, un programa de implementación de la metodología de separación contable </w:t>
      </w:r>
      <w:r w:rsidR="00211616" w:rsidRPr="00BB33CC">
        <w:rPr>
          <w:rFonts w:ascii="ITC Avant Garde" w:hAnsi="ITC Avant Garde"/>
          <w:color w:val="000000"/>
        </w:rPr>
        <w:t xml:space="preserve">a más tardar </w:t>
      </w:r>
      <w:r w:rsidR="009B72C2" w:rsidRPr="00BB33CC">
        <w:rPr>
          <w:rFonts w:ascii="ITC Avant Garde" w:hAnsi="ITC Avant Garde"/>
          <w:color w:val="000000"/>
        </w:rPr>
        <w:t>al término del</w:t>
      </w:r>
      <w:r w:rsidR="00211616" w:rsidRPr="00BB33CC">
        <w:rPr>
          <w:rFonts w:ascii="ITC Avant Garde" w:hAnsi="ITC Avant Garde"/>
          <w:color w:val="000000"/>
        </w:rPr>
        <w:t xml:space="preserve"> primer trimestre del siguiente año al que hayan sido declarados como agentes económicos preponderantes</w:t>
      </w:r>
      <w:r w:rsidR="009B72C2" w:rsidRPr="00BB33CC">
        <w:rPr>
          <w:rFonts w:ascii="ITC Avant Garde" w:hAnsi="ITC Avant Garde"/>
          <w:color w:val="000000"/>
        </w:rPr>
        <w:t>, con poder sustancial de mercado y/o se les haya otorgado una concesión con carácter de red compartida mayorista</w:t>
      </w:r>
      <w:r w:rsidRPr="00BB33CC">
        <w:rPr>
          <w:rFonts w:ascii="ITC Avant Garde" w:hAnsi="ITC Avant Garde"/>
          <w:color w:val="000000"/>
        </w:rPr>
        <w:t>.</w:t>
      </w:r>
    </w:p>
    <w:p w:rsidR="00A71707" w:rsidRPr="00BB33CC" w:rsidRDefault="00B065F1" w:rsidP="00A71707">
      <w:pPr>
        <w:spacing w:before="240" w:after="0" w:line="276" w:lineRule="auto"/>
        <w:jc w:val="both"/>
        <w:rPr>
          <w:rFonts w:ascii="ITC Avant Garde" w:hAnsi="ITC Avant Garde"/>
          <w:bCs/>
        </w:rPr>
      </w:pPr>
      <w:r w:rsidRPr="00BB33CC">
        <w:rPr>
          <w:rFonts w:ascii="ITC Avant Garde" w:hAnsi="ITC Avant Garde"/>
        </w:rPr>
        <w:t>El programa de implementación debe contener</w:t>
      </w:r>
      <w:r w:rsidR="00A71707" w:rsidRPr="00BB33CC">
        <w:rPr>
          <w:rFonts w:ascii="ITC Avant Garde" w:hAnsi="ITC Avant Garde"/>
        </w:rPr>
        <w:t xml:space="preserve"> una propuesta sobre cómo se entregará la información de separación contable conforme a</w:t>
      </w:r>
      <w:r w:rsidRPr="00BB33CC">
        <w:rPr>
          <w:rFonts w:ascii="ITC Avant Garde" w:hAnsi="ITC Avant Garde"/>
        </w:rPr>
        <w:t xml:space="preserve"> lo establecido en </w:t>
      </w:r>
      <w:r w:rsidR="009B0ECA" w:rsidRPr="00BB33CC">
        <w:rPr>
          <w:rFonts w:ascii="ITC Avant Garde" w:hAnsi="ITC Avant Garde"/>
        </w:rPr>
        <w:t>la presente metodología</w:t>
      </w:r>
      <w:r w:rsidRPr="00BB33CC">
        <w:rPr>
          <w:rFonts w:ascii="ITC Avant Garde" w:hAnsi="ITC Avant Garde"/>
        </w:rPr>
        <w:t xml:space="preserve"> y </w:t>
      </w:r>
      <w:r w:rsidR="00A71707" w:rsidRPr="00BB33CC">
        <w:rPr>
          <w:rFonts w:ascii="ITC Avant Garde" w:hAnsi="ITC Avant Garde"/>
        </w:rPr>
        <w:t>sus</w:t>
      </w:r>
      <w:r w:rsidRPr="00BB33CC">
        <w:rPr>
          <w:rFonts w:ascii="ITC Avant Garde" w:hAnsi="ITC Avant Garde"/>
        </w:rPr>
        <w:t xml:space="preserve"> apartados</w:t>
      </w:r>
      <w:r w:rsidR="00A71707" w:rsidRPr="00BB33CC">
        <w:rPr>
          <w:rFonts w:ascii="ITC Avant Garde" w:hAnsi="ITC Avant Garde"/>
        </w:rPr>
        <w:t xml:space="preserve">, y </w:t>
      </w:r>
      <w:r w:rsidR="00A71707" w:rsidRPr="00BB33CC">
        <w:rPr>
          <w:rFonts w:ascii="ITC Avant Garde" w:hAnsi="ITC Avant Garde"/>
          <w:bCs/>
        </w:rPr>
        <w:t>deberá contener, al menos, la siguiente información:</w:t>
      </w:r>
    </w:p>
    <w:p w:rsidR="00A71707" w:rsidRPr="00BB33CC" w:rsidRDefault="00C86CA5" w:rsidP="00A71707">
      <w:pPr>
        <w:pStyle w:val="Prrafodelista"/>
        <w:numPr>
          <w:ilvl w:val="0"/>
          <w:numId w:val="311"/>
        </w:numPr>
        <w:spacing w:before="240" w:after="0" w:line="276" w:lineRule="auto"/>
        <w:jc w:val="both"/>
        <w:rPr>
          <w:rFonts w:ascii="ITC Avant Garde" w:hAnsi="ITC Avant Garde"/>
          <w:bCs/>
        </w:rPr>
      </w:pPr>
      <w:r w:rsidRPr="00BB33CC">
        <w:rPr>
          <w:rFonts w:ascii="ITC Avant Garde" w:hAnsi="ITC Avant Garde"/>
          <w:bCs/>
        </w:rPr>
        <w:t>S</w:t>
      </w:r>
      <w:r w:rsidR="00A71707" w:rsidRPr="00BB33CC">
        <w:rPr>
          <w:rFonts w:ascii="ITC Avant Garde" w:hAnsi="ITC Avant Garde"/>
          <w:bCs/>
        </w:rPr>
        <w:t xml:space="preserve">ervicios objeto de </w:t>
      </w:r>
      <w:r w:rsidRPr="00BB33CC">
        <w:rPr>
          <w:rFonts w:ascii="ITC Avant Garde" w:hAnsi="ITC Avant Garde"/>
          <w:bCs/>
        </w:rPr>
        <w:t>la separación contable que deben ser desagregados</w:t>
      </w:r>
      <w:r w:rsidR="00A71707" w:rsidRPr="00BB33CC">
        <w:rPr>
          <w:rFonts w:ascii="ITC Avant Garde" w:hAnsi="ITC Avant Garde"/>
          <w:bCs/>
        </w:rPr>
        <w:t xml:space="preserve">, </w:t>
      </w:r>
      <w:r w:rsidRPr="00BB33CC">
        <w:rPr>
          <w:rFonts w:ascii="ITC Avant Garde" w:hAnsi="ITC Avant Garde"/>
          <w:bCs/>
        </w:rPr>
        <w:t>y</w:t>
      </w:r>
      <w:r w:rsidR="00710B8F" w:rsidRPr="00BB33CC">
        <w:rPr>
          <w:rFonts w:ascii="ITC Avant Garde" w:hAnsi="ITC Avant Garde"/>
          <w:bCs/>
        </w:rPr>
        <w:t xml:space="preserve"> su descripción detallada;</w:t>
      </w:r>
    </w:p>
    <w:p w:rsidR="00A71707" w:rsidRPr="00BB33CC" w:rsidRDefault="00A71707" w:rsidP="00A71707">
      <w:pPr>
        <w:pStyle w:val="Prrafodelista"/>
        <w:numPr>
          <w:ilvl w:val="0"/>
          <w:numId w:val="311"/>
        </w:numPr>
        <w:spacing w:before="240" w:after="0" w:line="276" w:lineRule="auto"/>
        <w:jc w:val="both"/>
        <w:rPr>
          <w:rFonts w:ascii="ITC Avant Garde" w:hAnsi="ITC Avant Garde"/>
          <w:bCs/>
        </w:rPr>
      </w:pPr>
      <w:r w:rsidRPr="00BB33CC">
        <w:rPr>
          <w:rFonts w:ascii="ITC Avant Garde" w:hAnsi="ITC Avant Garde"/>
          <w:bCs/>
        </w:rPr>
        <w:lastRenderedPageBreak/>
        <w:t>Definición, justificación y descripción de las cuentas de costos e ingresos desagregadas en cada uno</w:t>
      </w:r>
      <w:r w:rsidR="00710B8F" w:rsidRPr="00BB33CC">
        <w:rPr>
          <w:rFonts w:ascii="ITC Avant Garde" w:hAnsi="ITC Avant Garde"/>
          <w:bCs/>
        </w:rPr>
        <w:t xml:space="preserve"> de los niveles del modelo;</w:t>
      </w:r>
    </w:p>
    <w:p w:rsidR="00A71707" w:rsidRPr="00BB33CC" w:rsidRDefault="00A71707" w:rsidP="00A71707">
      <w:pPr>
        <w:pStyle w:val="Prrafodelista"/>
        <w:numPr>
          <w:ilvl w:val="0"/>
          <w:numId w:val="311"/>
        </w:numPr>
        <w:spacing w:before="240" w:after="0" w:line="276" w:lineRule="auto"/>
        <w:jc w:val="both"/>
        <w:rPr>
          <w:rFonts w:ascii="ITC Avant Garde" w:hAnsi="ITC Avant Garde"/>
          <w:bCs/>
        </w:rPr>
      </w:pPr>
      <w:r w:rsidRPr="00BB33CC">
        <w:rPr>
          <w:rFonts w:ascii="ITC Avant Garde" w:hAnsi="ITC Avant Garde"/>
          <w:bCs/>
        </w:rPr>
        <w:t>Motivos de cargo y abono para cada cuenta y los criterios de rep</w:t>
      </w:r>
      <w:r w:rsidR="00710B8F" w:rsidRPr="00BB33CC">
        <w:rPr>
          <w:rFonts w:ascii="ITC Avant Garde" w:hAnsi="ITC Avant Garde"/>
          <w:bCs/>
        </w:rPr>
        <w:t>arto o asignación en que se basan;</w:t>
      </w:r>
    </w:p>
    <w:p w:rsidR="00A71707" w:rsidRPr="00BB33CC" w:rsidRDefault="00710B8F" w:rsidP="00A71707">
      <w:pPr>
        <w:pStyle w:val="Prrafodelista"/>
        <w:numPr>
          <w:ilvl w:val="0"/>
          <w:numId w:val="311"/>
        </w:numPr>
        <w:spacing w:before="240" w:after="0" w:line="276" w:lineRule="auto"/>
        <w:jc w:val="both"/>
        <w:rPr>
          <w:rFonts w:ascii="ITC Avant Garde" w:hAnsi="ITC Avant Garde"/>
          <w:bCs/>
        </w:rPr>
      </w:pPr>
      <w:r w:rsidRPr="00BB33CC">
        <w:rPr>
          <w:rFonts w:ascii="ITC Avant Garde" w:hAnsi="ITC Avant Garde"/>
          <w:bCs/>
        </w:rPr>
        <w:t>Información a emplear y</w:t>
      </w:r>
      <w:r w:rsidR="00A71707" w:rsidRPr="00BB33CC">
        <w:rPr>
          <w:rFonts w:ascii="ITC Avant Garde" w:hAnsi="ITC Avant Garde"/>
          <w:bCs/>
        </w:rPr>
        <w:t xml:space="preserve"> explicación de los métodos propuestos para </w:t>
      </w:r>
      <w:r w:rsidR="00C139C5" w:rsidRPr="00BB33CC">
        <w:rPr>
          <w:rFonts w:ascii="ITC Avant Garde" w:hAnsi="ITC Avant Garde"/>
          <w:bCs/>
        </w:rPr>
        <w:t>dar cumplimiento a lo dispuesto en el CAPÍTULO III</w:t>
      </w:r>
      <w:r w:rsidR="00452E4F" w:rsidRPr="00BB33CC">
        <w:rPr>
          <w:rFonts w:ascii="ITC Avant Garde" w:hAnsi="ITC Avant Garde"/>
          <w:bCs/>
        </w:rPr>
        <w:t xml:space="preserve"> de </w:t>
      </w:r>
      <w:r w:rsidR="009B0ECA" w:rsidRPr="00BB33CC">
        <w:rPr>
          <w:rFonts w:ascii="ITC Avant Garde" w:hAnsi="ITC Avant Garde"/>
          <w:bCs/>
        </w:rPr>
        <w:t>la presente metodología</w:t>
      </w:r>
      <w:r w:rsidR="00536756" w:rsidRPr="00BB33CC">
        <w:rPr>
          <w:rFonts w:ascii="ITC Avant Garde" w:hAnsi="ITC Avant Garde"/>
          <w:bCs/>
        </w:rPr>
        <w:t>, y</w:t>
      </w:r>
    </w:p>
    <w:p w:rsidR="00A71707" w:rsidRPr="00BB33CC" w:rsidRDefault="00A71707" w:rsidP="00A71707">
      <w:pPr>
        <w:pStyle w:val="Prrafodelista"/>
        <w:numPr>
          <w:ilvl w:val="0"/>
          <w:numId w:val="311"/>
        </w:numPr>
        <w:spacing w:before="240" w:after="0" w:line="276" w:lineRule="auto"/>
        <w:jc w:val="both"/>
        <w:rPr>
          <w:rFonts w:ascii="ITC Avant Garde" w:hAnsi="ITC Avant Garde"/>
          <w:bCs/>
        </w:rPr>
      </w:pPr>
      <w:r w:rsidRPr="00BB33CC">
        <w:rPr>
          <w:rFonts w:ascii="ITC Avant Garde" w:hAnsi="ITC Avant Garde"/>
          <w:bCs/>
        </w:rPr>
        <w:t>Propuesta y justificación de vidas útiles</w:t>
      </w:r>
      <w:r w:rsidR="004B798B" w:rsidRPr="00BB33CC">
        <w:rPr>
          <w:rFonts w:ascii="ITC Avant Garde" w:hAnsi="ITC Avant Garde"/>
          <w:bCs/>
        </w:rPr>
        <w:t xml:space="preserve"> de los activos</w:t>
      </w:r>
      <w:r w:rsidRPr="00BB33CC">
        <w:rPr>
          <w:rFonts w:ascii="ITC Avant Garde" w:hAnsi="ITC Avant Garde"/>
          <w:bCs/>
        </w:rPr>
        <w:t>.</w:t>
      </w:r>
    </w:p>
    <w:p w:rsidR="00C940C9" w:rsidRPr="00BB33CC" w:rsidRDefault="000F62C8" w:rsidP="000F62C8">
      <w:pPr>
        <w:pStyle w:val="Normalresolucion"/>
        <w:spacing w:after="0" w:line="276" w:lineRule="auto"/>
      </w:pPr>
      <w:r w:rsidRPr="00BB33CC">
        <w:t xml:space="preserve">Los concesionarios y/o autorizados que conformen un mismo agente económico preponderante o con poder sustancial de mercado, </w:t>
      </w:r>
      <w:r w:rsidR="00103860" w:rsidRPr="00BB33CC">
        <w:t xml:space="preserve">de así considerarlo, podrán como parte de su programa de implementación, solicitar autorización </w:t>
      </w:r>
      <w:r w:rsidRPr="00BB33CC">
        <w:t xml:space="preserve">del Instituto para </w:t>
      </w:r>
      <w:r w:rsidR="00103860" w:rsidRPr="00BB33CC">
        <w:t>presentar conjuntamente la información de separación contable</w:t>
      </w:r>
      <w:r w:rsidRPr="00BB33CC">
        <w:t>.</w:t>
      </w:r>
      <w:r w:rsidR="00C940C9" w:rsidRPr="00BB33CC">
        <w:t xml:space="preserve"> </w:t>
      </w:r>
    </w:p>
    <w:p w:rsidR="000F62C8" w:rsidRPr="00BB33CC" w:rsidRDefault="00C940C9" w:rsidP="000F62C8">
      <w:pPr>
        <w:pStyle w:val="Normalresolucion"/>
        <w:spacing w:after="0" w:line="276" w:lineRule="auto"/>
      </w:pPr>
      <w:r w:rsidRPr="00BB33CC">
        <w:t>El Instituto se reservará el derecho de revocar o modificar cualquier autorización de presentación conjunta de la separación contable</w:t>
      </w:r>
      <w:r w:rsidR="000D49EE" w:rsidRPr="00BB33CC">
        <w:t>. Para ello, notificará</w:t>
      </w:r>
      <w:r w:rsidRPr="00BB33CC">
        <w:t xml:space="preserve"> a los concesionarios y/o autorizados </w:t>
      </w:r>
      <w:r w:rsidR="000D49EE" w:rsidRPr="00BB33CC">
        <w:t>sobre dicha situación a efecto de que entreguen la información de separación contable del año siguiente bajo los términos dispuestos por el Instituto.</w:t>
      </w:r>
    </w:p>
    <w:p w:rsidR="000F62C8" w:rsidRPr="00BB33CC" w:rsidRDefault="008B565E" w:rsidP="000F62C8">
      <w:pPr>
        <w:pStyle w:val="Normalresolucion"/>
        <w:spacing w:after="0" w:line="276" w:lineRule="auto"/>
      </w:pPr>
      <w:r w:rsidRPr="00BB33CC">
        <w:t xml:space="preserve">El </w:t>
      </w:r>
      <w:r w:rsidR="002005B2" w:rsidRPr="00BB33CC">
        <w:t>p</w:t>
      </w:r>
      <w:r w:rsidRPr="00BB33CC">
        <w:t xml:space="preserve">rograma de </w:t>
      </w:r>
      <w:r w:rsidR="002005B2" w:rsidRPr="00BB33CC">
        <w:t>i</w:t>
      </w:r>
      <w:r w:rsidRPr="00BB33CC">
        <w:t xml:space="preserve">mplementación se considerará aprobado salvo que el Instituto solicite modificaciones al contenido del mismo dentro de un plazo de 40 días hábiles posteriores a la fecha de presentación del mismo, en cuyo caso el </w:t>
      </w:r>
      <w:r w:rsidR="00384745" w:rsidRPr="00BB33CC">
        <w:t>concesionario y/o autorizado</w:t>
      </w:r>
      <w:r w:rsidRPr="00BB33CC">
        <w:t xml:space="preserve"> deberá </w:t>
      </w:r>
      <w:r w:rsidR="004B798B" w:rsidRPr="00BB33CC">
        <w:t>atender</w:t>
      </w:r>
      <w:r w:rsidRPr="00BB33CC">
        <w:t xml:space="preserve">las </w:t>
      </w:r>
      <w:r w:rsidR="004B798B" w:rsidRPr="00BB33CC">
        <w:t xml:space="preserve">y presentar el programa de implementación modificado </w:t>
      </w:r>
      <w:r w:rsidRPr="00BB33CC">
        <w:t>en un plazo no mayor a 20 días hábiles.</w:t>
      </w:r>
      <w:r w:rsidR="00ED79EA" w:rsidRPr="00BB33CC">
        <w:t xml:space="preserve"> En el supuesto de que el programa de implementación no atienda las modificaciones solicitadas</w:t>
      </w:r>
      <w:r w:rsidR="008110EA" w:rsidRPr="00BB33CC">
        <w:t>,</w:t>
      </w:r>
      <w:r w:rsidR="00DD0C13" w:rsidRPr="00BB33CC">
        <w:t xml:space="preserve"> se considerará como no presentado</w:t>
      </w:r>
      <w:r w:rsidR="00ED79EA" w:rsidRPr="00BB33CC">
        <w:t>.</w:t>
      </w:r>
    </w:p>
    <w:p w:rsidR="002349AA" w:rsidRDefault="008B565E" w:rsidP="000E37D3">
      <w:pPr>
        <w:pStyle w:val="Normalresolucion"/>
        <w:spacing w:line="276" w:lineRule="auto"/>
        <w:rPr>
          <w:rFonts w:eastAsiaTheme="minorHAnsi" w:cstheme="minorBidi"/>
          <w:bCs/>
          <w:lang w:val="es-MX" w:eastAsia="en-US"/>
        </w:rPr>
      </w:pPr>
      <w:r w:rsidRPr="00BB33CC">
        <w:rPr>
          <w:rFonts w:eastAsiaTheme="minorHAnsi" w:cstheme="minorBidi"/>
          <w:bCs/>
          <w:lang w:val="es-MX" w:eastAsia="en-US"/>
        </w:rPr>
        <w:t>C</w:t>
      </w:r>
      <w:r w:rsidR="003D2AEB" w:rsidRPr="00BB33CC">
        <w:rPr>
          <w:rFonts w:eastAsiaTheme="minorHAnsi" w:cstheme="minorBidi"/>
          <w:bCs/>
          <w:lang w:val="es-MX" w:eastAsia="en-US"/>
        </w:rPr>
        <w:t>uando</w:t>
      </w:r>
      <w:r w:rsidRPr="00BB33CC">
        <w:rPr>
          <w:rFonts w:eastAsiaTheme="minorHAnsi" w:cstheme="minorBidi"/>
          <w:bCs/>
          <w:lang w:val="es-MX" w:eastAsia="en-US"/>
        </w:rPr>
        <w:t xml:space="preserve"> los </w:t>
      </w:r>
      <w:r w:rsidR="007847B0" w:rsidRPr="00BB33CC">
        <w:rPr>
          <w:rFonts w:eastAsiaTheme="minorHAnsi" w:cstheme="minorBidi"/>
          <w:bCs/>
          <w:lang w:val="es-MX" w:eastAsia="en-US"/>
        </w:rPr>
        <w:t>concesionarios y/o autorizados</w:t>
      </w:r>
      <w:r w:rsidRPr="00BB33CC">
        <w:rPr>
          <w:rFonts w:eastAsiaTheme="minorHAnsi" w:cstheme="minorBidi"/>
          <w:bCs/>
          <w:lang w:val="es-MX" w:eastAsia="en-US"/>
        </w:rPr>
        <w:t xml:space="preserve"> </w:t>
      </w:r>
      <w:r w:rsidR="00D14489" w:rsidRPr="00BB33CC">
        <w:rPr>
          <w:rFonts w:eastAsiaTheme="minorHAnsi" w:cstheme="minorBidi"/>
          <w:bCs/>
          <w:lang w:val="es-MX" w:eastAsia="en-US"/>
        </w:rPr>
        <w:t>requieran modifica</w:t>
      </w:r>
      <w:r w:rsidR="008D739C" w:rsidRPr="00BB33CC">
        <w:rPr>
          <w:rFonts w:eastAsiaTheme="minorHAnsi" w:cstheme="minorBidi"/>
          <w:bCs/>
          <w:lang w:val="es-MX" w:eastAsia="en-US"/>
        </w:rPr>
        <w:t xml:space="preserve">r </w:t>
      </w:r>
      <w:r w:rsidR="00A93A0F" w:rsidRPr="00BB33CC">
        <w:rPr>
          <w:rFonts w:eastAsiaTheme="minorHAnsi" w:cstheme="minorBidi"/>
          <w:bCs/>
          <w:lang w:val="es-MX" w:eastAsia="en-US"/>
        </w:rPr>
        <w:t xml:space="preserve">aspectos metodológicos de su </w:t>
      </w:r>
      <w:r w:rsidR="008D739C" w:rsidRPr="00BB33CC">
        <w:rPr>
          <w:rFonts w:eastAsiaTheme="minorHAnsi" w:cstheme="minorBidi"/>
          <w:bCs/>
          <w:lang w:val="es-MX" w:eastAsia="en-US"/>
        </w:rPr>
        <w:t xml:space="preserve">programa de implementación </w:t>
      </w:r>
      <w:r w:rsidR="00A93A0F" w:rsidRPr="00BB33CC">
        <w:rPr>
          <w:rFonts w:eastAsiaTheme="minorHAnsi" w:cstheme="minorBidi"/>
          <w:bCs/>
          <w:lang w:val="es-MX" w:eastAsia="en-US"/>
        </w:rPr>
        <w:t>vigente</w:t>
      </w:r>
      <w:r w:rsidR="00D14489" w:rsidRPr="00BB33CC">
        <w:rPr>
          <w:rFonts w:eastAsiaTheme="minorHAnsi" w:cstheme="minorBidi"/>
          <w:bCs/>
          <w:lang w:val="es-MX" w:eastAsia="en-US"/>
        </w:rPr>
        <w:t xml:space="preserve">, </w:t>
      </w:r>
      <w:r w:rsidRPr="00BB33CC">
        <w:rPr>
          <w:rFonts w:eastAsiaTheme="minorHAnsi" w:cstheme="minorBidi"/>
          <w:bCs/>
          <w:lang w:val="es-MX" w:eastAsia="en-US"/>
        </w:rPr>
        <w:t xml:space="preserve">deberán </w:t>
      </w:r>
      <w:r w:rsidR="00D14489" w:rsidRPr="00BB33CC">
        <w:rPr>
          <w:rFonts w:eastAsiaTheme="minorHAnsi" w:cstheme="minorBidi"/>
          <w:bCs/>
          <w:lang w:val="es-MX" w:eastAsia="en-US"/>
        </w:rPr>
        <w:t xml:space="preserve">someter </w:t>
      </w:r>
      <w:r w:rsidR="00A93A0F" w:rsidRPr="00BB33CC">
        <w:rPr>
          <w:rFonts w:eastAsiaTheme="minorHAnsi" w:cstheme="minorBidi"/>
          <w:bCs/>
          <w:lang w:val="es-MX" w:eastAsia="en-US"/>
        </w:rPr>
        <w:t>para autorización de</w:t>
      </w:r>
      <w:r w:rsidR="00D14489" w:rsidRPr="00BB33CC">
        <w:rPr>
          <w:rFonts w:eastAsiaTheme="minorHAnsi" w:cstheme="minorBidi"/>
          <w:bCs/>
          <w:lang w:val="es-MX" w:eastAsia="en-US"/>
        </w:rPr>
        <w:t xml:space="preserve"> Instituto </w:t>
      </w:r>
      <w:r w:rsidR="00A93A0F" w:rsidRPr="00BB33CC">
        <w:rPr>
          <w:rFonts w:eastAsiaTheme="minorHAnsi" w:cstheme="minorBidi"/>
          <w:bCs/>
          <w:lang w:val="es-MX" w:eastAsia="en-US"/>
        </w:rPr>
        <w:t>su propuesta de</w:t>
      </w:r>
      <w:r w:rsidRPr="00BB33CC">
        <w:rPr>
          <w:rFonts w:eastAsiaTheme="minorHAnsi" w:cstheme="minorBidi"/>
          <w:bCs/>
          <w:lang w:val="es-MX" w:eastAsia="en-US"/>
        </w:rPr>
        <w:t xml:space="preserve"> </w:t>
      </w:r>
      <w:r w:rsidR="002005B2" w:rsidRPr="00BB33CC">
        <w:rPr>
          <w:rFonts w:eastAsiaTheme="minorHAnsi" w:cstheme="minorBidi"/>
          <w:bCs/>
          <w:lang w:val="es-MX" w:eastAsia="en-US"/>
        </w:rPr>
        <w:t>p</w:t>
      </w:r>
      <w:r w:rsidRPr="00BB33CC">
        <w:rPr>
          <w:rFonts w:eastAsiaTheme="minorHAnsi" w:cstheme="minorBidi"/>
          <w:bCs/>
          <w:lang w:val="es-MX" w:eastAsia="en-US"/>
        </w:rPr>
        <w:t>rogra</w:t>
      </w:r>
      <w:r w:rsidR="00A93A0F" w:rsidRPr="00BB33CC">
        <w:rPr>
          <w:rFonts w:eastAsiaTheme="minorHAnsi" w:cstheme="minorBidi"/>
          <w:bCs/>
          <w:lang w:val="es-MX" w:eastAsia="en-US"/>
        </w:rPr>
        <w:t>ma modificado, mismo que será resuelto conforme a los plazos establecido</w:t>
      </w:r>
      <w:r w:rsidR="00CD0B78" w:rsidRPr="00BB33CC">
        <w:rPr>
          <w:rFonts w:eastAsiaTheme="minorHAnsi" w:cstheme="minorBidi"/>
          <w:bCs/>
          <w:lang w:val="es-MX" w:eastAsia="en-US"/>
        </w:rPr>
        <w:t>s</w:t>
      </w:r>
      <w:r w:rsidR="00A93A0F" w:rsidRPr="00BB33CC">
        <w:rPr>
          <w:rFonts w:eastAsiaTheme="minorHAnsi" w:cstheme="minorBidi"/>
          <w:bCs/>
          <w:lang w:val="es-MX" w:eastAsia="en-US"/>
        </w:rPr>
        <w:t xml:space="preserve"> en el párrafo </w:t>
      </w:r>
      <w:r w:rsidR="008110EA" w:rsidRPr="00BB33CC">
        <w:rPr>
          <w:rFonts w:eastAsiaTheme="minorHAnsi" w:cstheme="minorBidi"/>
          <w:bCs/>
          <w:lang w:val="es-MX" w:eastAsia="en-US"/>
        </w:rPr>
        <w:t>que antecede</w:t>
      </w:r>
      <w:r w:rsidR="009D2B17" w:rsidRPr="00BB33CC">
        <w:rPr>
          <w:rFonts w:eastAsiaTheme="minorHAnsi" w:cstheme="minorBidi"/>
          <w:bCs/>
          <w:lang w:val="es-MX" w:eastAsia="en-US"/>
        </w:rPr>
        <w:t>.</w:t>
      </w:r>
      <w:r w:rsidR="00DE216B" w:rsidRPr="00BB33CC">
        <w:rPr>
          <w:rFonts w:eastAsiaTheme="minorHAnsi" w:cstheme="minorBidi"/>
          <w:bCs/>
          <w:lang w:val="es-MX" w:eastAsia="en-US"/>
        </w:rPr>
        <w:t xml:space="preserve"> </w:t>
      </w:r>
      <w:r w:rsidR="009D2B17" w:rsidRPr="00BB33CC">
        <w:rPr>
          <w:rFonts w:eastAsiaTheme="minorHAnsi" w:cstheme="minorBidi"/>
          <w:bCs/>
          <w:lang w:val="es-MX" w:eastAsia="en-US"/>
        </w:rPr>
        <w:t>L</w:t>
      </w:r>
      <w:r w:rsidR="00DE216B" w:rsidRPr="00BB33CC">
        <w:rPr>
          <w:rFonts w:eastAsiaTheme="minorHAnsi" w:cstheme="minorBidi"/>
          <w:bCs/>
          <w:lang w:val="es-MX" w:eastAsia="en-US"/>
        </w:rPr>
        <w:t xml:space="preserve">o anterior, sin perjuicio del cumplimiento de sus obligaciones </w:t>
      </w:r>
      <w:r w:rsidR="003D2AEB" w:rsidRPr="00BB33CC">
        <w:rPr>
          <w:rFonts w:eastAsiaTheme="minorHAnsi" w:cstheme="minorBidi"/>
          <w:bCs/>
          <w:lang w:val="es-MX" w:eastAsia="en-US"/>
        </w:rPr>
        <w:t>de entrega de información de separación contable del año en curso.</w:t>
      </w:r>
    </w:p>
    <w:p w:rsidR="00F916ED" w:rsidRDefault="00F916ED" w:rsidP="000E37D3">
      <w:pPr>
        <w:pStyle w:val="Normalresolucion"/>
        <w:spacing w:line="276" w:lineRule="auto"/>
        <w:rPr>
          <w:rFonts w:eastAsiaTheme="minorHAnsi" w:cstheme="minorBidi"/>
          <w:bCs/>
          <w:lang w:val="es-MX" w:eastAsia="en-US"/>
        </w:rPr>
      </w:pPr>
    </w:p>
    <w:p w:rsidR="00F916ED" w:rsidRPr="00BB33CC" w:rsidRDefault="00F916ED" w:rsidP="000E37D3">
      <w:pPr>
        <w:pStyle w:val="Normalresolucion"/>
        <w:spacing w:line="276" w:lineRule="auto"/>
      </w:pPr>
    </w:p>
    <w:p w:rsidR="002E1156" w:rsidRPr="00BB33CC" w:rsidRDefault="00A372C5" w:rsidP="002E1156">
      <w:pPr>
        <w:pStyle w:val="Ttulo2"/>
        <w:spacing w:before="240" w:line="276" w:lineRule="auto"/>
        <w:jc w:val="center"/>
      </w:pPr>
      <w:r w:rsidRPr="00BB33CC">
        <w:t>CAPÍTULO V</w:t>
      </w:r>
    </w:p>
    <w:p w:rsidR="002E1156" w:rsidRPr="00BB33CC" w:rsidRDefault="002E1156" w:rsidP="002E1156">
      <w:pPr>
        <w:pStyle w:val="estilo30"/>
        <w:spacing w:before="240" w:beforeAutospacing="0" w:after="0" w:afterAutospacing="0" w:line="276" w:lineRule="auto"/>
        <w:jc w:val="center"/>
        <w:rPr>
          <w:rFonts w:ascii="ITC Avant Garde" w:hAnsi="ITC Avant Garde"/>
          <w:b/>
          <w:bCs/>
          <w:sz w:val="22"/>
          <w:szCs w:val="22"/>
        </w:rPr>
      </w:pPr>
      <w:r w:rsidRPr="00BB33CC">
        <w:rPr>
          <w:rFonts w:ascii="ITC Avant Garde" w:hAnsi="ITC Avant Garde"/>
          <w:b/>
          <w:bCs/>
          <w:sz w:val="22"/>
          <w:szCs w:val="22"/>
        </w:rPr>
        <w:t>Del proceso de revisión de la información de separación contable</w:t>
      </w:r>
    </w:p>
    <w:p w:rsidR="002E1156" w:rsidRPr="00BB33CC" w:rsidRDefault="002E1156" w:rsidP="00A372C5">
      <w:pPr>
        <w:spacing w:before="240" w:after="0" w:line="276" w:lineRule="auto"/>
        <w:jc w:val="both"/>
        <w:rPr>
          <w:rFonts w:ascii="ITC Avant Garde" w:hAnsi="ITC Avant Garde"/>
        </w:rPr>
      </w:pPr>
      <w:r w:rsidRPr="00BB33CC">
        <w:rPr>
          <w:rFonts w:ascii="ITC Avant Garde" w:hAnsi="ITC Avant Garde"/>
          <w:b/>
          <w:bCs/>
        </w:rPr>
        <w:lastRenderedPageBreak/>
        <w:t xml:space="preserve">DÉCIMA </w:t>
      </w:r>
      <w:r w:rsidR="00A372C5" w:rsidRPr="00BB33CC">
        <w:rPr>
          <w:rFonts w:ascii="ITC Avant Garde" w:hAnsi="ITC Avant Garde"/>
          <w:b/>
          <w:bCs/>
        </w:rPr>
        <w:t>QUINTA</w:t>
      </w:r>
      <w:r w:rsidRPr="00BB33CC">
        <w:rPr>
          <w:rFonts w:ascii="ITC Avant Garde" w:eastAsia="Times New Roman" w:hAnsi="ITC Avant Garde" w:cs="Times New Roman"/>
          <w:b/>
          <w:lang w:eastAsia="es-MX"/>
        </w:rPr>
        <w:t>.-</w:t>
      </w:r>
      <w:r w:rsidRPr="00BB33CC">
        <w:rPr>
          <w:rFonts w:ascii="ITC Avant Garde" w:eastAsia="Times New Roman" w:hAnsi="ITC Avant Garde" w:cs="Times New Roman"/>
          <w:lang w:eastAsia="es-MX"/>
        </w:rPr>
        <w:t xml:space="preserve"> </w:t>
      </w:r>
      <w:r w:rsidRPr="00BB33CC">
        <w:rPr>
          <w:rFonts w:ascii="ITC Avant Garde" w:hAnsi="ITC Avant Garde"/>
        </w:rPr>
        <w:t xml:space="preserve">El Instituto </w:t>
      </w:r>
      <w:r w:rsidR="00970580" w:rsidRPr="00BB33CC">
        <w:rPr>
          <w:rFonts w:ascii="ITC Avant Garde" w:hAnsi="ITC Avant Garde"/>
        </w:rPr>
        <w:t xml:space="preserve">revisará </w:t>
      </w:r>
      <w:r w:rsidR="00A372C5" w:rsidRPr="00BB33CC">
        <w:rPr>
          <w:rFonts w:ascii="ITC Avant Garde" w:hAnsi="ITC Avant Garde"/>
        </w:rPr>
        <w:t xml:space="preserve">que </w:t>
      </w:r>
      <w:r w:rsidRPr="00BB33CC">
        <w:rPr>
          <w:rFonts w:ascii="ITC Avant Garde" w:hAnsi="ITC Avant Garde"/>
        </w:rPr>
        <w:t xml:space="preserve">la información de separación contable entregada por los </w:t>
      </w:r>
      <w:r w:rsidR="00A372C5" w:rsidRPr="00BB33CC">
        <w:rPr>
          <w:rFonts w:ascii="ITC Avant Garde" w:hAnsi="ITC Avant Garde"/>
        </w:rPr>
        <w:t>concesionarios y/o autorizados</w:t>
      </w:r>
      <w:r w:rsidRPr="00BB33CC">
        <w:rPr>
          <w:rFonts w:ascii="ITC Avant Garde" w:hAnsi="ITC Avant Garde"/>
        </w:rPr>
        <w:t xml:space="preserve"> </w:t>
      </w:r>
      <w:r w:rsidR="00A372C5" w:rsidRPr="00BB33CC">
        <w:rPr>
          <w:rFonts w:ascii="ITC Avant Garde" w:hAnsi="ITC Avant Garde"/>
        </w:rPr>
        <w:t xml:space="preserve">se apegue </w:t>
      </w:r>
      <w:r w:rsidRPr="00BB33CC">
        <w:rPr>
          <w:rFonts w:ascii="ITC Avant Garde" w:hAnsi="ITC Avant Garde"/>
        </w:rPr>
        <w:t>a los principios, criterios y condiciones establecidos</w:t>
      </w:r>
      <w:r w:rsidR="0038620B" w:rsidRPr="00BB33CC">
        <w:rPr>
          <w:rFonts w:ascii="ITC Avant Garde" w:hAnsi="ITC Avant Garde"/>
        </w:rPr>
        <w:t xml:space="preserve"> en </w:t>
      </w:r>
      <w:r w:rsidR="009B0ECA" w:rsidRPr="00BB33CC">
        <w:rPr>
          <w:rFonts w:ascii="ITC Avant Garde" w:hAnsi="ITC Avant Garde"/>
        </w:rPr>
        <w:t>la presente metodología</w:t>
      </w:r>
      <w:r w:rsidR="00B21987" w:rsidRPr="00BB33CC">
        <w:rPr>
          <w:rFonts w:ascii="ITC Avant Garde" w:hAnsi="ITC Avant Garde"/>
        </w:rPr>
        <w:t xml:space="preserve"> y al programa de implementación</w:t>
      </w:r>
      <w:r w:rsidRPr="00BB33CC">
        <w:rPr>
          <w:rFonts w:ascii="ITC Avant Garde" w:hAnsi="ITC Avant Garde"/>
        </w:rPr>
        <w:t>.</w:t>
      </w:r>
    </w:p>
    <w:p w:rsidR="00224778" w:rsidRPr="00BB33CC" w:rsidRDefault="00FB5BA9" w:rsidP="008C176C">
      <w:pPr>
        <w:pStyle w:val="Normalresolucion"/>
        <w:spacing w:after="0" w:line="276" w:lineRule="auto"/>
      </w:pPr>
      <w:r w:rsidRPr="00BB33CC">
        <w:t xml:space="preserve">Cuando </w:t>
      </w:r>
      <w:r w:rsidR="00970580" w:rsidRPr="00BB33CC">
        <w:t xml:space="preserve">el Instituto </w:t>
      </w:r>
      <w:r w:rsidRPr="00BB33CC">
        <w:t xml:space="preserve">identifique posibles </w:t>
      </w:r>
      <w:r w:rsidR="002E1156" w:rsidRPr="00BB33CC">
        <w:t>incidencias y/o áreas de mejora</w:t>
      </w:r>
      <w:r w:rsidRPr="00BB33CC">
        <w:t xml:space="preserve"> en la información de separación contable </w:t>
      </w:r>
      <w:r w:rsidR="00C318E3" w:rsidRPr="00BB33CC">
        <w:t xml:space="preserve">entregada por </w:t>
      </w:r>
      <w:r w:rsidRPr="00BB33CC">
        <w:t>los</w:t>
      </w:r>
      <w:r w:rsidR="00C318E3" w:rsidRPr="00BB33CC">
        <w:t xml:space="preserve"> concesionarios y/o autorizados, </w:t>
      </w:r>
      <w:r w:rsidRPr="00BB33CC">
        <w:t>realizará observaciones</w:t>
      </w:r>
      <w:r w:rsidR="00C318E3" w:rsidRPr="00BB33CC">
        <w:t xml:space="preserve"> a más tardar </w:t>
      </w:r>
      <w:r w:rsidR="00CE2A19" w:rsidRPr="00BB33CC">
        <w:t>el 31 de diciembre</w:t>
      </w:r>
      <w:r w:rsidR="00C318E3" w:rsidRPr="00BB33CC">
        <w:t xml:space="preserve"> del año que corresponda</w:t>
      </w:r>
      <w:r w:rsidR="00CE2A19" w:rsidRPr="00BB33CC">
        <w:t xml:space="preserve">, mismas que </w:t>
      </w:r>
      <w:r w:rsidR="0088424B" w:rsidRPr="00BB33CC">
        <w:t xml:space="preserve">los concesionarios y/o autorizados </w:t>
      </w:r>
      <w:r w:rsidR="00CE2A19" w:rsidRPr="00BB33CC">
        <w:t xml:space="preserve">deberán </w:t>
      </w:r>
      <w:r w:rsidR="0088424B" w:rsidRPr="00BB33CC">
        <w:t xml:space="preserve">subsanar </w:t>
      </w:r>
      <w:r w:rsidR="00CE2A19" w:rsidRPr="00BB33CC">
        <w:t xml:space="preserve">en un plazo no mayor a 40 días </w:t>
      </w:r>
      <w:r w:rsidR="00E9681E" w:rsidRPr="00BB33CC">
        <w:t xml:space="preserve">hábiles </w:t>
      </w:r>
      <w:r w:rsidR="0088424B" w:rsidRPr="00BB33CC">
        <w:t>posteriores a que se les hayan notificado</w:t>
      </w:r>
      <w:r w:rsidR="00CE2A19" w:rsidRPr="00BB33CC">
        <w:t>.</w:t>
      </w:r>
      <w:r w:rsidR="00224778" w:rsidRPr="00BB33CC">
        <w:t xml:space="preserve"> En el supuesto de que no se atiendan las observaciones del Instituto en dicho plazo, la información de separación contable se considerará como no presentada.</w:t>
      </w:r>
    </w:p>
    <w:p w:rsidR="002E1156" w:rsidRPr="00BB33CC" w:rsidRDefault="002E1156" w:rsidP="00FB5BA9">
      <w:pPr>
        <w:spacing w:before="240" w:after="0" w:line="276" w:lineRule="auto"/>
        <w:jc w:val="both"/>
        <w:rPr>
          <w:rFonts w:ascii="ITC Avant Garde" w:hAnsi="ITC Avant Garde"/>
        </w:rPr>
      </w:pPr>
    </w:p>
    <w:p w:rsidR="002E1156" w:rsidRPr="00BB33CC" w:rsidRDefault="00F069FF" w:rsidP="00BB6D1D">
      <w:pPr>
        <w:pStyle w:val="Ttulo2"/>
        <w:spacing w:before="240" w:line="276" w:lineRule="auto"/>
        <w:jc w:val="center"/>
      </w:pPr>
      <w:r w:rsidRPr="00BB33CC">
        <w:t>CAPÍTULO VI</w:t>
      </w:r>
    </w:p>
    <w:p w:rsidR="002E1156" w:rsidRPr="00BB33CC" w:rsidRDefault="002E1156" w:rsidP="002E1156">
      <w:pPr>
        <w:spacing w:before="240" w:after="240" w:line="276" w:lineRule="auto"/>
        <w:jc w:val="center"/>
        <w:rPr>
          <w:rFonts w:ascii="ITC Avant Garde" w:eastAsia="Times New Roman" w:hAnsi="ITC Avant Garde" w:cs="Times New Roman"/>
          <w:b/>
          <w:bCs/>
          <w:lang w:eastAsia="es-MX"/>
        </w:rPr>
      </w:pPr>
      <w:r w:rsidRPr="00BB33CC">
        <w:rPr>
          <w:rFonts w:ascii="ITC Avant Garde" w:eastAsia="Times New Roman" w:hAnsi="ITC Avant Garde" w:cs="Times New Roman"/>
          <w:b/>
          <w:bCs/>
          <w:lang w:eastAsia="es-MX"/>
        </w:rPr>
        <w:t>De la supervisión, verificación y régimen sancionatorio</w:t>
      </w:r>
    </w:p>
    <w:p w:rsidR="002E1156" w:rsidRPr="00BB33CC" w:rsidRDefault="002E1156" w:rsidP="002E1156">
      <w:pPr>
        <w:spacing w:before="240" w:after="240" w:line="276" w:lineRule="auto"/>
        <w:jc w:val="both"/>
        <w:rPr>
          <w:rFonts w:ascii="ITC Avant Garde" w:eastAsia="Times New Roman" w:hAnsi="ITC Avant Garde" w:cs="Times New Roman"/>
          <w:lang w:eastAsia="es-MX"/>
        </w:rPr>
      </w:pPr>
      <w:r w:rsidRPr="00BB33CC">
        <w:rPr>
          <w:rFonts w:ascii="ITC Avant Garde" w:hAnsi="ITC Avant Garde"/>
          <w:b/>
          <w:bCs/>
        </w:rPr>
        <w:t xml:space="preserve">DÉCIMA </w:t>
      </w:r>
      <w:r w:rsidR="00824177" w:rsidRPr="00BB33CC">
        <w:rPr>
          <w:rFonts w:ascii="ITC Avant Garde" w:hAnsi="ITC Avant Garde"/>
          <w:b/>
          <w:bCs/>
        </w:rPr>
        <w:t>SEXTA</w:t>
      </w:r>
      <w:r w:rsidRPr="00BB33CC">
        <w:rPr>
          <w:rFonts w:ascii="ITC Avant Garde" w:eastAsia="Times New Roman" w:hAnsi="ITC Avant Garde" w:cs="Times New Roman"/>
          <w:b/>
          <w:lang w:eastAsia="es-MX"/>
        </w:rPr>
        <w:t>.-</w:t>
      </w:r>
      <w:r w:rsidRPr="00BB33CC">
        <w:rPr>
          <w:rFonts w:ascii="ITC Avant Garde" w:eastAsia="Times New Roman" w:hAnsi="ITC Avant Garde" w:cs="Times New Roman"/>
          <w:lang w:eastAsia="es-MX"/>
        </w:rPr>
        <w:t xml:space="preserve"> L</w:t>
      </w:r>
      <w:r w:rsidR="00884D8D" w:rsidRPr="00BB33CC">
        <w:rPr>
          <w:rFonts w:ascii="ITC Avant Garde" w:eastAsia="Times New Roman" w:hAnsi="ITC Avant Garde" w:cs="Times New Roman"/>
          <w:lang w:eastAsia="es-MX"/>
        </w:rPr>
        <w:t>a revisión</w:t>
      </w:r>
      <w:r w:rsidRPr="00BB33CC">
        <w:rPr>
          <w:rFonts w:ascii="ITC Avant Garde" w:eastAsia="Times New Roman" w:hAnsi="ITC Avant Garde" w:cs="Times New Roman"/>
          <w:lang w:eastAsia="es-MX"/>
        </w:rPr>
        <w:t xml:space="preserve"> de la </w:t>
      </w:r>
      <w:r w:rsidR="00884D8D" w:rsidRPr="00BB33CC">
        <w:rPr>
          <w:rFonts w:ascii="ITC Avant Garde" w:eastAsia="Times New Roman" w:hAnsi="ITC Avant Garde" w:cs="Times New Roman"/>
          <w:lang w:eastAsia="es-MX"/>
        </w:rPr>
        <w:t xml:space="preserve">información de </w:t>
      </w:r>
      <w:r w:rsidRPr="00BB33CC">
        <w:rPr>
          <w:rFonts w:ascii="ITC Avant Garde" w:eastAsia="Times New Roman" w:hAnsi="ITC Avant Garde" w:cs="Times New Roman"/>
          <w:lang w:eastAsia="es-MX"/>
        </w:rPr>
        <w:t xml:space="preserve">separación contable </w:t>
      </w:r>
      <w:r w:rsidR="00884D8D" w:rsidRPr="00BB33CC">
        <w:rPr>
          <w:rFonts w:ascii="ITC Avant Garde" w:eastAsia="Times New Roman" w:hAnsi="ITC Avant Garde" w:cs="Times New Roman"/>
          <w:lang w:eastAsia="es-MX"/>
        </w:rPr>
        <w:t xml:space="preserve">que presenten los concesionarios y/o autorizados, </w:t>
      </w:r>
      <w:r w:rsidRPr="00BB33CC">
        <w:rPr>
          <w:rFonts w:ascii="ITC Avant Garde" w:eastAsia="Times New Roman" w:hAnsi="ITC Avant Garde" w:cs="Times New Roman"/>
          <w:lang w:eastAsia="es-MX"/>
        </w:rPr>
        <w:t>se realizará sin perjuicio del ejercicio de las facultades de supervisión y verificación</w:t>
      </w:r>
      <w:r w:rsidR="00884D8D" w:rsidRPr="00BB33CC">
        <w:rPr>
          <w:rFonts w:ascii="ITC Avant Garde" w:eastAsia="Times New Roman" w:hAnsi="ITC Avant Garde" w:cs="Times New Roman"/>
          <w:lang w:eastAsia="es-MX"/>
        </w:rPr>
        <w:t xml:space="preserve"> del Instituto</w:t>
      </w:r>
      <w:r w:rsidRPr="00BB33CC">
        <w:rPr>
          <w:rFonts w:ascii="ITC Avant Garde" w:eastAsia="Times New Roman" w:hAnsi="ITC Avant Garde" w:cs="Times New Roman"/>
          <w:lang w:eastAsia="es-MX"/>
        </w:rPr>
        <w:t>, de conformidad con lo establecido en el Título Décimo Cuarto de la LFTR.</w:t>
      </w:r>
    </w:p>
    <w:p w:rsidR="002E1156" w:rsidRPr="00BB33CC" w:rsidRDefault="002E1156" w:rsidP="002E1156">
      <w:pPr>
        <w:spacing w:before="240" w:after="240" w:line="276" w:lineRule="auto"/>
        <w:jc w:val="both"/>
        <w:rPr>
          <w:rFonts w:ascii="ITC Avant Garde" w:eastAsia="Times New Roman" w:hAnsi="ITC Avant Garde" w:cs="Times New Roman"/>
          <w:sz w:val="20"/>
          <w:lang w:eastAsia="es-MX"/>
        </w:rPr>
      </w:pPr>
      <w:r w:rsidRPr="00BB33CC">
        <w:rPr>
          <w:rFonts w:ascii="ITC Avant Garde" w:hAnsi="ITC Avant Garde"/>
          <w:b/>
          <w:bCs/>
        </w:rPr>
        <w:t xml:space="preserve">DÉCIMA </w:t>
      </w:r>
      <w:r w:rsidR="00824177" w:rsidRPr="00BB33CC">
        <w:rPr>
          <w:rFonts w:ascii="ITC Avant Garde" w:hAnsi="ITC Avant Garde"/>
          <w:b/>
          <w:bCs/>
        </w:rPr>
        <w:t>SÉPTIMA</w:t>
      </w:r>
      <w:r w:rsidRPr="00BB33CC">
        <w:rPr>
          <w:rFonts w:ascii="ITC Avant Garde" w:eastAsia="Times New Roman" w:hAnsi="ITC Avant Garde" w:cs="Times New Roman"/>
          <w:b/>
          <w:lang w:eastAsia="es-MX"/>
        </w:rPr>
        <w:t>.-</w:t>
      </w:r>
      <w:r w:rsidRPr="00BB33CC">
        <w:rPr>
          <w:rFonts w:ascii="ITC Avant Garde" w:eastAsia="Times New Roman" w:hAnsi="ITC Avant Garde" w:cs="Times New Roman"/>
          <w:lang w:eastAsia="es-MX"/>
        </w:rPr>
        <w:t xml:space="preserve"> Cualquier infracción a las obligaci</w:t>
      </w:r>
      <w:r w:rsidR="00824177" w:rsidRPr="00BB33CC">
        <w:rPr>
          <w:rFonts w:ascii="ITC Avant Garde" w:eastAsia="Times New Roman" w:hAnsi="ITC Avant Garde" w:cs="Times New Roman"/>
          <w:lang w:eastAsia="es-MX"/>
        </w:rPr>
        <w:t>ones en materia de separación contable</w:t>
      </w:r>
      <w:r w:rsidRPr="00BB33CC">
        <w:rPr>
          <w:rFonts w:ascii="ITC Avant Garde" w:eastAsia="Times New Roman" w:hAnsi="ITC Avant Garde" w:cs="Times New Roman"/>
          <w:lang w:eastAsia="es-MX"/>
        </w:rPr>
        <w:t xml:space="preserve"> </w:t>
      </w:r>
      <w:r w:rsidR="00824177" w:rsidRPr="00BB33CC">
        <w:rPr>
          <w:rFonts w:ascii="ITC Avant Garde" w:eastAsia="Times New Roman" w:hAnsi="ITC Avant Garde" w:cs="Times New Roman"/>
          <w:lang w:eastAsia="es-MX"/>
        </w:rPr>
        <w:t xml:space="preserve">se apegará a lo establecido </w:t>
      </w:r>
      <w:r w:rsidRPr="00BB33CC">
        <w:rPr>
          <w:rFonts w:ascii="ITC Avant Garde" w:eastAsia="Times New Roman" w:hAnsi="ITC Avant Garde" w:cs="Times New Roman"/>
          <w:lang w:eastAsia="es-MX"/>
        </w:rPr>
        <w:t>en el Título Décimo Quinto de la LFTR.</w:t>
      </w:r>
    </w:p>
    <w:p w:rsidR="002E1156" w:rsidRPr="00BB33CC" w:rsidRDefault="002E1156" w:rsidP="00BB6D1D">
      <w:pPr>
        <w:pStyle w:val="Ttulo1"/>
      </w:pPr>
      <w:r w:rsidRPr="00BB33CC">
        <w:t>TRANSITORI</w:t>
      </w:r>
      <w:r w:rsidR="007A7271" w:rsidRPr="00BB33CC">
        <w:t>O</w:t>
      </w:r>
      <w:r w:rsidRPr="00BB33CC">
        <w:t>S</w:t>
      </w:r>
    </w:p>
    <w:p w:rsidR="002E1156" w:rsidRPr="00BB33CC" w:rsidRDefault="002E1156" w:rsidP="009C3316">
      <w:pPr>
        <w:pStyle w:val="Normalresolucion"/>
        <w:spacing w:before="0" w:after="240" w:line="276" w:lineRule="auto"/>
      </w:pPr>
      <w:r w:rsidRPr="00BB33CC">
        <w:rPr>
          <w:rStyle w:val="Ttulo2Car"/>
          <w:bCs/>
        </w:rPr>
        <w:t>PRIMER</w:t>
      </w:r>
      <w:r w:rsidR="00406DFD" w:rsidRPr="00BB33CC">
        <w:rPr>
          <w:rStyle w:val="Ttulo2Car"/>
          <w:bCs/>
        </w:rPr>
        <w:t>O</w:t>
      </w:r>
      <w:r w:rsidRPr="00BB33CC">
        <w:rPr>
          <w:b/>
          <w:bCs/>
        </w:rPr>
        <w:t>.-</w:t>
      </w:r>
      <w:r w:rsidRPr="00BB33CC">
        <w:t xml:space="preserve"> </w:t>
      </w:r>
      <w:r w:rsidR="00366352" w:rsidRPr="00BB33CC">
        <w:t>La</w:t>
      </w:r>
      <w:r w:rsidRPr="00BB33CC">
        <w:t xml:space="preserve"> presente </w:t>
      </w:r>
      <w:r w:rsidR="00366352" w:rsidRPr="00BB33CC">
        <w:t>metodología</w:t>
      </w:r>
      <w:r w:rsidRPr="00BB33CC">
        <w:t xml:space="preserve"> entrará en vigor al día siguiente de su publicación en el Diario Oficial de la Federación.</w:t>
      </w:r>
    </w:p>
    <w:p w:rsidR="00122B2D" w:rsidRPr="00BB33CC" w:rsidRDefault="002E1156" w:rsidP="00122B2D">
      <w:pPr>
        <w:pStyle w:val="Normalresolucion"/>
        <w:spacing w:before="0" w:after="240" w:line="276" w:lineRule="auto"/>
        <w:rPr>
          <w:rFonts w:eastAsiaTheme="minorHAnsi" w:cstheme="minorBidi"/>
          <w:lang w:val="es-MX" w:eastAsia="en-US"/>
        </w:rPr>
      </w:pPr>
      <w:r w:rsidRPr="00BB33CC">
        <w:rPr>
          <w:rFonts w:eastAsiaTheme="minorHAnsi" w:cstheme="minorBidi"/>
          <w:b/>
          <w:bCs/>
          <w:lang w:val="es-MX" w:eastAsia="en-US"/>
        </w:rPr>
        <w:t>SEGUND</w:t>
      </w:r>
      <w:r w:rsidR="00406DFD" w:rsidRPr="00BB33CC">
        <w:rPr>
          <w:rFonts w:eastAsiaTheme="minorHAnsi" w:cstheme="minorBidi"/>
          <w:b/>
          <w:bCs/>
          <w:lang w:val="es-MX" w:eastAsia="en-US"/>
        </w:rPr>
        <w:t>O</w:t>
      </w:r>
      <w:r w:rsidRPr="00BB33CC">
        <w:rPr>
          <w:rFonts w:eastAsiaTheme="minorHAnsi" w:cstheme="minorBidi"/>
          <w:b/>
          <w:bCs/>
          <w:lang w:val="es-MX" w:eastAsia="en-US"/>
        </w:rPr>
        <w:t>.-</w:t>
      </w:r>
      <w:r w:rsidRPr="00BB33CC">
        <w:rPr>
          <w:rFonts w:eastAsiaTheme="minorHAnsi" w:cstheme="minorBidi"/>
          <w:lang w:val="es-MX" w:eastAsia="en-US"/>
        </w:rPr>
        <w:t xml:space="preserve"> </w:t>
      </w:r>
      <w:r w:rsidR="001810E5" w:rsidRPr="00BB33CC">
        <w:rPr>
          <w:rFonts w:eastAsiaTheme="minorHAnsi" w:cstheme="minorBidi"/>
          <w:lang w:val="es-MX" w:eastAsia="en-US"/>
        </w:rPr>
        <w:t xml:space="preserve">La información de separación contable correspondiente al año </w:t>
      </w:r>
      <w:r w:rsidR="00BF141D" w:rsidRPr="00BB33CC">
        <w:rPr>
          <w:rFonts w:eastAsiaTheme="minorHAnsi" w:cstheme="minorBidi"/>
          <w:lang w:val="es-MX" w:eastAsia="en-US"/>
        </w:rPr>
        <w:t xml:space="preserve">fiscal </w:t>
      </w:r>
      <w:r w:rsidR="001810E5" w:rsidRPr="00BB33CC">
        <w:rPr>
          <w:rFonts w:eastAsiaTheme="minorHAnsi" w:cstheme="minorBidi"/>
          <w:lang w:val="es-MX" w:eastAsia="en-US"/>
        </w:rPr>
        <w:t>2017, deberá entregarse por única ocasión a más tardar el 31 de diciembre de 2018</w:t>
      </w:r>
      <w:r w:rsidR="00C539E8" w:rsidRPr="00BB33CC">
        <w:rPr>
          <w:rFonts w:eastAsiaTheme="minorHAnsi" w:cstheme="minorBidi"/>
          <w:lang w:val="es-MX" w:eastAsia="en-US"/>
        </w:rPr>
        <w:t>, por lo que la revisión a la que hace referencia la disposición DÉCIMA QUINTA del ANEXO ÚNICO, se realizará durante el primer semestre de 2019.</w:t>
      </w:r>
      <w:r w:rsidR="008C6049" w:rsidRPr="00BB33CC">
        <w:rPr>
          <w:rFonts w:eastAsiaTheme="minorHAnsi" w:cstheme="minorBidi"/>
          <w:lang w:val="es-MX" w:eastAsia="en-US"/>
        </w:rPr>
        <w:t xml:space="preserve"> Asimismo, la informaci</w:t>
      </w:r>
      <w:r w:rsidR="00F8690E" w:rsidRPr="00BB33CC">
        <w:rPr>
          <w:rFonts w:eastAsiaTheme="minorHAnsi" w:cstheme="minorBidi"/>
          <w:lang w:val="es-MX" w:eastAsia="en-US"/>
        </w:rPr>
        <w:t xml:space="preserve">ón </w:t>
      </w:r>
      <w:r w:rsidR="008C6049" w:rsidRPr="00BB33CC">
        <w:rPr>
          <w:rFonts w:eastAsiaTheme="minorHAnsi" w:cstheme="minorBidi"/>
          <w:lang w:val="es-MX" w:eastAsia="en-US"/>
        </w:rPr>
        <w:t xml:space="preserve">relativa al APARTADO III, se entregará </w:t>
      </w:r>
      <w:r w:rsidR="00F8690E" w:rsidRPr="00BB33CC">
        <w:rPr>
          <w:rFonts w:eastAsiaTheme="minorHAnsi" w:cstheme="minorBidi"/>
          <w:lang w:val="es-MX" w:eastAsia="en-US"/>
        </w:rPr>
        <w:t xml:space="preserve">únicamente </w:t>
      </w:r>
      <w:r w:rsidR="008C6049" w:rsidRPr="00BB33CC">
        <w:rPr>
          <w:rFonts w:eastAsiaTheme="minorHAnsi" w:cstheme="minorBidi"/>
          <w:lang w:val="es-MX" w:eastAsia="en-US"/>
        </w:rPr>
        <w:t>para el año fiscal 2017.</w:t>
      </w:r>
    </w:p>
    <w:p w:rsidR="00422E21" w:rsidRPr="00BB33CC" w:rsidRDefault="002E1156" w:rsidP="009C3316">
      <w:pPr>
        <w:jc w:val="both"/>
        <w:rPr>
          <w:rFonts w:ascii="ITC Avant Garde" w:hAnsi="ITC Avant Garde"/>
        </w:rPr>
      </w:pPr>
      <w:r w:rsidRPr="00BB33CC">
        <w:rPr>
          <w:rFonts w:ascii="ITC Avant Garde" w:hAnsi="ITC Avant Garde"/>
          <w:b/>
        </w:rPr>
        <w:lastRenderedPageBreak/>
        <w:t>TERCER</w:t>
      </w:r>
      <w:r w:rsidR="00406DFD" w:rsidRPr="00BB33CC">
        <w:rPr>
          <w:rFonts w:ascii="ITC Avant Garde" w:hAnsi="ITC Avant Garde"/>
          <w:b/>
        </w:rPr>
        <w:t>O</w:t>
      </w:r>
      <w:r w:rsidRPr="00BB33CC">
        <w:rPr>
          <w:rFonts w:ascii="ITC Avant Garde" w:hAnsi="ITC Avant Garde"/>
        </w:rPr>
        <w:t xml:space="preserve">.- Los </w:t>
      </w:r>
      <w:r w:rsidR="00C41079" w:rsidRPr="00BB33CC">
        <w:rPr>
          <w:rFonts w:ascii="ITC Avant Garde" w:hAnsi="ITC Avant Garde"/>
        </w:rPr>
        <w:t xml:space="preserve">concesionarios y/o autorizados que </w:t>
      </w:r>
      <w:r w:rsidR="001C3EDB" w:rsidRPr="00BB33CC">
        <w:rPr>
          <w:rFonts w:ascii="ITC Avant Garde" w:hAnsi="ITC Avant Garde"/>
        </w:rPr>
        <w:t xml:space="preserve">a la entrada en vigor de la presente metodología formen parte de un agente económico preponderante, con poder sustancial de mercado y/o se les haya otorgado una concesión con carácter de red compartida mayorista, </w:t>
      </w:r>
      <w:r w:rsidRPr="00BB33CC">
        <w:rPr>
          <w:rFonts w:ascii="ITC Avant Garde" w:hAnsi="ITC Avant Garde"/>
        </w:rPr>
        <w:t xml:space="preserve">deberán presentar por única vez </w:t>
      </w:r>
      <w:r w:rsidR="001C3EDB" w:rsidRPr="00BB33CC">
        <w:rPr>
          <w:rFonts w:ascii="ITC Avant Garde" w:hAnsi="ITC Avant Garde"/>
        </w:rPr>
        <w:t>el</w:t>
      </w:r>
      <w:r w:rsidRPr="00BB33CC">
        <w:rPr>
          <w:rFonts w:ascii="ITC Avant Garde" w:hAnsi="ITC Avant Garde"/>
        </w:rPr>
        <w:t xml:space="preserve"> </w:t>
      </w:r>
      <w:r w:rsidR="002005B2" w:rsidRPr="00BB33CC">
        <w:rPr>
          <w:rFonts w:ascii="ITC Avant Garde" w:hAnsi="ITC Avant Garde"/>
        </w:rPr>
        <w:t>p</w:t>
      </w:r>
      <w:r w:rsidRPr="00BB33CC">
        <w:rPr>
          <w:rFonts w:ascii="ITC Avant Garde" w:hAnsi="ITC Avant Garde"/>
        </w:rPr>
        <w:t xml:space="preserve">rograma de </w:t>
      </w:r>
      <w:r w:rsidR="002005B2" w:rsidRPr="00BB33CC">
        <w:rPr>
          <w:rFonts w:ascii="ITC Avant Garde" w:hAnsi="ITC Avant Garde"/>
        </w:rPr>
        <w:t>i</w:t>
      </w:r>
      <w:r w:rsidRPr="00BB33CC">
        <w:rPr>
          <w:rFonts w:ascii="ITC Avant Garde" w:hAnsi="ITC Avant Garde"/>
        </w:rPr>
        <w:t xml:space="preserve">mplementación </w:t>
      </w:r>
      <w:r w:rsidR="001C3EDB" w:rsidRPr="00BB33CC">
        <w:rPr>
          <w:rFonts w:ascii="ITC Avant Garde" w:hAnsi="ITC Avant Garde"/>
        </w:rPr>
        <w:t>a que hace referencia la disposici</w:t>
      </w:r>
      <w:r w:rsidR="0097095C" w:rsidRPr="00BB33CC">
        <w:rPr>
          <w:rFonts w:ascii="ITC Avant Garde" w:hAnsi="ITC Avant Garde"/>
        </w:rPr>
        <w:t>ón DÉCIMA CUARTA</w:t>
      </w:r>
      <w:r w:rsidR="001C3EDB" w:rsidRPr="00BB33CC">
        <w:rPr>
          <w:rFonts w:ascii="ITC Avant Garde" w:hAnsi="ITC Avant Garde"/>
        </w:rPr>
        <w:t xml:space="preserve"> </w:t>
      </w:r>
      <w:r w:rsidR="003434EE" w:rsidRPr="00BB33CC">
        <w:rPr>
          <w:rFonts w:ascii="ITC Avant Garde" w:hAnsi="ITC Avant Garde"/>
        </w:rPr>
        <w:t>del A</w:t>
      </w:r>
      <w:r w:rsidR="00604DA3" w:rsidRPr="00BB33CC">
        <w:rPr>
          <w:rFonts w:ascii="ITC Avant Garde" w:hAnsi="ITC Avant Garde"/>
        </w:rPr>
        <w:t>NEXO</w:t>
      </w:r>
      <w:r w:rsidR="003434EE" w:rsidRPr="00BB33CC">
        <w:rPr>
          <w:rFonts w:ascii="ITC Avant Garde" w:hAnsi="ITC Avant Garde"/>
        </w:rPr>
        <w:t xml:space="preserve"> Ú</w:t>
      </w:r>
      <w:r w:rsidR="00604DA3" w:rsidRPr="00BB33CC">
        <w:rPr>
          <w:rFonts w:ascii="ITC Avant Garde" w:hAnsi="ITC Avant Garde"/>
        </w:rPr>
        <w:t>NICO</w:t>
      </w:r>
      <w:r w:rsidR="001C3EDB" w:rsidRPr="00BB33CC">
        <w:rPr>
          <w:rFonts w:ascii="ITC Avant Garde" w:hAnsi="ITC Avant Garde"/>
        </w:rPr>
        <w:t xml:space="preserve"> </w:t>
      </w:r>
      <w:r w:rsidR="007E25AC" w:rsidRPr="00BB33CC">
        <w:rPr>
          <w:rFonts w:ascii="ITC Avant Garde" w:hAnsi="ITC Avant Garde"/>
        </w:rPr>
        <w:t xml:space="preserve">dentro de los </w:t>
      </w:r>
      <w:r w:rsidRPr="00BB33CC">
        <w:rPr>
          <w:rFonts w:ascii="ITC Avant Garde" w:hAnsi="ITC Avant Garde"/>
        </w:rPr>
        <w:t xml:space="preserve">40 días hábiles siguientes a la </w:t>
      </w:r>
      <w:r w:rsidR="007E25AC" w:rsidRPr="00BB33CC">
        <w:rPr>
          <w:rFonts w:ascii="ITC Avant Garde" w:hAnsi="ITC Avant Garde"/>
        </w:rPr>
        <w:t xml:space="preserve">entrada en vigor </w:t>
      </w:r>
      <w:r w:rsidRPr="00BB33CC">
        <w:rPr>
          <w:rFonts w:ascii="ITC Avant Garde" w:hAnsi="ITC Avant Garde"/>
        </w:rPr>
        <w:t xml:space="preserve">del presente </w:t>
      </w:r>
      <w:r w:rsidR="00F5044A" w:rsidRPr="00BB33CC">
        <w:rPr>
          <w:rFonts w:ascii="ITC Avant Garde" w:hAnsi="ITC Avant Garde"/>
        </w:rPr>
        <w:t>instrumento</w:t>
      </w:r>
      <w:r w:rsidRPr="00BB33CC">
        <w:rPr>
          <w:rFonts w:ascii="ITC Avant Garde" w:hAnsi="ITC Avant Garde"/>
        </w:rPr>
        <w:t xml:space="preserve">, plazo </w:t>
      </w:r>
      <w:r w:rsidR="007E25AC" w:rsidRPr="00BB33CC">
        <w:rPr>
          <w:rFonts w:ascii="ITC Avant Garde" w:hAnsi="ITC Avant Garde"/>
        </w:rPr>
        <w:t xml:space="preserve">que </w:t>
      </w:r>
      <w:r w:rsidRPr="00BB33CC">
        <w:rPr>
          <w:rFonts w:ascii="ITC Avant Garde" w:hAnsi="ITC Avant Garde"/>
        </w:rPr>
        <w:t xml:space="preserve">podrá ser prorrogado </w:t>
      </w:r>
      <w:r w:rsidR="0097095C" w:rsidRPr="00BB33CC">
        <w:rPr>
          <w:rFonts w:ascii="ITC Avant Garde" w:hAnsi="ITC Avant Garde"/>
        </w:rPr>
        <w:t xml:space="preserve">por única ocasión </w:t>
      </w:r>
      <w:r w:rsidRPr="00BB33CC">
        <w:rPr>
          <w:rFonts w:ascii="ITC Avant Garde" w:hAnsi="ITC Avant Garde"/>
        </w:rPr>
        <w:t>hasta por 20 días hábiles</w:t>
      </w:r>
      <w:r w:rsidR="0097095C" w:rsidRPr="00BB33CC">
        <w:rPr>
          <w:rFonts w:ascii="ITC Avant Garde" w:hAnsi="ITC Avant Garde"/>
        </w:rPr>
        <w:t>.</w:t>
      </w:r>
      <w:r w:rsidR="001450C2" w:rsidRPr="00BB33CC">
        <w:rPr>
          <w:rFonts w:ascii="ITC Avant Garde" w:hAnsi="ITC Avant Garde"/>
        </w:rPr>
        <w:t xml:space="preserve"> </w:t>
      </w:r>
      <w:r w:rsidR="00422E21" w:rsidRPr="00BB33CC">
        <w:rPr>
          <w:rFonts w:ascii="ITC Avant Garde" w:hAnsi="ITC Avant Garde"/>
        </w:rPr>
        <w:t>La aprobación de dicho programa se sujetará a lo previsto en la referida disposición.</w:t>
      </w:r>
    </w:p>
    <w:p w:rsidR="00D87FF9" w:rsidRPr="00BB33CC" w:rsidRDefault="0012221F" w:rsidP="009C3316">
      <w:pPr>
        <w:jc w:val="both"/>
      </w:pPr>
      <w:r w:rsidRPr="00BB33CC">
        <w:rPr>
          <w:rFonts w:ascii="ITC Avant Garde" w:hAnsi="ITC Avant Garde"/>
        </w:rPr>
        <w:t>Asimismo, l</w:t>
      </w:r>
      <w:r w:rsidR="00164F43" w:rsidRPr="00BB33CC">
        <w:rPr>
          <w:rFonts w:ascii="ITC Avant Garde" w:hAnsi="ITC Avant Garde"/>
        </w:rPr>
        <w:t xml:space="preserve">os concesionarios y/o autorizados </w:t>
      </w:r>
      <w:r w:rsidRPr="00BB33CC">
        <w:rPr>
          <w:rFonts w:ascii="ITC Avant Garde" w:hAnsi="ITC Avant Garde"/>
        </w:rPr>
        <w:t>deberán</w:t>
      </w:r>
      <w:r w:rsidR="00230C75" w:rsidRPr="00BB33CC">
        <w:rPr>
          <w:rFonts w:ascii="ITC Avant Garde" w:hAnsi="ITC Avant Garde"/>
        </w:rPr>
        <w:t xml:space="preserve"> presentar</w:t>
      </w:r>
      <w:r w:rsidRPr="00BB33CC">
        <w:rPr>
          <w:rFonts w:ascii="ITC Avant Garde" w:hAnsi="ITC Avant Garde"/>
        </w:rPr>
        <w:t xml:space="preserve">, en su caso, </w:t>
      </w:r>
      <w:r w:rsidR="00D87FF9" w:rsidRPr="00BB33CC">
        <w:rPr>
          <w:rFonts w:ascii="ITC Avant Garde" w:hAnsi="ITC Avant Garde"/>
        </w:rPr>
        <w:t>la</w:t>
      </w:r>
      <w:r w:rsidR="00230C75" w:rsidRPr="00BB33CC">
        <w:rPr>
          <w:rFonts w:ascii="ITC Avant Garde" w:hAnsi="ITC Avant Garde"/>
        </w:rPr>
        <w:t xml:space="preserve"> solicitud</w:t>
      </w:r>
      <w:r w:rsidR="00D87FF9" w:rsidRPr="00BB33CC">
        <w:rPr>
          <w:rFonts w:ascii="ITC Avant Garde" w:hAnsi="ITC Avant Garde"/>
        </w:rPr>
        <w:t xml:space="preserve"> </w:t>
      </w:r>
      <w:r w:rsidR="00230C75" w:rsidRPr="00BB33CC">
        <w:rPr>
          <w:rFonts w:ascii="ITC Avant Garde" w:hAnsi="ITC Avant Garde"/>
        </w:rPr>
        <w:t xml:space="preserve">de </w:t>
      </w:r>
      <w:r w:rsidR="00D87FF9" w:rsidRPr="00BB33CC">
        <w:rPr>
          <w:rFonts w:ascii="ITC Avant Garde" w:hAnsi="ITC Avant Garde"/>
        </w:rPr>
        <w:t xml:space="preserve">autorización establecida en </w:t>
      </w:r>
      <w:r w:rsidR="00230C75" w:rsidRPr="00BB33CC">
        <w:rPr>
          <w:rFonts w:ascii="ITC Avant Garde" w:hAnsi="ITC Avant Garde"/>
        </w:rPr>
        <w:t xml:space="preserve">el numeral I de </w:t>
      </w:r>
      <w:r w:rsidR="00D87FF9" w:rsidRPr="00BB33CC">
        <w:rPr>
          <w:rFonts w:ascii="ITC Avant Garde" w:hAnsi="ITC Avant Garde"/>
        </w:rPr>
        <w:t xml:space="preserve">la disposición </w:t>
      </w:r>
      <w:r w:rsidR="0016297A" w:rsidRPr="00BB33CC">
        <w:rPr>
          <w:rFonts w:ascii="ITC Avant Garde" w:hAnsi="ITC Avant Garde"/>
        </w:rPr>
        <w:t xml:space="preserve">SEXTA, </w:t>
      </w:r>
      <w:r w:rsidR="00E331B0" w:rsidRPr="00BB33CC">
        <w:rPr>
          <w:rFonts w:ascii="ITC Avant Garde" w:hAnsi="ITC Avant Garde"/>
        </w:rPr>
        <w:t>junto con el</w:t>
      </w:r>
      <w:r w:rsidRPr="00BB33CC">
        <w:rPr>
          <w:rFonts w:ascii="ITC Avant Garde" w:hAnsi="ITC Avant Garde"/>
        </w:rPr>
        <w:t xml:space="preserve"> programa de implementaci</w:t>
      </w:r>
      <w:r w:rsidR="00230C75" w:rsidRPr="00BB33CC">
        <w:rPr>
          <w:rFonts w:ascii="ITC Avant Garde" w:hAnsi="ITC Avant Garde"/>
        </w:rPr>
        <w:t>ón.</w:t>
      </w:r>
    </w:p>
    <w:p w:rsidR="002E1156" w:rsidRPr="00BB33CC" w:rsidRDefault="002E1156" w:rsidP="009C3316">
      <w:pPr>
        <w:pStyle w:val="Normalresolucion"/>
        <w:spacing w:after="0" w:line="276" w:lineRule="auto"/>
        <w:rPr>
          <w:rFonts w:eastAsiaTheme="minorHAnsi" w:cstheme="minorBidi"/>
          <w:lang w:val="es-MX" w:eastAsia="en-US"/>
        </w:rPr>
      </w:pPr>
      <w:r w:rsidRPr="00BB33CC">
        <w:rPr>
          <w:b/>
          <w:bCs/>
        </w:rPr>
        <w:t>CUART</w:t>
      </w:r>
      <w:r w:rsidR="00406DFD" w:rsidRPr="00BB33CC">
        <w:rPr>
          <w:b/>
          <w:bCs/>
        </w:rPr>
        <w:t>O</w:t>
      </w:r>
      <w:r w:rsidRPr="00BB33CC">
        <w:rPr>
          <w:b/>
          <w:bCs/>
        </w:rPr>
        <w:t>.-</w:t>
      </w:r>
      <w:r w:rsidRPr="00BB33CC">
        <w:t xml:space="preserve"> Se abroga la “RESOLUCIÓN POR LA QUE EL PLENO DE LA COMISIÓN FEDERAL DE TELECOMUNICACIONES EXPIDE EL MANUAL QUE PROVEE LOS CRITERIOS Y METODOLOGÍA DE SEPARACIÓN CONTABLE POR SERVICIO, APLICABLE A LOS CONCESIONARIOS DE REDES PÚBLICAS DE TELECOMUNICACIONES”, </w:t>
      </w:r>
      <w:r w:rsidRPr="00BB33CC">
        <w:rPr>
          <w:rFonts w:eastAsiaTheme="minorHAnsi" w:cstheme="minorBidi"/>
          <w:lang w:val="es-MX" w:eastAsia="en-US"/>
        </w:rPr>
        <w:t>publicada el 22 de marzo de 2013 en el Diario Oficial de la Federación.</w:t>
      </w:r>
    </w:p>
    <w:p w:rsidR="002E1156" w:rsidRPr="00BB33CC" w:rsidRDefault="002E1156" w:rsidP="002E1156">
      <w:r w:rsidRPr="00BB33CC">
        <w:br w:type="page"/>
      </w:r>
    </w:p>
    <w:p w:rsidR="002E1156" w:rsidRPr="00BB33CC" w:rsidRDefault="00FF5AD3" w:rsidP="00776A41">
      <w:pPr>
        <w:pStyle w:val="Ttulo2"/>
        <w:jc w:val="center"/>
      </w:pPr>
      <w:r w:rsidRPr="00BB33CC">
        <w:lastRenderedPageBreak/>
        <w:t>APARTADO</w:t>
      </w:r>
      <w:r w:rsidR="002E1156" w:rsidRPr="00BB33CC">
        <w:t xml:space="preserve"> </w:t>
      </w:r>
      <w:r w:rsidR="000E1BE7" w:rsidRPr="00BB33CC">
        <w:t>I</w:t>
      </w:r>
    </w:p>
    <w:p w:rsidR="002E1156" w:rsidRPr="00BB33CC" w:rsidRDefault="002E1156" w:rsidP="00776A41">
      <w:pPr>
        <w:pStyle w:val="Normalresolucion"/>
        <w:tabs>
          <w:tab w:val="center" w:pos="4419"/>
          <w:tab w:val="right" w:pos="8838"/>
        </w:tabs>
        <w:jc w:val="center"/>
      </w:pPr>
      <w:r w:rsidRPr="00BB33CC">
        <w:rPr>
          <w:b/>
        </w:rPr>
        <w:t>DESAGREGACIÓN MÍNIMA DE LA INFORMACIÓN DE SEPARACIÓN CONTABLE</w:t>
      </w:r>
    </w:p>
    <w:p w:rsidR="002E1156" w:rsidRPr="00BB33CC" w:rsidRDefault="002E1156" w:rsidP="00776A41">
      <w:pPr>
        <w:pStyle w:val="A3L1"/>
      </w:pPr>
      <w:bookmarkStart w:id="29" w:name="_Toc475004121"/>
      <w:bookmarkStart w:id="30" w:name="_Toc475004122"/>
      <w:bookmarkStart w:id="31" w:name="_Ref475107613"/>
      <w:bookmarkStart w:id="32" w:name="_Toc475468504"/>
      <w:bookmarkStart w:id="33" w:name="_Toc477515016"/>
      <w:bookmarkStart w:id="34" w:name="_Toc478774500"/>
      <w:bookmarkStart w:id="35" w:name="_Toc484022108"/>
      <w:bookmarkEnd w:id="29"/>
      <w:bookmarkEnd w:id="30"/>
      <w:r w:rsidRPr="00BB33CC">
        <w:t>Sector de Telecomunicaciones</w:t>
      </w:r>
      <w:bookmarkEnd w:id="31"/>
      <w:bookmarkEnd w:id="32"/>
      <w:bookmarkEnd w:id="33"/>
      <w:bookmarkEnd w:id="34"/>
      <w:bookmarkEnd w:id="35"/>
    </w:p>
    <w:p w:rsidR="002E1156" w:rsidRPr="00BB33CC" w:rsidRDefault="002E1156" w:rsidP="00E61AE1">
      <w:pPr>
        <w:pStyle w:val="Normalresolucion"/>
        <w:spacing w:after="0" w:line="276" w:lineRule="auto"/>
      </w:pPr>
      <w:r w:rsidRPr="00BB33CC">
        <w:t>Esta sección presenta la desagregación mínima de los elementos de la separación contable aplicable a los concesionarios y/o autorizados que ofrezcan servicios de telecomunicaciones fijos, móviles o de televisión restringida dentro del territorio nacional. Si bien la arquitectura general de la separación contable resulta equivalente para los diferentes tipos de operadores, se diferencian las cuentas que éstos deberán desa</w:t>
      </w:r>
      <w:r w:rsidR="00F42C77" w:rsidRPr="00BB33CC">
        <w:t>gregar en sus distintos niveles, mismas que servirán de base y podrán ser adaptadas durante el proceso de autorización del programa de implementación a efecto de que se adecuen a las disposiciones del Instituto y operación de las redes públicas de telecomunicaciones.</w:t>
      </w:r>
    </w:p>
    <w:p w:rsidR="002E1156" w:rsidRPr="00BB33CC" w:rsidRDefault="002E1156" w:rsidP="00E61AE1">
      <w:pPr>
        <w:pStyle w:val="Normalresolucion"/>
        <w:spacing w:after="0" w:line="276" w:lineRule="auto"/>
      </w:pPr>
      <w:r w:rsidRPr="00BB33CC">
        <w:t>A continuación, se presentan las categorías de costos e ingresos a considerar en cada uno de los niveles de la separación contable:</w:t>
      </w:r>
    </w:p>
    <w:p w:rsidR="002E1156" w:rsidRPr="00BB33CC" w:rsidRDefault="002E1156" w:rsidP="00E61AE1">
      <w:pPr>
        <w:pStyle w:val="HeadingAnexo1L3"/>
        <w:spacing w:before="240" w:after="0" w:line="276" w:lineRule="auto"/>
      </w:pPr>
      <w:r w:rsidRPr="00BB33CC">
        <w:t xml:space="preserve">Segmento Fijo </w:t>
      </w:r>
    </w:p>
    <w:p w:rsidR="002E1156" w:rsidRPr="00BB33CC" w:rsidRDefault="002E1156" w:rsidP="00E61AE1">
      <w:pPr>
        <w:pStyle w:val="Normalresolucion"/>
        <w:spacing w:after="0" w:line="276" w:lineRule="auto"/>
      </w:pPr>
      <w:r w:rsidRPr="00BB33CC">
        <w:t>Listado mínimo de cuentas de ingresos a desagregar en el Nivel 1:</w:t>
      </w:r>
    </w:p>
    <w:p w:rsidR="00737E9E" w:rsidRDefault="002E1156" w:rsidP="00737E9E">
      <w:pPr>
        <w:pStyle w:val="HeadingAnexo1L3"/>
        <w:jc w:val="center"/>
        <w:rPr>
          <w:rFonts w:eastAsia="Times New Roman" w:cs="Times New Roman"/>
          <w:bCs/>
          <w:i w:val="0"/>
          <w:sz w:val="20"/>
          <w:szCs w:val="20"/>
          <w:lang w:val="es-MX" w:eastAsia="es-ES"/>
        </w:rPr>
      </w:pPr>
      <w:r w:rsidRPr="00BB33CC">
        <w:rPr>
          <w:rFonts w:eastAsia="Times New Roman" w:cs="Times New Roman"/>
          <w:bCs/>
          <w:i w:val="0"/>
          <w:sz w:val="20"/>
          <w:szCs w:val="20"/>
          <w:lang w:val="es-MX" w:eastAsia="es-ES"/>
        </w:rPr>
        <w:t>Tabla A1.</w:t>
      </w:r>
      <w:r w:rsidRPr="00BB33CC">
        <w:rPr>
          <w:rFonts w:eastAsia="Times New Roman" w:cs="Times New Roman"/>
          <w:b w:val="0"/>
          <w:bCs/>
          <w:iCs w:val="0"/>
          <w:sz w:val="20"/>
          <w:szCs w:val="20"/>
          <w:lang w:eastAsia="es-ES"/>
        </w:rPr>
        <w:fldChar w:fldCharType="begin"/>
      </w:r>
      <w:r w:rsidRPr="00BB33CC">
        <w:rPr>
          <w:rFonts w:eastAsia="Times New Roman" w:cs="Times New Roman"/>
          <w:bCs/>
          <w:i w:val="0"/>
          <w:sz w:val="20"/>
          <w:szCs w:val="20"/>
          <w:lang w:val="es-MX" w:eastAsia="es-ES"/>
        </w:rPr>
        <w:instrText xml:space="preserve"> SEQ Tabla_AP. \* ARABIC </w:instrText>
      </w:r>
      <w:r w:rsidRPr="00BB33CC">
        <w:rPr>
          <w:rFonts w:eastAsia="Times New Roman" w:cs="Times New Roman"/>
          <w:b w:val="0"/>
          <w:bCs/>
          <w:iCs w:val="0"/>
          <w:sz w:val="20"/>
          <w:szCs w:val="20"/>
          <w:lang w:eastAsia="es-ES"/>
        </w:rPr>
        <w:fldChar w:fldCharType="separate"/>
      </w:r>
      <w:r w:rsidRPr="00BB33CC">
        <w:rPr>
          <w:rFonts w:eastAsia="Times New Roman" w:cs="Times New Roman"/>
          <w:bCs/>
          <w:i w:val="0"/>
          <w:noProof/>
          <w:sz w:val="20"/>
          <w:szCs w:val="20"/>
          <w:lang w:val="es-MX" w:eastAsia="es-ES"/>
        </w:rPr>
        <w:t>1</w:t>
      </w:r>
      <w:r w:rsidRPr="00BB33CC">
        <w:rPr>
          <w:rFonts w:eastAsia="Times New Roman" w:cs="Times New Roman"/>
          <w:b w:val="0"/>
          <w:bCs/>
          <w:iCs w:val="0"/>
          <w:sz w:val="20"/>
          <w:szCs w:val="20"/>
          <w:lang w:eastAsia="es-ES"/>
        </w:rPr>
        <w:fldChar w:fldCharType="end"/>
      </w:r>
      <w:r w:rsidRPr="00BB33CC">
        <w:rPr>
          <w:rFonts w:eastAsia="Times New Roman" w:cs="Times New Roman"/>
          <w:bCs/>
          <w:i w:val="0"/>
          <w:sz w:val="20"/>
          <w:szCs w:val="20"/>
          <w:lang w:val="es-MX" w:eastAsia="es-ES"/>
        </w:rPr>
        <w:t>: Listado mínimo de cuentas de ingresos a desagregar en el Nivel 1 de operadores de telecomunicaciones fijas</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133F28" w:rsidRPr="00BB33CC" w:rsidTr="00820D16">
        <w:trPr>
          <w:trHeight w:val="340"/>
          <w:tblHeader/>
          <w:jc w:val="center"/>
        </w:trPr>
        <w:tc>
          <w:tcPr>
            <w:tcW w:w="1361" w:type="pct"/>
            <w:tcBorders>
              <w:top w:val="single" w:sz="4" w:space="0" w:color="244062"/>
              <w:left w:val="single" w:sz="4" w:space="0" w:color="FFFFFF"/>
              <w:bottom w:val="single" w:sz="4" w:space="0" w:color="244062"/>
            </w:tcBorders>
            <w:shd w:val="clear" w:color="auto" w:fill="4F629B"/>
            <w:vAlign w:val="center"/>
            <w:hideMark/>
          </w:tcPr>
          <w:p w:rsidR="00133F28" w:rsidRPr="00BB33CC" w:rsidRDefault="00133F28" w:rsidP="00820D16">
            <w:pPr>
              <w:keepNext/>
              <w:keepLines/>
              <w:spacing w:before="40" w:after="6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9" w:type="pct"/>
            <w:tcBorders>
              <w:top w:val="single" w:sz="4" w:space="0" w:color="244062"/>
              <w:bottom w:val="single" w:sz="4" w:space="0" w:color="244062"/>
            </w:tcBorders>
            <w:shd w:val="clear" w:color="auto" w:fill="4F629B"/>
            <w:vAlign w:val="center"/>
            <w:hideMark/>
          </w:tcPr>
          <w:p w:rsidR="00133F28" w:rsidRPr="00BB33CC" w:rsidRDefault="00133F28" w:rsidP="00820D16">
            <w:pPr>
              <w:keepNext/>
              <w:keepLines/>
              <w:spacing w:before="40" w:after="6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133F28" w:rsidRPr="00BB33CC" w:rsidTr="00820D16">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rsidR="00133F28" w:rsidRPr="00BB33CC" w:rsidRDefault="00133F28" w:rsidP="00820D16">
            <w:pPr>
              <w:spacing w:before="40" w:after="60" w:line="240" w:lineRule="auto"/>
              <w:rPr>
                <w:rFonts w:ascii="ITC Avant Garde" w:eastAsia="Times New Roman" w:hAnsi="ITC Avant Garde" w:cs="Arial"/>
                <w:b/>
                <w:sz w:val="20"/>
                <w:lang w:val="es-ES" w:eastAsia="es-ES"/>
              </w:rPr>
            </w:pPr>
            <w:r w:rsidRPr="00BB33CC">
              <w:rPr>
                <w:rFonts w:ascii="ITC Avant Garde" w:eastAsia="Times New Roman" w:hAnsi="ITC Avant Garde" w:cs="Arial"/>
                <w:b/>
                <w:sz w:val="20"/>
                <w:szCs w:val="20"/>
                <w:lang w:val="es-ES" w:eastAsia="es-ES"/>
              </w:rPr>
              <w:t>Ingresos operativos</w:t>
            </w:r>
            <w:r w:rsidRPr="00BB33CC">
              <w:rPr>
                <w:rFonts w:ascii="ITC Avant Garde" w:eastAsia="Times New Roman" w:hAnsi="ITC Avant Garde" w:cs="Arial"/>
                <w:b/>
                <w:bCs/>
                <w:sz w:val="20"/>
                <w:vertAlign w:val="superscript"/>
                <w:lang w:val="es-ES" w:eastAsia="es-ES"/>
              </w:rPr>
              <w:footnoteReference w:id="44"/>
            </w:r>
          </w:p>
        </w:tc>
      </w:tr>
      <w:tr w:rsidR="00133F28"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133F28" w:rsidRPr="00BB33CC" w:rsidRDefault="00133F28" w:rsidP="00133F28">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Instalación de línea o acometida</w:t>
            </w:r>
          </w:p>
        </w:tc>
        <w:tc>
          <w:tcPr>
            <w:tcW w:w="3639" w:type="pct"/>
            <w:tcBorders>
              <w:top w:val="single" w:sz="4" w:space="0" w:color="244062"/>
              <w:bottom w:val="single" w:sz="4" w:space="0" w:color="244062"/>
            </w:tcBorders>
            <w:vAlign w:val="center"/>
          </w:tcPr>
          <w:p w:rsidR="00133F28" w:rsidRPr="00BB33CC" w:rsidRDefault="00133F28" w:rsidP="00133F28">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por la instalación de línea o acometida.</w:t>
            </w:r>
          </w:p>
        </w:tc>
      </w:tr>
      <w:tr w:rsidR="00133F28"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133F28" w:rsidRPr="00BB33CC" w:rsidRDefault="00133F28" w:rsidP="00133F28">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Pago recurrente por el servicio de telefonía fija</w:t>
            </w:r>
          </w:p>
        </w:tc>
        <w:tc>
          <w:tcPr>
            <w:tcW w:w="3639" w:type="pct"/>
            <w:tcBorders>
              <w:top w:val="single" w:sz="4" w:space="0" w:color="244062"/>
              <w:bottom w:val="single" w:sz="4" w:space="0" w:color="244062"/>
            </w:tcBorders>
            <w:vAlign w:val="center"/>
          </w:tcPr>
          <w:p w:rsidR="00133F28" w:rsidRPr="00BB33CC" w:rsidRDefault="00133F28" w:rsidP="00133F28">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recibidos por pagos mensuales asociados al servicio de telefonía fija por parte del usuario final.</w:t>
            </w:r>
          </w:p>
        </w:tc>
      </w:tr>
      <w:tr w:rsidR="00133F28"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133F28" w:rsidRPr="00BB33CC" w:rsidRDefault="00133F28" w:rsidP="00133F28">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Pago recurrente por el servicio de acceso a Internet fijo</w:t>
            </w:r>
          </w:p>
        </w:tc>
        <w:tc>
          <w:tcPr>
            <w:tcW w:w="3639" w:type="pct"/>
            <w:tcBorders>
              <w:top w:val="single" w:sz="4" w:space="0" w:color="244062"/>
              <w:bottom w:val="single" w:sz="4" w:space="0" w:color="244062"/>
            </w:tcBorders>
            <w:vAlign w:val="center"/>
          </w:tcPr>
          <w:p w:rsidR="00133F28" w:rsidRPr="00BB33CC" w:rsidRDefault="00133F28" w:rsidP="00133F28">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recibidos por pagos mensuales asociados al servicio de acceso a Internet fijo por parte del usuario final.</w:t>
            </w:r>
          </w:p>
        </w:tc>
      </w:tr>
      <w:tr w:rsidR="00133F28"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133F28" w:rsidRPr="00BB33CC" w:rsidRDefault="00133F28" w:rsidP="00133F28">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Tráfico por el servicio de telefonía fija</w:t>
            </w:r>
          </w:p>
        </w:tc>
        <w:tc>
          <w:tcPr>
            <w:tcW w:w="3639" w:type="pct"/>
            <w:tcBorders>
              <w:top w:val="single" w:sz="4" w:space="0" w:color="244062"/>
              <w:bottom w:val="single" w:sz="4" w:space="0" w:color="244062"/>
            </w:tcBorders>
            <w:vAlign w:val="center"/>
          </w:tcPr>
          <w:p w:rsidR="00133F28" w:rsidRPr="00BB33CC" w:rsidRDefault="00133F28" w:rsidP="00133F28">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por el tráfico asociado al servicio de telefonía fija.</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lastRenderedPageBreak/>
              <w:t>Venta de equipos terminales</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relativos a la venta de equipos terminales a usuarios finales utilizados para la prestación de servicios de telecomunicaciones fijos.</w:t>
            </w:r>
          </w:p>
        </w:tc>
      </w:tr>
      <w:tr w:rsidR="00DB419D" w:rsidRPr="00BB33CC" w:rsidTr="00820D16">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Servicios y Aplicaciones sobre Internet (Servicios OTT</w:t>
            </w:r>
            <w:r w:rsidRPr="00BB33CC">
              <w:rPr>
                <w:rStyle w:val="Refdenotaalpie"/>
                <w:rFonts w:ascii="ITC Avant Garde" w:eastAsia="Times New Roman" w:hAnsi="ITC Avant Garde" w:cs="Arial"/>
                <w:sz w:val="20"/>
                <w:szCs w:val="20"/>
                <w:lang w:val="es-ES" w:eastAsia="es-ES"/>
              </w:rPr>
              <w:footnoteReference w:id="45"/>
            </w:r>
            <w:r w:rsidRPr="00BB33CC">
              <w:rPr>
                <w:rFonts w:ascii="ITC Avant Garde" w:eastAsia="Times New Roman" w:hAnsi="ITC Avant Garde" w:cs="Arial"/>
                <w:sz w:val="20"/>
                <w:szCs w:val="20"/>
                <w:lang w:val="es-ES" w:eastAsia="es-ES"/>
              </w:rPr>
              <w:t>)</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 xml:space="preserve">Ingresos percibidos por concepto de comercialización de servicios </w:t>
            </w:r>
            <w:r w:rsidRPr="00BB33CC">
              <w:rPr>
                <w:rFonts w:ascii="ITC Avant Garde" w:eastAsia="Times New Roman" w:hAnsi="ITC Avant Garde" w:cs="Arial"/>
                <w:i/>
                <w:sz w:val="20"/>
                <w:szCs w:val="20"/>
                <w:lang w:val="es-ES" w:eastAsia="es-ES"/>
              </w:rPr>
              <w:t>over-the-top</w:t>
            </w:r>
            <w:r w:rsidRPr="00BB33CC">
              <w:rPr>
                <w:rFonts w:ascii="ITC Avant Garde" w:eastAsia="Times New Roman" w:hAnsi="ITC Avant Garde" w:cs="Arial"/>
                <w:sz w:val="20"/>
                <w:szCs w:val="20"/>
                <w:lang w:val="es-ES" w:eastAsia="es-ES"/>
              </w:rPr>
              <w:t xml:space="preserve"> de video.</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Servicios OTT de audio</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6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szCs w:val="20"/>
                <w:lang w:val="es-ES" w:eastAsia="es-ES"/>
              </w:rPr>
              <w:t xml:space="preserve">Ingresos percibidos por concepto de comercialización de servicios </w:t>
            </w:r>
            <w:r w:rsidRPr="00BB33CC">
              <w:rPr>
                <w:rFonts w:ascii="ITC Avant Garde" w:eastAsia="Times New Roman" w:hAnsi="ITC Avant Garde" w:cs="Arial"/>
                <w:i/>
                <w:sz w:val="20"/>
                <w:szCs w:val="20"/>
                <w:lang w:val="es-ES" w:eastAsia="es-ES"/>
              </w:rPr>
              <w:t>over-the-top</w:t>
            </w:r>
            <w:r w:rsidRPr="00BB33CC">
              <w:rPr>
                <w:rFonts w:ascii="ITC Avant Garde" w:eastAsia="Times New Roman" w:hAnsi="ITC Avant Garde" w:cs="Arial"/>
                <w:sz w:val="20"/>
                <w:szCs w:val="20"/>
                <w:lang w:val="es-ES" w:eastAsia="es-ES"/>
              </w:rPr>
              <w:t xml:space="preserve"> de audio.</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Otros servicios minoristas</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por la prestación de otros servicios minoristas.</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Servicio de arrendamiento de enlaces dedicados</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por el servicio de arrendamiento de enlaces dedicados.</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Servicios de interconexión</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por los servicios de interconexión que presta a otros concesionarios y/o autorizados.</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Otros servicios mayoristas</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por la prestación de servicios mayoristas a otros operadores.</w:t>
            </w:r>
          </w:p>
        </w:tc>
      </w:tr>
      <w:tr w:rsidR="00133F28" w:rsidRPr="00BB33CC" w:rsidTr="00820D16">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rsidR="00133F28" w:rsidRPr="00BB33CC" w:rsidRDefault="00DB419D" w:rsidP="00820D16">
            <w:pPr>
              <w:spacing w:before="40" w:after="60" w:line="240" w:lineRule="auto"/>
              <w:rPr>
                <w:rFonts w:ascii="ITC Avant Garde" w:eastAsia="Times New Roman" w:hAnsi="ITC Avant Garde" w:cs="Arial"/>
                <w:b/>
                <w:sz w:val="20"/>
                <w:lang w:val="es-ES" w:eastAsia="es-ES"/>
              </w:rPr>
            </w:pPr>
            <w:r w:rsidRPr="00BB33CC">
              <w:rPr>
                <w:rFonts w:ascii="ITC Avant Garde" w:eastAsia="Times New Roman" w:hAnsi="ITC Avant Garde" w:cs="Arial"/>
                <w:b/>
                <w:sz w:val="20"/>
                <w:szCs w:val="20"/>
                <w:lang w:val="es-ES" w:eastAsia="es-ES"/>
              </w:rPr>
              <w:t>Ingresos no operativos</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Operaciones financieras</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procedentes de otras operaciones financieras realizadas por el concesionario y/o autorizado.</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Enajenación de activos</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recibidos por la venta de activos.</w:t>
            </w:r>
          </w:p>
        </w:tc>
      </w:tr>
      <w:tr w:rsidR="00DB419D" w:rsidRPr="00BB33CC" w:rsidTr="00133F28">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DB419D" w:rsidRPr="00BB33CC" w:rsidRDefault="00DB419D" w:rsidP="00DB419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Otros ingresos</w:t>
            </w:r>
          </w:p>
        </w:tc>
        <w:tc>
          <w:tcPr>
            <w:tcW w:w="3639" w:type="pct"/>
            <w:tcBorders>
              <w:top w:val="single" w:sz="4" w:space="0" w:color="244062"/>
              <w:bottom w:val="single" w:sz="4" w:space="0" w:color="244062"/>
            </w:tcBorders>
            <w:vAlign w:val="center"/>
          </w:tcPr>
          <w:p w:rsidR="00DB419D" w:rsidRPr="00BB33CC" w:rsidRDefault="00DB419D" w:rsidP="00DB419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Incluye aquellos ingresos no relacionados con la prestación de servicios de telecomunicaciones fijos.</w:t>
            </w:r>
          </w:p>
        </w:tc>
      </w:tr>
    </w:tbl>
    <w:p w:rsidR="00133F28" w:rsidRPr="00133F28" w:rsidRDefault="00133F28" w:rsidP="00133F28">
      <w:pPr>
        <w:rPr>
          <w:lang w:eastAsia="es-ES"/>
        </w:rPr>
      </w:pPr>
    </w:p>
    <w:p w:rsidR="002E1156" w:rsidRPr="00BB33CC" w:rsidRDefault="002E1156" w:rsidP="002E1156">
      <w:pPr>
        <w:pStyle w:val="Normalresolucion"/>
        <w:spacing w:after="240"/>
      </w:pPr>
      <w:r w:rsidRPr="00BB33CC">
        <w:t xml:space="preserve">Listado </w:t>
      </w:r>
      <w:r w:rsidRPr="00BB33CC">
        <w:rPr>
          <w:bCs/>
        </w:rPr>
        <w:t>mínimo</w:t>
      </w:r>
      <w:r w:rsidRPr="00BB33CC">
        <w:t xml:space="preserve"> de cuentas de costos </w:t>
      </w:r>
      <w:r w:rsidR="00E61AE1" w:rsidRPr="00BB33CC">
        <w:t xml:space="preserve">operativos, capital empleado y costos asociados al mismo, activo y pasivo circulante, y costos no relevantes para la separación contable, </w:t>
      </w:r>
      <w:r w:rsidRPr="00BB33CC">
        <w:t>a desagregar en el Nivel 1:</w:t>
      </w:r>
    </w:p>
    <w:p w:rsidR="002E1156" w:rsidRPr="00BB33CC" w:rsidRDefault="002E1156" w:rsidP="002E1156">
      <w:pPr>
        <w:pStyle w:val="Normalresolucion"/>
        <w:spacing w:after="240"/>
        <w:jc w:val="center"/>
        <w:rPr>
          <w:b/>
          <w:iCs/>
          <w:sz w:val="20"/>
          <w:lang w:val="es-MX"/>
        </w:rPr>
      </w:pPr>
      <w:r w:rsidRPr="00BB33CC">
        <w:rPr>
          <w:b/>
          <w:iCs/>
          <w:sz w:val="20"/>
          <w:lang w:val="es-MX"/>
        </w:rPr>
        <w:t>Tabla A1.</w:t>
      </w:r>
      <w:r w:rsidRPr="00BB33CC">
        <w:rPr>
          <w:b/>
          <w:iCs/>
          <w:sz w:val="20"/>
          <w:lang w:val="es-MX"/>
        </w:rPr>
        <w:fldChar w:fldCharType="begin"/>
      </w:r>
      <w:r w:rsidRPr="00BB33CC">
        <w:rPr>
          <w:b/>
          <w:iCs/>
          <w:sz w:val="20"/>
          <w:lang w:val="es-MX"/>
        </w:rPr>
        <w:instrText xml:space="preserve"> SEQ Tabla_AP. \* ARABIC </w:instrText>
      </w:r>
      <w:r w:rsidRPr="00BB33CC">
        <w:rPr>
          <w:b/>
          <w:iCs/>
          <w:sz w:val="20"/>
          <w:lang w:val="es-MX"/>
        </w:rPr>
        <w:fldChar w:fldCharType="separate"/>
      </w:r>
      <w:r w:rsidRPr="00BB33CC">
        <w:rPr>
          <w:b/>
          <w:iCs/>
          <w:noProof/>
          <w:sz w:val="20"/>
          <w:lang w:val="es-MX"/>
        </w:rPr>
        <w:t>2</w:t>
      </w:r>
      <w:r w:rsidRPr="00BB33CC">
        <w:rPr>
          <w:b/>
          <w:iCs/>
          <w:sz w:val="20"/>
          <w:lang w:val="es-MX"/>
        </w:rPr>
        <w:fldChar w:fldCharType="end"/>
      </w:r>
      <w:r w:rsidRPr="00BB33CC">
        <w:rPr>
          <w:b/>
          <w:iCs/>
          <w:sz w:val="20"/>
          <w:lang w:val="es-MX"/>
        </w:rPr>
        <w:t xml:space="preserve">: Listado mínimo de cuentas de costos </w:t>
      </w:r>
      <w:r w:rsidR="00E61AE1" w:rsidRPr="00BB33CC">
        <w:rPr>
          <w:b/>
          <w:iCs/>
          <w:sz w:val="20"/>
          <w:lang w:val="es-MX"/>
        </w:rPr>
        <w:t xml:space="preserve">operativos, capital empleado y costos asociados al mismo, activo y pasivo circulante, y costos no relevantes para la separación contable </w:t>
      </w:r>
      <w:r w:rsidRPr="00BB33CC">
        <w:rPr>
          <w:b/>
          <w:iCs/>
          <w:sz w:val="20"/>
          <w:lang w:val="es-MX"/>
        </w:rPr>
        <w:t>a desagregar en el Nivel 1 de operadores de telecomunicaciones fijas</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2E1156" w:rsidRPr="00BB33CC" w:rsidTr="00674BDD">
        <w:trPr>
          <w:trHeight w:val="340"/>
          <w:tblHeader/>
          <w:jc w:val="center"/>
        </w:trPr>
        <w:tc>
          <w:tcPr>
            <w:tcW w:w="1361" w:type="pct"/>
            <w:tcBorders>
              <w:top w:val="single" w:sz="4" w:space="0" w:color="244062"/>
              <w:left w:val="single" w:sz="4" w:space="0" w:color="FFFFFF"/>
              <w:bottom w:val="single" w:sz="4" w:space="0" w:color="244062"/>
            </w:tcBorders>
            <w:shd w:val="clear" w:color="auto" w:fill="4F629B"/>
            <w:vAlign w:val="center"/>
            <w:hideMark/>
          </w:tcPr>
          <w:p w:rsidR="002E1156" w:rsidRPr="00BB33CC" w:rsidRDefault="002E1156" w:rsidP="00674BDD">
            <w:pPr>
              <w:keepNext/>
              <w:keepLines/>
              <w:spacing w:before="40" w:after="6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9" w:type="pct"/>
            <w:tcBorders>
              <w:top w:val="single" w:sz="4" w:space="0" w:color="244062"/>
              <w:bottom w:val="single" w:sz="4" w:space="0" w:color="244062"/>
            </w:tcBorders>
            <w:shd w:val="clear" w:color="auto" w:fill="4F629B"/>
            <w:vAlign w:val="center"/>
            <w:hideMark/>
          </w:tcPr>
          <w:p w:rsidR="002E1156" w:rsidRPr="00BB33CC" w:rsidRDefault="002E1156" w:rsidP="00674BDD">
            <w:pPr>
              <w:keepNext/>
              <w:keepLines/>
              <w:spacing w:before="40" w:after="6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rsidR="002E1156" w:rsidRPr="00BB33CC" w:rsidRDefault="002E1156" w:rsidP="00674BDD">
            <w:pPr>
              <w:spacing w:before="40" w:after="60" w:line="240" w:lineRule="auto"/>
              <w:rPr>
                <w:rFonts w:ascii="ITC Avant Garde" w:eastAsia="Times New Roman" w:hAnsi="ITC Avant Garde" w:cs="Arial"/>
                <w:b/>
                <w:sz w:val="20"/>
                <w:lang w:val="es-ES" w:eastAsia="es-ES"/>
              </w:rPr>
            </w:pPr>
            <w:r w:rsidRPr="00BB33CC">
              <w:rPr>
                <w:rFonts w:ascii="ITC Avant Garde" w:eastAsia="Times New Roman" w:hAnsi="ITC Avant Garde" w:cs="Arial"/>
                <w:b/>
                <w:sz w:val="20"/>
                <w:lang w:val="es-ES" w:eastAsia="es-ES"/>
              </w:rPr>
              <w:t>Costos operativos</w:t>
            </w:r>
            <w:r w:rsidR="00E61AE1" w:rsidRPr="00BB33CC">
              <w:rPr>
                <w:rFonts w:ascii="ITC Avant Garde" w:eastAsia="Times New Roman" w:hAnsi="ITC Avant Garde" w:cs="Arial"/>
                <w:b/>
                <w:sz w:val="20"/>
                <w:lang w:val="es-ES" w:eastAsia="es-ES"/>
              </w:rPr>
              <w:t>, capital empleado y costos asociados al mismo, activo y pasivo circulante, y costos no relevantes para la separación contable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tránsito de Internet</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el servicio de tránsito de Internet.</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en destinos nacionales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la terminación de tráfico de la red de telefonía fija en las redes de otros operadores nacionales.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Terminación en destinos internacionales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la terminación de tráfico de la red de telefonía fija en las redes de otros operadores internacionales.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terminales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la compra de equipos terminales utilizados para la prestación de servicios de telecomunicaciones fijos.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Personal</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 en sueldos y salarios, incentivos, aportaciones a planes de pensiones y costos de la seguridad social.</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Arrendamiento de inmuebles</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 en rentas de bienes inmuebles.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Arrendamiento de infraestructura de telecomunicaciones</w:t>
            </w:r>
            <w:r w:rsidRPr="00BB33CC">
              <w:rPr>
                <w:rFonts w:ascii="ITC Avant Garde" w:eastAsia="Times New Roman" w:hAnsi="ITC Avant Garde" w:cs="Arial"/>
                <w:sz w:val="20"/>
                <w:lang w:val="es-ES" w:eastAsia="es-ES"/>
              </w:rPr>
              <w:tab/>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val="es-ES" w:eastAsia="es-ES"/>
              </w:rPr>
              <w:t>Gastos en rentas de infraestructura pasiva y activa de telecomunicaciones.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Reparaciones y mantenimiento</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 en reparaciones y mantenimiento de los elementos de red y elementos no relacionados con la red.</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Energía</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Gastos derivados del uso de energía eléctrica por el operador.</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Comisiones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realizados a distribuidores por comisiones asociadas a la suscripción, permanencia y fidelidad de usuarios, entre otros.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profesionales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a profesionales (auditores, consultores, etc.) y por servicios a terceros o suplementarios.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Publicidad</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Compra de espacios publicitarios y patrocinios, campañas publicitarias, eventos, ferias y exposiciones, etc.</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Suministros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al alquiler de circuitos y otros suministros.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Tasas e impuestos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Inventarios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variación de inventarios.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costos por operaciones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gastos relacionados con la operación de la red de telecomunicaciones.</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rsidR="002E1156" w:rsidRPr="00BB33CC" w:rsidRDefault="002E1156" w:rsidP="00674BDD">
            <w:pPr>
              <w:spacing w:before="40" w:after="60" w:line="240" w:lineRule="auto"/>
              <w:rPr>
                <w:rFonts w:ascii="ITC Avant Garde" w:eastAsia="Times New Roman" w:hAnsi="ITC Avant Garde" w:cs="Arial"/>
                <w:b/>
                <w:sz w:val="20"/>
                <w:lang w:val="es-ES" w:eastAsia="es-ES"/>
              </w:rPr>
            </w:pPr>
            <w:r w:rsidRPr="00BB33CC">
              <w:rPr>
                <w:rFonts w:ascii="ITC Avant Garde" w:eastAsia="Times New Roman" w:hAnsi="ITC Avant Garde" w:cs="Arial"/>
                <w:b/>
                <w:sz w:val="20"/>
                <w:lang w:val="es-ES" w:eastAsia="es-ES"/>
              </w:rPr>
              <w:t>Capital empleado y costos asociados al mismo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Propiedad industrial</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al distintivo comercial y la marca.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Aplicaciones informáticas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los costos de los elementos software de equipos de red y de los sistemas informáticos corporativos.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Inversión en terrenos y edificios.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Inversión bruta por concepto de compra de terrenos y/o edificios asociados al servicio de telecomunicaciones.</w:t>
            </w:r>
          </w:p>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 el caso de coinversión, únicamente se incluye la proporción de inversión realizada por la empresa.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Sistemas de alimentación de energía</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 la planta de energía requerida para la puesta en funcionamiento de los equipos de red.</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sobre cobre</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conforman la red de acceso fijo (sobre cobre), en los que se incluirán aquellos equipos y conexiones instaladas entre el domicilio del cliente y el repartidor principal.</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Red de acceso sobre cable coaxial</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conforman la red de acceso sobre cable coaxial, en los que se incluirán aquellos equipos y conexiones instaladas entre el domicilio del cliente y el repartidor coaxial.</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sobre fibra</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Elementos que conforman la red de acceso fijo</w:t>
            </w:r>
            <w:r w:rsidR="000F39BF" w:rsidRPr="00BB33CC">
              <w:rPr>
                <w:rFonts w:ascii="ITC Avant Garde" w:eastAsia="Times New Roman" w:hAnsi="ITC Avant Garde" w:cs="Arial"/>
                <w:sz w:val="20"/>
                <w:lang w:eastAsia="es-ES"/>
              </w:rPr>
              <w:t xml:space="preserve"> </w:t>
            </w:r>
            <w:r w:rsidRPr="00BB33CC">
              <w:rPr>
                <w:rFonts w:ascii="ITC Avant Garde" w:eastAsia="Times New Roman" w:hAnsi="ITC Avant Garde" w:cs="Arial"/>
                <w:sz w:val="20"/>
                <w:lang w:eastAsia="es-ES"/>
              </w:rPr>
              <w:t>(sobre fibra), en los que se incluirán aquellos equipos y conexiones instaladas entre el domicilio del cliente y el repartidor principal.</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Otras redes de acceso</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conforman redes de acceso mediante otras tecnologías alternativas, como el acceso mediante satélite.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transmisión</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red de transmisión existente entre los repartidores y la red de núcleo.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conmutación</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relacionados con la red de conmutación para redes fijas. Se incluirán aquí los costos de equipos pertenecientes a redes tradicionales, como DSLAMs</w:t>
            </w:r>
            <w:r w:rsidRPr="00BB33CC">
              <w:rPr>
                <w:rStyle w:val="Refdenotaalpie"/>
                <w:rFonts w:ascii="ITC Avant Garde" w:eastAsia="Times New Roman" w:hAnsi="ITC Avant Garde" w:cs="Arial"/>
                <w:sz w:val="20"/>
                <w:lang w:val="es-ES" w:eastAsia="es-ES"/>
              </w:rPr>
              <w:footnoteReference w:id="46"/>
            </w:r>
            <w:r w:rsidRPr="00BB33CC">
              <w:rPr>
                <w:rFonts w:ascii="ITC Avant Garde" w:eastAsia="Times New Roman" w:hAnsi="ITC Avant Garde" w:cs="Arial"/>
                <w:sz w:val="20"/>
                <w:lang w:val="es-ES" w:eastAsia="es-ES"/>
              </w:rPr>
              <w:t xml:space="preserve">, así como aquellos pertenecientes a redes IP como los </w:t>
            </w:r>
            <w:r w:rsidRPr="00BB33CC">
              <w:rPr>
                <w:rFonts w:ascii="ITC Avant Garde" w:eastAsia="Times New Roman" w:hAnsi="ITC Avant Garde" w:cs="Arial"/>
                <w:i/>
                <w:sz w:val="20"/>
                <w:lang w:val="es-ES" w:eastAsia="es-ES"/>
              </w:rPr>
              <w:t>routers</w:t>
            </w:r>
            <w:r w:rsidRPr="00BB33CC">
              <w:rPr>
                <w:rFonts w:ascii="ITC Avant Garde" w:eastAsia="Times New Roman" w:hAnsi="ITC Avant Garde" w:cs="Arial"/>
                <w:sz w:val="20"/>
                <w:lang w:val="es-ES" w:eastAsia="es-ES"/>
              </w:rPr>
              <w:t xml:space="preserve"> IP.</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núcleo</w:t>
            </w:r>
          </w:p>
        </w:tc>
        <w:tc>
          <w:tcPr>
            <w:tcW w:w="3639" w:type="pct"/>
            <w:tcBorders>
              <w:top w:val="single" w:sz="4" w:space="0" w:color="244062"/>
              <w:bottom w:val="single" w:sz="4" w:space="0" w:color="244062"/>
            </w:tcBorders>
            <w:vAlign w:val="center"/>
          </w:tcPr>
          <w:p w:rsidR="002E1156" w:rsidRPr="00BB33CC" w:rsidRDefault="002E1156" w:rsidP="00CA3B9C">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y plataformas que conforman la red de núcleo de las redes fijas tradicionales (BRAS</w:t>
            </w:r>
            <w:r w:rsidRPr="00BB33CC">
              <w:rPr>
                <w:rStyle w:val="Refdenotaalpie"/>
                <w:rFonts w:ascii="ITC Avant Garde" w:eastAsia="Times New Roman" w:hAnsi="ITC Avant Garde" w:cs="Arial"/>
                <w:sz w:val="20"/>
                <w:lang w:val="es-ES" w:eastAsia="es-ES"/>
              </w:rPr>
              <w:footnoteReference w:id="47"/>
            </w:r>
            <w:r w:rsidRPr="00BB33CC">
              <w:rPr>
                <w:rFonts w:ascii="ITC Avant Garde" w:eastAsia="Times New Roman" w:hAnsi="ITC Avant Garde" w:cs="Arial"/>
                <w:sz w:val="20"/>
                <w:lang w:val="es-ES" w:eastAsia="es-ES"/>
              </w:rPr>
              <w:t xml:space="preserve"> o RADIUS</w:t>
            </w:r>
            <w:r w:rsidRPr="00BB33CC">
              <w:rPr>
                <w:rStyle w:val="Refdenotaalpie"/>
                <w:rFonts w:ascii="ITC Avant Garde" w:eastAsia="Times New Roman" w:hAnsi="ITC Avant Garde" w:cs="Arial"/>
                <w:sz w:val="20"/>
                <w:lang w:val="es-ES" w:eastAsia="es-ES"/>
              </w:rPr>
              <w:footnoteReference w:id="48"/>
            </w:r>
            <w:r w:rsidRPr="00BB33CC">
              <w:rPr>
                <w:rFonts w:ascii="ITC Avant Garde" w:eastAsia="Times New Roman" w:hAnsi="ITC Avant Garde" w:cs="Arial"/>
                <w:sz w:val="20"/>
                <w:lang w:val="es-ES" w:eastAsia="es-ES"/>
              </w:rPr>
              <w:t>), así como la</w:t>
            </w:r>
            <w:r w:rsidR="00B712FB" w:rsidRPr="00BB33CC">
              <w:rPr>
                <w:rFonts w:ascii="ITC Avant Garde" w:eastAsia="Times New Roman" w:hAnsi="ITC Avant Garde" w:cs="Arial"/>
                <w:sz w:val="20"/>
                <w:lang w:val="es-ES" w:eastAsia="es-ES"/>
              </w:rPr>
              <w:t>s</w:t>
            </w:r>
            <w:r w:rsidRPr="00BB33CC">
              <w:rPr>
                <w:rFonts w:ascii="ITC Avant Garde" w:eastAsia="Times New Roman" w:hAnsi="ITC Avant Garde" w:cs="Arial"/>
                <w:sz w:val="20"/>
                <w:lang w:val="es-ES" w:eastAsia="es-ES"/>
              </w:rPr>
              <w:t xml:space="preserve"> redes IP (</w:t>
            </w:r>
            <w:r w:rsidRPr="00BB33CC">
              <w:rPr>
                <w:rFonts w:ascii="ITC Avant Garde" w:eastAsia="Times New Roman" w:hAnsi="ITC Avant Garde" w:cs="Arial"/>
                <w:i/>
                <w:sz w:val="20"/>
                <w:lang w:val="es-ES" w:eastAsia="es-ES"/>
              </w:rPr>
              <w:t>Softswitches</w:t>
            </w:r>
            <w:r w:rsidRPr="00BB33CC">
              <w:rPr>
                <w:rFonts w:ascii="ITC Avant Garde" w:eastAsia="Times New Roman" w:hAnsi="ITC Avant Garde" w:cs="Arial"/>
                <w:sz w:val="20"/>
                <w:lang w:val="es-ES" w:eastAsia="es-ES"/>
              </w:rPr>
              <w:t xml:space="preserve"> y CSCFs</w:t>
            </w:r>
            <w:r w:rsidRPr="00BB33CC">
              <w:rPr>
                <w:rStyle w:val="Refdenotaalpie"/>
                <w:rFonts w:ascii="ITC Avant Garde" w:eastAsia="Times New Roman" w:hAnsi="ITC Avant Garde" w:cs="Arial"/>
                <w:sz w:val="20"/>
                <w:lang w:val="es-ES" w:eastAsia="es-ES"/>
              </w:rPr>
              <w:footnoteReference w:id="49"/>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Otras infraestructuras de red</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Otras infraestructuras asociadas a la red, como ductos o postes.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soporte</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Incluye otros equipos de soporte necesarios para la prestación de servicios de comunicaciones fijas.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terminales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los equipos instalados en el domicilio del cliente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Inversión en otros activos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Inversión bruta total por concepto de otros activos como mobiliario y equipo de oficina, equipo de transporte, entre otros.</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rsidR="002E1156" w:rsidRPr="00BB33CC" w:rsidRDefault="002E1156" w:rsidP="00674BDD">
            <w:pPr>
              <w:spacing w:before="40" w:after="6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Activo y pasivo circulante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Efectivo y equivalentes</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60" w:line="240" w:lineRule="auto"/>
              <w:rPr>
                <w:rFonts w:ascii="ITC Avant Garde" w:eastAsia="Times New Roman" w:hAnsi="ITC Avant Garde" w:cs="Arial"/>
                <w:bCs/>
                <w:sz w:val="20"/>
                <w:lang w:val="es-ES" w:eastAsia="es-ES"/>
              </w:rPr>
            </w:pPr>
            <w:r w:rsidRPr="00BB33CC">
              <w:rPr>
                <w:rFonts w:ascii="ITC Avant Garde" w:eastAsia="Times New Roman" w:hAnsi="ITC Avant Garde" w:cs="Arial"/>
                <w:bCs/>
                <w:sz w:val="20"/>
                <w:lang w:val="es-ES" w:eastAsia="es-ES"/>
              </w:rPr>
              <w:t>Aquellos bienes que proporcionan liquidez inmediata al operador necesaria para realizar sus operaciones de telecomunicaciones.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bCs/>
                <w:sz w:val="20"/>
                <w:lang w:val="es-ES" w:eastAsia="es-ES"/>
              </w:rPr>
            </w:pPr>
            <w:r w:rsidRPr="00BB33CC">
              <w:rPr>
                <w:rFonts w:ascii="ITC Avant Garde" w:eastAsia="Times New Roman" w:hAnsi="ITC Avant Garde" w:cs="Arial"/>
                <w:bCs/>
                <w:sz w:val="20"/>
                <w:lang w:val="es-ES" w:eastAsia="es-ES"/>
              </w:rPr>
              <w:t>Cuentas por cobrar</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60" w:line="240" w:lineRule="auto"/>
              <w:rPr>
                <w:rFonts w:ascii="ITC Avant Garde" w:eastAsia="Times New Roman" w:hAnsi="ITC Avant Garde" w:cs="Arial"/>
                <w:bCs/>
                <w:sz w:val="20"/>
                <w:lang w:val="es-ES" w:eastAsia="es-ES"/>
              </w:rPr>
            </w:pPr>
            <w:r w:rsidRPr="00BB33CC">
              <w:rPr>
                <w:rFonts w:ascii="ITC Avant Garde" w:eastAsia="Times New Roman" w:hAnsi="ITC Avant Garde" w:cs="Arial"/>
                <w:bCs/>
                <w:sz w:val="20"/>
                <w:lang w:val="es-ES" w:eastAsia="es-ES"/>
              </w:rPr>
              <w:t>Ingresos que recibirá el operador por la provisión de servicios a clientes a través de crédito documentado.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bCs/>
                <w:sz w:val="20"/>
                <w:lang w:eastAsia="es-ES"/>
              </w:rPr>
            </w:pPr>
            <w:r w:rsidRPr="00BB33CC">
              <w:rPr>
                <w:rFonts w:ascii="ITC Avant Garde" w:eastAsia="Times New Roman" w:hAnsi="ITC Avant Garde" w:cs="Arial"/>
                <w:bCs/>
                <w:sz w:val="20"/>
                <w:lang w:eastAsia="es-ES"/>
              </w:rPr>
              <w:t>Inventarios</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60" w:line="240" w:lineRule="auto"/>
              <w:rPr>
                <w:rFonts w:ascii="ITC Avant Garde" w:eastAsia="Times New Roman" w:hAnsi="ITC Avant Garde" w:cs="Arial"/>
                <w:bCs/>
                <w:sz w:val="20"/>
                <w:lang w:val="es-ES" w:eastAsia="es-ES"/>
              </w:rPr>
            </w:pPr>
            <w:r w:rsidRPr="00BB33CC">
              <w:rPr>
                <w:rFonts w:ascii="ITC Avant Garde" w:eastAsia="Times New Roman" w:hAnsi="ITC Avant Garde" w:cs="Arial"/>
                <w:bCs/>
                <w:sz w:val="20"/>
                <w:lang w:val="es-ES" w:eastAsia="es-ES"/>
              </w:rPr>
              <w:t>Aquellas mercancías provistas por el operador que se encuentran listas para su venta.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bCs/>
                <w:sz w:val="20"/>
                <w:lang w:eastAsia="es-ES"/>
              </w:rPr>
            </w:pPr>
            <w:r w:rsidRPr="00BB33CC">
              <w:rPr>
                <w:rFonts w:ascii="ITC Avant Garde" w:eastAsia="Times New Roman" w:hAnsi="ITC Avant Garde" w:cs="Arial"/>
                <w:bCs/>
                <w:sz w:val="20"/>
                <w:lang w:eastAsia="es-ES"/>
              </w:rPr>
              <w:t>Otro activo circulante</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60" w:line="240" w:lineRule="auto"/>
              <w:rPr>
                <w:rFonts w:ascii="ITC Avant Garde" w:eastAsia="Times New Roman" w:hAnsi="ITC Avant Garde" w:cs="Arial"/>
                <w:bCs/>
                <w:sz w:val="20"/>
                <w:lang w:val="es-ES" w:eastAsia="es-ES"/>
              </w:rPr>
            </w:pPr>
            <w:r w:rsidRPr="00BB33CC">
              <w:rPr>
                <w:rFonts w:ascii="ITC Avant Garde" w:eastAsia="Times New Roman" w:hAnsi="ITC Avant Garde" w:cs="Arial"/>
                <w:bCs/>
                <w:sz w:val="20"/>
                <w:lang w:val="es-ES" w:eastAsia="es-ES"/>
              </w:rPr>
              <w:t>Otro activo circulante del operador necesario para el desarrollo de sus operaciones en el sector de telecomunicaciones.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bCs/>
                <w:sz w:val="20"/>
                <w:lang w:eastAsia="es-ES"/>
              </w:rPr>
            </w:pPr>
            <w:r w:rsidRPr="00BB33CC">
              <w:rPr>
                <w:rFonts w:ascii="ITC Avant Garde" w:eastAsia="Times New Roman" w:hAnsi="ITC Avant Garde" w:cs="Arial"/>
                <w:bCs/>
                <w:sz w:val="20"/>
                <w:lang w:eastAsia="es-ES"/>
              </w:rPr>
              <w:t>Deudas a proveedores (corto plazo)</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60" w:line="240" w:lineRule="auto"/>
              <w:rPr>
                <w:rFonts w:ascii="ITC Avant Garde" w:eastAsia="Times New Roman" w:hAnsi="ITC Avant Garde" w:cs="Arial"/>
                <w:bCs/>
                <w:sz w:val="20"/>
                <w:lang w:eastAsia="es-ES"/>
              </w:rPr>
            </w:pPr>
            <w:r w:rsidRPr="00BB33CC">
              <w:rPr>
                <w:rFonts w:ascii="ITC Avant Garde" w:eastAsia="Times New Roman" w:hAnsi="ITC Avant Garde" w:cs="Arial"/>
                <w:bCs/>
                <w:sz w:val="20"/>
                <w:lang w:eastAsia="es-ES"/>
              </w:rPr>
              <w:t>Deuda a corto plazo (menor a un año) que tiene la empresa con proveedores, así como la porción de deuda a largo plazo que se debe pagar durante este periodo.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bCs/>
                <w:sz w:val="20"/>
                <w:lang w:eastAsia="es-ES"/>
              </w:rPr>
            </w:pPr>
            <w:r w:rsidRPr="00BB33CC">
              <w:rPr>
                <w:rFonts w:ascii="ITC Avant Garde" w:eastAsia="Times New Roman" w:hAnsi="ITC Avant Garde" w:cs="Arial"/>
                <w:bCs/>
                <w:sz w:val="20"/>
                <w:lang w:eastAsia="es-ES"/>
              </w:rPr>
              <w:lastRenderedPageBreak/>
              <w:t>Ingresos diferidos</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60" w:line="240" w:lineRule="auto"/>
              <w:rPr>
                <w:rFonts w:ascii="ITC Avant Garde" w:eastAsia="Times New Roman" w:hAnsi="ITC Avant Garde" w:cs="Arial"/>
                <w:bCs/>
                <w:sz w:val="20"/>
                <w:lang w:val="es-ES" w:eastAsia="es-ES"/>
              </w:rPr>
            </w:pPr>
            <w:r w:rsidRPr="00BB33CC">
              <w:rPr>
                <w:rFonts w:ascii="ITC Avant Garde" w:eastAsia="Times New Roman" w:hAnsi="ITC Avant Garde" w:cs="Arial"/>
                <w:bCs/>
                <w:sz w:val="20"/>
                <w:lang w:val="es-ES" w:eastAsia="es-ES"/>
              </w:rPr>
              <w:t>Son los ingresos que la empresa ya recibió por parte de los clientes, mientras que los servicios por dichos ingresos no han sido proporcionados.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bCs/>
                <w:sz w:val="20"/>
                <w:lang w:eastAsia="es-ES"/>
              </w:rPr>
            </w:pPr>
            <w:r w:rsidRPr="00BB33CC">
              <w:rPr>
                <w:rFonts w:ascii="ITC Avant Garde" w:eastAsia="Times New Roman" w:hAnsi="ITC Avant Garde" w:cs="Arial"/>
                <w:bCs/>
                <w:sz w:val="20"/>
                <w:lang w:eastAsia="es-ES"/>
              </w:rPr>
              <w:t>Otro pasivo circulante</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60" w:line="240" w:lineRule="auto"/>
              <w:rPr>
                <w:rFonts w:ascii="ITC Avant Garde" w:eastAsia="Times New Roman" w:hAnsi="ITC Avant Garde" w:cs="Arial"/>
                <w:bCs/>
                <w:sz w:val="20"/>
                <w:lang w:val="es-ES" w:eastAsia="es-ES"/>
              </w:rPr>
            </w:pPr>
            <w:r w:rsidRPr="00BB33CC">
              <w:rPr>
                <w:rFonts w:ascii="ITC Avant Garde" w:eastAsia="Times New Roman" w:hAnsi="ITC Avant Garde" w:cs="Arial"/>
                <w:bCs/>
                <w:sz w:val="20"/>
                <w:lang w:val="es-ES" w:eastAsia="es-ES"/>
              </w:rPr>
              <w:t>Otro pasivo circulante del operador asociado con sus actividades en el sector de telecomunicaciones.</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rsidR="002E1156" w:rsidRPr="00BB33CC" w:rsidRDefault="002E1156" w:rsidP="00674BDD">
            <w:pPr>
              <w:spacing w:before="40" w:after="6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eastAsia="es-ES"/>
              </w:rPr>
              <w:t>Costos no relevantes para la separación contable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financieros</w:t>
            </w:r>
          </w:p>
        </w:tc>
        <w:tc>
          <w:tcPr>
            <w:tcW w:w="3639" w:type="pct"/>
            <w:tcBorders>
              <w:top w:val="single" w:sz="4" w:space="0" w:color="244062"/>
              <w:bottom w:val="single" w:sz="4" w:space="0" w:color="244062"/>
            </w:tcBorders>
            <w:vAlign w:val="center"/>
            <w:hideMark/>
          </w:tcPr>
          <w:p w:rsidR="002E1156" w:rsidRPr="00BB33CC" w:rsidRDefault="002E1156" w:rsidP="00674BDD">
            <w:pPr>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Ajustes de depreciación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Otras partidas de costos</w:t>
            </w:r>
          </w:p>
        </w:tc>
        <w:tc>
          <w:tcPr>
            <w:tcW w:w="3639" w:type="pct"/>
            <w:tcBorders>
              <w:top w:val="single" w:sz="4" w:space="0" w:color="244062"/>
              <w:bottom w:val="single" w:sz="4" w:space="0" w:color="244062"/>
            </w:tcBorders>
            <w:vAlign w:val="center"/>
            <w:hideMark/>
          </w:tcPr>
          <w:p w:rsidR="002E1156" w:rsidRPr="00BB33CC" w:rsidRDefault="002E1156" w:rsidP="00674BDD">
            <w:pPr>
              <w:keepNext/>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servicios de telecomunicaciones fijos.</w:t>
            </w:r>
          </w:p>
        </w:tc>
      </w:tr>
    </w:tbl>
    <w:p w:rsidR="002E1156" w:rsidRPr="00BB33CC" w:rsidRDefault="002E1156" w:rsidP="002E1156">
      <w:pPr>
        <w:pStyle w:val="Normalresolucion"/>
        <w:spacing w:after="240"/>
      </w:pPr>
      <w:r w:rsidRPr="00BB33CC">
        <w:t xml:space="preserve">Listado </w:t>
      </w:r>
      <w:r w:rsidRPr="00BB33CC">
        <w:rPr>
          <w:bCs/>
        </w:rPr>
        <w:t>mínimo</w:t>
      </w:r>
      <w:r w:rsidRPr="00BB33CC">
        <w:t xml:space="preserve"> de cuentas a desagregar en el Nivel 2:</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3</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cuentas a desagregar en el Nivel 2 de operadores de telecomunicaciones fijas</w:t>
      </w:r>
    </w:p>
    <w:tbl>
      <w:tblPr>
        <w:tblW w:w="5000" w:type="pct"/>
        <w:jc w:val="center"/>
        <w:tblBorders>
          <w:bottom w:val="single" w:sz="4" w:space="0" w:color="244062"/>
          <w:insideH w:val="single" w:sz="4" w:space="0" w:color="244062"/>
        </w:tblBorders>
        <w:tblLayout w:type="fixed"/>
        <w:tblCellMar>
          <w:left w:w="70" w:type="dxa"/>
          <w:right w:w="70" w:type="dxa"/>
        </w:tblCellMar>
        <w:tblLook w:val="04A0" w:firstRow="1" w:lastRow="0" w:firstColumn="1" w:lastColumn="0" w:noHBand="0" w:noVBand="1"/>
      </w:tblPr>
      <w:tblGrid>
        <w:gridCol w:w="2409"/>
        <w:gridCol w:w="6429"/>
      </w:tblGrid>
      <w:tr w:rsidR="002E1156" w:rsidRPr="00BB33CC" w:rsidTr="00674BDD">
        <w:trPr>
          <w:trHeight w:val="340"/>
          <w:tblHeader/>
          <w:jc w:val="center"/>
        </w:trPr>
        <w:tc>
          <w:tcPr>
            <w:tcW w:w="1363" w:type="pct"/>
            <w:shd w:val="clear" w:color="auto" w:fill="4F629B"/>
            <w:vAlign w:val="center"/>
            <w:hideMark/>
          </w:tcPr>
          <w:p w:rsidR="002E1156" w:rsidRPr="00BB33CC" w:rsidRDefault="002E1156" w:rsidP="00674BDD">
            <w:pPr>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7" w:type="pct"/>
            <w:shd w:val="clear" w:color="auto" w:fill="4F629B"/>
            <w:vAlign w:val="center"/>
            <w:hideMark/>
          </w:tcPr>
          <w:p w:rsidR="002E1156" w:rsidRPr="00BB33CC" w:rsidRDefault="002E1156" w:rsidP="00674BDD">
            <w:pPr>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shd w:val="clear" w:color="auto" w:fill="EDEDED" w:themeFill="accent3" w:themeFillTint="33"/>
            <w:noWrap/>
            <w:vAlign w:val="center"/>
          </w:tcPr>
          <w:p w:rsidR="002E1156" w:rsidRPr="00BB33CC" w:rsidRDefault="002E1156" w:rsidP="00674BDD">
            <w:pPr>
              <w:spacing w:after="0" w:line="240" w:lineRule="auto"/>
              <w:jc w:val="both"/>
              <w:rPr>
                <w:rFonts w:ascii="ITC Avant Garde" w:eastAsia="Times New Roman" w:hAnsi="ITC Avant Garde" w:cs="Arial"/>
                <w:sz w:val="20"/>
                <w:lang w:val="es-ES" w:eastAsia="es-ES"/>
              </w:rPr>
            </w:pPr>
            <w:r w:rsidRPr="00BB33CC">
              <w:rPr>
                <w:rFonts w:ascii="ITC Avant Garde" w:eastAsia="Times New Roman" w:hAnsi="ITC Avant Garde" w:cs="Arial"/>
                <w:b/>
                <w:sz w:val="20"/>
                <w:lang w:val="es-ES" w:eastAsia="es-ES"/>
              </w:rPr>
              <w:t>Componentes de red</w:t>
            </w:r>
          </w:p>
        </w:tc>
      </w:tr>
      <w:tr w:rsidR="002E1156" w:rsidRPr="00BB33CC" w:rsidTr="00674BDD">
        <w:trPr>
          <w:trHeight w:val="340"/>
          <w:jc w:val="center"/>
        </w:trPr>
        <w:tc>
          <w:tcPr>
            <w:tcW w:w="5000" w:type="pct"/>
            <w:gridSpan w:val="2"/>
            <w:shd w:val="clear" w:color="auto" w:fill="auto"/>
            <w:noWrap/>
            <w:vAlign w:val="center"/>
          </w:tcPr>
          <w:p w:rsidR="002E1156" w:rsidRPr="00BB33CC" w:rsidRDefault="002E1156" w:rsidP="00674BDD">
            <w:pPr>
              <w:spacing w:after="0" w:line="240" w:lineRule="auto"/>
              <w:jc w:val="both"/>
              <w:rPr>
                <w:rFonts w:ascii="ITC Avant Garde" w:eastAsia="Times New Roman" w:hAnsi="ITC Avant Garde" w:cs="Arial"/>
                <w:sz w:val="20"/>
                <w:lang w:val="es-ES" w:eastAsia="es-ES"/>
              </w:rPr>
            </w:pPr>
            <w:r w:rsidRPr="00BB33CC">
              <w:rPr>
                <w:rFonts w:ascii="ITC Avant Garde" w:eastAsia="Times New Roman" w:hAnsi="ITC Avant Garde" w:cs="Arial"/>
                <w:b/>
                <w:sz w:val="20"/>
                <w:lang w:val="es-ES" w:eastAsia="es-ES"/>
              </w:rPr>
              <w:t>Red de acceso</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3637" w:type="pct"/>
            <w:vAlign w:val="center"/>
            <w:hideMark/>
          </w:tcPr>
          <w:p w:rsidR="002E1156" w:rsidRPr="00BB33CC" w:rsidRDefault="002E1156" w:rsidP="00674BDD">
            <w:pPr>
              <w:spacing w:after="0" w:line="240" w:lineRule="auto"/>
              <w:jc w:val="both"/>
              <w:rPr>
                <w:rFonts w:ascii="ITC Avant Garde" w:eastAsia="Times New Roman" w:hAnsi="ITC Avant Garde" w:cs="Arial"/>
                <w:sz w:val="20"/>
                <w:lang w:eastAsia="es-ES"/>
              </w:rPr>
            </w:pPr>
            <w:r w:rsidRPr="00BB33CC">
              <w:rPr>
                <w:rFonts w:ascii="ITC Avant Garde" w:eastAsia="Times New Roman" w:hAnsi="ITC Avant Garde" w:cs="Arial"/>
                <w:sz w:val="20"/>
                <w:lang w:val="es-ES" w:eastAsia="es-ES"/>
              </w:rPr>
              <w:t>Infraestructura de telecomunicaciones que permite conectar desde la caja terminal (FDP</w:t>
            </w:r>
            <w:r w:rsidRPr="00BB33CC">
              <w:rPr>
                <w:rFonts w:ascii="ITC Avant Garde" w:eastAsia="Times New Roman" w:hAnsi="ITC Avant Garde" w:cs="Arial"/>
                <w:sz w:val="20"/>
                <w:vertAlign w:val="superscript"/>
                <w:lang w:val="es-ES" w:eastAsia="es-ES"/>
              </w:rPr>
              <w:footnoteReference w:id="50"/>
            </w:r>
            <w:r w:rsidRPr="00BB33CC">
              <w:rPr>
                <w:rFonts w:ascii="ITC Avant Garde" w:eastAsia="Times New Roman" w:hAnsi="ITC Avant Garde" w:cs="Arial"/>
                <w:sz w:val="20"/>
                <w:lang w:val="es-ES" w:eastAsia="es-ES"/>
              </w:rPr>
              <w:t>) de distribución de la red local hasta el punto de conexión terminal de la red (NTP</w:t>
            </w:r>
            <w:r w:rsidRPr="00BB33CC">
              <w:rPr>
                <w:rFonts w:ascii="ITC Avant Garde" w:eastAsia="Times New Roman" w:hAnsi="ITC Avant Garde" w:cs="Arial"/>
                <w:sz w:val="20"/>
                <w:vertAlign w:val="superscript"/>
                <w:lang w:val="es-ES" w:eastAsia="es-ES"/>
              </w:rPr>
              <w:footnoteReference w:id="51"/>
            </w:r>
            <w:r w:rsidRPr="00BB33CC">
              <w:rPr>
                <w:rFonts w:ascii="ITC Avant Garde" w:eastAsia="Times New Roman" w:hAnsi="ITC Avant Garde" w:cs="Arial"/>
                <w:sz w:val="20"/>
                <w:lang w:val="es-ES" w:eastAsia="es-ES"/>
              </w:rPr>
              <w:t>) situado en el domicilio de los usuarios finales</w:t>
            </w:r>
            <w:r w:rsidRPr="00BB33CC">
              <w:rPr>
                <w:rFonts w:ascii="Times New Roman" w:hAnsi="Times New Roman" w:cs="Times New Roman"/>
                <w:sz w:val="24"/>
                <w:szCs w:val="24"/>
                <w:lang w:eastAsia="es-MX"/>
              </w:rPr>
              <w:t>.</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secundaria de cobre</w:t>
            </w:r>
          </w:p>
        </w:tc>
        <w:tc>
          <w:tcPr>
            <w:tcW w:w="3637" w:type="pct"/>
            <w:vAlign w:val="center"/>
            <w:hideMark/>
          </w:tcPr>
          <w:p w:rsidR="002E1156" w:rsidRPr="00BB33CC" w:rsidRDefault="002E1156" w:rsidP="00674BDD">
            <w:pPr>
              <w:spacing w:before="40" w:after="40" w:line="240" w:lineRule="auto"/>
              <w:jc w:val="both"/>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Cableado de cobre conectado desde una caja de distribución y que se despliega en la vía pública por medio de puntos de dispersión hacia las cajas terminales situadas normalmente en la fachada del domicilio de los usuarios finales.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principal de cobre</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Cableado de cobre conectado a la central telefónica o instalación equivalente por medio del distribuidor general, saliendo de esta por la fosa de cables, para ir alojados en canalizaciones de concreto o PVC hacia las cajas de distribución.</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secundaria de fibra</w:t>
            </w:r>
          </w:p>
        </w:tc>
        <w:tc>
          <w:tcPr>
            <w:tcW w:w="3637" w:type="pct"/>
            <w:vAlign w:val="center"/>
            <w:hideMark/>
          </w:tcPr>
          <w:p w:rsidR="002E1156" w:rsidRPr="00BB33CC" w:rsidRDefault="002E1156" w:rsidP="00674BDD">
            <w:pPr>
              <w:spacing w:before="40" w:after="40" w:line="240" w:lineRule="auto"/>
              <w:jc w:val="both"/>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Cableado de fibra conectado desde una caja de distribución y que se despliega en la vía pública por medio de puntos de dispersión hacia las cajas terminales situadas normalmente en la fachada del domicilio de los usuarios finales.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Red principal de fibra</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Cableado de fibra entre el repartidor óptico y un punto de distribución de la red de acceso.</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Ductos de red secundaria </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Estructura de canalización cerrada de un diámetro específico que se emplea como vía para alojar y proteger los cables de fibra óptica o cobre, en el tramo secundario de la red de acceso.</w:t>
            </w:r>
          </w:p>
        </w:tc>
      </w:tr>
      <w:tr w:rsidR="002E1156" w:rsidRPr="00BB33CC" w:rsidTr="00674BDD">
        <w:trPr>
          <w:trHeight w:val="340"/>
          <w:jc w:val="center"/>
        </w:trPr>
        <w:tc>
          <w:tcPr>
            <w:tcW w:w="1363" w:type="pct"/>
            <w:shd w:val="clear" w:color="auto" w:fill="D0D1DB"/>
            <w:noWrap/>
            <w:vAlign w:val="center"/>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Ductos de red principal</w:t>
            </w:r>
          </w:p>
        </w:tc>
        <w:tc>
          <w:tcPr>
            <w:tcW w:w="3637" w:type="pct"/>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Estructura de canalización cerrada de un diámetro específico que se emplea como vía para alojar y proteger los cables de fibra óptica o cobre, en el tramo primario de la red de acceso.</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Subductos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Tubería empleada para la colocación de cables de fibra óptica.</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Zanjas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Excavaciones realizadas en el terreno para la ubicación del cableado, ya sea dentro de ductos o no. </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Postes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Mástiles fabricados con hormigón o madera y empleados para la colocación de cables aéreos de cobre y fibra óptica.</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acceso</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la red de acceso fijo.</w:t>
            </w:r>
          </w:p>
        </w:tc>
      </w:tr>
      <w:tr w:rsidR="002E1156" w:rsidRPr="00BB33CC" w:rsidTr="00674BDD">
        <w:trPr>
          <w:trHeight w:val="340"/>
          <w:jc w:val="center"/>
        </w:trPr>
        <w:tc>
          <w:tcPr>
            <w:tcW w:w="5000" w:type="pct"/>
            <w:gridSpan w:val="2"/>
            <w:shd w:val="clear" w:color="auto" w:fill="auto"/>
            <w:noWrap/>
            <w:vAlign w:val="center"/>
          </w:tcPr>
          <w:p w:rsidR="002E1156" w:rsidRPr="00BB33CC" w:rsidDel="005A7DE1" w:rsidRDefault="002E1156" w:rsidP="00674BDD">
            <w:pPr>
              <w:spacing w:before="40" w:after="40" w:line="240" w:lineRule="auto"/>
            </w:pPr>
            <w:r w:rsidRPr="00BB33CC">
              <w:rPr>
                <w:rFonts w:ascii="ITC Avant Garde" w:eastAsia="Times New Roman" w:hAnsi="ITC Avant Garde" w:cs="Arial"/>
                <w:b/>
                <w:sz w:val="20"/>
                <w:lang w:val="es-ES" w:eastAsia="es-ES"/>
              </w:rPr>
              <w:t>Red de agregación y transporte</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Distribuidor General (MDF</w:t>
            </w:r>
            <w:r w:rsidRPr="00BB33CC">
              <w:rPr>
                <w:rFonts w:ascii="ITC Avant Garde" w:eastAsia="Times New Roman" w:hAnsi="ITC Avant Garde" w:cs="Arial"/>
                <w:sz w:val="20"/>
                <w:vertAlign w:val="superscript"/>
                <w:lang w:val="es-ES" w:eastAsia="es-ES"/>
              </w:rPr>
              <w:footnoteReference w:id="52"/>
            </w:r>
            <w:r w:rsidRPr="00BB33CC">
              <w:rPr>
                <w:rFonts w:ascii="ITC Avant Garde" w:eastAsia="Times New Roman" w:hAnsi="ITC Avant Garde" w:cs="Arial"/>
                <w:sz w:val="20"/>
                <w:lang w:val="es-ES"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val="es-ES" w:eastAsia="es-ES"/>
              </w:rPr>
              <w:t>Estructura organizada de tablillas denominadas horizontales y verticales, entre las cuales se realizan los puentes de pares de Red principal de cobre con los puertos de los equipos del agente.</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Distribuidor de fibra óptica (ODF</w:t>
            </w:r>
            <w:r w:rsidRPr="00BB33CC">
              <w:rPr>
                <w:rFonts w:ascii="ITC Avant Garde" w:eastAsia="Times New Roman" w:hAnsi="ITC Avant Garde" w:cs="Arial"/>
                <w:sz w:val="20"/>
                <w:vertAlign w:val="superscript"/>
                <w:lang w:val="es-ES" w:eastAsia="es-ES"/>
              </w:rPr>
              <w:footnoteReference w:id="53"/>
            </w:r>
            <w:r w:rsidRPr="00BB33CC">
              <w:rPr>
                <w:rFonts w:ascii="ITC Avant Garde" w:eastAsia="Times New Roman" w:hAnsi="ITC Avant Garde" w:cs="Arial"/>
                <w:sz w:val="20"/>
                <w:lang w:val="es-ES"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Dispositivo que facilita la centralización, interconexión y derivaciones de cables de fibra óptica.</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DSLAM/MSAN</w:t>
            </w:r>
            <w:r w:rsidR="00202937" w:rsidRPr="00BB33CC">
              <w:rPr>
                <w:rStyle w:val="Refdenotaalpie"/>
                <w:rFonts w:ascii="ITC Avant Garde" w:eastAsia="Times New Roman" w:hAnsi="ITC Avant Garde" w:cs="Arial"/>
                <w:sz w:val="20"/>
                <w:lang w:val="es-ES" w:eastAsia="es-ES"/>
              </w:rPr>
              <w:footnoteReference w:id="54"/>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Componente perteneciente a un sistema de línea de abonado digital (DSL, por sus siglas en inglés) que conecta múltiples usuarios y ofrece servicios de datos de alta velocidad haciendo uso de diversas técnicas de multiplexado.</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locales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permiten la conmutación entre líneas de telefonía para permitir la realización de llamadas.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regionales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permiten agregar el tráfico generado por diferentes centrales remotas, siendo responsables por su conmutación.</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permiten la conmutación de tráfico de circuitos de la red TDM</w:t>
            </w:r>
            <w:r w:rsidRPr="00BB33CC">
              <w:rPr>
                <w:rFonts w:ascii="ITC Avant Garde" w:eastAsia="Times New Roman" w:hAnsi="ITC Avant Garde" w:cs="Arial"/>
                <w:sz w:val="20"/>
                <w:vertAlign w:val="superscript"/>
                <w:lang w:val="es-ES" w:eastAsia="es-ES"/>
              </w:rPr>
              <w:footnoteReference w:id="55"/>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internacionales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permiten la conmutación de tráfico de circuitos internacionales.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i/>
                <w:sz w:val="20"/>
                <w:lang w:val="es-ES" w:eastAsia="es-ES"/>
              </w:rPr>
            </w:pPr>
            <w:r w:rsidRPr="00BB33CC">
              <w:rPr>
                <w:rFonts w:ascii="ITC Avant Garde" w:eastAsia="Times New Roman" w:hAnsi="ITC Avant Garde" w:cs="Arial"/>
                <w:i/>
                <w:sz w:val="20"/>
                <w:lang w:val="es-ES" w:eastAsia="es-ES"/>
              </w:rPr>
              <w:t>Routers edge</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permiten gestionar el tráfico generado en la red de acceso de nueva generación (NGN).</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i/>
                <w:sz w:val="20"/>
                <w:lang w:val="es-ES" w:eastAsia="es-ES"/>
              </w:rPr>
              <w:lastRenderedPageBreak/>
              <w:t>Routers</w:t>
            </w:r>
            <w:r w:rsidRPr="00BB33CC">
              <w:rPr>
                <w:rFonts w:ascii="ITC Avant Garde" w:eastAsia="Times New Roman" w:hAnsi="ITC Avant Garde" w:cs="Arial"/>
                <w:sz w:val="20"/>
                <w:lang w:val="es-ES" w:eastAsia="es-ES"/>
              </w:rPr>
              <w:t xml:space="preserve"> de distribución</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permiten gestionar el tráfico generado en la red de distribución de nueva generación (NGN).</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conmutación</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la red de conmutación fija.</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locales - regionales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centrales locales y centrales regionales.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regionales - regionales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centrales regionales.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regionales - 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centrales regionales y centrales nacionales.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nacionales - 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centrales nacionales.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Enlaces nacionales - </w:t>
            </w:r>
            <w:r w:rsidRPr="00BB33CC">
              <w:rPr>
                <w:rFonts w:ascii="ITC Avant Garde" w:eastAsia="Times New Roman" w:hAnsi="ITC Avant Garde" w:cs="Arial"/>
                <w:i/>
                <w:sz w:val="20"/>
                <w:lang w:val="es-ES" w:eastAsia="es-ES"/>
              </w:rPr>
              <w:t>core</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centrales nacionales y centrales de núcleo.</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nacionales - internacional</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centrales nacionales y centrales de intercambio internacional.</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Enlaces </w:t>
            </w:r>
            <w:r w:rsidRPr="00BB33CC">
              <w:rPr>
                <w:rFonts w:ascii="ITC Avant Garde" w:eastAsia="Times New Roman" w:hAnsi="ITC Avant Garde" w:cs="Arial"/>
                <w:i/>
                <w:sz w:val="20"/>
                <w:lang w:val="es-ES" w:eastAsia="es-ES"/>
              </w:rPr>
              <w:t>core</w:t>
            </w:r>
            <w:r w:rsidRPr="00BB33CC">
              <w:rPr>
                <w:rFonts w:ascii="ITC Avant Garde" w:eastAsia="Times New Roman" w:hAnsi="ITC Avant Garde" w:cs="Arial"/>
                <w:sz w:val="20"/>
                <w:lang w:val="es-ES" w:eastAsia="es-ES"/>
              </w:rPr>
              <w:t xml:space="preserve"> - internacional</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las centrales de núcleo y centrales de intercambio internacional.</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Enlaces </w:t>
            </w:r>
            <w:r w:rsidRPr="00BB33CC">
              <w:rPr>
                <w:rFonts w:ascii="ITC Avant Garde" w:eastAsia="Times New Roman" w:hAnsi="ITC Avant Garde" w:cs="Arial"/>
                <w:i/>
                <w:sz w:val="20"/>
                <w:lang w:val="es-ES" w:eastAsia="es-ES"/>
              </w:rPr>
              <w:t>core</w:t>
            </w:r>
            <w:r w:rsidRPr="00BB33CC">
              <w:rPr>
                <w:rFonts w:ascii="ITC Avant Garde" w:eastAsia="Times New Roman" w:hAnsi="ITC Avant Garde" w:cs="Arial"/>
                <w:sz w:val="20"/>
                <w:lang w:val="es-ES" w:eastAsia="es-ES"/>
              </w:rPr>
              <w:t xml:space="preserve"> - </w:t>
            </w:r>
            <w:r w:rsidRPr="00BB33CC">
              <w:rPr>
                <w:rFonts w:ascii="ITC Avant Garde" w:eastAsia="Times New Roman" w:hAnsi="ITC Avant Garde" w:cs="Arial"/>
                <w:i/>
                <w:sz w:val="20"/>
                <w:lang w:val="es-ES" w:eastAsia="es-ES"/>
              </w:rPr>
              <w:t>core</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centrales de núcleo.</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submarinos 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nacional a través de cables submarinos.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submarinos internacionales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internacional a través de cables submarinos.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enlaces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enlaces de la red de transmisión fija.</w:t>
            </w:r>
          </w:p>
        </w:tc>
      </w:tr>
      <w:tr w:rsidR="002E1156" w:rsidRPr="00BB33CC" w:rsidTr="00674BDD">
        <w:trPr>
          <w:trHeight w:val="340"/>
          <w:jc w:val="center"/>
        </w:trPr>
        <w:tc>
          <w:tcPr>
            <w:tcW w:w="5000" w:type="pct"/>
            <w:gridSpan w:val="2"/>
            <w:shd w:val="clear" w:color="auto" w:fill="auto"/>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sz w:val="20"/>
                <w:lang w:val="en-GB" w:eastAsia="es-ES"/>
              </w:rPr>
              <w:t>Red de núcleo</w:t>
            </w:r>
          </w:p>
        </w:tc>
      </w:tr>
      <w:tr w:rsidR="002E1156" w:rsidRPr="00BB33CC" w:rsidTr="00674BDD">
        <w:trPr>
          <w:trHeight w:val="340"/>
          <w:jc w:val="center"/>
        </w:trPr>
        <w:tc>
          <w:tcPr>
            <w:tcW w:w="1363" w:type="pct"/>
            <w:shd w:val="clear" w:color="auto" w:fill="D0D1DB"/>
            <w:noWrap/>
            <w:vAlign w:val="center"/>
            <w:hideMark/>
          </w:tcPr>
          <w:p w:rsidR="002E1156" w:rsidRPr="00BB33CC" w:rsidRDefault="004D4ACE" w:rsidP="00AD5E14">
            <w:pPr>
              <w:spacing w:before="40" w:after="6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 xml:space="preserve">Función de Control de Sesión de Llamada </w:t>
            </w:r>
            <w:r w:rsidR="002E1156" w:rsidRPr="00BB33CC">
              <w:rPr>
                <w:rFonts w:ascii="ITC Avant Garde" w:eastAsia="Times New Roman" w:hAnsi="ITC Avant Garde" w:cs="Arial"/>
                <w:sz w:val="20"/>
                <w:lang w:eastAsia="es-ES"/>
              </w:rPr>
              <w:t>(CSCF</w:t>
            </w:r>
            <w:r w:rsidRPr="00BB33CC">
              <w:rPr>
                <w:rStyle w:val="Refdenotaalpie"/>
                <w:rFonts w:ascii="ITC Avant Garde" w:eastAsia="Times New Roman" w:hAnsi="ITC Avant Garde" w:cs="Arial"/>
                <w:sz w:val="20"/>
                <w:lang w:val="en-GB" w:eastAsia="es-ES"/>
              </w:rPr>
              <w:footnoteReference w:id="56"/>
            </w:r>
            <w:r w:rsidR="002E1156" w:rsidRPr="00BB33CC">
              <w:rPr>
                <w:rFonts w:ascii="ITC Avant Garde" w:eastAsia="Times New Roman" w:hAnsi="ITC Avant Garde" w:cs="Arial"/>
                <w:sz w:val="20"/>
                <w:lang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responsables de la gestión y control de sesiones de llamada, incluyendo los tres componentes S-CSCF (</w:t>
            </w:r>
            <w:r w:rsidRPr="00BB33CC">
              <w:rPr>
                <w:rFonts w:ascii="ITC Avant Garde" w:eastAsia="Times New Roman" w:hAnsi="ITC Avant Garde" w:cs="Arial"/>
                <w:i/>
                <w:iCs/>
                <w:sz w:val="20"/>
                <w:lang w:val="es-ES" w:eastAsia="es-ES"/>
              </w:rPr>
              <w:t>Serving</w:t>
            </w:r>
            <w:r w:rsidRPr="00BB33CC">
              <w:rPr>
                <w:rFonts w:ascii="ITC Avant Garde" w:eastAsia="Times New Roman" w:hAnsi="ITC Avant Garde" w:cs="Arial"/>
                <w:sz w:val="20"/>
                <w:lang w:val="es-ES" w:eastAsia="es-ES"/>
              </w:rPr>
              <w:t xml:space="preserve"> CSCF), I-CSCF (</w:t>
            </w:r>
            <w:r w:rsidRPr="00BB33CC">
              <w:rPr>
                <w:rFonts w:ascii="ITC Avant Garde" w:eastAsia="Times New Roman" w:hAnsi="ITC Avant Garde" w:cs="Arial"/>
                <w:i/>
                <w:iCs/>
                <w:sz w:val="20"/>
                <w:lang w:val="es-ES" w:eastAsia="es-ES"/>
              </w:rPr>
              <w:t>Interrogating</w:t>
            </w:r>
            <w:r w:rsidRPr="00BB33CC">
              <w:rPr>
                <w:rFonts w:ascii="ITC Avant Garde" w:eastAsia="Times New Roman" w:hAnsi="ITC Avant Garde" w:cs="Arial"/>
                <w:sz w:val="20"/>
                <w:lang w:val="es-ES" w:eastAsia="es-ES"/>
              </w:rPr>
              <w:t xml:space="preserve"> CSCF) y P-CSCF (</w:t>
            </w:r>
            <w:r w:rsidRPr="00BB33CC">
              <w:rPr>
                <w:rFonts w:ascii="ITC Avant Garde" w:eastAsia="Times New Roman" w:hAnsi="ITC Avant Garde" w:cs="Arial"/>
                <w:i/>
                <w:iCs/>
                <w:sz w:val="20"/>
                <w:lang w:val="es-ES" w:eastAsia="es-ES"/>
              </w:rPr>
              <w:t>Proxy</w:t>
            </w:r>
            <w:r w:rsidRPr="00BB33CC">
              <w:rPr>
                <w:rFonts w:ascii="ITC Avant Garde" w:eastAsia="Times New Roman" w:hAnsi="ITC Avant Garde" w:cs="Arial"/>
                <w:sz w:val="20"/>
                <w:lang w:val="es-ES" w:eastAsia="es-ES"/>
              </w:rPr>
              <w:t xml:space="preserve"> CSCF).</w:t>
            </w:r>
          </w:p>
        </w:tc>
      </w:tr>
      <w:tr w:rsidR="002E1156" w:rsidRPr="00BB33CC" w:rsidTr="00674BDD">
        <w:trPr>
          <w:trHeight w:val="340"/>
          <w:jc w:val="center"/>
        </w:trPr>
        <w:tc>
          <w:tcPr>
            <w:tcW w:w="1363" w:type="pct"/>
            <w:shd w:val="clear" w:color="auto" w:fill="D0D1DB"/>
            <w:noWrap/>
            <w:vAlign w:val="center"/>
            <w:hideMark/>
          </w:tcPr>
          <w:p w:rsidR="002E1156" w:rsidRPr="00BB33CC" w:rsidRDefault="004D4ACE" w:rsidP="00AD5E14">
            <w:pPr>
              <w:spacing w:before="40" w:after="60" w:line="240" w:lineRule="auto"/>
              <w:rPr>
                <w:rFonts w:ascii="ITC Avant Garde" w:eastAsia="Times New Roman" w:hAnsi="ITC Avant Garde" w:cs="Arial"/>
                <w:i/>
                <w:sz w:val="20"/>
                <w:lang w:eastAsia="es-ES"/>
              </w:rPr>
            </w:pPr>
            <w:r w:rsidRPr="00BB33CC">
              <w:rPr>
                <w:rFonts w:ascii="ITC Avant Garde" w:eastAsia="Times New Roman" w:hAnsi="ITC Avant Garde" w:cs="Arial"/>
                <w:sz w:val="20"/>
                <w:lang w:eastAsia="es-ES"/>
              </w:rPr>
              <w:t>Servidor Doméstico de Suscriptor</w:t>
            </w:r>
            <w:r w:rsidRPr="00BB33CC">
              <w:rPr>
                <w:rFonts w:ascii="ITC Avant Garde" w:eastAsia="Times New Roman" w:hAnsi="ITC Avant Garde" w:cs="Arial"/>
                <w:i/>
                <w:sz w:val="20"/>
                <w:lang w:eastAsia="es-ES"/>
              </w:rPr>
              <w:t xml:space="preserve"> </w:t>
            </w:r>
            <w:r w:rsidR="002E1156" w:rsidRPr="00BB33CC">
              <w:rPr>
                <w:rFonts w:ascii="ITC Avant Garde" w:eastAsia="Times New Roman" w:hAnsi="ITC Avant Garde" w:cs="Arial"/>
                <w:i/>
                <w:sz w:val="20"/>
                <w:lang w:eastAsia="es-ES"/>
              </w:rPr>
              <w:t>(</w:t>
            </w:r>
            <w:r w:rsidR="002E1156" w:rsidRPr="00BB33CC">
              <w:rPr>
                <w:rFonts w:ascii="ITC Avant Garde" w:eastAsia="Times New Roman" w:hAnsi="ITC Avant Garde" w:cs="Arial"/>
                <w:sz w:val="20"/>
                <w:lang w:eastAsia="es-ES"/>
              </w:rPr>
              <w:t>HSS</w:t>
            </w:r>
            <w:r w:rsidRPr="00BB33CC">
              <w:rPr>
                <w:rStyle w:val="Refdenotaalpie"/>
                <w:rFonts w:ascii="ITC Avant Garde" w:eastAsia="Times New Roman" w:hAnsi="ITC Avant Garde" w:cs="Arial"/>
                <w:sz w:val="20"/>
                <w:lang w:val="en-GB" w:eastAsia="es-ES"/>
              </w:rPr>
              <w:footnoteReference w:id="57"/>
            </w:r>
            <w:r w:rsidR="002E1156" w:rsidRPr="00BB33CC">
              <w:rPr>
                <w:rFonts w:ascii="ITC Avant Garde" w:eastAsia="Times New Roman" w:hAnsi="ITC Avant Garde" w:cs="Arial"/>
                <w:i/>
                <w:sz w:val="20"/>
                <w:lang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Componente que contiene la información de suscripción del usuario final que es requerida para el cifrado y la autenticación en una red móvil de cuarta generación.</w:t>
            </w:r>
          </w:p>
        </w:tc>
      </w:tr>
      <w:tr w:rsidR="002E1156" w:rsidRPr="00BB33CC" w:rsidTr="00674BDD">
        <w:trPr>
          <w:trHeight w:val="340"/>
          <w:jc w:val="center"/>
        </w:trPr>
        <w:tc>
          <w:tcPr>
            <w:tcW w:w="1363" w:type="pct"/>
            <w:shd w:val="clear" w:color="auto" w:fill="D0D1DB"/>
            <w:noWrap/>
            <w:vAlign w:val="center"/>
            <w:hideMark/>
          </w:tcPr>
          <w:p w:rsidR="002E1156" w:rsidRPr="00BB33CC" w:rsidRDefault="004E5298" w:rsidP="00AD5E14">
            <w:pPr>
              <w:spacing w:before="40" w:after="60" w:line="240" w:lineRule="auto"/>
              <w:rPr>
                <w:rFonts w:ascii="ITC Avant Garde" w:eastAsia="Times New Roman" w:hAnsi="ITC Avant Garde" w:cs="Arial"/>
                <w:i/>
                <w:sz w:val="20"/>
                <w:lang w:eastAsia="es-ES"/>
              </w:rPr>
            </w:pPr>
            <w:r w:rsidRPr="00BB33CC">
              <w:rPr>
                <w:rFonts w:ascii="ITC Avant Garde" w:eastAsia="Times New Roman" w:hAnsi="ITC Avant Garde" w:cs="Arial"/>
                <w:sz w:val="20"/>
                <w:lang w:eastAsia="es-ES"/>
              </w:rPr>
              <w:t>Función del Controlador de Interconexión en la Frontera</w:t>
            </w:r>
            <w:r w:rsidRPr="00BB33CC">
              <w:rPr>
                <w:rFonts w:ascii="ITC Avant Garde" w:eastAsia="Times New Roman" w:hAnsi="ITC Avant Garde" w:cs="Arial"/>
                <w:i/>
                <w:sz w:val="20"/>
                <w:lang w:eastAsia="es-ES"/>
              </w:rPr>
              <w:t xml:space="preserve"> </w:t>
            </w:r>
            <w:r w:rsidR="002E1156" w:rsidRPr="00BB33CC">
              <w:rPr>
                <w:rFonts w:ascii="ITC Avant Garde" w:eastAsia="Times New Roman" w:hAnsi="ITC Avant Garde" w:cs="Arial"/>
                <w:i/>
                <w:sz w:val="20"/>
                <w:lang w:eastAsia="es-ES"/>
              </w:rPr>
              <w:t>(</w:t>
            </w:r>
            <w:r w:rsidR="002E1156" w:rsidRPr="00BB33CC">
              <w:rPr>
                <w:rFonts w:ascii="ITC Avant Garde" w:eastAsia="Times New Roman" w:hAnsi="ITC Avant Garde" w:cs="Arial"/>
                <w:sz w:val="20"/>
                <w:lang w:eastAsia="es-ES"/>
              </w:rPr>
              <w:t>IBCF</w:t>
            </w:r>
            <w:r w:rsidRPr="00BB33CC">
              <w:rPr>
                <w:rStyle w:val="Refdenotaalpie"/>
                <w:rFonts w:ascii="ITC Avant Garde" w:eastAsia="Times New Roman" w:hAnsi="ITC Avant Garde" w:cs="Arial"/>
                <w:sz w:val="20"/>
                <w:lang w:val="en-GB" w:eastAsia="es-ES"/>
              </w:rPr>
              <w:footnoteReference w:id="58"/>
            </w:r>
            <w:r w:rsidR="002E1156" w:rsidRPr="00BB33CC">
              <w:rPr>
                <w:rFonts w:ascii="ITC Avant Garde" w:eastAsia="Times New Roman" w:hAnsi="ITC Avant Garde" w:cs="Arial"/>
                <w:i/>
                <w:sz w:val="20"/>
                <w:lang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 responsable del control de sesión en puntos de interconexión con otras redes de nueva generación (NGN).</w:t>
            </w:r>
          </w:p>
        </w:tc>
      </w:tr>
      <w:tr w:rsidR="002E1156" w:rsidRPr="00BB33CC" w:rsidTr="00674BDD">
        <w:trPr>
          <w:trHeight w:val="340"/>
          <w:jc w:val="center"/>
        </w:trPr>
        <w:tc>
          <w:tcPr>
            <w:tcW w:w="1363" w:type="pct"/>
            <w:shd w:val="clear" w:color="auto" w:fill="D0D1DB"/>
            <w:noWrap/>
            <w:vAlign w:val="center"/>
            <w:hideMark/>
          </w:tcPr>
          <w:p w:rsidR="002E1156" w:rsidRPr="00BB33CC" w:rsidRDefault="004E5298" w:rsidP="00AD5E14">
            <w:pPr>
              <w:spacing w:before="40" w:after="60" w:line="240" w:lineRule="auto"/>
              <w:rPr>
                <w:rFonts w:ascii="ITC Avant Garde" w:eastAsia="Times New Roman" w:hAnsi="ITC Avant Garde" w:cs="Arial"/>
                <w:i/>
                <w:sz w:val="20"/>
                <w:lang w:eastAsia="es-ES"/>
              </w:rPr>
            </w:pPr>
            <w:r w:rsidRPr="00BB33CC">
              <w:rPr>
                <w:rFonts w:ascii="ITC Avant Garde" w:eastAsia="Times New Roman" w:hAnsi="ITC Avant Garde" w:cs="Arial"/>
                <w:sz w:val="20"/>
                <w:lang w:eastAsia="es-ES"/>
              </w:rPr>
              <w:lastRenderedPageBreak/>
              <w:t>Función de Control de la Compuerta de Arranque</w:t>
            </w:r>
            <w:r w:rsidRPr="00BB33CC">
              <w:rPr>
                <w:rFonts w:ascii="ITC Avant Garde" w:eastAsia="Times New Roman" w:hAnsi="ITC Avant Garde" w:cs="Arial"/>
                <w:i/>
                <w:sz w:val="20"/>
                <w:lang w:eastAsia="es-ES"/>
              </w:rPr>
              <w:t xml:space="preserve"> </w:t>
            </w:r>
            <w:r w:rsidR="002E1156" w:rsidRPr="00BB33CC">
              <w:rPr>
                <w:rFonts w:ascii="ITC Avant Garde" w:eastAsia="Times New Roman" w:hAnsi="ITC Avant Garde" w:cs="Arial"/>
                <w:i/>
                <w:sz w:val="20"/>
                <w:lang w:eastAsia="es-ES"/>
              </w:rPr>
              <w:t>(</w:t>
            </w:r>
            <w:r w:rsidR="002E1156" w:rsidRPr="00BB33CC">
              <w:rPr>
                <w:rFonts w:ascii="ITC Avant Garde" w:eastAsia="Times New Roman" w:hAnsi="ITC Avant Garde" w:cs="Arial"/>
                <w:sz w:val="20"/>
                <w:lang w:eastAsia="es-ES"/>
              </w:rPr>
              <w:t>BGCF</w:t>
            </w:r>
            <w:r w:rsidR="001D2870" w:rsidRPr="00BB33CC">
              <w:rPr>
                <w:rStyle w:val="Refdenotaalpie"/>
                <w:rFonts w:ascii="ITC Avant Garde" w:eastAsia="Times New Roman" w:hAnsi="ITC Avant Garde" w:cs="Arial"/>
                <w:sz w:val="20"/>
                <w:lang w:val="en-GB" w:eastAsia="es-ES"/>
              </w:rPr>
              <w:footnoteReference w:id="59"/>
            </w:r>
            <w:r w:rsidR="002E1156" w:rsidRPr="00BB33CC">
              <w:rPr>
                <w:rFonts w:ascii="ITC Avant Garde" w:eastAsia="Times New Roman" w:hAnsi="ITC Avant Garde" w:cs="Arial"/>
                <w:i/>
                <w:sz w:val="20"/>
                <w:lang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Elemento responsable del enrutamiento de llamadas a destinos fuera de la red del </w:t>
            </w:r>
            <w:r w:rsidR="00EA7AA2" w:rsidRPr="00BB33CC">
              <w:rPr>
                <w:rFonts w:ascii="ITC Avant Garde" w:hAnsi="ITC Avant Garde"/>
                <w:bCs/>
                <w:sz w:val="20"/>
                <w:szCs w:val="20"/>
              </w:rPr>
              <w:t>concesionario y/o autorizado</w:t>
            </w:r>
            <w:r w:rsidRPr="00BB33CC">
              <w:rPr>
                <w:rFonts w:ascii="ITC Avant Garde" w:eastAsia="Times New Roman" w:hAnsi="ITC Avant Garde" w:cs="Arial"/>
                <w:sz w:val="20"/>
                <w:lang w:val="es-ES" w:eastAsia="es-ES"/>
              </w:rPr>
              <w:t xml:space="preserve">. </w:t>
            </w:r>
          </w:p>
        </w:tc>
      </w:tr>
      <w:tr w:rsidR="002E1156" w:rsidRPr="00BB33CC" w:rsidTr="00674BDD">
        <w:trPr>
          <w:trHeight w:val="340"/>
          <w:jc w:val="center"/>
        </w:trPr>
        <w:tc>
          <w:tcPr>
            <w:tcW w:w="1363" w:type="pct"/>
            <w:shd w:val="clear" w:color="auto" w:fill="D0D1DB"/>
            <w:noWrap/>
            <w:vAlign w:val="center"/>
            <w:hideMark/>
          </w:tcPr>
          <w:p w:rsidR="002E1156" w:rsidRPr="00BB33CC" w:rsidRDefault="007862F7" w:rsidP="00AD5E14">
            <w:pPr>
              <w:spacing w:before="40" w:after="6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 xml:space="preserve">Función de Controlador de la Compuerta de Medios </w:t>
            </w:r>
            <w:r w:rsidR="002E1156" w:rsidRPr="00BB33CC">
              <w:rPr>
                <w:rFonts w:ascii="ITC Avant Garde" w:eastAsia="Times New Roman" w:hAnsi="ITC Avant Garde" w:cs="Arial"/>
                <w:sz w:val="20"/>
                <w:lang w:eastAsia="es-ES"/>
              </w:rPr>
              <w:t>(MGCF</w:t>
            </w:r>
            <w:r w:rsidRPr="00BB33CC">
              <w:rPr>
                <w:rStyle w:val="Refdenotaalpie"/>
                <w:rFonts w:ascii="ITC Avant Garde" w:eastAsia="Times New Roman" w:hAnsi="ITC Avant Garde" w:cs="Arial"/>
                <w:sz w:val="20"/>
                <w:lang w:val="en-GB" w:eastAsia="es-ES"/>
              </w:rPr>
              <w:footnoteReference w:id="60"/>
            </w:r>
            <w:r w:rsidR="002E1156" w:rsidRPr="00BB33CC">
              <w:rPr>
                <w:rFonts w:ascii="ITC Avant Garde" w:eastAsia="Times New Roman" w:hAnsi="ITC Avant Garde" w:cs="Arial"/>
                <w:sz w:val="20"/>
                <w:lang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Elemento responsable del control de los </w:t>
            </w:r>
            <w:r w:rsidRPr="00BB33CC">
              <w:rPr>
                <w:rFonts w:ascii="ITC Avant Garde" w:eastAsia="Times New Roman" w:hAnsi="ITC Avant Garde" w:cs="Arial"/>
                <w:i/>
                <w:iCs/>
                <w:sz w:val="20"/>
                <w:lang w:val="es-ES" w:eastAsia="es-ES"/>
              </w:rPr>
              <w:t>Media Gateways</w:t>
            </w:r>
            <w:r w:rsidRPr="00BB33CC">
              <w:rPr>
                <w:rFonts w:ascii="ITC Avant Garde" w:eastAsia="Times New Roman" w:hAnsi="ITC Avant Garde" w:cs="Arial"/>
                <w:sz w:val="20"/>
                <w:lang w:val="es-ES" w:eastAsia="es-ES"/>
              </w:rPr>
              <w:t xml:space="preserve"> (MGWs) utilizados para interconectar redes de nueva generación con la red telefónica conmutada (PSTN).</w:t>
            </w:r>
          </w:p>
        </w:tc>
      </w:tr>
      <w:tr w:rsidR="002E1156" w:rsidRPr="00BB33CC" w:rsidTr="00674BDD">
        <w:trPr>
          <w:trHeight w:val="340"/>
          <w:jc w:val="center"/>
        </w:trPr>
        <w:tc>
          <w:tcPr>
            <w:tcW w:w="1363" w:type="pct"/>
            <w:shd w:val="clear" w:color="auto" w:fill="D0D1DB"/>
            <w:noWrap/>
            <w:vAlign w:val="center"/>
            <w:hideMark/>
          </w:tcPr>
          <w:p w:rsidR="002E1156" w:rsidRPr="00BB33CC" w:rsidRDefault="00C20FFC" w:rsidP="00AD5E14">
            <w:pPr>
              <w:spacing w:before="40" w:after="6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 xml:space="preserve">Función de Control de Acceso a la Compuerta </w:t>
            </w:r>
            <w:r w:rsidR="002E1156" w:rsidRPr="00BB33CC">
              <w:rPr>
                <w:rFonts w:ascii="ITC Avant Garde" w:eastAsia="Times New Roman" w:hAnsi="ITC Avant Garde" w:cs="Arial"/>
                <w:sz w:val="20"/>
                <w:lang w:eastAsia="es-ES"/>
              </w:rPr>
              <w:t>(AGCF</w:t>
            </w:r>
            <w:r w:rsidRPr="00BB33CC">
              <w:rPr>
                <w:rStyle w:val="Refdenotaalpie"/>
                <w:rFonts w:ascii="ITC Avant Garde" w:eastAsia="Times New Roman" w:hAnsi="ITC Avant Garde" w:cs="Arial"/>
                <w:sz w:val="20"/>
                <w:lang w:val="en-GB" w:eastAsia="es-ES"/>
              </w:rPr>
              <w:footnoteReference w:id="61"/>
            </w:r>
            <w:r w:rsidR="002E1156" w:rsidRPr="00BB33CC">
              <w:rPr>
                <w:rFonts w:ascii="ITC Avant Garde" w:eastAsia="Times New Roman" w:hAnsi="ITC Avant Garde" w:cs="Arial"/>
                <w:sz w:val="20"/>
                <w:lang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Elemento que controla los </w:t>
            </w:r>
            <w:r w:rsidRPr="00BB33CC">
              <w:rPr>
                <w:rFonts w:ascii="ITC Avant Garde" w:eastAsia="Times New Roman" w:hAnsi="ITC Avant Garde" w:cs="Arial"/>
                <w:i/>
                <w:iCs/>
                <w:sz w:val="20"/>
                <w:lang w:val="es-ES" w:eastAsia="es-ES"/>
              </w:rPr>
              <w:t>gateways</w:t>
            </w:r>
            <w:r w:rsidRPr="00BB33CC">
              <w:rPr>
                <w:rFonts w:ascii="ITC Avant Garde" w:eastAsia="Times New Roman" w:hAnsi="ITC Avant Garde" w:cs="Arial"/>
                <w:sz w:val="20"/>
                <w:lang w:val="es-ES" w:eastAsia="es-ES"/>
              </w:rPr>
              <w:t xml:space="preserve"> de acceso (AGWs) y soporta la señalización SIP para las redes de nueva generación. El AGCF tiene un rol equivalente al P-CSCF en redes TDM.</w:t>
            </w:r>
          </w:p>
        </w:tc>
      </w:tr>
      <w:tr w:rsidR="002E1156" w:rsidRPr="00BB33CC" w:rsidTr="00674BDD">
        <w:trPr>
          <w:trHeight w:val="340"/>
          <w:jc w:val="center"/>
        </w:trPr>
        <w:tc>
          <w:tcPr>
            <w:tcW w:w="1363" w:type="pct"/>
            <w:shd w:val="clear" w:color="auto" w:fill="D0D1DB"/>
            <w:noWrap/>
            <w:vAlign w:val="center"/>
            <w:hideMark/>
          </w:tcPr>
          <w:p w:rsidR="002E1156" w:rsidRPr="00BB33CC" w:rsidRDefault="008B3A1B" w:rsidP="00AD5E14">
            <w:pPr>
              <w:spacing w:before="40" w:after="60" w:line="240" w:lineRule="auto"/>
              <w:rPr>
                <w:rFonts w:ascii="ITC Avant Garde" w:eastAsia="Times New Roman" w:hAnsi="ITC Avant Garde" w:cs="Arial"/>
                <w:sz w:val="20"/>
                <w:lang w:val="en-GB" w:eastAsia="es-ES"/>
              </w:rPr>
            </w:pPr>
            <w:r w:rsidRPr="00BB33CC">
              <w:rPr>
                <w:rFonts w:ascii="ITC Avant Garde" w:eastAsia="Times New Roman" w:hAnsi="ITC Avant Garde" w:cs="Arial"/>
                <w:sz w:val="20"/>
                <w:lang w:val="en-GB" w:eastAsia="es-ES"/>
              </w:rPr>
              <w:t>Compuerta de Medios</w:t>
            </w:r>
            <w:r w:rsidR="002E1156" w:rsidRPr="00BB33CC">
              <w:rPr>
                <w:rFonts w:ascii="ITC Avant Garde" w:eastAsia="Times New Roman" w:hAnsi="ITC Avant Garde" w:cs="Arial"/>
                <w:sz w:val="20"/>
                <w:lang w:val="en-GB" w:eastAsia="es-ES"/>
              </w:rPr>
              <w:t xml:space="preserve"> (MGW</w:t>
            </w:r>
            <w:r w:rsidRPr="00BB33CC">
              <w:rPr>
                <w:rStyle w:val="Refdenotaalpie"/>
                <w:rFonts w:ascii="ITC Avant Garde" w:eastAsia="Times New Roman" w:hAnsi="ITC Avant Garde" w:cs="Arial"/>
                <w:sz w:val="20"/>
                <w:lang w:val="en-GB" w:eastAsia="es-ES"/>
              </w:rPr>
              <w:footnoteReference w:id="62"/>
            </w:r>
            <w:r w:rsidR="002E1156" w:rsidRPr="00BB33CC">
              <w:rPr>
                <w:rFonts w:ascii="ITC Avant Garde" w:eastAsia="Times New Roman" w:hAnsi="ITC Avant Garde" w:cs="Arial"/>
                <w:sz w:val="20"/>
                <w:lang w:val="en-GB"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Componente que funge como interfaz de traducción bidireccional entre una red de conmutación de paquetes y una red de conmutación de circuitos.</w:t>
            </w:r>
          </w:p>
        </w:tc>
      </w:tr>
      <w:tr w:rsidR="002E1156" w:rsidRPr="00BB33CC" w:rsidTr="00674BDD">
        <w:trPr>
          <w:trHeight w:val="340"/>
          <w:jc w:val="center"/>
        </w:trPr>
        <w:tc>
          <w:tcPr>
            <w:tcW w:w="1363" w:type="pct"/>
            <w:shd w:val="clear" w:color="auto" w:fill="D0D1DB"/>
            <w:noWrap/>
            <w:vAlign w:val="center"/>
            <w:hideMark/>
          </w:tcPr>
          <w:p w:rsidR="002E1156" w:rsidRPr="00BB33CC" w:rsidRDefault="000128E7" w:rsidP="00AD5E14">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Compuerta de Acceso</w:t>
            </w:r>
            <w:r w:rsidR="002E1156" w:rsidRPr="00BB33CC">
              <w:rPr>
                <w:rFonts w:ascii="ITC Avant Garde" w:eastAsia="Times New Roman" w:hAnsi="ITC Avant Garde" w:cs="Arial"/>
                <w:sz w:val="20"/>
                <w:lang w:val="es-ES" w:eastAsia="es-ES"/>
              </w:rPr>
              <w:t xml:space="preserve"> (AGW</w:t>
            </w:r>
            <w:r w:rsidRPr="00BB33CC">
              <w:rPr>
                <w:rStyle w:val="Refdenotaalpie"/>
                <w:rFonts w:ascii="ITC Avant Garde" w:eastAsia="Times New Roman" w:hAnsi="ITC Avant Garde" w:cs="Arial"/>
                <w:sz w:val="20"/>
                <w:lang w:val="es-ES" w:eastAsia="es-ES"/>
              </w:rPr>
              <w:footnoteReference w:id="63"/>
            </w:r>
            <w:r w:rsidR="002E1156" w:rsidRPr="00BB33CC">
              <w:rPr>
                <w:rFonts w:ascii="ITC Avant Garde" w:eastAsia="Times New Roman" w:hAnsi="ITC Avant Garde" w:cs="Arial"/>
                <w:sz w:val="20"/>
                <w:lang w:val="es-ES"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 que permite recibir datos de redes de acceso TDM.</w:t>
            </w:r>
          </w:p>
        </w:tc>
      </w:tr>
      <w:tr w:rsidR="002E1156" w:rsidRPr="00BB33CC" w:rsidTr="00674BDD">
        <w:trPr>
          <w:trHeight w:val="340"/>
          <w:jc w:val="center"/>
        </w:trPr>
        <w:tc>
          <w:tcPr>
            <w:tcW w:w="1363" w:type="pct"/>
            <w:shd w:val="clear" w:color="auto" w:fill="D0D1DB"/>
            <w:noWrap/>
            <w:vAlign w:val="center"/>
            <w:hideMark/>
          </w:tcPr>
          <w:p w:rsidR="002E1156" w:rsidRPr="00BB33CC" w:rsidRDefault="000128E7" w:rsidP="00AD5E14">
            <w:pPr>
              <w:spacing w:before="40" w:after="6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Servidor de Acceso Remoto de Banda Ancha</w:t>
            </w:r>
            <w:r w:rsidR="002E1156" w:rsidRPr="00BB33CC">
              <w:rPr>
                <w:rFonts w:ascii="ITC Avant Garde" w:eastAsia="Times New Roman" w:hAnsi="ITC Avant Garde" w:cs="Arial"/>
                <w:sz w:val="20"/>
                <w:lang w:eastAsia="es-ES"/>
              </w:rPr>
              <w:t xml:space="preserve"> (BRAS</w:t>
            </w:r>
            <w:r w:rsidRPr="00BB33CC">
              <w:rPr>
                <w:rStyle w:val="Refdenotaalpie"/>
                <w:rFonts w:ascii="ITC Avant Garde" w:eastAsia="Times New Roman" w:hAnsi="ITC Avant Garde" w:cs="Arial"/>
                <w:sz w:val="20"/>
                <w:lang w:val="en-GB" w:eastAsia="es-ES"/>
              </w:rPr>
              <w:footnoteReference w:id="64"/>
            </w:r>
            <w:r w:rsidR="002E1156" w:rsidRPr="00BB33CC">
              <w:rPr>
                <w:rFonts w:ascii="ITC Avant Garde" w:eastAsia="Times New Roman" w:hAnsi="ITC Avant Garde" w:cs="Arial"/>
                <w:sz w:val="20"/>
                <w:lang w:eastAsia="es-ES"/>
              </w:rPr>
              <w:t>)</w:t>
            </w:r>
          </w:p>
        </w:tc>
        <w:tc>
          <w:tcPr>
            <w:tcW w:w="3637" w:type="pct"/>
            <w:vAlign w:val="center"/>
            <w:hideMark/>
          </w:tcPr>
          <w:p w:rsidR="002E1156" w:rsidRPr="00BB33CC" w:rsidRDefault="002E1156" w:rsidP="00BD546B">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eastAsia="es-ES"/>
              </w:rPr>
              <w:t xml:space="preserve">Componente que funciona como punto de agregación para el tráfico de abonados. Además, proporciona capacidades de agregación (IP, </w:t>
            </w:r>
            <w:r w:rsidRPr="00BB33CC">
              <w:rPr>
                <w:rFonts w:ascii="ITC Avant Garde" w:eastAsia="Times New Roman" w:hAnsi="ITC Avant Garde" w:cs="Arial"/>
                <w:i/>
                <w:sz w:val="20"/>
                <w:lang w:eastAsia="es-ES"/>
              </w:rPr>
              <w:t>point-to-point protocol</w:t>
            </w:r>
            <w:r w:rsidRPr="00BB33CC">
              <w:rPr>
                <w:rFonts w:ascii="ITC Avant Garde" w:eastAsia="Times New Roman" w:hAnsi="ITC Avant Garde" w:cs="Arial"/>
                <w:sz w:val="20"/>
                <w:lang w:eastAsia="es-ES"/>
              </w:rPr>
              <w:t>, Ethernet) entre la red de acceso y la red central.</w:t>
            </w:r>
          </w:p>
        </w:tc>
      </w:tr>
      <w:tr w:rsidR="002E1156" w:rsidRPr="00BB33CC" w:rsidTr="00674BDD">
        <w:trPr>
          <w:trHeight w:val="340"/>
          <w:jc w:val="center"/>
        </w:trPr>
        <w:tc>
          <w:tcPr>
            <w:tcW w:w="1363" w:type="pct"/>
            <w:shd w:val="clear" w:color="auto" w:fill="D0D1DB"/>
            <w:noWrap/>
            <w:vAlign w:val="center"/>
            <w:hideMark/>
          </w:tcPr>
          <w:p w:rsidR="002E1156" w:rsidRPr="00BB33CC" w:rsidRDefault="000128E7" w:rsidP="00AD5E14">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Controlador de Borde de Sesión</w:t>
            </w:r>
            <w:r w:rsidRPr="00BB33CC">
              <w:rPr>
                <w:rFonts w:ascii="ITC Avant Garde" w:eastAsia="Times New Roman" w:hAnsi="ITC Avant Garde" w:cs="Arial"/>
                <w:i/>
                <w:sz w:val="20"/>
                <w:lang w:val="es-ES" w:eastAsia="es-ES"/>
              </w:rPr>
              <w:t xml:space="preserve"> </w:t>
            </w:r>
            <w:r w:rsidR="002E1156" w:rsidRPr="00BB33CC">
              <w:rPr>
                <w:rFonts w:ascii="ITC Avant Garde" w:eastAsia="Times New Roman" w:hAnsi="ITC Avant Garde" w:cs="Arial"/>
                <w:sz w:val="20"/>
                <w:lang w:val="es-ES" w:eastAsia="es-ES"/>
              </w:rPr>
              <w:t>(SBC</w:t>
            </w:r>
            <w:r w:rsidRPr="00BB33CC">
              <w:rPr>
                <w:rStyle w:val="Refdenotaalpie"/>
                <w:rFonts w:ascii="ITC Avant Garde" w:eastAsia="Times New Roman" w:hAnsi="ITC Avant Garde" w:cs="Arial"/>
                <w:sz w:val="20"/>
                <w:lang w:val="es-ES" w:eastAsia="es-ES"/>
              </w:rPr>
              <w:footnoteReference w:id="65"/>
            </w:r>
            <w:r w:rsidR="002E1156" w:rsidRPr="00BB33CC">
              <w:rPr>
                <w:rFonts w:ascii="ITC Avant Garde" w:eastAsia="Times New Roman" w:hAnsi="ITC Avant Garde" w:cs="Arial"/>
                <w:sz w:val="20"/>
                <w:lang w:val="es-ES" w:eastAsia="es-ES"/>
              </w:rPr>
              <w:t>)</w:t>
            </w:r>
          </w:p>
        </w:tc>
        <w:tc>
          <w:tcPr>
            <w:tcW w:w="3637" w:type="pct"/>
            <w:vAlign w:val="center"/>
            <w:hideMark/>
          </w:tcPr>
          <w:p w:rsidR="002E1156" w:rsidRPr="00BB33CC" w:rsidRDefault="002E1156" w:rsidP="00082B86">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 responsable del control de la señalización y flujos de datos requeridos para inicializar, mantener y desconectar llamadas de voz o cualquier otro tipo de sesión multimedia basada en IP.</w:t>
            </w:r>
            <w:r w:rsidR="006F48E0" w:rsidRPr="00BB33CC">
              <w:rPr>
                <w:rFonts w:ascii="ITC Avant Garde" w:eastAsia="Times New Roman" w:hAnsi="ITC Avant Garde" w:cs="Arial"/>
                <w:sz w:val="20"/>
                <w:lang w:val="es-ES" w:eastAsia="es-ES"/>
              </w:rPr>
              <w:t xml:space="preserve"> </w:t>
            </w:r>
          </w:p>
        </w:tc>
      </w:tr>
      <w:tr w:rsidR="002E1156" w:rsidRPr="00BB33CC" w:rsidTr="00674BDD">
        <w:trPr>
          <w:trHeight w:val="340"/>
          <w:jc w:val="center"/>
        </w:trPr>
        <w:tc>
          <w:tcPr>
            <w:tcW w:w="1363" w:type="pct"/>
            <w:shd w:val="clear" w:color="auto" w:fill="D0D1DB"/>
            <w:noWrap/>
            <w:vAlign w:val="center"/>
            <w:hideMark/>
          </w:tcPr>
          <w:p w:rsidR="002E1156" w:rsidRPr="00BB33CC" w:rsidRDefault="000128E7" w:rsidP="00AD5E14">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 de Correo de Voz</w:t>
            </w:r>
            <w:r w:rsidR="002E1156" w:rsidRPr="00BB33CC">
              <w:rPr>
                <w:rFonts w:ascii="ITC Avant Garde" w:eastAsia="Times New Roman" w:hAnsi="ITC Avant Garde" w:cs="Arial"/>
                <w:sz w:val="20"/>
                <w:lang w:val="es-ES" w:eastAsia="es-ES"/>
              </w:rPr>
              <w:t xml:space="preserve"> (VMS</w:t>
            </w:r>
            <w:r w:rsidRPr="00BB33CC">
              <w:rPr>
                <w:rStyle w:val="Refdenotaalpie"/>
                <w:rFonts w:ascii="ITC Avant Garde" w:eastAsia="Times New Roman" w:hAnsi="ITC Avant Garde" w:cs="Arial"/>
                <w:sz w:val="20"/>
                <w:lang w:val="es-ES" w:eastAsia="es-ES"/>
              </w:rPr>
              <w:footnoteReference w:id="66"/>
            </w:r>
            <w:r w:rsidR="002E1156" w:rsidRPr="00BB33CC">
              <w:rPr>
                <w:rFonts w:ascii="ITC Avant Garde" w:eastAsia="Times New Roman" w:hAnsi="ITC Avant Garde" w:cs="Arial"/>
                <w:sz w:val="20"/>
                <w:lang w:val="es-ES" w:eastAsia="es-ES"/>
              </w:rPr>
              <w:t>)</w:t>
            </w:r>
          </w:p>
        </w:tc>
        <w:tc>
          <w:tcPr>
            <w:tcW w:w="3637" w:type="pct"/>
            <w:vAlign w:val="center"/>
            <w:hideMark/>
          </w:tcPr>
          <w:p w:rsidR="002E1156" w:rsidRPr="00BB33CC" w:rsidRDefault="002E1156" w:rsidP="00082B86">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 que permite a los usuarios y suscriptores intercambiar mensajes de voz personales y gestionar el buzón de voz de los suscriptores.</w:t>
            </w:r>
            <w:r w:rsidR="006F48E0" w:rsidRPr="00BB33CC">
              <w:rPr>
                <w:rFonts w:ascii="ITC Avant Garde" w:eastAsia="Times New Roman" w:hAnsi="ITC Avant Garde" w:cs="Arial"/>
                <w:sz w:val="20"/>
                <w:lang w:val="es-ES" w:eastAsia="es-ES"/>
              </w:rPr>
              <w:t xml:space="preserve"> </w:t>
            </w:r>
          </w:p>
        </w:tc>
      </w:tr>
      <w:tr w:rsidR="002E1156" w:rsidRPr="00BB33CC" w:rsidTr="00674BDD">
        <w:trPr>
          <w:trHeight w:val="340"/>
          <w:jc w:val="center"/>
        </w:trPr>
        <w:tc>
          <w:tcPr>
            <w:tcW w:w="1363" w:type="pct"/>
            <w:shd w:val="clear" w:color="auto" w:fill="D0D1DB"/>
            <w:noWrap/>
            <w:vAlign w:val="center"/>
            <w:hideMark/>
          </w:tcPr>
          <w:p w:rsidR="002E1156" w:rsidRPr="00BB33CC" w:rsidRDefault="00D81D1A" w:rsidP="00AD5E14">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Servidor de Aplicación</w:t>
            </w:r>
            <w:r w:rsidRPr="00BB33CC">
              <w:rPr>
                <w:rFonts w:ascii="ITC Avant Garde" w:eastAsia="Times New Roman" w:hAnsi="ITC Avant Garde" w:cs="Arial"/>
                <w:i/>
                <w:sz w:val="20"/>
                <w:lang w:val="es-ES" w:eastAsia="es-ES"/>
              </w:rPr>
              <w:t xml:space="preserve"> </w:t>
            </w:r>
            <w:r w:rsidR="002E1156" w:rsidRPr="00BB33CC">
              <w:rPr>
                <w:rFonts w:ascii="ITC Avant Garde" w:eastAsia="Times New Roman" w:hAnsi="ITC Avant Garde" w:cs="Arial"/>
                <w:sz w:val="20"/>
                <w:lang w:val="es-ES" w:eastAsia="es-ES"/>
              </w:rPr>
              <w:t>(AS</w:t>
            </w:r>
            <w:r w:rsidRPr="00BB33CC">
              <w:rPr>
                <w:rStyle w:val="Refdenotaalpie"/>
                <w:rFonts w:ascii="ITC Avant Garde" w:eastAsia="Times New Roman" w:hAnsi="ITC Avant Garde" w:cs="Arial"/>
                <w:sz w:val="20"/>
                <w:lang w:val="es-ES" w:eastAsia="es-ES"/>
              </w:rPr>
              <w:footnoteReference w:id="67"/>
            </w:r>
            <w:r w:rsidR="002E1156" w:rsidRPr="00BB33CC">
              <w:rPr>
                <w:rFonts w:ascii="ITC Avant Garde" w:eastAsia="Times New Roman" w:hAnsi="ITC Avant Garde" w:cs="Arial"/>
                <w:sz w:val="20"/>
                <w:lang w:val="es-ES"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 que permite realizar servicios de voz y multimedia sobre sesiones establecidas.</w:t>
            </w:r>
          </w:p>
        </w:tc>
      </w:tr>
      <w:tr w:rsidR="002E1156" w:rsidRPr="00BB33CC" w:rsidTr="00674BDD">
        <w:trPr>
          <w:trHeight w:val="340"/>
          <w:jc w:val="center"/>
        </w:trPr>
        <w:tc>
          <w:tcPr>
            <w:tcW w:w="1363" w:type="pct"/>
            <w:shd w:val="clear" w:color="auto" w:fill="D0D1DB"/>
            <w:noWrap/>
            <w:vAlign w:val="center"/>
            <w:hideMark/>
          </w:tcPr>
          <w:p w:rsidR="002E1156" w:rsidRPr="00BB33CC" w:rsidRDefault="000128E7" w:rsidP="00AD5E14">
            <w:pPr>
              <w:spacing w:before="40" w:after="6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 xml:space="preserve">Servidor de </w:t>
            </w:r>
            <w:r w:rsidR="006547ED" w:rsidRPr="00BB33CC">
              <w:rPr>
                <w:rFonts w:ascii="ITC Avant Garde" w:eastAsia="Times New Roman" w:hAnsi="ITC Avant Garde" w:cs="Arial"/>
                <w:sz w:val="20"/>
                <w:lang w:eastAsia="es-ES"/>
              </w:rPr>
              <w:t>Sistema de Nombres de Dominio (Servidor DNS</w:t>
            </w:r>
            <w:r w:rsidR="006547ED" w:rsidRPr="00BB33CC">
              <w:rPr>
                <w:rStyle w:val="Refdenotaalpie"/>
                <w:rFonts w:ascii="ITC Avant Garde" w:eastAsia="Times New Roman" w:hAnsi="ITC Avant Garde" w:cs="Arial"/>
                <w:sz w:val="20"/>
                <w:lang w:val="en-GB" w:eastAsia="es-ES"/>
              </w:rPr>
              <w:footnoteReference w:id="68"/>
            </w:r>
            <w:r w:rsidR="006547ED" w:rsidRPr="00BB33CC">
              <w:rPr>
                <w:rFonts w:ascii="ITC Avant Garde" w:eastAsia="Times New Roman" w:hAnsi="ITC Avant Garde" w:cs="Arial"/>
                <w:sz w:val="20"/>
                <w:lang w:eastAsia="es-ES"/>
              </w:rPr>
              <w: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Base de datos que contiene la información necesaria para traducir los nombres de dominios del Internet a sus direcciones IP. </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Plataformas </w:t>
            </w:r>
            <w:r w:rsidR="006547ED" w:rsidRPr="00BB33CC">
              <w:rPr>
                <w:rFonts w:ascii="ITC Avant Garde" w:eastAsia="Times New Roman" w:hAnsi="ITC Avant Garde" w:cs="Arial"/>
                <w:sz w:val="20"/>
                <w:lang w:val="es-ES" w:eastAsia="es-ES"/>
              </w:rPr>
              <w:t xml:space="preserve">de Televisión sobre </w:t>
            </w:r>
            <w:r w:rsidR="006547ED" w:rsidRPr="00BB33CC">
              <w:rPr>
                <w:rFonts w:ascii="ITC Avant Garde" w:eastAsia="Times New Roman" w:hAnsi="ITC Avant Garde" w:cs="Arial"/>
                <w:sz w:val="20"/>
                <w:lang w:val="es-ES" w:eastAsia="es-ES"/>
              </w:rPr>
              <w:lastRenderedPageBreak/>
              <w:t>Protocolo de Internet (</w:t>
            </w:r>
            <w:r w:rsidRPr="00BB33CC">
              <w:rPr>
                <w:rFonts w:ascii="ITC Avant Garde" w:eastAsia="Times New Roman" w:hAnsi="ITC Avant Garde" w:cs="Arial"/>
                <w:sz w:val="20"/>
                <w:lang w:val="es-ES" w:eastAsia="es-ES"/>
              </w:rPr>
              <w:t>IPTV</w:t>
            </w:r>
            <w:r w:rsidR="006547ED" w:rsidRPr="00BB33CC">
              <w:rPr>
                <w:rStyle w:val="Refdenotaalpie"/>
                <w:rFonts w:ascii="ITC Avant Garde" w:eastAsia="Times New Roman" w:hAnsi="ITC Avant Garde" w:cs="Arial"/>
                <w:sz w:val="20"/>
                <w:lang w:val="es-ES" w:eastAsia="es-ES"/>
              </w:rPr>
              <w:footnoteReference w:id="69"/>
            </w:r>
            <w:r w:rsidR="006547ED" w:rsidRPr="00BB33CC">
              <w:rPr>
                <w:rFonts w:ascii="ITC Avant Garde" w:eastAsia="Times New Roman" w:hAnsi="ITC Avant Garde" w:cs="Arial"/>
                <w:sz w:val="20"/>
                <w:lang w:val="es-ES" w:eastAsia="es-ES"/>
              </w:rPr>
              <w:t>)</w:t>
            </w:r>
            <w:r w:rsidRPr="00BB33CC">
              <w:rPr>
                <w:rFonts w:ascii="ITC Avant Garde" w:eastAsia="Times New Roman" w:hAnsi="ITC Avant Garde" w:cs="Arial"/>
                <w:sz w:val="20"/>
                <w:lang w:val="es-ES" w:eastAsia="es-ES"/>
              </w:rPr>
              <w:t xml:space="preserve"> </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Plataformas utilizadas por los operadores de telecomunicaciones para proveer servicios de IPTV</w:t>
            </w:r>
            <w:r w:rsidRPr="00BB33CC">
              <w:rPr>
                <w:rFonts w:ascii="ITC Avant Garde" w:eastAsia="Times New Roman" w:hAnsi="ITC Avant Garde" w:cs="Arial"/>
                <w:sz w:val="20"/>
                <w:vertAlign w:val="superscript"/>
                <w:lang w:val="es-ES" w:eastAsia="es-ES"/>
              </w:rPr>
              <w:footnoteReference w:id="70"/>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Facturador</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 responsable de recoger y tratar los eventos de facturación.</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núcleo</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la red de núcleo fijo.</w:t>
            </w:r>
          </w:p>
        </w:tc>
      </w:tr>
      <w:tr w:rsidR="002E1156" w:rsidRPr="00BB33CC" w:rsidTr="00776A41">
        <w:trPr>
          <w:trHeight w:val="340"/>
          <w:jc w:val="center"/>
        </w:trPr>
        <w:tc>
          <w:tcPr>
            <w:tcW w:w="5000" w:type="pct"/>
            <w:gridSpan w:val="2"/>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sz w:val="20"/>
                <w:lang w:val="es-ES" w:eastAsia="es-ES"/>
              </w:rPr>
              <w:t>Componentes no relacionados con la red</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Funciones comerciales tales como adquisición y mantenimiento de clientes, publicidad, marca, desarrollo de productos, etc.</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 y gestión de la facturación a usuarios finales.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Cobranza</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 y gestión del cobro a usuarios finales.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Tarificación</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 y gestión de la facturación a otros operadores.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Tasas e impuestos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Programas de fidelización</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Gestión de la fidelización de clientes.</w:t>
            </w:r>
          </w:p>
        </w:tc>
      </w:tr>
      <w:tr w:rsidR="002E1156" w:rsidRPr="00BB33CC" w:rsidTr="00674BDD">
        <w:trPr>
          <w:trHeight w:val="340"/>
          <w:jc w:val="center"/>
        </w:trPr>
        <w:tc>
          <w:tcPr>
            <w:tcW w:w="5000" w:type="pct"/>
            <w:gridSpan w:val="2"/>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sz w:val="20"/>
                <w:lang w:val="es-ES" w:eastAsia="es-ES"/>
              </w:rPr>
              <w:t>Costos directos de ventas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Tránsito de Internet</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el servicio de tránsito de Internet.</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en destinos 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la terminación de tráfico de la red de telefonía fija en las redes de terceros operadores nacionales.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en destinos internacionales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la terminación de tráfico de la red de telefonía fija en las redes de terceros operadores internacionales.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Provisiones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Gestión de las provisiones por insolvencias.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directos de la venta de equipos terminales</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los costos relativos a los terminales vendidos a los usuarios finales.</w:t>
            </w:r>
          </w:p>
        </w:tc>
      </w:tr>
      <w:tr w:rsidR="002E1156" w:rsidRPr="00BB33CC" w:rsidTr="00674BDD">
        <w:trPr>
          <w:trHeight w:val="340"/>
          <w:jc w:val="center"/>
        </w:trPr>
        <w:tc>
          <w:tcPr>
            <w:tcW w:w="5000" w:type="pct"/>
            <w:gridSpan w:val="2"/>
            <w:shd w:val="clear" w:color="auto" w:fill="F2F2F2" w:themeFill="background1" w:themeFillShade="F2"/>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sz w:val="20"/>
                <w:lang w:val="es-ES" w:eastAsia="es-ES"/>
              </w:rPr>
              <w:t>Costos comunes</w:t>
            </w:r>
          </w:p>
        </w:tc>
      </w:tr>
      <w:tr w:rsidR="002E1156" w:rsidRPr="00BB33CC" w:rsidTr="00674BDD">
        <w:trPr>
          <w:trHeight w:val="340"/>
          <w:jc w:val="center"/>
        </w:trPr>
        <w:tc>
          <w:tcPr>
            <w:tcW w:w="1363" w:type="pct"/>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generales y de gestión – minoristas</w:t>
            </w:r>
          </w:p>
        </w:tc>
        <w:tc>
          <w:tcPr>
            <w:tcW w:w="3637" w:type="pct"/>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 de gestión del operador dedicado a la prestación de servicios minoristas.</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generales y de gestión – red</w:t>
            </w:r>
          </w:p>
        </w:tc>
        <w:tc>
          <w:tcPr>
            <w:tcW w:w="3637" w:type="pct"/>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 de gestión del operador dedicado a la planeación, gestión monitoreo, etc. de la red.</w:t>
            </w:r>
          </w:p>
        </w:tc>
      </w:tr>
      <w:tr w:rsidR="002E1156" w:rsidRPr="00BB33CC" w:rsidTr="00674BDD">
        <w:trPr>
          <w:trHeight w:val="340"/>
          <w:jc w:val="center"/>
        </w:trPr>
        <w:tc>
          <w:tcPr>
            <w:tcW w:w="1363" w:type="pct"/>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Servicios generales y de gestión – negocio</w:t>
            </w:r>
          </w:p>
        </w:tc>
        <w:tc>
          <w:tcPr>
            <w:tcW w:w="3637" w:type="pct"/>
            <w:vAlign w:val="center"/>
          </w:tcPr>
          <w:p w:rsidR="002E1156" w:rsidRPr="00BB33CC" w:rsidDel="00C16A1E"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Equipo de gestión del operador dedicado al funcionamiento del negocio en general.</w:t>
            </w:r>
          </w:p>
        </w:tc>
      </w:tr>
      <w:tr w:rsidR="002E1156" w:rsidRPr="00BB33CC" w:rsidTr="00674BDD">
        <w:trPr>
          <w:trHeight w:val="340"/>
          <w:jc w:val="center"/>
        </w:trPr>
        <w:tc>
          <w:tcPr>
            <w:tcW w:w="5000" w:type="pct"/>
            <w:gridSpan w:val="2"/>
            <w:shd w:val="clear" w:color="auto" w:fill="F2F2F2" w:themeFill="background1" w:themeFillShade="F2"/>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sz w:val="20"/>
                <w:lang w:val="es-ES" w:eastAsia="es-ES"/>
              </w:rPr>
              <w:t>Costos no relevantes para la separación contable</w:t>
            </w:r>
          </w:p>
        </w:tc>
      </w:tr>
      <w:tr w:rsidR="002E1156" w:rsidRPr="00BB33CC" w:rsidTr="00674BDD">
        <w:trPr>
          <w:trHeight w:val="34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no relevantes para la separación contable</w:t>
            </w:r>
          </w:p>
        </w:tc>
        <w:tc>
          <w:tcPr>
            <w:tcW w:w="3637" w:type="pct"/>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servicios de telecomunicaciones fijos.</w:t>
            </w:r>
          </w:p>
        </w:tc>
      </w:tr>
    </w:tbl>
    <w:p w:rsidR="002E1156" w:rsidRPr="00BB33CC" w:rsidRDefault="002E1156" w:rsidP="004161D1">
      <w:pPr>
        <w:pStyle w:val="Normalresolucion"/>
        <w:spacing w:after="0" w:line="276" w:lineRule="auto"/>
      </w:pPr>
      <w:r w:rsidRPr="00BB33CC">
        <w:lastRenderedPageBreak/>
        <w:t xml:space="preserve">Listado de servicios a desagregar en el Nivel 3. El listado de servicios expuesto a continuación pretende capturar aquellos servicios prestados (actual o potencialmente) por el </w:t>
      </w:r>
      <w:r w:rsidR="00EA7AA2" w:rsidRPr="00BB33CC">
        <w:rPr>
          <w:bCs/>
        </w:rPr>
        <w:t>concesionario y/o autorizado</w:t>
      </w:r>
      <w:r w:rsidRPr="00BB33CC">
        <w:rPr>
          <w:rStyle w:val="Refdenotaalpie"/>
        </w:rPr>
        <w:footnoteReference w:id="71"/>
      </w:r>
      <w:r w:rsidRPr="00BB33CC">
        <w:t xml:space="preserve">, el cual debe alinearse de acuerdo a los principios de materialidad y relevancia. Estos deben incluir todos los principales servicios ofrecidos por el </w:t>
      </w:r>
      <w:r w:rsidR="00EA7AA2" w:rsidRPr="00BB33CC">
        <w:rPr>
          <w:bCs/>
        </w:rPr>
        <w:t>concesionario y/o autorizado</w:t>
      </w:r>
      <w:r w:rsidRPr="00BB33CC">
        <w:t xml:space="preserve"> (ya sean regulados o no) con el fin de asegurar la causalidad y transparencia de las imputaciones de costos realizadas en la separación contable. </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4</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servicios a desagregar en el Nivel 3 de operadores de telecomunicaciones fijas</w:t>
      </w:r>
    </w:p>
    <w:tbl>
      <w:tblPr>
        <w:tblW w:w="5000" w:type="pct"/>
        <w:jc w:val="center"/>
        <w:tblBorders>
          <w:top w:val="single" w:sz="4" w:space="0" w:color="244062"/>
          <w:bottom w:val="single" w:sz="4" w:space="0" w:color="244062"/>
          <w:insideH w:val="single" w:sz="4" w:space="0" w:color="244062"/>
        </w:tblBorders>
        <w:tblLayout w:type="fixed"/>
        <w:tblCellMar>
          <w:left w:w="70" w:type="dxa"/>
          <w:right w:w="70" w:type="dxa"/>
        </w:tblCellMar>
        <w:tblLook w:val="04A0" w:firstRow="1" w:lastRow="0" w:firstColumn="1" w:lastColumn="0" w:noHBand="0" w:noVBand="1"/>
      </w:tblPr>
      <w:tblGrid>
        <w:gridCol w:w="2409"/>
        <w:gridCol w:w="6420"/>
        <w:gridCol w:w="9"/>
      </w:tblGrid>
      <w:tr w:rsidR="002E1156" w:rsidRPr="00BB33CC" w:rsidTr="00674BDD">
        <w:trPr>
          <w:gridAfter w:val="1"/>
          <w:wAfter w:w="5" w:type="pct"/>
          <w:cantSplit/>
          <w:trHeight w:val="20"/>
          <w:tblHeader/>
          <w:jc w:val="center"/>
        </w:trPr>
        <w:tc>
          <w:tcPr>
            <w:tcW w:w="1363" w:type="pct"/>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w:t>
            </w:r>
          </w:p>
        </w:tc>
        <w:tc>
          <w:tcPr>
            <w:tcW w:w="3631" w:type="pct"/>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gridAfter w:val="1"/>
          <w:wAfter w:w="5" w:type="pct"/>
          <w:cantSplit/>
          <w:trHeight w:val="20"/>
          <w:jc w:val="center"/>
        </w:trPr>
        <w:tc>
          <w:tcPr>
            <w:tcW w:w="4995" w:type="pct"/>
            <w:gridSpan w:val="2"/>
            <w:shd w:val="clear" w:color="auto" w:fill="F2F2F2" w:themeFill="background1" w:themeFillShade="F2"/>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Servicios minoristas</w:t>
            </w:r>
          </w:p>
        </w:tc>
      </w:tr>
      <w:tr w:rsidR="002E1156" w:rsidRPr="00BB33CC" w:rsidTr="00674BDD">
        <w:trPr>
          <w:gridAfter w:val="1"/>
          <w:wAfter w:w="5" w:type="pct"/>
          <w:cantSplit/>
          <w:trHeight w:val="20"/>
          <w:jc w:val="center"/>
        </w:trPr>
        <w:tc>
          <w:tcPr>
            <w:tcW w:w="4995" w:type="pct"/>
            <w:gridSpan w:val="2"/>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Tráfico de voz saliente</w:t>
            </w:r>
            <w:r w:rsidRPr="00BB33CC">
              <w:rPr>
                <w:rStyle w:val="Refdenotaalpie"/>
                <w:rFonts w:ascii="ITC Avant Garde" w:eastAsia="Times New Roman" w:hAnsi="ITC Avant Garde" w:cs="Arial"/>
                <w:b/>
                <w:bCs/>
                <w:sz w:val="20"/>
                <w:lang w:val="es-ES" w:eastAsia="es-ES"/>
              </w:rPr>
              <w:footnoteReference w:id="72"/>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fijo dentro de la red</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Conducción de tráfico conmutado entre usuarios fijos de la misma red del concesionario</w:t>
            </w:r>
            <w:r w:rsidR="00082B86"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w:t>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fijo nacional fuera de la red</w:t>
            </w:r>
          </w:p>
        </w:tc>
        <w:tc>
          <w:tcPr>
            <w:tcW w:w="3631" w:type="pct"/>
            <w:vAlign w:val="center"/>
            <w:hideMark/>
          </w:tcPr>
          <w:p w:rsidR="002E1156" w:rsidRPr="00BB33CC" w:rsidRDefault="002E1156" w:rsidP="00277D1C">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Conducción de tráfico conmutado de un usuario fijo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a un usuario fijo de otro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presente en México.</w:t>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móviles nacionales</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Conducción de tráfico conmutado de un usuario fijo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a un usuario móvil nacional (servicio también referido como “El que llama paga”).</w:t>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Larga Distancia Internacional (LDI)</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Aquél por el que se conduce tráfico público conmutado que se origina o termina fuera del territorio nacional.</w:t>
            </w:r>
          </w:p>
        </w:tc>
      </w:tr>
      <w:tr w:rsidR="002E1156" w:rsidRPr="00BB33CC" w:rsidTr="00674BDD">
        <w:trPr>
          <w:gridAfter w:val="1"/>
          <w:wAfter w:w="5" w:type="pct"/>
          <w:cantSplit/>
          <w:trHeight w:val="20"/>
          <w:jc w:val="center"/>
        </w:trPr>
        <w:tc>
          <w:tcPr>
            <w:tcW w:w="4995" w:type="pct"/>
            <w:gridSpan w:val="2"/>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Internet de banda ancha</w:t>
            </w:r>
            <w:r w:rsidRPr="00BB33CC">
              <w:rPr>
                <w:rStyle w:val="Refdenotaalpie"/>
                <w:rFonts w:ascii="ITC Avant Garde" w:eastAsia="Times New Roman" w:hAnsi="ITC Avant Garde" w:cs="Arial"/>
                <w:b/>
                <w:bCs/>
                <w:sz w:val="20"/>
                <w:lang w:val="es-ES" w:eastAsia="es-ES"/>
              </w:rPr>
              <w:footnoteReference w:id="73"/>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Datos (Acceso a Internet de banda ancha) residencial</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acceso a Internet mediante tecnologías xDSL</w:t>
            </w:r>
            <w:r w:rsidR="0092376E" w:rsidRPr="00BB33CC">
              <w:rPr>
                <w:rStyle w:val="Refdenotaalpie"/>
                <w:rFonts w:ascii="ITC Avant Garde" w:eastAsia="Times New Roman" w:hAnsi="ITC Avant Garde" w:cs="Arial"/>
                <w:sz w:val="20"/>
                <w:lang w:val="es-ES" w:eastAsia="es-ES"/>
              </w:rPr>
              <w:footnoteReference w:id="74"/>
            </w:r>
            <w:r w:rsidRPr="00BB33CC">
              <w:rPr>
                <w:rFonts w:ascii="ITC Avant Garde" w:eastAsia="Times New Roman" w:hAnsi="ITC Avant Garde" w:cs="Arial"/>
                <w:sz w:val="20"/>
                <w:lang w:val="es-ES" w:eastAsia="es-ES"/>
              </w:rPr>
              <w:t>, FTTH</w:t>
            </w:r>
            <w:r w:rsidR="003D0860" w:rsidRPr="00BB33CC">
              <w:rPr>
                <w:rStyle w:val="Refdenotaalpie"/>
                <w:rFonts w:ascii="ITC Avant Garde" w:eastAsia="Times New Roman" w:hAnsi="ITC Avant Garde" w:cs="Arial"/>
                <w:sz w:val="20"/>
                <w:lang w:val="es-ES" w:eastAsia="es-ES"/>
              </w:rPr>
              <w:footnoteReference w:id="75"/>
            </w:r>
            <w:r w:rsidRPr="00BB33CC">
              <w:rPr>
                <w:rFonts w:ascii="ITC Avant Garde" w:eastAsia="Times New Roman" w:hAnsi="ITC Avant Garde" w:cs="Arial"/>
                <w:sz w:val="20"/>
                <w:lang w:val="es-ES" w:eastAsia="es-ES"/>
              </w:rPr>
              <w:t>, coaxial u otra, ofrecido a usuarios finales de ámbito residencial.</w:t>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Datos (Acceso a Internet de banda ancha) comercial)</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acceso a Internet mediante tecnologías xDSL, FTTH, coaxial u otra, ofrecido a usuarios finales de ámbito corporativo.</w:t>
            </w:r>
          </w:p>
        </w:tc>
      </w:tr>
      <w:tr w:rsidR="002E1156" w:rsidRPr="00BB33CC" w:rsidTr="00674BDD">
        <w:trPr>
          <w:gridAfter w:val="1"/>
          <w:wAfter w:w="5" w:type="pct"/>
          <w:cantSplit/>
          <w:trHeight w:val="20"/>
          <w:jc w:val="center"/>
        </w:trPr>
        <w:tc>
          <w:tcPr>
            <w:tcW w:w="4995" w:type="pct"/>
            <w:gridSpan w:val="2"/>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lastRenderedPageBreak/>
              <w:t>Enlaces dedicados</w:t>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dedicados minoristas locales</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 en el servicio de arrendamiento de circuitos de transmisión al usuario final entre dos puntas que se ubican en una misma localidad del territorio nacional, y por el que se paga una tarifa que se cobra por periodos de tiempo determinados.</w:t>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dedicados minoristas entre localidades</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 en el servicio de arrendamiento de circuitos de transmisión al usuario final entre dos puntas que se ubican en localidades distintas del territorio nacional, y por el que se paga una tarifa que se cobra por periodos de tiempo determinados.</w:t>
            </w:r>
          </w:p>
        </w:tc>
      </w:tr>
      <w:tr w:rsidR="002E1156" w:rsidRPr="00BB33CC" w:rsidTr="00674BDD">
        <w:trPr>
          <w:gridAfter w:val="1"/>
          <w:wAfter w:w="5" w:type="pct"/>
          <w:cantSplit/>
          <w:trHeight w:val="20"/>
          <w:jc w:val="center"/>
        </w:trPr>
        <w:tc>
          <w:tcPr>
            <w:tcW w:w="1363" w:type="pct"/>
            <w:shd w:val="clear" w:color="auto" w:fill="D0D1DB"/>
            <w:noWrap/>
            <w:vAlign w:val="center"/>
            <w:hideMark/>
          </w:tcPr>
          <w:p w:rsidR="002E1156" w:rsidRPr="00BB33CC" w:rsidRDefault="002E1156" w:rsidP="00082B86">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dedicados minoristas de larga distancia internacional (LDIM)</w:t>
            </w:r>
            <w:r w:rsidR="005D2836" w:rsidRPr="00BB33CC">
              <w:rPr>
                <w:rFonts w:ascii="ITC Avant Garde" w:eastAsia="Times New Roman" w:hAnsi="ITC Avant Garde" w:cs="Arial"/>
                <w:sz w:val="20"/>
                <w:lang w:val="es-ES" w:eastAsia="es-ES"/>
              </w:rPr>
              <w:t xml:space="preserve"> </w:t>
            </w:r>
          </w:p>
        </w:tc>
        <w:tc>
          <w:tcPr>
            <w:tcW w:w="3631" w:type="pct"/>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 en el servicio de arrendamiento de circuitos de transmisión al usuario final en el cual una de las puntas se ubica en alguna localidad del territorio nacional y otra en el extranjero, y por el que se paga una tarifa que se cobra por periodos de tiempo determinados. Este servicio tiene un ámbito geográfico nacional, cuya responsabilidad se limita hasta la frontera del país.</w:t>
            </w:r>
          </w:p>
        </w:tc>
      </w:tr>
      <w:tr w:rsidR="002E1156" w:rsidRPr="00BB33CC" w:rsidTr="00674BDD">
        <w:trPr>
          <w:gridAfter w:val="1"/>
          <w:wAfter w:w="5" w:type="pct"/>
          <w:cantSplit/>
          <w:trHeight w:val="20"/>
          <w:jc w:val="center"/>
        </w:trPr>
        <w:tc>
          <w:tcPr>
            <w:tcW w:w="4995" w:type="pct"/>
            <w:gridSpan w:val="2"/>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sz w:val="20"/>
                <w:lang w:val="es-ES" w:eastAsia="es-ES"/>
              </w:rPr>
              <w:t>Otros</w:t>
            </w:r>
          </w:p>
        </w:tc>
      </w:tr>
      <w:tr w:rsidR="002E1156" w:rsidRPr="00BB33CC" w:rsidTr="00674BDD">
        <w:trPr>
          <w:gridAfter w:val="1"/>
          <w:wAfter w:w="5" w:type="pct"/>
          <w:cantSplit/>
          <w:trHeight w:val="20"/>
          <w:jc w:val="center"/>
        </w:trPr>
        <w:tc>
          <w:tcPr>
            <w:tcW w:w="1363" w:type="pct"/>
            <w:tcBorders>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Instalación de línea</w:t>
            </w:r>
          </w:p>
        </w:tc>
        <w:tc>
          <w:tcPr>
            <w:tcW w:w="3631" w:type="pct"/>
            <w:tcBorders>
              <w:bottom w:val="single" w:sz="4" w:space="0" w:color="244062"/>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Consistente en el suministro de una conexión a la red telefónica pública en una ubicación fija a efectos de la realización y/o recepción de llamadas telefónicas y servicios conexos.</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básica por línea</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Consistente en la cuota recurrente aplicada a los usuarios finales con motivo del alquiler y mantenimiento de la línea telefónica.</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Comercialización y mantenimiento de cableado y equipo terminal</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 refiere a la comercialización de cableados, aparatos telefónicos o cualquier equipo de telecomunicaciones para usuarios, así como el mantenimiento de dichos equipos.</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OTT de video</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 xml:space="preserve">Se refiere a la prestación de servicios </w:t>
            </w:r>
            <w:r w:rsidRPr="00BB33CC">
              <w:rPr>
                <w:rFonts w:ascii="ITC Avant Garde" w:eastAsia="Times New Roman" w:hAnsi="ITC Avant Garde" w:cs="Arial"/>
                <w:i/>
                <w:iCs/>
                <w:sz w:val="20"/>
                <w:szCs w:val="20"/>
                <w:lang w:val="es-ES" w:eastAsia="es-ES"/>
              </w:rPr>
              <w:t xml:space="preserve">over-the-top </w:t>
            </w:r>
            <w:r w:rsidRPr="00BB33CC">
              <w:rPr>
                <w:rFonts w:ascii="ITC Avant Garde" w:eastAsia="Times New Roman" w:hAnsi="ITC Avant Garde" w:cs="Arial"/>
                <w:sz w:val="20"/>
                <w:szCs w:val="20"/>
                <w:lang w:val="es-ES" w:eastAsia="es-ES"/>
              </w:rPr>
              <w:t xml:space="preserve">de video bajo demanda. </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OTT de audio</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 xml:space="preserve">Se refiere a la prestación de servicios </w:t>
            </w:r>
            <w:r w:rsidRPr="00BB33CC">
              <w:rPr>
                <w:rFonts w:ascii="ITC Avant Garde" w:eastAsia="Times New Roman" w:hAnsi="ITC Avant Garde" w:cs="Arial"/>
                <w:i/>
                <w:iCs/>
                <w:sz w:val="20"/>
                <w:szCs w:val="20"/>
                <w:lang w:val="es-ES" w:eastAsia="es-ES"/>
              </w:rPr>
              <w:t>over-the-top</w:t>
            </w:r>
            <w:r w:rsidRPr="00BB33CC">
              <w:rPr>
                <w:rFonts w:ascii="ITC Avant Garde" w:eastAsia="Times New Roman" w:hAnsi="ITC Avant Garde" w:cs="Arial"/>
                <w:sz w:val="20"/>
                <w:szCs w:val="20"/>
                <w:lang w:val="es-ES" w:eastAsia="es-ES"/>
              </w:rPr>
              <w:t xml:space="preserve"> de audio bajo demanda. </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telefonía pública</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telefonía y en algunos casos de acceso a Internet que se presta al público en general por medio de la instalación, operación y/o explotación de aparatos telefónicos de uso público.</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EA7AA2">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Ventas en tiendas del </w:t>
            </w:r>
            <w:r w:rsidR="00EA7AA2" w:rsidRPr="00BB33CC">
              <w:rPr>
                <w:rFonts w:ascii="ITC Avant Garde" w:hAnsi="ITC Avant Garde"/>
                <w:bCs/>
                <w:sz w:val="20"/>
                <w:szCs w:val="20"/>
              </w:rPr>
              <w:t>concesionario y/o autorizado</w:t>
            </w:r>
          </w:p>
        </w:tc>
        <w:tc>
          <w:tcPr>
            <w:tcW w:w="3631" w:type="pct"/>
            <w:tcBorders>
              <w:left w:val="nil"/>
              <w:right w:val="nil"/>
            </w:tcBorders>
            <w:vAlign w:val="center"/>
            <w:hideMark/>
          </w:tcPr>
          <w:p w:rsidR="002E1156" w:rsidRPr="00BB33CC" w:rsidRDefault="002E1156" w:rsidP="00EA7AA2">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las ventas de equipos y demás objetos en las tiendas físicas y virtuales de los concesionarios</w:t>
            </w:r>
            <w:r w:rsidR="00EA7AA2" w:rsidRPr="00BB33CC">
              <w:rPr>
                <w:rFonts w:ascii="ITC Avant Garde" w:hAnsi="ITC Avant Garde"/>
                <w:bCs/>
              </w:rPr>
              <w:t xml:space="preserve"> </w:t>
            </w:r>
            <w:r w:rsidR="00EA7AA2" w:rsidRPr="00BB33CC">
              <w:rPr>
                <w:rFonts w:ascii="ITC Avant Garde" w:hAnsi="ITC Avant Garde"/>
                <w:bCs/>
                <w:sz w:val="20"/>
                <w:szCs w:val="20"/>
              </w:rPr>
              <w:t>y/o autorizados</w:t>
            </w:r>
            <w:r w:rsidRPr="00BB33CC">
              <w:rPr>
                <w:rFonts w:ascii="ITC Avant Garde" w:eastAsia="Times New Roman" w:hAnsi="ITC Avant Garde" w:cs="Arial"/>
                <w:sz w:val="20"/>
                <w:lang w:val="es-ES" w:eastAsia="es-ES"/>
              </w:rPr>
              <w:t>.</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suplementarios</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servicios suplementarios ofrecidos por el operador, tal como el desvío de llamadas, el servicio de contestador y la identificación de número llamante.</w:t>
            </w:r>
          </w:p>
        </w:tc>
      </w:tr>
      <w:tr w:rsidR="002E1156" w:rsidRPr="00BB33CC" w:rsidTr="00674BDD">
        <w:trPr>
          <w:gridAfter w:val="1"/>
          <w:wAfter w:w="5" w:type="pct"/>
          <w:cantSplit/>
          <w:trHeight w:val="20"/>
          <w:jc w:val="center"/>
        </w:trPr>
        <w:tc>
          <w:tcPr>
            <w:tcW w:w="1363" w:type="pct"/>
            <w:tcBorders>
              <w:left w:val="nil"/>
              <w:right w:val="nil"/>
            </w:tcBorders>
            <w:shd w:val="clear" w:color="auto" w:fill="E7E6E6" w:themeFill="background2"/>
            <w:noWrap/>
            <w:vAlign w:val="center"/>
          </w:tcPr>
          <w:p w:rsidR="002E1156" w:rsidRPr="00BB33CC" w:rsidRDefault="002E1156" w:rsidP="00674BDD">
            <w:pPr>
              <w:keepNext/>
              <w:keepLines/>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lastRenderedPageBreak/>
              <w:t>Servicios mayoristas</w:t>
            </w:r>
          </w:p>
        </w:tc>
        <w:tc>
          <w:tcPr>
            <w:tcW w:w="3631" w:type="pct"/>
            <w:tcBorders>
              <w:left w:val="nil"/>
              <w:right w:val="nil"/>
            </w:tcBorders>
            <w:shd w:val="clear" w:color="auto" w:fill="E7E6E6" w:themeFill="background2"/>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gridAfter w:val="1"/>
          <w:wAfter w:w="5" w:type="pct"/>
          <w:cantSplit/>
          <w:trHeight w:val="20"/>
          <w:jc w:val="center"/>
        </w:trPr>
        <w:tc>
          <w:tcPr>
            <w:tcW w:w="4995" w:type="pct"/>
            <w:gridSpan w:val="2"/>
            <w:tcBorders>
              <w:left w:val="nil"/>
              <w:right w:val="nil"/>
            </w:tcBorders>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Servicios de interconexión</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otros operadores fijos</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la conmutación de tráfico procedente de redes fijas nacionales en una o más centrales del concesionario, el transporte del servicio correspondiente por la red troncal, y su entrega al equipo terminal del usuario de destino.</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móviles</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la conmutación de tráfico procedente de redes móviles nacionales en una o más centrales del concesionario, el transporte del servicio correspondiente por la red troncal, y su entrega al equipo terminal del usuario de destino.</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tráfico internacional</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la conmutación de tráfico procedente de redes fijas internacionales en una o más centrales del concesionario, el transporte del servicio correspondiente por la red troncal, y su entrega al equipo terminal del usuario de destino.</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fijas</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nacional fijo.</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móviles</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nacional móvil.</w:t>
            </w:r>
          </w:p>
        </w:tc>
      </w:tr>
      <w:tr w:rsidR="002E1156" w:rsidRPr="00BB33CC" w:rsidTr="00674BDD">
        <w:trPr>
          <w:gridAfter w:val="1"/>
          <w:wAfter w:w="5" w:type="pct"/>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destinos internacionales</w:t>
            </w:r>
          </w:p>
        </w:tc>
        <w:tc>
          <w:tcPr>
            <w:tcW w:w="3631" w:type="pct"/>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internacional.</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Tránsito de voz</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el transporte de llamadas de voz recibidas de otro operador internacional, móvil o fijo y terminadas en la red de otro operador internacional, móvil o fijo.</w:t>
            </w:r>
          </w:p>
        </w:tc>
      </w:tr>
      <w:tr w:rsidR="002E1156" w:rsidRPr="00BB33CC" w:rsidTr="00674BDD">
        <w:trPr>
          <w:cantSplit/>
          <w:trHeight w:val="20"/>
          <w:jc w:val="center"/>
        </w:trPr>
        <w:tc>
          <w:tcPr>
            <w:tcW w:w="5000" w:type="pct"/>
            <w:gridSpan w:val="3"/>
            <w:tcBorders>
              <w:left w:val="nil"/>
              <w:right w:val="nil"/>
            </w:tcBorders>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Servicios de enlaces dedicados</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Enlaces dedicados locales </w:t>
            </w:r>
          </w:p>
        </w:tc>
        <w:tc>
          <w:tcPr>
            <w:tcW w:w="3637" w:type="pct"/>
            <w:gridSpan w:val="2"/>
            <w:tcBorders>
              <w:left w:val="nil"/>
              <w:right w:val="nil"/>
            </w:tcBorders>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arrendamiento de enlaces de transmisión, cuyas puntas se ubican en una misma localidad del territorio nacional.</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dedicados entre localidades (Lada enlaces)</w:t>
            </w:r>
          </w:p>
        </w:tc>
        <w:tc>
          <w:tcPr>
            <w:tcW w:w="3637" w:type="pct"/>
            <w:gridSpan w:val="2"/>
            <w:tcBorders>
              <w:left w:val="nil"/>
              <w:right w:val="nil"/>
            </w:tcBorders>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arrendamiento de enlaces de transmisión, cuyas puntas se ubican en localidades distintas del territorio nacional.</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dedicados de larga distancia internacional (LDIM)</w:t>
            </w:r>
          </w:p>
        </w:tc>
        <w:tc>
          <w:tcPr>
            <w:tcW w:w="3637" w:type="pct"/>
            <w:gridSpan w:val="2"/>
            <w:tcBorders>
              <w:left w:val="nil"/>
              <w:right w:val="nil"/>
            </w:tcBorders>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de arrendamiento de enlaces de transmisión, en los cuales una de las puntas se ubica en alguna localidad del territorio nacional y otra en el extranjero. </w:t>
            </w:r>
          </w:p>
        </w:tc>
      </w:tr>
      <w:tr w:rsidR="002E1156" w:rsidRPr="00BB33CC" w:rsidTr="00674BDD">
        <w:trPr>
          <w:cantSplit/>
          <w:trHeight w:val="20"/>
          <w:jc w:val="center"/>
        </w:trPr>
        <w:tc>
          <w:tcPr>
            <w:tcW w:w="5000" w:type="pct"/>
            <w:gridSpan w:val="3"/>
            <w:tcBorders>
              <w:left w:val="nil"/>
              <w:right w:val="nil"/>
            </w:tcBorders>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Servicios de compartición de infraestructura fija</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Acceso y uso compartido de canalizaciones </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al operador alternativo utilizar las canalizaciones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(medido en metro lineal ocupado).</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 xml:space="preserve">Acceso y uso compartido de ductos </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al operador alternativo utilizar los ductos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(medido en metro lineal ocupado).</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Acceso y uso compartido de pozos </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al operador alternativo utilizar los pozos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(medido por número de pozos compartidos).</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Acceso y uso compartido de postes </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al operador alternativo utilizar los postes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(medido por número de postes compartidos).</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y uso compartido de torres</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Permite a los solicitantes desplegar sistemas de radiofrecuencia en bandas autorizadas para la provisión de servicios de telecomunicaciones.</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y uso compartido de infraestructura fija (coubicación interna/externa)</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permite a un operador alternativo utilizar los predios, sitios y espacios físicos existentes del concesionario</w:t>
            </w:r>
            <w:r w:rsidR="005B4A65"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así como acceder a equipos activos en dichos espacios físicos (medido por número de metros cuadrados compartidos).</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Uso de subestaciones eléctricas</w:t>
            </w:r>
          </w:p>
        </w:tc>
        <w:tc>
          <w:tcPr>
            <w:tcW w:w="3637" w:type="pct"/>
            <w:gridSpan w:val="2"/>
            <w:tcBorders>
              <w:left w:val="nil"/>
              <w:right w:val="nil"/>
            </w:tcBorders>
            <w:vAlign w:val="center"/>
            <w:hideMark/>
          </w:tcPr>
          <w:p w:rsidR="002E1156" w:rsidRPr="00BB33CC" w:rsidRDefault="002E1156" w:rsidP="003D0860">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 un operador alternativo acceder a sistemas de suministro de energía eléctrica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(medido por kWh de potencia utilizada).</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Uso de fuentes de energía de respaldo</w:t>
            </w:r>
          </w:p>
        </w:tc>
        <w:tc>
          <w:tcPr>
            <w:tcW w:w="3637" w:type="pct"/>
            <w:gridSpan w:val="2"/>
            <w:tcBorders>
              <w:left w:val="nil"/>
              <w:right w:val="nil"/>
            </w:tcBorders>
            <w:vAlign w:val="center"/>
            <w:hideMark/>
          </w:tcPr>
          <w:p w:rsidR="002E1156" w:rsidRPr="00BB33CC" w:rsidRDefault="002E1156" w:rsidP="00277D1C">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permite a un operador alternativo acceder a fuentes de energía de respaldo del concesionario</w:t>
            </w:r>
            <w:r w:rsidR="00277D1C" w:rsidRPr="00BB33CC">
              <w:rPr>
                <w:rFonts w:ascii="ITC Avant Garde" w:hAnsi="ITC Avant Garde"/>
                <w:bCs/>
              </w:rPr>
              <w:t xml:space="preserve"> </w:t>
            </w:r>
            <w:r w:rsidR="00277D1C" w:rsidRPr="00BB33CC">
              <w:rPr>
                <w:rFonts w:ascii="ITC Avant Garde" w:eastAsia="Times New Roman" w:hAnsi="ITC Avant Garde" w:cs="Arial"/>
                <w:bCs/>
                <w:sz w:val="20"/>
                <w:lang w:eastAsia="es-ES"/>
              </w:rPr>
              <w:t>y/o autorizado</w:t>
            </w:r>
            <w:r w:rsidRPr="00BB33CC">
              <w:rPr>
                <w:rFonts w:ascii="ITC Avant Garde" w:eastAsia="Times New Roman" w:hAnsi="ITC Avant Garde" w:cs="Arial"/>
                <w:sz w:val="20"/>
                <w:lang w:val="es-ES" w:eastAsia="es-ES"/>
              </w:rPr>
              <w:t xml:space="preserve"> (medido por kWh de potencia utilizada).</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Uso de canales ópticos de alta capacidad de transporte</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 en el aprovisionamiento de un canal de transmisión, que puede ser de diferentes capacidades expresadas en NxSTM Gbps Ethernet.</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Actividades de apoyo para la compartición de infraestructura pasiva</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comprende las actividades realizadas para evaluar la factibilidad técnica de la compartición de la infraestructura pasiva o para garantizar la salvaguarda de la infraestructura.</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Trabajos especiales asociados a los servicios de acceso y uso compartido de la infraestructura pasiva</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relativo a otros trabajos especiales para que el operador alternativo pueda hacer uso de los servicios de compartición de infraestructura fija.</w:t>
            </w:r>
          </w:p>
        </w:tc>
      </w:tr>
      <w:tr w:rsidR="002E1156" w:rsidRPr="00BB33CC" w:rsidTr="00674BDD">
        <w:trPr>
          <w:cantSplit/>
          <w:trHeight w:val="20"/>
          <w:jc w:val="center"/>
        </w:trPr>
        <w:tc>
          <w:tcPr>
            <w:tcW w:w="5000" w:type="pct"/>
            <w:gridSpan w:val="3"/>
            <w:tcBorders>
              <w:left w:val="nil"/>
              <w:right w:val="nil"/>
            </w:tcBorders>
            <w:shd w:val="clear" w:color="auto" w:fill="auto"/>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Servicios de desagregación</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Desagregación total del bucle local</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Aquella en la que el proveedor de servicios mayoristas le permite el uso del bucle local al adquiriente de servicios mayoristas, de tal manera que este último puede hacer uso de la capacidad de transmisión completa, entregando el circuito en la central telefónica o instalación equivalente.</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Desagregación compartida del bucle local</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Aquella donde el proveedor de servicios mayoristas le permite el uso del bucle local al adquiriente de servicios mayoristas, de tal manera que este último pueda hacer uso parcial de la capacidad de transmisión, entregando el circuito en la central telefónica o instalación equivalente.</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Desagregación total de fibra óptica</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consiste en la provisión de la fibra óptica de la red local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a un operador alternativo, bajo una conexión punto a punto (PTP) en el Distribuidor de Fibra Óptica (DFO) en sus instalaciones, para permitir la provisión de servicio de telecomunicaciones a los usuarios finales.</w:t>
            </w:r>
          </w:p>
        </w:tc>
      </w:tr>
      <w:tr w:rsidR="002E1156" w:rsidRPr="00BB33CC" w:rsidTr="00674BDD">
        <w:trPr>
          <w:cantSplit/>
          <w:trHeight w:val="20"/>
          <w:jc w:val="center"/>
        </w:trPr>
        <w:tc>
          <w:tcPr>
            <w:tcW w:w="1363" w:type="pct"/>
            <w:tcBorders>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Desagregación virtual de fibra óptica</w:t>
            </w:r>
          </w:p>
        </w:tc>
        <w:tc>
          <w:tcPr>
            <w:tcW w:w="3637" w:type="pct"/>
            <w:gridSpan w:val="2"/>
            <w:tcBorders>
              <w:left w:val="nil"/>
              <w:right w:val="nil"/>
            </w:tcBorders>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consiste en la provisión de la fibra óptica de la red local del </w:t>
            </w:r>
            <w:r w:rsidR="00277D1C" w:rsidRPr="00BB33CC">
              <w:rPr>
                <w:rFonts w:ascii="ITC Avant Garde" w:eastAsia="Times New Roman" w:hAnsi="ITC Avant Garde" w:cs="Arial"/>
                <w:bCs/>
                <w:sz w:val="20"/>
                <w:lang w:eastAsia="es-ES"/>
              </w:rPr>
              <w:t>concesionario y/o autorizado</w:t>
            </w:r>
            <w:r w:rsidRPr="00BB33CC">
              <w:rPr>
                <w:rFonts w:ascii="ITC Avant Garde" w:eastAsia="Times New Roman" w:hAnsi="ITC Avant Garde" w:cs="Arial"/>
                <w:sz w:val="20"/>
                <w:lang w:val="es-ES" w:eastAsia="es-ES"/>
              </w:rPr>
              <w:t xml:space="preserve"> a un operador alternativo, bajo una conexión punto a multipunto en el Distribuidor de Fibra Óptica (DFO) en sus instalaciones, para permitir la provisión de servicio de telecomunicaciones a los usuarios finales.</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Desagregación total del sub-bucle </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Aquella donde el proveedor de servicios mayoristas le permite el uso del sub-bucle local al adquiriente de servicios mayoristas, de tal manera que este último puede hacer uso de la capacidad de transmisión completa, entregando el circuito en un punto técnicamente factible entre el domicilio del usuario final y la central telefónica o instalación equivalente.</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Desagregación compartida del sub-bucle </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Aquella donde el proveedor de servicios mayoristas le permite el uso del sub-bucle local al adquiriente de servicios mayoristas, de tal manera que este último puede hacer uso parcial de la capacidad de transmisión, entregando el circuito en un punto técnicamente factible entre el domicilio del usuario final y la central telefónica o instalación equivalente.</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auxiliares a la desagregación</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servicios necesarios para la prestación de servicios de desagregación, incluyendo la desagregación de cableado multipar, desagregación de la caja de distribución, servicio de tendido de fibra óptica.</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coubicación para desagregación del bucle</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alquiler de espacio y servicios auxiliares tales como suministro de energía, medidas de seguridad, aire acondicionado, y demás facilidades necesarias para su adecuada operación, así como el acceso a los espacios físicos, para la colocación de equipos y dispositivos de los adquirientes de servicios mayoristas, necesarios para el funcionamiento del servicio de desagregación de bucle.</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opcional de cableado interior de usuario final</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la instalación del cableado interior de un usuario final a petición de un operador alternativo.</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Trabajos especiales</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trabajos especiales asociados a la prestación de los servicios de desagregación.</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reventa de línea telefónica (WLR</w:t>
            </w:r>
            <w:r w:rsidRPr="00BB33CC">
              <w:rPr>
                <w:rFonts w:ascii="ITC Avant Garde" w:eastAsia="Times New Roman" w:hAnsi="ITC Avant Garde" w:cs="Arial"/>
                <w:sz w:val="20"/>
                <w:vertAlign w:val="superscript"/>
                <w:lang w:val="es-ES" w:eastAsia="es-ES"/>
              </w:rPr>
              <w:footnoteReference w:id="76"/>
            </w:r>
            <w:r w:rsidRPr="00BB33CC">
              <w:rPr>
                <w:rFonts w:ascii="ITC Avant Garde" w:eastAsia="Times New Roman" w:hAnsi="ITC Avant Garde" w:cs="Arial"/>
                <w:sz w:val="20"/>
                <w:lang w:val="es-ES" w:eastAsia="es-ES"/>
              </w:rPr>
              <w:t>)</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Permite a los adquirientes de servicios mayoristas la reventa o comercialización a usuarios residenciales y no residenciales del servicio de línea telefónica que el proveedor de servicios mayoristas tenga autorizado y registrado ante el Instituto.</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Servicio de reventa de Internet</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Permite a los adquirientes de servicios mayoristas la reventa o comercialización a usuarios residenciales y no residenciales del servicio de acceso a Internet que el proveedor de servicios mayoristas tenga autorizado y registrado ante el Instituto.</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reventa de paquetes</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Permite a los adquirientes de servicios mayoristas la reventa o comercialización a usuarios residenciales y no residenciales de los servicios que el proveedor de servicios mayoristas tenga autorizado y registrado ante el Instituto, en la modalidad de paquetes.</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acceso indirecto al bucle (SAIB)</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Mediante este servicio, el proveedor de servicios mayoristas pone a disposición del adquiriente de servicios mayoristas capacidad de transmisión entre el usuario final y un punto de interconexión del adquiriente de servicios mayoristas, de tal forma que se permita la provisión de servicios de telecomunicaciones a un usuario final que se conecta a la red pública de telecomunicaciones mediante una acometida del proveedor de servicios mayoristas.</w:t>
            </w:r>
          </w:p>
        </w:tc>
      </w:tr>
      <w:tr w:rsidR="002E1156" w:rsidRPr="00BB33CC" w:rsidTr="00674BDD">
        <w:trPr>
          <w:cantSplit/>
          <w:trHeight w:val="20"/>
          <w:jc w:val="center"/>
        </w:trPr>
        <w:tc>
          <w:tcPr>
            <w:tcW w:w="1363" w:type="pct"/>
            <w:tcBorders>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concentración y distribución</w:t>
            </w:r>
          </w:p>
        </w:tc>
        <w:tc>
          <w:tcPr>
            <w:tcW w:w="3637" w:type="pct"/>
            <w:gridSpan w:val="2"/>
            <w:tcBorders>
              <w:left w:val="nil"/>
              <w:right w:val="nil"/>
            </w:tcBorders>
            <w:vAlign w:val="center"/>
          </w:tcPr>
          <w:p w:rsidR="002E1156" w:rsidRPr="00BB33CC" w:rsidRDefault="002E1156" w:rsidP="00091271">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Conjunto de funcionalidades que permiten la administración del tráfico, al menos un Nodo de Concentración de Acceso Indirecto (NCAl), y, al menos un Puerto de Conexión de Acceso Indirecto (pCAI) que físicamente se ubica en un punto de concentración local, regional o nacional, así como las VLAN</w:t>
            </w:r>
            <w:r w:rsidR="00091271" w:rsidRPr="00BB33CC">
              <w:rPr>
                <w:rStyle w:val="Refdenotaalpie"/>
                <w:rFonts w:ascii="ITC Avant Garde" w:eastAsia="Times New Roman" w:hAnsi="ITC Avant Garde" w:cs="Arial"/>
                <w:sz w:val="20"/>
                <w:lang w:val="es-ES" w:eastAsia="es-ES"/>
              </w:rPr>
              <w:footnoteReference w:id="77"/>
            </w:r>
            <w:r w:rsidRPr="00BB33CC">
              <w:rPr>
                <w:rFonts w:ascii="ITC Avant Garde" w:eastAsia="Times New Roman" w:hAnsi="ITC Avant Garde" w:cs="Arial"/>
                <w:sz w:val="20"/>
                <w:lang w:val="es-ES" w:eastAsia="es-ES"/>
              </w:rPr>
              <w:t xml:space="preserve"> respectivas por cada pCAI habilitado en el punto de concentración. El servicio permite la agregación del tráfico del servicio de acceso indirecto generado por los usuarios y la entrega del mismo a los adquirientes de servicios mayoristas.</w:t>
            </w:r>
          </w:p>
        </w:tc>
      </w:tr>
      <w:tr w:rsidR="002E1156" w:rsidRPr="00BB33CC" w:rsidTr="00674BDD">
        <w:trPr>
          <w:cantSplit/>
          <w:trHeight w:val="20"/>
          <w:jc w:val="center"/>
        </w:trPr>
        <w:tc>
          <w:tcPr>
            <w:tcW w:w="5000" w:type="pct"/>
            <w:gridSpan w:val="3"/>
            <w:tcBorders>
              <w:left w:val="nil"/>
              <w:right w:val="nil"/>
            </w:tcBorders>
            <w:shd w:val="clear" w:color="auto" w:fill="E7E6E6" w:themeFill="background2"/>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Servicios no relevantes para la separación contable</w:t>
            </w:r>
          </w:p>
        </w:tc>
      </w:tr>
      <w:tr w:rsidR="002E1156" w:rsidRPr="00BB33CC" w:rsidTr="00674BDD">
        <w:trPr>
          <w:cantSplit/>
          <w:trHeight w:val="20"/>
          <w:jc w:val="center"/>
        </w:trPr>
        <w:tc>
          <w:tcPr>
            <w:tcW w:w="1363"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no relevantes para la separación contable</w:t>
            </w:r>
          </w:p>
        </w:tc>
        <w:tc>
          <w:tcPr>
            <w:tcW w:w="3637" w:type="pct"/>
            <w:gridSpan w:val="2"/>
            <w:tcBorders>
              <w:left w:val="nil"/>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servicios de telecomunicaciones fijos.</w:t>
            </w:r>
          </w:p>
        </w:tc>
      </w:tr>
    </w:tbl>
    <w:p w:rsidR="002E1156" w:rsidRPr="00BB33CC" w:rsidRDefault="002E1156" w:rsidP="002E1156">
      <w:pPr>
        <w:pStyle w:val="HeadingAnexo1L3"/>
      </w:pPr>
      <w:r w:rsidRPr="00BB33CC">
        <w:t>Segmento Móvil</w:t>
      </w:r>
    </w:p>
    <w:p w:rsidR="002E1156" w:rsidRPr="00BB33CC" w:rsidRDefault="002E1156" w:rsidP="00AF0590">
      <w:pPr>
        <w:pStyle w:val="Normalresolucion"/>
        <w:spacing w:after="0" w:line="276" w:lineRule="auto"/>
      </w:pPr>
      <w:r w:rsidRPr="00BB33CC">
        <w:t xml:space="preserve">Listado </w:t>
      </w:r>
      <w:r w:rsidRPr="00BB33CC">
        <w:rPr>
          <w:bCs/>
        </w:rPr>
        <w:t>mínimo</w:t>
      </w:r>
      <w:r w:rsidRPr="00BB33CC">
        <w:t xml:space="preserve"> de cuentas de ingresos a desagregar en el Nivel 1:</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5</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cuentas de ingresos a desagregar en el Nivel 1 de operadores de telecomunicaciones móviles</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2E1156" w:rsidRPr="00BB33CC" w:rsidTr="00674BDD">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51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Ingresos operativos</w:t>
            </w:r>
            <w:r w:rsidRPr="00BB33CC">
              <w:rPr>
                <w:rFonts w:ascii="ITC Avant Garde" w:eastAsia="Times New Roman" w:hAnsi="ITC Avant Garde" w:cs="Arial"/>
                <w:b/>
                <w:bCs/>
                <w:sz w:val="20"/>
                <w:vertAlign w:val="superscript"/>
                <w:lang w:val="es-ES" w:eastAsia="es-ES"/>
              </w:rPr>
              <w:footnoteReference w:id="78"/>
            </w:r>
          </w:p>
        </w:tc>
      </w:tr>
      <w:tr w:rsidR="002E1156" w:rsidRPr="00BB33CC" w:rsidTr="00674BDD">
        <w:trPr>
          <w:trHeight w:val="51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recurrente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recibidos por los pagos mensuales asociadas a servicios de telefonía móvil por parte del usuario final.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lastRenderedPageBreak/>
              <w:t>Servicio de telefonía móvil</w:t>
            </w:r>
            <w:r w:rsidRPr="00BB33CC">
              <w:rPr>
                <w:rFonts w:ascii="ITC Avant Garde" w:eastAsia="Times New Roman" w:hAnsi="ITC Avant Garde" w:cs="Arial"/>
                <w:sz w:val="20"/>
                <w:szCs w:val="20"/>
                <w:lang w:val="es-ES" w:eastAsia="es-ES"/>
              </w:rPr>
              <w:t xml:space="preserve"> - voz</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por el consumo de tráfico de minutos de voz no incluidos en el pago recurrente.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de acceso a Internet móvil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por el consumo de tráfico de datos móviles no incluidos en el pago recurrente.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Servicio de telefonía móvil </w:t>
            </w:r>
            <w:r w:rsidRPr="00BB33CC">
              <w:rPr>
                <w:rFonts w:ascii="ITC Avant Garde" w:eastAsia="Times New Roman" w:hAnsi="ITC Avant Garde" w:cs="Arial"/>
                <w:sz w:val="20"/>
                <w:szCs w:val="20"/>
                <w:lang w:val="es-ES" w:eastAsia="es-ES"/>
              </w:rPr>
              <w:t>- mensajes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por el consumo de tráfico de mensajes no incluido en el pago recurrente.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Servicio de </w:t>
            </w: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o itinerancia nacional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Ingresos por la prestación del servicio de </w:t>
            </w: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o itinerancia nacional.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Servicio de </w:t>
            </w: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o itinerancia internacional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Ingresos por la prestación del servicio de </w:t>
            </w: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o itinerancia internacional.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Reventa de servicios móviles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por el suministro de acceso a elementos individuales, a capacidades técnicas, económicas, operativas y comerciales de una red o servicios, incluyendo los de interconexión, que son utilizados por operadores móviles virtuales para proveer dichos servicios a los usuarios finales móviles.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Venta de equipos terminales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relativos a la venta de equipos terminales a usuarios finales.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OTT de video</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Ingresos relativos a la prestación de servicios </w:t>
            </w:r>
            <w:r w:rsidRPr="00BB33CC">
              <w:rPr>
                <w:rFonts w:ascii="ITC Avant Garde" w:eastAsia="Times New Roman" w:hAnsi="ITC Avant Garde" w:cs="Arial"/>
                <w:i/>
                <w:sz w:val="20"/>
                <w:szCs w:val="20"/>
                <w:lang w:val="es-ES" w:eastAsia="es-ES"/>
              </w:rPr>
              <w:t>over-the-top</w:t>
            </w:r>
            <w:r w:rsidRPr="00BB33CC">
              <w:rPr>
                <w:rFonts w:ascii="ITC Avant Garde" w:eastAsia="Times New Roman" w:hAnsi="ITC Avant Garde" w:cs="Arial"/>
                <w:sz w:val="20"/>
                <w:szCs w:val="20"/>
                <w:lang w:val="es-ES" w:eastAsia="es-ES"/>
              </w:rPr>
              <w:t xml:space="preserve"> de video bajo demanda.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OTT de audio</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Ingresos relativos a la prestación de servicios </w:t>
            </w:r>
            <w:r w:rsidRPr="00BB33CC">
              <w:rPr>
                <w:rFonts w:ascii="ITC Avant Garde" w:eastAsia="Times New Roman" w:hAnsi="ITC Avant Garde" w:cs="Arial"/>
                <w:i/>
                <w:sz w:val="20"/>
                <w:szCs w:val="20"/>
                <w:lang w:val="es-ES" w:eastAsia="es-ES"/>
              </w:rPr>
              <w:t>over-the-top</w:t>
            </w:r>
            <w:r w:rsidRPr="00BB33CC">
              <w:rPr>
                <w:rFonts w:ascii="ITC Avant Garde" w:eastAsia="Times New Roman" w:hAnsi="ITC Avant Garde" w:cs="Arial"/>
                <w:sz w:val="20"/>
                <w:szCs w:val="20"/>
                <w:lang w:val="es-ES" w:eastAsia="es-ES"/>
              </w:rPr>
              <w:t xml:space="preserve"> de audio bajo demanda.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servicios minoristas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por la prestación de otros servicios minoristas a usuarios finales (contenidos, servicios de valor agregado,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de interconexión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por la provisión de servicios de interconexión.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servicios mayoristas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por la prestación de otros servicios mayoristas a operadores.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Ingresos no operativos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Operaciones financieras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Ingresos procedentes de otras operaciones financieras realizadas por el concesionario </w:t>
            </w:r>
            <w:r w:rsidR="005B4A65" w:rsidRPr="00BB33CC">
              <w:rPr>
                <w:rFonts w:ascii="ITC Avant Garde" w:eastAsia="Times New Roman" w:hAnsi="ITC Avant Garde" w:cs="Arial"/>
                <w:sz w:val="20"/>
                <w:szCs w:val="20"/>
                <w:lang w:val="es-ES" w:eastAsia="es-ES"/>
              </w:rPr>
              <w:t>y/</w:t>
            </w:r>
            <w:r w:rsidRPr="00BB33CC">
              <w:rPr>
                <w:rFonts w:ascii="ITC Avant Garde" w:eastAsia="Times New Roman" w:hAnsi="ITC Avant Garde" w:cs="Arial"/>
                <w:sz w:val="20"/>
                <w:szCs w:val="20"/>
                <w:lang w:val="es-ES" w:eastAsia="es-ES"/>
              </w:rPr>
              <w:t>o autorizado.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Enajenación de activos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Ingresos recibidos por la venta de activos.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Otros ingresos </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Incluye aquellos ingresos no relacionados con la prestación de servicios de telecomunicaciones móviles.</w:t>
            </w:r>
          </w:p>
        </w:tc>
      </w:tr>
    </w:tbl>
    <w:p w:rsidR="002E1156" w:rsidRPr="00BB33CC" w:rsidRDefault="002E1156" w:rsidP="00AF0590">
      <w:pPr>
        <w:pStyle w:val="Normalresolucion"/>
        <w:keepNext/>
        <w:keepLines/>
        <w:spacing w:after="0" w:line="276" w:lineRule="auto"/>
      </w:pPr>
      <w:r w:rsidRPr="00BB33CC">
        <w:t xml:space="preserve">Listado </w:t>
      </w:r>
      <w:r w:rsidRPr="00BB33CC">
        <w:rPr>
          <w:bCs/>
        </w:rPr>
        <w:t>mínimo</w:t>
      </w:r>
      <w:r w:rsidRPr="00BB33CC">
        <w:t xml:space="preserve"> de cuentas de costos </w:t>
      </w:r>
      <w:r w:rsidR="00E61AE1" w:rsidRPr="00BB33CC">
        <w:t xml:space="preserve">operativos, capital empleado y costos asociados al mismo, activo y pasivo circulante, y costos no relevantes para la separación contable </w:t>
      </w:r>
      <w:r w:rsidRPr="00BB33CC">
        <w:t>a desagregar en el Nivel 1:</w:t>
      </w:r>
    </w:p>
    <w:p w:rsidR="002E1156" w:rsidRPr="00BB33CC" w:rsidRDefault="002E1156" w:rsidP="002E1156">
      <w:pPr>
        <w:pStyle w:val="Descripcin"/>
        <w:spacing w:after="240" w:line="240" w:lineRule="auto"/>
        <w:rPr>
          <w:rFonts w:ascii="ITC Avant Garde" w:hAnsi="ITC Avant Garde"/>
          <w:iCs/>
          <w:sz w:val="20"/>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6</w:t>
      </w:r>
      <w:r w:rsidRPr="00BB33CC">
        <w:rPr>
          <w:rFonts w:ascii="ITC Avant Garde" w:hAnsi="ITC Avant Garde"/>
          <w:iCs/>
          <w:sz w:val="20"/>
          <w:lang w:val="es-MX"/>
        </w:rPr>
        <w:fldChar w:fldCharType="end"/>
      </w:r>
      <w:r w:rsidRPr="00BB33CC">
        <w:rPr>
          <w:rFonts w:ascii="ITC Avant Garde" w:hAnsi="ITC Avant Garde"/>
          <w:iCs/>
          <w:sz w:val="20"/>
          <w:lang w:val="es-MX"/>
        </w:rPr>
        <w:t xml:space="preserve">: Listado mínimo de cuentas de costos </w:t>
      </w:r>
      <w:r w:rsidR="00E61AE1" w:rsidRPr="00BB33CC">
        <w:rPr>
          <w:rFonts w:ascii="ITC Avant Garde" w:hAnsi="ITC Avant Garde"/>
          <w:iCs/>
          <w:sz w:val="20"/>
          <w:lang w:val="es-MX"/>
        </w:rPr>
        <w:t xml:space="preserve">operativos, capital empleado y costos asociados al mismo, activo y pasivo circulante, y costos no relevantes para la separación contable </w:t>
      </w:r>
      <w:r w:rsidRPr="00BB33CC">
        <w:rPr>
          <w:rFonts w:ascii="ITC Avant Garde" w:hAnsi="ITC Avant Garde"/>
          <w:iCs/>
          <w:sz w:val="20"/>
          <w:lang w:val="es-MX"/>
        </w:rPr>
        <w:t>a desagregar en el Nivel 1 de operadores de telecomunicaciones móviles</w:t>
      </w:r>
    </w:p>
    <w:tbl>
      <w:tblPr>
        <w:tblW w:w="5000" w:type="pct"/>
        <w:jc w:val="center"/>
        <w:tblLayout w:type="fixed"/>
        <w:tblCellMar>
          <w:left w:w="70" w:type="dxa"/>
          <w:right w:w="70" w:type="dxa"/>
        </w:tblCellMar>
        <w:tblLook w:val="04A0" w:firstRow="1" w:lastRow="0" w:firstColumn="1" w:lastColumn="0" w:noHBand="0" w:noVBand="1"/>
      </w:tblPr>
      <w:tblGrid>
        <w:gridCol w:w="2409"/>
        <w:gridCol w:w="6429"/>
      </w:tblGrid>
      <w:tr w:rsidR="002E1156" w:rsidRPr="00BB33CC" w:rsidTr="00674BDD">
        <w:trPr>
          <w:trHeight w:val="340"/>
          <w:tblHeader/>
          <w:jc w:val="center"/>
        </w:trPr>
        <w:tc>
          <w:tcPr>
            <w:tcW w:w="1363" w:type="pct"/>
            <w:tcBorders>
              <w:top w:val="nil"/>
              <w:left w:val="nil"/>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lastRenderedPageBreak/>
              <w:t>Categoría</w:t>
            </w:r>
          </w:p>
        </w:tc>
        <w:tc>
          <w:tcPr>
            <w:tcW w:w="3637" w:type="pct"/>
            <w:tcBorders>
              <w:top w:val="nil"/>
              <w:left w:val="single" w:sz="4" w:space="0" w:color="FFFFFF" w:themeColor="background1"/>
              <w:bottom w:val="single" w:sz="4" w:space="0" w:color="244062"/>
              <w:right w:val="nil"/>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operativos</w:t>
            </w:r>
            <w:r w:rsidR="00E61AE1" w:rsidRPr="00BB33CC">
              <w:rPr>
                <w:rFonts w:ascii="ITC Avant Garde" w:eastAsia="Times New Roman" w:hAnsi="ITC Avant Garde" w:cs="Arial"/>
                <w:b/>
                <w:bCs/>
                <w:sz w:val="20"/>
                <w:lang w:val="es-ES" w:eastAsia="es-ES"/>
              </w:rPr>
              <w:t>, capital empleado y costos asociados al mismo, activo y pasivo circulante, y costos no relevantes para la separación contable</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Acceso Internet internacional</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el acceso a Internet internacional.</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Terminación móvil de voz nacional</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causado por el servicio de terminación de tráfico de voz en una red móvil, en concepto de conmutación y transmisión del tráfico de minutos de voz que el proveedor recibe en un punto de interconexión convenido para su entrega al usuario final.</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Terminación móvil de voz internacional</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la terminación de tráfico de la red de telefonía móvil en las redes de terceros operadores internacionales.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nacional – voz</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el uso de la red de terceros en México para cursar tráfico de voz.</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nacional – datos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el uso de la red de terceros en México para cursar tráfico de datos.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nacional – mensajes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el uso de la red de terceros en México para cursar tráfico de mensajes.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internacional – voz</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el uso de la red internacional de terceros para cursar tráfico de voz.</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internacional – datos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el uso de la red internacional de terceros para cursar tráfico de datos.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i/>
                <w:sz w:val="20"/>
                <w:szCs w:val="20"/>
                <w:lang w:val="es-ES" w:eastAsia="es-ES"/>
              </w:rPr>
              <w:t>Roaming</w:t>
            </w:r>
            <w:r w:rsidRPr="00BB33CC">
              <w:rPr>
                <w:rFonts w:ascii="ITC Avant Garde" w:eastAsia="Times New Roman" w:hAnsi="ITC Avant Garde" w:cs="Arial"/>
                <w:sz w:val="20"/>
                <w:szCs w:val="20"/>
                <w:lang w:val="es-ES" w:eastAsia="es-ES"/>
              </w:rPr>
              <w:t xml:space="preserve"> internacional - mensajes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 por el uso de la red internacional de terceros para cursar tráfico de mensajes.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directos de la venta de equipos terminales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Contiene los costos relativos a los equipos terminales vendidos a los usuarios finales.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Personal</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de sueldos y salarios, incentivos, aportaciones a planes de pensiones y costos del seguro social.</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Arrendamientos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de arrendamiento de estaciones base, edificios, circuitos de red, etc.</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Reparaciones y mantenimiento</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de reparaciones y mantenimiento de los elementos de red y otros que no pertenecen a la red.</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Energía</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Contiene los costos derivados del uso de energía eléctrica por el operador.</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Comisiones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de las liquidaciones realizadas a los distribuidores por comisiones asociadas a la suscripción, permanencia y fidelización de clientes, entre otros.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profesionales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Pagos a profesion</w:t>
            </w:r>
            <w:r w:rsidR="00674BDD" w:rsidRPr="00BB33CC">
              <w:rPr>
                <w:rFonts w:ascii="ITC Avant Garde" w:eastAsia="Times New Roman" w:hAnsi="ITC Avant Garde" w:cs="Arial"/>
                <w:sz w:val="20"/>
                <w:szCs w:val="20"/>
                <w:lang w:val="es-ES" w:eastAsia="es-ES"/>
              </w:rPr>
              <w:t>al</w:t>
            </w:r>
            <w:r w:rsidRPr="00BB33CC">
              <w:rPr>
                <w:rFonts w:ascii="ITC Avant Garde" w:eastAsia="Times New Roman" w:hAnsi="ITC Avant Garde" w:cs="Arial"/>
                <w:sz w:val="20"/>
                <w:szCs w:val="20"/>
                <w:lang w:val="es-ES" w:eastAsia="es-ES"/>
              </w:rPr>
              <w:t>es (auditores, consultores, etc.) y por servicios suplementarios o contenidos a terceros.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Publicidad</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Compra de espacios publicitarios y patrocinios, campañas publicitarias, eventos, ferias y exposiciones, etc.</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Suministros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asociados al alquiler de circuitos y otros suministros.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lastRenderedPageBreak/>
              <w:t>Tasas e impuestos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Pagos realizados en concepto de tasas e impuestos. Estos deberán estar relacionados con la actividad del negocio y no incluirán impuestos por beneficios.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Inventarios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relativos a la variación de inventarios.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costos por operaciones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relativos a la subcontratación de determinados servicios, costos de facturación, etc.</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Capital empleado y costos asociados al mismo</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Propiedad industrial</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al distintivo comercial y la marca.</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Aplicaciones informáticas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Contiene los costos de los elementos de </w:t>
            </w:r>
            <w:r w:rsidRPr="00BB33CC">
              <w:rPr>
                <w:rFonts w:ascii="ITC Avant Garde" w:eastAsia="Times New Roman" w:hAnsi="ITC Avant Garde" w:cs="Arial"/>
                <w:i/>
                <w:sz w:val="20"/>
                <w:lang w:val="es-ES" w:eastAsia="es-ES"/>
              </w:rPr>
              <w:t>software</w:t>
            </w:r>
            <w:r w:rsidRPr="00BB33CC">
              <w:rPr>
                <w:rFonts w:ascii="ITC Avant Garde" w:eastAsia="Times New Roman" w:hAnsi="ITC Avant Garde" w:cs="Arial"/>
                <w:sz w:val="20"/>
                <w:lang w:val="es-ES" w:eastAsia="es-ES"/>
              </w:rPr>
              <w:t xml:space="preserve"> de equipos de red y de los sistemas informáticos corporativos.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Terrenos y construcciones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Costos relacionados al capital de los bienes </w:t>
            </w:r>
            <w:r w:rsidR="008B5B9B" w:rsidRPr="00BB33CC">
              <w:rPr>
                <w:rFonts w:ascii="ITC Avant Garde" w:eastAsia="Times New Roman" w:hAnsi="ITC Avant Garde" w:cs="Arial"/>
                <w:sz w:val="20"/>
                <w:lang w:val="es-ES" w:eastAsia="es-ES"/>
              </w:rPr>
              <w:t>inmuebles</w:t>
            </w:r>
            <w:r w:rsidRPr="00BB33CC">
              <w:rPr>
                <w:rFonts w:ascii="ITC Avant Garde" w:eastAsia="Times New Roman" w:hAnsi="ITC Avant Garde" w:cs="Arial"/>
                <w:sz w:val="20"/>
                <w:lang w:val="es-ES" w:eastAsia="es-ES"/>
              </w:rPr>
              <w:t xml:space="preserve"> (terrenos baldíos, edificios, entre otros)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Sistemas de alimentación de energía</w:t>
            </w:r>
          </w:p>
        </w:tc>
        <w:tc>
          <w:tcPr>
            <w:tcW w:w="3637"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 la planta de energía requerida para la puesta en funcionamiento de los equipos de red.</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móvil</w:t>
            </w:r>
          </w:p>
        </w:tc>
        <w:tc>
          <w:tcPr>
            <w:tcW w:w="3637"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los costos relativos a las radio bases de la red móvil.</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Infraestructura de radio bases de acceso</w:t>
            </w:r>
          </w:p>
        </w:tc>
        <w:tc>
          <w:tcPr>
            <w:tcW w:w="3637"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Infraestructura pasiva ubicada en las radio bases de acceso, tal y como casetas, torres, etc.</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transmisión para telefonía móvil</w:t>
            </w:r>
          </w:p>
        </w:tc>
        <w:tc>
          <w:tcPr>
            <w:tcW w:w="3637"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red de transmisión existente entre las radio bases y la red de núcleo.</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conmutación para telefonía móvil</w:t>
            </w:r>
          </w:p>
        </w:tc>
        <w:tc>
          <w:tcPr>
            <w:tcW w:w="3637"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Costos relacionados con la red de conmutación para redes móviles. Se incluirán aquí los costos de controladores y </w:t>
            </w:r>
            <w:r w:rsidRPr="00BB33CC">
              <w:rPr>
                <w:rFonts w:ascii="ITC Avant Garde" w:eastAsia="Times New Roman" w:hAnsi="ITC Avant Garde" w:cs="Arial"/>
                <w:i/>
                <w:iCs/>
                <w:sz w:val="20"/>
                <w:lang w:val="es-ES" w:eastAsia="es-ES"/>
              </w:rPr>
              <w:t>hubs</w:t>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núcleo para telefonía móvil</w:t>
            </w:r>
          </w:p>
        </w:tc>
        <w:tc>
          <w:tcPr>
            <w:tcW w:w="3637" w:type="pct"/>
            <w:tcBorders>
              <w:top w:val="single" w:sz="4" w:space="0" w:color="244062"/>
              <w:left w:val="nil"/>
              <w:bottom w:val="single" w:sz="4" w:space="0" w:color="244062"/>
              <w:right w:val="nil"/>
            </w:tcBorders>
            <w:vAlign w:val="center"/>
          </w:tcPr>
          <w:p w:rsidR="002E1156" w:rsidRPr="00BB33CC" w:rsidRDefault="002E1156" w:rsidP="00FA069E">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y plataformas que conforman la red de núcleo de las redes móviles tales como MGWs, MSCs</w:t>
            </w:r>
            <w:r w:rsidR="00FA069E" w:rsidRPr="00BB33CC">
              <w:rPr>
                <w:rStyle w:val="Refdenotaalpie"/>
                <w:rFonts w:ascii="ITC Avant Garde" w:eastAsia="Times New Roman" w:hAnsi="ITC Avant Garde" w:cs="Arial"/>
                <w:sz w:val="20"/>
                <w:lang w:val="es-ES" w:eastAsia="es-ES"/>
              </w:rPr>
              <w:footnoteReference w:id="79"/>
            </w:r>
            <w:r w:rsidRPr="00BB33CC">
              <w:rPr>
                <w:rFonts w:ascii="ITC Avant Garde" w:eastAsia="Times New Roman" w:hAnsi="ITC Avant Garde" w:cs="Arial"/>
                <w:sz w:val="20"/>
                <w:lang w:val="es-ES" w:eastAsia="es-ES"/>
              </w:rPr>
              <w:t xml:space="preserve"> o GGSNs</w:t>
            </w:r>
            <w:r w:rsidR="00FA069E" w:rsidRPr="00BB33CC">
              <w:rPr>
                <w:rStyle w:val="Refdenotaalpie"/>
                <w:rFonts w:ascii="ITC Avant Garde" w:eastAsia="Times New Roman" w:hAnsi="ITC Avant Garde" w:cs="Arial"/>
                <w:sz w:val="20"/>
                <w:lang w:val="es-ES" w:eastAsia="es-ES"/>
              </w:rPr>
              <w:footnoteReference w:id="80"/>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Otra infraestructura de red</w:t>
            </w:r>
          </w:p>
        </w:tc>
        <w:tc>
          <w:tcPr>
            <w:tcW w:w="3637"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Otras infraestructuras asociadas a la red, como ductos o postes.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soporte</w:t>
            </w:r>
          </w:p>
        </w:tc>
        <w:tc>
          <w:tcPr>
            <w:tcW w:w="3637"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Incluye otros equipos de soporte necesarios para el desarrollo de la actividad de telecomunicaciones móviles.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terminales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los equipos terminales.</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Activos accesorios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 elementos de soporte a las operaciones tales como mobiliario, herramientas y elementos de transporte.</w:t>
            </w:r>
          </w:p>
        </w:tc>
      </w:tr>
      <w:tr w:rsidR="002E1156" w:rsidRPr="00BB33CC" w:rsidTr="00674BDD">
        <w:trPr>
          <w:trHeight w:val="345"/>
          <w:jc w:val="center"/>
        </w:trPr>
        <w:tc>
          <w:tcPr>
            <w:tcW w:w="5000" w:type="pct"/>
            <w:gridSpan w:val="2"/>
            <w:tcBorders>
              <w:top w:val="single" w:sz="4" w:space="0" w:color="244062"/>
              <w:left w:val="nil"/>
              <w:right w:val="nil"/>
            </w:tcBorders>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Activo y pasivo circulante</w:t>
            </w:r>
          </w:p>
        </w:tc>
      </w:tr>
      <w:tr w:rsidR="002E1156" w:rsidRPr="00BB33CC" w:rsidTr="00674BDD">
        <w:trPr>
          <w:trHeight w:val="345"/>
          <w:jc w:val="center"/>
        </w:trPr>
        <w:tc>
          <w:tcPr>
            <w:tcW w:w="1363" w:type="pct"/>
            <w:tcBorders>
              <w:top w:val="single" w:sz="4" w:space="0" w:color="244062"/>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Efectivo y equivalentes</w:t>
            </w:r>
          </w:p>
        </w:tc>
        <w:tc>
          <w:tcPr>
            <w:tcW w:w="3637" w:type="pct"/>
            <w:tcBorders>
              <w:top w:val="single" w:sz="4" w:space="0" w:color="244062"/>
              <w:left w:val="nil"/>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Aquellos bienes que proporcionan liquidez inmediata al operador necesaria para realizar sus operaciones de telecomunicaciones.</w:t>
            </w:r>
          </w:p>
        </w:tc>
      </w:tr>
      <w:tr w:rsidR="002E1156" w:rsidRPr="00BB33CC" w:rsidTr="00674BDD">
        <w:trPr>
          <w:trHeight w:val="345"/>
          <w:jc w:val="center"/>
        </w:trPr>
        <w:tc>
          <w:tcPr>
            <w:tcW w:w="1363" w:type="pct"/>
            <w:tcBorders>
              <w:top w:val="single" w:sz="4" w:space="0" w:color="244062"/>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Cuentas por cobrar</w:t>
            </w:r>
          </w:p>
        </w:tc>
        <w:tc>
          <w:tcPr>
            <w:tcW w:w="3637" w:type="pct"/>
            <w:tcBorders>
              <w:top w:val="single" w:sz="4" w:space="0" w:color="244062"/>
              <w:left w:val="nil"/>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que recibirá el operador por la provisión de servicios a clientes a través de crédito documentado.</w:t>
            </w:r>
          </w:p>
        </w:tc>
      </w:tr>
      <w:tr w:rsidR="002E1156" w:rsidRPr="00BB33CC" w:rsidTr="00674BDD">
        <w:trPr>
          <w:trHeight w:val="345"/>
          <w:jc w:val="center"/>
        </w:trPr>
        <w:tc>
          <w:tcPr>
            <w:tcW w:w="1363" w:type="pct"/>
            <w:tcBorders>
              <w:top w:val="single" w:sz="4" w:space="0" w:color="244062"/>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Inventarios</w:t>
            </w:r>
          </w:p>
        </w:tc>
        <w:tc>
          <w:tcPr>
            <w:tcW w:w="3637" w:type="pct"/>
            <w:tcBorders>
              <w:top w:val="single" w:sz="4" w:space="0" w:color="244062"/>
              <w:left w:val="nil"/>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Aquellas mercancías provistas por el operador que se encuentran listas para su venta.</w:t>
            </w:r>
          </w:p>
        </w:tc>
      </w:tr>
      <w:tr w:rsidR="002E1156" w:rsidRPr="00BB33CC" w:rsidTr="00674BDD">
        <w:trPr>
          <w:trHeight w:val="345"/>
          <w:jc w:val="center"/>
        </w:trPr>
        <w:tc>
          <w:tcPr>
            <w:tcW w:w="1363" w:type="pct"/>
            <w:tcBorders>
              <w:top w:val="single" w:sz="4" w:space="0" w:color="244062"/>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Otro activo circulante</w:t>
            </w:r>
          </w:p>
        </w:tc>
        <w:tc>
          <w:tcPr>
            <w:tcW w:w="3637" w:type="pct"/>
            <w:tcBorders>
              <w:top w:val="single" w:sz="4" w:space="0" w:color="244062"/>
              <w:left w:val="nil"/>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 activo circulante del operador necesario para el desarrollo de sus operaciones en el sector de telecomunicaciones.</w:t>
            </w:r>
          </w:p>
        </w:tc>
      </w:tr>
      <w:tr w:rsidR="002E1156" w:rsidRPr="00BB33CC" w:rsidTr="00674BDD">
        <w:trPr>
          <w:trHeight w:val="345"/>
          <w:jc w:val="center"/>
        </w:trPr>
        <w:tc>
          <w:tcPr>
            <w:tcW w:w="1363" w:type="pct"/>
            <w:tcBorders>
              <w:top w:val="single" w:sz="4" w:space="0" w:color="244062"/>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Deudas a proveedores (corto plazo)</w:t>
            </w:r>
          </w:p>
        </w:tc>
        <w:tc>
          <w:tcPr>
            <w:tcW w:w="3637" w:type="pct"/>
            <w:tcBorders>
              <w:top w:val="single" w:sz="4" w:space="0" w:color="244062"/>
              <w:left w:val="nil"/>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Deuda a corto plazo (menor a un año) que tiene la empresa con proveedores, así como la porción de deuda a largo plazo que se debe pagar durante este periodo.</w:t>
            </w:r>
          </w:p>
        </w:tc>
      </w:tr>
      <w:tr w:rsidR="002E1156" w:rsidRPr="00BB33CC" w:rsidTr="00674BDD">
        <w:trPr>
          <w:trHeight w:val="345"/>
          <w:jc w:val="center"/>
        </w:trPr>
        <w:tc>
          <w:tcPr>
            <w:tcW w:w="1363" w:type="pct"/>
            <w:tcBorders>
              <w:top w:val="single" w:sz="4" w:space="0" w:color="244062"/>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diferidos</w:t>
            </w:r>
          </w:p>
        </w:tc>
        <w:tc>
          <w:tcPr>
            <w:tcW w:w="3637" w:type="pct"/>
            <w:tcBorders>
              <w:top w:val="single" w:sz="4" w:space="0" w:color="244062"/>
              <w:left w:val="nil"/>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Son los ingresos que la empresa ya recibió por parte de los clientes, mientras que los servicios por dichos ingresos no han sido proporcionados.</w:t>
            </w:r>
          </w:p>
        </w:tc>
      </w:tr>
      <w:tr w:rsidR="002E1156" w:rsidRPr="00BB33CC" w:rsidTr="00674BDD">
        <w:trPr>
          <w:trHeight w:val="345"/>
          <w:jc w:val="center"/>
        </w:trPr>
        <w:tc>
          <w:tcPr>
            <w:tcW w:w="1363" w:type="pct"/>
            <w:tcBorders>
              <w:top w:val="single" w:sz="4" w:space="0" w:color="244062"/>
              <w:left w:val="nil"/>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 pasivo circulante</w:t>
            </w:r>
          </w:p>
        </w:tc>
        <w:tc>
          <w:tcPr>
            <w:tcW w:w="3637" w:type="pct"/>
            <w:tcBorders>
              <w:top w:val="single" w:sz="4" w:space="0" w:color="244062"/>
              <w:left w:val="nil"/>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 pasivo circulante del operador asociado con sus actividades en el sector de telecomunicaciones.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no relevantes para la separación contable</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financieros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Ajustes de depreciación</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p>
        </w:tc>
      </w:tr>
      <w:tr w:rsidR="002E1156" w:rsidRPr="00BB33CC" w:rsidTr="00674BDD">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Otras partidas de costos</w:t>
            </w:r>
          </w:p>
        </w:tc>
        <w:tc>
          <w:tcPr>
            <w:tcW w:w="3637" w:type="pct"/>
            <w:tcBorders>
              <w:top w:val="single" w:sz="4" w:space="0" w:color="244062"/>
              <w:left w:val="nil"/>
              <w:bottom w:val="single" w:sz="4" w:space="0" w:color="244062"/>
              <w:right w:val="nil"/>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los servicios de telecomunicaciones móviles.</w:t>
            </w:r>
          </w:p>
        </w:tc>
      </w:tr>
    </w:tbl>
    <w:p w:rsidR="002E1156" w:rsidRPr="00BB33CC" w:rsidRDefault="002E1156" w:rsidP="002E1156">
      <w:pPr>
        <w:pStyle w:val="Normalresolucion"/>
      </w:pPr>
    </w:p>
    <w:p w:rsidR="002E1156" w:rsidRPr="00BB33CC" w:rsidRDefault="002E1156" w:rsidP="00AF0590">
      <w:pPr>
        <w:pStyle w:val="Normalresolucion"/>
        <w:spacing w:after="0" w:line="276" w:lineRule="auto"/>
      </w:pPr>
      <w:r w:rsidRPr="00BB33CC">
        <w:t xml:space="preserve">Listado </w:t>
      </w:r>
      <w:r w:rsidRPr="00BB33CC">
        <w:rPr>
          <w:bCs/>
        </w:rPr>
        <w:t>mínimo</w:t>
      </w:r>
      <w:r w:rsidRPr="00BB33CC">
        <w:t xml:space="preserve"> de cuentas a desagregar en el Nivel 2:</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7</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cuentas a desagregar en el Nivel 2 de operadores de telecomunicaciones móviles</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2E1156" w:rsidRPr="00BB33CC" w:rsidTr="00674BDD">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Componentes de red</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Red de acceso</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Elementos de infraestructura pasiva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Espacio en torre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Espacio en estructuras arriostradas o auto-soportas, sean mástiles, postes o torres y cualquier otra destinadas a la instalación de antenas de radiocomunicación.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Espacio en piso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Espacios físicos en sitios diversos a las torres, tales como suelo, tejados, techos, azoteas, para la instalación de equipos transceptores, así como sus auxiliares (tales como sistemas de fuerza y/o bancos de batería de respaldo, sistemas de aire acondicionado, alarmas y demás elementos activos).</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auto"/>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Elementos de infraestructura activa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Equipos de acceso 2G</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de infraestructura activos para las estaciones base de la red de acceso 2G. Incluyendo las BTS</w:t>
            </w:r>
            <w:r w:rsidRPr="00BB33CC">
              <w:rPr>
                <w:rStyle w:val="Refdenotaalpie"/>
                <w:rFonts w:ascii="ITC Avant Garde" w:eastAsia="Times New Roman" w:hAnsi="ITC Avant Garde" w:cs="Arial"/>
                <w:sz w:val="20"/>
                <w:lang w:val="es-ES" w:eastAsia="es-ES"/>
              </w:rPr>
              <w:footnoteReference w:id="81"/>
            </w:r>
            <w:r w:rsidRPr="00BB33CC">
              <w:rPr>
                <w:rFonts w:ascii="ITC Avant Garde" w:eastAsia="Times New Roman" w:hAnsi="ITC Avant Garde" w:cs="Arial"/>
                <w:sz w:val="20"/>
                <w:lang w:val="es-ES" w:eastAsia="es-ES"/>
              </w:rPr>
              <w:t>, así como sus antenas y transmisores correspondientes.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de acceso 3G</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de infraestructura activos para las estaciones base de la red de acceso 3G. Incluyendo los Nodos</w:t>
            </w:r>
            <w:r w:rsidR="00FA069E" w:rsidRPr="00BB33CC">
              <w:rPr>
                <w:rFonts w:ascii="ITC Avant Garde" w:eastAsia="Times New Roman" w:hAnsi="ITC Avant Garde" w:cs="Arial"/>
                <w:sz w:val="20"/>
                <w:lang w:val="es-ES" w:eastAsia="es-ES"/>
              </w:rPr>
              <w:t xml:space="preserve"> </w:t>
            </w:r>
            <w:r w:rsidRPr="00BB33CC">
              <w:rPr>
                <w:rFonts w:ascii="ITC Avant Garde" w:eastAsia="Times New Roman" w:hAnsi="ITC Avant Garde" w:cs="Arial"/>
                <w:sz w:val="20"/>
                <w:lang w:val="es-ES" w:eastAsia="es-ES"/>
              </w:rPr>
              <w:t>B, así como sus antenas y transmisores correspondientes.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de acceso 4G</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de infraestructura activos para las estaciones base de la red de acceso 4G. Incluyendo los eNodos</w:t>
            </w:r>
            <w:r w:rsidR="00FA069E" w:rsidRPr="00BB33CC">
              <w:rPr>
                <w:rFonts w:ascii="ITC Avant Garde" w:eastAsia="Times New Roman" w:hAnsi="ITC Avant Garde" w:cs="Arial"/>
                <w:sz w:val="20"/>
                <w:lang w:val="es-ES" w:eastAsia="es-ES"/>
              </w:rPr>
              <w:t xml:space="preserve"> </w:t>
            </w:r>
            <w:r w:rsidRPr="00BB33CC">
              <w:rPr>
                <w:rFonts w:ascii="ITC Avant Garde" w:eastAsia="Times New Roman" w:hAnsi="ITC Avant Garde" w:cs="Arial"/>
                <w:sz w:val="20"/>
                <w:lang w:val="es-ES" w:eastAsia="es-ES"/>
              </w:rPr>
              <w:t>B, así como sus antenas y transmisores correspondientes.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Single RAN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Conjunto de equipos de acceso que permiten la prestación simultánea de servicios de telefonía móvil bajo tecnologías 2G, 3G y 4G indistintamente.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Sistemas de aire acondicionado</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Constituido por aquellos que se encuentren al interior del sitio y que no formen parte o se encuentren integrados a cualquier elemento activo en el sitio.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auxiliares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Canalizaciones, elementos de seguridad (restrictores de acceso), instalaciones de equipo y alimentaciones conexas, existentes en el sitio.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elementos de la red de acceso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la red de acceso móvil.</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Red de agregación y transporte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Enlaces sitios de acceso </w:t>
            </w:r>
            <w:r w:rsidR="0037096E" w:rsidRPr="00BB33CC">
              <w:rPr>
                <w:rFonts w:ascii="ITC Avant Garde" w:eastAsia="Times New Roman" w:hAnsi="ITC Avant Garde" w:cs="Arial"/>
                <w:sz w:val="20"/>
                <w:szCs w:val="20"/>
                <w:lang w:val="es-ES" w:eastAsia="es-ES"/>
              </w:rPr>
              <w:t xml:space="preserve">- </w:t>
            </w:r>
            <w:r w:rsidRPr="00BB33CC">
              <w:rPr>
                <w:rFonts w:ascii="ITC Avant Garde" w:eastAsia="Times New Roman" w:hAnsi="ITC Avant Garde" w:cs="Arial"/>
                <w:sz w:val="20"/>
                <w:szCs w:val="20"/>
                <w:lang w:val="es-ES" w:eastAsia="es-ES"/>
              </w:rPr>
              <w:t>controladores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Elementos de conexión entre equipos de acceso (BTS, Nodos</w:t>
            </w:r>
            <w:r w:rsidR="00FA069E" w:rsidRPr="00BB33CC">
              <w:rPr>
                <w:rFonts w:ascii="ITC Avant Garde" w:eastAsia="Times New Roman" w:hAnsi="ITC Avant Garde" w:cs="Arial"/>
                <w:sz w:val="20"/>
                <w:szCs w:val="20"/>
                <w:lang w:val="es-ES" w:eastAsia="es-ES"/>
              </w:rPr>
              <w:t xml:space="preserve"> </w:t>
            </w:r>
            <w:r w:rsidRPr="00BB33CC">
              <w:rPr>
                <w:rFonts w:ascii="ITC Avant Garde" w:eastAsia="Times New Roman" w:hAnsi="ITC Avant Garde" w:cs="Arial"/>
                <w:sz w:val="20"/>
                <w:szCs w:val="20"/>
                <w:lang w:val="es-ES" w:eastAsia="es-ES"/>
              </w:rPr>
              <w:t>B o eNodos</w:t>
            </w:r>
            <w:r w:rsidR="00FA069E" w:rsidRPr="00BB33CC">
              <w:rPr>
                <w:rFonts w:ascii="ITC Avant Garde" w:eastAsia="Times New Roman" w:hAnsi="ITC Avant Garde" w:cs="Arial"/>
                <w:sz w:val="20"/>
                <w:szCs w:val="20"/>
                <w:lang w:val="es-ES" w:eastAsia="es-ES"/>
              </w:rPr>
              <w:t xml:space="preserve"> </w:t>
            </w:r>
            <w:r w:rsidRPr="00BB33CC">
              <w:rPr>
                <w:rFonts w:ascii="ITC Avant Garde" w:eastAsia="Times New Roman" w:hAnsi="ITC Avant Garde" w:cs="Arial"/>
                <w:sz w:val="20"/>
                <w:szCs w:val="20"/>
                <w:lang w:val="es-ES" w:eastAsia="es-ES"/>
              </w:rPr>
              <w:t>B) y equipos controladores (BSC</w:t>
            </w:r>
            <w:r w:rsidRPr="00BB33CC">
              <w:rPr>
                <w:rStyle w:val="Refdenotaalpie"/>
                <w:rFonts w:ascii="ITC Avant Garde" w:eastAsia="Times New Roman" w:hAnsi="ITC Avant Garde" w:cs="Arial"/>
                <w:sz w:val="20"/>
                <w:szCs w:val="20"/>
                <w:lang w:val="es-ES" w:eastAsia="es-ES"/>
              </w:rPr>
              <w:footnoteReference w:id="82"/>
            </w:r>
            <w:r w:rsidRPr="00BB33CC">
              <w:rPr>
                <w:rFonts w:ascii="ITC Avant Garde" w:eastAsia="Times New Roman" w:hAnsi="ITC Avant Garde" w:cs="Arial"/>
                <w:sz w:val="20"/>
                <w:szCs w:val="20"/>
                <w:lang w:val="es-ES" w:eastAsia="es-ES"/>
              </w:rPr>
              <w:t>, RNC</w:t>
            </w:r>
            <w:r w:rsidRPr="00BB33CC">
              <w:rPr>
                <w:rStyle w:val="Refdenotaalpie"/>
                <w:rFonts w:ascii="ITC Avant Garde" w:eastAsia="Times New Roman" w:hAnsi="ITC Avant Garde" w:cs="Arial"/>
                <w:sz w:val="20"/>
                <w:szCs w:val="20"/>
                <w:lang w:val="es-ES" w:eastAsia="es-ES"/>
              </w:rPr>
              <w:footnoteReference w:id="83"/>
            </w:r>
            <w:r w:rsidR="00553F7C" w:rsidRPr="00BB33CC">
              <w:rPr>
                <w:rFonts w:ascii="ITC Avant Garde" w:eastAsia="Times New Roman" w:hAnsi="ITC Avant Garde" w:cs="Arial"/>
                <w:sz w:val="20"/>
                <w:szCs w:val="20"/>
                <w:lang w:val="es-ES" w:eastAsia="es-ES"/>
              </w:rPr>
              <w:t>, entre otros</w:t>
            </w:r>
            <w:r w:rsidRPr="00BB33CC">
              <w:rPr>
                <w:rFonts w:ascii="ITC Avant Garde" w:eastAsia="Times New Roman" w:hAnsi="ITC Avant Garde" w:cs="Arial"/>
                <w:sz w:val="20"/>
                <w:szCs w:val="20"/>
                <w:lang w:val="es-ES" w:eastAsia="es-ES"/>
              </w:rPr>
              <w:t>).</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Enlaces controladores - núcleo </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Elementos de conexión entre controladores de red y centrales de núcleo.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Enlaces controlador - controlador</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Elementos de conexión entre controladores de red.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Enlaces núcleo - núcleo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Elementos de conexión entre centrales de núcleo.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Enlaces submarinos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Elementos de transmisión submarinos.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enlaces de transmisión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enlaces en la red de transmisión móvil.</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Red de núcleo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BSC</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Componente con las funciones de control de una o más estaciones transceptoras base (BTS, por sus siglas en inglés), así como también es responsable del control de la utilización y la integridad de los recursos radioeléctricos.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RNC</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Componente dentro de la Red Móvil Terrestre Pública (PLMN, por sus siglas en inglés) con las funciones de control de uno o más Nodo</w:t>
            </w:r>
            <w:r w:rsidRPr="00BB33CC">
              <w:rPr>
                <w:rFonts w:ascii="ITC Avant Garde" w:eastAsia="Times New Roman" w:hAnsi="ITC Avant Garde" w:cs="Arial"/>
                <w:i/>
                <w:sz w:val="20"/>
                <w:szCs w:val="20"/>
                <w:lang w:val="es-ES" w:eastAsia="es-ES"/>
              </w:rPr>
              <w:t xml:space="preserve"> B</w:t>
            </w:r>
            <w:r w:rsidRPr="00BB33CC">
              <w:rPr>
                <w:rFonts w:ascii="ITC Avant Garde" w:eastAsia="Times New Roman" w:hAnsi="ITC Avant Garde" w:cs="Arial"/>
                <w:sz w:val="20"/>
                <w:szCs w:val="20"/>
                <w:lang w:val="es-ES" w:eastAsia="es-ES"/>
              </w:rPr>
              <w:t>, así como también es responsable del control de la utilización y la integridad de los recursos radioeléctricos.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lastRenderedPageBreak/>
              <w:t>Sitios de núcleo (edificaciones)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Componente que funge como interfaz de traducción bidireccional entre una red de conmutación de paquetes y una red de conmutación de circuitos.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A41EF7"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lang w:val="en-GB" w:eastAsia="es-ES"/>
              </w:rPr>
              <w:t>Compuerta de Medios (MGW</w:t>
            </w:r>
            <w:r w:rsidRPr="00BB33CC">
              <w:rPr>
                <w:rStyle w:val="Refdenotaalpie"/>
                <w:rFonts w:ascii="ITC Avant Garde" w:eastAsia="Times New Roman" w:hAnsi="ITC Avant Garde" w:cs="Arial"/>
                <w:sz w:val="20"/>
                <w:lang w:val="en-GB" w:eastAsia="es-ES"/>
              </w:rPr>
              <w:footnoteReference w:id="84"/>
            </w:r>
            <w:r w:rsidRPr="00BB33CC">
              <w:rPr>
                <w:rFonts w:ascii="ITC Avant Garde" w:eastAsia="Times New Roman" w:hAnsi="ITC Avant Garde" w:cs="Arial"/>
                <w:sz w:val="20"/>
                <w:lang w:val="en-GB"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del transporte a nivel físico de las llamadas de voz y video en la red móvil.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A41EF7"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t>Servidor Central de Conmutación Móvil</w:t>
            </w:r>
            <w:r w:rsidR="002E1156" w:rsidRPr="00BB33CC">
              <w:rPr>
                <w:rFonts w:ascii="ITC Avant Garde" w:eastAsia="Times New Roman" w:hAnsi="ITC Avant Garde" w:cs="Arial"/>
                <w:sz w:val="20"/>
                <w:szCs w:val="20"/>
                <w:lang w:eastAsia="es-ES"/>
              </w:rPr>
              <w:t xml:space="preserve"> (MSCS</w:t>
            </w:r>
            <w:r w:rsidRPr="00BB33CC">
              <w:rPr>
                <w:rStyle w:val="Refdenotaalpie"/>
                <w:rFonts w:ascii="ITC Avant Garde" w:eastAsia="Times New Roman" w:hAnsi="ITC Avant Garde" w:cs="Arial"/>
                <w:sz w:val="20"/>
                <w:szCs w:val="20"/>
                <w:lang w:val="en-GB" w:eastAsia="es-ES"/>
              </w:rPr>
              <w:footnoteReference w:id="85"/>
            </w:r>
            <w:r w:rsidR="002E1156" w:rsidRPr="00BB33CC">
              <w:rPr>
                <w:rFonts w:ascii="ITC Avant Garde" w:eastAsia="Times New Roman" w:hAnsi="ITC Avant Garde" w:cs="Arial"/>
                <w:sz w:val="20"/>
                <w:szCs w:val="20"/>
                <w:lang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 la gestión de control de llamadas de voz y vídeo en la red móvil.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0651CD"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t>Centro de Servicio de Mensajes Cortos</w:t>
            </w:r>
            <w:r w:rsidR="002E1156" w:rsidRPr="00BB33CC">
              <w:rPr>
                <w:rFonts w:ascii="ITC Avant Garde" w:eastAsia="Times New Roman" w:hAnsi="ITC Avant Garde" w:cs="Arial"/>
                <w:sz w:val="20"/>
                <w:szCs w:val="20"/>
                <w:lang w:eastAsia="es-ES"/>
              </w:rPr>
              <w:t xml:space="preserve"> (SMSC</w:t>
            </w:r>
            <w:r w:rsidRPr="00BB33CC">
              <w:rPr>
                <w:rStyle w:val="Refdenotaalpie"/>
                <w:rFonts w:ascii="ITC Avant Garde" w:eastAsia="Times New Roman" w:hAnsi="ITC Avant Garde" w:cs="Arial"/>
                <w:sz w:val="20"/>
                <w:szCs w:val="20"/>
                <w:lang w:val="en-GB" w:eastAsia="es-ES"/>
              </w:rPr>
              <w:footnoteReference w:id="86"/>
            </w:r>
            <w:r w:rsidR="002E1156" w:rsidRPr="00BB33CC">
              <w:rPr>
                <w:rFonts w:ascii="ITC Avant Garde" w:eastAsia="Times New Roman" w:hAnsi="ITC Avant Garde" w:cs="Arial"/>
                <w:sz w:val="20"/>
                <w:szCs w:val="20"/>
                <w:lang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 la gestión, entrega y almacenamiento de mensajes de texto cortos en la red móvil.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0651CD"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t>Centro de Servicio de Mensajes Multimedia</w:t>
            </w:r>
            <w:r w:rsidR="002E1156" w:rsidRPr="00BB33CC">
              <w:rPr>
                <w:rFonts w:ascii="ITC Avant Garde" w:eastAsia="Times New Roman" w:hAnsi="ITC Avant Garde" w:cs="Arial"/>
                <w:sz w:val="20"/>
                <w:szCs w:val="20"/>
                <w:lang w:eastAsia="es-ES"/>
              </w:rPr>
              <w:t xml:space="preserve"> (MMSC</w:t>
            </w:r>
            <w:r w:rsidRPr="00BB33CC">
              <w:rPr>
                <w:rStyle w:val="Refdenotaalpie"/>
                <w:rFonts w:ascii="ITC Avant Garde" w:eastAsia="Times New Roman" w:hAnsi="ITC Avant Garde" w:cs="Arial"/>
                <w:sz w:val="20"/>
                <w:szCs w:val="20"/>
                <w:lang w:val="en-GB" w:eastAsia="es-ES"/>
              </w:rPr>
              <w:footnoteReference w:id="87"/>
            </w:r>
            <w:r w:rsidR="002E1156" w:rsidRPr="00BB33CC">
              <w:rPr>
                <w:rFonts w:ascii="ITC Avant Garde" w:eastAsia="Times New Roman" w:hAnsi="ITC Avant Garde" w:cs="Arial"/>
                <w:sz w:val="20"/>
                <w:szCs w:val="20"/>
                <w:lang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 la gestión, entrega y almacenamiento de mensajes multimedia en la red móvil.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0651CD"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t>N</w:t>
            </w:r>
            <w:r w:rsidR="00890233" w:rsidRPr="00BB33CC">
              <w:rPr>
                <w:rFonts w:ascii="ITC Avant Garde" w:eastAsia="Times New Roman" w:hAnsi="ITC Avant Garde" w:cs="Arial"/>
                <w:sz w:val="20"/>
                <w:szCs w:val="20"/>
                <w:lang w:eastAsia="es-ES"/>
              </w:rPr>
              <w:t>odo de S</w:t>
            </w:r>
            <w:r w:rsidRPr="00BB33CC">
              <w:rPr>
                <w:rFonts w:ascii="ITC Avant Garde" w:eastAsia="Times New Roman" w:hAnsi="ITC Avant Garde" w:cs="Arial"/>
                <w:sz w:val="20"/>
                <w:szCs w:val="20"/>
                <w:lang w:eastAsia="es-ES"/>
              </w:rPr>
              <w:t xml:space="preserve">oporte de Compuerta </w:t>
            </w:r>
            <w:r w:rsidR="00890233" w:rsidRPr="00BB33CC">
              <w:rPr>
                <w:rFonts w:ascii="ITC Avant Garde" w:eastAsia="Times New Roman" w:hAnsi="ITC Avant Garde" w:cs="Arial"/>
                <w:sz w:val="20"/>
                <w:szCs w:val="20"/>
                <w:lang w:eastAsia="es-ES"/>
              </w:rPr>
              <w:t>de Servicio</w:t>
            </w:r>
            <w:r w:rsidRPr="00BB33CC">
              <w:rPr>
                <w:rFonts w:ascii="ITC Avant Garde" w:eastAsia="Times New Roman" w:hAnsi="ITC Avant Garde" w:cs="Arial"/>
                <w:sz w:val="20"/>
                <w:szCs w:val="20"/>
                <w:lang w:eastAsia="es-ES"/>
              </w:rPr>
              <w:t xml:space="preserve"> General de Paquetes Vía Radio</w:t>
            </w:r>
            <w:r w:rsidRPr="00BB33CC">
              <w:rPr>
                <w:rFonts w:ascii="ITC Avant Garde" w:eastAsia="Times New Roman" w:hAnsi="ITC Avant Garde" w:cs="Arial"/>
                <w:i/>
                <w:sz w:val="20"/>
                <w:szCs w:val="20"/>
                <w:lang w:eastAsia="es-ES"/>
              </w:rPr>
              <w:t xml:space="preserve"> </w:t>
            </w:r>
            <w:r w:rsidR="002E1156" w:rsidRPr="00BB33CC">
              <w:rPr>
                <w:rFonts w:ascii="ITC Avant Garde" w:eastAsia="Times New Roman" w:hAnsi="ITC Avant Garde" w:cs="Arial"/>
                <w:sz w:val="20"/>
                <w:szCs w:val="20"/>
                <w:lang w:eastAsia="es-ES"/>
              </w:rPr>
              <w:t>(GGSN</w:t>
            </w:r>
            <w:r w:rsidR="00890233" w:rsidRPr="00BB33CC">
              <w:rPr>
                <w:rStyle w:val="Refdenotaalpie"/>
                <w:rFonts w:ascii="ITC Avant Garde" w:eastAsia="Times New Roman" w:hAnsi="ITC Avant Garde" w:cs="Arial"/>
                <w:i/>
                <w:sz w:val="20"/>
                <w:szCs w:val="20"/>
                <w:lang w:val="en-GB" w:eastAsia="es-ES"/>
              </w:rPr>
              <w:footnoteReference w:id="88"/>
            </w:r>
            <w:r w:rsidR="002E1156" w:rsidRPr="00BB33CC">
              <w:rPr>
                <w:rFonts w:ascii="ITC Avant Garde" w:eastAsia="Times New Roman" w:hAnsi="ITC Avant Garde" w:cs="Arial"/>
                <w:sz w:val="20"/>
                <w:szCs w:val="20"/>
                <w:lang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 la gestión del tráfico de paquetes en la red, habilitando la conectividad entre la red móvil y otras redes de paquetes, como el acceso a Internet.</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890233"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t>Nodo de Soporte de Servicio General de Paquetes Vía Radio</w:t>
            </w:r>
            <w:r w:rsidRPr="00BB33CC">
              <w:rPr>
                <w:rFonts w:ascii="ITC Avant Garde" w:eastAsia="Times New Roman" w:hAnsi="ITC Avant Garde" w:cs="Arial"/>
                <w:i/>
                <w:sz w:val="20"/>
                <w:szCs w:val="20"/>
                <w:lang w:eastAsia="es-ES"/>
              </w:rPr>
              <w:t xml:space="preserve"> </w:t>
            </w:r>
            <w:r w:rsidR="002E1156" w:rsidRPr="00BB33CC">
              <w:rPr>
                <w:rFonts w:ascii="ITC Avant Garde" w:eastAsia="Times New Roman" w:hAnsi="ITC Avant Garde" w:cs="Arial"/>
                <w:sz w:val="20"/>
                <w:szCs w:val="20"/>
                <w:lang w:eastAsia="es-ES"/>
              </w:rPr>
              <w:t>(SGSN</w:t>
            </w:r>
            <w:r w:rsidRPr="00BB33CC">
              <w:rPr>
                <w:rStyle w:val="Refdenotaalpie"/>
                <w:rFonts w:ascii="ITC Avant Garde" w:eastAsia="Times New Roman" w:hAnsi="ITC Avant Garde" w:cs="Arial"/>
                <w:sz w:val="20"/>
                <w:szCs w:val="20"/>
                <w:lang w:val="en-GB" w:eastAsia="es-ES"/>
              </w:rPr>
              <w:footnoteReference w:id="89"/>
            </w:r>
            <w:r w:rsidR="002E1156" w:rsidRPr="00BB33CC">
              <w:rPr>
                <w:rFonts w:ascii="ITC Avant Garde" w:eastAsia="Times New Roman" w:hAnsi="ITC Avant Garde" w:cs="Arial"/>
                <w:sz w:val="20"/>
                <w:szCs w:val="20"/>
                <w:lang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Componente que realiza las funciones de interfaz y conmutación de paquetes para una red pública de telecomunicaciones móvil de segunda y tercera generación que se localizan dentro de su área servicio.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42CBE" w:rsidP="00AD5E14">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Registro de Locación Base</w:t>
            </w:r>
            <w:r w:rsidRPr="00BB33CC">
              <w:rPr>
                <w:rFonts w:ascii="ITC Avant Garde" w:eastAsia="Times New Roman" w:hAnsi="ITC Avant Garde" w:cs="Arial"/>
                <w:i/>
                <w:sz w:val="20"/>
                <w:szCs w:val="20"/>
                <w:lang w:val="es-ES" w:eastAsia="es-ES"/>
              </w:rPr>
              <w:t xml:space="preserve"> </w:t>
            </w:r>
            <w:r w:rsidR="002E1156" w:rsidRPr="00BB33CC">
              <w:rPr>
                <w:rFonts w:ascii="ITC Avant Garde" w:eastAsia="Times New Roman" w:hAnsi="ITC Avant Garde" w:cs="Arial"/>
                <w:sz w:val="20"/>
                <w:szCs w:val="20"/>
                <w:lang w:val="es-ES" w:eastAsia="es-ES"/>
              </w:rPr>
              <w:t>(HLR</w:t>
            </w:r>
            <w:r w:rsidRPr="00BB33CC">
              <w:rPr>
                <w:rStyle w:val="Refdenotaalpie"/>
                <w:rFonts w:ascii="ITC Avant Garde" w:eastAsia="Times New Roman" w:hAnsi="ITC Avant Garde" w:cs="Arial"/>
                <w:sz w:val="20"/>
                <w:szCs w:val="20"/>
                <w:lang w:val="es-ES" w:eastAsia="es-ES"/>
              </w:rPr>
              <w:footnoteReference w:id="90"/>
            </w:r>
            <w:r w:rsidR="002E1156"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Base de datos central que contiene los detalles de todos los suscriptores de la red, incluyendo datos de las tarjetas SIM y números MSISDN asociados a cada uno.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42CBE" w:rsidP="00AD5E14">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Entidad Administradora Móvil</w:t>
            </w:r>
            <w:r w:rsidR="002E1156" w:rsidRPr="00BB33CC">
              <w:rPr>
                <w:rFonts w:ascii="ITC Avant Garde" w:eastAsia="Times New Roman" w:hAnsi="ITC Avant Garde" w:cs="Arial"/>
                <w:sz w:val="20"/>
                <w:szCs w:val="20"/>
                <w:lang w:val="es-ES" w:eastAsia="es-ES"/>
              </w:rPr>
              <w:t xml:space="preserve"> (MME</w:t>
            </w:r>
            <w:r w:rsidRPr="00BB33CC">
              <w:rPr>
                <w:rStyle w:val="Refdenotaalpie"/>
                <w:rFonts w:ascii="ITC Avant Garde" w:eastAsia="Times New Roman" w:hAnsi="ITC Avant Garde" w:cs="Arial"/>
                <w:sz w:val="20"/>
                <w:szCs w:val="20"/>
                <w:lang w:val="es-ES" w:eastAsia="es-ES"/>
              </w:rPr>
              <w:footnoteReference w:id="91"/>
            </w:r>
            <w:r w:rsidR="002E1156"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Componente con las funciones de control de uno o más eNodos B, así como también es responsable del control de la utilización y la integridad de los recursos radioeléctricos.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42CBE" w:rsidP="00AD5E14">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Compuerta de Servicio</w:t>
            </w:r>
            <w:r w:rsidR="002E1156" w:rsidRPr="00BB33CC">
              <w:rPr>
                <w:rFonts w:ascii="ITC Avant Garde" w:eastAsia="Times New Roman" w:hAnsi="ITC Avant Garde" w:cs="Arial"/>
                <w:sz w:val="20"/>
                <w:szCs w:val="20"/>
                <w:lang w:val="es-ES" w:eastAsia="es-ES"/>
              </w:rPr>
              <w:t xml:space="preserve"> (SGW</w:t>
            </w:r>
            <w:r w:rsidRPr="00BB33CC">
              <w:rPr>
                <w:rStyle w:val="Refdenotaalpie"/>
                <w:rFonts w:ascii="ITC Avant Garde" w:eastAsia="Times New Roman" w:hAnsi="ITC Avant Garde" w:cs="Arial"/>
                <w:sz w:val="20"/>
                <w:szCs w:val="20"/>
                <w:lang w:val="es-ES" w:eastAsia="es-ES"/>
              </w:rPr>
              <w:footnoteReference w:id="92"/>
            </w:r>
            <w:r w:rsidR="002E1156"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del enrutamiento y entrega de paquetes, sustituyendo las funciones del MGW y SGSN en una red tradicional.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42CBE"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t>Compuerta de Redes de Paquetes de Datos</w:t>
            </w:r>
            <w:r w:rsidR="002E1156" w:rsidRPr="00BB33CC">
              <w:rPr>
                <w:rFonts w:ascii="ITC Avant Garde" w:eastAsia="Times New Roman" w:hAnsi="ITC Avant Garde" w:cs="Arial"/>
                <w:sz w:val="20"/>
                <w:szCs w:val="20"/>
                <w:lang w:eastAsia="es-ES"/>
              </w:rPr>
              <w:t xml:space="preserve"> (PGW</w:t>
            </w:r>
            <w:r w:rsidRPr="00BB33CC">
              <w:rPr>
                <w:rStyle w:val="Refdenotaalpie"/>
                <w:rFonts w:ascii="ITC Avant Garde" w:eastAsia="Times New Roman" w:hAnsi="ITC Avant Garde" w:cs="Arial"/>
                <w:sz w:val="20"/>
                <w:szCs w:val="20"/>
                <w:lang w:val="en-GB" w:eastAsia="es-ES"/>
              </w:rPr>
              <w:footnoteReference w:id="93"/>
            </w:r>
            <w:r w:rsidR="002E1156" w:rsidRPr="00BB33CC">
              <w:rPr>
                <w:rFonts w:ascii="ITC Avant Garde" w:eastAsia="Times New Roman" w:hAnsi="ITC Avant Garde" w:cs="Arial"/>
                <w:sz w:val="20"/>
                <w:szCs w:val="20"/>
                <w:lang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13259E">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Elemento que conecta la red del </w:t>
            </w:r>
            <w:r w:rsidR="00277D1C" w:rsidRPr="00BB33CC">
              <w:rPr>
                <w:rFonts w:ascii="ITC Avant Garde" w:eastAsia="Times New Roman" w:hAnsi="ITC Avant Garde" w:cs="Arial"/>
                <w:bCs/>
                <w:sz w:val="20"/>
                <w:szCs w:val="20"/>
                <w:lang w:eastAsia="es-ES"/>
              </w:rPr>
              <w:t>concesionario</w:t>
            </w:r>
            <w:r w:rsidR="0013259E" w:rsidRPr="00BB33CC">
              <w:rPr>
                <w:rFonts w:ascii="ITC Avant Garde" w:eastAsia="Times New Roman" w:hAnsi="ITC Avant Garde" w:cs="Arial"/>
                <w:bCs/>
                <w:sz w:val="20"/>
                <w:szCs w:val="20"/>
                <w:lang w:eastAsia="es-ES"/>
              </w:rPr>
              <w:t xml:space="preserve"> </w:t>
            </w:r>
            <w:r w:rsidR="00277D1C" w:rsidRPr="00BB33CC">
              <w:rPr>
                <w:rFonts w:ascii="ITC Avant Garde" w:eastAsia="Times New Roman" w:hAnsi="ITC Avant Garde" w:cs="Arial"/>
                <w:bCs/>
                <w:sz w:val="20"/>
                <w:szCs w:val="20"/>
                <w:lang w:eastAsia="es-ES"/>
              </w:rPr>
              <w:t xml:space="preserve"> y/o autorizado</w:t>
            </w:r>
            <w:r w:rsidR="0013259E" w:rsidRPr="00BB33CC">
              <w:rPr>
                <w:rFonts w:ascii="ITC Avant Garde" w:eastAsia="Times New Roman" w:hAnsi="ITC Avant Garde" w:cs="Arial"/>
                <w:bCs/>
                <w:sz w:val="20"/>
                <w:szCs w:val="20"/>
                <w:lang w:eastAsia="es-ES"/>
              </w:rPr>
              <w:t xml:space="preserve"> </w:t>
            </w:r>
            <w:r w:rsidRPr="00BB33CC">
              <w:rPr>
                <w:rFonts w:ascii="ITC Avant Garde" w:eastAsia="Times New Roman" w:hAnsi="ITC Avant Garde" w:cs="Arial"/>
                <w:sz w:val="20"/>
                <w:szCs w:val="20"/>
                <w:lang w:val="es-ES" w:eastAsia="es-ES"/>
              </w:rPr>
              <w:t xml:space="preserve"> con otras redes externas.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42CBE"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lastRenderedPageBreak/>
              <w:t>Función de Reglas de Políticas y Cargos</w:t>
            </w:r>
            <w:r w:rsidR="002E1156" w:rsidRPr="00BB33CC">
              <w:rPr>
                <w:rFonts w:ascii="ITC Avant Garde" w:eastAsia="Times New Roman" w:hAnsi="ITC Avant Garde" w:cs="Arial"/>
                <w:sz w:val="20"/>
                <w:szCs w:val="20"/>
                <w:lang w:eastAsia="es-ES"/>
              </w:rPr>
              <w:t xml:space="preserve"> (PCRF</w:t>
            </w:r>
            <w:r w:rsidRPr="00BB33CC">
              <w:rPr>
                <w:rStyle w:val="Refdenotaalpie"/>
                <w:rFonts w:ascii="ITC Avant Garde" w:eastAsia="Times New Roman" w:hAnsi="ITC Avant Garde" w:cs="Arial"/>
                <w:sz w:val="20"/>
                <w:szCs w:val="20"/>
                <w:lang w:val="en-GB" w:eastAsia="es-ES"/>
              </w:rPr>
              <w:footnoteReference w:id="94"/>
            </w:r>
            <w:r w:rsidR="002E1156" w:rsidRPr="00BB33CC">
              <w:rPr>
                <w:rFonts w:ascii="ITC Avant Garde" w:eastAsia="Times New Roman" w:hAnsi="ITC Avant Garde" w:cs="Arial"/>
                <w:sz w:val="20"/>
                <w:szCs w:val="20"/>
                <w:lang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 gestionar las políticas de red y de facturación.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661ACB" w:rsidP="00AD5E14">
            <w:pPr>
              <w:spacing w:before="40" w:after="40" w:line="240" w:lineRule="auto"/>
              <w:rPr>
                <w:rFonts w:ascii="ITC Avant Garde" w:eastAsia="Times New Roman" w:hAnsi="ITC Avant Garde" w:cs="Arial"/>
                <w:sz w:val="20"/>
                <w:szCs w:val="20"/>
                <w:lang w:eastAsia="es-ES"/>
              </w:rPr>
            </w:pPr>
            <w:r w:rsidRPr="00BB33CC">
              <w:rPr>
                <w:rFonts w:ascii="ITC Avant Garde" w:eastAsia="Times New Roman" w:hAnsi="ITC Avant Garde" w:cs="Arial"/>
                <w:sz w:val="20"/>
                <w:szCs w:val="20"/>
                <w:lang w:eastAsia="es-ES"/>
              </w:rPr>
              <w:t>Función de Control de Sesión de Llamada</w:t>
            </w:r>
            <w:r w:rsidR="002E1156" w:rsidRPr="00BB33CC">
              <w:rPr>
                <w:rFonts w:ascii="ITC Avant Garde" w:eastAsia="Times New Roman" w:hAnsi="ITC Avant Garde" w:cs="Arial"/>
                <w:sz w:val="20"/>
                <w:szCs w:val="20"/>
                <w:lang w:eastAsia="es-ES"/>
              </w:rPr>
              <w:t xml:space="preserve"> (CSCF</w:t>
            </w:r>
            <w:r w:rsidRPr="00BB33CC">
              <w:rPr>
                <w:rStyle w:val="Refdenotaalpie"/>
                <w:rFonts w:ascii="ITC Avant Garde" w:eastAsia="Times New Roman" w:hAnsi="ITC Avant Garde" w:cs="Arial"/>
                <w:sz w:val="20"/>
                <w:szCs w:val="20"/>
                <w:lang w:val="en-GB" w:eastAsia="es-ES"/>
              </w:rPr>
              <w:footnoteReference w:id="95"/>
            </w:r>
            <w:r w:rsidR="002E1156" w:rsidRPr="00BB33CC">
              <w:rPr>
                <w:rFonts w:ascii="ITC Avant Garde" w:eastAsia="Times New Roman" w:hAnsi="ITC Avant Garde" w:cs="Arial"/>
                <w:sz w:val="20"/>
                <w:szCs w:val="20"/>
                <w:lang w:eastAsia="es-ES"/>
              </w:rPr>
              <w:t>)</w:t>
            </w:r>
            <w:r w:rsidR="009D747F" w:rsidRPr="00BB33CC">
              <w:rPr>
                <w:rFonts w:ascii="ITC Avant Garde" w:eastAsia="Times New Roman" w:hAnsi="ITC Avant Garde" w:cs="Arial"/>
                <w:sz w:val="20"/>
                <w:szCs w:val="20"/>
                <w:lang w:eastAsia="es-ES"/>
              </w:rPr>
              <w:t xml:space="preserve"> </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 gestionar los servicios multimedia basados en SIP.</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9B6FF9" w:rsidP="00AD5E14">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Controlador de Borde de Sesión</w:t>
            </w:r>
            <w:r w:rsidR="002E1156" w:rsidRPr="00BB33CC">
              <w:rPr>
                <w:rFonts w:ascii="ITC Avant Garde" w:eastAsia="Times New Roman" w:hAnsi="ITC Avant Garde" w:cs="Arial"/>
                <w:sz w:val="20"/>
                <w:szCs w:val="20"/>
                <w:lang w:val="es-ES" w:eastAsia="es-ES"/>
              </w:rPr>
              <w:t xml:space="preserve"> (SBC</w:t>
            </w:r>
            <w:r w:rsidRPr="00BB33CC">
              <w:rPr>
                <w:rStyle w:val="Refdenotaalpie"/>
                <w:rFonts w:ascii="ITC Avant Garde" w:eastAsia="Times New Roman" w:hAnsi="ITC Avant Garde" w:cs="Arial"/>
                <w:sz w:val="20"/>
                <w:szCs w:val="20"/>
                <w:lang w:val="es-ES" w:eastAsia="es-ES"/>
              </w:rPr>
              <w:footnoteReference w:id="96"/>
            </w:r>
            <w:r w:rsidR="002E1156"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Componente o aplicación de </w:t>
            </w:r>
            <w:r w:rsidRPr="00BB33CC">
              <w:rPr>
                <w:rFonts w:ascii="ITC Avant Garde" w:eastAsia="Times New Roman" w:hAnsi="ITC Avant Garde" w:cs="Arial"/>
                <w:i/>
                <w:sz w:val="20"/>
                <w:szCs w:val="20"/>
                <w:lang w:val="es-ES" w:eastAsia="es-ES"/>
              </w:rPr>
              <w:t>software</w:t>
            </w:r>
            <w:r w:rsidRPr="00BB33CC">
              <w:rPr>
                <w:rFonts w:ascii="ITC Avant Garde" w:eastAsia="Times New Roman" w:hAnsi="ITC Avant Garde" w:cs="Arial"/>
                <w:sz w:val="20"/>
                <w:szCs w:val="20"/>
                <w:lang w:val="es-ES" w:eastAsia="es-ES"/>
              </w:rPr>
              <w:t xml:space="preserve"> que rige la manera en la cual las llamadas telefónicas son iniciadas, conducidas y terminadas en una red VoIP.</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9B6FF9" w:rsidP="00AD5E14">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Sistema de Correo de Voz</w:t>
            </w:r>
            <w:r w:rsidR="002E1156" w:rsidRPr="00BB33CC">
              <w:rPr>
                <w:rFonts w:ascii="ITC Avant Garde" w:eastAsia="Times New Roman" w:hAnsi="ITC Avant Garde" w:cs="Arial"/>
                <w:sz w:val="20"/>
                <w:szCs w:val="20"/>
                <w:lang w:val="es-ES" w:eastAsia="es-ES"/>
              </w:rPr>
              <w:t xml:space="preserve"> (VMS</w:t>
            </w:r>
            <w:r w:rsidRPr="00BB33CC">
              <w:rPr>
                <w:rStyle w:val="Refdenotaalpie"/>
                <w:rFonts w:ascii="ITC Avant Garde" w:eastAsia="Times New Roman" w:hAnsi="ITC Avant Garde" w:cs="Arial"/>
                <w:sz w:val="20"/>
                <w:szCs w:val="20"/>
                <w:lang w:val="es-ES" w:eastAsia="es-ES"/>
              </w:rPr>
              <w:footnoteReference w:id="97"/>
            </w:r>
            <w:r w:rsidR="002E1156"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Sistema que permite a los usuarios y suscriptores intercambiar mensajes de voz personales y gestionar su buzón de voz.</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9B6FF9" w:rsidP="00AD5E14">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Subsistema de Multimedios sobre Protocolo de Internet</w:t>
            </w:r>
            <w:r w:rsidRPr="00BB33CC">
              <w:rPr>
                <w:rFonts w:ascii="ITC Avant Garde" w:eastAsia="Times New Roman" w:hAnsi="ITC Avant Garde" w:cs="Arial"/>
                <w:i/>
                <w:sz w:val="20"/>
                <w:szCs w:val="20"/>
                <w:lang w:val="es-ES" w:eastAsia="es-ES"/>
              </w:rPr>
              <w:t xml:space="preserve"> </w:t>
            </w:r>
            <w:r w:rsidR="002E1156" w:rsidRPr="00BB33CC">
              <w:rPr>
                <w:rFonts w:ascii="ITC Avant Garde" w:eastAsia="Times New Roman" w:hAnsi="ITC Avant Garde" w:cs="Arial"/>
                <w:sz w:val="20"/>
                <w:szCs w:val="20"/>
                <w:lang w:val="es-ES" w:eastAsia="es-ES"/>
              </w:rPr>
              <w:t>(IMS</w:t>
            </w:r>
            <w:r w:rsidRPr="00BB33CC">
              <w:rPr>
                <w:rStyle w:val="Refdenotaalpie"/>
                <w:rFonts w:ascii="ITC Avant Garde" w:eastAsia="Times New Roman" w:hAnsi="ITC Avant Garde" w:cs="Arial"/>
                <w:sz w:val="20"/>
                <w:szCs w:val="20"/>
                <w:lang w:val="es-ES" w:eastAsia="es-ES"/>
              </w:rPr>
              <w:footnoteReference w:id="98"/>
            </w:r>
            <w:r w:rsidR="002E1156"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de la red de núcleo que ofrece servicios de comunicación en tiempo real.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9B6FF9" w:rsidP="00AD5E14">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Servidor Doméstico de Suscriptor</w:t>
            </w:r>
            <w:r w:rsidR="002E1156" w:rsidRPr="00BB33CC">
              <w:rPr>
                <w:rFonts w:ascii="ITC Avant Garde" w:eastAsia="Times New Roman" w:hAnsi="ITC Avant Garde" w:cs="Arial"/>
                <w:i/>
                <w:sz w:val="20"/>
                <w:szCs w:val="20"/>
                <w:lang w:val="es-ES" w:eastAsia="es-ES"/>
              </w:rPr>
              <w:t xml:space="preserve"> </w:t>
            </w:r>
            <w:r w:rsidR="002E1156" w:rsidRPr="00BB33CC">
              <w:rPr>
                <w:rFonts w:ascii="ITC Avant Garde" w:eastAsia="Times New Roman" w:hAnsi="ITC Avant Garde" w:cs="Arial"/>
                <w:sz w:val="20"/>
                <w:szCs w:val="20"/>
                <w:lang w:val="es-ES" w:eastAsia="es-ES"/>
              </w:rPr>
              <w:t>(HSS</w:t>
            </w:r>
            <w:r w:rsidRPr="00BB33CC">
              <w:rPr>
                <w:rStyle w:val="Refdenotaalpie"/>
                <w:rFonts w:ascii="ITC Avant Garde" w:eastAsia="Times New Roman" w:hAnsi="ITC Avant Garde" w:cs="Arial"/>
                <w:sz w:val="20"/>
                <w:szCs w:val="20"/>
                <w:lang w:val="es-ES" w:eastAsia="es-ES"/>
              </w:rPr>
              <w:footnoteReference w:id="99"/>
            </w:r>
            <w:r w:rsidR="002E1156"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Base de datos principal de usuarios que da soporte a las entidades de red IMS que manejan las llamadas.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Equipos para conmutación de tráfico internacional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Equipos responsables de la conmutación de tráfico con otras redes internacionales.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Facturador</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 responsable de colectar y tratar los eventos de cargos para fines de facturación.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elementos de la red de núcleo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elementos en la red de núcleo móvil.</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eléctrica y aire acondicionado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auxiliares al funcionamiento de la red móvil asociados a energía y refrigeración, incluyendo subestación eléctrica, fuentes de energía de respaldo (planta de emergencia) y aire acondicionado.</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Componentes no relacionados con la red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Funciones comerciales, tales como adquisición y mantenimiento de clientes, publicidad, marca, desarrollo de productos, etc.</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 y gestión de la facturación a usuarios finales.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Cobranza</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 y gestión del cobro a usuarios finales.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Tarificación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 y gestión de la facturación a otros operadores.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Tasas e impuestos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Programas de fidelización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Gestión de la fidelización de clientes.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directos de ventas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Internet internacional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el acceso a Internet internacional.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en destinos nacionales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la terminación de tráfico de la red de telefonía móvil en las redes de terceros operadores nacionales.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en destinos internacionales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la terminación de tráfico de la red de telefonía móvil en las redes de terceros operadores internacionales.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i/>
                <w:sz w:val="20"/>
                <w:lang w:val="es-ES" w:eastAsia="es-ES"/>
              </w:rPr>
              <w:t>Roaming</w:t>
            </w:r>
            <w:r w:rsidRPr="00BB33CC">
              <w:rPr>
                <w:rFonts w:ascii="ITC Avant Garde" w:eastAsia="Times New Roman" w:hAnsi="ITC Avant Garde" w:cs="Arial"/>
                <w:sz w:val="20"/>
                <w:lang w:val="es-ES" w:eastAsia="es-ES"/>
              </w:rPr>
              <w:t xml:space="preserve"> nacional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el uso de la red de terceros en México para cursar tráfico.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i/>
                <w:sz w:val="20"/>
                <w:lang w:val="es-ES" w:eastAsia="es-ES"/>
              </w:rPr>
              <w:t>Roaming</w:t>
            </w:r>
            <w:r w:rsidRPr="00BB33CC">
              <w:rPr>
                <w:rFonts w:ascii="ITC Avant Garde" w:eastAsia="Times New Roman" w:hAnsi="ITC Avant Garde" w:cs="Arial"/>
                <w:sz w:val="20"/>
                <w:lang w:val="es-ES" w:eastAsia="es-ES"/>
              </w:rPr>
              <w:t xml:space="preserve"> internacional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por el uso de la red internacional de terceros para cursar tráfico.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Provisiones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Gestión de las provisiones por insolvencias.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directos de la venta de equipos terminales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los costos relativos a los equipos terminales vendidos a los usuarios finales.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comunes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generales y de gestión – minoristas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 de gestión del operador dedicado a la prestación de servicios minoristas.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generales y de gestión – red</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 de gestión del operador dedicado a la gestión, monitoreo, etc. de la red.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Servicios generales y de gestión – negocio</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Equipo de gestión del operador dedicado al funcionamiento del negocio en general.</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no relevantes para la separación contable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no relevantes para la separación contable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servicios de telecomunicaciones móviles.</w:t>
            </w:r>
          </w:p>
        </w:tc>
      </w:tr>
    </w:tbl>
    <w:p w:rsidR="002E1156" w:rsidRPr="00BB33CC" w:rsidRDefault="002E1156" w:rsidP="004161D1">
      <w:pPr>
        <w:pStyle w:val="Normalresolucion"/>
        <w:spacing w:after="0" w:line="276" w:lineRule="auto"/>
      </w:pPr>
      <w:r w:rsidRPr="00BB33CC">
        <w:t>Listado de servicios a desagregar en el Nivel 3. El listado de servicios expuesto a continuación pretende capturar aquellos servicios prestados (actual o potencialmente) por el concesionario y/o autorizado</w:t>
      </w:r>
      <w:r w:rsidRPr="00BB33CC">
        <w:rPr>
          <w:rStyle w:val="Refdenotaalpie"/>
        </w:rPr>
        <w:footnoteReference w:id="100"/>
      </w:r>
      <w:r w:rsidRPr="00BB33CC">
        <w:t xml:space="preserve">, de acuerdo a los principios de materialidad y relevancia. Estos deben incluir todos los principales servicios ofrecidos por los </w:t>
      </w:r>
      <w:r w:rsidR="00EA7AA2" w:rsidRPr="00BB33CC">
        <w:rPr>
          <w:bCs/>
        </w:rPr>
        <w:t>concesionarios y/o autorizados</w:t>
      </w:r>
      <w:r w:rsidRPr="00BB33CC">
        <w:t xml:space="preserve"> (ya sean regulados o no) con el fin de asegurar la causalidad y transparencia de las imputaciones de costos realizadas en la separación contable. </w:t>
      </w:r>
    </w:p>
    <w:p w:rsidR="003F3008" w:rsidRPr="00BB33CC" w:rsidRDefault="003F3008" w:rsidP="002E1156">
      <w:pPr>
        <w:pStyle w:val="Normalresolucion"/>
      </w:pP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8</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servicios a desagregar en el Nivel 3 de operadores de telecomunicaciones móviles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423"/>
      </w:tblGrid>
      <w:tr w:rsidR="002E1156" w:rsidRPr="00BB33CC" w:rsidTr="00674BDD">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minoristas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Llamadas locales realizadas a la misma red de telefonía móvil</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Número de minutos efectivos de las llamadas locales originadas y terminadas en la red de telefonía móvil del operador a través de suscripciones propias. Solo se entregarán los minutos efectivos originados, para evitar doble contabilidad. Se excluye el tráfico generado por servicios de reventa y los destinos de numeración especial.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Llamadas locales realizadas a redes de telefonía fija</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Número de minutos efectivos de las llamadas locales originadas en la red de telefonía móvil del operador a través de suscripciones propias con destino a otras redes nacionales de telefonía fija. Se excluye el tráfico generado por servicios de reventa y los destinos de numeración especial.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Llamadas locales realizadas a otras redes de telefonía móvil</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Número de minutos efectivos de las llamadas locales originadas en la red de telefonía móvil del operador a través de suscripciones propias con destino a otras redes nacionales de telefonía móvil. Se excluye el tráfico generado por servicios de reventa y los destinos de numeración especial.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Minutos efectivos de las llamadas de Larga Distancia Internacional (LDI) realizadas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Número de minutos efectivos de las llamadas originadas en la red de telefonía móvil del operador a través de suscripciones propias con destino a otras redes internacionales. Se excluye el tráfico generado por líneas de servicios de reventa.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Mensajes dentro de la red</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Transmisión de mensajes de datos cortos, o mensajes multimedia generados desde diversas fuentes externas hasta los equipos terminales de los usuarios pertenecientes a la misma red a la cual pertenece el usuario que envía el mensaje.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SMS</w:t>
            </w:r>
            <w:r w:rsidR="0013259E" w:rsidRPr="00BB33CC">
              <w:rPr>
                <w:rStyle w:val="Refdenotaalpie"/>
                <w:rFonts w:ascii="ITC Avant Garde" w:eastAsia="Times New Roman" w:hAnsi="ITC Avant Garde" w:cs="Arial"/>
                <w:sz w:val="20"/>
                <w:szCs w:val="20"/>
                <w:lang w:val="es-ES" w:eastAsia="es-ES"/>
              </w:rPr>
              <w:footnoteReference w:id="101"/>
            </w:r>
            <w:r w:rsidRPr="00BB33CC">
              <w:rPr>
                <w:rFonts w:ascii="ITC Avant Garde" w:eastAsia="Times New Roman" w:hAnsi="ITC Avant Garde" w:cs="Arial"/>
                <w:sz w:val="20"/>
                <w:szCs w:val="20"/>
                <w:lang w:val="es-ES" w:eastAsia="es-ES"/>
              </w:rPr>
              <w:t xml:space="preserve"> de salida a destinos nacionales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Número de SMS enviados a destinos nacionales mediante líneas en las modalidades de prepago y pospago. Se excluyen SMS de valor añadido, SMS Premium y SMS enviados desde servicios web.</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SMS de salida a destinos internacionales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Número de SMS enviados a destinos internacionales mediante líneas en las modalidades de prepago y pospago. Se excluyen SMS de valor añadido, SMS Premium y SMS enviados desde servicios web.</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6E2419"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Acceso a Internet móvil</w:t>
            </w:r>
          </w:p>
          <w:p w:rsidR="00087E1F" w:rsidRPr="00BB33CC" w:rsidRDefault="00087E1F" w:rsidP="00674BDD">
            <w:pPr>
              <w:spacing w:before="40" w:after="40" w:line="240" w:lineRule="auto"/>
              <w:rPr>
                <w:rFonts w:ascii="ITC Avant Garde" w:eastAsia="Times New Roman" w:hAnsi="ITC Avant Garde" w:cs="Arial"/>
                <w:sz w:val="20"/>
                <w:szCs w:val="20"/>
                <w:lang w:val="es-ES" w:eastAsia="es-ES"/>
              </w:rPr>
            </w:pP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Consiste en la provisión de conexión inalámbrica y móvil para el intercambio de datos, incluyendo el intercambio de datos por medio de Internet.</w:t>
            </w:r>
          </w:p>
        </w:tc>
      </w:tr>
      <w:tr w:rsidR="002E1156" w:rsidRPr="00BB33CC" w:rsidTr="00674BDD">
        <w:trPr>
          <w:cantSplit/>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OTT de video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Se refiere a la prestación de servicios </w:t>
            </w:r>
            <w:r w:rsidRPr="00BB33CC">
              <w:rPr>
                <w:rFonts w:ascii="ITC Avant Garde" w:eastAsia="Times New Roman" w:hAnsi="ITC Avant Garde" w:cs="Arial"/>
                <w:i/>
                <w:iCs/>
                <w:sz w:val="20"/>
                <w:szCs w:val="20"/>
                <w:lang w:val="es-ES" w:eastAsia="es-ES"/>
              </w:rPr>
              <w:t xml:space="preserve">over-the-top </w:t>
            </w:r>
            <w:r w:rsidRPr="00BB33CC">
              <w:rPr>
                <w:rFonts w:ascii="ITC Avant Garde" w:eastAsia="Times New Roman" w:hAnsi="ITC Avant Garde" w:cs="Arial"/>
                <w:sz w:val="20"/>
                <w:szCs w:val="20"/>
                <w:lang w:val="es-ES" w:eastAsia="es-ES"/>
              </w:rPr>
              <w:t>de video bajo demanda.</w:t>
            </w:r>
          </w:p>
        </w:tc>
      </w:tr>
      <w:tr w:rsidR="002E1156" w:rsidRPr="00BB33CC" w:rsidTr="00674BDD">
        <w:trPr>
          <w:cantSplit/>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OTT de audio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Se refiere a la prestación de servicios </w:t>
            </w:r>
            <w:r w:rsidRPr="00BB33CC">
              <w:rPr>
                <w:rFonts w:ascii="ITC Avant Garde" w:eastAsia="Times New Roman" w:hAnsi="ITC Avant Garde" w:cs="Arial"/>
                <w:i/>
                <w:iCs/>
                <w:sz w:val="20"/>
                <w:szCs w:val="20"/>
                <w:lang w:val="es-ES" w:eastAsia="es-ES"/>
              </w:rPr>
              <w:t>over-the-top</w:t>
            </w:r>
            <w:r w:rsidRPr="00BB33CC">
              <w:rPr>
                <w:rFonts w:ascii="ITC Avant Garde" w:eastAsia="Times New Roman" w:hAnsi="ITC Avant Garde" w:cs="Arial"/>
                <w:sz w:val="20"/>
                <w:szCs w:val="20"/>
                <w:lang w:val="es-ES" w:eastAsia="es-ES"/>
              </w:rPr>
              <w:t xml:space="preserve"> de audio bajo demanda.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lastRenderedPageBreak/>
              <w:t>Servicios suplementarios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Contiene servicios suplementarios ofrecidos por el operador, tal y como el desvío de llamadas o el servicio de contestador.</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Otros servicios minoristas </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Contiene otros servicios minoristas no especificados con anterioridad, tal y como llamadas en espera, identificación de llamada entrante o buzón de voz.</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mayoristas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de interconexión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otros operadores móviles nacionales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D40744">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Este servicio consiste en la entrega de llamadas conmutadas de voz procedentes de redes móviles nacionales a usuarios móviles suscritos a la red del concesionario.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operadores fijos nacionales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D40744">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Este servicio consiste en la entrega de llamadas conmutadas de voz procedentes de redes fijas nacionales a usuarios móviles suscritos a la red del concesionario.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operadores internacionales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D40744">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Este servicio consiste en la entrega de llamadas conmutadas de voz procedentes de redes fijas internacionales a usuarios móviles suscritos a la red del concesionario.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móvil a usuario en red fija</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nacional fijo.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móvil a usuario en otra red móvil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nacional móvil.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móvil a destino internacional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internacional.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mensajes cortos de operadores nacionales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 en la entrega de mensajes cortos procedentes de redes móviles nacionales a usuarios móviles suscritos a la red del operador.</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mensajes cortos de operadores internacionales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 en la entrega de mensajes cortos procedentes de redes móviles internacionales a usuarios móviles suscritos a la red del operador.</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Tránsito de voz</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el transporte de llamadas de voz recibidas de otro operador internacional (móvil o fijo) y terminadas en la red de otro operador internacional (móvil o fijo).</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de Acceso y Uso Compartido de Infraestructura Pasiva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Acceso y uso compartido de espacio en piso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compartición de infraestructura pasiva que permite a un operador alternativo utilizar el espacio físico en piso del concesionario</w:t>
            </w:r>
            <w:r w:rsidR="005B4A65"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mediante cobro por unidad de área ocupada.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y uso compartido de espacio en torres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compartición de infraestructura pasiva que permite a un operador alternativo utilizar el espacio físico en torres del concesionario</w:t>
            </w:r>
            <w:r w:rsidR="005B4A65"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mediante cobro por número de torres.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y uso de elementos auxiliares de infraestructura pasiva</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permite a un operador alternativo acceder a otros elementos disponibles de la infraestructura pasiva del concesionario</w:t>
            </w:r>
            <w:r w:rsidR="005B4A65"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tales como sistemas de aire acondicionado, fuentes de energía de respaldo, etc.</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complementarios a la compartición de infraestructura pasiva</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servicios diversos de soporte para la provisión de los servicios de acceso y uso compartido de infraestructura pasiva (visita técnica, análisis de factibilidad), mediante cobro por contraprestación.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a Operadores Móviles Virtuales (OMV)</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voz de OMV</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que consiste en la transmisión o recepción de voz a través de la red del concesionario</w:t>
            </w:r>
            <w:r w:rsidR="005B4A65"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permitiendo a los usuarios del OMV realizar y recibir llamadas telefónicas de voz y de originar llamadas de voz a otros números de abonado pertenecientes a la misma o una red diferente a la del usuario llamante.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mensajes de texto de OMV</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por medio del que se proporciona al OMV la transmisión de mensajes de datos cortos a través de la red del concesionario</w:t>
            </w:r>
            <w:r w:rsidR="005B4A65"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permitiendo a los usuarios del OMV enviar y recibir mensajes de texto a otros usuarios pertenecientes a la misma red o a una red diferente a la cual pertenece el usuario que envía el mensaje.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móvil de datos de OMV</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Consiste en la provisión de conexión móvil para el intercambio de datos, incluyendo el intercambio de datos por medio de Internet, a usuarios del OMV a través de la red del concesionario</w:t>
            </w:r>
            <w:r w:rsidR="005B4A65"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servicios ofrecidos a OMV</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Incluye otros servicios disponibles para OMVs tales como administración de usuarios pospago y prepago, activación de servicios de valor agregado básicos, etc.</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de Usuario Visitante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voz de usuario visitante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al operador alternativo prestar servicios de voz a sus usuarios cuando a éste no le resulta técnicamente factible prestar el servicio, mediante el uso de la red del concesionario. </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mensajes de texto de usuario visitante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al operador alternativo prestar servicios de mensajería de texto a sus usuarios cuando a éste no le resulta técnicamente factible prestar el servicio, mediante el uso de la red del </w:t>
            </w:r>
            <w:r w:rsidR="005B4A65" w:rsidRPr="00BB33CC">
              <w:rPr>
                <w:rFonts w:ascii="ITC Avant Garde" w:eastAsia="Times New Roman" w:hAnsi="ITC Avant Garde" w:cs="Arial"/>
                <w:sz w:val="20"/>
                <w:lang w:val="es-ES" w:eastAsia="es-ES"/>
              </w:rPr>
              <w:t>concesionario y/o autorizado</w:t>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Servicio móvil de datos de usuario visitante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que permite al operador alternativo prestar servicios de datos móviles a sus usuarios cuando a éste no le resulta técnicamente factible prestar el servicio, mediante el uso de la red del </w:t>
            </w:r>
            <w:r w:rsidR="005B4A65" w:rsidRPr="00BB33CC">
              <w:rPr>
                <w:rFonts w:ascii="ITC Avant Garde" w:eastAsia="Times New Roman" w:hAnsi="ITC Avant Garde" w:cs="Arial"/>
                <w:sz w:val="20"/>
                <w:lang w:val="es-ES" w:eastAsia="es-ES"/>
              </w:rPr>
              <w:t>concesionario y/o autorizado</w:t>
            </w:r>
            <w:r w:rsidRPr="00BB33CC">
              <w:rPr>
                <w:rFonts w:ascii="ITC Avant Garde" w:eastAsia="Times New Roman" w:hAnsi="ITC Avant Garde" w:cs="Arial"/>
                <w:sz w:val="20"/>
                <w:lang w:val="es-ES" w:eastAsia="es-ES"/>
              </w:rPr>
              <w:t>.</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no relevantes para la separación contable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no relevantes para la separación contable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servicios de telecomunicaciones móviles.</w:t>
            </w:r>
          </w:p>
        </w:tc>
      </w:tr>
    </w:tbl>
    <w:p w:rsidR="002E1156" w:rsidRPr="00BB33CC" w:rsidRDefault="002E1156" w:rsidP="002E1156">
      <w:pPr>
        <w:pStyle w:val="HeadingAnexo1L3"/>
        <w:keepNext/>
        <w:keepLines/>
      </w:pPr>
      <w:r w:rsidRPr="00BB33CC">
        <w:t>Segmento de Televisión Restringida</w:t>
      </w:r>
    </w:p>
    <w:p w:rsidR="002E1156" w:rsidRPr="00BB33CC" w:rsidRDefault="002E1156" w:rsidP="002E1156">
      <w:pPr>
        <w:pStyle w:val="Normalresolucion"/>
        <w:keepNext/>
        <w:keepLines/>
      </w:pPr>
      <w:r w:rsidRPr="00BB33CC">
        <w:t>Listado mínimo de cuentas de ingresos a desagregar en el Nivel 1:</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9</w:t>
      </w:r>
      <w:r w:rsidRPr="00BB33CC">
        <w:rPr>
          <w:rFonts w:ascii="ITC Avant Garde" w:hAnsi="ITC Avant Garde"/>
          <w:iCs/>
          <w:sz w:val="20"/>
          <w:lang w:val="es-MX"/>
        </w:rPr>
        <w:fldChar w:fldCharType="end"/>
      </w:r>
      <w:r w:rsidRPr="00BB33CC">
        <w:rPr>
          <w:rFonts w:ascii="ITC Avant Garde" w:hAnsi="ITC Avant Garde"/>
          <w:iCs/>
          <w:sz w:val="20"/>
          <w:lang w:val="es-MX"/>
        </w:rPr>
        <w:t xml:space="preserve">: Listado mínimo de cuentas de ingresos a desagregar en el Nivel 1 de operadores de televisión restringida </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2E1156" w:rsidRPr="00BB33CC" w:rsidTr="00674BDD">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Ingresos operativos</w:t>
            </w:r>
            <w:r w:rsidRPr="00BB33CC">
              <w:rPr>
                <w:rFonts w:ascii="ITC Avant Garde" w:eastAsia="Times New Roman" w:hAnsi="ITC Avant Garde" w:cs="Arial"/>
                <w:b/>
                <w:bCs/>
                <w:sz w:val="20"/>
                <w:vertAlign w:val="superscript"/>
                <w:lang w:val="es-ES" w:eastAsia="es-ES"/>
              </w:rPr>
              <w:footnoteReference w:id="102"/>
            </w:r>
          </w:p>
        </w:tc>
      </w:tr>
      <w:tr w:rsidR="002E1156" w:rsidRPr="00BB33CC" w:rsidTr="00674BDD">
        <w:tblPrEx>
          <w:tblBorders>
            <w:top w:val="single" w:sz="4" w:space="0" w:color="auto"/>
            <w:bottom w:val="single" w:sz="4" w:space="0" w:color="auto"/>
            <w:insideH w:val="single" w:sz="4" w:space="0" w:color="auto"/>
            <w:insideV w:val="single" w:sz="4" w:space="0" w:color="auto"/>
          </w:tblBorders>
        </w:tblPrEx>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Cargos de instalación - televisión por cable</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cargos asociados a la instalación de la conexión por cable, incluyendo equipos decodificadores para la provisión de servicios televisión restringida.</w:t>
            </w:r>
          </w:p>
        </w:tc>
      </w:tr>
      <w:tr w:rsidR="002E1156" w:rsidRPr="00BB33CC" w:rsidTr="00674BDD">
        <w:tblPrEx>
          <w:tblBorders>
            <w:top w:val="single" w:sz="4" w:space="0" w:color="auto"/>
            <w:bottom w:val="single" w:sz="4" w:space="0" w:color="auto"/>
            <w:insideH w:val="single" w:sz="4" w:space="0" w:color="auto"/>
            <w:insideV w:val="single" w:sz="4" w:space="0" w:color="auto"/>
          </w:tblBorders>
        </w:tblPrEx>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de servicios de televisión de cable</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pagos recurrentes de suscripción aplicados a usuarios finales de televisión restringida por cable.</w:t>
            </w:r>
          </w:p>
        </w:tc>
      </w:tr>
      <w:tr w:rsidR="002E1156" w:rsidRPr="00BB33CC" w:rsidTr="00674BDD">
        <w:tblPrEx>
          <w:tblBorders>
            <w:top w:val="single" w:sz="4" w:space="0" w:color="auto"/>
            <w:bottom w:val="single" w:sz="4" w:space="0" w:color="auto"/>
            <w:insideH w:val="single" w:sz="4" w:space="0" w:color="auto"/>
            <w:insideV w:val="single" w:sz="4" w:space="0" w:color="auto"/>
          </w:tblBorders>
        </w:tblPrEx>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programación - televisión por cable</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pagos por eventos aplicados a usuarios finales de televisión restringida por cable por servicios de programación (programas especiales, películas,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Cargos de instalación - televisión vía satélite</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Ingresos provenientes de los cargos asociados a la instalación de la conexión vía satélite, incluyendo equipos decodificadores, para la provisión de servicios </w:t>
            </w:r>
            <w:r w:rsidR="00674BDD" w:rsidRPr="00BB33CC">
              <w:rPr>
                <w:rFonts w:ascii="ITC Avant Garde" w:eastAsia="Times New Roman" w:hAnsi="ITC Avant Garde" w:cs="Arial"/>
                <w:sz w:val="20"/>
                <w:lang w:val="es-ES" w:eastAsia="es-ES"/>
              </w:rPr>
              <w:t xml:space="preserve">de </w:t>
            </w:r>
            <w:r w:rsidRPr="00BB33CC">
              <w:rPr>
                <w:rFonts w:ascii="ITC Avant Garde" w:eastAsia="Times New Roman" w:hAnsi="ITC Avant Garde" w:cs="Arial"/>
                <w:sz w:val="20"/>
                <w:lang w:val="es-ES" w:eastAsia="es-ES"/>
              </w:rPr>
              <w:t>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de servicios de televisión vía satélite</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pagos recurrentes de suscripción aplicadas a usuarios finales de televisión restringida vía satélite.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programación - televisión vía satélite</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pagos por eventos aplicados a usuarios finales de televisión restringida vía satélite por servicios de programación (programas especiales, películas,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Cargos de instalación - IPTV </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cargos asociados a la instalación de la conexión para el servicio IPTV.</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de servicios de IPTV</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pagos recurrentes de suscripción aplicados a usuarios finales de IPTV.</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programación - IPTV</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provenientes de los pagos por eventos aplicados a usuarios finales de IPTV por servicios de programación (programas especiales, películas,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Venta de espacios publicitarios en contenidos exclusivos para televisión restringida</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obtenidos por el servicio de publicidad en concepto de venta de espacios publicitarios en contenidos exclusivos para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ingresos por la venta de espacios publicitarios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obtenidos por la venta de espacios publicitarios de contenidos no exclusivos, o los ingresos por infomerciales,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Comercialización de canales para televisión restringida</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obtenidos por la comercialización de contenidos mediante canales no exclusivos provistos.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Comercialización de canales exclusivos de televisión restringida</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obtenidos por la comercialización de contenidos mediante canales exclusivos provistos.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venta de programas y licencias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la venta de derechos de concesión de programas y licencias, otorgados a otras empresas nacionales o internacionales.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servicios de compartición de infraestructura</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de la provisión de servicios de compartición de infraestructura (activa y pasiva) de la red de televisión restringida a otros operadores.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otros servicios mayoristas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la prestación de servicios mayoristas a otros operadores.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Ingresos no operativos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Operaciones financieras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Ingresos procedentes de otras operaciones financieras realizadas por el concesionario </w:t>
            </w:r>
            <w:r w:rsidR="005B4A65" w:rsidRPr="00BB33CC">
              <w:rPr>
                <w:rFonts w:ascii="ITC Avant Garde" w:eastAsia="Times New Roman" w:hAnsi="ITC Avant Garde" w:cs="Arial"/>
                <w:sz w:val="20"/>
                <w:lang w:val="es-ES" w:eastAsia="es-ES"/>
              </w:rPr>
              <w:t>y/</w:t>
            </w:r>
            <w:r w:rsidRPr="00BB33CC">
              <w:rPr>
                <w:rFonts w:ascii="ITC Avant Garde" w:eastAsia="Times New Roman" w:hAnsi="ITC Avant Garde" w:cs="Arial"/>
                <w:sz w:val="20"/>
                <w:lang w:val="es-ES" w:eastAsia="es-ES"/>
              </w:rPr>
              <w:t>o autorizado.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Enajenación de activos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recibidos por la venta de activos.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Otros ingresos </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Incluye aquellos ingresos relativos a los servicios no relacionados con la prestación de servicios de televisión restringida.</w:t>
            </w:r>
          </w:p>
        </w:tc>
      </w:tr>
    </w:tbl>
    <w:p w:rsidR="002E1156" w:rsidRPr="00BB33CC" w:rsidRDefault="002E1156" w:rsidP="002E1156">
      <w:pPr>
        <w:pStyle w:val="Normalresolucion"/>
      </w:pPr>
      <w:r w:rsidRPr="00BB33CC">
        <w:t>Listado mínimo de cuentas de costos</w:t>
      </w:r>
      <w:r w:rsidR="006E2419" w:rsidRPr="00BB33CC">
        <w:t xml:space="preserve"> operativos, capital empleado y costos asociados al mismo, activo y pasivo circulante, y costos no relevantes para la separación contable</w:t>
      </w:r>
      <w:r w:rsidRPr="00BB33CC">
        <w:t xml:space="preserve"> a desagregar en el Nivel 1:</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11</w:t>
      </w:r>
      <w:r w:rsidRPr="00BB33CC">
        <w:rPr>
          <w:rFonts w:ascii="ITC Avant Garde" w:hAnsi="ITC Avant Garde"/>
          <w:iCs/>
          <w:sz w:val="20"/>
          <w:lang w:val="es-MX"/>
        </w:rPr>
        <w:fldChar w:fldCharType="end"/>
      </w:r>
      <w:r w:rsidRPr="00BB33CC">
        <w:rPr>
          <w:rFonts w:ascii="ITC Avant Garde" w:hAnsi="ITC Avant Garde"/>
          <w:iCs/>
          <w:sz w:val="20"/>
          <w:lang w:val="es-MX"/>
        </w:rPr>
        <w:t xml:space="preserve">: Listado mínimo de cuentas de costos </w:t>
      </w:r>
      <w:r w:rsidR="006E2419" w:rsidRPr="00BB33CC">
        <w:rPr>
          <w:rFonts w:ascii="ITC Avant Garde" w:hAnsi="ITC Avant Garde"/>
          <w:iCs/>
          <w:sz w:val="20"/>
          <w:lang w:val="es-MX"/>
        </w:rPr>
        <w:t>operativos, capital empleado y costos asociados al mismo, activo y pasivo circulante, y costos no relevantes para la separación contable</w:t>
      </w:r>
      <w:r w:rsidRPr="00BB33CC">
        <w:rPr>
          <w:rFonts w:ascii="ITC Avant Garde" w:hAnsi="ITC Avant Garde"/>
          <w:iCs/>
          <w:sz w:val="20"/>
          <w:lang w:val="es-MX"/>
        </w:rPr>
        <w:t xml:space="preserve"> a desagregar en el Nivel 1 de operadores de televisión restringida </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2E1156" w:rsidRPr="00BB33CC" w:rsidTr="00674BDD">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operativos</w:t>
            </w:r>
            <w:r w:rsidR="006E2419" w:rsidRPr="00BB33CC">
              <w:rPr>
                <w:rFonts w:ascii="ITC Avant Garde" w:eastAsia="Times New Roman" w:hAnsi="ITC Avant Garde" w:cs="Arial"/>
                <w:b/>
                <w:bCs/>
                <w:sz w:val="20"/>
                <w:lang w:val="es-ES" w:eastAsia="es-ES"/>
              </w:rPr>
              <w:t>, capital empleado y costos asociados al mismo, activo y pasivo circulante, y costos no relevantes para la separación contable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Adquisición de canales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causados por la adquisición de canales de televisión restringida a los proveedores.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Contenidos para televisión restringida</w:t>
            </w:r>
          </w:p>
        </w:tc>
        <w:tc>
          <w:tcPr>
            <w:tcW w:w="3638" w:type="pct"/>
            <w:tcBorders>
              <w:top w:val="single" w:sz="4" w:space="0" w:color="244062"/>
              <w:left w:val="nil"/>
              <w:bottom w:val="single" w:sz="4" w:space="0" w:color="244062"/>
              <w:right w:val="nil"/>
            </w:tcBorders>
            <w:hideMark/>
          </w:tcPr>
          <w:p w:rsidR="002E1156" w:rsidRPr="00BB33CC" w:rsidRDefault="002E1156" w:rsidP="0092376E">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Costos causados por la adquisición de contenidos adquiridos mediante un formato distinto al de canal, tales como Video </w:t>
            </w:r>
            <w:r w:rsidRPr="00BB33CC">
              <w:rPr>
                <w:rFonts w:ascii="ITC Avant Garde" w:eastAsia="Times New Roman" w:hAnsi="ITC Avant Garde" w:cs="Arial"/>
                <w:sz w:val="20"/>
                <w:lang w:val="es-ES" w:eastAsia="es-ES"/>
              </w:rPr>
              <w:lastRenderedPageBreak/>
              <w:t>bajo Demanda (VoD), eventos deportivos, programas, series, o telenovelas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Generación de contenidos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 la producción de contenidos audiovisuales propios para su retransmisión.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Personal</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de sueldos y salarios, incentivos, aportaciones a planes de pensiones y costos de la seguridad social.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Arrendamientos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de alquiler de estaciones base, edificios, circuitos de red,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Reparaciones y mantenimiento</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de reparaciones y mantenimiento de los elementos de red y elementos no relacionados con la red.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Energía</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los costos derivados del uso de energía eléctrica por el operador.</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profesionales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de costos a profesion</w:t>
            </w:r>
            <w:r w:rsidR="0032479E" w:rsidRPr="00BB33CC">
              <w:rPr>
                <w:rFonts w:ascii="ITC Avant Garde" w:eastAsia="Times New Roman" w:hAnsi="ITC Avant Garde" w:cs="Arial"/>
                <w:sz w:val="20"/>
                <w:lang w:val="es-ES" w:eastAsia="es-ES"/>
              </w:rPr>
              <w:t>al</w:t>
            </w:r>
            <w:r w:rsidRPr="00BB33CC">
              <w:rPr>
                <w:rFonts w:ascii="ITC Avant Garde" w:eastAsia="Times New Roman" w:hAnsi="ITC Avant Garde" w:cs="Arial"/>
                <w:sz w:val="20"/>
                <w:lang w:val="es-ES" w:eastAsia="es-ES"/>
              </w:rPr>
              <w:t>es (auditores, consultores, etc.) y por servicios suplementarios o contenidos a terceros.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Publicidad</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Compra de espacios publicitarios y patrocinios, campañas publicitarias, eventos, ferias y exposiciones, etc.</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Suministros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al alquiler de circuitos y otros suministros.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Tasas e impuestos</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Inventarios</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variación de inventarios.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costos por operaciones</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subcontratación de determinados servicios, costos de facturación, etc.</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tcPr>
          <w:p w:rsidR="002E1156" w:rsidRPr="00BB33CC" w:rsidRDefault="0054368F">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szCs w:val="20"/>
                <w:lang w:val="es-ES" w:eastAsia="es-ES"/>
              </w:rPr>
              <w:t>Capital empleado y c</w:t>
            </w:r>
            <w:r w:rsidR="002E1156" w:rsidRPr="00BB33CC">
              <w:rPr>
                <w:rFonts w:ascii="ITC Avant Garde" w:eastAsia="Times New Roman" w:hAnsi="ITC Avant Garde" w:cs="Arial"/>
                <w:b/>
                <w:bCs/>
                <w:sz w:val="20"/>
                <w:szCs w:val="20"/>
                <w:lang w:val="es-ES" w:eastAsia="es-ES"/>
              </w:rPr>
              <w:t xml:space="preserve">ostos asociados al </w:t>
            </w:r>
            <w:r w:rsidRPr="00BB33CC">
              <w:rPr>
                <w:rFonts w:ascii="ITC Avant Garde" w:eastAsia="Times New Roman" w:hAnsi="ITC Avant Garde" w:cs="Arial"/>
                <w:b/>
                <w:bCs/>
                <w:sz w:val="20"/>
                <w:szCs w:val="20"/>
                <w:lang w:val="es-ES" w:eastAsia="es-ES"/>
              </w:rPr>
              <w:t>mismo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Propiedad industrial</w:t>
            </w:r>
          </w:p>
        </w:tc>
        <w:tc>
          <w:tcPr>
            <w:tcW w:w="3638" w:type="pct"/>
            <w:tcBorders>
              <w:top w:val="single" w:sz="4" w:space="0" w:color="244062"/>
              <w:left w:val="nil"/>
              <w:bottom w:val="single" w:sz="4" w:space="0" w:color="244062"/>
              <w:right w:val="nil"/>
            </w:tcBorders>
            <w:shd w:val="clear" w:color="auto" w:fill="FFFFFF" w:themeFill="background1"/>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Costos asociados al distintivo comercial y la marca.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Derechos de transmisión y programación</w:t>
            </w:r>
          </w:p>
        </w:tc>
        <w:tc>
          <w:tcPr>
            <w:tcW w:w="3638" w:type="pct"/>
            <w:tcBorders>
              <w:top w:val="single" w:sz="4" w:space="0" w:color="244062"/>
              <w:left w:val="nil"/>
              <w:bottom w:val="single" w:sz="4" w:space="0" w:color="244062"/>
              <w:right w:val="nil"/>
            </w:tcBorders>
            <w:shd w:val="clear" w:color="auto" w:fill="FFFFFF" w:themeFill="background1"/>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Costos asociados a la adquisición de derechos para la transmisión de contenidos audiovisuales y producción de programas.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Aplicaciones informáticas</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 xml:space="preserve">Contiene los costos de los elementos </w:t>
            </w:r>
            <w:r w:rsidRPr="00BB33CC">
              <w:rPr>
                <w:rFonts w:ascii="ITC Avant Garde" w:hAnsi="ITC Avant Garde"/>
                <w:i/>
                <w:sz w:val="20"/>
                <w:szCs w:val="20"/>
              </w:rPr>
              <w:t>software</w:t>
            </w:r>
            <w:r w:rsidRPr="00BB33CC">
              <w:rPr>
                <w:rFonts w:ascii="ITC Avant Garde" w:hAnsi="ITC Avant Garde"/>
                <w:sz w:val="20"/>
                <w:szCs w:val="20"/>
              </w:rPr>
              <w:t xml:space="preserve"> de equipos de red y de los sistemas informáticos corporativos.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Terrenos y construcciones</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 xml:space="preserve">Recoge los costos relacionados al capital de los bienes </w:t>
            </w:r>
            <w:r w:rsidR="008B5B9B" w:rsidRPr="00BB33CC">
              <w:rPr>
                <w:rFonts w:ascii="ITC Avant Garde" w:hAnsi="ITC Avant Garde"/>
                <w:sz w:val="20"/>
                <w:szCs w:val="20"/>
              </w:rPr>
              <w:t>inmuebles</w:t>
            </w:r>
            <w:r w:rsidRPr="00BB33CC">
              <w:rPr>
                <w:rFonts w:ascii="ITC Avant Garde" w:hAnsi="ITC Avant Garde"/>
                <w:sz w:val="20"/>
                <w:szCs w:val="20"/>
              </w:rPr>
              <w:t xml:space="preserve"> (terrenos baldíos, edificios,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Sistemas de alimentación de energía</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Costos asociados a la planta de energía requerida para la puesta en funcionamiento de los equipos de red.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Red de acceso</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Costos relativos a la red de acceso del operador, incluyendo la infraestructura pasiva, elementos activos, entre 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Red de distribución y cabecera</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Costos relacionados con los elementos y plataformas para la distribución y gestión de la señal de televisión.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Otros equipos de soporte</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Incluye otros equipos de soporte necesarios para el desarrollo de la actividad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lastRenderedPageBreak/>
              <w:t>Activos accesorios</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hAnsi="ITC Avant Garde"/>
                <w:sz w:val="20"/>
                <w:szCs w:val="20"/>
              </w:rPr>
              <w:t>Recoge los costos asociados a elementos de soporte a las operaciones tales como mobiliario, herramientas y elementos de transporte.</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szCs w:val="20"/>
                <w:lang w:val="es-ES" w:eastAsia="es-ES"/>
              </w:rPr>
              <w:t>Activo y pasivo circulante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Efectivo y equivalentes</w:t>
            </w:r>
          </w:p>
        </w:tc>
        <w:tc>
          <w:tcPr>
            <w:tcW w:w="3638" w:type="pct"/>
            <w:tcBorders>
              <w:top w:val="single" w:sz="4" w:space="0" w:color="244062"/>
              <w:left w:val="nil"/>
              <w:bottom w:val="single" w:sz="4" w:space="0" w:color="244062"/>
              <w:right w:val="nil"/>
            </w:tcBorders>
            <w:shd w:val="clear" w:color="auto" w:fill="FFFFFF" w:themeFill="background1"/>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Aquellos bienes que proporcionan liquidez inmediata al operador necesaria para realizar sus operaciones en el segmento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Cuentas por cobrar</w:t>
            </w:r>
          </w:p>
        </w:tc>
        <w:tc>
          <w:tcPr>
            <w:tcW w:w="3638" w:type="pct"/>
            <w:tcBorders>
              <w:top w:val="single" w:sz="4" w:space="0" w:color="244062"/>
              <w:left w:val="nil"/>
              <w:bottom w:val="single" w:sz="4" w:space="0" w:color="244062"/>
              <w:right w:val="nil"/>
            </w:tcBorders>
            <w:shd w:val="clear" w:color="auto" w:fill="FFFFFF" w:themeFill="background1"/>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que recibirá el operador por la provisión de servicios a clientes a través de crédito documentado.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Inventarios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Aquellas mercancías provistas por el operador que se encuentran listas para su venta.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Otro activo circulante</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Otro activo circulante del operador necesario para el desarrollo de sus operaciones en el segmento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Deudas a proveedores</w:t>
            </w:r>
            <w:r w:rsidRPr="00BB33CC">
              <w:rPr>
                <w:rFonts w:ascii="ITC Avant Garde" w:eastAsia="Times New Roman" w:hAnsi="ITC Avant Garde" w:cs="Arial"/>
                <w:sz w:val="20"/>
                <w:szCs w:val="20"/>
                <w:lang w:val="es-ES" w:eastAsia="es-ES"/>
              </w:rPr>
              <w:br/>
              <w:t>(corto plazo)</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Deuda a corto plazo (menor a un año) que tiene la empresa con proveedores, así como la porción de deuda a largo plazo que se debe pagar durante este periodo.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Ingresos diferidos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Son los ingresos que la empresa ya recibió por parte de los clientes, mientras que los servicios por dichos ingresos no han sido proporcionados.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Otro pasivo circulante</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Otro pasivo circulante del operador asociado con sus actividades en el segmento de televisión restringida.</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b/>
                <w:bCs/>
                <w:sz w:val="20"/>
                <w:szCs w:val="20"/>
                <w:lang w:val="es-ES" w:eastAsia="es-ES"/>
              </w:rPr>
              <w:t>Costos no relevantes para la separación contable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financieros</w:t>
            </w:r>
          </w:p>
        </w:tc>
        <w:tc>
          <w:tcPr>
            <w:tcW w:w="3638" w:type="pct"/>
            <w:tcBorders>
              <w:top w:val="single" w:sz="4" w:space="0" w:color="244062"/>
              <w:left w:val="nil"/>
              <w:bottom w:val="single" w:sz="4" w:space="0" w:color="244062"/>
              <w:right w:val="nil"/>
            </w:tcBorders>
            <w:shd w:val="clear" w:color="auto" w:fill="FFFFFF" w:themeFill="background1"/>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Gastos por intereses derivados de los préstamos solicitados por la inversión para el conjunto de bienes patrimoniales y resto de costos financieros no asignables a planta.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Ajustes de depreciación</w:t>
            </w:r>
          </w:p>
        </w:tc>
        <w:tc>
          <w:tcPr>
            <w:tcW w:w="3638" w:type="pct"/>
            <w:tcBorders>
              <w:top w:val="single" w:sz="4" w:space="0" w:color="244062"/>
              <w:left w:val="nil"/>
              <w:bottom w:val="single" w:sz="4" w:space="0" w:color="244062"/>
              <w:right w:val="nil"/>
            </w:tcBorders>
            <w:shd w:val="clear" w:color="auto" w:fill="FFFFFF" w:themeFill="background1"/>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Otras partidas de costos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Partidas de costos relativas a los servicios no relevantes para la prestación de los servicios de televisión restringida.</w:t>
            </w:r>
          </w:p>
        </w:tc>
      </w:tr>
    </w:tbl>
    <w:p w:rsidR="002E1156" w:rsidRPr="00BB33CC" w:rsidRDefault="002E1156" w:rsidP="002E1156">
      <w:pPr>
        <w:pStyle w:val="Normalresolucion"/>
      </w:pPr>
      <w:r w:rsidRPr="00BB33CC">
        <w:t>Listado mínimo de cuentas a desagregar en el Nivel 2:</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11</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cuentas a desagregar en el Nivel 2 de operadores de televisión restringida</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2E1156" w:rsidRPr="00BB33CC" w:rsidTr="00674BDD">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Componentes de red</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Red de acceso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Emplazamientos (espacio físico)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6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Espacios físicos para la ubicación de casetas, incluyendo el suelo para la construcción de obra civil, así como el acondicionamiento del terreno.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lastRenderedPageBreak/>
              <w:t>Caseta de trasmisión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6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Ubicación debidamente habilitada para la instalación de equipos de transmisión (transmisores, reemisores, receptores, sistemas de gestión. etc.) en una sala del emplazamiento.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Obra civil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6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Elemento que permite la instalación del cableado de la red del operador, incluyendo ductos, zanjas, etc.</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Cableado coaxial</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6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Elementos de transmisión físicos de la señal hacia el usuario final para prestación del servicio de suscripción de televisión por cable.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Transmisores </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6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Equipos transmisores de la red de transmisión satelital, incluyendo moduladores de señal, conversores y amplificadores.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Otros elementos de la red de acceso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Otros equipos de la red de acceso de televisión restringida.</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Gestión de la señal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Mezcladores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6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Equipos combinadores de señales de salida de equipos transmisores.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Codificadores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Elementos responsables de la codificación de las señales a transmitir.</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84084A"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Sistema de Terminación de Cable Módem (</w:t>
            </w:r>
            <w:r w:rsidR="002E1156" w:rsidRPr="00BB33CC">
              <w:rPr>
                <w:rFonts w:ascii="ITC Avant Garde" w:eastAsia="Times New Roman" w:hAnsi="ITC Avant Garde" w:cs="Arial"/>
                <w:sz w:val="20"/>
                <w:szCs w:val="20"/>
                <w:lang w:val="es-ES" w:eastAsia="es-ES"/>
              </w:rPr>
              <w:t>CMTS</w:t>
            </w:r>
            <w:r w:rsidR="002E1156" w:rsidRPr="00BB33CC">
              <w:rPr>
                <w:rStyle w:val="Refdenotaalpie"/>
                <w:rFonts w:ascii="ITC Avant Garde" w:eastAsia="Times New Roman" w:hAnsi="ITC Avant Garde" w:cs="Arial"/>
                <w:sz w:val="20"/>
                <w:szCs w:val="20"/>
                <w:lang w:val="es-ES" w:eastAsia="es-ES"/>
              </w:rPr>
              <w:footnoteReference w:id="103"/>
            </w:r>
            <w:r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Elemento que recibe y envía los flujos de datos en la red de cabecera.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elementos de gestión de señal</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Otros elementos de gestión de la señal en la red de televisión restringida.</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Red de distribución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Enlaces de transmisión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Enlaces de transmisión entre elementos de la red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Receptores y emisores satelitales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Equipos utilizados para la emisión y recepción de señales de televisión satelitales.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elementos de distribución</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elementos de distribución de señal en la red de televisión restringida.</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Red de núcleo</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Plataformas </w:t>
            </w:r>
            <w:r w:rsidR="004609E3" w:rsidRPr="00BB33CC">
              <w:rPr>
                <w:rFonts w:ascii="ITC Avant Garde" w:eastAsia="Times New Roman" w:hAnsi="ITC Avant Garde" w:cs="Arial"/>
                <w:sz w:val="20"/>
                <w:szCs w:val="20"/>
                <w:lang w:val="es-ES" w:eastAsia="es-ES"/>
              </w:rPr>
              <w:t xml:space="preserve">de Antenas Comunitarias de Televisión (Plataformas </w:t>
            </w:r>
            <w:r w:rsidRPr="00BB33CC">
              <w:rPr>
                <w:rFonts w:ascii="ITC Avant Garde" w:eastAsia="Times New Roman" w:hAnsi="ITC Avant Garde" w:cs="Arial"/>
                <w:sz w:val="20"/>
                <w:szCs w:val="20"/>
                <w:lang w:val="es-ES" w:eastAsia="es-ES"/>
              </w:rPr>
              <w:t>CATV</w:t>
            </w:r>
            <w:r w:rsidRPr="00BB33CC">
              <w:rPr>
                <w:rStyle w:val="Refdenotaalpie"/>
                <w:rFonts w:ascii="ITC Avant Garde" w:eastAsia="Times New Roman" w:hAnsi="ITC Avant Garde" w:cs="Arial"/>
                <w:sz w:val="20"/>
                <w:szCs w:val="20"/>
                <w:lang w:val="es-ES" w:eastAsia="es-ES"/>
              </w:rPr>
              <w:footnoteReference w:id="104"/>
            </w:r>
            <w:r w:rsidR="004609E3"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Equipos y plataformas de gestión del servicio de televisión restringida sobre cable coaxial.</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Servidor de </w:t>
            </w:r>
            <w:r w:rsidR="0084084A" w:rsidRPr="00BB33CC">
              <w:rPr>
                <w:rFonts w:ascii="ITC Avant Garde" w:eastAsia="Times New Roman" w:hAnsi="ITC Avant Garde" w:cs="Arial"/>
                <w:sz w:val="20"/>
                <w:szCs w:val="20"/>
                <w:lang w:val="es-ES" w:eastAsia="es-ES"/>
              </w:rPr>
              <w:t xml:space="preserve">Video bajo Demanda (Servidor </w:t>
            </w:r>
            <w:r w:rsidRPr="00BB33CC">
              <w:rPr>
                <w:rFonts w:ascii="ITC Avant Garde" w:eastAsia="Times New Roman" w:hAnsi="ITC Avant Garde" w:cs="Arial"/>
                <w:sz w:val="20"/>
                <w:szCs w:val="20"/>
                <w:lang w:val="es-ES" w:eastAsia="es-ES"/>
              </w:rPr>
              <w:t>VoD</w:t>
            </w:r>
            <w:r w:rsidR="0084084A" w:rsidRPr="00BB33CC">
              <w:rPr>
                <w:rStyle w:val="Refdenotaalpie"/>
                <w:rFonts w:ascii="ITC Avant Garde" w:eastAsia="Times New Roman" w:hAnsi="ITC Avant Garde" w:cs="Arial"/>
                <w:sz w:val="20"/>
                <w:szCs w:val="20"/>
                <w:lang w:val="es-ES" w:eastAsia="es-ES"/>
              </w:rPr>
              <w:footnoteReference w:id="105"/>
            </w:r>
            <w:r w:rsidR="0084084A" w:rsidRPr="00BB33CC">
              <w:rPr>
                <w:rFonts w:ascii="ITC Avant Garde" w:eastAsia="Times New Roman" w:hAnsi="ITC Avant Garde" w:cs="Arial"/>
                <w:sz w:val="20"/>
                <w:szCs w:val="20"/>
                <w:lang w:val="es-ES" w:eastAsia="es-ES"/>
              </w:rPr>
              <w:t>)</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Equipos y plataformas de gestión de servicios de </w:t>
            </w:r>
            <w:r w:rsidRPr="00BB33CC">
              <w:rPr>
                <w:rFonts w:ascii="ITC Avant Garde" w:eastAsia="Times New Roman" w:hAnsi="ITC Avant Garde" w:cs="Arial"/>
                <w:i/>
                <w:iCs/>
                <w:sz w:val="20"/>
                <w:szCs w:val="20"/>
                <w:lang w:val="es-ES" w:eastAsia="es-ES"/>
              </w:rPr>
              <w:t>video on demand.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Receptores de contenidos</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Equipos receptores de contenidos audiovisuales.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lastRenderedPageBreak/>
              <w:t>Otros elementos de núcleo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equipos de la red de núcleo de televisión restringida.</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Red eléctrica y aire acondicionado</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Elementos auxiliares al funcionamiento de la red de televisión restringida asociados a energía y refrigeración, incluyendo subestación eléctrica, fuentes de energía de respaldo (planta de emergencia), aire acondicionado.</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Componentes no relacionados con la red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Programación</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asociados a la compra de contenidos audiovisuales para su retransmisión.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Generación de contenidos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Costos asociados a la producción de contenidos audiovisuales propios para su retransmisión.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Comerciales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Funciones comerciales tal como publicidad, marca, desarrollo de productos, etc.</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Facturación y cobranza</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Control y gestión de la facturación y cobranza a clientes.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Tasas e impuestos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Pagos satisfechos en concepto de tasas e impuestos. Estos deberán estar relacionados con la actividad del negocio y no incluirán impuestos por beneficios.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Costos directos de ventas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Provisiones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Gestión de las provisiones por insolvencias.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Costos comunes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generales y de gestión – minoristas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 xml:space="preserve">Equipo de gestión del operador dedicado a la prestación de servicios minoristas. </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generales y de gestión – red</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Equipo de gestión del operador dedicado a la planeación, gestión, monitoreo, etc. de la red.</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generales y de gestión - negocio</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Equipo de gestión del operador dedicado al funcionamiento del negocio en general.</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Costos no relevantes para la separación contable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Partidas no relevantes para la separación contable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Partidas de costos relativas a los servicios no relevantes para la prestación de servicios de televisión restringida.</w:t>
            </w:r>
          </w:p>
        </w:tc>
      </w:tr>
    </w:tbl>
    <w:p w:rsidR="002E1156" w:rsidRPr="00BB33CC" w:rsidRDefault="002E1156" w:rsidP="000B0C8C">
      <w:pPr>
        <w:pStyle w:val="Normalresolucion"/>
        <w:spacing w:after="0" w:line="276" w:lineRule="auto"/>
      </w:pPr>
      <w:r w:rsidRPr="00BB33CC">
        <w:t>Listado de servicios a desagregar en el Nivel 3. El listado de servicios expuesto a continuación pretende capturar aquellos servicios prestados (actual o potencialmente) por los concesionarios y/o autorizados</w:t>
      </w:r>
      <w:r w:rsidRPr="00BB33CC">
        <w:rPr>
          <w:rStyle w:val="Refdenotaalpie"/>
        </w:rPr>
        <w:t xml:space="preserve"> </w:t>
      </w:r>
      <w:r w:rsidRPr="00BB33CC">
        <w:rPr>
          <w:rStyle w:val="Refdenotaalpie"/>
        </w:rPr>
        <w:footnoteReference w:id="106"/>
      </w:r>
      <w:r w:rsidRPr="00BB33CC">
        <w:t xml:space="preserve">, el cual debe alinearse de acuerdo a los principios de materialidad y relevancia. Estos deben incluir todos los principales servicios ofrecidos por el </w:t>
      </w:r>
      <w:r w:rsidR="00EA7AA2" w:rsidRPr="00BB33CC">
        <w:rPr>
          <w:bCs/>
        </w:rPr>
        <w:t>concesionario y/o autorizado</w:t>
      </w:r>
      <w:r w:rsidRPr="00BB33CC">
        <w:t xml:space="preserve"> (ya sean </w:t>
      </w:r>
      <w:r w:rsidRPr="00BB33CC">
        <w:lastRenderedPageBreak/>
        <w:t xml:space="preserve">regulados o no) con el fin de asegurar la causalidad y transparencia de las imputaciones de costos realizadas en la separación contable. </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12</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cuentas a desagregar en el Nivel 3 de operadores de televisión restringida</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423"/>
      </w:tblGrid>
      <w:tr w:rsidR="002E1156" w:rsidRPr="00BB33CC" w:rsidTr="00674BDD">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rsidR="002E1156" w:rsidRPr="00BB33CC" w:rsidRDefault="002E1156" w:rsidP="00674BDD">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hAnsi="ITC Avant Garde"/>
                <w:b/>
                <w:bCs/>
                <w:sz w:val="20"/>
                <w:lang w:val="es-ES"/>
              </w:rPr>
            </w:pPr>
            <w:r w:rsidRPr="00BB33CC">
              <w:rPr>
                <w:rFonts w:ascii="ITC Avant Garde" w:hAnsi="ITC Avant Garde"/>
                <w:b/>
                <w:bCs/>
                <w:sz w:val="20"/>
                <w:lang w:val="es-ES"/>
              </w:rPr>
              <w:t xml:space="preserve">Servicios minoristas </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Acceso de televisión restringida - por cable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Número total de accesos activos provistos para el servicio de televisión restringida, bajo cualquier tipo de suscripción.</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Suscripción – televisión por cable </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consistente en la distribución de un conjunto de canales de televisión de manera continua bajo redes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de programación - televisión por cable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de venta de canales no incluidos en el servicio de suscripción, de venta de contenidos específicos (incluido video a la carta) u otros servicios OTT a suscriptores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Acceso de televisión restringida - vía satélite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asociado a la instalación de la conexión satelital, incluyendo equipos decodificadores, para la provisión de servicios de televisión restringida vía satélite.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de televisión restringida vía satélite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de televisión restringida en el que la transmisión de las señales y su recepción directa por parte de los suscriptores, se realiza utilizando uno o más satélites.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de programación - televisión vía satélite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de venta de canales no incluidos en el servicio de suscripción, de venta de contenidos específicos (incluido video a la carta) u otros servicios OTT a suscriptores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Conexión - IPTV</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asociado a la instalación de la conexión para la provisión de servicios de IPTV.</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Suscripción servicio – IPTV </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 consistente en la distribución de un conjunto de canales de televisión de manera continua para IPTV.</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Comercialización y mantenimiento de cableado y equipo terminal</w:t>
            </w:r>
          </w:p>
        </w:tc>
        <w:tc>
          <w:tcPr>
            <w:tcW w:w="3638"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Se refiere a la comercialización de cableado, aparatos telefónicos o cualquier equipo de telecomunicaciones para usuarios, así como el mantenimiento de dichos equipos.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Otros servicios minoristas</w:t>
            </w:r>
          </w:p>
        </w:tc>
        <w:tc>
          <w:tcPr>
            <w:tcW w:w="3638" w:type="pct"/>
            <w:tcBorders>
              <w:top w:val="single" w:sz="4" w:space="0" w:color="244062"/>
              <w:left w:val="nil"/>
              <w:bottom w:val="single" w:sz="4" w:space="0" w:color="244062"/>
              <w:right w:val="nil"/>
            </w:tcBorders>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Otros servicios minoristas prestados a usuarios finales.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Servicios mayoristas</w:t>
            </w:r>
          </w:p>
        </w:tc>
      </w:tr>
      <w:tr w:rsidR="002E1156" w:rsidRPr="00BB33CC" w:rsidTr="00674BDD">
        <w:trPr>
          <w:cantSplit/>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Servicios de contenidos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de publicidad</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de venta de tiempo publicitario en las emisiones de televisión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Reventa de canales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after="0" w:line="240" w:lineRule="auto"/>
              <w:jc w:val="both"/>
              <w:rPr>
                <w:rFonts w:ascii="ITC Avant Garde" w:eastAsia="Times New Roman" w:hAnsi="ITC Avant Garde" w:cs="Arial"/>
                <w:sz w:val="20"/>
                <w:szCs w:val="20"/>
                <w:lang w:val="es-ES" w:eastAsia="es-ES"/>
              </w:rPr>
            </w:pPr>
            <w:r w:rsidRPr="00BB33CC">
              <w:rPr>
                <w:rFonts w:ascii="ITC Avant Garde" w:hAnsi="ITC Avant Garde"/>
                <w:sz w:val="20"/>
                <w:szCs w:val="20"/>
              </w:rPr>
              <w:t>Servicio de reventa de canales (programación nacional e internacional) a otras empresas de televisión abierta o restringida.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lastRenderedPageBreak/>
              <w:t>Venta de programas y licencias relevantes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de venta de derechos de concesión de programas y licencias relativas a contenidos audiovisuales relevantes, otorgados a otras empresas nacionales o internacionales.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Venta de programas y licencias no relevantes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de venta de derechos de concesión de programas y licencias relativas a contenidos audiovisuales no relevantes, otorgados a otras empresas nacionales o internacionales.</w:t>
            </w:r>
          </w:p>
        </w:tc>
      </w:tr>
      <w:tr w:rsidR="002E1156" w:rsidRPr="00BB33CC" w:rsidTr="00674BDD">
        <w:trPr>
          <w:cantSplit/>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Servicios de compartición de infraestructura pasiva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Acceso y uso de espacio en sitios físicos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Servicio de compartición de infraestructura pasiva que permite a un operador alternativo utilizar el espacio físico perteneciente al </w:t>
            </w:r>
            <w:r w:rsidR="005B4A65" w:rsidRPr="00BB33CC">
              <w:rPr>
                <w:rFonts w:ascii="ITC Avant Garde" w:hAnsi="ITC Avant Garde"/>
                <w:sz w:val="20"/>
                <w:szCs w:val="20"/>
              </w:rPr>
              <w:t>concesionario y/o autorizado</w:t>
            </w:r>
            <w:r w:rsidRPr="00BB33CC">
              <w:rPr>
                <w:rFonts w:ascii="ITC Avant Garde" w:hAnsi="ITC Avant Garde"/>
                <w:sz w:val="20"/>
                <w:szCs w:val="20"/>
              </w:rPr>
              <w:t>, tales como suelo para la construcción de obra civil y/o acondicionamiento de infraestructura y demás adecuaciones que requieran de espacio físico, mediante cobro por unidad de área ocupada.</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Espacios físicos, sitios y predios compartidos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Número de espacios físicos, sitios y predios compartidos.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auxiliares de compartición de infraestructura pasiva</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 xml:space="preserve">Servicios opcionales de la infraestructura pasiva del </w:t>
            </w:r>
            <w:r w:rsidR="0013259E" w:rsidRPr="00BB33CC">
              <w:rPr>
                <w:rFonts w:ascii="ITC Avant Garde" w:hAnsi="ITC Avant Garde"/>
                <w:bCs/>
                <w:sz w:val="20"/>
                <w:szCs w:val="20"/>
              </w:rPr>
              <w:t>concesionario y/o autorizado</w:t>
            </w:r>
            <w:r w:rsidR="0013259E" w:rsidRPr="00BB33CC" w:rsidDel="0013259E">
              <w:rPr>
                <w:rFonts w:ascii="ITC Avant Garde" w:hAnsi="ITC Avant Garde"/>
                <w:sz w:val="20"/>
                <w:szCs w:val="20"/>
              </w:rPr>
              <w:t xml:space="preserve"> </w:t>
            </w:r>
            <w:r w:rsidRPr="00BB33CC">
              <w:rPr>
                <w:rFonts w:ascii="ITC Avant Garde" w:hAnsi="ITC Avant Garde"/>
                <w:sz w:val="20"/>
                <w:szCs w:val="20"/>
              </w:rPr>
              <w:t>a que un operador alternativo puede acceder, tales como subestación eléctrica, sistemas de aire acondicionado, fuentes de energía de respaldo, etc.</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Servicios auxiliares de acceso y uso de obra civil prestados</w:t>
            </w:r>
          </w:p>
        </w:tc>
        <w:tc>
          <w:tcPr>
            <w:tcW w:w="3638" w:type="pct"/>
            <w:tcBorders>
              <w:top w:val="single" w:sz="4" w:space="0" w:color="244062"/>
              <w:left w:val="nil"/>
              <w:bottom w:val="single" w:sz="4" w:space="0" w:color="244062"/>
              <w:right w:val="nil"/>
            </w:tcBorders>
            <w:vAlign w:val="center"/>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hAnsi="ITC Avant Garde"/>
                <w:sz w:val="20"/>
                <w:szCs w:val="20"/>
              </w:rPr>
              <w:t>Número de servicios auxiliares de acceso y uso de obra civil prestados. Estos contemplan todos los servicios auxiliares que se hayan facturado durante el mes solicitado, en concepto de instalaciones de equipo y de alimentaciones conexas, seguridad, equipos auxiliares, así como fuentes de energía y sistemas de aire acondicionado.</w:t>
            </w:r>
          </w:p>
        </w:tc>
      </w:tr>
      <w:tr w:rsidR="002E1156" w:rsidRPr="00BB33CC" w:rsidTr="00674BDD">
        <w:trPr>
          <w:cantSplit/>
          <w:trHeight w:val="340"/>
          <w:jc w:val="center"/>
        </w:trPr>
        <w:tc>
          <w:tcPr>
            <w:tcW w:w="5000" w:type="pct"/>
            <w:gridSpan w:val="2"/>
            <w:tcBorders>
              <w:top w:val="single" w:sz="4" w:space="0" w:color="244062"/>
              <w:left w:val="nil"/>
              <w:bottom w:val="single" w:sz="4" w:space="0" w:color="244062"/>
              <w:right w:val="nil"/>
            </w:tcBorders>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Servicios de compartición de infraestructura activa</w:t>
            </w:r>
          </w:p>
        </w:tc>
      </w:tr>
      <w:tr w:rsidR="002E1156" w:rsidRPr="00BB33CC" w:rsidTr="00674BDD">
        <w:trPr>
          <w:cantSplit/>
          <w:trHeight w:val="345"/>
          <w:jc w:val="center"/>
        </w:trPr>
        <w:tc>
          <w:tcPr>
            <w:tcW w:w="1362" w:type="pct"/>
            <w:tcBorders>
              <w:top w:val="single" w:sz="4" w:space="0" w:color="244062"/>
              <w:left w:val="nil"/>
              <w:right w:val="nil"/>
            </w:tcBorders>
            <w:shd w:val="clear" w:color="auto" w:fill="D0D1DB"/>
            <w:noWrap/>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Servicio de compartición de combinador</w:t>
            </w:r>
          </w:p>
        </w:tc>
        <w:tc>
          <w:tcPr>
            <w:tcW w:w="3638" w:type="pct"/>
            <w:tcBorders>
              <w:top w:val="single" w:sz="4" w:space="0" w:color="244062"/>
              <w:left w:val="nil"/>
              <w:right w:val="nil"/>
            </w:tcBorders>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 xml:space="preserve">Servicio a través del cual se arrendará el equipo combinador al </w:t>
            </w:r>
            <w:r w:rsidR="005B4A65" w:rsidRPr="00BB33CC">
              <w:rPr>
                <w:rFonts w:ascii="ITC Avant Garde" w:hAnsi="ITC Avant Garde"/>
                <w:sz w:val="20"/>
                <w:szCs w:val="20"/>
              </w:rPr>
              <w:t>concesionario y/o autorizado</w:t>
            </w:r>
            <w:r w:rsidRPr="00BB33CC">
              <w:rPr>
                <w:rFonts w:ascii="ITC Avant Garde" w:hAnsi="ITC Avant Garde"/>
                <w:sz w:val="20"/>
                <w:szCs w:val="20"/>
              </w:rPr>
              <w:t xml:space="preserve"> solicitante.</w:t>
            </w:r>
          </w:p>
        </w:tc>
      </w:tr>
      <w:tr w:rsidR="002E1156" w:rsidRPr="00BB33CC" w:rsidTr="00674BDD">
        <w:trPr>
          <w:cantSplit/>
          <w:trHeight w:val="345"/>
          <w:jc w:val="center"/>
        </w:trPr>
        <w:tc>
          <w:tcPr>
            <w:tcW w:w="1362" w:type="pct"/>
            <w:tcBorders>
              <w:top w:val="single" w:sz="4" w:space="0" w:color="244062"/>
              <w:left w:val="nil"/>
              <w:right w:val="nil"/>
            </w:tcBorders>
            <w:shd w:val="clear" w:color="auto" w:fill="D0D1DB"/>
            <w:noWrap/>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Servicio de compartición del sistema radiante</w:t>
            </w:r>
          </w:p>
        </w:tc>
        <w:tc>
          <w:tcPr>
            <w:tcW w:w="3638" w:type="pct"/>
            <w:tcBorders>
              <w:top w:val="single" w:sz="4" w:space="0" w:color="244062"/>
              <w:left w:val="nil"/>
              <w:right w:val="nil"/>
            </w:tcBorders>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 xml:space="preserve">Servicio a través del cual el </w:t>
            </w:r>
            <w:r w:rsidR="0013259E" w:rsidRPr="00BB33CC">
              <w:rPr>
                <w:rFonts w:ascii="ITC Avant Garde" w:hAnsi="ITC Avant Garde"/>
                <w:bCs/>
                <w:sz w:val="20"/>
                <w:szCs w:val="20"/>
              </w:rPr>
              <w:t>concesionario y/o autorizado</w:t>
            </w:r>
            <w:r w:rsidRPr="00BB33CC">
              <w:rPr>
                <w:rFonts w:ascii="ITC Avant Garde" w:hAnsi="ITC Avant Garde"/>
                <w:sz w:val="20"/>
                <w:szCs w:val="20"/>
              </w:rPr>
              <w:t xml:space="preserve"> arrendará las antenas de transmisión satelital para radiar las señales del </w:t>
            </w:r>
            <w:r w:rsidR="005B4A65" w:rsidRPr="00BB33CC">
              <w:rPr>
                <w:rFonts w:ascii="ITC Avant Garde" w:hAnsi="ITC Avant Garde"/>
                <w:sz w:val="20"/>
                <w:szCs w:val="20"/>
              </w:rPr>
              <w:t>concesionario y/o autorizado</w:t>
            </w:r>
            <w:r w:rsidRPr="00BB33CC">
              <w:rPr>
                <w:rFonts w:ascii="ITC Avant Garde" w:hAnsi="ITC Avant Garde"/>
                <w:sz w:val="20"/>
                <w:szCs w:val="20"/>
              </w:rPr>
              <w:t xml:space="preserve"> solicitante.</w:t>
            </w:r>
          </w:p>
        </w:tc>
      </w:tr>
      <w:tr w:rsidR="002E1156" w:rsidRPr="00BB33CC" w:rsidTr="00674BDD">
        <w:trPr>
          <w:cantSplit/>
          <w:trHeight w:val="345"/>
          <w:jc w:val="center"/>
        </w:trPr>
        <w:tc>
          <w:tcPr>
            <w:tcW w:w="1362" w:type="pct"/>
            <w:tcBorders>
              <w:top w:val="single" w:sz="4" w:space="0" w:color="244062"/>
              <w:left w:val="nil"/>
              <w:right w:val="nil"/>
            </w:tcBorders>
            <w:shd w:val="clear" w:color="auto" w:fill="D0D1DB"/>
            <w:noWrap/>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Servicio de compartición de líneas de transmisión</w:t>
            </w:r>
          </w:p>
        </w:tc>
        <w:tc>
          <w:tcPr>
            <w:tcW w:w="3638" w:type="pct"/>
            <w:tcBorders>
              <w:top w:val="single" w:sz="4" w:space="0" w:color="244062"/>
              <w:left w:val="nil"/>
              <w:right w:val="nil"/>
            </w:tcBorders>
          </w:tcPr>
          <w:p w:rsidR="002E1156" w:rsidRPr="00BB33CC" w:rsidRDefault="002E1156" w:rsidP="00674BDD">
            <w:pPr>
              <w:spacing w:before="40" w:after="40" w:line="240" w:lineRule="auto"/>
              <w:rPr>
                <w:rFonts w:ascii="ITC Avant Garde" w:hAnsi="ITC Avant Garde"/>
                <w:sz w:val="20"/>
                <w:szCs w:val="20"/>
              </w:rPr>
            </w:pPr>
            <w:r w:rsidRPr="00BB33CC">
              <w:rPr>
                <w:rFonts w:ascii="ITC Avant Garde" w:hAnsi="ITC Avant Garde"/>
                <w:sz w:val="20"/>
                <w:szCs w:val="20"/>
              </w:rPr>
              <w:t xml:space="preserve">Servicio mediante el que se arrienda al </w:t>
            </w:r>
            <w:r w:rsidR="005B4A65" w:rsidRPr="00BB33CC">
              <w:rPr>
                <w:rFonts w:ascii="ITC Avant Garde" w:hAnsi="ITC Avant Garde"/>
                <w:sz w:val="20"/>
                <w:szCs w:val="20"/>
              </w:rPr>
              <w:t>concesionario y/o autorizado</w:t>
            </w:r>
            <w:r w:rsidRPr="00BB33CC">
              <w:rPr>
                <w:rFonts w:ascii="ITC Avant Garde" w:hAnsi="ITC Avant Garde"/>
                <w:sz w:val="20"/>
                <w:szCs w:val="20"/>
              </w:rPr>
              <w:t xml:space="preserve"> solicitante las líneas de transmisión del operador prestador del servicio.</w:t>
            </w:r>
          </w:p>
        </w:tc>
      </w:tr>
      <w:tr w:rsidR="002E1156" w:rsidRPr="00BB33CC" w:rsidTr="00674BDD">
        <w:trPr>
          <w:cantSplit/>
          <w:trHeight w:val="340"/>
          <w:jc w:val="center"/>
        </w:trPr>
        <w:tc>
          <w:tcPr>
            <w:tcW w:w="5000" w:type="pct"/>
            <w:gridSpan w:val="2"/>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Otros</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Otros servicios mayoristas</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 refiere a la prestación de</w:t>
            </w:r>
            <w:r w:rsidR="00674BDD" w:rsidRPr="00BB33CC">
              <w:rPr>
                <w:rFonts w:ascii="ITC Avant Garde" w:eastAsia="Times New Roman" w:hAnsi="ITC Avant Garde" w:cs="Arial"/>
                <w:sz w:val="20"/>
                <w:szCs w:val="20"/>
                <w:lang w:val="es-ES" w:eastAsia="es-ES"/>
              </w:rPr>
              <w:t xml:space="preserve"> otros</w:t>
            </w:r>
            <w:r w:rsidRPr="00BB33CC">
              <w:rPr>
                <w:rFonts w:ascii="ITC Avant Garde" w:eastAsia="Times New Roman" w:hAnsi="ITC Avant Garde" w:cs="Arial"/>
                <w:sz w:val="20"/>
                <w:szCs w:val="20"/>
                <w:lang w:val="es-ES" w:eastAsia="es-ES"/>
              </w:rPr>
              <w:t xml:space="preserve"> servicios mayoristas a otros operadores.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szCs w:val="20"/>
                <w:lang w:val="es-ES" w:eastAsia="es-ES"/>
              </w:rPr>
            </w:pPr>
            <w:r w:rsidRPr="00BB33CC">
              <w:rPr>
                <w:rFonts w:ascii="ITC Avant Garde" w:eastAsia="Times New Roman" w:hAnsi="ITC Avant Garde" w:cs="Arial"/>
                <w:b/>
                <w:bCs/>
                <w:sz w:val="20"/>
                <w:szCs w:val="20"/>
                <w:lang w:val="es-ES" w:eastAsia="es-ES"/>
              </w:rPr>
              <w:t>Servicios no relevantes para la separación contable</w:t>
            </w:r>
          </w:p>
        </w:tc>
      </w:tr>
      <w:tr w:rsidR="002E1156" w:rsidRPr="00BB33CC" w:rsidTr="00674BDD">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Servicios no relevantes para la separación contable</w:t>
            </w:r>
          </w:p>
        </w:tc>
        <w:tc>
          <w:tcPr>
            <w:tcW w:w="3638"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szCs w:val="20"/>
                <w:lang w:val="es-ES" w:eastAsia="es-ES"/>
              </w:rPr>
            </w:pPr>
            <w:r w:rsidRPr="00BB33CC">
              <w:rPr>
                <w:rFonts w:ascii="ITC Avant Garde" w:eastAsia="Times New Roman" w:hAnsi="ITC Avant Garde" w:cs="Arial"/>
                <w:sz w:val="20"/>
                <w:szCs w:val="20"/>
                <w:lang w:val="es-ES" w:eastAsia="es-ES"/>
              </w:rPr>
              <w:t>Partidas de costos relativas a los servicios no relevantes para la prestación de servicios de televisión restringida.</w:t>
            </w:r>
          </w:p>
        </w:tc>
      </w:tr>
    </w:tbl>
    <w:p w:rsidR="002E1156" w:rsidRPr="00BB33CC" w:rsidRDefault="002E1156" w:rsidP="00776A41">
      <w:pPr>
        <w:pStyle w:val="A3L1"/>
      </w:pPr>
      <w:bookmarkStart w:id="36" w:name="_Toc484022109"/>
      <w:r w:rsidRPr="00BB33CC">
        <w:t>Sector de Radiodifusión</w:t>
      </w:r>
      <w:bookmarkEnd w:id="36"/>
    </w:p>
    <w:p w:rsidR="002E1156" w:rsidRPr="00BB33CC" w:rsidRDefault="002E1156" w:rsidP="002B6C9A">
      <w:pPr>
        <w:pStyle w:val="Normalresolucion"/>
        <w:spacing w:after="0" w:line="276" w:lineRule="auto"/>
      </w:pPr>
      <w:r w:rsidRPr="00BB33CC">
        <w:lastRenderedPageBreak/>
        <w:t>Esta sección presenta la desagregación mínima de los elementos de la separación contable aplicable a todos los concesionarios y/o autorizados que ofrezcan servicios de radiodifusión dentro del territorio nacional. Los servicios de radiodifusión se definen como todos aquellos relativos a la puesta a disposición del público de contenidos audiovisuales vía señal abierta y pueden incluir los siguientes conceptos:</w:t>
      </w:r>
    </w:p>
    <w:p w:rsidR="002E1156" w:rsidRPr="00BB33CC" w:rsidRDefault="002E1156" w:rsidP="002B6C9A">
      <w:pPr>
        <w:pStyle w:val="Indentadoresolucin"/>
        <w:spacing w:before="240" w:line="276" w:lineRule="auto"/>
      </w:pPr>
      <w:r w:rsidRPr="00BB33CC">
        <w:t>Televisión abierta o radiodifusión, y</w:t>
      </w:r>
    </w:p>
    <w:p w:rsidR="002E1156" w:rsidRPr="00BB33CC" w:rsidRDefault="002E1156" w:rsidP="002B6C9A">
      <w:pPr>
        <w:pStyle w:val="Indentadoresolucin"/>
        <w:spacing w:before="240" w:line="276" w:lineRule="auto"/>
      </w:pPr>
      <w:r w:rsidRPr="00BB33CC">
        <w:t>Radiodifusión sonora.</w:t>
      </w:r>
    </w:p>
    <w:p w:rsidR="00003823" w:rsidRPr="00BB33CC" w:rsidRDefault="00003823" w:rsidP="002B6C9A">
      <w:pPr>
        <w:pStyle w:val="Normalresolucion"/>
        <w:spacing w:after="0" w:line="276" w:lineRule="auto"/>
      </w:pPr>
      <w:r w:rsidRPr="00BB33CC">
        <w:t>A continuación, se presentan las categorías de costos e ingresos a considerar en cada uno de los niveles de atribución definidos en la estructura mínima aplicable a operadores de radiodifusión, mismas que servirán de base y podrán ser adaptadas durante el proceso de autorización del programa de implementación a efecto de que se adecuen a las disposiciones del Instituto y operación de las redes a través de las cuales se prestan servicios de radiodifusión.</w:t>
      </w:r>
    </w:p>
    <w:p w:rsidR="002E1156" w:rsidRPr="00BB33CC" w:rsidRDefault="002E1156" w:rsidP="002B6C9A">
      <w:pPr>
        <w:pStyle w:val="Normalresolucion"/>
        <w:spacing w:after="0" w:line="276" w:lineRule="auto"/>
      </w:pPr>
      <w:r w:rsidRPr="00BB33CC">
        <w:t>Listado mínimo de cuentas de ingresos a desagregar en el Nivel 1:</w:t>
      </w:r>
    </w:p>
    <w:p w:rsidR="002E1156" w:rsidRPr="00BB33CC" w:rsidRDefault="002E1156" w:rsidP="002E1156">
      <w:pPr>
        <w:pStyle w:val="Descripcin"/>
        <w:spacing w:after="240" w:line="240" w:lineRule="auto"/>
        <w:rPr>
          <w:rFonts w:ascii="ITC Avant Garde" w:hAnsi="ITC Avant Garde"/>
          <w:iCs/>
          <w:sz w:val="20"/>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13</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cuentas de ingresos a desagregar en el Nivel 1 de operadores de radiodifusión</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2E1156" w:rsidRPr="00BB33CC" w:rsidTr="00674BDD">
        <w:trPr>
          <w:trHeight w:val="340"/>
          <w:tblHeader/>
          <w:jc w:val="center"/>
        </w:trPr>
        <w:tc>
          <w:tcPr>
            <w:tcW w:w="1361" w:type="pct"/>
            <w:tcBorders>
              <w:top w:val="nil"/>
              <w:left w:val="single" w:sz="4" w:space="0" w:color="FFFFFF"/>
              <w:bottom w:val="single" w:sz="4" w:space="0" w:color="244062"/>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9" w:type="pct"/>
            <w:tcBorders>
              <w:top w:val="nil"/>
              <w:bottom w:val="single" w:sz="4" w:space="0" w:color="244062"/>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Ingresos operativos</w:t>
            </w:r>
            <w:r w:rsidRPr="00BB33CC">
              <w:rPr>
                <w:rFonts w:ascii="ITC Avant Garde" w:eastAsia="Times New Roman" w:hAnsi="ITC Avant Garde" w:cs="Arial"/>
                <w:b/>
                <w:bCs/>
                <w:sz w:val="20"/>
                <w:vertAlign w:val="superscript"/>
                <w:lang w:val="es-ES" w:eastAsia="es-ES"/>
              </w:rPr>
              <w:footnoteReference w:id="107"/>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de publicidad</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Ingresos de la venta de tiempo publicitario en las operaciones del concesionario </w:t>
            </w:r>
            <w:r w:rsidR="00082B86" w:rsidRPr="00BB33CC">
              <w:rPr>
                <w:rFonts w:ascii="ITC Avant Garde" w:eastAsia="Times New Roman" w:hAnsi="ITC Avant Garde" w:cs="Arial"/>
                <w:sz w:val="20"/>
                <w:lang w:val="es-ES" w:eastAsia="es-ES"/>
              </w:rPr>
              <w:t xml:space="preserve">y/o autorizado </w:t>
            </w:r>
            <w:r w:rsidRPr="00BB33CC">
              <w:rPr>
                <w:rFonts w:ascii="ITC Avant Garde" w:eastAsia="Times New Roman" w:hAnsi="ITC Avant Garde" w:cs="Arial"/>
                <w:sz w:val="20"/>
                <w:lang w:val="es-ES" w:eastAsia="es-ES"/>
              </w:rPr>
              <w:t>de televisión de señal abierta y/o radio.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venta de canales</w:t>
            </w:r>
          </w:p>
        </w:tc>
        <w:tc>
          <w:tcPr>
            <w:tcW w:w="3639" w:type="pct"/>
            <w:tcBorders>
              <w:top w:val="single" w:sz="4" w:space="0" w:color="244062"/>
              <w:bottom w:val="single" w:sz="4" w:space="0" w:color="244062"/>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la venta de canales (programación nacional e internacional) a otras empresas de televisión abierta o restringida.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venta de programas y licencias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la venta de derechos de concesión de programas y licencias, otorgados a otras empresas nacionales o internacionales.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servicios de compartición de infraestructura</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de la provisión de servicios de compartición de infraestructura (activa y pasiva) de la red de radiodifusión a otros operadores.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multiprogramación</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obtenidos por coubicar la señal de un tercero en una de las señales multiprogramadas que posee el concesionario</w:t>
            </w:r>
            <w:r w:rsidR="00082B86"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xml:space="preserve"> (alquiler de canales de programación para retransmisión).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Ingresos por otros servicios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la prestación de otros servicios.</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Ingresos no operativos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Operaciones financieras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Ingresos procedentes de otras operaciones financieras realizadas por el </w:t>
            </w:r>
            <w:r w:rsidR="005B4A65" w:rsidRPr="00BB33CC">
              <w:rPr>
                <w:rFonts w:ascii="ITC Avant Garde" w:eastAsia="Times New Roman" w:hAnsi="ITC Avant Garde" w:cs="Arial"/>
                <w:sz w:val="20"/>
                <w:lang w:val="es-ES" w:eastAsia="es-ES"/>
              </w:rPr>
              <w:t>concesionario y/o autorizado</w:t>
            </w:r>
            <w:r w:rsidRPr="00BB33CC">
              <w:rPr>
                <w:rFonts w:ascii="ITC Avant Garde" w:eastAsia="Times New Roman" w:hAnsi="ITC Avant Garde" w:cs="Arial"/>
                <w:sz w:val="20"/>
                <w:lang w:val="es-ES" w:eastAsia="es-ES"/>
              </w:rPr>
              <w:t xml:space="preserve"> o autorizado.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Enajenación de activos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recibidos por la venta de activos.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Otros ingresos </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Incluye aquellos ingresos relativos a los servicios no relacionados con la prestación de servicios de radiodifusión.</w:t>
            </w:r>
          </w:p>
        </w:tc>
      </w:tr>
    </w:tbl>
    <w:p w:rsidR="002E1156" w:rsidRPr="00BB33CC" w:rsidRDefault="002E1156" w:rsidP="002B6C9A">
      <w:pPr>
        <w:pStyle w:val="Normalresolucion"/>
        <w:spacing w:after="0" w:line="276" w:lineRule="auto"/>
      </w:pPr>
      <w:r w:rsidRPr="00BB33CC">
        <w:t xml:space="preserve">Listado </w:t>
      </w:r>
      <w:r w:rsidRPr="00BB33CC">
        <w:rPr>
          <w:bCs/>
        </w:rPr>
        <w:t>mínimo</w:t>
      </w:r>
      <w:r w:rsidRPr="00BB33CC">
        <w:t xml:space="preserve"> de cuentas de costos</w:t>
      </w:r>
      <w:r w:rsidR="00424F56" w:rsidRPr="00BB33CC">
        <w:t xml:space="preserve"> operativos, capital empleado y costos asociados al mismo, activo y pasivo circulante, y costos no relevantes para la separación contable</w:t>
      </w:r>
      <w:r w:rsidRPr="00BB33CC">
        <w:t xml:space="preserve"> a desagregar en el Nivel 1:</w:t>
      </w:r>
    </w:p>
    <w:p w:rsidR="00E01881" w:rsidRPr="00BB33CC" w:rsidRDefault="00E01881" w:rsidP="002E1156">
      <w:pPr>
        <w:pStyle w:val="Normalresolucion"/>
      </w:pPr>
    </w:p>
    <w:p w:rsidR="002E1156" w:rsidRPr="00BB33CC" w:rsidRDefault="002E1156" w:rsidP="002E1156">
      <w:pPr>
        <w:pStyle w:val="Descripcin"/>
        <w:spacing w:after="240" w:line="240" w:lineRule="auto"/>
        <w:rPr>
          <w:rFonts w:ascii="ITC Avant Garde" w:hAnsi="ITC Avant Garde"/>
          <w:iCs/>
          <w:sz w:val="20"/>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14</w:t>
      </w:r>
      <w:r w:rsidRPr="00BB33CC">
        <w:rPr>
          <w:rFonts w:ascii="ITC Avant Garde" w:hAnsi="ITC Avant Garde"/>
          <w:iCs/>
          <w:sz w:val="20"/>
          <w:lang w:val="es-MX"/>
        </w:rPr>
        <w:fldChar w:fldCharType="end"/>
      </w:r>
      <w:r w:rsidRPr="00BB33CC">
        <w:rPr>
          <w:rFonts w:ascii="ITC Avant Garde" w:hAnsi="ITC Avant Garde"/>
          <w:iCs/>
          <w:sz w:val="20"/>
          <w:lang w:val="es-MX"/>
        </w:rPr>
        <w:t xml:space="preserve">: Listado mínimo de cuentas de costos </w:t>
      </w:r>
      <w:r w:rsidR="00424F56" w:rsidRPr="00BB33CC">
        <w:rPr>
          <w:rFonts w:ascii="ITC Avant Garde" w:hAnsi="ITC Avant Garde"/>
          <w:iCs/>
          <w:sz w:val="20"/>
          <w:lang w:val="es-MX"/>
        </w:rPr>
        <w:t xml:space="preserve">operativos, capital empleado y costos asociados al mismo, activo y pasivo circulante, y costos no relevantes para la separación contable </w:t>
      </w:r>
      <w:r w:rsidRPr="00BB33CC">
        <w:rPr>
          <w:rFonts w:ascii="ITC Avant Garde" w:hAnsi="ITC Avant Garde"/>
          <w:iCs/>
          <w:sz w:val="20"/>
          <w:lang w:val="es-MX"/>
        </w:rPr>
        <w:t>a desagregar en el Nivel 1 de operadores de radiodifusión</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2E1156" w:rsidRPr="00BB33CC" w:rsidTr="00674BDD">
        <w:trPr>
          <w:trHeight w:val="340"/>
          <w:tblHeader/>
          <w:jc w:val="center"/>
        </w:trPr>
        <w:tc>
          <w:tcPr>
            <w:tcW w:w="1361" w:type="pct"/>
            <w:tcBorders>
              <w:top w:val="nil"/>
              <w:left w:val="single" w:sz="4" w:space="0" w:color="FFFFFF"/>
              <w:bottom w:val="single" w:sz="4" w:space="0" w:color="244062"/>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9" w:type="pct"/>
            <w:tcBorders>
              <w:top w:val="nil"/>
              <w:bottom w:val="single" w:sz="4" w:space="0" w:color="244062"/>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operativos</w:t>
            </w:r>
            <w:r w:rsidR="00424F56" w:rsidRPr="00BB33CC">
              <w:rPr>
                <w:rFonts w:ascii="ITC Avant Garde" w:eastAsia="Times New Roman" w:hAnsi="ITC Avant Garde" w:cs="Arial"/>
                <w:b/>
                <w:bCs/>
                <w:sz w:val="20"/>
                <w:lang w:val="es-ES" w:eastAsia="es-ES"/>
              </w:rPr>
              <w:t>, capital empleado y costos asociados al mismo, activo y pasivo circulante, y costos no relevantes para la separación contable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Programación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 la compra de contenidos audiovisuales para su retransmisión.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Personal</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de sueldos y salarios, incentivos, aportaciones a planes de pensiones y costos de la seguridad social.</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Arrendamientos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de alquiler de emplazamientos, edificios, circuitos de red, etc.</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Reparaciones y mantenimiento</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de reparaciones y mantenimiento de los elementos de red y elementos no relacionados con la red.</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Energía</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Contiene los costos derivados del uso de energía eléctrica por el operador.</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profesionales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de costos a profesion</w:t>
            </w:r>
            <w:r w:rsidR="008A1B05" w:rsidRPr="00BB33CC">
              <w:rPr>
                <w:rFonts w:ascii="ITC Avant Garde" w:eastAsia="Times New Roman" w:hAnsi="ITC Avant Garde" w:cs="Arial"/>
                <w:sz w:val="20"/>
                <w:lang w:val="es-ES" w:eastAsia="es-ES"/>
              </w:rPr>
              <w:t>al</w:t>
            </w:r>
            <w:r w:rsidRPr="00BB33CC">
              <w:rPr>
                <w:rFonts w:ascii="ITC Avant Garde" w:eastAsia="Times New Roman" w:hAnsi="ITC Avant Garde" w:cs="Arial"/>
                <w:sz w:val="20"/>
                <w:lang w:val="es-ES" w:eastAsia="es-ES"/>
              </w:rPr>
              <w:t>es (auditores, consultores, etc.) y por servicios suplementarios o contenidos a terceros.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Publicidad</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Compra de espacios publicitarios y patrocinios, campañas publicitarias, eventos, ferias y exposiciones, etc.</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Suministros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al alquiler de circuitos y otros suministros.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Tasas e impuestos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Inventarios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variación de inventarios.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costos por operaciones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subcontratación de determinados servicios, costos de facturación, etc.</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54368F">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szCs w:val="20"/>
                <w:lang w:val="es-ES" w:eastAsia="es-ES"/>
              </w:rPr>
              <w:lastRenderedPageBreak/>
              <w:t>Capital empleado y</w:t>
            </w:r>
            <w:r w:rsidRPr="00BB33CC">
              <w:rPr>
                <w:rFonts w:ascii="ITC Avant Garde" w:eastAsia="Times New Roman" w:hAnsi="ITC Avant Garde" w:cs="Arial"/>
                <w:b/>
                <w:bCs/>
                <w:sz w:val="20"/>
                <w:lang w:val="es-ES" w:eastAsia="es-ES"/>
              </w:rPr>
              <w:t xml:space="preserve"> c</w:t>
            </w:r>
            <w:r w:rsidR="002E1156" w:rsidRPr="00BB33CC">
              <w:rPr>
                <w:rFonts w:ascii="ITC Avant Garde" w:eastAsia="Times New Roman" w:hAnsi="ITC Avant Garde" w:cs="Arial"/>
                <w:b/>
                <w:bCs/>
                <w:sz w:val="20"/>
                <w:lang w:val="es-ES" w:eastAsia="es-ES"/>
              </w:rPr>
              <w:t xml:space="preserve">ostos asociados al </w:t>
            </w:r>
            <w:r w:rsidRPr="00BB33CC">
              <w:rPr>
                <w:rFonts w:ascii="ITC Avant Garde" w:eastAsia="Times New Roman" w:hAnsi="ITC Avant Garde" w:cs="Arial"/>
                <w:b/>
                <w:bCs/>
                <w:sz w:val="20"/>
                <w:lang w:val="es-ES" w:eastAsia="es-ES"/>
              </w:rPr>
              <w:t>mismo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Propiedad industrial</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al distintivo comercial y la marca.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Derechos de transmisión y programación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 la adquisición de derechos para la transmisión de contenidos audiovisuales y producción de programas.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Aplicaciones informáticas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Contiene los costos de los elementos de </w:t>
            </w:r>
            <w:r w:rsidRPr="00BB33CC">
              <w:rPr>
                <w:rFonts w:ascii="ITC Avant Garde" w:eastAsia="Times New Roman" w:hAnsi="ITC Avant Garde" w:cs="Arial"/>
                <w:i/>
                <w:sz w:val="20"/>
                <w:lang w:val="es-ES" w:eastAsia="es-ES"/>
              </w:rPr>
              <w:t>software</w:t>
            </w:r>
            <w:r w:rsidRPr="00BB33CC">
              <w:rPr>
                <w:rFonts w:ascii="ITC Avant Garde" w:eastAsia="Times New Roman" w:hAnsi="ITC Avant Garde" w:cs="Arial"/>
                <w:sz w:val="20"/>
                <w:lang w:val="es-ES" w:eastAsia="es-ES"/>
              </w:rPr>
              <w:t xml:space="preserve"> de equipos de red y de los sistemas informáticos corporativos.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Terrenos y construcciones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Recoge los costos relacionados al capital de los bienes </w:t>
            </w:r>
            <w:r w:rsidR="008B5B9B" w:rsidRPr="00BB33CC">
              <w:rPr>
                <w:rFonts w:ascii="ITC Avant Garde" w:eastAsia="Times New Roman" w:hAnsi="ITC Avant Garde" w:cs="Arial"/>
                <w:sz w:val="20"/>
                <w:lang w:val="es-ES" w:eastAsia="es-ES"/>
              </w:rPr>
              <w:t>inmuebles</w:t>
            </w:r>
            <w:r w:rsidRPr="00BB33CC">
              <w:rPr>
                <w:rFonts w:ascii="ITC Avant Garde" w:eastAsia="Times New Roman" w:hAnsi="ITC Avant Garde" w:cs="Arial"/>
                <w:sz w:val="20"/>
                <w:lang w:val="es-ES" w:eastAsia="es-ES"/>
              </w:rPr>
              <w:t xml:space="preserve"> (terrenos baldíos, edificios, entre otros).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Sistemas de alimentación de energía</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asociados a la planta de energía requerida para la puesta en funcionamiento de los equipos de red.</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Red de acceso</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relativos a la red de acceso del operador, incluyendo la infraestructura pasiva, elementos activos, entre otros.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Red de distribución y cabecera</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hAnsi="ITC Avant Garde"/>
                <w:sz w:val="20"/>
                <w:lang w:val="es-ES"/>
              </w:rPr>
            </w:pPr>
            <w:r w:rsidRPr="00BB33CC">
              <w:rPr>
                <w:rFonts w:ascii="ITC Avant Garde" w:hAnsi="ITC Avant Garde"/>
                <w:sz w:val="20"/>
                <w:lang w:val="es-ES"/>
              </w:rPr>
              <w:t>Costos relacionados con los elementos y plataformas para la distribución y gestión de la señal de televisión.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val="es-ES" w:eastAsia="es-ES"/>
              </w:rPr>
              <w:t>Otros equipos de soporte</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Incluye otros equipos de soporte necesarios para el desarrollo de la actividad de radiodifusión.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Activos accesorios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Recoge los costos asociados a elementos de soporte a las operaciones tales como mobiliario, herramientas y elementos de transporte.</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6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Activo y pasivo circulante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Efectivo y equivalentes</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Aquellos bienes que proporcionan liquidez inmediata al operador necesaria para realizar sus operaciones en el sector de radiodifusión.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Cuentas por cobrar</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que recibirá el operador por la provisión de servicios a clientes a través de crédito documentado.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Inventarios</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Aquellas mercancías provistas por el operador que se encuentran listas para su venta.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Otro activo circulante</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 activo circulante del operador necesario para el desarrollo de sus operaciones en el sector de radiodifusión.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Deudas a proveedores (corto plazo)</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Deuda a corto plazo (menor a un año) que tiene la empresa con proveedores, así como la porción de deuda a largo plazo que se debe pagar durante este periodo.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Ingresos diferidos</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Son los ingresos que la empresa ya recibió por parte de los clientes, mientras que los servicios por dichos ingresos no han sido proporcionados.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Otro pasivo circulante</w:t>
            </w:r>
          </w:p>
        </w:tc>
        <w:tc>
          <w:tcPr>
            <w:tcW w:w="3639" w:type="pct"/>
            <w:tcBorders>
              <w:top w:val="single" w:sz="4" w:space="0" w:color="244062"/>
              <w:bottom w:val="single" w:sz="4" w:space="0" w:color="244062"/>
            </w:tcBorders>
            <w:shd w:val="clear" w:color="auto" w:fill="auto"/>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 pasivo circulante del operador asociado con sus actividades en el sector de radiodifusión.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tcPr>
          <w:p w:rsidR="002E1156" w:rsidRPr="00BB33CC" w:rsidRDefault="002E1156" w:rsidP="00674BDD">
            <w:pPr>
              <w:spacing w:before="40" w:after="6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no relevantes para la separación contable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financieros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Ajustes de depreciación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Otras partidas de costos</w:t>
            </w:r>
          </w:p>
        </w:tc>
        <w:tc>
          <w:tcPr>
            <w:tcW w:w="3639" w:type="pct"/>
            <w:tcBorders>
              <w:top w:val="single" w:sz="4" w:space="0" w:color="244062"/>
              <w:bottom w:val="single" w:sz="4" w:space="0" w:color="244062"/>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los servicios de radiodifusión.</w:t>
            </w:r>
          </w:p>
        </w:tc>
      </w:tr>
    </w:tbl>
    <w:p w:rsidR="002E1156" w:rsidRPr="00BB33CC" w:rsidRDefault="002E1156" w:rsidP="002E1156">
      <w:pPr>
        <w:pStyle w:val="Normalresolucion"/>
      </w:pPr>
      <w:r w:rsidRPr="00BB33CC">
        <w:t xml:space="preserve">Listado </w:t>
      </w:r>
      <w:r w:rsidRPr="00BB33CC">
        <w:rPr>
          <w:bCs/>
        </w:rPr>
        <w:t>mínimo</w:t>
      </w:r>
      <w:r w:rsidRPr="00BB33CC">
        <w:t xml:space="preserve"> de cuentas a desagregar en el Nivel 2:</w:t>
      </w:r>
    </w:p>
    <w:p w:rsidR="009E3926" w:rsidRPr="00BB33CC" w:rsidRDefault="009E3926" w:rsidP="002E1156">
      <w:pPr>
        <w:pStyle w:val="Normalresolucion"/>
      </w:pP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15</w:t>
      </w:r>
      <w:r w:rsidRPr="00BB33CC">
        <w:rPr>
          <w:rFonts w:ascii="ITC Avant Garde" w:hAnsi="ITC Avant Garde"/>
          <w:iCs/>
          <w:sz w:val="20"/>
          <w:lang w:val="es-MX"/>
        </w:rPr>
        <w:fldChar w:fldCharType="end"/>
      </w:r>
      <w:r w:rsidRPr="00BB33CC">
        <w:rPr>
          <w:rFonts w:ascii="ITC Avant Garde" w:hAnsi="ITC Avant Garde"/>
          <w:iCs/>
          <w:sz w:val="20"/>
          <w:lang w:val="es-MX"/>
        </w:rPr>
        <w:t>: Listado mínimo de cuentas a desagregar en el Nivel 2 de operadores de radiodifusión</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2E1156" w:rsidRPr="00BB33CC" w:rsidTr="00674BDD">
        <w:trPr>
          <w:trHeight w:val="340"/>
          <w:tblHeader/>
          <w:jc w:val="center"/>
        </w:trPr>
        <w:tc>
          <w:tcPr>
            <w:tcW w:w="1361" w:type="pct"/>
            <w:tcBorders>
              <w:top w:val="nil"/>
              <w:left w:val="single" w:sz="4" w:space="0" w:color="FFFFFF"/>
              <w:bottom w:val="single" w:sz="4" w:space="0" w:color="244062"/>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w:t>
            </w:r>
          </w:p>
        </w:tc>
        <w:tc>
          <w:tcPr>
            <w:tcW w:w="3639" w:type="pct"/>
            <w:tcBorders>
              <w:top w:val="nil"/>
              <w:bottom w:val="single" w:sz="4" w:space="0" w:color="244062"/>
            </w:tcBorders>
            <w:shd w:val="clear" w:color="auto" w:fill="4F629B"/>
            <w:vAlign w:val="center"/>
            <w:hideMark/>
          </w:tcPr>
          <w:p w:rsidR="002E1156" w:rsidRPr="00BB33CC" w:rsidRDefault="002E1156" w:rsidP="00674BDD">
            <w:pPr>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Componentes de red</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Red de acceso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Sitio de transmisión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Inmueble que contiene al conjunto de equipos y en algunos casos a las antenas, torres, instalaciones de equipo y de alimentaciones conexas, seguridad, equipos auxiliares, espacios físicos salvo estudios, así como fuentes de energía y sistemas de aire acondicionado que son utilizados para proveer el servicio de televisión radiodifundida concesionada y/o radiodifusión sonora.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Sala de trasmisión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Lugar ubicado dentro del sitio de transmisión donde se encuentran los equipos de transmisión que permite ofrecer los servicios de televisión radiodifundida concesionada y/o radiodifusión sonora.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Torres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Estructura de material variable que puede fungir como sistema radiador o como soporte para sostener cableado eléctrico, infraestructura o medios de transmisión de telecomunicaciones y/o radiodifusión.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Postes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Estructura que funge como soporte, de material variable, utilizada para el tendido de cableado eléctrico y de telecomunicaciones.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Obra civil</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que permite la instalación de torres, habilitación de emplazamientos, etc.</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Transmisores </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Componente cuya función es acondicionar las señales de información en ancho de banda y potencia para entregarlas al medio de transmisión o transductor.</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elementos de la red de acceso</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la red de acceso de radiodifusión.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Gestión de la señal</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Mezclador</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combinadores de señales de salida de equipos transmisores.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Codificadores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responsables de la codificación de las señales a transmitir.</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6F34E9" w:rsidP="001E2CEB">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 de Terminación de Cable Módem (</w:t>
            </w:r>
            <w:r w:rsidR="002E1156" w:rsidRPr="00BB33CC">
              <w:rPr>
                <w:rFonts w:ascii="ITC Avant Garde" w:eastAsia="Times New Roman" w:hAnsi="ITC Avant Garde" w:cs="Arial"/>
                <w:sz w:val="20"/>
                <w:lang w:val="es-ES" w:eastAsia="es-ES"/>
              </w:rPr>
              <w:t>CMTS</w:t>
            </w:r>
            <w:r w:rsidRPr="00BB33CC">
              <w:rPr>
                <w:rStyle w:val="Refdenotaalpie"/>
                <w:rFonts w:ascii="ITC Avant Garde" w:eastAsia="Times New Roman" w:hAnsi="ITC Avant Garde" w:cs="Arial"/>
                <w:sz w:val="20"/>
                <w:lang w:val="es-ES" w:eastAsia="es-ES"/>
              </w:rPr>
              <w:footnoteReference w:id="108"/>
            </w:r>
            <w:r w:rsidRPr="00BB33CC">
              <w:rPr>
                <w:rFonts w:ascii="ITC Avant Garde" w:eastAsia="Times New Roman" w:hAnsi="ITC Avant Garde" w:cs="Arial"/>
                <w:sz w:val="20"/>
                <w:lang w:val="es-ES" w:eastAsia="es-ES"/>
              </w:rPr>
              <w:t>)</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 que recibe y envía los flujos de datos en la red de cabecera.</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elementos de gestión de señal</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elementos de gestión de la señal en la red de radiodifusión.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Red de distribución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Enlaces de transmisión entre elementos de la red de radiodifusión.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Receptores y emisores satelitales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utilizados para la emisión y recepción de señales de radiodifusión.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elementos de distribución</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elementos de distribución de señal en la red de radiodifusión.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rsidR="002E1156" w:rsidRPr="00BB33CC" w:rsidRDefault="002E1156" w:rsidP="00674BDD">
            <w:pPr>
              <w:spacing w:before="40" w:after="40" w:line="240" w:lineRule="auto"/>
              <w:rPr>
                <w:rFonts w:ascii="ITC Avant Garde" w:hAnsi="ITC Avant Garde"/>
                <w:b/>
                <w:sz w:val="20"/>
                <w:lang w:val="es-ES"/>
              </w:rPr>
            </w:pPr>
            <w:r w:rsidRPr="00BB33CC">
              <w:rPr>
                <w:rFonts w:ascii="ITC Avant Garde" w:eastAsia="Times New Roman" w:hAnsi="ITC Avant Garde" w:cs="Arial"/>
                <w:b/>
                <w:bCs/>
                <w:sz w:val="20"/>
                <w:lang w:val="es-ES" w:eastAsia="es-ES"/>
              </w:rPr>
              <w:t>Red de núcleo</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Receptores de contenidos</w:t>
            </w:r>
          </w:p>
        </w:tc>
        <w:tc>
          <w:tcPr>
            <w:tcW w:w="3639" w:type="pct"/>
            <w:tcBorders>
              <w:top w:val="single" w:sz="4" w:space="0" w:color="244062"/>
              <w:bottom w:val="single" w:sz="4" w:space="0" w:color="244062"/>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receptores de contenidos de radiodifusión.</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elementos de núcleo</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equipos de la red de núcleo de radiodifusión.</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Otros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eléctrica y aire acondicionado</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Elementos auxiliares al funcionamiento de la red de radiodifusión asociados a energía y refrigeración, incluyendo subestación eléctrica, fuentes de energía de respaldo (planta de emergencia), aire acondicionado.</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Componentes no relacionados con la</w:t>
            </w:r>
            <w:r w:rsidRPr="00BB33CC" w:rsidDel="00185EB1">
              <w:rPr>
                <w:rFonts w:ascii="ITC Avant Garde" w:eastAsia="Times New Roman" w:hAnsi="ITC Avant Garde" w:cs="Arial"/>
                <w:b/>
                <w:bCs/>
                <w:sz w:val="20"/>
                <w:lang w:val="es-ES" w:eastAsia="es-ES"/>
              </w:rPr>
              <w:t xml:space="preserve"> </w:t>
            </w:r>
            <w:r w:rsidRPr="00BB33CC">
              <w:rPr>
                <w:rFonts w:ascii="ITC Avant Garde" w:eastAsia="Times New Roman" w:hAnsi="ITC Avant Garde" w:cs="Arial"/>
                <w:b/>
                <w:bCs/>
                <w:sz w:val="20"/>
                <w:lang w:val="es-ES" w:eastAsia="es-ES"/>
              </w:rPr>
              <w:t>red</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Funciones comerciales tal como publicidad, marca, desarrollo de productos, etc.</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 y cobranza</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Control y gestión de la facturación y cobranza a clientes.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Tasas e impuestos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directos de ventas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Provisiones</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Gestión de las provisiones por insolvencias.</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comunes</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generales y de gestión – red</w:t>
            </w:r>
          </w:p>
        </w:tc>
        <w:tc>
          <w:tcPr>
            <w:tcW w:w="3639" w:type="pct"/>
            <w:tcBorders>
              <w:top w:val="single" w:sz="4" w:space="0" w:color="244062"/>
              <w:bottom w:val="single" w:sz="4" w:space="0" w:color="244062"/>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 de gestión del operador dedicado a la gestión, monitores, etc. de la red.</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lastRenderedPageBreak/>
              <w:t>Servicios generales y de gestión – negocio</w:t>
            </w:r>
          </w:p>
        </w:tc>
        <w:tc>
          <w:tcPr>
            <w:tcW w:w="3639" w:type="pct"/>
            <w:tcBorders>
              <w:top w:val="single" w:sz="4" w:space="0" w:color="244062"/>
              <w:bottom w:val="single" w:sz="4" w:space="0" w:color="244062"/>
            </w:tcBorders>
            <w:vAlign w:val="center"/>
          </w:tcPr>
          <w:p w:rsidR="002E1156" w:rsidRPr="00BB33CC" w:rsidRDefault="002E1156" w:rsidP="00674BDD">
            <w:pPr>
              <w:spacing w:before="40" w:after="40" w:line="240" w:lineRule="auto"/>
              <w:rPr>
                <w:rFonts w:ascii="ITC Avant Garde" w:eastAsia="Times New Roman" w:hAnsi="ITC Avant Garde" w:cs="Arial"/>
                <w:sz w:val="20"/>
                <w:lang w:eastAsia="es-ES"/>
              </w:rPr>
            </w:pPr>
            <w:r w:rsidRPr="00BB33CC">
              <w:rPr>
                <w:rFonts w:ascii="ITC Avant Garde" w:eastAsia="Times New Roman" w:hAnsi="ITC Avant Garde" w:cs="Arial"/>
                <w:sz w:val="20"/>
                <w:lang w:eastAsia="es-ES"/>
              </w:rPr>
              <w:t>Equipo de gestión del operador dedicado al funcionamiento del negocio en general.</w:t>
            </w:r>
          </w:p>
        </w:tc>
      </w:tr>
      <w:tr w:rsidR="002E1156" w:rsidRPr="00BB33CC" w:rsidTr="00674BDD">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no relevantes para la separación contable</w:t>
            </w:r>
          </w:p>
        </w:tc>
      </w:tr>
      <w:tr w:rsidR="002E1156" w:rsidRPr="00BB33CC" w:rsidTr="00674BDD">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no relevantes para la separación contable</w:t>
            </w:r>
          </w:p>
        </w:tc>
        <w:tc>
          <w:tcPr>
            <w:tcW w:w="3639" w:type="pct"/>
            <w:tcBorders>
              <w:top w:val="single" w:sz="4" w:space="0" w:color="244062"/>
              <w:bottom w:val="single" w:sz="4" w:space="0" w:color="244062"/>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servicios de radiodifusión.</w:t>
            </w:r>
          </w:p>
        </w:tc>
      </w:tr>
    </w:tbl>
    <w:p w:rsidR="002E1156" w:rsidRPr="00BB33CC" w:rsidRDefault="002E1156" w:rsidP="000B0C8C">
      <w:pPr>
        <w:pStyle w:val="Normalresolucion"/>
        <w:spacing w:after="0" w:line="276" w:lineRule="auto"/>
      </w:pPr>
      <w:r w:rsidRPr="00BB33CC">
        <w:t>Listado de servicios a desagregar en el Nivel 3. El listado de servicios expuesto a continuación pretende capturar aquellos servicios prestados (actual o potencialmente) por los concesionarios y/o autorizados</w:t>
      </w:r>
      <w:r w:rsidRPr="00BB33CC">
        <w:rPr>
          <w:rStyle w:val="Refdenotaalpie"/>
        </w:rPr>
        <w:t xml:space="preserve"> </w:t>
      </w:r>
      <w:r w:rsidRPr="00BB33CC">
        <w:rPr>
          <w:rStyle w:val="Refdenotaalpie"/>
        </w:rPr>
        <w:footnoteReference w:id="109"/>
      </w:r>
      <w:r w:rsidRPr="00BB33CC">
        <w:t xml:space="preserve">, el cual debe alinearse de acuerdo a los principios de materialidad y relevancia. Estos deben incluir todos los principales servicios ofrecidos por el </w:t>
      </w:r>
      <w:r w:rsidR="00EA7AA2" w:rsidRPr="00BB33CC">
        <w:rPr>
          <w:bCs/>
        </w:rPr>
        <w:t>concesionario y/o autorizado</w:t>
      </w:r>
      <w:r w:rsidRPr="00BB33CC">
        <w:t xml:space="preserve"> (ya sean regulados o no) con el fin de asegurar la causalidad y transparencia de las imputaciones de costos realizadas en la separación contable. </w:t>
      </w:r>
    </w:p>
    <w:p w:rsidR="002E1156" w:rsidRPr="00BB33CC" w:rsidRDefault="002E1156" w:rsidP="002E1156">
      <w:pPr>
        <w:pStyle w:val="Descripcin"/>
        <w:spacing w:after="240" w:line="240" w:lineRule="auto"/>
        <w:rPr>
          <w:rFonts w:ascii="ITC Avant Garde" w:hAnsi="ITC Avant Garde"/>
          <w:iCs/>
          <w:sz w:val="20"/>
          <w:lang w:val="es-MX"/>
        </w:rPr>
      </w:pPr>
      <w:r w:rsidRPr="00BB33CC">
        <w:rPr>
          <w:rFonts w:ascii="ITC Avant Garde" w:hAnsi="ITC Avant Garde"/>
          <w:iCs/>
          <w:sz w:val="20"/>
          <w:lang w:val="es-MX"/>
        </w:rPr>
        <w:t>Tabla A1.</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Tabla_AP.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16</w:t>
      </w:r>
      <w:r w:rsidRPr="00BB33CC">
        <w:rPr>
          <w:rFonts w:ascii="ITC Avant Garde" w:hAnsi="ITC Avant Garde"/>
          <w:iCs/>
          <w:sz w:val="20"/>
          <w:lang w:val="es-MX"/>
        </w:rPr>
        <w:fldChar w:fldCharType="end"/>
      </w:r>
      <w:r w:rsidRPr="00BB33CC">
        <w:rPr>
          <w:rFonts w:ascii="ITC Avant Garde" w:hAnsi="ITC Avant Garde"/>
          <w:iCs/>
          <w:sz w:val="20"/>
          <w:lang w:val="es-MX"/>
        </w:rPr>
        <w:t xml:space="preserve">: Listado mínimo de servicios a desagregar en el Nivel 3 de operadores de radiodifusión </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4"/>
        <w:gridCol w:w="6429"/>
      </w:tblGrid>
      <w:tr w:rsidR="002E1156" w:rsidRPr="00BB33CC" w:rsidTr="00674BDD">
        <w:trPr>
          <w:trHeight w:val="340"/>
          <w:tblHeader/>
          <w:jc w:val="center"/>
        </w:trPr>
        <w:tc>
          <w:tcPr>
            <w:tcW w:w="1361" w:type="pct"/>
            <w:tcBorders>
              <w:top w:val="nil"/>
              <w:left w:val="single" w:sz="4" w:space="0" w:color="FFFFFF"/>
              <w:bottom w:val="single" w:sz="4" w:space="0" w:color="244062"/>
              <w:right w:val="nil"/>
            </w:tcBorders>
            <w:shd w:val="clear" w:color="auto" w:fill="4F629B"/>
            <w:vAlign w:val="center"/>
            <w:hideMark/>
          </w:tcPr>
          <w:p w:rsidR="002E1156" w:rsidRPr="00BB33CC" w:rsidRDefault="002E1156" w:rsidP="00674BDD">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w:t>
            </w:r>
          </w:p>
        </w:tc>
        <w:tc>
          <w:tcPr>
            <w:tcW w:w="3639" w:type="pct"/>
            <w:tcBorders>
              <w:top w:val="nil"/>
              <w:left w:val="nil"/>
              <w:bottom w:val="single" w:sz="4" w:space="0" w:color="244062"/>
              <w:right w:val="nil"/>
            </w:tcBorders>
            <w:shd w:val="clear" w:color="auto" w:fill="4F629B"/>
            <w:vAlign w:val="center"/>
            <w:hideMark/>
          </w:tcPr>
          <w:p w:rsidR="002E1156" w:rsidRPr="00BB33CC" w:rsidRDefault="002E1156" w:rsidP="00674BDD">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Descripción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minoristas</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televisión radiodifundida</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público de radiodifusión de televisión prestado mediante el otorgamiento de una concesión para el aprovechamiento o explotación de las bandas de frecuencias del espectro radioeléctrico atribuidas por el Estado a dicho servicio.</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radiodifusión sonora</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público de radiodifusión sonora que consiste en la propagación de ondas electromagnéticas de señales de audio, haciendo uso, aprovechamiento o explotación de las bandas de frecuencia del espectro radioeléctrico, atribuidas por el Instituto a tal servicio, con el que la población puede recibir de manera directa y gratuita las señales de su emisor utilizando los dispositivos idóneos para ello.</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servicios minoristas</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servicios minoristas prestados a usuarios finales, incluyendo servicios de promoción de eventos deportivos y espectáculos, producción y distribución de películas, juegos y editoriales.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mayoristas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de contenidos</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publicidad</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venta de tiempo publicitario en las señales de televisión de señal abierta o de radio.</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Venta de canales</w:t>
            </w:r>
          </w:p>
        </w:tc>
        <w:tc>
          <w:tcPr>
            <w:tcW w:w="3639" w:type="pct"/>
            <w:tcBorders>
              <w:top w:val="single" w:sz="4" w:space="0" w:color="244062"/>
              <w:left w:val="nil"/>
              <w:bottom w:val="single" w:sz="4" w:space="0" w:color="244062"/>
              <w:right w:val="nil"/>
            </w:tcBorders>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venta de canales (programación nacional e internacional) a otras empresas de televisión abierta o restringida.</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Venta de programas y licencias</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venta de derechos de concesión de programas y licencias, otorgados a otras empresas nacionales o internacionales.</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multiprogramación</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Ingresos obtenidos por distribuir el canal de programación </w:t>
            </w:r>
            <w:r w:rsidR="00674BDD" w:rsidRPr="00BB33CC">
              <w:rPr>
                <w:rFonts w:ascii="ITC Avant Garde" w:eastAsia="Times New Roman" w:hAnsi="ITC Avant Garde" w:cs="Arial"/>
                <w:sz w:val="20"/>
                <w:lang w:val="es-ES" w:eastAsia="es-ES"/>
              </w:rPr>
              <w:t xml:space="preserve">a </w:t>
            </w:r>
            <w:r w:rsidRPr="00BB33CC">
              <w:rPr>
                <w:rFonts w:ascii="ITC Avant Garde" w:eastAsia="Times New Roman" w:hAnsi="ITC Avant Garde" w:cs="Arial"/>
                <w:sz w:val="20"/>
                <w:lang w:val="es-ES" w:eastAsia="es-ES"/>
              </w:rPr>
              <w:t xml:space="preserve">un tercero en el canal de transmisión de radiodifusión del concesionario. </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de compartición de infraestructura pasiva</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y uso de espacio en sitios físicos</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de compartición de infraestructura pasiva que permite a un operador alternativo utilizar el espacio físico perteneciente al </w:t>
            </w:r>
            <w:r w:rsidR="005B4A65" w:rsidRPr="00BB33CC">
              <w:rPr>
                <w:rFonts w:ascii="ITC Avant Garde" w:eastAsia="Times New Roman" w:hAnsi="ITC Avant Garde" w:cs="Arial"/>
                <w:sz w:val="20"/>
                <w:lang w:val="es-ES" w:eastAsia="es-ES"/>
              </w:rPr>
              <w:t>concesionario y/o autorizado</w:t>
            </w:r>
            <w:r w:rsidRPr="00BB33CC">
              <w:rPr>
                <w:rFonts w:ascii="ITC Avant Garde" w:eastAsia="Times New Roman" w:hAnsi="ITC Avant Garde" w:cs="Arial"/>
                <w:sz w:val="20"/>
                <w:lang w:val="es-ES" w:eastAsia="es-ES"/>
              </w:rPr>
              <w:t>, tales como suelo para la construcción de obra civil y/o acondicionamiento de infraestructura y demás adecuaciones que requieran de espacio físico, mediante cobro por unidad de área ocupada.</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y uso de espacio en caseta</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de compartición de infraestructura pasiva que permite a un operador alternativo utilizar el espacio físico en espacio debidamente habilitado para la instalación de equipos de radiodifusión (transmisores, reemisores, receptores, sistemas de gestión. etc.) en una sala del emplazamiento correspondiente </w:t>
            </w:r>
            <w:r w:rsidR="00674BDD" w:rsidRPr="00BB33CC">
              <w:rPr>
                <w:rFonts w:ascii="ITC Avant Garde" w:eastAsia="Times New Roman" w:hAnsi="ITC Avant Garde" w:cs="Arial"/>
                <w:sz w:val="20"/>
                <w:lang w:val="es-ES" w:eastAsia="es-ES"/>
              </w:rPr>
              <w:t xml:space="preserve">que </w:t>
            </w:r>
            <w:r w:rsidRPr="00BB33CC">
              <w:rPr>
                <w:rFonts w:ascii="ITC Avant Garde" w:eastAsia="Times New Roman" w:hAnsi="ITC Avant Garde" w:cs="Arial"/>
                <w:sz w:val="20"/>
                <w:lang w:val="es-ES" w:eastAsia="es-ES"/>
              </w:rPr>
              <w:t>pertenec</w:t>
            </w:r>
            <w:r w:rsidR="00674BDD" w:rsidRPr="00BB33CC">
              <w:rPr>
                <w:rFonts w:ascii="ITC Avant Garde" w:eastAsia="Times New Roman" w:hAnsi="ITC Avant Garde" w:cs="Arial"/>
                <w:sz w:val="20"/>
                <w:lang w:val="es-ES" w:eastAsia="es-ES"/>
              </w:rPr>
              <w:t>e</w:t>
            </w:r>
            <w:r w:rsidRPr="00BB33CC">
              <w:rPr>
                <w:rFonts w:ascii="ITC Avant Garde" w:eastAsia="Times New Roman" w:hAnsi="ITC Avant Garde" w:cs="Arial"/>
                <w:sz w:val="20"/>
                <w:lang w:val="es-ES" w:eastAsia="es-ES"/>
              </w:rPr>
              <w:t xml:space="preserve"> al </w:t>
            </w:r>
            <w:r w:rsidR="005B4A65" w:rsidRPr="00BB33CC">
              <w:rPr>
                <w:rFonts w:ascii="ITC Avant Garde" w:eastAsia="Times New Roman" w:hAnsi="ITC Avant Garde" w:cs="Arial"/>
                <w:sz w:val="20"/>
                <w:lang w:val="es-ES" w:eastAsia="es-ES"/>
              </w:rPr>
              <w:t>concesionario y/o autorizado</w:t>
            </w:r>
            <w:r w:rsidRPr="00BB33CC">
              <w:rPr>
                <w:rFonts w:ascii="ITC Avant Garde" w:eastAsia="Times New Roman" w:hAnsi="ITC Avant Garde" w:cs="Arial"/>
                <w:sz w:val="20"/>
                <w:lang w:val="es-ES" w:eastAsia="es-ES"/>
              </w:rPr>
              <w:t>. Asimismo, se facilita la ubicación de otros elementos diferentes de los equipos que el operador requiera para la provisión del servicio (combinadores, energía, etc.), mediante cobro por unidad de área ocupada.</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Acceso y uso de espacio en torre</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de compartición de infraestructura pasiva que permite a un operador alternativo utilizar el espacio físico en estructuras arriostradas o auto-soportadas pertenecientes al </w:t>
            </w:r>
            <w:r w:rsidR="005B4A65" w:rsidRPr="00BB33CC">
              <w:rPr>
                <w:rFonts w:ascii="ITC Avant Garde" w:eastAsia="Times New Roman" w:hAnsi="ITC Avant Garde" w:cs="Arial"/>
                <w:sz w:val="20"/>
                <w:lang w:val="es-ES" w:eastAsia="es-ES"/>
              </w:rPr>
              <w:t>concesionario y/o autorizado</w:t>
            </w:r>
            <w:r w:rsidRPr="00BB33CC">
              <w:rPr>
                <w:rFonts w:ascii="ITC Avant Garde" w:eastAsia="Times New Roman" w:hAnsi="ITC Avant Garde" w:cs="Arial"/>
                <w:sz w:val="20"/>
                <w:lang w:val="es-ES" w:eastAsia="es-ES"/>
              </w:rPr>
              <w:t>, sean mástiles, postes o torres y cualquier otra destinadas a la instalación de antenas, mediante cobro por altura de la estructura.</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auxiliares de compartición de infraestructura pasiva</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opcionales de la infraestructura pasiva del concesionario</w:t>
            </w:r>
            <w:r w:rsidR="00082B86"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xml:space="preserve"> a que un operador alternativo puede acceder, tales como subestación eléctrica, sistemas de aire acondicionado, fuentes de energía de respaldo, etc.</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complementarios a la compartición de infraestructura pasiva</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servicios diversos de soporte para la provisión de los servicios de acceso y uso compartido de infraestructura pasiva (visita técnica, análisis de factibilidad), mediante cobro por contraprestación.</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de compartición de infraestructura activa</w:t>
            </w:r>
          </w:p>
        </w:tc>
      </w:tr>
      <w:tr w:rsidR="002E1156" w:rsidRPr="00BB33CC" w:rsidTr="00674BDD">
        <w:trPr>
          <w:trHeight w:val="345"/>
          <w:jc w:val="center"/>
        </w:trPr>
        <w:tc>
          <w:tcPr>
            <w:tcW w:w="1361" w:type="pct"/>
            <w:tcBorders>
              <w:top w:val="single" w:sz="4" w:space="0" w:color="244062"/>
              <w:left w:val="nil"/>
              <w:bottom w:val="single" w:sz="4" w:space="0" w:color="auto"/>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compartición de combinador</w:t>
            </w:r>
          </w:p>
        </w:tc>
        <w:tc>
          <w:tcPr>
            <w:tcW w:w="3639" w:type="pct"/>
            <w:tcBorders>
              <w:top w:val="single" w:sz="4" w:space="0" w:color="244062"/>
              <w:left w:val="nil"/>
              <w:bottom w:val="single" w:sz="4" w:space="0" w:color="auto"/>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a través del cual se arrendará el equipo combinador al concesionario </w:t>
            </w:r>
            <w:r w:rsidR="00082B86" w:rsidRPr="00BB33CC">
              <w:rPr>
                <w:rFonts w:ascii="ITC Avant Garde" w:eastAsia="Times New Roman" w:hAnsi="ITC Avant Garde" w:cs="Arial"/>
                <w:sz w:val="20"/>
                <w:lang w:val="es-ES" w:eastAsia="es-ES"/>
              </w:rPr>
              <w:t xml:space="preserve">y/o autorizado </w:t>
            </w:r>
            <w:r w:rsidRPr="00BB33CC">
              <w:rPr>
                <w:rFonts w:ascii="ITC Avant Garde" w:eastAsia="Times New Roman" w:hAnsi="ITC Avant Garde" w:cs="Arial"/>
                <w:sz w:val="20"/>
                <w:lang w:val="es-ES" w:eastAsia="es-ES"/>
              </w:rPr>
              <w:t>solicitante.</w:t>
            </w:r>
          </w:p>
        </w:tc>
      </w:tr>
      <w:tr w:rsidR="002E1156" w:rsidRPr="00BB33CC" w:rsidTr="00674BDD">
        <w:trPr>
          <w:trHeight w:val="345"/>
          <w:jc w:val="center"/>
        </w:trPr>
        <w:tc>
          <w:tcPr>
            <w:tcW w:w="1361" w:type="pct"/>
            <w:tcBorders>
              <w:top w:val="single" w:sz="4" w:space="0" w:color="244062"/>
              <w:left w:val="nil"/>
              <w:bottom w:val="single" w:sz="4" w:space="0" w:color="auto"/>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compartición del sistema radiante</w:t>
            </w:r>
          </w:p>
        </w:tc>
        <w:tc>
          <w:tcPr>
            <w:tcW w:w="3639" w:type="pct"/>
            <w:tcBorders>
              <w:top w:val="single" w:sz="4" w:space="0" w:color="244062"/>
              <w:left w:val="nil"/>
              <w:bottom w:val="single" w:sz="4" w:space="0" w:color="auto"/>
              <w:right w:val="nil"/>
            </w:tcBorders>
            <w:vAlign w:val="center"/>
            <w:hideMark/>
          </w:tcPr>
          <w:p w:rsidR="002E1156" w:rsidRPr="00BB33CC" w:rsidRDefault="002E1156" w:rsidP="00082B86">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Servicio a través del cual el </w:t>
            </w:r>
            <w:r w:rsidR="005B4A65" w:rsidRPr="00BB33CC">
              <w:rPr>
                <w:rFonts w:ascii="ITC Avant Garde" w:eastAsia="Times New Roman" w:hAnsi="ITC Avant Garde" w:cs="Arial"/>
                <w:sz w:val="20"/>
                <w:lang w:val="es-ES" w:eastAsia="es-ES"/>
              </w:rPr>
              <w:t>concesionario y/o autorizado</w:t>
            </w:r>
            <w:r w:rsidR="00082B86" w:rsidRPr="00BB33CC">
              <w:rPr>
                <w:rFonts w:ascii="ITC Avant Garde" w:eastAsia="Times New Roman" w:hAnsi="ITC Avant Garde" w:cs="Arial"/>
                <w:sz w:val="20"/>
                <w:lang w:val="es-ES" w:eastAsia="es-ES"/>
              </w:rPr>
              <w:t xml:space="preserve"> </w:t>
            </w:r>
            <w:r w:rsidRPr="00BB33CC">
              <w:rPr>
                <w:rFonts w:ascii="ITC Avant Garde" w:eastAsia="Times New Roman" w:hAnsi="ITC Avant Garde" w:cs="Arial"/>
                <w:sz w:val="20"/>
                <w:lang w:val="es-ES" w:eastAsia="es-ES"/>
              </w:rPr>
              <w:t xml:space="preserve">arrendará las antenas para radiar las señales del concesionario </w:t>
            </w:r>
            <w:r w:rsidR="00082B86" w:rsidRPr="00BB33CC">
              <w:rPr>
                <w:rFonts w:ascii="ITC Avant Garde" w:eastAsia="Times New Roman" w:hAnsi="ITC Avant Garde" w:cs="Arial"/>
                <w:sz w:val="20"/>
                <w:lang w:val="es-ES" w:eastAsia="es-ES"/>
              </w:rPr>
              <w:t xml:space="preserve">y/o autorizado </w:t>
            </w:r>
            <w:r w:rsidRPr="00BB33CC">
              <w:rPr>
                <w:rFonts w:ascii="ITC Avant Garde" w:eastAsia="Times New Roman" w:hAnsi="ITC Avant Garde" w:cs="Arial"/>
                <w:sz w:val="20"/>
                <w:lang w:val="es-ES" w:eastAsia="es-ES"/>
              </w:rPr>
              <w:t>solicitante.</w:t>
            </w:r>
          </w:p>
        </w:tc>
      </w:tr>
      <w:tr w:rsidR="002E1156" w:rsidRPr="00BB33CC" w:rsidTr="00674BDD">
        <w:trPr>
          <w:trHeight w:val="345"/>
          <w:jc w:val="center"/>
        </w:trPr>
        <w:tc>
          <w:tcPr>
            <w:tcW w:w="1361" w:type="pct"/>
            <w:tcBorders>
              <w:top w:val="single" w:sz="4" w:space="0" w:color="244062"/>
              <w:left w:val="nil"/>
              <w:bottom w:val="single" w:sz="4" w:space="0" w:color="auto"/>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Servicio de compartición de líneas de transmisión</w:t>
            </w:r>
          </w:p>
        </w:tc>
        <w:tc>
          <w:tcPr>
            <w:tcW w:w="3639" w:type="pct"/>
            <w:tcBorders>
              <w:top w:val="single" w:sz="4" w:space="0" w:color="244062"/>
              <w:left w:val="nil"/>
              <w:bottom w:val="single" w:sz="4" w:space="0" w:color="auto"/>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mediante el que se arrienda al concesionario</w:t>
            </w:r>
            <w:r w:rsidR="00082B86" w:rsidRPr="00BB33CC">
              <w:rPr>
                <w:rFonts w:ascii="ITC Avant Garde" w:eastAsia="Times New Roman" w:hAnsi="ITC Avant Garde" w:cs="Arial"/>
                <w:sz w:val="20"/>
                <w:lang w:val="es-ES" w:eastAsia="es-ES"/>
              </w:rPr>
              <w:t xml:space="preserve"> y/o autorizado</w:t>
            </w:r>
            <w:r w:rsidRPr="00BB33CC">
              <w:rPr>
                <w:rFonts w:ascii="ITC Avant Garde" w:eastAsia="Times New Roman" w:hAnsi="ITC Avant Garde" w:cs="Arial"/>
                <w:sz w:val="20"/>
                <w:lang w:val="es-ES" w:eastAsia="es-ES"/>
              </w:rPr>
              <w:t xml:space="preserve"> solicitante las líneas de transmisión del operador que presta el servicio.</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Otros</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Otros servicios mayoristas</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 refiere a la prestación de otros servicios mayoristas no contemplados en los campos anteriores.</w:t>
            </w:r>
          </w:p>
        </w:tc>
      </w:tr>
      <w:tr w:rsidR="002E1156" w:rsidRPr="00BB33CC" w:rsidTr="00674BDD">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Servicios no relevantes para la separación contable</w:t>
            </w:r>
          </w:p>
        </w:tc>
      </w:tr>
      <w:tr w:rsidR="002E1156" w:rsidRPr="00BB33CC" w:rsidTr="00674BDD">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no relevantes para la separación contable</w:t>
            </w:r>
          </w:p>
        </w:tc>
        <w:tc>
          <w:tcPr>
            <w:tcW w:w="3639" w:type="pct"/>
            <w:tcBorders>
              <w:top w:val="single" w:sz="4" w:space="0" w:color="244062"/>
              <w:left w:val="nil"/>
              <w:bottom w:val="single" w:sz="4" w:space="0" w:color="244062"/>
              <w:right w:val="nil"/>
            </w:tcBorders>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Partidas de costos relativas a los servicios no relevantes para la prestación de servicios de radiodifusión.</w:t>
            </w:r>
          </w:p>
        </w:tc>
      </w:tr>
    </w:tbl>
    <w:p w:rsidR="002E1156" w:rsidRPr="00BB33CC" w:rsidRDefault="002E1156" w:rsidP="002E1156">
      <w:pPr>
        <w:pStyle w:val="Descripcin"/>
        <w:spacing w:after="240" w:line="240" w:lineRule="auto"/>
        <w:rPr>
          <w:b w:val="0"/>
          <w:lang w:val="es-ES"/>
        </w:rPr>
      </w:pPr>
      <w:r w:rsidRPr="00BB33CC">
        <w:rPr>
          <w:lang w:val="es-ES"/>
        </w:rPr>
        <w:br w:type="page"/>
      </w:r>
      <w:bookmarkStart w:id="37" w:name="_Toc475003998"/>
    </w:p>
    <w:p w:rsidR="002E1156" w:rsidRPr="00BB33CC" w:rsidRDefault="002E1156" w:rsidP="00776A41">
      <w:pPr>
        <w:pStyle w:val="Ttulo2"/>
        <w:jc w:val="center"/>
      </w:pPr>
      <w:bookmarkStart w:id="38" w:name="_Toc484022110"/>
      <w:bookmarkStart w:id="39" w:name="_Ref475970748"/>
      <w:r w:rsidRPr="00BB33CC">
        <w:lastRenderedPageBreak/>
        <w:t>A</w:t>
      </w:r>
      <w:r w:rsidR="00E343C1" w:rsidRPr="00BB33CC">
        <w:t>PARTADO</w:t>
      </w:r>
      <w:r w:rsidRPr="00BB33CC">
        <w:t xml:space="preserve"> </w:t>
      </w:r>
      <w:r w:rsidR="000E1BE7" w:rsidRPr="00BB33CC">
        <w:t>II</w:t>
      </w:r>
      <w:bookmarkEnd w:id="38"/>
    </w:p>
    <w:p w:rsidR="002E1156" w:rsidRPr="00BB33CC" w:rsidRDefault="002E1156" w:rsidP="00776A41">
      <w:pPr>
        <w:pStyle w:val="Normalresolucion"/>
        <w:jc w:val="center"/>
      </w:pPr>
      <w:bookmarkStart w:id="40" w:name="_Ref477514491"/>
      <w:bookmarkStart w:id="41" w:name="_Toc484022111"/>
      <w:r w:rsidRPr="00BB33CC">
        <w:rPr>
          <w:b/>
        </w:rPr>
        <w:t>ESTUDIOS DE SOPORTE A LA SEPARACIÓN CONTABLE</w:t>
      </w:r>
      <w:bookmarkEnd w:id="40"/>
      <w:bookmarkEnd w:id="41"/>
    </w:p>
    <w:p w:rsidR="002E1156" w:rsidRPr="00BB33CC" w:rsidRDefault="002E1156" w:rsidP="002B6C9A">
      <w:pPr>
        <w:pStyle w:val="Normalresolucion"/>
        <w:spacing w:after="0" w:line="276" w:lineRule="auto"/>
      </w:pPr>
      <w:r w:rsidRPr="00BB33CC">
        <w:t>Los agentes económicos preponderantes y los agentes declarados con poder sustancial de mercado deben presentar los siguientes documentos de soporte a la separación contable:</w:t>
      </w:r>
    </w:p>
    <w:p w:rsidR="002E1156" w:rsidRPr="00BB33CC" w:rsidRDefault="002E1156" w:rsidP="002B6C9A">
      <w:pPr>
        <w:pStyle w:val="Indentadoresolucin"/>
        <w:spacing w:before="240" w:line="276" w:lineRule="auto"/>
      </w:pPr>
      <w:r w:rsidRPr="00BB33CC">
        <w:fldChar w:fldCharType="begin"/>
      </w:r>
      <w:r w:rsidRPr="00BB33CC">
        <w:instrText xml:space="preserve"> REF _Ref477445497 \h  \* MERGEFORMAT </w:instrText>
      </w:r>
      <w:r w:rsidRPr="00BB33CC">
        <w:fldChar w:fldCharType="separate"/>
      </w:r>
      <w:r w:rsidRPr="00BB33CC">
        <w:t xml:space="preserve">Manual Explicativo de la </w:t>
      </w:r>
      <w:r w:rsidRPr="00BB33CC">
        <w:fldChar w:fldCharType="end"/>
      </w:r>
      <w:r w:rsidRPr="00BB33CC">
        <w:t>separación contable;</w:t>
      </w:r>
    </w:p>
    <w:p w:rsidR="002E1156" w:rsidRPr="00BB33CC" w:rsidRDefault="002E1156" w:rsidP="002B6C9A">
      <w:pPr>
        <w:pStyle w:val="Indentadoresolucin"/>
        <w:spacing w:before="240" w:line="276" w:lineRule="auto"/>
      </w:pPr>
      <w:r w:rsidRPr="00BB33CC">
        <w:fldChar w:fldCharType="begin"/>
      </w:r>
      <w:r w:rsidRPr="00BB33CC">
        <w:instrText xml:space="preserve"> REF _Ref477445504 \h  \* MERGEFORMAT </w:instrText>
      </w:r>
      <w:r w:rsidRPr="00BB33CC">
        <w:fldChar w:fldCharType="separate"/>
      </w:r>
      <w:r w:rsidR="00E15094" w:rsidRPr="00BB33CC">
        <w:t>Estudio</w:t>
      </w:r>
      <w:r w:rsidRPr="00BB33CC">
        <w:t xml:space="preserve"> de precios de transferencia</w:t>
      </w:r>
      <w:r w:rsidRPr="00BB33CC">
        <w:fldChar w:fldCharType="end"/>
      </w:r>
      <w:r w:rsidRPr="00BB33CC">
        <w:t>, y</w:t>
      </w:r>
    </w:p>
    <w:p w:rsidR="002E1156" w:rsidRPr="00BB33CC" w:rsidRDefault="002E1156" w:rsidP="002B6C9A">
      <w:pPr>
        <w:pStyle w:val="Indentadoresolucin"/>
        <w:spacing w:before="240" w:line="276" w:lineRule="auto"/>
      </w:pPr>
      <w:r w:rsidRPr="00BB33CC">
        <w:fldChar w:fldCharType="begin"/>
      </w:r>
      <w:r w:rsidRPr="00BB33CC">
        <w:instrText xml:space="preserve"> REF _Ref477445511 \h  \* MERGEFORMAT </w:instrText>
      </w:r>
      <w:r w:rsidRPr="00BB33CC">
        <w:fldChar w:fldCharType="separate"/>
      </w:r>
      <w:r w:rsidRPr="00BB33CC">
        <w:t>Estudios técnicos de soporte</w:t>
      </w:r>
      <w:r w:rsidRPr="00BB33CC">
        <w:fldChar w:fldCharType="end"/>
      </w:r>
      <w:r w:rsidRPr="00BB33CC">
        <w:t>.</w:t>
      </w:r>
    </w:p>
    <w:p w:rsidR="002E1156" w:rsidRPr="00BB33CC" w:rsidRDefault="002E1156" w:rsidP="002B6C9A">
      <w:pPr>
        <w:pStyle w:val="HeadingAnexo1L2"/>
        <w:numPr>
          <w:ilvl w:val="0"/>
          <w:numId w:val="168"/>
        </w:numPr>
        <w:spacing w:before="240" w:after="0" w:line="276" w:lineRule="auto"/>
      </w:pPr>
      <w:bookmarkStart w:id="42" w:name="_Ref477445497"/>
      <w:r w:rsidRPr="00BB33CC">
        <w:t xml:space="preserve">Manual Explicativo de la </w:t>
      </w:r>
      <w:bookmarkEnd w:id="42"/>
      <w:r w:rsidRPr="00BB33CC">
        <w:t>separación contable</w:t>
      </w:r>
    </w:p>
    <w:p w:rsidR="002E1156" w:rsidRPr="00BB33CC" w:rsidRDefault="002E1156" w:rsidP="002B6C9A">
      <w:pPr>
        <w:pStyle w:val="Normalresolucion"/>
        <w:spacing w:after="0" w:line="276" w:lineRule="auto"/>
      </w:pPr>
      <w:r w:rsidRPr="00BB33CC">
        <w:t>Los concesionarios y/o autorizados deberán presentar un manual explicativo de la separación contable, debidamente actualizado y detallado en el que se exponga la aproximación técnica y metodológica adoptada para la implementación de la separación contable. Dicho manual deberá incluir, como mínimo, los siguientes elementos:</w:t>
      </w:r>
    </w:p>
    <w:p w:rsidR="002E1156" w:rsidRPr="00BB33CC" w:rsidRDefault="002E1156" w:rsidP="002B6C9A">
      <w:pPr>
        <w:pStyle w:val="Indentadoresolucin"/>
        <w:spacing w:before="240" w:line="276" w:lineRule="auto"/>
      </w:pPr>
      <w:r w:rsidRPr="00BB33CC">
        <w:t>Diseño y estructura de la separación contable, incluyendo detalle de los niveles de imputación adoptados y el listado completo de las cuentas definidas en cada nivel, tanto de ingresos como de costos, junto con la descripción de cada una de éstas.</w:t>
      </w:r>
    </w:p>
    <w:p w:rsidR="002E1156" w:rsidRPr="00BB33CC" w:rsidRDefault="002E1156" w:rsidP="002B6C9A">
      <w:pPr>
        <w:pStyle w:val="Indentadoresolucin"/>
        <w:spacing w:before="240" w:line="276" w:lineRule="auto"/>
      </w:pPr>
      <w:r w:rsidRPr="00BB33CC">
        <w:t>Motivos de cargo y abono mediante los que se identifiquen los criterios adoptados para la distribución de los costos y/o ingresos de la totalidad de las cuentas definidas en la separación contable.</w:t>
      </w:r>
    </w:p>
    <w:p w:rsidR="002E1156" w:rsidRPr="00BB33CC" w:rsidRDefault="002E1156" w:rsidP="002B6C9A">
      <w:pPr>
        <w:pStyle w:val="Indentadoresolucin"/>
        <w:spacing w:before="240" w:line="276" w:lineRule="auto"/>
      </w:pPr>
      <w:r w:rsidRPr="00BB33CC">
        <w:t>Descripción de las metodologías, criterios y principios empleados en la implementación y preparación de los resultados de la separación contable, de acuerdo a lo establecido en la</w:t>
      </w:r>
      <w:r w:rsidR="009B0ECA" w:rsidRPr="00BB33CC">
        <w:t xml:space="preserve"> metodología</w:t>
      </w:r>
      <w:r w:rsidRPr="00BB33CC">
        <w:t>:</w:t>
      </w:r>
    </w:p>
    <w:p w:rsidR="002E1156" w:rsidRPr="00BB33CC" w:rsidRDefault="002E1156" w:rsidP="002B6C9A">
      <w:pPr>
        <w:pStyle w:val="Indentado3"/>
        <w:spacing w:before="240" w:line="276" w:lineRule="auto"/>
      </w:pPr>
      <w:r w:rsidRPr="00BB33CC">
        <w:t>Metodología y criterios empleados para la revaluación a costos actuales de los diferentes grupos de activos con su respectiva justificación;</w:t>
      </w:r>
    </w:p>
    <w:p w:rsidR="002E1156" w:rsidRPr="00BB33CC" w:rsidRDefault="002E1156" w:rsidP="002B6C9A">
      <w:pPr>
        <w:pStyle w:val="Indentado3"/>
        <w:spacing w:before="240" w:line="276" w:lineRule="auto"/>
      </w:pPr>
      <w:r w:rsidRPr="00BB33CC">
        <w:t>Metodología de cálculo y justificación para la obtención de los cargos de depreciación por activo, bajo las contabilidades de costos históricos y costos actuales;</w:t>
      </w:r>
    </w:p>
    <w:p w:rsidR="002E1156" w:rsidRPr="00BB33CC" w:rsidRDefault="002E1156" w:rsidP="002B6C9A">
      <w:pPr>
        <w:pStyle w:val="Indentado3"/>
        <w:spacing w:before="240" w:line="276" w:lineRule="auto"/>
      </w:pPr>
      <w:r w:rsidRPr="00BB33CC">
        <w:t>Metodología adoptada para el cálculo del WACC;</w:t>
      </w:r>
    </w:p>
    <w:p w:rsidR="002E1156" w:rsidRPr="00BB33CC" w:rsidRDefault="002E1156" w:rsidP="002B6C9A">
      <w:pPr>
        <w:pStyle w:val="Indentado3"/>
        <w:spacing w:before="240" w:line="276" w:lineRule="auto"/>
      </w:pPr>
      <w:r w:rsidRPr="00BB33CC">
        <w:lastRenderedPageBreak/>
        <w:t>Descripción de la metodología, criterios y parámetros empleados para el cálculo de los cargos de transferencia entre el segmento minorista y mayorista para los diferentes servicios, e</w:t>
      </w:r>
    </w:p>
    <w:p w:rsidR="002E1156" w:rsidRPr="00BB33CC" w:rsidRDefault="002E1156" w:rsidP="002B6C9A">
      <w:pPr>
        <w:pStyle w:val="Indentado3"/>
        <w:spacing w:before="240" w:line="276" w:lineRule="auto"/>
      </w:pPr>
      <w:r w:rsidRPr="00BB33CC">
        <w:t>Informe de cambios con respecto a la entrega anterior.</w:t>
      </w:r>
    </w:p>
    <w:p w:rsidR="002E1156" w:rsidRPr="00BB33CC" w:rsidRDefault="002E1156" w:rsidP="002B6C9A">
      <w:pPr>
        <w:pStyle w:val="Normalresolucion"/>
        <w:spacing w:after="0" w:line="276" w:lineRule="auto"/>
      </w:pPr>
      <w:r w:rsidRPr="00BB33CC">
        <w:t>Adicionalmente a lo anterior, el concesionario y/o autorizado deberá acompañar el manual de la separación contable con sus estados contables debidamente auditados</w:t>
      </w:r>
      <w:r w:rsidR="00283081">
        <w:t xml:space="preserve"> por externos</w:t>
      </w:r>
      <w:r w:rsidRPr="00BB33CC">
        <w:t>, así como su Informe de Gestión o Administración.</w:t>
      </w:r>
    </w:p>
    <w:p w:rsidR="002E1156" w:rsidRPr="00BB33CC" w:rsidRDefault="002E1156" w:rsidP="002B6C9A">
      <w:pPr>
        <w:pStyle w:val="Normalresolucion"/>
        <w:spacing w:after="0" w:line="276" w:lineRule="auto"/>
      </w:pPr>
      <w:r w:rsidRPr="00BB33CC">
        <w:t xml:space="preserve">Los informes mencionados anteriormente deberán ser presentados al Instituto con el suficiente grado de detalle de tal manera que a partir de ellos se pueda determinar de manera unívoca los procedimientos seguidos por el </w:t>
      </w:r>
      <w:r w:rsidR="00EA7AA2" w:rsidRPr="00BB33CC">
        <w:rPr>
          <w:bCs/>
        </w:rPr>
        <w:t>concesionario y/o autorizado</w:t>
      </w:r>
      <w:r w:rsidRPr="00BB33CC">
        <w:t xml:space="preserve"> para la elaboración de la separación contable de acuerdo a los principios, criterios y condiciones presentados en este documento.</w:t>
      </w:r>
    </w:p>
    <w:p w:rsidR="002E1156" w:rsidRPr="00BB33CC" w:rsidRDefault="00E15094" w:rsidP="002E1156">
      <w:pPr>
        <w:pStyle w:val="HeadingAnexo1L2"/>
        <w:numPr>
          <w:ilvl w:val="0"/>
          <w:numId w:val="168"/>
        </w:numPr>
      </w:pPr>
      <w:bookmarkStart w:id="43" w:name="_Ref477445504"/>
      <w:r w:rsidRPr="00BB33CC">
        <w:t>Estudio</w:t>
      </w:r>
      <w:r w:rsidR="002E1156" w:rsidRPr="00BB33CC">
        <w:t xml:space="preserve"> de precios de transferencia</w:t>
      </w:r>
      <w:bookmarkEnd w:id="43"/>
    </w:p>
    <w:p w:rsidR="002E1156" w:rsidRPr="00BB33CC" w:rsidRDefault="002E1156" w:rsidP="002B6C9A">
      <w:pPr>
        <w:pStyle w:val="Normalresolucion"/>
        <w:spacing w:after="0" w:line="276" w:lineRule="auto"/>
      </w:pPr>
      <w:r w:rsidRPr="00BB33CC">
        <w:t xml:space="preserve">Los concesionarios y/o autorizados deben entregar al Instituto </w:t>
      </w:r>
      <w:r w:rsidR="000B54A3" w:rsidRPr="00BB33CC">
        <w:t>la información y</w:t>
      </w:r>
      <w:r w:rsidR="001303A4" w:rsidRPr="00BB33CC">
        <w:t xml:space="preserve"> documentos que</w:t>
      </w:r>
      <w:r w:rsidR="00B61D74" w:rsidRPr="00BB33CC">
        <w:t xml:space="preserve"> </w:t>
      </w:r>
      <w:r w:rsidR="000B54A3" w:rsidRPr="00BB33CC">
        <w:t xml:space="preserve">elaboran para </w:t>
      </w:r>
      <w:r w:rsidR="001303A4" w:rsidRPr="00BB33CC">
        <w:t xml:space="preserve">cumplir con las </w:t>
      </w:r>
      <w:r w:rsidR="009D3C2F" w:rsidRPr="00BB33CC">
        <w:t>obligaciones previstas en las fracciones IX y XII del artículo 76, y fracción II del artículo 76-A de la Ley del Impuesto sobre la Renta</w:t>
      </w:r>
      <w:r w:rsidR="00E83DF3" w:rsidRPr="00BB33CC">
        <w:t xml:space="preserve">, </w:t>
      </w:r>
      <w:r w:rsidR="00C66CDD" w:rsidRPr="00BB33CC">
        <w:t xml:space="preserve">así como </w:t>
      </w:r>
      <w:r w:rsidR="00E83DF3" w:rsidRPr="00BB33CC">
        <w:t xml:space="preserve">cualquier información </w:t>
      </w:r>
      <w:r w:rsidR="00C66CDD" w:rsidRPr="00BB33CC">
        <w:t xml:space="preserve">relativa a los precios de transferencia que derive </w:t>
      </w:r>
      <w:r w:rsidR="00E83DF3" w:rsidRPr="00BB33CC">
        <w:t>de reformas a dicha ley</w:t>
      </w:r>
      <w:r w:rsidRPr="00BB33CC">
        <w:t xml:space="preserve">. </w:t>
      </w:r>
    </w:p>
    <w:p w:rsidR="002E1156" w:rsidRPr="00BB33CC" w:rsidRDefault="002E1156" w:rsidP="002E1156">
      <w:pPr>
        <w:pStyle w:val="HeadingAnexo1L2"/>
        <w:numPr>
          <w:ilvl w:val="0"/>
          <w:numId w:val="168"/>
        </w:numPr>
      </w:pPr>
      <w:bookmarkStart w:id="44" w:name="_Ref477445511"/>
      <w:r w:rsidRPr="00BB33CC">
        <w:t>Estudios técnicos de soporte</w:t>
      </w:r>
      <w:bookmarkEnd w:id="44"/>
    </w:p>
    <w:p w:rsidR="002E1156" w:rsidRPr="00BB33CC" w:rsidRDefault="002E1156" w:rsidP="002B6C9A">
      <w:pPr>
        <w:pStyle w:val="Normalresolucion"/>
        <w:spacing w:after="0" w:line="276" w:lineRule="auto"/>
      </w:pPr>
      <w:r w:rsidRPr="00BB33CC">
        <w:t>Los concesionarios y/o autorizados deberán presentar los siguientes estudios técnicos e informes que permitan aportar un detalle adicional acerca de las principales asignaciones de costos efectuadas en la separación contable:</w:t>
      </w:r>
    </w:p>
    <w:p w:rsidR="002E1156" w:rsidRPr="00BB33CC" w:rsidRDefault="002E1156" w:rsidP="002B6C9A">
      <w:pPr>
        <w:pStyle w:val="Indentadoresolucin"/>
        <w:spacing w:before="240" w:line="276" w:lineRule="auto"/>
      </w:pPr>
      <w:r w:rsidRPr="00BB33CC">
        <w:rPr>
          <w:i/>
        </w:rPr>
        <w:t>Estudio de infraestructura</w:t>
      </w:r>
      <w:r w:rsidRPr="00BB33CC">
        <w:t>: donde se deben justificar los criterios de reparto empleados para la distribución de los costos de la infraestructura de planta externa a actividades y elementos de red;</w:t>
      </w:r>
    </w:p>
    <w:p w:rsidR="002E1156" w:rsidRPr="00BB33CC" w:rsidRDefault="002E1156" w:rsidP="002B6C9A">
      <w:pPr>
        <w:pStyle w:val="Indentadoresolucin"/>
        <w:spacing w:before="240" w:line="276" w:lineRule="auto"/>
      </w:pPr>
      <w:r w:rsidRPr="00BB33CC">
        <w:rPr>
          <w:i/>
        </w:rPr>
        <w:t>Estudio de energía</w:t>
      </w:r>
      <w:r w:rsidRPr="00BB33CC">
        <w:t>: que debe servir como base para comprender los criterios empleados para la distribución de los costos de energía eléctrica a servicios finales. En este estudio se deberá determinar, entre otros, el porcentaje de energía eléctrica que está eventualmente destinado a cada elemento de red en primer lugar y a la prestación de servicios de telecomunicaciones mayoristas en segundo lugar;</w:t>
      </w:r>
    </w:p>
    <w:p w:rsidR="002E1156" w:rsidRPr="00BB33CC" w:rsidRDefault="002E1156" w:rsidP="002B6C9A">
      <w:pPr>
        <w:pStyle w:val="Indentadoresolucin"/>
        <w:spacing w:before="240" w:line="276" w:lineRule="auto"/>
        <w:ind w:left="924" w:hanging="357"/>
      </w:pPr>
      <w:r w:rsidRPr="00BB33CC">
        <w:rPr>
          <w:i/>
        </w:rPr>
        <w:lastRenderedPageBreak/>
        <w:t>Estudio de utilización de planta</w:t>
      </w:r>
      <w:r w:rsidRPr="00BB33CC">
        <w:t>: mediante el que se determine el grado de utilización de los diferentes elementos de red por parte de los servicios mayoristas, de modo que permita construir la matriz de factores de enrutamiento para la distribución de costos en la Fase B de asignación, y</w:t>
      </w:r>
    </w:p>
    <w:p w:rsidR="002E1156" w:rsidRPr="00BB33CC" w:rsidRDefault="002E1156" w:rsidP="002B6C9A">
      <w:pPr>
        <w:pStyle w:val="Indentadoresolucin"/>
        <w:spacing w:before="240" w:line="276" w:lineRule="auto"/>
        <w:ind w:left="924" w:hanging="357"/>
      </w:pPr>
      <w:r w:rsidRPr="00BB33CC">
        <w:rPr>
          <w:i/>
        </w:rPr>
        <w:t>Estudio de vidas útiles</w:t>
      </w:r>
      <w:r w:rsidRPr="00BB33CC">
        <w:t>:</w:t>
      </w:r>
      <w:r w:rsidRPr="00BB33CC">
        <w:rPr>
          <w:i/>
        </w:rPr>
        <w:t xml:space="preserve"> </w:t>
      </w:r>
      <w:r w:rsidRPr="00BB33CC">
        <w:rPr>
          <w:iCs/>
        </w:rPr>
        <w:t>donde se deben justificar los criterios empleados para la obtención de las vidas útiles empleadas en las diferentes categorías de activos consideradas en la separación contable</w:t>
      </w:r>
      <w:r w:rsidRPr="00BB33CC">
        <w:t>.</w:t>
      </w:r>
    </w:p>
    <w:p w:rsidR="002E1156" w:rsidRPr="00BB33CC" w:rsidRDefault="002E1156" w:rsidP="002E1156">
      <w:pPr>
        <w:rPr>
          <w:rFonts w:ascii="ITC Avant Garde" w:hAnsi="ITC Avant Garde"/>
          <w:b/>
        </w:rPr>
      </w:pPr>
      <w:r w:rsidRPr="00BB33CC">
        <w:br w:type="page"/>
      </w:r>
    </w:p>
    <w:p w:rsidR="002E1156" w:rsidRPr="00BB33CC" w:rsidRDefault="002E1156" w:rsidP="00776A41">
      <w:pPr>
        <w:pStyle w:val="Ttulo2"/>
        <w:jc w:val="center"/>
      </w:pPr>
      <w:bookmarkStart w:id="45" w:name="_Toc484022112"/>
      <w:r w:rsidRPr="00BB33CC">
        <w:lastRenderedPageBreak/>
        <w:t>A</w:t>
      </w:r>
      <w:r w:rsidR="00E343C1" w:rsidRPr="00BB33CC">
        <w:t>PARTADO III</w:t>
      </w:r>
      <w:bookmarkEnd w:id="37"/>
      <w:bookmarkEnd w:id="45"/>
    </w:p>
    <w:p w:rsidR="002E1156" w:rsidRPr="00BB33CC" w:rsidRDefault="002E1156" w:rsidP="00BB6D1D">
      <w:pPr>
        <w:pStyle w:val="Normalresolucion"/>
        <w:jc w:val="center"/>
      </w:pPr>
      <w:bookmarkStart w:id="46" w:name="_Ref477443651"/>
      <w:bookmarkStart w:id="47" w:name="_Toc484022113"/>
      <w:r w:rsidRPr="00BB33CC">
        <w:rPr>
          <w:b/>
        </w:rPr>
        <w:t>REPORTES, FORMULARIOS Y GUÍAS PARA LA PRESENTACIÓN ANUAL DE LA SEPARACIÓN CONTABLE</w:t>
      </w:r>
      <w:bookmarkEnd w:id="46"/>
      <w:bookmarkEnd w:id="47"/>
    </w:p>
    <w:p w:rsidR="002E1156" w:rsidRPr="00BB33CC" w:rsidRDefault="002E1156" w:rsidP="002E1156">
      <w:pPr>
        <w:pStyle w:val="Normalresolucion"/>
      </w:pPr>
      <w:r w:rsidRPr="00BB33CC">
        <w:t xml:space="preserve">Por norma general, y salvo que se indique lo contrario, todos los formatos que se presentan en este </w:t>
      </w:r>
      <w:r w:rsidR="00CB0605" w:rsidRPr="00BB33CC">
        <w:t xml:space="preserve">apartado </w:t>
      </w:r>
      <w:r w:rsidRPr="00BB33CC">
        <w:t>deberán ser presentados para los dos últimos ejercicios (ejercicio N</w:t>
      </w:r>
      <w:r w:rsidRPr="00BB33CC">
        <w:rPr>
          <w:rStyle w:val="Refdenotaalpie"/>
        </w:rPr>
        <w:footnoteReference w:id="110"/>
      </w:r>
      <w:r w:rsidRPr="00BB33CC">
        <w:t xml:space="preserve"> y ejercicio N-1</w:t>
      </w:r>
      <w:r w:rsidRPr="00BB33CC">
        <w:rPr>
          <w:rStyle w:val="Refdenotaalpie"/>
        </w:rPr>
        <w:footnoteReference w:id="111"/>
      </w:r>
      <w:r w:rsidRPr="00BB33CC">
        <w:t>) y bajo los dos estándares de costos aplicables (costos históricos y costos actuales). Asimismo, todos los formatos presentados deberán estar completos, sin omitir total o parcialmente ninguno de los rubros de información solicitados y ser presentados al Instituto en formato electrónico editable.</w:t>
      </w:r>
    </w:p>
    <w:p w:rsidR="002E1156" w:rsidRPr="00BB33CC" w:rsidRDefault="00674BDD" w:rsidP="00776A41">
      <w:pPr>
        <w:pStyle w:val="A3L1"/>
        <w:numPr>
          <w:ilvl w:val="0"/>
          <w:numId w:val="0"/>
        </w:numPr>
      </w:pPr>
      <w:bookmarkStart w:id="48" w:name="_Ref477512920"/>
      <w:bookmarkStart w:id="49" w:name="_Toc477515018"/>
      <w:bookmarkStart w:id="50" w:name="_Toc478774502"/>
      <w:r w:rsidRPr="00BB33CC">
        <w:t xml:space="preserve">1. </w:t>
      </w:r>
      <w:r w:rsidR="002E1156" w:rsidRPr="00BB33CC">
        <w:t>RESULTADOS DE LA CONTABILIDAD SEPARADA</w:t>
      </w:r>
      <w:bookmarkEnd w:id="48"/>
      <w:bookmarkEnd w:id="49"/>
      <w:bookmarkEnd w:id="50"/>
    </w:p>
    <w:p w:rsidR="002E1156" w:rsidRPr="00BB33CC" w:rsidRDefault="00674BDD" w:rsidP="00776A41">
      <w:pPr>
        <w:pStyle w:val="A3L2"/>
        <w:numPr>
          <w:ilvl w:val="0"/>
          <w:numId w:val="0"/>
        </w:numPr>
      </w:pPr>
      <w:bookmarkStart w:id="51" w:name="_Toc475468508"/>
      <w:bookmarkStart w:id="52" w:name="_Toc477515019"/>
      <w:bookmarkStart w:id="53" w:name="_Toc478774503"/>
      <w:r w:rsidRPr="00BB33CC">
        <w:t xml:space="preserve">1.1 </w:t>
      </w:r>
      <w:r w:rsidR="002E1156" w:rsidRPr="00BB33CC">
        <w:t>Cuentas de resultados por segmento</w:t>
      </w:r>
      <w:bookmarkEnd w:id="51"/>
      <w:bookmarkEnd w:id="52"/>
      <w:bookmarkEnd w:id="53"/>
    </w:p>
    <w:p w:rsidR="002E1156" w:rsidRPr="00BB33CC" w:rsidRDefault="002E1156" w:rsidP="002B6C9A">
      <w:pPr>
        <w:pStyle w:val="Normalresolucion"/>
        <w:spacing w:after="0" w:line="276" w:lineRule="auto"/>
      </w:pPr>
      <w:r w:rsidRPr="00BB33CC">
        <w:t>A continuación, se ilustran los formatos de cuentas de resultados que deberán presentarse para los segmentos minoristas y mayoristas. La información presentada a nivel de segmento deberá ser obtenida como el agregado de la totalidad de los servicios que lo componen.</w:t>
      </w:r>
    </w:p>
    <w:p w:rsidR="002E1156" w:rsidRPr="00BB33CC" w:rsidRDefault="002E1156" w:rsidP="002E1156">
      <w:pPr>
        <w:pStyle w:val="Normalresolucion"/>
        <w:rPr>
          <w:rtl/>
        </w:rPr>
      </w:pPr>
      <w:r w:rsidRPr="00BB33CC">
        <w:t>La relación servicios-segmento se encuentra indicada en el A</w:t>
      </w:r>
      <w:r w:rsidR="00CB0605" w:rsidRPr="00BB33CC">
        <w:t>PARTADO I</w:t>
      </w:r>
      <w:r w:rsidRPr="00BB33CC">
        <w:rPr>
          <w:rtl/>
        </w:rPr>
        <w:t>.</w:t>
      </w:r>
    </w:p>
    <w:p w:rsidR="002E1156" w:rsidRPr="00BB33CC" w:rsidRDefault="002E1156" w:rsidP="002E1156">
      <w:pPr>
        <w:pStyle w:val="Descripcin"/>
        <w:rPr>
          <w:rFonts w:ascii="ITC Avant Garde" w:hAnsi="ITC Avant Garde"/>
          <w:iCs/>
          <w:sz w:val="20"/>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w:t>
      </w:r>
      <w:r w:rsidRPr="00BB33CC">
        <w:rPr>
          <w:rFonts w:ascii="ITC Avant Garde" w:hAnsi="ITC Avant Garde"/>
          <w:iCs/>
          <w:sz w:val="20"/>
          <w:lang w:val="es-MX"/>
        </w:rPr>
        <w:fldChar w:fldCharType="end"/>
      </w:r>
      <w:r w:rsidRPr="00BB33CC">
        <w:rPr>
          <w:rFonts w:ascii="ITC Avant Garde" w:hAnsi="ITC Avant Garde"/>
          <w:iCs/>
          <w:sz w:val="20"/>
          <w:lang w:val="es-MX"/>
        </w:rPr>
        <w:t>: Cuenta de resultados del segmento minorista de la separación contable</w:t>
      </w:r>
    </w:p>
    <w:p w:rsidR="002E1156" w:rsidRPr="00BB33CC" w:rsidRDefault="002E1156" w:rsidP="002E1156">
      <w:pPr>
        <w:pStyle w:val="HeadingAnexo1L3"/>
        <w:keepNext/>
        <w:keepLines/>
        <w:rPr>
          <w:b w:val="0"/>
        </w:rPr>
      </w:pPr>
      <w:r w:rsidRPr="00BB33CC">
        <w:t>Segmento minorista</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0"/>
        <w:gridCol w:w="1104"/>
        <w:gridCol w:w="1104"/>
      </w:tblGrid>
      <w:tr w:rsidR="002E1156" w:rsidRPr="00BB33CC" w:rsidTr="00776A41">
        <w:trPr>
          <w:trHeight w:val="283"/>
        </w:trPr>
        <w:tc>
          <w:tcPr>
            <w:tcW w:w="3548"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EE6348">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Concepto</w:t>
            </w:r>
          </w:p>
        </w:tc>
        <w:tc>
          <w:tcPr>
            <w:tcW w:w="1452" w:type="pct"/>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EE6348">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776A41">
        <w:trPr>
          <w:trHeight w:val="341"/>
        </w:trPr>
        <w:tc>
          <w:tcPr>
            <w:tcW w:w="0" w:type="auto"/>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EE6348">
            <w:pPr>
              <w:keepNext/>
              <w:keepLines/>
              <w:spacing w:after="0"/>
              <w:rPr>
                <w:rFonts w:ascii="ITC Avant Garde" w:eastAsia="Times New Roman" w:hAnsi="ITC Avant Garde" w:cs="Arial"/>
                <w:b/>
                <w:color w:val="FFFFFF" w:themeColor="background1"/>
                <w:sz w:val="20"/>
                <w:lang w:val="es-ES" w:eastAsia="es-ES"/>
              </w:rPr>
            </w:pPr>
          </w:p>
        </w:tc>
        <w:tc>
          <w:tcPr>
            <w:tcW w:w="726"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EE6348">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726"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EE6348">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776A41">
        <w:trPr>
          <w:trHeight w:val="283"/>
        </w:trPr>
        <w:tc>
          <w:tcPr>
            <w:tcW w:w="3548" w:type="pct"/>
            <w:tcBorders>
              <w:top w:val="single" w:sz="4" w:space="0" w:color="244062"/>
              <w:left w:val="nil"/>
              <w:right w:val="nil"/>
            </w:tcBorders>
            <w:shd w:val="clear" w:color="auto" w:fill="E5E9EB"/>
            <w:noWrap/>
            <w:vAlign w:val="center"/>
            <w:hideMark/>
          </w:tcPr>
          <w:p w:rsidR="002E1156" w:rsidRPr="00BB33CC" w:rsidRDefault="002E1156" w:rsidP="00EE6348">
            <w:pPr>
              <w:keepNext/>
              <w:keepLines/>
              <w:spacing w:after="0" w:line="240" w:lineRule="auto"/>
              <w:rPr>
                <w:rFonts w:ascii="ITC Avant Garde" w:hAnsi="ITC Avant Garde"/>
                <w:b/>
                <w:sz w:val="20"/>
                <w:lang w:val="es-ES"/>
              </w:rPr>
            </w:pPr>
            <w:r w:rsidRPr="00BB33CC">
              <w:rPr>
                <w:rFonts w:ascii="ITC Avant Garde" w:hAnsi="ITC Avant Garde"/>
                <w:b/>
                <w:sz w:val="20"/>
                <w:lang w:val="es-ES"/>
              </w:rPr>
              <w:t>Ingresos</w:t>
            </w:r>
          </w:p>
        </w:tc>
        <w:tc>
          <w:tcPr>
            <w:tcW w:w="726" w:type="pct"/>
            <w:tcBorders>
              <w:top w:val="single" w:sz="4" w:space="0" w:color="244062"/>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top w:val="single" w:sz="4" w:space="0" w:color="244062"/>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D0D1D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la prestación de servicios</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E5E9EB"/>
            <w:noWrap/>
            <w:vAlign w:val="center"/>
            <w:hideMark/>
          </w:tcPr>
          <w:p w:rsidR="002E1156" w:rsidRPr="00BB33CC" w:rsidRDefault="002E1156" w:rsidP="00EE6348">
            <w:pPr>
              <w:keepNext/>
              <w:keepLines/>
              <w:spacing w:after="0" w:line="240" w:lineRule="auto"/>
              <w:rPr>
                <w:rFonts w:ascii="ITC Avant Garde" w:hAnsi="ITC Avant Garde"/>
                <w:b/>
                <w:sz w:val="20"/>
                <w:lang w:val="es-ES"/>
              </w:rPr>
            </w:pPr>
            <w:r w:rsidRPr="00BB33CC">
              <w:rPr>
                <w:rFonts w:ascii="ITC Avant Garde" w:hAnsi="ITC Avant Garde"/>
                <w:b/>
                <w:sz w:val="20"/>
                <w:lang w:val="es-ES"/>
              </w:rPr>
              <w:t>Costos</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D0D1D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operativos</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D0D1D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Depreciación/amortización</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D0D1D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de transferencia</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E5E9E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hAnsi="ITC Avant Garde"/>
                <w:b/>
                <w:sz w:val="20"/>
                <w:lang w:val="es-ES"/>
              </w:rPr>
              <w:t>Utilidad operativa</w:t>
            </w:r>
            <w:r w:rsidRPr="00BB33CC">
              <w:rPr>
                <w:rFonts w:ascii="ITC Avant Garde" w:eastAsia="Times New Roman" w:hAnsi="ITC Avant Garde" w:cs="Arial"/>
                <w:sz w:val="20"/>
                <w:lang w:val="es-ES" w:eastAsia="es-ES"/>
              </w:rPr>
              <w:t xml:space="preserve"> </w:t>
            </w:r>
            <w:r w:rsidRPr="00BB33CC">
              <w:rPr>
                <w:rFonts w:ascii="ITC Avant Garde" w:hAnsi="ITC Avant Garde"/>
                <w:i/>
                <w:sz w:val="20"/>
                <w:lang w:val="es-ES"/>
              </w:rPr>
              <w:t>(Ingresos – Costos)</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D0D1D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Utilidad operativa sobre ingresos</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113"/>
        </w:trPr>
        <w:tc>
          <w:tcPr>
            <w:tcW w:w="3548" w:type="pct"/>
            <w:tcBorders>
              <w:left w:val="nil"/>
              <w:right w:val="nil"/>
            </w:tcBorders>
            <w:shd w:val="clear" w:color="auto" w:fill="FFFFFF" w:themeFill="background1"/>
            <w:noWrap/>
            <w:vAlign w:val="center"/>
          </w:tcPr>
          <w:p w:rsidR="002E1156" w:rsidRPr="00BB33CC" w:rsidRDefault="002E1156" w:rsidP="00EE6348">
            <w:pPr>
              <w:keepNext/>
              <w:keepLines/>
              <w:spacing w:after="0" w:line="240" w:lineRule="auto"/>
              <w:rPr>
                <w:rFonts w:ascii="ITC Avant Garde" w:hAnsi="ITC Avant Garde"/>
                <w:sz w:val="2"/>
                <w:lang w:val="es-ES"/>
              </w:rPr>
            </w:pP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r>
      <w:tr w:rsidR="002E1156" w:rsidRPr="00BB33CC" w:rsidTr="00776A41">
        <w:trPr>
          <w:trHeight w:val="283"/>
        </w:trPr>
        <w:tc>
          <w:tcPr>
            <w:tcW w:w="3548" w:type="pct"/>
            <w:tcBorders>
              <w:left w:val="nil"/>
              <w:right w:val="nil"/>
            </w:tcBorders>
            <w:shd w:val="clear" w:color="auto" w:fill="E5E9EB"/>
            <w:noWrap/>
            <w:vAlign w:val="center"/>
            <w:hideMark/>
          </w:tcPr>
          <w:p w:rsidR="002E1156" w:rsidRPr="00BB33CC" w:rsidRDefault="002E1156" w:rsidP="00EE6348">
            <w:pPr>
              <w:keepNext/>
              <w:keepLines/>
              <w:spacing w:after="0" w:line="240" w:lineRule="auto"/>
              <w:rPr>
                <w:rFonts w:ascii="ITC Avant Garde" w:hAnsi="ITC Avant Garde"/>
                <w:b/>
                <w:sz w:val="20"/>
                <w:lang w:val="es-ES"/>
              </w:rPr>
            </w:pPr>
            <w:r w:rsidRPr="00BB33CC">
              <w:rPr>
                <w:rFonts w:ascii="ITC Avant Garde" w:hAnsi="ITC Avant Garde"/>
                <w:b/>
                <w:sz w:val="20"/>
                <w:lang w:val="es-ES"/>
              </w:rPr>
              <w:t>Capital promedio empleado</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D0D1D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Retorno sobre el capital promedio empleado</w:t>
            </w:r>
            <w:r w:rsidRPr="00BB33CC">
              <w:rPr>
                <w:rFonts w:ascii="ITC Avant Garde" w:eastAsia="Times New Roman" w:hAnsi="ITC Avant Garde" w:cs="Arial"/>
                <w:sz w:val="20"/>
                <w:vertAlign w:val="superscript"/>
                <w:lang w:val="es-ES" w:eastAsia="es-ES"/>
              </w:rPr>
              <w:footnoteReference w:id="112"/>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113"/>
        </w:trPr>
        <w:tc>
          <w:tcPr>
            <w:tcW w:w="3548" w:type="pct"/>
            <w:tcBorders>
              <w:left w:val="nil"/>
              <w:right w:val="nil"/>
            </w:tcBorders>
            <w:shd w:val="clear" w:color="auto" w:fill="FFFFFF" w:themeFill="background1"/>
            <w:noWrap/>
            <w:vAlign w:val="center"/>
          </w:tcPr>
          <w:p w:rsidR="002E1156" w:rsidRPr="00BB33CC" w:rsidRDefault="002E1156" w:rsidP="00EE6348">
            <w:pPr>
              <w:keepNext/>
              <w:keepLines/>
              <w:spacing w:after="0" w:line="240" w:lineRule="auto"/>
              <w:rPr>
                <w:rFonts w:ascii="ITC Avant Garde" w:hAnsi="ITC Avant Garde"/>
                <w:sz w:val="2"/>
                <w:lang w:val="es-ES"/>
              </w:rPr>
            </w:pP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r>
      <w:tr w:rsidR="002E1156" w:rsidRPr="00BB33CC" w:rsidTr="00776A41">
        <w:trPr>
          <w:trHeight w:val="283"/>
        </w:trPr>
        <w:tc>
          <w:tcPr>
            <w:tcW w:w="3548" w:type="pct"/>
            <w:tcBorders>
              <w:left w:val="nil"/>
              <w:right w:val="nil"/>
            </w:tcBorders>
            <w:shd w:val="clear" w:color="auto" w:fill="E5E9E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hAnsi="ITC Avant Garde"/>
                <w:b/>
                <w:sz w:val="20"/>
                <w:lang w:val="es-ES"/>
              </w:rPr>
              <w:t>Utilidad regulatoria</w:t>
            </w:r>
            <w:r w:rsidRPr="00BB33CC">
              <w:rPr>
                <w:rFonts w:ascii="ITC Avant Garde" w:eastAsia="Times New Roman" w:hAnsi="ITC Avant Garde" w:cs="Arial"/>
                <w:sz w:val="20"/>
                <w:lang w:val="es-ES" w:eastAsia="es-ES"/>
              </w:rPr>
              <w:t xml:space="preserve"> </w:t>
            </w:r>
            <w:r w:rsidRPr="00BB33CC">
              <w:rPr>
                <w:rFonts w:ascii="ITC Avant Garde" w:hAnsi="ITC Avant Garde"/>
                <w:i/>
                <w:sz w:val="20"/>
                <w:lang w:val="es-ES"/>
              </w:rPr>
              <w:t>(Ingresos – Costos – Retorno capital empleado)</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776A41">
        <w:trPr>
          <w:trHeight w:val="283"/>
        </w:trPr>
        <w:tc>
          <w:tcPr>
            <w:tcW w:w="3548" w:type="pct"/>
            <w:tcBorders>
              <w:left w:val="nil"/>
              <w:right w:val="nil"/>
            </w:tcBorders>
            <w:shd w:val="clear" w:color="auto" w:fill="D0D1DB"/>
            <w:noWrap/>
            <w:vAlign w:val="center"/>
            <w:hideMark/>
          </w:tcPr>
          <w:p w:rsidR="002E1156" w:rsidRPr="00BB33CC" w:rsidRDefault="002E1156" w:rsidP="00EE6348">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Utilidad total / Ingresos</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rsidR="002E1156" w:rsidRPr="00BB33CC" w:rsidRDefault="002E1156" w:rsidP="00EE6348">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bl>
    <w:p w:rsidR="002E1156" w:rsidRPr="00BB33CC" w:rsidRDefault="002E1156" w:rsidP="002E1156">
      <w:pPr>
        <w:rPr>
          <w:lang w:eastAsia="es-ES"/>
        </w:rPr>
      </w:pPr>
    </w:p>
    <w:p w:rsidR="002E1156" w:rsidRPr="00BB33CC" w:rsidRDefault="002E1156" w:rsidP="002E1156">
      <w:pPr>
        <w:pStyle w:val="Descripcin"/>
        <w:keepNext/>
        <w:keepLines/>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2</w:t>
      </w:r>
      <w:r w:rsidRPr="00BB33CC">
        <w:rPr>
          <w:rFonts w:ascii="ITC Avant Garde" w:hAnsi="ITC Avant Garde"/>
          <w:iCs/>
          <w:sz w:val="20"/>
          <w:lang w:val="es-MX"/>
        </w:rPr>
        <w:fldChar w:fldCharType="end"/>
      </w:r>
      <w:r w:rsidRPr="00BB33CC">
        <w:rPr>
          <w:rFonts w:ascii="ITC Avant Garde" w:hAnsi="ITC Avant Garde"/>
          <w:iCs/>
          <w:sz w:val="20"/>
          <w:lang w:val="es-MX"/>
        </w:rPr>
        <w:t>: Cuenta de resultados del segmento mayorista de separación contable</w:t>
      </w:r>
    </w:p>
    <w:p w:rsidR="002E1156" w:rsidRPr="00BB33CC" w:rsidRDefault="002E1156" w:rsidP="002E1156">
      <w:pPr>
        <w:pStyle w:val="HeadingAnexo1L3"/>
        <w:keepNext/>
        <w:keepLines/>
        <w:jc w:val="left"/>
        <w:rPr>
          <w:b w:val="0"/>
          <w:sz w:val="20"/>
        </w:rPr>
      </w:pPr>
      <w:r w:rsidRPr="00BB33CC">
        <w:rPr>
          <w:sz w:val="20"/>
        </w:rPr>
        <w:t>Segmento mayorista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4"/>
        <w:gridCol w:w="1342"/>
        <w:gridCol w:w="1102"/>
      </w:tblGrid>
      <w:tr w:rsidR="002E1156" w:rsidRPr="00BB33CC" w:rsidTr="00674BDD">
        <w:trPr>
          <w:trHeight w:val="283"/>
          <w:jc w:val="center"/>
        </w:trPr>
        <w:tc>
          <w:tcPr>
            <w:tcW w:w="3616"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Concepto</w:t>
            </w:r>
          </w:p>
        </w:tc>
        <w:tc>
          <w:tcPr>
            <w:tcW w:w="1384" w:type="pct"/>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1"/>
          <w:jc w:val="center"/>
        </w:trPr>
        <w:tc>
          <w:tcPr>
            <w:tcW w:w="3616" w:type="pct"/>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760"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624"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283"/>
          <w:jc w:val="center"/>
        </w:trPr>
        <w:tc>
          <w:tcPr>
            <w:tcW w:w="3616" w:type="pct"/>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Ingresos</w:t>
            </w:r>
          </w:p>
        </w:tc>
        <w:tc>
          <w:tcPr>
            <w:tcW w:w="760" w:type="pct"/>
            <w:tcBorders>
              <w:top w:val="single" w:sz="4" w:space="0" w:color="244062"/>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top w:val="single" w:sz="4" w:space="0" w:color="244062"/>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por la prestación de servicios a clientes</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de transferencia</w:t>
            </w:r>
          </w:p>
        </w:tc>
        <w:tc>
          <w:tcPr>
            <w:tcW w:w="760" w:type="pct"/>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p>
        </w:tc>
        <w:tc>
          <w:tcPr>
            <w:tcW w:w="624" w:type="pct"/>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p>
        </w:tc>
      </w:tr>
      <w:tr w:rsidR="002E1156" w:rsidRPr="00BB33CC" w:rsidTr="00674BDD">
        <w:trPr>
          <w:trHeight w:val="283"/>
          <w:jc w:val="center"/>
        </w:trPr>
        <w:tc>
          <w:tcPr>
            <w:tcW w:w="3616" w:type="pct"/>
            <w:tcBorders>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Costos</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operativos</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Depreciación/amortización</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 xml:space="preserve">Utilidad operativa </w:t>
            </w:r>
            <w:r w:rsidRPr="00BB33CC">
              <w:rPr>
                <w:rFonts w:ascii="ITC Avant Garde" w:hAnsi="ITC Avant Garde"/>
                <w:i/>
                <w:sz w:val="20"/>
                <w:lang w:val="es-ES"/>
              </w:rPr>
              <w:t>(Ingresos – Costos)</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Utilidad operativa sobre ingresos</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113"/>
          <w:jc w:val="center"/>
        </w:trPr>
        <w:tc>
          <w:tcPr>
            <w:tcW w:w="3616" w:type="pct"/>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rPr>
                <w:rFonts w:ascii="ITC Avant Garde" w:hAnsi="ITC Avant Garde"/>
                <w:sz w:val="2"/>
                <w:lang w:val="es-ES"/>
              </w:rPr>
            </w:pP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r>
      <w:tr w:rsidR="002E1156" w:rsidRPr="00BB33CC" w:rsidTr="00674BDD">
        <w:trPr>
          <w:trHeight w:val="283"/>
          <w:jc w:val="center"/>
        </w:trPr>
        <w:tc>
          <w:tcPr>
            <w:tcW w:w="3616" w:type="pct"/>
            <w:tcBorders>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Capital promedio empleado</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Retorno sobre el capital promedio empleado</w:t>
            </w:r>
            <w:r w:rsidRPr="00BB33CC">
              <w:rPr>
                <w:rFonts w:ascii="ITC Avant Garde" w:eastAsia="Times New Roman" w:hAnsi="ITC Avant Garde" w:cs="Arial"/>
                <w:sz w:val="20"/>
                <w:vertAlign w:val="superscript"/>
                <w:lang w:val="es-ES" w:eastAsia="es-ES"/>
              </w:rPr>
              <w:footnoteReference w:id="113"/>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113"/>
          <w:jc w:val="center"/>
        </w:trPr>
        <w:tc>
          <w:tcPr>
            <w:tcW w:w="3616" w:type="pct"/>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rPr>
                <w:rFonts w:ascii="ITC Avant Garde" w:hAnsi="ITC Avant Garde"/>
                <w:sz w:val="2"/>
                <w:lang w:val="es-ES"/>
              </w:rPr>
            </w:pP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hAnsi="ITC Avant Garde"/>
                <w:sz w:val="2"/>
                <w:lang w:val="es-ES"/>
              </w:rPr>
            </w:pPr>
            <w:r w:rsidRPr="00BB33CC">
              <w:rPr>
                <w:rFonts w:ascii="ITC Avant Garde" w:hAnsi="ITC Avant Garde"/>
                <w:sz w:val="2"/>
                <w:lang w:val="es-ES"/>
              </w:rPr>
              <w:t xml:space="preserve"> </w:t>
            </w:r>
          </w:p>
        </w:tc>
      </w:tr>
      <w:tr w:rsidR="002E1156" w:rsidRPr="00BB33CC" w:rsidTr="00674BDD">
        <w:trPr>
          <w:trHeight w:val="283"/>
          <w:jc w:val="center"/>
        </w:trPr>
        <w:tc>
          <w:tcPr>
            <w:tcW w:w="3616" w:type="pct"/>
            <w:tcBorders>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Utilidad regulatoria</w:t>
            </w:r>
            <w:r w:rsidRPr="00BB33CC">
              <w:rPr>
                <w:rFonts w:ascii="ITC Avant Garde" w:eastAsia="Times New Roman" w:hAnsi="ITC Avant Garde" w:cs="Arial"/>
                <w:sz w:val="20"/>
                <w:lang w:val="es-ES" w:eastAsia="es-ES"/>
              </w:rPr>
              <w:t xml:space="preserve"> </w:t>
            </w:r>
            <w:r w:rsidRPr="00BB33CC">
              <w:rPr>
                <w:rFonts w:ascii="ITC Avant Garde" w:hAnsi="ITC Avant Garde"/>
                <w:i/>
                <w:sz w:val="20"/>
                <w:lang w:val="es-ES"/>
              </w:rPr>
              <w:t>(Ingresos – Costos – Retorno capital empleado)</w:t>
            </w:r>
          </w:p>
        </w:tc>
        <w:tc>
          <w:tcPr>
            <w:tcW w:w="760"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r w:rsidR="002E1156" w:rsidRPr="00BB33CC" w:rsidTr="00674BDD">
        <w:trPr>
          <w:trHeight w:val="283"/>
          <w:jc w:val="center"/>
        </w:trPr>
        <w:tc>
          <w:tcPr>
            <w:tcW w:w="3616" w:type="pct"/>
            <w:tcBorders>
              <w:left w:val="nil"/>
              <w:bottom w:val="single" w:sz="4" w:space="0" w:color="244062"/>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Utilidad total / Ingresos</w:t>
            </w:r>
          </w:p>
        </w:tc>
        <w:tc>
          <w:tcPr>
            <w:tcW w:w="760" w:type="pct"/>
            <w:tcBorders>
              <w:left w:val="nil"/>
              <w:bottom w:val="single" w:sz="4" w:space="0" w:color="244062"/>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624" w:type="pct"/>
            <w:tcBorders>
              <w:left w:val="nil"/>
              <w:bottom w:val="single" w:sz="4" w:space="0" w:color="244062"/>
              <w:right w:val="nil"/>
            </w:tcBorders>
            <w:shd w:val="clear" w:color="auto" w:fill="FFFFFF" w:themeFill="background1"/>
            <w:noWrap/>
            <w:vAlign w:val="center"/>
            <w:hideMark/>
          </w:tcPr>
          <w:p w:rsidR="002E1156" w:rsidRPr="00BB33CC" w:rsidRDefault="002E1156" w:rsidP="00674BDD">
            <w:pPr>
              <w:keepNext/>
              <w:keepLines/>
              <w:spacing w:after="0" w:line="240" w:lineRule="auto"/>
              <w:jc w:val="right"/>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r>
    </w:tbl>
    <w:p w:rsidR="002E1156" w:rsidRPr="00BB33CC" w:rsidRDefault="00674BDD" w:rsidP="00776A41">
      <w:pPr>
        <w:pStyle w:val="A3L2"/>
        <w:keepNext/>
        <w:keepLines/>
        <w:numPr>
          <w:ilvl w:val="0"/>
          <w:numId w:val="0"/>
        </w:numPr>
        <w:ind w:left="792" w:hanging="792"/>
      </w:pPr>
      <w:bookmarkStart w:id="54" w:name="_Toc475468509"/>
      <w:bookmarkStart w:id="55" w:name="_Toc477515020"/>
      <w:bookmarkStart w:id="56" w:name="_Toc478774504"/>
      <w:r w:rsidRPr="00BB33CC">
        <w:t xml:space="preserve">1.2 </w:t>
      </w:r>
      <w:r w:rsidR="002E1156" w:rsidRPr="00BB33CC">
        <w:t>Cuentas de resultados por servicio</w:t>
      </w:r>
      <w:bookmarkEnd w:id="54"/>
      <w:bookmarkEnd w:id="55"/>
      <w:bookmarkEnd w:id="56"/>
    </w:p>
    <w:p w:rsidR="002E1156" w:rsidRPr="00BB33CC" w:rsidRDefault="002E1156" w:rsidP="002B6C9A">
      <w:pPr>
        <w:pStyle w:val="Normalresolucion"/>
        <w:keepNext/>
        <w:keepLines/>
        <w:spacing w:after="0" w:line="276" w:lineRule="auto"/>
      </w:pPr>
      <w:r w:rsidRPr="00BB33CC">
        <w:t xml:space="preserve">Complementando la visión anterior a nivel de segmento, se requiere en este formato la conciliación de resultados a nivel de cada servicio individual desagregado por el </w:t>
      </w:r>
      <w:r w:rsidR="008227BF" w:rsidRPr="00BB33CC">
        <w:rPr>
          <w:bCs/>
        </w:rPr>
        <w:t>concesionario y/o autorizado</w:t>
      </w:r>
      <w:r w:rsidRPr="00BB33CC">
        <w:t>. Esta información deberá ser presentada para el ejercicio N, así como para el ejercicio N-1.</w:t>
      </w:r>
    </w:p>
    <w:p w:rsidR="002E1156" w:rsidRPr="00BB33CC" w:rsidRDefault="002E1156" w:rsidP="002B6C9A">
      <w:pPr>
        <w:pStyle w:val="Normalresolucion"/>
        <w:spacing w:after="0" w:line="276" w:lineRule="auto"/>
      </w:pPr>
      <w:r w:rsidRPr="00BB33CC">
        <w:t xml:space="preserve">Nótese que si bien la tabla inferior únicamente incluye un listado resumido de servicios por cuestiones de espacio, en ella los </w:t>
      </w:r>
      <w:r w:rsidR="008227BF" w:rsidRPr="00BB33CC">
        <w:rPr>
          <w:bCs/>
        </w:rPr>
        <w:t>concesionarios y/o autorizados</w:t>
      </w:r>
      <w:r w:rsidRPr="00BB33CC">
        <w:t xml:space="preserve"> deberán desagregar la totalidad de servicios identificados en la separación contable, siempre respetando la desagregación mínima presentada en el Manual Explicativo de la separación contable presentado por el </w:t>
      </w:r>
      <w:r w:rsidR="00E83CC9" w:rsidRPr="00BB33CC">
        <w:rPr>
          <w:bCs/>
        </w:rPr>
        <w:t>concesionario</w:t>
      </w:r>
      <w:r w:rsidR="008227BF" w:rsidRPr="00BB33CC">
        <w:rPr>
          <w:bCs/>
        </w:rPr>
        <w:t xml:space="preserve"> y/o autorizado</w:t>
      </w:r>
      <w:r w:rsidRPr="00BB33CC">
        <w:t xml:space="preserve"> como parte de los estudios de soporte indicados en el A</w:t>
      </w:r>
      <w:r w:rsidR="00CB0605" w:rsidRPr="00BB33CC">
        <w:t>PARTADO II</w:t>
      </w:r>
      <w:r w:rsidRPr="00BB33CC">
        <w:t>.</w:t>
      </w:r>
    </w:p>
    <w:p w:rsidR="002E1156" w:rsidRPr="00BB33CC" w:rsidRDefault="002E1156" w:rsidP="002E1156">
      <w:pPr>
        <w:pStyle w:val="Normalresolucion"/>
      </w:pPr>
      <w:r w:rsidRPr="00BB33CC">
        <w:lastRenderedPageBreak/>
        <w:t>Por último, es relevante señalar que los valores totales extraídos de la tabla inferior deberán coincidir con las cifras totales presentadas en la sección anterior para el conjunto del segmento minorista y mayorista.</w:t>
      </w:r>
    </w:p>
    <w:p w:rsidR="002E1156" w:rsidRPr="00BB33CC" w:rsidRDefault="002E1156" w:rsidP="002E1156">
      <w:pPr>
        <w:pStyle w:val="Normalresolucion"/>
      </w:pPr>
      <w:r w:rsidRPr="00BB33CC">
        <w:t>La relación de servicios se encuentra indicada en el A</w:t>
      </w:r>
      <w:r w:rsidR="00CB0605" w:rsidRPr="00BB33CC">
        <w:t>PARTADO I</w:t>
      </w:r>
      <w:r w:rsidRPr="00BB33CC">
        <w:t>.</w:t>
      </w:r>
    </w:p>
    <w:p w:rsidR="002E1156" w:rsidRPr="00BB33CC" w:rsidRDefault="002E1156" w:rsidP="002E1156">
      <w:pPr>
        <w:pStyle w:val="Normalresolucion"/>
        <w:sectPr w:rsidR="002E1156" w:rsidRPr="00BB33CC" w:rsidSect="00EC2E00">
          <w:headerReference w:type="even" r:id="rId19"/>
          <w:headerReference w:type="default" r:id="rId20"/>
          <w:footerReference w:type="default" r:id="rId21"/>
          <w:headerReference w:type="first" r:id="rId22"/>
          <w:footerReference w:type="first" r:id="rId23"/>
          <w:pgSz w:w="12240" w:h="15840"/>
          <w:pgMar w:top="1418" w:right="1701" w:bottom="1418" w:left="1701" w:header="709" w:footer="709" w:gutter="0"/>
          <w:cols w:space="720"/>
        </w:sectPr>
      </w:pP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lastRenderedPageBreak/>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3</w:t>
      </w:r>
      <w:r w:rsidRPr="00BB33CC">
        <w:rPr>
          <w:rFonts w:ascii="ITC Avant Garde" w:hAnsi="ITC Avant Garde"/>
          <w:iCs/>
          <w:sz w:val="20"/>
          <w:lang w:val="es-MX"/>
        </w:rPr>
        <w:fldChar w:fldCharType="end"/>
      </w:r>
      <w:r w:rsidRPr="00BB33CC">
        <w:rPr>
          <w:rFonts w:ascii="ITC Avant Garde" w:hAnsi="ITC Avant Garde"/>
          <w:iCs/>
          <w:sz w:val="20"/>
          <w:lang w:val="es-MX"/>
        </w:rPr>
        <w:t>: Rendimiento sobre el capital empleado en los mercados minorista y mayorista</w:t>
      </w:r>
    </w:p>
    <w:tbl>
      <w:tblPr>
        <w:tblW w:w="5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7"/>
        <w:gridCol w:w="1287"/>
        <w:gridCol w:w="1097"/>
        <w:gridCol w:w="1160"/>
        <w:gridCol w:w="1136"/>
        <w:gridCol w:w="922"/>
        <w:gridCol w:w="774"/>
        <w:gridCol w:w="804"/>
        <w:gridCol w:w="12"/>
        <w:gridCol w:w="880"/>
        <w:gridCol w:w="967"/>
        <w:gridCol w:w="985"/>
        <w:gridCol w:w="892"/>
        <w:gridCol w:w="892"/>
      </w:tblGrid>
      <w:tr w:rsidR="002E1156" w:rsidRPr="00BB33CC" w:rsidTr="00674BDD">
        <w:trPr>
          <w:trHeight w:val="680"/>
          <w:tblHeader/>
          <w:jc w:val="center"/>
        </w:trPr>
        <w:tc>
          <w:tcPr>
            <w:tcW w:w="1081"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Segmento / Servicio</w:t>
            </w:r>
          </w:p>
        </w:tc>
        <w:tc>
          <w:tcPr>
            <w:tcW w:w="42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Ingresos</w:t>
            </w:r>
          </w:p>
        </w:tc>
        <w:tc>
          <w:tcPr>
            <w:tcW w:w="364"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Costos de operación (A)</w:t>
            </w:r>
          </w:p>
        </w:tc>
        <w:tc>
          <w:tcPr>
            <w:tcW w:w="385"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Utilidad operativa</w:t>
            </w:r>
          </w:p>
        </w:tc>
        <w:tc>
          <w:tcPr>
            <w:tcW w:w="37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Capital empleado</w:t>
            </w:r>
          </w:p>
        </w:tc>
        <w:tc>
          <w:tcPr>
            <w:tcW w:w="306"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RSCE</w:t>
            </w:r>
            <w:r w:rsidRPr="00BB33CC">
              <w:rPr>
                <w:rFonts w:ascii="ITC Avant Garde" w:eastAsia="Times New Roman" w:hAnsi="ITC Avant Garde" w:cs="Arial"/>
                <w:b/>
                <w:color w:val="FFFFFF" w:themeColor="background1"/>
                <w:sz w:val="18"/>
                <w:vertAlign w:val="superscript"/>
                <w:lang w:val="es-ES" w:eastAsia="es-ES"/>
              </w:rPr>
              <w:footnoteReference w:id="114"/>
            </w:r>
          </w:p>
        </w:tc>
        <w:tc>
          <w:tcPr>
            <w:tcW w:w="25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Costo de capital</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(B)</w:t>
            </w:r>
          </w:p>
        </w:tc>
        <w:tc>
          <w:tcPr>
            <w:tcW w:w="271" w:type="pct"/>
            <w:gridSpan w:val="2"/>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Costos totales</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(A+B)</w:t>
            </w:r>
          </w:p>
        </w:tc>
        <w:tc>
          <w:tcPr>
            <w:tcW w:w="292"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Utilidad regulat.</w:t>
            </w:r>
          </w:p>
        </w:tc>
        <w:tc>
          <w:tcPr>
            <w:tcW w:w="321"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Unidad de volumen</w:t>
            </w:r>
          </w:p>
        </w:tc>
        <w:tc>
          <w:tcPr>
            <w:tcW w:w="32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Volumen</w:t>
            </w:r>
          </w:p>
        </w:tc>
        <w:tc>
          <w:tcPr>
            <w:tcW w:w="296"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Costo unitario</w:t>
            </w:r>
          </w:p>
        </w:tc>
        <w:tc>
          <w:tcPr>
            <w:tcW w:w="296"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Ingreso unitario</w:t>
            </w:r>
          </w:p>
        </w:tc>
      </w:tr>
      <w:tr w:rsidR="002E1156" w:rsidRPr="00BB33CC" w:rsidTr="00674BDD">
        <w:trPr>
          <w:trHeight w:val="340"/>
          <w:jc w:val="center"/>
        </w:trPr>
        <w:tc>
          <w:tcPr>
            <w:tcW w:w="1081" w:type="pct"/>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Segmento minorista</w:t>
            </w:r>
          </w:p>
        </w:tc>
        <w:tc>
          <w:tcPr>
            <w:tcW w:w="427"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E5E9EB"/>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top w:val="single" w:sz="4" w:space="0" w:color="244062"/>
              <w:left w:val="nil"/>
              <w:right w:val="nil"/>
            </w:tcBorders>
            <w:shd w:val="clear" w:color="auto" w:fill="FFFFFF" w:themeFill="background1"/>
            <w:noWrap/>
            <w:vAlign w:val="center"/>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eastAsia="Times New Roman" w:hAnsi="ITC Avant Garde" w:cs="Arial"/>
                <w:b/>
                <w:bCs/>
                <w:sz w:val="20"/>
                <w:lang w:val="es-ES" w:eastAsia="es-ES"/>
              </w:rPr>
              <w:t>Tráfico de voz saliente</w:t>
            </w:r>
            <w:r w:rsidRPr="00BB33CC">
              <w:rPr>
                <w:rStyle w:val="Refdenotaalpie"/>
                <w:rFonts w:ascii="ITC Avant Garde" w:eastAsia="Times New Roman" w:hAnsi="ITC Avant Garde" w:cs="Arial"/>
                <w:b/>
                <w:bCs/>
                <w:sz w:val="20"/>
                <w:lang w:val="es-ES" w:eastAsia="es-ES"/>
              </w:rPr>
              <w:footnoteReference w:id="115"/>
            </w:r>
          </w:p>
        </w:tc>
        <w:tc>
          <w:tcPr>
            <w:tcW w:w="427"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fijo dentro de la red</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fijo nacional fuera de la red</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móviles nacionales</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Segmento mayorista</w:t>
            </w:r>
          </w:p>
        </w:tc>
        <w:tc>
          <w:tcPr>
            <w:tcW w:w="427"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E5E9EB"/>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5000" w:type="pct"/>
            <w:gridSpan w:val="14"/>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b/>
                <w:bCs/>
                <w:sz w:val="20"/>
                <w:lang w:val="es-ES" w:eastAsia="es-ES"/>
              </w:rPr>
              <w:t>Servicios de interconexión</w:t>
            </w: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otros operadores fijos</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móviles</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tráfico internacional</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4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1081" w:type="pct"/>
            <w:tcBorders>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TOTAL</w:t>
            </w:r>
          </w:p>
        </w:tc>
        <w:tc>
          <w:tcPr>
            <w:tcW w:w="427"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7"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gridSpan w:val="2"/>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bottom w:val="single" w:sz="4" w:space="0" w:color="244062"/>
              <w:right w:val="nil"/>
            </w:tcBorders>
            <w:shd w:val="clear" w:color="auto" w:fill="E5E9EB"/>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bottom w:val="single" w:sz="4" w:space="0" w:color="244062"/>
              <w:right w:val="nil"/>
            </w:tcBorders>
            <w:shd w:val="clear" w:color="auto" w:fill="E5E9EB"/>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bl>
    <w:p w:rsidR="002E1156" w:rsidRPr="00BB33CC" w:rsidRDefault="002E1156" w:rsidP="002E1156">
      <w:pPr>
        <w:spacing w:after="0" w:line="336" w:lineRule="auto"/>
        <w:rPr>
          <w:rFonts w:ascii="ITC Avant Garde" w:eastAsia="Times New Roman" w:hAnsi="ITC Avant Garde" w:cs="Times New Roman"/>
          <w:b/>
          <w:bCs/>
          <w:sz w:val="16"/>
          <w:szCs w:val="20"/>
          <w:lang w:eastAsia="es-ES"/>
        </w:rPr>
        <w:sectPr w:rsidR="002E1156" w:rsidRPr="00BB33CC">
          <w:pgSz w:w="15840" w:h="12240" w:orient="landscape"/>
          <w:pgMar w:top="1701" w:right="1417" w:bottom="1701" w:left="1417" w:header="708" w:footer="708" w:gutter="0"/>
          <w:cols w:space="720"/>
        </w:sectPr>
      </w:pPr>
    </w:p>
    <w:p w:rsidR="002E1156" w:rsidRPr="00BB33CC" w:rsidRDefault="00674BDD" w:rsidP="00776A41">
      <w:pPr>
        <w:pStyle w:val="A3L1"/>
        <w:numPr>
          <w:ilvl w:val="0"/>
          <w:numId w:val="0"/>
        </w:numPr>
        <w:ind w:left="357" w:hanging="357"/>
      </w:pPr>
      <w:bookmarkStart w:id="57" w:name="_Ref477512931"/>
      <w:bookmarkStart w:id="58" w:name="_Toc477515021"/>
      <w:bookmarkStart w:id="59" w:name="_Toc478774505"/>
      <w:r w:rsidRPr="00BB33CC">
        <w:lastRenderedPageBreak/>
        <w:t xml:space="preserve">2. </w:t>
      </w:r>
      <w:r w:rsidR="002E1156" w:rsidRPr="00BB33CC">
        <w:t>CONCILIACIÓN ENTRE LA CONTABILIDAD FINANCIERA Y LA CONTABILIDAD SEPARADA</w:t>
      </w:r>
      <w:bookmarkEnd w:id="57"/>
      <w:bookmarkEnd w:id="58"/>
      <w:bookmarkEnd w:id="59"/>
    </w:p>
    <w:p w:rsidR="002E1156" w:rsidRPr="00BB33CC" w:rsidRDefault="002E1156" w:rsidP="002B6C9A">
      <w:pPr>
        <w:pStyle w:val="Normalresolucion"/>
        <w:spacing w:after="0" w:line="276" w:lineRule="auto"/>
      </w:pPr>
      <w:r w:rsidRPr="00BB33CC">
        <w:t xml:space="preserve">Con la finalidad de asegurar el cumplimiento del principio de conciliación es fundamental verificar que la información de entrada a la separación contable se encuentra alineada con la información registrada en los Estados Financieros del </w:t>
      </w:r>
      <w:r w:rsidR="008227BF" w:rsidRPr="00BB33CC">
        <w:rPr>
          <w:bCs/>
        </w:rPr>
        <w:t>concesionario y/o autorizado</w:t>
      </w:r>
      <w:r w:rsidRPr="00BB33CC">
        <w:t xml:space="preserve"> a nivel de cuenta contable. </w:t>
      </w:r>
    </w:p>
    <w:p w:rsidR="002E1156" w:rsidRPr="00BB33CC" w:rsidRDefault="002E1156" w:rsidP="002B6C9A">
      <w:pPr>
        <w:pStyle w:val="Normalresolucion"/>
        <w:spacing w:after="0" w:line="276" w:lineRule="auto"/>
      </w:pPr>
      <w:r w:rsidRPr="00BB33CC">
        <w:t xml:space="preserve">Para ello, el </w:t>
      </w:r>
      <w:r w:rsidR="008227BF" w:rsidRPr="00BB33CC">
        <w:rPr>
          <w:bCs/>
        </w:rPr>
        <w:t>concesionario y/o autorizado</w:t>
      </w:r>
      <w:r w:rsidRPr="00BB33CC">
        <w:t xml:space="preserve"> deberá reportar los valores de ingresos y costos a nivel de cuenta contable, según estos se registran en los estados financieros por un lado, y según se reflejan en la separación contable por el otro. Asimismo, el </w:t>
      </w:r>
      <w:r w:rsidR="008227BF" w:rsidRPr="00BB33CC">
        <w:rPr>
          <w:bCs/>
        </w:rPr>
        <w:t>concesionario y/o autorizado</w:t>
      </w:r>
      <w:r w:rsidRPr="00BB33CC">
        <w:t xml:space="preserve"> debe entregar un documento de trabajo que contenga todos los supuestos, criterios y parámetros utilizados para realizar la conciliación. Se destaca que la información utilizada para realizar la conciliación debe estar revisada y las cuentas realizadas para la conciliación deben ser avaladas por el revisor.</w:t>
      </w:r>
    </w:p>
    <w:p w:rsidR="002E1156" w:rsidRPr="00BB33CC" w:rsidRDefault="002E1156" w:rsidP="002B6C9A">
      <w:pPr>
        <w:pStyle w:val="Normalresolucion"/>
        <w:spacing w:after="0" w:line="276" w:lineRule="auto"/>
      </w:pPr>
      <w:r w:rsidRPr="00BB33CC">
        <w:t xml:space="preserve">En caso de existir diferencias entre ambas fuentes de información, el </w:t>
      </w:r>
      <w:r w:rsidR="008227BF" w:rsidRPr="00BB33CC">
        <w:rPr>
          <w:bCs/>
        </w:rPr>
        <w:t>concesionario y/o autorizado</w:t>
      </w:r>
      <w:r w:rsidRPr="00BB33CC">
        <w:t xml:space="preserve"> deberá aportar las justificaciones oportunas al respecto.</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4</w:t>
      </w:r>
      <w:r w:rsidRPr="00BB33CC">
        <w:rPr>
          <w:rFonts w:ascii="ITC Avant Garde" w:hAnsi="ITC Avant Garde"/>
          <w:iCs/>
          <w:sz w:val="20"/>
          <w:lang w:val="es-MX"/>
        </w:rPr>
        <w:fldChar w:fldCharType="end"/>
      </w:r>
      <w:r w:rsidRPr="00BB33CC">
        <w:rPr>
          <w:rFonts w:ascii="ITC Avant Garde" w:hAnsi="ITC Avant Garde"/>
          <w:iCs/>
          <w:sz w:val="20"/>
          <w:lang w:val="es-MX"/>
        </w:rPr>
        <w:t>: Informe de conciliación de la separación contable</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79"/>
        <w:gridCol w:w="1325"/>
        <w:gridCol w:w="1328"/>
        <w:gridCol w:w="1328"/>
        <w:gridCol w:w="1168"/>
      </w:tblGrid>
      <w:tr w:rsidR="002E1156" w:rsidRPr="00BB33CC" w:rsidTr="00674BDD">
        <w:trPr>
          <w:trHeight w:val="680"/>
        </w:trPr>
        <w:tc>
          <w:tcPr>
            <w:tcW w:w="3744"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Concepto</w:t>
            </w:r>
          </w:p>
        </w:tc>
        <w:tc>
          <w:tcPr>
            <w:tcW w:w="1347"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Balance de Prueba</w:t>
            </w:r>
          </w:p>
        </w:tc>
        <w:tc>
          <w:tcPr>
            <w:tcW w:w="135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Separación contable</w:t>
            </w:r>
          </w:p>
        </w:tc>
        <w:tc>
          <w:tcPr>
            <w:tcW w:w="135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Diferencia</w:t>
            </w:r>
          </w:p>
        </w:tc>
        <w:tc>
          <w:tcPr>
            <w:tcW w:w="1187"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Notas</w:t>
            </w:r>
          </w:p>
        </w:tc>
      </w:tr>
      <w:tr w:rsidR="002E1156" w:rsidRPr="00BB33CC" w:rsidTr="00674BDD">
        <w:trPr>
          <w:trHeight w:val="340"/>
        </w:trPr>
        <w:tc>
          <w:tcPr>
            <w:tcW w:w="3744" w:type="dxa"/>
            <w:tcBorders>
              <w:top w:val="single" w:sz="4" w:space="0" w:color="244062"/>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Ingresos</w:t>
            </w:r>
            <w:r w:rsidRPr="00BB33CC">
              <w:rPr>
                <w:rStyle w:val="Refdenotaalpie"/>
                <w:rFonts w:ascii="ITC Avant Garde" w:hAnsi="ITC Avant Garde"/>
                <w:b/>
                <w:sz w:val="20"/>
                <w:lang w:val="es-ES"/>
              </w:rPr>
              <w:footnoteReference w:id="116"/>
            </w:r>
          </w:p>
        </w:tc>
        <w:tc>
          <w:tcPr>
            <w:tcW w:w="1347" w:type="dxa"/>
            <w:tcBorders>
              <w:top w:val="single" w:sz="4" w:space="0" w:color="244062"/>
              <w:left w:val="nil"/>
              <w:right w:val="nil"/>
            </w:tcBorders>
            <w:shd w:val="clear" w:color="auto" w:fill="FFFFFF" w:themeFill="background1"/>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50" w:type="dxa"/>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top w:val="single" w:sz="4" w:space="0" w:color="244062"/>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top w:val="single" w:sz="4" w:space="0" w:color="244062"/>
              <w:left w:val="nil"/>
              <w:right w:val="nil"/>
            </w:tcBorders>
            <w:shd w:val="clear" w:color="auto" w:fill="FFFFFF" w:themeFill="background1"/>
            <w:noWrap/>
            <w:vAlign w:val="center"/>
            <w:hideMark/>
          </w:tcPr>
          <w:p w:rsidR="002E1156" w:rsidRPr="00BB33CC" w:rsidRDefault="002E1156" w:rsidP="00674BDD">
            <w:pP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Categoría Ingresos 1</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Categoría Ingresos 2</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Categoría Ingresos 3</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Costos</w:t>
            </w:r>
          </w:p>
        </w:tc>
        <w:tc>
          <w:tcPr>
            <w:tcW w:w="1347" w:type="dxa"/>
            <w:tcBorders>
              <w:left w:val="nil"/>
              <w:right w:val="nil"/>
            </w:tcBorders>
            <w:shd w:val="clear" w:color="auto" w:fill="FFFFFF" w:themeFill="background1"/>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hideMark/>
          </w:tcPr>
          <w:p w:rsidR="002E1156" w:rsidRPr="00BB33CC" w:rsidRDefault="002E1156" w:rsidP="00674BDD">
            <w:pP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Categoría Costos 1</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Categoría Costos 2</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Categoría Costos 3</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lastRenderedPageBreak/>
              <w:t>Activo</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Activo circulante</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Activo fijo</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hAnsi="ITC Avant Garde"/>
                <w:b/>
                <w:sz w:val="20"/>
                <w:lang w:val="es-ES"/>
              </w:rPr>
            </w:pPr>
            <w:r w:rsidRPr="00BB33CC">
              <w:rPr>
                <w:rFonts w:ascii="ITC Avant Garde" w:hAnsi="ITC Avant Garde"/>
                <w:b/>
                <w:sz w:val="20"/>
                <w:lang w:val="es-ES"/>
              </w:rPr>
              <w:t>Pasivo</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Pasivo circulante</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Pasivo fijo</w:t>
            </w:r>
          </w:p>
        </w:tc>
        <w:tc>
          <w:tcPr>
            <w:tcW w:w="134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340"/>
        </w:trPr>
        <w:tc>
          <w:tcPr>
            <w:tcW w:w="3744" w:type="dxa"/>
            <w:tcBorders>
              <w:left w:val="nil"/>
              <w:bottom w:val="single" w:sz="4" w:space="0" w:color="244062"/>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7" w:type="dxa"/>
            <w:tcBorders>
              <w:left w:val="nil"/>
              <w:bottom w:val="single" w:sz="4" w:space="0" w:color="244062"/>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bottom w:val="single" w:sz="4" w:space="0" w:color="244062"/>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bottom w:val="single" w:sz="4" w:space="0" w:color="244062"/>
              <w:right w:val="nil"/>
            </w:tcBorders>
            <w:shd w:val="clear" w:color="auto" w:fill="FFFFFF" w:themeFill="background1"/>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bottom w:val="single" w:sz="4" w:space="0" w:color="244062"/>
              <w:right w:val="nil"/>
            </w:tcBorders>
            <w:shd w:val="clear" w:color="auto" w:fill="FFFFFF" w:themeFill="background1"/>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1"/>
        <w:numPr>
          <w:ilvl w:val="0"/>
          <w:numId w:val="0"/>
        </w:numPr>
        <w:ind w:left="357" w:hanging="357"/>
      </w:pPr>
      <w:bookmarkStart w:id="60" w:name="_Ref477512941"/>
      <w:bookmarkStart w:id="61" w:name="_Toc477515022"/>
      <w:bookmarkStart w:id="62" w:name="_Toc478774506"/>
      <w:r w:rsidRPr="00BB33CC">
        <w:t xml:space="preserve">3. </w:t>
      </w:r>
      <w:r w:rsidR="002E1156" w:rsidRPr="00BB33CC">
        <w:t>MATRICES DE ASIGNACIÓN</w:t>
      </w:r>
      <w:bookmarkEnd w:id="60"/>
      <w:bookmarkEnd w:id="61"/>
      <w:bookmarkEnd w:id="62"/>
    </w:p>
    <w:p w:rsidR="002E1156" w:rsidRPr="00BB33CC" w:rsidRDefault="002E1156" w:rsidP="002B6C9A">
      <w:pPr>
        <w:pStyle w:val="Normalresolucion"/>
        <w:keepNext/>
        <w:keepLines/>
        <w:spacing w:after="0" w:line="276" w:lineRule="auto"/>
      </w:pPr>
      <w:r w:rsidRPr="00BB33CC">
        <w:t>Se listan bajo esta sección los reportes que deberán ser presentados para representar el flujo de asignación de costos e ingresos a lo largo de la separación contable. Estos reportes deberán permitir conocer la mecánica interna empleada para el desarrollo del modelo, a la vez que permitirán verificar la correcta implementación de los principios aplicables a la separación contable.</w:t>
      </w:r>
    </w:p>
    <w:p w:rsidR="002E1156" w:rsidRPr="00BB33CC" w:rsidRDefault="002E1156" w:rsidP="002B6C9A">
      <w:pPr>
        <w:pStyle w:val="Normalresolucion"/>
        <w:spacing w:after="0" w:line="276" w:lineRule="auto"/>
      </w:pPr>
      <w:r w:rsidRPr="00BB33CC">
        <w:t xml:space="preserve">Nótese que, por cuestiones de espacio, en las siguientes tablas se incluye únicamente un extracto ilustrativo de las cuentas a desagregar en cada nivel, seguidas de </w:t>
      </w:r>
      <w:r w:rsidR="00295F71" w:rsidRPr="00BB33CC">
        <w:t>puntos suspensivos (</w:t>
      </w:r>
      <w:r w:rsidRPr="00BB33CC">
        <w:t>“…”</w:t>
      </w:r>
      <w:r w:rsidR="00295F71" w:rsidRPr="00BB33CC">
        <w:t>)</w:t>
      </w:r>
      <w:r w:rsidRPr="00BB33CC">
        <w:t xml:space="preserve"> para representar las cuentas restantes y no representadas en la tabla. Salvo que se indique lo contrario, para cada uno de los formatos solicitados bajo esta sección, los </w:t>
      </w:r>
      <w:r w:rsidR="008227BF" w:rsidRPr="00BB33CC">
        <w:rPr>
          <w:bCs/>
        </w:rPr>
        <w:t>concesionarios y/o autorizados</w:t>
      </w:r>
      <w:r w:rsidRPr="00BB33CC">
        <w:t xml:space="preserve"> deberán desagregar la totalidad de las cuentas identificadas en la separación contable para cada uno de los niveles solicitados. Al mismo tiempo, las cuentas identificadas por los </w:t>
      </w:r>
      <w:r w:rsidR="008227BF" w:rsidRPr="00BB33CC">
        <w:rPr>
          <w:bCs/>
        </w:rPr>
        <w:t>concesionarios y/o autorizados</w:t>
      </w:r>
      <w:r w:rsidRPr="00BB33CC">
        <w:t xml:space="preserve"> en cada nivel deberán cumplir, como mínimo, con el nivel de desagregación indicado en el Manual Explicativo de la separación contable presentado por el </w:t>
      </w:r>
      <w:r w:rsidR="008227BF" w:rsidRPr="00BB33CC">
        <w:rPr>
          <w:bCs/>
        </w:rPr>
        <w:t>concesionario y/o autorizado</w:t>
      </w:r>
      <w:r w:rsidRPr="00BB33CC">
        <w:t xml:space="preserve"> como parte de los estudios de soporte indicados en el A</w:t>
      </w:r>
      <w:r w:rsidR="00CB0605" w:rsidRPr="00BB33CC">
        <w:t>PARTADO II</w:t>
      </w:r>
      <w:r w:rsidRPr="00BB33CC">
        <w:t>.</w:t>
      </w:r>
    </w:p>
    <w:p w:rsidR="002E1156" w:rsidRPr="00BB33CC" w:rsidRDefault="002E1156" w:rsidP="002B6C9A">
      <w:pPr>
        <w:pStyle w:val="Normalresolucion"/>
        <w:spacing w:after="0" w:line="276" w:lineRule="auto"/>
      </w:pPr>
      <w:r w:rsidRPr="00BB33CC">
        <w:t xml:space="preserve">Las matrices de asignación de costos (e ingresos) deberán corresponder con cada una de las fases indicadas en la disposición DÉCIMA PRIMERA </w:t>
      </w:r>
      <w:r w:rsidR="009B0ECA" w:rsidRPr="00BB33CC">
        <w:t>de la metodología</w:t>
      </w:r>
      <w:r w:rsidRPr="00BB33CC">
        <w:t>,</w:t>
      </w:r>
      <w:r w:rsidRPr="00BB33CC">
        <w:rPr>
          <w:rFonts w:hint="cs"/>
          <w:rtl/>
        </w:rPr>
        <w:t xml:space="preserve"> </w:t>
      </w:r>
      <w:r w:rsidRPr="00BB33CC">
        <w:t>en particular</w:t>
      </w:r>
      <w:r w:rsidRPr="00BB33CC">
        <w:rPr>
          <w:rtl/>
        </w:rPr>
        <w:t>:</w:t>
      </w:r>
    </w:p>
    <w:p w:rsidR="002E1156" w:rsidRPr="00BB33CC" w:rsidRDefault="002E1156" w:rsidP="002B6C9A">
      <w:pPr>
        <w:pStyle w:val="Normalresolucion"/>
        <w:spacing w:after="0" w:line="276" w:lineRule="auto"/>
      </w:pPr>
      <w:r w:rsidRPr="00BB33CC">
        <w:t>Para facilitar su preparación, estos formatos se agrupan en los siguientes apartados:</w:t>
      </w:r>
    </w:p>
    <w:p w:rsidR="002E1156" w:rsidRPr="00BB33CC" w:rsidRDefault="002E1156" w:rsidP="002B6C9A">
      <w:pPr>
        <w:pStyle w:val="Indentadoresolucin"/>
        <w:spacing w:before="240" w:line="276" w:lineRule="auto"/>
      </w:pPr>
      <w:r w:rsidRPr="00BB33CC">
        <w:t>Matriz de asignación de ingresos del balance de prueba (Nivel 0) a cuentas de ingresos por naturaleza (Nivel 1).</w:t>
      </w:r>
    </w:p>
    <w:p w:rsidR="002E1156" w:rsidRPr="00BB33CC" w:rsidRDefault="002E1156" w:rsidP="002B6C9A">
      <w:pPr>
        <w:pStyle w:val="Indentadoresolucin"/>
        <w:spacing w:before="240" w:line="276" w:lineRule="auto"/>
      </w:pPr>
      <w:r w:rsidRPr="00BB33CC">
        <w:lastRenderedPageBreak/>
        <w:t>Matriz de asignación de costos del balance de prueba (Nivel 0) a cuentas de costos por naturaleza (Nivel 1).</w:t>
      </w:r>
    </w:p>
    <w:p w:rsidR="002E1156" w:rsidRPr="00BB33CC" w:rsidRDefault="002E1156" w:rsidP="002B6C9A">
      <w:pPr>
        <w:pStyle w:val="Indentadoresolucin"/>
        <w:spacing w:before="240" w:line="276" w:lineRule="auto"/>
      </w:pPr>
      <w:r w:rsidRPr="00BB33CC">
        <w:t>Matriz de asignación de activo y pasivo del balance de prueba (Nivel 0) a cuentas de capital empleado por naturaleza (Nivel 1).</w:t>
      </w:r>
    </w:p>
    <w:p w:rsidR="002E1156" w:rsidRPr="00BB33CC" w:rsidRDefault="002E1156" w:rsidP="002B6C9A">
      <w:pPr>
        <w:pStyle w:val="Indentadoresolucin"/>
        <w:spacing w:before="240" w:line="276" w:lineRule="auto"/>
      </w:pPr>
      <w:r w:rsidRPr="00BB33CC">
        <w:t>Matriz de asignación de costos por naturaleza (Nivel 1) a costos por actividades y elementos de red (Nivel 2).</w:t>
      </w:r>
    </w:p>
    <w:p w:rsidR="002E1156" w:rsidRPr="00BB33CC" w:rsidRDefault="002E1156" w:rsidP="002B6C9A">
      <w:pPr>
        <w:pStyle w:val="Indentadoresolucin"/>
        <w:spacing w:before="240" w:line="276" w:lineRule="auto"/>
      </w:pPr>
      <w:r w:rsidRPr="00BB33CC">
        <w:t>Matriz de asignación de capital empleado por naturaleza (Nivel 1) a capital empleado por actividades y elementos de red (Nivel 2).</w:t>
      </w:r>
    </w:p>
    <w:p w:rsidR="002E1156" w:rsidRPr="00BB33CC" w:rsidRDefault="002E1156" w:rsidP="002B6C9A">
      <w:pPr>
        <w:pStyle w:val="Indentadoresolucin"/>
        <w:spacing w:before="240" w:line="276" w:lineRule="auto"/>
      </w:pPr>
      <w:r w:rsidRPr="00BB33CC">
        <w:t>Matriz de asignación de ingresos por naturaleza (Nivel 1) a servicios (Nivel 3).</w:t>
      </w:r>
    </w:p>
    <w:p w:rsidR="002E1156" w:rsidRPr="00BB33CC" w:rsidRDefault="002E1156" w:rsidP="002B6C9A">
      <w:pPr>
        <w:pStyle w:val="Indentadoresolucin"/>
        <w:spacing w:before="240" w:line="276" w:lineRule="auto"/>
      </w:pPr>
      <w:r w:rsidRPr="00BB33CC">
        <w:t>Matriz de asignación de costos por actividades y elementos de red (Nivel 2) a servicios minoristas (Nivel 3).</w:t>
      </w:r>
    </w:p>
    <w:p w:rsidR="002E1156" w:rsidRPr="00BB33CC" w:rsidRDefault="002E1156" w:rsidP="002B6C9A">
      <w:pPr>
        <w:pStyle w:val="Indentadoresolucin"/>
        <w:spacing w:before="240" w:line="276" w:lineRule="auto"/>
      </w:pPr>
      <w:r w:rsidRPr="00BB33CC">
        <w:t>Matriz de asignación de costos por actividades y elementos de red (Nivel 2) a servicios mayoristas (Nivel 3).</w:t>
      </w:r>
    </w:p>
    <w:p w:rsidR="002E1156" w:rsidRPr="00BB33CC" w:rsidRDefault="002E1156" w:rsidP="002B6C9A">
      <w:pPr>
        <w:pStyle w:val="Indentadoresolucin"/>
        <w:spacing w:before="240" w:line="276" w:lineRule="auto"/>
      </w:pPr>
      <w:r w:rsidRPr="00BB33CC">
        <w:t>Matriz de asignación de capital empleado por actividades y elementos de red (Nivel 2) a servicios minoristas (Nivel 3).</w:t>
      </w:r>
    </w:p>
    <w:p w:rsidR="002E1156" w:rsidRPr="00BB33CC" w:rsidRDefault="002E1156" w:rsidP="002B6C9A">
      <w:pPr>
        <w:pStyle w:val="Indentadoresolucin"/>
        <w:spacing w:before="240" w:line="276" w:lineRule="auto"/>
      </w:pPr>
      <w:r w:rsidRPr="00BB33CC">
        <w:t>Matriz de asignación de capital empleado por actividades y elementos de red (Nivel 2) a servicios mayoristas (Nivel 3).</w:t>
      </w:r>
    </w:p>
    <w:p w:rsidR="002E1156" w:rsidRPr="00BB33CC" w:rsidRDefault="00674BDD" w:rsidP="00776A41">
      <w:pPr>
        <w:pStyle w:val="A3L2"/>
        <w:keepNext/>
        <w:keepLines/>
        <w:numPr>
          <w:ilvl w:val="0"/>
          <w:numId w:val="0"/>
        </w:numPr>
        <w:ind w:left="792" w:hanging="792"/>
      </w:pPr>
      <w:bookmarkStart w:id="63" w:name="_Toc475468512"/>
      <w:bookmarkStart w:id="64" w:name="_Toc477515023"/>
      <w:bookmarkStart w:id="65" w:name="_Toc478774507"/>
      <w:r w:rsidRPr="00BB33CC">
        <w:t xml:space="preserve">3.1 </w:t>
      </w:r>
      <w:r w:rsidR="002E1156" w:rsidRPr="00BB33CC">
        <w:t>Matriz de asignación de ingresos del balance de prueba (Nivel 0) a cuentas de ingresos por naturaleza (Nivel 1)</w:t>
      </w:r>
      <w:bookmarkEnd w:id="63"/>
      <w:bookmarkEnd w:id="64"/>
      <w:bookmarkEnd w:id="65"/>
    </w:p>
    <w:p w:rsidR="002E1156" w:rsidRPr="00BB33CC" w:rsidRDefault="002E1156" w:rsidP="002B6C9A">
      <w:pPr>
        <w:pStyle w:val="Normalresolucion"/>
        <w:keepNext/>
        <w:keepLines/>
        <w:spacing w:after="0" w:line="276" w:lineRule="auto"/>
      </w:pPr>
      <w:r w:rsidRPr="00BB33CC">
        <w:t>Esta matriz deberá contener la asignación de ingresos de los registros financieros a cuentas de ingresos de Nivel 1. Esta asignación se realizará de una forma directa, por lo tanto, cada cuenta de ingresos del balance de prueba será asignada a una única cuenta de ingresos por naturaleza.</w:t>
      </w:r>
    </w:p>
    <w:p w:rsidR="002E1156" w:rsidRPr="00BB33CC" w:rsidRDefault="002E1156" w:rsidP="002B6C9A">
      <w:pPr>
        <w:pStyle w:val="Normalresolucion"/>
        <w:spacing w:after="0" w:line="276" w:lineRule="auto"/>
      </w:pPr>
      <w:r w:rsidRPr="00BB33CC">
        <w:t xml:space="preserve">A continuación, se presenta el formato que deberá ser completado por los </w:t>
      </w:r>
      <w:r w:rsidR="008227BF" w:rsidRPr="00BB33CC">
        <w:rPr>
          <w:bCs/>
        </w:rPr>
        <w:t>concesionarios y/o autorizados</w:t>
      </w:r>
      <w:r w:rsidRPr="00BB33CC">
        <w:t xml:space="preserve"> para la entrega de esta información. Nótese que se presenta un ejemplo de matriz de asignación para el segmento fijo, sin embargo, la información debe ser adaptada a la estructura de ingresos aplicable (fijo, móvil, televisión restringida, radiodifusión).</w:t>
      </w:r>
      <w:r w:rsidRPr="00BB33CC" w:rsidDel="00B23F76">
        <w:t xml:space="preserve"> </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5</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ingresos del balance de prueba (Nivel 0) a cuentas de ingresos por naturaleza (Nivel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89"/>
        <w:gridCol w:w="3089"/>
        <w:gridCol w:w="1325"/>
        <w:gridCol w:w="1325"/>
      </w:tblGrid>
      <w:tr w:rsidR="002E1156" w:rsidRPr="00BB33CC" w:rsidTr="00674BDD">
        <w:trPr>
          <w:trHeight w:val="340"/>
          <w:jc w:val="center"/>
        </w:trPr>
        <w:tc>
          <w:tcPr>
            <w:tcW w:w="314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lastRenderedPageBreak/>
              <w:t>Cuentas de ingresos del balance de prueba (Nivel 0)</w:t>
            </w:r>
          </w:p>
        </w:tc>
        <w:tc>
          <w:tcPr>
            <w:tcW w:w="314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Ingresos por naturaleza</w:t>
            </w:r>
            <w:r w:rsidRPr="00BB33CC">
              <w:rPr>
                <w:rFonts w:ascii="ITC Avant Garde" w:eastAsia="Times New Roman" w:hAnsi="ITC Avant Garde" w:cs="Arial"/>
                <w:b/>
                <w:color w:val="FFFFFF" w:themeColor="background1"/>
                <w:sz w:val="20"/>
                <w:lang w:val="es-ES" w:eastAsia="es-ES"/>
              </w:rPr>
              <w:br/>
              <w:t>(Nivel 1)</w:t>
            </w:r>
            <w:r w:rsidRPr="00BB33CC">
              <w:rPr>
                <w:rFonts w:ascii="ITC Avant Garde" w:eastAsia="Times New Roman" w:hAnsi="ITC Avant Garde" w:cs="Arial"/>
                <w:b/>
                <w:color w:val="FFFFFF" w:themeColor="background1"/>
                <w:sz w:val="20"/>
                <w:vertAlign w:val="superscript"/>
                <w:lang w:val="es-ES" w:eastAsia="es-ES"/>
              </w:rPr>
              <w:footnoteReference w:id="117"/>
            </w:r>
          </w:p>
        </w:tc>
        <w:tc>
          <w:tcPr>
            <w:tcW w:w="2692"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314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spacing w:after="0"/>
              <w:rPr>
                <w:rFonts w:ascii="ITC Avant Garde" w:eastAsia="Times New Roman" w:hAnsi="ITC Avant Garde" w:cs="Arial"/>
                <w:b/>
                <w:color w:val="FFFFFF" w:themeColor="background1"/>
                <w:sz w:val="20"/>
                <w:lang w:val="es-ES" w:eastAsia="es-ES"/>
              </w:rPr>
            </w:pPr>
          </w:p>
        </w:tc>
        <w:tc>
          <w:tcPr>
            <w:tcW w:w="314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spacing w:after="0"/>
              <w:rPr>
                <w:rFonts w:ascii="ITC Avant Garde" w:eastAsia="Times New Roman" w:hAnsi="ITC Avant Garde" w:cs="Arial"/>
                <w:b/>
                <w:color w:val="FFFFFF" w:themeColor="background1"/>
                <w:sz w:val="20"/>
                <w:lang w:val="es-ES" w:eastAsia="es-ES"/>
              </w:rPr>
            </w:pPr>
          </w:p>
        </w:tc>
        <w:tc>
          <w:tcPr>
            <w:tcW w:w="1346"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46"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40"/>
          <w:jc w:val="center"/>
        </w:trPr>
        <w:tc>
          <w:tcPr>
            <w:tcW w:w="3143" w:type="dxa"/>
            <w:tcBorders>
              <w:top w:val="single" w:sz="4" w:space="0" w:color="244062"/>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1</w:t>
            </w:r>
          </w:p>
        </w:tc>
        <w:tc>
          <w:tcPr>
            <w:tcW w:w="3143" w:type="dxa"/>
            <w:tcBorders>
              <w:top w:val="single" w:sz="4" w:space="0" w:color="244062"/>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Instalación de línea o acometida</w:t>
            </w:r>
          </w:p>
        </w:tc>
        <w:tc>
          <w:tcPr>
            <w:tcW w:w="1346" w:type="dxa"/>
            <w:tcBorders>
              <w:top w:val="single" w:sz="4" w:space="0" w:color="244062"/>
              <w:left w:val="nil"/>
              <w:right w:val="nil"/>
            </w:tcBorders>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46" w:type="dxa"/>
            <w:tcBorders>
              <w:top w:val="single" w:sz="4" w:space="0" w:color="244062"/>
              <w:left w:val="nil"/>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40"/>
          <w:jc w:val="center"/>
        </w:trPr>
        <w:tc>
          <w:tcPr>
            <w:tcW w:w="3143"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1</w:t>
            </w:r>
          </w:p>
        </w:tc>
        <w:tc>
          <w:tcPr>
            <w:tcW w:w="3143"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w:t>
            </w:r>
          </w:p>
        </w:tc>
        <w:tc>
          <w:tcPr>
            <w:tcW w:w="1346" w:type="dxa"/>
            <w:tcBorders>
              <w:left w:val="nil"/>
              <w:right w:val="nil"/>
            </w:tcBorders>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46" w:type="dxa"/>
            <w:tcBorders>
              <w:left w:val="nil"/>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40"/>
          <w:jc w:val="center"/>
        </w:trPr>
        <w:tc>
          <w:tcPr>
            <w:tcW w:w="3143"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1</w:t>
            </w:r>
          </w:p>
        </w:tc>
        <w:tc>
          <w:tcPr>
            <w:tcW w:w="3143"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6" w:type="dxa"/>
            <w:tcBorders>
              <w:left w:val="nil"/>
              <w:right w:val="nil"/>
            </w:tcBorders>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46" w:type="dxa"/>
            <w:tcBorders>
              <w:left w:val="nil"/>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40"/>
          <w:jc w:val="center"/>
        </w:trPr>
        <w:tc>
          <w:tcPr>
            <w:tcW w:w="3143"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2</w:t>
            </w:r>
          </w:p>
        </w:tc>
        <w:tc>
          <w:tcPr>
            <w:tcW w:w="3143"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recurrente por el servicio de telefonía fija</w:t>
            </w:r>
          </w:p>
        </w:tc>
        <w:tc>
          <w:tcPr>
            <w:tcW w:w="1346" w:type="dxa"/>
            <w:tcBorders>
              <w:left w:val="nil"/>
              <w:right w:val="nil"/>
            </w:tcBorders>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46" w:type="dxa"/>
            <w:tcBorders>
              <w:left w:val="nil"/>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40"/>
          <w:jc w:val="center"/>
        </w:trPr>
        <w:tc>
          <w:tcPr>
            <w:tcW w:w="3143"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2</w:t>
            </w:r>
          </w:p>
        </w:tc>
        <w:tc>
          <w:tcPr>
            <w:tcW w:w="3143"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6" w:type="dxa"/>
            <w:tcBorders>
              <w:left w:val="nil"/>
              <w:right w:val="nil"/>
            </w:tcBorders>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46" w:type="dxa"/>
            <w:tcBorders>
              <w:left w:val="nil"/>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40"/>
          <w:jc w:val="center"/>
        </w:trPr>
        <w:tc>
          <w:tcPr>
            <w:tcW w:w="3143"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143"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6" w:type="dxa"/>
            <w:tcBorders>
              <w:left w:val="nil"/>
              <w:right w:val="nil"/>
            </w:tcBorders>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46" w:type="dxa"/>
            <w:tcBorders>
              <w:left w:val="nil"/>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40"/>
          <w:jc w:val="center"/>
        </w:trPr>
        <w:tc>
          <w:tcPr>
            <w:tcW w:w="3143" w:type="dxa"/>
            <w:tcBorders>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n</w:t>
            </w:r>
          </w:p>
        </w:tc>
        <w:tc>
          <w:tcPr>
            <w:tcW w:w="3143" w:type="dxa"/>
            <w:tcBorders>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6" w:type="dxa"/>
            <w:tcBorders>
              <w:left w:val="nil"/>
              <w:bottom w:val="single" w:sz="4" w:space="0" w:color="244062"/>
              <w:right w:val="nil"/>
            </w:tcBorders>
            <w:noWrap/>
            <w:vAlign w:val="center"/>
            <w:hideMark/>
          </w:tcPr>
          <w:p w:rsidR="002E1156" w:rsidRPr="00BB33CC" w:rsidRDefault="002E1156" w:rsidP="00674BDD">
            <w:pPr>
              <w:rPr>
                <w:rFonts w:ascii="ITC Avant Garde" w:eastAsia="Times New Roman" w:hAnsi="ITC Avant Garde" w:cs="Arial"/>
                <w:sz w:val="20"/>
                <w:lang w:val="es-ES" w:eastAsia="es-ES"/>
              </w:rPr>
            </w:pPr>
          </w:p>
        </w:tc>
        <w:tc>
          <w:tcPr>
            <w:tcW w:w="1346" w:type="dxa"/>
            <w:tcBorders>
              <w:left w:val="nil"/>
              <w:bottom w:val="single" w:sz="4" w:space="0" w:color="244062"/>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r>
    </w:tbl>
    <w:p w:rsidR="002E1156" w:rsidRPr="00BB33CC" w:rsidRDefault="00674BDD" w:rsidP="00776A41">
      <w:pPr>
        <w:pStyle w:val="A3L2"/>
        <w:numPr>
          <w:ilvl w:val="0"/>
          <w:numId w:val="0"/>
        </w:numPr>
        <w:ind w:left="792" w:hanging="792"/>
      </w:pPr>
      <w:bookmarkStart w:id="66" w:name="_Toc475468513"/>
      <w:bookmarkStart w:id="67" w:name="_Toc477515024"/>
      <w:bookmarkStart w:id="68" w:name="_Toc478774508"/>
      <w:r w:rsidRPr="00BB33CC">
        <w:t xml:space="preserve">3.2 </w:t>
      </w:r>
      <w:r w:rsidR="002E1156" w:rsidRPr="00BB33CC">
        <w:t>Matriz de asignación de costos del balance de prueba (Nivel 0) a cuentas de costos por naturaleza (Nivel 1)</w:t>
      </w:r>
      <w:bookmarkEnd w:id="66"/>
      <w:bookmarkEnd w:id="67"/>
      <w:bookmarkEnd w:id="68"/>
    </w:p>
    <w:p w:rsidR="002E1156" w:rsidRPr="00BB33CC" w:rsidRDefault="002E1156" w:rsidP="002B6C9A">
      <w:pPr>
        <w:pStyle w:val="Normalresolucion"/>
        <w:spacing w:after="0" w:line="276" w:lineRule="auto"/>
      </w:pPr>
      <w:r w:rsidRPr="00BB33CC">
        <w:t>Esta matriz deberá contener la asignación de costos de los registros financieros a cuentas de costos de Nivel 1. Esta asignación se realizará de una forma directa, por lo tanto, cada cuenta de costos del balance de prueba será asignada a una única cuenta de costos por naturaleza.</w:t>
      </w:r>
    </w:p>
    <w:p w:rsidR="002E1156" w:rsidRPr="00BB33CC" w:rsidRDefault="002E1156" w:rsidP="002B6C9A">
      <w:pPr>
        <w:pStyle w:val="Normalresolucion"/>
        <w:spacing w:after="0" w:line="276" w:lineRule="auto"/>
        <w:rPr>
          <w:rtl/>
        </w:rPr>
      </w:pPr>
      <w:r w:rsidRPr="00BB33CC">
        <w:t xml:space="preserve">A continuación se presenta el formato que deberá ser completado por los </w:t>
      </w:r>
      <w:r w:rsidR="008227BF" w:rsidRPr="00BB33CC">
        <w:rPr>
          <w:bCs/>
        </w:rPr>
        <w:t>concesionarios y/o autorizados</w:t>
      </w:r>
      <w:r w:rsidRPr="00BB33CC">
        <w:t xml:space="preserve"> para la entrega de esta información. Las categorías de costos incluidas deben ser adaptadas al segmento aplicable al </w:t>
      </w:r>
      <w:r w:rsidR="008227BF" w:rsidRPr="00BB33CC">
        <w:rPr>
          <w:bCs/>
        </w:rPr>
        <w:t>concesionario y/o autorizado</w:t>
      </w:r>
      <w:r w:rsidRPr="00BB33CC">
        <w:t xml:space="preserve"> de acuerdo a la estructura mínima definida en el A</w:t>
      </w:r>
      <w:r w:rsidR="00CB0605" w:rsidRPr="00BB33CC">
        <w:t>PARTADO</w:t>
      </w:r>
      <w:r w:rsidRPr="00BB33CC">
        <w:t xml:space="preserve"> </w:t>
      </w:r>
      <w:r w:rsidR="00CB0605" w:rsidRPr="00BB33CC">
        <w:t>I</w:t>
      </w:r>
      <w:r w:rsidRPr="00BB33CC">
        <w:rPr>
          <w:rtl/>
        </w:rPr>
        <w:t>.</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6</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costos del balance de prueba (Nivel 0) a cuentas de costos por naturaleza (Nivel 1)</w:t>
      </w:r>
    </w:p>
    <w:tbl>
      <w:tblPr>
        <w:tblW w:w="5000" w:type="pct"/>
        <w:jc w:val="center"/>
        <w:tblLayout w:type="fixed"/>
        <w:tblCellMar>
          <w:left w:w="70" w:type="dxa"/>
          <w:right w:w="70" w:type="dxa"/>
        </w:tblCellMar>
        <w:tblLook w:val="04A0" w:firstRow="1" w:lastRow="0" w:firstColumn="1" w:lastColumn="0" w:noHBand="0" w:noVBand="1"/>
      </w:tblPr>
      <w:tblGrid>
        <w:gridCol w:w="3176"/>
        <w:gridCol w:w="3032"/>
        <w:gridCol w:w="1310"/>
        <w:gridCol w:w="1310"/>
      </w:tblGrid>
      <w:tr w:rsidR="002E1156" w:rsidRPr="00BB33CC" w:rsidTr="00674BDD">
        <w:trPr>
          <w:trHeight w:val="340"/>
          <w:jc w:val="center"/>
        </w:trPr>
        <w:tc>
          <w:tcPr>
            <w:tcW w:w="3231"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lastRenderedPageBreak/>
              <w:t>Cuentas de costos del balance de prueba (Nivel 0)</w:t>
            </w:r>
          </w:p>
        </w:tc>
        <w:tc>
          <w:tcPr>
            <w:tcW w:w="3085"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Cuentas de costos por naturaleza (Nivel 1)</w:t>
            </w:r>
            <w:r w:rsidRPr="00BB33CC">
              <w:rPr>
                <w:rFonts w:ascii="ITC Avant Garde" w:eastAsia="Times New Roman" w:hAnsi="ITC Avant Garde" w:cs="Arial"/>
                <w:b/>
                <w:color w:val="FFFFFF" w:themeColor="background1"/>
                <w:sz w:val="20"/>
                <w:vertAlign w:val="superscript"/>
                <w:lang w:val="es-ES" w:eastAsia="es-ES"/>
              </w:rPr>
              <w:footnoteReference w:id="118"/>
            </w:r>
          </w:p>
        </w:tc>
        <w:tc>
          <w:tcPr>
            <w:tcW w:w="266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3231"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3085"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133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3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40"/>
          <w:jc w:val="center"/>
        </w:trPr>
        <w:tc>
          <w:tcPr>
            <w:tcW w:w="3231" w:type="dxa"/>
            <w:tcBorders>
              <w:top w:val="single" w:sz="4" w:space="0" w:color="244062"/>
              <w:bottom w:val="single" w:sz="4" w:space="0" w:color="auto"/>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1</w:t>
            </w:r>
          </w:p>
        </w:tc>
        <w:tc>
          <w:tcPr>
            <w:tcW w:w="3085" w:type="dxa"/>
            <w:tcBorders>
              <w:top w:val="single" w:sz="4" w:space="0" w:color="244062"/>
              <w:bottom w:val="single" w:sz="4" w:space="0" w:color="auto"/>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Personal</w:t>
            </w:r>
          </w:p>
        </w:tc>
        <w:tc>
          <w:tcPr>
            <w:tcW w:w="1331" w:type="dxa"/>
            <w:tcBorders>
              <w:top w:val="single" w:sz="4" w:space="0" w:color="244062"/>
              <w:bottom w:val="single" w:sz="4" w:space="0" w:color="auto"/>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31" w:type="dxa"/>
            <w:tcBorders>
              <w:top w:val="single" w:sz="4" w:space="0" w:color="244062"/>
              <w:bottom w:val="single" w:sz="4" w:space="0" w:color="auto"/>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r w:rsidR="002E1156" w:rsidRPr="00BB33CC" w:rsidTr="00674BDD">
        <w:trPr>
          <w:trHeight w:val="340"/>
          <w:jc w:val="center"/>
        </w:trPr>
        <w:tc>
          <w:tcPr>
            <w:tcW w:w="3231" w:type="dxa"/>
            <w:tcBorders>
              <w:top w:val="single" w:sz="4" w:space="0" w:color="auto"/>
              <w:bottom w:val="single" w:sz="4" w:space="0" w:color="auto"/>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1</w:t>
            </w:r>
          </w:p>
        </w:tc>
        <w:tc>
          <w:tcPr>
            <w:tcW w:w="3085" w:type="dxa"/>
            <w:tcBorders>
              <w:top w:val="single" w:sz="4" w:space="0" w:color="auto"/>
              <w:bottom w:val="single" w:sz="4" w:space="0" w:color="auto"/>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Arrendamiento de infraestructura de telecomunicaciones</w:t>
            </w:r>
          </w:p>
        </w:tc>
        <w:tc>
          <w:tcPr>
            <w:tcW w:w="1331" w:type="dxa"/>
            <w:tcBorders>
              <w:top w:val="single" w:sz="4" w:space="0" w:color="auto"/>
              <w:bottom w:val="single" w:sz="4" w:space="0" w:color="auto"/>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rsidR="002E1156" w:rsidRPr="00BB33CC" w:rsidRDefault="002E1156" w:rsidP="00674BDD">
            <w:pPr>
              <w:keepNext/>
              <w:spacing w:after="0"/>
              <w:rPr>
                <w:rFonts w:ascii="ITC Avant Garde" w:hAnsi="ITC Avant Garde"/>
                <w:sz w:val="20"/>
                <w:szCs w:val="20"/>
                <w:lang w:eastAsia="en-GB"/>
              </w:rPr>
            </w:pPr>
          </w:p>
        </w:tc>
      </w:tr>
      <w:tr w:rsidR="002E1156" w:rsidRPr="00BB33CC" w:rsidTr="00674BDD">
        <w:trPr>
          <w:trHeight w:val="340"/>
          <w:jc w:val="center"/>
        </w:trPr>
        <w:tc>
          <w:tcPr>
            <w:tcW w:w="3231" w:type="dxa"/>
            <w:tcBorders>
              <w:top w:val="single" w:sz="4" w:space="0" w:color="auto"/>
              <w:bottom w:val="single" w:sz="4" w:space="0" w:color="auto"/>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1</w:t>
            </w:r>
          </w:p>
        </w:tc>
        <w:tc>
          <w:tcPr>
            <w:tcW w:w="3085" w:type="dxa"/>
            <w:tcBorders>
              <w:top w:val="single" w:sz="4" w:space="0" w:color="auto"/>
              <w:bottom w:val="single" w:sz="4" w:space="0" w:color="auto"/>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31" w:type="dxa"/>
            <w:tcBorders>
              <w:top w:val="single" w:sz="4" w:space="0" w:color="auto"/>
              <w:bottom w:val="single" w:sz="4" w:space="0" w:color="auto"/>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r w:rsidR="002E1156" w:rsidRPr="00BB33CC" w:rsidTr="00674BDD">
        <w:trPr>
          <w:trHeight w:val="340"/>
          <w:jc w:val="center"/>
        </w:trPr>
        <w:tc>
          <w:tcPr>
            <w:tcW w:w="3231" w:type="dxa"/>
            <w:tcBorders>
              <w:top w:val="single" w:sz="4" w:space="0" w:color="auto"/>
              <w:bottom w:val="single" w:sz="4" w:space="0" w:color="auto"/>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2</w:t>
            </w:r>
          </w:p>
        </w:tc>
        <w:tc>
          <w:tcPr>
            <w:tcW w:w="3085" w:type="dxa"/>
            <w:tcBorders>
              <w:top w:val="single" w:sz="4" w:space="0" w:color="auto"/>
              <w:bottom w:val="single" w:sz="4" w:space="0" w:color="auto"/>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Costos financieros</w:t>
            </w:r>
          </w:p>
        </w:tc>
        <w:tc>
          <w:tcPr>
            <w:tcW w:w="1331" w:type="dxa"/>
            <w:tcBorders>
              <w:top w:val="single" w:sz="4" w:space="0" w:color="auto"/>
              <w:bottom w:val="single" w:sz="4" w:space="0" w:color="auto"/>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r w:rsidR="002E1156" w:rsidRPr="00BB33CC" w:rsidTr="00674BDD">
        <w:trPr>
          <w:trHeight w:val="340"/>
          <w:jc w:val="center"/>
        </w:trPr>
        <w:tc>
          <w:tcPr>
            <w:tcW w:w="3231" w:type="dxa"/>
            <w:tcBorders>
              <w:top w:val="single" w:sz="4" w:space="0" w:color="auto"/>
              <w:bottom w:val="single" w:sz="4" w:space="0" w:color="auto"/>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2</w:t>
            </w:r>
          </w:p>
        </w:tc>
        <w:tc>
          <w:tcPr>
            <w:tcW w:w="3085" w:type="dxa"/>
            <w:tcBorders>
              <w:top w:val="single" w:sz="4" w:space="0" w:color="auto"/>
              <w:bottom w:val="single" w:sz="4" w:space="0" w:color="auto"/>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31" w:type="dxa"/>
            <w:tcBorders>
              <w:top w:val="single" w:sz="4" w:space="0" w:color="auto"/>
              <w:bottom w:val="single" w:sz="4" w:space="0" w:color="auto"/>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r w:rsidR="002E1156" w:rsidRPr="00BB33CC" w:rsidTr="00674BDD">
        <w:trPr>
          <w:trHeight w:val="340"/>
          <w:jc w:val="center"/>
        </w:trPr>
        <w:tc>
          <w:tcPr>
            <w:tcW w:w="3231" w:type="dxa"/>
            <w:tcBorders>
              <w:top w:val="single" w:sz="4" w:space="0" w:color="auto"/>
              <w:bottom w:val="single" w:sz="4" w:space="0" w:color="auto"/>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085" w:type="dxa"/>
            <w:tcBorders>
              <w:top w:val="single" w:sz="4" w:space="0" w:color="auto"/>
              <w:bottom w:val="single" w:sz="4" w:space="0" w:color="auto"/>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31" w:type="dxa"/>
            <w:tcBorders>
              <w:top w:val="single" w:sz="4" w:space="0" w:color="auto"/>
              <w:bottom w:val="single" w:sz="4" w:space="0" w:color="auto"/>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r w:rsidR="002E1156" w:rsidRPr="00BB33CC" w:rsidTr="00674BDD">
        <w:trPr>
          <w:trHeight w:val="340"/>
          <w:jc w:val="center"/>
        </w:trPr>
        <w:tc>
          <w:tcPr>
            <w:tcW w:w="3231" w:type="dxa"/>
            <w:tcBorders>
              <w:top w:val="single" w:sz="4" w:space="0" w:color="auto"/>
              <w:bottom w:val="single" w:sz="4" w:space="0" w:color="244062"/>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financiera n</w:t>
            </w:r>
          </w:p>
        </w:tc>
        <w:tc>
          <w:tcPr>
            <w:tcW w:w="3085" w:type="dxa"/>
            <w:tcBorders>
              <w:top w:val="single" w:sz="4" w:space="0" w:color="auto"/>
              <w:bottom w:val="single" w:sz="4" w:space="0" w:color="244062"/>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31" w:type="dxa"/>
            <w:tcBorders>
              <w:top w:val="single" w:sz="4" w:space="0" w:color="auto"/>
              <w:bottom w:val="single" w:sz="4" w:space="0" w:color="244062"/>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244062"/>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bl>
    <w:p w:rsidR="002E1156" w:rsidRPr="00BB33CC" w:rsidRDefault="00674BDD" w:rsidP="00776A41">
      <w:pPr>
        <w:pStyle w:val="A3L2"/>
        <w:numPr>
          <w:ilvl w:val="0"/>
          <w:numId w:val="0"/>
        </w:numPr>
        <w:ind w:left="792" w:hanging="792"/>
      </w:pPr>
      <w:bookmarkStart w:id="69" w:name="_Toc475468514"/>
      <w:bookmarkStart w:id="70" w:name="_Toc477515025"/>
      <w:bookmarkStart w:id="71" w:name="_Toc478774509"/>
      <w:r w:rsidRPr="00BB33CC">
        <w:t xml:space="preserve">3.3 </w:t>
      </w:r>
      <w:r w:rsidR="002E1156" w:rsidRPr="00BB33CC">
        <w:t>Matriz de asignación de activo y pasivo del balance de prueba (Nivel 0) a cuentas de capital empleado por naturaleza (Nivel 1)</w:t>
      </w:r>
      <w:bookmarkEnd w:id="69"/>
      <w:bookmarkEnd w:id="70"/>
      <w:bookmarkEnd w:id="71"/>
    </w:p>
    <w:p w:rsidR="002E1156" w:rsidRPr="00BB33CC" w:rsidRDefault="002E1156" w:rsidP="002B6C9A">
      <w:pPr>
        <w:pStyle w:val="Normalresolucion"/>
        <w:spacing w:after="0" w:line="276" w:lineRule="auto"/>
      </w:pPr>
      <w:r w:rsidRPr="00BB33CC">
        <w:t>Esta matriz deberá contener la asignación de cuentas de activo y pasivo del balance de prueba a cuentas de capital empleado de Nivel 1. Esta asignación se realizará de una forma directa, por lo tanto, cada cuenta de activo o pasivo del balance de prueba será asignada a una única cuenta de capital empleado.</w:t>
      </w:r>
    </w:p>
    <w:p w:rsidR="002E1156" w:rsidRPr="00BB33CC" w:rsidRDefault="002E1156" w:rsidP="002B6C9A">
      <w:pPr>
        <w:pStyle w:val="Normalresolucion"/>
        <w:spacing w:after="0" w:line="276" w:lineRule="auto"/>
        <w:rPr>
          <w:rtl/>
        </w:rPr>
      </w:pPr>
      <w:r w:rsidRPr="00BB33CC">
        <w:t xml:space="preserve">A continuación, se presenta el formato que deberá ser completado por los </w:t>
      </w:r>
      <w:r w:rsidR="008227BF" w:rsidRPr="00BB33CC">
        <w:rPr>
          <w:bCs/>
        </w:rPr>
        <w:t>concesionarios y/o autorizados</w:t>
      </w:r>
      <w:r w:rsidRPr="00BB33CC">
        <w:t xml:space="preserve"> para la entrega de esta información. Las categorías de capital empleado incluidas deben ser adaptadas al segmento aplicable al </w:t>
      </w:r>
      <w:r w:rsidR="008227BF" w:rsidRPr="00BB33CC">
        <w:rPr>
          <w:bCs/>
        </w:rPr>
        <w:t>concesionario y/o autorizado</w:t>
      </w:r>
      <w:r w:rsidRPr="00BB33CC">
        <w:t xml:space="preserve"> de acuerdo a la estructura mínima definida en el A</w:t>
      </w:r>
      <w:r w:rsidR="000725F3" w:rsidRPr="00BB33CC">
        <w:t>PARTADO</w:t>
      </w:r>
      <w:r w:rsidRPr="00BB33CC">
        <w:t xml:space="preserve"> </w:t>
      </w:r>
      <w:r w:rsidR="000725F3" w:rsidRPr="00BB33CC">
        <w:t>I</w:t>
      </w:r>
      <w:r w:rsidRPr="00BB33CC">
        <w:rPr>
          <w:rtl/>
        </w:rPr>
        <w:t>.</w:t>
      </w:r>
    </w:p>
    <w:p w:rsidR="002E1156" w:rsidRPr="00BB33CC" w:rsidRDefault="002E1156" w:rsidP="002E1156">
      <w:pPr>
        <w:pStyle w:val="Descripcin"/>
        <w:keepNext/>
        <w:keepLines/>
        <w:spacing w:after="240" w:line="240" w:lineRule="auto"/>
        <w:rPr>
          <w:lang w:val="es-MX"/>
        </w:rPr>
      </w:pPr>
      <w:r w:rsidRPr="00BB33CC">
        <w:rPr>
          <w:rFonts w:ascii="ITC Avant Garde" w:hAnsi="ITC Avant Garde"/>
          <w:iCs/>
          <w:sz w:val="20"/>
          <w:lang w:val="es-MX"/>
        </w:rPr>
        <w:lastRenderedPageBreak/>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7</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activos y pasivos del balance de prueba (Nivel 0) a cuentas de capital empleado (Nivel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7"/>
        <w:gridCol w:w="3479"/>
        <w:gridCol w:w="1086"/>
        <w:gridCol w:w="1086"/>
      </w:tblGrid>
      <w:tr w:rsidR="002E1156" w:rsidRPr="00BB33CC" w:rsidTr="00674BDD">
        <w:trPr>
          <w:trHeight w:val="340"/>
          <w:jc w:val="center"/>
        </w:trPr>
        <w:tc>
          <w:tcPr>
            <w:tcW w:w="3232"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Cuentas de activos y pasivos del balance de prueba (Nivel 0)</w:t>
            </w:r>
          </w:p>
        </w:tc>
        <w:tc>
          <w:tcPr>
            <w:tcW w:w="354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Cuentas de capital empleado (Nivel 1)</w:t>
            </w:r>
            <w:r w:rsidRPr="00BB33CC">
              <w:rPr>
                <w:rFonts w:ascii="ITC Avant Garde" w:eastAsia="Times New Roman" w:hAnsi="ITC Avant Garde" w:cs="Arial"/>
                <w:b/>
                <w:color w:val="FFFFFF" w:themeColor="background1"/>
                <w:sz w:val="20"/>
                <w:vertAlign w:val="superscript"/>
                <w:lang w:val="es-ES" w:eastAsia="es-ES"/>
              </w:rPr>
              <w:footnoteReference w:id="119"/>
            </w:r>
          </w:p>
        </w:tc>
        <w:tc>
          <w:tcPr>
            <w:tcW w:w="220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3232"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354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110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10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40"/>
          <w:jc w:val="center"/>
        </w:trPr>
        <w:tc>
          <w:tcPr>
            <w:tcW w:w="3232" w:type="dxa"/>
            <w:tcBorders>
              <w:top w:val="single" w:sz="4" w:space="0" w:color="244062"/>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activo 1</w:t>
            </w:r>
          </w:p>
        </w:tc>
        <w:tc>
          <w:tcPr>
            <w:tcW w:w="354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Efectivo y equivalentes</w:t>
            </w:r>
          </w:p>
        </w:tc>
        <w:tc>
          <w:tcPr>
            <w:tcW w:w="1103" w:type="dxa"/>
            <w:tcBorders>
              <w:top w:val="single" w:sz="4" w:space="0" w:color="244062"/>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top w:val="single" w:sz="4" w:space="0" w:color="244062"/>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40"/>
          <w:jc w:val="center"/>
        </w:trPr>
        <w:tc>
          <w:tcPr>
            <w:tcW w:w="3232"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activo 1</w:t>
            </w:r>
          </w:p>
        </w:tc>
        <w:tc>
          <w:tcPr>
            <w:tcW w:w="3540" w:type="dxa"/>
            <w:tcBorders>
              <w:left w:val="nil"/>
              <w:right w:val="nil"/>
            </w:tcBorders>
            <w:shd w:val="clear" w:color="auto" w:fill="E5E9EB"/>
            <w:noWrap/>
            <w:vAlign w:val="center"/>
            <w:hideMark/>
          </w:tcPr>
          <w:p w:rsidR="002E1156" w:rsidRPr="00BB33CC" w:rsidRDefault="002E1156" w:rsidP="00674BDD">
            <w:pPr>
              <w:keepNext/>
              <w:keepLines/>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Cuentas por cobrar</w:t>
            </w:r>
            <w:r w:rsidRPr="00BB33CC" w:rsidDel="00F8738C">
              <w:rPr>
                <w:rFonts w:ascii="ITC Avant Garde" w:eastAsia="Times New Roman" w:hAnsi="ITC Avant Garde" w:cs="Arial"/>
                <w:sz w:val="20"/>
                <w:lang w:val="es-ES" w:eastAsia="es-ES"/>
              </w:rPr>
              <w:t xml:space="preserve"> </w:t>
            </w:r>
          </w:p>
        </w:tc>
        <w:tc>
          <w:tcPr>
            <w:tcW w:w="1103"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40"/>
          <w:jc w:val="center"/>
        </w:trPr>
        <w:tc>
          <w:tcPr>
            <w:tcW w:w="3232"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activo 1</w:t>
            </w:r>
          </w:p>
        </w:tc>
        <w:tc>
          <w:tcPr>
            <w:tcW w:w="3540" w:type="dxa"/>
            <w:tcBorders>
              <w:left w:val="nil"/>
              <w:right w:val="nil"/>
            </w:tcBorders>
            <w:shd w:val="clear" w:color="auto" w:fill="E5E9EB"/>
            <w:noWrap/>
            <w:vAlign w:val="center"/>
            <w:hideMark/>
          </w:tcPr>
          <w:p w:rsidR="002E1156" w:rsidRPr="00BB33CC" w:rsidRDefault="002E1156" w:rsidP="00674BDD">
            <w:pPr>
              <w:keepNext/>
              <w:keepLines/>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103"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40"/>
          <w:jc w:val="center"/>
        </w:trPr>
        <w:tc>
          <w:tcPr>
            <w:tcW w:w="3232"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pasivo 2</w:t>
            </w:r>
          </w:p>
        </w:tc>
        <w:tc>
          <w:tcPr>
            <w:tcW w:w="3540" w:type="dxa"/>
            <w:tcBorders>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Deudas a proveedores (corto plazo)</w:t>
            </w:r>
          </w:p>
        </w:tc>
        <w:tc>
          <w:tcPr>
            <w:tcW w:w="1103"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s-ES" w:eastAsia="en-GB"/>
              </w:rPr>
            </w:pPr>
          </w:p>
        </w:tc>
      </w:tr>
      <w:tr w:rsidR="002E1156" w:rsidRPr="00BB33CC" w:rsidTr="00674BDD">
        <w:trPr>
          <w:trHeight w:val="340"/>
          <w:jc w:val="center"/>
        </w:trPr>
        <w:tc>
          <w:tcPr>
            <w:tcW w:w="3232"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pasivo 2</w:t>
            </w:r>
          </w:p>
        </w:tc>
        <w:tc>
          <w:tcPr>
            <w:tcW w:w="3540" w:type="dxa"/>
            <w:tcBorders>
              <w:left w:val="nil"/>
              <w:right w:val="nil"/>
            </w:tcBorders>
            <w:shd w:val="clear" w:color="auto" w:fill="E5E9E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Ingresos diferidos</w:t>
            </w:r>
          </w:p>
        </w:tc>
        <w:tc>
          <w:tcPr>
            <w:tcW w:w="1103"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40"/>
          <w:jc w:val="center"/>
        </w:trPr>
        <w:tc>
          <w:tcPr>
            <w:tcW w:w="3232"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pasivo 2</w:t>
            </w:r>
          </w:p>
        </w:tc>
        <w:tc>
          <w:tcPr>
            <w:tcW w:w="354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103"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40"/>
          <w:jc w:val="center"/>
        </w:trPr>
        <w:tc>
          <w:tcPr>
            <w:tcW w:w="3232"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54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103"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40"/>
          <w:jc w:val="center"/>
        </w:trPr>
        <w:tc>
          <w:tcPr>
            <w:tcW w:w="3232" w:type="dxa"/>
            <w:tcBorders>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 n</w:t>
            </w:r>
          </w:p>
        </w:tc>
        <w:tc>
          <w:tcPr>
            <w:tcW w:w="3540" w:type="dxa"/>
            <w:tcBorders>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103" w:type="dxa"/>
            <w:tcBorders>
              <w:left w:val="nil"/>
              <w:bottom w:val="single" w:sz="4" w:space="0" w:color="244062"/>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103" w:type="dxa"/>
            <w:tcBorders>
              <w:left w:val="nil"/>
              <w:bottom w:val="single" w:sz="4" w:space="0" w:color="244062"/>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bl>
    <w:p w:rsidR="002E1156" w:rsidRPr="00BB33CC" w:rsidRDefault="00674BDD" w:rsidP="00776A41">
      <w:pPr>
        <w:pStyle w:val="A3L2"/>
        <w:numPr>
          <w:ilvl w:val="0"/>
          <w:numId w:val="0"/>
        </w:numPr>
        <w:ind w:left="792" w:hanging="792"/>
      </w:pPr>
      <w:bookmarkStart w:id="72" w:name="_Toc475468515"/>
      <w:bookmarkStart w:id="73" w:name="_Toc477515026"/>
      <w:bookmarkStart w:id="74" w:name="_Toc478774510"/>
      <w:r w:rsidRPr="00BB33CC">
        <w:t xml:space="preserve">3.4 </w:t>
      </w:r>
      <w:r w:rsidR="002E1156" w:rsidRPr="00BB33CC">
        <w:t>Matriz de asignación de costos por naturaleza (Nivel 1) a costos por actividades y elementos de red (Nivel 2)</w:t>
      </w:r>
      <w:bookmarkEnd w:id="72"/>
      <w:bookmarkEnd w:id="73"/>
      <w:bookmarkEnd w:id="74"/>
    </w:p>
    <w:p w:rsidR="002E1156" w:rsidRPr="00BB33CC" w:rsidRDefault="002E1156" w:rsidP="002B6C9A">
      <w:pPr>
        <w:pStyle w:val="Normalresolucion"/>
        <w:spacing w:after="0" w:line="276" w:lineRule="auto"/>
      </w:pPr>
      <w:r w:rsidRPr="00BB33CC">
        <w:t>Esta matriz deberá contener la asignación de cuentas de costos por naturaleza a cuentas de costos por actividades y elementos de red de Nivel 2.</w:t>
      </w:r>
    </w:p>
    <w:p w:rsidR="002E1156" w:rsidRPr="00BB33CC" w:rsidRDefault="002E1156" w:rsidP="002B6C9A">
      <w:pPr>
        <w:pStyle w:val="Normalresolucion"/>
        <w:spacing w:after="0" w:line="276" w:lineRule="auto"/>
        <w:rPr>
          <w:rtl/>
        </w:rPr>
      </w:pPr>
      <w:r w:rsidRPr="00BB33CC">
        <w:t xml:space="preserve">A continuación, se presenta el formato que deberá ser completado por los </w:t>
      </w:r>
      <w:r w:rsidR="005B4A65" w:rsidRPr="00BB33CC">
        <w:t>concesionarios y/o autorizado</w:t>
      </w:r>
      <w:r w:rsidRPr="00BB33CC">
        <w:t xml:space="preserve">s para la entrega de esta información. Las cuentas incluidas deben ser adaptadas al segmento aplicable al </w:t>
      </w:r>
      <w:r w:rsidR="00082B86" w:rsidRPr="00BB33CC">
        <w:rPr>
          <w:bCs/>
        </w:rPr>
        <w:t>concesionario y/o autorizado</w:t>
      </w:r>
      <w:r w:rsidRPr="00BB33CC">
        <w:t xml:space="preserve"> de acuerdo a la estructura mínima definida en el A</w:t>
      </w:r>
      <w:r w:rsidR="00C76337" w:rsidRPr="00BB33CC">
        <w:t>PARTADO I</w:t>
      </w:r>
      <w:r w:rsidRPr="00BB33CC">
        <w:rPr>
          <w:rtl/>
        </w:rPr>
        <w:t>.</w:t>
      </w: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Descripcin"/>
        <w:keepNext/>
        <w:keepLines/>
        <w:spacing w:after="240" w:line="240" w:lineRule="auto"/>
        <w:rPr>
          <w:lang w:val="es-MX"/>
        </w:rPr>
      </w:pPr>
      <w:r w:rsidRPr="00BB33CC">
        <w:rPr>
          <w:rFonts w:ascii="ITC Avant Garde" w:hAnsi="ITC Avant Garde"/>
          <w:iCs/>
          <w:sz w:val="20"/>
          <w:lang w:val="es-MX"/>
        </w:rPr>
        <w:lastRenderedPageBreak/>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8</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costos por naturaleza (Nivel 1) a cuentas de costos por actividades y elementos de red (Nivel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39"/>
        <w:gridCol w:w="3244"/>
        <w:gridCol w:w="1322"/>
        <w:gridCol w:w="1323"/>
      </w:tblGrid>
      <w:tr w:rsidR="002E1156" w:rsidRPr="00BB33CC" w:rsidTr="00674BDD">
        <w:trPr>
          <w:trHeight w:val="340"/>
          <w:tblHeader/>
          <w:jc w:val="center"/>
        </w:trPr>
        <w:tc>
          <w:tcPr>
            <w:tcW w:w="2991"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Cuentas de costos por naturaleza (Nivel 1)</w:t>
            </w:r>
            <w:r w:rsidRPr="00BB33CC">
              <w:rPr>
                <w:rStyle w:val="Refdenotaalpie"/>
                <w:rFonts w:ascii="ITC Avant Garde" w:eastAsia="Times New Roman" w:hAnsi="ITC Avant Garde" w:cs="Arial"/>
                <w:b/>
                <w:color w:val="FFFFFF" w:themeColor="background1"/>
                <w:sz w:val="20"/>
                <w:lang w:val="es-ES" w:eastAsia="es-ES"/>
              </w:rPr>
              <w:footnoteReference w:id="120"/>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Cuentas de costos por actividades y elementos de red (Nivel 2)</w:t>
            </w:r>
            <w:r w:rsidRPr="00BB33CC">
              <w:rPr>
                <w:rFonts w:ascii="ITC Avant Garde" w:eastAsia="Times New Roman" w:hAnsi="ITC Avant Garde" w:cs="Arial"/>
                <w:b/>
                <w:color w:val="FFFFFF" w:themeColor="background1"/>
                <w:sz w:val="20"/>
                <w:vertAlign w:val="superscript"/>
                <w:lang w:val="es-ES" w:eastAsia="es-ES"/>
              </w:rPr>
              <w:footnoteReference w:id="121"/>
            </w:r>
          </w:p>
        </w:tc>
        <w:tc>
          <w:tcPr>
            <w:tcW w:w="2687"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tblHeader/>
          <w:jc w:val="center"/>
        </w:trPr>
        <w:tc>
          <w:tcPr>
            <w:tcW w:w="2991"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44"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00"/>
          <w:jc w:val="center"/>
        </w:trPr>
        <w:tc>
          <w:tcPr>
            <w:tcW w:w="2991" w:type="dxa"/>
            <w:tcBorders>
              <w:top w:val="single" w:sz="4" w:space="0" w:color="244062"/>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Tránsito de Internet</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Tránsito de Internet</w:t>
            </w:r>
          </w:p>
        </w:tc>
        <w:tc>
          <w:tcPr>
            <w:tcW w:w="1343" w:type="dxa"/>
            <w:tcBorders>
              <w:top w:val="single" w:sz="4" w:space="0" w:color="244062"/>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top w:val="single" w:sz="4" w:space="0" w:color="244062"/>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Tránsito de Internet</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Tránsito de Internet</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Personal</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generales y de gestión</w:t>
            </w:r>
            <w:r w:rsidRPr="00BB33CC">
              <w:rPr>
                <w:rFonts w:ascii="ITC Avant Garde" w:eastAsia="Times New Roman" w:hAnsi="ITC Avant Garde" w:cs="Arial"/>
                <w:sz w:val="20"/>
                <w:lang w:val="es-ES" w:eastAsia="es-ES"/>
              </w:rPr>
              <w:br/>
              <w:t>– minoristas</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Personal</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generales y de gestión</w:t>
            </w:r>
            <w:r w:rsidRPr="00BB33CC">
              <w:rPr>
                <w:rFonts w:ascii="ITC Avant Garde" w:eastAsia="Times New Roman" w:hAnsi="ITC Avant Garde" w:cs="Arial"/>
                <w:sz w:val="20"/>
                <w:lang w:val="es-ES" w:eastAsia="es-ES"/>
              </w:rPr>
              <w:br/>
              <w:t>– red</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Personal</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Infraestructura de radio bases de acceso</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Espacio en torres</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de acceso 2G</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de acceso 3G</w:t>
            </w:r>
          </w:p>
        </w:tc>
        <w:tc>
          <w:tcPr>
            <w:tcW w:w="1343"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1" w:type="dxa"/>
            <w:tcBorders>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3"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p>
        </w:tc>
      </w:tr>
    </w:tbl>
    <w:p w:rsidR="002E1156" w:rsidRPr="00BB33CC" w:rsidRDefault="00674BDD" w:rsidP="00776A41">
      <w:pPr>
        <w:pStyle w:val="A3L2"/>
        <w:numPr>
          <w:ilvl w:val="0"/>
          <w:numId w:val="0"/>
        </w:numPr>
        <w:ind w:left="792" w:hanging="792"/>
      </w:pPr>
      <w:bookmarkStart w:id="75" w:name="_Toc475468516"/>
      <w:bookmarkStart w:id="76" w:name="_Toc477515027"/>
      <w:bookmarkStart w:id="77" w:name="_Toc478774511"/>
      <w:r w:rsidRPr="00BB33CC">
        <w:t xml:space="preserve">3.5 </w:t>
      </w:r>
      <w:r w:rsidR="002E1156" w:rsidRPr="00BB33CC">
        <w:t>Matriz de asignación de capital empleado por naturaleza (Nivel 1) a capital empleado por actividades y elementos de red (Nivel 2)</w:t>
      </w:r>
      <w:bookmarkEnd w:id="75"/>
      <w:bookmarkEnd w:id="76"/>
      <w:bookmarkEnd w:id="77"/>
    </w:p>
    <w:p w:rsidR="002E1156" w:rsidRPr="00BB33CC" w:rsidRDefault="002E1156" w:rsidP="002B6C9A">
      <w:pPr>
        <w:pStyle w:val="Normalresolucion"/>
        <w:spacing w:after="0" w:line="276" w:lineRule="auto"/>
      </w:pPr>
      <w:r w:rsidRPr="00BB33CC">
        <w:t>Esta matriz deberá contener la asignación de cuentas de capital empleado por naturaleza a cuentas de capital empleado por actividades y elementos de red de Nivel 2.</w:t>
      </w:r>
    </w:p>
    <w:p w:rsidR="002E1156" w:rsidRPr="00BB33CC" w:rsidRDefault="002E1156" w:rsidP="002B6C9A">
      <w:pPr>
        <w:pStyle w:val="Normalresolucion"/>
        <w:spacing w:after="0" w:line="276" w:lineRule="auto"/>
        <w:rPr>
          <w:rtl/>
        </w:rPr>
      </w:pPr>
      <w:r w:rsidRPr="00BB33CC">
        <w:t>A continuación, se presenta el formato que deberá ser completado por los concesionarios</w:t>
      </w:r>
      <w:r w:rsidR="005B4A65" w:rsidRPr="00BB33CC">
        <w:t xml:space="preserve"> y/o autorizados</w:t>
      </w:r>
      <w:r w:rsidRPr="00BB33CC">
        <w:t xml:space="preserve"> para la entrega de esta información. Las cuentas incluidas deben ser adaptadas al segmento aplicable al </w:t>
      </w:r>
      <w:r w:rsidR="00082B86" w:rsidRPr="00BB33CC">
        <w:rPr>
          <w:bCs/>
        </w:rPr>
        <w:t>concesionario</w:t>
      </w:r>
      <w:r w:rsidR="0013259E" w:rsidRPr="00BB33CC">
        <w:rPr>
          <w:bCs/>
        </w:rPr>
        <w:t xml:space="preserve"> </w:t>
      </w:r>
      <w:r w:rsidR="00082B86" w:rsidRPr="00BB33CC">
        <w:rPr>
          <w:bCs/>
        </w:rPr>
        <w:t>y/o autorizado</w:t>
      </w:r>
      <w:r w:rsidRPr="00BB33CC">
        <w:t xml:space="preserve"> de acuerdo a la estructura mínima definida en el A</w:t>
      </w:r>
      <w:r w:rsidR="00C76337" w:rsidRPr="00BB33CC">
        <w:t>PARTADO I</w:t>
      </w:r>
      <w:r w:rsidRPr="00BB33CC">
        <w:rPr>
          <w:rtl/>
        </w:rPr>
        <w:t>.</w:t>
      </w:r>
    </w:p>
    <w:p w:rsidR="002E1156" w:rsidRPr="00BB33CC" w:rsidRDefault="002E1156" w:rsidP="002E1156">
      <w:pPr>
        <w:pStyle w:val="Descripcin"/>
        <w:spacing w:after="240" w:line="240" w:lineRule="auto"/>
        <w:rPr>
          <w:rFonts w:ascii="ITC Avant Garde" w:hAnsi="ITC Avant Garde"/>
          <w:iCs/>
          <w:sz w:val="20"/>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9</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capital empleado (Nivel 1) a cuentas de costos por actividades y elementos de red (Nivel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2E1156" w:rsidRPr="00BB33CC" w:rsidTr="00674BDD">
        <w:trPr>
          <w:trHeight w:val="340"/>
          <w:tblHeader/>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lastRenderedPageBreak/>
              <w:t>Cuentas de capital empleado por naturaleza (Nivel 1)</w:t>
            </w:r>
            <w:r w:rsidRPr="00BB33CC">
              <w:rPr>
                <w:rFonts w:ascii="ITC Avant Garde" w:eastAsia="Times New Roman" w:hAnsi="ITC Avant Garde" w:cs="Arial"/>
                <w:b/>
                <w:color w:val="FFFFFF" w:themeColor="background1"/>
                <w:sz w:val="20"/>
                <w:vertAlign w:val="superscript"/>
                <w:lang w:val="es-ES" w:eastAsia="es-ES"/>
              </w:rPr>
              <w:footnoteReference w:id="122"/>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Cuentas de capital empleado por actividades y elementos de red (Nivel 2)</w:t>
            </w:r>
            <w:r w:rsidRPr="00BB33CC">
              <w:rPr>
                <w:rFonts w:ascii="ITC Avant Garde" w:eastAsia="Times New Roman" w:hAnsi="ITC Avant Garde" w:cs="Arial"/>
                <w:b/>
                <w:color w:val="FFFFFF" w:themeColor="background1"/>
                <w:sz w:val="20"/>
                <w:vertAlign w:val="superscript"/>
                <w:lang w:val="es-ES" w:eastAsia="es-ES"/>
              </w:rPr>
              <w:footnoteReference w:id="123"/>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tblHeader/>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00"/>
          <w:jc w:val="center"/>
        </w:trPr>
        <w:tc>
          <w:tcPr>
            <w:tcW w:w="2993" w:type="dxa"/>
            <w:tcBorders>
              <w:top w:val="single" w:sz="4" w:space="0" w:color="244062"/>
              <w:left w:val="nil"/>
              <w:right w:val="nil"/>
            </w:tcBorders>
            <w:shd w:val="clear" w:color="auto" w:fill="D0D1DB"/>
            <w:noWrap/>
            <w:vAlign w:val="center"/>
          </w:tcPr>
          <w:p w:rsidR="002E1156" w:rsidRPr="00BB33CC" w:rsidRDefault="002E1156" w:rsidP="00674BDD">
            <w:pPr>
              <w:keepNext/>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Infraestructura de radio bases de acceso</w:t>
            </w:r>
          </w:p>
        </w:tc>
        <w:tc>
          <w:tcPr>
            <w:tcW w:w="3300" w:type="dxa"/>
            <w:tcBorders>
              <w:top w:val="single" w:sz="4" w:space="0" w:color="244062"/>
              <w:left w:val="nil"/>
              <w:right w:val="nil"/>
            </w:tcBorders>
            <w:shd w:val="clear" w:color="auto" w:fill="E5E9EB"/>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Espacio en torres</w:t>
            </w:r>
          </w:p>
        </w:tc>
        <w:tc>
          <w:tcPr>
            <w:tcW w:w="1342" w:type="dxa"/>
            <w:tcBorders>
              <w:top w:val="single" w:sz="4" w:space="0" w:color="244062"/>
              <w:left w:val="nil"/>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3" w:type="dxa"/>
            <w:tcBorders>
              <w:left w:val="nil"/>
              <w:right w:val="nil"/>
            </w:tcBorders>
            <w:shd w:val="clear" w:color="auto" w:fill="D0D1DB"/>
            <w:noWrap/>
            <w:vAlign w:val="center"/>
          </w:tcPr>
          <w:p w:rsidR="002E1156" w:rsidRPr="00BB33CC" w:rsidRDefault="002E1156" w:rsidP="00674BDD">
            <w:pPr>
              <w:keepNext/>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de acceso 2G</w:t>
            </w:r>
          </w:p>
        </w:tc>
        <w:tc>
          <w:tcPr>
            <w:tcW w:w="1342" w:type="dxa"/>
            <w:tcBorders>
              <w:left w:val="nil"/>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3" w:type="dxa"/>
            <w:tcBorders>
              <w:left w:val="nil"/>
              <w:right w:val="nil"/>
            </w:tcBorders>
            <w:shd w:val="clear" w:color="auto" w:fill="D0D1DB"/>
            <w:noWrap/>
            <w:vAlign w:val="center"/>
          </w:tcPr>
          <w:p w:rsidR="002E1156" w:rsidRPr="00BB33CC" w:rsidRDefault="002E1156" w:rsidP="00674BDD">
            <w:pPr>
              <w:keepNext/>
              <w:spacing w:before="40" w:after="6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Equipos de acceso 3G</w:t>
            </w:r>
          </w:p>
        </w:tc>
        <w:tc>
          <w:tcPr>
            <w:tcW w:w="1342" w:type="dxa"/>
            <w:tcBorders>
              <w:left w:val="nil"/>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2993" w:type="dxa"/>
            <w:tcBorders>
              <w:left w:val="nil"/>
              <w:bottom w:val="single" w:sz="4" w:space="0" w:color="244062"/>
              <w:right w:val="nil"/>
            </w:tcBorders>
            <w:shd w:val="clear" w:color="auto" w:fill="D0D1DB"/>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c>
          <w:tcPr>
            <w:tcW w:w="1342" w:type="dxa"/>
            <w:tcBorders>
              <w:left w:val="nil"/>
              <w:bottom w:val="single" w:sz="4" w:space="0" w:color="244062"/>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p>
        </w:tc>
      </w:tr>
    </w:tbl>
    <w:p w:rsidR="002E1156" w:rsidRPr="00BB33CC" w:rsidRDefault="00674BDD" w:rsidP="00776A41">
      <w:pPr>
        <w:pStyle w:val="A3L2"/>
        <w:numPr>
          <w:ilvl w:val="0"/>
          <w:numId w:val="0"/>
        </w:numPr>
        <w:ind w:left="792" w:hanging="792"/>
      </w:pPr>
      <w:bookmarkStart w:id="78" w:name="_Toc475468517"/>
      <w:bookmarkStart w:id="79" w:name="_Toc477515028"/>
      <w:bookmarkStart w:id="80" w:name="_Toc478774512"/>
      <w:r w:rsidRPr="00BB33CC">
        <w:t xml:space="preserve">3.6 </w:t>
      </w:r>
      <w:r w:rsidR="002E1156" w:rsidRPr="00BB33CC">
        <w:t>Matriz de asignación de ingresos por naturaleza (Nivel 1) a servicios (Nivel 3)</w:t>
      </w:r>
      <w:bookmarkEnd w:id="78"/>
      <w:bookmarkEnd w:id="79"/>
      <w:bookmarkEnd w:id="80"/>
    </w:p>
    <w:p w:rsidR="002E1156" w:rsidRPr="00BB33CC" w:rsidRDefault="002E1156" w:rsidP="002B6C9A">
      <w:pPr>
        <w:pStyle w:val="Normalresolucion"/>
        <w:spacing w:after="0" w:line="276" w:lineRule="auto"/>
      </w:pPr>
      <w:r w:rsidRPr="00BB33CC">
        <w:t>Esta matriz deberá contener la asignación de cuentas de ingresos por naturaleza a cuentas de servicios de Nivel 3. Nótese que el importe asignado a servicios debe corresponder al rubro de ingresos totales registrado en el balance de prueba.</w:t>
      </w:r>
    </w:p>
    <w:p w:rsidR="002E1156" w:rsidRPr="00BB33CC" w:rsidRDefault="002E1156" w:rsidP="002B6C9A">
      <w:pPr>
        <w:pStyle w:val="Normalresolucion"/>
        <w:spacing w:after="0" w:line="276" w:lineRule="auto"/>
        <w:rPr>
          <w:rtl/>
        </w:rPr>
      </w:pPr>
      <w:r w:rsidRPr="00BB33CC">
        <w:t>A continuación, se presenta el formato que deberá ser completado por los concesionarios</w:t>
      </w:r>
      <w:r w:rsidR="00D40744" w:rsidRPr="00BB33CC">
        <w:t xml:space="preserve"> y/o autorizados</w:t>
      </w:r>
      <w:r w:rsidRPr="00BB33CC">
        <w:t xml:space="preserve"> para la entrega de esta información. Las cuentas incluidas deben ser adaptadas al segmento aplicable al </w:t>
      </w:r>
      <w:r w:rsidR="00082B86" w:rsidRPr="00BB33CC">
        <w:rPr>
          <w:bCs/>
        </w:rPr>
        <w:t>concesionario y/o autorizado</w:t>
      </w:r>
      <w:r w:rsidRPr="00BB33CC">
        <w:t xml:space="preserve"> de acuerdo a la estructura mínima definida en el A</w:t>
      </w:r>
      <w:r w:rsidR="00C15304" w:rsidRPr="00BB33CC">
        <w:t>PARTADO</w:t>
      </w:r>
      <w:r w:rsidRPr="00BB33CC">
        <w:t xml:space="preserve"> </w:t>
      </w:r>
      <w:r w:rsidR="00C15304" w:rsidRPr="00BB33CC">
        <w:t>I</w:t>
      </w:r>
      <w:r w:rsidRPr="00BB33CC">
        <w:rPr>
          <w:rtl/>
        </w:rPr>
        <w:t>.</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10</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ingresos por naturaleza (Nivel 2) a cuentas de servicios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2E1156" w:rsidRPr="00BB33CC" w:rsidTr="00674BDD">
        <w:trPr>
          <w:trHeight w:val="340"/>
          <w:jc w:val="center"/>
        </w:trPr>
        <w:tc>
          <w:tcPr>
            <w:tcW w:w="2941"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Cuentas de ingresos por naturaleza (Nivel 1)</w:t>
            </w:r>
            <w:r w:rsidRPr="00BB33CC">
              <w:rPr>
                <w:rStyle w:val="Refdenotaalpie"/>
                <w:rFonts w:ascii="ITC Avant Garde" w:eastAsia="Times New Roman" w:hAnsi="ITC Avant Garde" w:cs="Arial"/>
                <w:b/>
                <w:color w:val="FFFFFF" w:themeColor="background1"/>
                <w:sz w:val="20"/>
                <w:lang w:val="es-ES" w:eastAsia="es-ES"/>
              </w:rPr>
              <w:footnoteReference w:id="124"/>
            </w:r>
          </w:p>
        </w:tc>
        <w:tc>
          <w:tcPr>
            <w:tcW w:w="3244"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 xml:space="preserve">Cuentas de servicios </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(Nivel 3)</w:t>
            </w:r>
            <w:r w:rsidRPr="00BB33CC">
              <w:rPr>
                <w:rStyle w:val="Refdenotaalpie"/>
                <w:rFonts w:ascii="ITC Avant Garde" w:eastAsia="Times New Roman" w:hAnsi="ITC Avant Garde" w:cs="Arial"/>
                <w:b/>
                <w:color w:val="FFFFFF" w:themeColor="background1"/>
                <w:sz w:val="20"/>
                <w:lang w:val="es-ES" w:eastAsia="es-ES"/>
              </w:rPr>
              <w:footnoteReference w:id="125"/>
            </w:r>
          </w:p>
        </w:tc>
        <w:tc>
          <w:tcPr>
            <w:tcW w:w="264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2941"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spacing w:after="0"/>
              <w:rPr>
                <w:rFonts w:ascii="ITC Avant Garde" w:eastAsia="Times New Roman" w:hAnsi="ITC Avant Garde" w:cs="Arial"/>
                <w:b/>
                <w:color w:val="FFFFFF" w:themeColor="background1"/>
                <w:sz w:val="20"/>
                <w:lang w:val="es-ES" w:eastAsia="es-ES"/>
              </w:rPr>
            </w:pPr>
          </w:p>
        </w:tc>
        <w:tc>
          <w:tcPr>
            <w:tcW w:w="3244"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spacing w:after="0"/>
              <w:rPr>
                <w:rFonts w:ascii="ITC Avant Garde" w:eastAsia="Times New Roman" w:hAnsi="ITC Avant Garde" w:cs="Arial"/>
                <w:b/>
                <w:color w:val="FFFFFF" w:themeColor="background1"/>
                <w:sz w:val="20"/>
                <w:lang w:val="es-ES" w:eastAsia="es-ES"/>
              </w:rPr>
            </w:pPr>
          </w:p>
        </w:tc>
        <w:tc>
          <w:tcPr>
            <w:tcW w:w="132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2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40"/>
          <w:jc w:val="center"/>
        </w:trPr>
        <w:tc>
          <w:tcPr>
            <w:tcW w:w="2941" w:type="dxa"/>
            <w:tcBorders>
              <w:top w:val="single" w:sz="4" w:space="0" w:color="244062"/>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recurrente por el servicio de telefonía fija</w:t>
            </w:r>
          </w:p>
        </w:tc>
        <w:tc>
          <w:tcPr>
            <w:tcW w:w="3244" w:type="dxa"/>
            <w:tcBorders>
              <w:top w:val="single" w:sz="4" w:space="0" w:color="244062"/>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básica por línea</w:t>
            </w:r>
          </w:p>
        </w:tc>
        <w:tc>
          <w:tcPr>
            <w:tcW w:w="1321" w:type="dxa"/>
            <w:tcBorders>
              <w:top w:val="single" w:sz="4" w:space="0" w:color="244062"/>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c>
          <w:tcPr>
            <w:tcW w:w="1322" w:type="dxa"/>
            <w:tcBorders>
              <w:top w:val="single" w:sz="4" w:space="0" w:color="244062"/>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41"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recurrente por el servicio de telefonía fija</w:t>
            </w:r>
          </w:p>
        </w:tc>
        <w:tc>
          <w:tcPr>
            <w:tcW w:w="3244"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fijo dentro de la red</w:t>
            </w:r>
          </w:p>
        </w:tc>
        <w:tc>
          <w:tcPr>
            <w:tcW w:w="1321"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41"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recurrente por el servicio de telefonía fija</w:t>
            </w:r>
          </w:p>
        </w:tc>
        <w:tc>
          <w:tcPr>
            <w:tcW w:w="3244"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21"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41"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 recurrente por el servicio de acceso a Internet fijo</w:t>
            </w:r>
          </w:p>
        </w:tc>
        <w:tc>
          <w:tcPr>
            <w:tcW w:w="3244"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básica por línea</w:t>
            </w:r>
          </w:p>
        </w:tc>
        <w:tc>
          <w:tcPr>
            <w:tcW w:w="1321"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41" w:type="dxa"/>
            <w:tcBorders>
              <w:left w:val="nil"/>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lastRenderedPageBreak/>
              <w:t>Pago recurrente por el servicio de acceso a Internet fijo</w:t>
            </w:r>
          </w:p>
        </w:tc>
        <w:tc>
          <w:tcPr>
            <w:tcW w:w="3244" w:type="dxa"/>
            <w:tcBorders>
              <w:left w:val="nil"/>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Datos (Acceso a Internet de banda ancha) residencial</w:t>
            </w:r>
          </w:p>
        </w:tc>
        <w:tc>
          <w:tcPr>
            <w:tcW w:w="1321"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41" w:type="dxa"/>
            <w:tcBorders>
              <w:left w:val="nil"/>
              <w:bottom w:val="single" w:sz="4" w:space="0" w:color="244062"/>
              <w:right w:val="nil"/>
            </w:tcBorders>
            <w:shd w:val="clear" w:color="auto" w:fill="D0D1D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244" w:type="dxa"/>
            <w:tcBorders>
              <w:left w:val="nil"/>
              <w:bottom w:val="single" w:sz="4" w:space="0" w:color="244062"/>
              <w:right w:val="nil"/>
            </w:tcBorders>
            <w:shd w:val="clear" w:color="auto" w:fill="E5E9EB"/>
            <w:noWrap/>
            <w:vAlign w:val="center"/>
            <w:hideMark/>
          </w:tcPr>
          <w:p w:rsidR="002E1156" w:rsidRPr="00BB33CC" w:rsidRDefault="002E1156" w:rsidP="00674BDD">
            <w:pPr>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21" w:type="dxa"/>
            <w:tcBorders>
              <w:left w:val="nil"/>
              <w:bottom w:val="single" w:sz="4" w:space="0" w:color="244062"/>
              <w:right w:val="nil"/>
            </w:tcBorders>
            <w:noWrap/>
            <w:vAlign w:val="center"/>
          </w:tcPr>
          <w:p w:rsidR="002E1156" w:rsidRPr="00BB33CC" w:rsidRDefault="002E1156" w:rsidP="00674BDD">
            <w:pPr>
              <w:spacing w:before="40" w:after="40" w:line="240" w:lineRule="auto"/>
              <w:jc w:val="center"/>
              <w:rPr>
                <w:rFonts w:ascii="ITC Avant Garde" w:eastAsia="Times New Roman" w:hAnsi="ITC Avant Garde" w:cs="Arial"/>
                <w:sz w:val="20"/>
                <w:lang w:val="es-ES" w:eastAsia="es-ES"/>
              </w:rPr>
            </w:pPr>
          </w:p>
        </w:tc>
        <w:tc>
          <w:tcPr>
            <w:tcW w:w="1322" w:type="dxa"/>
            <w:tcBorders>
              <w:left w:val="nil"/>
              <w:bottom w:val="single" w:sz="4" w:space="0" w:color="244062"/>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2"/>
        <w:keepNext/>
        <w:keepLines/>
        <w:numPr>
          <w:ilvl w:val="0"/>
          <w:numId w:val="0"/>
        </w:numPr>
        <w:ind w:left="792" w:hanging="792"/>
      </w:pPr>
      <w:bookmarkStart w:id="81" w:name="_Toc475468518"/>
      <w:bookmarkStart w:id="82" w:name="_Toc477515029"/>
      <w:bookmarkStart w:id="83" w:name="_Toc478774513"/>
      <w:r w:rsidRPr="00BB33CC">
        <w:t xml:space="preserve">3.7 </w:t>
      </w:r>
      <w:r w:rsidR="002E1156" w:rsidRPr="00BB33CC">
        <w:t>Matriz de asignación de costos por actividades y elementos de red (Nivel 2) a servicios minoristas (Nivel 3)</w:t>
      </w:r>
      <w:bookmarkEnd w:id="81"/>
      <w:bookmarkEnd w:id="82"/>
      <w:bookmarkEnd w:id="83"/>
    </w:p>
    <w:p w:rsidR="002E1156" w:rsidRPr="00BB33CC" w:rsidRDefault="002E1156" w:rsidP="002B6C9A">
      <w:pPr>
        <w:pStyle w:val="Normalresolucion"/>
        <w:keepNext/>
        <w:keepLines/>
        <w:spacing w:after="0" w:line="276" w:lineRule="auto"/>
      </w:pPr>
      <w:r w:rsidRPr="00BB33CC">
        <w:t>Esta matriz deberá contener la asignación de cuentas de costos por actividades y elementos de red a cuentas de servicios minoristas de Nivel 3.</w:t>
      </w:r>
    </w:p>
    <w:p w:rsidR="002E1156" w:rsidRPr="00BB33CC" w:rsidRDefault="002E1156" w:rsidP="002B6C9A">
      <w:pPr>
        <w:pStyle w:val="Normalresolucion"/>
        <w:spacing w:after="0" w:line="276" w:lineRule="auto"/>
        <w:rPr>
          <w:rtl/>
        </w:rPr>
      </w:pPr>
      <w:r w:rsidRPr="00BB33CC">
        <w:t xml:space="preserve">A continuación, se presenta el formato que deberá ser completado por los </w:t>
      </w:r>
      <w:r w:rsidR="005B4A65" w:rsidRPr="00BB33CC">
        <w:t>concesionarios y/o autorizado</w:t>
      </w:r>
      <w:r w:rsidRPr="00BB33CC">
        <w:t xml:space="preserve">s para la entrega de esta información. Las cuentas incluidas deben ser adaptadas al segmento aplicable al </w:t>
      </w:r>
      <w:r w:rsidR="00082B86" w:rsidRPr="00BB33CC">
        <w:rPr>
          <w:bCs/>
        </w:rPr>
        <w:t>concesionario y/o autorizado</w:t>
      </w:r>
      <w:r w:rsidRPr="00BB33CC">
        <w:t xml:space="preserve"> de acuerdo a la estructura mínima definida en el A</w:t>
      </w:r>
      <w:r w:rsidR="00874862" w:rsidRPr="00BB33CC">
        <w:t>PARTADO I</w:t>
      </w:r>
      <w:r w:rsidRPr="00BB33CC">
        <w:rPr>
          <w:rtl/>
        </w:rPr>
        <w:t>.</w:t>
      </w:r>
    </w:p>
    <w:p w:rsidR="002E1156" w:rsidRPr="00BB33CC" w:rsidRDefault="002E1156" w:rsidP="002E1156">
      <w:pPr>
        <w:pStyle w:val="Descripcin"/>
        <w:spacing w:after="240" w:line="240" w:lineRule="auto"/>
        <w:rPr>
          <w:rFonts w:ascii="ITC Avant Garde" w:hAnsi="ITC Avant Garde"/>
          <w:iCs/>
          <w:sz w:val="20"/>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11</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costos por actividades y elementos de red (Nivel 2) a cuentas de servicios minoristas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2E1156" w:rsidRPr="00BB33CC" w:rsidTr="00674BD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Costos por actividad y elementos de red</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(Nivel 2)</w:t>
            </w:r>
            <w:r w:rsidRPr="00BB33CC">
              <w:rPr>
                <w:rStyle w:val="Refdenotaalpie"/>
                <w:rFonts w:ascii="ITC Avant Garde" w:eastAsia="Times New Roman" w:hAnsi="ITC Avant Garde" w:cs="Arial"/>
                <w:b/>
                <w:color w:val="FFFFFF" w:themeColor="background1"/>
                <w:sz w:val="20"/>
                <w:lang w:val="es-ES" w:eastAsia="es-ES"/>
              </w:rPr>
              <w:footnoteReference w:id="126"/>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 minoristas</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(Nivel 3)</w:t>
            </w:r>
            <w:r w:rsidRPr="00BB33CC">
              <w:rPr>
                <w:rFonts w:ascii="ITC Avant Garde" w:eastAsia="Times New Roman" w:hAnsi="ITC Avant Garde" w:cs="Arial"/>
                <w:b/>
                <w:color w:val="FFFFFF" w:themeColor="background1"/>
                <w:sz w:val="20"/>
                <w:vertAlign w:val="superscript"/>
                <w:lang w:val="es-ES" w:eastAsia="es-ES"/>
              </w:rPr>
              <w:footnoteReference w:id="127"/>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40"/>
          <w:jc w:val="center"/>
        </w:trPr>
        <w:tc>
          <w:tcPr>
            <w:tcW w:w="2993" w:type="dxa"/>
            <w:tcBorders>
              <w:top w:val="single" w:sz="4" w:space="0" w:color="244062"/>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Instalación de línea</w:t>
            </w:r>
          </w:p>
        </w:tc>
        <w:tc>
          <w:tcPr>
            <w:tcW w:w="1342" w:type="dxa"/>
            <w:tcBorders>
              <w:top w:val="single" w:sz="4" w:space="0" w:color="244062"/>
              <w:left w:val="nil"/>
              <w:right w:val="nil"/>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rsidR="002E1156" w:rsidRPr="00BB33CC" w:rsidRDefault="002E1156" w:rsidP="00674BDD">
            <w:pPr>
              <w:keepNext/>
              <w:spacing w:after="0"/>
              <w:rPr>
                <w:rFonts w:ascii="ITC Avant Garde" w:hAnsi="ITC Avant Garde"/>
                <w:sz w:val="20"/>
                <w:szCs w:val="20"/>
                <w:lang w:eastAsia="en-GB"/>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Ventas en tiendas del </w:t>
            </w:r>
            <w:r w:rsidR="005B4A65" w:rsidRPr="00BB33CC">
              <w:rPr>
                <w:rFonts w:ascii="ITC Avant Garde" w:eastAsia="Times New Roman" w:hAnsi="ITC Avant Garde" w:cs="Arial"/>
                <w:sz w:val="20"/>
                <w:lang w:val="es-ES" w:eastAsia="es-ES"/>
              </w:rPr>
              <w:t>concesionario y/o autorizado</w:t>
            </w:r>
          </w:p>
        </w:tc>
        <w:tc>
          <w:tcPr>
            <w:tcW w:w="1342" w:type="dxa"/>
            <w:tcBorders>
              <w:left w:val="nil"/>
              <w:right w:val="nil"/>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43" w:type="dxa"/>
            <w:tcBorders>
              <w:left w:val="nil"/>
              <w:right w:val="nil"/>
            </w:tcBorders>
            <w:noWrap/>
            <w:vAlign w:val="center"/>
            <w:hideMark/>
          </w:tcPr>
          <w:p w:rsidR="002E1156" w:rsidRPr="00BB33CC" w:rsidRDefault="002E1156" w:rsidP="00674BDD">
            <w:pPr>
              <w:keepNext/>
              <w:spacing w:after="0"/>
              <w:rPr>
                <w:rFonts w:ascii="ITC Avant Garde" w:hAnsi="ITC Avant Garde"/>
                <w:sz w:val="20"/>
                <w:szCs w:val="20"/>
                <w:lang w:val="es-ES" w:eastAsia="en-GB"/>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43" w:type="dxa"/>
            <w:tcBorders>
              <w:left w:val="nil"/>
              <w:right w:val="nil"/>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básica por línea</w:t>
            </w:r>
          </w:p>
        </w:tc>
        <w:tc>
          <w:tcPr>
            <w:tcW w:w="1342"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Comercialización y mantenimiento de cableado y equipo terminal</w:t>
            </w:r>
          </w:p>
        </w:tc>
        <w:tc>
          <w:tcPr>
            <w:tcW w:w="1342"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93" w:type="dxa"/>
            <w:tcBorders>
              <w:left w:val="nil"/>
              <w:bottom w:val="single" w:sz="4" w:space="0" w:color="244062"/>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hAnsi="ITC Avant Garde" w:cs="Verdana"/>
                <w:color w:val="000000"/>
                <w:sz w:val="20"/>
                <w:szCs w:val="16"/>
              </w:rPr>
            </w:pPr>
            <w:r w:rsidRPr="00BB33CC">
              <w:rPr>
                <w:rFonts w:ascii="ITC Avant Garde" w:hAnsi="ITC Avant Garde" w:cs="Verdana"/>
                <w:color w:val="000000"/>
                <w:sz w:val="20"/>
                <w:szCs w:val="16"/>
              </w:rPr>
              <w:t>…</w:t>
            </w:r>
          </w:p>
        </w:tc>
        <w:tc>
          <w:tcPr>
            <w:tcW w:w="3300" w:type="dxa"/>
            <w:tcBorders>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hAnsi="ITC Avant Garde" w:cs="Verdana"/>
                <w:color w:val="000000"/>
                <w:sz w:val="20"/>
                <w:szCs w:val="16"/>
              </w:rPr>
            </w:pPr>
            <w:r w:rsidRPr="00BB33CC">
              <w:rPr>
                <w:rFonts w:ascii="ITC Avant Garde" w:hAnsi="ITC Avant Garde" w:cs="Verdana"/>
                <w:color w:val="000000"/>
                <w:sz w:val="20"/>
                <w:szCs w:val="16"/>
              </w:rPr>
              <w:t>…</w:t>
            </w:r>
          </w:p>
        </w:tc>
        <w:tc>
          <w:tcPr>
            <w:tcW w:w="1342" w:type="dxa"/>
            <w:tcBorders>
              <w:left w:val="nil"/>
              <w:bottom w:val="single" w:sz="4" w:space="0" w:color="244062"/>
              <w:right w:val="nil"/>
            </w:tcBorders>
            <w:noWrap/>
            <w:vAlign w:val="center"/>
          </w:tcPr>
          <w:p w:rsidR="002E1156" w:rsidRPr="00BB33CC" w:rsidRDefault="002E1156" w:rsidP="00674BDD">
            <w:pPr>
              <w:keepNext/>
              <w:spacing w:before="40" w:after="40" w:line="240" w:lineRule="auto"/>
              <w:jc w:val="center"/>
              <w:rPr>
                <w:rFonts w:ascii="ITC Avant Garde" w:hAnsi="ITC Avant Garde" w:cs="Verdana"/>
                <w:color w:val="000000"/>
                <w:sz w:val="20"/>
                <w:szCs w:val="16"/>
              </w:rPr>
            </w:pPr>
          </w:p>
        </w:tc>
        <w:tc>
          <w:tcPr>
            <w:tcW w:w="1343" w:type="dxa"/>
            <w:tcBorders>
              <w:left w:val="nil"/>
              <w:bottom w:val="single" w:sz="4" w:space="0" w:color="244062"/>
              <w:right w:val="nil"/>
            </w:tcBorders>
            <w:noWrap/>
            <w:vAlign w:val="center"/>
          </w:tcPr>
          <w:p w:rsidR="002E1156" w:rsidRPr="00BB33CC" w:rsidRDefault="002E1156" w:rsidP="00674BDD">
            <w:pPr>
              <w:keepNext/>
              <w:spacing w:before="40" w:after="40" w:line="240" w:lineRule="auto"/>
              <w:jc w:val="center"/>
              <w:rPr>
                <w:rFonts w:ascii="ITC Avant Garde" w:hAnsi="ITC Avant Garde" w:cs="Verdana"/>
                <w:color w:val="000000"/>
                <w:sz w:val="20"/>
                <w:szCs w:val="16"/>
              </w:rPr>
            </w:pPr>
          </w:p>
        </w:tc>
      </w:tr>
    </w:tbl>
    <w:p w:rsidR="002E1156" w:rsidRPr="00BB33CC" w:rsidRDefault="00674BDD" w:rsidP="00776A41">
      <w:pPr>
        <w:pStyle w:val="A3L2"/>
        <w:numPr>
          <w:ilvl w:val="0"/>
          <w:numId w:val="0"/>
        </w:numPr>
        <w:ind w:left="792" w:hanging="792"/>
      </w:pPr>
      <w:bookmarkStart w:id="84" w:name="_Toc475468519"/>
      <w:bookmarkStart w:id="85" w:name="_Toc477515030"/>
      <w:bookmarkStart w:id="86" w:name="_Toc478774514"/>
      <w:r w:rsidRPr="00BB33CC">
        <w:t xml:space="preserve">3.8 </w:t>
      </w:r>
      <w:r w:rsidR="002E1156" w:rsidRPr="00BB33CC">
        <w:t>Matriz de asignación de costos por actividades y elementos de red (Nivel 2) a servicios mayoristas (Nivel 3)</w:t>
      </w:r>
      <w:bookmarkEnd w:id="84"/>
      <w:bookmarkEnd w:id="85"/>
      <w:bookmarkEnd w:id="86"/>
    </w:p>
    <w:p w:rsidR="002E1156" w:rsidRPr="00BB33CC" w:rsidRDefault="002E1156" w:rsidP="002B6C9A">
      <w:pPr>
        <w:pStyle w:val="Normalresolucion"/>
        <w:spacing w:after="0" w:line="276" w:lineRule="auto"/>
      </w:pPr>
      <w:r w:rsidRPr="00BB33CC">
        <w:t>Esta matriz deberá contener la asignación de cuentas de costos por actividades y elementos de red a cuentas de servicios mayoristas de Nivel 3.</w:t>
      </w:r>
    </w:p>
    <w:p w:rsidR="002E1156" w:rsidRPr="00BB33CC" w:rsidRDefault="002E1156" w:rsidP="002B6C9A">
      <w:pPr>
        <w:pStyle w:val="Normalresolucion"/>
        <w:spacing w:after="0" w:line="276" w:lineRule="auto"/>
        <w:rPr>
          <w:rtl/>
        </w:rPr>
      </w:pPr>
      <w:r w:rsidRPr="00BB33CC">
        <w:lastRenderedPageBreak/>
        <w:t xml:space="preserve">A continuación, se presenta el formato que deberá ser completado por los concesionarios para la entrega de esta información. Las cuentas incluidas deben ser adaptadas al segmento aplicable al </w:t>
      </w:r>
      <w:r w:rsidR="00082B86" w:rsidRPr="00BB33CC">
        <w:rPr>
          <w:bCs/>
        </w:rPr>
        <w:t>concesionario y/o autorizado</w:t>
      </w:r>
      <w:r w:rsidRPr="00BB33CC">
        <w:t xml:space="preserve"> de acuerdo a la estructura mínima definida en el A</w:t>
      </w:r>
      <w:r w:rsidR="00467213" w:rsidRPr="00BB33CC">
        <w:t>PARTADO I</w:t>
      </w:r>
      <w:r w:rsidRPr="00BB33CC">
        <w:rPr>
          <w:rtl/>
        </w:rPr>
        <w:t>.</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12</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costos por actividades y elementos de red (Nivel 2) a cuentas de servicios mayoristas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2E1156" w:rsidRPr="00BB33CC" w:rsidTr="00674BD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Costos por actividad y elementos de red</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(Nivel 2)</w:t>
            </w:r>
            <w:r w:rsidRPr="00BB33CC">
              <w:rPr>
                <w:rStyle w:val="Refdenotaalpie"/>
                <w:rFonts w:ascii="ITC Avant Garde" w:eastAsia="Times New Roman" w:hAnsi="ITC Avant Garde" w:cs="Arial"/>
                <w:b/>
                <w:color w:val="FFFFFF" w:themeColor="background1"/>
                <w:sz w:val="20"/>
                <w:lang w:val="es-ES" w:eastAsia="es-ES"/>
              </w:rPr>
              <w:footnoteReference w:id="128"/>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 mayoristas</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(Nivel 3)</w:t>
            </w:r>
            <w:r w:rsidRPr="00BB33CC">
              <w:rPr>
                <w:rStyle w:val="Refdenotaalpie"/>
                <w:rFonts w:ascii="ITC Avant Garde" w:eastAsia="Times New Roman" w:hAnsi="ITC Avant Garde" w:cs="Arial"/>
                <w:b/>
                <w:color w:val="FFFFFF" w:themeColor="background1"/>
                <w:sz w:val="20"/>
                <w:lang w:val="es-ES" w:eastAsia="es-ES"/>
              </w:rPr>
              <w:footnoteReference w:id="129"/>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97"/>
          <w:jc w:val="center"/>
        </w:trPr>
        <w:tc>
          <w:tcPr>
            <w:tcW w:w="2993" w:type="dxa"/>
            <w:tcBorders>
              <w:top w:val="single" w:sz="4" w:space="0" w:color="244062"/>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fijas</w:t>
            </w:r>
          </w:p>
        </w:tc>
        <w:tc>
          <w:tcPr>
            <w:tcW w:w="1342" w:type="dxa"/>
            <w:tcBorders>
              <w:top w:val="single" w:sz="4" w:space="0" w:color="244062"/>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397"/>
          <w:jc w:val="center"/>
        </w:trPr>
        <w:tc>
          <w:tcPr>
            <w:tcW w:w="2993" w:type="dxa"/>
            <w:tcBorders>
              <w:top w:val="single" w:sz="4" w:space="0" w:color="244062"/>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móviles</w:t>
            </w:r>
          </w:p>
        </w:tc>
        <w:tc>
          <w:tcPr>
            <w:tcW w:w="1342" w:type="dxa"/>
            <w:tcBorders>
              <w:top w:val="single" w:sz="4" w:space="0" w:color="244062"/>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34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tráfico internacional</w:t>
            </w:r>
          </w:p>
        </w:tc>
        <w:tc>
          <w:tcPr>
            <w:tcW w:w="1342"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destinos internacionales</w:t>
            </w:r>
          </w:p>
        </w:tc>
        <w:tc>
          <w:tcPr>
            <w:tcW w:w="1342"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97"/>
          <w:jc w:val="center"/>
        </w:trPr>
        <w:tc>
          <w:tcPr>
            <w:tcW w:w="2993" w:type="dxa"/>
            <w:tcBorders>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2"/>
        <w:numPr>
          <w:ilvl w:val="0"/>
          <w:numId w:val="0"/>
        </w:numPr>
        <w:ind w:left="792" w:hanging="792"/>
      </w:pPr>
      <w:bookmarkStart w:id="87" w:name="_Toc475468520"/>
      <w:bookmarkStart w:id="88" w:name="_Toc477515031"/>
      <w:bookmarkStart w:id="89" w:name="_Toc478774515"/>
      <w:r w:rsidRPr="00BB33CC">
        <w:t xml:space="preserve">3.9 </w:t>
      </w:r>
      <w:r w:rsidR="002E1156" w:rsidRPr="00BB33CC">
        <w:t>Matriz de asignación de capital empleado por actividades y elementos de red (Nivel 2) a servicios minoristas (Nivel 3)</w:t>
      </w:r>
      <w:bookmarkEnd w:id="87"/>
      <w:bookmarkEnd w:id="88"/>
      <w:bookmarkEnd w:id="89"/>
    </w:p>
    <w:p w:rsidR="002E1156" w:rsidRPr="00BB33CC" w:rsidRDefault="002E1156" w:rsidP="002B6C9A">
      <w:pPr>
        <w:pStyle w:val="Normalresolucion"/>
        <w:spacing w:after="0" w:line="276" w:lineRule="auto"/>
      </w:pPr>
      <w:r w:rsidRPr="00BB33CC">
        <w:t>Esta matriz deberá contener la asignación de cuentas de capital empleado por actividades y elementos de red a cuentas de servicios minoristas de Nivel 3.</w:t>
      </w:r>
    </w:p>
    <w:p w:rsidR="002E1156" w:rsidRPr="00BB33CC" w:rsidRDefault="002E1156" w:rsidP="002B6C9A">
      <w:pPr>
        <w:pStyle w:val="Normalresolucion"/>
        <w:spacing w:after="0" w:line="276" w:lineRule="auto"/>
        <w:rPr>
          <w:rtl/>
        </w:rPr>
      </w:pPr>
      <w:r w:rsidRPr="00BB33CC">
        <w:t xml:space="preserve">A continuación, se presenta el formato que deberá ser completado por los </w:t>
      </w:r>
      <w:r w:rsidR="005B4A65" w:rsidRPr="00BB33CC">
        <w:t>concesionarios y/o autorizado</w:t>
      </w:r>
      <w:r w:rsidRPr="00BB33CC">
        <w:t xml:space="preserve">s para la entrega de esta información. Las cuentas incluidas deben ser adaptadas al segmento aplicable al </w:t>
      </w:r>
      <w:r w:rsidR="00277D1C" w:rsidRPr="00BB33CC">
        <w:rPr>
          <w:bCs/>
        </w:rPr>
        <w:t>concesionario y/o autorizado</w:t>
      </w:r>
      <w:r w:rsidRPr="00BB33CC">
        <w:t xml:space="preserve"> de acuerdo a la estructura mínima definida en el A</w:t>
      </w:r>
      <w:r w:rsidR="00467213" w:rsidRPr="00BB33CC">
        <w:t>PARTADO I</w:t>
      </w:r>
      <w:r w:rsidRPr="00BB33CC">
        <w:rPr>
          <w:rtl/>
        </w:rPr>
        <w:t>.</w:t>
      </w: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13</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capital empleado por actividades y elementos de red (Nivel 2) a cuentas de servicios minoristas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2E1156" w:rsidRPr="00BB33CC" w:rsidTr="00674BD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Capital empleado por actividad y elementos de red (Nivel 2)</w:t>
            </w:r>
            <w:r w:rsidRPr="00BB33CC">
              <w:rPr>
                <w:rStyle w:val="Refdenotaalpie"/>
                <w:rFonts w:ascii="ITC Avant Garde" w:eastAsia="Times New Roman" w:hAnsi="ITC Avant Garde" w:cs="Arial"/>
                <w:b/>
                <w:color w:val="FFFFFF" w:themeColor="background1"/>
                <w:sz w:val="20"/>
                <w:lang w:val="es-ES" w:eastAsia="es-ES"/>
              </w:rPr>
              <w:footnoteReference w:id="130"/>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 minoristas</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(Nivel 3)</w:t>
            </w:r>
            <w:r w:rsidRPr="00BB33CC">
              <w:rPr>
                <w:rStyle w:val="Refdenotaalpie"/>
                <w:rFonts w:ascii="ITC Avant Garde" w:eastAsia="Times New Roman" w:hAnsi="ITC Avant Garde" w:cs="Arial"/>
                <w:b/>
                <w:color w:val="FFFFFF" w:themeColor="background1"/>
                <w:sz w:val="20"/>
                <w:lang w:val="es-ES" w:eastAsia="es-ES"/>
              </w:rPr>
              <w:footnoteReference w:id="131"/>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40"/>
          <w:jc w:val="center"/>
        </w:trPr>
        <w:tc>
          <w:tcPr>
            <w:tcW w:w="2993" w:type="dxa"/>
            <w:tcBorders>
              <w:top w:val="single" w:sz="4" w:space="0" w:color="244062"/>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Instalación de línea</w:t>
            </w:r>
          </w:p>
        </w:tc>
        <w:tc>
          <w:tcPr>
            <w:tcW w:w="1342" w:type="dxa"/>
            <w:tcBorders>
              <w:top w:val="single" w:sz="4" w:space="0" w:color="244062"/>
              <w:left w:val="nil"/>
              <w:right w:val="nil"/>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rsidR="002E1156" w:rsidRPr="00BB33CC" w:rsidRDefault="002E1156" w:rsidP="00674BDD">
            <w:pPr>
              <w:keepNext/>
              <w:spacing w:after="0"/>
              <w:rPr>
                <w:rFonts w:ascii="ITC Avant Garde" w:hAnsi="ITC Avant Garde"/>
                <w:sz w:val="20"/>
                <w:szCs w:val="20"/>
                <w:lang w:eastAsia="en-GB"/>
              </w:rPr>
            </w:pPr>
          </w:p>
        </w:tc>
      </w:tr>
      <w:tr w:rsidR="002E1156" w:rsidRPr="00BB33CC" w:rsidTr="00674BDD">
        <w:trPr>
          <w:trHeight w:val="340"/>
          <w:jc w:val="center"/>
        </w:trPr>
        <w:tc>
          <w:tcPr>
            <w:tcW w:w="2993" w:type="dxa"/>
            <w:tcBorders>
              <w:top w:val="single" w:sz="4" w:space="0" w:color="244062"/>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Ventas en tiendas del </w:t>
            </w:r>
            <w:r w:rsidR="005B4A65" w:rsidRPr="00BB33CC">
              <w:rPr>
                <w:rFonts w:ascii="ITC Avant Garde" w:eastAsia="Times New Roman" w:hAnsi="ITC Avant Garde" w:cs="Arial"/>
                <w:sz w:val="20"/>
                <w:lang w:val="es-ES" w:eastAsia="es-ES"/>
              </w:rPr>
              <w:t>concesionario y/o autorizado</w:t>
            </w:r>
          </w:p>
        </w:tc>
        <w:tc>
          <w:tcPr>
            <w:tcW w:w="1342" w:type="dxa"/>
            <w:tcBorders>
              <w:top w:val="single" w:sz="4" w:space="0" w:color="244062"/>
              <w:left w:val="nil"/>
              <w:right w:val="nil"/>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rsidR="002E1156" w:rsidRPr="00BB33CC" w:rsidRDefault="002E1156" w:rsidP="00674BDD">
            <w:pPr>
              <w:keepNext/>
              <w:spacing w:after="0"/>
              <w:rPr>
                <w:rFonts w:ascii="ITC Avant Garde" w:hAnsi="ITC Avant Garde"/>
                <w:sz w:val="20"/>
                <w:szCs w:val="20"/>
                <w:lang w:eastAsia="en-GB"/>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Comerciales</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rsidR="002E1156" w:rsidRPr="00BB33CC" w:rsidRDefault="002E1156" w:rsidP="00674BDD">
            <w:pPr>
              <w:keepNext/>
              <w:rPr>
                <w:rFonts w:ascii="ITC Avant Garde" w:eastAsia="Times New Roman" w:hAnsi="ITC Avant Garde" w:cs="Arial"/>
                <w:sz w:val="20"/>
                <w:lang w:val="es-ES" w:eastAsia="es-ES"/>
              </w:rPr>
            </w:pPr>
          </w:p>
        </w:tc>
        <w:tc>
          <w:tcPr>
            <w:tcW w:w="1343" w:type="dxa"/>
            <w:tcBorders>
              <w:left w:val="nil"/>
              <w:right w:val="nil"/>
            </w:tcBorders>
            <w:noWrap/>
            <w:vAlign w:val="center"/>
            <w:hideMark/>
          </w:tcPr>
          <w:p w:rsidR="002E1156" w:rsidRPr="00BB33CC" w:rsidRDefault="002E1156" w:rsidP="00674BDD">
            <w:pPr>
              <w:keepNext/>
              <w:spacing w:after="0"/>
              <w:rPr>
                <w:rFonts w:ascii="ITC Avant Garde" w:hAnsi="ITC Avant Garde"/>
                <w:sz w:val="20"/>
                <w:szCs w:val="20"/>
                <w:lang w:val="en-GB" w:eastAsia="en-GB"/>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básica por línea</w:t>
            </w:r>
          </w:p>
        </w:tc>
        <w:tc>
          <w:tcPr>
            <w:tcW w:w="1342"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Comercialización y mantenimiento de cableado y equipo terminal</w:t>
            </w:r>
          </w:p>
        </w:tc>
        <w:tc>
          <w:tcPr>
            <w:tcW w:w="1342"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93" w:type="dxa"/>
            <w:tcBorders>
              <w:left w:val="nil"/>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40"/>
          <w:jc w:val="center"/>
        </w:trPr>
        <w:tc>
          <w:tcPr>
            <w:tcW w:w="2993" w:type="dxa"/>
            <w:tcBorders>
              <w:left w:val="nil"/>
              <w:bottom w:val="single" w:sz="4" w:space="0" w:color="244062"/>
              <w:right w:val="nil"/>
            </w:tcBorders>
            <w:shd w:val="clear" w:color="auto" w:fill="D0D1D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rsidR="002E1156" w:rsidRPr="00BB33CC" w:rsidRDefault="002E1156" w:rsidP="00674BDD">
            <w:pPr>
              <w:keepNext/>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bottom w:val="single" w:sz="4" w:space="0" w:color="244062"/>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rsidR="002E1156" w:rsidRPr="00BB33CC" w:rsidRDefault="002E1156" w:rsidP="00674BDD">
            <w:pPr>
              <w:keepNext/>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2"/>
        <w:numPr>
          <w:ilvl w:val="0"/>
          <w:numId w:val="0"/>
        </w:numPr>
        <w:ind w:left="792" w:hanging="792"/>
      </w:pPr>
      <w:bookmarkStart w:id="90" w:name="_Toc475468521"/>
      <w:bookmarkStart w:id="91" w:name="_Toc477515032"/>
      <w:bookmarkStart w:id="92" w:name="_Toc478774516"/>
      <w:r w:rsidRPr="00BB33CC">
        <w:t xml:space="preserve">3.10 </w:t>
      </w:r>
      <w:r w:rsidR="002E1156" w:rsidRPr="00BB33CC">
        <w:t>Matriz de asignación de capital empleado por actividades y elementos de red (Nivel 2) a servicios mayoristas (Nivel 3)</w:t>
      </w:r>
      <w:bookmarkEnd w:id="90"/>
      <w:bookmarkEnd w:id="91"/>
      <w:bookmarkEnd w:id="92"/>
    </w:p>
    <w:p w:rsidR="002E1156" w:rsidRPr="00BB33CC" w:rsidRDefault="002E1156" w:rsidP="002B6C9A">
      <w:pPr>
        <w:pStyle w:val="Normalresolucion"/>
        <w:spacing w:after="0" w:line="276" w:lineRule="auto"/>
      </w:pPr>
      <w:r w:rsidRPr="00BB33CC">
        <w:t>Esta matriz deberá contener la asignación de cuentas de capital empleado por actividades y elementos de red a cuentas de servicios mayoristas de Nivel 3.</w:t>
      </w:r>
    </w:p>
    <w:p w:rsidR="002E1156" w:rsidRPr="00BB33CC" w:rsidRDefault="002E1156" w:rsidP="002B6C9A">
      <w:pPr>
        <w:pStyle w:val="Normalresolucion"/>
        <w:spacing w:after="0" w:line="276" w:lineRule="auto"/>
        <w:rPr>
          <w:rtl/>
        </w:rPr>
      </w:pPr>
      <w:r w:rsidRPr="00BB33CC">
        <w:t>A continuación se presenta el formato que deberá ser completado por los concesionarios</w:t>
      </w:r>
      <w:r w:rsidR="00D40744" w:rsidRPr="00BB33CC">
        <w:t xml:space="preserve"> y/o autorizados</w:t>
      </w:r>
      <w:r w:rsidRPr="00BB33CC">
        <w:t xml:space="preserve"> para la entrega de esta información. Las cuentas incluidas deben ser adaptadas al segmento aplicable al </w:t>
      </w:r>
      <w:r w:rsidR="00277D1C" w:rsidRPr="00BB33CC">
        <w:rPr>
          <w:bCs/>
        </w:rPr>
        <w:t>concesionario y/o autorizado</w:t>
      </w:r>
      <w:r w:rsidRPr="00BB33CC">
        <w:t xml:space="preserve"> de acuerdo a la estructura mínima definida en el A</w:t>
      </w:r>
      <w:r w:rsidR="00FA604F" w:rsidRPr="00BB33CC">
        <w:t>PARTADO I</w:t>
      </w:r>
      <w:r w:rsidRPr="00BB33CC">
        <w:rPr>
          <w:rtl/>
        </w:rPr>
        <w:t>.</w:t>
      </w: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Normalresolucion"/>
        <w:rPr>
          <w:rtl/>
        </w:rPr>
      </w:pP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lastRenderedPageBreak/>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14</w:t>
      </w:r>
      <w:r w:rsidRPr="00BB33CC">
        <w:rPr>
          <w:rFonts w:ascii="ITC Avant Garde" w:hAnsi="ITC Avant Garde"/>
          <w:iCs/>
          <w:sz w:val="20"/>
          <w:lang w:val="es-MX"/>
        </w:rPr>
        <w:fldChar w:fldCharType="end"/>
      </w:r>
      <w:r w:rsidRPr="00BB33CC">
        <w:rPr>
          <w:rFonts w:ascii="ITC Avant Garde" w:hAnsi="ITC Avant Garde"/>
          <w:iCs/>
          <w:sz w:val="20"/>
          <w:lang w:val="es-MX"/>
        </w:rPr>
        <w:t>: Matriz de asignación de cuentas de capital empleado por actividades y elementos de red (Nivel 2) a cuentas de servicios mayoristas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2E1156" w:rsidRPr="00BB33CC" w:rsidTr="00674BD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Capital empleado por actividad y elementos de red (Nivel 2)</w:t>
            </w:r>
            <w:r w:rsidRPr="00BB33CC">
              <w:rPr>
                <w:rStyle w:val="Refdenotaalpie"/>
                <w:rFonts w:ascii="ITC Avant Garde" w:eastAsia="Times New Roman" w:hAnsi="ITC Avant Garde" w:cs="Arial"/>
                <w:b/>
                <w:color w:val="FFFFFF" w:themeColor="background1"/>
                <w:sz w:val="20"/>
                <w:lang w:val="es-ES" w:eastAsia="es-ES"/>
              </w:rPr>
              <w:footnoteReference w:id="132"/>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 mayoristas</w:t>
            </w:r>
          </w:p>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(Nivel 3)</w:t>
            </w:r>
            <w:r w:rsidRPr="00BB33CC">
              <w:rPr>
                <w:rStyle w:val="Refdenotaalpie"/>
                <w:rFonts w:ascii="ITC Avant Garde" w:eastAsia="Times New Roman" w:hAnsi="ITC Avant Garde" w:cs="Arial"/>
                <w:b/>
                <w:color w:val="FFFFFF" w:themeColor="background1"/>
                <w:sz w:val="20"/>
                <w:lang w:val="es-ES" w:eastAsia="es-ES"/>
              </w:rPr>
              <w:footnoteReference w:id="133"/>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w:t>
            </w:r>
          </w:p>
        </w:tc>
      </w:tr>
      <w:tr w:rsidR="002E1156" w:rsidRPr="00BB33CC" w:rsidTr="00674BD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w:t>
            </w:r>
          </w:p>
        </w:tc>
      </w:tr>
      <w:tr w:rsidR="002E1156" w:rsidRPr="00BB33CC" w:rsidTr="00674BDD">
        <w:trPr>
          <w:trHeight w:val="397"/>
          <w:jc w:val="center"/>
        </w:trPr>
        <w:tc>
          <w:tcPr>
            <w:tcW w:w="2993" w:type="dxa"/>
            <w:tcBorders>
              <w:top w:val="single" w:sz="4" w:space="0" w:color="244062"/>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fijas</w:t>
            </w:r>
          </w:p>
        </w:tc>
        <w:tc>
          <w:tcPr>
            <w:tcW w:w="1342" w:type="dxa"/>
            <w:tcBorders>
              <w:top w:val="single" w:sz="4" w:space="0" w:color="244062"/>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397"/>
          <w:jc w:val="center"/>
        </w:trPr>
        <w:tc>
          <w:tcPr>
            <w:tcW w:w="2993" w:type="dxa"/>
            <w:tcBorders>
              <w:top w:val="single" w:sz="4" w:space="0" w:color="244062"/>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330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móviles</w:t>
            </w:r>
          </w:p>
        </w:tc>
        <w:tc>
          <w:tcPr>
            <w:tcW w:w="1342" w:type="dxa"/>
            <w:tcBorders>
              <w:top w:val="single" w:sz="4" w:space="0" w:color="244062"/>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343"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tráfico internacional</w:t>
            </w:r>
          </w:p>
        </w:tc>
        <w:tc>
          <w:tcPr>
            <w:tcW w:w="1342"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destinos internacionales</w:t>
            </w:r>
          </w:p>
        </w:tc>
        <w:tc>
          <w:tcPr>
            <w:tcW w:w="1342"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97"/>
          <w:jc w:val="center"/>
        </w:trPr>
        <w:tc>
          <w:tcPr>
            <w:tcW w:w="2993"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97"/>
          <w:jc w:val="center"/>
        </w:trPr>
        <w:tc>
          <w:tcPr>
            <w:tcW w:w="2993" w:type="dxa"/>
            <w:tcBorders>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42"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1"/>
        <w:numPr>
          <w:ilvl w:val="0"/>
          <w:numId w:val="0"/>
        </w:numPr>
        <w:ind w:left="357" w:hanging="357"/>
      </w:pPr>
      <w:bookmarkStart w:id="93" w:name="_Ref477512949"/>
      <w:bookmarkStart w:id="94" w:name="_Toc477515033"/>
      <w:bookmarkStart w:id="95" w:name="_Toc478774517"/>
      <w:r w:rsidRPr="00BB33CC">
        <w:t xml:space="preserve">4. </w:t>
      </w:r>
      <w:r w:rsidR="002E1156" w:rsidRPr="00BB33CC">
        <w:t>CARGOS DE TRANSFERENCIA</w:t>
      </w:r>
      <w:bookmarkEnd w:id="93"/>
      <w:bookmarkEnd w:id="94"/>
      <w:bookmarkEnd w:id="95"/>
    </w:p>
    <w:p w:rsidR="002E1156" w:rsidRPr="00BB33CC" w:rsidRDefault="002E1156" w:rsidP="002B6C9A">
      <w:pPr>
        <w:pStyle w:val="Normalresolucion"/>
        <w:keepNext/>
        <w:keepLines/>
        <w:spacing w:after="0" w:line="276" w:lineRule="auto"/>
      </w:pPr>
      <w:r w:rsidRPr="00BB33CC">
        <w:t xml:space="preserve">El reporte de cargos de transferencia permite evidenciar el cumplimiento del principio de no discriminación en el </w:t>
      </w:r>
      <w:r w:rsidR="00B50464" w:rsidRPr="00BB33CC">
        <w:t>m</w:t>
      </w:r>
      <w:r w:rsidRPr="00BB33CC">
        <w:t xml:space="preserve">odelo de separación contable. Es decir, que el </w:t>
      </w:r>
      <w:r w:rsidR="00277D1C" w:rsidRPr="00BB33CC">
        <w:rPr>
          <w:bCs/>
        </w:rPr>
        <w:t>concesionario y/o autorizado</w:t>
      </w:r>
      <w:r w:rsidRPr="00BB33CC">
        <w:t xml:space="preserve"> no favorezca sus propias operaciones sobre las de otros operadores.</w:t>
      </w:r>
    </w:p>
    <w:p w:rsidR="002E1156" w:rsidRPr="00BB33CC" w:rsidRDefault="002E1156" w:rsidP="002B6C9A">
      <w:pPr>
        <w:pStyle w:val="Normalresolucion"/>
        <w:spacing w:after="0" w:line="276" w:lineRule="auto"/>
      </w:pPr>
      <w:r w:rsidRPr="00BB33CC">
        <w:t>En el presente informe es necesario mostrar las asignaciones efectuadas entre el negocio mayorista y minorista, junto al cargo de transferencia utilizado y la metodología adoptada para su obtención.</w:t>
      </w:r>
    </w:p>
    <w:p w:rsidR="002E1156" w:rsidRPr="00BB33CC" w:rsidRDefault="002E1156" w:rsidP="002B6C9A">
      <w:pPr>
        <w:pStyle w:val="Normalresolucion"/>
        <w:spacing w:after="0" w:line="276" w:lineRule="auto"/>
      </w:pPr>
      <w:r w:rsidRPr="00BB33CC">
        <w:t xml:space="preserve">Estos cargos de transferencia deberán seguir el principio de causalidad y no discriminación. Del mismo modo, los concesionarios y/o autorizados deberán seguir uno de los cuatro mecanismos expuestos en la disposición DÉCIMA </w:t>
      </w:r>
      <w:r w:rsidR="003F4910" w:rsidRPr="00BB33CC">
        <w:t>de</w:t>
      </w:r>
      <w:r w:rsidR="0045165C" w:rsidRPr="00BB33CC">
        <w:t xml:space="preserve"> la metodología</w:t>
      </w:r>
      <w:r w:rsidR="003F4910" w:rsidRPr="00BB33CC">
        <w:t xml:space="preserve"> </w:t>
      </w:r>
      <w:r w:rsidRPr="00BB33CC">
        <w:t>para</w:t>
      </w:r>
      <w:r w:rsidRPr="00BB33CC">
        <w:rPr>
          <w:rtl/>
        </w:rPr>
        <w:t xml:space="preserve"> </w:t>
      </w:r>
      <w:r w:rsidRPr="00BB33CC">
        <w:t>obtener el cargo de transferencia aplicable para asociar cada par de servicios minorista-mayorista.</w:t>
      </w:r>
    </w:p>
    <w:p w:rsidR="002E1156" w:rsidRPr="00BB33CC" w:rsidRDefault="002E1156" w:rsidP="002B6C9A">
      <w:pPr>
        <w:pStyle w:val="Normalresolucion"/>
        <w:spacing w:after="0" w:line="276" w:lineRule="auto"/>
      </w:pPr>
      <w:r w:rsidRPr="00BB33CC">
        <w:lastRenderedPageBreak/>
        <w:t xml:space="preserve">A continuación, se presenta el formato que deberán completar los concesionarios </w:t>
      </w:r>
      <w:r w:rsidR="00B50464" w:rsidRPr="00BB33CC">
        <w:t xml:space="preserve">y/o autorizados </w:t>
      </w:r>
      <w:r w:rsidRPr="00BB33CC">
        <w:t>para la presentación de los cargos de transferencia entre servicios minoristas y mayoristas.</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15</w:t>
      </w:r>
      <w:r w:rsidRPr="00BB33CC">
        <w:rPr>
          <w:rFonts w:ascii="ITC Avant Garde" w:hAnsi="ITC Avant Garde"/>
          <w:iCs/>
          <w:sz w:val="20"/>
          <w:lang w:val="es-MX"/>
        </w:rPr>
        <w:fldChar w:fldCharType="end"/>
      </w:r>
      <w:r w:rsidRPr="00BB33CC">
        <w:rPr>
          <w:rFonts w:ascii="ITC Avant Garde" w:hAnsi="ITC Avant Garde"/>
          <w:iCs/>
          <w:sz w:val="20"/>
          <w:lang w:val="es-MX"/>
        </w:rPr>
        <w:t>: Aplicación de los cargos de transferencia entre las unidades minoristas y mayoristas del negocio</w:t>
      </w:r>
    </w:p>
    <w:tbl>
      <w:tblPr>
        <w:tblW w:w="5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8"/>
        <w:gridCol w:w="3298"/>
        <w:gridCol w:w="1300"/>
        <w:gridCol w:w="1014"/>
        <w:gridCol w:w="1800"/>
      </w:tblGrid>
      <w:tr w:rsidR="002E1156" w:rsidRPr="00BB33CC" w:rsidTr="00674BDD">
        <w:trPr>
          <w:trHeight w:val="680"/>
          <w:jc w:val="center"/>
        </w:trPr>
        <w:tc>
          <w:tcPr>
            <w:tcW w:w="2694"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 minoristas</w:t>
            </w:r>
            <w:r w:rsidRPr="00BB33CC">
              <w:rPr>
                <w:rStyle w:val="Refdenotaalpie"/>
                <w:rFonts w:ascii="ITC Avant Garde" w:eastAsia="Times New Roman" w:hAnsi="ITC Avant Garde" w:cs="Arial"/>
                <w:b/>
                <w:color w:val="FFFFFF" w:themeColor="background1"/>
                <w:sz w:val="20"/>
                <w:lang w:val="es-ES" w:eastAsia="es-ES"/>
              </w:rPr>
              <w:footnoteReference w:id="134"/>
            </w:r>
          </w:p>
        </w:tc>
        <w:tc>
          <w:tcPr>
            <w:tcW w:w="3356"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Servicios mayoristas</w:t>
            </w:r>
            <w:r w:rsidRPr="00BB33CC">
              <w:rPr>
                <w:rStyle w:val="Refdenotaalpie"/>
                <w:rFonts w:ascii="ITC Avant Garde" w:eastAsia="Times New Roman" w:hAnsi="ITC Avant Garde" w:cs="Arial"/>
                <w:b/>
                <w:color w:val="FFFFFF" w:themeColor="background1"/>
                <w:sz w:val="20"/>
                <w:lang w:val="es-ES" w:eastAsia="es-ES"/>
              </w:rPr>
              <w:footnoteReference w:id="135"/>
            </w:r>
          </w:p>
        </w:tc>
        <w:tc>
          <w:tcPr>
            <w:tcW w:w="235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Cargo de transferencia empleado</w:t>
            </w:r>
          </w:p>
        </w:tc>
        <w:tc>
          <w:tcPr>
            <w:tcW w:w="1830" w:type="dxa"/>
            <w:vMerge w:val="restart"/>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Fuente empleada para su determinación</w:t>
            </w:r>
          </w:p>
        </w:tc>
      </w:tr>
      <w:tr w:rsidR="002E1156" w:rsidRPr="00BB33CC" w:rsidTr="00674BDD">
        <w:trPr>
          <w:trHeight w:val="340"/>
          <w:jc w:val="center"/>
        </w:trPr>
        <w:tc>
          <w:tcPr>
            <w:tcW w:w="2694"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vAlign w:val="center"/>
            <w:hideMark/>
          </w:tcPr>
          <w:p w:rsidR="002E1156" w:rsidRPr="00BB33CC" w:rsidRDefault="002E1156" w:rsidP="00674BDD">
            <w:pPr>
              <w:keepNext/>
              <w:keepLines/>
              <w:spacing w:after="0"/>
              <w:rPr>
                <w:rFonts w:ascii="ITC Avant Garde" w:eastAsia="Times New Roman" w:hAnsi="ITC Avant Garde" w:cs="Arial"/>
                <w:b/>
                <w:sz w:val="20"/>
                <w:lang w:val="es-ES" w:eastAsia="es-ES"/>
              </w:rPr>
            </w:pPr>
          </w:p>
        </w:tc>
        <w:tc>
          <w:tcPr>
            <w:tcW w:w="3356"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vAlign w:val="center"/>
            <w:hideMark/>
          </w:tcPr>
          <w:p w:rsidR="002E1156" w:rsidRPr="00BB33CC" w:rsidRDefault="002E1156" w:rsidP="00674BDD">
            <w:pPr>
              <w:keepNext/>
              <w:keepLines/>
              <w:spacing w:after="0"/>
              <w:rPr>
                <w:rFonts w:ascii="ITC Avant Garde" w:eastAsia="Times New Roman" w:hAnsi="ITC Avant Garde" w:cs="Arial"/>
                <w:b/>
                <w:sz w:val="20"/>
                <w:lang w:val="es-ES" w:eastAsia="es-ES"/>
              </w:rPr>
            </w:pPr>
          </w:p>
        </w:tc>
        <w:tc>
          <w:tcPr>
            <w:tcW w:w="132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 N-1</w:t>
            </w:r>
          </w:p>
        </w:tc>
        <w:tc>
          <w:tcPr>
            <w:tcW w:w="1030"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 N</w:t>
            </w:r>
          </w:p>
        </w:tc>
        <w:tc>
          <w:tcPr>
            <w:tcW w:w="1830" w:type="dxa"/>
            <w:vMerge/>
            <w:tcBorders>
              <w:top w:val="nil"/>
              <w:left w:val="single" w:sz="4" w:space="0" w:color="FFFFFF" w:themeColor="background1"/>
              <w:bottom w:val="single" w:sz="4" w:space="0" w:color="244062"/>
            </w:tcBorders>
            <w:vAlign w:val="center"/>
            <w:hideMark/>
          </w:tcPr>
          <w:p w:rsidR="002E1156" w:rsidRPr="00BB33CC" w:rsidRDefault="002E1156" w:rsidP="00674BDD">
            <w:pPr>
              <w:keepNext/>
              <w:keepLines/>
              <w:spacing w:after="0"/>
              <w:rPr>
                <w:rFonts w:ascii="ITC Avant Garde" w:eastAsia="Times New Roman" w:hAnsi="ITC Avant Garde" w:cs="Arial"/>
                <w:b/>
                <w:sz w:val="20"/>
                <w:lang w:val="es-ES" w:eastAsia="es-ES"/>
              </w:rPr>
            </w:pPr>
          </w:p>
        </w:tc>
      </w:tr>
      <w:tr w:rsidR="002E1156" w:rsidRPr="00BB33CC" w:rsidTr="00674BDD">
        <w:trPr>
          <w:trHeight w:val="510"/>
          <w:jc w:val="center"/>
        </w:trPr>
        <w:tc>
          <w:tcPr>
            <w:tcW w:w="2694" w:type="dxa"/>
            <w:tcBorders>
              <w:top w:val="single" w:sz="4" w:space="0" w:color="244062"/>
              <w:left w:val="nil"/>
              <w:right w:val="nil"/>
            </w:tcBorders>
            <w:shd w:val="clear" w:color="auto" w:fill="D0D1D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Renta básica por línea</w:t>
            </w:r>
          </w:p>
        </w:tc>
        <w:tc>
          <w:tcPr>
            <w:tcW w:w="3356" w:type="dxa"/>
            <w:tcBorders>
              <w:top w:val="single" w:sz="4" w:space="0" w:color="244062"/>
              <w:left w:val="nil"/>
              <w:right w:val="nil"/>
            </w:tcBorders>
            <w:shd w:val="clear" w:color="auto" w:fill="E5E9EB"/>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reventa de línea telefónica (WLR)</w:t>
            </w:r>
          </w:p>
        </w:tc>
        <w:tc>
          <w:tcPr>
            <w:tcW w:w="1321" w:type="dxa"/>
            <w:tcBorders>
              <w:top w:val="single" w:sz="4" w:space="0" w:color="244062"/>
              <w:left w:val="nil"/>
              <w:right w:val="nil"/>
            </w:tcBorders>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1030" w:type="dxa"/>
            <w:tcBorders>
              <w:top w:val="single" w:sz="4" w:space="0" w:color="244062"/>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top w:val="single" w:sz="4" w:space="0" w:color="244062"/>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510"/>
          <w:jc w:val="center"/>
        </w:trPr>
        <w:tc>
          <w:tcPr>
            <w:tcW w:w="2694" w:type="dxa"/>
            <w:vMerge w:val="restart"/>
            <w:tcBorders>
              <w:left w:val="nil"/>
              <w:right w:val="nil"/>
            </w:tcBorders>
            <w:shd w:val="clear" w:color="auto" w:fill="D0D1D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fijo dentro de la red</w:t>
            </w: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fijas</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510"/>
          <w:jc w:val="center"/>
        </w:trPr>
        <w:tc>
          <w:tcPr>
            <w:tcW w:w="2694" w:type="dxa"/>
            <w:vMerge/>
            <w:tcBorders>
              <w:left w:val="nil"/>
              <w:right w:val="nil"/>
            </w:tcBorders>
            <w:vAlign w:val="center"/>
            <w:hideMark/>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Terminación de llamadas entrantes de otros operadores fijos (en red fija)</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340"/>
          <w:jc w:val="center"/>
        </w:trPr>
        <w:tc>
          <w:tcPr>
            <w:tcW w:w="2694" w:type="dxa"/>
            <w:vMerge/>
            <w:tcBorders>
              <w:left w:val="nil"/>
              <w:right w:val="nil"/>
            </w:tcBorders>
            <w:vAlign w:val="center"/>
            <w:hideMark/>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Tránsito de voz</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510"/>
          <w:jc w:val="center"/>
        </w:trPr>
        <w:tc>
          <w:tcPr>
            <w:tcW w:w="2694" w:type="dxa"/>
            <w:vMerge w:val="restart"/>
            <w:tcBorders>
              <w:left w:val="nil"/>
              <w:right w:val="nil"/>
            </w:tcBorders>
            <w:shd w:val="clear" w:color="auto" w:fill="D0D1D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medido de voz saliente a fijo nacional fuera de la red</w:t>
            </w: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 en la propia red</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340"/>
          <w:jc w:val="center"/>
        </w:trPr>
        <w:tc>
          <w:tcPr>
            <w:tcW w:w="2694" w:type="dxa"/>
            <w:vMerge/>
            <w:tcBorders>
              <w:left w:val="nil"/>
              <w:right w:val="nil"/>
            </w:tcBorders>
            <w:vAlign w:val="center"/>
            <w:hideMark/>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Tránsito de voz</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510"/>
          <w:jc w:val="center"/>
        </w:trPr>
        <w:tc>
          <w:tcPr>
            <w:tcW w:w="2694" w:type="dxa"/>
            <w:vMerge w:val="restart"/>
            <w:tcBorders>
              <w:left w:val="nil"/>
              <w:right w:val="nil"/>
            </w:tcBorders>
            <w:shd w:val="clear" w:color="auto" w:fill="D0D1D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Servicios de voz saliente a móviles nacionales</w:t>
            </w: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Originación de llamadas desde red fija a usuarios en redes móviles</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340"/>
          <w:jc w:val="center"/>
        </w:trPr>
        <w:tc>
          <w:tcPr>
            <w:tcW w:w="2694" w:type="dxa"/>
            <w:vMerge/>
            <w:tcBorders>
              <w:left w:val="nil"/>
              <w:right w:val="nil"/>
            </w:tcBorders>
            <w:vAlign w:val="center"/>
            <w:hideMark/>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Tránsito de voz</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r>
      <w:tr w:rsidR="002E1156" w:rsidRPr="00BB33CC" w:rsidTr="00674BDD">
        <w:trPr>
          <w:trHeight w:val="510"/>
          <w:jc w:val="center"/>
        </w:trPr>
        <w:tc>
          <w:tcPr>
            <w:tcW w:w="2694" w:type="dxa"/>
            <w:tcBorders>
              <w:left w:val="nil"/>
              <w:right w:val="nil"/>
            </w:tcBorders>
            <w:shd w:val="clear" w:color="auto" w:fill="D0D1D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Datos (Acceso a Internet de banda ancha) residencial</w:t>
            </w:r>
          </w:p>
        </w:tc>
        <w:tc>
          <w:tcPr>
            <w:tcW w:w="3356" w:type="dxa"/>
            <w:tcBorders>
              <w:left w:val="nil"/>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Servicio de reventa de Internet</w:t>
            </w:r>
          </w:p>
        </w:tc>
        <w:tc>
          <w:tcPr>
            <w:tcW w:w="1321"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eastAsia="en-GB"/>
              </w:rPr>
            </w:pPr>
          </w:p>
        </w:tc>
      </w:tr>
      <w:tr w:rsidR="002E1156" w:rsidRPr="00BB33CC" w:rsidTr="00674BDD">
        <w:trPr>
          <w:trHeight w:val="510"/>
          <w:jc w:val="center"/>
        </w:trPr>
        <w:tc>
          <w:tcPr>
            <w:tcW w:w="2694" w:type="dxa"/>
            <w:tcBorders>
              <w:left w:val="nil"/>
              <w:bottom w:val="single" w:sz="4" w:space="0" w:color="244062"/>
              <w:right w:val="nil"/>
            </w:tcBorders>
            <w:shd w:val="clear" w:color="auto" w:fill="D0D1D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3356" w:type="dxa"/>
            <w:tcBorders>
              <w:left w:val="nil"/>
              <w:bottom w:val="single" w:sz="4" w:space="0" w:color="244062"/>
              <w:right w:val="nil"/>
            </w:tcBorders>
            <w:shd w:val="clear" w:color="auto" w:fill="E5E9EB"/>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21" w:type="dxa"/>
            <w:tcBorders>
              <w:left w:val="nil"/>
              <w:bottom w:val="single" w:sz="4" w:space="0" w:color="244062"/>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830" w:type="dxa"/>
            <w:tcBorders>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1"/>
        <w:numPr>
          <w:ilvl w:val="0"/>
          <w:numId w:val="0"/>
        </w:numPr>
        <w:ind w:left="357" w:hanging="357"/>
      </w:pPr>
      <w:bookmarkStart w:id="96" w:name="_Ref477512957"/>
      <w:bookmarkStart w:id="97" w:name="_Toc477515034"/>
      <w:bookmarkStart w:id="98" w:name="_Toc478774518"/>
      <w:r w:rsidRPr="00BB33CC">
        <w:t xml:space="preserve">5. </w:t>
      </w:r>
      <w:r w:rsidR="002E1156" w:rsidRPr="00BB33CC">
        <w:t>ESTADO DE LA PLANTA DEL OPERADOR</w:t>
      </w:r>
      <w:bookmarkEnd w:id="96"/>
      <w:bookmarkEnd w:id="97"/>
      <w:bookmarkEnd w:id="98"/>
    </w:p>
    <w:p w:rsidR="002E1156" w:rsidRPr="00BB33CC" w:rsidRDefault="002E1156" w:rsidP="002B6C9A">
      <w:pPr>
        <w:pStyle w:val="Normalresolucion"/>
        <w:spacing w:after="0" w:line="276" w:lineRule="auto"/>
      </w:pPr>
      <w:r w:rsidRPr="00BB33CC">
        <w:t>En esta sección se incluyen los reportes relativos a la información de la planta de activos de los concesionarios</w:t>
      </w:r>
      <w:r w:rsidR="000C145F" w:rsidRPr="00BB33CC">
        <w:t xml:space="preserve"> y/o autorizados</w:t>
      </w:r>
      <w:r w:rsidRPr="00BB33CC">
        <w:t>.</w:t>
      </w:r>
    </w:p>
    <w:p w:rsidR="002E1156" w:rsidRPr="00BB33CC" w:rsidRDefault="002E1156" w:rsidP="002B6C9A">
      <w:pPr>
        <w:pStyle w:val="Normalresolucion"/>
        <w:spacing w:after="0" w:line="276" w:lineRule="auto"/>
      </w:pPr>
      <w:r w:rsidRPr="00BB33CC">
        <w:t>Concretamente, se solicitan los siguientes tres rubros de información:</w:t>
      </w:r>
    </w:p>
    <w:p w:rsidR="002E1156" w:rsidRPr="00BB33CC" w:rsidRDefault="002E1156" w:rsidP="002B6C9A">
      <w:pPr>
        <w:pStyle w:val="Indentadoresolucin"/>
        <w:spacing w:before="240" w:line="276" w:lineRule="auto"/>
      </w:pPr>
      <w:r w:rsidRPr="00BB33CC">
        <w:lastRenderedPageBreak/>
        <w:t>Información detallada por activo,</w:t>
      </w:r>
    </w:p>
    <w:p w:rsidR="002E1156" w:rsidRPr="00BB33CC" w:rsidRDefault="002E1156" w:rsidP="002B6C9A">
      <w:pPr>
        <w:pStyle w:val="Indentadoresolucin"/>
        <w:spacing w:before="240" w:line="276" w:lineRule="auto"/>
      </w:pPr>
      <w:r w:rsidRPr="00BB33CC">
        <w:t>Actividad inversora (y desinversora) por activo, e</w:t>
      </w:r>
    </w:p>
    <w:p w:rsidR="002E1156" w:rsidRPr="00BB33CC" w:rsidRDefault="002E1156" w:rsidP="002B6C9A">
      <w:pPr>
        <w:pStyle w:val="Indentadoresolucin"/>
        <w:spacing w:before="240" w:line="276" w:lineRule="auto"/>
      </w:pPr>
      <w:r w:rsidRPr="00BB33CC">
        <w:t>Informe de valoración a costos.</w:t>
      </w:r>
    </w:p>
    <w:p w:rsidR="002E1156" w:rsidRPr="00BB33CC" w:rsidRDefault="00674BDD" w:rsidP="00776A41">
      <w:pPr>
        <w:pStyle w:val="A3L2"/>
        <w:numPr>
          <w:ilvl w:val="0"/>
          <w:numId w:val="0"/>
        </w:numPr>
        <w:ind w:left="792" w:hanging="792"/>
      </w:pPr>
      <w:bookmarkStart w:id="99" w:name="_Toc475468524"/>
      <w:bookmarkStart w:id="100" w:name="_Toc477515035"/>
      <w:bookmarkStart w:id="101" w:name="_Toc478774519"/>
      <w:r w:rsidRPr="00BB33CC">
        <w:t xml:space="preserve">5.1 </w:t>
      </w:r>
      <w:r w:rsidR="002E1156" w:rsidRPr="00BB33CC">
        <w:t>Información detallada por activo</w:t>
      </w:r>
      <w:bookmarkEnd w:id="99"/>
      <w:bookmarkEnd w:id="100"/>
      <w:bookmarkEnd w:id="101"/>
    </w:p>
    <w:p w:rsidR="002E1156" w:rsidRPr="00BB33CC" w:rsidRDefault="002E1156" w:rsidP="002B6C9A">
      <w:pPr>
        <w:pStyle w:val="Normalresolucion"/>
        <w:keepNext/>
        <w:keepLines/>
        <w:spacing w:after="0" w:line="276" w:lineRule="auto"/>
      </w:pPr>
      <w:r w:rsidRPr="00BB33CC">
        <w:t>El siguiente formato deberá contener los principales parámetros contables por cuentas de activo (las cuales deben responder a la desagregación mínima de las cuentas de “</w:t>
      </w:r>
      <w:r w:rsidR="001B7FD0" w:rsidRPr="00BB33CC">
        <w:t>Capital empleado y c</w:t>
      </w:r>
      <w:r w:rsidRPr="00BB33CC">
        <w:t xml:space="preserve">ostos asociados al </w:t>
      </w:r>
      <w:r w:rsidR="001B7FD0" w:rsidRPr="00BB33CC">
        <w:t>mismo</w:t>
      </w:r>
      <w:r w:rsidRPr="00BB33CC">
        <w:t>” de Nivel 1 indicada en el A</w:t>
      </w:r>
      <w:r w:rsidR="004F44BF" w:rsidRPr="00BB33CC">
        <w:t>PARTADO I</w:t>
      </w:r>
      <w:r w:rsidRPr="00BB33CC">
        <w:t>).</w:t>
      </w:r>
    </w:p>
    <w:p w:rsidR="002E1156" w:rsidRPr="00BB33CC" w:rsidRDefault="002E1156" w:rsidP="002E1156">
      <w:pPr>
        <w:pStyle w:val="Descripcin"/>
        <w:keepNext/>
        <w:keepLines/>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bCs w:val="0"/>
          <w:iCs/>
          <w:sz w:val="20"/>
        </w:rPr>
        <w:fldChar w:fldCharType="begin"/>
      </w:r>
      <w:r w:rsidRPr="00BB33CC">
        <w:rPr>
          <w:rFonts w:ascii="ITC Avant Garde" w:hAnsi="ITC Avant Garde"/>
          <w:bCs w:val="0"/>
          <w:iCs/>
          <w:sz w:val="20"/>
          <w:lang w:val="es-MX"/>
        </w:rPr>
        <w:instrText xml:space="preserve"> SEQ Formato_A3. \* ARABIC </w:instrText>
      </w:r>
      <w:r w:rsidRPr="00BB33CC">
        <w:rPr>
          <w:rFonts w:ascii="ITC Avant Garde" w:hAnsi="ITC Avant Garde"/>
          <w:bCs w:val="0"/>
          <w:iCs/>
          <w:sz w:val="20"/>
        </w:rPr>
        <w:fldChar w:fldCharType="separate"/>
      </w:r>
      <w:r w:rsidRPr="00BB33CC">
        <w:rPr>
          <w:rFonts w:ascii="ITC Avant Garde" w:hAnsi="ITC Avant Garde"/>
          <w:bCs w:val="0"/>
          <w:iCs/>
          <w:noProof/>
          <w:sz w:val="20"/>
          <w:lang w:val="es-MX"/>
        </w:rPr>
        <w:t>16</w:t>
      </w:r>
      <w:r w:rsidRPr="00BB33CC">
        <w:rPr>
          <w:rFonts w:ascii="ITC Avant Garde" w:hAnsi="ITC Avant Garde"/>
          <w:bCs w:val="0"/>
          <w:iCs/>
          <w:sz w:val="20"/>
        </w:rPr>
        <w:fldChar w:fldCharType="end"/>
      </w:r>
      <w:r w:rsidRPr="00BB33CC">
        <w:rPr>
          <w:rFonts w:ascii="ITC Avant Garde" w:hAnsi="ITC Avant Garde"/>
          <w:iCs/>
          <w:sz w:val="20"/>
          <w:lang w:val="es-MX"/>
        </w:rPr>
        <w:t>: Información detallada por categoría de activo</w:t>
      </w:r>
    </w:p>
    <w:tbl>
      <w:tblPr>
        <w:tblpPr w:leftFromText="141" w:rightFromText="141" w:vertAnchor="text" w:tblpXSpec="center" w:tblpY="1"/>
        <w:tblOverlap w:val="never"/>
        <w:tblW w:w="6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7"/>
        <w:gridCol w:w="709"/>
        <w:gridCol w:w="709"/>
        <w:gridCol w:w="837"/>
        <w:gridCol w:w="14"/>
        <w:gridCol w:w="838"/>
        <w:gridCol w:w="37"/>
        <w:gridCol w:w="1239"/>
        <w:gridCol w:w="14"/>
        <w:gridCol w:w="992"/>
        <w:gridCol w:w="14"/>
        <w:gridCol w:w="1107"/>
        <w:gridCol w:w="14"/>
        <w:gridCol w:w="1417"/>
        <w:gridCol w:w="993"/>
      </w:tblGrid>
      <w:tr w:rsidR="002E1156" w:rsidRPr="00BB33CC" w:rsidTr="00674BDD">
        <w:trPr>
          <w:trHeight w:val="828"/>
        </w:trPr>
        <w:tc>
          <w:tcPr>
            <w:tcW w:w="2880" w:type="dxa"/>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Categoría de activo</w:t>
            </w:r>
            <w:r w:rsidRPr="00BB33CC">
              <w:rPr>
                <w:rFonts w:ascii="ITC Avant Garde" w:eastAsia="Times New Roman" w:hAnsi="ITC Avant Garde" w:cs="Arial"/>
                <w:b/>
                <w:color w:val="FFFFFF" w:themeColor="background1"/>
                <w:sz w:val="18"/>
                <w:vertAlign w:val="superscript"/>
                <w:lang w:val="es-ES" w:eastAsia="es-ES"/>
              </w:rPr>
              <w:footnoteReference w:id="136"/>
            </w:r>
          </w:p>
        </w:tc>
        <w:tc>
          <w:tcPr>
            <w:tcW w:w="720" w:type="dxa"/>
            <w:tcBorders>
              <w:top w:val="nil"/>
              <w:left w:val="single" w:sz="4" w:space="0" w:color="FFFFFF" w:themeColor="background1"/>
              <w:bottom w:val="nil"/>
              <w:right w:val="single" w:sz="4" w:space="0" w:color="FFFFFF" w:themeColor="background1"/>
            </w:tcBorders>
            <w:shd w:val="clear" w:color="auto" w:fill="4F629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Vida útil</w:t>
            </w:r>
          </w:p>
        </w:tc>
        <w:tc>
          <w:tcPr>
            <w:tcW w:w="720" w:type="dxa"/>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Valor bruto</w:t>
            </w:r>
          </w:p>
        </w:tc>
        <w:tc>
          <w:tcPr>
            <w:tcW w:w="864"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 xml:space="preserve">Valor neto </w:t>
            </w:r>
          </w:p>
        </w:tc>
        <w:tc>
          <w:tcPr>
            <w:tcW w:w="889"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Amort.</w:t>
            </w:r>
            <w:r w:rsidRPr="00BB33CC">
              <w:rPr>
                <w:rStyle w:val="Refdenotaalpie"/>
                <w:rFonts w:ascii="ITC Avant Garde" w:eastAsia="Times New Roman" w:hAnsi="ITC Avant Garde" w:cs="Arial"/>
                <w:b/>
                <w:color w:val="FFFFFF" w:themeColor="background1"/>
                <w:sz w:val="18"/>
                <w:lang w:val="es-ES" w:eastAsia="es-ES"/>
              </w:rPr>
              <w:footnoteReference w:id="137"/>
            </w:r>
          </w:p>
        </w:tc>
        <w:tc>
          <w:tcPr>
            <w:tcW w:w="1274"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Planta totalmente amortizada</w:t>
            </w:r>
          </w:p>
        </w:tc>
        <w:tc>
          <w:tcPr>
            <w:tcW w:w="1022"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Depr. Supl.</w:t>
            </w:r>
            <w:r w:rsidRPr="00BB33CC">
              <w:rPr>
                <w:rStyle w:val="Refdenotaalpie"/>
                <w:rFonts w:ascii="ITC Avant Garde" w:eastAsia="Times New Roman" w:hAnsi="ITC Avant Garde" w:cs="Arial"/>
                <w:b/>
                <w:color w:val="FFFFFF" w:themeColor="background1"/>
                <w:sz w:val="18"/>
                <w:lang w:val="es-ES" w:eastAsia="es-ES"/>
              </w:rPr>
              <w:footnoteReference w:id="138"/>
            </w:r>
          </w:p>
        </w:tc>
        <w:tc>
          <w:tcPr>
            <w:tcW w:w="1140"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Ganancias/</w:t>
            </w:r>
            <w:r w:rsidRPr="00BB33CC">
              <w:rPr>
                <w:rFonts w:ascii="ITC Avant Garde" w:eastAsia="Times New Roman" w:hAnsi="ITC Avant Garde" w:cs="Arial"/>
                <w:b/>
                <w:color w:val="FFFFFF" w:themeColor="background1"/>
                <w:sz w:val="18"/>
                <w:lang w:val="es-ES" w:eastAsia="es-ES"/>
              </w:rPr>
              <w:br/>
              <w:t>Pérdidas posesión</w:t>
            </w:r>
          </w:p>
        </w:tc>
        <w:tc>
          <w:tcPr>
            <w:tcW w:w="1442" w:type="dxa"/>
            <w:tcBorders>
              <w:top w:val="nil"/>
              <w:left w:val="single" w:sz="4" w:space="0" w:color="FFFFFF" w:themeColor="background1"/>
              <w:bottom w:val="nil"/>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Cargos de depreciación</w:t>
            </w:r>
          </w:p>
        </w:tc>
        <w:tc>
          <w:tcPr>
            <w:tcW w:w="1009" w:type="dxa"/>
            <w:tcBorders>
              <w:top w:val="nil"/>
              <w:left w:val="single" w:sz="4" w:space="0" w:color="FFFFFF" w:themeColor="background1"/>
              <w:bottom w:val="nil"/>
              <w:right w:val="single" w:sz="4" w:space="0" w:color="FFFFFF" w:themeColor="background1"/>
            </w:tcBorders>
            <w:shd w:val="clear" w:color="auto" w:fill="4F629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BB33CC">
              <w:rPr>
                <w:rFonts w:ascii="ITC Avant Garde" w:eastAsia="Times New Roman" w:hAnsi="ITC Avant Garde" w:cs="Arial"/>
                <w:b/>
                <w:color w:val="FFFFFF" w:themeColor="background1"/>
                <w:sz w:val="18"/>
                <w:lang w:val="es-ES" w:eastAsia="es-ES"/>
              </w:rPr>
              <w:t>Costo de capital</w:t>
            </w:r>
          </w:p>
        </w:tc>
      </w:tr>
      <w:tr w:rsidR="002E1156" w:rsidRPr="00BB33CC" w:rsidTr="00674BDD">
        <w:trPr>
          <w:trHeight w:val="310"/>
        </w:trPr>
        <w:tc>
          <w:tcPr>
            <w:tcW w:w="288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Activos Intangibles</w:t>
            </w:r>
          </w:p>
        </w:tc>
        <w:tc>
          <w:tcPr>
            <w:tcW w:w="720" w:type="dxa"/>
            <w:tcBorders>
              <w:top w:val="single" w:sz="4" w:space="0" w:color="244062"/>
              <w:left w:val="nil"/>
              <w:right w:val="nil"/>
            </w:tcBorders>
            <w:shd w:val="clear" w:color="auto" w:fill="E5E9EB"/>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top w:val="single" w:sz="4" w:space="0" w:color="244062"/>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top w:val="single" w:sz="4" w:space="0" w:color="244062"/>
              <w:left w:val="nil"/>
              <w:right w:val="nil"/>
            </w:tcBorders>
            <w:shd w:val="clear" w:color="auto" w:fill="E5E9EB"/>
            <w:noWrap/>
            <w:vAlign w:val="center"/>
            <w:hideMark/>
          </w:tcPr>
          <w:p w:rsidR="002E1156" w:rsidRPr="00BB33CC" w:rsidRDefault="002E1156" w:rsidP="00674BDD">
            <w:pPr>
              <w:keepNext/>
              <w:keepLines/>
              <w:rPr>
                <w:rFonts w:ascii="ITC Avant Garde" w:hAnsi="ITC Avant Garde"/>
                <w:sz w:val="20"/>
                <w:lang w:val="es-ES"/>
              </w:rPr>
            </w:pPr>
          </w:p>
        </w:tc>
        <w:tc>
          <w:tcPr>
            <w:tcW w:w="865" w:type="dxa"/>
            <w:gridSpan w:val="2"/>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c>
          <w:tcPr>
            <w:tcW w:w="1298" w:type="dxa"/>
            <w:gridSpan w:val="2"/>
            <w:tcBorders>
              <w:top w:val="single" w:sz="4" w:space="0" w:color="244062"/>
              <w:left w:val="nil"/>
              <w:right w:val="nil"/>
            </w:tcBorders>
            <w:shd w:val="clear" w:color="auto" w:fill="E5E9EB"/>
            <w:noWrap/>
            <w:vAlign w:val="center"/>
            <w:hideMark/>
          </w:tcPr>
          <w:p w:rsidR="002E1156" w:rsidRPr="00BB33CC" w:rsidRDefault="002E1156" w:rsidP="00674BDD">
            <w:pPr>
              <w:keepNext/>
              <w:keepLines/>
              <w:spacing w:after="0"/>
              <w:rPr>
                <w:rFonts w:ascii="ITC Avant Garde" w:hAnsi="ITC Avant Garde"/>
                <w:sz w:val="20"/>
                <w:lang w:val="en-GB"/>
              </w:rPr>
            </w:pPr>
          </w:p>
        </w:tc>
        <w:tc>
          <w:tcPr>
            <w:tcW w:w="1022" w:type="dxa"/>
            <w:gridSpan w:val="2"/>
            <w:tcBorders>
              <w:top w:val="single" w:sz="4" w:space="0" w:color="244062"/>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top w:val="single" w:sz="4" w:space="0" w:color="244062"/>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top w:val="single" w:sz="4" w:space="0" w:color="244062"/>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top w:val="single" w:sz="4" w:space="0" w:color="244062"/>
              <w:left w:val="nil"/>
              <w:right w:val="nil"/>
            </w:tcBorders>
            <w:shd w:val="clear" w:color="auto" w:fill="E5E9EB"/>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Propiedad industrial</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hideMark/>
          </w:tcPr>
          <w:p w:rsidR="002E1156" w:rsidRPr="00BB33CC" w:rsidRDefault="002E1156" w:rsidP="00674BDD">
            <w:pPr>
              <w:keepNext/>
              <w:keepLines/>
              <w:rPr>
                <w:rFonts w:ascii="ITC Avant Garde" w:hAnsi="ITC Avant Garde"/>
                <w:sz w:val="20"/>
                <w:lang w:val="es-ES"/>
              </w:rPr>
            </w:pPr>
          </w:p>
        </w:tc>
        <w:tc>
          <w:tcPr>
            <w:tcW w:w="865" w:type="dxa"/>
            <w:gridSpan w:val="2"/>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c>
          <w:tcPr>
            <w:tcW w:w="1298" w:type="dxa"/>
            <w:gridSpan w:val="2"/>
            <w:tcBorders>
              <w:left w:val="nil"/>
              <w:right w:val="nil"/>
            </w:tcBorders>
            <w:noWrap/>
            <w:vAlign w:val="center"/>
            <w:hideMark/>
          </w:tcPr>
          <w:p w:rsidR="002E1156" w:rsidRPr="00BB33CC" w:rsidRDefault="002E1156" w:rsidP="00674BDD">
            <w:pPr>
              <w:keepNext/>
              <w:keepLines/>
              <w:spacing w:after="0"/>
              <w:rPr>
                <w:rFonts w:ascii="ITC Avant Garde" w:hAnsi="ITC Avant Garde"/>
                <w:sz w:val="20"/>
                <w:lang w:val="en-GB"/>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Aplicaciones informáticas</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hideMark/>
          </w:tcPr>
          <w:p w:rsidR="002E1156" w:rsidRPr="00BB33CC" w:rsidRDefault="002E1156" w:rsidP="00674BDD">
            <w:pPr>
              <w:keepNext/>
              <w:keepLines/>
              <w:rPr>
                <w:rFonts w:ascii="ITC Avant Garde" w:hAnsi="ITC Avant Garde"/>
                <w:sz w:val="20"/>
                <w:lang w:val="es-ES"/>
              </w:rPr>
            </w:pPr>
          </w:p>
        </w:tc>
        <w:tc>
          <w:tcPr>
            <w:tcW w:w="865" w:type="dxa"/>
            <w:gridSpan w:val="2"/>
            <w:tcBorders>
              <w:left w:val="nil"/>
              <w:right w:val="nil"/>
            </w:tcBorders>
            <w:noWrap/>
            <w:vAlign w:val="center"/>
            <w:hideMark/>
          </w:tcPr>
          <w:p w:rsidR="002E1156" w:rsidRPr="00BB33CC" w:rsidRDefault="002E1156" w:rsidP="00674BDD">
            <w:pPr>
              <w:keepNext/>
              <w:keepLines/>
              <w:spacing w:after="0"/>
              <w:rPr>
                <w:rFonts w:ascii="ITC Avant Garde" w:hAnsi="ITC Avant Garde"/>
                <w:sz w:val="20"/>
                <w:szCs w:val="20"/>
                <w:lang w:val="en-GB" w:eastAsia="en-GB"/>
              </w:rPr>
            </w:pPr>
          </w:p>
        </w:tc>
        <w:tc>
          <w:tcPr>
            <w:tcW w:w="1298" w:type="dxa"/>
            <w:gridSpan w:val="2"/>
            <w:tcBorders>
              <w:left w:val="nil"/>
              <w:right w:val="nil"/>
            </w:tcBorders>
            <w:noWrap/>
            <w:vAlign w:val="center"/>
            <w:hideMark/>
          </w:tcPr>
          <w:p w:rsidR="002E1156" w:rsidRPr="00BB33CC" w:rsidRDefault="002E1156" w:rsidP="00674BDD">
            <w:pPr>
              <w:keepNext/>
              <w:keepLines/>
              <w:spacing w:after="0"/>
              <w:rPr>
                <w:rFonts w:ascii="ITC Avant Garde" w:hAnsi="ITC Avant Garde"/>
                <w:sz w:val="20"/>
                <w:lang w:val="en-GB"/>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Activos Tangibles</w:t>
            </w:r>
          </w:p>
        </w:tc>
        <w:tc>
          <w:tcPr>
            <w:tcW w:w="720" w:type="dxa"/>
            <w:tcBorders>
              <w:left w:val="nil"/>
              <w:right w:val="nil"/>
            </w:tcBorders>
            <w:shd w:val="clear" w:color="auto" w:fill="E5E9EB"/>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shd w:val="clear" w:color="auto" w:fill="E5E9EB"/>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Inversión en terrenos y edificios</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Sistemas de alimentación de energía</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sobre cobre</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sobre fibra</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720"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10"/>
        </w:trPr>
        <w:tc>
          <w:tcPr>
            <w:tcW w:w="2880" w:type="dxa"/>
            <w:tcBorders>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TOTAL</w:t>
            </w:r>
          </w:p>
        </w:tc>
        <w:tc>
          <w:tcPr>
            <w:tcW w:w="720" w:type="dxa"/>
            <w:tcBorders>
              <w:left w:val="nil"/>
              <w:bottom w:val="single" w:sz="4" w:space="0" w:color="244062"/>
              <w:right w:val="nil"/>
            </w:tcBorders>
            <w:shd w:val="clear" w:color="auto" w:fill="E5E9EB"/>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bottom w:val="single" w:sz="4" w:space="0" w:color="244062"/>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bottom w:val="single" w:sz="4" w:space="0" w:color="244062"/>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bottom w:val="single" w:sz="4" w:space="0" w:color="244062"/>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bottom w:val="single" w:sz="4" w:space="0" w:color="244062"/>
              <w:right w:val="nil"/>
            </w:tcBorders>
            <w:shd w:val="clear" w:color="auto" w:fill="E5E9EB"/>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bottom w:val="single" w:sz="4" w:space="0" w:color="244062"/>
              <w:right w:val="nil"/>
            </w:tcBorders>
            <w:shd w:val="clear" w:color="auto" w:fill="E5E9EB"/>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2"/>
        <w:numPr>
          <w:ilvl w:val="0"/>
          <w:numId w:val="0"/>
        </w:numPr>
        <w:ind w:left="792" w:hanging="792"/>
      </w:pPr>
      <w:bookmarkStart w:id="102" w:name="_Toc475468525"/>
      <w:bookmarkStart w:id="103" w:name="_Toc477515036"/>
      <w:bookmarkStart w:id="104" w:name="_Toc478774520"/>
      <w:r w:rsidRPr="00BB33CC">
        <w:t xml:space="preserve">5.2 </w:t>
      </w:r>
      <w:r w:rsidR="002E1156" w:rsidRPr="00BB33CC">
        <w:t>Actividad inversora (y desinversora) por activo</w:t>
      </w:r>
      <w:bookmarkEnd w:id="102"/>
      <w:bookmarkEnd w:id="103"/>
      <w:bookmarkEnd w:id="104"/>
    </w:p>
    <w:p w:rsidR="002E1156" w:rsidRPr="00BB33CC" w:rsidRDefault="002E1156" w:rsidP="002B6C9A">
      <w:pPr>
        <w:pStyle w:val="Normalresolucion"/>
        <w:spacing w:after="0" w:line="276" w:lineRule="auto"/>
      </w:pPr>
      <w:r w:rsidRPr="00BB33CC">
        <w:t xml:space="preserve">El siguiente formato deberá contener el valor bruto (o valor de reposición en el caso de CCA) de adquisiciones, bajas y traspasos por cuentas de activo (las cuales </w:t>
      </w:r>
      <w:r w:rsidRPr="00BB33CC">
        <w:lastRenderedPageBreak/>
        <w:t>deberán responder a la desagregación mínima de las cuentas de “</w:t>
      </w:r>
      <w:r w:rsidR="00AE6BDB" w:rsidRPr="00BB33CC">
        <w:t>Capital empleado y c</w:t>
      </w:r>
      <w:r w:rsidRPr="00BB33CC">
        <w:t xml:space="preserve">ostos asociados al </w:t>
      </w:r>
      <w:r w:rsidR="00AE6BDB" w:rsidRPr="00BB33CC">
        <w:t>mismo</w:t>
      </w:r>
      <w:r w:rsidRPr="00BB33CC">
        <w:t xml:space="preserve">” de Nivel 1 indicada en el </w:t>
      </w:r>
      <w:r w:rsidR="00BD7B42" w:rsidRPr="00BB33CC">
        <w:t>APARTADO I</w:t>
      </w:r>
      <w:r w:rsidRPr="00BB33CC">
        <w:t>).</w:t>
      </w:r>
    </w:p>
    <w:p w:rsidR="002E1156" w:rsidRPr="00BB33CC" w:rsidRDefault="002E1156" w:rsidP="002E1156">
      <w:pPr>
        <w:pStyle w:val="Descripcin"/>
        <w:spacing w:after="240" w:line="240" w:lineRule="auto"/>
        <w:rPr>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17</w:t>
      </w:r>
      <w:r w:rsidRPr="00BB33CC">
        <w:rPr>
          <w:rFonts w:ascii="ITC Avant Garde" w:hAnsi="ITC Avant Garde"/>
          <w:iCs/>
          <w:sz w:val="20"/>
          <w:lang w:val="es-MX"/>
        </w:rPr>
        <w:fldChar w:fldCharType="end"/>
      </w:r>
      <w:r w:rsidRPr="00BB33CC">
        <w:rPr>
          <w:rFonts w:ascii="ITC Avant Garde" w:hAnsi="ITC Avant Garde"/>
          <w:iCs/>
          <w:sz w:val="20"/>
          <w:lang w:val="es-MX"/>
        </w:rPr>
        <w:t>: Actividad inversora (y desinversora) por categoría de activo</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3"/>
        <w:gridCol w:w="1226"/>
        <w:gridCol w:w="1226"/>
        <w:gridCol w:w="1226"/>
        <w:gridCol w:w="1226"/>
        <w:gridCol w:w="1226"/>
      </w:tblGrid>
      <w:tr w:rsidR="002E1156" w:rsidRPr="00BB33CC" w:rsidTr="00674BDD">
        <w:trPr>
          <w:trHeight w:val="828"/>
          <w:jc w:val="center"/>
        </w:trPr>
        <w:tc>
          <w:tcPr>
            <w:tcW w:w="355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Categoría de activo</w:t>
            </w:r>
            <w:r w:rsidRPr="00BB33CC">
              <w:rPr>
                <w:rStyle w:val="Refdenotaalpie"/>
                <w:rFonts w:ascii="ITC Avant Garde" w:eastAsia="Times New Roman" w:hAnsi="ITC Avant Garde" w:cs="Arial"/>
                <w:b/>
                <w:color w:val="FFFFFF" w:themeColor="background1"/>
                <w:sz w:val="20"/>
                <w:lang w:val="es-ES" w:eastAsia="es-ES"/>
              </w:rPr>
              <w:footnoteReference w:id="139"/>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Valor bruto</w:t>
            </w:r>
            <w:r w:rsidRPr="00BB33CC">
              <w:rPr>
                <w:rFonts w:ascii="ITC Avant Garde" w:eastAsia="Times New Roman" w:hAnsi="ITC Avant Garde" w:cs="Arial"/>
                <w:b/>
                <w:color w:val="FFFFFF" w:themeColor="background1"/>
                <w:sz w:val="20"/>
                <w:lang w:val="es-ES" w:eastAsia="es-ES"/>
              </w:rPr>
              <w:br/>
              <w:t>31-dic</w:t>
            </w:r>
            <w:r w:rsidRPr="00BB33CC">
              <w:rPr>
                <w:rFonts w:ascii="ITC Avant Garde" w:eastAsia="Times New Roman" w:hAnsi="ITC Avant Garde" w:cs="Arial"/>
                <w:b/>
                <w:color w:val="FFFFFF" w:themeColor="background1"/>
                <w:sz w:val="20"/>
                <w:lang w:val="es-ES" w:eastAsia="es-ES"/>
              </w:rPr>
              <w:br/>
              <w:t>(</w:t>
            </w:r>
            <w:r w:rsidRPr="00BB33CC">
              <w:rPr>
                <w:rFonts w:ascii="ITC Avant Garde" w:hAnsi="ITC Avant Garde"/>
                <w:b/>
                <w:color w:val="FFFFFF" w:themeColor="background1"/>
                <w:sz w:val="18"/>
                <w:lang w:val="es-ES"/>
              </w:rPr>
              <w:t>ejercicio anterior</w:t>
            </w:r>
            <w:r w:rsidRPr="00BB33CC">
              <w:rPr>
                <w:rFonts w:ascii="ITC Avant Garde" w:eastAsia="Times New Roman" w:hAnsi="ITC Avant Garde" w:cs="Arial"/>
                <w:b/>
                <w:color w:val="FFFFFF" w:themeColor="background1"/>
                <w:sz w:val="20"/>
                <w:lang w:val="es-ES" w:eastAsia="es-ES"/>
              </w:rPr>
              <w:t>)</w:t>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Adq.</w:t>
            </w:r>
            <w:r w:rsidRPr="00BB33CC">
              <w:rPr>
                <w:rStyle w:val="Refdenotaalpie"/>
                <w:rFonts w:ascii="ITC Avant Garde" w:eastAsia="Times New Roman" w:hAnsi="ITC Avant Garde" w:cs="Arial"/>
                <w:b/>
                <w:color w:val="FFFFFF" w:themeColor="background1"/>
                <w:sz w:val="20"/>
                <w:lang w:val="es-ES" w:eastAsia="es-ES"/>
              </w:rPr>
              <w:footnoteReference w:id="140"/>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Bajas</w:t>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Traspasos</w:t>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Valor bruto</w:t>
            </w:r>
            <w:r w:rsidRPr="00BB33CC">
              <w:rPr>
                <w:rFonts w:ascii="ITC Avant Garde" w:eastAsia="Times New Roman" w:hAnsi="ITC Avant Garde" w:cs="Arial"/>
                <w:b/>
                <w:color w:val="FFFFFF" w:themeColor="background1"/>
                <w:sz w:val="20"/>
                <w:lang w:val="es-ES" w:eastAsia="es-ES"/>
              </w:rPr>
              <w:br/>
              <w:t>31-dic</w:t>
            </w:r>
            <w:r w:rsidRPr="00BB33CC">
              <w:rPr>
                <w:rFonts w:ascii="ITC Avant Garde" w:eastAsia="Times New Roman" w:hAnsi="ITC Avant Garde" w:cs="Arial"/>
                <w:b/>
                <w:color w:val="FFFFFF" w:themeColor="background1"/>
                <w:sz w:val="20"/>
                <w:lang w:val="es-ES" w:eastAsia="es-ES"/>
              </w:rPr>
              <w:br/>
              <w:t>(</w:t>
            </w:r>
            <w:r w:rsidRPr="00BB33CC">
              <w:rPr>
                <w:rFonts w:ascii="ITC Avant Garde" w:hAnsi="ITC Avant Garde"/>
                <w:b/>
                <w:color w:val="FFFFFF" w:themeColor="background1"/>
                <w:sz w:val="18"/>
                <w:lang w:val="es-ES"/>
              </w:rPr>
              <w:t>ejercicio analizado</w:t>
            </w:r>
            <w:r w:rsidRPr="00BB33CC">
              <w:rPr>
                <w:rFonts w:ascii="ITC Avant Garde" w:eastAsia="Times New Roman" w:hAnsi="ITC Avant Garde" w:cs="Arial"/>
                <w:b/>
                <w:color w:val="FFFFFF" w:themeColor="background1"/>
                <w:sz w:val="20"/>
                <w:lang w:val="es-ES" w:eastAsia="es-ES"/>
              </w:rPr>
              <w:t>)</w:t>
            </w: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Activos Intangibles</w:t>
            </w: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Propiedad industrial</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Aplicaciones informáticas</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Activos Tangibles</w:t>
            </w: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Inversión en terrenos y edificios</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Sistemas de alimentación de energía</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Acometida o conexión al domicilio del usuario final</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secundaria de cobre</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00"/>
          <w:jc w:val="center"/>
        </w:trPr>
        <w:tc>
          <w:tcPr>
            <w:tcW w:w="3556"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TOTAL</w:t>
            </w: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2"/>
        <w:numPr>
          <w:ilvl w:val="0"/>
          <w:numId w:val="0"/>
        </w:numPr>
        <w:ind w:left="792" w:hanging="792"/>
      </w:pPr>
      <w:bookmarkStart w:id="105" w:name="_Toc475468526"/>
      <w:bookmarkStart w:id="106" w:name="_Toc477515037"/>
      <w:bookmarkStart w:id="107" w:name="_Toc478774521"/>
      <w:r w:rsidRPr="00BB33CC">
        <w:t xml:space="preserve">5.3 </w:t>
      </w:r>
      <w:r w:rsidR="002E1156" w:rsidRPr="00BB33CC">
        <w:t>Informe de valoración a costos actuales</w:t>
      </w:r>
      <w:bookmarkEnd w:id="105"/>
      <w:bookmarkEnd w:id="106"/>
      <w:bookmarkEnd w:id="107"/>
    </w:p>
    <w:p w:rsidR="002E1156" w:rsidRPr="00BB33CC" w:rsidRDefault="002E1156" w:rsidP="002B6C9A">
      <w:pPr>
        <w:pStyle w:val="Normalresolucion"/>
        <w:spacing w:after="0" w:line="276" w:lineRule="auto"/>
      </w:pPr>
      <w:r w:rsidRPr="00BB33CC">
        <w:t>Por último, en este reporte se deberán incluir los detalles de la valoración a costos actuales por activo, en aquellos casos en que se haya seguido el procedimiento de valoración absoluta, tal y como se detalla a continuación:</w:t>
      </w:r>
    </w:p>
    <w:p w:rsidR="002E1156" w:rsidRPr="00BB33CC" w:rsidRDefault="002E1156" w:rsidP="002E1156">
      <w:pPr>
        <w:pStyle w:val="Normalresolucion"/>
      </w:pPr>
    </w:p>
    <w:p w:rsidR="00BA6BEB" w:rsidRPr="00BB33CC" w:rsidRDefault="00BA6BEB" w:rsidP="002E1156">
      <w:pPr>
        <w:pStyle w:val="Normalresolucion"/>
      </w:pPr>
    </w:p>
    <w:p w:rsidR="00BA6BEB" w:rsidRDefault="00BA6BEB" w:rsidP="002E1156">
      <w:pPr>
        <w:pStyle w:val="Normalresolucion"/>
      </w:pPr>
    </w:p>
    <w:p w:rsidR="00207FB6" w:rsidRPr="00BB33CC" w:rsidRDefault="00207FB6" w:rsidP="002E1156">
      <w:pPr>
        <w:pStyle w:val="Normalresolucion"/>
      </w:pPr>
    </w:p>
    <w:p w:rsidR="002E1156" w:rsidRPr="00BB33CC" w:rsidRDefault="002E1156" w:rsidP="002E1156">
      <w:pPr>
        <w:pStyle w:val="Descripcin"/>
        <w:spacing w:after="240" w:line="240" w:lineRule="auto"/>
        <w:rPr>
          <w:rFonts w:ascii="ITC Avant Garde" w:hAnsi="ITC Avant Garde"/>
          <w:iCs/>
          <w:sz w:val="20"/>
          <w:lang w:val="es-MX"/>
        </w:rPr>
      </w:pPr>
      <w:r w:rsidRPr="00BB33CC">
        <w:rPr>
          <w:rFonts w:ascii="ITC Avant Garde" w:hAnsi="ITC Avant Garde"/>
          <w:iCs/>
          <w:sz w:val="20"/>
          <w:lang w:val="es-MX"/>
        </w:rPr>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18</w:t>
      </w:r>
      <w:r w:rsidRPr="00BB33CC">
        <w:rPr>
          <w:rFonts w:ascii="ITC Avant Garde" w:hAnsi="ITC Avant Garde"/>
          <w:iCs/>
          <w:sz w:val="20"/>
          <w:lang w:val="es-MX"/>
        </w:rPr>
        <w:fldChar w:fldCharType="end"/>
      </w:r>
      <w:r w:rsidRPr="00BB33CC">
        <w:rPr>
          <w:rFonts w:ascii="ITC Avant Garde" w:hAnsi="ITC Avant Garde"/>
          <w:iCs/>
          <w:sz w:val="20"/>
          <w:lang w:val="es-MX"/>
        </w:rPr>
        <w:t>: Informe de valoración a costos actuales</w:t>
      </w:r>
    </w:p>
    <w:tbl>
      <w:tblPr>
        <w:tblW w:w="4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3"/>
        <w:gridCol w:w="1358"/>
        <w:gridCol w:w="1358"/>
        <w:gridCol w:w="1358"/>
      </w:tblGrid>
      <w:tr w:rsidR="002E1156" w:rsidRPr="00BB33CC" w:rsidTr="00674BDD">
        <w:trPr>
          <w:trHeight w:val="828"/>
          <w:jc w:val="center"/>
        </w:trPr>
        <w:tc>
          <w:tcPr>
            <w:tcW w:w="3312"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lastRenderedPageBreak/>
              <w:t>Categoría de activo</w:t>
            </w:r>
            <w:r w:rsidRPr="00BB33CC">
              <w:rPr>
                <w:rStyle w:val="Refdenotaalpie"/>
                <w:rFonts w:ascii="ITC Avant Garde" w:eastAsia="Times New Roman" w:hAnsi="ITC Avant Garde" w:cs="Arial"/>
                <w:b/>
                <w:color w:val="FFFFFF" w:themeColor="background1"/>
                <w:sz w:val="20"/>
                <w:lang w:val="es-ES" w:eastAsia="es-ES"/>
              </w:rPr>
              <w:footnoteReference w:id="141"/>
            </w:r>
          </w:p>
        </w:tc>
        <w:tc>
          <w:tcPr>
            <w:tcW w:w="138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Precio Unitario</w:t>
            </w:r>
          </w:p>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(p)</w:t>
            </w:r>
          </w:p>
        </w:tc>
        <w:tc>
          <w:tcPr>
            <w:tcW w:w="138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Volumen de unidades</w:t>
            </w:r>
          </w:p>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(q)</w:t>
            </w:r>
          </w:p>
        </w:tc>
        <w:tc>
          <w:tcPr>
            <w:tcW w:w="138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rsidR="002E1156" w:rsidRPr="00BB33CC" w:rsidRDefault="002E1156" w:rsidP="00674BDD">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Valor de reposición (pxq)</w:t>
            </w: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Activos Intangibles</w:t>
            </w:r>
          </w:p>
        </w:tc>
        <w:tc>
          <w:tcPr>
            <w:tcW w:w="1380"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Propiedad industrial</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Aplicaciones informáticas</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before="40" w:after="40" w:line="240" w:lineRule="auto"/>
              <w:rPr>
                <w:rFonts w:ascii="ITC Avant Garde" w:hAnsi="ITC Avant Garde"/>
                <w:b/>
                <w:sz w:val="20"/>
                <w:lang w:val="es-ES"/>
              </w:rPr>
            </w:pPr>
            <w:r w:rsidRPr="00BB33CC">
              <w:rPr>
                <w:rFonts w:ascii="ITC Avant Garde" w:hAnsi="ITC Avant Garde"/>
                <w:b/>
                <w:sz w:val="20"/>
                <w:lang w:val="es-ES"/>
              </w:rPr>
              <w:t>Activos Tangibles</w:t>
            </w:r>
          </w:p>
        </w:tc>
        <w:tc>
          <w:tcPr>
            <w:tcW w:w="1380"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Inversión en terrenos y edificios</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Sistemas de alimentación de energía</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sobre cobre</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Red de acceso sobre fibra</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spacing w:before="40" w:after="40" w:line="240" w:lineRule="auto"/>
              <w:rPr>
                <w:rFonts w:ascii="ITC Avant Garde" w:eastAsia="Times New Roman" w:hAnsi="ITC Avant Garde" w:cs="Arial"/>
                <w:sz w:val="20"/>
                <w:lang w:val="es-ES" w:eastAsia="es-ES"/>
              </w:rPr>
            </w:pPr>
          </w:p>
        </w:tc>
      </w:tr>
      <w:tr w:rsidR="002E1156" w:rsidRPr="00BB33CC" w:rsidTr="00674BD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rsidR="002E1156" w:rsidRPr="00BB33CC" w:rsidRDefault="002E1156" w:rsidP="00674BDD">
            <w:pPr>
              <w:keepNext/>
              <w:keepLines/>
              <w:spacing w:before="40" w:after="4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rsidR="002E1156" w:rsidRPr="00BB33CC" w:rsidRDefault="002E1156" w:rsidP="00674BDD">
            <w:pPr>
              <w:keepNext/>
              <w:keepLines/>
              <w:spacing w:before="40" w:after="40" w:line="240" w:lineRule="auto"/>
              <w:jc w:val="center"/>
              <w:rPr>
                <w:rFonts w:ascii="ITC Avant Garde" w:eastAsia="Times New Roman" w:hAnsi="ITC Avant Garde" w:cs="Arial"/>
                <w:sz w:val="20"/>
                <w:lang w:val="es-ES" w:eastAsia="es-ES"/>
              </w:rPr>
            </w:pPr>
          </w:p>
        </w:tc>
      </w:tr>
    </w:tbl>
    <w:p w:rsidR="002E1156" w:rsidRPr="00BB33CC" w:rsidRDefault="00674BDD" w:rsidP="00776A41">
      <w:pPr>
        <w:pStyle w:val="A3L1"/>
        <w:numPr>
          <w:ilvl w:val="0"/>
          <w:numId w:val="0"/>
        </w:numPr>
        <w:ind w:left="357" w:hanging="357"/>
      </w:pPr>
      <w:bookmarkStart w:id="108" w:name="_Ref477512986"/>
      <w:bookmarkStart w:id="109" w:name="_Toc475468527"/>
      <w:bookmarkStart w:id="110" w:name="_Toc477515038"/>
      <w:bookmarkStart w:id="111" w:name="_Toc478774522"/>
      <w:r w:rsidRPr="00BB33CC">
        <w:t xml:space="preserve">6. </w:t>
      </w:r>
      <w:r w:rsidR="002E1156" w:rsidRPr="00BB33CC">
        <w:t>INFORMACIÓN DE CÁLCULO DEL WACC</w:t>
      </w:r>
      <w:bookmarkEnd w:id="108"/>
      <w:bookmarkEnd w:id="109"/>
      <w:bookmarkEnd w:id="110"/>
      <w:bookmarkEnd w:id="111"/>
    </w:p>
    <w:p w:rsidR="002E1156" w:rsidRPr="00BB33CC" w:rsidRDefault="002E1156" w:rsidP="002B6C9A">
      <w:pPr>
        <w:pStyle w:val="Normalresolucion"/>
        <w:spacing w:after="0" w:line="276" w:lineRule="auto"/>
      </w:pPr>
      <w:r w:rsidRPr="00BB33CC">
        <w:t>En el formato presentado a continuación, se deberá incluir el detalle del cálculo del WACC utilizado para el cálculo del retorno sobre el capital empleado en la separación contable, incluyendo los valores considerados para cada uno de los parámetros de la metodología CAPM:</w:t>
      </w:r>
    </w:p>
    <w:p w:rsidR="002E1156" w:rsidRPr="00BB33CC" w:rsidRDefault="002E1156" w:rsidP="002E1156">
      <w:pPr>
        <w:pStyle w:val="Normalresolucion"/>
      </w:pPr>
    </w:p>
    <w:p w:rsidR="002E1156" w:rsidRPr="00BB33CC" w:rsidRDefault="002E1156" w:rsidP="002E1156">
      <w:pPr>
        <w:pStyle w:val="Normalresolucion"/>
      </w:pPr>
    </w:p>
    <w:p w:rsidR="002E1156" w:rsidRPr="00BB33CC" w:rsidRDefault="002E1156" w:rsidP="002E1156">
      <w:pPr>
        <w:pStyle w:val="Normalresolucion"/>
      </w:pPr>
    </w:p>
    <w:p w:rsidR="002E1156" w:rsidRPr="00BB33CC" w:rsidRDefault="002E1156" w:rsidP="002E1156">
      <w:pPr>
        <w:pStyle w:val="Normalresolucion"/>
      </w:pPr>
    </w:p>
    <w:p w:rsidR="002E1156" w:rsidRPr="00BB33CC" w:rsidRDefault="002E1156" w:rsidP="002E1156">
      <w:pPr>
        <w:pStyle w:val="Normalresolucion"/>
      </w:pPr>
    </w:p>
    <w:p w:rsidR="002E1156" w:rsidRPr="00BB33CC" w:rsidRDefault="002E1156" w:rsidP="002E1156">
      <w:pPr>
        <w:pStyle w:val="Normalresolucion"/>
      </w:pPr>
    </w:p>
    <w:p w:rsidR="002E1156" w:rsidRPr="00BB33CC" w:rsidRDefault="002E1156" w:rsidP="002E1156">
      <w:pPr>
        <w:pStyle w:val="Normalresolucion"/>
      </w:pPr>
    </w:p>
    <w:p w:rsidR="002E1156" w:rsidRPr="00BB33CC" w:rsidRDefault="002E1156" w:rsidP="002E1156">
      <w:pPr>
        <w:pStyle w:val="Normalresolucion"/>
      </w:pPr>
    </w:p>
    <w:p w:rsidR="002E1156" w:rsidRPr="00BB33CC" w:rsidRDefault="002E1156" w:rsidP="002E1156">
      <w:pPr>
        <w:pStyle w:val="Descripcin"/>
        <w:keepNext/>
        <w:keepLines/>
        <w:spacing w:after="240" w:line="240" w:lineRule="auto"/>
        <w:rPr>
          <w:lang w:val="es-MX"/>
        </w:rPr>
      </w:pPr>
      <w:r w:rsidRPr="00BB33CC">
        <w:rPr>
          <w:rFonts w:ascii="ITC Avant Garde" w:hAnsi="ITC Avant Garde"/>
          <w:iCs/>
          <w:sz w:val="20"/>
          <w:lang w:val="es-MX"/>
        </w:rPr>
        <w:lastRenderedPageBreak/>
        <w:t>Formato A3.</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Formato_A3.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19</w:t>
      </w:r>
      <w:r w:rsidRPr="00BB33CC">
        <w:rPr>
          <w:rFonts w:ascii="ITC Avant Garde" w:hAnsi="ITC Avant Garde"/>
          <w:iCs/>
          <w:sz w:val="20"/>
          <w:lang w:val="es-MX"/>
        </w:rPr>
        <w:fldChar w:fldCharType="end"/>
      </w:r>
      <w:r w:rsidRPr="00BB33CC">
        <w:rPr>
          <w:rFonts w:ascii="ITC Avant Garde" w:hAnsi="ITC Avant Garde"/>
          <w:iCs/>
          <w:sz w:val="20"/>
          <w:lang w:val="es-MX"/>
        </w:rPr>
        <w:t>: Presentación de los parámetros para el cálculo del WACC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94"/>
        <w:gridCol w:w="1217"/>
        <w:gridCol w:w="1217"/>
      </w:tblGrid>
      <w:tr w:rsidR="002E1156" w:rsidRPr="00BB33CC" w:rsidTr="00674BDD">
        <w:trPr>
          <w:trHeight w:val="312"/>
          <w:jc w:val="center"/>
        </w:trPr>
        <w:tc>
          <w:tcPr>
            <w:tcW w:w="6506"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Parámetro</w:t>
            </w:r>
          </w:p>
        </w:tc>
        <w:tc>
          <w:tcPr>
            <w:tcW w:w="2472"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Valor</w:t>
            </w:r>
          </w:p>
        </w:tc>
      </w:tr>
      <w:tr w:rsidR="002E1156" w:rsidRPr="00BB33CC" w:rsidTr="00674BDD">
        <w:trPr>
          <w:trHeight w:val="312"/>
          <w:jc w:val="center"/>
        </w:trPr>
        <w:tc>
          <w:tcPr>
            <w:tcW w:w="6506"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F629B"/>
            <w:vAlign w:val="center"/>
            <w:hideMark/>
          </w:tcPr>
          <w:p w:rsidR="002E1156" w:rsidRPr="00BB33CC" w:rsidRDefault="002E1156" w:rsidP="00674BDD">
            <w:pPr>
              <w:keepNext/>
              <w:keepLines/>
              <w:spacing w:after="0"/>
              <w:rPr>
                <w:rFonts w:ascii="ITC Avant Garde" w:eastAsia="Times New Roman" w:hAnsi="ITC Avant Garde" w:cs="Arial"/>
                <w:b/>
                <w:color w:val="FFFFFF" w:themeColor="background1"/>
                <w:sz w:val="20"/>
                <w:lang w:val="es-ES" w:eastAsia="es-ES"/>
              </w:rPr>
            </w:pPr>
          </w:p>
        </w:tc>
        <w:tc>
          <w:tcPr>
            <w:tcW w:w="123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 N-1</w:t>
            </w:r>
          </w:p>
        </w:tc>
        <w:tc>
          <w:tcPr>
            <w:tcW w:w="123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Año N</w:t>
            </w:r>
          </w:p>
        </w:tc>
      </w:tr>
      <w:tr w:rsidR="002E1156" w:rsidRPr="00BB33CC" w:rsidTr="00674BDD">
        <w:trPr>
          <w:trHeight w:val="312"/>
          <w:jc w:val="center"/>
        </w:trPr>
        <w:tc>
          <w:tcPr>
            <w:tcW w:w="6506" w:type="dxa"/>
            <w:tcBorders>
              <w:top w:val="single" w:sz="4" w:space="0" w:color="auto"/>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Tasa libre de riesgo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f</m:t>
                      </m:r>
                    </m:sub>
                  </m:sSub>
                </m:e>
              </m:d>
            </m:oMath>
          </w:p>
        </w:tc>
        <w:tc>
          <w:tcPr>
            <w:tcW w:w="1236" w:type="dxa"/>
            <w:tcBorders>
              <w:top w:val="single" w:sz="4" w:space="0" w:color="auto"/>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top w:val="single" w:sz="4" w:space="0" w:color="auto"/>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Rendimiento esperado en el mercado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m</m:t>
                      </m:r>
                    </m:sub>
                  </m:sSub>
                </m:e>
              </m:d>
            </m:oMath>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Riesgo asociado al país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p</m:t>
                      </m:r>
                    </m:sub>
                  </m:sSub>
                </m:e>
              </m:d>
            </m:oMath>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Tasa de impuestos </w:t>
            </w:r>
            <m:oMath>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t</m:t>
                  </m:r>
                </m:e>
              </m:d>
            </m:oMath>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Beta </w:t>
            </w:r>
            <m:oMath>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β</m:t>
                  </m:r>
                </m:e>
              </m:d>
            </m:oMath>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FB2C80" w:rsidP="00674BDD">
            <w:pPr>
              <w:keepNext/>
              <w:keepLines/>
              <w:spacing w:after="0" w:line="240" w:lineRule="auto"/>
              <w:rPr>
                <w:rFonts w:ascii="ITC Avant Garde" w:eastAsia="Times New Roman" w:hAnsi="ITC Avant Garde" w:cs="Arial"/>
                <w:sz w:val="20"/>
                <w:lang w:val="es-ES" w:eastAsia="es-ES"/>
              </w:rPr>
            </w:pPr>
            <m:oMathPara>
              <m:oMathParaPr>
                <m:jc m:val="left"/>
              </m:oMathParaPr>
              <m:oMath>
                <m:f>
                  <m:fPr>
                    <m:type m:val="lin"/>
                    <m:ctrlPr>
                      <w:rPr>
                        <w:rFonts w:ascii="Cambria Math" w:eastAsia="Times New Roman" w:hAnsi="Cambria Math" w:cs="Arial"/>
                        <w:lang w:val="es-ES" w:eastAsia="es-ES"/>
                      </w:rPr>
                    </m:ctrlPr>
                  </m:fPr>
                  <m:num>
                    <m:r>
                      <w:rPr>
                        <w:rFonts w:ascii="Cambria Math" w:eastAsia="Times New Roman" w:hAnsi="Cambria Math" w:cs="Arial"/>
                        <w:sz w:val="20"/>
                        <w:lang w:val="es-ES" w:eastAsia="es-ES"/>
                      </w:rPr>
                      <m:t>D</m:t>
                    </m:r>
                  </m:num>
                  <m:den>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D</m:t>
                        </m:r>
                        <m:r>
                          <m:rPr>
                            <m:sty m:val="p"/>
                          </m:rPr>
                          <w:rPr>
                            <w:rFonts w:ascii="Cambria Math" w:eastAsia="Times New Roman" w:hAnsi="Cambria Math" w:cs="Arial"/>
                            <w:sz w:val="20"/>
                            <w:lang w:val="es-ES" w:eastAsia="es-ES"/>
                          </w:rPr>
                          <m:t>+</m:t>
                        </m:r>
                        <m:r>
                          <w:rPr>
                            <w:rFonts w:ascii="Cambria Math" w:eastAsia="Times New Roman" w:hAnsi="Cambria Math" w:cs="Arial"/>
                            <w:sz w:val="20"/>
                            <w:lang w:val="es-ES" w:eastAsia="es-ES"/>
                          </w:rPr>
                          <m:t>E</m:t>
                        </m:r>
                      </m:e>
                    </m:d>
                  </m:den>
                </m:f>
              </m:oMath>
            </m:oMathPara>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FB2C80" w:rsidP="00674BDD">
            <w:pPr>
              <w:keepNext/>
              <w:keepLines/>
              <w:spacing w:after="0" w:line="240" w:lineRule="auto"/>
              <w:rPr>
                <w:rFonts w:ascii="ITC Avant Garde" w:eastAsia="Times New Roman" w:hAnsi="ITC Avant Garde" w:cs="Arial"/>
                <w:sz w:val="20"/>
                <w:lang w:val="es-ES" w:eastAsia="es-ES"/>
              </w:rPr>
            </w:pPr>
            <m:oMathPara>
              <m:oMathParaPr>
                <m:jc m:val="left"/>
              </m:oMathParaPr>
              <m:oMath>
                <m:f>
                  <m:fPr>
                    <m:type m:val="lin"/>
                    <m:ctrlPr>
                      <w:rPr>
                        <w:rFonts w:ascii="Cambria Math" w:eastAsia="Times New Roman" w:hAnsi="Cambria Math" w:cs="Arial"/>
                        <w:lang w:val="es-ES" w:eastAsia="es-ES"/>
                      </w:rPr>
                    </m:ctrlPr>
                  </m:fPr>
                  <m:num>
                    <m:r>
                      <w:rPr>
                        <w:rFonts w:ascii="Cambria Math" w:eastAsia="Times New Roman" w:hAnsi="Cambria Math" w:cs="Arial"/>
                        <w:sz w:val="20"/>
                        <w:lang w:val="es-ES" w:eastAsia="es-ES"/>
                      </w:rPr>
                      <m:t>E</m:t>
                    </m:r>
                  </m:num>
                  <m:den>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D</m:t>
                        </m:r>
                        <m:r>
                          <m:rPr>
                            <m:sty m:val="p"/>
                          </m:rPr>
                          <w:rPr>
                            <w:rFonts w:ascii="Cambria Math" w:eastAsia="Times New Roman" w:hAnsi="Cambria Math" w:cs="Arial"/>
                            <w:sz w:val="20"/>
                            <w:lang w:val="es-ES" w:eastAsia="es-ES"/>
                          </w:rPr>
                          <m:t>+</m:t>
                        </m:r>
                        <m:r>
                          <w:rPr>
                            <w:rFonts w:ascii="Cambria Math" w:eastAsia="Times New Roman" w:hAnsi="Cambria Math" w:cs="Arial"/>
                            <w:sz w:val="20"/>
                            <w:lang w:val="es-ES" w:eastAsia="es-ES"/>
                          </w:rPr>
                          <m:t>E</m:t>
                        </m:r>
                      </m:e>
                    </m:d>
                  </m:den>
                </m:f>
              </m:oMath>
            </m:oMathPara>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Costo del patrimonio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e</m:t>
                      </m:r>
                    </m:sub>
                  </m:sSub>
                </m:e>
              </m:d>
            </m:oMath>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Costo de la deuda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d</m:t>
                      </m:r>
                    </m:sub>
                  </m:sSub>
                </m:e>
              </m:d>
            </m:oMath>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r w:rsidR="002E1156" w:rsidRPr="00BB33CC" w:rsidTr="00674BDD">
        <w:trPr>
          <w:trHeight w:val="312"/>
          <w:jc w:val="center"/>
        </w:trPr>
        <w:tc>
          <w:tcPr>
            <w:tcW w:w="6506" w:type="dxa"/>
            <w:tcBorders>
              <w:left w:val="nil"/>
              <w:right w:val="nil"/>
            </w:tcBorders>
            <w:shd w:val="clear" w:color="auto"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WACC (antes de impuestos)</w:t>
            </w:r>
          </w:p>
        </w:tc>
        <w:tc>
          <w:tcPr>
            <w:tcW w:w="1236" w:type="dxa"/>
            <w:tcBorders>
              <w:left w:val="nil"/>
              <w:right w:val="nil"/>
            </w:tcBorders>
            <w:vAlign w:val="center"/>
          </w:tcPr>
          <w:p w:rsidR="002E1156" w:rsidRPr="00BB33CC" w:rsidRDefault="002E1156" w:rsidP="00674BDD">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rsidR="002E1156" w:rsidRPr="00BB33CC" w:rsidRDefault="002E1156" w:rsidP="00674BDD">
            <w:pPr>
              <w:keepNext/>
              <w:keepLines/>
              <w:rPr>
                <w:rFonts w:ascii="ITC Avant Garde" w:eastAsia="Times New Roman" w:hAnsi="ITC Avant Garde" w:cs="Arial"/>
                <w:sz w:val="20"/>
                <w:lang w:val="es-ES" w:eastAsia="es-ES"/>
              </w:rPr>
            </w:pPr>
          </w:p>
        </w:tc>
      </w:tr>
    </w:tbl>
    <w:p w:rsidR="002E1156" w:rsidRPr="00BB33CC" w:rsidRDefault="002E1156" w:rsidP="002E1156">
      <w:pPr>
        <w:rPr>
          <w:rFonts w:ascii="ITC Avant Garde" w:hAnsi="ITC Avant Garde"/>
          <w:b/>
        </w:rPr>
      </w:pPr>
      <w:r w:rsidRPr="00BB33CC">
        <w:br w:type="page"/>
      </w:r>
    </w:p>
    <w:p w:rsidR="002E1156" w:rsidRPr="00BB33CC" w:rsidRDefault="002E1156" w:rsidP="00776A41">
      <w:pPr>
        <w:pStyle w:val="Ttulo2"/>
        <w:jc w:val="center"/>
      </w:pPr>
      <w:bookmarkStart w:id="112" w:name="_Toc484022114"/>
      <w:r w:rsidRPr="00BB33CC">
        <w:lastRenderedPageBreak/>
        <w:t>A</w:t>
      </w:r>
      <w:r w:rsidR="00836029" w:rsidRPr="00BB33CC">
        <w:t>PARTADO</w:t>
      </w:r>
      <w:r w:rsidRPr="00BB33CC">
        <w:t xml:space="preserve"> </w:t>
      </w:r>
      <w:r w:rsidR="00836029" w:rsidRPr="00BB33CC">
        <w:t>IV</w:t>
      </w:r>
      <w:bookmarkEnd w:id="112"/>
    </w:p>
    <w:p w:rsidR="002E1156" w:rsidRPr="00BB33CC" w:rsidRDefault="002E1156" w:rsidP="00776A41">
      <w:pPr>
        <w:pStyle w:val="Normalresolucion"/>
        <w:jc w:val="center"/>
      </w:pPr>
      <w:bookmarkStart w:id="113" w:name="_Ref477443724"/>
      <w:bookmarkStart w:id="114" w:name="_Toc484022115"/>
      <w:r w:rsidRPr="00BB33CC">
        <w:rPr>
          <w:b/>
        </w:rPr>
        <w:t>FORMATOS DE PRESENTACIÓN DE INFORMACIÓN DE REDES COMPARTIDAS</w:t>
      </w:r>
      <w:bookmarkEnd w:id="113"/>
      <w:bookmarkEnd w:id="114"/>
      <w:r w:rsidR="00E0156A" w:rsidRPr="00BB33CC">
        <w:rPr>
          <w:b/>
        </w:rPr>
        <w:t xml:space="preserve"> MAYORISTAS</w:t>
      </w:r>
    </w:p>
    <w:p w:rsidR="002E1156" w:rsidRPr="00BB33CC" w:rsidRDefault="002E1156" w:rsidP="000B0C8C">
      <w:pPr>
        <w:pStyle w:val="Normalresolucion"/>
        <w:spacing w:after="0" w:line="276" w:lineRule="auto"/>
      </w:pPr>
      <w:r w:rsidRPr="00BB33CC">
        <w:t xml:space="preserve">Con el fin de facilitar al Instituto </w:t>
      </w:r>
      <w:r w:rsidR="004B6F85" w:rsidRPr="00BB33CC">
        <w:t>información respecto en qué medida los concesionarios de redes compartidas mayoristas se sujetan</w:t>
      </w:r>
      <w:r w:rsidRPr="00BB33CC">
        <w:t xml:space="preserve"> </w:t>
      </w:r>
      <w:r w:rsidR="004B6F85" w:rsidRPr="00BB33CC">
        <w:t xml:space="preserve">al </w:t>
      </w:r>
      <w:r w:rsidRPr="00BB33CC">
        <w:t>principio de neutralidad a la competencia, se requiere a estos agentes la siguiente información de carácter financiero:</w:t>
      </w:r>
    </w:p>
    <w:p w:rsidR="002E1156" w:rsidRPr="00BB33CC" w:rsidRDefault="002E1156" w:rsidP="002B6C9A">
      <w:pPr>
        <w:pStyle w:val="Indentadoresolucin"/>
        <w:spacing w:before="240" w:line="276" w:lineRule="auto"/>
      </w:pPr>
      <w:r w:rsidRPr="00BB33CC">
        <w:fldChar w:fldCharType="begin"/>
      </w:r>
      <w:r w:rsidRPr="00BB33CC">
        <w:instrText xml:space="preserve"> REF _Ref477267973 \h  \* MERGEFORMAT </w:instrText>
      </w:r>
      <w:r w:rsidRPr="00BB33CC">
        <w:fldChar w:fldCharType="separate"/>
      </w:r>
      <w:r w:rsidRPr="00BB33CC">
        <w:t>Estado de pérdidas y ganancias</w:t>
      </w:r>
      <w:r w:rsidRPr="00BB33CC">
        <w:fldChar w:fldCharType="end"/>
      </w:r>
      <w:r w:rsidRPr="00BB33CC">
        <w:t>;</w:t>
      </w:r>
    </w:p>
    <w:p w:rsidR="002E1156" w:rsidRPr="00BB33CC" w:rsidRDefault="002E1156" w:rsidP="000B0C8C">
      <w:pPr>
        <w:pStyle w:val="Indentadoresolucin"/>
        <w:spacing w:before="240" w:line="276" w:lineRule="auto"/>
      </w:pPr>
      <w:r w:rsidRPr="00BB33CC">
        <w:fldChar w:fldCharType="begin"/>
      </w:r>
      <w:r w:rsidRPr="00BB33CC">
        <w:instrText xml:space="preserve"> REF _Ref477267988 \h  \* MERGEFORMAT </w:instrText>
      </w:r>
      <w:r w:rsidRPr="00BB33CC">
        <w:fldChar w:fldCharType="separate"/>
      </w:r>
      <w:r w:rsidRPr="00BB33CC">
        <w:t>Balanza de activos y pasivos</w:t>
      </w:r>
      <w:r w:rsidRPr="00BB33CC">
        <w:fldChar w:fldCharType="end"/>
      </w:r>
      <w:r w:rsidRPr="00BB33CC">
        <w:t>;</w:t>
      </w:r>
    </w:p>
    <w:p w:rsidR="002E1156" w:rsidRPr="00BB33CC" w:rsidRDefault="002E1156" w:rsidP="000B0C8C">
      <w:pPr>
        <w:pStyle w:val="Indentadoresolucin"/>
        <w:spacing w:before="240" w:line="276" w:lineRule="auto"/>
      </w:pPr>
      <w:r w:rsidRPr="00BB33CC">
        <w:fldChar w:fldCharType="begin"/>
      </w:r>
      <w:r w:rsidRPr="00BB33CC">
        <w:instrText xml:space="preserve"> REF _Ref477267996 \h  \* MERGEFORMAT </w:instrText>
      </w:r>
      <w:r w:rsidRPr="00BB33CC">
        <w:fldChar w:fldCharType="separate"/>
      </w:r>
      <w:r w:rsidRPr="00BB33CC">
        <w:t>Estado de Flujos de Efectivo</w:t>
      </w:r>
      <w:r w:rsidRPr="00BB33CC">
        <w:fldChar w:fldCharType="end"/>
      </w:r>
      <w:r w:rsidRPr="00BB33CC">
        <w:t xml:space="preserve">, </w:t>
      </w:r>
      <w:r w:rsidR="005645DD" w:rsidRPr="00BB33CC">
        <w:t>y</w:t>
      </w:r>
    </w:p>
    <w:p w:rsidR="002E1156" w:rsidRPr="00BB33CC" w:rsidRDefault="002E1156" w:rsidP="000B0C8C">
      <w:pPr>
        <w:pStyle w:val="Indentadoresolucin"/>
        <w:spacing w:before="240" w:line="276" w:lineRule="auto"/>
      </w:pPr>
      <w:r w:rsidRPr="00BB33CC">
        <w:fldChar w:fldCharType="begin"/>
      </w:r>
      <w:r w:rsidRPr="00BB33CC">
        <w:instrText xml:space="preserve"> REF _Ref477513245 \h  \* MERGEFORMAT </w:instrText>
      </w:r>
      <w:r w:rsidRPr="00BB33CC">
        <w:fldChar w:fldCharType="separate"/>
      </w:r>
      <w:r w:rsidR="00E15094" w:rsidRPr="00BB33CC">
        <w:t>Estudio</w:t>
      </w:r>
      <w:r w:rsidRPr="00BB33CC">
        <w:t xml:space="preserve"> de precios de transferencia</w:t>
      </w:r>
      <w:r w:rsidRPr="00BB33CC">
        <w:fldChar w:fldCharType="end"/>
      </w:r>
      <w:r w:rsidRPr="00BB33CC">
        <w:t>.</w:t>
      </w:r>
    </w:p>
    <w:p w:rsidR="002E1156" w:rsidRPr="00BB33CC" w:rsidRDefault="002E1156" w:rsidP="002B6C9A">
      <w:pPr>
        <w:pStyle w:val="Normalresolucion"/>
        <w:spacing w:after="0" w:line="276" w:lineRule="auto"/>
        <w:rPr>
          <w:rStyle w:val="nfasis"/>
          <w:i w:val="0"/>
          <w:iCs w:val="0"/>
        </w:rPr>
      </w:pPr>
      <w:r w:rsidRPr="00BB33CC">
        <w:rPr>
          <w:rStyle w:val="nfasis"/>
          <w:i w:val="0"/>
          <w:iCs w:val="0"/>
        </w:rPr>
        <w:t>Asimismo, se deberá asegurar que en el Formato A4.1: Estado de pérdidas y ganancias, Formato A4.2: Balanza de activos y pasivos y Formato A4.3: Estado de Flujos de Efectivo de este a</w:t>
      </w:r>
      <w:r w:rsidR="00836029" w:rsidRPr="00BB33CC">
        <w:rPr>
          <w:rStyle w:val="nfasis"/>
          <w:i w:val="0"/>
          <w:iCs w:val="0"/>
        </w:rPr>
        <w:t>partado</w:t>
      </w:r>
      <w:r w:rsidRPr="00BB33CC">
        <w:rPr>
          <w:rStyle w:val="nfasis"/>
          <w:i w:val="0"/>
          <w:iCs w:val="0"/>
        </w:rPr>
        <w:t>, se desagreguen oportunamente los siguientes conceptos en función de si los montos que recogen guardan relación con entidades públicas o no:</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Transacciones entre entidad pública y operador</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Ventas a gobierno por parte del operador</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Aportaciones de la entidad pública</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Contrataciones con gobierno</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Inversiones públicas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Coinversiones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Costo de autorizaciones, permisos y licencias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Fideicomisos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Fondos de reserva</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Apoyos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Subsidios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lastRenderedPageBreak/>
        <w:t>Transferencias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Fondos de inversión mutuos</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Financiamiento público</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Aportaciones de capital</w:t>
      </w:r>
      <w:r w:rsidR="00BA6BEB" w:rsidRPr="00BB33CC">
        <w:rPr>
          <w:rStyle w:val="nfasis"/>
          <w:i w:val="0"/>
          <w:iCs w:val="0"/>
        </w:rPr>
        <w:t>;</w:t>
      </w:r>
    </w:p>
    <w:p w:rsidR="002E1156" w:rsidRPr="00BB33CC" w:rsidRDefault="002E1156" w:rsidP="002B6C9A">
      <w:pPr>
        <w:pStyle w:val="Indentadoresolucin"/>
        <w:spacing w:before="240" w:line="276" w:lineRule="auto"/>
        <w:rPr>
          <w:rStyle w:val="nfasis"/>
          <w:i w:val="0"/>
          <w:iCs w:val="0"/>
        </w:rPr>
      </w:pPr>
      <w:r w:rsidRPr="00BB33CC">
        <w:rPr>
          <w:rStyle w:val="nfasis"/>
          <w:i w:val="0"/>
          <w:iCs w:val="0"/>
        </w:rPr>
        <w:t>Garantías de cumplimiento</w:t>
      </w:r>
      <w:r w:rsidR="00BA6BEB" w:rsidRPr="00BB33CC">
        <w:rPr>
          <w:rStyle w:val="nfasis"/>
          <w:i w:val="0"/>
          <w:iCs w:val="0"/>
        </w:rPr>
        <w:t>, y</w:t>
      </w:r>
    </w:p>
    <w:p w:rsidR="002E1156" w:rsidRPr="00BB33CC" w:rsidRDefault="002E1156" w:rsidP="002B6C9A">
      <w:pPr>
        <w:pStyle w:val="Indentadoresolucin"/>
        <w:spacing w:before="240" w:line="276" w:lineRule="auto"/>
      </w:pPr>
      <w:r w:rsidRPr="00BB33CC">
        <w:rPr>
          <w:rStyle w:val="nfasis"/>
          <w:i w:val="0"/>
          <w:iCs w:val="0"/>
        </w:rPr>
        <w:t>Acciones, partes sociales y capital social</w:t>
      </w:r>
      <w:r w:rsidR="00BA6BEB" w:rsidRPr="00BB33CC">
        <w:rPr>
          <w:rStyle w:val="nfasis"/>
          <w:i w:val="0"/>
          <w:iCs w:val="0"/>
        </w:rPr>
        <w:t>.</w:t>
      </w:r>
    </w:p>
    <w:p w:rsidR="002E1156" w:rsidRPr="00BB33CC" w:rsidRDefault="002E1156" w:rsidP="002E1156">
      <w:pPr>
        <w:pStyle w:val="HeadingAnexo1L2"/>
        <w:keepNext/>
        <w:keepLines/>
        <w:numPr>
          <w:ilvl w:val="0"/>
          <w:numId w:val="202"/>
        </w:numPr>
      </w:pPr>
      <w:bookmarkStart w:id="115" w:name="_Ref477267973"/>
      <w:bookmarkStart w:id="116" w:name="_Toc477283592"/>
      <w:r w:rsidRPr="00BB33CC">
        <w:t xml:space="preserve">Estado de </w:t>
      </w:r>
      <w:r w:rsidRPr="00BB33CC">
        <w:rPr>
          <w:sz w:val="20"/>
        </w:rPr>
        <w:t>pérdidas y ganancias</w:t>
      </w:r>
      <w:bookmarkEnd w:id="115"/>
      <w:bookmarkEnd w:id="116"/>
    </w:p>
    <w:p w:rsidR="002E1156" w:rsidRPr="00BB33CC" w:rsidRDefault="002E1156" w:rsidP="002B6C9A">
      <w:pPr>
        <w:pStyle w:val="Normalresolucion"/>
        <w:keepNext/>
        <w:keepLines/>
        <w:spacing w:after="0" w:line="276" w:lineRule="auto"/>
        <w:rPr>
          <w:lang w:val="es-MX"/>
        </w:rPr>
      </w:pPr>
      <w:r w:rsidRPr="00BB33CC">
        <w:t xml:space="preserve">El siguiente formato deberá contener el estado de pérdidas y ganancias, referente al último ejercicio del concesionario, </w:t>
      </w:r>
      <w:r w:rsidRPr="00BB33CC">
        <w:rPr>
          <w:lang w:val="es-MX"/>
        </w:rPr>
        <w:t>desagregando cada rubro entre la parte relacionada con autoridades públicas y la que no lo está:</w:t>
      </w:r>
    </w:p>
    <w:p w:rsidR="002E1156" w:rsidRPr="00BB33CC" w:rsidRDefault="002E1156" w:rsidP="002E1156">
      <w:pPr>
        <w:pStyle w:val="Descripcin"/>
        <w:rPr>
          <w:lang w:val="es-MX"/>
        </w:rPr>
      </w:pPr>
      <w:r w:rsidRPr="00BB33CC">
        <w:rPr>
          <w:rFonts w:ascii="ITC Avant Garde" w:hAnsi="ITC Avant Garde"/>
          <w:iCs/>
          <w:sz w:val="20"/>
          <w:lang w:val="es-MX"/>
        </w:rPr>
        <w:t>Formato A4.</w:t>
      </w:r>
      <w:r w:rsidRPr="00BB33CC">
        <w:rPr>
          <w:rFonts w:ascii="ITC Avant Garde" w:hAnsi="ITC Avant Garde"/>
          <w:b w:val="0"/>
          <w:bCs w:val="0"/>
          <w:iCs/>
          <w:sz w:val="20"/>
        </w:rPr>
        <w:fldChar w:fldCharType="begin"/>
      </w:r>
      <w:r w:rsidRPr="00BB33CC">
        <w:rPr>
          <w:rFonts w:ascii="ITC Avant Garde" w:hAnsi="ITC Avant Garde"/>
          <w:iCs/>
          <w:sz w:val="20"/>
          <w:lang w:val="es-MX"/>
        </w:rPr>
        <w:instrText xml:space="preserve"> SEQ Formato_AIII. \* ARABIC </w:instrText>
      </w:r>
      <w:r w:rsidRPr="00BB33CC">
        <w:rPr>
          <w:rFonts w:ascii="ITC Avant Garde" w:hAnsi="ITC Avant Garde"/>
          <w:b w:val="0"/>
          <w:bCs w:val="0"/>
          <w:iCs/>
          <w:sz w:val="20"/>
        </w:rPr>
        <w:fldChar w:fldCharType="separate"/>
      </w:r>
      <w:r w:rsidRPr="00BB33CC">
        <w:rPr>
          <w:rFonts w:ascii="ITC Avant Garde" w:hAnsi="ITC Avant Garde"/>
          <w:iCs/>
          <w:noProof/>
          <w:sz w:val="20"/>
          <w:lang w:val="es-MX"/>
        </w:rPr>
        <w:t>1</w:t>
      </w:r>
      <w:r w:rsidRPr="00BB33CC">
        <w:rPr>
          <w:rFonts w:ascii="ITC Avant Garde" w:hAnsi="ITC Avant Garde"/>
          <w:b w:val="0"/>
          <w:bCs w:val="0"/>
          <w:iCs/>
          <w:sz w:val="20"/>
        </w:rPr>
        <w:fldChar w:fldCharType="end"/>
      </w:r>
      <w:r w:rsidRPr="00BB33CC">
        <w:rPr>
          <w:rFonts w:ascii="ITC Avant Garde" w:hAnsi="ITC Avant Garde"/>
          <w:iCs/>
          <w:sz w:val="20"/>
          <w:lang w:val="es-MX"/>
        </w:rPr>
        <w:t>: Estado de pérdidas y ganancias</w:t>
      </w:r>
    </w:p>
    <w:tbl>
      <w:tblPr>
        <w:tblpPr w:leftFromText="141" w:rightFromText="141" w:vertAnchor="text" w:tblpXSpec="center" w:tblpY="1"/>
        <w:tblOverlap w:val="never"/>
        <w:tblW w:w="5094" w:type="pct"/>
        <w:tblLayout w:type="fixed"/>
        <w:tblCellMar>
          <w:left w:w="70" w:type="dxa"/>
          <w:right w:w="70" w:type="dxa"/>
        </w:tblCellMar>
        <w:tblLook w:val="04A0" w:firstRow="1" w:lastRow="0" w:firstColumn="1" w:lastColumn="0" w:noHBand="0" w:noVBand="1"/>
      </w:tblPr>
      <w:tblGrid>
        <w:gridCol w:w="3825"/>
        <w:gridCol w:w="2584"/>
        <w:gridCol w:w="2585"/>
      </w:tblGrid>
      <w:tr w:rsidR="002E1156" w:rsidRPr="00BB33CC" w:rsidTr="00674BDD">
        <w:trPr>
          <w:trHeight w:val="504"/>
        </w:trPr>
        <w:tc>
          <w:tcPr>
            <w:tcW w:w="3825" w:type="dxa"/>
            <w:tcBorders>
              <w:top w:val="nil"/>
              <w:left w:val="single" w:sz="4" w:space="0" w:color="FFFFFF"/>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Estado pérdidas y</w:t>
            </w:r>
            <w:r w:rsidRPr="00BB33CC">
              <w:rPr>
                <w:rFonts w:ascii="ITC Avant Garde" w:eastAsia="Times New Roman" w:hAnsi="ITC Avant Garde" w:cs="Arial"/>
                <w:b/>
                <w:color w:val="FFFFFF" w:themeColor="background1"/>
                <w:sz w:val="20"/>
                <w:lang w:val="es-ES" w:eastAsia="es-ES"/>
              </w:rPr>
              <w:br/>
              <w:t>ganancias</w:t>
            </w:r>
            <w:r w:rsidRPr="00BB33CC">
              <w:rPr>
                <w:rFonts w:ascii="ITC Avant Garde" w:eastAsia="Times New Roman" w:hAnsi="ITC Avant Garde" w:cs="Arial"/>
                <w:b/>
                <w:bCs/>
                <w:color w:val="FFFFFF" w:themeColor="background1"/>
                <w:sz w:val="20"/>
                <w:vertAlign w:val="superscript"/>
                <w:lang w:val="es-ES" w:eastAsia="es-ES"/>
              </w:rPr>
              <w:footnoteReference w:id="142"/>
            </w:r>
          </w:p>
        </w:tc>
        <w:tc>
          <w:tcPr>
            <w:tcW w:w="2584" w:type="dxa"/>
            <w:tcBorders>
              <w:top w:val="nil"/>
              <w:left w:val="nil"/>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Relacionado con</w:t>
            </w:r>
            <w:r w:rsidRPr="00BB33CC">
              <w:rPr>
                <w:rFonts w:ascii="ITC Avant Garde" w:eastAsia="Times New Roman" w:hAnsi="ITC Avant Garde" w:cs="Arial"/>
                <w:b/>
                <w:color w:val="FFFFFF" w:themeColor="background1"/>
                <w:sz w:val="20"/>
                <w:lang w:val="es-ES" w:eastAsia="es-ES"/>
              </w:rPr>
              <w:br/>
              <w:t>autoridades públicas</w:t>
            </w:r>
          </w:p>
        </w:tc>
        <w:tc>
          <w:tcPr>
            <w:tcW w:w="2585" w:type="dxa"/>
            <w:tcBorders>
              <w:top w:val="nil"/>
              <w:left w:val="nil"/>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No relacionado con autoridades públicas</w:t>
            </w:r>
          </w:p>
        </w:tc>
      </w:tr>
      <w:tr w:rsidR="002E1156" w:rsidRPr="00BB33CC" w:rsidTr="00674BDD">
        <w:trPr>
          <w:trHeight w:val="288"/>
        </w:trPr>
        <w:tc>
          <w:tcPr>
            <w:tcW w:w="3825"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Ingresos</w:t>
            </w:r>
          </w:p>
        </w:tc>
        <w:tc>
          <w:tcPr>
            <w:tcW w:w="2584"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hAnsi="ITC Avant Garde"/>
                <w:sz w:val="20"/>
                <w:szCs w:val="20"/>
              </w:rPr>
              <w:t>Reventa de servicios móviles</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szCs w:val="20"/>
                <w:lang w:val="es-ES" w:eastAsia="es-ES"/>
              </w:rPr>
              <w:t>Interconexión</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Costos y gastos de operación</w:t>
            </w:r>
          </w:p>
        </w:tc>
        <w:tc>
          <w:tcPr>
            <w:tcW w:w="2584"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Costo de servicio y ventas</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Gastos de administración</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Costo de financiamiento</w:t>
            </w:r>
          </w:p>
        </w:tc>
        <w:tc>
          <w:tcPr>
            <w:tcW w:w="2584"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Intereses ganados</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Gastos por intereses y otros gastos financieros</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 xml:space="preserve">Utilidad (pérdida) antes de impuestos </w:t>
            </w:r>
          </w:p>
        </w:tc>
        <w:tc>
          <w:tcPr>
            <w:tcW w:w="2584"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Impuestos a la utilidad</w:t>
            </w:r>
          </w:p>
        </w:tc>
        <w:tc>
          <w:tcPr>
            <w:tcW w:w="2584"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trPr>
        <w:tc>
          <w:tcPr>
            <w:tcW w:w="3825" w:type="dxa"/>
            <w:tcBorders>
              <w:top w:val="single" w:sz="4" w:space="0" w:color="244062"/>
              <w:left w:val="nil"/>
              <w:bottom w:val="doub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Utilidad (pérdida), neta</w:t>
            </w:r>
          </w:p>
        </w:tc>
        <w:tc>
          <w:tcPr>
            <w:tcW w:w="2584" w:type="dxa"/>
            <w:tcBorders>
              <w:top w:val="single" w:sz="4" w:space="0" w:color="244062"/>
              <w:left w:val="nil"/>
              <w:bottom w:val="doub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doub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bl>
    <w:p w:rsidR="002E1156" w:rsidRPr="00BB33CC" w:rsidRDefault="002E1156" w:rsidP="002E1156">
      <w:pPr>
        <w:pStyle w:val="HeadingAnexo1L2"/>
        <w:keepNext/>
        <w:keepLines/>
        <w:numPr>
          <w:ilvl w:val="0"/>
          <w:numId w:val="202"/>
        </w:numPr>
      </w:pPr>
      <w:bookmarkStart w:id="117" w:name="_Ref477267988"/>
      <w:bookmarkStart w:id="118" w:name="_Toc477283593"/>
      <w:r w:rsidRPr="00BB33CC">
        <w:lastRenderedPageBreak/>
        <w:t>Balanza de activos y pasivos</w:t>
      </w:r>
      <w:bookmarkEnd w:id="117"/>
      <w:bookmarkEnd w:id="118"/>
    </w:p>
    <w:p w:rsidR="002E1156" w:rsidRPr="00BB33CC" w:rsidRDefault="002E1156" w:rsidP="000B0C8C">
      <w:pPr>
        <w:pStyle w:val="Normalresolucion"/>
        <w:keepNext/>
        <w:keepLines/>
        <w:spacing w:after="0" w:line="276" w:lineRule="auto"/>
      </w:pPr>
      <w:r w:rsidRPr="00BB33CC">
        <w:t xml:space="preserve">El siguiente formato deberá contener la Balanza de </w:t>
      </w:r>
      <w:r w:rsidR="0066245A" w:rsidRPr="00BB33CC">
        <w:t>a</w:t>
      </w:r>
      <w:r w:rsidRPr="00BB33CC">
        <w:t xml:space="preserve">ctivos y </w:t>
      </w:r>
      <w:r w:rsidR="0066245A" w:rsidRPr="00BB33CC">
        <w:t>p</w:t>
      </w:r>
      <w:r w:rsidRPr="00BB33CC">
        <w:t xml:space="preserve">asivos del </w:t>
      </w:r>
      <w:r w:rsidR="005B4A65" w:rsidRPr="00BB33CC">
        <w:rPr>
          <w:bCs/>
        </w:rPr>
        <w:t>concesionario</w:t>
      </w:r>
      <w:r w:rsidRPr="00BB33CC">
        <w:t xml:space="preserve"> referente al último ejercicio en el que se desagreguen, como mínimo, los rubros arriba indicados entre la parte relacionada con autoridades públicas y la que no lo está:</w:t>
      </w:r>
    </w:p>
    <w:p w:rsidR="002E1156" w:rsidRPr="00BB33CC" w:rsidRDefault="002E1156" w:rsidP="002E1156">
      <w:pPr>
        <w:pStyle w:val="Descripcin"/>
        <w:keepNext/>
        <w:keepLines/>
        <w:spacing w:after="240" w:line="240" w:lineRule="auto"/>
        <w:rPr>
          <w:rFonts w:ascii="ITC Avant Garde" w:hAnsi="ITC Avant Garde"/>
          <w:iCs/>
          <w:sz w:val="20"/>
          <w:lang w:val="es-MX"/>
        </w:rPr>
      </w:pPr>
      <w:r w:rsidRPr="00BB33CC">
        <w:rPr>
          <w:rFonts w:ascii="ITC Avant Garde" w:hAnsi="ITC Avant Garde"/>
          <w:iCs/>
          <w:sz w:val="20"/>
          <w:lang w:val="es-MX"/>
        </w:rPr>
        <w:t>Formato A4.</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Formato_AIII.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2</w:t>
      </w:r>
      <w:r w:rsidRPr="00BB33CC">
        <w:rPr>
          <w:rFonts w:ascii="ITC Avant Garde" w:hAnsi="ITC Avant Garde"/>
          <w:iCs/>
          <w:sz w:val="20"/>
          <w:lang w:val="es-MX"/>
        </w:rPr>
        <w:fldChar w:fldCharType="end"/>
      </w:r>
      <w:r w:rsidRPr="00BB33CC">
        <w:rPr>
          <w:rFonts w:ascii="ITC Avant Garde" w:hAnsi="ITC Avant Garde"/>
          <w:iCs/>
          <w:sz w:val="20"/>
          <w:lang w:val="es-MX"/>
        </w:rPr>
        <w:t>: Balanza de activos y pasivos</w:t>
      </w:r>
    </w:p>
    <w:tbl>
      <w:tblPr>
        <w:tblW w:w="5000" w:type="pct"/>
        <w:jc w:val="center"/>
        <w:tblLayout w:type="fixed"/>
        <w:tblCellMar>
          <w:left w:w="70" w:type="dxa"/>
          <w:right w:w="70" w:type="dxa"/>
        </w:tblCellMar>
        <w:tblLook w:val="04A0" w:firstRow="1" w:lastRow="0" w:firstColumn="1" w:lastColumn="0" w:noHBand="0" w:noVBand="1"/>
      </w:tblPr>
      <w:tblGrid>
        <w:gridCol w:w="3677"/>
        <w:gridCol w:w="2575"/>
        <w:gridCol w:w="2576"/>
      </w:tblGrid>
      <w:tr w:rsidR="002E1156" w:rsidRPr="00BB33CC" w:rsidTr="00674BDD">
        <w:trPr>
          <w:trHeight w:val="504"/>
          <w:tblHeader/>
          <w:jc w:val="center"/>
        </w:trPr>
        <w:tc>
          <w:tcPr>
            <w:tcW w:w="3741" w:type="dxa"/>
            <w:tcBorders>
              <w:top w:val="nil"/>
              <w:left w:val="single" w:sz="4" w:space="0" w:color="FFFFFF"/>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Balanza de activos y</w:t>
            </w:r>
            <w:r w:rsidRPr="00BB33CC">
              <w:rPr>
                <w:rFonts w:ascii="ITC Avant Garde" w:eastAsia="Times New Roman" w:hAnsi="ITC Avant Garde" w:cs="Arial"/>
                <w:b/>
                <w:color w:val="FFFFFF" w:themeColor="background1"/>
                <w:sz w:val="20"/>
                <w:lang w:val="es-ES" w:eastAsia="es-ES"/>
              </w:rPr>
              <w:br/>
              <w:t>pasivos</w:t>
            </w:r>
            <w:r w:rsidRPr="00BB33CC">
              <w:rPr>
                <w:rFonts w:ascii="ITC Avant Garde" w:eastAsia="Times New Roman" w:hAnsi="ITC Avant Garde" w:cs="Arial"/>
                <w:b/>
                <w:bCs/>
                <w:color w:val="FFFFFF" w:themeColor="background1"/>
                <w:sz w:val="20"/>
                <w:vertAlign w:val="superscript"/>
                <w:lang w:val="es-ES" w:eastAsia="es-ES"/>
              </w:rPr>
              <w:footnoteReference w:id="143"/>
            </w:r>
          </w:p>
        </w:tc>
        <w:tc>
          <w:tcPr>
            <w:tcW w:w="2618" w:type="dxa"/>
            <w:tcBorders>
              <w:top w:val="nil"/>
              <w:left w:val="nil"/>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Relacionado con</w:t>
            </w:r>
            <w:r w:rsidRPr="00BB33CC">
              <w:rPr>
                <w:rFonts w:ascii="ITC Avant Garde" w:eastAsia="Times New Roman" w:hAnsi="ITC Avant Garde" w:cs="Arial"/>
                <w:b/>
                <w:color w:val="FFFFFF" w:themeColor="background1"/>
                <w:sz w:val="20"/>
                <w:lang w:val="es-ES" w:eastAsia="es-ES"/>
              </w:rPr>
              <w:br/>
              <w:t>autoridades públicas</w:t>
            </w:r>
          </w:p>
        </w:tc>
        <w:tc>
          <w:tcPr>
            <w:tcW w:w="2619" w:type="dxa"/>
            <w:tcBorders>
              <w:top w:val="nil"/>
              <w:left w:val="nil"/>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No relacionado con</w:t>
            </w:r>
            <w:r w:rsidRPr="00BB33CC">
              <w:rPr>
                <w:rFonts w:ascii="ITC Avant Garde" w:eastAsia="Times New Roman" w:hAnsi="ITC Avant Garde" w:cs="Arial"/>
                <w:b/>
                <w:color w:val="FFFFFF" w:themeColor="background1"/>
                <w:sz w:val="20"/>
                <w:lang w:val="es-ES" w:eastAsia="es-ES"/>
              </w:rPr>
              <w:br/>
              <w:t>autoridades públicas</w:t>
            </w:r>
          </w:p>
        </w:tc>
      </w:tr>
      <w:tr w:rsidR="002E1156" w:rsidRPr="00BB33CC" w:rsidTr="00674BDD">
        <w:trPr>
          <w:trHeight w:val="288"/>
          <w:jc w:val="center"/>
        </w:trPr>
        <w:tc>
          <w:tcPr>
            <w:tcW w:w="3741"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Activo</w:t>
            </w:r>
          </w:p>
        </w:tc>
        <w:tc>
          <w:tcPr>
            <w:tcW w:w="2618"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Activo circulante</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Efectivo y equivalentes</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Cuentas por cobrar, neto</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Activo no circulante</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Inversiones permanentes</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Planta, propiedades y equipo, neto</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Pasivo y capital contable</w:t>
            </w:r>
          </w:p>
        </w:tc>
        <w:tc>
          <w:tcPr>
            <w:tcW w:w="2618"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Pasivo a corto plazo</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Cuentas y pasivos acumulados por pagar</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Partes relacionadas</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Capital contable</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37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bl>
    <w:p w:rsidR="002E1156" w:rsidRPr="00BB33CC" w:rsidRDefault="002E1156" w:rsidP="002E1156">
      <w:pPr>
        <w:rPr>
          <w:rFonts w:ascii="ITC Avant Garde" w:eastAsia="Times New Roman" w:hAnsi="ITC Avant Garde" w:cs="Times New Roman"/>
          <w:b/>
          <w:bCs/>
          <w:iCs/>
          <w:sz w:val="20"/>
          <w:szCs w:val="20"/>
          <w:lang w:eastAsia="es-ES"/>
        </w:rPr>
      </w:pPr>
      <w:r w:rsidRPr="00BB33CC">
        <w:rPr>
          <w:rFonts w:ascii="ITC Avant Garde" w:hAnsi="ITC Avant Garde"/>
          <w:iCs/>
          <w:sz w:val="20"/>
        </w:rPr>
        <w:br w:type="page"/>
      </w:r>
    </w:p>
    <w:p w:rsidR="002E1156" w:rsidRPr="00BB33CC" w:rsidRDefault="002E1156" w:rsidP="002E1156">
      <w:pPr>
        <w:pStyle w:val="HeadingAnexo1L2"/>
        <w:keepNext/>
        <w:keepLines/>
        <w:numPr>
          <w:ilvl w:val="0"/>
          <w:numId w:val="202"/>
        </w:numPr>
      </w:pPr>
      <w:bookmarkStart w:id="119" w:name="_Ref477267996"/>
      <w:bookmarkStart w:id="120" w:name="_Toc477283594"/>
      <w:r w:rsidRPr="00BB33CC">
        <w:lastRenderedPageBreak/>
        <w:t>Estado de Flujos de Efectivo</w:t>
      </w:r>
      <w:bookmarkEnd w:id="119"/>
      <w:bookmarkEnd w:id="120"/>
    </w:p>
    <w:p w:rsidR="002E1156" w:rsidRPr="00BB33CC" w:rsidRDefault="002E1156" w:rsidP="002B6C9A">
      <w:pPr>
        <w:pStyle w:val="Normalresolucion"/>
        <w:keepNext/>
        <w:keepLines/>
        <w:spacing w:after="0" w:line="276" w:lineRule="auto"/>
      </w:pPr>
      <w:r w:rsidRPr="00BB33CC">
        <w:t xml:space="preserve">El siguiente formato deberá contener el estado de Flujos de Efectivo del </w:t>
      </w:r>
      <w:r w:rsidR="005B4A65" w:rsidRPr="00BB33CC">
        <w:rPr>
          <w:bCs/>
        </w:rPr>
        <w:t>concesionario</w:t>
      </w:r>
      <w:r w:rsidRPr="00BB33CC">
        <w:t xml:space="preserve"> referente al último ejercicio en el que se desagreguen, como mínimo, los rubros arriba indicados entre la parte relacionada con autoridades públicas y la que no lo está:</w:t>
      </w:r>
    </w:p>
    <w:p w:rsidR="002E1156" w:rsidRPr="00BB33CC" w:rsidRDefault="002E1156" w:rsidP="002E1156">
      <w:pPr>
        <w:pStyle w:val="Descripcin"/>
        <w:keepNext/>
        <w:keepLines/>
        <w:spacing w:after="240" w:line="240" w:lineRule="auto"/>
        <w:rPr>
          <w:rFonts w:ascii="ITC Avant Garde" w:hAnsi="ITC Avant Garde"/>
          <w:iCs/>
          <w:sz w:val="20"/>
          <w:lang w:val="es-MX"/>
        </w:rPr>
      </w:pPr>
      <w:r w:rsidRPr="00BB33CC">
        <w:rPr>
          <w:rFonts w:ascii="ITC Avant Garde" w:hAnsi="ITC Avant Garde"/>
          <w:iCs/>
          <w:sz w:val="20"/>
          <w:lang w:val="es-MX"/>
        </w:rPr>
        <w:t>Formato A4.</w:t>
      </w:r>
      <w:r w:rsidRPr="00BB33CC">
        <w:rPr>
          <w:rFonts w:ascii="ITC Avant Garde" w:hAnsi="ITC Avant Garde"/>
          <w:iCs/>
          <w:sz w:val="20"/>
          <w:lang w:val="es-MX"/>
        </w:rPr>
        <w:fldChar w:fldCharType="begin"/>
      </w:r>
      <w:r w:rsidRPr="00BB33CC">
        <w:rPr>
          <w:rFonts w:ascii="ITC Avant Garde" w:hAnsi="ITC Avant Garde"/>
          <w:iCs/>
          <w:sz w:val="20"/>
          <w:lang w:val="es-MX"/>
        </w:rPr>
        <w:instrText xml:space="preserve"> SEQ Formato_AIII. \* ARABIC </w:instrText>
      </w:r>
      <w:r w:rsidRPr="00BB33CC">
        <w:rPr>
          <w:rFonts w:ascii="ITC Avant Garde" w:hAnsi="ITC Avant Garde"/>
          <w:iCs/>
          <w:sz w:val="20"/>
          <w:lang w:val="es-MX"/>
        </w:rPr>
        <w:fldChar w:fldCharType="separate"/>
      </w:r>
      <w:r w:rsidRPr="00BB33CC">
        <w:rPr>
          <w:rFonts w:ascii="ITC Avant Garde" w:hAnsi="ITC Avant Garde"/>
          <w:iCs/>
          <w:noProof/>
          <w:sz w:val="20"/>
          <w:lang w:val="es-MX"/>
        </w:rPr>
        <w:t>3</w:t>
      </w:r>
      <w:r w:rsidRPr="00BB33CC">
        <w:rPr>
          <w:rFonts w:ascii="ITC Avant Garde" w:hAnsi="ITC Avant Garde"/>
          <w:iCs/>
          <w:sz w:val="20"/>
          <w:lang w:val="es-MX"/>
        </w:rPr>
        <w:fldChar w:fldCharType="end"/>
      </w:r>
      <w:r w:rsidRPr="00BB33CC">
        <w:rPr>
          <w:rFonts w:ascii="ITC Avant Garde" w:hAnsi="ITC Avant Garde"/>
          <w:iCs/>
          <w:sz w:val="20"/>
          <w:lang w:val="es-MX"/>
        </w:rPr>
        <w:t>: Estado de Flujos de Efectivo</w:t>
      </w:r>
    </w:p>
    <w:tbl>
      <w:tblPr>
        <w:tblW w:w="5000" w:type="pct"/>
        <w:jc w:val="center"/>
        <w:tblLayout w:type="fixed"/>
        <w:tblCellMar>
          <w:left w:w="70" w:type="dxa"/>
          <w:right w:w="70" w:type="dxa"/>
        </w:tblCellMar>
        <w:tblLook w:val="04A0" w:firstRow="1" w:lastRow="0" w:firstColumn="1" w:lastColumn="0" w:noHBand="0" w:noVBand="1"/>
      </w:tblPr>
      <w:tblGrid>
        <w:gridCol w:w="3973"/>
        <w:gridCol w:w="2427"/>
        <w:gridCol w:w="2428"/>
      </w:tblGrid>
      <w:tr w:rsidR="002E1156" w:rsidRPr="00BB33CC" w:rsidTr="00674BDD">
        <w:trPr>
          <w:trHeight w:val="504"/>
          <w:jc w:val="center"/>
        </w:trPr>
        <w:tc>
          <w:tcPr>
            <w:tcW w:w="4041" w:type="dxa"/>
            <w:tcBorders>
              <w:top w:val="nil"/>
              <w:left w:val="single" w:sz="4" w:space="0" w:color="FFFFFF"/>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 xml:space="preserve">Estado </w:t>
            </w:r>
            <w:r w:rsidR="0094277F" w:rsidRPr="00BB33CC">
              <w:rPr>
                <w:rFonts w:ascii="ITC Avant Garde" w:eastAsia="Times New Roman" w:hAnsi="ITC Avant Garde" w:cs="Arial"/>
                <w:b/>
                <w:color w:val="FFFFFF" w:themeColor="background1"/>
                <w:sz w:val="20"/>
                <w:lang w:val="es-ES" w:eastAsia="es-ES"/>
              </w:rPr>
              <w:t>Flujos</w:t>
            </w:r>
            <w:r w:rsidRPr="00BB33CC">
              <w:rPr>
                <w:rFonts w:ascii="ITC Avant Garde" w:eastAsia="Times New Roman" w:hAnsi="ITC Avant Garde" w:cs="Arial"/>
                <w:b/>
                <w:color w:val="FFFFFF" w:themeColor="background1"/>
                <w:sz w:val="20"/>
                <w:lang w:val="es-ES" w:eastAsia="es-ES"/>
              </w:rPr>
              <w:t xml:space="preserve"> de </w:t>
            </w:r>
            <w:r w:rsidR="0094277F" w:rsidRPr="00BB33CC">
              <w:rPr>
                <w:rFonts w:ascii="ITC Avant Garde" w:eastAsia="Times New Roman" w:hAnsi="ITC Avant Garde" w:cs="Arial"/>
                <w:b/>
                <w:color w:val="FFFFFF" w:themeColor="background1"/>
                <w:sz w:val="20"/>
                <w:lang w:val="es-ES" w:eastAsia="es-ES"/>
              </w:rPr>
              <w:t>Efectivo</w:t>
            </w:r>
            <w:r w:rsidRPr="00BB33CC">
              <w:rPr>
                <w:rFonts w:ascii="ITC Avant Garde" w:eastAsia="Times New Roman" w:hAnsi="ITC Avant Garde" w:cs="Arial"/>
                <w:b/>
                <w:bCs/>
                <w:color w:val="FFFFFF" w:themeColor="background1"/>
                <w:sz w:val="20"/>
                <w:vertAlign w:val="superscript"/>
                <w:lang w:val="es-ES" w:eastAsia="es-ES"/>
              </w:rPr>
              <w:footnoteReference w:id="144"/>
            </w:r>
          </w:p>
        </w:tc>
        <w:tc>
          <w:tcPr>
            <w:tcW w:w="2468" w:type="dxa"/>
            <w:tcBorders>
              <w:top w:val="nil"/>
              <w:left w:val="nil"/>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Relacionado con</w:t>
            </w:r>
            <w:r w:rsidRPr="00BB33CC">
              <w:rPr>
                <w:rFonts w:ascii="ITC Avant Garde" w:eastAsia="Times New Roman" w:hAnsi="ITC Avant Garde" w:cs="Arial"/>
                <w:b/>
                <w:color w:val="FFFFFF" w:themeColor="background1"/>
                <w:sz w:val="20"/>
                <w:lang w:val="es-ES" w:eastAsia="es-ES"/>
              </w:rPr>
              <w:br/>
              <w:t>autoridades públicas</w:t>
            </w:r>
          </w:p>
        </w:tc>
        <w:tc>
          <w:tcPr>
            <w:tcW w:w="2469" w:type="dxa"/>
            <w:tcBorders>
              <w:top w:val="nil"/>
              <w:left w:val="nil"/>
              <w:bottom w:val="nil"/>
              <w:right w:val="single" w:sz="4" w:space="0" w:color="FFFFFF"/>
            </w:tcBorders>
            <w:shd w:val="clear" w:color="000000" w:fill="4F629B"/>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BB33CC">
              <w:rPr>
                <w:rFonts w:ascii="ITC Avant Garde" w:eastAsia="Times New Roman" w:hAnsi="ITC Avant Garde" w:cs="Arial"/>
                <w:b/>
                <w:color w:val="FFFFFF" w:themeColor="background1"/>
                <w:sz w:val="20"/>
                <w:lang w:val="es-ES" w:eastAsia="es-ES"/>
              </w:rPr>
              <w:t>No relacionado con</w:t>
            </w:r>
            <w:r w:rsidRPr="00BB33CC">
              <w:rPr>
                <w:rFonts w:ascii="ITC Avant Garde" w:eastAsia="Times New Roman" w:hAnsi="ITC Avant Garde" w:cs="Arial"/>
                <w:b/>
                <w:color w:val="FFFFFF" w:themeColor="background1"/>
                <w:sz w:val="20"/>
                <w:lang w:val="es-ES" w:eastAsia="es-ES"/>
              </w:rPr>
              <w:br/>
              <w:t>autoridades públicas</w:t>
            </w:r>
          </w:p>
        </w:tc>
      </w:tr>
      <w:tr w:rsidR="002E1156" w:rsidRPr="00BB33CC" w:rsidTr="00674BDD">
        <w:trPr>
          <w:trHeight w:val="288"/>
          <w:jc w:val="center"/>
        </w:trPr>
        <w:tc>
          <w:tcPr>
            <w:tcW w:w="8978" w:type="dxa"/>
            <w:gridSpan w:val="3"/>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Actividades de operación</w:t>
            </w: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Más (menos) partidas que no requirieron el uso de efectivo</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tcPr>
          <w:p w:rsidR="002E1156" w:rsidRPr="00BB33CC" w:rsidDel="00BE7EAA"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Cambios en activos y pasivos de operación</w:t>
            </w:r>
          </w:p>
        </w:tc>
        <w:tc>
          <w:tcPr>
            <w:tcW w:w="2468" w:type="dxa"/>
            <w:tcBorders>
              <w:top w:val="nil"/>
              <w:left w:val="nil"/>
              <w:bottom w:val="single" w:sz="4" w:space="0" w:color="244062"/>
              <w:right w:val="nil"/>
            </w:tcBorders>
            <w:shd w:val="clear" w:color="auto" w:fill="auto"/>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Actividades de inversión</w:t>
            </w:r>
          </w:p>
        </w:tc>
        <w:tc>
          <w:tcPr>
            <w:tcW w:w="2468"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Adquisiciones de propiedades, planta y equipo</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Adquisición de licencias</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Actividades de financiamiento</w:t>
            </w:r>
          </w:p>
        </w:tc>
        <w:tc>
          <w:tcPr>
            <w:tcW w:w="2468"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single" w:sz="4" w:space="0" w:color="244062"/>
              <w:left w:val="nil"/>
              <w:bottom w:val="single" w:sz="4" w:space="0" w:color="244062"/>
              <w:right w:val="nil"/>
            </w:tcBorders>
            <w:shd w:val="clear" w:color="auto" w:fill="E5E9EB"/>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Préstamos obtenidos</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Pagos de préstamos</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hideMark/>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 xml:space="preserve">… </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r w:rsidR="002E1156" w:rsidRPr="00BB33CC" w:rsidTr="00674BDD">
        <w:trPr>
          <w:trHeight w:val="288"/>
          <w:jc w:val="center"/>
        </w:trPr>
        <w:tc>
          <w:tcPr>
            <w:tcW w:w="8978" w:type="dxa"/>
            <w:gridSpan w:val="3"/>
            <w:tcBorders>
              <w:top w:val="single" w:sz="4" w:space="0" w:color="244062"/>
              <w:left w:val="nil"/>
              <w:bottom w:val="single" w:sz="4" w:space="0" w:color="244062"/>
              <w:right w:val="nil"/>
            </w:tcBorders>
            <w:shd w:val="clear" w:color="auto" w:fill="E5E9EB"/>
            <w:noWrap/>
            <w:vAlign w:val="center"/>
          </w:tcPr>
          <w:p w:rsidR="002E1156" w:rsidRPr="00BB33CC" w:rsidRDefault="002E1156" w:rsidP="00674BDD">
            <w:pPr>
              <w:keepNext/>
              <w:keepLines/>
              <w:spacing w:after="0" w:line="240" w:lineRule="auto"/>
              <w:rPr>
                <w:rFonts w:ascii="ITC Avant Garde" w:eastAsia="Times New Roman" w:hAnsi="ITC Avant Garde" w:cs="Arial"/>
                <w:b/>
                <w:bCs/>
                <w:sz w:val="20"/>
                <w:lang w:val="es-ES" w:eastAsia="es-ES"/>
              </w:rPr>
            </w:pPr>
            <w:r w:rsidRPr="00BB33CC">
              <w:rPr>
                <w:rFonts w:ascii="ITC Avant Garde" w:eastAsia="Times New Roman" w:hAnsi="ITC Avant Garde" w:cs="Arial"/>
                <w:b/>
                <w:bCs/>
                <w:sz w:val="20"/>
                <w:lang w:val="es-ES" w:eastAsia="es-ES"/>
              </w:rPr>
              <w:t>Transacciones no monetarias de</w:t>
            </w:r>
            <w:r w:rsidRPr="00BB33CC">
              <w:rPr>
                <w:rFonts w:ascii="ITC Avant Garde" w:eastAsia="Times New Roman" w:hAnsi="ITC Avant Garde" w:cs="Arial"/>
                <w:b/>
                <w:bCs/>
                <w:sz w:val="20"/>
                <w:lang w:val="es-ES" w:eastAsia="es-ES"/>
              </w:rPr>
              <w:br/>
              <w:t>actividades de inversión</w:t>
            </w:r>
          </w:p>
        </w:tc>
      </w:tr>
      <w:tr w:rsidR="002E1156" w:rsidRPr="00BB33CC" w:rsidTr="00674BDD">
        <w:trPr>
          <w:trHeight w:val="288"/>
          <w:jc w:val="center"/>
        </w:trPr>
        <w:tc>
          <w:tcPr>
            <w:tcW w:w="4041" w:type="dxa"/>
            <w:tcBorders>
              <w:top w:val="nil"/>
              <w:left w:val="nil"/>
              <w:bottom w:val="single" w:sz="4" w:space="0" w:color="244062"/>
              <w:right w:val="nil"/>
            </w:tcBorders>
            <w:shd w:val="clear" w:color="000000" w:fill="D0D1DB"/>
            <w:noWrap/>
            <w:vAlign w:val="center"/>
          </w:tcPr>
          <w:p w:rsidR="002E1156" w:rsidRPr="00BB33CC" w:rsidRDefault="002E1156" w:rsidP="00674BDD">
            <w:pPr>
              <w:keepNext/>
              <w:keepLines/>
              <w:spacing w:after="0" w:line="240" w:lineRule="auto"/>
              <w:rPr>
                <w:rFonts w:ascii="ITC Avant Garde" w:eastAsia="Times New Roman" w:hAnsi="ITC Avant Garde" w:cs="Arial"/>
                <w:sz w:val="20"/>
                <w:lang w:val="es-ES" w:eastAsia="es-ES"/>
              </w:rPr>
            </w:pPr>
            <w:r w:rsidRPr="00BB33CC">
              <w:rPr>
                <w:rFonts w:ascii="ITC Avant Garde" w:eastAsia="Times New Roman" w:hAnsi="ITC Avant Garde" w:cs="Arial"/>
                <w:sz w:val="20"/>
                <w:lang w:val="es-ES" w:eastAsia="es-ES"/>
              </w:rPr>
              <w:t>Propiedades, planta y equipo</w:t>
            </w:r>
          </w:p>
        </w:tc>
        <w:tc>
          <w:tcPr>
            <w:tcW w:w="2468"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rsidR="002E1156" w:rsidRPr="00BB33CC" w:rsidRDefault="002E1156" w:rsidP="00674BDD">
            <w:pPr>
              <w:keepNext/>
              <w:keepLines/>
              <w:spacing w:after="0" w:line="240" w:lineRule="auto"/>
              <w:jc w:val="center"/>
              <w:rPr>
                <w:rFonts w:ascii="ITC Avant Garde" w:eastAsia="Times New Roman" w:hAnsi="ITC Avant Garde" w:cs="Arial"/>
                <w:sz w:val="20"/>
                <w:lang w:val="es-ES" w:eastAsia="es-ES"/>
              </w:rPr>
            </w:pPr>
          </w:p>
        </w:tc>
      </w:tr>
    </w:tbl>
    <w:p w:rsidR="002E1156" w:rsidRPr="00BB33CC" w:rsidRDefault="00E15094" w:rsidP="002E1156">
      <w:pPr>
        <w:pStyle w:val="HeadingAnexo1L2"/>
        <w:numPr>
          <w:ilvl w:val="0"/>
          <w:numId w:val="202"/>
        </w:numPr>
      </w:pPr>
      <w:bookmarkStart w:id="121" w:name="_Ref477513245"/>
      <w:r w:rsidRPr="00BB33CC">
        <w:t>Estudio</w:t>
      </w:r>
      <w:r w:rsidR="002E1156" w:rsidRPr="00BB33CC">
        <w:t xml:space="preserve"> de precios de transferencia</w:t>
      </w:r>
      <w:bookmarkEnd w:id="121"/>
    </w:p>
    <w:p w:rsidR="003314A5" w:rsidRPr="00BB33CC" w:rsidRDefault="009D2B3A" w:rsidP="002B6C9A">
      <w:pPr>
        <w:pStyle w:val="Normalresolucion"/>
        <w:spacing w:after="0" w:line="276" w:lineRule="auto"/>
      </w:pPr>
      <w:r w:rsidRPr="00BB33CC">
        <w:t xml:space="preserve">Los concesionarios con carácter de </w:t>
      </w:r>
      <w:r w:rsidR="003314A5" w:rsidRPr="00BB33CC">
        <w:t xml:space="preserve">red compartida mayorista deben entregar al Instituto la información y documentos que elaboran para cumplir con las obligaciones previstas en las fracciones IX y XII del artículo 76, y fracción II del artículo 76-A de la Ley del Impuesto sobre la Renta, así como cualquier información relativa a los precios de transferencia que derive de reformas a dicha ley. </w:t>
      </w:r>
    </w:p>
    <w:p w:rsidR="003314A5" w:rsidRPr="00BB33CC" w:rsidRDefault="003314A5" w:rsidP="003314A5">
      <w:pPr>
        <w:pStyle w:val="Normalresolucion"/>
        <w:spacing w:after="0" w:line="276" w:lineRule="auto"/>
      </w:pPr>
    </w:p>
    <w:p w:rsidR="002E1156" w:rsidRPr="00BB33CC" w:rsidRDefault="002E1156" w:rsidP="002E1156"/>
    <w:p w:rsidR="00431424" w:rsidRPr="00BB33CC" w:rsidRDefault="002E1156" w:rsidP="00431424">
      <w:pPr>
        <w:pStyle w:val="Ttulo2"/>
        <w:jc w:val="center"/>
      </w:pPr>
      <w:r w:rsidRPr="00BB33CC">
        <w:br w:type="page"/>
      </w:r>
      <w:r w:rsidR="00431424" w:rsidRPr="00BB33CC">
        <w:lastRenderedPageBreak/>
        <w:t>APARTADO V</w:t>
      </w:r>
    </w:p>
    <w:p w:rsidR="00431424" w:rsidRPr="00BB33CC" w:rsidRDefault="00431424" w:rsidP="00431424">
      <w:pPr>
        <w:pStyle w:val="Normalresolucion"/>
        <w:jc w:val="center"/>
      </w:pPr>
      <w:r w:rsidRPr="00BB33CC">
        <w:rPr>
          <w:b/>
        </w:rPr>
        <w:t>DEFINICIÓN DE LINEAMIENTOS GENERALES PARA LA SELECCIÓN DE LOS CRITERIOS DE IMPUTACIÓN DE COSTOS E INGRESOS EN LA SEPARACIÓN CONTABLE</w:t>
      </w:r>
    </w:p>
    <w:p w:rsidR="00431424" w:rsidRPr="00BB33CC" w:rsidRDefault="00431424" w:rsidP="002B6C9A">
      <w:pPr>
        <w:pStyle w:val="Normalresolucion"/>
        <w:spacing w:after="0" w:line="276" w:lineRule="auto"/>
      </w:pPr>
      <w:r w:rsidRPr="00BB33CC">
        <w:t>El presente apartado aporta una serie de indicaciones que se espera sean de utilidad a los concesionarios y/o autorizados en la definición de los factores de enrutamiento más apropiados para cada caso.</w:t>
      </w:r>
    </w:p>
    <w:p w:rsidR="00431424" w:rsidRPr="00BB33CC" w:rsidRDefault="00431424" w:rsidP="002B6C9A">
      <w:pPr>
        <w:pStyle w:val="Normalresolucion"/>
        <w:spacing w:after="0" w:line="276" w:lineRule="auto"/>
      </w:pPr>
      <w:r w:rsidRPr="00BB33CC">
        <w:t>Las guías mostradas en este apartado no tienen un carácter exhaustivo ni limitativo; no obstante, los concesionarios y/o autorizados deben tomarlas en cuenta como base al momento de realizar la implementación de la separación contable.</w:t>
      </w:r>
      <w:r w:rsidRPr="00BB33CC" w:rsidDel="0066295E">
        <w:t xml:space="preserve"> </w:t>
      </w:r>
    </w:p>
    <w:p w:rsidR="00431424" w:rsidRPr="00BB33CC" w:rsidRDefault="00431424" w:rsidP="002B6C9A">
      <w:pPr>
        <w:pStyle w:val="Normalresolucion"/>
        <w:spacing w:after="0" w:line="276" w:lineRule="auto"/>
      </w:pPr>
      <w:r w:rsidRPr="00BB33CC">
        <w:t>A continuación se presentan las principales directrices para las diferentes fases de imputación de costos e ingresos en la separación contable.</w:t>
      </w:r>
    </w:p>
    <w:p w:rsidR="00431424" w:rsidRPr="00BB33CC" w:rsidRDefault="00431424" w:rsidP="002B6C9A">
      <w:pPr>
        <w:pStyle w:val="Normalresolucion"/>
        <w:spacing w:after="0" w:line="276" w:lineRule="auto"/>
        <w:rPr>
          <w:b/>
          <w:u w:val="single"/>
        </w:rPr>
      </w:pPr>
      <w:r w:rsidRPr="00BB33CC">
        <w:rPr>
          <w:b/>
          <w:u w:val="single"/>
        </w:rPr>
        <w:t>Imputación de ingresos por naturaleza (Nivel 1) a cuentas de servicios (Nivel 3)</w:t>
      </w:r>
    </w:p>
    <w:p w:rsidR="00431424" w:rsidRPr="00BB33CC" w:rsidRDefault="00431424" w:rsidP="002B6C9A">
      <w:pPr>
        <w:pStyle w:val="Normalresolucion"/>
        <w:spacing w:after="0" w:line="276" w:lineRule="auto"/>
      </w:pPr>
      <w:r w:rsidRPr="00BB33CC">
        <w:t>En esta fase de imputación el principal reto consiste en la identificación de los ingresos a nivel de servicio cuando los mismos son prestados de manera conjunta mediante ofertas empaquetadas. Para realizar esta identificación de ingresos por categoría de servicio el Instituto no considera como alternativas válidas la desagregación con base en costos o la imputación de la totalidad de los ingresos del paquete a un servicio en particular.</w:t>
      </w:r>
    </w:p>
    <w:p w:rsidR="00431424" w:rsidRPr="00BB33CC" w:rsidRDefault="00431424" w:rsidP="002B6C9A">
      <w:pPr>
        <w:pStyle w:val="Normalresolucion"/>
        <w:spacing w:after="0" w:line="276" w:lineRule="auto"/>
      </w:pPr>
      <w:r w:rsidRPr="00BB33CC">
        <w:t>En su defecto, el Instituto</w:t>
      </w:r>
      <w:r w:rsidRPr="00BB33CC" w:rsidDel="0004102B">
        <w:t xml:space="preserve"> </w:t>
      </w:r>
      <w:r w:rsidRPr="00BB33CC">
        <w:t>considera que la mejor aproximación en estos casos consiste en el desarrollo de un ejercicio estadístico que determine el valor implícito de los diferentes servicios de telecomunicaciones reconociendo el portafolio de planes comerciales del concesionario y/o autorizado. De este modo, se podrá garantizar una máxima alineación con la realidad de mercado y así maximizar el cumplimiento del principio de causalidad.</w:t>
      </w:r>
    </w:p>
    <w:p w:rsidR="00431424" w:rsidRPr="00BB33CC" w:rsidRDefault="00431424" w:rsidP="00431424">
      <w:pPr>
        <w:pStyle w:val="Normalresolucion"/>
        <w:rPr>
          <w:b/>
          <w:u w:val="single"/>
        </w:rPr>
      </w:pPr>
      <w:r w:rsidRPr="00BB33CC">
        <w:rPr>
          <w:b/>
          <w:u w:val="single"/>
        </w:rPr>
        <w:t>Imputación de costos por naturaleza (Nivel 1) a cuentas de costos por actividades y elementos de red (Nivel 2)</w:t>
      </w:r>
    </w:p>
    <w:p w:rsidR="00431424" w:rsidRPr="00BB33CC" w:rsidRDefault="00431424" w:rsidP="002B6C9A">
      <w:pPr>
        <w:pStyle w:val="Normalresolucion"/>
        <w:spacing w:after="0" w:line="276" w:lineRule="auto"/>
      </w:pPr>
      <w:r w:rsidRPr="00BB33CC">
        <w:t>A continuación se proporcionan indicaciones para la imputación de categorías de costos por naturaleza de especial relevancia:</w:t>
      </w:r>
    </w:p>
    <w:p w:rsidR="00431424" w:rsidRPr="00BB33CC" w:rsidRDefault="00431424" w:rsidP="002B6C9A">
      <w:pPr>
        <w:pStyle w:val="Indentadoresolucin"/>
        <w:spacing w:before="240" w:line="276" w:lineRule="auto"/>
      </w:pPr>
      <w:r w:rsidRPr="00BB33CC">
        <w:rPr>
          <w:bCs/>
          <w:i/>
          <w:iCs/>
        </w:rPr>
        <w:t>Personal</w:t>
      </w:r>
      <w:r w:rsidRPr="00BB33CC">
        <w:t>: Los costos asociados al personal deberán ser atribuidos en el Nivel 2 a las actividades o elementos de red a los que éstos se dedican con base en el reconocimiento de las funciones realizadas (por medio de herramientas internas de Costeo Basado en Actividades (ABC</w:t>
      </w:r>
      <w:r w:rsidRPr="00BB33CC">
        <w:rPr>
          <w:rStyle w:val="Refdenotaalpie"/>
        </w:rPr>
        <w:footnoteReference w:id="145"/>
      </w:r>
      <w:r w:rsidRPr="00BB33CC">
        <w:t xml:space="preserve">) o bases </w:t>
      </w:r>
      <w:r w:rsidRPr="00BB33CC">
        <w:lastRenderedPageBreak/>
        <w:t>de datos que registren el tiempo dedicado por cada trabajador a cada una de las tareas parametrizadas). Este proceso deberá reconocer no solo la dedicación horaria del trabajador, sino también el sueldo asociado a este, para asegurar la máxima alineación a costos.</w:t>
      </w:r>
    </w:p>
    <w:p w:rsidR="00431424" w:rsidRPr="00BB33CC" w:rsidRDefault="00431424" w:rsidP="002B6C9A">
      <w:pPr>
        <w:pStyle w:val="Indentadoresolucin"/>
        <w:spacing w:before="240" w:line="276" w:lineRule="auto"/>
      </w:pPr>
      <w:r w:rsidRPr="00BB33CC">
        <w:rPr>
          <w:bCs/>
          <w:i/>
          <w:iCs/>
        </w:rPr>
        <w:t>Elementos de soporte (arrendamientos, edificios, reparaciones, energía, suministros)</w:t>
      </w:r>
      <w:r w:rsidRPr="00BB33CC">
        <w:t>: Los costos de estos conceptos deberán ser distribuidos a las actividades o elementos de red que los originan. Así, por ejemplo:</w:t>
      </w:r>
    </w:p>
    <w:p w:rsidR="00431424" w:rsidRPr="00BB33CC" w:rsidRDefault="00431424" w:rsidP="002B6C9A">
      <w:pPr>
        <w:pStyle w:val="Indentado3"/>
        <w:spacing w:before="240" w:line="276" w:lineRule="auto"/>
      </w:pPr>
      <w:r w:rsidRPr="00BB33CC">
        <w:t>Para el reparto de los arrendamientos y edificios se analizarán las funciones de los locales del concesionario y/o autorizado, distribuyéndose el costo con base en los metros cuadrados (ponderados por el costo por metro cuadrado). Por ejemplo, si un 10% de un edificio está ocupado por equipos “MGW”, entonces el 10% de ese edificio será imputado al elemento de red “MGW” de Nivel 2.</w:t>
      </w:r>
    </w:p>
    <w:p w:rsidR="00431424" w:rsidRPr="00BB33CC" w:rsidRDefault="00431424" w:rsidP="002B6C9A">
      <w:pPr>
        <w:pStyle w:val="Indentado3"/>
        <w:spacing w:before="240" w:line="276" w:lineRule="auto"/>
      </w:pPr>
      <w:r w:rsidRPr="00BB33CC">
        <w:t>El reparto de la energía se realizará con base en el consumo eléctrico de las diferentes actividades y elementos de red de Nivel 2. Para ello, será necesario evaluar el consumo eléctrico de los equipos técnicos, así como el consumo para funciones de naturaleza administrativa.</w:t>
      </w:r>
    </w:p>
    <w:p w:rsidR="00431424" w:rsidRPr="00BB33CC" w:rsidRDefault="00431424" w:rsidP="002B6C9A">
      <w:pPr>
        <w:pStyle w:val="Indentadoresolucin"/>
        <w:spacing w:before="240" w:line="276" w:lineRule="auto"/>
      </w:pPr>
      <w:r w:rsidRPr="00BB33CC">
        <w:rPr>
          <w:bCs/>
          <w:i/>
          <w:iCs/>
        </w:rPr>
        <w:t>Activos de red</w:t>
      </w:r>
      <w:r w:rsidRPr="00BB33CC">
        <w:t>: Estos se repartirán, por normal general, de manera directa a los elementos de red homónimos de Nivel 2.</w:t>
      </w:r>
    </w:p>
    <w:p w:rsidR="00431424" w:rsidRPr="00BB33CC" w:rsidRDefault="00431424" w:rsidP="00431424">
      <w:pPr>
        <w:pStyle w:val="Normalresolucion"/>
        <w:rPr>
          <w:b/>
          <w:u w:val="single"/>
        </w:rPr>
      </w:pPr>
      <w:r w:rsidRPr="00BB33CC">
        <w:rPr>
          <w:b/>
          <w:u w:val="single"/>
        </w:rPr>
        <w:t>Imputación de costos por actividades y elementos de red (Nivel 2) a servicios (Nivel 3)</w:t>
      </w:r>
    </w:p>
    <w:p w:rsidR="00431424" w:rsidRPr="00BB33CC" w:rsidRDefault="00431424" w:rsidP="002B6C9A">
      <w:pPr>
        <w:pStyle w:val="Normalresolucion"/>
        <w:spacing w:after="0" w:line="276" w:lineRule="auto"/>
      </w:pPr>
      <w:r w:rsidRPr="00BB33CC">
        <w:t>Por último, en los siguientes párrafos se aportan determinadas indicaciones para facilitar la imputación de costos de Nivel 2 a Nivel 3:</w:t>
      </w:r>
    </w:p>
    <w:p w:rsidR="00431424" w:rsidRPr="00BB33CC" w:rsidRDefault="00431424" w:rsidP="002B6C9A">
      <w:pPr>
        <w:pStyle w:val="Indentadoresolucin"/>
        <w:spacing w:before="240" w:line="276" w:lineRule="auto"/>
      </w:pPr>
      <w:r w:rsidRPr="00BB33CC">
        <w:rPr>
          <w:bCs/>
          <w:i/>
          <w:iCs/>
        </w:rPr>
        <w:t>Componentes de red</w:t>
      </w:r>
      <w:r w:rsidRPr="00BB33CC">
        <w:t>: Por norma general, se deberá definir una matriz de factores de uso que relacione la utilización de los diferentes elementos de red por parte de los servicios (mayoristas) definidos en la separación contable. Cuando sea necesario homogeneizar las unidades de volumen de los servicios para garantizar la aplicabilidad de esta matriz, las conversiones efectuadas deberán basarse en mediciones técnicas y la información de soporte deberá ser facilitada al Instituto cuando así se requiera.</w:t>
      </w:r>
    </w:p>
    <w:p w:rsidR="00431424" w:rsidRPr="00BB33CC" w:rsidRDefault="00431424" w:rsidP="002B6C9A">
      <w:pPr>
        <w:pStyle w:val="Indentadoresolucin"/>
        <w:numPr>
          <w:ilvl w:val="0"/>
          <w:numId w:val="0"/>
        </w:numPr>
        <w:spacing w:before="240" w:line="276" w:lineRule="auto"/>
        <w:ind w:left="1008"/>
      </w:pPr>
      <w:r w:rsidRPr="00BB33CC">
        <w:lastRenderedPageBreak/>
        <w:t>Una vez construida la matriz de factores de uso, ésta será multiplicada por los volúmenes de los servicios para construir los factores de atribución de costos aplicables.</w:t>
      </w:r>
    </w:p>
    <w:p w:rsidR="00431424" w:rsidRPr="00BB33CC" w:rsidRDefault="00431424" w:rsidP="002B6C9A">
      <w:pPr>
        <w:pStyle w:val="Indentadoresolucin"/>
        <w:spacing w:before="240" w:line="276" w:lineRule="auto"/>
      </w:pPr>
      <w:r w:rsidRPr="00BB33CC">
        <w:rPr>
          <w:bCs/>
          <w:i/>
          <w:iCs/>
        </w:rPr>
        <w:t>Componentes no relacionados con la red</w:t>
      </w:r>
      <w:r w:rsidRPr="00BB33CC">
        <w:t>: Cuando así resulte posible (costos comerciales, fidelización) se deberán emplear estudios extracontables que permitan relacionar la dedicación de estos componentes a servicios. A modo de ejemplo, en el caso de los costos comerciales, se debería identificar el grado de atención comercial dedicado a la prestación de los diferentes servicios (o grupos de servicios) para optimizar la causalidad de la atribución de costos. Por otro lado, en el caso de conceptos de tasas, impuestos o facturación, los mismos se podrían distribuir a servicios mediante márgenes equiproporcionales.</w:t>
      </w:r>
    </w:p>
    <w:p w:rsidR="00431424" w:rsidRPr="00BB33CC" w:rsidRDefault="00431424" w:rsidP="007E0FC9">
      <w:pPr>
        <w:pStyle w:val="Indentadoresolucin"/>
        <w:spacing w:before="240" w:line="276" w:lineRule="auto"/>
      </w:pPr>
      <w:r w:rsidRPr="00BB33CC">
        <w:rPr>
          <w:bCs/>
          <w:i/>
          <w:iCs/>
        </w:rPr>
        <w:t>Costos directos de ventas</w:t>
      </w:r>
      <w:r w:rsidRPr="00BB33CC">
        <w:t>: Estos costos serán asignados de manera directa al servicio (o servicios) que los ocasiona.</w:t>
      </w:r>
    </w:p>
    <w:p w:rsidR="00431424" w:rsidRPr="00BB33CC" w:rsidRDefault="00431424" w:rsidP="007E0FC9">
      <w:pPr>
        <w:pStyle w:val="Indentadoresolucin"/>
        <w:spacing w:before="240" w:line="276" w:lineRule="auto"/>
      </w:pPr>
      <w:r w:rsidRPr="00BB33CC">
        <w:rPr>
          <w:bCs/>
          <w:i/>
          <w:iCs/>
        </w:rPr>
        <w:t>Costos comunes</w:t>
      </w:r>
      <w:r w:rsidRPr="00BB33CC">
        <w:t>: Estos costos se podrían distribuir a servicios mediante márgenes equiproporcionales.</w:t>
      </w:r>
      <w:r w:rsidRPr="00BB33CC" w:rsidDel="00E92B54">
        <w:t xml:space="preserve"> </w:t>
      </w:r>
    </w:p>
    <w:bookmarkEnd w:id="39"/>
    <w:p w:rsidR="005039F1" w:rsidRPr="00776A41" w:rsidRDefault="005039F1" w:rsidP="002E1156">
      <w:pPr>
        <w:rPr>
          <w:rFonts w:ascii="ITC Avant Garde" w:hAnsi="ITC Avant Garde"/>
          <w:b/>
        </w:rPr>
      </w:pPr>
    </w:p>
    <w:sectPr w:rsidR="005039F1" w:rsidRPr="00776A41" w:rsidSect="002E1156">
      <w:headerReference w:type="even" r:id="rId24"/>
      <w:headerReference w:type="default" r:id="rId25"/>
      <w:footerReference w:type="default" r:id="rId26"/>
      <w:headerReference w:type="first" r:id="rId27"/>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C80" w:rsidRDefault="00FB2C80" w:rsidP="001D2142">
      <w:pPr>
        <w:spacing w:after="0" w:line="240" w:lineRule="auto"/>
      </w:pPr>
      <w:r>
        <w:separator/>
      </w:r>
    </w:p>
  </w:endnote>
  <w:endnote w:type="continuationSeparator" w:id="0">
    <w:p w:rsidR="00FB2C80" w:rsidRDefault="00FB2C80" w:rsidP="001D2142">
      <w:pPr>
        <w:spacing w:after="0" w:line="240" w:lineRule="auto"/>
      </w:pPr>
      <w:r>
        <w:continuationSeparator/>
      </w:r>
    </w:p>
  </w:endnote>
  <w:endnote w:type="continuationNotice" w:id="1">
    <w:p w:rsidR="00FB2C80" w:rsidRDefault="00FB2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ITC Avant Garde Gothic">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84" w:rsidRDefault="001875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2000222153"/>
      <w:docPartObj>
        <w:docPartGallery w:val="Page Numbers (Bottom of Page)"/>
        <w:docPartUnique/>
      </w:docPartObj>
    </w:sdtPr>
    <w:sdtEndPr/>
    <w:sdtContent>
      <w:sdt>
        <w:sdtPr>
          <w:rPr>
            <w:rFonts w:ascii="ITC Avant Garde" w:eastAsia="Calibri" w:hAnsi="ITC Avant Garde" w:cs="Arial"/>
          </w:rPr>
          <w:id w:val="918443833"/>
          <w:docPartObj>
            <w:docPartGallery w:val="Page Numbers (Top of Page)"/>
            <w:docPartUnique/>
          </w:docPartObj>
        </w:sdtPr>
        <w:sdtEndPr/>
        <w:sdtContent>
          <w:p w:rsidR="00820D16" w:rsidRDefault="00820D16" w:rsidP="00AB140D">
            <w:pPr>
              <w:tabs>
                <w:tab w:val="center" w:pos="4419"/>
                <w:tab w:val="right" w:pos="8838"/>
              </w:tabs>
              <w:spacing w:after="0" w:line="240" w:lineRule="auto"/>
              <w:jc w:val="right"/>
              <w:rPr>
                <w:rFonts w:ascii="ITC Avant Garde" w:eastAsia="Calibri" w:hAnsi="ITC Avant Garde" w:cs="Arial"/>
              </w:rPr>
            </w:pPr>
          </w:p>
          <w:p w:rsidR="00820D16" w:rsidRPr="00464E49" w:rsidRDefault="00820D16" w:rsidP="00464E49">
            <w:pPr>
              <w:tabs>
                <w:tab w:val="center" w:pos="4419"/>
                <w:tab w:val="right" w:pos="8838"/>
              </w:tabs>
              <w:spacing w:after="0" w:line="240" w:lineRule="auto"/>
              <w:jc w:val="right"/>
              <w:rPr>
                <w:rFonts w:ascii="ITC Avant Garde" w:hAnsi="ITC Avant Garde"/>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187584">
              <w:rPr>
                <w:rFonts w:ascii="ITC Avant Garde" w:eastAsia="Calibri" w:hAnsi="ITC Avant Garde" w:cs="Arial"/>
                <w:b/>
                <w:bCs/>
                <w:noProof/>
                <w:sz w:val="20"/>
              </w:rPr>
              <w:t>22</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187584">
              <w:rPr>
                <w:rFonts w:ascii="ITC Avant Garde" w:eastAsia="Calibri" w:hAnsi="ITC Avant Garde" w:cs="Arial"/>
                <w:b/>
                <w:bCs/>
                <w:noProof/>
                <w:sz w:val="20"/>
              </w:rPr>
              <w:t>145</w:t>
            </w:r>
            <w:r w:rsidRPr="00625A2E">
              <w:rPr>
                <w:rFonts w:ascii="ITC Avant Garde" w:eastAsia="Calibri" w:hAnsi="ITC Avant Garde" w:cs="Arial"/>
                <w:b/>
                <w:bCs/>
                <w:szCs w:val="24"/>
              </w:rPr>
              <w:fldChar w:fldCharType="end"/>
            </w:r>
          </w:p>
        </w:sdtContent>
      </w:sdt>
    </w:sdtContent>
  </w:sdt>
  <w:p w:rsidR="00820D16" w:rsidRDefault="00820D16" w:rsidP="00464E49">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52513"/>
      <w:docPartObj>
        <w:docPartGallery w:val="Page Numbers (Bottom of Page)"/>
        <w:docPartUnique/>
      </w:docPartObj>
    </w:sdtPr>
    <w:sdtEndPr>
      <w:rPr>
        <w:noProof/>
      </w:rPr>
    </w:sdtEndPr>
    <w:sdtContent>
      <w:sdt>
        <w:sdtPr>
          <w:rPr>
            <w:rFonts w:ascii="ITC Avant Garde" w:eastAsia="Calibri" w:hAnsi="ITC Avant Garde" w:cs="Arial"/>
          </w:rPr>
          <w:id w:val="1341814375"/>
          <w:docPartObj>
            <w:docPartGallery w:val="Page Numbers (Bottom of Page)"/>
            <w:docPartUnique/>
          </w:docPartObj>
        </w:sdtPr>
        <w:sdtEndPr/>
        <w:sdtContent>
          <w:sdt>
            <w:sdtPr>
              <w:rPr>
                <w:rFonts w:ascii="ITC Avant Garde" w:eastAsia="Calibri" w:hAnsi="ITC Avant Garde" w:cs="Arial"/>
              </w:rPr>
              <w:id w:val="-1573351197"/>
              <w:docPartObj>
                <w:docPartGallery w:val="Page Numbers (Top of Page)"/>
                <w:docPartUnique/>
              </w:docPartObj>
            </w:sdtPr>
            <w:sdtEndPr/>
            <w:sdtContent>
              <w:p w:rsidR="00820D16" w:rsidRDefault="00820D16">
                <w:pPr>
                  <w:tabs>
                    <w:tab w:val="center" w:pos="4419"/>
                    <w:tab w:val="right" w:pos="8838"/>
                  </w:tabs>
                  <w:spacing w:after="0" w:line="240" w:lineRule="auto"/>
                  <w:jc w:val="right"/>
                  <w:rPr>
                    <w:rFonts w:ascii="ITC Avant Garde" w:eastAsia="Calibri" w:hAnsi="ITC Avant Garde" w:cs="Arial"/>
                  </w:rPr>
                </w:pPr>
              </w:p>
              <w:p w:rsidR="00820D16" w:rsidRPr="00625A2E" w:rsidRDefault="00820D16" w:rsidP="00AB140D">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Pr>
                    <w:rFonts w:ascii="ITC Avant Garde" w:eastAsia="Calibri" w:hAnsi="ITC Avant Garde" w:cs="Arial"/>
                    <w:b/>
                    <w:bCs/>
                    <w:noProof/>
                    <w:sz w:val="20"/>
                  </w:rPr>
                  <w:t>93</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Pr>
                    <w:rFonts w:ascii="ITC Avant Garde" w:eastAsia="Calibri" w:hAnsi="ITC Avant Garde" w:cs="Arial"/>
                    <w:b/>
                    <w:bCs/>
                    <w:noProof/>
                    <w:sz w:val="20"/>
                  </w:rPr>
                  <w:t>1</w:t>
                </w:r>
                <w:r w:rsidRPr="00625A2E">
                  <w:rPr>
                    <w:rFonts w:ascii="ITC Avant Garde" w:eastAsia="Calibri" w:hAnsi="ITC Avant Garde" w:cs="Arial"/>
                    <w:b/>
                    <w:bCs/>
                    <w:szCs w:val="24"/>
                  </w:rPr>
                  <w:fldChar w:fldCharType="end"/>
                </w:r>
              </w:p>
            </w:sdtContent>
          </w:sdt>
        </w:sdtContent>
      </w:sdt>
      <w:p w:rsidR="00820D16" w:rsidRDefault="00FB2C80" w:rsidP="00464E49">
        <w:pPr>
          <w:pStyle w:val="Piedepgina"/>
        </w:pPr>
      </w:p>
    </w:sdtContent>
  </w:sdt>
  <w:p w:rsidR="00820D16" w:rsidRDefault="00820D1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569920495"/>
      <w:docPartObj>
        <w:docPartGallery w:val="Page Numbers (Bottom of Page)"/>
        <w:docPartUnique/>
      </w:docPartObj>
    </w:sdtPr>
    <w:sdtEndPr/>
    <w:sdtContent>
      <w:sdt>
        <w:sdtPr>
          <w:rPr>
            <w:rFonts w:ascii="ITC Avant Garde" w:eastAsia="Calibri" w:hAnsi="ITC Avant Garde" w:cs="Arial"/>
          </w:rPr>
          <w:id w:val="-845863978"/>
          <w:docPartObj>
            <w:docPartGallery w:val="Page Numbers (Top of Page)"/>
            <w:docPartUnique/>
          </w:docPartObj>
        </w:sdtPr>
        <w:sdtEndPr/>
        <w:sdtContent>
          <w:p w:rsidR="00820D16" w:rsidRDefault="00820D16" w:rsidP="00AB140D">
            <w:pPr>
              <w:tabs>
                <w:tab w:val="center" w:pos="4419"/>
                <w:tab w:val="right" w:pos="8838"/>
              </w:tabs>
              <w:spacing w:after="0" w:line="240" w:lineRule="auto"/>
              <w:jc w:val="right"/>
              <w:rPr>
                <w:rFonts w:ascii="ITC Avant Garde" w:eastAsia="Calibri" w:hAnsi="ITC Avant Garde" w:cs="Arial"/>
              </w:rPr>
            </w:pPr>
          </w:p>
          <w:p w:rsidR="00820D16" w:rsidRPr="00464E49" w:rsidRDefault="00820D16" w:rsidP="00464E49">
            <w:pPr>
              <w:tabs>
                <w:tab w:val="center" w:pos="4419"/>
                <w:tab w:val="right" w:pos="8838"/>
              </w:tabs>
              <w:spacing w:after="0" w:line="240" w:lineRule="auto"/>
              <w:jc w:val="right"/>
              <w:rPr>
                <w:rFonts w:ascii="ITC Avant Garde" w:hAnsi="ITC Avant Garde"/>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187584">
              <w:rPr>
                <w:rFonts w:ascii="ITC Avant Garde" w:eastAsia="Calibri" w:hAnsi="ITC Avant Garde" w:cs="Arial"/>
                <w:b/>
                <w:bCs/>
                <w:noProof/>
                <w:sz w:val="20"/>
              </w:rPr>
              <w:t>121</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187584">
              <w:rPr>
                <w:rFonts w:ascii="ITC Avant Garde" w:eastAsia="Calibri" w:hAnsi="ITC Avant Garde" w:cs="Arial"/>
                <w:b/>
                <w:bCs/>
                <w:noProof/>
                <w:sz w:val="20"/>
              </w:rPr>
              <w:t>145</w:t>
            </w:r>
            <w:r w:rsidRPr="00625A2E">
              <w:rPr>
                <w:rFonts w:ascii="ITC Avant Garde" w:eastAsia="Calibri" w:hAnsi="ITC Avant Garde" w:cs="Arial"/>
                <w:b/>
                <w:bCs/>
                <w:szCs w:val="24"/>
              </w:rPr>
              <w:fldChar w:fldCharType="end"/>
            </w:r>
          </w:p>
        </w:sdtContent>
      </w:sdt>
    </w:sdtContent>
  </w:sdt>
  <w:p w:rsidR="00820D16" w:rsidRDefault="00820D16" w:rsidP="00464E49">
    <w:pPr>
      <w:pStyle w:val="Piedepgin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007804"/>
      <w:docPartObj>
        <w:docPartGallery w:val="Page Numbers (Bottom of Page)"/>
        <w:docPartUnique/>
      </w:docPartObj>
    </w:sdtPr>
    <w:sdtEndPr>
      <w:rPr>
        <w:noProof/>
      </w:rPr>
    </w:sdtEndPr>
    <w:sdtContent>
      <w:sdt>
        <w:sdtPr>
          <w:rPr>
            <w:rFonts w:ascii="ITC Avant Garde" w:eastAsia="Calibri" w:hAnsi="ITC Avant Garde" w:cs="Arial"/>
          </w:rPr>
          <w:id w:val="-331137239"/>
          <w:docPartObj>
            <w:docPartGallery w:val="Page Numbers (Bottom of Page)"/>
            <w:docPartUnique/>
          </w:docPartObj>
        </w:sdtPr>
        <w:sdtEndPr/>
        <w:sdtContent>
          <w:sdt>
            <w:sdtPr>
              <w:rPr>
                <w:rFonts w:ascii="ITC Avant Garde" w:eastAsia="Calibri" w:hAnsi="ITC Avant Garde" w:cs="Arial"/>
              </w:rPr>
              <w:id w:val="1780683575"/>
              <w:docPartObj>
                <w:docPartGallery w:val="Page Numbers (Top of Page)"/>
                <w:docPartUnique/>
              </w:docPartObj>
            </w:sdtPr>
            <w:sdtEndPr/>
            <w:sdtContent>
              <w:p w:rsidR="00820D16" w:rsidRDefault="00820D16">
                <w:pPr>
                  <w:tabs>
                    <w:tab w:val="center" w:pos="4419"/>
                    <w:tab w:val="right" w:pos="8838"/>
                  </w:tabs>
                  <w:spacing w:after="0" w:line="240" w:lineRule="auto"/>
                  <w:jc w:val="right"/>
                  <w:rPr>
                    <w:rFonts w:ascii="ITC Avant Garde" w:eastAsia="Calibri" w:hAnsi="ITC Avant Garde" w:cs="Arial"/>
                  </w:rPr>
                </w:pPr>
              </w:p>
              <w:p w:rsidR="00820D16" w:rsidRPr="00625A2E" w:rsidRDefault="00820D16" w:rsidP="00AB140D">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Pr>
                    <w:rFonts w:ascii="ITC Avant Garde" w:eastAsia="Calibri" w:hAnsi="ITC Avant Garde" w:cs="Arial"/>
                    <w:b/>
                    <w:bCs/>
                    <w:noProof/>
                    <w:sz w:val="20"/>
                  </w:rPr>
                  <w:t>139</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Pr>
                    <w:rFonts w:ascii="ITC Avant Garde" w:eastAsia="Calibri" w:hAnsi="ITC Avant Garde" w:cs="Arial"/>
                    <w:b/>
                    <w:bCs/>
                    <w:noProof/>
                    <w:sz w:val="20"/>
                  </w:rPr>
                  <w:t>139</w:t>
                </w:r>
                <w:r w:rsidRPr="00625A2E">
                  <w:rPr>
                    <w:rFonts w:ascii="ITC Avant Garde" w:eastAsia="Calibri" w:hAnsi="ITC Avant Garde" w:cs="Arial"/>
                    <w:b/>
                    <w:bCs/>
                    <w:szCs w:val="24"/>
                  </w:rPr>
                  <w:fldChar w:fldCharType="end"/>
                </w:r>
              </w:p>
            </w:sdtContent>
          </w:sdt>
        </w:sdtContent>
      </w:sdt>
      <w:p w:rsidR="00820D16" w:rsidRDefault="00FB2C80" w:rsidP="00464E49">
        <w:pPr>
          <w:pStyle w:val="Piedepgina"/>
        </w:pPr>
      </w:p>
    </w:sdtContent>
  </w:sdt>
  <w:p w:rsidR="00820D16" w:rsidRDefault="00820D16">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eastAsia="Calibri" w:hAnsi="ITC Avant Garde" w:cs="Arial"/>
      </w:rPr>
      <w:id w:val="-790903392"/>
      <w:docPartObj>
        <w:docPartGallery w:val="Page Numbers (Bottom of Page)"/>
        <w:docPartUnique/>
      </w:docPartObj>
    </w:sdtPr>
    <w:sdtEndPr/>
    <w:sdtContent>
      <w:sdt>
        <w:sdtPr>
          <w:rPr>
            <w:rFonts w:ascii="ITC Avant Garde" w:eastAsia="Calibri" w:hAnsi="ITC Avant Garde" w:cs="Arial"/>
          </w:rPr>
          <w:id w:val="-1769616900"/>
          <w:docPartObj>
            <w:docPartGallery w:val="Page Numbers (Top of Page)"/>
            <w:docPartUnique/>
          </w:docPartObj>
        </w:sdtPr>
        <w:sdtEndPr/>
        <w:sdtContent>
          <w:p w:rsidR="00820D16" w:rsidRDefault="00820D16" w:rsidP="00625A2E">
            <w:pPr>
              <w:tabs>
                <w:tab w:val="center" w:pos="4419"/>
                <w:tab w:val="right" w:pos="8838"/>
              </w:tabs>
              <w:spacing w:after="0" w:line="240" w:lineRule="auto"/>
              <w:jc w:val="right"/>
              <w:rPr>
                <w:rFonts w:ascii="ITC Avant Garde" w:eastAsia="Calibri" w:hAnsi="ITC Avant Garde" w:cs="Arial"/>
              </w:rPr>
            </w:pPr>
          </w:p>
          <w:p w:rsidR="00820D16" w:rsidRPr="00625A2E" w:rsidRDefault="00820D16" w:rsidP="00625A2E">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187584">
              <w:rPr>
                <w:rFonts w:ascii="ITC Avant Garde" w:eastAsia="Calibri" w:hAnsi="ITC Avant Garde" w:cs="Arial"/>
                <w:b/>
                <w:bCs/>
                <w:noProof/>
                <w:sz w:val="20"/>
              </w:rPr>
              <w:t>145</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187584">
              <w:rPr>
                <w:rFonts w:ascii="ITC Avant Garde" w:eastAsia="Calibri" w:hAnsi="ITC Avant Garde" w:cs="Arial"/>
                <w:b/>
                <w:bCs/>
                <w:noProof/>
                <w:sz w:val="20"/>
              </w:rPr>
              <w:t>145</w:t>
            </w:r>
            <w:r w:rsidRPr="00625A2E">
              <w:rPr>
                <w:rFonts w:ascii="ITC Avant Garde" w:eastAsia="Calibri" w:hAnsi="ITC Avant Garde" w:cs="Arial"/>
                <w:b/>
                <w:bCs/>
                <w:szCs w:val="24"/>
              </w:rPr>
              <w:fldChar w:fldCharType="end"/>
            </w:r>
          </w:p>
        </w:sdtContent>
      </w:sdt>
    </w:sdtContent>
  </w:sdt>
  <w:p w:rsidR="00820D16" w:rsidRPr="00625A2E" w:rsidRDefault="00820D16" w:rsidP="00625A2E">
    <w:pPr>
      <w:tabs>
        <w:tab w:val="center" w:pos="4419"/>
        <w:tab w:val="right" w:pos="8838"/>
      </w:tabs>
      <w:spacing w:after="0" w:line="240" w:lineRule="auto"/>
      <w:jc w:val="both"/>
      <w:rPr>
        <w:rFonts w:ascii="ITC Avant Garde" w:eastAsia="Calibri" w:hAnsi="ITC Avant Garde" w:cs="Arial"/>
      </w:rPr>
    </w:pPr>
  </w:p>
  <w:p w:rsidR="00820D16" w:rsidRDefault="00820D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C80" w:rsidRDefault="00FB2C80" w:rsidP="001D2142">
      <w:pPr>
        <w:spacing w:after="0" w:line="240" w:lineRule="auto"/>
      </w:pPr>
      <w:r>
        <w:separator/>
      </w:r>
    </w:p>
  </w:footnote>
  <w:footnote w:type="continuationSeparator" w:id="0">
    <w:p w:rsidR="00FB2C80" w:rsidRDefault="00FB2C80" w:rsidP="001D2142">
      <w:pPr>
        <w:spacing w:after="0" w:line="240" w:lineRule="auto"/>
      </w:pPr>
      <w:r>
        <w:continuationSeparator/>
      </w:r>
    </w:p>
  </w:footnote>
  <w:footnote w:type="continuationNotice" w:id="1">
    <w:p w:rsidR="00FB2C80" w:rsidRDefault="00FB2C80">
      <w:pPr>
        <w:spacing w:after="0" w:line="240" w:lineRule="auto"/>
      </w:pPr>
    </w:p>
  </w:footnote>
  <w:footnote w:id="2">
    <w:p w:rsidR="00820D16" w:rsidRPr="00A468FE" w:rsidRDefault="00820D16" w:rsidP="00283543">
      <w:pPr>
        <w:pStyle w:val="Textonotapie"/>
        <w:jc w:val="both"/>
        <w:rPr>
          <w:rFonts w:ascii="ITC Avant Garde" w:hAnsi="ITC Avant Garde"/>
          <w:sz w:val="16"/>
          <w:szCs w:val="16"/>
        </w:rPr>
      </w:pPr>
      <w:r w:rsidRPr="00B87334">
        <w:rPr>
          <w:rStyle w:val="Refdenotaalpie"/>
          <w:rFonts w:ascii="ITC Avant Garde" w:hAnsi="ITC Avant Garde"/>
          <w:sz w:val="18"/>
          <w:szCs w:val="16"/>
        </w:rPr>
        <w:footnoteRef/>
      </w:r>
      <w:r>
        <w:rPr>
          <w:rFonts w:ascii="ITC Avant Garde" w:hAnsi="ITC Avant Garde"/>
          <w:sz w:val="18"/>
          <w:szCs w:val="16"/>
        </w:rPr>
        <w:t xml:space="preserve"> </w:t>
      </w:r>
      <w:r w:rsidRPr="00312C5F">
        <w:rPr>
          <w:rFonts w:ascii="ITC Avant Garde" w:hAnsi="ITC Avant Garde"/>
          <w:sz w:val="18"/>
          <w:szCs w:val="16"/>
        </w:rPr>
        <w:t>UIT</w:t>
      </w:r>
      <w:r>
        <w:rPr>
          <w:rFonts w:ascii="ITC Avant Garde" w:hAnsi="ITC Avant Garde"/>
          <w:sz w:val="18"/>
          <w:szCs w:val="16"/>
        </w:rPr>
        <w:t xml:space="preserve"> (2009)</w:t>
      </w:r>
      <w:r w:rsidRPr="00312C5F">
        <w:rPr>
          <w:rFonts w:ascii="ITC Avant Garde" w:hAnsi="ITC Avant Garde"/>
          <w:sz w:val="18"/>
          <w:szCs w:val="16"/>
        </w:rPr>
        <w:t xml:space="preserve">, </w:t>
      </w:r>
      <w:r>
        <w:rPr>
          <w:rFonts w:ascii="ITC Avant Garde" w:hAnsi="ITC Avant Garde"/>
          <w:sz w:val="18"/>
          <w:szCs w:val="16"/>
        </w:rPr>
        <w:t>“</w:t>
      </w:r>
      <w:r w:rsidRPr="007A24ED">
        <w:rPr>
          <w:rFonts w:ascii="ITC Avant Garde" w:hAnsi="ITC Avant Garde"/>
          <w:sz w:val="18"/>
          <w:szCs w:val="16"/>
        </w:rPr>
        <w:t>Guía de Contabilidad Regulatoria</w:t>
      </w:r>
      <w:r>
        <w:rPr>
          <w:rFonts w:ascii="ITC Avant Garde" w:hAnsi="ITC Avant Garde"/>
          <w:sz w:val="18"/>
          <w:szCs w:val="16"/>
        </w:rPr>
        <w:t>”, Disponible en:</w:t>
      </w:r>
      <w:r w:rsidRPr="00ED7CAA">
        <w:rPr>
          <w:rFonts w:ascii="ITC Avant Garde" w:hAnsi="ITC Avant Garde"/>
          <w:sz w:val="18"/>
          <w:szCs w:val="18"/>
        </w:rPr>
        <w:t xml:space="preserve"> </w:t>
      </w:r>
      <w:r w:rsidRPr="00D533FF">
        <w:rPr>
          <w:rFonts w:ascii="ITC Avant Garde" w:hAnsi="ITC Avant Garde"/>
          <w:szCs w:val="18"/>
        </w:rPr>
        <w:t>https://www.itu.int/ITU-D/finance/Studies/Regulatory%20accounting%20guide-final-with%20graphics-es.pdf</w:t>
      </w:r>
      <w:r w:rsidRPr="00C779BC">
        <w:rPr>
          <w:rFonts w:ascii="ITC Avant Garde" w:hAnsi="ITC Avant Garde"/>
          <w:sz w:val="18"/>
          <w:szCs w:val="18"/>
        </w:rPr>
        <w:t xml:space="preserve"> </w:t>
      </w:r>
    </w:p>
  </w:footnote>
  <w:footnote w:id="3">
    <w:p w:rsidR="00820D16" w:rsidRPr="00750315" w:rsidRDefault="00820D16" w:rsidP="00E0013E">
      <w:pPr>
        <w:pStyle w:val="Textonotapie"/>
        <w:rPr>
          <w:rFonts w:ascii="ITC Avant Garde" w:hAnsi="ITC Avant Garde"/>
          <w:sz w:val="18"/>
          <w:szCs w:val="18"/>
          <w:lang w:val="en-GB"/>
        </w:rPr>
      </w:pPr>
      <w:r w:rsidRPr="00750315">
        <w:rPr>
          <w:rStyle w:val="Refdenotaalpie"/>
          <w:rFonts w:ascii="ITC Avant Garde" w:hAnsi="ITC Avant Garde"/>
          <w:sz w:val="18"/>
          <w:szCs w:val="18"/>
        </w:rPr>
        <w:footnoteRef/>
      </w:r>
      <w:r w:rsidRPr="00750315">
        <w:rPr>
          <w:rFonts w:ascii="ITC Avant Garde" w:hAnsi="ITC Avant Garde"/>
          <w:sz w:val="18"/>
          <w:szCs w:val="18"/>
          <w:lang w:val="en-GB"/>
        </w:rPr>
        <w:t xml:space="preserve"> BEREC, “</w:t>
      </w:r>
      <w:r w:rsidRPr="00750315">
        <w:rPr>
          <w:rFonts w:ascii="ITC Avant Garde" w:hAnsi="ITC Avant Garde"/>
          <w:i/>
          <w:sz w:val="18"/>
          <w:szCs w:val="18"/>
          <w:lang w:val="en-GB"/>
        </w:rPr>
        <w:t>Accounting Separation</w:t>
      </w:r>
      <w:r w:rsidRPr="00750315">
        <w:rPr>
          <w:rFonts w:ascii="ITC Avant Garde" w:hAnsi="ITC Avant Garde"/>
          <w:sz w:val="18"/>
          <w:szCs w:val="18"/>
          <w:lang w:val="en-GB"/>
        </w:rPr>
        <w:t xml:space="preserve">”, </w:t>
      </w:r>
      <w:r w:rsidRPr="005B354F">
        <w:rPr>
          <w:rFonts w:ascii="ITC Avant Garde" w:hAnsi="ITC Avant Garde"/>
          <w:sz w:val="18"/>
          <w:szCs w:val="18"/>
          <w:lang w:val="en-GB"/>
        </w:rPr>
        <w:t>Disponible en</w:t>
      </w:r>
      <w:r w:rsidRPr="00750315">
        <w:rPr>
          <w:rFonts w:ascii="ITC Avant Garde" w:hAnsi="ITC Avant Garde"/>
          <w:sz w:val="18"/>
          <w:szCs w:val="18"/>
          <w:lang w:val="en-GB"/>
        </w:rPr>
        <w:t>: http://berec.europa.eu/doc/publications/call_input_remedies/ecta_remedy2.doc</w:t>
      </w:r>
    </w:p>
  </w:footnote>
  <w:footnote w:id="4">
    <w:p w:rsidR="00820D16" w:rsidRPr="000B6CA1" w:rsidRDefault="00820D16" w:rsidP="00743FC4">
      <w:pPr>
        <w:pStyle w:val="Textonotapie"/>
        <w:jc w:val="both"/>
        <w:rPr>
          <w:rFonts w:ascii="ITC Avant Garde" w:hAnsi="ITC Avant Garde"/>
          <w:sz w:val="16"/>
          <w:szCs w:val="16"/>
        </w:rPr>
      </w:pPr>
      <w:r w:rsidRPr="00743FC4">
        <w:rPr>
          <w:rStyle w:val="Refdenotaalpie"/>
          <w:rFonts w:ascii="ITC Avant Garde" w:hAnsi="ITC Avant Garde"/>
          <w:sz w:val="18"/>
          <w:szCs w:val="18"/>
        </w:rPr>
        <w:footnoteRef/>
      </w:r>
      <w:r>
        <w:rPr>
          <w:rFonts w:ascii="ITC Avant Garde" w:hAnsi="ITC Avant Garde"/>
          <w:sz w:val="18"/>
          <w:szCs w:val="18"/>
        </w:rPr>
        <w:t xml:space="preserve"> </w:t>
      </w:r>
      <w:r w:rsidRPr="00743FC4">
        <w:rPr>
          <w:rFonts w:ascii="ITC Avant Garde" w:hAnsi="ITC Avant Garde"/>
          <w:sz w:val="18"/>
          <w:szCs w:val="18"/>
        </w:rPr>
        <w:t>Unión Europea</w:t>
      </w:r>
      <w:r>
        <w:rPr>
          <w:rFonts w:ascii="ITC Avant Garde" w:hAnsi="ITC Avant Garde"/>
          <w:sz w:val="18"/>
          <w:szCs w:val="18"/>
        </w:rPr>
        <w:t xml:space="preserve">, </w:t>
      </w:r>
      <w:r w:rsidRPr="00FF11BB">
        <w:rPr>
          <w:rFonts w:ascii="ITC Avant Garde" w:hAnsi="ITC Avant Garde"/>
          <w:sz w:val="18"/>
          <w:szCs w:val="18"/>
        </w:rPr>
        <w:t>Recomendación relativa a la separación contable y los sistemas de contabilidad de costes dentro del marco regulador de las comunicaciones electrónicas (2005/698/CE)</w:t>
      </w:r>
      <w:r>
        <w:rPr>
          <w:rFonts w:ascii="ITC Avant Garde" w:hAnsi="ITC Avant Garde"/>
          <w:sz w:val="18"/>
          <w:szCs w:val="18"/>
        </w:rPr>
        <w:t>. Disponible en</w:t>
      </w:r>
      <w:r w:rsidRPr="00C779BC">
        <w:rPr>
          <w:rFonts w:ascii="ITC Avant Garde" w:hAnsi="ITC Avant Garde"/>
          <w:sz w:val="18"/>
          <w:szCs w:val="18"/>
        </w:rPr>
        <w:t xml:space="preserve">: </w:t>
      </w:r>
      <w:r w:rsidRPr="00D533FF">
        <w:rPr>
          <w:rFonts w:ascii="ITC Avant Garde" w:hAnsi="ITC Avant Garde"/>
        </w:rPr>
        <w:t>http://eur-lex.europa.eu/legal-content/ES/TXT/PDF/?uri=CELEX:32005H0698&amp;from=EN</w:t>
      </w:r>
    </w:p>
  </w:footnote>
  <w:footnote w:id="5">
    <w:p w:rsidR="00820D16" w:rsidRDefault="00820D16" w:rsidP="000B6CA1">
      <w:pPr>
        <w:pStyle w:val="Textonotapie"/>
        <w:jc w:val="both"/>
      </w:pPr>
      <w:r>
        <w:rPr>
          <w:rStyle w:val="Refdenotaalpie"/>
        </w:rPr>
        <w:footnoteRef/>
      </w:r>
      <w:r>
        <w:t xml:space="preserve"> </w:t>
      </w:r>
      <w:r w:rsidRPr="000B6CA1">
        <w:rPr>
          <w:rFonts w:ascii="ITC Avant Garde" w:hAnsi="ITC Avant Garde"/>
          <w:sz w:val="18"/>
          <w:szCs w:val="18"/>
        </w:rPr>
        <w:t>Instrumento financiero que se utiliza para visualizar la lista total de los débitos y créditos de las cuentas junto al saldo de cada una de ellas, mostrando un resumen básico del estudio financiero de una empresa.</w:t>
      </w:r>
    </w:p>
  </w:footnote>
  <w:footnote w:id="6">
    <w:p w:rsidR="00820D16" w:rsidRPr="00B1598A" w:rsidRDefault="00820D16" w:rsidP="00FB66CD">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sidRPr="00B1598A">
        <w:rPr>
          <w:rFonts w:ascii="ITC Avant Garde" w:eastAsia="Times New Roman" w:hAnsi="ITC Avant Garde" w:cs="Arial"/>
          <w:sz w:val="18"/>
          <w:szCs w:val="18"/>
          <w:lang w:val="es-ES" w:eastAsia="es-ES"/>
        </w:rPr>
        <w:t>UIT, Guía de Contabilidad Regulatoria, marzo de 2009.</w:t>
      </w:r>
    </w:p>
  </w:footnote>
  <w:footnote w:id="7">
    <w:p w:rsidR="00820D16" w:rsidRPr="0052094D" w:rsidRDefault="00820D16" w:rsidP="00FB66CD">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Comisión Europea, Documento nº 98/322/EC, “</w:t>
      </w:r>
      <w:r w:rsidRPr="00B1598A">
        <w:rPr>
          <w:rFonts w:ascii="ITC Avant Garde" w:eastAsia="Times New Roman" w:hAnsi="ITC Avant Garde" w:cs="Arial"/>
          <w:i/>
          <w:iCs/>
          <w:sz w:val="18"/>
          <w:szCs w:val="18"/>
          <w:lang w:val="es-ES" w:eastAsia="es-ES"/>
        </w:rPr>
        <w:t>Recomendación de la Comisión de 8 de abril de 1998 sobre la interconexión en un mercado de las telecomunicaciones liberalizado (Parte 2: Separación contable y contabilidad de costes)</w:t>
      </w:r>
      <w:r w:rsidRPr="00B1598A">
        <w:rPr>
          <w:rFonts w:ascii="ITC Avant Garde" w:eastAsia="Times New Roman" w:hAnsi="ITC Avant Garde" w:cs="Arial"/>
          <w:sz w:val="18"/>
          <w:szCs w:val="18"/>
          <w:lang w:val="es-ES" w:eastAsia="es-ES"/>
        </w:rPr>
        <w:t>”.</w:t>
      </w:r>
    </w:p>
  </w:footnote>
  <w:footnote w:id="8">
    <w:p w:rsidR="00820D16" w:rsidRPr="00E963A1" w:rsidRDefault="00820D16" w:rsidP="00FE78BE">
      <w:pPr>
        <w:pStyle w:val="Textonotapie"/>
        <w:jc w:val="both"/>
        <w:rPr>
          <w:rFonts w:ascii="ITC Avant Garde" w:hAnsi="ITC Avant Garde"/>
          <w:sz w:val="18"/>
          <w:szCs w:val="18"/>
        </w:rPr>
      </w:pPr>
      <w:r w:rsidRPr="00E963A1">
        <w:rPr>
          <w:rStyle w:val="Refdenotaalpie"/>
          <w:rFonts w:ascii="ITC Avant Garde" w:hAnsi="ITC Avant Garde"/>
          <w:sz w:val="18"/>
          <w:szCs w:val="18"/>
        </w:rPr>
        <w:footnoteRef/>
      </w:r>
      <w:r w:rsidRPr="00E963A1">
        <w:rPr>
          <w:rFonts w:ascii="ITC Avant Garde" w:hAnsi="ITC Avant Garde"/>
          <w:sz w:val="18"/>
          <w:szCs w:val="18"/>
        </w:rPr>
        <w:t xml:space="preserve"> Nieto, B. </w:t>
      </w:r>
      <w:r w:rsidRPr="00E963A1">
        <w:rPr>
          <w:rFonts w:ascii="ITC Avant Garde" w:hAnsi="ITC Avant Garde"/>
          <w:i/>
          <w:sz w:val="18"/>
          <w:szCs w:val="18"/>
        </w:rPr>
        <w:t>La Valoración de Activos. Una revisión de los principales modelos vigentes, sus posibles deficiencias y los nuevos avances y tendencias de la investigación.</w:t>
      </w:r>
      <w:r w:rsidRPr="00E963A1">
        <w:rPr>
          <w:rFonts w:ascii="ITC Avant Garde" w:hAnsi="ITC Avant Garde"/>
          <w:sz w:val="18"/>
          <w:szCs w:val="18"/>
        </w:rPr>
        <w:t xml:space="preserve"> Tomado de https://rua.ua.es/dspace/bitstream/10045/34615/1/2011_Nieto_Bolsa.pdf</w:t>
      </w:r>
    </w:p>
    <w:p w:rsidR="00820D16" w:rsidRDefault="00820D16" w:rsidP="00FE78BE">
      <w:pPr>
        <w:pStyle w:val="Textonotapie"/>
      </w:pPr>
    </w:p>
  </w:footnote>
  <w:footnote w:id="9">
    <w:p w:rsidR="00820D16" w:rsidRPr="007D3307" w:rsidRDefault="00820D16">
      <w:pPr>
        <w:pStyle w:val="Textonotapie"/>
        <w:rPr>
          <w:rFonts w:ascii="ITC Avant Garde" w:hAnsi="ITC Avant Garde"/>
        </w:rPr>
      </w:pPr>
      <w:r w:rsidRPr="007D3307">
        <w:rPr>
          <w:rStyle w:val="Refdenotaalpie"/>
          <w:rFonts w:ascii="ITC Avant Garde" w:hAnsi="ITC Avant Garde"/>
          <w:sz w:val="18"/>
        </w:rPr>
        <w:footnoteRef/>
      </w:r>
      <w:r w:rsidRPr="007D3307">
        <w:rPr>
          <w:rFonts w:ascii="ITC Avant Garde" w:hAnsi="ITC Avant Garde"/>
          <w:sz w:val="18"/>
        </w:rPr>
        <w:t xml:space="preserve"> Por sus siglas en inglés, </w:t>
      </w:r>
      <w:r w:rsidRPr="007D3307">
        <w:rPr>
          <w:rFonts w:ascii="ITC Avant Garde" w:hAnsi="ITC Avant Garde" w:cs="Arial"/>
          <w:i/>
          <w:sz w:val="18"/>
          <w:shd w:val="clear" w:color="auto" w:fill="FFFFFF"/>
        </w:rPr>
        <w:t>Plesiochronous Digital Hierarchy</w:t>
      </w:r>
      <w:r w:rsidRPr="007D3307">
        <w:rPr>
          <w:rFonts w:ascii="ITC Avant Garde" w:hAnsi="ITC Avant Garde" w:cs="Arial"/>
          <w:sz w:val="18"/>
          <w:shd w:val="clear" w:color="auto" w:fill="FFFFFF"/>
        </w:rPr>
        <w:t>.</w:t>
      </w:r>
    </w:p>
  </w:footnote>
  <w:footnote w:id="10">
    <w:p w:rsidR="00820D16" w:rsidRDefault="00820D16">
      <w:pPr>
        <w:pStyle w:val="Textonotapie"/>
      </w:pPr>
      <w:r>
        <w:rPr>
          <w:rStyle w:val="Refdenotaalpie"/>
        </w:rPr>
        <w:footnoteRef/>
      </w:r>
      <w:r>
        <w:t xml:space="preserve"> </w:t>
      </w:r>
      <w:r w:rsidRPr="00B549EB">
        <w:rPr>
          <w:rFonts w:ascii="ITC Avant Garde" w:hAnsi="ITC Avant Garde"/>
          <w:sz w:val="18"/>
        </w:rPr>
        <w:t xml:space="preserve">Por sus siglas en inglés, </w:t>
      </w:r>
      <w:r>
        <w:rPr>
          <w:rFonts w:ascii="ITC Avant Garde" w:hAnsi="ITC Avant Garde" w:cs="Arial"/>
          <w:i/>
          <w:sz w:val="18"/>
          <w:shd w:val="clear" w:color="auto" w:fill="FFFFFF"/>
        </w:rPr>
        <w:t>Syn</w:t>
      </w:r>
      <w:r w:rsidRPr="00B549EB">
        <w:rPr>
          <w:rFonts w:ascii="ITC Avant Garde" w:hAnsi="ITC Avant Garde" w:cs="Arial"/>
          <w:i/>
          <w:sz w:val="18"/>
          <w:shd w:val="clear" w:color="auto" w:fill="FFFFFF"/>
        </w:rPr>
        <w:t>chronous Digital Hierarchy</w:t>
      </w:r>
      <w:r>
        <w:rPr>
          <w:rFonts w:ascii="ITC Avant Garde" w:hAnsi="ITC Avant Garde" w:cs="Arial"/>
          <w:i/>
          <w:sz w:val="18"/>
          <w:shd w:val="clear" w:color="auto" w:fill="FFFFFF"/>
        </w:rPr>
        <w:t>.</w:t>
      </w:r>
    </w:p>
  </w:footnote>
  <w:footnote w:id="11">
    <w:p w:rsidR="00820D16" w:rsidRPr="00B1598A" w:rsidRDefault="00820D16" w:rsidP="00B96AAC">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eastAsia="es-ES"/>
        </w:rPr>
        <w:footnoteRef/>
      </w:r>
      <w:r w:rsidRPr="00B1598A">
        <w:rPr>
          <w:rFonts w:ascii="ITC Avant Garde" w:eastAsia="Times New Roman" w:hAnsi="ITC Avant Garde" w:cs="Arial"/>
          <w:sz w:val="18"/>
          <w:szCs w:val="18"/>
          <w:vertAlign w:val="superscript"/>
          <w:lang w:eastAsia="es-ES"/>
        </w:rPr>
        <w:t xml:space="preserve"> </w:t>
      </w:r>
      <w:r w:rsidRPr="00B1598A">
        <w:rPr>
          <w:rFonts w:ascii="ITC Avant Garde" w:eastAsia="Times New Roman" w:hAnsi="ITC Avant Garde" w:cs="Arial"/>
          <w:sz w:val="18"/>
          <w:szCs w:val="18"/>
          <w:lang w:eastAsia="es-ES"/>
        </w:rPr>
        <w:t xml:space="preserve">La vida útil se define como el tiempo estimado </w:t>
      </w:r>
      <w:r>
        <w:rPr>
          <w:rFonts w:ascii="ITC Avant Garde" w:eastAsia="Times New Roman" w:hAnsi="ITC Avant Garde" w:cs="Arial"/>
          <w:sz w:val="18"/>
          <w:szCs w:val="18"/>
          <w:lang w:eastAsia="es-ES"/>
        </w:rPr>
        <w:t xml:space="preserve">en el </w:t>
      </w:r>
      <w:r w:rsidRPr="00B1598A">
        <w:rPr>
          <w:rFonts w:ascii="ITC Avant Garde" w:eastAsia="Times New Roman" w:hAnsi="ITC Avant Garde" w:cs="Arial"/>
          <w:sz w:val="18"/>
          <w:szCs w:val="18"/>
          <w:lang w:eastAsia="es-ES"/>
        </w:rPr>
        <w:t xml:space="preserve">que un activo puede realizar correctamente la función para la cual fue creado. </w:t>
      </w:r>
      <w:r w:rsidRPr="00B1598A">
        <w:rPr>
          <w:rFonts w:ascii="ITC Avant Garde" w:hAnsi="ITC Avant Garde"/>
          <w:sz w:val="18"/>
          <w:szCs w:val="18"/>
          <w:lang w:val="es-ES"/>
        </w:rPr>
        <w:t>No e</w:t>
      </w:r>
      <w:r>
        <w:rPr>
          <w:rFonts w:ascii="ITC Avant Garde" w:hAnsi="ITC Avant Garde"/>
          <w:sz w:val="18"/>
          <w:szCs w:val="18"/>
          <w:lang w:val="es-ES"/>
        </w:rPr>
        <w:t>s</w:t>
      </w:r>
      <w:r w:rsidRPr="00B1598A">
        <w:rPr>
          <w:rFonts w:ascii="ITC Avant Garde" w:hAnsi="ITC Avant Garde"/>
          <w:sz w:val="18"/>
          <w:szCs w:val="18"/>
          <w:lang w:val="es-ES"/>
        </w:rPr>
        <w:t xml:space="preserve"> aplica</w:t>
      </w:r>
      <w:r>
        <w:rPr>
          <w:rFonts w:ascii="ITC Avant Garde" w:hAnsi="ITC Avant Garde"/>
          <w:sz w:val="18"/>
          <w:szCs w:val="18"/>
          <w:lang w:val="es-ES"/>
        </w:rPr>
        <w:t>ble</w:t>
      </w:r>
      <w:r w:rsidRPr="00B1598A">
        <w:rPr>
          <w:rFonts w:ascii="ITC Avant Garde" w:hAnsi="ITC Avant Garde"/>
          <w:sz w:val="18"/>
          <w:szCs w:val="18"/>
          <w:lang w:val="es-ES"/>
        </w:rPr>
        <w:t xml:space="preserve"> el concepto de “vida útil remanente” para este propósito.</w:t>
      </w:r>
    </w:p>
  </w:footnote>
  <w:footnote w:id="12">
    <w:p w:rsidR="00820D16" w:rsidRPr="00776A41" w:rsidRDefault="00820D16">
      <w:pPr>
        <w:pStyle w:val="Textonotapie"/>
        <w:rPr>
          <w:rFonts w:ascii="ITC Avant Garde" w:hAnsi="ITC Avant Garde"/>
          <w:sz w:val="18"/>
          <w:szCs w:val="18"/>
          <w:lang w:val="en-US"/>
        </w:rPr>
      </w:pPr>
      <w:r w:rsidRPr="00DE44B3">
        <w:rPr>
          <w:rStyle w:val="Refdenotaalpie"/>
          <w:rFonts w:ascii="ITC Avant Garde" w:hAnsi="ITC Avant Garde"/>
          <w:sz w:val="18"/>
          <w:szCs w:val="18"/>
        </w:rPr>
        <w:footnoteRef/>
      </w:r>
      <w:r w:rsidRPr="00776A41">
        <w:rPr>
          <w:rFonts w:ascii="ITC Avant Garde" w:hAnsi="ITC Avant Garde"/>
          <w:sz w:val="18"/>
          <w:szCs w:val="18"/>
          <w:lang w:val="en-US"/>
        </w:rPr>
        <w:t xml:space="preserve"> Por sus siglas en inglés, </w:t>
      </w:r>
      <w:r w:rsidRPr="00776A41">
        <w:rPr>
          <w:rFonts w:ascii="ITC Avant Garde" w:hAnsi="ITC Avant Garde"/>
          <w:i/>
          <w:sz w:val="18"/>
          <w:szCs w:val="18"/>
          <w:lang w:val="en-US"/>
        </w:rPr>
        <w:t>Weighted Average Cost of Capital</w:t>
      </w:r>
      <w:r w:rsidRPr="00776A41">
        <w:rPr>
          <w:rFonts w:ascii="ITC Avant Garde" w:hAnsi="ITC Avant Garde"/>
          <w:sz w:val="18"/>
          <w:szCs w:val="18"/>
          <w:lang w:val="en-US"/>
        </w:rPr>
        <w:t>.</w:t>
      </w:r>
    </w:p>
  </w:footnote>
  <w:footnote w:id="13">
    <w:p w:rsidR="00820D16" w:rsidRPr="00AD7445" w:rsidRDefault="00820D16">
      <w:pPr>
        <w:pStyle w:val="Textonotapie"/>
        <w:rPr>
          <w:rFonts w:ascii="ITC Avant Garde" w:hAnsi="ITC Avant Garde"/>
        </w:rPr>
      </w:pPr>
      <w:r w:rsidRPr="00AD7445">
        <w:rPr>
          <w:rStyle w:val="Refdenotaalpie"/>
          <w:rFonts w:ascii="ITC Avant Garde" w:hAnsi="ITC Avant Garde"/>
          <w:sz w:val="18"/>
        </w:rPr>
        <w:footnoteRef/>
      </w:r>
      <w:r w:rsidRPr="00AD7445">
        <w:rPr>
          <w:rFonts w:ascii="ITC Avant Garde" w:hAnsi="ITC Avant Garde"/>
          <w:sz w:val="18"/>
        </w:rPr>
        <w:t xml:space="preserve"> Por sus siglas en inglés, </w:t>
      </w:r>
      <w:r w:rsidRPr="00AD7445">
        <w:rPr>
          <w:rFonts w:ascii="ITC Avant Garde" w:hAnsi="ITC Avant Garde"/>
          <w:i/>
          <w:iCs/>
          <w:sz w:val="18"/>
        </w:rPr>
        <w:t>Capital Asset Pricing Model.</w:t>
      </w:r>
    </w:p>
  </w:footnote>
  <w:footnote w:id="14">
    <w:p w:rsidR="00820D16" w:rsidRPr="00AD7445" w:rsidRDefault="00820D16" w:rsidP="006C15C4">
      <w:pPr>
        <w:pStyle w:val="Textonotapie"/>
        <w:jc w:val="both"/>
        <w:rPr>
          <w:rFonts w:ascii="ITC Avant Garde" w:hAnsi="ITC Avant Garde"/>
          <w:sz w:val="18"/>
          <w:szCs w:val="18"/>
          <w:lang w:val="en-GB"/>
        </w:rPr>
      </w:pPr>
      <w:r w:rsidRPr="00AD7445">
        <w:rPr>
          <w:rStyle w:val="Refdenotaalpie"/>
          <w:rFonts w:ascii="ITC Avant Garde" w:hAnsi="ITC Avant Garde"/>
          <w:sz w:val="18"/>
          <w:szCs w:val="18"/>
        </w:rPr>
        <w:footnoteRef/>
      </w:r>
      <w:r w:rsidRPr="00AD7445">
        <w:rPr>
          <w:rFonts w:ascii="ITC Avant Garde" w:hAnsi="ITC Avant Garde"/>
          <w:sz w:val="18"/>
          <w:szCs w:val="18"/>
          <w:lang w:val="en-GB"/>
        </w:rPr>
        <w:t xml:space="preserve"> BEREC, </w:t>
      </w:r>
      <w:r w:rsidRPr="00AD7445">
        <w:rPr>
          <w:rFonts w:ascii="ITC Avant Garde" w:hAnsi="ITC Avant Garde"/>
          <w:i/>
          <w:sz w:val="18"/>
          <w:szCs w:val="18"/>
          <w:lang w:val="en-GB"/>
        </w:rPr>
        <w:t>Report The Weighted Average Cost of Capital (WACC)</w:t>
      </w:r>
      <w:r w:rsidRPr="00AD7445">
        <w:rPr>
          <w:rFonts w:ascii="ITC Avant Garde" w:hAnsi="ITC Avant Garde"/>
          <w:sz w:val="18"/>
          <w:szCs w:val="18"/>
          <w:lang w:val="en-GB"/>
        </w:rPr>
        <w:t>, Disponible en:</w:t>
      </w:r>
    </w:p>
    <w:p w:rsidR="00820D16" w:rsidRPr="00AD7445" w:rsidRDefault="00820D16" w:rsidP="006C15C4">
      <w:pPr>
        <w:pStyle w:val="Textonotapie"/>
        <w:jc w:val="both"/>
        <w:rPr>
          <w:rFonts w:ascii="ITC Avant Garde" w:hAnsi="ITC Avant Garde"/>
          <w:sz w:val="18"/>
          <w:szCs w:val="18"/>
          <w:lang w:val="en-GB"/>
        </w:rPr>
      </w:pPr>
      <w:r w:rsidRPr="00AD7445">
        <w:rPr>
          <w:rFonts w:ascii="ITC Avant Garde" w:hAnsi="ITC Avant Garde"/>
          <w:sz w:val="18"/>
          <w:szCs w:val="18"/>
          <w:lang w:val="en-GB"/>
        </w:rPr>
        <w:t xml:space="preserve"> http://berec.europa.eu/eng/document_register/subject_matter/berec/download/1/7316-berec-report-regulatory-accounting-in-pr_1.pdf </w:t>
      </w:r>
    </w:p>
  </w:footnote>
  <w:footnote w:id="15">
    <w:p w:rsidR="00820D16" w:rsidRPr="00AD7445" w:rsidRDefault="00820D16" w:rsidP="00AD7445">
      <w:pPr>
        <w:pStyle w:val="Textonotapie"/>
        <w:jc w:val="both"/>
        <w:rPr>
          <w:rFonts w:ascii="ITC Avant Garde" w:hAnsi="ITC Avant Garde"/>
          <w:i/>
          <w:sz w:val="18"/>
          <w:szCs w:val="18"/>
          <w:lang w:val="en-GB"/>
        </w:rPr>
      </w:pPr>
      <w:r w:rsidRPr="00AD7445">
        <w:rPr>
          <w:rStyle w:val="Refdenotaalpie"/>
          <w:rFonts w:ascii="ITC Avant Garde" w:hAnsi="ITC Avant Garde"/>
          <w:sz w:val="18"/>
          <w:szCs w:val="18"/>
        </w:rPr>
        <w:footnoteRef/>
      </w:r>
      <w:r w:rsidRPr="00AD7445">
        <w:rPr>
          <w:rFonts w:ascii="ITC Avant Garde" w:hAnsi="ITC Avant Garde"/>
          <w:sz w:val="18"/>
          <w:szCs w:val="18"/>
          <w:lang w:val="en-GB"/>
        </w:rPr>
        <w:t xml:space="preserve"> BEREC</w:t>
      </w:r>
      <w:r w:rsidRPr="00AD7445">
        <w:rPr>
          <w:rFonts w:ascii="ITC Avant Garde" w:hAnsi="ITC Avant Garde"/>
          <w:i/>
          <w:sz w:val="18"/>
          <w:szCs w:val="18"/>
          <w:lang w:val="en-GB"/>
        </w:rPr>
        <w:t xml:space="preserve">, Regulatory Accounting in Practice 2017, </w:t>
      </w:r>
      <w:r w:rsidRPr="00AD7445">
        <w:rPr>
          <w:rFonts w:ascii="ITC Avant Garde" w:hAnsi="ITC Avant Garde"/>
          <w:sz w:val="18"/>
          <w:szCs w:val="18"/>
          <w:lang w:val="en-GB"/>
        </w:rPr>
        <w:t>Disponible en:</w:t>
      </w:r>
    </w:p>
    <w:p w:rsidR="00820D16" w:rsidRPr="00776A41" w:rsidRDefault="00820D16" w:rsidP="00AD7445">
      <w:pPr>
        <w:pStyle w:val="Textonotapie"/>
        <w:jc w:val="both"/>
        <w:rPr>
          <w:rFonts w:ascii="ITC Avant Garde" w:hAnsi="ITC Avant Garde"/>
          <w:sz w:val="16"/>
          <w:szCs w:val="16"/>
          <w:lang w:val="en-GB"/>
        </w:rPr>
      </w:pPr>
      <w:r w:rsidRPr="00776A41">
        <w:rPr>
          <w:rFonts w:ascii="ITC Avant Garde" w:hAnsi="ITC Avant Garde"/>
          <w:i/>
          <w:sz w:val="16"/>
          <w:szCs w:val="16"/>
          <w:lang w:val="en-GB"/>
        </w:rPr>
        <w:t xml:space="preserve"> </w:t>
      </w:r>
      <w:r w:rsidRPr="00776A41">
        <w:rPr>
          <w:rFonts w:ascii="ITC Avant Garde" w:hAnsi="ITC Avant Garde"/>
          <w:sz w:val="16"/>
          <w:szCs w:val="16"/>
          <w:lang w:val="en-GB"/>
        </w:rPr>
        <w:t>http://berec.europa.eu/eng/document_register/subject_matter/berec/download/0/7316-berec-report-regulatory-accounting-in-pr_0.pdf</w:t>
      </w:r>
      <w:r w:rsidRPr="00F908D2">
        <w:rPr>
          <w:rFonts w:ascii="ITC Avant Garde" w:hAnsi="ITC Avant Garde"/>
          <w:sz w:val="16"/>
          <w:szCs w:val="16"/>
          <w:lang w:val="en-GB"/>
        </w:rPr>
        <w:t xml:space="preserve"> </w:t>
      </w:r>
    </w:p>
  </w:footnote>
  <w:footnote w:id="16">
    <w:p w:rsidR="00820D16" w:rsidRPr="00B1598A" w:rsidRDefault="00820D16" w:rsidP="001D21C7">
      <w:pPr>
        <w:pStyle w:val="Textonotapie"/>
        <w:jc w:val="both"/>
        <w:rPr>
          <w:rFonts w:ascii="ITC Avant Garde" w:hAnsi="ITC Avant Garde"/>
          <w:sz w:val="18"/>
          <w:szCs w:val="18"/>
          <w:lang w:val="en-GB"/>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n-GB" w:eastAsia="es-ES"/>
        </w:rPr>
        <w:t xml:space="preserve"> </w:t>
      </w:r>
      <w:r w:rsidRPr="00B1598A">
        <w:rPr>
          <w:rFonts w:ascii="ITC Avant Garde" w:eastAsia="Times New Roman" w:hAnsi="ITC Avant Garde" w:cs="Arial"/>
          <w:sz w:val="18"/>
          <w:szCs w:val="18"/>
          <w:lang w:val="en-GB" w:eastAsia="es-ES"/>
        </w:rPr>
        <w:t>ERG Common Position, ERG (05) 29, “Guidelines for implementing the Commission Recommendation C (2005) 3480 on Accounting Separation &amp; Cost Accounting Systems under the regulatory framework for electronic communications”, 2005.</w:t>
      </w:r>
    </w:p>
  </w:footnote>
  <w:footnote w:id="17">
    <w:p w:rsidR="00820D16" w:rsidRPr="007E001E" w:rsidRDefault="00820D16" w:rsidP="0021689E">
      <w:pPr>
        <w:pStyle w:val="Textonotapie"/>
        <w:jc w:val="both"/>
        <w:rPr>
          <w:rFonts w:ascii="ITC Avant Garde" w:hAnsi="ITC Avant Garde"/>
          <w:sz w:val="16"/>
          <w:szCs w:val="18"/>
        </w:rPr>
      </w:pPr>
      <w:r w:rsidRPr="00B1598A">
        <w:rPr>
          <w:rStyle w:val="Refdenotaalpie"/>
          <w:rFonts w:ascii="ITC Avant Garde" w:hAnsi="ITC Avant Garde"/>
          <w:sz w:val="18"/>
          <w:szCs w:val="18"/>
        </w:rPr>
        <w:footnoteRef/>
      </w:r>
      <w:r w:rsidRPr="00B1598A">
        <w:rPr>
          <w:rFonts w:ascii="ITC Avant Garde" w:hAnsi="ITC Avant Garde"/>
          <w:sz w:val="18"/>
          <w:szCs w:val="18"/>
          <w:lang w:val="en-US"/>
        </w:rPr>
        <w:t xml:space="preserve"> </w:t>
      </w:r>
      <w:r w:rsidRPr="0002498D">
        <w:rPr>
          <w:rFonts w:ascii="ITC Avant Garde" w:hAnsi="ITC Avant Garde"/>
          <w:sz w:val="18"/>
          <w:szCs w:val="18"/>
          <w:lang w:val="en-US"/>
        </w:rPr>
        <w:t xml:space="preserve">UIT </w:t>
      </w:r>
      <w:r w:rsidRPr="0021689E">
        <w:rPr>
          <w:rFonts w:ascii="ITC Avant Garde" w:hAnsi="ITC Avant Garde"/>
          <w:i/>
          <w:sz w:val="18"/>
          <w:szCs w:val="18"/>
          <w:lang w:val="en-US"/>
        </w:rPr>
        <w:t>ICT-Eye portal, Key ICT Data &amp; Statistics</w:t>
      </w:r>
      <w:r w:rsidRPr="0002498D">
        <w:rPr>
          <w:rFonts w:ascii="ITC Avant Garde" w:hAnsi="ITC Avant Garde"/>
          <w:sz w:val="18"/>
          <w:szCs w:val="18"/>
          <w:lang w:val="en-US"/>
        </w:rPr>
        <w:t>, 2016.</w:t>
      </w:r>
      <w:r>
        <w:rPr>
          <w:rFonts w:ascii="ITC Avant Garde" w:hAnsi="ITC Avant Garde"/>
          <w:sz w:val="18"/>
          <w:szCs w:val="18"/>
          <w:lang w:val="en-US"/>
        </w:rPr>
        <w:t xml:space="preserve"> </w:t>
      </w:r>
      <w:r w:rsidRPr="0021689E">
        <w:rPr>
          <w:rFonts w:ascii="ITC Avant Garde" w:hAnsi="ITC Avant Garde"/>
          <w:sz w:val="18"/>
          <w:szCs w:val="18"/>
        </w:rPr>
        <w:t xml:space="preserve">Disponible en: </w:t>
      </w:r>
      <w:r w:rsidRPr="007E001E">
        <w:rPr>
          <w:rFonts w:ascii="ITC Avant Garde" w:hAnsi="ITC Avant Garde"/>
          <w:sz w:val="18"/>
        </w:rPr>
        <w:t>http://www.itu.int/net4/itu-d/icteye/FocusAreas.aspx?paramWorkArea=TARIFFPOLICIES</w:t>
      </w:r>
      <w:r w:rsidRPr="007E001E">
        <w:rPr>
          <w:rFonts w:ascii="ITC Avant Garde" w:hAnsi="ITC Avant Garde"/>
          <w:sz w:val="16"/>
          <w:szCs w:val="18"/>
        </w:rPr>
        <w:t xml:space="preserve"> </w:t>
      </w:r>
    </w:p>
  </w:footnote>
  <w:footnote w:id="18">
    <w:p w:rsidR="00820D16" w:rsidRPr="00B1598A" w:rsidRDefault="00820D16" w:rsidP="00441828">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ANATEL, Resolución n.º 396, 31 de marzo de 2005, donde se aprueba el reglamento de separación y asignación de cuentas.</w:t>
      </w:r>
    </w:p>
  </w:footnote>
  <w:footnote w:id="19">
    <w:p w:rsidR="00820D16" w:rsidRPr="0021689E" w:rsidRDefault="00820D16">
      <w:pPr>
        <w:pStyle w:val="Textonotapie"/>
        <w:rPr>
          <w:rFonts w:ascii="ITC Avant Garde" w:hAnsi="ITC Avant Garde"/>
        </w:rPr>
      </w:pPr>
      <w:r w:rsidRPr="0021689E">
        <w:rPr>
          <w:rStyle w:val="Refdenotaalpie"/>
          <w:rFonts w:ascii="ITC Avant Garde" w:hAnsi="ITC Avant Garde"/>
          <w:sz w:val="18"/>
        </w:rPr>
        <w:footnoteRef/>
      </w:r>
      <w:r w:rsidRPr="0021689E">
        <w:rPr>
          <w:rFonts w:ascii="ITC Avant Garde" w:hAnsi="ITC Avant Garde"/>
          <w:sz w:val="18"/>
        </w:rPr>
        <w:t xml:space="preserve"> Costo Incremental de Largo Plazo</w:t>
      </w:r>
      <w:r>
        <w:rPr>
          <w:rFonts w:ascii="ITC Avant Garde" w:hAnsi="ITC Avant Garde"/>
          <w:sz w:val="18"/>
        </w:rPr>
        <w:t>.</w:t>
      </w:r>
    </w:p>
  </w:footnote>
  <w:footnote w:id="20">
    <w:p w:rsidR="00820D16" w:rsidRPr="0021689E" w:rsidRDefault="00820D16">
      <w:pPr>
        <w:pStyle w:val="Textonotapie"/>
        <w:rPr>
          <w:rFonts w:ascii="ITC Avant Garde" w:hAnsi="ITC Avant Garde"/>
        </w:rPr>
      </w:pPr>
      <w:r w:rsidRPr="0021689E">
        <w:rPr>
          <w:rStyle w:val="Refdenotaalpie"/>
          <w:rFonts w:ascii="ITC Avant Garde" w:hAnsi="ITC Avant Garde"/>
          <w:sz w:val="18"/>
        </w:rPr>
        <w:footnoteRef/>
      </w:r>
      <w:r w:rsidRPr="0021689E">
        <w:rPr>
          <w:rFonts w:ascii="ITC Avant Garde" w:hAnsi="ITC Avant Garde"/>
          <w:sz w:val="18"/>
        </w:rPr>
        <w:t xml:space="preserve"> Costos Históricos.</w:t>
      </w:r>
    </w:p>
  </w:footnote>
  <w:footnote w:id="21">
    <w:p w:rsidR="00820D16" w:rsidRPr="0021689E" w:rsidRDefault="00820D16">
      <w:pPr>
        <w:pStyle w:val="Textonotapie"/>
        <w:rPr>
          <w:rFonts w:ascii="ITC Avant Garde" w:hAnsi="ITC Avant Garde"/>
        </w:rPr>
      </w:pPr>
      <w:r w:rsidRPr="0021689E">
        <w:rPr>
          <w:rStyle w:val="Refdenotaalpie"/>
          <w:rFonts w:ascii="ITC Avant Garde" w:hAnsi="ITC Avant Garde"/>
          <w:sz w:val="18"/>
        </w:rPr>
        <w:footnoteRef/>
      </w:r>
      <w:r w:rsidRPr="0021689E">
        <w:rPr>
          <w:rFonts w:ascii="ITC Avant Garde" w:hAnsi="ITC Avant Garde"/>
          <w:sz w:val="18"/>
        </w:rPr>
        <w:t xml:space="preserve"> Costos Actuales.</w:t>
      </w:r>
    </w:p>
  </w:footnote>
  <w:footnote w:id="22">
    <w:p w:rsidR="00820D16" w:rsidRPr="0052094D" w:rsidRDefault="00820D16" w:rsidP="00441828">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CRC, Resolución n.º 4577 de 2014, “</w:t>
      </w:r>
      <w:r w:rsidRPr="00B1598A">
        <w:rPr>
          <w:rFonts w:ascii="ITC Avant Garde" w:hAnsi="ITC Avant Garde"/>
          <w:i/>
          <w:iCs/>
          <w:sz w:val="18"/>
          <w:szCs w:val="18"/>
          <w:lang w:val="es-ES"/>
        </w:rPr>
        <w:t>por la cual se regulan los aspectos relacionados con la obligación de separación contable por parte de los Proveedores de Redes y Servicios de Telecomunicaciones y Operadores de televisión por suscripción y se dictan otras disposiciones</w:t>
      </w:r>
      <w:r w:rsidRPr="00B1598A">
        <w:rPr>
          <w:rFonts w:ascii="ITC Avant Garde" w:hAnsi="ITC Avant Garde"/>
          <w:sz w:val="18"/>
          <w:szCs w:val="18"/>
          <w:lang w:val="es-ES"/>
        </w:rPr>
        <w:t>”.</w:t>
      </w:r>
      <w:r>
        <w:rPr>
          <w:rFonts w:ascii="ITC Avant Garde" w:hAnsi="ITC Avant Garde"/>
          <w:sz w:val="18"/>
          <w:szCs w:val="18"/>
          <w:lang w:val="es-ES"/>
        </w:rPr>
        <w:t xml:space="preserve"> Disponible en: </w:t>
      </w:r>
      <w:r w:rsidRPr="00640084">
        <w:rPr>
          <w:rFonts w:ascii="ITC Avant Garde" w:hAnsi="ITC Avant Garde"/>
          <w:sz w:val="18"/>
          <w:szCs w:val="18"/>
          <w:lang w:val="es-ES"/>
        </w:rPr>
        <w:t>https://www.crcom.gov.co/resoluciones/00004577.pdf</w:t>
      </w:r>
    </w:p>
  </w:footnote>
  <w:footnote w:id="23">
    <w:p w:rsidR="00820D16" w:rsidRPr="00B1598A" w:rsidRDefault="00820D16" w:rsidP="00441828">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SUTEL, Resolución n.º RCS-187-2014 de 2014, donde se aprueba el “</w:t>
      </w:r>
      <w:r w:rsidRPr="00B1598A">
        <w:rPr>
          <w:rFonts w:ascii="ITC Avant Garde" w:hAnsi="ITC Avant Garde"/>
          <w:i/>
          <w:iCs/>
          <w:sz w:val="18"/>
          <w:szCs w:val="18"/>
          <w:lang w:val="es-ES"/>
        </w:rPr>
        <w:t>Manual sobre la Metodología para la aplicación del Sistema de Contabilidad de Costos Separada (Contabilidad Regulatoria)</w:t>
      </w:r>
      <w:r w:rsidRPr="00B1598A">
        <w:rPr>
          <w:rFonts w:ascii="ITC Avant Garde" w:hAnsi="ITC Avant Garde"/>
          <w:sz w:val="18"/>
          <w:szCs w:val="18"/>
          <w:lang w:val="es-ES"/>
        </w:rPr>
        <w:t>”.</w:t>
      </w:r>
    </w:p>
  </w:footnote>
  <w:footnote w:id="24">
    <w:p w:rsidR="00820D16" w:rsidRPr="0052094D" w:rsidRDefault="00820D16" w:rsidP="00441828">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CONATEL, Resolución de 2012, donde se emite la “</w:t>
      </w:r>
      <w:r w:rsidRPr="00B1598A">
        <w:rPr>
          <w:rFonts w:ascii="ITC Avant Garde" w:hAnsi="ITC Avant Garde"/>
          <w:i/>
          <w:iCs/>
          <w:sz w:val="18"/>
          <w:szCs w:val="18"/>
          <w:lang w:val="es-ES"/>
        </w:rPr>
        <w:t>Norma que regula la presentación de información en régimen de contabilidad separada para los prestadores de servicios de telecomunicaciones</w:t>
      </w:r>
      <w:r w:rsidRPr="00B1598A">
        <w:rPr>
          <w:rFonts w:ascii="ITC Avant Garde" w:hAnsi="ITC Avant Garde"/>
          <w:sz w:val="18"/>
          <w:szCs w:val="18"/>
          <w:lang w:val="es-ES"/>
        </w:rPr>
        <w:t>”.</w:t>
      </w:r>
    </w:p>
  </w:footnote>
  <w:footnote w:id="25">
    <w:p w:rsidR="00820D16" w:rsidRPr="00B1598A" w:rsidRDefault="00820D16" w:rsidP="00441828">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w:t>
      </w:r>
      <w:r w:rsidRPr="00C5364A">
        <w:rPr>
          <w:rFonts w:ascii="ITC Avant Garde" w:hAnsi="ITC Avant Garde"/>
          <w:sz w:val="18"/>
          <w:szCs w:val="18"/>
          <w:lang w:val="es-ES"/>
        </w:rPr>
        <w:t>SIGET</w:t>
      </w:r>
      <w:r>
        <w:rPr>
          <w:rFonts w:ascii="ITC Avant Garde" w:hAnsi="ITC Avant Garde"/>
          <w:sz w:val="18"/>
          <w:szCs w:val="18"/>
          <w:lang w:val="es-ES"/>
        </w:rPr>
        <w:t>,</w:t>
      </w:r>
      <w:r w:rsidRPr="00C5364A">
        <w:rPr>
          <w:rFonts w:ascii="ITC Avant Garde" w:hAnsi="ITC Avant Garde"/>
          <w:sz w:val="18"/>
          <w:szCs w:val="18"/>
          <w:lang w:val="es-ES"/>
        </w:rPr>
        <w:t xml:space="preserve"> Reglamento de la Ley de Telecomunicaciones</w:t>
      </w:r>
      <w:r>
        <w:rPr>
          <w:rFonts w:ascii="ITC Avant Garde" w:hAnsi="ITC Avant Garde"/>
          <w:sz w:val="18"/>
          <w:szCs w:val="18"/>
          <w:lang w:val="es-ES"/>
        </w:rPr>
        <w:t>, aprobado mediante</w:t>
      </w:r>
      <w:r w:rsidRPr="00B1598A">
        <w:rPr>
          <w:rFonts w:ascii="ITC Avant Garde" w:hAnsi="ITC Avant Garde"/>
          <w:sz w:val="18"/>
          <w:szCs w:val="18"/>
          <w:lang w:val="es-ES"/>
        </w:rPr>
        <w:t xml:space="preserve"> el Decreto Nº 84 y donde se establecen “</w:t>
      </w:r>
      <w:r w:rsidRPr="00B1598A">
        <w:rPr>
          <w:rFonts w:ascii="ITC Avant Garde" w:hAnsi="ITC Avant Garde"/>
          <w:i/>
          <w:iCs/>
          <w:sz w:val="18"/>
          <w:szCs w:val="18"/>
          <w:lang w:val="es-ES"/>
        </w:rPr>
        <w:t>los aspectos económicos y contables necesarios para el desarrollo del sistema contable que deberán llevar los operadores de servicios de telefonía fija y móvil</w:t>
      </w:r>
      <w:r w:rsidRPr="00B1598A">
        <w:rPr>
          <w:rFonts w:ascii="ITC Avant Garde" w:hAnsi="ITC Avant Garde"/>
          <w:sz w:val="18"/>
          <w:szCs w:val="18"/>
          <w:lang w:val="es-ES"/>
        </w:rPr>
        <w:t>” (Título IV – Contabilidad de costos para servicios de telefonía fija y móvil).</w:t>
      </w:r>
      <w:r>
        <w:rPr>
          <w:rFonts w:ascii="ITC Avant Garde" w:hAnsi="ITC Avant Garde"/>
          <w:sz w:val="18"/>
          <w:szCs w:val="18"/>
          <w:lang w:val="es-ES"/>
        </w:rPr>
        <w:t xml:space="preserve"> Disponible en: </w:t>
      </w:r>
      <w:r w:rsidRPr="00640084">
        <w:rPr>
          <w:rFonts w:ascii="ITC Avant Garde" w:hAnsi="ITC Avant Garde"/>
          <w:sz w:val="18"/>
          <w:szCs w:val="18"/>
          <w:lang w:val="es-ES"/>
        </w:rPr>
        <w:t>https://www.siget.gob.sv/?wpdmact=process&amp;did=MjUzLmhvdGxpbms</w:t>
      </w:r>
    </w:p>
  </w:footnote>
  <w:footnote w:id="26">
    <w:p w:rsidR="00820D16" w:rsidRPr="0052094D" w:rsidRDefault="00820D16" w:rsidP="00441828">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OSIPTEL, Resolución Nº 112-2014-CD/OSIPTEL, 8 de septiembre de 2014, que incluye el Instructivo General de Contabilidad Separada y Procedimiento de Aplicación/Aprobación.</w:t>
      </w:r>
      <w:r>
        <w:rPr>
          <w:rFonts w:ascii="ITC Avant Garde" w:hAnsi="ITC Avant Garde"/>
          <w:sz w:val="18"/>
          <w:szCs w:val="18"/>
          <w:lang w:val="es-ES"/>
        </w:rPr>
        <w:t xml:space="preserve"> Disponible en: </w:t>
      </w:r>
      <w:r w:rsidRPr="00640084">
        <w:rPr>
          <w:rFonts w:ascii="ITC Avant Garde" w:hAnsi="ITC Avant Garde"/>
          <w:sz w:val="18"/>
          <w:szCs w:val="18"/>
          <w:lang w:val="es-ES"/>
        </w:rPr>
        <w:t>https://www.osiptel.gob.pe/Archivos/ResolucionAltaDireccion/ConsejoDirectivo/Res112-2014-CD.pdf</w:t>
      </w:r>
    </w:p>
  </w:footnote>
  <w:footnote w:id="27">
    <w:p w:rsidR="00820D16" w:rsidRPr="00B1598A" w:rsidRDefault="00820D16" w:rsidP="00441828">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INDOTEL, Resolución Nº 228-06, 7 de diciembre de 2006, que aprueba el “</w:t>
      </w:r>
      <w:r w:rsidRPr="00B1598A">
        <w:rPr>
          <w:rFonts w:ascii="ITC Avant Garde" w:hAnsi="ITC Avant Garde"/>
          <w:i/>
          <w:iCs/>
          <w:sz w:val="18"/>
          <w:szCs w:val="18"/>
          <w:lang w:val="es-ES"/>
        </w:rPr>
        <w:t>Reglamento de Contabilidad Separada por Servicios</w:t>
      </w:r>
      <w:r w:rsidRPr="00B1598A">
        <w:rPr>
          <w:rFonts w:ascii="ITC Avant Garde" w:hAnsi="ITC Avant Garde"/>
          <w:sz w:val="18"/>
          <w:szCs w:val="18"/>
          <w:lang w:val="es-ES"/>
        </w:rPr>
        <w:t>”.</w:t>
      </w:r>
    </w:p>
  </w:footnote>
  <w:footnote w:id="28">
    <w:p w:rsidR="00820D16" w:rsidRPr="00B1598A" w:rsidRDefault="00820D16" w:rsidP="00441828">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URSEC, “</w:t>
      </w:r>
      <w:r w:rsidRPr="00B1598A">
        <w:rPr>
          <w:rFonts w:ascii="ITC Avant Garde" w:hAnsi="ITC Avant Garde"/>
          <w:i/>
          <w:iCs/>
          <w:sz w:val="18"/>
          <w:szCs w:val="18"/>
          <w:lang w:val="es-ES"/>
        </w:rPr>
        <w:t>Reglamento de contabilidad separada por servicios para el sector telecomunicaciones</w:t>
      </w:r>
      <w:r w:rsidRPr="00B1598A">
        <w:rPr>
          <w:rFonts w:ascii="ITC Avant Garde" w:hAnsi="ITC Avant Garde"/>
          <w:sz w:val="18"/>
          <w:szCs w:val="18"/>
          <w:lang w:val="es-ES"/>
        </w:rPr>
        <w:t>”</w:t>
      </w:r>
      <w:r>
        <w:rPr>
          <w:rFonts w:ascii="ITC Avant Garde" w:hAnsi="ITC Avant Garde"/>
          <w:sz w:val="18"/>
          <w:szCs w:val="18"/>
          <w:lang w:val="es-ES"/>
        </w:rPr>
        <w:t>. Disponible en</w:t>
      </w:r>
      <w:r w:rsidRPr="00B1598A">
        <w:rPr>
          <w:rFonts w:ascii="ITC Avant Garde" w:hAnsi="ITC Avant Garde"/>
          <w:sz w:val="18"/>
          <w:szCs w:val="18"/>
          <w:lang w:val="es-ES"/>
        </w:rPr>
        <w:t>:</w:t>
      </w:r>
      <w:r>
        <w:rPr>
          <w:rFonts w:ascii="ITC Avant Garde" w:hAnsi="ITC Avant Garde"/>
        </w:rPr>
        <w:t xml:space="preserve"> </w:t>
      </w:r>
      <w:hyperlink r:id="rId1" w:history="1">
        <w:r w:rsidRPr="00EF076E">
          <w:rPr>
            <w:rStyle w:val="Hipervnculo"/>
            <w:rFonts w:ascii="ITC Avant Garde" w:hAnsi="ITC Avant Garde"/>
            <w:color w:val="auto"/>
            <w:sz w:val="18"/>
            <w:szCs w:val="18"/>
            <w:u w:val="none"/>
            <w:lang w:val="es-ES"/>
          </w:rPr>
          <w:t>https://www.ursec.gub.uy/wps/wcm/connect/ursec/8eed19c8-e802-4808-ae87-ec9836457c9e/Reglamento+Contabilidad+Separada.pdf?MOD=AJPERES&amp;CONVERT_TO=url&amp;CACHEID=8eed19c8-e802-4808-ae87-ec9836457c9e</w:t>
        </w:r>
      </w:hyperlink>
      <w:r w:rsidRPr="00B1598A">
        <w:rPr>
          <w:rFonts w:ascii="ITC Avant Garde" w:hAnsi="ITC Avant Garde"/>
          <w:sz w:val="18"/>
          <w:szCs w:val="18"/>
          <w:lang w:val="es-ES"/>
        </w:rPr>
        <w:t xml:space="preserve"> </w:t>
      </w:r>
    </w:p>
  </w:footnote>
  <w:footnote w:id="29">
    <w:p w:rsidR="00820D16" w:rsidRPr="00776A41" w:rsidRDefault="00820D16" w:rsidP="00441828">
      <w:pPr>
        <w:pStyle w:val="Textonotapie"/>
        <w:jc w:val="both"/>
        <w:rPr>
          <w:rFonts w:ascii="ITC Avant Garde Gothic" w:hAnsi="ITC Avant Garde Gothic"/>
          <w:sz w:val="18"/>
          <w:szCs w:val="18"/>
          <w:lang w:val="en-U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CMT, Resolución AEM 2010/270, 10 de junio de 2010, donde se ha aprobado la “</w:t>
      </w:r>
      <w:r w:rsidRPr="00B1598A">
        <w:rPr>
          <w:rFonts w:ascii="ITC Avant Garde" w:hAnsi="ITC Avant Garde"/>
          <w:i/>
          <w:iCs/>
          <w:sz w:val="18"/>
          <w:szCs w:val="18"/>
          <w:lang w:val="es-ES"/>
        </w:rPr>
        <w:t>Resolución sobre la actualización de los principios, criterios y condiciones para el desarrollo del sistema de contabilidad de costes</w:t>
      </w:r>
      <w:r w:rsidRPr="00B1598A">
        <w:rPr>
          <w:rFonts w:ascii="ITC Avant Garde" w:hAnsi="ITC Avant Garde"/>
          <w:sz w:val="18"/>
          <w:szCs w:val="18"/>
          <w:lang w:val="es-ES"/>
        </w:rPr>
        <w:t>”.</w:t>
      </w:r>
      <w:r>
        <w:rPr>
          <w:rFonts w:ascii="ITC Avant Garde" w:hAnsi="ITC Avant Garde"/>
          <w:sz w:val="18"/>
          <w:szCs w:val="18"/>
          <w:lang w:val="es-ES"/>
        </w:rPr>
        <w:t xml:space="preserve"> </w:t>
      </w:r>
      <w:r w:rsidRPr="00776A41">
        <w:rPr>
          <w:rFonts w:ascii="ITC Avant Garde" w:hAnsi="ITC Avant Garde"/>
          <w:sz w:val="18"/>
          <w:szCs w:val="18"/>
          <w:lang w:val="en-US"/>
        </w:rPr>
        <w:t>Disponible en: https://www.cnmc.es/sites/default/files/1478899_0.pdf</w:t>
      </w:r>
    </w:p>
  </w:footnote>
  <w:footnote w:id="30">
    <w:p w:rsidR="00820D16" w:rsidRPr="00776A41" w:rsidRDefault="00820D16" w:rsidP="00441828">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Ofcom, “</w:t>
      </w:r>
      <w:r w:rsidRPr="00B1598A">
        <w:rPr>
          <w:rFonts w:ascii="ITC Avant Garde" w:hAnsi="ITC Avant Garde"/>
          <w:i/>
          <w:iCs/>
          <w:sz w:val="18"/>
          <w:szCs w:val="18"/>
          <w:lang w:val="en-GB"/>
        </w:rPr>
        <w:t>The regulatory financial reporting obligations on BT and Kingston Communications Final statement and notification</w:t>
      </w:r>
      <w:r w:rsidRPr="00B1598A">
        <w:rPr>
          <w:rFonts w:ascii="ITC Avant Garde" w:hAnsi="ITC Avant Garde"/>
          <w:sz w:val="18"/>
          <w:szCs w:val="18"/>
          <w:lang w:val="en-GB"/>
        </w:rPr>
        <w:t xml:space="preserve">”, 22 de </w:t>
      </w:r>
      <w:r>
        <w:rPr>
          <w:rFonts w:ascii="ITC Avant Garde" w:hAnsi="ITC Avant Garde"/>
          <w:sz w:val="18"/>
          <w:szCs w:val="18"/>
          <w:lang w:val="en-GB"/>
        </w:rPr>
        <w:t>j</w:t>
      </w:r>
      <w:r w:rsidRPr="00B1598A">
        <w:rPr>
          <w:rFonts w:ascii="ITC Avant Garde" w:hAnsi="ITC Avant Garde"/>
          <w:sz w:val="18"/>
          <w:szCs w:val="18"/>
          <w:lang w:val="en-GB"/>
        </w:rPr>
        <w:t xml:space="preserve">ulio de 2004. </w:t>
      </w:r>
      <w:r w:rsidRPr="00776A41">
        <w:rPr>
          <w:rFonts w:ascii="ITC Avant Garde" w:hAnsi="ITC Avant Garde"/>
          <w:sz w:val="18"/>
          <w:szCs w:val="18"/>
        </w:rPr>
        <w:t>Disponible en: https://www.ofcom.org.uk/__data/assets/pdf_file/0034/55969/finance_report.pdf</w:t>
      </w:r>
    </w:p>
  </w:footnote>
  <w:footnote w:id="31">
    <w:p w:rsidR="00820D16" w:rsidRPr="00776A41" w:rsidRDefault="00820D16" w:rsidP="00441828">
      <w:pPr>
        <w:pStyle w:val="Textonotapie"/>
        <w:jc w:val="both"/>
        <w:rPr>
          <w:rFonts w:ascii="ITC Avant Garde Gothic" w:hAnsi="ITC Avant Garde Gothic"/>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TRAI, “</w:t>
      </w:r>
      <w:r w:rsidRPr="00B1598A">
        <w:rPr>
          <w:rFonts w:ascii="ITC Avant Garde" w:hAnsi="ITC Avant Garde"/>
          <w:i/>
          <w:iCs/>
          <w:sz w:val="18"/>
          <w:szCs w:val="18"/>
          <w:lang w:val="en-GB"/>
        </w:rPr>
        <w:t>Guidelines for ‘the reporting system on accounting separation regulations, 2016 (5 of 2016)’</w:t>
      </w:r>
      <w:r w:rsidRPr="00B1598A">
        <w:rPr>
          <w:rFonts w:ascii="ITC Avant Garde" w:hAnsi="ITC Avant Garde"/>
          <w:sz w:val="18"/>
          <w:szCs w:val="18"/>
          <w:lang w:val="en-GB"/>
        </w:rPr>
        <w:t>”, 10 de junio de 2016.</w:t>
      </w:r>
      <w:r w:rsidRPr="00776A41">
        <w:rPr>
          <w:rFonts w:ascii="ITC Avant Garde" w:hAnsi="ITC Avant Garde"/>
          <w:sz w:val="18"/>
          <w:szCs w:val="18"/>
          <w:lang w:val="en-GB"/>
        </w:rPr>
        <w:t xml:space="preserve"> </w:t>
      </w:r>
      <w:r w:rsidRPr="00776A41">
        <w:rPr>
          <w:rFonts w:ascii="ITC Avant Garde" w:hAnsi="ITC Avant Garde"/>
          <w:sz w:val="18"/>
          <w:szCs w:val="18"/>
        </w:rPr>
        <w:t>Disponible en: http://www.trai.gov.in/sites/default/files/Guidelines_Accounting_Separation_Regulations.pdf</w:t>
      </w:r>
    </w:p>
  </w:footnote>
  <w:footnote w:id="32">
    <w:p w:rsidR="00820D16" w:rsidRPr="00776A41" w:rsidRDefault="00820D16" w:rsidP="00441828">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w:t>
      </w:r>
      <w:r w:rsidRPr="00776A41">
        <w:rPr>
          <w:rFonts w:ascii="ITC Avant Garde" w:hAnsi="ITC Avant Garde"/>
          <w:i/>
          <w:sz w:val="18"/>
          <w:szCs w:val="18"/>
          <w:lang w:val="en-GB"/>
        </w:rPr>
        <w:t>Info-Communications Development Authority of Singapore</w:t>
      </w:r>
      <w:r w:rsidRPr="00B1598A">
        <w:rPr>
          <w:rFonts w:ascii="ITC Avant Garde" w:hAnsi="ITC Avant Garde"/>
          <w:sz w:val="18"/>
          <w:szCs w:val="18"/>
          <w:lang w:val="en-GB"/>
        </w:rPr>
        <w:t>, “</w:t>
      </w:r>
      <w:r w:rsidRPr="00B1598A">
        <w:rPr>
          <w:rFonts w:ascii="ITC Avant Garde" w:hAnsi="ITC Avant Garde"/>
          <w:i/>
          <w:iCs/>
          <w:sz w:val="18"/>
          <w:szCs w:val="18"/>
          <w:lang w:val="en-GB"/>
        </w:rPr>
        <w:t>Accounting Separation Guidelines (Revised with effect from 24 December 2004)</w:t>
      </w:r>
      <w:r w:rsidRPr="00B1598A">
        <w:rPr>
          <w:rFonts w:ascii="ITC Avant Garde" w:hAnsi="ITC Avant Garde"/>
          <w:sz w:val="18"/>
          <w:szCs w:val="18"/>
          <w:lang w:val="en-GB"/>
        </w:rPr>
        <w:t>”</w:t>
      </w:r>
      <w:r>
        <w:rPr>
          <w:rFonts w:ascii="ITC Avant Garde" w:hAnsi="ITC Avant Garde"/>
          <w:sz w:val="18"/>
          <w:szCs w:val="18"/>
          <w:lang w:val="en-GB"/>
        </w:rPr>
        <w:t xml:space="preserve">. </w:t>
      </w:r>
      <w:r w:rsidRPr="00776A41">
        <w:rPr>
          <w:rFonts w:ascii="ITC Avant Garde" w:hAnsi="ITC Avant Garde"/>
          <w:sz w:val="18"/>
          <w:szCs w:val="18"/>
        </w:rPr>
        <w:t>Disponible en:</w:t>
      </w:r>
      <w:hyperlink r:id="rId2" w:history="1">
        <w:r w:rsidRPr="00776A41">
          <w:rPr>
            <w:rStyle w:val="Hipervnculo"/>
            <w:rFonts w:ascii="ITC Avant Garde" w:hAnsi="ITC Avant Garde"/>
            <w:color w:val="auto"/>
            <w:sz w:val="18"/>
            <w:szCs w:val="18"/>
            <w:u w:val="none"/>
          </w:rPr>
          <w:t>https://www.imda.gov.sg/~/media/imda/files/regulation%20licensing%20and%20consultations/codes%20of%20practice%20and%20guidelines/5%20revisedasg.pdf?la=en</w:t>
        </w:r>
      </w:hyperlink>
      <w:r w:rsidRPr="00776A41">
        <w:rPr>
          <w:rFonts w:ascii="ITC Avant Garde" w:hAnsi="ITC Avant Garde"/>
          <w:sz w:val="18"/>
          <w:szCs w:val="18"/>
        </w:rPr>
        <w:t xml:space="preserve">  </w:t>
      </w:r>
    </w:p>
  </w:footnote>
  <w:footnote w:id="33">
    <w:p w:rsidR="00820D16" w:rsidRPr="00776A41" w:rsidRDefault="00820D16" w:rsidP="00441828">
      <w:pPr>
        <w:pStyle w:val="Textonotapie"/>
        <w:jc w:val="both"/>
        <w:rPr>
          <w:rFonts w:ascii="ITC Avant Garde Gothic" w:hAnsi="ITC Avant Garde Gothic"/>
          <w:sz w:val="18"/>
          <w:szCs w:val="18"/>
        </w:rPr>
      </w:pPr>
      <w:r w:rsidRPr="00B1598A">
        <w:rPr>
          <w:rStyle w:val="Refdenotaalpie"/>
          <w:rFonts w:ascii="ITC Avant Garde" w:hAnsi="ITC Avant Garde"/>
          <w:sz w:val="18"/>
          <w:szCs w:val="18"/>
        </w:rPr>
        <w:footnoteRef/>
      </w:r>
      <w:r w:rsidRPr="00776A41">
        <w:rPr>
          <w:rFonts w:ascii="ITC Avant Garde" w:hAnsi="ITC Avant Garde"/>
          <w:sz w:val="18"/>
          <w:szCs w:val="18"/>
        </w:rPr>
        <w:t xml:space="preserve"> CITC, “</w:t>
      </w:r>
      <w:r w:rsidRPr="00D51F05">
        <w:rPr>
          <w:rFonts w:ascii="ITC Avant Garde" w:hAnsi="ITC Avant Garde"/>
          <w:i/>
          <w:sz w:val="18"/>
          <w:szCs w:val="18"/>
        </w:rPr>
        <w:t>Accounting Separation Regulatory Framework and Guidelines</w:t>
      </w:r>
      <w:r w:rsidRPr="00776A41">
        <w:rPr>
          <w:rFonts w:ascii="ITC Avant Garde" w:hAnsi="ITC Avant Garde"/>
          <w:sz w:val="18"/>
          <w:szCs w:val="18"/>
        </w:rPr>
        <w:t>”, 23 de junio de 2010 (Consulta Pública). Disponible en:</w:t>
      </w:r>
      <w:r>
        <w:t xml:space="preserve"> </w:t>
      </w:r>
      <w:hyperlink r:id="rId3" w:history="1">
        <w:r w:rsidRPr="00776A41">
          <w:rPr>
            <w:rStyle w:val="Hipervnculo"/>
            <w:rFonts w:ascii="ITC Avant Garde" w:hAnsi="ITC Avant Garde"/>
            <w:color w:val="auto"/>
            <w:sz w:val="18"/>
            <w:szCs w:val="18"/>
            <w:u w:val="none"/>
          </w:rPr>
          <w:t>http://www.citc.gov.sa/en/new/publicConsultation/Pages/a37.aspx</w:t>
        </w:r>
      </w:hyperlink>
      <w:r w:rsidRPr="00776A41">
        <w:rPr>
          <w:rFonts w:ascii="ITC Avant Garde Gothic" w:hAnsi="ITC Avant Garde Gothic"/>
          <w:sz w:val="18"/>
          <w:szCs w:val="18"/>
        </w:rPr>
        <w:t xml:space="preserve">   </w:t>
      </w:r>
    </w:p>
  </w:footnote>
  <w:footnote w:id="34">
    <w:p w:rsidR="00820D16" w:rsidRPr="00776A41" w:rsidRDefault="00820D16" w:rsidP="00010BFB">
      <w:pPr>
        <w:pStyle w:val="Textonotapie"/>
        <w:jc w:val="both"/>
        <w:rPr>
          <w:rFonts w:ascii="ITC Avant Garde" w:hAnsi="ITC Avant Garde"/>
          <w:sz w:val="18"/>
          <w:szCs w:val="18"/>
        </w:rPr>
      </w:pPr>
      <w:r w:rsidRPr="00776A41">
        <w:rPr>
          <w:rStyle w:val="Refdenotaalpie"/>
          <w:rFonts w:ascii="ITC Avant Garde" w:hAnsi="ITC Avant Garde"/>
          <w:sz w:val="18"/>
          <w:szCs w:val="18"/>
        </w:rPr>
        <w:footnoteRef/>
      </w:r>
      <w:r w:rsidRPr="00776A41">
        <w:rPr>
          <w:rFonts w:ascii="ITC Avant Garde" w:hAnsi="ITC Avant Garde"/>
          <w:sz w:val="18"/>
          <w:szCs w:val="18"/>
        </w:rPr>
        <w:t xml:space="preserve"> Superintendencia de Telecomunicaciones de Costa Rica, “MANUAL SOBRE LA METODOLOGÍA PARA LA APLICACIÓN DEL SISTEMA DE CONTABILIDAD DE COSTOS SEPARADA (CONTABILIDAD REGULATORIA)”, EXPEDIENTE GCO-NRE-RCS-00476-2014.</w:t>
      </w:r>
    </w:p>
  </w:footnote>
  <w:footnote w:id="35">
    <w:p w:rsidR="00820D16" w:rsidRPr="00776A41" w:rsidRDefault="00820D16" w:rsidP="00010BFB">
      <w:pPr>
        <w:pStyle w:val="Textonotapie"/>
        <w:jc w:val="both"/>
        <w:rPr>
          <w:rFonts w:ascii="ITC Avant Garde" w:hAnsi="ITC Avant Garde"/>
          <w:sz w:val="18"/>
          <w:szCs w:val="18"/>
        </w:rPr>
      </w:pPr>
      <w:r w:rsidRPr="00776A41">
        <w:rPr>
          <w:rStyle w:val="Refdenotaalpie"/>
          <w:rFonts w:ascii="ITC Avant Garde" w:hAnsi="ITC Avant Garde"/>
          <w:sz w:val="18"/>
          <w:szCs w:val="18"/>
        </w:rPr>
        <w:footnoteRef/>
      </w:r>
      <w:r w:rsidRPr="00776A41">
        <w:rPr>
          <w:rFonts w:ascii="ITC Avant Garde" w:hAnsi="ITC Avant Garde"/>
          <w:sz w:val="18"/>
          <w:szCs w:val="18"/>
        </w:rPr>
        <w:t xml:space="preserve"> Instituto Dominicano de las Telecomunicaciones, Republica Dominicana, “REGLAMENTO DE CONTABILIDAD SEPARADA POR SERVICIOS”, RESOLUCIÓN No. 228-06.</w:t>
      </w:r>
    </w:p>
  </w:footnote>
  <w:footnote w:id="36">
    <w:p w:rsidR="00820D16" w:rsidRPr="004E7425" w:rsidRDefault="00820D16" w:rsidP="00EC261B">
      <w:pPr>
        <w:pStyle w:val="Textonotapie"/>
        <w:jc w:val="both"/>
        <w:rPr>
          <w:rFonts w:ascii="ITC Avant Garde" w:hAnsi="ITC Avant Garde"/>
        </w:rPr>
      </w:pPr>
      <w:r w:rsidRPr="004E7425">
        <w:rPr>
          <w:rStyle w:val="Refdenotaalpie"/>
          <w:rFonts w:ascii="ITC Avant Garde" w:hAnsi="ITC Avant Garde"/>
        </w:rPr>
        <w:footnoteRef/>
      </w:r>
      <w:r w:rsidRPr="004E7425">
        <w:rPr>
          <w:rFonts w:ascii="ITC Avant Garde" w:hAnsi="ITC Avant Garde"/>
        </w:rPr>
        <w:t xml:space="preserve"> </w:t>
      </w:r>
      <w:r w:rsidRPr="001731AA">
        <w:rPr>
          <w:rFonts w:ascii="ITC Avant Garde" w:hAnsi="ITC Avant Garde"/>
          <w:sz w:val="18"/>
          <w:szCs w:val="18"/>
        </w:rPr>
        <w:t>Principios generales establecidos en la “RESOLUCIÓN POR LA QUE EL PLENO DE LA COMISIÓN FEDERAL DE TELECOMUNICACIONES EXPIDE EL MANUAL QUE PROVEE LOS CRITERIOS Y METODOLOGÍA DE SEPARACIÓN CONTABLE POR SERVICIO, APLICABLE A LOS CONCESIONARIOS DE REDES PÚBLICAS DE TELECOMUNICACIONES”.</w:t>
      </w:r>
    </w:p>
  </w:footnote>
  <w:footnote w:id="37">
    <w:p w:rsidR="00820D16" w:rsidRDefault="00820D16" w:rsidP="009A4E28">
      <w:pPr>
        <w:pStyle w:val="Normalresolucion"/>
      </w:pPr>
      <w:r>
        <w:rPr>
          <w:rStyle w:val="Refdenotaalpie"/>
        </w:rPr>
        <w:footnoteRef/>
      </w:r>
      <w:r w:rsidRPr="001F44FF">
        <w:rPr>
          <w:sz w:val="18"/>
          <w:szCs w:val="18"/>
        </w:rPr>
        <w:t xml:space="preserve"> Conforme a la Ley Orgánica de la Administración Pública Federal, la administración pública federal se divide en centralizada y paraestatal. Las entidades de la administración pública centralizada incluyen: secretarías de estado, y consejería jurídica. Las entidades de la administración pública paraestatal incluyen: organismos descentralizados; empresas de participación estatal, instituciones nacionales de crédito, organizaciones auxiliares nacionales de crédito e instituciones nacionales de seguros y de fianzas, y fideicomisos. </w:t>
      </w:r>
    </w:p>
  </w:footnote>
  <w:footnote w:id="38">
    <w:p w:rsidR="00820D16" w:rsidRDefault="00820D16" w:rsidP="009A4E28">
      <w:pPr>
        <w:pStyle w:val="Textonotapie"/>
        <w:jc w:val="both"/>
      </w:pPr>
      <w:r>
        <w:rPr>
          <w:rStyle w:val="Refdenotaalpie"/>
        </w:rPr>
        <w:footnoteRef/>
      </w:r>
      <w:r>
        <w:t xml:space="preserve"> </w:t>
      </w:r>
      <w:r w:rsidRPr="001F44FF">
        <w:rPr>
          <w:rFonts w:ascii="ITC Avant Garde" w:eastAsia="Times New Roman" w:hAnsi="ITC Avant Garde" w:cs="Arial"/>
          <w:sz w:val="18"/>
          <w:szCs w:val="18"/>
          <w:lang w:val="es-ES" w:eastAsia="es-ES"/>
        </w:rPr>
        <w:t>La administración pública estatal se divide también en centralizada y paraestatal. Las entidades de la administración pública centralizada se componen de secretarías, la consejería jurídica y la fiscalía general del estado. La administración pública paraestatal la componen los organismos descentralizados, las empresas de participación estatal mayoritaria y los fideicomisos públicos.</w:t>
      </w:r>
    </w:p>
  </w:footnote>
  <w:footnote w:id="39">
    <w:p w:rsidR="00820D16" w:rsidRPr="001F44FF" w:rsidRDefault="00820D16" w:rsidP="009A4E28">
      <w:pPr>
        <w:pStyle w:val="Normalresolucion"/>
        <w:rPr>
          <w:sz w:val="18"/>
          <w:szCs w:val="18"/>
        </w:rPr>
      </w:pPr>
      <w:r>
        <w:rPr>
          <w:rStyle w:val="Refdenotaalpie"/>
        </w:rPr>
        <w:footnoteRef/>
      </w:r>
      <w:r>
        <w:t xml:space="preserve"> </w:t>
      </w:r>
      <w:r w:rsidRPr="001F44FF">
        <w:rPr>
          <w:sz w:val="18"/>
          <w:szCs w:val="18"/>
        </w:rPr>
        <w:t>La administración pública municipal se divide en centralizada y paramunicipal. En este caso la administración pública centralizada se integra por las autoridades auxiliares y las dependencias municipales y la administración pública paramunicipal se integra por entidades, organismos públicos descentralizados, empresas de participación municipal y los fideicomisos públicos.</w:t>
      </w:r>
    </w:p>
  </w:footnote>
  <w:footnote w:id="40">
    <w:p w:rsidR="00820D16" w:rsidRDefault="00820D16" w:rsidP="009A4E28">
      <w:pPr>
        <w:pStyle w:val="Normalresolucion"/>
      </w:pPr>
      <w:r>
        <w:rPr>
          <w:rStyle w:val="Refdenotaalpie"/>
        </w:rPr>
        <w:footnoteRef/>
      </w:r>
      <w:r w:rsidRPr="001F44FF">
        <w:rPr>
          <w:sz w:val="18"/>
          <w:szCs w:val="18"/>
        </w:rPr>
        <w:t xml:space="preserve"> Por su parte, </w:t>
      </w:r>
      <w:r>
        <w:rPr>
          <w:sz w:val="18"/>
          <w:szCs w:val="18"/>
        </w:rPr>
        <w:t>la Constitución</w:t>
      </w:r>
      <w:r w:rsidRPr="001F44FF">
        <w:rPr>
          <w:sz w:val="18"/>
          <w:szCs w:val="18"/>
        </w:rPr>
        <w:t xml:space="preserve"> prevé </w:t>
      </w:r>
      <w:r>
        <w:rPr>
          <w:sz w:val="18"/>
          <w:szCs w:val="18"/>
        </w:rPr>
        <w:t xml:space="preserve">la creación de </w:t>
      </w:r>
      <w:r w:rsidRPr="001F44FF">
        <w:rPr>
          <w:sz w:val="18"/>
          <w:szCs w:val="18"/>
        </w:rPr>
        <w:t>organismos constitucionalmente autónomos.</w:t>
      </w:r>
    </w:p>
  </w:footnote>
  <w:footnote w:id="41">
    <w:p w:rsidR="00820D16" w:rsidRPr="00B1598A" w:rsidRDefault="00820D16" w:rsidP="001B2CEE">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En el caso de Omán, por ejemplo, se menciona que “</w:t>
      </w:r>
      <w:r w:rsidRPr="00B1598A">
        <w:rPr>
          <w:rFonts w:ascii="ITC Avant Garde" w:hAnsi="ITC Avant Garde"/>
          <w:i/>
          <w:iCs/>
          <w:sz w:val="18"/>
          <w:szCs w:val="18"/>
          <w:lang w:val="es-ES"/>
        </w:rPr>
        <w:t>idealmente, los costos generales no deberán representar más de un 10% del total de la base de costos</w:t>
      </w:r>
      <w:r w:rsidRPr="00B1598A">
        <w:rPr>
          <w:rFonts w:ascii="ITC Avant Garde" w:hAnsi="ITC Avant Garde"/>
          <w:sz w:val="18"/>
          <w:szCs w:val="18"/>
          <w:lang w:val="es-ES"/>
        </w:rPr>
        <w:t>” (TRA Omán, “</w:t>
      </w:r>
      <w:r w:rsidRPr="000154F2">
        <w:rPr>
          <w:rFonts w:ascii="ITC Avant Garde" w:hAnsi="ITC Avant Garde"/>
          <w:i/>
          <w:sz w:val="18"/>
          <w:szCs w:val="18"/>
        </w:rPr>
        <w:t>Accounting Separation Guidelines</w:t>
      </w:r>
      <w:r w:rsidRPr="00B1598A">
        <w:rPr>
          <w:rFonts w:ascii="ITC Avant Garde" w:hAnsi="ITC Avant Garde"/>
          <w:sz w:val="18"/>
          <w:szCs w:val="18"/>
          <w:lang w:val="es-ES"/>
        </w:rPr>
        <w:t>”, mayo de 2016).</w:t>
      </w:r>
    </w:p>
  </w:footnote>
  <w:footnote w:id="42">
    <w:p w:rsidR="00820D16" w:rsidRPr="002B0906" w:rsidRDefault="00820D16" w:rsidP="008329C5">
      <w:pPr>
        <w:pStyle w:val="Textonotapie"/>
        <w:jc w:val="both"/>
        <w:rPr>
          <w:rFonts w:ascii="ITC Avant Garde" w:hAnsi="ITC Avant Garde"/>
          <w:i/>
        </w:rPr>
      </w:pPr>
      <w:r w:rsidRPr="002B0906">
        <w:rPr>
          <w:rStyle w:val="Refdenotaalpie"/>
          <w:rFonts w:ascii="ITC Avant Garde" w:hAnsi="ITC Avant Garde"/>
          <w:sz w:val="18"/>
        </w:rPr>
        <w:footnoteRef/>
      </w:r>
      <w:r w:rsidRPr="002B0906">
        <w:rPr>
          <w:rFonts w:ascii="ITC Avant Garde" w:hAnsi="ITC Avant Garde"/>
          <w:sz w:val="18"/>
        </w:rPr>
        <w:t xml:space="preserve"> Por sus siglas en inglés, </w:t>
      </w:r>
      <w:r w:rsidRPr="002B0906">
        <w:rPr>
          <w:rFonts w:ascii="ITC Avant Garde" w:hAnsi="ITC Avant Garde"/>
          <w:i/>
          <w:sz w:val="18"/>
        </w:rPr>
        <w:t>Activity Based Costing.</w:t>
      </w:r>
    </w:p>
  </w:footnote>
  <w:footnote w:id="43">
    <w:p w:rsidR="00820D16" w:rsidRDefault="00820D16"/>
  </w:footnote>
  <w:footnote w:id="44">
    <w:p w:rsidR="00820D16" w:rsidRPr="00B1598A" w:rsidRDefault="00820D16" w:rsidP="00133F28">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Con el fin de mejorar la transparencia de la </w:t>
      </w:r>
      <w:r>
        <w:rPr>
          <w:rFonts w:ascii="ITC Avant Garde" w:eastAsia="Times New Roman" w:hAnsi="ITC Avant Garde" w:cs="Arial"/>
          <w:sz w:val="18"/>
          <w:szCs w:val="18"/>
          <w:lang w:val="es-ES" w:eastAsia="es-ES"/>
        </w:rPr>
        <w:t>s</w:t>
      </w:r>
      <w:r w:rsidRPr="00B1598A">
        <w:rPr>
          <w:rFonts w:ascii="ITC Avant Garde" w:eastAsia="Times New Roman" w:hAnsi="ITC Avant Garde" w:cs="Arial"/>
          <w:sz w:val="18"/>
          <w:szCs w:val="18"/>
          <w:lang w:val="es-ES" w:eastAsia="es-ES"/>
        </w:rPr>
        <w:t xml:space="preserve">eparación </w:t>
      </w:r>
      <w:r>
        <w:rPr>
          <w:rFonts w:ascii="ITC Avant Garde" w:eastAsia="Times New Roman" w:hAnsi="ITC Avant Garde" w:cs="Arial"/>
          <w:sz w:val="18"/>
          <w:szCs w:val="18"/>
          <w:lang w:val="es-ES" w:eastAsia="es-ES"/>
        </w:rPr>
        <w:t>c</w:t>
      </w:r>
      <w:r w:rsidRPr="00B1598A">
        <w:rPr>
          <w:rFonts w:ascii="ITC Avant Garde" w:eastAsia="Times New Roman" w:hAnsi="ITC Avant Garde" w:cs="Arial"/>
          <w:sz w:val="18"/>
          <w:szCs w:val="18"/>
          <w:lang w:val="es-ES" w:eastAsia="es-ES"/>
        </w:rPr>
        <w:t>ontable, las categorías deberán ser desagregadas entre las cuentas correspondientes a ingresos nominales (que refleja el precio de referencia de venta al público, sin descuentos ni subsidios), descuentos y subsidios.</w:t>
      </w:r>
    </w:p>
  </w:footnote>
  <w:footnote w:id="45">
    <w:p w:rsidR="00820D16" w:rsidRPr="00E61AE1" w:rsidRDefault="00820D16">
      <w:pPr>
        <w:pStyle w:val="Textonotapie"/>
        <w:rPr>
          <w:rFonts w:ascii="ITC Avant Garde" w:hAnsi="ITC Avant Garde"/>
        </w:rPr>
      </w:pPr>
      <w:r w:rsidRPr="00E61AE1">
        <w:rPr>
          <w:rStyle w:val="Refdenotaalpie"/>
          <w:rFonts w:ascii="ITC Avant Garde" w:hAnsi="ITC Avant Garde"/>
          <w:sz w:val="18"/>
        </w:rPr>
        <w:footnoteRef/>
      </w:r>
      <w:r w:rsidRPr="00E61AE1">
        <w:rPr>
          <w:rFonts w:ascii="ITC Avant Garde" w:hAnsi="ITC Avant Garde"/>
          <w:sz w:val="18"/>
        </w:rPr>
        <w:t xml:space="preserve"> Por sus siglas en inglés, </w:t>
      </w:r>
      <w:r w:rsidRPr="00E61AE1">
        <w:rPr>
          <w:rFonts w:ascii="ITC Avant Garde" w:hAnsi="ITC Avant Garde"/>
          <w:i/>
          <w:sz w:val="18"/>
        </w:rPr>
        <w:t>Over the Top Services</w:t>
      </w:r>
      <w:r w:rsidRPr="00E61AE1">
        <w:rPr>
          <w:rFonts w:ascii="ITC Avant Garde" w:hAnsi="ITC Avant Garde"/>
          <w:sz w:val="18"/>
        </w:rPr>
        <w:t>.</w:t>
      </w:r>
    </w:p>
  </w:footnote>
  <w:footnote w:id="46">
    <w:p w:rsidR="00820D16" w:rsidRPr="00B1598A" w:rsidRDefault="00820D16" w:rsidP="002E1156">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Por sus siglas en inglés, </w:t>
      </w:r>
      <w:r w:rsidRPr="00B1598A">
        <w:rPr>
          <w:rFonts w:ascii="ITC Avant Garde" w:hAnsi="ITC Avant Garde"/>
          <w:i/>
          <w:sz w:val="18"/>
          <w:szCs w:val="18"/>
        </w:rPr>
        <w:t>Digital Subscriber Line Access Multiplexor</w:t>
      </w:r>
      <w:r w:rsidRPr="00776A41">
        <w:rPr>
          <w:rFonts w:ascii="ITC Avant Garde" w:hAnsi="ITC Avant Garde"/>
          <w:sz w:val="18"/>
          <w:szCs w:val="18"/>
        </w:rPr>
        <w:t>.</w:t>
      </w:r>
    </w:p>
  </w:footnote>
  <w:footnote w:id="47">
    <w:p w:rsidR="00820D16" w:rsidRPr="00B1598A" w:rsidRDefault="00820D16" w:rsidP="002E1156">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Por sus siglas en inglés, </w:t>
      </w:r>
      <w:r w:rsidRPr="00B1598A">
        <w:rPr>
          <w:rFonts w:ascii="ITC Avant Garde" w:hAnsi="ITC Avant Garde"/>
          <w:i/>
          <w:sz w:val="18"/>
          <w:szCs w:val="18"/>
        </w:rPr>
        <w:t>Broadband Remote Access Server</w:t>
      </w:r>
      <w:r w:rsidRPr="00776A41">
        <w:rPr>
          <w:rFonts w:ascii="ITC Avant Garde" w:hAnsi="ITC Avant Garde"/>
          <w:sz w:val="18"/>
          <w:szCs w:val="18"/>
        </w:rPr>
        <w:t>.</w:t>
      </w:r>
    </w:p>
  </w:footnote>
  <w:footnote w:id="48">
    <w:p w:rsidR="00820D16" w:rsidRPr="00B1598A" w:rsidRDefault="00820D16" w:rsidP="002E1156">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Por sus siglas en inglés, </w:t>
      </w:r>
      <w:r w:rsidRPr="00B1598A">
        <w:rPr>
          <w:rFonts w:ascii="ITC Avant Garde" w:hAnsi="ITC Avant Garde"/>
          <w:i/>
          <w:sz w:val="18"/>
          <w:szCs w:val="18"/>
          <w:lang w:val="es-ES"/>
        </w:rPr>
        <w:t>Remote Autenticación Dial-In Usar Service</w:t>
      </w:r>
      <w:r w:rsidRPr="00776A41">
        <w:rPr>
          <w:rFonts w:ascii="ITC Avant Garde" w:hAnsi="ITC Avant Garde"/>
          <w:sz w:val="18"/>
          <w:szCs w:val="18"/>
          <w:lang w:val="es-ES"/>
        </w:rPr>
        <w:t>.</w:t>
      </w:r>
    </w:p>
  </w:footnote>
  <w:footnote w:id="49">
    <w:p w:rsidR="00820D16" w:rsidRPr="0052094D" w:rsidRDefault="00820D16" w:rsidP="002E1156">
      <w:pPr>
        <w:pStyle w:val="Textonotapie"/>
        <w:rPr>
          <w:rFonts w:ascii="ITC Avant Garde Gothic" w:hAnsi="ITC Avant Garde Gothic"/>
          <w:i/>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Por sus siglas en inglés, </w:t>
      </w:r>
      <w:r w:rsidRPr="00B1598A">
        <w:rPr>
          <w:rFonts w:ascii="ITC Avant Garde" w:hAnsi="ITC Avant Garde"/>
          <w:i/>
          <w:sz w:val="18"/>
          <w:szCs w:val="18"/>
          <w:lang w:val="es-ES"/>
        </w:rPr>
        <w:t>Call Session Control Function</w:t>
      </w:r>
      <w:r w:rsidRPr="00776A41">
        <w:rPr>
          <w:rFonts w:ascii="ITC Avant Garde" w:hAnsi="ITC Avant Garde"/>
          <w:sz w:val="18"/>
          <w:szCs w:val="18"/>
          <w:lang w:val="es-ES"/>
        </w:rPr>
        <w:t>.</w:t>
      </w:r>
    </w:p>
  </w:footnote>
  <w:footnote w:id="50">
    <w:p w:rsidR="00820D16" w:rsidRDefault="00820D16" w:rsidP="002E1156">
      <w:pPr>
        <w:pStyle w:val="Textonotapie"/>
        <w:rPr>
          <w:rFonts w:ascii="ITC Avant Garde" w:eastAsia="Times New Roman" w:hAnsi="ITC Avant Garde" w:cs="Arial"/>
          <w:sz w:val="18"/>
          <w:szCs w:val="18"/>
          <w:lang w:val="es-ES" w:eastAsia="es-ES"/>
        </w:rPr>
      </w:pPr>
      <w:r>
        <w:rPr>
          <w:rFonts w:ascii="ITC Avant Garde" w:eastAsia="Times New Roman" w:hAnsi="ITC Avant Garde" w:cs="Arial"/>
          <w:sz w:val="18"/>
          <w:szCs w:val="18"/>
          <w:vertAlign w:val="superscript"/>
          <w:lang w:val="es-ES" w:eastAsia="es-ES"/>
        </w:rPr>
        <w:footnoteRef/>
      </w:r>
      <w:r>
        <w:rPr>
          <w:rFonts w:ascii="ITC Avant Garde" w:eastAsia="Times New Roman" w:hAnsi="ITC Avant Garde" w:cs="Arial"/>
          <w:sz w:val="18"/>
          <w:szCs w:val="18"/>
          <w:vertAlign w:val="superscript"/>
          <w:lang w:val="es-ES" w:eastAsia="es-ES"/>
        </w:rPr>
        <w:t xml:space="preserve"> </w:t>
      </w:r>
      <w:r>
        <w:rPr>
          <w:rFonts w:ascii="ITC Avant Garde" w:eastAsia="Times New Roman" w:hAnsi="ITC Avant Garde" w:cs="Arial"/>
          <w:sz w:val="18"/>
          <w:szCs w:val="18"/>
          <w:lang w:val="es-ES" w:eastAsia="es-ES"/>
        </w:rPr>
        <w:t xml:space="preserve">Por sus siglas en inglés, </w:t>
      </w:r>
      <w:r>
        <w:rPr>
          <w:rFonts w:ascii="ITC Avant Garde" w:eastAsia="Times New Roman" w:hAnsi="ITC Avant Garde" w:cs="Arial"/>
          <w:i/>
          <w:iCs/>
          <w:sz w:val="18"/>
          <w:szCs w:val="18"/>
          <w:lang w:val="es-ES" w:eastAsia="es-ES"/>
        </w:rPr>
        <w:t>Final Drop Point.</w:t>
      </w:r>
    </w:p>
  </w:footnote>
  <w:footnote w:id="51">
    <w:p w:rsidR="00820D16" w:rsidRDefault="00820D16" w:rsidP="002E1156">
      <w:pPr>
        <w:pStyle w:val="Textonotapie"/>
        <w:rPr>
          <w:rFonts w:ascii="ITC Avant Garde Gothic" w:eastAsia="Times New Roman" w:hAnsi="ITC Avant Garde Gothic" w:cs="Arial"/>
          <w:sz w:val="18"/>
          <w:szCs w:val="18"/>
          <w:lang w:val="es-ES" w:eastAsia="es-ES"/>
        </w:rPr>
      </w:pPr>
      <w:r>
        <w:rPr>
          <w:rFonts w:ascii="ITC Avant Garde" w:eastAsia="Times New Roman" w:hAnsi="ITC Avant Garde" w:cs="Arial"/>
          <w:sz w:val="18"/>
          <w:szCs w:val="18"/>
          <w:vertAlign w:val="superscript"/>
          <w:lang w:val="es-ES" w:eastAsia="es-ES"/>
        </w:rPr>
        <w:footnoteRef/>
      </w:r>
      <w:r>
        <w:rPr>
          <w:rFonts w:ascii="ITC Avant Garde" w:eastAsia="Times New Roman" w:hAnsi="ITC Avant Garde" w:cs="Arial"/>
          <w:sz w:val="18"/>
          <w:szCs w:val="18"/>
          <w:lang w:val="es-ES" w:eastAsia="es-ES"/>
        </w:rPr>
        <w:t xml:space="preserve"> Por sus siglas en inglés, </w:t>
      </w:r>
      <w:r>
        <w:rPr>
          <w:rFonts w:ascii="ITC Avant Garde" w:eastAsia="Times New Roman" w:hAnsi="ITC Avant Garde" w:cs="Arial"/>
          <w:i/>
          <w:iCs/>
          <w:sz w:val="18"/>
          <w:szCs w:val="18"/>
          <w:lang w:val="es-ES" w:eastAsia="es-ES"/>
        </w:rPr>
        <w:t>Network Termination Point.</w:t>
      </w:r>
    </w:p>
  </w:footnote>
  <w:footnote w:id="52">
    <w:p w:rsidR="00820D16" w:rsidRPr="00B1598A" w:rsidRDefault="00820D16" w:rsidP="002E1156">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Main Distribution Frame</w:t>
      </w:r>
      <w:r w:rsidRPr="00B1598A">
        <w:rPr>
          <w:rFonts w:ascii="ITC Avant Garde" w:eastAsia="Times New Roman" w:hAnsi="ITC Avant Garde" w:cs="Arial"/>
          <w:sz w:val="18"/>
          <w:szCs w:val="18"/>
          <w:lang w:val="es-ES" w:eastAsia="es-ES"/>
        </w:rPr>
        <w:t>.</w:t>
      </w:r>
    </w:p>
  </w:footnote>
  <w:footnote w:id="53">
    <w:p w:rsidR="00820D16" w:rsidRPr="0052094D" w:rsidRDefault="00820D16" w:rsidP="002E1156">
      <w:pPr>
        <w:pStyle w:val="Textonotapie"/>
        <w:rPr>
          <w:rFonts w:ascii="ITC Avant Garde Gothic" w:hAnsi="ITC Avant Garde Gothic"/>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Optical Distribution Frame</w:t>
      </w:r>
      <w:r w:rsidRPr="00B1598A">
        <w:rPr>
          <w:rFonts w:ascii="ITC Avant Garde" w:eastAsia="Times New Roman" w:hAnsi="ITC Avant Garde" w:cs="Arial"/>
          <w:sz w:val="18"/>
          <w:szCs w:val="18"/>
          <w:lang w:val="es-ES" w:eastAsia="es-ES"/>
        </w:rPr>
        <w:t>.</w:t>
      </w:r>
    </w:p>
  </w:footnote>
  <w:footnote w:id="54">
    <w:p w:rsidR="00820D16" w:rsidRPr="00776A41" w:rsidRDefault="00820D16">
      <w:pPr>
        <w:pStyle w:val="Textonotapie"/>
        <w:rPr>
          <w:rFonts w:ascii="ITC Avant Garde" w:hAnsi="ITC Avant Garde"/>
          <w:sz w:val="18"/>
          <w:szCs w:val="18"/>
        </w:rPr>
      </w:pPr>
      <w:r w:rsidRPr="00776A41">
        <w:rPr>
          <w:rStyle w:val="Refdenotaalpie"/>
          <w:rFonts w:ascii="ITC Avant Garde" w:hAnsi="ITC Avant Garde"/>
          <w:sz w:val="18"/>
          <w:szCs w:val="18"/>
        </w:rPr>
        <w:footnoteRef/>
      </w:r>
      <w:r w:rsidRPr="00776A41">
        <w:rPr>
          <w:rFonts w:ascii="ITC Avant Garde" w:hAnsi="ITC Avant Garde"/>
          <w:sz w:val="18"/>
          <w:szCs w:val="18"/>
        </w:rPr>
        <w:t xml:space="preserve"> Por sus siglas en inglés</w:t>
      </w:r>
      <w:r>
        <w:rPr>
          <w:rFonts w:ascii="ITC Avant Garde" w:hAnsi="ITC Avant Garde"/>
          <w:sz w:val="18"/>
          <w:szCs w:val="18"/>
        </w:rPr>
        <w:t>,</w:t>
      </w:r>
      <w:r w:rsidRPr="00776A41">
        <w:rPr>
          <w:rFonts w:ascii="ITC Avant Garde" w:hAnsi="ITC Avant Garde"/>
          <w:sz w:val="18"/>
          <w:szCs w:val="18"/>
        </w:rPr>
        <w:t xml:space="preserve"> Multi-Service Access Node.</w:t>
      </w:r>
    </w:p>
  </w:footnote>
  <w:footnote w:id="55">
    <w:p w:rsidR="00820D16" w:rsidRPr="00B1598A" w:rsidRDefault="00820D16" w:rsidP="002E1156">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Time-Division Multiplexing.</w:t>
      </w:r>
    </w:p>
  </w:footnote>
  <w:footnote w:id="56">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Call Session Control Function.</w:t>
      </w:r>
    </w:p>
  </w:footnote>
  <w:footnote w:id="57">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Home Subscriber Server.</w:t>
      </w:r>
    </w:p>
  </w:footnote>
  <w:footnote w:id="58">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Interconnect Border Controller Function.</w:t>
      </w:r>
    </w:p>
  </w:footnote>
  <w:footnote w:id="59">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Breakout Gateway Control Function.</w:t>
      </w:r>
    </w:p>
  </w:footnote>
  <w:footnote w:id="60">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eastAsia="es-ES"/>
        </w:rPr>
        <w:t>Media Gateway Controller Function</w:t>
      </w:r>
      <w:r w:rsidRPr="004161D1">
        <w:rPr>
          <w:rFonts w:ascii="ITC Avant Garde" w:eastAsia="Times New Roman" w:hAnsi="ITC Avant Garde" w:cs="Arial"/>
          <w:sz w:val="18"/>
          <w:lang w:eastAsia="es-ES"/>
        </w:rPr>
        <w:t>.</w:t>
      </w:r>
    </w:p>
  </w:footnote>
  <w:footnote w:id="61">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hAnsi="ITC Avant Garde"/>
          <w:i/>
          <w:sz w:val="18"/>
        </w:rPr>
        <w:t>Access Gateway Control Function</w:t>
      </w:r>
      <w:r w:rsidRPr="004161D1">
        <w:rPr>
          <w:rFonts w:ascii="ITC Avant Garde" w:hAnsi="ITC Avant Garde"/>
          <w:sz w:val="18"/>
        </w:rPr>
        <w:t>.</w:t>
      </w:r>
    </w:p>
  </w:footnote>
  <w:footnote w:id="62">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eastAsia="es-ES"/>
        </w:rPr>
        <w:t>Media Gateway.</w:t>
      </w:r>
    </w:p>
  </w:footnote>
  <w:footnote w:id="63">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val="es-ES" w:eastAsia="es-ES"/>
        </w:rPr>
        <w:t>Access Gateway.</w:t>
      </w:r>
    </w:p>
  </w:footnote>
  <w:footnote w:id="64">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Broadband Remote Access Server.</w:t>
      </w:r>
    </w:p>
  </w:footnote>
  <w:footnote w:id="65">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w:t>
      </w:r>
      <w:r w:rsidRPr="004161D1">
        <w:rPr>
          <w:rFonts w:ascii="ITC Avant Garde" w:eastAsia="Times New Roman" w:hAnsi="ITC Avant Garde" w:cs="Arial"/>
          <w:i/>
          <w:sz w:val="18"/>
          <w:lang w:val="es-ES" w:eastAsia="es-ES"/>
        </w:rPr>
        <w:t xml:space="preserve"> Session Border Controller.</w:t>
      </w:r>
    </w:p>
  </w:footnote>
  <w:footnote w:id="66">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val="es-ES" w:eastAsia="es-ES"/>
        </w:rPr>
        <w:t>Voicemail System.</w:t>
      </w:r>
    </w:p>
  </w:footnote>
  <w:footnote w:id="67">
    <w:p w:rsidR="00820D16" w:rsidRDefault="00820D16">
      <w:pPr>
        <w:pStyle w:val="Textonotapie"/>
      </w:pPr>
      <w:r w:rsidRPr="004161D1">
        <w:rPr>
          <w:rStyle w:val="Refdenotaalpie"/>
          <w:rFonts w:ascii="ITC Avant Garde" w:hAnsi="ITC Avant Garde"/>
          <w:sz w:val="18"/>
        </w:rPr>
        <w:footnoteRef/>
      </w:r>
      <w:r w:rsidRPr="004161D1">
        <w:rPr>
          <w:rFonts w:ascii="ITC Avant Garde" w:hAnsi="ITC Avant Garde"/>
          <w:sz w:val="18"/>
        </w:rPr>
        <w:t xml:space="preserve"> </w:t>
      </w:r>
      <w:r w:rsidRPr="004161D1">
        <w:rPr>
          <w:rFonts w:ascii="ITC Avant Garde" w:eastAsia="Times New Roman" w:hAnsi="ITC Avant Garde" w:cs="Arial"/>
          <w:sz w:val="18"/>
          <w:szCs w:val="18"/>
          <w:lang w:val="es-ES" w:eastAsia="es-ES"/>
        </w:rPr>
        <w:t xml:space="preserve">Por sus siglas en inglés, </w:t>
      </w:r>
      <w:r w:rsidRPr="004161D1">
        <w:rPr>
          <w:rFonts w:ascii="ITC Avant Garde" w:eastAsia="Times New Roman" w:hAnsi="ITC Avant Garde" w:cs="Arial"/>
          <w:i/>
          <w:sz w:val="18"/>
          <w:szCs w:val="18"/>
          <w:lang w:val="es-ES" w:eastAsia="es-ES"/>
        </w:rPr>
        <w:t>Application Server</w:t>
      </w:r>
      <w:r w:rsidRPr="004161D1">
        <w:rPr>
          <w:rFonts w:ascii="ITC Avant Garde" w:eastAsia="Times New Roman" w:hAnsi="ITC Avant Garde" w:cs="Arial"/>
          <w:sz w:val="18"/>
          <w:szCs w:val="18"/>
          <w:lang w:val="es-ES" w:eastAsia="es-ES"/>
        </w:rPr>
        <w:t>.</w:t>
      </w:r>
    </w:p>
  </w:footnote>
  <w:footnote w:id="68">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eastAsia="es-ES"/>
        </w:rPr>
        <w:t>Domain Name System Server.</w:t>
      </w:r>
    </w:p>
  </w:footnote>
  <w:footnote w:id="69">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hAnsi="ITC Avant Garde"/>
          <w:i/>
          <w:sz w:val="18"/>
        </w:rPr>
        <w:t>Internet Protocol Television</w:t>
      </w:r>
      <w:r w:rsidRPr="004161D1">
        <w:rPr>
          <w:rFonts w:ascii="ITC Avant Garde" w:hAnsi="ITC Avant Garde"/>
          <w:sz w:val="18"/>
        </w:rPr>
        <w:t>.</w:t>
      </w:r>
    </w:p>
  </w:footnote>
  <w:footnote w:id="70">
    <w:p w:rsidR="00820D16" w:rsidRPr="00B1598A" w:rsidRDefault="00820D16" w:rsidP="002E1156">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Por sus siglas en inglés, </w:t>
      </w:r>
      <w:r w:rsidRPr="00B1598A">
        <w:rPr>
          <w:rFonts w:ascii="ITC Avant Garde" w:eastAsia="Times New Roman" w:hAnsi="ITC Avant Garde" w:cs="Arial"/>
          <w:i/>
          <w:iCs/>
          <w:sz w:val="18"/>
          <w:szCs w:val="18"/>
          <w:lang w:val="es-ES" w:eastAsia="es-ES"/>
        </w:rPr>
        <w:t>Internet Protocol Television</w:t>
      </w:r>
      <w:r w:rsidRPr="00B1598A">
        <w:rPr>
          <w:rFonts w:ascii="ITC Avant Garde" w:eastAsia="Times New Roman" w:hAnsi="ITC Avant Garde" w:cs="Arial"/>
          <w:sz w:val="18"/>
          <w:szCs w:val="18"/>
          <w:lang w:val="es-ES" w:eastAsia="es-ES"/>
        </w:rPr>
        <w:t>.</w:t>
      </w:r>
    </w:p>
  </w:footnote>
  <w:footnote w:id="71">
    <w:p w:rsidR="00820D16" w:rsidRPr="00B1598A" w:rsidRDefault="00820D16" w:rsidP="002E1156">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Pr>
          <w:rFonts w:ascii="ITC Avant Garde" w:eastAsia="Times New Roman" w:hAnsi="ITC Avant Garde" w:cs="Arial"/>
          <w:sz w:val="18"/>
          <w:szCs w:val="18"/>
          <w:lang w:val="es-ES" w:eastAsia="es-ES"/>
        </w:rPr>
        <w:t>E</w:t>
      </w:r>
      <w:r w:rsidRPr="00B1598A">
        <w:rPr>
          <w:rFonts w:ascii="ITC Avant Garde" w:eastAsia="Times New Roman" w:hAnsi="ITC Avant Garde" w:cs="Arial"/>
          <w:sz w:val="18"/>
          <w:szCs w:val="18"/>
          <w:lang w:val="es-ES" w:eastAsia="es-ES"/>
        </w:rPr>
        <w:t xml:space="preserve">n caso de que los </w:t>
      </w:r>
      <w:r>
        <w:rPr>
          <w:rFonts w:ascii="ITC Avant Garde" w:eastAsia="Times New Roman" w:hAnsi="ITC Avant Garde" w:cs="Arial"/>
          <w:sz w:val="18"/>
          <w:szCs w:val="18"/>
          <w:lang w:val="es-ES" w:eastAsia="es-ES"/>
        </w:rPr>
        <w:t xml:space="preserve">servicios </w:t>
      </w:r>
      <w:r w:rsidRPr="00B1598A">
        <w:rPr>
          <w:rFonts w:ascii="ITC Avant Garde" w:eastAsia="Times New Roman" w:hAnsi="ITC Avant Garde" w:cs="Arial"/>
          <w:sz w:val="18"/>
          <w:szCs w:val="18"/>
          <w:lang w:val="es-ES" w:eastAsia="es-ES"/>
        </w:rPr>
        <w:t xml:space="preserve">no </w:t>
      </w:r>
      <w:r>
        <w:rPr>
          <w:rFonts w:ascii="ITC Avant Garde" w:eastAsia="Times New Roman" w:hAnsi="ITC Avant Garde" w:cs="Arial"/>
          <w:sz w:val="18"/>
          <w:szCs w:val="18"/>
          <w:lang w:val="es-ES" w:eastAsia="es-ES"/>
        </w:rPr>
        <w:t>fueran</w:t>
      </w:r>
      <w:r w:rsidRPr="00B1598A">
        <w:rPr>
          <w:rFonts w:ascii="ITC Avant Garde" w:eastAsia="Times New Roman" w:hAnsi="ITC Avant Garde" w:cs="Arial"/>
          <w:sz w:val="18"/>
          <w:szCs w:val="18"/>
          <w:lang w:val="es-ES" w:eastAsia="es-ES"/>
        </w:rPr>
        <w:t xml:space="preserve"> prestados por el concesionario</w:t>
      </w:r>
      <w:r>
        <w:rPr>
          <w:rFonts w:ascii="ITC Avant Garde" w:eastAsia="Times New Roman" w:hAnsi="ITC Avant Garde" w:cs="Arial"/>
          <w:sz w:val="18"/>
          <w:szCs w:val="18"/>
          <w:lang w:val="es-ES" w:eastAsia="es-ES"/>
        </w:rPr>
        <w:t xml:space="preserve"> y/ autorizado</w:t>
      </w:r>
      <w:r w:rsidRPr="00B1598A">
        <w:rPr>
          <w:rFonts w:ascii="ITC Avant Garde" w:eastAsia="Times New Roman" w:hAnsi="ITC Avant Garde" w:cs="Arial"/>
          <w:sz w:val="18"/>
          <w:szCs w:val="18"/>
          <w:lang w:val="es-ES" w:eastAsia="es-ES"/>
        </w:rPr>
        <w:t xml:space="preserve"> en el ejercicio para el que se elabora la separación contable, su desagregación no sería necesaria.</w:t>
      </w:r>
    </w:p>
  </w:footnote>
  <w:footnote w:id="72">
    <w:p w:rsidR="00820D16" w:rsidRDefault="00820D16" w:rsidP="002E1156">
      <w:pPr>
        <w:pStyle w:val="Textonotapie"/>
        <w:jc w:val="both"/>
      </w:pPr>
      <w:r>
        <w:rPr>
          <w:rStyle w:val="Refdenotaalpie"/>
        </w:rPr>
        <w:footnoteRef/>
      </w:r>
      <w:r>
        <w:t xml:space="preserve"> </w:t>
      </w:r>
      <w:r w:rsidRPr="00B1598A">
        <w:rPr>
          <w:rFonts w:ascii="ITC Avant Garde" w:eastAsia="Times New Roman" w:hAnsi="ITC Avant Garde" w:cs="Arial"/>
          <w:sz w:val="18"/>
          <w:szCs w:val="18"/>
          <w:lang w:val="es-ES" w:eastAsia="es-ES"/>
        </w:rPr>
        <w:t>Estos servicios deben incluir la totalidad del tráfico de voz saliente cursado por el operador, incluyendo tanto el tráfico por fuera del plan como el tráfico incluido dentro de los planes tarifarios de los clientes</w:t>
      </w:r>
      <w:r>
        <w:rPr>
          <w:rFonts w:ascii="ITC Avant Garde" w:eastAsia="Times New Roman" w:hAnsi="ITC Avant Garde" w:cs="Arial"/>
          <w:sz w:val="18"/>
          <w:szCs w:val="18"/>
          <w:lang w:val="es-ES" w:eastAsia="es-ES"/>
        </w:rPr>
        <w:t>.</w:t>
      </w:r>
    </w:p>
  </w:footnote>
  <w:footnote w:id="73">
    <w:p w:rsidR="00820D16" w:rsidRDefault="00820D16" w:rsidP="002E1156">
      <w:pPr>
        <w:pStyle w:val="Textonotapie"/>
        <w:jc w:val="both"/>
      </w:pPr>
      <w:r>
        <w:rPr>
          <w:rStyle w:val="Refdenotaalpie"/>
        </w:rPr>
        <w:footnoteRef/>
      </w:r>
      <w:r>
        <w:t xml:space="preserve"> </w:t>
      </w:r>
      <w:r w:rsidRPr="00B1598A">
        <w:rPr>
          <w:rFonts w:ascii="ITC Avant Garde" w:eastAsia="Times New Roman" w:hAnsi="ITC Avant Garde" w:cs="Arial"/>
          <w:sz w:val="18"/>
          <w:szCs w:val="18"/>
          <w:lang w:val="es-ES" w:eastAsia="es-ES"/>
        </w:rPr>
        <w:t xml:space="preserve">Estos servicios no incluyen la línea de acceso. Los servicios identificados bajo esta categoría deberán ser desagregados en función de las diferentes velocidades de conexión a </w:t>
      </w:r>
      <w:r>
        <w:rPr>
          <w:rFonts w:ascii="ITC Avant Garde" w:eastAsia="Times New Roman" w:hAnsi="ITC Avant Garde" w:cs="Arial"/>
          <w:sz w:val="18"/>
          <w:szCs w:val="18"/>
          <w:lang w:val="es-ES" w:eastAsia="es-ES"/>
        </w:rPr>
        <w:t>I</w:t>
      </w:r>
      <w:r w:rsidRPr="00B1598A">
        <w:rPr>
          <w:rFonts w:ascii="ITC Avant Garde" w:eastAsia="Times New Roman" w:hAnsi="ITC Avant Garde" w:cs="Arial"/>
          <w:sz w:val="18"/>
          <w:szCs w:val="18"/>
          <w:lang w:val="es-ES" w:eastAsia="es-ES"/>
        </w:rPr>
        <w:t>nternet comercializadas por el concesionario</w:t>
      </w:r>
      <w:r>
        <w:rPr>
          <w:rFonts w:ascii="ITC Avant Garde" w:eastAsia="Times New Roman" w:hAnsi="ITC Avant Garde" w:cs="Arial"/>
          <w:sz w:val="18"/>
          <w:szCs w:val="18"/>
          <w:lang w:val="es-ES" w:eastAsia="es-ES"/>
        </w:rPr>
        <w:t xml:space="preserve"> y/o autorizado</w:t>
      </w:r>
      <w:r w:rsidRPr="00B1598A">
        <w:rPr>
          <w:rFonts w:ascii="ITC Avant Garde" w:eastAsia="Times New Roman" w:hAnsi="ITC Avant Garde" w:cs="Arial"/>
          <w:sz w:val="18"/>
          <w:szCs w:val="18"/>
          <w:lang w:val="es-ES" w:eastAsia="es-ES"/>
        </w:rPr>
        <w:t>.</w:t>
      </w:r>
    </w:p>
  </w:footnote>
  <w:footnote w:id="74">
    <w:p w:rsidR="00820D16" w:rsidRPr="00776A41" w:rsidRDefault="00820D16">
      <w:pPr>
        <w:pStyle w:val="Textonotapie"/>
        <w:rPr>
          <w:rFonts w:ascii="ITC Avant Garde" w:hAnsi="ITC Avant Garde"/>
          <w:sz w:val="18"/>
          <w:szCs w:val="18"/>
        </w:rPr>
      </w:pPr>
      <w:r w:rsidRPr="00DE44B3">
        <w:rPr>
          <w:rStyle w:val="Refdenotaalpie"/>
        </w:rPr>
        <w:footnoteRef/>
      </w:r>
      <w:r w:rsidRPr="00DE44B3">
        <w:t xml:space="preserve"> </w:t>
      </w:r>
      <w:r w:rsidRPr="00776A41">
        <w:rPr>
          <w:rFonts w:ascii="ITC Avant Garde" w:hAnsi="ITC Avant Garde"/>
          <w:sz w:val="18"/>
          <w:szCs w:val="18"/>
        </w:rPr>
        <w:t>Por sus siglas en ingl</w:t>
      </w:r>
      <w:r w:rsidRPr="00DE44B3">
        <w:rPr>
          <w:rFonts w:ascii="ITC Avant Garde" w:hAnsi="ITC Avant Garde"/>
          <w:sz w:val="18"/>
          <w:szCs w:val="18"/>
        </w:rPr>
        <w:t>és</w:t>
      </w:r>
      <w:r w:rsidRPr="00776A41">
        <w:rPr>
          <w:rFonts w:ascii="ITC Avant Garde" w:hAnsi="ITC Avant Garde"/>
          <w:sz w:val="18"/>
          <w:szCs w:val="18"/>
        </w:rPr>
        <w:t>,</w:t>
      </w:r>
      <w:r w:rsidRPr="00DE44B3">
        <w:rPr>
          <w:rFonts w:ascii="ITC Avant Garde" w:hAnsi="ITC Avant Garde"/>
          <w:sz w:val="18"/>
          <w:szCs w:val="18"/>
        </w:rPr>
        <w:t xml:space="preserve"> </w:t>
      </w:r>
      <w:r w:rsidRPr="00776A41">
        <w:rPr>
          <w:rFonts w:ascii="ITC Avant Garde" w:hAnsi="ITC Avant Garde"/>
          <w:i/>
          <w:sz w:val="18"/>
          <w:szCs w:val="18"/>
        </w:rPr>
        <w:t>Digital Suscriber line Technologies</w:t>
      </w:r>
      <w:r w:rsidRPr="00DE44B3">
        <w:rPr>
          <w:rFonts w:ascii="ITC Avant Garde" w:hAnsi="ITC Avant Garde"/>
          <w:sz w:val="18"/>
          <w:szCs w:val="18"/>
        </w:rPr>
        <w:t>.</w:t>
      </w:r>
    </w:p>
  </w:footnote>
  <w:footnote w:id="75">
    <w:p w:rsidR="00820D16" w:rsidRPr="00776A41" w:rsidRDefault="00820D16">
      <w:pPr>
        <w:pStyle w:val="Textonotapie"/>
        <w:rPr>
          <w:rFonts w:ascii="ITC Avant Garde" w:hAnsi="ITC Avant Garde"/>
          <w:sz w:val="18"/>
          <w:szCs w:val="18"/>
        </w:rPr>
      </w:pPr>
      <w:r w:rsidRPr="00DE44B3">
        <w:rPr>
          <w:rStyle w:val="Refdenotaalpie"/>
        </w:rPr>
        <w:footnoteRef/>
      </w:r>
      <w:r w:rsidRPr="00DE44B3">
        <w:t xml:space="preserve"> </w:t>
      </w:r>
      <w:r w:rsidRPr="00776A41">
        <w:rPr>
          <w:rFonts w:ascii="ITC Avant Garde" w:hAnsi="ITC Avant Garde"/>
          <w:sz w:val="18"/>
          <w:szCs w:val="18"/>
        </w:rPr>
        <w:t xml:space="preserve">Por sus siglas en inglés, </w:t>
      </w:r>
      <w:r w:rsidRPr="00776A41">
        <w:rPr>
          <w:rFonts w:ascii="ITC Avant Garde" w:hAnsi="ITC Avant Garde"/>
          <w:i/>
          <w:sz w:val="18"/>
          <w:szCs w:val="18"/>
        </w:rPr>
        <w:t>Fiber to the Home</w:t>
      </w:r>
      <w:r w:rsidRPr="00DE44B3">
        <w:rPr>
          <w:rFonts w:ascii="ITC Avant Garde" w:hAnsi="ITC Avant Garde"/>
          <w:sz w:val="18"/>
          <w:szCs w:val="18"/>
        </w:rPr>
        <w:t>.</w:t>
      </w:r>
    </w:p>
  </w:footnote>
  <w:footnote w:id="76">
    <w:p w:rsidR="00820D16" w:rsidRPr="00B1598A" w:rsidRDefault="00820D16" w:rsidP="00776A4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Wholesale Line Rental</w:t>
      </w:r>
      <w:r w:rsidRPr="00B1598A">
        <w:rPr>
          <w:rFonts w:ascii="ITC Avant Garde" w:eastAsia="Times New Roman" w:hAnsi="ITC Avant Garde" w:cs="Arial"/>
          <w:sz w:val="18"/>
          <w:szCs w:val="18"/>
          <w:lang w:val="es-ES" w:eastAsia="es-ES"/>
        </w:rPr>
        <w:t>.</w:t>
      </w:r>
    </w:p>
  </w:footnote>
  <w:footnote w:id="77">
    <w:p w:rsidR="00820D16" w:rsidRPr="00776A41" w:rsidRDefault="00820D16">
      <w:pPr>
        <w:pStyle w:val="Textonotapie"/>
        <w:rPr>
          <w:rFonts w:ascii="ITC Avant Garde" w:hAnsi="ITC Avant Garde"/>
          <w:sz w:val="18"/>
          <w:szCs w:val="18"/>
        </w:rPr>
      </w:pPr>
      <w:r w:rsidRPr="00DE44B3">
        <w:rPr>
          <w:rStyle w:val="Refdenotaalpie"/>
        </w:rPr>
        <w:footnoteRef/>
      </w:r>
      <w:r w:rsidRPr="00DE44B3">
        <w:t xml:space="preserve"> </w:t>
      </w:r>
      <w:r w:rsidRPr="00776A41">
        <w:rPr>
          <w:rFonts w:ascii="ITC Avant Garde" w:hAnsi="ITC Avant Garde"/>
          <w:sz w:val="18"/>
          <w:szCs w:val="18"/>
        </w:rPr>
        <w:t xml:space="preserve">Por sus siglas en inglés, </w:t>
      </w:r>
      <w:r w:rsidRPr="00776A41">
        <w:rPr>
          <w:rFonts w:ascii="ITC Avant Garde" w:eastAsia="Times New Roman" w:hAnsi="ITC Avant Garde" w:cs="Arial"/>
          <w:i/>
          <w:sz w:val="18"/>
          <w:szCs w:val="18"/>
          <w:lang w:val="es-ES" w:eastAsia="es-ES"/>
        </w:rPr>
        <w:t>Virtual Local Area Networks</w:t>
      </w:r>
      <w:r w:rsidRPr="00DE44B3">
        <w:rPr>
          <w:rFonts w:ascii="ITC Avant Garde" w:eastAsia="Times New Roman" w:hAnsi="ITC Avant Garde" w:cs="Arial"/>
          <w:sz w:val="18"/>
          <w:szCs w:val="18"/>
          <w:lang w:val="es-ES" w:eastAsia="es-ES"/>
        </w:rPr>
        <w:t>.</w:t>
      </w:r>
    </w:p>
  </w:footnote>
  <w:footnote w:id="78">
    <w:p w:rsidR="00820D16" w:rsidRPr="00B1598A" w:rsidRDefault="00820D16" w:rsidP="00776A41">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 la separación contable, las categorías deberán ser desagregadas entre las cuentas correspondientes a ingresos nominales (que refleja el precio de referencia de venta al público, sin descuentos ni subsidios), descuentos y subsidios.</w:t>
      </w:r>
    </w:p>
  </w:footnote>
  <w:footnote w:id="79">
    <w:p w:rsidR="00820D16" w:rsidRPr="00DE44B3" w:rsidRDefault="00820D16" w:rsidP="00FA069E">
      <w:pPr>
        <w:pStyle w:val="Textonotapie"/>
        <w:rPr>
          <w:rFonts w:ascii="ITC Avant Garde" w:hAnsi="ITC Avant Garde"/>
          <w:sz w:val="18"/>
          <w:szCs w:val="18"/>
        </w:rPr>
      </w:pPr>
      <w:r w:rsidRPr="00DE44B3">
        <w:rPr>
          <w:rStyle w:val="Refdenotaalpie"/>
        </w:rPr>
        <w:footnoteRef/>
      </w:r>
      <w:r w:rsidRPr="00DE44B3">
        <w:t xml:space="preserve"> </w:t>
      </w:r>
      <w:r w:rsidRPr="008766D9">
        <w:rPr>
          <w:rFonts w:ascii="ITC Avant Garde" w:hAnsi="ITC Avant Garde"/>
          <w:sz w:val="18"/>
          <w:szCs w:val="18"/>
        </w:rPr>
        <w:t>Por sus siglas en inglés</w:t>
      </w:r>
      <w:r w:rsidRPr="00776A41">
        <w:rPr>
          <w:rFonts w:ascii="ITC Avant Garde" w:hAnsi="ITC Avant Garde"/>
          <w:sz w:val="18"/>
          <w:szCs w:val="18"/>
        </w:rPr>
        <w:t>,</w:t>
      </w:r>
      <w:r w:rsidRPr="008766D9">
        <w:rPr>
          <w:rFonts w:ascii="ITC Avant Garde" w:hAnsi="ITC Avant Garde"/>
          <w:sz w:val="18"/>
          <w:szCs w:val="18"/>
        </w:rPr>
        <w:t xml:space="preserve"> </w:t>
      </w:r>
      <w:r w:rsidRPr="00776A41">
        <w:rPr>
          <w:rFonts w:ascii="ITC Avant Garde" w:hAnsi="ITC Avant Garde"/>
          <w:i/>
          <w:sz w:val="18"/>
          <w:szCs w:val="18"/>
        </w:rPr>
        <w:t>Mobile Switching Center</w:t>
      </w:r>
      <w:r w:rsidRPr="00DE44B3">
        <w:rPr>
          <w:rFonts w:ascii="ITC Avant Garde" w:hAnsi="ITC Avant Garde"/>
          <w:sz w:val="18"/>
          <w:szCs w:val="18"/>
        </w:rPr>
        <w:t xml:space="preserve">. </w:t>
      </w:r>
    </w:p>
  </w:footnote>
  <w:footnote w:id="80">
    <w:p w:rsidR="00820D16" w:rsidRPr="00776A41" w:rsidRDefault="00820D16">
      <w:pPr>
        <w:pStyle w:val="Textonotapie"/>
        <w:rPr>
          <w:rFonts w:ascii="ITC Avant Garde" w:hAnsi="ITC Avant Garde"/>
          <w:sz w:val="18"/>
          <w:szCs w:val="18"/>
        </w:rPr>
      </w:pPr>
      <w:r w:rsidRPr="00DE44B3">
        <w:rPr>
          <w:rStyle w:val="Refdenotaalpie"/>
        </w:rPr>
        <w:footnoteRef/>
      </w:r>
      <w:r w:rsidRPr="00DE44B3">
        <w:t xml:space="preserve"> </w:t>
      </w:r>
      <w:r w:rsidRPr="00776A41">
        <w:rPr>
          <w:rFonts w:ascii="ITC Avant Garde" w:hAnsi="ITC Avant Garde"/>
          <w:sz w:val="18"/>
          <w:szCs w:val="18"/>
        </w:rPr>
        <w:t xml:space="preserve">Por sus siglas en inglés, </w:t>
      </w:r>
      <w:r w:rsidRPr="00776A41">
        <w:rPr>
          <w:rFonts w:ascii="ITC Avant Garde" w:hAnsi="ITC Avant Garde"/>
          <w:i/>
          <w:sz w:val="18"/>
          <w:szCs w:val="18"/>
        </w:rPr>
        <w:t>Gateway GPRS Support Node.</w:t>
      </w:r>
    </w:p>
  </w:footnote>
  <w:footnote w:id="81">
    <w:p w:rsidR="00820D16" w:rsidRPr="00B1598A" w:rsidRDefault="00820D16" w:rsidP="00776A41">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 </w:t>
      </w:r>
      <w:r w:rsidRPr="00B1598A">
        <w:rPr>
          <w:rFonts w:ascii="ITC Avant Garde" w:hAnsi="ITC Avant Garde"/>
          <w:i/>
          <w:iCs/>
          <w:sz w:val="18"/>
          <w:szCs w:val="18"/>
        </w:rPr>
        <w:t>Base Transceiver Station.</w:t>
      </w:r>
    </w:p>
  </w:footnote>
  <w:footnote w:id="82">
    <w:p w:rsidR="00820D16" w:rsidRPr="00B1598A" w:rsidRDefault="00820D16" w:rsidP="00776A41">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w:t>
      </w:r>
      <w:r w:rsidRPr="00B1598A">
        <w:rPr>
          <w:rFonts w:ascii="ITC Avant Garde" w:hAnsi="ITC Avant Garde"/>
          <w:i/>
          <w:iCs/>
          <w:sz w:val="18"/>
          <w:szCs w:val="18"/>
        </w:rPr>
        <w:t>, Base Station Controller.</w:t>
      </w:r>
    </w:p>
  </w:footnote>
  <w:footnote w:id="83">
    <w:p w:rsidR="00820D16" w:rsidRPr="0052094D" w:rsidRDefault="00820D16" w:rsidP="00776A41">
      <w:pPr>
        <w:pStyle w:val="Textonotapie"/>
        <w:jc w:val="both"/>
        <w:rPr>
          <w:rFonts w:ascii="ITC Avant Garde Gothic" w:hAnsi="ITC Avant Garde Gothic"/>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 </w:t>
      </w:r>
      <w:r w:rsidRPr="00B1598A">
        <w:rPr>
          <w:rFonts w:ascii="ITC Avant Garde" w:hAnsi="ITC Avant Garde"/>
          <w:i/>
          <w:iCs/>
          <w:sz w:val="18"/>
          <w:szCs w:val="18"/>
        </w:rPr>
        <w:t>Radio Network Controller.</w:t>
      </w:r>
    </w:p>
  </w:footnote>
  <w:footnote w:id="84">
    <w:p w:rsidR="00820D16" w:rsidRPr="003A6427" w:rsidRDefault="00820D16" w:rsidP="00A41EF7">
      <w:pPr>
        <w:pStyle w:val="Textonotapie"/>
        <w:rPr>
          <w:rFonts w:ascii="ITC Avant Garde" w:hAnsi="ITC Avant Garde"/>
        </w:rPr>
      </w:pPr>
      <w:r w:rsidRPr="003A6427">
        <w:rPr>
          <w:rStyle w:val="Refdenotaalpie"/>
          <w:rFonts w:ascii="ITC Avant Garde" w:hAnsi="ITC Avant Garde"/>
          <w:sz w:val="18"/>
        </w:rPr>
        <w:footnoteRef/>
      </w:r>
      <w:r w:rsidRPr="003A6427">
        <w:rPr>
          <w:rFonts w:ascii="ITC Avant Garde" w:hAnsi="ITC Avant Garde"/>
          <w:sz w:val="18"/>
        </w:rPr>
        <w:t xml:space="preserve"> Por sus siglas en inglés, </w:t>
      </w:r>
      <w:r w:rsidRPr="002B6C9A">
        <w:rPr>
          <w:rFonts w:ascii="ITC Avant Garde" w:eastAsia="Times New Roman" w:hAnsi="ITC Avant Garde" w:cs="Arial"/>
          <w:i/>
          <w:sz w:val="18"/>
          <w:lang w:eastAsia="es-ES"/>
        </w:rPr>
        <w:t>Media Gateway.</w:t>
      </w:r>
    </w:p>
  </w:footnote>
  <w:footnote w:id="85">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Mobile Switching Centre Server.</w:t>
      </w:r>
    </w:p>
  </w:footnote>
  <w:footnote w:id="86">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Short Message Service Centre.</w:t>
      </w:r>
    </w:p>
  </w:footnote>
  <w:footnote w:id="87">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Multimedia Messaging Service Centre.</w:t>
      </w:r>
    </w:p>
  </w:footnote>
  <w:footnote w:id="88">
    <w:p w:rsidR="00820D16" w:rsidRPr="00AD5E14" w:rsidRDefault="00820D16" w:rsidP="00890233">
      <w:pPr>
        <w:pStyle w:val="Textonotapie"/>
        <w:rPr>
          <w:rFonts w:ascii="ITC Avant Garde" w:hAnsi="ITC Avant Garde"/>
          <w:sz w:val="18"/>
          <w:szCs w:val="18"/>
        </w:rPr>
      </w:pPr>
      <w:r w:rsidRPr="00AD5E14">
        <w:rPr>
          <w:rStyle w:val="Refdenotaalpie"/>
          <w:rFonts w:ascii="ITC Avant Garde" w:hAnsi="ITC Avant Garde"/>
          <w:sz w:val="18"/>
          <w:szCs w:val="18"/>
        </w:rPr>
        <w:footnoteRef/>
      </w:r>
      <w:r w:rsidRPr="005F100D">
        <w:rPr>
          <w:rFonts w:ascii="ITC Avant Garde" w:hAnsi="ITC Avant Garde"/>
          <w:sz w:val="18"/>
          <w:szCs w:val="18"/>
        </w:rPr>
        <w:t xml:space="preserve"> Por sus siglas en inglés</w:t>
      </w:r>
      <w:r w:rsidRPr="00C05829">
        <w:rPr>
          <w:rFonts w:ascii="ITC Avant Garde" w:hAnsi="ITC Avant Garde"/>
          <w:sz w:val="18"/>
          <w:szCs w:val="18"/>
        </w:rPr>
        <w:t>,</w:t>
      </w:r>
      <w:r w:rsidRPr="00040EEA">
        <w:rPr>
          <w:rFonts w:ascii="ITC Avant Garde" w:hAnsi="ITC Avant Garde"/>
          <w:sz w:val="18"/>
          <w:szCs w:val="18"/>
        </w:rPr>
        <w:t xml:space="preserve"> </w:t>
      </w:r>
      <w:r w:rsidRPr="002B6C9A">
        <w:rPr>
          <w:rFonts w:ascii="ITC Avant Garde" w:eastAsia="Times New Roman" w:hAnsi="ITC Avant Garde" w:cs="Arial"/>
          <w:i/>
          <w:sz w:val="18"/>
          <w:szCs w:val="18"/>
          <w:lang w:eastAsia="es-ES"/>
        </w:rPr>
        <w:t>GPRS Gateway Support Node.</w:t>
      </w:r>
    </w:p>
  </w:footnote>
  <w:footnote w:id="89">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eastAsia="es-ES"/>
        </w:rPr>
        <w:t>Serving GPRS Support Node.</w:t>
      </w:r>
    </w:p>
  </w:footnote>
  <w:footnote w:id="90">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val="es-ES" w:eastAsia="es-ES"/>
        </w:rPr>
        <w:t>Home Location Register.</w:t>
      </w:r>
    </w:p>
  </w:footnote>
  <w:footnote w:id="91">
    <w:p w:rsidR="00820D16" w:rsidRPr="002B6C9A" w:rsidRDefault="00820D16">
      <w:pPr>
        <w:pStyle w:val="Textonotapie"/>
        <w:rPr>
          <w:rFonts w:ascii="ITC Avant Garde" w:hAnsi="ITC Avant Garde"/>
          <w:sz w:val="18"/>
          <w:szCs w:val="18"/>
        </w:rPr>
      </w:pPr>
      <w:r w:rsidRPr="002B6C9A">
        <w:rPr>
          <w:rStyle w:val="Refdenotaalpie"/>
          <w:rFonts w:ascii="ITC Avant Garde" w:hAnsi="ITC Avant Garde"/>
          <w:sz w:val="18"/>
          <w:szCs w:val="18"/>
        </w:rPr>
        <w:footnoteRef/>
      </w:r>
      <w:r w:rsidRPr="002B6C9A">
        <w:rPr>
          <w:rFonts w:ascii="ITC Avant Garde" w:hAnsi="ITC Avant Garde"/>
          <w:sz w:val="18"/>
          <w:szCs w:val="18"/>
        </w:rPr>
        <w:t xml:space="preserve"> Por sus siglas en inglés, </w:t>
      </w:r>
      <w:r w:rsidRPr="002B6C9A">
        <w:rPr>
          <w:rFonts w:ascii="ITC Avant Garde" w:eastAsia="Times New Roman" w:hAnsi="ITC Avant Garde" w:cs="Arial"/>
          <w:i/>
          <w:sz w:val="18"/>
          <w:szCs w:val="18"/>
          <w:lang w:val="es-ES" w:eastAsia="es-ES"/>
        </w:rPr>
        <w:t>Mobile Management Entity.</w:t>
      </w:r>
    </w:p>
  </w:footnote>
  <w:footnote w:id="92">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eastAsia="Times New Roman" w:hAnsi="ITC Avant Garde" w:cs="Arial"/>
          <w:i/>
          <w:sz w:val="18"/>
          <w:lang w:val="es-ES" w:eastAsia="es-ES"/>
        </w:rPr>
        <w:t>Serving Gateway.</w:t>
      </w:r>
    </w:p>
  </w:footnote>
  <w:footnote w:id="93">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w:t>
      </w:r>
      <w:r w:rsidRPr="00AD5E14">
        <w:rPr>
          <w:rFonts w:ascii="ITC Avant Garde" w:hAnsi="ITC Avant Garde"/>
          <w:sz w:val="18"/>
        </w:rPr>
        <w:t>Por</w:t>
      </w:r>
      <w:r w:rsidRPr="004161D1">
        <w:rPr>
          <w:rFonts w:ascii="ITC Avant Garde" w:hAnsi="ITC Avant Garde"/>
          <w:sz w:val="18"/>
        </w:rPr>
        <w:t xml:space="preserve"> sus siglas en inglés, </w:t>
      </w:r>
      <w:r w:rsidRPr="004161D1">
        <w:rPr>
          <w:rFonts w:ascii="ITC Avant Garde" w:eastAsia="Times New Roman" w:hAnsi="ITC Avant Garde" w:cs="Arial"/>
          <w:i/>
          <w:sz w:val="18"/>
          <w:lang w:eastAsia="es-ES"/>
        </w:rPr>
        <w:t>Packet Data Network Gateway.</w:t>
      </w:r>
    </w:p>
  </w:footnote>
  <w:footnote w:id="94">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eastAsia="es-ES"/>
        </w:rPr>
        <w:t>Policy and Charging Rules Function.</w:t>
      </w:r>
    </w:p>
  </w:footnote>
  <w:footnote w:id="95">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eastAsia="es-ES"/>
        </w:rPr>
        <w:t>Call Session Control Function.</w:t>
      </w:r>
    </w:p>
  </w:footnote>
  <w:footnote w:id="96">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val="es-ES" w:eastAsia="es-ES"/>
        </w:rPr>
        <w:t>Session Border Controller.</w:t>
      </w:r>
    </w:p>
  </w:footnote>
  <w:footnote w:id="97">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val="es-ES" w:eastAsia="es-ES"/>
        </w:rPr>
        <w:t>Voicemail System.</w:t>
      </w:r>
    </w:p>
  </w:footnote>
  <w:footnote w:id="98">
    <w:p w:rsidR="00820D16" w:rsidRPr="004161D1"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val="es-ES" w:eastAsia="es-ES"/>
        </w:rPr>
        <w:t>IP Multimedia Subsystem.</w:t>
      </w:r>
    </w:p>
  </w:footnote>
  <w:footnote w:id="99">
    <w:p w:rsidR="00820D16" w:rsidRPr="002B6C9A" w:rsidRDefault="00820D16">
      <w:pPr>
        <w:pStyle w:val="Textonotapie"/>
        <w:rPr>
          <w:rFonts w:ascii="ITC Avant Garde" w:hAnsi="ITC Avant Garde"/>
        </w:rPr>
      </w:pPr>
      <w:r w:rsidRPr="004161D1">
        <w:rPr>
          <w:rStyle w:val="Refdenotaalpie"/>
          <w:rFonts w:ascii="ITC Avant Garde" w:hAnsi="ITC Avant Garde"/>
          <w:sz w:val="18"/>
        </w:rPr>
        <w:footnoteRef/>
      </w:r>
      <w:r w:rsidRPr="004161D1">
        <w:rPr>
          <w:rFonts w:ascii="ITC Avant Garde" w:hAnsi="ITC Avant Garde"/>
          <w:sz w:val="18"/>
        </w:rPr>
        <w:t xml:space="preserve"> Por sus siglas en inglés, </w:t>
      </w:r>
      <w:r w:rsidRPr="004161D1">
        <w:rPr>
          <w:rFonts w:ascii="ITC Avant Garde" w:eastAsia="Times New Roman" w:hAnsi="ITC Avant Garde" w:cs="Arial"/>
          <w:i/>
          <w:sz w:val="18"/>
          <w:lang w:val="es-ES" w:eastAsia="es-ES"/>
        </w:rPr>
        <w:t>Home Subscriber Server.</w:t>
      </w:r>
    </w:p>
  </w:footnote>
  <w:footnote w:id="100">
    <w:p w:rsidR="00820D16" w:rsidRPr="00B1598A" w:rsidRDefault="00820D16" w:rsidP="002E1156">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Pr>
          <w:rFonts w:ascii="ITC Avant Garde" w:eastAsia="Times New Roman" w:hAnsi="ITC Avant Garde" w:cs="Arial"/>
          <w:sz w:val="18"/>
          <w:szCs w:val="18"/>
          <w:lang w:val="es-ES" w:eastAsia="es-ES"/>
        </w:rPr>
        <w:t>E</w:t>
      </w:r>
      <w:r w:rsidRPr="00B1598A">
        <w:rPr>
          <w:rFonts w:ascii="ITC Avant Garde" w:eastAsia="Times New Roman" w:hAnsi="ITC Avant Garde" w:cs="Arial"/>
          <w:sz w:val="18"/>
          <w:szCs w:val="18"/>
          <w:lang w:val="es-ES" w:eastAsia="es-ES"/>
        </w:rPr>
        <w:t xml:space="preserve">n caso de que los mismos no </w:t>
      </w:r>
      <w:r>
        <w:rPr>
          <w:rFonts w:ascii="ITC Avant Garde" w:eastAsia="Times New Roman" w:hAnsi="ITC Avant Garde" w:cs="Arial"/>
          <w:sz w:val="18"/>
          <w:szCs w:val="18"/>
          <w:lang w:val="es-ES" w:eastAsia="es-ES"/>
        </w:rPr>
        <w:t>fueran</w:t>
      </w:r>
      <w:r w:rsidRPr="00B1598A">
        <w:rPr>
          <w:rFonts w:ascii="ITC Avant Garde" w:eastAsia="Times New Roman" w:hAnsi="ITC Avant Garde" w:cs="Arial"/>
          <w:sz w:val="18"/>
          <w:szCs w:val="18"/>
          <w:lang w:val="es-ES" w:eastAsia="es-ES"/>
        </w:rPr>
        <w:t xml:space="preserve"> prestados por el </w:t>
      </w:r>
      <w:r>
        <w:rPr>
          <w:rFonts w:ascii="ITC Avant Garde" w:eastAsia="Times New Roman" w:hAnsi="ITC Avant Garde" w:cs="Arial"/>
          <w:bCs/>
          <w:sz w:val="18"/>
          <w:szCs w:val="18"/>
          <w:lang w:eastAsia="es-ES"/>
        </w:rPr>
        <w:t>concesionario</w:t>
      </w:r>
      <w:r w:rsidRPr="00277D1C">
        <w:rPr>
          <w:rFonts w:ascii="ITC Avant Garde" w:eastAsia="Times New Roman" w:hAnsi="ITC Avant Garde" w:cs="Arial"/>
          <w:bCs/>
          <w:sz w:val="18"/>
          <w:szCs w:val="18"/>
          <w:lang w:eastAsia="es-ES"/>
        </w:rPr>
        <w:t xml:space="preserve"> </w:t>
      </w:r>
      <w:r>
        <w:rPr>
          <w:rFonts w:ascii="ITC Avant Garde" w:eastAsia="Times New Roman" w:hAnsi="ITC Avant Garde" w:cs="Arial"/>
          <w:bCs/>
          <w:sz w:val="18"/>
          <w:szCs w:val="18"/>
          <w:lang w:eastAsia="es-ES"/>
        </w:rPr>
        <w:t>y/o autorizado</w:t>
      </w:r>
      <w:r w:rsidRPr="00B1598A">
        <w:rPr>
          <w:rFonts w:ascii="ITC Avant Garde" w:eastAsia="Times New Roman" w:hAnsi="ITC Avant Garde" w:cs="Arial"/>
          <w:sz w:val="18"/>
          <w:szCs w:val="18"/>
          <w:lang w:val="es-ES" w:eastAsia="es-ES"/>
        </w:rPr>
        <w:t xml:space="preserve"> en el ejercicio para el que se elabora la separación contable, su desagregación no sería necesaria.</w:t>
      </w:r>
    </w:p>
  </w:footnote>
  <w:footnote w:id="101">
    <w:p w:rsidR="00820D16" w:rsidRPr="00776A41" w:rsidRDefault="00820D16">
      <w:pPr>
        <w:pStyle w:val="Textonotapie"/>
        <w:rPr>
          <w:rFonts w:ascii="ITC Avant Garde" w:hAnsi="ITC Avant Garde"/>
          <w:sz w:val="18"/>
          <w:szCs w:val="18"/>
        </w:rPr>
      </w:pPr>
      <w:r w:rsidRPr="00776A41">
        <w:rPr>
          <w:rStyle w:val="Refdenotaalpie"/>
          <w:rFonts w:ascii="ITC Avant Garde" w:hAnsi="ITC Avant Garde"/>
          <w:sz w:val="18"/>
          <w:szCs w:val="18"/>
        </w:rPr>
        <w:footnoteRef/>
      </w:r>
      <w:r w:rsidRPr="00776A41">
        <w:rPr>
          <w:rFonts w:ascii="ITC Avant Garde" w:hAnsi="ITC Avant Garde"/>
          <w:sz w:val="18"/>
          <w:szCs w:val="18"/>
        </w:rPr>
        <w:t xml:space="preserve"> Por sus siglas en inglés, </w:t>
      </w:r>
      <w:r w:rsidRPr="00776A41">
        <w:rPr>
          <w:rFonts w:ascii="ITC Avant Garde" w:hAnsi="ITC Avant Garde"/>
          <w:i/>
          <w:sz w:val="18"/>
          <w:szCs w:val="18"/>
        </w:rPr>
        <w:t>Short Message Service</w:t>
      </w:r>
      <w:r w:rsidRPr="00776A41">
        <w:rPr>
          <w:rFonts w:ascii="ITC Avant Garde" w:hAnsi="ITC Avant Garde"/>
          <w:sz w:val="18"/>
          <w:szCs w:val="18"/>
        </w:rPr>
        <w:t>.</w:t>
      </w:r>
    </w:p>
  </w:footnote>
  <w:footnote w:id="102">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Con el fin de mejorar la transparencia de la separación contable, las categorías deben ser desagregadas entre las cuentas correspondientes a ingresos nominales (que refleja el precio de referencia de venta al público, sin descuentos ni subsidios), descuentos y subsidios.</w:t>
      </w:r>
    </w:p>
  </w:footnote>
  <w:footnote w:id="103">
    <w:p w:rsidR="00820D16" w:rsidRPr="00B1598A" w:rsidRDefault="00820D16" w:rsidP="00776A41">
      <w:pPr>
        <w:pStyle w:val="Textonotapie"/>
        <w:jc w:val="both"/>
        <w:rPr>
          <w:rFonts w:ascii="ITC Avant Garde" w:hAnsi="ITC Avant Garde"/>
          <w:i/>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Por</w:t>
      </w:r>
      <w:r w:rsidRPr="00B1598A">
        <w:rPr>
          <w:rFonts w:ascii="ITC Avant Garde" w:hAnsi="ITC Avant Garde"/>
          <w:sz w:val="18"/>
          <w:szCs w:val="18"/>
        </w:rPr>
        <w:t xml:space="preserve"> sus siglas en inglés, </w:t>
      </w:r>
      <w:r w:rsidRPr="00B1598A">
        <w:rPr>
          <w:rFonts w:ascii="ITC Avant Garde" w:hAnsi="ITC Avant Garde"/>
          <w:i/>
          <w:sz w:val="18"/>
          <w:szCs w:val="18"/>
        </w:rPr>
        <w:t>Cable Modem Termination System.</w:t>
      </w:r>
    </w:p>
  </w:footnote>
  <w:footnote w:id="104">
    <w:p w:rsidR="00820D16" w:rsidRPr="0052094D" w:rsidRDefault="00820D16" w:rsidP="002E1156">
      <w:pPr>
        <w:pStyle w:val="Textonotapie"/>
        <w:jc w:val="both"/>
        <w:rPr>
          <w:rFonts w:ascii="ITC Avant Garde Gothic" w:hAnsi="ITC Avant Garde Gothic"/>
          <w:i/>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Por</w:t>
      </w:r>
      <w:r w:rsidRPr="00B1598A">
        <w:rPr>
          <w:rFonts w:ascii="ITC Avant Garde" w:hAnsi="ITC Avant Garde"/>
          <w:sz w:val="18"/>
          <w:szCs w:val="18"/>
        </w:rPr>
        <w:t xml:space="preserve"> sus siglas en inglés, </w:t>
      </w:r>
      <w:r w:rsidRPr="00B1598A">
        <w:rPr>
          <w:rFonts w:ascii="ITC Avant Garde" w:hAnsi="ITC Avant Garde"/>
          <w:i/>
          <w:sz w:val="18"/>
          <w:szCs w:val="18"/>
        </w:rPr>
        <w:t>Community Antenna Television</w:t>
      </w:r>
      <w:r>
        <w:rPr>
          <w:rFonts w:ascii="ITC Avant Garde" w:hAnsi="ITC Avant Garde"/>
          <w:i/>
          <w:sz w:val="18"/>
          <w:szCs w:val="18"/>
        </w:rPr>
        <w:t xml:space="preserve"> Platforms</w:t>
      </w:r>
      <w:r w:rsidRPr="00B1598A">
        <w:rPr>
          <w:rFonts w:ascii="ITC Avant Garde" w:hAnsi="ITC Avant Garde"/>
          <w:i/>
          <w:sz w:val="18"/>
          <w:szCs w:val="18"/>
        </w:rPr>
        <w:t>.</w:t>
      </w:r>
    </w:p>
  </w:footnote>
  <w:footnote w:id="105">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hAnsi="ITC Avant Garde"/>
          <w:i/>
          <w:sz w:val="18"/>
        </w:rPr>
        <w:t>Video on Demand Server</w:t>
      </w:r>
      <w:r w:rsidRPr="002B6C9A">
        <w:rPr>
          <w:rFonts w:ascii="ITC Avant Garde" w:hAnsi="ITC Avant Garde"/>
          <w:sz w:val="18"/>
        </w:rPr>
        <w:t>.</w:t>
      </w:r>
    </w:p>
  </w:footnote>
  <w:footnote w:id="106">
    <w:p w:rsidR="00820D16" w:rsidRPr="00B1598A" w:rsidRDefault="00820D16" w:rsidP="002E1156">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Pr>
          <w:rFonts w:ascii="ITC Avant Garde" w:eastAsia="Times New Roman" w:hAnsi="ITC Avant Garde" w:cs="Arial"/>
          <w:sz w:val="18"/>
          <w:szCs w:val="18"/>
          <w:lang w:val="es-ES" w:eastAsia="es-ES"/>
        </w:rPr>
        <w:t>E</w:t>
      </w:r>
      <w:r w:rsidRPr="00B1598A">
        <w:rPr>
          <w:rFonts w:ascii="ITC Avant Garde" w:eastAsia="Times New Roman" w:hAnsi="ITC Avant Garde" w:cs="Arial"/>
          <w:sz w:val="18"/>
          <w:szCs w:val="18"/>
          <w:lang w:val="es-ES" w:eastAsia="es-ES"/>
        </w:rPr>
        <w:t xml:space="preserve">n caso de que los mismos no </w:t>
      </w:r>
      <w:r>
        <w:rPr>
          <w:rFonts w:ascii="ITC Avant Garde" w:eastAsia="Times New Roman" w:hAnsi="ITC Avant Garde" w:cs="Arial"/>
          <w:sz w:val="18"/>
          <w:szCs w:val="18"/>
          <w:lang w:val="es-ES" w:eastAsia="es-ES"/>
        </w:rPr>
        <w:t>fueran</w:t>
      </w:r>
      <w:r w:rsidRPr="00B1598A">
        <w:rPr>
          <w:rFonts w:ascii="ITC Avant Garde" w:eastAsia="Times New Roman" w:hAnsi="ITC Avant Garde" w:cs="Arial"/>
          <w:sz w:val="18"/>
          <w:szCs w:val="18"/>
          <w:lang w:val="es-ES" w:eastAsia="es-ES"/>
        </w:rPr>
        <w:t xml:space="preserve"> prestados </w:t>
      </w:r>
      <w:r w:rsidRPr="00DE44B3">
        <w:rPr>
          <w:rFonts w:ascii="ITC Avant Garde" w:eastAsia="Times New Roman" w:hAnsi="ITC Avant Garde" w:cs="Arial"/>
          <w:sz w:val="18"/>
          <w:szCs w:val="18"/>
          <w:lang w:val="es-ES" w:eastAsia="es-ES"/>
        </w:rPr>
        <w:t xml:space="preserve">por el </w:t>
      </w:r>
      <w:r w:rsidRPr="00DE44B3">
        <w:rPr>
          <w:rFonts w:ascii="ITC Avant Garde" w:eastAsia="Times New Roman" w:hAnsi="ITC Avant Garde" w:cs="Arial"/>
          <w:bCs/>
          <w:sz w:val="18"/>
          <w:szCs w:val="18"/>
          <w:lang w:eastAsia="es-ES"/>
        </w:rPr>
        <w:t>concesionario y/o autorizado</w:t>
      </w:r>
      <w:r w:rsidRPr="00FA301F">
        <w:rPr>
          <w:rFonts w:ascii="ITC Avant Garde" w:eastAsia="Times New Roman" w:hAnsi="ITC Avant Garde" w:cs="Arial"/>
          <w:sz w:val="18"/>
          <w:szCs w:val="18"/>
          <w:lang w:val="es-ES" w:eastAsia="es-ES"/>
        </w:rPr>
        <w:t xml:space="preserve"> en el ejercicio para el que se elabora la separación contable, su desagregación no sería necesaria.</w:t>
      </w:r>
    </w:p>
  </w:footnote>
  <w:footnote w:id="107">
    <w:p w:rsidR="00820D16" w:rsidRPr="00B1598A" w:rsidRDefault="00820D16" w:rsidP="002E1156">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del sistema de la separación contable, las categorías deberán ser desagregadas entre las cuentas correspondientes a ingresos nominales (que refleja el precio de referencia de venta al público, sin descuentos ni subsidios), descuentos y subsidios.</w:t>
      </w:r>
    </w:p>
  </w:footnote>
  <w:footnote w:id="108">
    <w:p w:rsidR="00820D16" w:rsidRPr="002B6C9A" w:rsidRDefault="00820D16">
      <w:pPr>
        <w:pStyle w:val="Textonotapie"/>
        <w:rPr>
          <w:rFonts w:ascii="ITC Avant Garde" w:hAnsi="ITC Avant Garde"/>
        </w:rPr>
      </w:pPr>
      <w:r w:rsidRPr="002B6C9A">
        <w:rPr>
          <w:rStyle w:val="Refdenotaalpie"/>
          <w:rFonts w:ascii="ITC Avant Garde" w:hAnsi="ITC Avant Garde"/>
          <w:sz w:val="18"/>
        </w:rPr>
        <w:footnoteRef/>
      </w:r>
      <w:r w:rsidRPr="002B6C9A">
        <w:rPr>
          <w:rFonts w:ascii="ITC Avant Garde" w:hAnsi="ITC Avant Garde"/>
          <w:sz w:val="18"/>
        </w:rPr>
        <w:t xml:space="preserve"> Por sus siglas en inglés, </w:t>
      </w:r>
      <w:r w:rsidRPr="002B6C9A">
        <w:rPr>
          <w:rFonts w:ascii="ITC Avant Garde" w:hAnsi="ITC Avant Garde"/>
          <w:i/>
          <w:sz w:val="18"/>
        </w:rPr>
        <w:t>Cable Modem Termination System</w:t>
      </w:r>
      <w:r w:rsidRPr="002B6C9A">
        <w:rPr>
          <w:rFonts w:ascii="ITC Avant Garde" w:hAnsi="ITC Avant Garde"/>
          <w:sz w:val="18"/>
        </w:rPr>
        <w:t>.</w:t>
      </w:r>
    </w:p>
  </w:footnote>
  <w:footnote w:id="109">
    <w:p w:rsidR="00820D16" w:rsidRPr="00B1598A" w:rsidRDefault="00820D16" w:rsidP="002E1156">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Pr>
          <w:rFonts w:ascii="ITC Avant Garde" w:eastAsia="Times New Roman" w:hAnsi="ITC Avant Garde" w:cs="Arial"/>
          <w:sz w:val="18"/>
          <w:szCs w:val="18"/>
          <w:lang w:val="es-ES" w:eastAsia="es-ES"/>
        </w:rPr>
        <w:t>E</w:t>
      </w:r>
      <w:r w:rsidRPr="00B1598A">
        <w:rPr>
          <w:rFonts w:ascii="ITC Avant Garde" w:eastAsia="Times New Roman" w:hAnsi="ITC Avant Garde" w:cs="Arial"/>
          <w:sz w:val="18"/>
          <w:szCs w:val="18"/>
          <w:lang w:val="es-ES" w:eastAsia="es-ES"/>
        </w:rPr>
        <w:t xml:space="preserve">n caso de que los mismos no </w:t>
      </w:r>
      <w:r>
        <w:rPr>
          <w:rFonts w:ascii="ITC Avant Garde" w:eastAsia="Times New Roman" w:hAnsi="ITC Avant Garde" w:cs="Arial"/>
          <w:sz w:val="18"/>
          <w:szCs w:val="18"/>
          <w:lang w:val="es-ES" w:eastAsia="es-ES"/>
        </w:rPr>
        <w:t>fueran</w:t>
      </w:r>
      <w:r w:rsidRPr="00B1598A">
        <w:rPr>
          <w:rFonts w:ascii="ITC Avant Garde" w:eastAsia="Times New Roman" w:hAnsi="ITC Avant Garde" w:cs="Arial"/>
          <w:sz w:val="18"/>
          <w:szCs w:val="18"/>
          <w:lang w:val="es-ES" w:eastAsia="es-ES"/>
        </w:rPr>
        <w:t xml:space="preserve"> prestados </w:t>
      </w:r>
      <w:r w:rsidRPr="00DE44B3">
        <w:rPr>
          <w:rFonts w:ascii="ITC Avant Garde" w:eastAsia="Times New Roman" w:hAnsi="ITC Avant Garde" w:cs="Arial"/>
          <w:sz w:val="18"/>
          <w:szCs w:val="18"/>
          <w:lang w:val="es-ES" w:eastAsia="es-ES"/>
        </w:rPr>
        <w:t xml:space="preserve">por el </w:t>
      </w:r>
      <w:r w:rsidRPr="008766D9">
        <w:rPr>
          <w:rFonts w:ascii="ITC Avant Garde" w:eastAsia="Times New Roman" w:hAnsi="ITC Avant Garde" w:cs="Arial"/>
          <w:bCs/>
          <w:sz w:val="18"/>
          <w:szCs w:val="18"/>
          <w:lang w:eastAsia="es-ES"/>
        </w:rPr>
        <w:t>concesionario y/o autorizado</w:t>
      </w:r>
      <w:r w:rsidRPr="007937F7">
        <w:rPr>
          <w:rFonts w:ascii="ITC Avant Garde" w:eastAsia="Times New Roman" w:hAnsi="ITC Avant Garde" w:cs="Arial"/>
          <w:sz w:val="18"/>
          <w:szCs w:val="18"/>
          <w:lang w:val="es-ES" w:eastAsia="es-ES"/>
        </w:rPr>
        <w:t xml:space="preserve"> en el ejercicio</w:t>
      </w:r>
      <w:r w:rsidRPr="00B1598A">
        <w:rPr>
          <w:rFonts w:ascii="ITC Avant Garde" w:eastAsia="Times New Roman" w:hAnsi="ITC Avant Garde" w:cs="Arial"/>
          <w:sz w:val="18"/>
          <w:szCs w:val="18"/>
          <w:lang w:val="es-ES" w:eastAsia="es-ES"/>
        </w:rPr>
        <w:t xml:space="preserve"> para el que se elabora la separación contable, su desagregación no sería necesaria.</w:t>
      </w:r>
    </w:p>
  </w:footnote>
  <w:footnote w:id="110">
    <w:p w:rsidR="00820D16" w:rsidRPr="00B1598A" w:rsidRDefault="00820D16" w:rsidP="002E1156">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Ejercicio </w:t>
      </w:r>
      <w:r w:rsidR="00283081">
        <w:rPr>
          <w:rFonts w:ascii="ITC Avant Garde" w:hAnsi="ITC Avant Garde"/>
          <w:sz w:val="18"/>
          <w:szCs w:val="18"/>
        </w:rPr>
        <w:t>correspondiente al año fiscal anterior</w:t>
      </w:r>
      <w:r w:rsidRPr="00B1598A">
        <w:rPr>
          <w:rFonts w:ascii="ITC Avant Garde" w:hAnsi="ITC Avant Garde"/>
          <w:sz w:val="18"/>
          <w:szCs w:val="18"/>
        </w:rPr>
        <w:t xml:space="preserve"> a la entrega de la separación contable.</w:t>
      </w:r>
    </w:p>
  </w:footnote>
  <w:footnote w:id="111">
    <w:p w:rsidR="00820D16" w:rsidRPr="00011E07" w:rsidRDefault="00820D16" w:rsidP="002E1156">
      <w:pPr>
        <w:pStyle w:val="Textonotapie"/>
        <w:jc w:val="both"/>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Ejercicio </w:t>
      </w:r>
      <w:r w:rsidR="00283081">
        <w:rPr>
          <w:rFonts w:ascii="ITC Avant Garde" w:hAnsi="ITC Avant Garde"/>
          <w:sz w:val="18"/>
          <w:szCs w:val="18"/>
        </w:rPr>
        <w:t>correspondiente al año fiscal anterior a N</w:t>
      </w:r>
      <w:r w:rsidRPr="00B1598A">
        <w:rPr>
          <w:rFonts w:ascii="ITC Avant Garde" w:hAnsi="ITC Avant Garde"/>
          <w:sz w:val="18"/>
          <w:szCs w:val="18"/>
        </w:rPr>
        <w:t>.</w:t>
      </w:r>
    </w:p>
  </w:footnote>
  <w:footnote w:id="112">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Obtenido como el producto del capital promedio empleado por el WACC (ver </w:t>
      </w:r>
      <w:r>
        <w:rPr>
          <w:rFonts w:ascii="ITC Avant Garde" w:eastAsia="Times New Roman" w:hAnsi="ITC Avant Garde" w:cs="Arial"/>
          <w:sz w:val="18"/>
          <w:szCs w:val="18"/>
          <w:lang w:val="es-ES" w:eastAsia="es-ES"/>
        </w:rPr>
        <w:t xml:space="preserve">la disposición </w:t>
      </w:r>
      <w:r w:rsidRPr="00DE44B3">
        <w:rPr>
          <w:rFonts w:ascii="ITC Avant Garde" w:eastAsia="Times New Roman" w:hAnsi="ITC Avant Garde" w:cs="Arial"/>
          <w:sz w:val="18"/>
          <w:szCs w:val="18"/>
          <w:lang w:val="es-ES" w:eastAsia="es-ES"/>
        </w:rPr>
        <w:t xml:space="preserve">OCTAVA </w:t>
      </w:r>
      <w:r w:rsidRPr="008766D9">
        <w:rPr>
          <w:rFonts w:ascii="ITC Avant Garde" w:eastAsia="Times New Roman" w:hAnsi="ITC Avant Garde" w:cs="Arial"/>
          <w:sz w:val="18"/>
          <w:szCs w:val="18"/>
          <w:lang w:val="es-ES" w:eastAsia="es-ES"/>
        </w:rPr>
        <w:t>de</w:t>
      </w:r>
      <w:r>
        <w:rPr>
          <w:rFonts w:ascii="ITC Avant Garde" w:eastAsia="Times New Roman" w:hAnsi="ITC Avant Garde" w:cs="Arial"/>
          <w:sz w:val="18"/>
          <w:szCs w:val="18"/>
          <w:lang w:val="es-ES" w:eastAsia="es-ES"/>
        </w:rPr>
        <w:t xml:space="preserve"> la metodología</w:t>
      </w:r>
      <w:r w:rsidRPr="0003203D">
        <w:rPr>
          <w:rFonts w:ascii="ITC Avant Garde" w:eastAsia="Times New Roman" w:hAnsi="ITC Avant Garde" w:cs="Arial"/>
          <w:sz w:val="18"/>
          <w:szCs w:val="18"/>
          <w:lang w:val="es-ES" w:eastAsia="es-ES"/>
        </w:rPr>
        <w:t>).</w:t>
      </w:r>
    </w:p>
  </w:footnote>
  <w:footnote w:id="113">
    <w:p w:rsidR="00820D16" w:rsidRPr="00B1598A" w:rsidRDefault="00820D16" w:rsidP="002E1156">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Obtenido </w:t>
      </w:r>
      <w:r w:rsidRPr="00DE44B3">
        <w:rPr>
          <w:rFonts w:ascii="ITC Avant Garde" w:eastAsia="Times New Roman" w:hAnsi="ITC Avant Garde" w:cs="Arial"/>
          <w:sz w:val="18"/>
          <w:szCs w:val="18"/>
          <w:lang w:val="es-ES" w:eastAsia="es-ES"/>
        </w:rPr>
        <w:t>como el producto del capital promedio empleado por el WACC (ver la disposición OC</w:t>
      </w:r>
      <w:r w:rsidRPr="008766D9">
        <w:rPr>
          <w:rFonts w:ascii="ITC Avant Garde" w:eastAsia="Times New Roman" w:hAnsi="ITC Avant Garde" w:cs="Arial"/>
          <w:sz w:val="18"/>
          <w:szCs w:val="18"/>
          <w:lang w:val="es-ES" w:eastAsia="es-ES"/>
        </w:rPr>
        <w:t xml:space="preserve">TAVA </w:t>
      </w:r>
      <w:r w:rsidRPr="007937F7">
        <w:rPr>
          <w:rFonts w:ascii="ITC Avant Garde" w:eastAsia="Times New Roman" w:hAnsi="ITC Avant Garde" w:cs="Arial"/>
          <w:sz w:val="18"/>
          <w:szCs w:val="18"/>
          <w:lang w:val="es-ES" w:eastAsia="es-ES"/>
        </w:rPr>
        <w:t>de</w:t>
      </w:r>
      <w:r>
        <w:rPr>
          <w:rFonts w:ascii="ITC Avant Garde" w:eastAsia="Times New Roman" w:hAnsi="ITC Avant Garde" w:cs="Arial"/>
          <w:sz w:val="18"/>
          <w:szCs w:val="18"/>
          <w:lang w:val="es-ES" w:eastAsia="es-ES"/>
        </w:rPr>
        <w:t xml:space="preserve"> la metodología</w:t>
      </w:r>
      <w:r w:rsidRPr="0003203D">
        <w:rPr>
          <w:rFonts w:ascii="ITC Avant Garde" w:eastAsia="Times New Roman" w:hAnsi="ITC Avant Garde" w:cs="Arial"/>
          <w:sz w:val="18"/>
          <w:szCs w:val="18"/>
          <w:lang w:val="es-ES" w:eastAsia="es-ES"/>
        </w:rPr>
        <w:t>).</w:t>
      </w:r>
    </w:p>
  </w:footnote>
  <w:footnote w:id="114">
    <w:p w:rsidR="00820D16" w:rsidRPr="00B1598A" w:rsidRDefault="00820D16" w:rsidP="002E1156">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Rendimiento sobre Capital Empleado (ROCE</w:t>
      </w:r>
      <w:r>
        <w:rPr>
          <w:rFonts w:ascii="ITC Avant Garde" w:eastAsia="Times New Roman" w:hAnsi="ITC Avant Garde" w:cs="Arial"/>
          <w:sz w:val="18"/>
          <w:szCs w:val="18"/>
          <w:lang w:val="es-ES" w:eastAsia="es-ES"/>
        </w:rPr>
        <w:t>, por sus siglas</w:t>
      </w:r>
      <w:r w:rsidRPr="00B1598A">
        <w:rPr>
          <w:rFonts w:ascii="ITC Avant Garde" w:eastAsia="Times New Roman" w:hAnsi="ITC Avant Garde" w:cs="Arial"/>
          <w:sz w:val="18"/>
          <w:szCs w:val="18"/>
          <w:lang w:val="es-ES" w:eastAsia="es-ES"/>
        </w:rPr>
        <w:t xml:space="preserve"> en inglés)</w:t>
      </w:r>
      <w:r>
        <w:rPr>
          <w:rFonts w:ascii="ITC Avant Garde" w:eastAsia="Times New Roman" w:hAnsi="ITC Avant Garde" w:cs="Arial"/>
          <w:sz w:val="18"/>
          <w:szCs w:val="18"/>
          <w:lang w:val="es-ES" w:eastAsia="es-ES"/>
        </w:rPr>
        <w:t>.</w:t>
      </w:r>
    </w:p>
  </w:footnote>
  <w:footnote w:id="115">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Estos servicios deben incluir la totalidad del tráfico de voz saliente cursado por el operador, incluyendo tanto el tráfico por fuera del plan como el tráfico incluido dentro de los planes tarifarios de los clientes</w:t>
      </w:r>
      <w:r>
        <w:rPr>
          <w:rFonts w:ascii="ITC Avant Garde" w:eastAsia="Times New Roman" w:hAnsi="ITC Avant Garde" w:cs="Arial"/>
          <w:sz w:val="18"/>
          <w:szCs w:val="18"/>
          <w:lang w:val="es-ES" w:eastAsia="es-ES"/>
        </w:rPr>
        <w:t>.</w:t>
      </w:r>
    </w:p>
  </w:footnote>
  <w:footnote w:id="116">
    <w:p w:rsidR="00820D16" w:rsidRPr="00B1598A" w:rsidRDefault="00820D16" w:rsidP="002E1156">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Las categorías de ingresos y de costos presentadas en </w:t>
      </w:r>
      <w:r>
        <w:rPr>
          <w:rFonts w:ascii="ITC Avant Garde" w:eastAsia="Times New Roman" w:hAnsi="ITC Avant Garde" w:cs="Arial"/>
          <w:sz w:val="18"/>
          <w:szCs w:val="18"/>
          <w:lang w:val="es-ES" w:eastAsia="es-ES"/>
        </w:rPr>
        <w:t>la</w:t>
      </w:r>
      <w:r w:rsidRPr="00B1598A">
        <w:rPr>
          <w:rFonts w:ascii="ITC Avant Garde" w:eastAsia="Times New Roman" w:hAnsi="ITC Avant Garde" w:cs="Arial"/>
          <w:sz w:val="18"/>
          <w:szCs w:val="18"/>
          <w:lang w:val="es-ES" w:eastAsia="es-ES"/>
        </w:rPr>
        <w:t xml:space="preserve"> tabla deberán corresponder con aquellas que figuran en la cuenta de pérdidas y ganancias publicada por el operador en sus Estados Financieros. Por ejemplo, en ingresos: servicio local, interconexión, datos, etc. (en telecomunicaciones fijas) y en costos: costos de venta y servicios, comerciales, interconexión, depreciación y amortización, e</w:t>
      </w:r>
      <w:r>
        <w:rPr>
          <w:rFonts w:ascii="ITC Avant Garde" w:eastAsia="Times New Roman" w:hAnsi="ITC Avant Garde" w:cs="Arial"/>
          <w:sz w:val="18"/>
          <w:szCs w:val="18"/>
          <w:lang w:val="es-ES" w:eastAsia="es-ES"/>
        </w:rPr>
        <w:t>ntre otros</w:t>
      </w:r>
      <w:r w:rsidRPr="00B1598A">
        <w:rPr>
          <w:rFonts w:ascii="ITC Avant Garde" w:eastAsia="Times New Roman" w:hAnsi="ITC Avant Garde" w:cs="Arial"/>
          <w:sz w:val="18"/>
          <w:szCs w:val="18"/>
          <w:lang w:val="es-ES" w:eastAsia="es-ES"/>
        </w:rPr>
        <w:t>.</w:t>
      </w:r>
    </w:p>
  </w:footnote>
  <w:footnote w:id="117">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Las cuentas de ingresos por naturaleza deberán corresponder con el nivel de desagregación mínimo indicado por el Instituto </w:t>
      </w:r>
      <w:r w:rsidRPr="00DE44B3">
        <w:rPr>
          <w:rFonts w:ascii="ITC Avant Garde" w:eastAsia="Times New Roman" w:hAnsi="ITC Avant Garde" w:cs="Arial"/>
          <w:sz w:val="18"/>
          <w:szCs w:val="18"/>
          <w:lang w:val="es-ES" w:eastAsia="es-ES"/>
        </w:rPr>
        <w:t xml:space="preserve">en </w:t>
      </w:r>
      <w:r w:rsidRPr="008766D9">
        <w:rPr>
          <w:rFonts w:ascii="ITC Avant Garde" w:eastAsia="Times New Roman" w:hAnsi="ITC Avant Garde" w:cs="Arial"/>
          <w:sz w:val="18"/>
          <w:szCs w:val="18"/>
          <w:lang w:val="es-ES" w:eastAsia="es-ES"/>
        </w:rPr>
        <w:t>e</w:t>
      </w:r>
      <w:r w:rsidRPr="007937F7">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18">
    <w:p w:rsidR="00820D16" w:rsidRPr="00B1598A" w:rsidRDefault="00820D16" w:rsidP="002E1156">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naturaleza deberán corresponder con el nivel de desagregación mínimo indicado por el Instituto </w:t>
      </w:r>
      <w:r w:rsidRPr="00DE44B3">
        <w:rPr>
          <w:rFonts w:ascii="ITC Avant Garde" w:eastAsia="Times New Roman" w:hAnsi="ITC Avant Garde" w:cs="Arial"/>
          <w:sz w:val="18"/>
          <w:szCs w:val="18"/>
          <w:lang w:val="es-ES" w:eastAsia="es-ES"/>
        </w:rPr>
        <w:t>en e</w:t>
      </w:r>
      <w:r w:rsidRPr="008766D9">
        <w:rPr>
          <w:rFonts w:ascii="ITC Avant Garde" w:eastAsia="Times New Roman" w:hAnsi="ITC Avant Garde" w:cs="Arial"/>
          <w:sz w:val="18"/>
          <w:szCs w:val="18"/>
          <w:lang w:val="es-ES" w:eastAsia="es-ES"/>
        </w:rPr>
        <w:t>l</w:t>
      </w:r>
      <w:r w:rsidRPr="0003203D">
        <w:rPr>
          <w:rFonts w:ascii="ITC Avant Garde" w:eastAsia="Times New Roman" w:hAnsi="ITC Avant Garde" w:cs="Arial"/>
          <w:sz w:val="18"/>
          <w:szCs w:val="18"/>
          <w:lang w:val="es-ES" w:eastAsia="es-ES"/>
        </w:rPr>
        <w:t xml:space="preserve"> APARTADO I.</w:t>
      </w:r>
    </w:p>
  </w:footnote>
  <w:footnote w:id="119">
    <w:p w:rsidR="00820D16" w:rsidRPr="00B1598A" w:rsidRDefault="00820D16" w:rsidP="002E1156">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w:t>
      </w:r>
      <w:r w:rsidRPr="00DE44B3">
        <w:rPr>
          <w:rFonts w:ascii="ITC Avant Garde" w:eastAsia="Times New Roman" w:hAnsi="ITC Avant Garde" w:cs="Arial"/>
          <w:sz w:val="18"/>
          <w:szCs w:val="18"/>
          <w:lang w:val="es-ES" w:eastAsia="es-ES"/>
        </w:rPr>
        <w:t>empleado de Nivel 1 deberán corresponder con el nivel de desagregación mínimo indicado por el Instituto en e</w:t>
      </w:r>
      <w:r w:rsidRPr="008766D9">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0">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w:t>
      </w:r>
      <w:r w:rsidRPr="00DE44B3">
        <w:rPr>
          <w:rFonts w:ascii="ITC Avant Garde" w:eastAsia="Times New Roman" w:hAnsi="ITC Avant Garde" w:cs="Arial"/>
          <w:sz w:val="18"/>
          <w:szCs w:val="18"/>
          <w:lang w:val="es-ES" w:eastAsia="es-ES"/>
        </w:rPr>
        <w:t xml:space="preserve">naturaleza deberán corresponder con el nivel de desagregación mínimo indicado por el Instituto en </w:t>
      </w:r>
      <w:r w:rsidRPr="008766D9">
        <w:rPr>
          <w:rFonts w:ascii="ITC Avant Garde" w:eastAsia="Times New Roman" w:hAnsi="ITC Avant Garde" w:cs="Arial"/>
          <w:sz w:val="18"/>
          <w:szCs w:val="18"/>
          <w:lang w:val="es-ES" w:eastAsia="es-ES"/>
        </w:rPr>
        <w:t>e</w:t>
      </w:r>
      <w:r w:rsidRPr="007937F7">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1">
    <w:p w:rsidR="00820D16" w:rsidRPr="0052094D" w:rsidRDefault="00820D16" w:rsidP="002E1156">
      <w:pPr>
        <w:pStyle w:val="Textonotapie"/>
        <w:jc w:val="both"/>
        <w:rPr>
          <w:rFonts w:ascii="ITC Avant Garde Gothic" w:eastAsia="Times New Roman" w:hAnsi="ITC Avant Garde Gothic" w:cs="Arial"/>
          <w:sz w:val="18"/>
          <w:szCs w:val="18"/>
          <w:lang w:val="es-ES" w:eastAsia="es-ES"/>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cuentas de costos por actividades y elementos de red deberán corresponder con el nivel de desagregación mínimo indicado por el Instituto en </w:t>
      </w:r>
      <w:r w:rsidRPr="007937F7">
        <w:rPr>
          <w:rFonts w:ascii="ITC Avant Garde" w:eastAsia="Times New Roman" w:hAnsi="ITC Avant Garde" w:cs="Arial"/>
          <w:sz w:val="18"/>
          <w:szCs w:val="18"/>
          <w:lang w:val="es-ES" w:eastAsia="es-ES"/>
        </w:rPr>
        <w:t>e</w:t>
      </w:r>
      <w:r w:rsidRPr="00FA301F">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2">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w:t>
      </w:r>
      <w:r w:rsidRPr="00DE44B3">
        <w:rPr>
          <w:rFonts w:ascii="ITC Avant Garde" w:eastAsia="Times New Roman" w:hAnsi="ITC Avant Garde" w:cs="Arial"/>
          <w:sz w:val="18"/>
          <w:szCs w:val="18"/>
          <w:lang w:val="es-ES" w:eastAsia="es-ES"/>
        </w:rPr>
        <w:t xml:space="preserve">empleado por naturaleza deberán corresponder con el nivel de desagregación mínimo indicado por el Instituto en </w:t>
      </w:r>
      <w:r w:rsidRPr="008766D9">
        <w:rPr>
          <w:rFonts w:ascii="ITC Avant Garde" w:eastAsia="Times New Roman" w:hAnsi="ITC Avant Garde" w:cs="Arial"/>
          <w:sz w:val="18"/>
          <w:szCs w:val="18"/>
          <w:lang w:val="es-ES" w:eastAsia="es-ES"/>
        </w:rPr>
        <w:t>e</w:t>
      </w:r>
      <w:r w:rsidRPr="007937F7">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3">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cuentas de capital empleado por actividades y elementos de red deberán corresponder con el nivel de desagregación mínimo indicado por </w:t>
      </w:r>
      <w:r w:rsidRPr="007937F7">
        <w:rPr>
          <w:rFonts w:ascii="ITC Avant Garde" w:eastAsia="Times New Roman" w:hAnsi="ITC Avant Garde" w:cs="Arial"/>
          <w:sz w:val="18"/>
          <w:szCs w:val="18"/>
          <w:lang w:val="es-ES" w:eastAsia="es-ES"/>
        </w:rPr>
        <w:t xml:space="preserve">el Instituto en </w:t>
      </w:r>
      <w:r w:rsidRPr="00FA301F">
        <w:rPr>
          <w:rFonts w:ascii="ITC Avant Garde" w:eastAsia="Times New Roman" w:hAnsi="ITC Avant Garde" w:cs="Arial"/>
          <w:sz w:val="18"/>
          <w:szCs w:val="18"/>
          <w:lang w:val="es-ES" w:eastAsia="es-ES"/>
        </w:rPr>
        <w:t xml:space="preserve">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4">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cuentas de ingresos por naturaleza deberán corresponder con el nivel de desagregación mínimo indicado por el Instituto en </w:t>
      </w:r>
      <w:r w:rsidRPr="007937F7">
        <w:rPr>
          <w:rFonts w:ascii="ITC Avant Garde" w:eastAsia="Times New Roman" w:hAnsi="ITC Avant Garde" w:cs="Arial"/>
          <w:sz w:val="18"/>
          <w:szCs w:val="18"/>
          <w:lang w:val="es-ES" w:eastAsia="es-ES"/>
        </w:rPr>
        <w:t>e</w:t>
      </w:r>
      <w:r w:rsidRPr="00FA301F">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5">
    <w:p w:rsidR="00820D16" w:rsidRPr="0052094D" w:rsidRDefault="00820D16" w:rsidP="002E1156">
      <w:pPr>
        <w:pStyle w:val="Textonotapie"/>
        <w:jc w:val="both"/>
        <w:rPr>
          <w:rFonts w:ascii="ITC Avant Garde Gothic" w:hAnsi="ITC Avant Garde Gothic"/>
          <w:sz w:val="18"/>
          <w:szCs w:val="18"/>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cuentas de servicios deberán corresponder con el nivel de desagregación míni</w:t>
      </w:r>
      <w:r w:rsidRPr="007937F7">
        <w:rPr>
          <w:rFonts w:ascii="ITC Avant Garde" w:eastAsia="Times New Roman" w:hAnsi="ITC Avant Garde" w:cs="Arial"/>
          <w:sz w:val="18"/>
          <w:szCs w:val="18"/>
          <w:lang w:val="es-ES" w:eastAsia="es-ES"/>
        </w:rPr>
        <w:t xml:space="preserve">mo indicado por el Instituto en </w:t>
      </w:r>
      <w:r w:rsidRPr="00FA301F">
        <w:rPr>
          <w:rFonts w:ascii="ITC Avant Garde" w:eastAsia="Times New Roman" w:hAnsi="ITC Avant Garde" w:cs="Arial"/>
          <w:sz w:val="18"/>
          <w:szCs w:val="18"/>
          <w:lang w:val="es-ES" w:eastAsia="es-ES"/>
        </w:rPr>
        <w:t xml:space="preserve">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6">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w:t>
      </w:r>
      <w:r w:rsidRPr="00DE44B3">
        <w:rPr>
          <w:rFonts w:ascii="ITC Avant Garde" w:eastAsia="Times New Roman" w:hAnsi="ITC Avant Garde" w:cs="Arial"/>
          <w:sz w:val="18"/>
          <w:szCs w:val="18"/>
          <w:lang w:val="es-ES" w:eastAsia="es-ES"/>
        </w:rPr>
        <w:t>actividad y elementos de red deberán corresponder con el nivel de desagregación mínimo indicado por el Instituto en e</w:t>
      </w:r>
      <w:r w:rsidRPr="008766D9">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7">
    <w:p w:rsidR="00820D16" w:rsidRPr="0052094D" w:rsidRDefault="00820D16" w:rsidP="002E1156">
      <w:pPr>
        <w:pStyle w:val="Textonotapie"/>
        <w:jc w:val="both"/>
        <w:rPr>
          <w:rFonts w:ascii="ITC Avant Garde Gothic" w:eastAsia="Times New Roman" w:hAnsi="ITC Avant Garde Gothic" w:cs="Arial"/>
          <w:sz w:val="18"/>
          <w:szCs w:val="18"/>
          <w:lang w:val="es-ES" w:eastAsia="es-ES"/>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cuentas de servicios minoristas deberán corr</w:t>
      </w:r>
      <w:r w:rsidRPr="007937F7">
        <w:rPr>
          <w:rFonts w:ascii="ITC Avant Garde" w:eastAsia="Times New Roman" w:hAnsi="ITC Avant Garde" w:cs="Arial"/>
          <w:sz w:val="18"/>
          <w:szCs w:val="18"/>
          <w:lang w:val="es-ES" w:eastAsia="es-ES"/>
        </w:rPr>
        <w:t xml:space="preserve">esponder con el nivel de desagregación mínimo indicado por el Instituto en </w:t>
      </w:r>
      <w:r w:rsidRPr="00FA301F">
        <w:rPr>
          <w:rFonts w:ascii="ITC Avant Garde" w:eastAsia="Times New Roman" w:hAnsi="ITC Avant Garde" w:cs="Arial"/>
          <w:sz w:val="18"/>
          <w:szCs w:val="18"/>
          <w:lang w:val="es-ES" w:eastAsia="es-ES"/>
        </w:rPr>
        <w:t xml:space="preserve">el </w:t>
      </w:r>
      <w:r w:rsidRPr="00776A41">
        <w:rPr>
          <w:rFonts w:ascii="ITC Avant Garde" w:eastAsia="Times New Roman" w:hAnsi="ITC Avant Garde" w:cs="Arial"/>
          <w:sz w:val="18"/>
          <w:szCs w:val="18"/>
          <w:lang w:val="es-ES" w:eastAsia="es-ES"/>
        </w:rPr>
        <w:t>APARTADO I</w:t>
      </w:r>
      <w:r w:rsidRPr="00B1598A">
        <w:rPr>
          <w:rFonts w:ascii="ITC Avant Garde" w:eastAsia="Times New Roman" w:hAnsi="ITC Avant Garde" w:cs="Arial"/>
          <w:sz w:val="18"/>
          <w:szCs w:val="18"/>
          <w:lang w:val="es-ES" w:eastAsia="es-ES"/>
        </w:rPr>
        <w:t>.</w:t>
      </w:r>
    </w:p>
  </w:footnote>
  <w:footnote w:id="128">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w:t>
      </w:r>
      <w:r w:rsidRPr="00DE44B3">
        <w:rPr>
          <w:rFonts w:ascii="ITC Avant Garde" w:eastAsia="Times New Roman" w:hAnsi="ITC Avant Garde" w:cs="Arial"/>
          <w:sz w:val="18"/>
          <w:szCs w:val="18"/>
          <w:lang w:val="es-ES" w:eastAsia="es-ES"/>
        </w:rPr>
        <w:t>actividad y elementos de red deberán corresponder con el nivel de desagregación mínimo indicado por el Instituto en e</w:t>
      </w:r>
      <w:r w:rsidRPr="008766D9">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29">
    <w:p w:rsidR="00820D16" w:rsidRPr="0052094D" w:rsidRDefault="00820D16" w:rsidP="002E1156">
      <w:pPr>
        <w:pStyle w:val="Textonotapie"/>
        <w:jc w:val="both"/>
        <w:rPr>
          <w:rFonts w:ascii="ITC Avant Garde Gothic" w:hAnsi="ITC Avant Garde Gothic"/>
          <w:sz w:val="18"/>
          <w:szCs w:val="18"/>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w:t>
      </w:r>
      <w:r w:rsidRPr="007937F7">
        <w:rPr>
          <w:rFonts w:ascii="ITC Avant Garde" w:eastAsia="Times New Roman" w:hAnsi="ITC Avant Garde" w:cs="Arial"/>
          <w:sz w:val="18"/>
          <w:szCs w:val="18"/>
          <w:lang w:val="es-ES" w:eastAsia="es-ES"/>
        </w:rPr>
        <w:t xml:space="preserve">uentas de servicios mayoristas deberán corresponder con el nivel de desagregación mínimo indicado por el Instituto en </w:t>
      </w:r>
      <w:r w:rsidRPr="00FA301F">
        <w:rPr>
          <w:rFonts w:ascii="ITC Avant Garde" w:eastAsia="Times New Roman" w:hAnsi="ITC Avant Garde" w:cs="Arial"/>
          <w:sz w:val="18"/>
          <w:szCs w:val="18"/>
          <w:lang w:val="es-ES" w:eastAsia="es-ES"/>
        </w:rPr>
        <w:t xml:space="preserve">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30">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 y elementos de red deberán corresponder con el nivel de desagregación </w:t>
      </w:r>
      <w:r w:rsidRPr="00DE44B3">
        <w:rPr>
          <w:rFonts w:ascii="ITC Avant Garde" w:eastAsia="Times New Roman" w:hAnsi="ITC Avant Garde" w:cs="Arial"/>
          <w:sz w:val="18"/>
          <w:szCs w:val="18"/>
          <w:lang w:val="es-ES" w:eastAsia="es-ES"/>
        </w:rPr>
        <w:t xml:space="preserve">mínimo indicado por el Instituto en </w:t>
      </w:r>
      <w:r w:rsidRPr="008766D9">
        <w:rPr>
          <w:rFonts w:ascii="ITC Avant Garde" w:eastAsia="Times New Roman" w:hAnsi="ITC Avant Garde" w:cs="Arial"/>
          <w:sz w:val="18"/>
          <w:szCs w:val="18"/>
          <w:lang w:val="es-ES" w:eastAsia="es-ES"/>
        </w:rPr>
        <w:t>e</w:t>
      </w:r>
      <w:r w:rsidRPr="007937F7">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31">
    <w:p w:rsidR="00820D16" w:rsidRPr="0052094D" w:rsidRDefault="00820D16" w:rsidP="002E1156">
      <w:pPr>
        <w:pStyle w:val="Textonotapie"/>
        <w:jc w:val="both"/>
        <w:rPr>
          <w:rFonts w:ascii="ITC Avant Garde Gothic" w:eastAsia="Times New Roman" w:hAnsi="ITC Avant Garde Gothic" w:cs="Arial"/>
          <w:sz w:val="18"/>
          <w:szCs w:val="18"/>
          <w:lang w:val="es-ES" w:eastAsia="es-ES"/>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cuentas de servicios minoristas deberán corresponder con el nivel de desagregación mínimo indicado por el Instituto en </w:t>
      </w:r>
      <w:r w:rsidRPr="007937F7">
        <w:rPr>
          <w:rFonts w:ascii="ITC Avant Garde" w:eastAsia="Times New Roman" w:hAnsi="ITC Avant Garde" w:cs="Arial"/>
          <w:sz w:val="18"/>
          <w:szCs w:val="18"/>
          <w:lang w:val="es-ES" w:eastAsia="es-ES"/>
        </w:rPr>
        <w:t>e</w:t>
      </w:r>
      <w:r w:rsidRPr="00FA301F">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 xml:space="preserve">APARTADO </w:t>
      </w:r>
      <w:r w:rsidRPr="007B7DE9">
        <w:rPr>
          <w:rFonts w:ascii="ITC Avant Garde" w:eastAsia="Times New Roman" w:hAnsi="ITC Avant Garde" w:cs="Arial"/>
          <w:sz w:val="18"/>
          <w:szCs w:val="18"/>
          <w:highlight w:val="cyan"/>
          <w:lang w:val="es-ES" w:eastAsia="es-ES"/>
        </w:rPr>
        <w:t>I</w:t>
      </w:r>
      <w:r w:rsidRPr="00B1598A">
        <w:rPr>
          <w:rFonts w:ascii="ITC Avant Garde" w:eastAsia="Times New Roman" w:hAnsi="ITC Avant Garde" w:cs="Arial"/>
          <w:sz w:val="18"/>
          <w:szCs w:val="18"/>
          <w:lang w:val="es-ES" w:eastAsia="es-ES"/>
        </w:rPr>
        <w:t>.</w:t>
      </w:r>
    </w:p>
  </w:footnote>
  <w:footnote w:id="132">
    <w:p w:rsidR="00820D16" w:rsidRPr="00DE44B3"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 y elementos de red deberán corresponder con el nivel de desagregación mínimo indicado por el </w:t>
      </w:r>
      <w:r w:rsidRPr="00DE44B3">
        <w:rPr>
          <w:rFonts w:ascii="ITC Avant Garde" w:eastAsia="Times New Roman" w:hAnsi="ITC Avant Garde" w:cs="Arial"/>
          <w:sz w:val="18"/>
          <w:szCs w:val="18"/>
          <w:lang w:val="es-ES" w:eastAsia="es-ES"/>
        </w:rPr>
        <w:t>Instituto en e</w:t>
      </w:r>
      <w:r w:rsidRPr="008766D9">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33">
    <w:p w:rsidR="00820D16" w:rsidRPr="0052094D" w:rsidRDefault="00820D16" w:rsidP="002E1156">
      <w:pPr>
        <w:pStyle w:val="Textonotapie"/>
        <w:jc w:val="both"/>
        <w:rPr>
          <w:rFonts w:ascii="ITC Avant Garde Gothic" w:hAnsi="ITC Avant Garde Gothic"/>
          <w:sz w:val="18"/>
          <w:szCs w:val="18"/>
        </w:rPr>
      </w:pPr>
      <w:r w:rsidRPr="00DE44B3">
        <w:rPr>
          <w:rFonts w:ascii="ITC Avant Garde" w:eastAsia="Times New Roman" w:hAnsi="ITC Avant Garde" w:cs="Arial"/>
          <w:sz w:val="18"/>
          <w:szCs w:val="18"/>
          <w:vertAlign w:val="superscript"/>
          <w:lang w:val="es-ES" w:eastAsia="es-ES"/>
        </w:rPr>
        <w:footnoteRef/>
      </w:r>
      <w:r w:rsidRPr="008766D9">
        <w:rPr>
          <w:rFonts w:ascii="ITC Avant Garde" w:eastAsia="Times New Roman" w:hAnsi="ITC Avant Garde" w:cs="Arial"/>
          <w:sz w:val="18"/>
          <w:szCs w:val="18"/>
          <w:lang w:val="es-ES" w:eastAsia="es-ES"/>
        </w:rPr>
        <w:t xml:space="preserve"> Las cuentas de servicios mayoristas deberán corresponder con el nivel de desagregación mínimo indicado por el Instituto en </w:t>
      </w:r>
      <w:r w:rsidRPr="007937F7">
        <w:rPr>
          <w:rFonts w:ascii="ITC Avant Garde" w:eastAsia="Times New Roman" w:hAnsi="ITC Avant Garde" w:cs="Arial"/>
          <w:sz w:val="18"/>
          <w:szCs w:val="18"/>
          <w:lang w:val="es-ES" w:eastAsia="es-ES"/>
        </w:rPr>
        <w:t>e</w:t>
      </w:r>
      <w:r w:rsidRPr="00FA301F">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34">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minoristas deberán corresponder con las indicadas por el Instituto en </w:t>
      </w:r>
      <w:r>
        <w:rPr>
          <w:rFonts w:ascii="ITC Avant Garde" w:eastAsia="Times New Roman" w:hAnsi="ITC Avant Garde" w:cs="Arial"/>
          <w:sz w:val="18"/>
          <w:szCs w:val="18"/>
          <w:lang w:val="es-ES" w:eastAsia="es-ES"/>
        </w:rPr>
        <w:t>e</w:t>
      </w:r>
      <w:r w:rsidRPr="00B1598A">
        <w:rPr>
          <w:rFonts w:ascii="ITC Avant Garde" w:eastAsia="Times New Roman" w:hAnsi="ITC Avant Garde" w:cs="Arial"/>
          <w:sz w:val="18"/>
          <w:szCs w:val="18"/>
          <w:lang w:val="es-ES" w:eastAsia="es-ES"/>
        </w:rPr>
        <w:t>l</w:t>
      </w:r>
      <w:r>
        <w:rPr>
          <w:rFonts w:ascii="ITC Avant Garde" w:eastAsia="Times New Roman" w:hAnsi="ITC Avant Garde" w:cs="Arial"/>
          <w:sz w:val="18"/>
          <w:szCs w:val="18"/>
          <w:lang w:val="es-ES" w:eastAsia="es-ES"/>
        </w:rPr>
        <w:t xml:space="preserve"> </w:t>
      </w:r>
      <w:r w:rsidRPr="0003203D">
        <w:rPr>
          <w:rFonts w:ascii="ITC Avant Garde" w:eastAsia="Times New Roman" w:hAnsi="ITC Avant Garde" w:cs="Arial"/>
          <w:sz w:val="18"/>
          <w:szCs w:val="18"/>
          <w:lang w:val="es-ES" w:eastAsia="es-ES"/>
        </w:rPr>
        <w:t>APARTADO I.</w:t>
      </w:r>
    </w:p>
  </w:footnote>
  <w:footnote w:id="135">
    <w:p w:rsidR="00820D16" w:rsidRPr="0052094D" w:rsidRDefault="00820D16" w:rsidP="002E1156">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mayoristas deberán corresponder con las indicadas por el Instituto en </w:t>
      </w:r>
      <w:r>
        <w:rPr>
          <w:rFonts w:ascii="ITC Avant Garde" w:eastAsia="Times New Roman" w:hAnsi="ITC Avant Garde" w:cs="Arial"/>
          <w:sz w:val="18"/>
          <w:szCs w:val="18"/>
          <w:lang w:val="es-ES" w:eastAsia="es-ES"/>
        </w:rPr>
        <w:t>e</w:t>
      </w:r>
      <w:r w:rsidRPr="00B1598A">
        <w:rPr>
          <w:rFonts w:ascii="ITC Avant Garde" w:eastAsia="Times New Roman" w:hAnsi="ITC Avant Garde" w:cs="Arial"/>
          <w:sz w:val="18"/>
          <w:szCs w:val="18"/>
          <w:lang w:val="es-ES" w:eastAsia="es-ES"/>
        </w:rPr>
        <w:t xml:space="preserve">l </w:t>
      </w:r>
      <w:r w:rsidRPr="0003203D">
        <w:rPr>
          <w:rFonts w:ascii="ITC Avant Garde" w:eastAsia="Times New Roman" w:hAnsi="ITC Avant Garde" w:cs="Arial"/>
          <w:sz w:val="18"/>
          <w:szCs w:val="18"/>
          <w:lang w:val="es-ES" w:eastAsia="es-ES"/>
        </w:rPr>
        <w:t>APARTADO I.</w:t>
      </w:r>
    </w:p>
  </w:footnote>
  <w:footnote w:id="136">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w:t>
      </w:r>
      <w:r w:rsidRPr="00DE44B3">
        <w:rPr>
          <w:rFonts w:ascii="ITC Avant Garde" w:eastAsia="Times New Roman" w:hAnsi="ITC Avant Garde" w:cs="Arial"/>
          <w:sz w:val="18"/>
          <w:szCs w:val="18"/>
          <w:lang w:val="es-ES" w:eastAsia="es-ES"/>
        </w:rPr>
        <w:t>e</w:t>
      </w:r>
      <w:r w:rsidRPr="008766D9">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37">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Amortización se ha abreviado por </w:t>
      </w:r>
      <w:r>
        <w:rPr>
          <w:rFonts w:ascii="ITC Avant Garde" w:eastAsia="Times New Roman" w:hAnsi="ITC Avant Garde" w:cs="Arial"/>
          <w:sz w:val="18"/>
          <w:szCs w:val="18"/>
          <w:lang w:val="es-ES" w:eastAsia="es-ES"/>
        </w:rPr>
        <w:t>“</w:t>
      </w:r>
      <w:r w:rsidRPr="00B1598A">
        <w:rPr>
          <w:rFonts w:ascii="ITC Avant Garde" w:eastAsia="Times New Roman" w:hAnsi="ITC Avant Garde" w:cs="Arial"/>
          <w:sz w:val="18"/>
          <w:szCs w:val="18"/>
          <w:lang w:val="es-ES" w:eastAsia="es-ES"/>
        </w:rPr>
        <w:t>Amort</w:t>
      </w:r>
      <w:r>
        <w:rPr>
          <w:rFonts w:ascii="ITC Avant Garde" w:eastAsia="Times New Roman" w:hAnsi="ITC Avant Garde" w:cs="Arial"/>
          <w:sz w:val="18"/>
          <w:szCs w:val="18"/>
          <w:lang w:val="es-ES" w:eastAsia="es-ES"/>
        </w:rPr>
        <w:t>”.</w:t>
      </w:r>
    </w:p>
  </w:footnote>
  <w:footnote w:id="138">
    <w:p w:rsidR="00820D16" w:rsidRPr="0052094D" w:rsidRDefault="00820D16" w:rsidP="002E1156">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Depreciación suplementaria se ha abreviado por </w:t>
      </w:r>
      <w:r>
        <w:rPr>
          <w:rFonts w:ascii="ITC Avant Garde" w:eastAsia="Times New Roman" w:hAnsi="ITC Avant Garde" w:cs="Arial"/>
          <w:sz w:val="18"/>
          <w:szCs w:val="18"/>
          <w:lang w:val="es-ES" w:eastAsia="es-ES"/>
        </w:rPr>
        <w:t>“</w:t>
      </w:r>
      <w:r w:rsidRPr="00B1598A">
        <w:rPr>
          <w:rFonts w:ascii="ITC Avant Garde" w:eastAsia="Times New Roman" w:hAnsi="ITC Avant Garde" w:cs="Arial"/>
          <w:sz w:val="18"/>
          <w:szCs w:val="18"/>
          <w:lang w:val="es-ES" w:eastAsia="es-ES"/>
        </w:rPr>
        <w:t>Depr. Supl</w:t>
      </w:r>
      <w:r>
        <w:rPr>
          <w:rFonts w:ascii="ITC Avant Garde" w:eastAsia="Times New Roman" w:hAnsi="ITC Avant Garde" w:cs="Arial"/>
          <w:sz w:val="18"/>
          <w:szCs w:val="18"/>
          <w:lang w:val="es-ES" w:eastAsia="es-ES"/>
        </w:rPr>
        <w:t>".</w:t>
      </w:r>
    </w:p>
  </w:footnote>
  <w:footnote w:id="139">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w:t>
      </w:r>
      <w:r w:rsidRPr="00DE44B3">
        <w:rPr>
          <w:rFonts w:ascii="ITC Avant Garde" w:eastAsia="Times New Roman" w:hAnsi="ITC Avant Garde" w:cs="Arial"/>
          <w:sz w:val="18"/>
          <w:szCs w:val="18"/>
          <w:lang w:val="es-ES" w:eastAsia="es-ES"/>
        </w:rPr>
        <w:t>e</w:t>
      </w:r>
      <w:r w:rsidRPr="008766D9">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40">
    <w:p w:rsidR="00820D16" w:rsidRPr="0052094D" w:rsidRDefault="00820D16" w:rsidP="002E1156">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Adquisiciones.</w:t>
      </w:r>
    </w:p>
  </w:footnote>
  <w:footnote w:id="141">
    <w:p w:rsidR="00820D16" w:rsidRPr="00B1598A" w:rsidRDefault="00820D16" w:rsidP="002E1156">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w:t>
      </w:r>
      <w:r w:rsidRPr="00DE44B3">
        <w:rPr>
          <w:rFonts w:ascii="ITC Avant Garde" w:eastAsia="Times New Roman" w:hAnsi="ITC Avant Garde" w:cs="Arial"/>
          <w:sz w:val="18"/>
          <w:szCs w:val="18"/>
          <w:lang w:val="es-ES" w:eastAsia="es-ES"/>
        </w:rPr>
        <w:t>e</w:t>
      </w:r>
      <w:r w:rsidRPr="008766D9">
        <w:rPr>
          <w:rFonts w:ascii="ITC Avant Garde" w:eastAsia="Times New Roman" w:hAnsi="ITC Avant Garde" w:cs="Arial"/>
          <w:sz w:val="18"/>
          <w:szCs w:val="18"/>
          <w:lang w:val="es-ES" w:eastAsia="es-ES"/>
        </w:rPr>
        <w:t xml:space="preserve">l </w:t>
      </w:r>
      <w:r w:rsidRPr="00776A41">
        <w:rPr>
          <w:rFonts w:ascii="ITC Avant Garde" w:eastAsia="Times New Roman" w:hAnsi="ITC Avant Garde" w:cs="Arial"/>
          <w:sz w:val="18"/>
          <w:szCs w:val="18"/>
          <w:lang w:val="es-ES" w:eastAsia="es-ES"/>
        </w:rPr>
        <w:t>APARTADO I</w:t>
      </w:r>
      <w:r w:rsidRPr="00DE44B3">
        <w:rPr>
          <w:rFonts w:ascii="ITC Avant Garde" w:eastAsia="Times New Roman" w:hAnsi="ITC Avant Garde" w:cs="Arial"/>
          <w:sz w:val="18"/>
          <w:szCs w:val="18"/>
          <w:lang w:val="es-ES" w:eastAsia="es-ES"/>
        </w:rPr>
        <w:t>.</w:t>
      </w:r>
    </w:p>
  </w:footnote>
  <w:footnote w:id="142">
    <w:p w:rsidR="00820D16" w:rsidRPr="00B1598A" w:rsidRDefault="00820D16" w:rsidP="002E1156">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 </w:t>
      </w:r>
      <w:r w:rsidRPr="00B1598A">
        <w:rPr>
          <w:rFonts w:ascii="ITC Avant Garde" w:eastAsia="Times New Roman" w:hAnsi="ITC Avant Garde" w:cs="Arial"/>
          <w:sz w:val="18"/>
          <w:szCs w:val="18"/>
          <w:lang w:val="es-ES" w:eastAsia="es-ES"/>
        </w:rPr>
        <w:t xml:space="preserve">ejemplo, rubros utilizados por otros operadores de telecomunicaciones en el Estado de </w:t>
      </w:r>
      <w:r>
        <w:rPr>
          <w:rFonts w:ascii="ITC Avant Garde" w:eastAsia="Times New Roman" w:hAnsi="ITC Avant Garde" w:cs="Arial"/>
          <w:sz w:val="18"/>
          <w:szCs w:val="18"/>
          <w:lang w:val="es-ES" w:eastAsia="es-ES"/>
        </w:rPr>
        <w:t>p</w:t>
      </w:r>
      <w:r w:rsidRPr="00B1598A">
        <w:rPr>
          <w:rFonts w:ascii="ITC Avant Garde" w:eastAsia="Times New Roman" w:hAnsi="ITC Avant Garde" w:cs="Arial"/>
          <w:sz w:val="18"/>
          <w:szCs w:val="18"/>
          <w:lang w:val="es-ES" w:eastAsia="es-ES"/>
        </w:rPr>
        <w:t xml:space="preserve">érdidas y </w:t>
      </w:r>
      <w:r>
        <w:rPr>
          <w:rFonts w:ascii="ITC Avant Garde" w:eastAsia="Times New Roman" w:hAnsi="ITC Avant Garde" w:cs="Arial"/>
          <w:sz w:val="18"/>
          <w:szCs w:val="18"/>
          <w:lang w:val="es-ES" w:eastAsia="es-ES"/>
        </w:rPr>
        <w:t>g</w:t>
      </w:r>
      <w:r w:rsidRPr="00B1598A">
        <w:rPr>
          <w:rFonts w:ascii="ITC Avant Garde" w:eastAsia="Times New Roman" w:hAnsi="ITC Avant Garde" w:cs="Arial"/>
          <w:sz w:val="18"/>
          <w:szCs w:val="18"/>
          <w:lang w:val="es-ES" w:eastAsia="es-ES"/>
        </w:rPr>
        <w:t>anancias publicado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143">
    <w:p w:rsidR="00820D16" w:rsidRPr="00B1598A" w:rsidRDefault="00820D16" w:rsidP="002E1156">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w:t>
      </w:r>
      <w:r w:rsidRPr="00B1598A">
        <w:rPr>
          <w:rFonts w:ascii="ITC Avant Garde" w:eastAsia="Times New Roman" w:hAnsi="ITC Avant Garde" w:cs="Arial"/>
          <w:sz w:val="18"/>
          <w:szCs w:val="18"/>
          <w:lang w:val="es-ES" w:eastAsia="es-ES"/>
        </w:rPr>
        <w:t xml:space="preserve"> ejemplo, rubros utilizados por otros operadores de </w:t>
      </w:r>
      <w:r>
        <w:rPr>
          <w:rFonts w:ascii="ITC Avant Garde" w:eastAsia="Times New Roman" w:hAnsi="ITC Avant Garde" w:cs="Arial"/>
          <w:sz w:val="18"/>
          <w:szCs w:val="18"/>
          <w:lang w:val="es-ES" w:eastAsia="es-ES"/>
        </w:rPr>
        <w:t>t</w:t>
      </w:r>
      <w:r w:rsidRPr="00B1598A">
        <w:rPr>
          <w:rFonts w:ascii="ITC Avant Garde" w:eastAsia="Times New Roman" w:hAnsi="ITC Avant Garde" w:cs="Arial"/>
          <w:sz w:val="18"/>
          <w:szCs w:val="18"/>
          <w:lang w:val="es-ES" w:eastAsia="es-ES"/>
        </w:rPr>
        <w:t xml:space="preserve">elecomunicaciones en la Balanza de </w:t>
      </w:r>
      <w:r>
        <w:rPr>
          <w:rFonts w:ascii="ITC Avant Garde" w:eastAsia="Times New Roman" w:hAnsi="ITC Avant Garde" w:cs="Arial"/>
          <w:sz w:val="18"/>
          <w:szCs w:val="18"/>
          <w:lang w:val="es-ES" w:eastAsia="es-ES"/>
        </w:rPr>
        <w:t>a</w:t>
      </w:r>
      <w:r w:rsidRPr="00B1598A">
        <w:rPr>
          <w:rFonts w:ascii="ITC Avant Garde" w:eastAsia="Times New Roman" w:hAnsi="ITC Avant Garde" w:cs="Arial"/>
          <w:sz w:val="18"/>
          <w:szCs w:val="18"/>
          <w:lang w:val="es-ES" w:eastAsia="es-ES"/>
        </w:rPr>
        <w:t xml:space="preserve">ctivos y </w:t>
      </w:r>
      <w:r>
        <w:rPr>
          <w:rFonts w:ascii="ITC Avant Garde" w:eastAsia="Times New Roman" w:hAnsi="ITC Avant Garde" w:cs="Arial"/>
          <w:sz w:val="18"/>
          <w:szCs w:val="18"/>
          <w:lang w:val="es-ES" w:eastAsia="es-ES"/>
        </w:rPr>
        <w:t>p</w:t>
      </w:r>
      <w:r w:rsidRPr="00B1598A">
        <w:rPr>
          <w:rFonts w:ascii="ITC Avant Garde" w:eastAsia="Times New Roman" w:hAnsi="ITC Avant Garde" w:cs="Arial"/>
          <w:sz w:val="18"/>
          <w:szCs w:val="18"/>
          <w:lang w:val="es-ES" w:eastAsia="es-ES"/>
        </w:rPr>
        <w:t>asivos publicada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144">
    <w:p w:rsidR="00820D16" w:rsidRPr="00B1598A" w:rsidRDefault="00820D16" w:rsidP="002E1156">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 </w:t>
      </w:r>
      <w:r w:rsidRPr="00B1598A">
        <w:rPr>
          <w:rFonts w:ascii="ITC Avant Garde" w:eastAsia="Times New Roman" w:hAnsi="ITC Avant Garde" w:cs="Arial"/>
          <w:sz w:val="18"/>
          <w:szCs w:val="18"/>
          <w:lang w:val="es-ES" w:eastAsia="es-ES"/>
        </w:rPr>
        <w:t xml:space="preserve">ejemplo, rubros utilizados por </w:t>
      </w:r>
      <w:r>
        <w:rPr>
          <w:rFonts w:ascii="ITC Avant Garde" w:eastAsia="Times New Roman" w:hAnsi="ITC Avant Garde" w:cs="Arial"/>
          <w:sz w:val="18"/>
          <w:szCs w:val="18"/>
          <w:lang w:val="es-ES" w:eastAsia="es-ES"/>
        </w:rPr>
        <w:t>otros operadores</w:t>
      </w:r>
      <w:r w:rsidRPr="00B1598A">
        <w:rPr>
          <w:rFonts w:ascii="ITC Avant Garde" w:eastAsia="Times New Roman" w:hAnsi="ITC Avant Garde" w:cs="Arial"/>
          <w:sz w:val="18"/>
          <w:szCs w:val="18"/>
          <w:lang w:val="es-ES" w:eastAsia="es-ES"/>
        </w:rPr>
        <w:t xml:space="preserve"> </w:t>
      </w:r>
      <w:r>
        <w:rPr>
          <w:rFonts w:ascii="ITC Avant Garde" w:eastAsia="Times New Roman" w:hAnsi="ITC Avant Garde" w:cs="Arial"/>
          <w:sz w:val="18"/>
          <w:szCs w:val="18"/>
          <w:lang w:val="es-ES" w:eastAsia="es-ES"/>
        </w:rPr>
        <w:t xml:space="preserve">de telecomunicaciones </w:t>
      </w:r>
      <w:r w:rsidRPr="00B1598A">
        <w:rPr>
          <w:rFonts w:ascii="ITC Avant Garde" w:eastAsia="Times New Roman" w:hAnsi="ITC Avant Garde" w:cs="Arial"/>
          <w:sz w:val="18"/>
          <w:szCs w:val="18"/>
          <w:lang w:val="es-ES" w:eastAsia="es-ES"/>
        </w:rPr>
        <w:t>en el Estado de Flujos de Efectivo publicado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145">
    <w:p w:rsidR="00820D16" w:rsidRPr="00B1598A" w:rsidRDefault="00820D16" w:rsidP="00431424">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 xml:space="preserve">Por sus </w:t>
      </w:r>
      <w:r w:rsidRPr="00B1598A">
        <w:rPr>
          <w:rFonts w:ascii="ITC Avant Garde" w:hAnsi="ITC Avant Garde"/>
          <w:sz w:val="18"/>
          <w:szCs w:val="18"/>
          <w:lang w:val="es-ES"/>
        </w:rPr>
        <w:t>siglas</w:t>
      </w:r>
      <w:r>
        <w:rPr>
          <w:rFonts w:ascii="ITC Avant Garde" w:hAnsi="ITC Avant Garde"/>
          <w:sz w:val="18"/>
          <w:szCs w:val="18"/>
          <w:lang w:val="es-ES"/>
        </w:rPr>
        <w:t xml:space="preserve"> en inglés</w:t>
      </w:r>
      <w:r w:rsidRPr="00B1598A">
        <w:rPr>
          <w:rFonts w:ascii="ITC Avant Garde" w:hAnsi="ITC Avant Garde"/>
          <w:sz w:val="18"/>
          <w:szCs w:val="18"/>
          <w:lang w:val="es-ES"/>
        </w:rPr>
        <w:t xml:space="preserve">, </w:t>
      </w:r>
      <w:r w:rsidRPr="00B1598A">
        <w:rPr>
          <w:rFonts w:ascii="ITC Avant Garde" w:hAnsi="ITC Avant Garde"/>
          <w:i/>
          <w:iCs/>
          <w:sz w:val="18"/>
          <w:szCs w:val="18"/>
          <w:lang w:val="es-ES"/>
        </w:rPr>
        <w:t>Activity Based Costing</w:t>
      </w:r>
      <w:r w:rsidRPr="00B1598A">
        <w:rPr>
          <w:rFonts w:ascii="ITC Avant Garde" w:hAnsi="ITC Avant Garde"/>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1" o:spid="_x0000_s2069" type="#_x0000_t136" style="position:absolute;margin-left:0;margin-top:0;width:453.1pt;height:169.9pt;rotation:315;z-index:-251654140;mso-position-horizontal:center;mso-position-horizontal-relative:margin;mso-position-vertical:center;mso-position-vertical-relative:margin" o:allowincell="f" fillcolor="silver" stroked="f">
          <v:fill opacity=".5"/>
          <v:textpath style="font-family:&quot;Calibri&quot;;font-size:1pt" string="Proyecto"/>
        </v:shape>
      </w:pict>
    </w:r>
    <w:r w:rsidR="00FB2C80">
      <w:rPr>
        <w:noProof/>
      </w:rPr>
      <w:pict w14:anchorId="4D1FE11B">
        <v:shape id="_x0000_s2067" type="#_x0000_t136" style="position:absolute;margin-left:0;margin-top:0;width:534.05pt;height:89pt;rotation:315;z-index:-251658236;mso-position-horizontal:center;mso-position-horizontal-relative:margin;mso-position-vertical:center;mso-position-vertical-relative:margin" o:allowincell="f" fillcolor="#a5a5a5 [2092]"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84"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2" o:spid="_x0000_s2070" type="#_x0000_t136" style="position:absolute;margin-left:0;margin-top:0;width:453.1pt;height:169.9pt;rotation:315;z-index:-251652092;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0" o:spid="_x0000_s2068" type="#_x0000_t136" style="position:absolute;margin-left:0;margin-top:0;width:453.1pt;height:169.9pt;rotation:315;z-index:-251656188;mso-position-horizontal:center;mso-position-horizontal-relative:margin;mso-position-vertical:center;mso-position-vertical-relative:margin" o:allowincell="f" fillcolor="silver" stroked="f">
          <v:fill opacity=".5"/>
          <v:textpath style="font-family:&quot;Calibri&quot;;font-size:1pt" string="Proyecto"/>
        </v:shape>
      </w:pict>
    </w:r>
    <w:r w:rsidR="00FB2C80">
      <w:rPr>
        <w:noProof/>
      </w:rPr>
      <w:pict w14:anchorId="5B0BAD5C">
        <v:shape id="_x0000_s2066" type="#_x0000_t136" style="position:absolute;margin-left:0;margin-top:0;width:534.05pt;height:89pt;rotation:315;z-index:-251658237;mso-position-horizontal:center;mso-position-horizontal-relative:margin;mso-position-vertical:center;mso-position-vertical-relative:margin" o:allowincell="f" fillcolor="#a5a5a5 [2092]" stroked="f">
          <v:fill opacity=".5"/>
          <v:textpath style="font-family:&quot;ITC Avant Garde&quot;;font-size:1pt" string="Anteproyect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4" o:spid="_x0000_s2072" type="#_x0000_t136" style="position:absolute;margin-left:0;margin-top:0;width:453.1pt;height:169.9pt;rotation:315;z-index:-25164799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5" o:spid="_x0000_s2073" type="#_x0000_t136" style="position:absolute;margin-left:0;margin-top:0;width:453.1pt;height:169.9pt;rotation:315;z-index:-25164594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3" o:spid="_x0000_s2071" type="#_x0000_t136" style="position:absolute;margin-left:0;margin-top:0;width:453.1pt;height:169.9pt;rotation:315;z-index:-251650044;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7" o:spid="_x0000_s2075" type="#_x0000_t136" style="position:absolute;margin-left:0;margin-top:0;width:453.1pt;height:169.9pt;rotation:315;z-index:-251641852;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8" o:spid="_x0000_s2076" type="#_x0000_t136" style="position:absolute;margin-left:0;margin-top:0;width:453.1pt;height:169.9pt;rotation:315;z-index:-251639804;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16" w:rsidRDefault="001875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6006" o:spid="_x0000_s2074" type="#_x0000_t136" style="position:absolute;margin-left:0;margin-top:0;width:453.1pt;height:169.9pt;rotation:315;z-index:-25164390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5pt;height:34.5pt" o:bullet="t">
        <v:imagedata r:id="rId1" o:title="flecha"/>
      </v:shape>
    </w:pict>
  </w:numPicBullet>
  <w:abstractNum w:abstractNumId="0" w15:restartNumberingAfterBreak="0">
    <w:nsid w:val="FFFFFF83"/>
    <w:multiLevelType w:val="singleLevel"/>
    <w:tmpl w:val="B75A84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6CA6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57781"/>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4" w15:restartNumberingAfterBreak="0">
    <w:nsid w:val="010D7CB3"/>
    <w:multiLevelType w:val="hybridMultilevel"/>
    <w:tmpl w:val="6D06FD42"/>
    <w:lvl w:ilvl="0" w:tplc="7C9A9234">
      <w:start w:val="1"/>
      <w:numFmt w:val="upperRoman"/>
      <w:lvlText w:val="%1."/>
      <w:lvlJc w:val="right"/>
      <w:pPr>
        <w:ind w:left="720" w:hanging="360"/>
      </w:pPr>
      <w:rPr>
        <w:rFonts w:ascii="ITC Avant Garde" w:hAnsi="ITC Avant Garde"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80246D"/>
    <w:multiLevelType w:val="multilevel"/>
    <w:tmpl w:val="656C691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E42112"/>
    <w:multiLevelType w:val="hybridMultilevel"/>
    <w:tmpl w:val="B60A144A"/>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3213E7A"/>
    <w:multiLevelType w:val="hybridMultilevel"/>
    <w:tmpl w:val="25022B84"/>
    <w:lvl w:ilvl="0" w:tplc="080A0017">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8" w15:restartNumberingAfterBreak="0">
    <w:nsid w:val="03EA5D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4F259B1"/>
    <w:multiLevelType w:val="hybridMultilevel"/>
    <w:tmpl w:val="68863C1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6837999"/>
    <w:multiLevelType w:val="hybridMultilevel"/>
    <w:tmpl w:val="7E8AFC98"/>
    <w:lvl w:ilvl="0" w:tplc="0C0A000F">
      <w:start w:val="1"/>
      <w:numFmt w:val="decimal"/>
      <w:lvlText w:val="%1."/>
      <w:lvlJc w:val="left"/>
      <w:pPr>
        <w:ind w:left="1008" w:hanging="360"/>
      </w:pPr>
      <w:rPr>
        <w:rFonts w:hint="default"/>
        <w:b w:val="0"/>
        <w:bCs w:val="0"/>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2" w15:restartNumberingAfterBreak="0">
    <w:nsid w:val="06B61A2F"/>
    <w:multiLevelType w:val="hybridMultilevel"/>
    <w:tmpl w:val="44783096"/>
    <w:lvl w:ilvl="0" w:tplc="37C855E0">
      <w:start w:val="1"/>
      <w:numFmt w:val="bullet"/>
      <w:lvlText w:val="•"/>
      <w:lvlJc w:val="left"/>
      <w:pPr>
        <w:tabs>
          <w:tab w:val="num" w:pos="720"/>
        </w:tabs>
        <w:ind w:left="720" w:hanging="360"/>
      </w:pPr>
      <w:rPr>
        <w:rFonts w:ascii="Arial" w:hAnsi="Arial" w:hint="default"/>
      </w:rPr>
    </w:lvl>
    <w:lvl w:ilvl="1" w:tplc="EAEE32EA" w:tentative="1">
      <w:start w:val="1"/>
      <w:numFmt w:val="bullet"/>
      <w:lvlText w:val="•"/>
      <w:lvlJc w:val="left"/>
      <w:pPr>
        <w:tabs>
          <w:tab w:val="num" w:pos="1440"/>
        </w:tabs>
        <w:ind w:left="1440" w:hanging="360"/>
      </w:pPr>
      <w:rPr>
        <w:rFonts w:ascii="Arial" w:hAnsi="Arial" w:hint="default"/>
      </w:rPr>
    </w:lvl>
    <w:lvl w:ilvl="2" w:tplc="837465F6" w:tentative="1">
      <w:start w:val="1"/>
      <w:numFmt w:val="bullet"/>
      <w:lvlText w:val="•"/>
      <w:lvlJc w:val="left"/>
      <w:pPr>
        <w:tabs>
          <w:tab w:val="num" w:pos="2160"/>
        </w:tabs>
        <w:ind w:left="2160" w:hanging="360"/>
      </w:pPr>
      <w:rPr>
        <w:rFonts w:ascii="Arial" w:hAnsi="Arial" w:hint="default"/>
      </w:rPr>
    </w:lvl>
    <w:lvl w:ilvl="3" w:tplc="23F84E4C" w:tentative="1">
      <w:start w:val="1"/>
      <w:numFmt w:val="bullet"/>
      <w:lvlText w:val="•"/>
      <w:lvlJc w:val="left"/>
      <w:pPr>
        <w:tabs>
          <w:tab w:val="num" w:pos="2880"/>
        </w:tabs>
        <w:ind w:left="2880" w:hanging="360"/>
      </w:pPr>
      <w:rPr>
        <w:rFonts w:ascii="Arial" w:hAnsi="Arial" w:hint="default"/>
      </w:rPr>
    </w:lvl>
    <w:lvl w:ilvl="4" w:tplc="40C2E624" w:tentative="1">
      <w:start w:val="1"/>
      <w:numFmt w:val="bullet"/>
      <w:lvlText w:val="•"/>
      <w:lvlJc w:val="left"/>
      <w:pPr>
        <w:tabs>
          <w:tab w:val="num" w:pos="3600"/>
        </w:tabs>
        <w:ind w:left="3600" w:hanging="360"/>
      </w:pPr>
      <w:rPr>
        <w:rFonts w:ascii="Arial" w:hAnsi="Arial" w:hint="default"/>
      </w:rPr>
    </w:lvl>
    <w:lvl w:ilvl="5" w:tplc="78665EF2" w:tentative="1">
      <w:start w:val="1"/>
      <w:numFmt w:val="bullet"/>
      <w:lvlText w:val="•"/>
      <w:lvlJc w:val="left"/>
      <w:pPr>
        <w:tabs>
          <w:tab w:val="num" w:pos="4320"/>
        </w:tabs>
        <w:ind w:left="4320" w:hanging="360"/>
      </w:pPr>
      <w:rPr>
        <w:rFonts w:ascii="Arial" w:hAnsi="Arial" w:hint="default"/>
      </w:rPr>
    </w:lvl>
    <w:lvl w:ilvl="6" w:tplc="F8AA4A18" w:tentative="1">
      <w:start w:val="1"/>
      <w:numFmt w:val="bullet"/>
      <w:lvlText w:val="•"/>
      <w:lvlJc w:val="left"/>
      <w:pPr>
        <w:tabs>
          <w:tab w:val="num" w:pos="5040"/>
        </w:tabs>
        <w:ind w:left="5040" w:hanging="360"/>
      </w:pPr>
      <w:rPr>
        <w:rFonts w:ascii="Arial" w:hAnsi="Arial" w:hint="default"/>
      </w:rPr>
    </w:lvl>
    <w:lvl w:ilvl="7" w:tplc="E5B266C0" w:tentative="1">
      <w:start w:val="1"/>
      <w:numFmt w:val="bullet"/>
      <w:lvlText w:val="•"/>
      <w:lvlJc w:val="left"/>
      <w:pPr>
        <w:tabs>
          <w:tab w:val="num" w:pos="5760"/>
        </w:tabs>
        <w:ind w:left="5760" w:hanging="360"/>
      </w:pPr>
      <w:rPr>
        <w:rFonts w:ascii="Arial" w:hAnsi="Arial" w:hint="default"/>
      </w:rPr>
    </w:lvl>
    <w:lvl w:ilvl="8" w:tplc="404C25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4" w15:restartNumberingAfterBreak="0">
    <w:nsid w:val="08B961F2"/>
    <w:multiLevelType w:val="hybridMultilevel"/>
    <w:tmpl w:val="03587EA2"/>
    <w:lvl w:ilvl="0" w:tplc="0C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AA598A"/>
    <w:multiLevelType w:val="hybridMultilevel"/>
    <w:tmpl w:val="B4A6C2C2"/>
    <w:lvl w:ilvl="0" w:tplc="B57E2E4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B492D3E"/>
    <w:multiLevelType w:val="multilevel"/>
    <w:tmpl w:val="C7F2047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F5429DD"/>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9" w15:restartNumberingAfterBreak="0">
    <w:nsid w:val="12207AC3"/>
    <w:multiLevelType w:val="hybridMultilevel"/>
    <w:tmpl w:val="A6940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3ED17BC"/>
    <w:multiLevelType w:val="hybridMultilevel"/>
    <w:tmpl w:val="9C72542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3F7303F"/>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8B555E"/>
    <w:multiLevelType w:val="hybridMultilevel"/>
    <w:tmpl w:val="7EE463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6B25E3F"/>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4" w15:restartNumberingAfterBreak="0">
    <w:nsid w:val="17943757"/>
    <w:multiLevelType w:val="multilevel"/>
    <w:tmpl w:val="0B12EFB4"/>
    <w:lvl w:ilvl="0">
      <w:start w:val="2"/>
      <w:numFmt w:val="upperRoman"/>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17A9622D"/>
    <w:multiLevelType w:val="hybridMultilevel"/>
    <w:tmpl w:val="3C3655BA"/>
    <w:lvl w:ilvl="0" w:tplc="1A4057B4">
      <w:start w:val="1"/>
      <w:numFmt w:val="decimal"/>
      <w:lvlText w:val="3.%1"/>
      <w:lvlJc w:val="left"/>
      <w:pPr>
        <w:ind w:left="360" w:hanging="360"/>
      </w:pPr>
      <w:rPr>
        <w:rFonts w:hint="default"/>
        <w:b/>
      </w:rPr>
    </w:lvl>
    <w:lvl w:ilvl="1" w:tplc="9B766E70">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6C0C41"/>
    <w:multiLevelType w:val="hybridMultilevel"/>
    <w:tmpl w:val="83EA162E"/>
    <w:lvl w:ilvl="0" w:tplc="7C9A9234">
      <w:start w:val="1"/>
      <w:numFmt w:val="upperRoman"/>
      <w:lvlText w:val="%1."/>
      <w:lvlJc w:val="right"/>
      <w:pPr>
        <w:ind w:left="720" w:hanging="360"/>
      </w:pPr>
      <w:rPr>
        <w:rFonts w:ascii="ITC Avant Garde" w:hAnsi="ITC Avant Garde"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89A0B61"/>
    <w:multiLevelType w:val="multilevel"/>
    <w:tmpl w:val="EA041EC8"/>
    <w:lvl w:ilvl="0">
      <w:start w:val="1"/>
      <w:numFmt w:val="decimal"/>
      <w:lvlText w:val="%1."/>
      <w:lvlJc w:val="left"/>
      <w:pPr>
        <w:ind w:left="502" w:hanging="360"/>
      </w:pPr>
      <w:rPr>
        <w:rFonts w:hint="default"/>
        <w:b w:val="0"/>
        <w:bCs/>
        <w:i w:val="0"/>
        <w:color w:val="0C2749"/>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8"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29"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D837209"/>
    <w:multiLevelType w:val="hybridMultilevel"/>
    <w:tmpl w:val="926A740C"/>
    <w:lvl w:ilvl="0" w:tplc="54140136">
      <w:start w:val="1"/>
      <w:numFmt w:val="decimal"/>
      <w:lvlText w:val="%1."/>
      <w:lvlJc w:val="left"/>
      <w:pPr>
        <w:ind w:left="1008" w:hanging="360"/>
      </w:pPr>
      <w:rPr>
        <w:rFonts w:ascii="ITC Avant Garde" w:hAnsi="ITC Avant Garde" w:hint="default"/>
        <w:b w:val="0"/>
        <w:bCs w:val="0"/>
        <w:i w:val="0"/>
        <w:i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1" w15:restartNumberingAfterBreak="0">
    <w:nsid w:val="1E1B2A6C"/>
    <w:multiLevelType w:val="hybridMultilevel"/>
    <w:tmpl w:val="C5888750"/>
    <w:lvl w:ilvl="0" w:tplc="75AE19C6">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2"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215B5CBF"/>
    <w:multiLevelType w:val="hybridMultilevel"/>
    <w:tmpl w:val="65947018"/>
    <w:lvl w:ilvl="0" w:tplc="FDBE3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21F911AF"/>
    <w:multiLevelType w:val="hybridMultilevel"/>
    <w:tmpl w:val="50A40BF2"/>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6" w15:restartNumberingAfterBreak="0">
    <w:nsid w:val="23AA68FF"/>
    <w:multiLevelType w:val="multilevel"/>
    <w:tmpl w:val="6CC2C636"/>
    <w:lvl w:ilvl="0">
      <w:start w:val="1"/>
      <w:numFmt w:val="decimal"/>
      <w:lvlText w:val="%1."/>
      <w:lvlJc w:val="left"/>
      <w:pPr>
        <w:ind w:left="0" w:firstLine="0"/>
      </w:pPr>
    </w:lvl>
    <w:lvl w:ilvl="1">
      <w:start w:val="1"/>
      <w:numFmt w:val="decimal"/>
      <w:lvlText w:val="A1.%2"/>
      <w:lvlJc w:val="left"/>
      <w:pPr>
        <w:ind w:left="0" w:firstLine="0"/>
      </w:pPr>
    </w:lvl>
    <w:lvl w:ilvl="2">
      <w:start w:val="1"/>
      <w:numFmt w:val="decimal"/>
      <w:lvlRestart w:val="0"/>
      <w:suff w:val="space"/>
      <w:lvlText w:val="A%1.%2.%3"/>
      <w:lvlJc w:val="left"/>
      <w:pPr>
        <w:ind w:left="0" w:firstLine="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246E4ABB"/>
    <w:multiLevelType w:val="hybridMultilevel"/>
    <w:tmpl w:val="47AE4472"/>
    <w:lvl w:ilvl="0" w:tplc="3E8604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66D4E09"/>
    <w:multiLevelType w:val="hybridMultilevel"/>
    <w:tmpl w:val="D2743A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6BF22D5"/>
    <w:multiLevelType w:val="multilevel"/>
    <w:tmpl w:val="1BA60C4A"/>
    <w:lvl w:ilvl="0">
      <w:start w:val="1"/>
      <w:numFmt w:val="decimal"/>
      <w:lvlText w:val="%1."/>
      <w:lvlJc w:val="left"/>
      <w:pPr>
        <w:ind w:left="360" w:hanging="360"/>
      </w:pPr>
    </w:lvl>
    <w:lvl w:ilvl="1">
      <w:start w:val="1"/>
      <w:numFmt w:val="decimal"/>
      <w:lvlText w:val="A1.%2"/>
      <w:lvlJc w:val="left"/>
      <w:pPr>
        <w:ind w:left="792" w:hanging="432"/>
      </w:pPr>
    </w:lvl>
    <w:lvl w:ilvl="2">
      <w:start w:val="1"/>
      <w:numFmt w:val="decimal"/>
      <w:lvlText w:val="A%1.%2.%3."/>
      <w:lvlJc w:val="left"/>
      <w:pPr>
        <w:ind w:left="1224" w:hanging="504"/>
      </w:pPr>
    </w:lvl>
    <w:lvl w:ilvl="3">
      <w:start w:val="1"/>
      <w:numFmt w:val="decimal"/>
      <w:lvlText w:val="A%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74715FD"/>
    <w:multiLevelType w:val="hybridMultilevel"/>
    <w:tmpl w:val="53E25F98"/>
    <w:lvl w:ilvl="0" w:tplc="35F20D16">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41" w15:restartNumberingAfterBreak="0">
    <w:nsid w:val="28062B4A"/>
    <w:multiLevelType w:val="hybridMultilevel"/>
    <w:tmpl w:val="1B38904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9874B24"/>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A567CA"/>
    <w:multiLevelType w:val="hybridMultilevel"/>
    <w:tmpl w:val="A8AA0C7E"/>
    <w:lvl w:ilvl="0" w:tplc="BC84AB98">
      <w:start w:val="1"/>
      <w:numFmt w:val="decimal"/>
      <w:lvlText w:val="2.%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2A385BE5"/>
    <w:multiLevelType w:val="hybridMultilevel"/>
    <w:tmpl w:val="42BEC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B3004D9"/>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47" w15:restartNumberingAfterBreak="0">
    <w:nsid w:val="2C974FC1"/>
    <w:multiLevelType w:val="hybridMultilevel"/>
    <w:tmpl w:val="CE10AFAE"/>
    <w:lvl w:ilvl="0" w:tplc="1B702216">
      <w:start w:val="1"/>
      <w:numFmt w:val="decimal"/>
      <w:lvlText w:val="%1."/>
      <w:lvlJc w:val="left"/>
      <w:pPr>
        <w:ind w:left="720" w:hanging="360"/>
      </w:pPr>
      <w:rPr>
        <w:rFonts w:ascii="Verdana" w:hAnsi="Verdana" w:hint="default"/>
        <w:color w:val="0C2749"/>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9"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E9A0B5F"/>
    <w:multiLevelType w:val="hybridMultilevel"/>
    <w:tmpl w:val="C0B2F8A6"/>
    <w:lvl w:ilvl="0" w:tplc="A0F8B4D2">
      <w:start w:val="4"/>
      <w:numFmt w:val="decimal"/>
      <w:lvlText w:val="3.%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1275132"/>
    <w:multiLevelType w:val="hybridMultilevel"/>
    <w:tmpl w:val="6F069CDE"/>
    <w:lvl w:ilvl="0" w:tplc="757ED500">
      <w:start w:val="1"/>
      <w:numFmt w:val="bullet"/>
      <w:lvlText w:val="•"/>
      <w:lvlJc w:val="left"/>
      <w:pPr>
        <w:tabs>
          <w:tab w:val="num" w:pos="720"/>
        </w:tabs>
        <w:ind w:left="720" w:hanging="360"/>
      </w:pPr>
      <w:rPr>
        <w:rFonts w:ascii="Arial" w:hAnsi="Arial" w:hint="default"/>
      </w:rPr>
    </w:lvl>
    <w:lvl w:ilvl="1" w:tplc="F36C04A4" w:tentative="1">
      <w:start w:val="1"/>
      <w:numFmt w:val="bullet"/>
      <w:lvlText w:val="•"/>
      <w:lvlJc w:val="left"/>
      <w:pPr>
        <w:tabs>
          <w:tab w:val="num" w:pos="1440"/>
        </w:tabs>
        <w:ind w:left="1440" w:hanging="360"/>
      </w:pPr>
      <w:rPr>
        <w:rFonts w:ascii="Arial" w:hAnsi="Arial" w:hint="default"/>
      </w:rPr>
    </w:lvl>
    <w:lvl w:ilvl="2" w:tplc="67140A58" w:tentative="1">
      <w:start w:val="1"/>
      <w:numFmt w:val="bullet"/>
      <w:lvlText w:val="•"/>
      <w:lvlJc w:val="left"/>
      <w:pPr>
        <w:tabs>
          <w:tab w:val="num" w:pos="2160"/>
        </w:tabs>
        <w:ind w:left="2160" w:hanging="360"/>
      </w:pPr>
      <w:rPr>
        <w:rFonts w:ascii="Arial" w:hAnsi="Arial" w:hint="default"/>
      </w:rPr>
    </w:lvl>
    <w:lvl w:ilvl="3" w:tplc="4F64000A" w:tentative="1">
      <w:start w:val="1"/>
      <w:numFmt w:val="bullet"/>
      <w:lvlText w:val="•"/>
      <w:lvlJc w:val="left"/>
      <w:pPr>
        <w:tabs>
          <w:tab w:val="num" w:pos="2880"/>
        </w:tabs>
        <w:ind w:left="2880" w:hanging="360"/>
      </w:pPr>
      <w:rPr>
        <w:rFonts w:ascii="Arial" w:hAnsi="Arial" w:hint="default"/>
      </w:rPr>
    </w:lvl>
    <w:lvl w:ilvl="4" w:tplc="DE3C36DA" w:tentative="1">
      <w:start w:val="1"/>
      <w:numFmt w:val="bullet"/>
      <w:lvlText w:val="•"/>
      <w:lvlJc w:val="left"/>
      <w:pPr>
        <w:tabs>
          <w:tab w:val="num" w:pos="3600"/>
        </w:tabs>
        <w:ind w:left="3600" w:hanging="360"/>
      </w:pPr>
      <w:rPr>
        <w:rFonts w:ascii="Arial" w:hAnsi="Arial" w:hint="default"/>
      </w:rPr>
    </w:lvl>
    <w:lvl w:ilvl="5" w:tplc="BF827A60" w:tentative="1">
      <w:start w:val="1"/>
      <w:numFmt w:val="bullet"/>
      <w:lvlText w:val="•"/>
      <w:lvlJc w:val="left"/>
      <w:pPr>
        <w:tabs>
          <w:tab w:val="num" w:pos="4320"/>
        </w:tabs>
        <w:ind w:left="4320" w:hanging="360"/>
      </w:pPr>
      <w:rPr>
        <w:rFonts w:ascii="Arial" w:hAnsi="Arial" w:hint="default"/>
      </w:rPr>
    </w:lvl>
    <w:lvl w:ilvl="6" w:tplc="2D16F218" w:tentative="1">
      <w:start w:val="1"/>
      <w:numFmt w:val="bullet"/>
      <w:lvlText w:val="•"/>
      <w:lvlJc w:val="left"/>
      <w:pPr>
        <w:tabs>
          <w:tab w:val="num" w:pos="5040"/>
        </w:tabs>
        <w:ind w:left="5040" w:hanging="360"/>
      </w:pPr>
      <w:rPr>
        <w:rFonts w:ascii="Arial" w:hAnsi="Arial" w:hint="default"/>
      </w:rPr>
    </w:lvl>
    <w:lvl w:ilvl="7" w:tplc="03786D64" w:tentative="1">
      <w:start w:val="1"/>
      <w:numFmt w:val="bullet"/>
      <w:lvlText w:val="•"/>
      <w:lvlJc w:val="left"/>
      <w:pPr>
        <w:tabs>
          <w:tab w:val="num" w:pos="5760"/>
        </w:tabs>
        <w:ind w:left="5760" w:hanging="360"/>
      </w:pPr>
      <w:rPr>
        <w:rFonts w:ascii="Arial" w:hAnsi="Arial" w:hint="default"/>
      </w:rPr>
    </w:lvl>
    <w:lvl w:ilvl="8" w:tplc="10A85DC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1280F84"/>
    <w:multiLevelType w:val="hybridMultilevel"/>
    <w:tmpl w:val="DAE087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54" w15:restartNumberingAfterBreak="0">
    <w:nsid w:val="33F451DF"/>
    <w:multiLevelType w:val="hybridMultilevel"/>
    <w:tmpl w:val="EE48C948"/>
    <w:lvl w:ilvl="0" w:tplc="8DE4CA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5333222"/>
    <w:multiLevelType w:val="hybridMultilevel"/>
    <w:tmpl w:val="1FBCE7D0"/>
    <w:lvl w:ilvl="0" w:tplc="0C0A0009">
      <w:start w:val="1"/>
      <w:numFmt w:val="bullet"/>
      <w:lvlText w:val=""/>
      <w:lvlJc w:val="left"/>
      <w:pPr>
        <w:ind w:left="1080" w:hanging="360"/>
      </w:pPr>
      <w:rPr>
        <w:rFonts w:ascii="Wingdings" w:hAnsi="Wingdings" w:hint="default"/>
        <w:color w:val="5B9BD5" w:themeColor="accent1"/>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357C204B"/>
    <w:multiLevelType w:val="hybridMultilevel"/>
    <w:tmpl w:val="F612B2F8"/>
    <w:lvl w:ilvl="0" w:tplc="AF12FA22">
      <w:start w:val="1"/>
      <w:numFmt w:val="decimal"/>
      <w:lvlText w:val="A2.%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37950C08"/>
    <w:multiLevelType w:val="hybridMultilevel"/>
    <w:tmpl w:val="A67A2672"/>
    <w:lvl w:ilvl="0" w:tplc="495223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82C2E4F"/>
    <w:multiLevelType w:val="hybridMultilevel"/>
    <w:tmpl w:val="C66C8F38"/>
    <w:lvl w:ilvl="0" w:tplc="70F4B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86B308E"/>
    <w:multiLevelType w:val="hybridMultilevel"/>
    <w:tmpl w:val="C96479BE"/>
    <w:lvl w:ilvl="0" w:tplc="F81A9B24">
      <w:start w:val="1"/>
      <w:numFmt w:val="bullet"/>
      <w:lvlText w:val="•"/>
      <w:lvlJc w:val="left"/>
      <w:pPr>
        <w:tabs>
          <w:tab w:val="num" w:pos="720"/>
        </w:tabs>
        <w:ind w:left="720" w:hanging="360"/>
      </w:pPr>
      <w:rPr>
        <w:rFonts w:ascii="Arial" w:hAnsi="Arial" w:hint="default"/>
      </w:rPr>
    </w:lvl>
    <w:lvl w:ilvl="1" w:tplc="61C2C6C8" w:tentative="1">
      <w:start w:val="1"/>
      <w:numFmt w:val="bullet"/>
      <w:lvlText w:val="•"/>
      <w:lvlJc w:val="left"/>
      <w:pPr>
        <w:tabs>
          <w:tab w:val="num" w:pos="1440"/>
        </w:tabs>
        <w:ind w:left="1440" w:hanging="360"/>
      </w:pPr>
      <w:rPr>
        <w:rFonts w:ascii="Arial" w:hAnsi="Arial" w:hint="default"/>
      </w:rPr>
    </w:lvl>
    <w:lvl w:ilvl="2" w:tplc="5B0898FE" w:tentative="1">
      <w:start w:val="1"/>
      <w:numFmt w:val="bullet"/>
      <w:lvlText w:val="•"/>
      <w:lvlJc w:val="left"/>
      <w:pPr>
        <w:tabs>
          <w:tab w:val="num" w:pos="2160"/>
        </w:tabs>
        <w:ind w:left="2160" w:hanging="360"/>
      </w:pPr>
      <w:rPr>
        <w:rFonts w:ascii="Arial" w:hAnsi="Arial" w:hint="default"/>
      </w:rPr>
    </w:lvl>
    <w:lvl w:ilvl="3" w:tplc="EE8AABBC" w:tentative="1">
      <w:start w:val="1"/>
      <w:numFmt w:val="bullet"/>
      <w:lvlText w:val="•"/>
      <w:lvlJc w:val="left"/>
      <w:pPr>
        <w:tabs>
          <w:tab w:val="num" w:pos="2880"/>
        </w:tabs>
        <w:ind w:left="2880" w:hanging="360"/>
      </w:pPr>
      <w:rPr>
        <w:rFonts w:ascii="Arial" w:hAnsi="Arial" w:hint="default"/>
      </w:rPr>
    </w:lvl>
    <w:lvl w:ilvl="4" w:tplc="C7907B28" w:tentative="1">
      <w:start w:val="1"/>
      <w:numFmt w:val="bullet"/>
      <w:lvlText w:val="•"/>
      <w:lvlJc w:val="left"/>
      <w:pPr>
        <w:tabs>
          <w:tab w:val="num" w:pos="3600"/>
        </w:tabs>
        <w:ind w:left="3600" w:hanging="360"/>
      </w:pPr>
      <w:rPr>
        <w:rFonts w:ascii="Arial" w:hAnsi="Arial" w:hint="default"/>
      </w:rPr>
    </w:lvl>
    <w:lvl w:ilvl="5" w:tplc="3CA276E2" w:tentative="1">
      <w:start w:val="1"/>
      <w:numFmt w:val="bullet"/>
      <w:lvlText w:val="•"/>
      <w:lvlJc w:val="left"/>
      <w:pPr>
        <w:tabs>
          <w:tab w:val="num" w:pos="4320"/>
        </w:tabs>
        <w:ind w:left="4320" w:hanging="360"/>
      </w:pPr>
      <w:rPr>
        <w:rFonts w:ascii="Arial" w:hAnsi="Arial" w:hint="default"/>
      </w:rPr>
    </w:lvl>
    <w:lvl w:ilvl="6" w:tplc="2EE2F046" w:tentative="1">
      <w:start w:val="1"/>
      <w:numFmt w:val="bullet"/>
      <w:lvlText w:val="•"/>
      <w:lvlJc w:val="left"/>
      <w:pPr>
        <w:tabs>
          <w:tab w:val="num" w:pos="5040"/>
        </w:tabs>
        <w:ind w:left="5040" w:hanging="360"/>
      </w:pPr>
      <w:rPr>
        <w:rFonts w:ascii="Arial" w:hAnsi="Arial" w:hint="default"/>
      </w:rPr>
    </w:lvl>
    <w:lvl w:ilvl="7" w:tplc="52D4E852" w:tentative="1">
      <w:start w:val="1"/>
      <w:numFmt w:val="bullet"/>
      <w:lvlText w:val="•"/>
      <w:lvlJc w:val="left"/>
      <w:pPr>
        <w:tabs>
          <w:tab w:val="num" w:pos="5760"/>
        </w:tabs>
        <w:ind w:left="5760" w:hanging="360"/>
      </w:pPr>
      <w:rPr>
        <w:rFonts w:ascii="Arial" w:hAnsi="Arial" w:hint="default"/>
      </w:rPr>
    </w:lvl>
    <w:lvl w:ilvl="8" w:tplc="3E2EBCF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388F0636"/>
    <w:multiLevelType w:val="hybridMultilevel"/>
    <w:tmpl w:val="FC10BE4C"/>
    <w:lvl w:ilvl="0" w:tplc="0C0A000F">
      <w:start w:val="1"/>
      <w:numFmt w:val="decimal"/>
      <w:lvlText w:val="%1."/>
      <w:lvlJc w:val="left"/>
      <w:pPr>
        <w:ind w:left="5180" w:hanging="360"/>
      </w:pPr>
      <w:rPr>
        <w:rFonts w:hint="default"/>
        <w:color w:val="5B9BD5" w:themeColor="accent1"/>
        <w:lang w:val="es-ES"/>
      </w:rPr>
    </w:lvl>
    <w:lvl w:ilvl="1" w:tplc="0C0A0009">
      <w:start w:val="1"/>
      <w:numFmt w:val="bullet"/>
      <w:lvlText w:val=""/>
      <w:lvlJc w:val="left"/>
      <w:pPr>
        <w:ind w:left="1080" w:hanging="360"/>
      </w:pPr>
      <w:rPr>
        <w:rFonts w:ascii="Wingdings" w:hAnsi="Wingdings" w:hint="default"/>
        <w:color w:val="5B9BD5" w:themeColor="accent1"/>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62" w15:restartNumberingAfterBreak="0">
    <w:nsid w:val="3B11402B"/>
    <w:multiLevelType w:val="hybridMultilevel"/>
    <w:tmpl w:val="9C4EFA6E"/>
    <w:lvl w:ilvl="0" w:tplc="F1D411D0">
      <w:start w:val="1"/>
      <w:numFmt w:val="decimal"/>
      <w:lvlText w:val="%1."/>
      <w:lvlJc w:val="left"/>
      <w:pPr>
        <w:ind w:left="1008" w:hanging="360"/>
      </w:pPr>
      <w:rPr>
        <w:rFonts w:ascii="ITC Avant Garde" w:hAnsi="ITC Avant Garde"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63"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BB2616A"/>
    <w:multiLevelType w:val="hybridMultilevel"/>
    <w:tmpl w:val="B5D659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3C026AB8"/>
    <w:multiLevelType w:val="hybridMultilevel"/>
    <w:tmpl w:val="9F66A3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C122DC1"/>
    <w:multiLevelType w:val="hybridMultilevel"/>
    <w:tmpl w:val="0018FC1E"/>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67" w15:restartNumberingAfterBreak="0">
    <w:nsid w:val="3CD27B9A"/>
    <w:multiLevelType w:val="hybridMultilevel"/>
    <w:tmpl w:val="340C0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F752817"/>
    <w:multiLevelType w:val="hybridMultilevel"/>
    <w:tmpl w:val="44B68EFE"/>
    <w:lvl w:ilvl="0" w:tplc="1A3CE30A">
      <w:start w:val="1"/>
      <w:numFmt w:val="bullet"/>
      <w:lvlText w:val="•"/>
      <w:lvlJc w:val="left"/>
      <w:pPr>
        <w:tabs>
          <w:tab w:val="num" w:pos="720"/>
        </w:tabs>
        <w:ind w:left="720" w:hanging="360"/>
      </w:pPr>
      <w:rPr>
        <w:rFonts w:ascii="Arial" w:hAnsi="Arial" w:hint="default"/>
      </w:rPr>
    </w:lvl>
    <w:lvl w:ilvl="1" w:tplc="A42461FE" w:tentative="1">
      <w:start w:val="1"/>
      <w:numFmt w:val="bullet"/>
      <w:lvlText w:val="•"/>
      <w:lvlJc w:val="left"/>
      <w:pPr>
        <w:tabs>
          <w:tab w:val="num" w:pos="1440"/>
        </w:tabs>
        <w:ind w:left="1440" w:hanging="360"/>
      </w:pPr>
      <w:rPr>
        <w:rFonts w:ascii="Arial" w:hAnsi="Arial" w:hint="default"/>
      </w:rPr>
    </w:lvl>
    <w:lvl w:ilvl="2" w:tplc="C52A72F8" w:tentative="1">
      <w:start w:val="1"/>
      <w:numFmt w:val="bullet"/>
      <w:lvlText w:val="•"/>
      <w:lvlJc w:val="left"/>
      <w:pPr>
        <w:tabs>
          <w:tab w:val="num" w:pos="2160"/>
        </w:tabs>
        <w:ind w:left="2160" w:hanging="360"/>
      </w:pPr>
      <w:rPr>
        <w:rFonts w:ascii="Arial" w:hAnsi="Arial" w:hint="default"/>
      </w:rPr>
    </w:lvl>
    <w:lvl w:ilvl="3" w:tplc="ED522BC4" w:tentative="1">
      <w:start w:val="1"/>
      <w:numFmt w:val="bullet"/>
      <w:lvlText w:val="•"/>
      <w:lvlJc w:val="left"/>
      <w:pPr>
        <w:tabs>
          <w:tab w:val="num" w:pos="2880"/>
        </w:tabs>
        <w:ind w:left="2880" w:hanging="360"/>
      </w:pPr>
      <w:rPr>
        <w:rFonts w:ascii="Arial" w:hAnsi="Arial" w:hint="default"/>
      </w:rPr>
    </w:lvl>
    <w:lvl w:ilvl="4" w:tplc="6302E16E" w:tentative="1">
      <w:start w:val="1"/>
      <w:numFmt w:val="bullet"/>
      <w:lvlText w:val="•"/>
      <w:lvlJc w:val="left"/>
      <w:pPr>
        <w:tabs>
          <w:tab w:val="num" w:pos="3600"/>
        </w:tabs>
        <w:ind w:left="3600" w:hanging="360"/>
      </w:pPr>
      <w:rPr>
        <w:rFonts w:ascii="Arial" w:hAnsi="Arial" w:hint="default"/>
      </w:rPr>
    </w:lvl>
    <w:lvl w:ilvl="5" w:tplc="D16CCD2C" w:tentative="1">
      <w:start w:val="1"/>
      <w:numFmt w:val="bullet"/>
      <w:lvlText w:val="•"/>
      <w:lvlJc w:val="left"/>
      <w:pPr>
        <w:tabs>
          <w:tab w:val="num" w:pos="4320"/>
        </w:tabs>
        <w:ind w:left="4320" w:hanging="360"/>
      </w:pPr>
      <w:rPr>
        <w:rFonts w:ascii="Arial" w:hAnsi="Arial" w:hint="default"/>
      </w:rPr>
    </w:lvl>
    <w:lvl w:ilvl="6" w:tplc="AC42D092" w:tentative="1">
      <w:start w:val="1"/>
      <w:numFmt w:val="bullet"/>
      <w:lvlText w:val="•"/>
      <w:lvlJc w:val="left"/>
      <w:pPr>
        <w:tabs>
          <w:tab w:val="num" w:pos="5040"/>
        </w:tabs>
        <w:ind w:left="5040" w:hanging="360"/>
      </w:pPr>
      <w:rPr>
        <w:rFonts w:ascii="Arial" w:hAnsi="Arial" w:hint="default"/>
      </w:rPr>
    </w:lvl>
    <w:lvl w:ilvl="7" w:tplc="1CB816C6" w:tentative="1">
      <w:start w:val="1"/>
      <w:numFmt w:val="bullet"/>
      <w:lvlText w:val="•"/>
      <w:lvlJc w:val="left"/>
      <w:pPr>
        <w:tabs>
          <w:tab w:val="num" w:pos="5760"/>
        </w:tabs>
        <w:ind w:left="5760" w:hanging="360"/>
      </w:pPr>
      <w:rPr>
        <w:rFonts w:ascii="Arial" w:hAnsi="Arial" w:hint="default"/>
      </w:rPr>
    </w:lvl>
    <w:lvl w:ilvl="8" w:tplc="F300E6A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10C2361"/>
    <w:multiLevelType w:val="multilevel"/>
    <w:tmpl w:val="C6BCCB68"/>
    <w:lvl w:ilvl="0">
      <w:start w:val="1"/>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0" w15:restartNumberingAfterBreak="0">
    <w:nsid w:val="41175344"/>
    <w:multiLevelType w:val="hybridMultilevel"/>
    <w:tmpl w:val="721884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12158E2"/>
    <w:multiLevelType w:val="hybridMultilevel"/>
    <w:tmpl w:val="926A740C"/>
    <w:lvl w:ilvl="0" w:tplc="54140136">
      <w:start w:val="1"/>
      <w:numFmt w:val="decimal"/>
      <w:lvlText w:val="%1."/>
      <w:lvlJc w:val="left"/>
      <w:pPr>
        <w:ind w:left="1008" w:hanging="360"/>
      </w:pPr>
      <w:rPr>
        <w:rFonts w:ascii="ITC Avant Garde" w:hAnsi="ITC Avant Garde" w:hint="default"/>
        <w:b w:val="0"/>
        <w:bCs w:val="0"/>
        <w:i w:val="0"/>
        <w:i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72"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17D0D95"/>
    <w:multiLevelType w:val="hybridMultilevel"/>
    <w:tmpl w:val="B538B710"/>
    <w:lvl w:ilvl="0" w:tplc="104A50E8">
      <w:start w:val="1"/>
      <w:numFmt w:val="decimal"/>
      <w:lvlText w:val="5.%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18F4D8E"/>
    <w:multiLevelType w:val="hybridMultilevel"/>
    <w:tmpl w:val="0E9E109C"/>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75" w15:restartNumberingAfterBreak="0">
    <w:nsid w:val="41A638DE"/>
    <w:multiLevelType w:val="hybridMultilevel"/>
    <w:tmpl w:val="95F675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1AB75D3"/>
    <w:multiLevelType w:val="multilevel"/>
    <w:tmpl w:val="C6BCCB68"/>
    <w:lvl w:ilvl="0">
      <w:start w:val="1"/>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7"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26E360F"/>
    <w:multiLevelType w:val="hybridMultilevel"/>
    <w:tmpl w:val="4818396C"/>
    <w:lvl w:ilvl="0" w:tplc="3FE49CC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44D02993"/>
    <w:multiLevelType w:val="hybridMultilevel"/>
    <w:tmpl w:val="510A7F8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45B86C2C"/>
    <w:multiLevelType w:val="hybridMultilevel"/>
    <w:tmpl w:val="FB90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478C7A7D"/>
    <w:multiLevelType w:val="multilevel"/>
    <w:tmpl w:val="A9524BA4"/>
    <w:lvl w:ilvl="0">
      <w:start w:val="1"/>
      <w:numFmt w:val="decimal"/>
      <w:lvlText w:val="%1."/>
      <w:lvlJc w:val="left"/>
      <w:pPr>
        <w:ind w:left="360" w:hanging="360"/>
      </w:pPr>
      <w:rPr>
        <w:rFonts w:hint="default"/>
        <w:b/>
        <w:i w:val="0"/>
        <w:color w:val="5B9BD5" w:themeColor="accent1"/>
        <w:sz w:val="40"/>
        <w:szCs w:val="40"/>
      </w:rPr>
    </w:lvl>
    <w:lvl w:ilvl="1">
      <w:start w:val="1"/>
      <w:numFmt w:val="decimal"/>
      <w:suff w:val="space"/>
      <w:lvlText w:val="%1.%2."/>
      <w:lvlJc w:val="left"/>
      <w:pPr>
        <w:ind w:left="357" w:hanging="357"/>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suff w:val="space"/>
      <w:lvlText w:val="%1.%2.%3."/>
      <w:lvlJc w:val="left"/>
      <w:pPr>
        <w:ind w:left="357" w:hanging="357"/>
      </w:pPr>
      <w:rPr>
        <w:b w:val="0"/>
        <w:bCs w:val="0"/>
        <w:i w:val="0"/>
        <w:iCs w:val="0"/>
        <w:caps w:val="0"/>
        <w:smallCaps w:val="0"/>
        <w:strike w:val="0"/>
        <w:dstrike w:val="0"/>
        <w:noProof w:val="0"/>
        <w:vanish w:val="0"/>
        <w:color w:val="5B9BD5" w:themeColor="accent1"/>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8856546"/>
    <w:multiLevelType w:val="hybridMultilevel"/>
    <w:tmpl w:val="0A583076"/>
    <w:lvl w:ilvl="0" w:tplc="E3106694">
      <w:start w:val="1"/>
      <w:numFmt w:val="decimal"/>
      <w:lvlText w:val="2.%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4" w15:restartNumberingAfterBreak="0">
    <w:nsid w:val="49226DBC"/>
    <w:multiLevelType w:val="multilevel"/>
    <w:tmpl w:val="804674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9CD73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A7F2244"/>
    <w:multiLevelType w:val="hybridMultilevel"/>
    <w:tmpl w:val="864C9C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F041F49"/>
    <w:multiLevelType w:val="hybridMultilevel"/>
    <w:tmpl w:val="B57847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4F36007B"/>
    <w:multiLevelType w:val="hybridMultilevel"/>
    <w:tmpl w:val="21622174"/>
    <w:lvl w:ilvl="0" w:tplc="0809000F">
      <w:start w:val="1"/>
      <w:numFmt w:val="decimal"/>
      <w:lvlText w:val="%1."/>
      <w:lvlJc w:val="left"/>
      <w:pPr>
        <w:ind w:left="1368" w:hanging="360"/>
      </w:pPr>
      <w:rPr>
        <w:rFonts w:hint="default"/>
      </w:rPr>
    </w:lvl>
    <w:lvl w:ilvl="1" w:tplc="0C0A0003">
      <w:start w:val="1"/>
      <w:numFmt w:val="bullet"/>
      <w:lvlText w:val="o"/>
      <w:lvlJc w:val="left"/>
      <w:pPr>
        <w:ind w:left="2088" w:hanging="360"/>
      </w:pPr>
      <w:rPr>
        <w:rFonts w:ascii="Courier New" w:hAnsi="Courier New" w:cs="Courier New"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89"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90" w15:restartNumberingAfterBreak="0">
    <w:nsid w:val="50604037"/>
    <w:multiLevelType w:val="hybridMultilevel"/>
    <w:tmpl w:val="91E6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31928C9"/>
    <w:multiLevelType w:val="hybridMultilevel"/>
    <w:tmpl w:val="A2FAE42E"/>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2" w15:restartNumberingAfterBreak="0">
    <w:nsid w:val="53954F85"/>
    <w:multiLevelType w:val="hybridMultilevel"/>
    <w:tmpl w:val="46C0C070"/>
    <w:lvl w:ilvl="0" w:tplc="D84A22E2">
      <w:start w:val="1"/>
      <w:numFmt w:val="decimal"/>
      <w:lvlText w:val="4.%1"/>
      <w:lvlJc w:val="left"/>
      <w:pPr>
        <w:ind w:left="360" w:hanging="360"/>
      </w:pPr>
      <w:rPr>
        <w:rFonts w:hint="default"/>
      </w:rPr>
    </w:lvl>
    <w:lvl w:ilvl="1" w:tplc="27869BE6">
      <w:start w:val="1"/>
      <w:numFmt w:val="lowerLetter"/>
      <w:lvlText w:val="%2."/>
      <w:lvlJc w:val="left"/>
      <w:pPr>
        <w:ind w:left="1440" w:hanging="360"/>
      </w:pPr>
      <w:rPr>
        <w:b/>
      </w:rPr>
    </w:lvl>
    <w:lvl w:ilvl="2" w:tplc="20408760">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425669D"/>
    <w:multiLevelType w:val="hybridMultilevel"/>
    <w:tmpl w:val="B5062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545E54E0"/>
    <w:multiLevelType w:val="hybridMultilevel"/>
    <w:tmpl w:val="2E2A8B58"/>
    <w:lvl w:ilvl="0" w:tplc="C4D492CA">
      <w:start w:val="1"/>
      <w:numFmt w:val="decimal"/>
      <w:suff w:val="space"/>
      <w:lvlText w:val="A1.%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15:restartNumberingAfterBreak="0">
    <w:nsid w:val="558479E2"/>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6247807"/>
    <w:multiLevelType w:val="hybridMultilevel"/>
    <w:tmpl w:val="F474B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56320F02"/>
    <w:multiLevelType w:val="hybridMultilevel"/>
    <w:tmpl w:val="081442F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9"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00" w15:restartNumberingAfterBreak="0">
    <w:nsid w:val="5B6F0AF5"/>
    <w:multiLevelType w:val="hybridMultilevel"/>
    <w:tmpl w:val="FD6C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5BA17C3D"/>
    <w:multiLevelType w:val="hybridMultilevel"/>
    <w:tmpl w:val="FFE6D8F2"/>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02" w15:restartNumberingAfterBreak="0">
    <w:nsid w:val="5C6C77DA"/>
    <w:multiLevelType w:val="hybridMultilevel"/>
    <w:tmpl w:val="6D06FD42"/>
    <w:lvl w:ilvl="0" w:tplc="7C9A9234">
      <w:start w:val="1"/>
      <w:numFmt w:val="upperRoman"/>
      <w:lvlText w:val="%1."/>
      <w:lvlJc w:val="right"/>
      <w:pPr>
        <w:ind w:left="720" w:hanging="360"/>
      </w:pPr>
      <w:rPr>
        <w:rFonts w:ascii="ITC Avant Garde" w:hAnsi="ITC Avant Garde"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D8D3E20"/>
    <w:multiLevelType w:val="hybridMultilevel"/>
    <w:tmpl w:val="47DC4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5DCB7277"/>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0D04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11364A4"/>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109" w15:restartNumberingAfterBreak="0">
    <w:nsid w:val="61485E41"/>
    <w:multiLevelType w:val="hybridMultilevel"/>
    <w:tmpl w:val="AA4E019E"/>
    <w:lvl w:ilvl="0" w:tplc="8B5A6062">
      <w:start w:val="1"/>
      <w:numFmt w:val="upperRoman"/>
      <w:lvlText w:val="%1."/>
      <w:lvlJc w:val="left"/>
      <w:pPr>
        <w:ind w:left="1287" w:hanging="720"/>
      </w:pPr>
      <w:rPr>
        <w:rFonts w:hint="default"/>
      </w:rPr>
    </w:lvl>
    <w:lvl w:ilvl="1" w:tplc="68087C6A">
      <w:start w:val="1"/>
      <w:numFmt w:val="decimal"/>
      <w:lvlText w:val="%2."/>
      <w:lvlJc w:val="left"/>
      <w:pPr>
        <w:ind w:left="1992" w:hanging="705"/>
      </w:pPr>
      <w:rPr>
        <w:rFonts w:hint="default"/>
      </w:rPr>
    </w:lvl>
    <w:lvl w:ilvl="2" w:tplc="88A47512">
      <w:numFmt w:val="bullet"/>
      <w:lvlText w:val="•"/>
      <w:lvlJc w:val="left"/>
      <w:pPr>
        <w:ind w:left="2892" w:hanging="705"/>
      </w:pPr>
      <w:rPr>
        <w:rFonts w:ascii="ITC Avant Garde" w:eastAsiaTheme="minorHAnsi" w:hAnsi="ITC Avant Garde" w:cs="Arial" w:hint="default"/>
      </w:r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0"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58D2A29"/>
    <w:multiLevelType w:val="multilevel"/>
    <w:tmpl w:val="C7F2047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5CB6DBC"/>
    <w:multiLevelType w:val="hybridMultilevel"/>
    <w:tmpl w:val="88D240F4"/>
    <w:lvl w:ilvl="0" w:tplc="4D6C9E4E">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4" w15:restartNumberingAfterBreak="0">
    <w:nsid w:val="6791638E"/>
    <w:multiLevelType w:val="hybridMultilevel"/>
    <w:tmpl w:val="35F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67AD2553"/>
    <w:multiLevelType w:val="hybridMultilevel"/>
    <w:tmpl w:val="101C7806"/>
    <w:lvl w:ilvl="0" w:tplc="40B6039C">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BD75C36"/>
    <w:multiLevelType w:val="hybridMultilevel"/>
    <w:tmpl w:val="BD68CE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7" w15:restartNumberingAfterBreak="0">
    <w:nsid w:val="6C7E6E5A"/>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18"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119" w15:restartNumberingAfterBreak="0">
    <w:nsid w:val="6D547F22"/>
    <w:multiLevelType w:val="hybridMultilevel"/>
    <w:tmpl w:val="41F4A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6D603C6D"/>
    <w:multiLevelType w:val="hybridMultilevel"/>
    <w:tmpl w:val="ACB2DD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3" w15:restartNumberingAfterBreak="0">
    <w:nsid w:val="70830FE9"/>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1951FCF"/>
    <w:multiLevelType w:val="hybridMultilevel"/>
    <w:tmpl w:val="0680C9E2"/>
    <w:lvl w:ilvl="0" w:tplc="56348006">
      <w:start w:val="1"/>
      <w:numFmt w:val="bullet"/>
      <w:lvlText w:val="•"/>
      <w:lvlJc w:val="left"/>
      <w:pPr>
        <w:ind w:left="2345" w:hanging="360"/>
      </w:pPr>
      <w:rPr>
        <w:rFonts w:ascii="Arial" w:hAnsi="Arial" w:hint="default"/>
        <w:color w:val="5B9BD5" w:themeColor="accent1"/>
      </w:rPr>
    </w:lvl>
    <w:lvl w:ilvl="1" w:tplc="040A0003" w:tentative="1">
      <w:start w:val="1"/>
      <w:numFmt w:val="bullet"/>
      <w:lvlText w:val="o"/>
      <w:lvlJc w:val="left"/>
      <w:pPr>
        <w:ind w:left="3065" w:hanging="360"/>
      </w:pPr>
      <w:rPr>
        <w:rFonts w:ascii="Courier New" w:hAnsi="Courier New" w:cs="Courier New" w:hint="default"/>
      </w:rPr>
    </w:lvl>
    <w:lvl w:ilvl="2" w:tplc="040A0005" w:tentative="1">
      <w:start w:val="1"/>
      <w:numFmt w:val="bullet"/>
      <w:lvlText w:val=""/>
      <w:lvlJc w:val="left"/>
      <w:pPr>
        <w:ind w:left="3785" w:hanging="360"/>
      </w:pPr>
      <w:rPr>
        <w:rFonts w:ascii="Wingdings" w:hAnsi="Wingdings" w:hint="default"/>
      </w:rPr>
    </w:lvl>
    <w:lvl w:ilvl="3" w:tplc="040A0001" w:tentative="1">
      <w:start w:val="1"/>
      <w:numFmt w:val="bullet"/>
      <w:lvlText w:val=""/>
      <w:lvlJc w:val="left"/>
      <w:pPr>
        <w:ind w:left="4505" w:hanging="360"/>
      </w:pPr>
      <w:rPr>
        <w:rFonts w:ascii="Symbol" w:hAnsi="Symbol" w:hint="default"/>
      </w:rPr>
    </w:lvl>
    <w:lvl w:ilvl="4" w:tplc="040A0003" w:tentative="1">
      <w:start w:val="1"/>
      <w:numFmt w:val="bullet"/>
      <w:lvlText w:val="o"/>
      <w:lvlJc w:val="left"/>
      <w:pPr>
        <w:ind w:left="5225" w:hanging="360"/>
      </w:pPr>
      <w:rPr>
        <w:rFonts w:ascii="Courier New" w:hAnsi="Courier New" w:cs="Courier New" w:hint="default"/>
      </w:rPr>
    </w:lvl>
    <w:lvl w:ilvl="5" w:tplc="040A0005" w:tentative="1">
      <w:start w:val="1"/>
      <w:numFmt w:val="bullet"/>
      <w:lvlText w:val=""/>
      <w:lvlJc w:val="left"/>
      <w:pPr>
        <w:ind w:left="5945" w:hanging="360"/>
      </w:pPr>
      <w:rPr>
        <w:rFonts w:ascii="Wingdings" w:hAnsi="Wingdings" w:hint="default"/>
      </w:rPr>
    </w:lvl>
    <w:lvl w:ilvl="6" w:tplc="040A0001" w:tentative="1">
      <w:start w:val="1"/>
      <w:numFmt w:val="bullet"/>
      <w:lvlText w:val=""/>
      <w:lvlJc w:val="left"/>
      <w:pPr>
        <w:ind w:left="6665" w:hanging="360"/>
      </w:pPr>
      <w:rPr>
        <w:rFonts w:ascii="Symbol" w:hAnsi="Symbol" w:hint="default"/>
      </w:rPr>
    </w:lvl>
    <w:lvl w:ilvl="7" w:tplc="040A0003" w:tentative="1">
      <w:start w:val="1"/>
      <w:numFmt w:val="bullet"/>
      <w:lvlText w:val="o"/>
      <w:lvlJc w:val="left"/>
      <w:pPr>
        <w:ind w:left="7385" w:hanging="360"/>
      </w:pPr>
      <w:rPr>
        <w:rFonts w:ascii="Courier New" w:hAnsi="Courier New" w:cs="Courier New" w:hint="default"/>
      </w:rPr>
    </w:lvl>
    <w:lvl w:ilvl="8" w:tplc="040A0005" w:tentative="1">
      <w:start w:val="1"/>
      <w:numFmt w:val="bullet"/>
      <w:lvlText w:val=""/>
      <w:lvlJc w:val="left"/>
      <w:pPr>
        <w:ind w:left="8105" w:hanging="360"/>
      </w:pPr>
      <w:rPr>
        <w:rFonts w:ascii="Wingdings" w:hAnsi="Wingdings" w:hint="default"/>
      </w:rPr>
    </w:lvl>
  </w:abstractNum>
  <w:abstractNum w:abstractNumId="125" w15:restartNumberingAfterBreak="0">
    <w:nsid w:val="71C2733E"/>
    <w:multiLevelType w:val="hybridMultilevel"/>
    <w:tmpl w:val="DAACB2CA"/>
    <w:lvl w:ilvl="0" w:tplc="68BEA3F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738F79B8"/>
    <w:multiLevelType w:val="hybridMultilevel"/>
    <w:tmpl w:val="98CE8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3B70838"/>
    <w:multiLevelType w:val="hybridMultilevel"/>
    <w:tmpl w:val="6D06FD42"/>
    <w:lvl w:ilvl="0" w:tplc="7C9A9234">
      <w:start w:val="1"/>
      <w:numFmt w:val="upperRoman"/>
      <w:lvlText w:val="%1."/>
      <w:lvlJc w:val="right"/>
      <w:pPr>
        <w:ind w:left="720" w:hanging="360"/>
      </w:pPr>
      <w:rPr>
        <w:rFonts w:ascii="ITC Avant Garde" w:hAnsi="ITC Avant Garde"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47B54D1"/>
    <w:multiLevelType w:val="hybridMultilevel"/>
    <w:tmpl w:val="4CB07F0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29" w15:restartNumberingAfterBreak="0">
    <w:nsid w:val="758073EB"/>
    <w:multiLevelType w:val="hybridMultilevel"/>
    <w:tmpl w:val="B3F68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692069A"/>
    <w:multiLevelType w:val="hybridMultilevel"/>
    <w:tmpl w:val="EB1084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6C7134C"/>
    <w:multiLevelType w:val="hybridMultilevel"/>
    <w:tmpl w:val="183874CC"/>
    <w:lvl w:ilvl="0" w:tplc="B012175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2" w15:restartNumberingAfterBreak="0">
    <w:nsid w:val="77EC6029"/>
    <w:multiLevelType w:val="hybridMultilevel"/>
    <w:tmpl w:val="AB8E0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79447D7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9C25116"/>
    <w:multiLevelType w:val="hybridMultilevel"/>
    <w:tmpl w:val="156E676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5" w15:restartNumberingAfterBreak="0">
    <w:nsid w:val="7A8178B6"/>
    <w:multiLevelType w:val="hybridMultilevel"/>
    <w:tmpl w:val="6DD28686"/>
    <w:lvl w:ilvl="0" w:tplc="0409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7C0B0EC3"/>
    <w:multiLevelType w:val="hybridMultilevel"/>
    <w:tmpl w:val="F85C6904"/>
    <w:lvl w:ilvl="0" w:tplc="229E7E54">
      <w:start w:val="1"/>
      <w:numFmt w:val="bullet"/>
      <w:lvlText w:val=""/>
      <w:lvlJc w:val="left"/>
      <w:pPr>
        <w:ind w:left="720" w:hanging="360"/>
      </w:pPr>
      <w:rPr>
        <w:rFonts w:ascii="Wingdings 3" w:hAnsi="Wingdings 3"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8641DA"/>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7FF83022"/>
    <w:multiLevelType w:val="hybridMultilevel"/>
    <w:tmpl w:val="822667C0"/>
    <w:lvl w:ilvl="0" w:tplc="0809000F">
      <w:start w:val="1"/>
      <w:numFmt w:val="decimal"/>
      <w:lvlText w:val="%1."/>
      <w:lvlJc w:val="left"/>
      <w:pPr>
        <w:ind w:left="1008" w:hanging="360"/>
      </w:pPr>
      <w:rPr>
        <w:rFonts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num w:numId="1">
    <w:abstractNumId w:val="90"/>
  </w:num>
  <w:num w:numId="2">
    <w:abstractNumId w:val="57"/>
  </w:num>
  <w:num w:numId="3">
    <w:abstractNumId w:val="101"/>
  </w:num>
  <w:num w:numId="4">
    <w:abstractNumId w:val="80"/>
  </w:num>
  <w:num w:numId="5">
    <w:abstractNumId w:val="135"/>
  </w:num>
  <w:num w:numId="6">
    <w:abstractNumId w:val="134"/>
  </w:num>
  <w:num w:numId="7">
    <w:abstractNumId w:val="67"/>
  </w:num>
  <w:num w:numId="8">
    <w:abstractNumId w:val="128"/>
  </w:num>
  <w:num w:numId="9">
    <w:abstractNumId w:val="53"/>
  </w:num>
  <w:num w:numId="10">
    <w:abstractNumId w:val="89"/>
  </w:num>
  <w:num w:numId="11">
    <w:abstractNumId w:val="124"/>
  </w:num>
  <w:num w:numId="12">
    <w:abstractNumId w:val="136"/>
  </w:num>
  <w:num w:numId="13">
    <w:abstractNumId w:val="47"/>
  </w:num>
  <w:num w:numId="14">
    <w:abstractNumId w:val="91"/>
  </w:num>
  <w:num w:numId="15">
    <w:abstractNumId w:val="107"/>
  </w:num>
  <w:num w:numId="16">
    <w:abstractNumId w:val="139"/>
  </w:num>
  <w:num w:numId="17">
    <w:abstractNumId w:val="88"/>
  </w:num>
  <w:num w:numId="18">
    <w:abstractNumId w:val="106"/>
  </w:num>
  <w:num w:numId="19">
    <w:abstractNumId w:val="53"/>
  </w:num>
  <w:num w:numId="20">
    <w:abstractNumId w:val="53"/>
  </w:num>
  <w:num w:numId="21">
    <w:abstractNumId w:val="133"/>
  </w:num>
  <w:num w:numId="22">
    <w:abstractNumId w:val="5"/>
  </w:num>
  <w:num w:numId="23">
    <w:abstractNumId w:val="22"/>
  </w:num>
  <w:num w:numId="24">
    <w:abstractNumId w:val="112"/>
  </w:num>
  <w:num w:numId="25">
    <w:abstractNumId w:val="117"/>
  </w:num>
  <w:num w:numId="26">
    <w:abstractNumId w:val="9"/>
  </w:num>
  <w:num w:numId="27">
    <w:abstractNumId w:val="53"/>
  </w:num>
  <w:num w:numId="28">
    <w:abstractNumId w:val="105"/>
  </w:num>
  <w:num w:numId="29">
    <w:abstractNumId w:val="105"/>
  </w:num>
  <w:num w:numId="30">
    <w:abstractNumId w:val="66"/>
  </w:num>
  <w:num w:numId="31">
    <w:abstractNumId w:val="61"/>
  </w:num>
  <w:num w:numId="32">
    <w:abstractNumId w:val="81"/>
  </w:num>
  <w:num w:numId="33">
    <w:abstractNumId w:val="63"/>
  </w:num>
  <w:num w:numId="34">
    <w:abstractNumId w:val="99"/>
  </w:num>
  <w:num w:numId="35">
    <w:abstractNumId w:val="93"/>
  </w:num>
  <w:num w:numId="36">
    <w:abstractNumId w:val="28"/>
  </w:num>
  <w:num w:numId="37">
    <w:abstractNumId w:val="46"/>
  </w:num>
  <w:num w:numId="38">
    <w:abstractNumId w:val="118"/>
  </w:num>
  <w:num w:numId="39">
    <w:abstractNumId w:val="3"/>
  </w:num>
  <w:num w:numId="40">
    <w:abstractNumId w:val="108"/>
  </w:num>
  <w:num w:numId="41">
    <w:abstractNumId w:val="49"/>
  </w:num>
  <w:num w:numId="42">
    <w:abstractNumId w:val="34"/>
  </w:num>
  <w:num w:numId="43">
    <w:abstractNumId w:val="83"/>
  </w:num>
  <w:num w:numId="44">
    <w:abstractNumId w:val="77"/>
  </w:num>
  <w:num w:numId="45">
    <w:abstractNumId w:val="29"/>
  </w:num>
  <w:num w:numId="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 w:ilvl="0">
        <w:start w:val="1"/>
        <w:numFmt w:val="upperLetter"/>
        <w:pStyle w:val="Annex1"/>
        <w:lvlText w:val="Anexo %1."/>
        <w:lvlJc w:val="left"/>
        <w:pPr>
          <w:ind w:left="360" w:hanging="360"/>
        </w:pPr>
        <w:rPr>
          <w:rFonts w:hint="default"/>
          <w:b/>
          <w:i w:val="0"/>
          <w:color w:val="5B9BD5" w:themeColor="accent1"/>
          <w:sz w:val="40"/>
          <w:szCs w:val="40"/>
        </w:rPr>
      </w:lvl>
    </w:lvlOverride>
    <w:lvlOverride w:ilvl="1">
      <w:lvl w:ilvl="1">
        <w:start w:val="1"/>
        <w:numFmt w:val="decimal"/>
        <w:pStyle w:val="Annexlv2"/>
        <w:suff w:val="space"/>
        <w:lvlText w:val="%1.%2."/>
        <w:lvlJc w:val="left"/>
        <w:pPr>
          <w:ind w:left="357" w:hanging="357"/>
        </w:pPr>
        <w:rPr>
          <w:rFonts w:hint="default"/>
          <w:b w:val="0"/>
          <w:bCs/>
          <w:i w:val="0"/>
          <w:iCs w:val="0"/>
          <w:caps w:val="0"/>
          <w:strike w:val="0"/>
          <w:dstrike w:val="0"/>
          <w:vanish w:val="0"/>
          <w:spacing w:val="0"/>
          <w:kern w:val="0"/>
          <w:position w:val="0"/>
          <w:u w:val="none"/>
          <w:effect w:val="none"/>
          <w:vertAlign w:val="baseline"/>
          <w:em w:val="none"/>
        </w:rPr>
      </w:lvl>
    </w:lvlOverride>
    <w:lvlOverride w:ilvl="2">
      <w:lvl w:ilvl="2">
        <w:start w:val="1"/>
        <w:numFmt w:val="decimal"/>
        <w:pStyle w:val="AnnexLvl3"/>
        <w:suff w:val="space"/>
        <w:lvlText w:val="%1.%2.%3."/>
        <w:lvlJc w:val="left"/>
        <w:pPr>
          <w:ind w:left="1067" w:hanging="357"/>
        </w:pPr>
        <w:rPr>
          <w:rFonts w:hint="default"/>
          <w:b/>
          <w:bCs w:val="0"/>
          <w:i w:val="0"/>
          <w:iCs w:val="0"/>
          <w:caps w:val="0"/>
          <w:smallCaps w:val="0"/>
          <w:strike w:val="0"/>
          <w:dstrike w:val="0"/>
          <w:vanish w:val="0"/>
          <w:color w:val="5B9BD5" w:themeColor="accent1"/>
          <w:spacing w:val="0"/>
          <w:kern w:val="0"/>
          <w:position w:val="0"/>
          <w:u w:val="none"/>
          <w:effect w:val="none"/>
          <w:vertAlign w:val="baseline"/>
          <w:em w:val="none"/>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6"/>
  </w:num>
  <w:num w:numId="55">
    <w:abstractNumId w:val="35"/>
  </w:num>
  <w:num w:numId="56">
    <w:abstractNumId w:val="11"/>
  </w:num>
  <w:num w:numId="57">
    <w:abstractNumId w:val="71"/>
  </w:num>
  <w:num w:numId="58">
    <w:abstractNumId w:val="53"/>
  </w:num>
  <w:num w:numId="59">
    <w:abstractNumId w:val="53"/>
  </w:num>
  <w:num w:numId="60">
    <w:abstractNumId w:val="53"/>
  </w:num>
  <w:num w:numId="61">
    <w:abstractNumId w:val="96"/>
  </w:num>
  <w:num w:numId="62">
    <w:abstractNumId w:val="53"/>
  </w:num>
  <w:num w:numId="63">
    <w:abstractNumId w:val="31"/>
  </w:num>
  <w:num w:numId="6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num>
  <w:num w:numId="68">
    <w:abstractNumId w:val="89"/>
  </w:num>
  <w:num w:numId="69">
    <w:abstractNumId w:val="53"/>
  </w:num>
  <w:num w:numId="70">
    <w:abstractNumId w:val="9"/>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num>
  <w:num w:numId="73">
    <w:abstractNumId w:val="28"/>
  </w:num>
  <w:num w:numId="74">
    <w:abstractNumId w:val="63"/>
    <w:lvlOverride w:ilvl="0"/>
    <w:lvlOverride w:ilvl="1">
      <w:startOverride w:val="1"/>
    </w:lvlOverride>
    <w:lvlOverride w:ilvl="2"/>
    <w:lvlOverride w:ilvl="3"/>
    <w:lvlOverride w:ilvl="4"/>
    <w:lvlOverride w:ilvl="5"/>
    <w:lvlOverride w:ilvl="6"/>
    <w:lvlOverride w:ilvl="7"/>
    <w:lvlOverride w:ilvl="8"/>
  </w:num>
  <w:num w:numId="75">
    <w:abstractNumId w:val="46"/>
  </w:num>
  <w:num w:numId="76">
    <w:abstractNumId w:val="118"/>
  </w:num>
  <w:num w:numId="77">
    <w:abstractNumId w:val="3"/>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num>
  <w:num w:numId="81">
    <w:abstractNumId w:val="95"/>
  </w:num>
  <w:num w:numId="82">
    <w:abstractNumId w:val="138"/>
  </w:num>
  <w:num w:numId="83">
    <w:abstractNumId w:val="138"/>
  </w:num>
  <w:num w:numId="84">
    <w:abstractNumId w:val="121"/>
  </w:num>
  <w:num w:numId="8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num>
  <w:num w:numId="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lvlOverride w:ilvl="2"/>
    <w:lvlOverride w:ilvl="3"/>
    <w:lvlOverride w:ilvl="4"/>
    <w:lvlOverride w:ilvl="5"/>
    <w:lvlOverride w:ilvl="6"/>
    <w:lvlOverride w:ilvl="7"/>
    <w:lvlOverride w:ilvl="8"/>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5"/>
    <w:lvlOverride w:ilvl="0">
      <w:startOverride w:val="1"/>
    </w:lvlOverride>
    <w:lvlOverride w:ilvl="1"/>
    <w:lvlOverride w:ilvl="2"/>
    <w:lvlOverride w:ilvl="3"/>
    <w:lvlOverride w:ilvl="4"/>
    <w:lvlOverride w:ilvl="5"/>
    <w:lvlOverride w:ilvl="6"/>
    <w:lvlOverride w:ilvl="7"/>
    <w:lvlOverride w:ilvl="8"/>
  </w:num>
  <w:num w:numId="91">
    <w:abstractNumId w:val="56"/>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5"/>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num>
  <w:num w:numId="98">
    <w:abstractNumId w:val="85"/>
  </w:num>
  <w:num w:numId="99">
    <w:abstractNumId w:val="13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8"/>
  </w:num>
  <w:num w:numId="10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8"/>
  </w:num>
  <w:num w:numId="103">
    <w:abstractNumId w:val="1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2"/>
  </w:num>
  <w:num w:numId="108">
    <w:abstractNumId w:val="16"/>
  </w:num>
  <w:num w:numId="109">
    <w:abstractNumId w:val="138"/>
  </w:num>
  <w:num w:numId="110">
    <w:abstractNumId w:val="138"/>
  </w:num>
  <w:num w:numId="111">
    <w:abstractNumId w:val="138"/>
  </w:num>
  <w:num w:numId="1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num>
  <w:num w:numId="114">
    <w:abstractNumId w:val="138"/>
  </w:num>
  <w:num w:numId="115">
    <w:abstractNumId w:val="94"/>
  </w:num>
  <w:num w:numId="116">
    <w:abstractNumId w:val="138"/>
  </w:num>
  <w:num w:numId="117">
    <w:abstractNumId w:val="138"/>
  </w:num>
  <w:num w:numId="1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8"/>
  </w:num>
  <w:num w:numId="120">
    <w:abstractNumId w:val="62"/>
  </w:num>
  <w:num w:numId="121">
    <w:abstractNumId w:val="53"/>
  </w:num>
  <w:num w:numId="122">
    <w:abstractNumId w:val="137"/>
  </w:num>
  <w:num w:numId="123">
    <w:abstractNumId w:val="53"/>
  </w:num>
  <w:num w:numId="124">
    <w:abstractNumId w:val="45"/>
  </w:num>
  <w:num w:numId="125">
    <w:abstractNumId w:val="53"/>
  </w:num>
  <w:num w:numId="126">
    <w:abstractNumId w:val="104"/>
  </w:num>
  <w:num w:numId="127">
    <w:abstractNumId w:val="53"/>
  </w:num>
  <w:num w:numId="128">
    <w:abstractNumId w:val="2"/>
  </w:num>
  <w:num w:numId="129">
    <w:abstractNumId w:val="53"/>
  </w:num>
  <w:num w:numId="130">
    <w:abstractNumId w:val="123"/>
  </w:num>
  <w:num w:numId="131">
    <w:abstractNumId w:val="53"/>
  </w:num>
  <w:num w:numId="132">
    <w:abstractNumId w:val="53"/>
  </w:num>
  <w:num w:numId="133">
    <w:abstractNumId w:val="53"/>
  </w:num>
  <w:num w:numId="134">
    <w:abstractNumId w:val="53"/>
  </w:num>
  <w:num w:numId="135">
    <w:abstractNumId w:val="53"/>
  </w:num>
  <w:num w:numId="136">
    <w:abstractNumId w:val="53"/>
  </w:num>
  <w:num w:numId="137">
    <w:abstractNumId w:val="44"/>
  </w:num>
  <w:num w:numId="138">
    <w:abstractNumId w:val="87"/>
  </w:num>
  <w:num w:numId="139">
    <w:abstractNumId w:val="53"/>
  </w:num>
  <w:num w:numId="140">
    <w:abstractNumId w:val="53"/>
  </w:num>
  <w:num w:numId="141">
    <w:abstractNumId w:val="131"/>
  </w:num>
  <w:num w:numId="142">
    <w:abstractNumId w:val="60"/>
  </w:num>
  <w:num w:numId="143">
    <w:abstractNumId w:val="138"/>
  </w:num>
  <w:num w:numId="144">
    <w:abstractNumId w:val="138"/>
  </w:num>
  <w:num w:numId="145">
    <w:abstractNumId w:val="138"/>
  </w:num>
  <w:num w:numId="146">
    <w:abstractNumId w:val="138"/>
  </w:num>
  <w:num w:numId="14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8"/>
  </w:num>
  <w:num w:numId="150">
    <w:abstractNumId w:val="138"/>
  </w:num>
  <w:num w:numId="151">
    <w:abstractNumId w:val="138"/>
  </w:num>
  <w:num w:numId="152">
    <w:abstractNumId w:val="1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3"/>
  </w:num>
  <w:num w:numId="154">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4"/>
  </w:num>
  <w:num w:numId="156">
    <w:abstractNumId w:val="18"/>
  </w:num>
  <w:num w:numId="157">
    <w:abstractNumId w:val="53"/>
  </w:num>
  <w:num w:numId="158">
    <w:abstractNumId w:val="53"/>
  </w:num>
  <w:num w:numId="159">
    <w:abstractNumId w:val="53"/>
  </w:num>
  <w:num w:numId="160">
    <w:abstractNumId w:val="23"/>
  </w:num>
  <w:num w:numId="161">
    <w:abstractNumId w:val="138"/>
  </w:num>
  <w:num w:numId="162">
    <w:abstractNumId w:val="138"/>
  </w:num>
  <w:num w:numId="16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8"/>
  </w:num>
  <w:num w:numId="166">
    <w:abstractNumId w:val="138"/>
  </w:num>
  <w:num w:numId="167">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8"/>
  </w:num>
  <w:num w:numId="171">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3"/>
  </w:num>
  <w:num w:numId="174">
    <w:abstractNumId w:val="53"/>
  </w:num>
  <w:num w:numId="175">
    <w:abstractNumId w:val="53"/>
  </w:num>
  <w:num w:numId="1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1"/>
  </w:num>
  <w:num w:numId="178">
    <w:abstractNumId w:val="84"/>
  </w:num>
  <w:num w:numId="179">
    <w:abstractNumId w:val="111"/>
  </w:num>
  <w:num w:numId="180">
    <w:abstractNumId w:val="138"/>
  </w:num>
  <w:num w:numId="181">
    <w:abstractNumId w:val="8"/>
  </w:num>
  <w:num w:numId="182">
    <w:abstractNumId w:val="69"/>
  </w:num>
  <w:num w:numId="183">
    <w:abstractNumId w:val="17"/>
  </w:num>
  <w:num w:numId="184">
    <w:abstractNumId w:val="76"/>
  </w:num>
  <w:num w:numId="185">
    <w:abstractNumId w:val="32"/>
  </w:num>
  <w:num w:numId="186">
    <w:abstractNumId w:val="113"/>
  </w:num>
  <w:num w:numId="187">
    <w:abstractNumId w:val="138"/>
  </w:num>
  <w:num w:numId="188">
    <w:abstractNumId w:val="13"/>
  </w:num>
  <w:num w:numId="189">
    <w:abstractNumId w:val="13"/>
  </w:num>
  <w:num w:numId="190">
    <w:abstractNumId w:val="13"/>
  </w:num>
  <w:num w:numId="191">
    <w:abstractNumId w:val="13"/>
  </w:num>
  <w:num w:numId="192">
    <w:abstractNumId w:val="13"/>
    <w:lvlOverride w:ilvl="0">
      <w:lvl w:ilvl="0">
        <w:start w:val="1"/>
        <w:numFmt w:val="decimal"/>
        <w:lvlText w:val="%1."/>
        <w:lvlJc w:val="left"/>
        <w:pPr>
          <w:ind w:left="502" w:hanging="360"/>
        </w:pPr>
        <w:rPr>
          <w:rFonts w:hint="default"/>
          <w:b w:val="0"/>
          <w:bCs/>
          <w:i w:val="0"/>
          <w:color w:val="0C2749"/>
          <w:sz w:val="18"/>
          <w:szCs w:val="16"/>
        </w:rPr>
      </w:lvl>
    </w:lvlOverride>
    <w:lvlOverride w:ilvl="1">
      <w:lvl w:ilvl="1">
        <w:start w:val="1"/>
        <w:numFmt w:val="decimal"/>
        <w:pStyle w:val="A1L2"/>
        <w:suff w:val="space"/>
        <w:lvlText w:val="%1.%2."/>
        <w:lvlJc w:val="left"/>
        <w:pPr>
          <w:ind w:left="934" w:hanging="432"/>
        </w:pPr>
        <w:rPr>
          <w:rFonts w:hint="default"/>
        </w:rPr>
      </w:lvl>
    </w:lvlOverride>
    <w:lvlOverride w:ilvl="2">
      <w:lvl w:ilvl="2">
        <w:start w:val="1"/>
        <w:numFmt w:val="decimal"/>
        <w:suff w:val="space"/>
        <w:lvlText w:val="%1.%2.%3."/>
        <w:lvlJc w:val="left"/>
        <w:pPr>
          <w:ind w:left="1366" w:hanging="504"/>
        </w:pPr>
        <w:rPr>
          <w:rFonts w:hint="default"/>
        </w:rPr>
      </w:lvl>
    </w:lvlOverride>
    <w:lvlOverride w:ilvl="3">
      <w:lvl w:ilvl="3">
        <w:start w:val="1"/>
        <w:numFmt w:val="decimal"/>
        <w:lvlText w:val="%1.%2.%3.%4."/>
        <w:lvlJc w:val="left"/>
        <w:pPr>
          <w:tabs>
            <w:tab w:val="num" w:pos="1942"/>
          </w:tabs>
          <w:ind w:left="1870" w:hanging="648"/>
        </w:pPr>
        <w:rPr>
          <w:rFonts w:hint="default"/>
        </w:rPr>
      </w:lvl>
    </w:lvlOverride>
    <w:lvlOverride w:ilvl="4">
      <w:lvl w:ilvl="4">
        <w:start w:val="1"/>
        <w:numFmt w:val="decimal"/>
        <w:lvlText w:val="%1.%2.%3.%4.%5."/>
        <w:lvlJc w:val="left"/>
        <w:pPr>
          <w:tabs>
            <w:tab w:val="num" w:pos="2662"/>
          </w:tabs>
          <w:ind w:left="2374" w:hanging="792"/>
        </w:pPr>
        <w:rPr>
          <w:rFonts w:hint="default"/>
        </w:rPr>
      </w:lvl>
    </w:lvlOverride>
    <w:lvlOverride w:ilvl="5">
      <w:lvl w:ilvl="5">
        <w:start w:val="1"/>
        <w:numFmt w:val="decimal"/>
        <w:lvlText w:val="%1.%2.%3.%4.%5.%6."/>
        <w:lvlJc w:val="left"/>
        <w:pPr>
          <w:tabs>
            <w:tab w:val="num" w:pos="3022"/>
          </w:tabs>
          <w:ind w:left="2878" w:hanging="936"/>
        </w:pPr>
        <w:rPr>
          <w:rFonts w:hint="default"/>
        </w:rPr>
      </w:lvl>
    </w:lvlOverride>
    <w:lvlOverride w:ilvl="6">
      <w:lvl w:ilvl="6">
        <w:start w:val="1"/>
        <w:numFmt w:val="decimal"/>
        <w:lvlText w:val="%1.%2.%3.%4.%5.%6.%7."/>
        <w:lvlJc w:val="left"/>
        <w:pPr>
          <w:tabs>
            <w:tab w:val="num" w:pos="3742"/>
          </w:tabs>
          <w:ind w:left="3382" w:hanging="1080"/>
        </w:pPr>
        <w:rPr>
          <w:rFonts w:hint="default"/>
        </w:rPr>
      </w:lvl>
    </w:lvlOverride>
    <w:lvlOverride w:ilvl="7">
      <w:lvl w:ilvl="7">
        <w:start w:val="1"/>
        <w:numFmt w:val="decimal"/>
        <w:lvlText w:val="%1.%2.%3.%4.%5.%6.%7.%8."/>
        <w:lvlJc w:val="left"/>
        <w:pPr>
          <w:tabs>
            <w:tab w:val="num" w:pos="4102"/>
          </w:tabs>
          <w:ind w:left="3886" w:hanging="1224"/>
        </w:pPr>
        <w:rPr>
          <w:rFonts w:hint="default"/>
        </w:rPr>
      </w:lvl>
    </w:lvlOverride>
    <w:lvlOverride w:ilvl="8">
      <w:lvl w:ilvl="8">
        <w:start w:val="1"/>
        <w:numFmt w:val="decimal"/>
        <w:lvlText w:val="%1.%2.%3.%4.%5.%6.%7.%8.%9."/>
        <w:lvlJc w:val="left"/>
        <w:pPr>
          <w:tabs>
            <w:tab w:val="num" w:pos="4822"/>
          </w:tabs>
          <w:ind w:left="4462" w:hanging="1440"/>
        </w:pPr>
        <w:rPr>
          <w:rFonts w:hint="default"/>
        </w:rPr>
      </w:lvl>
    </w:lvlOverride>
  </w:num>
  <w:num w:numId="193">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3"/>
  </w:num>
  <w:num w:numId="197">
    <w:abstractNumId w:val="13"/>
  </w:num>
  <w:num w:numId="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
  </w:num>
  <w:num w:numId="200">
    <w:abstractNumId w:val="110"/>
  </w:num>
  <w:num w:numId="201">
    <w:abstractNumId w:val="138"/>
  </w:num>
  <w:num w:numId="202">
    <w:abstractNumId w:val="1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8"/>
  </w:num>
  <w:num w:numId="204">
    <w:abstractNumId w:val="138"/>
  </w:num>
  <w:num w:numId="205">
    <w:abstractNumId w:val="138"/>
  </w:num>
  <w:num w:numId="206">
    <w:abstractNumId w:val="53"/>
  </w:num>
  <w:num w:numId="207">
    <w:abstractNumId w:val="53"/>
  </w:num>
  <w:num w:numId="208">
    <w:abstractNumId w:val="53"/>
  </w:num>
  <w:num w:numId="209">
    <w:abstractNumId w:val="53"/>
  </w:num>
  <w:num w:numId="210">
    <w:abstractNumId w:val="53"/>
  </w:num>
  <w:num w:numId="211">
    <w:abstractNumId w:val="53"/>
  </w:num>
  <w:num w:numId="212">
    <w:abstractNumId w:val="53"/>
  </w:num>
  <w:num w:numId="213">
    <w:abstractNumId w:val="51"/>
  </w:num>
  <w:num w:numId="214">
    <w:abstractNumId w:val="59"/>
  </w:num>
  <w:num w:numId="215">
    <w:abstractNumId w:val="68"/>
  </w:num>
  <w:num w:numId="216">
    <w:abstractNumId w:val="12"/>
  </w:num>
  <w:num w:numId="217">
    <w:abstractNumId w:val="129"/>
  </w:num>
  <w:num w:numId="218">
    <w:abstractNumId w:val="33"/>
  </w:num>
  <w:num w:numId="219">
    <w:abstractNumId w:val="78"/>
  </w:num>
  <w:num w:numId="220">
    <w:abstractNumId w:val="37"/>
  </w:num>
  <w:num w:numId="221">
    <w:abstractNumId w:val="38"/>
  </w:num>
  <w:num w:numId="222">
    <w:abstractNumId w:val="130"/>
  </w:num>
  <w:num w:numId="223">
    <w:abstractNumId w:val="65"/>
  </w:num>
  <w:num w:numId="224">
    <w:abstractNumId w:val="72"/>
  </w:num>
  <w:num w:numId="225">
    <w:abstractNumId w:val="114"/>
  </w:num>
  <w:num w:numId="226">
    <w:abstractNumId w:val="53"/>
  </w:num>
  <w:num w:numId="227">
    <w:abstractNumId w:val="10"/>
  </w:num>
  <w:num w:numId="228">
    <w:abstractNumId w:val="53"/>
  </w:num>
  <w:num w:numId="229">
    <w:abstractNumId w:val="15"/>
  </w:num>
  <w:num w:numId="230">
    <w:abstractNumId w:val="42"/>
  </w:num>
  <w:num w:numId="231">
    <w:abstractNumId w:val="53"/>
  </w:num>
  <w:num w:numId="232">
    <w:abstractNumId w:val="41"/>
  </w:num>
  <w:num w:numId="233">
    <w:abstractNumId w:val="26"/>
  </w:num>
  <w:num w:numId="234">
    <w:abstractNumId w:val="109"/>
  </w:num>
  <w:num w:numId="235">
    <w:abstractNumId w:val="53"/>
  </w:num>
  <w:num w:numId="236">
    <w:abstractNumId w:val="21"/>
  </w:num>
  <w:num w:numId="237">
    <w:abstractNumId w:val="53"/>
  </w:num>
  <w:num w:numId="238">
    <w:abstractNumId w:val="53"/>
  </w:num>
  <w:num w:numId="239">
    <w:abstractNumId w:val="53"/>
  </w:num>
  <w:num w:numId="240">
    <w:abstractNumId w:val="53"/>
  </w:num>
  <w:num w:numId="241">
    <w:abstractNumId w:val="53"/>
  </w:num>
  <w:num w:numId="242">
    <w:abstractNumId w:val="4"/>
  </w:num>
  <w:num w:numId="243">
    <w:abstractNumId w:val="127"/>
  </w:num>
  <w:num w:numId="244">
    <w:abstractNumId w:val="102"/>
  </w:num>
  <w:num w:numId="245">
    <w:abstractNumId w:val="113"/>
  </w:num>
  <w:num w:numId="246">
    <w:abstractNumId w:val="19"/>
  </w:num>
  <w:num w:numId="247">
    <w:abstractNumId w:val="126"/>
  </w:num>
  <w:num w:numId="248">
    <w:abstractNumId w:val="116"/>
  </w:num>
  <w:num w:numId="249">
    <w:abstractNumId w:val="132"/>
  </w:num>
  <w:num w:numId="250">
    <w:abstractNumId w:val="58"/>
  </w:num>
  <w:num w:numId="251">
    <w:abstractNumId w:val="103"/>
  </w:num>
  <w:num w:numId="252">
    <w:abstractNumId w:val="97"/>
  </w:num>
  <w:num w:numId="253">
    <w:abstractNumId w:val="86"/>
  </w:num>
  <w:num w:numId="254">
    <w:abstractNumId w:val="98"/>
  </w:num>
  <w:num w:numId="255">
    <w:abstractNumId w:val="53"/>
  </w:num>
  <w:num w:numId="256">
    <w:abstractNumId w:val="7"/>
  </w:num>
  <w:num w:numId="257">
    <w:abstractNumId w:val="40"/>
  </w:num>
  <w:num w:numId="258">
    <w:abstractNumId w:val="14"/>
  </w:num>
  <w:num w:numId="259">
    <w:abstractNumId w:val="53"/>
  </w:num>
  <w:num w:numId="260">
    <w:abstractNumId w:val="1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3"/>
  </w:num>
  <w:num w:numId="262">
    <w:abstractNumId w:val="48"/>
  </w:num>
  <w:num w:numId="263">
    <w:abstractNumId w:val="53"/>
  </w:num>
  <w:num w:numId="264">
    <w:abstractNumId w:val="53"/>
  </w:num>
  <w:num w:numId="265">
    <w:abstractNumId w:val="53"/>
  </w:num>
  <w:num w:numId="266">
    <w:abstractNumId w:val="64"/>
  </w:num>
  <w:num w:numId="267">
    <w:abstractNumId w:val="100"/>
  </w:num>
  <w:num w:numId="268">
    <w:abstractNumId w:val="52"/>
  </w:num>
  <w:num w:numId="269">
    <w:abstractNumId w:val="20"/>
  </w:num>
  <w:num w:numId="270">
    <w:abstractNumId w:val="43"/>
  </w:num>
  <w:num w:numId="271">
    <w:abstractNumId w:val="82"/>
  </w:num>
  <w:num w:numId="272">
    <w:abstractNumId w:val="25"/>
  </w:num>
  <w:num w:numId="273">
    <w:abstractNumId w:val="115"/>
  </w:num>
  <w:num w:numId="274">
    <w:abstractNumId w:val="92"/>
  </w:num>
  <w:num w:numId="275">
    <w:abstractNumId w:val="73"/>
  </w:num>
  <w:num w:numId="276">
    <w:abstractNumId w:val="53"/>
  </w:num>
  <w:num w:numId="277">
    <w:abstractNumId w:val="50"/>
  </w:num>
  <w:num w:numId="278">
    <w:abstractNumId w:val="119"/>
  </w:num>
  <w:num w:numId="279">
    <w:abstractNumId w:val="53"/>
  </w:num>
  <w:num w:numId="280">
    <w:abstractNumId w:val="53"/>
  </w:num>
  <w:num w:numId="281">
    <w:abstractNumId w:val="53"/>
  </w:num>
  <w:num w:numId="282">
    <w:abstractNumId w:val="53"/>
  </w:num>
  <w:num w:numId="283">
    <w:abstractNumId w:val="53"/>
  </w:num>
  <w:num w:numId="284">
    <w:abstractNumId w:val="53"/>
  </w:num>
  <w:num w:numId="285">
    <w:abstractNumId w:val="53"/>
  </w:num>
  <w:num w:numId="286">
    <w:abstractNumId w:val="30"/>
  </w:num>
  <w:num w:numId="287">
    <w:abstractNumId w:val="53"/>
  </w:num>
  <w:num w:numId="288">
    <w:abstractNumId w:val="53"/>
  </w:num>
  <w:num w:numId="289">
    <w:abstractNumId w:val="53"/>
  </w:num>
  <w:num w:numId="290">
    <w:abstractNumId w:val="53"/>
  </w:num>
  <w:num w:numId="291">
    <w:abstractNumId w:val="53"/>
  </w:num>
  <w:num w:numId="292">
    <w:abstractNumId w:val="53"/>
  </w:num>
  <w:num w:numId="293">
    <w:abstractNumId w:val="125"/>
  </w:num>
  <w:num w:numId="294">
    <w:abstractNumId w:val="53"/>
  </w:num>
  <w:num w:numId="295">
    <w:abstractNumId w:val="53"/>
  </w:num>
  <w:num w:numId="296">
    <w:abstractNumId w:val="53"/>
  </w:num>
  <w:num w:numId="297">
    <w:abstractNumId w:val="53"/>
  </w:num>
  <w:num w:numId="298">
    <w:abstractNumId w:val="53"/>
  </w:num>
  <w:num w:numId="299">
    <w:abstractNumId w:val="53"/>
  </w:num>
  <w:num w:numId="300">
    <w:abstractNumId w:val="53"/>
  </w:num>
  <w:num w:numId="301">
    <w:abstractNumId w:val="53"/>
  </w:num>
  <w:num w:numId="302">
    <w:abstractNumId w:val="53"/>
  </w:num>
  <w:num w:numId="303">
    <w:abstractNumId w:val="53"/>
  </w:num>
  <w:num w:numId="304">
    <w:abstractNumId w:val="70"/>
  </w:num>
  <w:num w:numId="305">
    <w:abstractNumId w:val="53"/>
  </w:num>
  <w:num w:numId="306">
    <w:abstractNumId w:val="53"/>
  </w:num>
  <w:num w:numId="307">
    <w:abstractNumId w:val="79"/>
  </w:num>
  <w:num w:numId="308">
    <w:abstractNumId w:val="120"/>
  </w:num>
  <w:num w:numId="309">
    <w:abstractNumId w:val="54"/>
  </w:num>
  <w:num w:numId="310">
    <w:abstractNumId w:val="74"/>
  </w:num>
  <w:num w:numId="311">
    <w:abstractNumId w:val="75"/>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365"/>
    <w:rsid w:val="0000179B"/>
    <w:rsid w:val="000018FA"/>
    <w:rsid w:val="00001AD5"/>
    <w:rsid w:val="00001B0B"/>
    <w:rsid w:val="00001D27"/>
    <w:rsid w:val="00001F6B"/>
    <w:rsid w:val="0000326B"/>
    <w:rsid w:val="0000332C"/>
    <w:rsid w:val="000037DC"/>
    <w:rsid w:val="00003823"/>
    <w:rsid w:val="00003A60"/>
    <w:rsid w:val="00003BE6"/>
    <w:rsid w:val="00004F66"/>
    <w:rsid w:val="00005063"/>
    <w:rsid w:val="00005378"/>
    <w:rsid w:val="00005DDE"/>
    <w:rsid w:val="000073A6"/>
    <w:rsid w:val="00007B8A"/>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39A3"/>
    <w:rsid w:val="000146DB"/>
    <w:rsid w:val="00014E13"/>
    <w:rsid w:val="000151A6"/>
    <w:rsid w:val="000152F3"/>
    <w:rsid w:val="000154F2"/>
    <w:rsid w:val="0001566A"/>
    <w:rsid w:val="00017481"/>
    <w:rsid w:val="00017D3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5274"/>
    <w:rsid w:val="0002589C"/>
    <w:rsid w:val="00025C7D"/>
    <w:rsid w:val="00026623"/>
    <w:rsid w:val="00026D16"/>
    <w:rsid w:val="0002718E"/>
    <w:rsid w:val="00027313"/>
    <w:rsid w:val="00027343"/>
    <w:rsid w:val="00027397"/>
    <w:rsid w:val="00027534"/>
    <w:rsid w:val="00031A57"/>
    <w:rsid w:val="0003203D"/>
    <w:rsid w:val="000320E3"/>
    <w:rsid w:val="00032A5B"/>
    <w:rsid w:val="00032B9F"/>
    <w:rsid w:val="00035EFD"/>
    <w:rsid w:val="00035EFE"/>
    <w:rsid w:val="00036B36"/>
    <w:rsid w:val="00037A19"/>
    <w:rsid w:val="00037F6E"/>
    <w:rsid w:val="0004042D"/>
    <w:rsid w:val="00040EEA"/>
    <w:rsid w:val="0004102B"/>
    <w:rsid w:val="0004168C"/>
    <w:rsid w:val="00041FFE"/>
    <w:rsid w:val="0004200D"/>
    <w:rsid w:val="00042572"/>
    <w:rsid w:val="00042D7D"/>
    <w:rsid w:val="00043FD5"/>
    <w:rsid w:val="0004481B"/>
    <w:rsid w:val="00045381"/>
    <w:rsid w:val="00045511"/>
    <w:rsid w:val="0004559B"/>
    <w:rsid w:val="0004598C"/>
    <w:rsid w:val="00045A75"/>
    <w:rsid w:val="00045E92"/>
    <w:rsid w:val="000462AE"/>
    <w:rsid w:val="00047C38"/>
    <w:rsid w:val="00047C3B"/>
    <w:rsid w:val="00047D05"/>
    <w:rsid w:val="00050493"/>
    <w:rsid w:val="00050CA2"/>
    <w:rsid w:val="00050D16"/>
    <w:rsid w:val="000510F0"/>
    <w:rsid w:val="00051136"/>
    <w:rsid w:val="000515FC"/>
    <w:rsid w:val="00051C08"/>
    <w:rsid w:val="00052F09"/>
    <w:rsid w:val="00052F33"/>
    <w:rsid w:val="0005365F"/>
    <w:rsid w:val="00053E1A"/>
    <w:rsid w:val="0005441B"/>
    <w:rsid w:val="0005485B"/>
    <w:rsid w:val="00055617"/>
    <w:rsid w:val="00056369"/>
    <w:rsid w:val="00056B21"/>
    <w:rsid w:val="00056FA7"/>
    <w:rsid w:val="00057605"/>
    <w:rsid w:val="00060A1C"/>
    <w:rsid w:val="00060D13"/>
    <w:rsid w:val="00062F55"/>
    <w:rsid w:val="00064180"/>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7AF"/>
    <w:rsid w:val="00087E1F"/>
    <w:rsid w:val="00090AF3"/>
    <w:rsid w:val="00091271"/>
    <w:rsid w:val="00091C39"/>
    <w:rsid w:val="0009230E"/>
    <w:rsid w:val="000928B3"/>
    <w:rsid w:val="000929AE"/>
    <w:rsid w:val="00092AA6"/>
    <w:rsid w:val="00093115"/>
    <w:rsid w:val="00093243"/>
    <w:rsid w:val="00093DFC"/>
    <w:rsid w:val="00094B1A"/>
    <w:rsid w:val="00094B83"/>
    <w:rsid w:val="00094D8F"/>
    <w:rsid w:val="000957DA"/>
    <w:rsid w:val="00095B44"/>
    <w:rsid w:val="00095B85"/>
    <w:rsid w:val="000965AF"/>
    <w:rsid w:val="00096E89"/>
    <w:rsid w:val="00097237"/>
    <w:rsid w:val="000A0C57"/>
    <w:rsid w:val="000A0DD4"/>
    <w:rsid w:val="000A0EBB"/>
    <w:rsid w:val="000A10D3"/>
    <w:rsid w:val="000A13A0"/>
    <w:rsid w:val="000A1B69"/>
    <w:rsid w:val="000A2B3F"/>
    <w:rsid w:val="000A33BA"/>
    <w:rsid w:val="000A3F64"/>
    <w:rsid w:val="000A4140"/>
    <w:rsid w:val="000A4498"/>
    <w:rsid w:val="000A44DF"/>
    <w:rsid w:val="000A4D68"/>
    <w:rsid w:val="000A52E7"/>
    <w:rsid w:val="000A570E"/>
    <w:rsid w:val="000A591E"/>
    <w:rsid w:val="000A6A58"/>
    <w:rsid w:val="000A6ED9"/>
    <w:rsid w:val="000A7C37"/>
    <w:rsid w:val="000B03B7"/>
    <w:rsid w:val="000B08D7"/>
    <w:rsid w:val="000B0C8C"/>
    <w:rsid w:val="000B1A10"/>
    <w:rsid w:val="000B20D6"/>
    <w:rsid w:val="000B2134"/>
    <w:rsid w:val="000B2D91"/>
    <w:rsid w:val="000B2DD0"/>
    <w:rsid w:val="000B3598"/>
    <w:rsid w:val="000B407A"/>
    <w:rsid w:val="000B4C3C"/>
    <w:rsid w:val="000B5168"/>
    <w:rsid w:val="000B528F"/>
    <w:rsid w:val="000B52F5"/>
    <w:rsid w:val="000B54A3"/>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BF5"/>
    <w:rsid w:val="000C3CE7"/>
    <w:rsid w:val="000C4A61"/>
    <w:rsid w:val="000C5A8A"/>
    <w:rsid w:val="000C6246"/>
    <w:rsid w:val="000C712F"/>
    <w:rsid w:val="000C7EAD"/>
    <w:rsid w:val="000D015F"/>
    <w:rsid w:val="000D1025"/>
    <w:rsid w:val="000D1E5C"/>
    <w:rsid w:val="000D3218"/>
    <w:rsid w:val="000D322F"/>
    <w:rsid w:val="000D3781"/>
    <w:rsid w:val="000D43DF"/>
    <w:rsid w:val="000D49AE"/>
    <w:rsid w:val="000D49EE"/>
    <w:rsid w:val="000D4D7D"/>
    <w:rsid w:val="000D4F7A"/>
    <w:rsid w:val="000D510C"/>
    <w:rsid w:val="000D5119"/>
    <w:rsid w:val="000D587B"/>
    <w:rsid w:val="000D5A18"/>
    <w:rsid w:val="000D6017"/>
    <w:rsid w:val="000D61C4"/>
    <w:rsid w:val="000D68CE"/>
    <w:rsid w:val="000D7069"/>
    <w:rsid w:val="000D74EF"/>
    <w:rsid w:val="000E069D"/>
    <w:rsid w:val="000E0C62"/>
    <w:rsid w:val="000E10E8"/>
    <w:rsid w:val="000E16C2"/>
    <w:rsid w:val="000E1BE7"/>
    <w:rsid w:val="000E248B"/>
    <w:rsid w:val="000E2B24"/>
    <w:rsid w:val="000E2E1B"/>
    <w:rsid w:val="000E37C8"/>
    <w:rsid w:val="000E37D3"/>
    <w:rsid w:val="000E42A0"/>
    <w:rsid w:val="000E467F"/>
    <w:rsid w:val="000E4734"/>
    <w:rsid w:val="000E5201"/>
    <w:rsid w:val="000E546B"/>
    <w:rsid w:val="000E677D"/>
    <w:rsid w:val="000E6BFE"/>
    <w:rsid w:val="000E77B8"/>
    <w:rsid w:val="000E78CE"/>
    <w:rsid w:val="000E7EB3"/>
    <w:rsid w:val="000F0508"/>
    <w:rsid w:val="000F0EAC"/>
    <w:rsid w:val="000F23D3"/>
    <w:rsid w:val="000F25E9"/>
    <w:rsid w:val="000F272A"/>
    <w:rsid w:val="000F2AF8"/>
    <w:rsid w:val="000F2D45"/>
    <w:rsid w:val="000F2D7C"/>
    <w:rsid w:val="000F2D9F"/>
    <w:rsid w:val="000F3012"/>
    <w:rsid w:val="000F31E6"/>
    <w:rsid w:val="000F349A"/>
    <w:rsid w:val="000F39BF"/>
    <w:rsid w:val="000F42F8"/>
    <w:rsid w:val="000F49A1"/>
    <w:rsid w:val="000F4DE6"/>
    <w:rsid w:val="000F5134"/>
    <w:rsid w:val="000F60CD"/>
    <w:rsid w:val="000F62C8"/>
    <w:rsid w:val="000F7392"/>
    <w:rsid w:val="000F7A21"/>
    <w:rsid w:val="000F7BD1"/>
    <w:rsid w:val="00100050"/>
    <w:rsid w:val="00100086"/>
    <w:rsid w:val="00100815"/>
    <w:rsid w:val="0010199B"/>
    <w:rsid w:val="00102AB1"/>
    <w:rsid w:val="00102B32"/>
    <w:rsid w:val="001032D2"/>
    <w:rsid w:val="00103860"/>
    <w:rsid w:val="00103C06"/>
    <w:rsid w:val="00103D31"/>
    <w:rsid w:val="00104EEB"/>
    <w:rsid w:val="001050C5"/>
    <w:rsid w:val="00105712"/>
    <w:rsid w:val="00105879"/>
    <w:rsid w:val="00105BD4"/>
    <w:rsid w:val="00105CA8"/>
    <w:rsid w:val="00105F8A"/>
    <w:rsid w:val="00106912"/>
    <w:rsid w:val="00106AB1"/>
    <w:rsid w:val="0010723D"/>
    <w:rsid w:val="00107310"/>
    <w:rsid w:val="0010782A"/>
    <w:rsid w:val="00107D67"/>
    <w:rsid w:val="0011006C"/>
    <w:rsid w:val="001100B2"/>
    <w:rsid w:val="001100CB"/>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FBB"/>
    <w:rsid w:val="00117788"/>
    <w:rsid w:val="00117A7C"/>
    <w:rsid w:val="00120A32"/>
    <w:rsid w:val="0012173F"/>
    <w:rsid w:val="001219B6"/>
    <w:rsid w:val="00121FE2"/>
    <w:rsid w:val="0012221F"/>
    <w:rsid w:val="0012285C"/>
    <w:rsid w:val="00122B2D"/>
    <w:rsid w:val="0012302D"/>
    <w:rsid w:val="0012339A"/>
    <w:rsid w:val="0012351D"/>
    <w:rsid w:val="001245CE"/>
    <w:rsid w:val="00124915"/>
    <w:rsid w:val="00124ADF"/>
    <w:rsid w:val="00124B6C"/>
    <w:rsid w:val="00124CED"/>
    <w:rsid w:val="00125271"/>
    <w:rsid w:val="00125B08"/>
    <w:rsid w:val="00125B3D"/>
    <w:rsid w:val="00126BBC"/>
    <w:rsid w:val="001272A8"/>
    <w:rsid w:val="0012742F"/>
    <w:rsid w:val="001303A4"/>
    <w:rsid w:val="0013124D"/>
    <w:rsid w:val="001312DD"/>
    <w:rsid w:val="001316F0"/>
    <w:rsid w:val="00131C8A"/>
    <w:rsid w:val="00132599"/>
    <w:rsid w:val="0013259E"/>
    <w:rsid w:val="00132FEA"/>
    <w:rsid w:val="00133BCC"/>
    <w:rsid w:val="00133D6F"/>
    <w:rsid w:val="00133F10"/>
    <w:rsid w:val="00133F28"/>
    <w:rsid w:val="00133F5B"/>
    <w:rsid w:val="00134196"/>
    <w:rsid w:val="001365B6"/>
    <w:rsid w:val="00136629"/>
    <w:rsid w:val="00136632"/>
    <w:rsid w:val="00136763"/>
    <w:rsid w:val="00136C39"/>
    <w:rsid w:val="00137209"/>
    <w:rsid w:val="001376F9"/>
    <w:rsid w:val="0013787A"/>
    <w:rsid w:val="00137AA4"/>
    <w:rsid w:val="00137FEF"/>
    <w:rsid w:val="00140745"/>
    <w:rsid w:val="001418D9"/>
    <w:rsid w:val="00141E75"/>
    <w:rsid w:val="00142BCD"/>
    <w:rsid w:val="00142D24"/>
    <w:rsid w:val="00142F17"/>
    <w:rsid w:val="00143546"/>
    <w:rsid w:val="00143BB6"/>
    <w:rsid w:val="00144651"/>
    <w:rsid w:val="00144989"/>
    <w:rsid w:val="00144AFA"/>
    <w:rsid w:val="00144BB7"/>
    <w:rsid w:val="001450C2"/>
    <w:rsid w:val="00145FBF"/>
    <w:rsid w:val="001460B0"/>
    <w:rsid w:val="00147B17"/>
    <w:rsid w:val="00147F6D"/>
    <w:rsid w:val="001500A8"/>
    <w:rsid w:val="0015016D"/>
    <w:rsid w:val="001507AE"/>
    <w:rsid w:val="001509AE"/>
    <w:rsid w:val="0015198F"/>
    <w:rsid w:val="00151C03"/>
    <w:rsid w:val="001529DE"/>
    <w:rsid w:val="00153350"/>
    <w:rsid w:val="00153823"/>
    <w:rsid w:val="00153FD9"/>
    <w:rsid w:val="00154F13"/>
    <w:rsid w:val="001550E3"/>
    <w:rsid w:val="001558DA"/>
    <w:rsid w:val="00155F13"/>
    <w:rsid w:val="00156130"/>
    <w:rsid w:val="00156FC7"/>
    <w:rsid w:val="0015720F"/>
    <w:rsid w:val="00157535"/>
    <w:rsid w:val="001576EE"/>
    <w:rsid w:val="0016005F"/>
    <w:rsid w:val="00160509"/>
    <w:rsid w:val="00160F2C"/>
    <w:rsid w:val="0016104E"/>
    <w:rsid w:val="0016107C"/>
    <w:rsid w:val="001612E2"/>
    <w:rsid w:val="00161CAC"/>
    <w:rsid w:val="0016229D"/>
    <w:rsid w:val="0016297A"/>
    <w:rsid w:val="00162A80"/>
    <w:rsid w:val="0016361A"/>
    <w:rsid w:val="00163727"/>
    <w:rsid w:val="001642A6"/>
    <w:rsid w:val="001643BF"/>
    <w:rsid w:val="001645E8"/>
    <w:rsid w:val="0016462A"/>
    <w:rsid w:val="00164F43"/>
    <w:rsid w:val="0016587F"/>
    <w:rsid w:val="00165BC0"/>
    <w:rsid w:val="00165DBD"/>
    <w:rsid w:val="001670DC"/>
    <w:rsid w:val="001679CF"/>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42B4"/>
    <w:rsid w:val="00174DA6"/>
    <w:rsid w:val="001750E5"/>
    <w:rsid w:val="0017573D"/>
    <w:rsid w:val="00175AB5"/>
    <w:rsid w:val="00175E1C"/>
    <w:rsid w:val="001761B7"/>
    <w:rsid w:val="0017655C"/>
    <w:rsid w:val="00176675"/>
    <w:rsid w:val="00176834"/>
    <w:rsid w:val="00177835"/>
    <w:rsid w:val="001804E4"/>
    <w:rsid w:val="001810E5"/>
    <w:rsid w:val="00181150"/>
    <w:rsid w:val="00181368"/>
    <w:rsid w:val="0018208A"/>
    <w:rsid w:val="00182613"/>
    <w:rsid w:val="00182A02"/>
    <w:rsid w:val="00183620"/>
    <w:rsid w:val="0018419B"/>
    <w:rsid w:val="00184A29"/>
    <w:rsid w:val="00185481"/>
    <w:rsid w:val="00185967"/>
    <w:rsid w:val="00185EB1"/>
    <w:rsid w:val="00186EC1"/>
    <w:rsid w:val="001874D9"/>
    <w:rsid w:val="00187584"/>
    <w:rsid w:val="001877EB"/>
    <w:rsid w:val="00187A0C"/>
    <w:rsid w:val="00187E82"/>
    <w:rsid w:val="00187EAF"/>
    <w:rsid w:val="00190337"/>
    <w:rsid w:val="001904C7"/>
    <w:rsid w:val="001905DF"/>
    <w:rsid w:val="00190685"/>
    <w:rsid w:val="00190832"/>
    <w:rsid w:val="001908F9"/>
    <w:rsid w:val="00190EB0"/>
    <w:rsid w:val="00190ECD"/>
    <w:rsid w:val="0019191B"/>
    <w:rsid w:val="001919F4"/>
    <w:rsid w:val="001926DF"/>
    <w:rsid w:val="00192CB1"/>
    <w:rsid w:val="0019327E"/>
    <w:rsid w:val="0019346B"/>
    <w:rsid w:val="00193824"/>
    <w:rsid w:val="00193B0A"/>
    <w:rsid w:val="0019426F"/>
    <w:rsid w:val="00194809"/>
    <w:rsid w:val="00194AC7"/>
    <w:rsid w:val="0019525D"/>
    <w:rsid w:val="0019667B"/>
    <w:rsid w:val="00196B25"/>
    <w:rsid w:val="001972A1"/>
    <w:rsid w:val="00197683"/>
    <w:rsid w:val="0019774C"/>
    <w:rsid w:val="00197E0A"/>
    <w:rsid w:val="001A0029"/>
    <w:rsid w:val="001A04F8"/>
    <w:rsid w:val="001A09BC"/>
    <w:rsid w:val="001A0F5E"/>
    <w:rsid w:val="001A1286"/>
    <w:rsid w:val="001A1CA5"/>
    <w:rsid w:val="001A2EC0"/>
    <w:rsid w:val="001A38B7"/>
    <w:rsid w:val="001A3BC6"/>
    <w:rsid w:val="001A481B"/>
    <w:rsid w:val="001A4A96"/>
    <w:rsid w:val="001A52CA"/>
    <w:rsid w:val="001A5B6F"/>
    <w:rsid w:val="001A5D60"/>
    <w:rsid w:val="001A5DBE"/>
    <w:rsid w:val="001A608F"/>
    <w:rsid w:val="001A63F0"/>
    <w:rsid w:val="001A6604"/>
    <w:rsid w:val="001A6AAB"/>
    <w:rsid w:val="001A6C6F"/>
    <w:rsid w:val="001A7C99"/>
    <w:rsid w:val="001A7E4E"/>
    <w:rsid w:val="001B0848"/>
    <w:rsid w:val="001B1D17"/>
    <w:rsid w:val="001B1F9B"/>
    <w:rsid w:val="001B207B"/>
    <w:rsid w:val="001B2903"/>
    <w:rsid w:val="001B2CEE"/>
    <w:rsid w:val="001B439C"/>
    <w:rsid w:val="001B4EE2"/>
    <w:rsid w:val="001B50FE"/>
    <w:rsid w:val="001B54D7"/>
    <w:rsid w:val="001B57AA"/>
    <w:rsid w:val="001B603D"/>
    <w:rsid w:val="001B625A"/>
    <w:rsid w:val="001B637B"/>
    <w:rsid w:val="001B660D"/>
    <w:rsid w:val="001B6BC2"/>
    <w:rsid w:val="001B6EAB"/>
    <w:rsid w:val="001B7DA0"/>
    <w:rsid w:val="001B7FD0"/>
    <w:rsid w:val="001C06B0"/>
    <w:rsid w:val="001C0EC6"/>
    <w:rsid w:val="001C184A"/>
    <w:rsid w:val="001C2844"/>
    <w:rsid w:val="001C2C59"/>
    <w:rsid w:val="001C2EF4"/>
    <w:rsid w:val="001C35D8"/>
    <w:rsid w:val="001C3EDB"/>
    <w:rsid w:val="001C5630"/>
    <w:rsid w:val="001C5AD3"/>
    <w:rsid w:val="001C5B66"/>
    <w:rsid w:val="001C657A"/>
    <w:rsid w:val="001C6D97"/>
    <w:rsid w:val="001C7B59"/>
    <w:rsid w:val="001D006F"/>
    <w:rsid w:val="001D0BB2"/>
    <w:rsid w:val="001D0E89"/>
    <w:rsid w:val="001D1206"/>
    <w:rsid w:val="001D1583"/>
    <w:rsid w:val="001D2142"/>
    <w:rsid w:val="001D21C7"/>
    <w:rsid w:val="001D23B4"/>
    <w:rsid w:val="001D2870"/>
    <w:rsid w:val="001D2E66"/>
    <w:rsid w:val="001D3243"/>
    <w:rsid w:val="001D3FB8"/>
    <w:rsid w:val="001D5158"/>
    <w:rsid w:val="001D5268"/>
    <w:rsid w:val="001D53E6"/>
    <w:rsid w:val="001D5AF2"/>
    <w:rsid w:val="001D5E33"/>
    <w:rsid w:val="001D6155"/>
    <w:rsid w:val="001D71AE"/>
    <w:rsid w:val="001D7B16"/>
    <w:rsid w:val="001D7FB0"/>
    <w:rsid w:val="001E0A4F"/>
    <w:rsid w:val="001E0D01"/>
    <w:rsid w:val="001E0FC4"/>
    <w:rsid w:val="001E1D84"/>
    <w:rsid w:val="001E29C1"/>
    <w:rsid w:val="001E2CEB"/>
    <w:rsid w:val="001E358B"/>
    <w:rsid w:val="001E3B36"/>
    <w:rsid w:val="001E44F7"/>
    <w:rsid w:val="001E4BED"/>
    <w:rsid w:val="001E5CAE"/>
    <w:rsid w:val="001E63A4"/>
    <w:rsid w:val="001E68E2"/>
    <w:rsid w:val="001E7558"/>
    <w:rsid w:val="001F066E"/>
    <w:rsid w:val="001F08AE"/>
    <w:rsid w:val="001F0E29"/>
    <w:rsid w:val="001F0F7A"/>
    <w:rsid w:val="001F152E"/>
    <w:rsid w:val="001F2E62"/>
    <w:rsid w:val="001F4216"/>
    <w:rsid w:val="001F44FF"/>
    <w:rsid w:val="001F5104"/>
    <w:rsid w:val="001F571F"/>
    <w:rsid w:val="001F5FFC"/>
    <w:rsid w:val="001F60D9"/>
    <w:rsid w:val="001F70EF"/>
    <w:rsid w:val="001F7572"/>
    <w:rsid w:val="001F76DA"/>
    <w:rsid w:val="001F7A53"/>
    <w:rsid w:val="001F7D22"/>
    <w:rsid w:val="002005B2"/>
    <w:rsid w:val="0020082C"/>
    <w:rsid w:val="00200C54"/>
    <w:rsid w:val="00200DA6"/>
    <w:rsid w:val="00200FCE"/>
    <w:rsid w:val="00201250"/>
    <w:rsid w:val="00201621"/>
    <w:rsid w:val="00201839"/>
    <w:rsid w:val="00202220"/>
    <w:rsid w:val="00202937"/>
    <w:rsid w:val="00202D28"/>
    <w:rsid w:val="00202DC5"/>
    <w:rsid w:val="00202E6F"/>
    <w:rsid w:val="002039E5"/>
    <w:rsid w:val="00203C45"/>
    <w:rsid w:val="00203EB2"/>
    <w:rsid w:val="00204673"/>
    <w:rsid w:val="00204F7F"/>
    <w:rsid w:val="0020558F"/>
    <w:rsid w:val="00206606"/>
    <w:rsid w:val="0020678A"/>
    <w:rsid w:val="00207C6F"/>
    <w:rsid w:val="00207FB6"/>
    <w:rsid w:val="00210339"/>
    <w:rsid w:val="002115C7"/>
    <w:rsid w:val="00211616"/>
    <w:rsid w:val="002124FB"/>
    <w:rsid w:val="00212A58"/>
    <w:rsid w:val="00213375"/>
    <w:rsid w:val="0021350B"/>
    <w:rsid w:val="00213C39"/>
    <w:rsid w:val="00214019"/>
    <w:rsid w:val="0021441C"/>
    <w:rsid w:val="002158D4"/>
    <w:rsid w:val="00215DF5"/>
    <w:rsid w:val="0021689E"/>
    <w:rsid w:val="002174CD"/>
    <w:rsid w:val="002209EE"/>
    <w:rsid w:val="00220CC1"/>
    <w:rsid w:val="0022129B"/>
    <w:rsid w:val="00221A47"/>
    <w:rsid w:val="00221E9F"/>
    <w:rsid w:val="00222605"/>
    <w:rsid w:val="00222B97"/>
    <w:rsid w:val="00222DF7"/>
    <w:rsid w:val="002230DF"/>
    <w:rsid w:val="00223AF0"/>
    <w:rsid w:val="00223D6F"/>
    <w:rsid w:val="00224778"/>
    <w:rsid w:val="0022567F"/>
    <w:rsid w:val="00225BBF"/>
    <w:rsid w:val="00226CE4"/>
    <w:rsid w:val="00226EE7"/>
    <w:rsid w:val="0022758C"/>
    <w:rsid w:val="00230999"/>
    <w:rsid w:val="00230C75"/>
    <w:rsid w:val="002310F8"/>
    <w:rsid w:val="00231234"/>
    <w:rsid w:val="00231721"/>
    <w:rsid w:val="0023212E"/>
    <w:rsid w:val="00232925"/>
    <w:rsid w:val="00232E92"/>
    <w:rsid w:val="00232F48"/>
    <w:rsid w:val="002330C3"/>
    <w:rsid w:val="002330E6"/>
    <w:rsid w:val="00233246"/>
    <w:rsid w:val="00233A95"/>
    <w:rsid w:val="002347C9"/>
    <w:rsid w:val="002349AA"/>
    <w:rsid w:val="00234BC8"/>
    <w:rsid w:val="00234EE0"/>
    <w:rsid w:val="002351B1"/>
    <w:rsid w:val="00235824"/>
    <w:rsid w:val="002360E1"/>
    <w:rsid w:val="00236A21"/>
    <w:rsid w:val="00236F45"/>
    <w:rsid w:val="002375E3"/>
    <w:rsid w:val="0023769E"/>
    <w:rsid w:val="00237E4E"/>
    <w:rsid w:val="00240581"/>
    <w:rsid w:val="00241BE6"/>
    <w:rsid w:val="00241F89"/>
    <w:rsid w:val="00242198"/>
    <w:rsid w:val="002426BB"/>
    <w:rsid w:val="0024299C"/>
    <w:rsid w:val="00242CBE"/>
    <w:rsid w:val="002437B6"/>
    <w:rsid w:val="00243A96"/>
    <w:rsid w:val="00243B0B"/>
    <w:rsid w:val="00244FFE"/>
    <w:rsid w:val="0024557C"/>
    <w:rsid w:val="00245E9F"/>
    <w:rsid w:val="002460F0"/>
    <w:rsid w:val="00250B26"/>
    <w:rsid w:val="00251296"/>
    <w:rsid w:val="00251815"/>
    <w:rsid w:val="002518B0"/>
    <w:rsid w:val="00251C2A"/>
    <w:rsid w:val="00252A60"/>
    <w:rsid w:val="00252D98"/>
    <w:rsid w:val="00252F3C"/>
    <w:rsid w:val="0025473E"/>
    <w:rsid w:val="002547FD"/>
    <w:rsid w:val="002548FA"/>
    <w:rsid w:val="00254D34"/>
    <w:rsid w:val="0025515C"/>
    <w:rsid w:val="002555D4"/>
    <w:rsid w:val="00256580"/>
    <w:rsid w:val="00256F06"/>
    <w:rsid w:val="0025720E"/>
    <w:rsid w:val="002573F3"/>
    <w:rsid w:val="00257673"/>
    <w:rsid w:val="00257904"/>
    <w:rsid w:val="002579AE"/>
    <w:rsid w:val="00257A34"/>
    <w:rsid w:val="0026060F"/>
    <w:rsid w:val="00261E91"/>
    <w:rsid w:val="002622BB"/>
    <w:rsid w:val="00262483"/>
    <w:rsid w:val="002625EF"/>
    <w:rsid w:val="00262B9E"/>
    <w:rsid w:val="00262E57"/>
    <w:rsid w:val="00262E6C"/>
    <w:rsid w:val="00263192"/>
    <w:rsid w:val="00263738"/>
    <w:rsid w:val="00263AA5"/>
    <w:rsid w:val="00263D72"/>
    <w:rsid w:val="00264840"/>
    <w:rsid w:val="002648EF"/>
    <w:rsid w:val="0026511B"/>
    <w:rsid w:val="0026530A"/>
    <w:rsid w:val="002656C1"/>
    <w:rsid w:val="00265F2C"/>
    <w:rsid w:val="002662EB"/>
    <w:rsid w:val="0026664A"/>
    <w:rsid w:val="00266774"/>
    <w:rsid w:val="00267E1C"/>
    <w:rsid w:val="002702AB"/>
    <w:rsid w:val="0027071E"/>
    <w:rsid w:val="00270A96"/>
    <w:rsid w:val="00270C4E"/>
    <w:rsid w:val="00271A6A"/>
    <w:rsid w:val="00271ACB"/>
    <w:rsid w:val="00271B6F"/>
    <w:rsid w:val="00273EA9"/>
    <w:rsid w:val="00274211"/>
    <w:rsid w:val="002746BA"/>
    <w:rsid w:val="00274C22"/>
    <w:rsid w:val="002758E4"/>
    <w:rsid w:val="00275FE4"/>
    <w:rsid w:val="00276052"/>
    <w:rsid w:val="002761C9"/>
    <w:rsid w:val="0027633D"/>
    <w:rsid w:val="00277826"/>
    <w:rsid w:val="00277D1C"/>
    <w:rsid w:val="00280026"/>
    <w:rsid w:val="00280050"/>
    <w:rsid w:val="00280B31"/>
    <w:rsid w:val="00280C11"/>
    <w:rsid w:val="00280FE2"/>
    <w:rsid w:val="0028143D"/>
    <w:rsid w:val="00283081"/>
    <w:rsid w:val="00283543"/>
    <w:rsid w:val="00283751"/>
    <w:rsid w:val="0028382B"/>
    <w:rsid w:val="00284AA7"/>
    <w:rsid w:val="00285467"/>
    <w:rsid w:val="002862BF"/>
    <w:rsid w:val="00286A51"/>
    <w:rsid w:val="0028737D"/>
    <w:rsid w:val="002902F1"/>
    <w:rsid w:val="00290D43"/>
    <w:rsid w:val="00291486"/>
    <w:rsid w:val="00292526"/>
    <w:rsid w:val="00292899"/>
    <w:rsid w:val="00292AB9"/>
    <w:rsid w:val="00293DEC"/>
    <w:rsid w:val="0029456D"/>
    <w:rsid w:val="00294FA3"/>
    <w:rsid w:val="002954A9"/>
    <w:rsid w:val="00295AA1"/>
    <w:rsid w:val="00295E4D"/>
    <w:rsid w:val="00295F71"/>
    <w:rsid w:val="0029647D"/>
    <w:rsid w:val="00297D7D"/>
    <w:rsid w:val="002A0599"/>
    <w:rsid w:val="002A1A1B"/>
    <w:rsid w:val="002A1C6C"/>
    <w:rsid w:val="002A1E8B"/>
    <w:rsid w:val="002A2B48"/>
    <w:rsid w:val="002A2D19"/>
    <w:rsid w:val="002A2E8C"/>
    <w:rsid w:val="002A3D8A"/>
    <w:rsid w:val="002A40BA"/>
    <w:rsid w:val="002A53D6"/>
    <w:rsid w:val="002A5430"/>
    <w:rsid w:val="002A5714"/>
    <w:rsid w:val="002A5872"/>
    <w:rsid w:val="002A5B93"/>
    <w:rsid w:val="002A6875"/>
    <w:rsid w:val="002A777D"/>
    <w:rsid w:val="002A79A5"/>
    <w:rsid w:val="002A7D61"/>
    <w:rsid w:val="002B030E"/>
    <w:rsid w:val="002B0906"/>
    <w:rsid w:val="002B0A3C"/>
    <w:rsid w:val="002B146C"/>
    <w:rsid w:val="002B1D39"/>
    <w:rsid w:val="002B2004"/>
    <w:rsid w:val="002B2A5B"/>
    <w:rsid w:val="002B2BB4"/>
    <w:rsid w:val="002B3CBA"/>
    <w:rsid w:val="002B3CF0"/>
    <w:rsid w:val="002B3EF7"/>
    <w:rsid w:val="002B4001"/>
    <w:rsid w:val="002B5187"/>
    <w:rsid w:val="002B54DB"/>
    <w:rsid w:val="002B5BFA"/>
    <w:rsid w:val="002B5DF0"/>
    <w:rsid w:val="002B5EE8"/>
    <w:rsid w:val="002B5F1B"/>
    <w:rsid w:val="002B6C9A"/>
    <w:rsid w:val="002B7E7B"/>
    <w:rsid w:val="002C02B3"/>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FA6"/>
    <w:rsid w:val="002D49D6"/>
    <w:rsid w:val="002D59C1"/>
    <w:rsid w:val="002D6EFF"/>
    <w:rsid w:val="002D7D79"/>
    <w:rsid w:val="002D7D92"/>
    <w:rsid w:val="002E0278"/>
    <w:rsid w:val="002E1156"/>
    <w:rsid w:val="002E1A08"/>
    <w:rsid w:val="002E28D0"/>
    <w:rsid w:val="002E2A5E"/>
    <w:rsid w:val="002E394C"/>
    <w:rsid w:val="002E3E62"/>
    <w:rsid w:val="002E4407"/>
    <w:rsid w:val="002E5475"/>
    <w:rsid w:val="002E5BBD"/>
    <w:rsid w:val="002E5F02"/>
    <w:rsid w:val="002E6325"/>
    <w:rsid w:val="002E6FD4"/>
    <w:rsid w:val="002E7858"/>
    <w:rsid w:val="002E7D26"/>
    <w:rsid w:val="002E7E86"/>
    <w:rsid w:val="002F03C5"/>
    <w:rsid w:val="002F0E87"/>
    <w:rsid w:val="002F1D11"/>
    <w:rsid w:val="002F2365"/>
    <w:rsid w:val="002F2635"/>
    <w:rsid w:val="002F2BF6"/>
    <w:rsid w:val="002F2CEF"/>
    <w:rsid w:val="002F309C"/>
    <w:rsid w:val="002F4C9E"/>
    <w:rsid w:val="002F5EE4"/>
    <w:rsid w:val="002F6458"/>
    <w:rsid w:val="002F78FC"/>
    <w:rsid w:val="002F798B"/>
    <w:rsid w:val="002F7FE2"/>
    <w:rsid w:val="0030092E"/>
    <w:rsid w:val="00301F88"/>
    <w:rsid w:val="0030261F"/>
    <w:rsid w:val="0030295A"/>
    <w:rsid w:val="00302E43"/>
    <w:rsid w:val="003032FA"/>
    <w:rsid w:val="003033CF"/>
    <w:rsid w:val="00303600"/>
    <w:rsid w:val="00303AEA"/>
    <w:rsid w:val="003043CB"/>
    <w:rsid w:val="00304EBE"/>
    <w:rsid w:val="003059F8"/>
    <w:rsid w:val="00305FE8"/>
    <w:rsid w:val="003063A6"/>
    <w:rsid w:val="00306555"/>
    <w:rsid w:val="003067DB"/>
    <w:rsid w:val="00306DA8"/>
    <w:rsid w:val="00306F04"/>
    <w:rsid w:val="0030714D"/>
    <w:rsid w:val="00307DEC"/>
    <w:rsid w:val="00310096"/>
    <w:rsid w:val="0031063D"/>
    <w:rsid w:val="003108AB"/>
    <w:rsid w:val="00311C12"/>
    <w:rsid w:val="00311C3C"/>
    <w:rsid w:val="00312223"/>
    <w:rsid w:val="003124DA"/>
    <w:rsid w:val="00312AA5"/>
    <w:rsid w:val="00312C5F"/>
    <w:rsid w:val="00312DA8"/>
    <w:rsid w:val="00312E7A"/>
    <w:rsid w:val="003130F9"/>
    <w:rsid w:val="0031586F"/>
    <w:rsid w:val="00315EE8"/>
    <w:rsid w:val="003169BE"/>
    <w:rsid w:val="00316A9D"/>
    <w:rsid w:val="00317009"/>
    <w:rsid w:val="0032068B"/>
    <w:rsid w:val="00320743"/>
    <w:rsid w:val="00321743"/>
    <w:rsid w:val="003238D5"/>
    <w:rsid w:val="00323B4D"/>
    <w:rsid w:val="0032477B"/>
    <w:rsid w:val="0032479E"/>
    <w:rsid w:val="00324AED"/>
    <w:rsid w:val="00324C78"/>
    <w:rsid w:val="00324ECA"/>
    <w:rsid w:val="0032518D"/>
    <w:rsid w:val="003252A6"/>
    <w:rsid w:val="0032531A"/>
    <w:rsid w:val="00326263"/>
    <w:rsid w:val="0032671B"/>
    <w:rsid w:val="0032712E"/>
    <w:rsid w:val="00327527"/>
    <w:rsid w:val="00327B29"/>
    <w:rsid w:val="0033102A"/>
    <w:rsid w:val="003314A5"/>
    <w:rsid w:val="00331839"/>
    <w:rsid w:val="00331C49"/>
    <w:rsid w:val="00332B30"/>
    <w:rsid w:val="00333E55"/>
    <w:rsid w:val="0033432A"/>
    <w:rsid w:val="0033453C"/>
    <w:rsid w:val="00334A08"/>
    <w:rsid w:val="00334B33"/>
    <w:rsid w:val="00334F2D"/>
    <w:rsid w:val="003356D4"/>
    <w:rsid w:val="00337BF1"/>
    <w:rsid w:val="00337C7C"/>
    <w:rsid w:val="00340035"/>
    <w:rsid w:val="003400C1"/>
    <w:rsid w:val="00340E8D"/>
    <w:rsid w:val="00341347"/>
    <w:rsid w:val="00341685"/>
    <w:rsid w:val="00342A5E"/>
    <w:rsid w:val="003434EE"/>
    <w:rsid w:val="0034367D"/>
    <w:rsid w:val="00343C37"/>
    <w:rsid w:val="00343CB3"/>
    <w:rsid w:val="00345B18"/>
    <w:rsid w:val="00346342"/>
    <w:rsid w:val="00346A7D"/>
    <w:rsid w:val="00346AFD"/>
    <w:rsid w:val="00346D34"/>
    <w:rsid w:val="00347440"/>
    <w:rsid w:val="003474B9"/>
    <w:rsid w:val="0034789B"/>
    <w:rsid w:val="003500CD"/>
    <w:rsid w:val="0035016D"/>
    <w:rsid w:val="00353094"/>
    <w:rsid w:val="003540FE"/>
    <w:rsid w:val="00354388"/>
    <w:rsid w:val="003543E0"/>
    <w:rsid w:val="00354E86"/>
    <w:rsid w:val="0035567B"/>
    <w:rsid w:val="00355B52"/>
    <w:rsid w:val="00355DCA"/>
    <w:rsid w:val="00356C11"/>
    <w:rsid w:val="00356D32"/>
    <w:rsid w:val="00357D2B"/>
    <w:rsid w:val="00360A3B"/>
    <w:rsid w:val="00360A4D"/>
    <w:rsid w:val="00360B3D"/>
    <w:rsid w:val="00360D15"/>
    <w:rsid w:val="0036165B"/>
    <w:rsid w:val="00361742"/>
    <w:rsid w:val="00361817"/>
    <w:rsid w:val="00362348"/>
    <w:rsid w:val="0036289E"/>
    <w:rsid w:val="003630EA"/>
    <w:rsid w:val="003631D3"/>
    <w:rsid w:val="00363ADF"/>
    <w:rsid w:val="003658E1"/>
    <w:rsid w:val="00365E46"/>
    <w:rsid w:val="00366230"/>
    <w:rsid w:val="00366352"/>
    <w:rsid w:val="00367314"/>
    <w:rsid w:val="00367B9C"/>
    <w:rsid w:val="003700CC"/>
    <w:rsid w:val="00370428"/>
    <w:rsid w:val="003705E8"/>
    <w:rsid w:val="00370911"/>
    <w:rsid w:val="0037096E"/>
    <w:rsid w:val="00370ABE"/>
    <w:rsid w:val="003724A2"/>
    <w:rsid w:val="003725B5"/>
    <w:rsid w:val="00373517"/>
    <w:rsid w:val="00373A1F"/>
    <w:rsid w:val="00373BF4"/>
    <w:rsid w:val="00373CD5"/>
    <w:rsid w:val="00373DA8"/>
    <w:rsid w:val="003740A1"/>
    <w:rsid w:val="003741DD"/>
    <w:rsid w:val="00374EE5"/>
    <w:rsid w:val="0037517D"/>
    <w:rsid w:val="00375FDC"/>
    <w:rsid w:val="00376588"/>
    <w:rsid w:val="00376CDD"/>
    <w:rsid w:val="00377208"/>
    <w:rsid w:val="00377B32"/>
    <w:rsid w:val="00377E45"/>
    <w:rsid w:val="00380318"/>
    <w:rsid w:val="00380E79"/>
    <w:rsid w:val="00381218"/>
    <w:rsid w:val="003814D8"/>
    <w:rsid w:val="003825C8"/>
    <w:rsid w:val="00383DA8"/>
    <w:rsid w:val="00383DDA"/>
    <w:rsid w:val="00384388"/>
    <w:rsid w:val="00384632"/>
    <w:rsid w:val="00384745"/>
    <w:rsid w:val="00384F85"/>
    <w:rsid w:val="003850A4"/>
    <w:rsid w:val="003857BC"/>
    <w:rsid w:val="003858F9"/>
    <w:rsid w:val="00385AAE"/>
    <w:rsid w:val="00385D9E"/>
    <w:rsid w:val="00385F16"/>
    <w:rsid w:val="00385FB5"/>
    <w:rsid w:val="00386067"/>
    <w:rsid w:val="00386207"/>
    <w:rsid w:val="0038620B"/>
    <w:rsid w:val="003867D7"/>
    <w:rsid w:val="00387401"/>
    <w:rsid w:val="00390836"/>
    <w:rsid w:val="00390A65"/>
    <w:rsid w:val="00390B9D"/>
    <w:rsid w:val="00390D2F"/>
    <w:rsid w:val="00391029"/>
    <w:rsid w:val="00391A39"/>
    <w:rsid w:val="0039272B"/>
    <w:rsid w:val="00392B1B"/>
    <w:rsid w:val="00393AA3"/>
    <w:rsid w:val="00393E8E"/>
    <w:rsid w:val="00393F2D"/>
    <w:rsid w:val="0039444F"/>
    <w:rsid w:val="00394719"/>
    <w:rsid w:val="00395017"/>
    <w:rsid w:val="0039538C"/>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D67"/>
    <w:rsid w:val="003A7EE4"/>
    <w:rsid w:val="003B0467"/>
    <w:rsid w:val="003B113E"/>
    <w:rsid w:val="003B142A"/>
    <w:rsid w:val="003B1735"/>
    <w:rsid w:val="003B29A9"/>
    <w:rsid w:val="003B330C"/>
    <w:rsid w:val="003B3430"/>
    <w:rsid w:val="003B3C3D"/>
    <w:rsid w:val="003B406D"/>
    <w:rsid w:val="003B4F78"/>
    <w:rsid w:val="003B635B"/>
    <w:rsid w:val="003B6F77"/>
    <w:rsid w:val="003B70F0"/>
    <w:rsid w:val="003B7996"/>
    <w:rsid w:val="003B7CA9"/>
    <w:rsid w:val="003C1238"/>
    <w:rsid w:val="003C1548"/>
    <w:rsid w:val="003C178E"/>
    <w:rsid w:val="003C1799"/>
    <w:rsid w:val="003C218D"/>
    <w:rsid w:val="003C253A"/>
    <w:rsid w:val="003C279A"/>
    <w:rsid w:val="003C2BC7"/>
    <w:rsid w:val="003C2BE1"/>
    <w:rsid w:val="003C2DDF"/>
    <w:rsid w:val="003C2FF6"/>
    <w:rsid w:val="003C3CF4"/>
    <w:rsid w:val="003C4851"/>
    <w:rsid w:val="003C53E4"/>
    <w:rsid w:val="003C6018"/>
    <w:rsid w:val="003C60E0"/>
    <w:rsid w:val="003C69BA"/>
    <w:rsid w:val="003C7860"/>
    <w:rsid w:val="003D013C"/>
    <w:rsid w:val="003D064A"/>
    <w:rsid w:val="003D0860"/>
    <w:rsid w:val="003D12E5"/>
    <w:rsid w:val="003D2197"/>
    <w:rsid w:val="003D21E5"/>
    <w:rsid w:val="003D2AEB"/>
    <w:rsid w:val="003D2B52"/>
    <w:rsid w:val="003D387D"/>
    <w:rsid w:val="003D4368"/>
    <w:rsid w:val="003D456F"/>
    <w:rsid w:val="003D4A9A"/>
    <w:rsid w:val="003D5B7E"/>
    <w:rsid w:val="003D6BBE"/>
    <w:rsid w:val="003D6C19"/>
    <w:rsid w:val="003D6C4A"/>
    <w:rsid w:val="003D7248"/>
    <w:rsid w:val="003D7388"/>
    <w:rsid w:val="003D7404"/>
    <w:rsid w:val="003D7B0B"/>
    <w:rsid w:val="003D7B8E"/>
    <w:rsid w:val="003E03E7"/>
    <w:rsid w:val="003E14AA"/>
    <w:rsid w:val="003E1F8C"/>
    <w:rsid w:val="003E22A1"/>
    <w:rsid w:val="003E2895"/>
    <w:rsid w:val="003E29DE"/>
    <w:rsid w:val="003E2C15"/>
    <w:rsid w:val="003E3153"/>
    <w:rsid w:val="003E33A5"/>
    <w:rsid w:val="003E4056"/>
    <w:rsid w:val="003E40AD"/>
    <w:rsid w:val="003E4A6F"/>
    <w:rsid w:val="003E532B"/>
    <w:rsid w:val="003E583B"/>
    <w:rsid w:val="003E5D41"/>
    <w:rsid w:val="003E606C"/>
    <w:rsid w:val="003E69CA"/>
    <w:rsid w:val="003E6E83"/>
    <w:rsid w:val="003E7E56"/>
    <w:rsid w:val="003F0615"/>
    <w:rsid w:val="003F0C30"/>
    <w:rsid w:val="003F1949"/>
    <w:rsid w:val="003F1D7F"/>
    <w:rsid w:val="003F2688"/>
    <w:rsid w:val="003F3008"/>
    <w:rsid w:val="003F4910"/>
    <w:rsid w:val="003F56AB"/>
    <w:rsid w:val="003F5CEF"/>
    <w:rsid w:val="003F5F4A"/>
    <w:rsid w:val="003F5F84"/>
    <w:rsid w:val="003F60DF"/>
    <w:rsid w:val="003F62BD"/>
    <w:rsid w:val="003F6D4D"/>
    <w:rsid w:val="003F6D8A"/>
    <w:rsid w:val="003F705D"/>
    <w:rsid w:val="0040048E"/>
    <w:rsid w:val="00400793"/>
    <w:rsid w:val="00400F5F"/>
    <w:rsid w:val="0040118D"/>
    <w:rsid w:val="004016E4"/>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AE9"/>
    <w:rsid w:val="00411C77"/>
    <w:rsid w:val="00411D06"/>
    <w:rsid w:val="00412025"/>
    <w:rsid w:val="00412D6E"/>
    <w:rsid w:val="00413377"/>
    <w:rsid w:val="00413507"/>
    <w:rsid w:val="00413FF4"/>
    <w:rsid w:val="0041411A"/>
    <w:rsid w:val="004143B9"/>
    <w:rsid w:val="004145EC"/>
    <w:rsid w:val="00414960"/>
    <w:rsid w:val="004158FF"/>
    <w:rsid w:val="0041600B"/>
    <w:rsid w:val="004161D1"/>
    <w:rsid w:val="00416FE1"/>
    <w:rsid w:val="004173BF"/>
    <w:rsid w:val="00417A42"/>
    <w:rsid w:val="00417F4E"/>
    <w:rsid w:val="00420994"/>
    <w:rsid w:val="00420BDD"/>
    <w:rsid w:val="00420E25"/>
    <w:rsid w:val="004211E0"/>
    <w:rsid w:val="004221C7"/>
    <w:rsid w:val="0042280F"/>
    <w:rsid w:val="00422841"/>
    <w:rsid w:val="00422E21"/>
    <w:rsid w:val="004230FE"/>
    <w:rsid w:val="004237C7"/>
    <w:rsid w:val="00424F56"/>
    <w:rsid w:val="004250BB"/>
    <w:rsid w:val="00425805"/>
    <w:rsid w:val="004259EF"/>
    <w:rsid w:val="00426057"/>
    <w:rsid w:val="004264F3"/>
    <w:rsid w:val="00426C16"/>
    <w:rsid w:val="00426D6F"/>
    <w:rsid w:val="0043014F"/>
    <w:rsid w:val="00430B4A"/>
    <w:rsid w:val="00430C2C"/>
    <w:rsid w:val="0043129D"/>
    <w:rsid w:val="00431424"/>
    <w:rsid w:val="00431938"/>
    <w:rsid w:val="00431D98"/>
    <w:rsid w:val="00432A00"/>
    <w:rsid w:val="00432B3C"/>
    <w:rsid w:val="00433042"/>
    <w:rsid w:val="00433445"/>
    <w:rsid w:val="0043402A"/>
    <w:rsid w:val="00434CF6"/>
    <w:rsid w:val="00435559"/>
    <w:rsid w:val="00435670"/>
    <w:rsid w:val="004357D9"/>
    <w:rsid w:val="00436865"/>
    <w:rsid w:val="00436B19"/>
    <w:rsid w:val="00437432"/>
    <w:rsid w:val="00437DFA"/>
    <w:rsid w:val="004408AE"/>
    <w:rsid w:val="00441059"/>
    <w:rsid w:val="00441828"/>
    <w:rsid w:val="004418C4"/>
    <w:rsid w:val="0044237A"/>
    <w:rsid w:val="00442545"/>
    <w:rsid w:val="00442B72"/>
    <w:rsid w:val="00442CDB"/>
    <w:rsid w:val="00443B5D"/>
    <w:rsid w:val="004442AF"/>
    <w:rsid w:val="0044467C"/>
    <w:rsid w:val="00445252"/>
    <w:rsid w:val="0044557E"/>
    <w:rsid w:val="004459F3"/>
    <w:rsid w:val="00445CD7"/>
    <w:rsid w:val="00446AC7"/>
    <w:rsid w:val="00446B60"/>
    <w:rsid w:val="00447631"/>
    <w:rsid w:val="004479E9"/>
    <w:rsid w:val="00447BCC"/>
    <w:rsid w:val="00450674"/>
    <w:rsid w:val="004507AB"/>
    <w:rsid w:val="00450AA9"/>
    <w:rsid w:val="00451037"/>
    <w:rsid w:val="0045165C"/>
    <w:rsid w:val="0045169B"/>
    <w:rsid w:val="00452273"/>
    <w:rsid w:val="004525F3"/>
    <w:rsid w:val="00452C81"/>
    <w:rsid w:val="00452E4F"/>
    <w:rsid w:val="00453020"/>
    <w:rsid w:val="004530F1"/>
    <w:rsid w:val="00453F26"/>
    <w:rsid w:val="0045420C"/>
    <w:rsid w:val="004544BE"/>
    <w:rsid w:val="00454526"/>
    <w:rsid w:val="00454C64"/>
    <w:rsid w:val="00455143"/>
    <w:rsid w:val="00455274"/>
    <w:rsid w:val="004553A3"/>
    <w:rsid w:val="004561FE"/>
    <w:rsid w:val="00456C0D"/>
    <w:rsid w:val="004605A3"/>
    <w:rsid w:val="0046060B"/>
    <w:rsid w:val="0046089E"/>
    <w:rsid w:val="0046094C"/>
    <w:rsid w:val="004609E3"/>
    <w:rsid w:val="0046173F"/>
    <w:rsid w:val="00461750"/>
    <w:rsid w:val="00462079"/>
    <w:rsid w:val="00462257"/>
    <w:rsid w:val="00464387"/>
    <w:rsid w:val="00464E49"/>
    <w:rsid w:val="004661FF"/>
    <w:rsid w:val="0046669B"/>
    <w:rsid w:val="00466DAB"/>
    <w:rsid w:val="00467213"/>
    <w:rsid w:val="004714EB"/>
    <w:rsid w:val="004715C9"/>
    <w:rsid w:val="00471644"/>
    <w:rsid w:val="004717B7"/>
    <w:rsid w:val="00471F48"/>
    <w:rsid w:val="004722EF"/>
    <w:rsid w:val="0047337E"/>
    <w:rsid w:val="004735C1"/>
    <w:rsid w:val="00473EF8"/>
    <w:rsid w:val="0047439D"/>
    <w:rsid w:val="00474520"/>
    <w:rsid w:val="004745AB"/>
    <w:rsid w:val="0047465F"/>
    <w:rsid w:val="00474866"/>
    <w:rsid w:val="00474C90"/>
    <w:rsid w:val="004759EA"/>
    <w:rsid w:val="0047620F"/>
    <w:rsid w:val="0047632B"/>
    <w:rsid w:val="004779BA"/>
    <w:rsid w:val="00477CCA"/>
    <w:rsid w:val="00480518"/>
    <w:rsid w:val="00480C03"/>
    <w:rsid w:val="0048130A"/>
    <w:rsid w:val="00481AF3"/>
    <w:rsid w:val="004823D5"/>
    <w:rsid w:val="004828B9"/>
    <w:rsid w:val="00482994"/>
    <w:rsid w:val="00483634"/>
    <w:rsid w:val="00483F59"/>
    <w:rsid w:val="004841D5"/>
    <w:rsid w:val="00484B6E"/>
    <w:rsid w:val="00485185"/>
    <w:rsid w:val="00485D5D"/>
    <w:rsid w:val="00490164"/>
    <w:rsid w:val="00490321"/>
    <w:rsid w:val="00490F8D"/>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8AF"/>
    <w:rsid w:val="00496AE0"/>
    <w:rsid w:val="00496E8D"/>
    <w:rsid w:val="00497A92"/>
    <w:rsid w:val="00497DEA"/>
    <w:rsid w:val="004A06E0"/>
    <w:rsid w:val="004A1034"/>
    <w:rsid w:val="004A1068"/>
    <w:rsid w:val="004A138A"/>
    <w:rsid w:val="004A185F"/>
    <w:rsid w:val="004A1BA0"/>
    <w:rsid w:val="004A26A9"/>
    <w:rsid w:val="004A2B6C"/>
    <w:rsid w:val="004A30D0"/>
    <w:rsid w:val="004A33B6"/>
    <w:rsid w:val="004A349A"/>
    <w:rsid w:val="004A36B4"/>
    <w:rsid w:val="004A56CF"/>
    <w:rsid w:val="004A5855"/>
    <w:rsid w:val="004A5B59"/>
    <w:rsid w:val="004A6720"/>
    <w:rsid w:val="004A6D0A"/>
    <w:rsid w:val="004A79EC"/>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5DB8"/>
    <w:rsid w:val="004B6495"/>
    <w:rsid w:val="004B6EED"/>
    <w:rsid w:val="004B6F85"/>
    <w:rsid w:val="004B6F95"/>
    <w:rsid w:val="004B798B"/>
    <w:rsid w:val="004B7EFB"/>
    <w:rsid w:val="004C0CC1"/>
    <w:rsid w:val="004C0E83"/>
    <w:rsid w:val="004C1C1D"/>
    <w:rsid w:val="004C1FAE"/>
    <w:rsid w:val="004C30C8"/>
    <w:rsid w:val="004C4759"/>
    <w:rsid w:val="004C596D"/>
    <w:rsid w:val="004C5C3E"/>
    <w:rsid w:val="004C5E12"/>
    <w:rsid w:val="004C692D"/>
    <w:rsid w:val="004C6EA8"/>
    <w:rsid w:val="004C7C6D"/>
    <w:rsid w:val="004D0C24"/>
    <w:rsid w:val="004D0EAD"/>
    <w:rsid w:val="004D1A59"/>
    <w:rsid w:val="004D1DBF"/>
    <w:rsid w:val="004D2D45"/>
    <w:rsid w:val="004D33F3"/>
    <w:rsid w:val="004D3E0F"/>
    <w:rsid w:val="004D4ACE"/>
    <w:rsid w:val="004D4FB9"/>
    <w:rsid w:val="004D5119"/>
    <w:rsid w:val="004D5501"/>
    <w:rsid w:val="004D55EB"/>
    <w:rsid w:val="004D60DA"/>
    <w:rsid w:val="004D6C1E"/>
    <w:rsid w:val="004D7B4C"/>
    <w:rsid w:val="004D7F47"/>
    <w:rsid w:val="004E0191"/>
    <w:rsid w:val="004E06AE"/>
    <w:rsid w:val="004E16B0"/>
    <w:rsid w:val="004E1D30"/>
    <w:rsid w:val="004E27E8"/>
    <w:rsid w:val="004E29EB"/>
    <w:rsid w:val="004E2BB4"/>
    <w:rsid w:val="004E42BA"/>
    <w:rsid w:val="004E4535"/>
    <w:rsid w:val="004E5298"/>
    <w:rsid w:val="004E542C"/>
    <w:rsid w:val="004E574D"/>
    <w:rsid w:val="004E5E14"/>
    <w:rsid w:val="004E6FB8"/>
    <w:rsid w:val="004E726A"/>
    <w:rsid w:val="004E7425"/>
    <w:rsid w:val="004E7B71"/>
    <w:rsid w:val="004F0104"/>
    <w:rsid w:val="004F010F"/>
    <w:rsid w:val="004F0534"/>
    <w:rsid w:val="004F07C1"/>
    <w:rsid w:val="004F0F88"/>
    <w:rsid w:val="004F1C62"/>
    <w:rsid w:val="004F20C7"/>
    <w:rsid w:val="004F3493"/>
    <w:rsid w:val="004F3545"/>
    <w:rsid w:val="004F4055"/>
    <w:rsid w:val="004F4255"/>
    <w:rsid w:val="004F44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33F6"/>
    <w:rsid w:val="005138D6"/>
    <w:rsid w:val="005144E2"/>
    <w:rsid w:val="005153FA"/>
    <w:rsid w:val="00516167"/>
    <w:rsid w:val="005161C2"/>
    <w:rsid w:val="0051673C"/>
    <w:rsid w:val="00516A6A"/>
    <w:rsid w:val="00517EDE"/>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F05"/>
    <w:rsid w:val="00533701"/>
    <w:rsid w:val="00533E9D"/>
    <w:rsid w:val="005341F8"/>
    <w:rsid w:val="005358D8"/>
    <w:rsid w:val="005359B6"/>
    <w:rsid w:val="00535A7B"/>
    <w:rsid w:val="00536756"/>
    <w:rsid w:val="00536C9D"/>
    <w:rsid w:val="00537068"/>
    <w:rsid w:val="0053751A"/>
    <w:rsid w:val="0054033B"/>
    <w:rsid w:val="00540630"/>
    <w:rsid w:val="00540F4E"/>
    <w:rsid w:val="0054139A"/>
    <w:rsid w:val="00541827"/>
    <w:rsid w:val="00541EC4"/>
    <w:rsid w:val="00541F90"/>
    <w:rsid w:val="005420EF"/>
    <w:rsid w:val="005423B9"/>
    <w:rsid w:val="00542A20"/>
    <w:rsid w:val="00542AA2"/>
    <w:rsid w:val="00543329"/>
    <w:rsid w:val="0054368F"/>
    <w:rsid w:val="00544002"/>
    <w:rsid w:val="005443F6"/>
    <w:rsid w:val="005448D2"/>
    <w:rsid w:val="00544E6D"/>
    <w:rsid w:val="00545A06"/>
    <w:rsid w:val="00545BBC"/>
    <w:rsid w:val="00545D12"/>
    <w:rsid w:val="00545D5B"/>
    <w:rsid w:val="0054628C"/>
    <w:rsid w:val="00546451"/>
    <w:rsid w:val="005468F8"/>
    <w:rsid w:val="005504D6"/>
    <w:rsid w:val="00550668"/>
    <w:rsid w:val="0055096F"/>
    <w:rsid w:val="00550CB7"/>
    <w:rsid w:val="00550E79"/>
    <w:rsid w:val="005514FE"/>
    <w:rsid w:val="00551D49"/>
    <w:rsid w:val="00551FE4"/>
    <w:rsid w:val="005521F8"/>
    <w:rsid w:val="00552564"/>
    <w:rsid w:val="00552ADF"/>
    <w:rsid w:val="00552EAE"/>
    <w:rsid w:val="005531F6"/>
    <w:rsid w:val="00553F55"/>
    <w:rsid w:val="00553F7C"/>
    <w:rsid w:val="0055479B"/>
    <w:rsid w:val="00554969"/>
    <w:rsid w:val="0055512F"/>
    <w:rsid w:val="00555F6D"/>
    <w:rsid w:val="005564F6"/>
    <w:rsid w:val="00556A3F"/>
    <w:rsid w:val="00556A4C"/>
    <w:rsid w:val="00556F5D"/>
    <w:rsid w:val="005570D1"/>
    <w:rsid w:val="005571E1"/>
    <w:rsid w:val="0055741D"/>
    <w:rsid w:val="00557DB3"/>
    <w:rsid w:val="00561611"/>
    <w:rsid w:val="0056166F"/>
    <w:rsid w:val="00561AF6"/>
    <w:rsid w:val="00561B4C"/>
    <w:rsid w:val="0056351C"/>
    <w:rsid w:val="00563C59"/>
    <w:rsid w:val="00563D8B"/>
    <w:rsid w:val="005642BD"/>
    <w:rsid w:val="005645DD"/>
    <w:rsid w:val="0056468F"/>
    <w:rsid w:val="00564B40"/>
    <w:rsid w:val="00565047"/>
    <w:rsid w:val="00566EBF"/>
    <w:rsid w:val="00567849"/>
    <w:rsid w:val="00567B7D"/>
    <w:rsid w:val="00567D7F"/>
    <w:rsid w:val="00567FE8"/>
    <w:rsid w:val="005703A3"/>
    <w:rsid w:val="0057106F"/>
    <w:rsid w:val="00571131"/>
    <w:rsid w:val="005712D3"/>
    <w:rsid w:val="00571D1B"/>
    <w:rsid w:val="00572020"/>
    <w:rsid w:val="0057234E"/>
    <w:rsid w:val="005729FA"/>
    <w:rsid w:val="00573407"/>
    <w:rsid w:val="005734B1"/>
    <w:rsid w:val="00573566"/>
    <w:rsid w:val="00573A0D"/>
    <w:rsid w:val="00573B49"/>
    <w:rsid w:val="00576A6D"/>
    <w:rsid w:val="00577269"/>
    <w:rsid w:val="0057782B"/>
    <w:rsid w:val="00577A90"/>
    <w:rsid w:val="00580BCB"/>
    <w:rsid w:val="00580E0D"/>
    <w:rsid w:val="00581739"/>
    <w:rsid w:val="00582178"/>
    <w:rsid w:val="0058254A"/>
    <w:rsid w:val="0058284A"/>
    <w:rsid w:val="0058299A"/>
    <w:rsid w:val="00582B39"/>
    <w:rsid w:val="00582CE1"/>
    <w:rsid w:val="005836E7"/>
    <w:rsid w:val="00583888"/>
    <w:rsid w:val="005839E6"/>
    <w:rsid w:val="005843F8"/>
    <w:rsid w:val="00584710"/>
    <w:rsid w:val="00585582"/>
    <w:rsid w:val="00585DF7"/>
    <w:rsid w:val="005868C9"/>
    <w:rsid w:val="0058690F"/>
    <w:rsid w:val="00586C5D"/>
    <w:rsid w:val="00586D78"/>
    <w:rsid w:val="00586DE3"/>
    <w:rsid w:val="00587913"/>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90A"/>
    <w:rsid w:val="00596B42"/>
    <w:rsid w:val="00597126"/>
    <w:rsid w:val="00597FAE"/>
    <w:rsid w:val="005A0745"/>
    <w:rsid w:val="005A0BA2"/>
    <w:rsid w:val="005A0DC4"/>
    <w:rsid w:val="005A1236"/>
    <w:rsid w:val="005A132E"/>
    <w:rsid w:val="005A2294"/>
    <w:rsid w:val="005A2425"/>
    <w:rsid w:val="005A2BDF"/>
    <w:rsid w:val="005A3428"/>
    <w:rsid w:val="005A39DE"/>
    <w:rsid w:val="005A3EAC"/>
    <w:rsid w:val="005A4121"/>
    <w:rsid w:val="005A4136"/>
    <w:rsid w:val="005A4230"/>
    <w:rsid w:val="005A6354"/>
    <w:rsid w:val="005A6518"/>
    <w:rsid w:val="005A6A79"/>
    <w:rsid w:val="005A6ACA"/>
    <w:rsid w:val="005A733A"/>
    <w:rsid w:val="005A7668"/>
    <w:rsid w:val="005A7DEE"/>
    <w:rsid w:val="005B0122"/>
    <w:rsid w:val="005B0174"/>
    <w:rsid w:val="005B2A0B"/>
    <w:rsid w:val="005B354F"/>
    <w:rsid w:val="005B42CC"/>
    <w:rsid w:val="005B43BC"/>
    <w:rsid w:val="005B488A"/>
    <w:rsid w:val="005B48C4"/>
    <w:rsid w:val="005B4A65"/>
    <w:rsid w:val="005B5AA3"/>
    <w:rsid w:val="005B6D65"/>
    <w:rsid w:val="005B77C1"/>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95C"/>
    <w:rsid w:val="005D2D24"/>
    <w:rsid w:val="005D2E4F"/>
    <w:rsid w:val="005D361C"/>
    <w:rsid w:val="005D38D5"/>
    <w:rsid w:val="005D43FA"/>
    <w:rsid w:val="005D4672"/>
    <w:rsid w:val="005D4E6E"/>
    <w:rsid w:val="005D62D1"/>
    <w:rsid w:val="005D6433"/>
    <w:rsid w:val="005D65DD"/>
    <w:rsid w:val="005D7734"/>
    <w:rsid w:val="005D790F"/>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79D"/>
    <w:rsid w:val="005E5857"/>
    <w:rsid w:val="005E5934"/>
    <w:rsid w:val="005E593F"/>
    <w:rsid w:val="005E65DC"/>
    <w:rsid w:val="005E67DA"/>
    <w:rsid w:val="005E6877"/>
    <w:rsid w:val="005E70C0"/>
    <w:rsid w:val="005F010D"/>
    <w:rsid w:val="005F04C3"/>
    <w:rsid w:val="005F04CA"/>
    <w:rsid w:val="005F068A"/>
    <w:rsid w:val="005F0914"/>
    <w:rsid w:val="005F0AB5"/>
    <w:rsid w:val="005F100D"/>
    <w:rsid w:val="005F17BB"/>
    <w:rsid w:val="005F1FE1"/>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BDA"/>
    <w:rsid w:val="00601ED0"/>
    <w:rsid w:val="006046A0"/>
    <w:rsid w:val="00604DA3"/>
    <w:rsid w:val="00606334"/>
    <w:rsid w:val="00606371"/>
    <w:rsid w:val="00606CE9"/>
    <w:rsid w:val="00606E72"/>
    <w:rsid w:val="006070C1"/>
    <w:rsid w:val="006074DF"/>
    <w:rsid w:val="006102B2"/>
    <w:rsid w:val="00610856"/>
    <w:rsid w:val="0061093E"/>
    <w:rsid w:val="006111D2"/>
    <w:rsid w:val="00611396"/>
    <w:rsid w:val="006120A0"/>
    <w:rsid w:val="00612327"/>
    <w:rsid w:val="00612760"/>
    <w:rsid w:val="00612E02"/>
    <w:rsid w:val="00612FB6"/>
    <w:rsid w:val="00613DA3"/>
    <w:rsid w:val="00614372"/>
    <w:rsid w:val="00614D8B"/>
    <w:rsid w:val="006156D2"/>
    <w:rsid w:val="00616062"/>
    <w:rsid w:val="0061619A"/>
    <w:rsid w:val="00616291"/>
    <w:rsid w:val="00616B38"/>
    <w:rsid w:val="00616BD1"/>
    <w:rsid w:val="00620341"/>
    <w:rsid w:val="006208B0"/>
    <w:rsid w:val="00620B95"/>
    <w:rsid w:val="00621E7C"/>
    <w:rsid w:val="0062273A"/>
    <w:rsid w:val="0062352E"/>
    <w:rsid w:val="0062452D"/>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121A"/>
    <w:rsid w:val="00631A97"/>
    <w:rsid w:val="00631C91"/>
    <w:rsid w:val="00631F32"/>
    <w:rsid w:val="00631F8A"/>
    <w:rsid w:val="00632021"/>
    <w:rsid w:val="0063288F"/>
    <w:rsid w:val="00632B11"/>
    <w:rsid w:val="0063425E"/>
    <w:rsid w:val="00636655"/>
    <w:rsid w:val="00637ECF"/>
    <w:rsid w:val="00637FC2"/>
    <w:rsid w:val="00640084"/>
    <w:rsid w:val="0064049C"/>
    <w:rsid w:val="00640750"/>
    <w:rsid w:val="00640FDD"/>
    <w:rsid w:val="006410DC"/>
    <w:rsid w:val="00641648"/>
    <w:rsid w:val="00641B01"/>
    <w:rsid w:val="00642F6F"/>
    <w:rsid w:val="006433E2"/>
    <w:rsid w:val="006447CD"/>
    <w:rsid w:val="006454AE"/>
    <w:rsid w:val="00645684"/>
    <w:rsid w:val="00645D4C"/>
    <w:rsid w:val="0064691B"/>
    <w:rsid w:val="006475E0"/>
    <w:rsid w:val="006475F5"/>
    <w:rsid w:val="0064799E"/>
    <w:rsid w:val="006479F3"/>
    <w:rsid w:val="00647A3F"/>
    <w:rsid w:val="00647B90"/>
    <w:rsid w:val="00647DE7"/>
    <w:rsid w:val="0065098B"/>
    <w:rsid w:val="00650B7A"/>
    <w:rsid w:val="00651BB9"/>
    <w:rsid w:val="00651C93"/>
    <w:rsid w:val="00651DDD"/>
    <w:rsid w:val="006547ED"/>
    <w:rsid w:val="006548BE"/>
    <w:rsid w:val="006549FA"/>
    <w:rsid w:val="0065507B"/>
    <w:rsid w:val="006555B0"/>
    <w:rsid w:val="00655870"/>
    <w:rsid w:val="00656559"/>
    <w:rsid w:val="00656B0E"/>
    <w:rsid w:val="00656E70"/>
    <w:rsid w:val="00656FB6"/>
    <w:rsid w:val="0065734B"/>
    <w:rsid w:val="006616C2"/>
    <w:rsid w:val="006618FE"/>
    <w:rsid w:val="00661ACB"/>
    <w:rsid w:val="00662003"/>
    <w:rsid w:val="0066245A"/>
    <w:rsid w:val="0066295E"/>
    <w:rsid w:val="00662F7F"/>
    <w:rsid w:val="006642DE"/>
    <w:rsid w:val="00664BA2"/>
    <w:rsid w:val="00664F3A"/>
    <w:rsid w:val="006659BF"/>
    <w:rsid w:val="00665D8A"/>
    <w:rsid w:val="006664BD"/>
    <w:rsid w:val="00666716"/>
    <w:rsid w:val="006671DE"/>
    <w:rsid w:val="00667840"/>
    <w:rsid w:val="006679F9"/>
    <w:rsid w:val="006704DC"/>
    <w:rsid w:val="00670535"/>
    <w:rsid w:val="006708FE"/>
    <w:rsid w:val="00670DCA"/>
    <w:rsid w:val="0067213E"/>
    <w:rsid w:val="00672F87"/>
    <w:rsid w:val="006733B5"/>
    <w:rsid w:val="00673FAB"/>
    <w:rsid w:val="00673FB9"/>
    <w:rsid w:val="00674313"/>
    <w:rsid w:val="00674B88"/>
    <w:rsid w:val="00674BDD"/>
    <w:rsid w:val="00674CE8"/>
    <w:rsid w:val="00674FF5"/>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1B0"/>
    <w:rsid w:val="00683336"/>
    <w:rsid w:val="0068425F"/>
    <w:rsid w:val="00684A66"/>
    <w:rsid w:val="00684D67"/>
    <w:rsid w:val="00684E58"/>
    <w:rsid w:val="0068660F"/>
    <w:rsid w:val="00686B10"/>
    <w:rsid w:val="00686BEB"/>
    <w:rsid w:val="00690DBE"/>
    <w:rsid w:val="006917FC"/>
    <w:rsid w:val="00691E45"/>
    <w:rsid w:val="00691ECD"/>
    <w:rsid w:val="006929DD"/>
    <w:rsid w:val="00693358"/>
    <w:rsid w:val="00693369"/>
    <w:rsid w:val="0069345A"/>
    <w:rsid w:val="0069387B"/>
    <w:rsid w:val="00694292"/>
    <w:rsid w:val="00694A28"/>
    <w:rsid w:val="00696EBD"/>
    <w:rsid w:val="0069733F"/>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9E4"/>
    <w:rsid w:val="006A401E"/>
    <w:rsid w:val="006A5FB3"/>
    <w:rsid w:val="006A63D8"/>
    <w:rsid w:val="006A76FF"/>
    <w:rsid w:val="006A79B6"/>
    <w:rsid w:val="006A7C6D"/>
    <w:rsid w:val="006B0141"/>
    <w:rsid w:val="006B04B7"/>
    <w:rsid w:val="006B0945"/>
    <w:rsid w:val="006B0986"/>
    <w:rsid w:val="006B12B6"/>
    <w:rsid w:val="006B1869"/>
    <w:rsid w:val="006B19E2"/>
    <w:rsid w:val="006B2684"/>
    <w:rsid w:val="006B35FA"/>
    <w:rsid w:val="006B3956"/>
    <w:rsid w:val="006B48E8"/>
    <w:rsid w:val="006B4A3D"/>
    <w:rsid w:val="006B5128"/>
    <w:rsid w:val="006B61BA"/>
    <w:rsid w:val="006B62E2"/>
    <w:rsid w:val="006B6312"/>
    <w:rsid w:val="006B6998"/>
    <w:rsid w:val="006B6A81"/>
    <w:rsid w:val="006C15C4"/>
    <w:rsid w:val="006C1711"/>
    <w:rsid w:val="006C225A"/>
    <w:rsid w:val="006C58CD"/>
    <w:rsid w:val="006C602A"/>
    <w:rsid w:val="006C6277"/>
    <w:rsid w:val="006C6527"/>
    <w:rsid w:val="006C7266"/>
    <w:rsid w:val="006D0146"/>
    <w:rsid w:val="006D0866"/>
    <w:rsid w:val="006D0B5B"/>
    <w:rsid w:val="006D0F1B"/>
    <w:rsid w:val="006D1472"/>
    <w:rsid w:val="006D1A2A"/>
    <w:rsid w:val="006D2007"/>
    <w:rsid w:val="006D215E"/>
    <w:rsid w:val="006D2E54"/>
    <w:rsid w:val="006D2FE7"/>
    <w:rsid w:val="006D334F"/>
    <w:rsid w:val="006D393A"/>
    <w:rsid w:val="006D39C2"/>
    <w:rsid w:val="006D419F"/>
    <w:rsid w:val="006D4319"/>
    <w:rsid w:val="006D4903"/>
    <w:rsid w:val="006D4947"/>
    <w:rsid w:val="006D4C8B"/>
    <w:rsid w:val="006D4DAB"/>
    <w:rsid w:val="006D4DC4"/>
    <w:rsid w:val="006D5380"/>
    <w:rsid w:val="006D5530"/>
    <w:rsid w:val="006D5861"/>
    <w:rsid w:val="006D59AA"/>
    <w:rsid w:val="006D5FE2"/>
    <w:rsid w:val="006D63C2"/>
    <w:rsid w:val="006D6447"/>
    <w:rsid w:val="006D6CB3"/>
    <w:rsid w:val="006D7357"/>
    <w:rsid w:val="006D7F64"/>
    <w:rsid w:val="006E0310"/>
    <w:rsid w:val="006E071E"/>
    <w:rsid w:val="006E0800"/>
    <w:rsid w:val="006E0860"/>
    <w:rsid w:val="006E0A20"/>
    <w:rsid w:val="006E172C"/>
    <w:rsid w:val="006E1BD6"/>
    <w:rsid w:val="006E2419"/>
    <w:rsid w:val="006E3716"/>
    <w:rsid w:val="006E3ED8"/>
    <w:rsid w:val="006E444B"/>
    <w:rsid w:val="006E658A"/>
    <w:rsid w:val="006E691A"/>
    <w:rsid w:val="006E70FB"/>
    <w:rsid w:val="006E77C8"/>
    <w:rsid w:val="006F01E1"/>
    <w:rsid w:val="006F035E"/>
    <w:rsid w:val="006F0878"/>
    <w:rsid w:val="006F08EF"/>
    <w:rsid w:val="006F0B42"/>
    <w:rsid w:val="006F0C32"/>
    <w:rsid w:val="006F1342"/>
    <w:rsid w:val="006F134D"/>
    <w:rsid w:val="006F1E38"/>
    <w:rsid w:val="006F2093"/>
    <w:rsid w:val="006F247D"/>
    <w:rsid w:val="006F2FEC"/>
    <w:rsid w:val="006F34E9"/>
    <w:rsid w:val="006F35A8"/>
    <w:rsid w:val="006F373C"/>
    <w:rsid w:val="006F4479"/>
    <w:rsid w:val="006F48E0"/>
    <w:rsid w:val="006F5060"/>
    <w:rsid w:val="006F522D"/>
    <w:rsid w:val="006F5A99"/>
    <w:rsid w:val="006F6622"/>
    <w:rsid w:val="006F6819"/>
    <w:rsid w:val="006F6A48"/>
    <w:rsid w:val="006F6C55"/>
    <w:rsid w:val="006F7019"/>
    <w:rsid w:val="007006B0"/>
    <w:rsid w:val="0070082E"/>
    <w:rsid w:val="00700925"/>
    <w:rsid w:val="00700ACB"/>
    <w:rsid w:val="00700FFD"/>
    <w:rsid w:val="0070167A"/>
    <w:rsid w:val="0070175D"/>
    <w:rsid w:val="00701D80"/>
    <w:rsid w:val="007025A0"/>
    <w:rsid w:val="0070298D"/>
    <w:rsid w:val="007031B1"/>
    <w:rsid w:val="00704456"/>
    <w:rsid w:val="00704DE5"/>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570"/>
    <w:rsid w:val="0071378D"/>
    <w:rsid w:val="007143F4"/>
    <w:rsid w:val="0071500C"/>
    <w:rsid w:val="0071581F"/>
    <w:rsid w:val="00715FAD"/>
    <w:rsid w:val="0071629B"/>
    <w:rsid w:val="00716F74"/>
    <w:rsid w:val="0071792E"/>
    <w:rsid w:val="00720347"/>
    <w:rsid w:val="00720744"/>
    <w:rsid w:val="007210CB"/>
    <w:rsid w:val="00721155"/>
    <w:rsid w:val="00721BDD"/>
    <w:rsid w:val="00721E30"/>
    <w:rsid w:val="007221CD"/>
    <w:rsid w:val="007226B4"/>
    <w:rsid w:val="00722EB0"/>
    <w:rsid w:val="007237C6"/>
    <w:rsid w:val="00724901"/>
    <w:rsid w:val="00724DA1"/>
    <w:rsid w:val="00725690"/>
    <w:rsid w:val="00726841"/>
    <w:rsid w:val="00727045"/>
    <w:rsid w:val="00727149"/>
    <w:rsid w:val="007275E6"/>
    <w:rsid w:val="00727C6A"/>
    <w:rsid w:val="00730438"/>
    <w:rsid w:val="007304F5"/>
    <w:rsid w:val="00730FA5"/>
    <w:rsid w:val="00731815"/>
    <w:rsid w:val="00731A7F"/>
    <w:rsid w:val="00731CCE"/>
    <w:rsid w:val="0073267B"/>
    <w:rsid w:val="00732E4E"/>
    <w:rsid w:val="007333FB"/>
    <w:rsid w:val="0073475D"/>
    <w:rsid w:val="00734B62"/>
    <w:rsid w:val="0073533E"/>
    <w:rsid w:val="007360CE"/>
    <w:rsid w:val="0073653A"/>
    <w:rsid w:val="00736F0E"/>
    <w:rsid w:val="007370A2"/>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5EDB"/>
    <w:rsid w:val="00746C09"/>
    <w:rsid w:val="00746C75"/>
    <w:rsid w:val="00747043"/>
    <w:rsid w:val="0074783C"/>
    <w:rsid w:val="0074787C"/>
    <w:rsid w:val="00747F4E"/>
    <w:rsid w:val="00750315"/>
    <w:rsid w:val="0075038D"/>
    <w:rsid w:val="007507F3"/>
    <w:rsid w:val="00750C11"/>
    <w:rsid w:val="0075175C"/>
    <w:rsid w:val="00751BAA"/>
    <w:rsid w:val="0075225C"/>
    <w:rsid w:val="0075280E"/>
    <w:rsid w:val="00752EFE"/>
    <w:rsid w:val="00753017"/>
    <w:rsid w:val="00754047"/>
    <w:rsid w:val="00754151"/>
    <w:rsid w:val="007543B8"/>
    <w:rsid w:val="00754629"/>
    <w:rsid w:val="0075617C"/>
    <w:rsid w:val="007563D4"/>
    <w:rsid w:val="00756F1D"/>
    <w:rsid w:val="00757796"/>
    <w:rsid w:val="00760359"/>
    <w:rsid w:val="0076094B"/>
    <w:rsid w:val="00761298"/>
    <w:rsid w:val="00762017"/>
    <w:rsid w:val="00762969"/>
    <w:rsid w:val="00762BA6"/>
    <w:rsid w:val="00762BB0"/>
    <w:rsid w:val="0076369A"/>
    <w:rsid w:val="00763B4F"/>
    <w:rsid w:val="00763CE2"/>
    <w:rsid w:val="007640C0"/>
    <w:rsid w:val="007644D7"/>
    <w:rsid w:val="00764899"/>
    <w:rsid w:val="00764A55"/>
    <w:rsid w:val="00764B7E"/>
    <w:rsid w:val="0076577B"/>
    <w:rsid w:val="00765BC2"/>
    <w:rsid w:val="0076736B"/>
    <w:rsid w:val="00767F0B"/>
    <w:rsid w:val="0077070C"/>
    <w:rsid w:val="007709C7"/>
    <w:rsid w:val="00771BD0"/>
    <w:rsid w:val="00771FBB"/>
    <w:rsid w:val="007723D1"/>
    <w:rsid w:val="00772749"/>
    <w:rsid w:val="00772AEA"/>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804"/>
    <w:rsid w:val="00782B74"/>
    <w:rsid w:val="007835E7"/>
    <w:rsid w:val="00784017"/>
    <w:rsid w:val="007847B0"/>
    <w:rsid w:val="007848AC"/>
    <w:rsid w:val="007862F7"/>
    <w:rsid w:val="00786338"/>
    <w:rsid w:val="007866D2"/>
    <w:rsid w:val="00786DAB"/>
    <w:rsid w:val="00786E5D"/>
    <w:rsid w:val="00786EEF"/>
    <w:rsid w:val="00787052"/>
    <w:rsid w:val="0078725A"/>
    <w:rsid w:val="00787620"/>
    <w:rsid w:val="0079001E"/>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960"/>
    <w:rsid w:val="00795BEF"/>
    <w:rsid w:val="0079666D"/>
    <w:rsid w:val="00796969"/>
    <w:rsid w:val="00796D5D"/>
    <w:rsid w:val="00796E54"/>
    <w:rsid w:val="00797696"/>
    <w:rsid w:val="00797A0B"/>
    <w:rsid w:val="007A0437"/>
    <w:rsid w:val="007A0996"/>
    <w:rsid w:val="007A0F72"/>
    <w:rsid w:val="007A0FEE"/>
    <w:rsid w:val="007A1130"/>
    <w:rsid w:val="007A24ED"/>
    <w:rsid w:val="007A292A"/>
    <w:rsid w:val="007A2B5D"/>
    <w:rsid w:val="007A3F05"/>
    <w:rsid w:val="007A3FA3"/>
    <w:rsid w:val="007A4064"/>
    <w:rsid w:val="007A4255"/>
    <w:rsid w:val="007A595E"/>
    <w:rsid w:val="007A6297"/>
    <w:rsid w:val="007A6591"/>
    <w:rsid w:val="007A7200"/>
    <w:rsid w:val="007A7271"/>
    <w:rsid w:val="007A7819"/>
    <w:rsid w:val="007B0215"/>
    <w:rsid w:val="007B0247"/>
    <w:rsid w:val="007B048D"/>
    <w:rsid w:val="007B0741"/>
    <w:rsid w:val="007B07F9"/>
    <w:rsid w:val="007B0A5D"/>
    <w:rsid w:val="007B0CD7"/>
    <w:rsid w:val="007B127F"/>
    <w:rsid w:val="007B1F88"/>
    <w:rsid w:val="007B2791"/>
    <w:rsid w:val="007B3488"/>
    <w:rsid w:val="007B4047"/>
    <w:rsid w:val="007B486F"/>
    <w:rsid w:val="007B4954"/>
    <w:rsid w:val="007B49EA"/>
    <w:rsid w:val="007B4ECD"/>
    <w:rsid w:val="007B537C"/>
    <w:rsid w:val="007B60E1"/>
    <w:rsid w:val="007B699D"/>
    <w:rsid w:val="007B6E76"/>
    <w:rsid w:val="007B74E3"/>
    <w:rsid w:val="007B75DD"/>
    <w:rsid w:val="007B7B78"/>
    <w:rsid w:val="007B7B7E"/>
    <w:rsid w:val="007B7DE9"/>
    <w:rsid w:val="007C10DA"/>
    <w:rsid w:val="007C1731"/>
    <w:rsid w:val="007C1770"/>
    <w:rsid w:val="007C1F2B"/>
    <w:rsid w:val="007C2C9E"/>
    <w:rsid w:val="007C64E3"/>
    <w:rsid w:val="007C65F5"/>
    <w:rsid w:val="007C6723"/>
    <w:rsid w:val="007C6AFF"/>
    <w:rsid w:val="007C6D0C"/>
    <w:rsid w:val="007C72E0"/>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718"/>
    <w:rsid w:val="007D488B"/>
    <w:rsid w:val="007D5125"/>
    <w:rsid w:val="007D57C4"/>
    <w:rsid w:val="007D5919"/>
    <w:rsid w:val="007D5C56"/>
    <w:rsid w:val="007D67BC"/>
    <w:rsid w:val="007D6CD4"/>
    <w:rsid w:val="007D6DCD"/>
    <w:rsid w:val="007E001E"/>
    <w:rsid w:val="007E0734"/>
    <w:rsid w:val="007E08C8"/>
    <w:rsid w:val="007E0903"/>
    <w:rsid w:val="007E094B"/>
    <w:rsid w:val="007E0FC9"/>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B66"/>
    <w:rsid w:val="007F0424"/>
    <w:rsid w:val="007F119D"/>
    <w:rsid w:val="007F1B93"/>
    <w:rsid w:val="007F1E51"/>
    <w:rsid w:val="007F20FA"/>
    <w:rsid w:val="007F3E7C"/>
    <w:rsid w:val="007F4173"/>
    <w:rsid w:val="007F42CA"/>
    <w:rsid w:val="007F42DF"/>
    <w:rsid w:val="007F4861"/>
    <w:rsid w:val="007F53FA"/>
    <w:rsid w:val="007F56DD"/>
    <w:rsid w:val="007F5771"/>
    <w:rsid w:val="007F5DE1"/>
    <w:rsid w:val="007F6C9B"/>
    <w:rsid w:val="008003B3"/>
    <w:rsid w:val="008006AD"/>
    <w:rsid w:val="00801B9A"/>
    <w:rsid w:val="00801E38"/>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77A5"/>
    <w:rsid w:val="00807C20"/>
    <w:rsid w:val="00810029"/>
    <w:rsid w:val="0081018C"/>
    <w:rsid w:val="00810456"/>
    <w:rsid w:val="008110EA"/>
    <w:rsid w:val="00812084"/>
    <w:rsid w:val="00812C7A"/>
    <w:rsid w:val="00812E77"/>
    <w:rsid w:val="00812EF2"/>
    <w:rsid w:val="00814656"/>
    <w:rsid w:val="00814790"/>
    <w:rsid w:val="00814B4C"/>
    <w:rsid w:val="008155EB"/>
    <w:rsid w:val="008157F1"/>
    <w:rsid w:val="00815BD4"/>
    <w:rsid w:val="00815D6E"/>
    <w:rsid w:val="00815E52"/>
    <w:rsid w:val="00816AE2"/>
    <w:rsid w:val="00816E4C"/>
    <w:rsid w:val="008171F1"/>
    <w:rsid w:val="00817B56"/>
    <w:rsid w:val="008201FA"/>
    <w:rsid w:val="00820D16"/>
    <w:rsid w:val="008214EF"/>
    <w:rsid w:val="00821D20"/>
    <w:rsid w:val="008227BF"/>
    <w:rsid w:val="00822ED8"/>
    <w:rsid w:val="00823F70"/>
    <w:rsid w:val="00824177"/>
    <w:rsid w:val="0082422F"/>
    <w:rsid w:val="00824311"/>
    <w:rsid w:val="00824739"/>
    <w:rsid w:val="0082686E"/>
    <w:rsid w:val="0082689C"/>
    <w:rsid w:val="00826CF7"/>
    <w:rsid w:val="00827652"/>
    <w:rsid w:val="00827F5D"/>
    <w:rsid w:val="00830ADC"/>
    <w:rsid w:val="00831040"/>
    <w:rsid w:val="008319D0"/>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23B5"/>
    <w:rsid w:val="008426BF"/>
    <w:rsid w:val="00842EDA"/>
    <w:rsid w:val="00843137"/>
    <w:rsid w:val="00843507"/>
    <w:rsid w:val="00843D94"/>
    <w:rsid w:val="008440FF"/>
    <w:rsid w:val="008445CB"/>
    <w:rsid w:val="00844C89"/>
    <w:rsid w:val="0084507C"/>
    <w:rsid w:val="00845BAF"/>
    <w:rsid w:val="00845FE0"/>
    <w:rsid w:val="0084630E"/>
    <w:rsid w:val="00846409"/>
    <w:rsid w:val="00846B23"/>
    <w:rsid w:val="0084759C"/>
    <w:rsid w:val="00847894"/>
    <w:rsid w:val="00847C49"/>
    <w:rsid w:val="00847EF3"/>
    <w:rsid w:val="00850B4C"/>
    <w:rsid w:val="00850F6E"/>
    <w:rsid w:val="00850FE1"/>
    <w:rsid w:val="00851801"/>
    <w:rsid w:val="00852BDD"/>
    <w:rsid w:val="00852ED4"/>
    <w:rsid w:val="008535CB"/>
    <w:rsid w:val="0085404A"/>
    <w:rsid w:val="008542C5"/>
    <w:rsid w:val="008548AB"/>
    <w:rsid w:val="008556F2"/>
    <w:rsid w:val="00855B46"/>
    <w:rsid w:val="00855E79"/>
    <w:rsid w:val="0085633E"/>
    <w:rsid w:val="008567F7"/>
    <w:rsid w:val="0086091A"/>
    <w:rsid w:val="008609D1"/>
    <w:rsid w:val="008610BA"/>
    <w:rsid w:val="008614D0"/>
    <w:rsid w:val="00861E4E"/>
    <w:rsid w:val="00862762"/>
    <w:rsid w:val="008632BF"/>
    <w:rsid w:val="0086399B"/>
    <w:rsid w:val="00864891"/>
    <w:rsid w:val="00864F14"/>
    <w:rsid w:val="00865257"/>
    <w:rsid w:val="00865CD6"/>
    <w:rsid w:val="00865D03"/>
    <w:rsid w:val="008661D7"/>
    <w:rsid w:val="008662BA"/>
    <w:rsid w:val="0086665D"/>
    <w:rsid w:val="00866CFB"/>
    <w:rsid w:val="00867C9B"/>
    <w:rsid w:val="00867F0A"/>
    <w:rsid w:val="00870152"/>
    <w:rsid w:val="008702B9"/>
    <w:rsid w:val="008717C0"/>
    <w:rsid w:val="00872E7C"/>
    <w:rsid w:val="00873429"/>
    <w:rsid w:val="00873BAD"/>
    <w:rsid w:val="00873E55"/>
    <w:rsid w:val="00873E92"/>
    <w:rsid w:val="00873FAE"/>
    <w:rsid w:val="00874862"/>
    <w:rsid w:val="00874910"/>
    <w:rsid w:val="00874B59"/>
    <w:rsid w:val="00874FBB"/>
    <w:rsid w:val="00875BA8"/>
    <w:rsid w:val="00875C9F"/>
    <w:rsid w:val="00875FAD"/>
    <w:rsid w:val="00875FFA"/>
    <w:rsid w:val="00876365"/>
    <w:rsid w:val="0087662F"/>
    <w:rsid w:val="008766D9"/>
    <w:rsid w:val="0087722B"/>
    <w:rsid w:val="008800CE"/>
    <w:rsid w:val="008806B9"/>
    <w:rsid w:val="00881646"/>
    <w:rsid w:val="008830ED"/>
    <w:rsid w:val="00883470"/>
    <w:rsid w:val="00883A60"/>
    <w:rsid w:val="0088424B"/>
    <w:rsid w:val="008849DA"/>
    <w:rsid w:val="00884D8D"/>
    <w:rsid w:val="008851B5"/>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E68"/>
    <w:rsid w:val="0089716E"/>
    <w:rsid w:val="00897254"/>
    <w:rsid w:val="00897CFE"/>
    <w:rsid w:val="00897D57"/>
    <w:rsid w:val="008A0A8B"/>
    <w:rsid w:val="008A0E6D"/>
    <w:rsid w:val="008A0ECF"/>
    <w:rsid w:val="008A1AB7"/>
    <w:rsid w:val="008A1B05"/>
    <w:rsid w:val="008A2210"/>
    <w:rsid w:val="008A24CA"/>
    <w:rsid w:val="008A29D1"/>
    <w:rsid w:val="008A2DF3"/>
    <w:rsid w:val="008A31A9"/>
    <w:rsid w:val="008A392F"/>
    <w:rsid w:val="008A45D0"/>
    <w:rsid w:val="008A46E1"/>
    <w:rsid w:val="008A46E2"/>
    <w:rsid w:val="008A4763"/>
    <w:rsid w:val="008A53B2"/>
    <w:rsid w:val="008A5802"/>
    <w:rsid w:val="008A59C1"/>
    <w:rsid w:val="008A60F5"/>
    <w:rsid w:val="008A6122"/>
    <w:rsid w:val="008A6279"/>
    <w:rsid w:val="008A656F"/>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9B"/>
    <w:rsid w:val="008B6249"/>
    <w:rsid w:val="008B6622"/>
    <w:rsid w:val="008B6A10"/>
    <w:rsid w:val="008B6B71"/>
    <w:rsid w:val="008C0A0A"/>
    <w:rsid w:val="008C0BB8"/>
    <w:rsid w:val="008C106B"/>
    <w:rsid w:val="008C16B0"/>
    <w:rsid w:val="008C176C"/>
    <w:rsid w:val="008C1DF5"/>
    <w:rsid w:val="008C2772"/>
    <w:rsid w:val="008C2A82"/>
    <w:rsid w:val="008C2C58"/>
    <w:rsid w:val="008C2F09"/>
    <w:rsid w:val="008C374E"/>
    <w:rsid w:val="008C4350"/>
    <w:rsid w:val="008C4EAE"/>
    <w:rsid w:val="008C4EEA"/>
    <w:rsid w:val="008C4F0A"/>
    <w:rsid w:val="008C5530"/>
    <w:rsid w:val="008C55A6"/>
    <w:rsid w:val="008C571E"/>
    <w:rsid w:val="008C5C43"/>
    <w:rsid w:val="008C6049"/>
    <w:rsid w:val="008C64A3"/>
    <w:rsid w:val="008C676F"/>
    <w:rsid w:val="008C6B20"/>
    <w:rsid w:val="008C7333"/>
    <w:rsid w:val="008D0776"/>
    <w:rsid w:val="008D0C41"/>
    <w:rsid w:val="008D1000"/>
    <w:rsid w:val="008D159B"/>
    <w:rsid w:val="008D2DDE"/>
    <w:rsid w:val="008D35BF"/>
    <w:rsid w:val="008D3B7C"/>
    <w:rsid w:val="008D40BC"/>
    <w:rsid w:val="008D5355"/>
    <w:rsid w:val="008D5A2E"/>
    <w:rsid w:val="008D653E"/>
    <w:rsid w:val="008D6776"/>
    <w:rsid w:val="008D718A"/>
    <w:rsid w:val="008D7278"/>
    <w:rsid w:val="008D739C"/>
    <w:rsid w:val="008D7963"/>
    <w:rsid w:val="008D7F14"/>
    <w:rsid w:val="008E084E"/>
    <w:rsid w:val="008E0E97"/>
    <w:rsid w:val="008E0EEF"/>
    <w:rsid w:val="008E1CDC"/>
    <w:rsid w:val="008E1FDA"/>
    <w:rsid w:val="008E209B"/>
    <w:rsid w:val="008E2A42"/>
    <w:rsid w:val="008E324D"/>
    <w:rsid w:val="008E3A44"/>
    <w:rsid w:val="008E3BC5"/>
    <w:rsid w:val="008E4036"/>
    <w:rsid w:val="008E4412"/>
    <w:rsid w:val="008E4E31"/>
    <w:rsid w:val="008E5EFC"/>
    <w:rsid w:val="008E610D"/>
    <w:rsid w:val="008E665D"/>
    <w:rsid w:val="008E73C4"/>
    <w:rsid w:val="008E7D1A"/>
    <w:rsid w:val="008F0BE3"/>
    <w:rsid w:val="008F0BF3"/>
    <w:rsid w:val="008F0C1C"/>
    <w:rsid w:val="008F0E26"/>
    <w:rsid w:val="008F0F29"/>
    <w:rsid w:val="008F0F98"/>
    <w:rsid w:val="008F11D2"/>
    <w:rsid w:val="008F1258"/>
    <w:rsid w:val="008F1E42"/>
    <w:rsid w:val="008F2A14"/>
    <w:rsid w:val="008F2B65"/>
    <w:rsid w:val="008F2B7E"/>
    <w:rsid w:val="008F2BB8"/>
    <w:rsid w:val="008F3AB1"/>
    <w:rsid w:val="008F3DD9"/>
    <w:rsid w:val="008F42D5"/>
    <w:rsid w:val="008F48C1"/>
    <w:rsid w:val="008F4AF5"/>
    <w:rsid w:val="008F5C3A"/>
    <w:rsid w:val="008F5F60"/>
    <w:rsid w:val="008F6246"/>
    <w:rsid w:val="008F6898"/>
    <w:rsid w:val="008F6A61"/>
    <w:rsid w:val="008F6BCD"/>
    <w:rsid w:val="008F752E"/>
    <w:rsid w:val="008F7ADF"/>
    <w:rsid w:val="0090023A"/>
    <w:rsid w:val="009005B3"/>
    <w:rsid w:val="00900972"/>
    <w:rsid w:val="00900B5C"/>
    <w:rsid w:val="0090107A"/>
    <w:rsid w:val="009027BC"/>
    <w:rsid w:val="00903350"/>
    <w:rsid w:val="00903790"/>
    <w:rsid w:val="00903D88"/>
    <w:rsid w:val="00904CFF"/>
    <w:rsid w:val="0090571C"/>
    <w:rsid w:val="009067D0"/>
    <w:rsid w:val="00906DF8"/>
    <w:rsid w:val="00910DB0"/>
    <w:rsid w:val="009111F5"/>
    <w:rsid w:val="009115E4"/>
    <w:rsid w:val="0091194E"/>
    <w:rsid w:val="00911ABD"/>
    <w:rsid w:val="00911D63"/>
    <w:rsid w:val="00912CE6"/>
    <w:rsid w:val="00913070"/>
    <w:rsid w:val="00913DBA"/>
    <w:rsid w:val="009150E1"/>
    <w:rsid w:val="009155FD"/>
    <w:rsid w:val="00915D27"/>
    <w:rsid w:val="00916BA1"/>
    <w:rsid w:val="00917594"/>
    <w:rsid w:val="00917DD9"/>
    <w:rsid w:val="009208EA"/>
    <w:rsid w:val="00920F0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970"/>
    <w:rsid w:val="009342FE"/>
    <w:rsid w:val="00934960"/>
    <w:rsid w:val="0093508C"/>
    <w:rsid w:val="00935365"/>
    <w:rsid w:val="009360A2"/>
    <w:rsid w:val="00940382"/>
    <w:rsid w:val="0094163F"/>
    <w:rsid w:val="009417AB"/>
    <w:rsid w:val="0094277F"/>
    <w:rsid w:val="009427A0"/>
    <w:rsid w:val="00942867"/>
    <w:rsid w:val="00942B6C"/>
    <w:rsid w:val="00942F12"/>
    <w:rsid w:val="00943637"/>
    <w:rsid w:val="00944509"/>
    <w:rsid w:val="009449BE"/>
    <w:rsid w:val="00944CCF"/>
    <w:rsid w:val="00944D33"/>
    <w:rsid w:val="00944E09"/>
    <w:rsid w:val="009458A0"/>
    <w:rsid w:val="00945C89"/>
    <w:rsid w:val="009461C3"/>
    <w:rsid w:val="009463DF"/>
    <w:rsid w:val="00946B64"/>
    <w:rsid w:val="00946C25"/>
    <w:rsid w:val="00946DA8"/>
    <w:rsid w:val="0094743D"/>
    <w:rsid w:val="00950C4C"/>
    <w:rsid w:val="00950DE0"/>
    <w:rsid w:val="00951612"/>
    <w:rsid w:val="0095179E"/>
    <w:rsid w:val="0095293C"/>
    <w:rsid w:val="00953927"/>
    <w:rsid w:val="00953DE9"/>
    <w:rsid w:val="0095453B"/>
    <w:rsid w:val="00955454"/>
    <w:rsid w:val="00955C0C"/>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43E7"/>
    <w:rsid w:val="009648E9"/>
    <w:rsid w:val="00964D97"/>
    <w:rsid w:val="009660A7"/>
    <w:rsid w:val="009666F0"/>
    <w:rsid w:val="00966759"/>
    <w:rsid w:val="00966AE0"/>
    <w:rsid w:val="00966BBA"/>
    <w:rsid w:val="00966D3F"/>
    <w:rsid w:val="00967825"/>
    <w:rsid w:val="00967985"/>
    <w:rsid w:val="00967C25"/>
    <w:rsid w:val="00970580"/>
    <w:rsid w:val="00970710"/>
    <w:rsid w:val="0097095C"/>
    <w:rsid w:val="00970DFA"/>
    <w:rsid w:val="009711F1"/>
    <w:rsid w:val="009727DA"/>
    <w:rsid w:val="00972E33"/>
    <w:rsid w:val="009732CD"/>
    <w:rsid w:val="0097433B"/>
    <w:rsid w:val="00974385"/>
    <w:rsid w:val="009743E4"/>
    <w:rsid w:val="00974C01"/>
    <w:rsid w:val="009752A3"/>
    <w:rsid w:val="00975C02"/>
    <w:rsid w:val="00975E0D"/>
    <w:rsid w:val="00975F9E"/>
    <w:rsid w:val="00976D2E"/>
    <w:rsid w:val="00977089"/>
    <w:rsid w:val="00977BA6"/>
    <w:rsid w:val="009804BE"/>
    <w:rsid w:val="009809C8"/>
    <w:rsid w:val="00981010"/>
    <w:rsid w:val="00981890"/>
    <w:rsid w:val="00981A37"/>
    <w:rsid w:val="00982148"/>
    <w:rsid w:val="0098252E"/>
    <w:rsid w:val="009825CF"/>
    <w:rsid w:val="00982841"/>
    <w:rsid w:val="00982C43"/>
    <w:rsid w:val="00983ABA"/>
    <w:rsid w:val="00984015"/>
    <w:rsid w:val="009844E0"/>
    <w:rsid w:val="0098475A"/>
    <w:rsid w:val="00984979"/>
    <w:rsid w:val="00984AA4"/>
    <w:rsid w:val="00984D3D"/>
    <w:rsid w:val="00985873"/>
    <w:rsid w:val="009858B1"/>
    <w:rsid w:val="009858C4"/>
    <w:rsid w:val="00985BB5"/>
    <w:rsid w:val="00986326"/>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C00"/>
    <w:rsid w:val="009956CC"/>
    <w:rsid w:val="00995769"/>
    <w:rsid w:val="0099697D"/>
    <w:rsid w:val="0099751B"/>
    <w:rsid w:val="0099764A"/>
    <w:rsid w:val="00997FF4"/>
    <w:rsid w:val="009A04D0"/>
    <w:rsid w:val="009A0835"/>
    <w:rsid w:val="009A09F2"/>
    <w:rsid w:val="009A0A27"/>
    <w:rsid w:val="009A0D89"/>
    <w:rsid w:val="009A105D"/>
    <w:rsid w:val="009A4E28"/>
    <w:rsid w:val="009A533B"/>
    <w:rsid w:val="009A54A4"/>
    <w:rsid w:val="009A576C"/>
    <w:rsid w:val="009A59BA"/>
    <w:rsid w:val="009A5A35"/>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35B"/>
    <w:rsid w:val="009B2859"/>
    <w:rsid w:val="009B474C"/>
    <w:rsid w:val="009B4979"/>
    <w:rsid w:val="009B4BB0"/>
    <w:rsid w:val="009B59A8"/>
    <w:rsid w:val="009B6831"/>
    <w:rsid w:val="009B6FF9"/>
    <w:rsid w:val="009B72C2"/>
    <w:rsid w:val="009C037F"/>
    <w:rsid w:val="009C0808"/>
    <w:rsid w:val="009C0DB7"/>
    <w:rsid w:val="009C0E42"/>
    <w:rsid w:val="009C1167"/>
    <w:rsid w:val="009C1D38"/>
    <w:rsid w:val="009C2149"/>
    <w:rsid w:val="009C2295"/>
    <w:rsid w:val="009C26C0"/>
    <w:rsid w:val="009C3316"/>
    <w:rsid w:val="009C4145"/>
    <w:rsid w:val="009C4411"/>
    <w:rsid w:val="009C5E26"/>
    <w:rsid w:val="009C65FF"/>
    <w:rsid w:val="009C6638"/>
    <w:rsid w:val="009C75B5"/>
    <w:rsid w:val="009C7816"/>
    <w:rsid w:val="009C7A91"/>
    <w:rsid w:val="009C7C5F"/>
    <w:rsid w:val="009C7C94"/>
    <w:rsid w:val="009C7E54"/>
    <w:rsid w:val="009D0891"/>
    <w:rsid w:val="009D0E51"/>
    <w:rsid w:val="009D0F80"/>
    <w:rsid w:val="009D186A"/>
    <w:rsid w:val="009D198E"/>
    <w:rsid w:val="009D1E20"/>
    <w:rsid w:val="009D274F"/>
    <w:rsid w:val="009D2B17"/>
    <w:rsid w:val="009D2B3A"/>
    <w:rsid w:val="009D3473"/>
    <w:rsid w:val="009D367B"/>
    <w:rsid w:val="009D3872"/>
    <w:rsid w:val="009D3C2F"/>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3926"/>
    <w:rsid w:val="009E4185"/>
    <w:rsid w:val="009E437B"/>
    <w:rsid w:val="009E452D"/>
    <w:rsid w:val="009E472F"/>
    <w:rsid w:val="009E4D50"/>
    <w:rsid w:val="009E5A70"/>
    <w:rsid w:val="009E5E12"/>
    <w:rsid w:val="009E60E8"/>
    <w:rsid w:val="009E7293"/>
    <w:rsid w:val="009E7345"/>
    <w:rsid w:val="009E7FB0"/>
    <w:rsid w:val="009F1B8B"/>
    <w:rsid w:val="009F2902"/>
    <w:rsid w:val="009F3873"/>
    <w:rsid w:val="009F38FD"/>
    <w:rsid w:val="009F3B5E"/>
    <w:rsid w:val="009F3D9C"/>
    <w:rsid w:val="009F3EFA"/>
    <w:rsid w:val="009F45E2"/>
    <w:rsid w:val="009F5555"/>
    <w:rsid w:val="009F55D8"/>
    <w:rsid w:val="009F596F"/>
    <w:rsid w:val="009F6268"/>
    <w:rsid w:val="009F63CA"/>
    <w:rsid w:val="009F68DC"/>
    <w:rsid w:val="009F6F6A"/>
    <w:rsid w:val="009F7FAD"/>
    <w:rsid w:val="00A00BB0"/>
    <w:rsid w:val="00A00BF9"/>
    <w:rsid w:val="00A01C15"/>
    <w:rsid w:val="00A01FB6"/>
    <w:rsid w:val="00A0210C"/>
    <w:rsid w:val="00A0219C"/>
    <w:rsid w:val="00A03268"/>
    <w:rsid w:val="00A034ED"/>
    <w:rsid w:val="00A04B01"/>
    <w:rsid w:val="00A04B0D"/>
    <w:rsid w:val="00A050E6"/>
    <w:rsid w:val="00A05C3F"/>
    <w:rsid w:val="00A05EE8"/>
    <w:rsid w:val="00A06ADF"/>
    <w:rsid w:val="00A07088"/>
    <w:rsid w:val="00A07113"/>
    <w:rsid w:val="00A072C0"/>
    <w:rsid w:val="00A0766B"/>
    <w:rsid w:val="00A07C20"/>
    <w:rsid w:val="00A1076A"/>
    <w:rsid w:val="00A1094A"/>
    <w:rsid w:val="00A11118"/>
    <w:rsid w:val="00A11373"/>
    <w:rsid w:val="00A1211F"/>
    <w:rsid w:val="00A12795"/>
    <w:rsid w:val="00A13151"/>
    <w:rsid w:val="00A1321B"/>
    <w:rsid w:val="00A15229"/>
    <w:rsid w:val="00A15304"/>
    <w:rsid w:val="00A16E4D"/>
    <w:rsid w:val="00A16ED8"/>
    <w:rsid w:val="00A16FF6"/>
    <w:rsid w:val="00A17519"/>
    <w:rsid w:val="00A17670"/>
    <w:rsid w:val="00A20AD5"/>
    <w:rsid w:val="00A21363"/>
    <w:rsid w:val="00A214BC"/>
    <w:rsid w:val="00A217A0"/>
    <w:rsid w:val="00A229EC"/>
    <w:rsid w:val="00A23237"/>
    <w:rsid w:val="00A2356D"/>
    <w:rsid w:val="00A23EEB"/>
    <w:rsid w:val="00A256C4"/>
    <w:rsid w:val="00A26258"/>
    <w:rsid w:val="00A2661B"/>
    <w:rsid w:val="00A274DA"/>
    <w:rsid w:val="00A27587"/>
    <w:rsid w:val="00A275A6"/>
    <w:rsid w:val="00A27DD2"/>
    <w:rsid w:val="00A30B3F"/>
    <w:rsid w:val="00A319E9"/>
    <w:rsid w:val="00A31F3D"/>
    <w:rsid w:val="00A32585"/>
    <w:rsid w:val="00A33707"/>
    <w:rsid w:val="00A35C5C"/>
    <w:rsid w:val="00A35EAE"/>
    <w:rsid w:val="00A35F6C"/>
    <w:rsid w:val="00A36C73"/>
    <w:rsid w:val="00A37045"/>
    <w:rsid w:val="00A37167"/>
    <w:rsid w:val="00A372C5"/>
    <w:rsid w:val="00A3795F"/>
    <w:rsid w:val="00A37ADF"/>
    <w:rsid w:val="00A4018D"/>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7186"/>
    <w:rsid w:val="00A4718F"/>
    <w:rsid w:val="00A471B3"/>
    <w:rsid w:val="00A47316"/>
    <w:rsid w:val="00A47523"/>
    <w:rsid w:val="00A47ACA"/>
    <w:rsid w:val="00A47C3B"/>
    <w:rsid w:val="00A47C3F"/>
    <w:rsid w:val="00A5048C"/>
    <w:rsid w:val="00A50B0E"/>
    <w:rsid w:val="00A51014"/>
    <w:rsid w:val="00A51691"/>
    <w:rsid w:val="00A51F60"/>
    <w:rsid w:val="00A52343"/>
    <w:rsid w:val="00A52718"/>
    <w:rsid w:val="00A531B9"/>
    <w:rsid w:val="00A53315"/>
    <w:rsid w:val="00A54155"/>
    <w:rsid w:val="00A5452B"/>
    <w:rsid w:val="00A54D7E"/>
    <w:rsid w:val="00A55921"/>
    <w:rsid w:val="00A55AB6"/>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35E5"/>
    <w:rsid w:val="00A63F4B"/>
    <w:rsid w:val="00A642DB"/>
    <w:rsid w:val="00A6500F"/>
    <w:rsid w:val="00A65263"/>
    <w:rsid w:val="00A6568C"/>
    <w:rsid w:val="00A65BD6"/>
    <w:rsid w:val="00A65E12"/>
    <w:rsid w:val="00A6664E"/>
    <w:rsid w:val="00A667E1"/>
    <w:rsid w:val="00A66DA2"/>
    <w:rsid w:val="00A67833"/>
    <w:rsid w:val="00A67F01"/>
    <w:rsid w:val="00A7083C"/>
    <w:rsid w:val="00A70C39"/>
    <w:rsid w:val="00A71423"/>
    <w:rsid w:val="00A7165A"/>
    <w:rsid w:val="00A71707"/>
    <w:rsid w:val="00A71DC2"/>
    <w:rsid w:val="00A72F38"/>
    <w:rsid w:val="00A73812"/>
    <w:rsid w:val="00A738FA"/>
    <w:rsid w:val="00A73DED"/>
    <w:rsid w:val="00A74246"/>
    <w:rsid w:val="00A7435F"/>
    <w:rsid w:val="00A74502"/>
    <w:rsid w:val="00A74D03"/>
    <w:rsid w:val="00A7530A"/>
    <w:rsid w:val="00A761D2"/>
    <w:rsid w:val="00A76DBB"/>
    <w:rsid w:val="00A77055"/>
    <w:rsid w:val="00A77EB7"/>
    <w:rsid w:val="00A8067E"/>
    <w:rsid w:val="00A81C45"/>
    <w:rsid w:val="00A81F5E"/>
    <w:rsid w:val="00A825F0"/>
    <w:rsid w:val="00A83B42"/>
    <w:rsid w:val="00A84EE3"/>
    <w:rsid w:val="00A85995"/>
    <w:rsid w:val="00A86459"/>
    <w:rsid w:val="00A86B55"/>
    <w:rsid w:val="00A871B8"/>
    <w:rsid w:val="00A90220"/>
    <w:rsid w:val="00A90266"/>
    <w:rsid w:val="00A904D6"/>
    <w:rsid w:val="00A90A1F"/>
    <w:rsid w:val="00A92CDB"/>
    <w:rsid w:val="00A93504"/>
    <w:rsid w:val="00A93A0F"/>
    <w:rsid w:val="00A94EAE"/>
    <w:rsid w:val="00A9508C"/>
    <w:rsid w:val="00A95254"/>
    <w:rsid w:val="00A95500"/>
    <w:rsid w:val="00A95AF4"/>
    <w:rsid w:val="00A967A2"/>
    <w:rsid w:val="00A96E2B"/>
    <w:rsid w:val="00AA071C"/>
    <w:rsid w:val="00AA11B1"/>
    <w:rsid w:val="00AA18E7"/>
    <w:rsid w:val="00AA220B"/>
    <w:rsid w:val="00AA26B9"/>
    <w:rsid w:val="00AA2847"/>
    <w:rsid w:val="00AA3201"/>
    <w:rsid w:val="00AA3658"/>
    <w:rsid w:val="00AA3D7D"/>
    <w:rsid w:val="00AA424F"/>
    <w:rsid w:val="00AA4295"/>
    <w:rsid w:val="00AA4DD6"/>
    <w:rsid w:val="00AA5960"/>
    <w:rsid w:val="00AA5C2B"/>
    <w:rsid w:val="00AA615C"/>
    <w:rsid w:val="00AA65C0"/>
    <w:rsid w:val="00AA6C5C"/>
    <w:rsid w:val="00AA7213"/>
    <w:rsid w:val="00AA7C65"/>
    <w:rsid w:val="00AA7ECE"/>
    <w:rsid w:val="00AB1297"/>
    <w:rsid w:val="00AB139D"/>
    <w:rsid w:val="00AB140D"/>
    <w:rsid w:val="00AB1412"/>
    <w:rsid w:val="00AB1B8D"/>
    <w:rsid w:val="00AB3B00"/>
    <w:rsid w:val="00AB3E9D"/>
    <w:rsid w:val="00AB59B4"/>
    <w:rsid w:val="00AB5C54"/>
    <w:rsid w:val="00AB5DA2"/>
    <w:rsid w:val="00AB716C"/>
    <w:rsid w:val="00AB7C81"/>
    <w:rsid w:val="00AB7CDC"/>
    <w:rsid w:val="00AB7DF3"/>
    <w:rsid w:val="00AC02B2"/>
    <w:rsid w:val="00AC0724"/>
    <w:rsid w:val="00AC0E09"/>
    <w:rsid w:val="00AC10E1"/>
    <w:rsid w:val="00AC1227"/>
    <w:rsid w:val="00AC2363"/>
    <w:rsid w:val="00AC24F6"/>
    <w:rsid w:val="00AC2B34"/>
    <w:rsid w:val="00AC3FFE"/>
    <w:rsid w:val="00AC40C2"/>
    <w:rsid w:val="00AC6222"/>
    <w:rsid w:val="00AC6733"/>
    <w:rsid w:val="00AC68FB"/>
    <w:rsid w:val="00AC7343"/>
    <w:rsid w:val="00AC7707"/>
    <w:rsid w:val="00AD0078"/>
    <w:rsid w:val="00AD0650"/>
    <w:rsid w:val="00AD0C6E"/>
    <w:rsid w:val="00AD11E5"/>
    <w:rsid w:val="00AD1894"/>
    <w:rsid w:val="00AD1B38"/>
    <w:rsid w:val="00AD1E81"/>
    <w:rsid w:val="00AD21D5"/>
    <w:rsid w:val="00AD29EA"/>
    <w:rsid w:val="00AD2E97"/>
    <w:rsid w:val="00AD2EB5"/>
    <w:rsid w:val="00AD2FF1"/>
    <w:rsid w:val="00AD507C"/>
    <w:rsid w:val="00AD5E14"/>
    <w:rsid w:val="00AD6A7B"/>
    <w:rsid w:val="00AD6B02"/>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FBD"/>
    <w:rsid w:val="00AE5A4A"/>
    <w:rsid w:val="00AE5C63"/>
    <w:rsid w:val="00AE5CFF"/>
    <w:rsid w:val="00AE6BDB"/>
    <w:rsid w:val="00AE78B4"/>
    <w:rsid w:val="00AF04F7"/>
    <w:rsid w:val="00AF0590"/>
    <w:rsid w:val="00AF0866"/>
    <w:rsid w:val="00AF1453"/>
    <w:rsid w:val="00AF15F6"/>
    <w:rsid w:val="00AF1BDD"/>
    <w:rsid w:val="00AF1DF4"/>
    <w:rsid w:val="00AF24DD"/>
    <w:rsid w:val="00AF2982"/>
    <w:rsid w:val="00AF3183"/>
    <w:rsid w:val="00AF4136"/>
    <w:rsid w:val="00AF46FF"/>
    <w:rsid w:val="00AF4A5C"/>
    <w:rsid w:val="00AF4CFE"/>
    <w:rsid w:val="00AF5869"/>
    <w:rsid w:val="00AF586B"/>
    <w:rsid w:val="00AF5A54"/>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9E8"/>
    <w:rsid w:val="00B065F1"/>
    <w:rsid w:val="00B0684D"/>
    <w:rsid w:val="00B07306"/>
    <w:rsid w:val="00B0734B"/>
    <w:rsid w:val="00B073B3"/>
    <w:rsid w:val="00B07B9E"/>
    <w:rsid w:val="00B07C1C"/>
    <w:rsid w:val="00B07FDF"/>
    <w:rsid w:val="00B10A93"/>
    <w:rsid w:val="00B10FE4"/>
    <w:rsid w:val="00B125D5"/>
    <w:rsid w:val="00B131D8"/>
    <w:rsid w:val="00B131F3"/>
    <w:rsid w:val="00B13A76"/>
    <w:rsid w:val="00B13E14"/>
    <w:rsid w:val="00B13FA0"/>
    <w:rsid w:val="00B14483"/>
    <w:rsid w:val="00B14DDA"/>
    <w:rsid w:val="00B15472"/>
    <w:rsid w:val="00B1552E"/>
    <w:rsid w:val="00B1598A"/>
    <w:rsid w:val="00B15E24"/>
    <w:rsid w:val="00B1603B"/>
    <w:rsid w:val="00B163F0"/>
    <w:rsid w:val="00B16C43"/>
    <w:rsid w:val="00B171F1"/>
    <w:rsid w:val="00B1768E"/>
    <w:rsid w:val="00B17A2B"/>
    <w:rsid w:val="00B21792"/>
    <w:rsid w:val="00B21987"/>
    <w:rsid w:val="00B21E34"/>
    <w:rsid w:val="00B2208E"/>
    <w:rsid w:val="00B22494"/>
    <w:rsid w:val="00B23F76"/>
    <w:rsid w:val="00B23FC7"/>
    <w:rsid w:val="00B24274"/>
    <w:rsid w:val="00B24341"/>
    <w:rsid w:val="00B247EF"/>
    <w:rsid w:val="00B24D31"/>
    <w:rsid w:val="00B2502C"/>
    <w:rsid w:val="00B25974"/>
    <w:rsid w:val="00B25BD1"/>
    <w:rsid w:val="00B26B4C"/>
    <w:rsid w:val="00B26B65"/>
    <w:rsid w:val="00B27606"/>
    <w:rsid w:val="00B27C3E"/>
    <w:rsid w:val="00B301E9"/>
    <w:rsid w:val="00B3065F"/>
    <w:rsid w:val="00B308EC"/>
    <w:rsid w:val="00B30939"/>
    <w:rsid w:val="00B30F2A"/>
    <w:rsid w:val="00B31768"/>
    <w:rsid w:val="00B32068"/>
    <w:rsid w:val="00B3216A"/>
    <w:rsid w:val="00B32B7A"/>
    <w:rsid w:val="00B3379D"/>
    <w:rsid w:val="00B33FBE"/>
    <w:rsid w:val="00B34021"/>
    <w:rsid w:val="00B34C5F"/>
    <w:rsid w:val="00B34E4D"/>
    <w:rsid w:val="00B351E5"/>
    <w:rsid w:val="00B35658"/>
    <w:rsid w:val="00B36723"/>
    <w:rsid w:val="00B36D3F"/>
    <w:rsid w:val="00B40668"/>
    <w:rsid w:val="00B40CF6"/>
    <w:rsid w:val="00B413BD"/>
    <w:rsid w:val="00B41A98"/>
    <w:rsid w:val="00B41BD4"/>
    <w:rsid w:val="00B42D7A"/>
    <w:rsid w:val="00B4425A"/>
    <w:rsid w:val="00B44F13"/>
    <w:rsid w:val="00B455AE"/>
    <w:rsid w:val="00B45D64"/>
    <w:rsid w:val="00B466AA"/>
    <w:rsid w:val="00B46AD7"/>
    <w:rsid w:val="00B46CC3"/>
    <w:rsid w:val="00B46D5C"/>
    <w:rsid w:val="00B4794D"/>
    <w:rsid w:val="00B47953"/>
    <w:rsid w:val="00B50464"/>
    <w:rsid w:val="00B50A02"/>
    <w:rsid w:val="00B52268"/>
    <w:rsid w:val="00B527D8"/>
    <w:rsid w:val="00B52D43"/>
    <w:rsid w:val="00B5322D"/>
    <w:rsid w:val="00B53684"/>
    <w:rsid w:val="00B54439"/>
    <w:rsid w:val="00B5464F"/>
    <w:rsid w:val="00B54CCC"/>
    <w:rsid w:val="00B54E46"/>
    <w:rsid w:val="00B54FE9"/>
    <w:rsid w:val="00B55287"/>
    <w:rsid w:val="00B56130"/>
    <w:rsid w:val="00B56BEA"/>
    <w:rsid w:val="00B57001"/>
    <w:rsid w:val="00B572CC"/>
    <w:rsid w:val="00B575D8"/>
    <w:rsid w:val="00B57D9B"/>
    <w:rsid w:val="00B57F91"/>
    <w:rsid w:val="00B6051E"/>
    <w:rsid w:val="00B60AB6"/>
    <w:rsid w:val="00B6120E"/>
    <w:rsid w:val="00B61D74"/>
    <w:rsid w:val="00B61FFE"/>
    <w:rsid w:val="00B62037"/>
    <w:rsid w:val="00B62C18"/>
    <w:rsid w:val="00B6350C"/>
    <w:rsid w:val="00B63EE5"/>
    <w:rsid w:val="00B64630"/>
    <w:rsid w:val="00B64F91"/>
    <w:rsid w:val="00B656C3"/>
    <w:rsid w:val="00B65D61"/>
    <w:rsid w:val="00B66223"/>
    <w:rsid w:val="00B66607"/>
    <w:rsid w:val="00B6726D"/>
    <w:rsid w:val="00B70053"/>
    <w:rsid w:val="00B70B9A"/>
    <w:rsid w:val="00B712FB"/>
    <w:rsid w:val="00B71416"/>
    <w:rsid w:val="00B71811"/>
    <w:rsid w:val="00B72A79"/>
    <w:rsid w:val="00B733D0"/>
    <w:rsid w:val="00B735AE"/>
    <w:rsid w:val="00B737A3"/>
    <w:rsid w:val="00B73918"/>
    <w:rsid w:val="00B73C67"/>
    <w:rsid w:val="00B74F24"/>
    <w:rsid w:val="00B750FC"/>
    <w:rsid w:val="00B75250"/>
    <w:rsid w:val="00B752A8"/>
    <w:rsid w:val="00B75437"/>
    <w:rsid w:val="00B757B1"/>
    <w:rsid w:val="00B75DD3"/>
    <w:rsid w:val="00B76B23"/>
    <w:rsid w:val="00B817FF"/>
    <w:rsid w:val="00B824B4"/>
    <w:rsid w:val="00B82AB8"/>
    <w:rsid w:val="00B83110"/>
    <w:rsid w:val="00B83BDB"/>
    <w:rsid w:val="00B83C56"/>
    <w:rsid w:val="00B840FC"/>
    <w:rsid w:val="00B84D8D"/>
    <w:rsid w:val="00B84FA6"/>
    <w:rsid w:val="00B85323"/>
    <w:rsid w:val="00B86C10"/>
    <w:rsid w:val="00B87334"/>
    <w:rsid w:val="00B873B8"/>
    <w:rsid w:val="00B905AA"/>
    <w:rsid w:val="00B90E52"/>
    <w:rsid w:val="00B9149E"/>
    <w:rsid w:val="00B919D9"/>
    <w:rsid w:val="00B91CC8"/>
    <w:rsid w:val="00B91EFF"/>
    <w:rsid w:val="00B92237"/>
    <w:rsid w:val="00B93405"/>
    <w:rsid w:val="00B93BE9"/>
    <w:rsid w:val="00B93BF3"/>
    <w:rsid w:val="00B93EF9"/>
    <w:rsid w:val="00B93F44"/>
    <w:rsid w:val="00B94A15"/>
    <w:rsid w:val="00B956B5"/>
    <w:rsid w:val="00B963FF"/>
    <w:rsid w:val="00B96AAC"/>
    <w:rsid w:val="00B96CEC"/>
    <w:rsid w:val="00B974C0"/>
    <w:rsid w:val="00B976A2"/>
    <w:rsid w:val="00B97C4E"/>
    <w:rsid w:val="00B97E1D"/>
    <w:rsid w:val="00B97E3D"/>
    <w:rsid w:val="00B97EA4"/>
    <w:rsid w:val="00BA04F1"/>
    <w:rsid w:val="00BA0D58"/>
    <w:rsid w:val="00BA11FE"/>
    <w:rsid w:val="00BA1790"/>
    <w:rsid w:val="00BA27E3"/>
    <w:rsid w:val="00BA283B"/>
    <w:rsid w:val="00BA332A"/>
    <w:rsid w:val="00BA3593"/>
    <w:rsid w:val="00BA38D3"/>
    <w:rsid w:val="00BA3AAA"/>
    <w:rsid w:val="00BA4A16"/>
    <w:rsid w:val="00BA5EFF"/>
    <w:rsid w:val="00BA6BEB"/>
    <w:rsid w:val="00BB0A32"/>
    <w:rsid w:val="00BB0CC9"/>
    <w:rsid w:val="00BB0E66"/>
    <w:rsid w:val="00BB0E77"/>
    <w:rsid w:val="00BB13F2"/>
    <w:rsid w:val="00BB1564"/>
    <w:rsid w:val="00BB16B2"/>
    <w:rsid w:val="00BB19E5"/>
    <w:rsid w:val="00BB33CC"/>
    <w:rsid w:val="00BB352D"/>
    <w:rsid w:val="00BB3D2D"/>
    <w:rsid w:val="00BB48CF"/>
    <w:rsid w:val="00BB4F4B"/>
    <w:rsid w:val="00BB59CB"/>
    <w:rsid w:val="00BB5D25"/>
    <w:rsid w:val="00BB5DA7"/>
    <w:rsid w:val="00BB60E6"/>
    <w:rsid w:val="00BB6D1D"/>
    <w:rsid w:val="00BB7081"/>
    <w:rsid w:val="00BB7578"/>
    <w:rsid w:val="00BB79BD"/>
    <w:rsid w:val="00BB7D49"/>
    <w:rsid w:val="00BC02FB"/>
    <w:rsid w:val="00BC073F"/>
    <w:rsid w:val="00BC097A"/>
    <w:rsid w:val="00BC0B99"/>
    <w:rsid w:val="00BC0CE9"/>
    <w:rsid w:val="00BC0D7D"/>
    <w:rsid w:val="00BC11A9"/>
    <w:rsid w:val="00BC1210"/>
    <w:rsid w:val="00BC1D6A"/>
    <w:rsid w:val="00BC1E74"/>
    <w:rsid w:val="00BC490C"/>
    <w:rsid w:val="00BC4A4A"/>
    <w:rsid w:val="00BC4E53"/>
    <w:rsid w:val="00BC4EE4"/>
    <w:rsid w:val="00BC54E8"/>
    <w:rsid w:val="00BC5787"/>
    <w:rsid w:val="00BC5A40"/>
    <w:rsid w:val="00BC5F9A"/>
    <w:rsid w:val="00BC6215"/>
    <w:rsid w:val="00BC627B"/>
    <w:rsid w:val="00BC6433"/>
    <w:rsid w:val="00BC677B"/>
    <w:rsid w:val="00BC693F"/>
    <w:rsid w:val="00BC7941"/>
    <w:rsid w:val="00BC7B6E"/>
    <w:rsid w:val="00BD1278"/>
    <w:rsid w:val="00BD141F"/>
    <w:rsid w:val="00BD16FA"/>
    <w:rsid w:val="00BD17A4"/>
    <w:rsid w:val="00BD1F33"/>
    <w:rsid w:val="00BD2093"/>
    <w:rsid w:val="00BD20B1"/>
    <w:rsid w:val="00BD2398"/>
    <w:rsid w:val="00BD2682"/>
    <w:rsid w:val="00BD428F"/>
    <w:rsid w:val="00BD4496"/>
    <w:rsid w:val="00BD4646"/>
    <w:rsid w:val="00BD546B"/>
    <w:rsid w:val="00BD59F4"/>
    <w:rsid w:val="00BD779C"/>
    <w:rsid w:val="00BD77EA"/>
    <w:rsid w:val="00BD782C"/>
    <w:rsid w:val="00BD7B42"/>
    <w:rsid w:val="00BE08AD"/>
    <w:rsid w:val="00BE0B19"/>
    <w:rsid w:val="00BE0CF7"/>
    <w:rsid w:val="00BE1ADB"/>
    <w:rsid w:val="00BE1B8B"/>
    <w:rsid w:val="00BE1EB2"/>
    <w:rsid w:val="00BE2027"/>
    <w:rsid w:val="00BE3C2E"/>
    <w:rsid w:val="00BE3CDF"/>
    <w:rsid w:val="00BE4265"/>
    <w:rsid w:val="00BE46EA"/>
    <w:rsid w:val="00BE4899"/>
    <w:rsid w:val="00BE4C35"/>
    <w:rsid w:val="00BE4E53"/>
    <w:rsid w:val="00BE5BE0"/>
    <w:rsid w:val="00BE5C76"/>
    <w:rsid w:val="00BE60D4"/>
    <w:rsid w:val="00BE748A"/>
    <w:rsid w:val="00BE7A66"/>
    <w:rsid w:val="00BE7EAA"/>
    <w:rsid w:val="00BE7F3B"/>
    <w:rsid w:val="00BF0A42"/>
    <w:rsid w:val="00BF1296"/>
    <w:rsid w:val="00BF1353"/>
    <w:rsid w:val="00BF141D"/>
    <w:rsid w:val="00BF2A2F"/>
    <w:rsid w:val="00BF2FBB"/>
    <w:rsid w:val="00BF31AE"/>
    <w:rsid w:val="00BF3B11"/>
    <w:rsid w:val="00BF3D47"/>
    <w:rsid w:val="00BF57C7"/>
    <w:rsid w:val="00BF6768"/>
    <w:rsid w:val="00BF6BBE"/>
    <w:rsid w:val="00BF7BA4"/>
    <w:rsid w:val="00C00843"/>
    <w:rsid w:val="00C00F59"/>
    <w:rsid w:val="00C01C7B"/>
    <w:rsid w:val="00C0241E"/>
    <w:rsid w:val="00C025E6"/>
    <w:rsid w:val="00C029AC"/>
    <w:rsid w:val="00C02AD5"/>
    <w:rsid w:val="00C02D2F"/>
    <w:rsid w:val="00C02E40"/>
    <w:rsid w:val="00C034F0"/>
    <w:rsid w:val="00C03E81"/>
    <w:rsid w:val="00C04664"/>
    <w:rsid w:val="00C04876"/>
    <w:rsid w:val="00C049F6"/>
    <w:rsid w:val="00C04A3B"/>
    <w:rsid w:val="00C0528E"/>
    <w:rsid w:val="00C05349"/>
    <w:rsid w:val="00C05829"/>
    <w:rsid w:val="00C06596"/>
    <w:rsid w:val="00C068A7"/>
    <w:rsid w:val="00C06BBE"/>
    <w:rsid w:val="00C06CCF"/>
    <w:rsid w:val="00C06ECC"/>
    <w:rsid w:val="00C076B4"/>
    <w:rsid w:val="00C07873"/>
    <w:rsid w:val="00C07D94"/>
    <w:rsid w:val="00C07ED6"/>
    <w:rsid w:val="00C106A5"/>
    <w:rsid w:val="00C10A09"/>
    <w:rsid w:val="00C1101C"/>
    <w:rsid w:val="00C11A67"/>
    <w:rsid w:val="00C11D82"/>
    <w:rsid w:val="00C123E1"/>
    <w:rsid w:val="00C12BA7"/>
    <w:rsid w:val="00C12D08"/>
    <w:rsid w:val="00C131D3"/>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38C6"/>
    <w:rsid w:val="00C240FE"/>
    <w:rsid w:val="00C2455B"/>
    <w:rsid w:val="00C24BD8"/>
    <w:rsid w:val="00C24E38"/>
    <w:rsid w:val="00C2626A"/>
    <w:rsid w:val="00C265DA"/>
    <w:rsid w:val="00C268A3"/>
    <w:rsid w:val="00C26AAE"/>
    <w:rsid w:val="00C26B4F"/>
    <w:rsid w:val="00C27A40"/>
    <w:rsid w:val="00C311DC"/>
    <w:rsid w:val="00C315F8"/>
    <w:rsid w:val="00C318E3"/>
    <w:rsid w:val="00C321E5"/>
    <w:rsid w:val="00C32327"/>
    <w:rsid w:val="00C3288C"/>
    <w:rsid w:val="00C329F5"/>
    <w:rsid w:val="00C33078"/>
    <w:rsid w:val="00C3330E"/>
    <w:rsid w:val="00C33737"/>
    <w:rsid w:val="00C34010"/>
    <w:rsid w:val="00C35168"/>
    <w:rsid w:val="00C356F5"/>
    <w:rsid w:val="00C358B6"/>
    <w:rsid w:val="00C35E48"/>
    <w:rsid w:val="00C36390"/>
    <w:rsid w:val="00C3692B"/>
    <w:rsid w:val="00C36A8C"/>
    <w:rsid w:val="00C402E2"/>
    <w:rsid w:val="00C40539"/>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B2B"/>
    <w:rsid w:val="00C5036B"/>
    <w:rsid w:val="00C507FF"/>
    <w:rsid w:val="00C50D4A"/>
    <w:rsid w:val="00C50E45"/>
    <w:rsid w:val="00C51F3A"/>
    <w:rsid w:val="00C52A98"/>
    <w:rsid w:val="00C53905"/>
    <w:rsid w:val="00C539E8"/>
    <w:rsid w:val="00C5483F"/>
    <w:rsid w:val="00C54AA8"/>
    <w:rsid w:val="00C54D33"/>
    <w:rsid w:val="00C555F7"/>
    <w:rsid w:val="00C55E83"/>
    <w:rsid w:val="00C5646A"/>
    <w:rsid w:val="00C574E6"/>
    <w:rsid w:val="00C5751A"/>
    <w:rsid w:val="00C57871"/>
    <w:rsid w:val="00C57D0A"/>
    <w:rsid w:val="00C604F9"/>
    <w:rsid w:val="00C605A1"/>
    <w:rsid w:val="00C611E4"/>
    <w:rsid w:val="00C6131A"/>
    <w:rsid w:val="00C613EC"/>
    <w:rsid w:val="00C638EA"/>
    <w:rsid w:val="00C63950"/>
    <w:rsid w:val="00C63FDD"/>
    <w:rsid w:val="00C65459"/>
    <w:rsid w:val="00C6593F"/>
    <w:rsid w:val="00C66CDD"/>
    <w:rsid w:val="00C674D0"/>
    <w:rsid w:val="00C70BFF"/>
    <w:rsid w:val="00C71D50"/>
    <w:rsid w:val="00C72B8F"/>
    <w:rsid w:val="00C73A54"/>
    <w:rsid w:val="00C73B54"/>
    <w:rsid w:val="00C73C88"/>
    <w:rsid w:val="00C7412D"/>
    <w:rsid w:val="00C74EA6"/>
    <w:rsid w:val="00C7555B"/>
    <w:rsid w:val="00C758E3"/>
    <w:rsid w:val="00C76337"/>
    <w:rsid w:val="00C76F24"/>
    <w:rsid w:val="00C77831"/>
    <w:rsid w:val="00C779BC"/>
    <w:rsid w:val="00C80AC6"/>
    <w:rsid w:val="00C80FD4"/>
    <w:rsid w:val="00C813F6"/>
    <w:rsid w:val="00C81919"/>
    <w:rsid w:val="00C8224E"/>
    <w:rsid w:val="00C82499"/>
    <w:rsid w:val="00C82533"/>
    <w:rsid w:val="00C82F0F"/>
    <w:rsid w:val="00C8330C"/>
    <w:rsid w:val="00C84210"/>
    <w:rsid w:val="00C84C1D"/>
    <w:rsid w:val="00C84C66"/>
    <w:rsid w:val="00C85391"/>
    <w:rsid w:val="00C86CA5"/>
    <w:rsid w:val="00C8711B"/>
    <w:rsid w:val="00C8754B"/>
    <w:rsid w:val="00C9058A"/>
    <w:rsid w:val="00C90BD1"/>
    <w:rsid w:val="00C91A4E"/>
    <w:rsid w:val="00C91BD7"/>
    <w:rsid w:val="00C92AE1"/>
    <w:rsid w:val="00C92F85"/>
    <w:rsid w:val="00C9313C"/>
    <w:rsid w:val="00C940C9"/>
    <w:rsid w:val="00C941CD"/>
    <w:rsid w:val="00C9483C"/>
    <w:rsid w:val="00C95199"/>
    <w:rsid w:val="00C95EF3"/>
    <w:rsid w:val="00C95F8C"/>
    <w:rsid w:val="00C964E7"/>
    <w:rsid w:val="00C973DC"/>
    <w:rsid w:val="00C97722"/>
    <w:rsid w:val="00C97DEA"/>
    <w:rsid w:val="00CA0884"/>
    <w:rsid w:val="00CA16ED"/>
    <w:rsid w:val="00CA1738"/>
    <w:rsid w:val="00CA17E8"/>
    <w:rsid w:val="00CA1A08"/>
    <w:rsid w:val="00CA1AD5"/>
    <w:rsid w:val="00CA1E3C"/>
    <w:rsid w:val="00CA2494"/>
    <w:rsid w:val="00CA257F"/>
    <w:rsid w:val="00CA2A85"/>
    <w:rsid w:val="00CA2F91"/>
    <w:rsid w:val="00CA3446"/>
    <w:rsid w:val="00CA39A5"/>
    <w:rsid w:val="00CA3B9C"/>
    <w:rsid w:val="00CA52A4"/>
    <w:rsid w:val="00CA64E9"/>
    <w:rsid w:val="00CA716A"/>
    <w:rsid w:val="00CA7D18"/>
    <w:rsid w:val="00CB03EB"/>
    <w:rsid w:val="00CB0504"/>
    <w:rsid w:val="00CB0605"/>
    <w:rsid w:val="00CB09C6"/>
    <w:rsid w:val="00CB0B19"/>
    <w:rsid w:val="00CB0DB6"/>
    <w:rsid w:val="00CB0F00"/>
    <w:rsid w:val="00CB19C2"/>
    <w:rsid w:val="00CB22EF"/>
    <w:rsid w:val="00CB29DA"/>
    <w:rsid w:val="00CB2D72"/>
    <w:rsid w:val="00CB3020"/>
    <w:rsid w:val="00CB3033"/>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DB4"/>
    <w:rsid w:val="00CC22AB"/>
    <w:rsid w:val="00CC2837"/>
    <w:rsid w:val="00CC283F"/>
    <w:rsid w:val="00CC28B6"/>
    <w:rsid w:val="00CC2AD1"/>
    <w:rsid w:val="00CC2CC9"/>
    <w:rsid w:val="00CC2FE8"/>
    <w:rsid w:val="00CC3004"/>
    <w:rsid w:val="00CC3452"/>
    <w:rsid w:val="00CC3DF9"/>
    <w:rsid w:val="00CC4385"/>
    <w:rsid w:val="00CC439A"/>
    <w:rsid w:val="00CC484D"/>
    <w:rsid w:val="00CC49D3"/>
    <w:rsid w:val="00CC5082"/>
    <w:rsid w:val="00CC529E"/>
    <w:rsid w:val="00CC55E1"/>
    <w:rsid w:val="00CC57DD"/>
    <w:rsid w:val="00CC5827"/>
    <w:rsid w:val="00CC59A5"/>
    <w:rsid w:val="00CC5E12"/>
    <w:rsid w:val="00CC5EDE"/>
    <w:rsid w:val="00CC68A6"/>
    <w:rsid w:val="00CC6D33"/>
    <w:rsid w:val="00CC7A67"/>
    <w:rsid w:val="00CD01F5"/>
    <w:rsid w:val="00CD060D"/>
    <w:rsid w:val="00CD099E"/>
    <w:rsid w:val="00CD0B78"/>
    <w:rsid w:val="00CD1082"/>
    <w:rsid w:val="00CD182C"/>
    <w:rsid w:val="00CD1FEE"/>
    <w:rsid w:val="00CD210D"/>
    <w:rsid w:val="00CD25B8"/>
    <w:rsid w:val="00CD26DA"/>
    <w:rsid w:val="00CD2A71"/>
    <w:rsid w:val="00CD3034"/>
    <w:rsid w:val="00CD35A4"/>
    <w:rsid w:val="00CD36E3"/>
    <w:rsid w:val="00CD406B"/>
    <w:rsid w:val="00CD5B0B"/>
    <w:rsid w:val="00CD5CE2"/>
    <w:rsid w:val="00CD5DC6"/>
    <w:rsid w:val="00CD7801"/>
    <w:rsid w:val="00CD7D31"/>
    <w:rsid w:val="00CE0818"/>
    <w:rsid w:val="00CE09C4"/>
    <w:rsid w:val="00CE0A04"/>
    <w:rsid w:val="00CE1024"/>
    <w:rsid w:val="00CE109C"/>
    <w:rsid w:val="00CE1198"/>
    <w:rsid w:val="00CE1386"/>
    <w:rsid w:val="00CE17DC"/>
    <w:rsid w:val="00CE18BD"/>
    <w:rsid w:val="00CE23D5"/>
    <w:rsid w:val="00CE256C"/>
    <w:rsid w:val="00CE2996"/>
    <w:rsid w:val="00CE2A19"/>
    <w:rsid w:val="00CE2C96"/>
    <w:rsid w:val="00CE3224"/>
    <w:rsid w:val="00CE349F"/>
    <w:rsid w:val="00CE40D5"/>
    <w:rsid w:val="00CE457F"/>
    <w:rsid w:val="00CE47A1"/>
    <w:rsid w:val="00CE4C15"/>
    <w:rsid w:val="00CE567A"/>
    <w:rsid w:val="00CE5E57"/>
    <w:rsid w:val="00CE5F85"/>
    <w:rsid w:val="00CE6FE1"/>
    <w:rsid w:val="00CE7D14"/>
    <w:rsid w:val="00CF08F8"/>
    <w:rsid w:val="00CF10FA"/>
    <w:rsid w:val="00CF12E9"/>
    <w:rsid w:val="00CF1E5F"/>
    <w:rsid w:val="00CF2C58"/>
    <w:rsid w:val="00CF378E"/>
    <w:rsid w:val="00CF3907"/>
    <w:rsid w:val="00CF4C81"/>
    <w:rsid w:val="00CF4E8F"/>
    <w:rsid w:val="00CF595A"/>
    <w:rsid w:val="00CF5C65"/>
    <w:rsid w:val="00CF5CC5"/>
    <w:rsid w:val="00CF5D11"/>
    <w:rsid w:val="00CF6062"/>
    <w:rsid w:val="00CF61A9"/>
    <w:rsid w:val="00CF62DC"/>
    <w:rsid w:val="00CF6419"/>
    <w:rsid w:val="00CF641D"/>
    <w:rsid w:val="00CF6649"/>
    <w:rsid w:val="00CF6E32"/>
    <w:rsid w:val="00CF74A5"/>
    <w:rsid w:val="00CF7761"/>
    <w:rsid w:val="00CF7FA2"/>
    <w:rsid w:val="00D00227"/>
    <w:rsid w:val="00D004E4"/>
    <w:rsid w:val="00D004F5"/>
    <w:rsid w:val="00D009C3"/>
    <w:rsid w:val="00D009FE"/>
    <w:rsid w:val="00D01452"/>
    <w:rsid w:val="00D019C4"/>
    <w:rsid w:val="00D01E2F"/>
    <w:rsid w:val="00D03732"/>
    <w:rsid w:val="00D03ACC"/>
    <w:rsid w:val="00D03D16"/>
    <w:rsid w:val="00D05037"/>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3861"/>
    <w:rsid w:val="00D238B6"/>
    <w:rsid w:val="00D24472"/>
    <w:rsid w:val="00D2460F"/>
    <w:rsid w:val="00D2486F"/>
    <w:rsid w:val="00D255E6"/>
    <w:rsid w:val="00D25F72"/>
    <w:rsid w:val="00D26176"/>
    <w:rsid w:val="00D26752"/>
    <w:rsid w:val="00D279E6"/>
    <w:rsid w:val="00D3047D"/>
    <w:rsid w:val="00D306F1"/>
    <w:rsid w:val="00D316C0"/>
    <w:rsid w:val="00D31F33"/>
    <w:rsid w:val="00D329A5"/>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12E9"/>
    <w:rsid w:val="00D4171D"/>
    <w:rsid w:val="00D41E76"/>
    <w:rsid w:val="00D420EF"/>
    <w:rsid w:val="00D42581"/>
    <w:rsid w:val="00D42AA4"/>
    <w:rsid w:val="00D43919"/>
    <w:rsid w:val="00D43F23"/>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33FF"/>
    <w:rsid w:val="00D53BDA"/>
    <w:rsid w:val="00D53EA7"/>
    <w:rsid w:val="00D54C92"/>
    <w:rsid w:val="00D54CB8"/>
    <w:rsid w:val="00D54F4D"/>
    <w:rsid w:val="00D55B90"/>
    <w:rsid w:val="00D5759C"/>
    <w:rsid w:val="00D577AE"/>
    <w:rsid w:val="00D5798B"/>
    <w:rsid w:val="00D57DE3"/>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51C3"/>
    <w:rsid w:val="00D657EA"/>
    <w:rsid w:val="00D65B4D"/>
    <w:rsid w:val="00D65B52"/>
    <w:rsid w:val="00D65FCE"/>
    <w:rsid w:val="00D66273"/>
    <w:rsid w:val="00D66318"/>
    <w:rsid w:val="00D66505"/>
    <w:rsid w:val="00D674A7"/>
    <w:rsid w:val="00D6755B"/>
    <w:rsid w:val="00D676BE"/>
    <w:rsid w:val="00D67DBC"/>
    <w:rsid w:val="00D700F7"/>
    <w:rsid w:val="00D70953"/>
    <w:rsid w:val="00D70F9A"/>
    <w:rsid w:val="00D71508"/>
    <w:rsid w:val="00D71F6A"/>
    <w:rsid w:val="00D72ADC"/>
    <w:rsid w:val="00D72B57"/>
    <w:rsid w:val="00D73319"/>
    <w:rsid w:val="00D736A4"/>
    <w:rsid w:val="00D7472D"/>
    <w:rsid w:val="00D74B4D"/>
    <w:rsid w:val="00D74CE3"/>
    <w:rsid w:val="00D74F86"/>
    <w:rsid w:val="00D75B66"/>
    <w:rsid w:val="00D7672A"/>
    <w:rsid w:val="00D769CA"/>
    <w:rsid w:val="00D76C26"/>
    <w:rsid w:val="00D77482"/>
    <w:rsid w:val="00D77642"/>
    <w:rsid w:val="00D77BFE"/>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C05"/>
    <w:rsid w:val="00D8729C"/>
    <w:rsid w:val="00D87E0B"/>
    <w:rsid w:val="00D87FF9"/>
    <w:rsid w:val="00D900DC"/>
    <w:rsid w:val="00D902C2"/>
    <w:rsid w:val="00D9094A"/>
    <w:rsid w:val="00D910BE"/>
    <w:rsid w:val="00D91835"/>
    <w:rsid w:val="00D91A2A"/>
    <w:rsid w:val="00D91C1E"/>
    <w:rsid w:val="00D9283B"/>
    <w:rsid w:val="00D92C9F"/>
    <w:rsid w:val="00D93344"/>
    <w:rsid w:val="00D93858"/>
    <w:rsid w:val="00D93895"/>
    <w:rsid w:val="00D94586"/>
    <w:rsid w:val="00D945C7"/>
    <w:rsid w:val="00D94628"/>
    <w:rsid w:val="00D94768"/>
    <w:rsid w:val="00D94E19"/>
    <w:rsid w:val="00D9599F"/>
    <w:rsid w:val="00D96132"/>
    <w:rsid w:val="00D96473"/>
    <w:rsid w:val="00D9661E"/>
    <w:rsid w:val="00D9746A"/>
    <w:rsid w:val="00D9746F"/>
    <w:rsid w:val="00D975D8"/>
    <w:rsid w:val="00D977B3"/>
    <w:rsid w:val="00DA132E"/>
    <w:rsid w:val="00DA1D5C"/>
    <w:rsid w:val="00DA236E"/>
    <w:rsid w:val="00DA2D8B"/>
    <w:rsid w:val="00DA3E0A"/>
    <w:rsid w:val="00DA424B"/>
    <w:rsid w:val="00DA4955"/>
    <w:rsid w:val="00DA49DE"/>
    <w:rsid w:val="00DA4C33"/>
    <w:rsid w:val="00DA5029"/>
    <w:rsid w:val="00DA5301"/>
    <w:rsid w:val="00DA5484"/>
    <w:rsid w:val="00DA6183"/>
    <w:rsid w:val="00DA66E6"/>
    <w:rsid w:val="00DA6796"/>
    <w:rsid w:val="00DB0070"/>
    <w:rsid w:val="00DB0945"/>
    <w:rsid w:val="00DB0A54"/>
    <w:rsid w:val="00DB18FB"/>
    <w:rsid w:val="00DB1DC2"/>
    <w:rsid w:val="00DB2D56"/>
    <w:rsid w:val="00DB350E"/>
    <w:rsid w:val="00DB4173"/>
    <w:rsid w:val="00DB419D"/>
    <w:rsid w:val="00DB69B8"/>
    <w:rsid w:val="00DB6E64"/>
    <w:rsid w:val="00DB71EA"/>
    <w:rsid w:val="00DB7526"/>
    <w:rsid w:val="00DB772D"/>
    <w:rsid w:val="00DC02E6"/>
    <w:rsid w:val="00DC06E9"/>
    <w:rsid w:val="00DC0BA8"/>
    <w:rsid w:val="00DC0F9E"/>
    <w:rsid w:val="00DC0FA6"/>
    <w:rsid w:val="00DC101B"/>
    <w:rsid w:val="00DC1142"/>
    <w:rsid w:val="00DC127E"/>
    <w:rsid w:val="00DC1874"/>
    <w:rsid w:val="00DC1A16"/>
    <w:rsid w:val="00DC278A"/>
    <w:rsid w:val="00DC29C9"/>
    <w:rsid w:val="00DC2F43"/>
    <w:rsid w:val="00DC3E07"/>
    <w:rsid w:val="00DC3ED7"/>
    <w:rsid w:val="00DC404B"/>
    <w:rsid w:val="00DC4162"/>
    <w:rsid w:val="00DC4F74"/>
    <w:rsid w:val="00DC6298"/>
    <w:rsid w:val="00DC63E4"/>
    <w:rsid w:val="00DC646A"/>
    <w:rsid w:val="00DC6A1F"/>
    <w:rsid w:val="00DC6ED5"/>
    <w:rsid w:val="00DC70D2"/>
    <w:rsid w:val="00DC7195"/>
    <w:rsid w:val="00DC78DA"/>
    <w:rsid w:val="00DC7A5C"/>
    <w:rsid w:val="00DD02BA"/>
    <w:rsid w:val="00DD0382"/>
    <w:rsid w:val="00DD0C13"/>
    <w:rsid w:val="00DD23E0"/>
    <w:rsid w:val="00DD24CF"/>
    <w:rsid w:val="00DD256C"/>
    <w:rsid w:val="00DD3790"/>
    <w:rsid w:val="00DD3ECA"/>
    <w:rsid w:val="00DD403C"/>
    <w:rsid w:val="00DD4215"/>
    <w:rsid w:val="00DD4AA8"/>
    <w:rsid w:val="00DD4BEA"/>
    <w:rsid w:val="00DD4D4F"/>
    <w:rsid w:val="00DD4FEE"/>
    <w:rsid w:val="00DD5245"/>
    <w:rsid w:val="00DD538C"/>
    <w:rsid w:val="00DD5BB6"/>
    <w:rsid w:val="00DD5C64"/>
    <w:rsid w:val="00DD5CF1"/>
    <w:rsid w:val="00DD6700"/>
    <w:rsid w:val="00DD6EF9"/>
    <w:rsid w:val="00DE0777"/>
    <w:rsid w:val="00DE2094"/>
    <w:rsid w:val="00DE216B"/>
    <w:rsid w:val="00DE32A8"/>
    <w:rsid w:val="00DE3531"/>
    <w:rsid w:val="00DE3544"/>
    <w:rsid w:val="00DE3FDF"/>
    <w:rsid w:val="00DE44B3"/>
    <w:rsid w:val="00DE46B6"/>
    <w:rsid w:val="00DE4C2A"/>
    <w:rsid w:val="00DE51F0"/>
    <w:rsid w:val="00DE53EC"/>
    <w:rsid w:val="00DE565C"/>
    <w:rsid w:val="00DE5995"/>
    <w:rsid w:val="00DE5A6A"/>
    <w:rsid w:val="00DE75FC"/>
    <w:rsid w:val="00DE77FF"/>
    <w:rsid w:val="00DE7EA9"/>
    <w:rsid w:val="00DF0A4B"/>
    <w:rsid w:val="00DF0A5E"/>
    <w:rsid w:val="00DF0EDC"/>
    <w:rsid w:val="00DF18C7"/>
    <w:rsid w:val="00DF19D9"/>
    <w:rsid w:val="00DF2AD8"/>
    <w:rsid w:val="00DF31F0"/>
    <w:rsid w:val="00DF46F7"/>
    <w:rsid w:val="00DF52FA"/>
    <w:rsid w:val="00DF7D87"/>
    <w:rsid w:val="00E0013E"/>
    <w:rsid w:val="00E003CF"/>
    <w:rsid w:val="00E003F2"/>
    <w:rsid w:val="00E0156A"/>
    <w:rsid w:val="00E01881"/>
    <w:rsid w:val="00E01C9E"/>
    <w:rsid w:val="00E0267D"/>
    <w:rsid w:val="00E02AC4"/>
    <w:rsid w:val="00E0330F"/>
    <w:rsid w:val="00E03DE4"/>
    <w:rsid w:val="00E04705"/>
    <w:rsid w:val="00E04A52"/>
    <w:rsid w:val="00E055C4"/>
    <w:rsid w:val="00E05FAD"/>
    <w:rsid w:val="00E0628B"/>
    <w:rsid w:val="00E0629A"/>
    <w:rsid w:val="00E064DB"/>
    <w:rsid w:val="00E06574"/>
    <w:rsid w:val="00E06D4A"/>
    <w:rsid w:val="00E115D3"/>
    <w:rsid w:val="00E115F0"/>
    <w:rsid w:val="00E120AF"/>
    <w:rsid w:val="00E12162"/>
    <w:rsid w:val="00E12983"/>
    <w:rsid w:val="00E12D79"/>
    <w:rsid w:val="00E134AA"/>
    <w:rsid w:val="00E145E2"/>
    <w:rsid w:val="00E15094"/>
    <w:rsid w:val="00E157F0"/>
    <w:rsid w:val="00E1594B"/>
    <w:rsid w:val="00E15DF5"/>
    <w:rsid w:val="00E164FF"/>
    <w:rsid w:val="00E167ED"/>
    <w:rsid w:val="00E16CD1"/>
    <w:rsid w:val="00E16EA2"/>
    <w:rsid w:val="00E1793D"/>
    <w:rsid w:val="00E20A4F"/>
    <w:rsid w:val="00E21064"/>
    <w:rsid w:val="00E2121A"/>
    <w:rsid w:val="00E21800"/>
    <w:rsid w:val="00E21DCB"/>
    <w:rsid w:val="00E21F9B"/>
    <w:rsid w:val="00E22305"/>
    <w:rsid w:val="00E22D7F"/>
    <w:rsid w:val="00E23763"/>
    <w:rsid w:val="00E245CA"/>
    <w:rsid w:val="00E24A4B"/>
    <w:rsid w:val="00E24BE3"/>
    <w:rsid w:val="00E254E6"/>
    <w:rsid w:val="00E27991"/>
    <w:rsid w:val="00E27FC0"/>
    <w:rsid w:val="00E3008C"/>
    <w:rsid w:val="00E30AC4"/>
    <w:rsid w:val="00E314A7"/>
    <w:rsid w:val="00E328B7"/>
    <w:rsid w:val="00E331B0"/>
    <w:rsid w:val="00E33310"/>
    <w:rsid w:val="00E33C08"/>
    <w:rsid w:val="00E33ECE"/>
    <w:rsid w:val="00E343C1"/>
    <w:rsid w:val="00E3452C"/>
    <w:rsid w:val="00E3454A"/>
    <w:rsid w:val="00E34799"/>
    <w:rsid w:val="00E34CFF"/>
    <w:rsid w:val="00E34E89"/>
    <w:rsid w:val="00E34F61"/>
    <w:rsid w:val="00E35E02"/>
    <w:rsid w:val="00E3601C"/>
    <w:rsid w:val="00E3602D"/>
    <w:rsid w:val="00E36B4F"/>
    <w:rsid w:val="00E37EE0"/>
    <w:rsid w:val="00E37F59"/>
    <w:rsid w:val="00E40370"/>
    <w:rsid w:val="00E4069B"/>
    <w:rsid w:val="00E417C2"/>
    <w:rsid w:val="00E41B59"/>
    <w:rsid w:val="00E41DF3"/>
    <w:rsid w:val="00E41F59"/>
    <w:rsid w:val="00E43564"/>
    <w:rsid w:val="00E43DB4"/>
    <w:rsid w:val="00E43F67"/>
    <w:rsid w:val="00E44059"/>
    <w:rsid w:val="00E444BE"/>
    <w:rsid w:val="00E44A2B"/>
    <w:rsid w:val="00E44C0F"/>
    <w:rsid w:val="00E454B3"/>
    <w:rsid w:val="00E45EF5"/>
    <w:rsid w:val="00E46137"/>
    <w:rsid w:val="00E469D7"/>
    <w:rsid w:val="00E46B65"/>
    <w:rsid w:val="00E479D1"/>
    <w:rsid w:val="00E47B5D"/>
    <w:rsid w:val="00E47E01"/>
    <w:rsid w:val="00E5006E"/>
    <w:rsid w:val="00E50B53"/>
    <w:rsid w:val="00E50DE6"/>
    <w:rsid w:val="00E50F29"/>
    <w:rsid w:val="00E516F7"/>
    <w:rsid w:val="00E53322"/>
    <w:rsid w:val="00E53511"/>
    <w:rsid w:val="00E53CEA"/>
    <w:rsid w:val="00E53E6F"/>
    <w:rsid w:val="00E53F5F"/>
    <w:rsid w:val="00E54359"/>
    <w:rsid w:val="00E5445C"/>
    <w:rsid w:val="00E5460E"/>
    <w:rsid w:val="00E54A14"/>
    <w:rsid w:val="00E54FC6"/>
    <w:rsid w:val="00E56745"/>
    <w:rsid w:val="00E5740E"/>
    <w:rsid w:val="00E57532"/>
    <w:rsid w:val="00E57652"/>
    <w:rsid w:val="00E57B75"/>
    <w:rsid w:val="00E60B94"/>
    <w:rsid w:val="00E60CFD"/>
    <w:rsid w:val="00E61214"/>
    <w:rsid w:val="00E618E2"/>
    <w:rsid w:val="00E61AE1"/>
    <w:rsid w:val="00E621A3"/>
    <w:rsid w:val="00E6225E"/>
    <w:rsid w:val="00E63419"/>
    <w:rsid w:val="00E6482E"/>
    <w:rsid w:val="00E659CD"/>
    <w:rsid w:val="00E65D44"/>
    <w:rsid w:val="00E66245"/>
    <w:rsid w:val="00E666C1"/>
    <w:rsid w:val="00E678B3"/>
    <w:rsid w:val="00E67AC5"/>
    <w:rsid w:val="00E7044C"/>
    <w:rsid w:val="00E71415"/>
    <w:rsid w:val="00E72210"/>
    <w:rsid w:val="00E72786"/>
    <w:rsid w:val="00E72A2A"/>
    <w:rsid w:val="00E73AB0"/>
    <w:rsid w:val="00E74159"/>
    <w:rsid w:val="00E75853"/>
    <w:rsid w:val="00E7673B"/>
    <w:rsid w:val="00E77C1C"/>
    <w:rsid w:val="00E77C2E"/>
    <w:rsid w:val="00E77DEE"/>
    <w:rsid w:val="00E8052E"/>
    <w:rsid w:val="00E807D5"/>
    <w:rsid w:val="00E80884"/>
    <w:rsid w:val="00E80F6B"/>
    <w:rsid w:val="00E810CB"/>
    <w:rsid w:val="00E82194"/>
    <w:rsid w:val="00E82B4E"/>
    <w:rsid w:val="00E82C0B"/>
    <w:rsid w:val="00E82EC6"/>
    <w:rsid w:val="00E83317"/>
    <w:rsid w:val="00E83B10"/>
    <w:rsid w:val="00E83CC9"/>
    <w:rsid w:val="00E83DC7"/>
    <w:rsid w:val="00E83DF3"/>
    <w:rsid w:val="00E84834"/>
    <w:rsid w:val="00E84EB3"/>
    <w:rsid w:val="00E86191"/>
    <w:rsid w:val="00E8685D"/>
    <w:rsid w:val="00E87167"/>
    <w:rsid w:val="00E87A01"/>
    <w:rsid w:val="00E9028B"/>
    <w:rsid w:val="00E909BB"/>
    <w:rsid w:val="00E90A5F"/>
    <w:rsid w:val="00E91573"/>
    <w:rsid w:val="00E91739"/>
    <w:rsid w:val="00E919F1"/>
    <w:rsid w:val="00E91ACC"/>
    <w:rsid w:val="00E91EED"/>
    <w:rsid w:val="00E92975"/>
    <w:rsid w:val="00E92A34"/>
    <w:rsid w:val="00E92B54"/>
    <w:rsid w:val="00E92C11"/>
    <w:rsid w:val="00E9334B"/>
    <w:rsid w:val="00E9354D"/>
    <w:rsid w:val="00E948FB"/>
    <w:rsid w:val="00E94E44"/>
    <w:rsid w:val="00E94F3B"/>
    <w:rsid w:val="00E95270"/>
    <w:rsid w:val="00E9659A"/>
    <w:rsid w:val="00E966A0"/>
    <w:rsid w:val="00E9681E"/>
    <w:rsid w:val="00E96D10"/>
    <w:rsid w:val="00E96D9E"/>
    <w:rsid w:val="00E9701E"/>
    <w:rsid w:val="00E97A9F"/>
    <w:rsid w:val="00EA02C0"/>
    <w:rsid w:val="00EA0DA3"/>
    <w:rsid w:val="00EA1632"/>
    <w:rsid w:val="00EA1BF9"/>
    <w:rsid w:val="00EA1C5C"/>
    <w:rsid w:val="00EA2431"/>
    <w:rsid w:val="00EA41A6"/>
    <w:rsid w:val="00EA43CE"/>
    <w:rsid w:val="00EA46DD"/>
    <w:rsid w:val="00EA4E8E"/>
    <w:rsid w:val="00EA58E5"/>
    <w:rsid w:val="00EA5C36"/>
    <w:rsid w:val="00EA6586"/>
    <w:rsid w:val="00EA7AA2"/>
    <w:rsid w:val="00EA7B78"/>
    <w:rsid w:val="00EA7C95"/>
    <w:rsid w:val="00EA7F2F"/>
    <w:rsid w:val="00EB01CA"/>
    <w:rsid w:val="00EB0A7E"/>
    <w:rsid w:val="00EB127A"/>
    <w:rsid w:val="00EB1513"/>
    <w:rsid w:val="00EB1BC1"/>
    <w:rsid w:val="00EB365E"/>
    <w:rsid w:val="00EB3A6A"/>
    <w:rsid w:val="00EB3F67"/>
    <w:rsid w:val="00EB40E8"/>
    <w:rsid w:val="00EB4302"/>
    <w:rsid w:val="00EB491A"/>
    <w:rsid w:val="00EB4929"/>
    <w:rsid w:val="00EB4B78"/>
    <w:rsid w:val="00EB4BBA"/>
    <w:rsid w:val="00EB5418"/>
    <w:rsid w:val="00EB5584"/>
    <w:rsid w:val="00EB58F1"/>
    <w:rsid w:val="00EB5EA7"/>
    <w:rsid w:val="00EB6178"/>
    <w:rsid w:val="00EB6AFD"/>
    <w:rsid w:val="00EB6BFE"/>
    <w:rsid w:val="00EB6EB7"/>
    <w:rsid w:val="00EB7E8F"/>
    <w:rsid w:val="00EC0192"/>
    <w:rsid w:val="00EC05D3"/>
    <w:rsid w:val="00EC1F0A"/>
    <w:rsid w:val="00EC24DA"/>
    <w:rsid w:val="00EC261B"/>
    <w:rsid w:val="00EC2733"/>
    <w:rsid w:val="00EC285B"/>
    <w:rsid w:val="00EC2E00"/>
    <w:rsid w:val="00EC2E1C"/>
    <w:rsid w:val="00EC46B1"/>
    <w:rsid w:val="00EC4F26"/>
    <w:rsid w:val="00EC5BF4"/>
    <w:rsid w:val="00EC5D34"/>
    <w:rsid w:val="00EC60E9"/>
    <w:rsid w:val="00EC6CD4"/>
    <w:rsid w:val="00EC71D0"/>
    <w:rsid w:val="00EC7C3D"/>
    <w:rsid w:val="00ED05A8"/>
    <w:rsid w:val="00ED15F3"/>
    <w:rsid w:val="00ED18CF"/>
    <w:rsid w:val="00ED1BA6"/>
    <w:rsid w:val="00ED2A2F"/>
    <w:rsid w:val="00ED2D2B"/>
    <w:rsid w:val="00ED37FB"/>
    <w:rsid w:val="00ED38B8"/>
    <w:rsid w:val="00ED3982"/>
    <w:rsid w:val="00ED3D14"/>
    <w:rsid w:val="00ED4114"/>
    <w:rsid w:val="00ED510C"/>
    <w:rsid w:val="00ED5738"/>
    <w:rsid w:val="00ED5896"/>
    <w:rsid w:val="00ED5BED"/>
    <w:rsid w:val="00ED64C9"/>
    <w:rsid w:val="00ED64F1"/>
    <w:rsid w:val="00ED659B"/>
    <w:rsid w:val="00ED713A"/>
    <w:rsid w:val="00ED7449"/>
    <w:rsid w:val="00ED7881"/>
    <w:rsid w:val="00ED7992"/>
    <w:rsid w:val="00ED79EA"/>
    <w:rsid w:val="00ED7AD0"/>
    <w:rsid w:val="00ED7AE3"/>
    <w:rsid w:val="00ED7CAA"/>
    <w:rsid w:val="00EE12B3"/>
    <w:rsid w:val="00EE183A"/>
    <w:rsid w:val="00EE1B18"/>
    <w:rsid w:val="00EE1C35"/>
    <w:rsid w:val="00EE25F5"/>
    <w:rsid w:val="00EE3446"/>
    <w:rsid w:val="00EE374F"/>
    <w:rsid w:val="00EE4B56"/>
    <w:rsid w:val="00EE56B4"/>
    <w:rsid w:val="00EE59CC"/>
    <w:rsid w:val="00EE5D3E"/>
    <w:rsid w:val="00EE6029"/>
    <w:rsid w:val="00EE6348"/>
    <w:rsid w:val="00EE650C"/>
    <w:rsid w:val="00EE65E7"/>
    <w:rsid w:val="00EE683D"/>
    <w:rsid w:val="00EE6BC8"/>
    <w:rsid w:val="00EE6C98"/>
    <w:rsid w:val="00EE707A"/>
    <w:rsid w:val="00EE7155"/>
    <w:rsid w:val="00EE7223"/>
    <w:rsid w:val="00EE7F9E"/>
    <w:rsid w:val="00EF0432"/>
    <w:rsid w:val="00EF076E"/>
    <w:rsid w:val="00EF0D87"/>
    <w:rsid w:val="00EF0F3C"/>
    <w:rsid w:val="00EF173C"/>
    <w:rsid w:val="00EF1D51"/>
    <w:rsid w:val="00EF2087"/>
    <w:rsid w:val="00EF23DF"/>
    <w:rsid w:val="00EF30F0"/>
    <w:rsid w:val="00EF5169"/>
    <w:rsid w:val="00EF57BD"/>
    <w:rsid w:val="00EF5DA0"/>
    <w:rsid w:val="00EF5E4B"/>
    <w:rsid w:val="00EF6527"/>
    <w:rsid w:val="00EF6BFC"/>
    <w:rsid w:val="00EF78E7"/>
    <w:rsid w:val="00EF7E4F"/>
    <w:rsid w:val="00F0092D"/>
    <w:rsid w:val="00F00955"/>
    <w:rsid w:val="00F00E8E"/>
    <w:rsid w:val="00F01698"/>
    <w:rsid w:val="00F01A54"/>
    <w:rsid w:val="00F02519"/>
    <w:rsid w:val="00F029EC"/>
    <w:rsid w:val="00F02A27"/>
    <w:rsid w:val="00F02CBB"/>
    <w:rsid w:val="00F03062"/>
    <w:rsid w:val="00F031F4"/>
    <w:rsid w:val="00F0456F"/>
    <w:rsid w:val="00F048B6"/>
    <w:rsid w:val="00F04C96"/>
    <w:rsid w:val="00F05792"/>
    <w:rsid w:val="00F05CEF"/>
    <w:rsid w:val="00F05FCB"/>
    <w:rsid w:val="00F0612E"/>
    <w:rsid w:val="00F069F2"/>
    <w:rsid w:val="00F069FF"/>
    <w:rsid w:val="00F07E69"/>
    <w:rsid w:val="00F10308"/>
    <w:rsid w:val="00F1035D"/>
    <w:rsid w:val="00F11A06"/>
    <w:rsid w:val="00F12D3A"/>
    <w:rsid w:val="00F13301"/>
    <w:rsid w:val="00F1339E"/>
    <w:rsid w:val="00F1453D"/>
    <w:rsid w:val="00F15863"/>
    <w:rsid w:val="00F15916"/>
    <w:rsid w:val="00F16A62"/>
    <w:rsid w:val="00F17557"/>
    <w:rsid w:val="00F17946"/>
    <w:rsid w:val="00F17EDF"/>
    <w:rsid w:val="00F21199"/>
    <w:rsid w:val="00F2150E"/>
    <w:rsid w:val="00F21BC6"/>
    <w:rsid w:val="00F22CD0"/>
    <w:rsid w:val="00F23178"/>
    <w:rsid w:val="00F23E02"/>
    <w:rsid w:val="00F241B9"/>
    <w:rsid w:val="00F24C39"/>
    <w:rsid w:val="00F24FC4"/>
    <w:rsid w:val="00F2506A"/>
    <w:rsid w:val="00F263BC"/>
    <w:rsid w:val="00F2714D"/>
    <w:rsid w:val="00F274AC"/>
    <w:rsid w:val="00F276B2"/>
    <w:rsid w:val="00F277BF"/>
    <w:rsid w:val="00F2790D"/>
    <w:rsid w:val="00F27E88"/>
    <w:rsid w:val="00F31028"/>
    <w:rsid w:val="00F316E9"/>
    <w:rsid w:val="00F31857"/>
    <w:rsid w:val="00F32E31"/>
    <w:rsid w:val="00F33926"/>
    <w:rsid w:val="00F3403E"/>
    <w:rsid w:val="00F34A11"/>
    <w:rsid w:val="00F359FE"/>
    <w:rsid w:val="00F36A2B"/>
    <w:rsid w:val="00F37127"/>
    <w:rsid w:val="00F40DD1"/>
    <w:rsid w:val="00F42705"/>
    <w:rsid w:val="00F42C77"/>
    <w:rsid w:val="00F4315F"/>
    <w:rsid w:val="00F43249"/>
    <w:rsid w:val="00F45295"/>
    <w:rsid w:val="00F46267"/>
    <w:rsid w:val="00F469C9"/>
    <w:rsid w:val="00F46E6B"/>
    <w:rsid w:val="00F46F72"/>
    <w:rsid w:val="00F50208"/>
    <w:rsid w:val="00F5035C"/>
    <w:rsid w:val="00F5044A"/>
    <w:rsid w:val="00F507E1"/>
    <w:rsid w:val="00F50B4C"/>
    <w:rsid w:val="00F5150E"/>
    <w:rsid w:val="00F516D2"/>
    <w:rsid w:val="00F5170B"/>
    <w:rsid w:val="00F51B84"/>
    <w:rsid w:val="00F51C4D"/>
    <w:rsid w:val="00F51E39"/>
    <w:rsid w:val="00F5266E"/>
    <w:rsid w:val="00F53523"/>
    <w:rsid w:val="00F5457C"/>
    <w:rsid w:val="00F563A4"/>
    <w:rsid w:val="00F56907"/>
    <w:rsid w:val="00F572FA"/>
    <w:rsid w:val="00F573E2"/>
    <w:rsid w:val="00F57859"/>
    <w:rsid w:val="00F57D48"/>
    <w:rsid w:val="00F60904"/>
    <w:rsid w:val="00F60B73"/>
    <w:rsid w:val="00F60E42"/>
    <w:rsid w:val="00F61377"/>
    <w:rsid w:val="00F613B2"/>
    <w:rsid w:val="00F6211C"/>
    <w:rsid w:val="00F632CB"/>
    <w:rsid w:val="00F635F1"/>
    <w:rsid w:val="00F63AA1"/>
    <w:rsid w:val="00F64231"/>
    <w:rsid w:val="00F643D7"/>
    <w:rsid w:val="00F64943"/>
    <w:rsid w:val="00F64BFF"/>
    <w:rsid w:val="00F64E65"/>
    <w:rsid w:val="00F658DC"/>
    <w:rsid w:val="00F668FE"/>
    <w:rsid w:val="00F6699F"/>
    <w:rsid w:val="00F678C6"/>
    <w:rsid w:val="00F7080C"/>
    <w:rsid w:val="00F70F56"/>
    <w:rsid w:val="00F71B8F"/>
    <w:rsid w:val="00F71D5A"/>
    <w:rsid w:val="00F72339"/>
    <w:rsid w:val="00F725B0"/>
    <w:rsid w:val="00F72B7A"/>
    <w:rsid w:val="00F73406"/>
    <w:rsid w:val="00F74044"/>
    <w:rsid w:val="00F74996"/>
    <w:rsid w:val="00F74EF3"/>
    <w:rsid w:val="00F75153"/>
    <w:rsid w:val="00F7543E"/>
    <w:rsid w:val="00F7583C"/>
    <w:rsid w:val="00F75CEE"/>
    <w:rsid w:val="00F76349"/>
    <w:rsid w:val="00F767E6"/>
    <w:rsid w:val="00F76A3B"/>
    <w:rsid w:val="00F76C5B"/>
    <w:rsid w:val="00F76D82"/>
    <w:rsid w:val="00F77D1B"/>
    <w:rsid w:val="00F8136C"/>
    <w:rsid w:val="00F817E9"/>
    <w:rsid w:val="00F82ABC"/>
    <w:rsid w:val="00F82F7A"/>
    <w:rsid w:val="00F837D6"/>
    <w:rsid w:val="00F8449C"/>
    <w:rsid w:val="00F8690E"/>
    <w:rsid w:val="00F86B86"/>
    <w:rsid w:val="00F8738C"/>
    <w:rsid w:val="00F874FC"/>
    <w:rsid w:val="00F878E5"/>
    <w:rsid w:val="00F8793C"/>
    <w:rsid w:val="00F90185"/>
    <w:rsid w:val="00F9072F"/>
    <w:rsid w:val="00F9082B"/>
    <w:rsid w:val="00F908D2"/>
    <w:rsid w:val="00F916ED"/>
    <w:rsid w:val="00F91BC4"/>
    <w:rsid w:val="00F91BE4"/>
    <w:rsid w:val="00F92027"/>
    <w:rsid w:val="00F93779"/>
    <w:rsid w:val="00F939A0"/>
    <w:rsid w:val="00F94135"/>
    <w:rsid w:val="00F94AFF"/>
    <w:rsid w:val="00F94F9D"/>
    <w:rsid w:val="00F9570A"/>
    <w:rsid w:val="00F96081"/>
    <w:rsid w:val="00F96559"/>
    <w:rsid w:val="00F96E26"/>
    <w:rsid w:val="00F978AE"/>
    <w:rsid w:val="00F97C6F"/>
    <w:rsid w:val="00FA069E"/>
    <w:rsid w:val="00FA0C8B"/>
    <w:rsid w:val="00FA129E"/>
    <w:rsid w:val="00FA301F"/>
    <w:rsid w:val="00FA389B"/>
    <w:rsid w:val="00FA3E2F"/>
    <w:rsid w:val="00FA44CF"/>
    <w:rsid w:val="00FA4573"/>
    <w:rsid w:val="00FA45C7"/>
    <w:rsid w:val="00FA4D4D"/>
    <w:rsid w:val="00FA55F4"/>
    <w:rsid w:val="00FA604F"/>
    <w:rsid w:val="00FA70CA"/>
    <w:rsid w:val="00FA77C5"/>
    <w:rsid w:val="00FA7ABE"/>
    <w:rsid w:val="00FA7CF9"/>
    <w:rsid w:val="00FA7F37"/>
    <w:rsid w:val="00FB0317"/>
    <w:rsid w:val="00FB0D2A"/>
    <w:rsid w:val="00FB1C8F"/>
    <w:rsid w:val="00FB1ECA"/>
    <w:rsid w:val="00FB2330"/>
    <w:rsid w:val="00FB2C80"/>
    <w:rsid w:val="00FB35F4"/>
    <w:rsid w:val="00FB3688"/>
    <w:rsid w:val="00FB3D8F"/>
    <w:rsid w:val="00FB4161"/>
    <w:rsid w:val="00FB4878"/>
    <w:rsid w:val="00FB4C62"/>
    <w:rsid w:val="00FB5396"/>
    <w:rsid w:val="00FB5BA9"/>
    <w:rsid w:val="00FB5D5C"/>
    <w:rsid w:val="00FB5F78"/>
    <w:rsid w:val="00FB6141"/>
    <w:rsid w:val="00FB66CD"/>
    <w:rsid w:val="00FB7F6C"/>
    <w:rsid w:val="00FC0144"/>
    <w:rsid w:val="00FC1464"/>
    <w:rsid w:val="00FC1BA4"/>
    <w:rsid w:val="00FC29B5"/>
    <w:rsid w:val="00FC322F"/>
    <w:rsid w:val="00FC35A5"/>
    <w:rsid w:val="00FC3BF6"/>
    <w:rsid w:val="00FC47FB"/>
    <w:rsid w:val="00FC4FE9"/>
    <w:rsid w:val="00FC53BC"/>
    <w:rsid w:val="00FC6A64"/>
    <w:rsid w:val="00FC6BAC"/>
    <w:rsid w:val="00FC6E17"/>
    <w:rsid w:val="00FC6E83"/>
    <w:rsid w:val="00FC7537"/>
    <w:rsid w:val="00FC7835"/>
    <w:rsid w:val="00FD1030"/>
    <w:rsid w:val="00FD1277"/>
    <w:rsid w:val="00FD1603"/>
    <w:rsid w:val="00FD2740"/>
    <w:rsid w:val="00FD3153"/>
    <w:rsid w:val="00FD377A"/>
    <w:rsid w:val="00FD3966"/>
    <w:rsid w:val="00FD3A58"/>
    <w:rsid w:val="00FD3FF0"/>
    <w:rsid w:val="00FD4197"/>
    <w:rsid w:val="00FD44D4"/>
    <w:rsid w:val="00FD4501"/>
    <w:rsid w:val="00FD4567"/>
    <w:rsid w:val="00FD4690"/>
    <w:rsid w:val="00FD4F2F"/>
    <w:rsid w:val="00FD4FF4"/>
    <w:rsid w:val="00FD57B8"/>
    <w:rsid w:val="00FD589A"/>
    <w:rsid w:val="00FD5DF9"/>
    <w:rsid w:val="00FD5EE4"/>
    <w:rsid w:val="00FD624D"/>
    <w:rsid w:val="00FD647D"/>
    <w:rsid w:val="00FD6C29"/>
    <w:rsid w:val="00FD6EA6"/>
    <w:rsid w:val="00FD7833"/>
    <w:rsid w:val="00FD7FF4"/>
    <w:rsid w:val="00FE0602"/>
    <w:rsid w:val="00FE08C1"/>
    <w:rsid w:val="00FE19EA"/>
    <w:rsid w:val="00FE1A6C"/>
    <w:rsid w:val="00FE1A6F"/>
    <w:rsid w:val="00FE1C2B"/>
    <w:rsid w:val="00FE1D83"/>
    <w:rsid w:val="00FE2423"/>
    <w:rsid w:val="00FE2F29"/>
    <w:rsid w:val="00FE2F3E"/>
    <w:rsid w:val="00FE2FDA"/>
    <w:rsid w:val="00FE30FD"/>
    <w:rsid w:val="00FE3713"/>
    <w:rsid w:val="00FE37BD"/>
    <w:rsid w:val="00FE4A47"/>
    <w:rsid w:val="00FE4D0D"/>
    <w:rsid w:val="00FE589D"/>
    <w:rsid w:val="00FE60A9"/>
    <w:rsid w:val="00FE68AC"/>
    <w:rsid w:val="00FE78BE"/>
    <w:rsid w:val="00FE7966"/>
    <w:rsid w:val="00FE7E1A"/>
    <w:rsid w:val="00FF0437"/>
    <w:rsid w:val="00FF04ED"/>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6C77"/>
    <w:rsid w:val="00FF6E06"/>
    <w:rsid w:val="00FF782B"/>
    <w:rsid w:val="00FF797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uiPriority w:val="99"/>
    <w:qFormat/>
    <w:rsid w:val="002862BF"/>
    <w:pPr>
      <w:numPr>
        <w:numId w:val="10"/>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9"/>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9"/>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link w:val="Prrafodelista"/>
    <w:uiPriority w:val="34"/>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26"/>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28"/>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31"/>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35"/>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36"/>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33"/>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37"/>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38"/>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34"/>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39"/>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40"/>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Puesto">
    <w:name w:val="Title"/>
    <w:basedOn w:val="Normal"/>
    <w:link w:val="Puest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PuestoCar">
    <w:name w:val="Puesto Car"/>
    <w:basedOn w:val="Fuentedeprrafopredeter"/>
    <w:link w:val="Puest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de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uiPriority w:val="99"/>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41"/>
      </w:numPr>
    </w:pPr>
  </w:style>
  <w:style w:type="paragraph" w:customStyle="1" w:styleId="Paragraph">
    <w:name w:val="Paragraph"/>
    <w:basedOn w:val="Normal"/>
    <w:link w:val="ParagraphChar"/>
    <w:uiPriority w:val="99"/>
    <w:rsid w:val="00B07B9E"/>
    <w:pPr>
      <w:numPr>
        <w:numId w:val="42"/>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43"/>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44"/>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45"/>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82"/>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107"/>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107"/>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84"/>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82"/>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186"/>
      </w:numPr>
      <w:spacing w:before="600" w:after="360" w:line="257" w:lineRule="auto"/>
      <w:jc w:val="left"/>
      <w:outlineLvl w:val="9"/>
    </w:pPr>
  </w:style>
  <w:style w:type="paragraph" w:customStyle="1" w:styleId="A1L2">
    <w:name w:val="A1 L2"/>
    <w:basedOn w:val="A1L1"/>
    <w:link w:val="A1L2Char"/>
    <w:qFormat/>
    <w:rsid w:val="00805C37"/>
    <w:pPr>
      <w:numPr>
        <w:ilvl w:val="1"/>
        <w:numId w:val="197"/>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186"/>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185"/>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00"/>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229"/>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262"/>
      </w:numPr>
      <w:spacing w:before="60" w:after="60" w:line="264" w:lineRule="auto"/>
      <w:jc w:val="both"/>
    </w:pPr>
    <w:rPr>
      <w:rFonts w:cs="Arial"/>
      <w:color w:val="000000" w:themeColor="text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www.citc.gov.sa/en/new/publicConsultation/Pages/a37.aspx" TargetMode="External"/><Relationship Id="rId2" Type="http://schemas.openxmlformats.org/officeDocument/2006/relationships/hyperlink" Target="https://www.imda.gov.sg/~/media/imda/files/regulation%20licensing%20and%20consultations/codes%20of%20practice%20and%20guidelines/5%20revisedasg.pdf?la=en" TargetMode="External"/><Relationship Id="rId1" Type="http://schemas.openxmlformats.org/officeDocument/2006/relationships/hyperlink" Target="https://www.ursec.gub.uy/wps/wcm/connect/ursec/8eed19c8-e802-4808-ae87-ec9836457c9e/Reglamento+Contabilidad+Separada.pdf?MOD=AJPERES&amp;CONVERT_TO=url&amp;CACHEID=8eed19c8-e802-4808-ae87-ec9836457c9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2.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F9067-C756-4E60-A5F4-AEAB795F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43581</Words>
  <Characters>239700</Characters>
  <Application>Microsoft Office Word</Application>
  <DocSecurity>0</DocSecurity>
  <Lines>1997</Lines>
  <Paragraphs>565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Josue Teoyotl Calderon</cp:lastModifiedBy>
  <cp:revision>2</cp:revision>
  <dcterms:created xsi:type="dcterms:W3CDTF">2017-12-19T17:17:00Z</dcterms:created>
  <dcterms:modified xsi:type="dcterms:W3CDTF">2017-12-19T17:17:00Z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