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1A552416" w:rsidR="0038199D" w:rsidRPr="007A6974" w:rsidRDefault="0038199D" w:rsidP="00CD5786">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CD5786" w:rsidRPr="00C32C46">
          <w:rPr>
            <w:rStyle w:val="Hipervnculo"/>
            <w:rFonts w:ascii="Century Gothic" w:hAnsi="Century Gothic"/>
            <w:sz w:val="14"/>
            <w:szCs w:val="14"/>
          </w:rPr>
          <w:t>separacion.contable@ift.org.mx</w:t>
        </w:r>
      </w:hyperlink>
      <w:r w:rsidRPr="007A6974">
        <w:rPr>
          <w:rFonts w:ascii="Century Gothic" w:hAnsi="Century Gothic"/>
          <w:sz w:val="14"/>
          <w:szCs w:val="14"/>
        </w:rPr>
        <w:t xml:space="preserve">, en donde habrá que considerarse que la capacidad límite para la remisión de archivos es de </w:t>
      </w:r>
      <w:r w:rsidR="00CD5786" w:rsidRPr="00CD5786">
        <w:rPr>
          <w:rFonts w:ascii="Century Gothic" w:hAnsi="Century Gothic"/>
          <w:sz w:val="14"/>
          <w:szCs w:val="14"/>
        </w:rPr>
        <w:t>25 MB</w:t>
      </w:r>
      <w:r w:rsidRPr="007A6974">
        <w:rPr>
          <w:rFonts w:ascii="Century Gothic" w:hAnsi="Century Gothic"/>
          <w:sz w:val="14"/>
          <w:szCs w:val="14"/>
        </w:rPr>
        <w:t>.</w:t>
      </w:r>
    </w:p>
    <w:p w14:paraId="0D6D69D0" w14:textId="761EE632"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w:t>
      </w:r>
      <w:r w:rsidR="00CD5786">
        <w:rPr>
          <w:rFonts w:ascii="Century Gothic" w:hAnsi="Century Gothic"/>
          <w:sz w:val="14"/>
          <w:szCs w:val="14"/>
        </w:rPr>
        <w:t xml:space="preserve">simple </w:t>
      </w:r>
      <w:r w:rsidRPr="007A6974">
        <w:rPr>
          <w:rFonts w:ascii="Century Gothic" w:hAnsi="Century Gothic"/>
          <w:sz w:val="14"/>
          <w:szCs w:val="14"/>
        </w:rPr>
        <w:t>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339AED60"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 xml:space="preserve">Vierta sus comentarios conforme </w:t>
      </w:r>
      <w:r w:rsidR="00CD5786">
        <w:rPr>
          <w:rFonts w:ascii="Century Gothic" w:hAnsi="Century Gothic"/>
          <w:sz w:val="14"/>
          <w:szCs w:val="14"/>
        </w:rPr>
        <w:t>a la estructura de la Sección II</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56E77412"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17DE9948" w:rsidR="0038199D" w:rsidRPr="007A6974" w:rsidRDefault="00CD5786" w:rsidP="003B066A">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La duración de la presente</w:t>
      </w:r>
      <w:r w:rsidR="0038199D" w:rsidRPr="007A6974">
        <w:rPr>
          <w:rFonts w:ascii="Century Gothic" w:hAnsi="Century Gothic"/>
          <w:sz w:val="14"/>
          <w:szCs w:val="14"/>
        </w:rPr>
        <w:t xml:space="preserve"> consulta pública </w:t>
      </w:r>
      <w:r w:rsidR="0038199D" w:rsidRPr="00DF7591">
        <w:rPr>
          <w:rFonts w:ascii="Century Gothic" w:hAnsi="Century Gothic"/>
          <w:sz w:val="14"/>
          <w:szCs w:val="14"/>
        </w:rPr>
        <w:t>será de</w:t>
      </w:r>
      <w:r w:rsidR="00747F94">
        <w:rPr>
          <w:rFonts w:ascii="Century Gothic" w:hAnsi="Century Gothic"/>
          <w:sz w:val="14"/>
          <w:szCs w:val="14"/>
        </w:rPr>
        <w:t xml:space="preserve">l </w:t>
      </w:r>
      <w:r w:rsidR="0066087A">
        <w:rPr>
          <w:rFonts w:ascii="Century Gothic" w:hAnsi="Century Gothic"/>
          <w:sz w:val="14"/>
          <w:szCs w:val="14"/>
        </w:rPr>
        <w:t>7</w:t>
      </w:r>
      <w:r w:rsidR="00747F94">
        <w:rPr>
          <w:rFonts w:ascii="Century Gothic" w:hAnsi="Century Gothic"/>
          <w:sz w:val="14"/>
          <w:szCs w:val="14"/>
        </w:rPr>
        <w:t xml:space="preserve"> de junio al </w:t>
      </w:r>
      <w:r w:rsidR="0066087A">
        <w:rPr>
          <w:rFonts w:ascii="Century Gothic" w:hAnsi="Century Gothic"/>
          <w:sz w:val="14"/>
          <w:szCs w:val="14"/>
        </w:rPr>
        <w:t>1</w:t>
      </w:r>
      <w:r w:rsidR="00747F94">
        <w:rPr>
          <w:rFonts w:ascii="Century Gothic" w:hAnsi="Century Gothic"/>
          <w:sz w:val="14"/>
          <w:szCs w:val="14"/>
        </w:rPr>
        <w:t xml:space="preserve"> de </w:t>
      </w:r>
      <w:r w:rsidR="0066087A">
        <w:rPr>
          <w:rFonts w:ascii="Century Gothic" w:hAnsi="Century Gothic"/>
          <w:sz w:val="14"/>
          <w:szCs w:val="14"/>
        </w:rPr>
        <w:t>agosto</w:t>
      </w:r>
      <w:r w:rsidR="00747F94">
        <w:rPr>
          <w:rFonts w:ascii="Century Gothic" w:hAnsi="Century Gothic"/>
          <w:sz w:val="14"/>
          <w:szCs w:val="14"/>
        </w:rPr>
        <w:t xml:space="preserve"> de 2017</w:t>
      </w:r>
      <w:r w:rsidR="00410CF7">
        <w:rPr>
          <w:rFonts w:ascii="Century Gothic" w:hAnsi="Century Gothic"/>
          <w:sz w:val="14"/>
          <w:szCs w:val="14"/>
        </w:rPr>
        <w:t xml:space="preserve"> </w:t>
      </w:r>
      <w:r w:rsidR="00747F94">
        <w:rPr>
          <w:rFonts w:ascii="Century Gothic" w:hAnsi="Century Gothic"/>
          <w:sz w:val="14"/>
          <w:szCs w:val="14"/>
        </w:rPr>
        <w:t>(</w:t>
      </w:r>
      <w:r w:rsidR="003B066A" w:rsidRPr="00DF7591">
        <w:rPr>
          <w:rFonts w:ascii="Century Gothic" w:hAnsi="Century Gothic"/>
          <w:sz w:val="14"/>
          <w:szCs w:val="14"/>
        </w:rPr>
        <w:t>30 días hábiles</w:t>
      </w:r>
      <w:r w:rsidR="00747F94">
        <w:rPr>
          <w:rFonts w:ascii="Century Gothic" w:hAnsi="Century Gothic"/>
          <w:sz w:val="14"/>
          <w:szCs w:val="14"/>
        </w:rPr>
        <w:t>)</w:t>
      </w:r>
      <w:r w:rsidR="0038199D" w:rsidRPr="00DF7591">
        <w:rPr>
          <w:rFonts w:ascii="Century Gothic" w:hAnsi="Century Gothic"/>
          <w:sz w:val="14"/>
          <w:szCs w:val="14"/>
        </w:rPr>
        <w:t>.</w:t>
      </w:r>
      <w:r w:rsidR="0038199D" w:rsidRPr="007A6974">
        <w:rPr>
          <w:rFonts w:ascii="Century Gothic" w:hAnsi="Century Gothic"/>
          <w:sz w:val="14"/>
          <w:szCs w:val="14"/>
        </w:rPr>
        <w:t xml:space="preserve"> Una vez concluido</w:t>
      </w:r>
      <w:r>
        <w:rPr>
          <w:rFonts w:ascii="Century Gothic" w:hAnsi="Century Gothic"/>
          <w:sz w:val="14"/>
          <w:szCs w:val="14"/>
        </w:rPr>
        <w:t xml:space="preserve"> dicho proceso</w:t>
      </w:r>
      <w:r w:rsidR="004970C4" w:rsidRPr="004970C4">
        <w:rPr>
          <w:rFonts w:ascii="Century Gothic" w:hAnsi="Century Gothic"/>
          <w:sz w:val="14"/>
          <w:szCs w:val="14"/>
        </w:rPr>
        <w:t>,</w:t>
      </w:r>
      <w:r w:rsidR="0038199D" w:rsidRPr="007A6974">
        <w:rPr>
          <w:rFonts w:ascii="Century Gothic" w:hAnsi="Century Gothic"/>
          <w:sz w:val="14"/>
          <w:szCs w:val="14"/>
        </w:rPr>
        <w:t xml:space="preserve"> se podrá</w:t>
      </w:r>
      <w:r w:rsidR="008F2B1A">
        <w:rPr>
          <w:rFonts w:ascii="Century Gothic" w:hAnsi="Century Gothic"/>
          <w:sz w:val="14"/>
          <w:szCs w:val="14"/>
        </w:rPr>
        <w:t>n</w:t>
      </w:r>
      <w:r w:rsidR="0038199D"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78DEE4B" w14:textId="0040EFCE" w:rsidR="006601AF" w:rsidRPr="00C900FF" w:rsidRDefault="000D2838" w:rsidP="0096765E">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w:t>
      </w:r>
      <w:r w:rsidR="0096765E">
        <w:rPr>
          <w:rFonts w:ascii="Century Gothic" w:hAnsi="Century Gothic"/>
          <w:sz w:val="14"/>
          <w:szCs w:val="14"/>
        </w:rPr>
        <w:t xml:space="preserve"> </w:t>
      </w:r>
      <w:r w:rsidR="00E31681" w:rsidRPr="00E31681">
        <w:rPr>
          <w:rFonts w:ascii="Century Gothic" w:hAnsi="Century Gothic"/>
          <w:sz w:val="14"/>
          <w:szCs w:val="14"/>
        </w:rPr>
        <w:t xml:space="preserve">Vladimir Salazar Altamirano, Director de Contabilidad y Costeo de la Unidad de Política Regulatoria, correo electrónico: </w:t>
      </w:r>
      <w:hyperlink r:id="rId13" w:history="1">
        <w:r w:rsidR="00E31681" w:rsidRPr="00E31681">
          <w:rPr>
            <w:rStyle w:val="Hipervnculo"/>
            <w:rFonts w:ascii="Century Gothic" w:hAnsi="Century Gothic"/>
            <w:sz w:val="14"/>
            <w:szCs w:val="14"/>
          </w:rPr>
          <w:t>vladimir.salazar@ift.org.mx</w:t>
        </w:r>
      </w:hyperlink>
      <w:r w:rsidR="00E31681" w:rsidRPr="00E31681">
        <w:rPr>
          <w:rFonts w:ascii="Century Gothic" w:hAnsi="Century Gothic"/>
          <w:sz w:val="14"/>
          <w:szCs w:val="14"/>
        </w:rPr>
        <w:t>, número telefónico (55) 5015 4000, extensión 4326, disponible en los mismos horarios de atención de la Oficialía de Partes Común del Instituto</w:t>
      </w:r>
      <w:r w:rsidR="0038199D" w:rsidRPr="007A6974">
        <w:rPr>
          <w:rFonts w:ascii="Century Gothic" w:hAnsi="Century Gothic"/>
          <w:sz w:val="14"/>
          <w:szCs w:val="14"/>
        </w:rPr>
        <w:t>.</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45C5B456"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w:t>
            </w:r>
            <w:r w:rsidR="0057032E">
              <w:rPr>
                <w:rFonts w:ascii="Century Gothic" w:eastAsia="Times New Roman" w:hAnsi="Century Gothic" w:cs="Times New Roman"/>
                <w:color w:val="000000"/>
                <w:sz w:val="14"/>
                <w:szCs w:val="16"/>
                <w:lang w:eastAsia="es-MX"/>
              </w:rPr>
              <w:t xml:space="preserve">entimiento para la difusión de </w:t>
            </w:r>
            <w:r w:rsidRPr="00A60361">
              <w:rPr>
                <w:rFonts w:ascii="Century Gothic" w:eastAsia="Times New Roman" w:hAnsi="Century Gothic" w:cs="Times New Roman"/>
                <w:color w:val="000000"/>
                <w:sz w:val="14"/>
                <w:szCs w:val="16"/>
                <w:lang w:eastAsia="es-MX"/>
              </w:rPr>
              <w:t xml:space="preserve">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5721E41"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lastRenderedPageBreak/>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7980F17C" w14:textId="77777777" w:rsidR="00D01F2B"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w:t>
            </w:r>
          </w:p>
          <w:p w14:paraId="449D3FF0" w14:textId="41030A5F" w:rsidR="000E55B0" w:rsidRPr="00915CEA" w:rsidRDefault="000E55B0" w:rsidP="00CD5786">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r w:rsidRPr="00CD5786">
              <w:rPr>
                <w:rFonts w:ascii="Century Gothic" w:eastAsia="Times New Roman" w:hAnsi="Century Gothic" w:cs="Times New Roman"/>
                <w:color w:val="000000"/>
                <w:sz w:val="14"/>
                <w:szCs w:val="16"/>
                <w:lang w:eastAsia="es-MX"/>
              </w:rPr>
              <w:t xml:space="preserve">Se pone a disposición </w:t>
            </w:r>
            <w:r w:rsidR="00410CF7" w:rsidRPr="00CD5786">
              <w:rPr>
                <w:rFonts w:ascii="Century Gothic" w:eastAsia="Times New Roman" w:hAnsi="Century Gothic" w:cs="Times New Roman"/>
                <w:color w:val="000000"/>
                <w:sz w:val="14"/>
                <w:szCs w:val="16"/>
                <w:lang w:eastAsia="es-MX"/>
              </w:rPr>
              <w:t>el</w:t>
            </w:r>
            <w:r w:rsidRPr="00CD5786">
              <w:rPr>
                <w:rFonts w:ascii="Century Gothic" w:eastAsia="Times New Roman" w:hAnsi="Century Gothic" w:cs="Times New Roman"/>
                <w:color w:val="000000"/>
                <w:sz w:val="14"/>
                <w:szCs w:val="16"/>
                <w:lang w:eastAsia="es-MX"/>
              </w:rPr>
              <w:t xml:space="preserve"> siguiente punto de contacto: </w:t>
            </w:r>
            <w:r w:rsidR="00E31681" w:rsidRPr="00CD5786">
              <w:rPr>
                <w:rFonts w:ascii="Century Gothic" w:hAnsi="Century Gothic"/>
                <w:sz w:val="14"/>
                <w:szCs w:val="14"/>
              </w:rPr>
              <w:t xml:space="preserve">Vladimir Salazar Altamirano, Director de Contabilidad y Costeo de la Unidad de Política Regulatoria, correo electrónico: </w:t>
            </w:r>
            <w:hyperlink r:id="rId14" w:history="1">
              <w:r w:rsidR="00E31681" w:rsidRPr="00CD5786">
                <w:rPr>
                  <w:rStyle w:val="Hipervnculo"/>
                  <w:rFonts w:ascii="Century Gothic" w:hAnsi="Century Gothic"/>
                  <w:sz w:val="14"/>
                  <w:szCs w:val="14"/>
                </w:rPr>
                <w:t>vladimir.salazar@ift.org.mx</w:t>
              </w:r>
            </w:hyperlink>
            <w:r w:rsidR="00E31681" w:rsidRPr="00CD5786">
              <w:rPr>
                <w:rFonts w:ascii="Century Gothic" w:hAnsi="Century Gothic"/>
                <w:sz w:val="14"/>
                <w:szCs w:val="14"/>
              </w:rPr>
              <w:t xml:space="preserve">, número telefónico </w:t>
            </w:r>
            <w:r w:rsidR="00CD5786" w:rsidRPr="00CD5786">
              <w:rPr>
                <w:rFonts w:ascii="Century Gothic" w:hAnsi="Century Gothic"/>
                <w:sz w:val="14"/>
                <w:szCs w:val="14"/>
              </w:rPr>
              <w:t xml:space="preserve">(55) 5015 4000, extensión 4326, </w:t>
            </w:r>
            <w:r w:rsidRPr="00CD5786">
              <w:rPr>
                <w:rFonts w:ascii="Century Gothic" w:eastAsia="Times New Roman" w:hAnsi="Century Gothic" w:cs="Times New Roman"/>
                <w:color w:val="000000"/>
                <w:sz w:val="14"/>
                <w:szCs w:val="16"/>
                <w:lang w:eastAsia="es-MX"/>
              </w:rPr>
              <w:t xml:space="preserve">con quien el titular de los datos personales podrá </w:t>
            </w:r>
            <w:r w:rsidR="00CD5786" w:rsidRPr="00CD5786">
              <w:rPr>
                <w:rFonts w:ascii="Century Gothic" w:eastAsia="Times New Roman" w:hAnsi="Century Gothic" w:cs="Times New Roman"/>
                <w:color w:val="000000"/>
                <w:sz w:val="14"/>
                <w:szCs w:val="16"/>
                <w:lang w:eastAsia="es-MX"/>
              </w:rPr>
              <w:t>establecer contacto</w:t>
            </w:r>
            <w:r w:rsidRPr="00CD5786">
              <w:rPr>
                <w:rFonts w:ascii="Century Gothic" w:eastAsia="Times New Roman" w:hAnsi="Century Gothic" w:cs="Times New Roman"/>
                <w:color w:val="000000"/>
                <w:sz w:val="14"/>
                <w:szCs w:val="16"/>
                <w:lang w:eastAsia="es-MX"/>
              </w:rPr>
              <w:t xml:space="preserve"> a efecto de manifestar, de ser el caso, su negativa para el tratamiento de sus datos personales para finalidades q</w:t>
            </w:r>
            <w:r w:rsidR="00735DEE" w:rsidRPr="00CD5786">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14:paraId="0A347E50" w14:textId="77777777" w:rsidTr="006B0B12">
        <w:trPr>
          <w:trHeight w:val="581"/>
        </w:trPr>
        <w:tc>
          <w:tcPr>
            <w:tcW w:w="8647" w:type="dxa"/>
            <w:gridSpan w:val="2"/>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196F6794" w14:textId="77777777" w:rsidTr="006B0B12">
        <w:trPr>
          <w:trHeight w:val="678"/>
        </w:trPr>
        <w:tc>
          <w:tcPr>
            <w:tcW w:w="1754" w:type="dxa"/>
            <w:shd w:val="clear" w:color="auto" w:fill="C5E0B3" w:themeFill="accent6" w:themeFillTint="66"/>
            <w:vAlign w:val="center"/>
            <w:hideMark/>
          </w:tcPr>
          <w:p w14:paraId="1ADE8560" w14:textId="77777777"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14:paraId="65AF8432" w14:textId="720F9D29"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3740CA3D" w14:textId="77777777" w:rsidTr="006B0B12">
        <w:trPr>
          <w:trHeight w:val="290"/>
        </w:trPr>
        <w:tc>
          <w:tcPr>
            <w:tcW w:w="1754" w:type="dxa"/>
            <w:shd w:val="clear" w:color="auto" w:fill="auto"/>
            <w:vAlign w:val="center"/>
          </w:tcPr>
          <w:p w14:paraId="61E5647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4B2E6C"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4BCB7D2F" w14:textId="77777777" w:rsidTr="006B0B12">
        <w:trPr>
          <w:trHeight w:val="290"/>
        </w:trPr>
        <w:tc>
          <w:tcPr>
            <w:tcW w:w="1754" w:type="dxa"/>
            <w:shd w:val="clear" w:color="auto" w:fill="auto"/>
            <w:vAlign w:val="center"/>
          </w:tcPr>
          <w:p w14:paraId="4B9B5A4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21E43B8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57F81E" w14:textId="77777777" w:rsidTr="006B0B12">
        <w:trPr>
          <w:trHeight w:val="290"/>
        </w:trPr>
        <w:tc>
          <w:tcPr>
            <w:tcW w:w="1754" w:type="dxa"/>
            <w:shd w:val="clear" w:color="auto" w:fill="auto"/>
            <w:vAlign w:val="center"/>
          </w:tcPr>
          <w:p w14:paraId="588E4C30"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0DBEA7"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2DEBCA" w14:textId="77777777" w:rsidTr="006B0B12">
        <w:trPr>
          <w:trHeight w:val="290"/>
        </w:trPr>
        <w:tc>
          <w:tcPr>
            <w:tcW w:w="1754" w:type="dxa"/>
            <w:shd w:val="clear" w:color="auto" w:fill="auto"/>
            <w:vAlign w:val="center"/>
          </w:tcPr>
          <w:p w14:paraId="21D65C82"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7A7B740"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6D488F3C" w14:textId="77777777" w:rsidTr="006B0B12">
        <w:trPr>
          <w:trHeight w:val="290"/>
        </w:trPr>
        <w:tc>
          <w:tcPr>
            <w:tcW w:w="1754" w:type="dxa"/>
            <w:shd w:val="clear" w:color="auto" w:fill="auto"/>
            <w:vAlign w:val="center"/>
          </w:tcPr>
          <w:p w14:paraId="54BB808B"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3F3E5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07C4A5C0" w14:textId="77777777" w:rsidTr="006B0B12">
        <w:trPr>
          <w:trHeight w:val="290"/>
        </w:trPr>
        <w:tc>
          <w:tcPr>
            <w:tcW w:w="1754" w:type="dxa"/>
            <w:shd w:val="clear" w:color="auto" w:fill="auto"/>
            <w:vAlign w:val="center"/>
          </w:tcPr>
          <w:p w14:paraId="13ABF10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46495EB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2D26E960" w14:textId="77777777" w:rsidTr="006B0B12">
        <w:trPr>
          <w:trHeight w:val="290"/>
        </w:trPr>
        <w:tc>
          <w:tcPr>
            <w:tcW w:w="1754" w:type="dxa"/>
            <w:shd w:val="clear" w:color="auto" w:fill="auto"/>
            <w:vAlign w:val="center"/>
          </w:tcPr>
          <w:p w14:paraId="1E175A7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0F75FE8"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764E3E88" w14:textId="77777777" w:rsidTr="006B0B12">
        <w:trPr>
          <w:trHeight w:val="290"/>
        </w:trPr>
        <w:tc>
          <w:tcPr>
            <w:tcW w:w="1754" w:type="dxa"/>
            <w:shd w:val="clear" w:color="auto" w:fill="auto"/>
            <w:vAlign w:val="center"/>
          </w:tcPr>
          <w:p w14:paraId="48D3D427"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17EBE1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2"/>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CD5786">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CD5786">
        <w:trPr>
          <w:trHeight w:val="720"/>
          <w:jc w:val="center"/>
        </w:trPr>
        <w:tc>
          <w:tcPr>
            <w:tcW w:w="8642" w:type="dxa"/>
            <w:shd w:val="clear" w:color="000000" w:fill="FFFFFF"/>
            <w:noWrap/>
            <w:hideMark/>
          </w:tcPr>
          <w:p w14:paraId="0F070E7E" w14:textId="77777777" w:rsidR="00CA32F5" w:rsidRDefault="00CA32F5" w:rsidP="00915CEA">
            <w:pPr>
              <w:spacing w:after="0" w:line="240" w:lineRule="auto"/>
              <w:ind w:left="-75" w:right="-118" w:firstLine="75"/>
              <w:rPr>
                <w:rFonts w:ascii="Century Gothic" w:eastAsia="Times New Roman" w:hAnsi="Century Gothic" w:cs="Times New Roman"/>
                <w:color w:val="000000"/>
                <w:lang w:eastAsia="es-MX"/>
              </w:rPr>
            </w:pPr>
          </w:p>
          <w:p w14:paraId="329C9E13"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3D691166"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02CD4F60"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196AB6C5"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2DF27372"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494398A8"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4144405E"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72664018" w14:textId="77777777" w:rsidR="00CD5786" w:rsidRDefault="00CD5786" w:rsidP="00915CEA">
            <w:pPr>
              <w:spacing w:after="0" w:line="240" w:lineRule="auto"/>
              <w:ind w:left="-75" w:right="-118" w:firstLine="75"/>
              <w:rPr>
                <w:rFonts w:ascii="Century Gothic" w:eastAsia="Times New Roman" w:hAnsi="Century Gothic" w:cs="Times New Roman"/>
                <w:color w:val="000000"/>
                <w:lang w:eastAsia="es-MX"/>
              </w:rPr>
            </w:pPr>
          </w:p>
          <w:p w14:paraId="1764587B" w14:textId="1F275202" w:rsidR="00CD5786" w:rsidRPr="00605BD9" w:rsidRDefault="00CD5786"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CD5786">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7E04FB">
      <w:headerReference w:type="default" r:id="rId15"/>
      <w:footerReference w:type="default" r:id="rId16"/>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BDCAF" w14:textId="77777777" w:rsidR="00CC7F5A" w:rsidRDefault="00CC7F5A" w:rsidP="0038199D">
      <w:pPr>
        <w:spacing w:after="0" w:line="240" w:lineRule="auto"/>
      </w:pPr>
      <w:r>
        <w:separator/>
      </w:r>
    </w:p>
  </w:endnote>
  <w:endnote w:type="continuationSeparator" w:id="0">
    <w:p w14:paraId="3D64A1AC" w14:textId="77777777" w:rsidR="00CC7F5A" w:rsidRDefault="00CC7F5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CD5786" w:rsidRPr="00CD5786">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CD5786" w:rsidRPr="00CD5786">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CE0BA" w14:textId="77777777" w:rsidR="00CC7F5A" w:rsidRDefault="00CC7F5A" w:rsidP="0038199D">
      <w:pPr>
        <w:spacing w:after="0" w:line="240" w:lineRule="auto"/>
      </w:pPr>
      <w:r>
        <w:separator/>
      </w:r>
    </w:p>
  </w:footnote>
  <w:footnote w:type="continuationSeparator" w:id="0">
    <w:p w14:paraId="6A05E965" w14:textId="77777777" w:rsidR="00CC7F5A" w:rsidRDefault="00CC7F5A"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081014DC">
          <wp:simplePos x="0" y="0"/>
          <wp:positionH relativeFrom="margin">
            <wp:posOffset>182880</wp:posOffset>
          </wp:positionH>
          <wp:positionV relativeFrom="paragraph">
            <wp:posOffset>106210</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5377C95F" w14:textId="6F246795" w:rsidR="004D7960" w:rsidRPr="00CD5786" w:rsidRDefault="00005DB7" w:rsidP="004D5EAB">
    <w:pPr>
      <w:pStyle w:val="Encabezado"/>
      <w:ind w:left="3119"/>
      <w:jc w:val="both"/>
      <w:rPr>
        <w:rFonts w:ascii="Century Gothic" w:hAnsi="Century Gothic"/>
        <w:b/>
        <w:sz w:val="19"/>
        <w:szCs w:val="19"/>
      </w:rPr>
    </w:pPr>
    <w:r w:rsidRPr="00CD5786">
      <w:rPr>
        <w:rFonts w:ascii="Century Gothic" w:hAnsi="Century Gothic"/>
        <w:b/>
        <w:sz w:val="19"/>
        <w:szCs w:val="19"/>
      </w:rPr>
      <w:t xml:space="preserve">Consulta Pública </w:t>
    </w:r>
    <w:r w:rsidR="00747F94" w:rsidRPr="00CD5786">
      <w:rPr>
        <w:rFonts w:ascii="Century Gothic" w:hAnsi="Century Gothic"/>
        <w:b/>
        <w:sz w:val="19"/>
        <w:szCs w:val="19"/>
      </w:rPr>
      <w:t>del Instituto Federal de Telecomunicaciones con relación al “</w:t>
    </w:r>
    <w:r w:rsidRPr="00CD5786">
      <w:rPr>
        <w:rFonts w:ascii="Century Gothic" w:hAnsi="Century Gothic"/>
        <w:b/>
        <w:sz w:val="19"/>
        <w:szCs w:val="19"/>
      </w:rPr>
      <w:t xml:space="preserve">Anteproyecto de </w:t>
    </w:r>
    <w:r w:rsidR="00747F94" w:rsidRPr="00CD5786">
      <w:rPr>
        <w:rFonts w:ascii="Century Gothic" w:hAnsi="Century Gothic"/>
        <w:b/>
        <w:sz w:val="19"/>
        <w:szCs w:val="19"/>
      </w:rPr>
      <w:t>Metodología de Separación Contable aplicable a los Agentes Económicos Preponderantes</w:t>
    </w:r>
    <w:r w:rsidR="002D69ED" w:rsidRPr="00CD5786">
      <w:rPr>
        <w:rFonts w:ascii="Century Gothic" w:hAnsi="Century Gothic"/>
        <w:b/>
        <w:sz w:val="19"/>
        <w:szCs w:val="19"/>
      </w:rPr>
      <w:t xml:space="preserve">, </w:t>
    </w:r>
    <w:r w:rsidR="00747F94" w:rsidRPr="00CD5786">
      <w:rPr>
        <w:rFonts w:ascii="Century Gothic" w:hAnsi="Century Gothic"/>
        <w:b/>
        <w:sz w:val="19"/>
        <w:szCs w:val="19"/>
      </w:rPr>
      <w:t>agentes declarados con poder sustancial de mercado y redes compartidas</w:t>
    </w:r>
    <w:r w:rsidR="007E04FB" w:rsidRPr="00CD5786">
      <w:rPr>
        <w:rFonts w:ascii="Century Gothic" w:hAnsi="Century Gothic"/>
        <w:b/>
        <w:sz w:val="19"/>
        <w:szCs w:val="19"/>
      </w:rPr>
      <w:t>”.</w:t>
    </w:r>
  </w:p>
  <w:p w14:paraId="0FB46D73" w14:textId="56890918"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16FDCD7B">
              <wp:simplePos x="0" y="0"/>
              <wp:positionH relativeFrom="margin">
                <wp:posOffset>0</wp:posOffset>
              </wp:positionH>
              <wp:positionV relativeFrom="paragraph">
                <wp:posOffset>73964</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E1742B6" id="Conector recto 2" o:spid="_x0000_s1026" alt="Título: Línea para separar los textos"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8pt" to="442.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931D8"/>
    <w:rsid w:val="000A5CFB"/>
    <w:rsid w:val="000A6255"/>
    <w:rsid w:val="000D2838"/>
    <w:rsid w:val="000E41F3"/>
    <w:rsid w:val="000E55B0"/>
    <w:rsid w:val="00100C9C"/>
    <w:rsid w:val="001124B6"/>
    <w:rsid w:val="00131A61"/>
    <w:rsid w:val="001331D8"/>
    <w:rsid w:val="00170916"/>
    <w:rsid w:val="00174196"/>
    <w:rsid w:val="001A161C"/>
    <w:rsid w:val="001A76DC"/>
    <w:rsid w:val="001E0388"/>
    <w:rsid w:val="002771ED"/>
    <w:rsid w:val="002C2A23"/>
    <w:rsid w:val="002D69ED"/>
    <w:rsid w:val="00307092"/>
    <w:rsid w:val="00323F3A"/>
    <w:rsid w:val="003542F0"/>
    <w:rsid w:val="003613DA"/>
    <w:rsid w:val="0038199D"/>
    <w:rsid w:val="003B066A"/>
    <w:rsid w:val="0041087B"/>
    <w:rsid w:val="00410CF7"/>
    <w:rsid w:val="004141B1"/>
    <w:rsid w:val="004317BC"/>
    <w:rsid w:val="00464AE1"/>
    <w:rsid w:val="004970C4"/>
    <w:rsid w:val="004C4695"/>
    <w:rsid w:val="004D5EAB"/>
    <w:rsid w:val="004D64DD"/>
    <w:rsid w:val="004D7960"/>
    <w:rsid w:val="004E2A3A"/>
    <w:rsid w:val="004F4C27"/>
    <w:rsid w:val="00511FAE"/>
    <w:rsid w:val="0052296A"/>
    <w:rsid w:val="0057032E"/>
    <w:rsid w:val="00570B03"/>
    <w:rsid w:val="005B3E9A"/>
    <w:rsid w:val="005C06DB"/>
    <w:rsid w:val="005F0265"/>
    <w:rsid w:val="00603B41"/>
    <w:rsid w:val="00605BD9"/>
    <w:rsid w:val="00623761"/>
    <w:rsid w:val="006601AF"/>
    <w:rsid w:val="0066087A"/>
    <w:rsid w:val="006B0B12"/>
    <w:rsid w:val="00735DEE"/>
    <w:rsid w:val="00747F94"/>
    <w:rsid w:val="00762996"/>
    <w:rsid w:val="0077357C"/>
    <w:rsid w:val="007978CB"/>
    <w:rsid w:val="007A6974"/>
    <w:rsid w:val="007D4A23"/>
    <w:rsid w:val="007E04FB"/>
    <w:rsid w:val="00800852"/>
    <w:rsid w:val="00804BB7"/>
    <w:rsid w:val="008200BE"/>
    <w:rsid w:val="008658B5"/>
    <w:rsid w:val="008711D6"/>
    <w:rsid w:val="008843FB"/>
    <w:rsid w:val="008C679D"/>
    <w:rsid w:val="008D106B"/>
    <w:rsid w:val="008F2B1A"/>
    <w:rsid w:val="00915CEA"/>
    <w:rsid w:val="009426CC"/>
    <w:rsid w:val="0096765E"/>
    <w:rsid w:val="0099378F"/>
    <w:rsid w:val="009C6C17"/>
    <w:rsid w:val="009D3DDA"/>
    <w:rsid w:val="009E197F"/>
    <w:rsid w:val="00A42417"/>
    <w:rsid w:val="00A454F4"/>
    <w:rsid w:val="00A60361"/>
    <w:rsid w:val="00A75A67"/>
    <w:rsid w:val="00A92B29"/>
    <w:rsid w:val="00AA70C3"/>
    <w:rsid w:val="00AD58C5"/>
    <w:rsid w:val="00AE778E"/>
    <w:rsid w:val="00B20D7D"/>
    <w:rsid w:val="00B77BEA"/>
    <w:rsid w:val="00B97BF9"/>
    <w:rsid w:val="00BB25F2"/>
    <w:rsid w:val="00BC6955"/>
    <w:rsid w:val="00C36229"/>
    <w:rsid w:val="00C41536"/>
    <w:rsid w:val="00C42DD1"/>
    <w:rsid w:val="00C56B77"/>
    <w:rsid w:val="00C900FF"/>
    <w:rsid w:val="00C94616"/>
    <w:rsid w:val="00CA32F5"/>
    <w:rsid w:val="00CC382A"/>
    <w:rsid w:val="00CC7F5A"/>
    <w:rsid w:val="00CD5786"/>
    <w:rsid w:val="00D01F2B"/>
    <w:rsid w:val="00D13CA5"/>
    <w:rsid w:val="00D472B6"/>
    <w:rsid w:val="00DC3C6C"/>
    <w:rsid w:val="00DD445E"/>
    <w:rsid w:val="00DD75CB"/>
    <w:rsid w:val="00DF154A"/>
    <w:rsid w:val="00DF5CB5"/>
    <w:rsid w:val="00DF7591"/>
    <w:rsid w:val="00E31681"/>
    <w:rsid w:val="00E64007"/>
    <w:rsid w:val="00E944B2"/>
    <w:rsid w:val="00EB1D99"/>
    <w:rsid w:val="00ED53B5"/>
    <w:rsid w:val="00F212B2"/>
    <w:rsid w:val="00F327BA"/>
    <w:rsid w:val="00FA17DF"/>
    <w:rsid w:val="00FE3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adimir.salazar@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paracion.contable@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salazar@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06CE4"/>
    <w:rsid w:val="00070899"/>
    <w:rsid w:val="00194A46"/>
    <w:rsid w:val="001A6A6F"/>
    <w:rsid w:val="001B0E8D"/>
    <w:rsid w:val="001F7716"/>
    <w:rsid w:val="002C2214"/>
    <w:rsid w:val="003161B8"/>
    <w:rsid w:val="004736FE"/>
    <w:rsid w:val="004C6EB0"/>
    <w:rsid w:val="005275AA"/>
    <w:rsid w:val="00557BD6"/>
    <w:rsid w:val="005D5381"/>
    <w:rsid w:val="006B1E41"/>
    <w:rsid w:val="006C0B23"/>
    <w:rsid w:val="00701CE5"/>
    <w:rsid w:val="00814594"/>
    <w:rsid w:val="0082629F"/>
    <w:rsid w:val="00873614"/>
    <w:rsid w:val="009A50F6"/>
    <w:rsid w:val="00A252F5"/>
    <w:rsid w:val="00A50FB8"/>
    <w:rsid w:val="00A77AF1"/>
    <w:rsid w:val="00AF26F1"/>
    <w:rsid w:val="00B06DD1"/>
    <w:rsid w:val="00BE114A"/>
    <w:rsid w:val="00C1194C"/>
    <w:rsid w:val="00C228B2"/>
    <w:rsid w:val="00C55514"/>
    <w:rsid w:val="00C8448C"/>
    <w:rsid w:val="00D161F7"/>
    <w:rsid w:val="00DA67F8"/>
    <w:rsid w:val="00DC3134"/>
    <w:rsid w:val="00DD7475"/>
    <w:rsid w:val="00E02C79"/>
    <w:rsid w:val="00E431D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B75BF077-86A2-4A82-A500-27739B92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2</cp:revision>
  <dcterms:created xsi:type="dcterms:W3CDTF">2017-06-07T02:08:00Z</dcterms:created>
  <dcterms:modified xsi:type="dcterms:W3CDTF">2017-06-07T02:08:00Z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