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A95EE6" w14:textId="77777777" w:rsidR="0051200F" w:rsidRPr="00DF157F" w:rsidRDefault="0051200F" w:rsidP="008C150C">
      <w:pPr>
        <w:widowControl w:val="0"/>
        <w:spacing w:after="0"/>
        <w:jc w:val="both"/>
        <w:rPr>
          <w:rFonts w:ascii="ITC Avant Garde" w:eastAsia="Times New Roman" w:hAnsi="ITC Avant Garde"/>
          <w:b/>
          <w:szCs w:val="20"/>
        </w:rPr>
      </w:pPr>
      <w:r w:rsidRPr="00DF157F">
        <w:rPr>
          <w:rFonts w:ascii="ITC Avant Garde" w:eastAsia="Times New Roman" w:hAnsi="ITC Avant Garde"/>
          <w:b/>
          <w:szCs w:val="20"/>
        </w:rPr>
        <w:t xml:space="preserve">ACUERDO MEDIANTE EL CUAL EL PLENO DEL INSTITUTO FEDERAL DE TELECOMUNICACIONES </w:t>
      </w:r>
      <w:r w:rsidR="009D27BF">
        <w:rPr>
          <w:rFonts w:ascii="ITC Avant Garde" w:eastAsia="Times New Roman" w:hAnsi="ITC Avant Garde"/>
          <w:b/>
          <w:szCs w:val="20"/>
        </w:rPr>
        <w:t xml:space="preserve">DETERMINA </w:t>
      </w:r>
      <w:r w:rsidRPr="00DF157F">
        <w:rPr>
          <w:rFonts w:ascii="ITC Avant Garde" w:eastAsia="Times New Roman" w:hAnsi="ITC Avant Garde"/>
          <w:b/>
          <w:szCs w:val="20"/>
        </w:rPr>
        <w:t>SOMETE</w:t>
      </w:r>
      <w:r w:rsidR="009D27BF">
        <w:rPr>
          <w:rFonts w:ascii="ITC Avant Garde" w:eastAsia="Times New Roman" w:hAnsi="ITC Avant Garde"/>
          <w:b/>
          <w:szCs w:val="20"/>
        </w:rPr>
        <w:t>R</w:t>
      </w:r>
      <w:r w:rsidRPr="00DF157F">
        <w:rPr>
          <w:rFonts w:ascii="ITC Avant Garde" w:eastAsia="Times New Roman" w:hAnsi="ITC Avant Garde"/>
          <w:b/>
          <w:szCs w:val="20"/>
        </w:rPr>
        <w:t xml:space="preserve"> A CONSULTA PÚBLICA </w:t>
      </w:r>
      <w:r w:rsidR="00A8668C" w:rsidRPr="00DF157F">
        <w:rPr>
          <w:rFonts w:ascii="ITC Avant Garde" w:eastAsia="Times New Roman" w:hAnsi="ITC Avant Garde"/>
          <w:b/>
          <w:szCs w:val="20"/>
        </w:rPr>
        <w:t>LA</w:t>
      </w:r>
      <w:r w:rsidR="00674244">
        <w:rPr>
          <w:rFonts w:ascii="ITC Avant Garde" w:eastAsia="Times New Roman" w:hAnsi="ITC Avant Garde"/>
          <w:b/>
          <w:szCs w:val="20"/>
        </w:rPr>
        <w:t>S</w:t>
      </w:r>
      <w:r w:rsidR="00A8668C" w:rsidRPr="00DF157F">
        <w:rPr>
          <w:rFonts w:ascii="ITC Avant Garde" w:eastAsia="Times New Roman" w:hAnsi="ITC Avant Garde"/>
          <w:b/>
          <w:szCs w:val="20"/>
        </w:rPr>
        <w:t xml:space="preserve"> </w:t>
      </w:r>
      <w:r w:rsidR="000B0130" w:rsidRPr="00DF157F">
        <w:rPr>
          <w:rFonts w:ascii="ITC Avant Garde" w:eastAsia="Times New Roman" w:hAnsi="ITC Avant Garde"/>
          <w:b/>
          <w:szCs w:val="20"/>
        </w:rPr>
        <w:t>PROPUESTA</w:t>
      </w:r>
      <w:r w:rsidR="007E362E" w:rsidRPr="00DF157F">
        <w:rPr>
          <w:rFonts w:ascii="ITC Avant Garde" w:eastAsia="Times New Roman" w:hAnsi="ITC Avant Garde"/>
          <w:b/>
          <w:szCs w:val="20"/>
        </w:rPr>
        <w:t>S</w:t>
      </w:r>
      <w:r w:rsidR="000B0130" w:rsidRPr="00DF157F">
        <w:rPr>
          <w:rFonts w:ascii="ITC Avant Garde" w:eastAsia="Times New Roman" w:hAnsi="ITC Avant Garde"/>
          <w:b/>
          <w:szCs w:val="20"/>
        </w:rPr>
        <w:t xml:space="preserve"> DE</w:t>
      </w:r>
      <w:r w:rsidR="00674244" w:rsidRPr="00674244">
        <w:t xml:space="preserve"> </w:t>
      </w:r>
      <w:r w:rsidR="005E14B7" w:rsidRPr="00907919">
        <w:rPr>
          <w:rFonts w:ascii="ITC Avant Garde" w:eastAsia="Times New Roman" w:hAnsi="ITC Avant Garde"/>
          <w:b/>
          <w:szCs w:val="20"/>
        </w:rPr>
        <w:t>CONVENIO</w:t>
      </w:r>
      <w:r w:rsidR="005E14B7">
        <w:rPr>
          <w:rFonts w:ascii="ITC Avant Garde" w:eastAsia="Times New Roman" w:hAnsi="ITC Avant Garde"/>
          <w:b/>
          <w:szCs w:val="20"/>
        </w:rPr>
        <w:t>S</w:t>
      </w:r>
      <w:r w:rsidR="005E14B7" w:rsidRPr="00907919">
        <w:rPr>
          <w:rFonts w:ascii="ITC Avant Garde" w:eastAsia="Times New Roman" w:hAnsi="ITC Avant Garde"/>
          <w:b/>
          <w:szCs w:val="20"/>
        </w:rPr>
        <w:t xml:space="preserve"> MARCO DE INTERCONEXIÓN </w:t>
      </w:r>
      <w:r w:rsidR="00674244">
        <w:rPr>
          <w:rFonts w:ascii="ITC Avant Garde" w:eastAsia="Times New Roman" w:hAnsi="ITC Avant Garde"/>
          <w:b/>
          <w:szCs w:val="20"/>
        </w:rPr>
        <w:t>PRESENTAD</w:t>
      </w:r>
      <w:r w:rsidR="005E14B7">
        <w:rPr>
          <w:rFonts w:ascii="ITC Avant Garde" w:eastAsia="Times New Roman" w:hAnsi="ITC Avant Garde"/>
          <w:b/>
          <w:szCs w:val="20"/>
        </w:rPr>
        <w:t>O</w:t>
      </w:r>
      <w:r w:rsidR="005A126B">
        <w:rPr>
          <w:rFonts w:ascii="ITC Avant Garde" w:eastAsia="Times New Roman" w:hAnsi="ITC Avant Garde"/>
          <w:b/>
          <w:szCs w:val="20"/>
        </w:rPr>
        <w:t>S</w:t>
      </w:r>
      <w:r w:rsidR="00674244">
        <w:rPr>
          <w:rFonts w:ascii="ITC Avant Garde" w:eastAsia="Times New Roman" w:hAnsi="ITC Avant Garde"/>
          <w:b/>
          <w:szCs w:val="20"/>
        </w:rPr>
        <w:t xml:space="preserve"> POR EL</w:t>
      </w:r>
      <w:r w:rsidR="00674244" w:rsidRPr="00674244">
        <w:rPr>
          <w:rFonts w:ascii="ITC Avant Garde" w:eastAsia="Times New Roman" w:hAnsi="ITC Avant Garde"/>
          <w:b/>
          <w:szCs w:val="20"/>
        </w:rPr>
        <w:t xml:space="preserve"> AGENTE ECONÓMICO PREPONDERANTE</w:t>
      </w:r>
      <w:r w:rsidR="00674244">
        <w:rPr>
          <w:rFonts w:ascii="ITC Avant Garde" w:eastAsia="Times New Roman" w:hAnsi="ITC Avant Garde"/>
          <w:b/>
          <w:szCs w:val="20"/>
        </w:rPr>
        <w:t xml:space="preserve"> EN EL SECTOR DE </w:t>
      </w:r>
      <w:r w:rsidR="005A126B">
        <w:rPr>
          <w:rFonts w:ascii="ITC Avant Garde" w:eastAsia="Times New Roman" w:hAnsi="ITC Avant Garde"/>
          <w:b/>
          <w:szCs w:val="20"/>
        </w:rPr>
        <w:t xml:space="preserve">LAS </w:t>
      </w:r>
      <w:r w:rsidR="00674244">
        <w:rPr>
          <w:rFonts w:ascii="ITC Avant Garde" w:eastAsia="Times New Roman" w:hAnsi="ITC Avant Garde"/>
          <w:b/>
          <w:szCs w:val="20"/>
        </w:rPr>
        <w:t>TELECOMUNICACIONES</w:t>
      </w:r>
      <w:r w:rsidR="003979CB">
        <w:rPr>
          <w:rFonts w:ascii="ITC Avant Garde" w:eastAsia="Times New Roman" w:hAnsi="ITC Avant Garde"/>
          <w:b/>
          <w:szCs w:val="20"/>
        </w:rPr>
        <w:t>.</w:t>
      </w:r>
    </w:p>
    <w:p w14:paraId="47AA6D94" w14:textId="77777777" w:rsidR="0051200F" w:rsidRDefault="0051200F" w:rsidP="008C150C">
      <w:pPr>
        <w:widowControl w:val="0"/>
        <w:spacing w:after="0"/>
        <w:jc w:val="both"/>
        <w:rPr>
          <w:rFonts w:ascii="ITC Avant Garde" w:eastAsia="Times New Roman" w:hAnsi="ITC Avant Garde"/>
          <w:szCs w:val="20"/>
        </w:rPr>
      </w:pPr>
    </w:p>
    <w:p w14:paraId="7B77684C" w14:textId="77777777" w:rsidR="008832AD" w:rsidRPr="00DF157F" w:rsidRDefault="008832AD" w:rsidP="008C150C">
      <w:pPr>
        <w:widowControl w:val="0"/>
        <w:spacing w:after="0"/>
        <w:jc w:val="both"/>
        <w:rPr>
          <w:rFonts w:ascii="ITC Avant Garde" w:eastAsia="Times New Roman" w:hAnsi="ITC Avant Garde"/>
          <w:szCs w:val="20"/>
        </w:rPr>
      </w:pPr>
    </w:p>
    <w:p w14:paraId="703AA04D" w14:textId="77777777" w:rsidR="0051200F" w:rsidRPr="00DF157F" w:rsidRDefault="00EC4A87" w:rsidP="008C150C">
      <w:pPr>
        <w:widowControl w:val="0"/>
        <w:spacing w:after="0"/>
        <w:jc w:val="center"/>
        <w:rPr>
          <w:rFonts w:ascii="ITC Avant Garde" w:eastAsia="Times New Roman" w:hAnsi="ITC Avant Garde"/>
          <w:b/>
          <w:szCs w:val="20"/>
        </w:rPr>
      </w:pPr>
      <w:r w:rsidRPr="00DF157F">
        <w:rPr>
          <w:rFonts w:ascii="ITC Avant Garde" w:eastAsia="Times New Roman" w:hAnsi="ITC Avant Garde"/>
          <w:b/>
          <w:szCs w:val="20"/>
        </w:rPr>
        <w:t>A N T E C E D E N T E S</w:t>
      </w:r>
    </w:p>
    <w:p w14:paraId="1424AC80" w14:textId="77777777" w:rsidR="00CD6B0E" w:rsidRDefault="00CD6B0E" w:rsidP="008C150C">
      <w:pPr>
        <w:widowControl w:val="0"/>
        <w:spacing w:after="0"/>
        <w:jc w:val="both"/>
        <w:rPr>
          <w:rFonts w:ascii="ITC Avant Garde" w:eastAsia="Times New Roman" w:hAnsi="ITC Avant Garde"/>
          <w:szCs w:val="20"/>
        </w:rPr>
      </w:pPr>
    </w:p>
    <w:p w14:paraId="2EE919C1" w14:textId="77777777" w:rsidR="008832AD" w:rsidRPr="00DF157F" w:rsidRDefault="008832AD" w:rsidP="008C150C">
      <w:pPr>
        <w:widowControl w:val="0"/>
        <w:spacing w:after="0"/>
        <w:jc w:val="both"/>
        <w:rPr>
          <w:rFonts w:ascii="ITC Avant Garde" w:eastAsia="Times New Roman" w:hAnsi="ITC Avant Garde"/>
          <w:szCs w:val="20"/>
        </w:rPr>
      </w:pPr>
    </w:p>
    <w:p w14:paraId="5DFA6E29" w14:textId="77777777" w:rsidR="008C2C44" w:rsidRPr="002C0D66" w:rsidRDefault="00DB0DEC" w:rsidP="00EB51F3">
      <w:pPr>
        <w:pStyle w:val="Prrafodelista"/>
        <w:widowControl w:val="0"/>
        <w:numPr>
          <w:ilvl w:val="0"/>
          <w:numId w:val="9"/>
        </w:numPr>
        <w:spacing w:after="0"/>
        <w:jc w:val="both"/>
        <w:rPr>
          <w:sz w:val="22"/>
          <w:szCs w:val="22"/>
        </w:rPr>
      </w:pPr>
      <w:r w:rsidRPr="002C0D66">
        <w:rPr>
          <w:rFonts w:ascii="ITC Avant Garde" w:eastAsia="Times New Roman" w:hAnsi="ITC Avant Garde"/>
          <w:sz w:val="22"/>
          <w:szCs w:val="22"/>
        </w:rPr>
        <w:t>El 11 de junio de 2013, se publicó en el Diario Oficial de la Federación (</w:t>
      </w:r>
      <w:r w:rsidR="00C47E47" w:rsidRPr="002C0D66">
        <w:rPr>
          <w:rFonts w:ascii="ITC Avant Garde" w:eastAsia="Times New Roman" w:hAnsi="ITC Avant Garde"/>
          <w:sz w:val="22"/>
          <w:szCs w:val="22"/>
          <w:lang w:val="es-MX"/>
        </w:rPr>
        <w:t xml:space="preserve">en lo sucesivo </w:t>
      </w:r>
      <w:r w:rsidR="00C3429B" w:rsidRPr="002C0D66">
        <w:rPr>
          <w:rFonts w:ascii="ITC Avant Garde" w:eastAsia="Times New Roman" w:hAnsi="ITC Avant Garde"/>
          <w:sz w:val="22"/>
          <w:szCs w:val="22"/>
          <w:lang w:val="es-MX"/>
        </w:rPr>
        <w:t>“</w:t>
      </w:r>
      <w:r w:rsidRPr="002C0D66">
        <w:rPr>
          <w:rFonts w:ascii="ITC Avant Garde" w:eastAsia="Times New Roman" w:hAnsi="ITC Avant Garde"/>
          <w:sz w:val="22"/>
          <w:szCs w:val="22"/>
        </w:rPr>
        <w:t>DOF</w:t>
      </w:r>
      <w:r w:rsidR="00C3429B" w:rsidRPr="002C0D66">
        <w:rPr>
          <w:rFonts w:ascii="ITC Avant Garde" w:eastAsia="Times New Roman" w:hAnsi="ITC Avant Garde"/>
          <w:sz w:val="22"/>
          <w:szCs w:val="22"/>
          <w:lang w:val="es-MX"/>
        </w:rPr>
        <w:t>”</w:t>
      </w:r>
      <w:r w:rsidRPr="002C0D66">
        <w:rPr>
          <w:rFonts w:ascii="ITC Avant Garde" w:eastAsia="Times New Roman" w:hAnsi="ITC Avant Garde"/>
          <w:sz w:val="22"/>
          <w:szCs w:val="22"/>
        </w:rPr>
        <w:t>), el “</w:t>
      </w:r>
      <w:r w:rsidRPr="002C0D66">
        <w:rPr>
          <w:rFonts w:ascii="ITC Avant Garde" w:eastAsia="Times New Roman" w:hAnsi="ITC Avant Garde"/>
          <w:i/>
          <w:sz w:val="22"/>
          <w:szCs w:val="22"/>
        </w:rPr>
        <w:t>DECRETO por el que se reforman y adicionan diversas disposiciones de los artículos 6o., 7o., 27, 28, 73, 78, 94 y 105 de la Constitución Política de los Estados Unidos Mexicanos, en materia de telecomunicaciones</w:t>
      </w:r>
      <w:r w:rsidRPr="002C0D66">
        <w:rPr>
          <w:rFonts w:ascii="ITC Avant Garde" w:eastAsia="Times New Roman" w:hAnsi="ITC Avant Garde"/>
          <w:sz w:val="22"/>
          <w:szCs w:val="22"/>
        </w:rPr>
        <w:t>” (</w:t>
      </w:r>
      <w:r w:rsidR="00C47E47" w:rsidRPr="002C0D66">
        <w:rPr>
          <w:rFonts w:ascii="ITC Avant Garde" w:eastAsia="Times New Roman" w:hAnsi="ITC Avant Garde"/>
          <w:sz w:val="22"/>
          <w:szCs w:val="22"/>
          <w:lang w:val="es-MX"/>
        </w:rPr>
        <w:t>en lo sucesivo</w:t>
      </w:r>
      <w:r w:rsidR="006D0E53" w:rsidRPr="002C0D66">
        <w:rPr>
          <w:rFonts w:ascii="ITC Avant Garde" w:eastAsia="Times New Roman" w:hAnsi="ITC Avant Garde"/>
          <w:sz w:val="22"/>
          <w:szCs w:val="22"/>
          <w:lang w:val="es-MX"/>
        </w:rPr>
        <w:t>, el</w:t>
      </w:r>
      <w:r w:rsidR="00C47E47" w:rsidRPr="002C0D66">
        <w:rPr>
          <w:rFonts w:ascii="ITC Avant Garde" w:eastAsia="Times New Roman" w:hAnsi="ITC Avant Garde"/>
          <w:sz w:val="22"/>
          <w:szCs w:val="22"/>
          <w:lang w:val="es-MX"/>
        </w:rPr>
        <w:t xml:space="preserve"> </w:t>
      </w:r>
      <w:r w:rsidR="00C3429B" w:rsidRPr="002C0D66">
        <w:rPr>
          <w:rFonts w:ascii="ITC Avant Garde" w:eastAsia="Times New Roman" w:hAnsi="ITC Avant Garde"/>
          <w:sz w:val="22"/>
          <w:szCs w:val="22"/>
          <w:lang w:val="es-MX"/>
        </w:rPr>
        <w:t>“</w:t>
      </w:r>
      <w:r w:rsidRPr="002C0D66">
        <w:rPr>
          <w:rFonts w:ascii="ITC Avant Garde" w:eastAsia="Times New Roman" w:hAnsi="ITC Avant Garde"/>
          <w:sz w:val="22"/>
          <w:szCs w:val="22"/>
        </w:rPr>
        <w:t>Decreto</w:t>
      </w:r>
      <w:r w:rsidR="00C3429B" w:rsidRPr="002C0D66">
        <w:rPr>
          <w:rFonts w:ascii="ITC Avant Garde" w:eastAsia="Times New Roman" w:hAnsi="ITC Avant Garde"/>
          <w:sz w:val="22"/>
          <w:szCs w:val="22"/>
          <w:lang w:val="es-MX"/>
        </w:rPr>
        <w:t>”</w:t>
      </w:r>
      <w:r w:rsidRPr="002C0D66">
        <w:rPr>
          <w:rFonts w:ascii="ITC Avant Garde" w:eastAsia="Times New Roman" w:hAnsi="ITC Avant Garde"/>
          <w:sz w:val="22"/>
          <w:szCs w:val="22"/>
        </w:rPr>
        <w:t>), mediante el cual se creó al Instituto Federal de Telecomunicaciones (</w:t>
      </w:r>
      <w:r w:rsidR="00C47E47" w:rsidRPr="002C0D66">
        <w:rPr>
          <w:rFonts w:ascii="ITC Avant Garde" w:eastAsia="Times New Roman" w:hAnsi="ITC Avant Garde"/>
          <w:sz w:val="22"/>
          <w:szCs w:val="22"/>
          <w:lang w:val="es-MX"/>
        </w:rPr>
        <w:t>en lo sucesivo</w:t>
      </w:r>
      <w:r w:rsidR="006D0E53" w:rsidRPr="002C0D66">
        <w:rPr>
          <w:rFonts w:ascii="ITC Avant Garde" w:eastAsia="Times New Roman" w:hAnsi="ITC Avant Garde"/>
          <w:sz w:val="22"/>
          <w:szCs w:val="22"/>
          <w:lang w:val="es-MX"/>
        </w:rPr>
        <w:t>, el</w:t>
      </w:r>
      <w:r w:rsidR="00C47E47" w:rsidRPr="002C0D66">
        <w:rPr>
          <w:rFonts w:ascii="ITC Avant Garde" w:eastAsia="Times New Roman" w:hAnsi="ITC Avant Garde"/>
          <w:sz w:val="22"/>
          <w:szCs w:val="22"/>
          <w:lang w:val="es-MX"/>
        </w:rPr>
        <w:t xml:space="preserve"> </w:t>
      </w:r>
      <w:r w:rsidR="00C3429B" w:rsidRPr="002C0D66">
        <w:rPr>
          <w:rFonts w:ascii="ITC Avant Garde" w:eastAsia="Times New Roman" w:hAnsi="ITC Avant Garde"/>
          <w:sz w:val="22"/>
          <w:szCs w:val="22"/>
          <w:lang w:val="es-MX"/>
        </w:rPr>
        <w:t>“</w:t>
      </w:r>
      <w:r w:rsidRPr="002C0D66">
        <w:rPr>
          <w:rFonts w:ascii="ITC Avant Garde" w:eastAsia="Times New Roman" w:hAnsi="ITC Avant Garde"/>
          <w:sz w:val="22"/>
          <w:szCs w:val="22"/>
        </w:rPr>
        <w:t>Instituto</w:t>
      </w:r>
      <w:r w:rsidR="00C3429B" w:rsidRPr="002C0D66">
        <w:rPr>
          <w:rFonts w:ascii="ITC Avant Garde" w:eastAsia="Times New Roman" w:hAnsi="ITC Avant Garde"/>
          <w:sz w:val="22"/>
          <w:szCs w:val="22"/>
          <w:lang w:val="es-MX"/>
        </w:rPr>
        <w:t>”</w:t>
      </w:r>
      <w:r w:rsidRPr="002C0D66">
        <w:rPr>
          <w:rFonts w:ascii="ITC Avant Garde" w:eastAsia="Times New Roman" w:hAnsi="ITC Avant Garde"/>
          <w:sz w:val="22"/>
          <w:szCs w:val="22"/>
        </w:rPr>
        <w:t>), como un órgano autónomo con personalidad jurídica y patrimonio propio, cuyo objeto es el desarrollo eficiente de la radiodifusión y las telecomunicaciones conforme a lo dispuesto en la propia Constitución Política de los Estados Unidos Mexicanos (</w:t>
      </w:r>
      <w:r w:rsidR="00C47E47" w:rsidRPr="002C0D66">
        <w:rPr>
          <w:rFonts w:ascii="ITC Avant Garde" w:eastAsia="Times New Roman" w:hAnsi="ITC Avant Garde"/>
          <w:sz w:val="22"/>
          <w:szCs w:val="22"/>
          <w:lang w:val="es-MX"/>
        </w:rPr>
        <w:t>en lo sucesivo</w:t>
      </w:r>
      <w:r w:rsidR="006D0E53" w:rsidRPr="002C0D66">
        <w:rPr>
          <w:rFonts w:ascii="ITC Avant Garde" w:eastAsia="Times New Roman" w:hAnsi="ITC Avant Garde"/>
          <w:sz w:val="22"/>
          <w:szCs w:val="22"/>
          <w:lang w:val="es-MX"/>
        </w:rPr>
        <w:t>, la</w:t>
      </w:r>
      <w:r w:rsidR="00C47E47" w:rsidRPr="002C0D66">
        <w:rPr>
          <w:rFonts w:ascii="ITC Avant Garde" w:eastAsia="Times New Roman" w:hAnsi="ITC Avant Garde"/>
          <w:sz w:val="22"/>
          <w:szCs w:val="22"/>
          <w:lang w:val="es-MX"/>
        </w:rPr>
        <w:t xml:space="preserve"> </w:t>
      </w:r>
      <w:r w:rsidR="00FA61F7" w:rsidRPr="002C0D66">
        <w:rPr>
          <w:rFonts w:ascii="ITC Avant Garde" w:eastAsia="Times New Roman" w:hAnsi="ITC Avant Garde"/>
          <w:sz w:val="22"/>
          <w:szCs w:val="22"/>
          <w:lang w:val="es-MX"/>
        </w:rPr>
        <w:t>“</w:t>
      </w:r>
      <w:r w:rsidRPr="002C0D66">
        <w:rPr>
          <w:rFonts w:ascii="ITC Avant Garde" w:eastAsia="Times New Roman" w:hAnsi="ITC Avant Garde"/>
          <w:sz w:val="22"/>
          <w:szCs w:val="22"/>
        </w:rPr>
        <w:t>Constitución</w:t>
      </w:r>
      <w:r w:rsidR="00FA61F7" w:rsidRPr="002C0D66">
        <w:rPr>
          <w:rFonts w:ascii="ITC Avant Garde" w:eastAsia="Times New Roman" w:hAnsi="ITC Avant Garde"/>
          <w:sz w:val="22"/>
          <w:szCs w:val="22"/>
          <w:lang w:val="es-MX"/>
        </w:rPr>
        <w:t>”</w:t>
      </w:r>
      <w:r w:rsidRPr="002C0D66">
        <w:rPr>
          <w:rFonts w:ascii="ITC Avant Garde" w:eastAsia="Times New Roman" w:hAnsi="ITC Avant Garde"/>
          <w:sz w:val="22"/>
          <w:szCs w:val="22"/>
        </w:rPr>
        <w:t>) y en los términos que fijen las leyes, teniendo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 garantizando lo establecido en los artículos 6o. y 7o. de la Constitución.</w:t>
      </w:r>
    </w:p>
    <w:p w14:paraId="6B60F58E" w14:textId="77777777" w:rsidR="00B72C3D" w:rsidRPr="002C0D66" w:rsidRDefault="00B72C3D" w:rsidP="00B72C3D">
      <w:pPr>
        <w:pStyle w:val="Prrafodelista"/>
        <w:widowControl w:val="0"/>
        <w:spacing w:after="0"/>
        <w:jc w:val="both"/>
        <w:rPr>
          <w:sz w:val="22"/>
          <w:szCs w:val="22"/>
        </w:rPr>
      </w:pPr>
    </w:p>
    <w:p w14:paraId="01B9408D" w14:textId="77777777" w:rsidR="008C2C44" w:rsidRPr="002C0D66" w:rsidRDefault="00B72C3D" w:rsidP="00C47E47">
      <w:pPr>
        <w:pStyle w:val="Prrafodelista"/>
        <w:widowControl w:val="0"/>
        <w:numPr>
          <w:ilvl w:val="0"/>
          <w:numId w:val="9"/>
        </w:numPr>
        <w:spacing w:after="0"/>
        <w:jc w:val="both"/>
        <w:rPr>
          <w:sz w:val="22"/>
          <w:szCs w:val="22"/>
        </w:rPr>
      </w:pPr>
      <w:r w:rsidRPr="002C0D66">
        <w:rPr>
          <w:rFonts w:ascii="ITC Avant Garde" w:eastAsia="Times New Roman" w:hAnsi="ITC Avant Garde"/>
          <w:sz w:val="22"/>
          <w:szCs w:val="22"/>
          <w:lang w:val="es-MX"/>
        </w:rPr>
        <w:t>El 6 de marzo de 2014, el Pleno del Instituto en su V Sesión Extraordinaria, aprobó mediante Acuerdo P/IFT/EXT/060314/76 la “</w:t>
      </w:r>
      <w:r w:rsidRPr="002C0D66">
        <w:rPr>
          <w:rFonts w:ascii="ITC Avant Garde" w:eastAsia="Times New Roman" w:hAnsi="ITC Avant Garde"/>
          <w:i/>
          <w:sz w:val="22"/>
          <w:szCs w:val="22"/>
          <w:lang w:val="es-MX"/>
        </w:rPr>
        <w:t>RESOLUCIÓN MEDIANTE LA CUAL EL PLENO DEL INSTITUTO FEDERAL DE TELECOMUNICACIONES DETERMINA AL GRUPO DE INTERÉS ECONÓMICO DEL QUE FORMAN PARTE AMÉRICA MÓVIL, S.A.B. DE C.V., TELÉFONOS DE MÉXICO, S.A.B. DE C.V., TELÉFONOS DEL NOROESTE, S.A. DE C.V., RADIOMÓVIL DIPSA, S.A.B. DE C. V., GRUPO CARSO, S.A.B. DE C.V., Y GRUPO FINANCIERO INBURSA, S.A.B. DE C.V., COMO AGENTE ECONÓMICO PREPONDERANTE EN EL SECTOR DE TELECOMUNICACIONES Y LE IMPONE LAS MEDIDAS NECESARIAS PARA EVITAR QUE SE AFECTE LA COMPETENCIA Y LA LIBRE CONCURRENCIA</w:t>
      </w:r>
      <w:r w:rsidRPr="002C0D66">
        <w:rPr>
          <w:rFonts w:ascii="ITC Avant Garde" w:eastAsia="Times New Roman" w:hAnsi="ITC Avant Garde"/>
          <w:sz w:val="22"/>
          <w:szCs w:val="22"/>
          <w:lang w:val="es-MX"/>
        </w:rPr>
        <w:t>.” (en lo sucesivo,</w:t>
      </w:r>
      <w:r w:rsidR="006D0E53" w:rsidRPr="002C0D66">
        <w:rPr>
          <w:rFonts w:ascii="ITC Avant Garde" w:eastAsia="Times New Roman" w:hAnsi="ITC Avant Garde"/>
          <w:sz w:val="22"/>
          <w:szCs w:val="22"/>
          <w:lang w:val="es-MX"/>
        </w:rPr>
        <w:t xml:space="preserve"> la</w:t>
      </w:r>
      <w:r w:rsidRPr="002C0D66">
        <w:rPr>
          <w:rFonts w:ascii="ITC Avant Garde" w:eastAsia="Times New Roman" w:hAnsi="ITC Avant Garde"/>
          <w:sz w:val="22"/>
          <w:szCs w:val="22"/>
          <w:lang w:val="es-MX"/>
        </w:rPr>
        <w:t xml:space="preserve"> “Resolución AEP</w:t>
      </w:r>
      <w:r w:rsidR="00C3429B" w:rsidRPr="002C0D66">
        <w:rPr>
          <w:rFonts w:ascii="ITC Avant Garde" w:eastAsia="Times New Roman" w:hAnsi="ITC Avant Garde"/>
          <w:sz w:val="22"/>
          <w:szCs w:val="22"/>
          <w:lang w:val="es-MX"/>
        </w:rPr>
        <w:t>”)</w:t>
      </w:r>
    </w:p>
    <w:p w14:paraId="3AEE0D5B" w14:textId="77777777" w:rsidR="00C47E47" w:rsidRPr="002C0D66" w:rsidRDefault="00C47E47" w:rsidP="00C47E47">
      <w:pPr>
        <w:pStyle w:val="Prrafodelista"/>
        <w:widowControl w:val="0"/>
        <w:spacing w:after="0"/>
        <w:jc w:val="both"/>
        <w:rPr>
          <w:sz w:val="22"/>
          <w:szCs w:val="22"/>
        </w:rPr>
      </w:pPr>
    </w:p>
    <w:p w14:paraId="59833560" w14:textId="77777777" w:rsidR="004A27FD" w:rsidRPr="002C0D66" w:rsidRDefault="004A27FD" w:rsidP="004A27FD">
      <w:pPr>
        <w:pStyle w:val="Prrafodelista"/>
        <w:widowControl w:val="0"/>
        <w:numPr>
          <w:ilvl w:val="0"/>
          <w:numId w:val="9"/>
        </w:numPr>
        <w:spacing w:after="0"/>
        <w:jc w:val="both"/>
        <w:rPr>
          <w:rFonts w:ascii="ITC Avant Garde" w:eastAsia="Times New Roman" w:hAnsi="ITC Avant Garde"/>
          <w:sz w:val="22"/>
          <w:szCs w:val="22"/>
          <w:lang w:val="es-MX"/>
        </w:rPr>
      </w:pPr>
      <w:r w:rsidRPr="002C0D66">
        <w:rPr>
          <w:rFonts w:ascii="ITC Avant Garde" w:eastAsia="Times New Roman" w:hAnsi="ITC Avant Garde"/>
          <w:sz w:val="22"/>
          <w:szCs w:val="22"/>
          <w:lang w:val="es-MX"/>
        </w:rPr>
        <w:t>En la Resolución AEP el Pleno del Instituto emitió el Anexo 1 denominado “</w:t>
      </w:r>
      <w:r w:rsidRPr="002C0D66">
        <w:rPr>
          <w:rFonts w:ascii="ITC Avant Garde" w:eastAsia="Times New Roman" w:hAnsi="ITC Avant Garde"/>
          <w:i/>
          <w:sz w:val="22"/>
          <w:szCs w:val="22"/>
          <w:lang w:val="es-MX"/>
        </w:rPr>
        <w:t xml:space="preserve">MEDIDAS RELACIONADAS CON INFORMACIÓN, OFERTA Y CALIDAD DE SERVICIOS, ACUERDOS EN EXCLUSIVA, LIMITACIONES AL USO DE EQUIPOS TERMINALES ENTRE </w:t>
      </w:r>
      <w:r w:rsidRPr="002C0D66">
        <w:rPr>
          <w:rFonts w:ascii="ITC Avant Garde" w:eastAsia="Times New Roman" w:hAnsi="ITC Avant Garde"/>
          <w:i/>
          <w:sz w:val="22"/>
          <w:szCs w:val="22"/>
          <w:lang w:val="es-MX"/>
        </w:rPr>
        <w:lastRenderedPageBreak/>
        <w:t>REDES, REGULACIÓN ASIMÉTRICA EN TARIFAS E INFRAESTRUCTURA DE RED, INCLUYENDO LA DESAGREGACIÓN DE SUS ELEMENTOS ESENCIALES Y, EN SU CASO, LA SEPARACIÓN CONTABLE, FUNCIONAL O ESTRUCTURAL AL AGENTE ECONÓMICO PREPONDERANTE, EN LOS SERVICIOS DE TELECOMUNICACIONES MÓVILES</w:t>
      </w:r>
      <w:r w:rsidRPr="002C0D66">
        <w:rPr>
          <w:rFonts w:ascii="ITC Avant Garde" w:eastAsia="Times New Roman" w:hAnsi="ITC Avant Garde"/>
          <w:sz w:val="22"/>
          <w:szCs w:val="22"/>
          <w:lang w:val="es-MX"/>
        </w:rPr>
        <w:t>” (en lo sucesivo, “Anexo 1”).</w:t>
      </w:r>
    </w:p>
    <w:p w14:paraId="30C43F86" w14:textId="77777777" w:rsidR="003A690F" w:rsidRPr="002C0D66" w:rsidRDefault="003A690F" w:rsidP="004A27FD">
      <w:pPr>
        <w:pStyle w:val="Prrafodelista"/>
        <w:widowControl w:val="0"/>
        <w:spacing w:after="0"/>
        <w:jc w:val="both"/>
        <w:rPr>
          <w:rFonts w:ascii="ITC Avant Garde" w:eastAsia="Times New Roman" w:hAnsi="ITC Avant Garde"/>
          <w:sz w:val="22"/>
          <w:szCs w:val="22"/>
          <w:lang w:val="es-MX"/>
        </w:rPr>
      </w:pPr>
    </w:p>
    <w:p w14:paraId="73C5C41B" w14:textId="77777777" w:rsidR="004A27FD" w:rsidRPr="002C0D66" w:rsidRDefault="004A27FD" w:rsidP="004A27FD">
      <w:pPr>
        <w:pStyle w:val="Prrafodelista"/>
        <w:widowControl w:val="0"/>
        <w:numPr>
          <w:ilvl w:val="0"/>
          <w:numId w:val="9"/>
        </w:numPr>
        <w:spacing w:after="0"/>
        <w:jc w:val="both"/>
        <w:rPr>
          <w:rFonts w:ascii="ITC Avant Garde" w:eastAsia="Times New Roman" w:hAnsi="ITC Avant Garde"/>
          <w:sz w:val="22"/>
          <w:szCs w:val="22"/>
          <w:lang w:val="es-MX"/>
        </w:rPr>
      </w:pPr>
      <w:r w:rsidRPr="002C0D66">
        <w:rPr>
          <w:rFonts w:ascii="ITC Avant Garde" w:eastAsia="Times New Roman" w:hAnsi="ITC Avant Garde"/>
          <w:sz w:val="22"/>
          <w:szCs w:val="22"/>
          <w:lang w:val="es-MX"/>
        </w:rPr>
        <w:t>En la Resolución AEP el Pleno del Instituto emitió el Anexo 2 denominado “</w:t>
      </w:r>
      <w:r w:rsidRPr="002C0D66">
        <w:rPr>
          <w:rFonts w:ascii="ITC Avant Garde" w:eastAsia="Times New Roman" w:hAnsi="ITC Avant Garde"/>
          <w:i/>
          <w:sz w:val="22"/>
          <w:szCs w:val="22"/>
          <w:lang w:val="es-MX"/>
        </w:rPr>
        <w:t>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FIJOS</w:t>
      </w:r>
      <w:r w:rsidRPr="002C0D66">
        <w:rPr>
          <w:rFonts w:ascii="ITC Avant Garde" w:eastAsia="Times New Roman" w:hAnsi="ITC Avant Garde"/>
          <w:sz w:val="22"/>
          <w:szCs w:val="22"/>
          <w:lang w:val="es-MX"/>
        </w:rPr>
        <w:t>” (en lo sucesivo, “Anexo 2”).</w:t>
      </w:r>
    </w:p>
    <w:p w14:paraId="05012424" w14:textId="77777777" w:rsidR="004A27FD" w:rsidRPr="002C0D66" w:rsidRDefault="004A27FD" w:rsidP="004A27FD">
      <w:pPr>
        <w:pStyle w:val="Prrafodelista"/>
        <w:rPr>
          <w:rFonts w:ascii="ITC Avant Garde" w:eastAsia="Times New Roman" w:hAnsi="ITC Avant Garde"/>
          <w:sz w:val="22"/>
          <w:szCs w:val="22"/>
          <w:lang w:val="es-MX"/>
        </w:rPr>
      </w:pPr>
    </w:p>
    <w:p w14:paraId="17D434F3" w14:textId="77777777" w:rsidR="00C85B23" w:rsidRPr="002C0D66" w:rsidRDefault="00C85B23" w:rsidP="00EB51F3">
      <w:pPr>
        <w:pStyle w:val="Prrafodelista"/>
        <w:widowControl w:val="0"/>
        <w:numPr>
          <w:ilvl w:val="0"/>
          <w:numId w:val="9"/>
        </w:numPr>
        <w:spacing w:after="0"/>
        <w:jc w:val="both"/>
        <w:rPr>
          <w:rFonts w:ascii="ITC Avant Garde" w:eastAsia="Times New Roman" w:hAnsi="ITC Avant Garde"/>
          <w:sz w:val="22"/>
          <w:szCs w:val="22"/>
        </w:rPr>
      </w:pPr>
      <w:r w:rsidRPr="002C0D66">
        <w:rPr>
          <w:rFonts w:ascii="ITC Avant Garde" w:eastAsia="Times New Roman" w:hAnsi="ITC Avant Garde"/>
          <w:sz w:val="22"/>
          <w:szCs w:val="22"/>
        </w:rPr>
        <w:t xml:space="preserve">El 14 de julio de 2014, se publicó en el </w:t>
      </w:r>
      <w:r w:rsidR="009A2F48" w:rsidRPr="002C0D66">
        <w:rPr>
          <w:rFonts w:ascii="ITC Avant Garde" w:eastAsia="Times New Roman" w:hAnsi="ITC Avant Garde"/>
          <w:sz w:val="22"/>
          <w:szCs w:val="22"/>
        </w:rPr>
        <w:t>DOF</w:t>
      </w:r>
      <w:r w:rsidRPr="002C0D66">
        <w:rPr>
          <w:rFonts w:ascii="ITC Avant Garde" w:eastAsia="Times New Roman" w:hAnsi="ITC Avant Garde"/>
          <w:sz w:val="22"/>
          <w:szCs w:val="22"/>
        </w:rPr>
        <w:t xml:space="preserve"> el “DECRETO por el que se expiden la Ley Federal de Telecomunicaciones y Radiodifusión, y la Ley del Sistema Público de Radiodifusión del Estado Mexicano; y se reforman, adicionan y derogan diversas disposiciones en materia de telecomunicaciones y radiodifusión” (</w:t>
      </w:r>
      <w:r w:rsidR="00C47E47" w:rsidRPr="002C0D66">
        <w:rPr>
          <w:rFonts w:ascii="ITC Avant Garde" w:eastAsia="Times New Roman" w:hAnsi="ITC Avant Garde"/>
          <w:sz w:val="22"/>
          <w:szCs w:val="22"/>
          <w:lang w:val="es-MX"/>
        </w:rPr>
        <w:t>en lo sucesivo</w:t>
      </w:r>
      <w:r w:rsidR="006D0E53" w:rsidRPr="002C0D66">
        <w:rPr>
          <w:rFonts w:ascii="ITC Avant Garde" w:eastAsia="Times New Roman" w:hAnsi="ITC Avant Garde"/>
          <w:sz w:val="22"/>
          <w:szCs w:val="22"/>
          <w:lang w:val="es-MX"/>
        </w:rPr>
        <w:t>, el</w:t>
      </w:r>
      <w:r w:rsidR="00C47E47" w:rsidRPr="002C0D66">
        <w:rPr>
          <w:rFonts w:ascii="ITC Avant Garde" w:eastAsia="Times New Roman" w:hAnsi="ITC Avant Garde"/>
          <w:sz w:val="22"/>
          <w:szCs w:val="22"/>
          <w:lang w:val="es-MX"/>
        </w:rPr>
        <w:t xml:space="preserve"> “</w:t>
      </w:r>
      <w:r w:rsidRPr="002C0D66">
        <w:rPr>
          <w:rFonts w:ascii="ITC Avant Garde" w:eastAsia="Times New Roman" w:hAnsi="ITC Avant Garde"/>
          <w:sz w:val="22"/>
          <w:szCs w:val="22"/>
        </w:rPr>
        <w:t>Decreto de Ley</w:t>
      </w:r>
      <w:r w:rsidR="00C47E47" w:rsidRPr="002C0D66">
        <w:rPr>
          <w:rFonts w:ascii="ITC Avant Garde" w:eastAsia="Times New Roman" w:hAnsi="ITC Avant Garde"/>
          <w:sz w:val="22"/>
          <w:szCs w:val="22"/>
          <w:lang w:val="es-MX"/>
        </w:rPr>
        <w:t>”</w:t>
      </w:r>
      <w:r w:rsidRPr="002C0D66">
        <w:rPr>
          <w:rFonts w:ascii="ITC Avant Garde" w:eastAsia="Times New Roman" w:hAnsi="ITC Avant Garde"/>
          <w:sz w:val="22"/>
          <w:szCs w:val="22"/>
        </w:rPr>
        <w:t>), entrando en vigor la Ley Federal de Telecomunicaciones y Radiodifusión (</w:t>
      </w:r>
      <w:r w:rsidR="00C47E47" w:rsidRPr="002C0D66">
        <w:rPr>
          <w:rFonts w:ascii="ITC Avant Garde" w:eastAsia="Times New Roman" w:hAnsi="ITC Avant Garde"/>
          <w:sz w:val="22"/>
          <w:szCs w:val="22"/>
          <w:lang w:val="es-MX"/>
        </w:rPr>
        <w:t>en lo sucesivo</w:t>
      </w:r>
      <w:r w:rsidR="006D0E53" w:rsidRPr="002C0D66">
        <w:rPr>
          <w:rFonts w:ascii="ITC Avant Garde" w:eastAsia="Times New Roman" w:hAnsi="ITC Avant Garde"/>
          <w:sz w:val="22"/>
          <w:szCs w:val="22"/>
          <w:lang w:val="es-MX"/>
        </w:rPr>
        <w:t>, la</w:t>
      </w:r>
      <w:r w:rsidR="00C47E47" w:rsidRPr="002C0D66">
        <w:rPr>
          <w:rFonts w:ascii="ITC Avant Garde" w:eastAsia="Times New Roman" w:hAnsi="ITC Avant Garde"/>
          <w:sz w:val="22"/>
          <w:szCs w:val="22"/>
          <w:lang w:val="es-MX"/>
        </w:rPr>
        <w:t xml:space="preserve"> “</w:t>
      </w:r>
      <w:proofErr w:type="spellStart"/>
      <w:r w:rsidR="00183F65" w:rsidRPr="002C0D66">
        <w:rPr>
          <w:rFonts w:ascii="ITC Avant Garde" w:eastAsia="Times New Roman" w:hAnsi="ITC Avant Garde"/>
          <w:sz w:val="22"/>
          <w:szCs w:val="22"/>
        </w:rPr>
        <w:t>LFT</w:t>
      </w:r>
      <w:r w:rsidR="00183F65" w:rsidRPr="002C0D66">
        <w:rPr>
          <w:rFonts w:ascii="ITC Avant Garde" w:eastAsia="Times New Roman" w:hAnsi="ITC Avant Garde"/>
          <w:sz w:val="22"/>
          <w:szCs w:val="22"/>
          <w:lang w:val="es-MX"/>
        </w:rPr>
        <w:t>yR</w:t>
      </w:r>
      <w:proofErr w:type="spellEnd"/>
      <w:r w:rsidR="00C47E47" w:rsidRPr="002C0D66">
        <w:rPr>
          <w:rFonts w:ascii="ITC Avant Garde" w:eastAsia="Times New Roman" w:hAnsi="ITC Avant Garde"/>
          <w:sz w:val="22"/>
          <w:szCs w:val="22"/>
          <w:lang w:val="es-MX"/>
        </w:rPr>
        <w:t>”</w:t>
      </w:r>
      <w:r w:rsidRPr="002C0D66">
        <w:rPr>
          <w:rFonts w:ascii="ITC Avant Garde" w:eastAsia="Times New Roman" w:hAnsi="ITC Avant Garde"/>
          <w:sz w:val="22"/>
          <w:szCs w:val="22"/>
        </w:rPr>
        <w:t>) el 13 de agosto del 2014.</w:t>
      </w:r>
    </w:p>
    <w:p w14:paraId="430006C6" w14:textId="77777777" w:rsidR="00183F65" w:rsidRPr="002C0D66" w:rsidRDefault="00183F65" w:rsidP="00183F65">
      <w:pPr>
        <w:pStyle w:val="Prrafodelista"/>
        <w:widowControl w:val="0"/>
        <w:spacing w:after="0"/>
        <w:jc w:val="both"/>
        <w:rPr>
          <w:rFonts w:ascii="ITC Avant Garde" w:eastAsia="Times New Roman" w:hAnsi="ITC Avant Garde"/>
          <w:sz w:val="22"/>
          <w:szCs w:val="22"/>
        </w:rPr>
      </w:pPr>
    </w:p>
    <w:p w14:paraId="7310B21E" w14:textId="77777777" w:rsidR="00183F65" w:rsidRPr="002C0D66" w:rsidRDefault="00183F65" w:rsidP="00183F65">
      <w:pPr>
        <w:pStyle w:val="Prrafodelista"/>
        <w:widowControl w:val="0"/>
        <w:numPr>
          <w:ilvl w:val="0"/>
          <w:numId w:val="9"/>
        </w:numPr>
        <w:spacing w:after="0"/>
        <w:jc w:val="both"/>
        <w:rPr>
          <w:rFonts w:ascii="ITC Avant Garde" w:eastAsia="Times New Roman" w:hAnsi="ITC Avant Garde"/>
          <w:sz w:val="22"/>
          <w:szCs w:val="22"/>
        </w:rPr>
      </w:pPr>
      <w:r w:rsidRPr="002C0D66">
        <w:rPr>
          <w:rFonts w:ascii="ITC Avant Garde" w:eastAsia="Times New Roman" w:hAnsi="ITC Avant Garde"/>
          <w:sz w:val="22"/>
          <w:szCs w:val="22"/>
          <w:lang w:val="es-MX"/>
        </w:rPr>
        <w:t>El 27 de febrero de 2017, el Pleno del Instituto en su IV Sesión Extraordinaria, aprobó mediante Acuerdo P/IFT/EXT/270217/119 la “</w:t>
      </w:r>
      <w:r w:rsidRPr="002C0D66">
        <w:rPr>
          <w:rFonts w:ascii="ITC Avant Garde" w:eastAsia="Times New Roman" w:hAnsi="ITC Avant Garde"/>
          <w:i/>
          <w:sz w:val="22"/>
          <w:szCs w:val="22"/>
          <w:lang w:val="es-MX"/>
        </w:rPr>
        <w:t>RESOLUCIÓN MEDIANTE LA CUAL EL PLENO DEL INSTITUTO FEDERAL DE TELECOMUNICACIONES SUPRIME, MODIFICA Y ADICIONA LAS MEDIDAS IMPUESTAS AL AGENTE ECONÓMICO PROPONDERANTE EN EL SECTOR DE TELECOMUNICACIONES MEDIANTE RESOLUCIÓN DE FECHA 6 DE MARZO DE 2014, APROBADA MEDIANTE ACUERDO P/IFT/EXT/060314/79”</w:t>
      </w:r>
      <w:r w:rsidRPr="002C0D66">
        <w:rPr>
          <w:rFonts w:ascii="ITC Avant Garde" w:eastAsia="Times New Roman" w:hAnsi="ITC Avant Garde"/>
          <w:sz w:val="22"/>
          <w:szCs w:val="22"/>
          <w:lang w:val="es-MX"/>
        </w:rPr>
        <w:t xml:space="preserve"> (en lo sucesivo, la “Resolución </w:t>
      </w:r>
      <w:r w:rsidR="004A27FD" w:rsidRPr="002C0D66">
        <w:rPr>
          <w:rFonts w:ascii="ITC Avant Garde" w:eastAsia="Times New Roman" w:hAnsi="ITC Avant Garde"/>
          <w:sz w:val="22"/>
          <w:szCs w:val="22"/>
          <w:lang w:val="es-MX"/>
        </w:rPr>
        <w:t>Bienal</w:t>
      </w:r>
      <w:r w:rsidRPr="002C0D66">
        <w:rPr>
          <w:rFonts w:ascii="ITC Avant Garde" w:eastAsia="Times New Roman" w:hAnsi="ITC Avant Garde"/>
          <w:sz w:val="22"/>
          <w:szCs w:val="22"/>
          <w:lang w:val="es-MX"/>
        </w:rPr>
        <w:t>”)</w:t>
      </w:r>
      <w:r w:rsidRPr="002C0D66">
        <w:rPr>
          <w:rFonts w:ascii="ITC Avant Garde" w:eastAsia="Times New Roman" w:hAnsi="ITC Avant Garde"/>
          <w:i/>
          <w:sz w:val="22"/>
          <w:szCs w:val="22"/>
          <w:lang w:val="es-MX"/>
        </w:rPr>
        <w:t xml:space="preserve"> </w:t>
      </w:r>
    </w:p>
    <w:p w14:paraId="628E2115" w14:textId="77777777" w:rsidR="004A27FD" w:rsidRPr="002C0D66" w:rsidRDefault="004A27FD" w:rsidP="004A27FD">
      <w:pPr>
        <w:pStyle w:val="Prrafodelista"/>
        <w:rPr>
          <w:rFonts w:ascii="ITC Avant Garde" w:eastAsia="Times New Roman" w:hAnsi="ITC Avant Garde"/>
          <w:sz w:val="22"/>
          <w:szCs w:val="22"/>
        </w:rPr>
      </w:pPr>
    </w:p>
    <w:p w14:paraId="019809F6" w14:textId="77777777" w:rsidR="00F2361A" w:rsidRPr="002C0D66" w:rsidRDefault="004A27FD" w:rsidP="004A27FD">
      <w:pPr>
        <w:pStyle w:val="Prrafodelista"/>
        <w:widowControl w:val="0"/>
        <w:numPr>
          <w:ilvl w:val="0"/>
          <w:numId w:val="9"/>
        </w:numPr>
        <w:spacing w:after="0"/>
        <w:jc w:val="both"/>
        <w:rPr>
          <w:rFonts w:ascii="ITC Avant Garde" w:eastAsia="Times New Roman" w:hAnsi="ITC Avant Garde"/>
          <w:sz w:val="22"/>
          <w:szCs w:val="22"/>
        </w:rPr>
      </w:pPr>
      <w:r w:rsidRPr="002C0D66">
        <w:rPr>
          <w:rFonts w:ascii="ITC Avant Garde" w:eastAsia="Times New Roman" w:hAnsi="ITC Avant Garde"/>
          <w:sz w:val="22"/>
          <w:szCs w:val="22"/>
          <w:lang w:val="es-MX"/>
        </w:rPr>
        <w:t xml:space="preserve">En la Resolución Bienal el Pleno del Instituto emitió el Anexo 1 en el que se modifican las medidas TERCERA, primer párrafo, incisos 5), 13), 30), 31) y último párrafo, QUINTA, SEXTA, OCTAVA, UNDÉCIMA, DUODÉCIMA, DECIMOQUINTA, primer párrafo, DECIMOSEXTA, VIGÉSIMA PRIMERA, VIGÉSIMA TERCERA, VIGÉSIMA QUINTA, VIGÉSIMA SÉPTIMA, TRIGÉSIMA SEGUNDA, CUADRAGÉSIMA PRIMERA, QUINCUAGÉSIMA, QUINCUAGÉSIMA QUINTA, QUINCUAGÉSIMA NOVENA, SEXAGÉSIMA, SEXAGÉSIMA PRIMERA, SEXAGÉSIMA SEGUNDA, SEXAGÉSIMA CUARTA y SEXAGÉSIMA QUINTA; se ADICIONAN las medidas TERCERA, incisos 0), </w:t>
      </w:r>
      <w:r w:rsidRPr="002C0D66">
        <w:rPr>
          <w:rFonts w:ascii="ITC Avant Garde" w:eastAsia="Times New Roman" w:hAnsi="ITC Avant Garde"/>
          <w:sz w:val="22"/>
          <w:szCs w:val="22"/>
          <w:lang w:val="es-MX"/>
        </w:rPr>
        <w:lastRenderedPageBreak/>
        <w:t>8.1), 12.1),19.1), 19.2), 22.1), 22.2) y 22.3), VIGÉSIMA TERCERA BIS, SEPTUAGÉSIMA SÉPTIMA, SEPTUAGÉSIMA OCTAVA y SEPTUAGÉSIMA NOVENA, y se SUPRIMEN las medidas TERCERA, incisos 3), 10), 11), 12), 18) y 29) y SEXAGÉSIMA TERCERA del Anexo 1 de la Resolución AEP</w:t>
      </w:r>
      <w:r w:rsidR="00F2361A" w:rsidRPr="002C0D66">
        <w:rPr>
          <w:rFonts w:ascii="ITC Avant Garde" w:eastAsia="Times New Roman" w:hAnsi="ITC Avant Garde"/>
          <w:sz w:val="22"/>
          <w:szCs w:val="22"/>
          <w:lang w:val="es-MX"/>
        </w:rPr>
        <w:t>.</w:t>
      </w:r>
    </w:p>
    <w:p w14:paraId="40C2C1FD" w14:textId="77777777" w:rsidR="00F2361A" w:rsidRPr="002C0D66" w:rsidRDefault="00F2361A" w:rsidP="00F2361A">
      <w:pPr>
        <w:pStyle w:val="Prrafodelista"/>
        <w:rPr>
          <w:rFonts w:ascii="ITC Avant Garde" w:eastAsia="Times New Roman" w:hAnsi="ITC Avant Garde"/>
          <w:sz w:val="22"/>
          <w:szCs w:val="22"/>
          <w:lang w:val="es-MX"/>
        </w:rPr>
      </w:pPr>
    </w:p>
    <w:p w14:paraId="0A98D36B" w14:textId="77777777" w:rsidR="004A27FD" w:rsidRPr="002C0D66" w:rsidRDefault="00F2361A" w:rsidP="00F2361A">
      <w:pPr>
        <w:pStyle w:val="Prrafodelista"/>
        <w:widowControl w:val="0"/>
        <w:spacing w:after="0"/>
        <w:jc w:val="both"/>
        <w:rPr>
          <w:rFonts w:ascii="ITC Avant Garde" w:eastAsia="Times New Roman" w:hAnsi="ITC Avant Garde"/>
          <w:sz w:val="22"/>
          <w:szCs w:val="22"/>
        </w:rPr>
      </w:pPr>
      <w:r w:rsidRPr="002C0D66">
        <w:rPr>
          <w:rFonts w:ascii="ITC Avant Garde" w:eastAsia="Times New Roman" w:hAnsi="ITC Avant Garde"/>
          <w:sz w:val="22"/>
          <w:szCs w:val="22"/>
          <w:lang w:val="es-MX"/>
        </w:rPr>
        <w:t>Para efectos de la presente Resolución se le denominará de manera integral “Medidas Móviles” a las emitidas como parte del Anexo 1 de la Resolución AEP, así como a las modificaciones realizadas como parte del Anexo 1 de la Resolución Bienal.</w:t>
      </w:r>
    </w:p>
    <w:p w14:paraId="23F359E8" w14:textId="77777777" w:rsidR="00183F65" w:rsidRPr="002C0D66" w:rsidRDefault="00183F65" w:rsidP="00183F65">
      <w:pPr>
        <w:pStyle w:val="Prrafodelista"/>
        <w:widowControl w:val="0"/>
        <w:spacing w:after="0"/>
        <w:jc w:val="both"/>
        <w:rPr>
          <w:rFonts w:ascii="ITC Avant Garde" w:eastAsia="Times New Roman" w:hAnsi="ITC Avant Garde"/>
          <w:sz w:val="22"/>
          <w:szCs w:val="22"/>
        </w:rPr>
      </w:pPr>
    </w:p>
    <w:p w14:paraId="49CCEF4C" w14:textId="77777777" w:rsidR="00183F65" w:rsidRPr="002C0D66" w:rsidRDefault="00183F65" w:rsidP="004A27FD">
      <w:pPr>
        <w:pStyle w:val="Prrafodelista"/>
        <w:widowControl w:val="0"/>
        <w:numPr>
          <w:ilvl w:val="0"/>
          <w:numId w:val="9"/>
        </w:numPr>
        <w:spacing w:after="0"/>
        <w:jc w:val="both"/>
        <w:rPr>
          <w:rFonts w:ascii="ITC Avant Garde" w:eastAsia="Times New Roman" w:hAnsi="ITC Avant Garde"/>
          <w:sz w:val="22"/>
          <w:szCs w:val="22"/>
          <w:lang w:val="es-MX"/>
        </w:rPr>
      </w:pPr>
      <w:r w:rsidRPr="002C0D66">
        <w:rPr>
          <w:rFonts w:ascii="ITC Avant Garde" w:eastAsia="Times New Roman" w:hAnsi="ITC Avant Garde"/>
          <w:sz w:val="22"/>
          <w:szCs w:val="22"/>
          <w:lang w:val="es-MX"/>
        </w:rPr>
        <w:t xml:space="preserve">En la Resolución </w:t>
      </w:r>
      <w:r w:rsidR="004A27FD" w:rsidRPr="002C0D66">
        <w:rPr>
          <w:rFonts w:ascii="ITC Avant Garde" w:eastAsia="Times New Roman" w:hAnsi="ITC Avant Garde"/>
          <w:sz w:val="22"/>
          <w:szCs w:val="22"/>
          <w:lang w:val="es-MX"/>
        </w:rPr>
        <w:t>Bienal el Pleno del Instituto emitió el Anexo 2 en el que se modifican las medidas TERCERA, primer párrafo, incisos 5), 9), 22), 23), 24), 30), 31), y último párrafo, CUARTA, QUINTA, SEXTA, OCTAVA, UNDÉCIMA, DUODÉCIMA, DECIMOTERCERA, DECIMOQUINTA, DECIMOSEXTA, DECIMOSÉPTIMA, DECIMOCTAVA, DECIMONOVENA, VIGÉSIMA, VIGÉSIMA SEGUNDA, VIGÉSIMA TERCERA primer párrafo, VIGÉSIMA SEXTA, TRIGÉSIMA QUINTA, TRIGÉSIMA SEXTA, TRIGÉSIMA SÉPTIMA, TRIGÉSIMA OCTAVA, TRIGÉSIMA NOVENA, CUADRAGÉSIMA PRIMERA, CUADRAGÉSIMA SEGUNDA, CUADRAGÉSIMA TERCERA, CUADRAGÉSIMA CUARTA, QUINCUAGÉSIMA TERCERA y SEXAGÉSIMA; se ADICIONAN las medidas TERCERA, incisos 0), 3.1), 11.1), 12.1), 19.1), 19.2), 20.1), 20.2) y 24.1), SÉPTIMA, segundo párrafo, SEXAGÉSIMA CUARTA, SEXAGÉSIMA QUINTA, SEXAGÉSIMA SEXTA, SEXAGÉSIMA SÉPTIMA, SEXAGÉSIMA OCTAVA, SEXAGÉSIMA NOVENA, SEPTUAGÉSIMA y SEPTUAGÉSIMA PRIMERA, y se SUPRIME la medida TERCERA, incisos 3), 13), 14), 15), 18), 19) y 29) del Anexo 2 de la Resolución AEP, (en lo sucesivo, “Medidas Fijas”).</w:t>
      </w:r>
    </w:p>
    <w:p w14:paraId="56052487" w14:textId="77777777" w:rsidR="008377F7" w:rsidRPr="002C0D66" w:rsidRDefault="008377F7" w:rsidP="008377F7">
      <w:pPr>
        <w:pStyle w:val="Prrafodelista"/>
        <w:widowControl w:val="0"/>
        <w:spacing w:after="0"/>
        <w:jc w:val="both"/>
        <w:rPr>
          <w:rFonts w:ascii="ITC Avant Garde" w:eastAsia="Times New Roman" w:hAnsi="ITC Avant Garde"/>
          <w:sz w:val="22"/>
          <w:szCs w:val="22"/>
          <w:lang w:val="es-MX"/>
        </w:rPr>
      </w:pPr>
    </w:p>
    <w:p w14:paraId="1E573ACB" w14:textId="77777777" w:rsidR="00F2361A" w:rsidRPr="002C0D66" w:rsidRDefault="00F2361A" w:rsidP="00F2361A">
      <w:pPr>
        <w:pStyle w:val="Prrafodelista"/>
        <w:widowControl w:val="0"/>
        <w:spacing w:after="0"/>
        <w:jc w:val="both"/>
        <w:rPr>
          <w:rFonts w:ascii="ITC Avant Garde" w:eastAsia="Times New Roman" w:hAnsi="ITC Avant Garde"/>
          <w:sz w:val="22"/>
          <w:szCs w:val="22"/>
        </w:rPr>
      </w:pPr>
      <w:r w:rsidRPr="002C0D66">
        <w:rPr>
          <w:rFonts w:ascii="ITC Avant Garde" w:eastAsia="Times New Roman" w:hAnsi="ITC Avant Garde"/>
          <w:sz w:val="22"/>
          <w:szCs w:val="22"/>
          <w:lang w:val="es-MX"/>
        </w:rPr>
        <w:t>Para efectos de la presente Resolución se le denominará de manera integral “Medidas Fijas” a las emitidas como parte del Anexo 2 de la Resolución AEP, así como a las modificaciones realizadas como parte del Anexo 2 de la Resolución Bienal.</w:t>
      </w:r>
    </w:p>
    <w:p w14:paraId="137738DE" w14:textId="77777777" w:rsidR="00F2361A" w:rsidRPr="002C0D66" w:rsidRDefault="00F2361A" w:rsidP="008377F7">
      <w:pPr>
        <w:pStyle w:val="Prrafodelista"/>
        <w:widowControl w:val="0"/>
        <w:spacing w:after="0"/>
        <w:jc w:val="both"/>
        <w:rPr>
          <w:rFonts w:ascii="ITC Avant Garde" w:eastAsia="Times New Roman" w:hAnsi="ITC Avant Garde"/>
          <w:sz w:val="22"/>
          <w:szCs w:val="22"/>
        </w:rPr>
      </w:pPr>
    </w:p>
    <w:p w14:paraId="5FCD5C30" w14:textId="45360B39" w:rsidR="005E14B7" w:rsidRPr="002C0D66" w:rsidRDefault="005E14B7" w:rsidP="005E14B7">
      <w:pPr>
        <w:pStyle w:val="Prrafodelista"/>
        <w:widowControl w:val="0"/>
        <w:numPr>
          <w:ilvl w:val="0"/>
          <w:numId w:val="9"/>
        </w:numPr>
        <w:spacing w:after="0"/>
        <w:jc w:val="both"/>
        <w:rPr>
          <w:rFonts w:ascii="ITC Avant Garde" w:eastAsia="Times New Roman" w:hAnsi="ITC Avant Garde"/>
          <w:sz w:val="22"/>
          <w:szCs w:val="22"/>
        </w:rPr>
      </w:pPr>
      <w:r w:rsidRPr="002C0D66">
        <w:rPr>
          <w:rFonts w:ascii="ITC Avant Garde" w:eastAsia="Times New Roman" w:hAnsi="ITC Avant Garde"/>
          <w:sz w:val="22"/>
          <w:szCs w:val="22"/>
          <w:lang w:val="es-MX"/>
        </w:rPr>
        <w:t xml:space="preserve">Mediante escrito </w:t>
      </w:r>
      <w:r w:rsidR="003F1325" w:rsidRPr="002C0D66">
        <w:rPr>
          <w:rFonts w:ascii="ITC Avant Garde" w:eastAsia="Times New Roman" w:hAnsi="ITC Avant Garde"/>
          <w:sz w:val="22"/>
          <w:szCs w:val="22"/>
          <w:lang w:val="es-MX"/>
        </w:rPr>
        <w:t>recibido</w:t>
      </w:r>
      <w:r w:rsidRPr="002C0D66">
        <w:rPr>
          <w:rFonts w:ascii="ITC Avant Garde" w:eastAsia="Times New Roman" w:hAnsi="ITC Avant Garde"/>
          <w:sz w:val="22"/>
          <w:szCs w:val="22"/>
          <w:lang w:val="es-MX"/>
        </w:rPr>
        <w:t xml:space="preserve"> en </w:t>
      </w:r>
      <w:r w:rsidR="003F1325" w:rsidRPr="002C0D66">
        <w:rPr>
          <w:rFonts w:ascii="ITC Avant Garde" w:eastAsia="Times New Roman" w:hAnsi="ITC Avant Garde"/>
          <w:sz w:val="22"/>
          <w:szCs w:val="22"/>
          <w:lang w:val="es-MX"/>
        </w:rPr>
        <w:t xml:space="preserve">la </w:t>
      </w:r>
      <w:r w:rsidRPr="002C0D66">
        <w:rPr>
          <w:rFonts w:ascii="ITC Avant Garde" w:eastAsia="Times New Roman" w:hAnsi="ITC Avant Garde"/>
          <w:sz w:val="22"/>
          <w:szCs w:val="22"/>
          <w:lang w:val="es-MX"/>
        </w:rPr>
        <w:t>Oficialía de Partes del Instituto e</w:t>
      </w:r>
      <w:r w:rsidRPr="002C0D66">
        <w:rPr>
          <w:rFonts w:ascii="ITC Avant Garde" w:eastAsia="Times New Roman" w:hAnsi="ITC Avant Garde"/>
          <w:sz w:val="22"/>
          <w:szCs w:val="22"/>
        </w:rPr>
        <w:t xml:space="preserve">l </w:t>
      </w:r>
      <w:r w:rsidRPr="002C0D66">
        <w:rPr>
          <w:rFonts w:ascii="ITC Avant Garde" w:eastAsia="Times New Roman" w:hAnsi="ITC Avant Garde"/>
          <w:sz w:val="22"/>
          <w:szCs w:val="22"/>
          <w:lang w:val="es-MX"/>
        </w:rPr>
        <w:t>3</w:t>
      </w:r>
      <w:r w:rsidR="00183F65" w:rsidRPr="002C0D66">
        <w:rPr>
          <w:rFonts w:ascii="ITC Avant Garde" w:eastAsia="Times New Roman" w:hAnsi="ITC Avant Garde"/>
          <w:sz w:val="22"/>
          <w:szCs w:val="22"/>
          <w:lang w:val="es-MX"/>
        </w:rPr>
        <w:t>1 de marzo de 2017</w:t>
      </w:r>
      <w:r w:rsidRPr="002C0D66">
        <w:rPr>
          <w:rFonts w:ascii="ITC Avant Garde" w:eastAsia="Times New Roman" w:hAnsi="ITC Avant Garde"/>
          <w:sz w:val="22"/>
          <w:szCs w:val="22"/>
          <w:lang w:val="es-MX"/>
        </w:rPr>
        <w:t xml:space="preserve"> con número de folio asignado </w:t>
      </w:r>
      <w:r w:rsidR="008377F7" w:rsidRPr="002C0D66">
        <w:rPr>
          <w:rFonts w:ascii="ITC Avant Garde" w:eastAsia="Times New Roman" w:hAnsi="ITC Avant Garde"/>
          <w:sz w:val="22"/>
          <w:szCs w:val="22"/>
          <w:lang w:val="es-MX"/>
        </w:rPr>
        <w:t>016333</w:t>
      </w:r>
      <w:r w:rsidRPr="002C0D66">
        <w:rPr>
          <w:rFonts w:ascii="ITC Avant Garde" w:eastAsia="Times New Roman" w:hAnsi="ITC Avant Garde"/>
          <w:sz w:val="22"/>
          <w:szCs w:val="22"/>
          <w:lang w:val="es-MX"/>
        </w:rPr>
        <w:t xml:space="preserve">, </w:t>
      </w:r>
      <w:r w:rsidR="008377F7" w:rsidRPr="002C0D66">
        <w:rPr>
          <w:rFonts w:ascii="ITC Avant Garde" w:eastAsia="Times New Roman" w:hAnsi="ITC Avant Garde"/>
          <w:sz w:val="22"/>
          <w:szCs w:val="22"/>
          <w:lang w:val="es-MX"/>
        </w:rPr>
        <w:t>Teléfonos del Noroeste, S.A. de C.V. (en lo sucesivo, “</w:t>
      </w:r>
      <w:proofErr w:type="spellStart"/>
      <w:r w:rsidR="008377F7" w:rsidRPr="002C0D66">
        <w:rPr>
          <w:rFonts w:ascii="ITC Avant Garde" w:eastAsia="Times New Roman" w:hAnsi="ITC Avant Garde"/>
          <w:sz w:val="22"/>
          <w:szCs w:val="22"/>
          <w:lang w:val="es-MX"/>
        </w:rPr>
        <w:t>Telnor</w:t>
      </w:r>
      <w:proofErr w:type="spellEnd"/>
      <w:r w:rsidR="008377F7" w:rsidRPr="002C0D66">
        <w:rPr>
          <w:rFonts w:ascii="ITC Avant Garde" w:eastAsia="Times New Roman" w:hAnsi="ITC Avant Garde"/>
          <w:sz w:val="22"/>
          <w:szCs w:val="22"/>
          <w:lang w:val="es-MX"/>
        </w:rPr>
        <w:t>”)</w:t>
      </w:r>
      <w:r w:rsidRPr="002C0D66">
        <w:rPr>
          <w:rFonts w:ascii="ITC Avant Garde" w:eastAsia="Times New Roman" w:hAnsi="ITC Avant Garde"/>
          <w:sz w:val="22"/>
          <w:szCs w:val="22"/>
          <w:lang w:val="es-MX"/>
        </w:rPr>
        <w:t>, como parte del A</w:t>
      </w:r>
      <w:r w:rsidR="002C0CE2" w:rsidRPr="002C0D66">
        <w:rPr>
          <w:rFonts w:ascii="ITC Avant Garde" w:eastAsia="Times New Roman" w:hAnsi="ITC Avant Garde"/>
          <w:sz w:val="22"/>
          <w:szCs w:val="22"/>
          <w:lang w:val="es-MX"/>
        </w:rPr>
        <w:t xml:space="preserve">gente </w:t>
      </w:r>
      <w:r w:rsidRPr="002C0D66">
        <w:rPr>
          <w:rFonts w:ascii="ITC Avant Garde" w:eastAsia="Times New Roman" w:hAnsi="ITC Avant Garde"/>
          <w:sz w:val="22"/>
          <w:szCs w:val="22"/>
          <w:lang w:val="es-MX"/>
        </w:rPr>
        <w:t>E</w:t>
      </w:r>
      <w:r w:rsidR="002C0CE2" w:rsidRPr="002C0D66">
        <w:rPr>
          <w:rFonts w:ascii="ITC Avant Garde" w:eastAsia="Times New Roman" w:hAnsi="ITC Avant Garde"/>
          <w:sz w:val="22"/>
          <w:szCs w:val="22"/>
          <w:lang w:val="es-MX"/>
        </w:rPr>
        <w:t xml:space="preserve">conómico </w:t>
      </w:r>
      <w:r w:rsidRPr="002C0D66">
        <w:rPr>
          <w:rFonts w:ascii="ITC Avant Garde" w:eastAsia="Times New Roman" w:hAnsi="ITC Avant Garde"/>
          <w:sz w:val="22"/>
          <w:szCs w:val="22"/>
          <w:lang w:val="es-MX"/>
        </w:rPr>
        <w:t>P</w:t>
      </w:r>
      <w:r w:rsidR="002C0CE2" w:rsidRPr="002C0D66">
        <w:rPr>
          <w:rFonts w:ascii="ITC Avant Garde" w:eastAsia="Times New Roman" w:hAnsi="ITC Avant Garde"/>
          <w:sz w:val="22"/>
          <w:szCs w:val="22"/>
          <w:lang w:val="es-MX"/>
        </w:rPr>
        <w:t xml:space="preserve">reponderante (en lo sucesivo, el </w:t>
      </w:r>
      <w:r w:rsidR="00530986" w:rsidRPr="002C0D66">
        <w:rPr>
          <w:rFonts w:ascii="ITC Avant Garde" w:eastAsia="Times New Roman" w:hAnsi="ITC Avant Garde"/>
          <w:sz w:val="22"/>
          <w:szCs w:val="22"/>
          <w:lang w:val="es-MX"/>
        </w:rPr>
        <w:t>“</w:t>
      </w:r>
      <w:r w:rsidR="002C0CE2" w:rsidRPr="002C0D66">
        <w:rPr>
          <w:rFonts w:ascii="ITC Avant Garde" w:eastAsia="Times New Roman" w:hAnsi="ITC Avant Garde"/>
          <w:sz w:val="22"/>
          <w:szCs w:val="22"/>
          <w:lang w:val="es-MX"/>
        </w:rPr>
        <w:t>AEP”)</w:t>
      </w:r>
      <w:r w:rsidRPr="002C0D66">
        <w:rPr>
          <w:rFonts w:ascii="ITC Avant Garde" w:eastAsia="Times New Roman" w:hAnsi="ITC Avant Garde"/>
          <w:sz w:val="22"/>
          <w:szCs w:val="22"/>
          <w:lang w:val="es-MX"/>
        </w:rPr>
        <w:t>, en términos de la M</w:t>
      </w:r>
      <w:r w:rsidR="003F1325" w:rsidRPr="002C0D66">
        <w:rPr>
          <w:rFonts w:ascii="ITC Avant Garde" w:eastAsia="Times New Roman" w:hAnsi="ITC Avant Garde"/>
          <w:sz w:val="22"/>
          <w:szCs w:val="22"/>
          <w:lang w:val="es-MX"/>
        </w:rPr>
        <w:t>edida DUO</w:t>
      </w:r>
      <w:r w:rsidRPr="002C0D66">
        <w:rPr>
          <w:rFonts w:ascii="ITC Avant Garde" w:eastAsia="Times New Roman" w:hAnsi="ITC Avant Garde"/>
          <w:sz w:val="22"/>
          <w:szCs w:val="22"/>
          <w:lang w:val="es-MX"/>
        </w:rPr>
        <w:t xml:space="preserve">DÉCIMA de las Medidas </w:t>
      </w:r>
      <w:r w:rsidR="003F1325" w:rsidRPr="002C0D66">
        <w:rPr>
          <w:rFonts w:ascii="ITC Avant Garde" w:eastAsia="Times New Roman" w:hAnsi="ITC Avant Garde"/>
          <w:sz w:val="22"/>
          <w:szCs w:val="22"/>
          <w:lang w:val="es-MX"/>
        </w:rPr>
        <w:t>Fijas</w:t>
      </w:r>
      <w:r w:rsidRPr="002C0D66">
        <w:rPr>
          <w:rFonts w:ascii="ITC Avant Garde" w:eastAsia="Times New Roman" w:hAnsi="ITC Avant Garde"/>
          <w:sz w:val="22"/>
          <w:szCs w:val="22"/>
          <w:lang w:val="es-MX"/>
        </w:rPr>
        <w:t xml:space="preserve">, </w:t>
      </w:r>
      <w:r w:rsidR="003F1325" w:rsidRPr="002C0D66">
        <w:rPr>
          <w:rFonts w:ascii="ITC Avant Garde" w:eastAsia="Times New Roman" w:hAnsi="ITC Avant Garde"/>
          <w:sz w:val="22"/>
          <w:szCs w:val="22"/>
          <w:lang w:val="es-MX"/>
        </w:rPr>
        <w:t>presentó</w:t>
      </w:r>
      <w:r w:rsidRPr="002C0D66">
        <w:rPr>
          <w:rFonts w:ascii="ITC Avant Garde" w:eastAsia="Times New Roman" w:hAnsi="ITC Avant Garde"/>
          <w:sz w:val="22"/>
          <w:szCs w:val="22"/>
          <w:lang w:val="es-MX"/>
        </w:rPr>
        <w:t xml:space="preserve"> </w:t>
      </w:r>
      <w:r w:rsidR="003F1325" w:rsidRPr="002C0D66">
        <w:rPr>
          <w:rFonts w:ascii="ITC Avant Garde" w:eastAsia="Times New Roman" w:hAnsi="ITC Avant Garde"/>
          <w:sz w:val="22"/>
          <w:szCs w:val="22"/>
          <w:lang w:val="es-MX"/>
        </w:rPr>
        <w:t>su</w:t>
      </w:r>
      <w:r w:rsidRPr="002C0D66">
        <w:rPr>
          <w:rFonts w:ascii="ITC Avant Garde" w:eastAsia="Times New Roman" w:hAnsi="ITC Avant Garde"/>
          <w:sz w:val="22"/>
          <w:szCs w:val="22"/>
          <w:lang w:val="es-MX"/>
        </w:rPr>
        <w:t xml:space="preserve"> </w:t>
      </w:r>
      <w:r w:rsidR="009D27BF" w:rsidRPr="002C0D66">
        <w:rPr>
          <w:rFonts w:ascii="ITC Avant Garde" w:eastAsia="Times New Roman" w:hAnsi="ITC Avant Garde"/>
          <w:sz w:val="22"/>
          <w:szCs w:val="22"/>
          <w:lang w:val="es-MX"/>
        </w:rPr>
        <w:t>propuesta de Convenio Marco de Interconexión</w:t>
      </w:r>
      <w:r w:rsidRPr="002C0D66">
        <w:rPr>
          <w:rFonts w:ascii="ITC Avant Garde" w:eastAsia="Times New Roman" w:hAnsi="ITC Avant Garde"/>
          <w:sz w:val="22"/>
          <w:szCs w:val="22"/>
          <w:lang w:val="es-MX"/>
        </w:rPr>
        <w:t xml:space="preserve">, </w:t>
      </w:r>
      <w:r w:rsidR="009D27BF" w:rsidRPr="002C0D66">
        <w:rPr>
          <w:rFonts w:ascii="ITC Avant Garde" w:eastAsia="Times New Roman" w:hAnsi="ITC Avant Garde"/>
          <w:sz w:val="22"/>
          <w:szCs w:val="22"/>
          <w:lang w:val="es-MX"/>
        </w:rPr>
        <w:t xml:space="preserve"> aplicable para el</w:t>
      </w:r>
      <w:r w:rsidRPr="002C0D66">
        <w:rPr>
          <w:rFonts w:ascii="ITC Avant Garde" w:eastAsia="Times New Roman" w:hAnsi="ITC Avant Garde"/>
          <w:sz w:val="22"/>
          <w:szCs w:val="22"/>
          <w:lang w:val="es-MX"/>
        </w:rPr>
        <w:t xml:space="preserve"> periodo comprendido </w:t>
      </w:r>
      <w:r w:rsidR="009D27BF" w:rsidRPr="002C0D66">
        <w:rPr>
          <w:rFonts w:ascii="ITC Avant Garde" w:eastAsia="Times New Roman" w:hAnsi="ITC Avant Garde"/>
          <w:sz w:val="22"/>
          <w:szCs w:val="22"/>
          <w:lang w:val="es-MX"/>
        </w:rPr>
        <w:t>entre el</w:t>
      </w:r>
      <w:r w:rsidRPr="002C0D66">
        <w:rPr>
          <w:rFonts w:ascii="ITC Avant Garde" w:eastAsia="Times New Roman" w:hAnsi="ITC Avant Garde"/>
          <w:sz w:val="22"/>
          <w:szCs w:val="22"/>
          <w:lang w:val="es-MX"/>
        </w:rPr>
        <w:t xml:space="preserve"> 1</w:t>
      </w:r>
      <w:r w:rsidR="009D27BF" w:rsidRPr="002C0D66">
        <w:rPr>
          <w:rFonts w:ascii="ITC Avant Garde" w:eastAsia="Times New Roman" w:hAnsi="ITC Avant Garde"/>
          <w:sz w:val="22"/>
          <w:szCs w:val="22"/>
          <w:lang w:val="es-MX"/>
        </w:rPr>
        <w:t>°</w:t>
      </w:r>
      <w:r w:rsidRPr="002C0D66">
        <w:rPr>
          <w:rFonts w:ascii="ITC Avant Garde" w:eastAsia="Times New Roman" w:hAnsi="ITC Avant Garde"/>
          <w:sz w:val="22"/>
          <w:szCs w:val="22"/>
          <w:lang w:val="es-MX"/>
        </w:rPr>
        <w:t xml:space="preserve"> de enero</w:t>
      </w:r>
      <w:r w:rsidR="009D27BF" w:rsidRPr="002C0D66">
        <w:rPr>
          <w:rFonts w:ascii="ITC Avant Garde" w:eastAsia="Times New Roman" w:hAnsi="ITC Avant Garde"/>
          <w:sz w:val="22"/>
          <w:szCs w:val="22"/>
          <w:lang w:val="es-MX"/>
        </w:rPr>
        <w:t xml:space="preserve"> de 2018 y el</w:t>
      </w:r>
      <w:r w:rsidRPr="002C0D66">
        <w:rPr>
          <w:rFonts w:ascii="ITC Avant Garde" w:eastAsia="Times New Roman" w:hAnsi="ITC Avant Garde"/>
          <w:sz w:val="22"/>
          <w:szCs w:val="22"/>
          <w:lang w:val="es-MX"/>
        </w:rPr>
        <w:t xml:space="preserve"> 31 de diciembre de 201</w:t>
      </w:r>
      <w:r w:rsidR="003F1325" w:rsidRPr="002C0D66">
        <w:rPr>
          <w:rFonts w:ascii="ITC Avant Garde" w:eastAsia="Times New Roman" w:hAnsi="ITC Avant Garde"/>
          <w:sz w:val="22"/>
          <w:szCs w:val="22"/>
          <w:lang w:val="es-MX"/>
        </w:rPr>
        <w:t>8</w:t>
      </w:r>
      <w:r w:rsidRPr="002C0D66">
        <w:rPr>
          <w:rFonts w:ascii="ITC Avant Garde" w:eastAsia="Times New Roman" w:hAnsi="ITC Avant Garde"/>
          <w:sz w:val="22"/>
          <w:szCs w:val="22"/>
          <w:lang w:val="es-MX"/>
        </w:rPr>
        <w:t>.</w:t>
      </w:r>
    </w:p>
    <w:p w14:paraId="64567879" w14:textId="77777777" w:rsidR="005E14B7" w:rsidRDefault="005E14B7" w:rsidP="00112AF8">
      <w:pPr>
        <w:pStyle w:val="Prrafodelista"/>
        <w:rPr>
          <w:rFonts w:ascii="ITC Avant Garde" w:eastAsia="Times New Roman" w:hAnsi="ITC Avant Garde"/>
          <w:sz w:val="22"/>
          <w:szCs w:val="22"/>
        </w:rPr>
      </w:pPr>
    </w:p>
    <w:p w14:paraId="3F8DDB8D" w14:textId="77777777" w:rsidR="008832AD" w:rsidRPr="002C0D66" w:rsidRDefault="008832AD" w:rsidP="00112AF8">
      <w:pPr>
        <w:pStyle w:val="Prrafodelista"/>
        <w:rPr>
          <w:rFonts w:ascii="ITC Avant Garde" w:eastAsia="Times New Roman" w:hAnsi="ITC Avant Garde"/>
          <w:sz w:val="22"/>
          <w:szCs w:val="22"/>
        </w:rPr>
      </w:pPr>
    </w:p>
    <w:p w14:paraId="6458AE65" w14:textId="46A1D0DB" w:rsidR="002C0CE2" w:rsidRPr="002C0D66" w:rsidRDefault="002C0CE2" w:rsidP="002C0CE2">
      <w:pPr>
        <w:pStyle w:val="Prrafodelista"/>
        <w:widowControl w:val="0"/>
        <w:numPr>
          <w:ilvl w:val="0"/>
          <w:numId w:val="9"/>
        </w:numPr>
        <w:spacing w:after="0"/>
        <w:jc w:val="both"/>
        <w:rPr>
          <w:rFonts w:ascii="ITC Avant Garde" w:eastAsia="Times New Roman" w:hAnsi="ITC Avant Garde"/>
          <w:sz w:val="22"/>
          <w:szCs w:val="22"/>
        </w:rPr>
      </w:pPr>
      <w:r w:rsidRPr="002C0D66">
        <w:rPr>
          <w:rFonts w:ascii="ITC Avant Garde" w:eastAsia="Times New Roman" w:hAnsi="ITC Avant Garde"/>
          <w:sz w:val="22"/>
          <w:szCs w:val="22"/>
          <w:lang w:val="es-MX"/>
        </w:rPr>
        <w:lastRenderedPageBreak/>
        <w:t>Mediante escrito recibido en la Oficialía de Partes del Instituto e</w:t>
      </w:r>
      <w:r w:rsidRPr="002C0D66">
        <w:rPr>
          <w:rFonts w:ascii="ITC Avant Garde" w:eastAsia="Times New Roman" w:hAnsi="ITC Avant Garde"/>
          <w:sz w:val="22"/>
          <w:szCs w:val="22"/>
        </w:rPr>
        <w:t xml:space="preserve">l </w:t>
      </w:r>
      <w:r w:rsidRPr="002C0D66">
        <w:rPr>
          <w:rFonts w:ascii="ITC Avant Garde" w:eastAsia="Times New Roman" w:hAnsi="ITC Avant Garde"/>
          <w:sz w:val="22"/>
          <w:szCs w:val="22"/>
          <w:lang w:val="es-MX"/>
        </w:rPr>
        <w:t>31 de marzo de 2017 con número de folio asignado 016334, Teléfonos de México, S.A.B. de C.V. (en lo sucesivo, “Telmex”</w:t>
      </w:r>
      <w:r w:rsidR="009D27BF" w:rsidRPr="002C0D66">
        <w:rPr>
          <w:rFonts w:ascii="ITC Avant Garde" w:eastAsia="Times New Roman" w:hAnsi="ITC Avant Garde"/>
          <w:sz w:val="22"/>
          <w:szCs w:val="22"/>
          <w:lang w:val="es-MX"/>
        </w:rPr>
        <w:t>)</w:t>
      </w:r>
      <w:r w:rsidRPr="002C0D66">
        <w:rPr>
          <w:rFonts w:ascii="ITC Avant Garde" w:eastAsia="Times New Roman" w:hAnsi="ITC Avant Garde"/>
          <w:sz w:val="22"/>
          <w:szCs w:val="22"/>
          <w:lang w:val="es-MX"/>
        </w:rPr>
        <w:t>, como parte del AEP, en términos de la Medida DUODÉCIMA de las Medidas Fijas, presentó su</w:t>
      </w:r>
      <w:r w:rsidR="009D27BF" w:rsidRPr="002C0D66">
        <w:rPr>
          <w:rFonts w:ascii="ITC Avant Garde" w:eastAsia="Times New Roman" w:hAnsi="ITC Avant Garde"/>
          <w:sz w:val="22"/>
          <w:szCs w:val="22"/>
          <w:lang w:val="es-MX"/>
        </w:rPr>
        <w:t xml:space="preserve"> propuesta de Convenio Marco de Interconexión</w:t>
      </w:r>
      <w:r w:rsidRPr="002C0D66">
        <w:rPr>
          <w:rFonts w:ascii="ITC Avant Garde" w:eastAsia="Times New Roman" w:hAnsi="ITC Avant Garde"/>
          <w:sz w:val="22"/>
          <w:szCs w:val="22"/>
          <w:lang w:val="es-MX"/>
        </w:rPr>
        <w:t xml:space="preserve">, </w:t>
      </w:r>
      <w:r w:rsidR="009D27BF" w:rsidRPr="002C0D66">
        <w:rPr>
          <w:rFonts w:ascii="ITC Avant Garde" w:eastAsia="Times New Roman" w:hAnsi="ITC Avant Garde"/>
          <w:sz w:val="22"/>
          <w:szCs w:val="22"/>
          <w:lang w:val="es-MX"/>
        </w:rPr>
        <w:t>aplicable para</w:t>
      </w:r>
      <w:r w:rsidRPr="002C0D66">
        <w:rPr>
          <w:rFonts w:ascii="ITC Avant Garde" w:eastAsia="Times New Roman" w:hAnsi="ITC Avant Garde"/>
          <w:sz w:val="22"/>
          <w:szCs w:val="22"/>
          <w:lang w:val="es-MX"/>
        </w:rPr>
        <w:t xml:space="preserve"> </w:t>
      </w:r>
      <w:r w:rsidR="009D27BF" w:rsidRPr="002C0D66">
        <w:rPr>
          <w:rFonts w:ascii="ITC Avant Garde" w:eastAsia="Times New Roman" w:hAnsi="ITC Avant Garde"/>
          <w:sz w:val="22"/>
          <w:szCs w:val="22"/>
          <w:lang w:val="es-MX"/>
        </w:rPr>
        <w:t xml:space="preserve">el </w:t>
      </w:r>
      <w:r w:rsidRPr="002C0D66">
        <w:rPr>
          <w:rFonts w:ascii="ITC Avant Garde" w:eastAsia="Times New Roman" w:hAnsi="ITC Avant Garde"/>
          <w:sz w:val="22"/>
          <w:szCs w:val="22"/>
          <w:lang w:val="es-MX"/>
        </w:rPr>
        <w:t xml:space="preserve">periodo comprendido </w:t>
      </w:r>
      <w:r w:rsidR="009D27BF" w:rsidRPr="002C0D66">
        <w:rPr>
          <w:rFonts w:ascii="ITC Avant Garde" w:eastAsia="Times New Roman" w:hAnsi="ITC Avant Garde"/>
          <w:sz w:val="22"/>
          <w:szCs w:val="22"/>
          <w:lang w:val="es-MX"/>
        </w:rPr>
        <w:t>entre</w:t>
      </w:r>
      <w:r w:rsidRPr="002C0D66">
        <w:rPr>
          <w:rFonts w:ascii="ITC Avant Garde" w:eastAsia="Times New Roman" w:hAnsi="ITC Avant Garde"/>
          <w:sz w:val="22"/>
          <w:szCs w:val="22"/>
          <w:lang w:val="es-MX"/>
        </w:rPr>
        <w:t xml:space="preserve"> </w:t>
      </w:r>
      <w:r w:rsidR="009D27BF" w:rsidRPr="002C0D66">
        <w:rPr>
          <w:rFonts w:ascii="ITC Avant Garde" w:eastAsia="Times New Roman" w:hAnsi="ITC Avant Garde"/>
          <w:sz w:val="22"/>
          <w:szCs w:val="22"/>
          <w:lang w:val="es-MX"/>
        </w:rPr>
        <w:t xml:space="preserve">el </w:t>
      </w:r>
      <w:r w:rsidRPr="002C0D66">
        <w:rPr>
          <w:rFonts w:ascii="ITC Avant Garde" w:eastAsia="Times New Roman" w:hAnsi="ITC Avant Garde"/>
          <w:sz w:val="22"/>
          <w:szCs w:val="22"/>
          <w:lang w:val="es-MX"/>
        </w:rPr>
        <w:t>1</w:t>
      </w:r>
      <w:r w:rsidR="009D27BF" w:rsidRPr="002C0D66">
        <w:rPr>
          <w:rFonts w:ascii="ITC Avant Garde" w:eastAsia="Times New Roman" w:hAnsi="ITC Avant Garde"/>
          <w:sz w:val="22"/>
          <w:szCs w:val="22"/>
          <w:lang w:val="es-MX"/>
        </w:rPr>
        <w:t>°</w:t>
      </w:r>
      <w:r w:rsidRPr="002C0D66">
        <w:rPr>
          <w:rFonts w:ascii="ITC Avant Garde" w:eastAsia="Times New Roman" w:hAnsi="ITC Avant Garde"/>
          <w:sz w:val="22"/>
          <w:szCs w:val="22"/>
          <w:lang w:val="es-MX"/>
        </w:rPr>
        <w:t xml:space="preserve"> de enero</w:t>
      </w:r>
      <w:r w:rsidR="009D27BF" w:rsidRPr="002C0D66">
        <w:rPr>
          <w:rFonts w:ascii="ITC Avant Garde" w:eastAsia="Times New Roman" w:hAnsi="ITC Avant Garde"/>
          <w:sz w:val="22"/>
          <w:szCs w:val="22"/>
          <w:lang w:val="es-MX"/>
        </w:rPr>
        <w:t xml:space="preserve"> de 2018 y el</w:t>
      </w:r>
      <w:r w:rsidRPr="002C0D66">
        <w:rPr>
          <w:rFonts w:ascii="ITC Avant Garde" w:eastAsia="Times New Roman" w:hAnsi="ITC Avant Garde"/>
          <w:sz w:val="22"/>
          <w:szCs w:val="22"/>
          <w:lang w:val="es-MX"/>
        </w:rPr>
        <w:t xml:space="preserve"> 31 de diciembre de 2018.</w:t>
      </w:r>
    </w:p>
    <w:p w14:paraId="39273CDF" w14:textId="77777777" w:rsidR="002C0CE2" w:rsidRPr="002C0D66" w:rsidRDefault="002C0CE2" w:rsidP="002C0CE2">
      <w:pPr>
        <w:pStyle w:val="Prrafodelista"/>
        <w:widowControl w:val="0"/>
        <w:spacing w:after="0"/>
        <w:jc w:val="both"/>
        <w:rPr>
          <w:rFonts w:ascii="ITC Avant Garde" w:eastAsia="Times New Roman" w:hAnsi="ITC Avant Garde"/>
          <w:sz w:val="22"/>
          <w:szCs w:val="22"/>
        </w:rPr>
      </w:pPr>
    </w:p>
    <w:p w14:paraId="31570B3B" w14:textId="26A5EED7" w:rsidR="002C0CE2" w:rsidRPr="002C0D66" w:rsidRDefault="002C0CE2" w:rsidP="002C0CE2">
      <w:pPr>
        <w:pStyle w:val="Prrafodelista"/>
        <w:widowControl w:val="0"/>
        <w:numPr>
          <w:ilvl w:val="0"/>
          <w:numId w:val="9"/>
        </w:numPr>
        <w:spacing w:after="0"/>
        <w:jc w:val="both"/>
        <w:rPr>
          <w:rFonts w:ascii="ITC Avant Garde" w:eastAsia="Times New Roman" w:hAnsi="ITC Avant Garde"/>
          <w:sz w:val="22"/>
          <w:szCs w:val="22"/>
        </w:rPr>
      </w:pPr>
      <w:r w:rsidRPr="002C0D66">
        <w:rPr>
          <w:rFonts w:ascii="ITC Avant Garde" w:eastAsia="Times New Roman" w:hAnsi="ITC Avant Garde"/>
          <w:sz w:val="22"/>
          <w:szCs w:val="22"/>
          <w:lang w:val="es-MX"/>
        </w:rPr>
        <w:t>Mediante escrito recibido en la Oficialía de Partes del Instituto e</w:t>
      </w:r>
      <w:r w:rsidRPr="002C0D66">
        <w:rPr>
          <w:rFonts w:ascii="ITC Avant Garde" w:eastAsia="Times New Roman" w:hAnsi="ITC Avant Garde"/>
          <w:sz w:val="22"/>
          <w:szCs w:val="22"/>
        </w:rPr>
        <w:t xml:space="preserve">l </w:t>
      </w:r>
      <w:r w:rsidRPr="002C0D66">
        <w:rPr>
          <w:rFonts w:ascii="ITC Avant Garde" w:eastAsia="Times New Roman" w:hAnsi="ITC Avant Garde"/>
          <w:sz w:val="22"/>
          <w:szCs w:val="22"/>
          <w:lang w:val="es-MX"/>
        </w:rPr>
        <w:t xml:space="preserve">31 de marzo de 2017 con número de folio asignado 016414, Radiomóvil </w:t>
      </w:r>
      <w:proofErr w:type="spellStart"/>
      <w:r w:rsidRPr="002C0D66">
        <w:rPr>
          <w:rFonts w:ascii="ITC Avant Garde" w:eastAsia="Times New Roman" w:hAnsi="ITC Avant Garde"/>
          <w:sz w:val="22"/>
          <w:szCs w:val="22"/>
          <w:lang w:val="es-MX"/>
        </w:rPr>
        <w:t>Dipsa</w:t>
      </w:r>
      <w:proofErr w:type="spellEnd"/>
      <w:r w:rsidRPr="002C0D66">
        <w:rPr>
          <w:rFonts w:ascii="ITC Avant Garde" w:eastAsia="Times New Roman" w:hAnsi="ITC Avant Garde"/>
          <w:sz w:val="22"/>
          <w:szCs w:val="22"/>
          <w:lang w:val="es-MX"/>
        </w:rPr>
        <w:t xml:space="preserve">, S.A. de C.V. (en lo sucesivo, “Telcel”) como parte del AEP, en términos de la Medida UNDÉCIMA de las Medidas Móviles, presentó su </w:t>
      </w:r>
      <w:r w:rsidR="009D27BF" w:rsidRPr="002C0D66">
        <w:rPr>
          <w:rFonts w:ascii="ITC Avant Garde" w:eastAsia="Times New Roman" w:hAnsi="ITC Avant Garde"/>
          <w:sz w:val="22"/>
          <w:szCs w:val="22"/>
          <w:lang w:val="es-MX"/>
        </w:rPr>
        <w:t>propuesta de Convenio Marco de Interconexión</w:t>
      </w:r>
      <w:r w:rsidRPr="002C0D66">
        <w:rPr>
          <w:rFonts w:ascii="ITC Avant Garde" w:eastAsia="Times New Roman" w:hAnsi="ITC Avant Garde"/>
          <w:sz w:val="22"/>
          <w:szCs w:val="22"/>
          <w:lang w:val="es-MX"/>
        </w:rPr>
        <w:t xml:space="preserve">, </w:t>
      </w:r>
      <w:r w:rsidR="009D27BF" w:rsidRPr="002C0D66">
        <w:rPr>
          <w:rFonts w:ascii="ITC Avant Garde" w:eastAsia="Times New Roman" w:hAnsi="ITC Avant Garde"/>
          <w:sz w:val="22"/>
          <w:szCs w:val="22"/>
          <w:lang w:val="es-MX"/>
        </w:rPr>
        <w:t xml:space="preserve">aplicable para </w:t>
      </w:r>
      <w:r w:rsidRPr="002C0D66">
        <w:rPr>
          <w:rFonts w:ascii="ITC Avant Garde" w:eastAsia="Times New Roman" w:hAnsi="ITC Avant Garde"/>
          <w:sz w:val="22"/>
          <w:szCs w:val="22"/>
          <w:lang w:val="es-MX"/>
        </w:rPr>
        <w:t xml:space="preserve">el periodo comprendido </w:t>
      </w:r>
      <w:r w:rsidR="009D27BF" w:rsidRPr="002C0D66">
        <w:rPr>
          <w:rFonts w:ascii="ITC Avant Garde" w:eastAsia="Times New Roman" w:hAnsi="ITC Avant Garde"/>
          <w:sz w:val="22"/>
          <w:szCs w:val="22"/>
          <w:lang w:val="es-MX"/>
        </w:rPr>
        <w:t xml:space="preserve">entre </w:t>
      </w:r>
      <w:r w:rsidRPr="002C0D66">
        <w:rPr>
          <w:rFonts w:ascii="ITC Avant Garde" w:eastAsia="Times New Roman" w:hAnsi="ITC Avant Garde"/>
          <w:sz w:val="22"/>
          <w:szCs w:val="22"/>
          <w:lang w:val="es-MX"/>
        </w:rPr>
        <w:t>el 1</w:t>
      </w:r>
      <w:r w:rsidR="009D27BF" w:rsidRPr="002C0D66">
        <w:rPr>
          <w:rFonts w:ascii="ITC Avant Garde" w:eastAsia="Times New Roman" w:hAnsi="ITC Avant Garde"/>
          <w:sz w:val="22"/>
          <w:szCs w:val="22"/>
          <w:lang w:val="es-MX"/>
        </w:rPr>
        <w:t>°</w:t>
      </w:r>
      <w:r w:rsidRPr="002C0D66">
        <w:rPr>
          <w:rFonts w:ascii="ITC Avant Garde" w:eastAsia="Times New Roman" w:hAnsi="ITC Avant Garde"/>
          <w:sz w:val="22"/>
          <w:szCs w:val="22"/>
          <w:lang w:val="es-MX"/>
        </w:rPr>
        <w:t xml:space="preserve"> de enero</w:t>
      </w:r>
      <w:r w:rsidR="009D27BF" w:rsidRPr="002C0D66">
        <w:rPr>
          <w:rFonts w:ascii="ITC Avant Garde" w:eastAsia="Times New Roman" w:hAnsi="ITC Avant Garde"/>
          <w:sz w:val="22"/>
          <w:szCs w:val="22"/>
          <w:lang w:val="es-MX"/>
        </w:rPr>
        <w:t xml:space="preserve"> de 2018 y el</w:t>
      </w:r>
      <w:r w:rsidRPr="002C0D66">
        <w:rPr>
          <w:rFonts w:ascii="ITC Avant Garde" w:eastAsia="Times New Roman" w:hAnsi="ITC Avant Garde"/>
          <w:sz w:val="22"/>
          <w:szCs w:val="22"/>
          <w:lang w:val="es-MX"/>
        </w:rPr>
        <w:t xml:space="preserve"> 31 de diciembre de 2018.</w:t>
      </w:r>
    </w:p>
    <w:p w14:paraId="2BD0E22C" w14:textId="77777777" w:rsidR="003A690F" w:rsidRDefault="003A690F" w:rsidP="008C150C">
      <w:pPr>
        <w:spacing w:after="0"/>
        <w:jc w:val="center"/>
        <w:rPr>
          <w:rFonts w:ascii="ITC Avant Garde" w:hAnsi="ITC Avant Garde" w:cs="Arial"/>
          <w:b/>
          <w:bCs/>
        </w:rPr>
      </w:pPr>
    </w:p>
    <w:p w14:paraId="5CD237C6" w14:textId="77777777" w:rsidR="002C0D66" w:rsidRDefault="002C0D66" w:rsidP="008C150C">
      <w:pPr>
        <w:spacing w:after="0"/>
        <w:jc w:val="center"/>
        <w:rPr>
          <w:rFonts w:ascii="ITC Avant Garde" w:hAnsi="ITC Avant Garde" w:cs="Arial"/>
          <w:b/>
          <w:bCs/>
        </w:rPr>
      </w:pPr>
    </w:p>
    <w:p w14:paraId="07818E86" w14:textId="77777777" w:rsidR="00AE47FD" w:rsidRPr="00DF157F" w:rsidRDefault="00B04F36" w:rsidP="008C150C">
      <w:pPr>
        <w:spacing w:after="0"/>
        <w:jc w:val="center"/>
        <w:rPr>
          <w:rFonts w:ascii="ITC Avant Garde" w:hAnsi="ITC Avant Garde" w:cs="Arial"/>
          <w:b/>
          <w:bCs/>
        </w:rPr>
      </w:pPr>
      <w:r w:rsidRPr="00DF157F">
        <w:rPr>
          <w:rFonts w:ascii="ITC Avant Garde" w:hAnsi="ITC Avant Garde" w:cs="Arial"/>
          <w:b/>
          <w:bCs/>
        </w:rPr>
        <w:t>CONSIDERANDO</w:t>
      </w:r>
    </w:p>
    <w:p w14:paraId="521A009B" w14:textId="77777777" w:rsidR="00CD6B0E" w:rsidRDefault="00CD6B0E" w:rsidP="008C150C">
      <w:pPr>
        <w:spacing w:after="0"/>
        <w:jc w:val="both"/>
        <w:rPr>
          <w:rFonts w:ascii="ITC Avant Garde" w:hAnsi="ITC Avant Garde" w:cs="Arial"/>
          <w:b/>
          <w:bCs/>
        </w:rPr>
      </w:pPr>
    </w:p>
    <w:p w14:paraId="07B29933" w14:textId="77777777" w:rsidR="002C0D66" w:rsidRPr="00DF157F" w:rsidRDefault="002C0D66" w:rsidP="008C150C">
      <w:pPr>
        <w:spacing w:after="0"/>
        <w:jc w:val="both"/>
        <w:rPr>
          <w:rFonts w:ascii="ITC Avant Garde" w:hAnsi="ITC Avant Garde" w:cs="Arial"/>
          <w:b/>
          <w:bCs/>
        </w:rPr>
      </w:pPr>
    </w:p>
    <w:p w14:paraId="4A961605" w14:textId="77777777" w:rsidR="00AE47FD" w:rsidRPr="00DF157F" w:rsidRDefault="00B04F36" w:rsidP="008C150C">
      <w:pPr>
        <w:spacing w:after="0"/>
        <w:jc w:val="both"/>
        <w:rPr>
          <w:rFonts w:ascii="ITC Avant Garde" w:hAnsi="ITC Avant Garde" w:cs="Arial"/>
          <w:bCs/>
        </w:rPr>
      </w:pPr>
      <w:r w:rsidRPr="00DF157F">
        <w:rPr>
          <w:rFonts w:ascii="ITC Avant Garde" w:hAnsi="ITC Avant Garde" w:cs="Arial"/>
          <w:b/>
          <w:bCs/>
        </w:rPr>
        <w:t>PRIMERO.- Competencia del Instituto.</w:t>
      </w:r>
      <w:r w:rsidRPr="00DF157F">
        <w:rPr>
          <w:rFonts w:ascii="ITC Avant Garde" w:hAnsi="ITC Avant Garde" w:cs="Arial"/>
          <w:bCs/>
        </w:rPr>
        <w:t xml:space="preserve"> De conformidad con el artículo 28, </w:t>
      </w:r>
      <w:r w:rsidR="00CD6B0E" w:rsidRPr="00DF157F">
        <w:rPr>
          <w:rFonts w:ascii="ITC Avant Garde" w:hAnsi="ITC Avant Garde" w:cs="Arial"/>
          <w:bCs/>
        </w:rPr>
        <w:t>párrafo</w:t>
      </w:r>
      <w:r w:rsidR="008E69E6" w:rsidRPr="00DF157F">
        <w:rPr>
          <w:rFonts w:ascii="ITC Avant Garde" w:hAnsi="ITC Avant Garde" w:cs="Arial"/>
          <w:bCs/>
        </w:rPr>
        <w:t>s</w:t>
      </w:r>
      <w:r w:rsidR="00CD6B0E" w:rsidRPr="00DF157F">
        <w:rPr>
          <w:rFonts w:ascii="ITC Avant Garde" w:hAnsi="ITC Avant Garde" w:cs="Arial"/>
          <w:bCs/>
        </w:rPr>
        <w:t xml:space="preserve"> décimo quinto</w:t>
      </w:r>
      <w:r w:rsidR="00772305" w:rsidRPr="00DF157F">
        <w:rPr>
          <w:rFonts w:ascii="ITC Avant Garde" w:hAnsi="ITC Avant Garde" w:cs="Arial"/>
          <w:bCs/>
        </w:rPr>
        <w:t xml:space="preserve"> y</w:t>
      </w:r>
      <w:r w:rsidR="00CD6B0E" w:rsidRPr="00DF157F">
        <w:rPr>
          <w:rFonts w:ascii="ITC Avant Garde" w:hAnsi="ITC Avant Garde" w:cs="Arial"/>
          <w:bCs/>
        </w:rPr>
        <w:t xml:space="preserve"> décimo sexto </w:t>
      </w:r>
      <w:r w:rsidRPr="00DF157F">
        <w:rPr>
          <w:rFonts w:ascii="ITC Avant Garde" w:hAnsi="ITC Avant Garde" w:cs="Arial"/>
          <w:bCs/>
        </w:rPr>
        <w:t>de la Constitución, el Instituto tendrá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w:t>
      </w:r>
      <w:r w:rsidR="00E85EF0" w:rsidRPr="00DF157F">
        <w:rPr>
          <w:rFonts w:ascii="ITC Avant Garde" w:hAnsi="ITC Avant Garde" w:cs="Arial"/>
          <w:bCs/>
        </w:rPr>
        <w:t>. Asimismo, es autoridad en materia</w:t>
      </w:r>
      <w:r w:rsidRPr="00DF157F">
        <w:rPr>
          <w:rFonts w:ascii="ITC Avant Garde" w:hAnsi="ITC Avant Garde" w:cs="Arial"/>
          <w:bCs/>
        </w:rPr>
        <w:t xml:space="preserve"> de competencia económica de los sectores de radiodifusión y telecomunicaciones, por lo que en éstos regulará de forma asimétr</w:t>
      </w:r>
      <w:r w:rsidR="00CE7282" w:rsidRPr="00DF157F">
        <w:rPr>
          <w:rFonts w:ascii="ITC Avant Garde" w:hAnsi="ITC Avant Garde" w:cs="Arial"/>
          <w:bCs/>
        </w:rPr>
        <w:t>i</w:t>
      </w:r>
      <w:r w:rsidRPr="00DF157F">
        <w:rPr>
          <w:rFonts w:ascii="ITC Avant Garde" w:hAnsi="ITC Avant Garde" w:cs="Arial"/>
          <w:bCs/>
        </w:rPr>
        <w:t>ca a los participantes en estos mercados con el objeto de eliminar eficazmente las</w:t>
      </w:r>
      <w:r w:rsidR="00CE7282" w:rsidRPr="00DF157F">
        <w:rPr>
          <w:rFonts w:ascii="ITC Avant Garde" w:hAnsi="ITC Avant Garde" w:cs="Arial"/>
          <w:bCs/>
        </w:rPr>
        <w:t xml:space="preserve"> </w:t>
      </w:r>
      <w:r w:rsidRPr="00DF157F">
        <w:rPr>
          <w:rFonts w:ascii="ITC Avant Garde" w:hAnsi="ITC Avant Garde" w:cs="Arial"/>
          <w:bCs/>
        </w:rPr>
        <w:t>barreras a la competencia y la libre concurrencia; impondrá límites a la concentración nacional y regional de frecuencias, al concesionamiento y a la propiedad cruzada que controle varios medios de comunicación que sean concesionarios de radiodifusión y telecomunicaciones que sirvan a un mismo mercado o zona de cobertura geográfica, y ordenará la desincorporación de activos, derechos o partes necesarias para asegurar el cumplimiento de estos límites</w:t>
      </w:r>
      <w:r w:rsidR="00E37781" w:rsidRPr="00DF157F">
        <w:rPr>
          <w:rFonts w:ascii="ITC Avant Garde" w:hAnsi="ITC Avant Garde" w:cs="Arial"/>
          <w:bCs/>
        </w:rPr>
        <w:t>.</w:t>
      </w:r>
    </w:p>
    <w:p w14:paraId="7AD7A43D" w14:textId="77777777" w:rsidR="00AE47FD" w:rsidRPr="00DF157F" w:rsidRDefault="00AE47FD" w:rsidP="008C150C">
      <w:pPr>
        <w:widowControl w:val="0"/>
        <w:spacing w:after="0"/>
        <w:jc w:val="both"/>
        <w:rPr>
          <w:rFonts w:ascii="ITC Avant Garde" w:eastAsia="Times New Roman" w:hAnsi="ITC Avant Garde"/>
        </w:rPr>
      </w:pPr>
    </w:p>
    <w:p w14:paraId="3DC4C3FA" w14:textId="612512BC" w:rsidR="000F27A4" w:rsidRDefault="000F27A4" w:rsidP="00B57173">
      <w:pPr>
        <w:spacing w:after="0"/>
        <w:jc w:val="both"/>
        <w:rPr>
          <w:rFonts w:ascii="ITC Avant Garde" w:hAnsi="ITC Avant Garde" w:cs="Arial"/>
          <w:bCs/>
        </w:rPr>
      </w:pPr>
      <w:r w:rsidRPr="00B57173">
        <w:rPr>
          <w:rFonts w:ascii="ITC Avant Garde" w:hAnsi="ITC Avant Garde" w:cs="Arial"/>
          <w:bCs/>
        </w:rPr>
        <w:t xml:space="preserve">En cumplimiento a lo establecido en </w:t>
      </w:r>
      <w:r w:rsidR="001E027E" w:rsidRPr="00B57173">
        <w:rPr>
          <w:rFonts w:ascii="ITC Avant Garde" w:hAnsi="ITC Avant Garde" w:cs="Arial"/>
          <w:bCs/>
        </w:rPr>
        <w:t>el artículo Octavo transitorio, fracción III d</w:t>
      </w:r>
      <w:r w:rsidRPr="00B57173">
        <w:rPr>
          <w:rFonts w:ascii="ITC Avant Garde" w:hAnsi="ITC Avant Garde" w:cs="Arial"/>
          <w:bCs/>
        </w:rPr>
        <w:t>el Decreto</w:t>
      </w:r>
      <w:r w:rsidR="007C5BFF">
        <w:rPr>
          <w:rFonts w:ascii="ITC Avant Garde" w:hAnsi="ITC Avant Garde" w:cs="Arial"/>
          <w:bCs/>
        </w:rPr>
        <w:t>,</w:t>
      </w:r>
      <w:r w:rsidRPr="00B57173">
        <w:rPr>
          <w:rFonts w:ascii="ITC Avant Garde" w:hAnsi="ITC Avant Garde" w:cs="Arial"/>
          <w:bCs/>
        </w:rPr>
        <w:t xml:space="preserve"> mediante la Resolución AEP</w:t>
      </w:r>
      <w:r w:rsidR="001E027E" w:rsidRPr="00B57173">
        <w:rPr>
          <w:rFonts w:ascii="ITC Avant Garde" w:hAnsi="ITC Avant Garde" w:cs="Arial"/>
          <w:bCs/>
        </w:rPr>
        <w:t>,</w:t>
      </w:r>
      <w:r w:rsidRPr="00B57173">
        <w:rPr>
          <w:rFonts w:ascii="ITC Avant Garde" w:hAnsi="ITC Avant Garde" w:cs="Arial"/>
          <w:bCs/>
        </w:rPr>
        <w:t xml:space="preserve"> el Instituto determin</w:t>
      </w:r>
      <w:r w:rsidR="00C85B23" w:rsidRPr="00B57173">
        <w:rPr>
          <w:rFonts w:ascii="ITC Avant Garde" w:hAnsi="ITC Avant Garde" w:cs="Arial"/>
          <w:bCs/>
        </w:rPr>
        <w:t>ó</w:t>
      </w:r>
      <w:r w:rsidRPr="00B57173">
        <w:rPr>
          <w:rFonts w:ascii="ITC Avant Garde" w:hAnsi="ITC Avant Garde" w:cs="Arial"/>
          <w:bCs/>
        </w:rPr>
        <w:t xml:space="preserve"> la existencia de</w:t>
      </w:r>
      <w:r w:rsidR="009D27BF">
        <w:rPr>
          <w:rFonts w:ascii="ITC Avant Garde" w:hAnsi="ITC Avant Garde" w:cs="Arial"/>
          <w:bCs/>
        </w:rPr>
        <w:t>l</w:t>
      </w:r>
      <w:r w:rsidRPr="00B57173">
        <w:rPr>
          <w:rFonts w:ascii="ITC Avant Garde" w:hAnsi="ITC Avant Garde" w:cs="Arial"/>
          <w:bCs/>
        </w:rPr>
        <w:t xml:space="preserve"> Agente Económico Preponderante en </w:t>
      </w:r>
      <w:r w:rsidR="009D27BF">
        <w:rPr>
          <w:rFonts w:ascii="ITC Avant Garde" w:hAnsi="ITC Avant Garde" w:cs="Arial"/>
          <w:bCs/>
        </w:rPr>
        <w:t>el</w:t>
      </w:r>
      <w:r w:rsidRPr="00B57173">
        <w:rPr>
          <w:rFonts w:ascii="ITC Avant Garde" w:hAnsi="ITC Avant Garde" w:cs="Arial"/>
          <w:bCs/>
        </w:rPr>
        <w:t xml:space="preserve"> sector de telecomunicaciones e impuso las medidas necesarias para evitar que se afecte la competencia y la libre concurrencia y, con ello, </w:t>
      </w:r>
      <w:r w:rsidR="00A5632A" w:rsidRPr="00B57173">
        <w:rPr>
          <w:rFonts w:ascii="ITC Avant Garde" w:hAnsi="ITC Avant Garde" w:cs="Arial"/>
          <w:bCs/>
        </w:rPr>
        <w:t xml:space="preserve">asegurar que el público en general reciba </w:t>
      </w:r>
      <w:r w:rsidR="007C5BFF">
        <w:rPr>
          <w:rFonts w:ascii="ITC Avant Garde" w:hAnsi="ITC Avant Garde" w:cs="Arial"/>
          <w:bCs/>
        </w:rPr>
        <w:t xml:space="preserve">los </w:t>
      </w:r>
      <w:r w:rsidR="00A5632A" w:rsidRPr="00B57173">
        <w:rPr>
          <w:rFonts w:ascii="ITC Avant Garde" w:hAnsi="ITC Avant Garde" w:cs="Arial"/>
          <w:bCs/>
        </w:rPr>
        <w:t>servicio</w:t>
      </w:r>
      <w:r w:rsidR="007C5BFF">
        <w:rPr>
          <w:rFonts w:ascii="ITC Avant Garde" w:hAnsi="ITC Avant Garde" w:cs="Arial"/>
          <w:bCs/>
        </w:rPr>
        <w:t>s públicos de telecomunicaciones</w:t>
      </w:r>
      <w:r w:rsidR="00A5632A" w:rsidRPr="00B57173">
        <w:rPr>
          <w:rFonts w:ascii="ITC Avant Garde" w:hAnsi="ITC Avant Garde" w:cs="Arial"/>
          <w:bCs/>
        </w:rPr>
        <w:t xml:space="preserve">. Dichas Medidas </w:t>
      </w:r>
      <w:r w:rsidR="00B57173" w:rsidRPr="00B57173">
        <w:rPr>
          <w:rFonts w:ascii="ITC Avant Garde" w:hAnsi="ITC Avant Garde" w:cs="Arial"/>
          <w:bCs/>
        </w:rPr>
        <w:t xml:space="preserve">están relacionadas con la compartición de Infraestructura, contenidos, </w:t>
      </w:r>
      <w:r w:rsidR="00B57173" w:rsidRPr="00B57173">
        <w:rPr>
          <w:rFonts w:ascii="ITC Avant Garde" w:hAnsi="ITC Avant Garde" w:cs="Arial"/>
          <w:bCs/>
        </w:rPr>
        <w:lastRenderedPageBreak/>
        <w:t>publicidad e Información y, en su caso, la separación contable, funcional o estructural de dicho agente</w:t>
      </w:r>
      <w:r w:rsidR="00530986">
        <w:rPr>
          <w:rFonts w:ascii="ITC Avant Garde" w:hAnsi="ITC Avant Garde" w:cs="Arial"/>
          <w:bCs/>
        </w:rPr>
        <w:t>.</w:t>
      </w:r>
      <w:r w:rsidR="00B57173" w:rsidRPr="00B57173">
        <w:rPr>
          <w:rFonts w:ascii="ITC Avant Garde" w:hAnsi="ITC Avant Garde" w:cs="Arial"/>
          <w:bCs/>
        </w:rPr>
        <w:t xml:space="preserve"> </w:t>
      </w:r>
    </w:p>
    <w:p w14:paraId="409F2590" w14:textId="77777777" w:rsidR="00AE47FD" w:rsidRPr="008832AD" w:rsidRDefault="00AE47FD" w:rsidP="008C150C">
      <w:pPr>
        <w:spacing w:after="0"/>
        <w:jc w:val="both"/>
        <w:rPr>
          <w:rFonts w:ascii="ITC Avant Garde" w:hAnsi="ITC Avant Garde" w:cs="Arial"/>
          <w:bCs/>
          <w:sz w:val="20"/>
        </w:rPr>
      </w:pPr>
    </w:p>
    <w:p w14:paraId="402C9347" w14:textId="77777777" w:rsidR="008832AD" w:rsidRPr="008832AD" w:rsidRDefault="008832AD" w:rsidP="008C150C">
      <w:pPr>
        <w:spacing w:after="0"/>
        <w:jc w:val="both"/>
        <w:rPr>
          <w:rFonts w:ascii="ITC Avant Garde" w:hAnsi="ITC Avant Garde" w:cs="Arial"/>
          <w:bCs/>
          <w:sz w:val="20"/>
        </w:rPr>
      </w:pPr>
    </w:p>
    <w:p w14:paraId="3470D3B0" w14:textId="664CA052" w:rsidR="00B57CAB" w:rsidRPr="00B57CAB" w:rsidRDefault="00AB7EEE" w:rsidP="00B57CAB">
      <w:pPr>
        <w:spacing w:after="0"/>
        <w:jc w:val="both"/>
        <w:rPr>
          <w:rFonts w:ascii="ITC Avant Garde" w:hAnsi="ITC Avant Garde" w:cs="Arial"/>
          <w:b/>
          <w:bCs/>
        </w:rPr>
      </w:pPr>
      <w:r w:rsidRPr="007048F7">
        <w:rPr>
          <w:rFonts w:ascii="ITC Avant Garde" w:hAnsi="ITC Avant Garde" w:cs="Arial"/>
          <w:b/>
          <w:bCs/>
        </w:rPr>
        <w:t>SEGUNDO</w:t>
      </w:r>
      <w:r w:rsidRPr="007048F7">
        <w:rPr>
          <w:rFonts w:ascii="ITC Avant Garde" w:hAnsi="ITC Avant Garde" w:cs="Arial"/>
          <w:bCs/>
        </w:rPr>
        <w:t xml:space="preserve">.- </w:t>
      </w:r>
      <w:r w:rsidRPr="006C6F79">
        <w:rPr>
          <w:rFonts w:ascii="ITC Avant Garde" w:hAnsi="ITC Avant Garde" w:cs="Arial"/>
          <w:b/>
          <w:bCs/>
        </w:rPr>
        <w:t xml:space="preserve">Obligatoriedad del AEP de presentar </w:t>
      </w:r>
      <w:r w:rsidR="009D27BF">
        <w:rPr>
          <w:rFonts w:ascii="ITC Avant Garde" w:hAnsi="ITC Avant Garde" w:cs="Arial"/>
          <w:b/>
          <w:bCs/>
        </w:rPr>
        <w:t>el Convenio Marco de Interconexión</w:t>
      </w:r>
      <w:r w:rsidRPr="006C6F79">
        <w:rPr>
          <w:rFonts w:ascii="ITC Avant Garde" w:hAnsi="ITC Avant Garde" w:cs="Arial"/>
          <w:b/>
          <w:bCs/>
        </w:rPr>
        <w:t>.-</w:t>
      </w:r>
      <w:r w:rsidR="00B57CAB" w:rsidRPr="00B57CAB">
        <w:t xml:space="preserve"> </w:t>
      </w:r>
      <w:r w:rsidR="00B57CAB" w:rsidRPr="00B57CAB">
        <w:rPr>
          <w:rFonts w:ascii="ITC Avant Garde" w:hAnsi="ITC Avant Garde" w:cs="Arial"/>
          <w:bCs/>
        </w:rPr>
        <w:t>El artículo 6, apartado B, fracción II de la Constitución establece que las telecomunicaciones son servicios públicos de interés general, y es el deber del Estado garantizar que se presten en condiciones de competencia, calidad, pluralidad, cobertura universal, interconexión, convergencia, continuidad, acceso libre y sin injerencias arbitrarias.</w:t>
      </w:r>
    </w:p>
    <w:p w14:paraId="6775E0A0" w14:textId="77777777" w:rsidR="00B57CAB" w:rsidRPr="00B57CAB" w:rsidRDefault="00B57CAB" w:rsidP="00B57CAB">
      <w:pPr>
        <w:spacing w:after="0"/>
        <w:jc w:val="both"/>
        <w:rPr>
          <w:rFonts w:ascii="ITC Avant Garde" w:hAnsi="ITC Avant Garde" w:cs="Arial"/>
          <w:bCs/>
        </w:rPr>
      </w:pPr>
    </w:p>
    <w:p w14:paraId="3037443A" w14:textId="77777777" w:rsidR="00B57CAB" w:rsidRDefault="00B57CAB" w:rsidP="00B57CAB">
      <w:pPr>
        <w:spacing w:after="0"/>
        <w:jc w:val="both"/>
        <w:rPr>
          <w:rFonts w:ascii="ITC Avant Garde" w:hAnsi="ITC Avant Garde" w:cs="Arial"/>
          <w:bCs/>
        </w:rPr>
      </w:pPr>
      <w:r>
        <w:rPr>
          <w:rFonts w:ascii="ITC Avant Garde" w:hAnsi="ITC Avant Garde" w:cs="Arial"/>
          <w:bCs/>
        </w:rPr>
        <w:t>E</w:t>
      </w:r>
      <w:r w:rsidR="001F4954">
        <w:rPr>
          <w:rFonts w:ascii="ITC Avant Garde" w:hAnsi="ITC Avant Garde" w:cs="Arial"/>
          <w:bCs/>
        </w:rPr>
        <w:t>s</w:t>
      </w:r>
      <w:r>
        <w:rPr>
          <w:rFonts w:ascii="ITC Avant Garde" w:hAnsi="ITC Avant Garde" w:cs="Arial"/>
          <w:bCs/>
        </w:rPr>
        <w:t xml:space="preserve"> así que, u</w:t>
      </w:r>
      <w:r w:rsidR="00AB7EEE">
        <w:rPr>
          <w:rFonts w:ascii="ITC Avant Garde" w:hAnsi="ITC Avant Garde" w:cs="Arial"/>
          <w:bCs/>
        </w:rPr>
        <w:t>no de los objetivos de la</w:t>
      </w:r>
      <w:r>
        <w:rPr>
          <w:rFonts w:ascii="ITC Avant Garde" w:hAnsi="ITC Avant Garde" w:cs="Arial"/>
          <w:bCs/>
        </w:rPr>
        <w:t xml:space="preserve"> </w:t>
      </w:r>
      <w:proofErr w:type="spellStart"/>
      <w:r>
        <w:rPr>
          <w:rFonts w:ascii="ITC Avant Garde" w:hAnsi="ITC Avant Garde" w:cs="Arial"/>
          <w:bCs/>
        </w:rPr>
        <w:t>LFTyR</w:t>
      </w:r>
      <w:proofErr w:type="spellEnd"/>
      <w:r>
        <w:rPr>
          <w:rFonts w:ascii="ITC Avant Garde" w:hAnsi="ITC Avant Garde" w:cs="Arial"/>
          <w:bCs/>
        </w:rPr>
        <w:t xml:space="preserve"> es regular el uso y aprovechamiento de las redes públicas de telecomunicaciones, así como la prestación de los servicios públicos de interés general de telecomunicaciones.</w:t>
      </w:r>
    </w:p>
    <w:p w14:paraId="53412056" w14:textId="77777777" w:rsidR="007E382C" w:rsidRDefault="007E382C" w:rsidP="00B04F00">
      <w:pPr>
        <w:spacing w:after="0" w:line="240" w:lineRule="auto"/>
        <w:jc w:val="both"/>
        <w:rPr>
          <w:rFonts w:ascii="ITC Avant Garde" w:eastAsia="Times New Roman" w:hAnsi="ITC Avant Garde"/>
          <w:szCs w:val="20"/>
        </w:rPr>
      </w:pPr>
    </w:p>
    <w:p w14:paraId="04827716" w14:textId="3384AE04" w:rsidR="005E14B7" w:rsidRDefault="005E14B7" w:rsidP="005E14B7">
      <w:pPr>
        <w:spacing w:after="0"/>
        <w:jc w:val="both"/>
        <w:rPr>
          <w:rFonts w:ascii="ITC Avant Garde" w:eastAsia="Times New Roman" w:hAnsi="ITC Avant Garde"/>
        </w:rPr>
      </w:pPr>
      <w:r w:rsidRPr="00907919">
        <w:rPr>
          <w:rFonts w:ascii="ITC Avant Garde" w:eastAsia="Times New Roman" w:hAnsi="ITC Avant Garde"/>
          <w:szCs w:val="20"/>
        </w:rPr>
        <w:t xml:space="preserve">En este sentido, </w:t>
      </w:r>
      <w:r w:rsidR="009D27BF" w:rsidRPr="00907919">
        <w:rPr>
          <w:rFonts w:ascii="ITC Avant Garde" w:eastAsia="Times New Roman" w:hAnsi="ITC Avant Garde"/>
          <w:szCs w:val="20"/>
        </w:rPr>
        <w:t xml:space="preserve">la Medida </w:t>
      </w:r>
      <w:r w:rsidR="009D27BF" w:rsidRPr="00907919">
        <w:rPr>
          <w:rFonts w:ascii="ITC Avant Garde" w:eastAsia="Times New Roman" w:hAnsi="ITC Avant Garde"/>
        </w:rPr>
        <w:t>Undécima</w:t>
      </w:r>
      <w:r w:rsidR="009D27BF">
        <w:rPr>
          <w:rFonts w:ascii="ITC Avant Garde" w:eastAsia="Times New Roman" w:hAnsi="ITC Avant Garde"/>
        </w:rPr>
        <w:t xml:space="preserve"> de</w:t>
      </w:r>
      <w:r w:rsidR="009D27BF">
        <w:rPr>
          <w:rFonts w:ascii="ITC Avant Garde" w:eastAsia="Times New Roman" w:hAnsi="ITC Avant Garde"/>
          <w:szCs w:val="20"/>
        </w:rPr>
        <w:t xml:space="preserve"> </w:t>
      </w:r>
      <w:r w:rsidR="00F2361A">
        <w:rPr>
          <w:rFonts w:ascii="ITC Avant Garde" w:eastAsia="Times New Roman" w:hAnsi="ITC Avant Garde"/>
          <w:szCs w:val="20"/>
        </w:rPr>
        <w:t>las</w:t>
      </w:r>
      <w:r w:rsidRPr="00907919">
        <w:rPr>
          <w:rFonts w:ascii="ITC Avant Garde" w:eastAsia="Times New Roman" w:hAnsi="ITC Avant Garde"/>
          <w:szCs w:val="20"/>
        </w:rPr>
        <w:t xml:space="preserve"> Medidas Móviles</w:t>
      </w:r>
      <w:r w:rsidR="00853BD8">
        <w:rPr>
          <w:rFonts w:ascii="ITC Avant Garde" w:eastAsia="Times New Roman" w:hAnsi="ITC Avant Garde"/>
          <w:szCs w:val="20"/>
        </w:rPr>
        <w:t xml:space="preserve"> </w:t>
      </w:r>
      <w:r w:rsidR="002C0CE2">
        <w:rPr>
          <w:rFonts w:ascii="ITC Avant Garde" w:eastAsia="Times New Roman" w:hAnsi="ITC Avant Garde"/>
          <w:szCs w:val="20"/>
        </w:rPr>
        <w:t>y</w:t>
      </w:r>
      <w:r w:rsidR="00853BD8">
        <w:rPr>
          <w:rFonts w:ascii="ITC Avant Garde" w:eastAsia="Times New Roman" w:hAnsi="ITC Avant Garde"/>
          <w:szCs w:val="20"/>
        </w:rPr>
        <w:t xml:space="preserve"> la Medida Duodécima </w:t>
      </w:r>
      <w:r w:rsidRPr="00907919">
        <w:rPr>
          <w:rFonts w:ascii="ITC Avant Garde" w:eastAsia="Times New Roman" w:hAnsi="ITC Avant Garde"/>
          <w:szCs w:val="20"/>
        </w:rPr>
        <w:t>de</w:t>
      </w:r>
      <w:r w:rsidR="00F2361A">
        <w:rPr>
          <w:rFonts w:ascii="ITC Avant Garde" w:eastAsia="Times New Roman" w:hAnsi="ITC Avant Garde"/>
          <w:szCs w:val="20"/>
        </w:rPr>
        <w:t xml:space="preserve"> las</w:t>
      </w:r>
      <w:r w:rsidR="00853BD8">
        <w:rPr>
          <w:rFonts w:ascii="ITC Avant Garde" w:eastAsia="Times New Roman" w:hAnsi="ITC Avant Garde"/>
          <w:szCs w:val="20"/>
        </w:rPr>
        <w:t xml:space="preserve"> Medidas Fijas</w:t>
      </w:r>
      <w:r w:rsidR="00F2361A">
        <w:rPr>
          <w:rFonts w:ascii="ITC Avant Garde" w:eastAsia="Times New Roman" w:hAnsi="ITC Avant Garde"/>
          <w:szCs w:val="20"/>
        </w:rPr>
        <w:t xml:space="preserve"> determinadas por</w:t>
      </w:r>
      <w:r w:rsidRPr="00907919">
        <w:rPr>
          <w:rFonts w:ascii="ITC Avant Garde" w:eastAsia="Times New Roman" w:hAnsi="ITC Avant Garde"/>
          <w:szCs w:val="20"/>
        </w:rPr>
        <w:t xml:space="preserve"> la Resolución </w:t>
      </w:r>
      <w:r w:rsidR="00F2361A">
        <w:rPr>
          <w:rFonts w:ascii="ITC Avant Garde" w:eastAsia="Times New Roman" w:hAnsi="ITC Avant Garde"/>
          <w:szCs w:val="20"/>
        </w:rPr>
        <w:t>AEP y la Resolución Bienal</w:t>
      </w:r>
      <w:r w:rsidRPr="00907919">
        <w:rPr>
          <w:rFonts w:ascii="ITC Avant Garde" w:eastAsia="Times New Roman" w:hAnsi="ITC Avant Garde"/>
          <w:szCs w:val="20"/>
        </w:rPr>
        <w:t xml:space="preserve">, </w:t>
      </w:r>
      <w:r w:rsidR="009D27BF">
        <w:rPr>
          <w:rFonts w:ascii="ITC Avant Garde" w:eastAsia="Times New Roman" w:hAnsi="ITC Avant Garde"/>
        </w:rPr>
        <w:t>establec</w:t>
      </w:r>
      <w:r w:rsidR="00D56C4D">
        <w:rPr>
          <w:rFonts w:ascii="ITC Avant Garde" w:eastAsia="Times New Roman" w:hAnsi="ITC Avant Garde"/>
        </w:rPr>
        <w:t>en</w:t>
      </w:r>
      <w:r w:rsidR="009D27BF">
        <w:rPr>
          <w:rFonts w:ascii="ITC Avant Garde" w:eastAsia="Times New Roman" w:hAnsi="ITC Avant Garde"/>
        </w:rPr>
        <w:t xml:space="preserve"> que el</w:t>
      </w:r>
      <w:r w:rsidRPr="00907919">
        <w:rPr>
          <w:rFonts w:ascii="ITC Avant Garde" w:eastAsia="Times New Roman" w:hAnsi="ITC Avant Garde"/>
        </w:rPr>
        <w:t xml:space="preserve"> AEP</w:t>
      </w:r>
      <w:r w:rsidR="009D27BF">
        <w:rPr>
          <w:rFonts w:ascii="ITC Avant Garde" w:eastAsia="Times New Roman" w:hAnsi="ITC Avant Garde"/>
        </w:rPr>
        <w:t xml:space="preserve"> deberá</w:t>
      </w:r>
      <w:r w:rsidR="00D56C4D">
        <w:rPr>
          <w:rFonts w:ascii="ITC Avant Garde" w:eastAsia="Times New Roman" w:hAnsi="ITC Avant Garde"/>
        </w:rPr>
        <w:t>,</w:t>
      </w:r>
      <w:r w:rsidRPr="00907919">
        <w:rPr>
          <w:rFonts w:ascii="ITC Avant Garde" w:eastAsia="Times New Roman" w:hAnsi="ITC Avant Garde"/>
        </w:rPr>
        <w:t xml:space="preserve"> </w:t>
      </w:r>
      <w:r w:rsidR="002C0CE2">
        <w:rPr>
          <w:rFonts w:ascii="ITC Avant Garde" w:eastAsia="Times New Roman" w:hAnsi="ITC Avant Garde"/>
        </w:rPr>
        <w:t>en el primer trimestre de</w:t>
      </w:r>
      <w:r w:rsidR="00D56C4D">
        <w:rPr>
          <w:rFonts w:ascii="ITC Avant Garde" w:eastAsia="Times New Roman" w:hAnsi="ITC Avant Garde"/>
        </w:rPr>
        <w:t xml:space="preserve"> cada</w:t>
      </w:r>
      <w:r w:rsidR="002C0CE2">
        <w:rPr>
          <w:rFonts w:ascii="ITC Avant Garde" w:eastAsia="Times New Roman" w:hAnsi="ITC Avant Garde"/>
        </w:rPr>
        <w:t xml:space="preserve"> año</w:t>
      </w:r>
      <w:r w:rsidRPr="00907919">
        <w:rPr>
          <w:rFonts w:ascii="ITC Avant Garde" w:eastAsia="Times New Roman" w:hAnsi="ITC Avant Garde"/>
        </w:rPr>
        <w:t>, present</w:t>
      </w:r>
      <w:r w:rsidR="00D56C4D">
        <w:rPr>
          <w:rFonts w:ascii="ITC Avant Garde" w:eastAsia="Times New Roman" w:hAnsi="ITC Avant Garde"/>
        </w:rPr>
        <w:t>ar para autorización</w:t>
      </w:r>
      <w:r w:rsidRPr="00907919">
        <w:rPr>
          <w:rFonts w:ascii="ITC Avant Garde" w:eastAsia="Times New Roman" w:hAnsi="ITC Avant Garde"/>
        </w:rPr>
        <w:t xml:space="preserve"> </w:t>
      </w:r>
      <w:r w:rsidR="00D56C4D">
        <w:rPr>
          <w:rFonts w:ascii="ITC Avant Garde" w:eastAsia="Times New Roman" w:hAnsi="ITC Avant Garde"/>
        </w:rPr>
        <w:t>d</w:t>
      </w:r>
      <w:r w:rsidRPr="00907919">
        <w:rPr>
          <w:rFonts w:ascii="ITC Avant Garde" w:eastAsia="Times New Roman" w:hAnsi="ITC Avant Garde"/>
        </w:rPr>
        <w:t xml:space="preserve">el Instituto un Convenio Marco de Interconexión que cumpla con lo establecido en la legislación aplicable, </w:t>
      </w:r>
      <w:r w:rsidR="002C0CE2">
        <w:rPr>
          <w:rFonts w:ascii="ITC Avant Garde" w:eastAsia="Times New Roman" w:hAnsi="ITC Avant Garde"/>
        </w:rPr>
        <w:t>así como cualquier otra disposición en materia de interconexión.</w:t>
      </w:r>
      <w:r w:rsidR="00F2361A">
        <w:rPr>
          <w:rFonts w:ascii="ITC Avant Garde" w:eastAsia="Times New Roman" w:hAnsi="ITC Avant Garde"/>
        </w:rPr>
        <w:t xml:space="preserve"> </w:t>
      </w:r>
    </w:p>
    <w:p w14:paraId="1C1F336D" w14:textId="77777777" w:rsidR="007C2AE1" w:rsidRDefault="007C2AE1" w:rsidP="005E14B7">
      <w:pPr>
        <w:spacing w:after="0"/>
        <w:jc w:val="both"/>
        <w:rPr>
          <w:rFonts w:ascii="ITC Avant Garde" w:eastAsia="Times New Roman" w:hAnsi="ITC Avant Garde"/>
        </w:rPr>
      </w:pPr>
    </w:p>
    <w:p w14:paraId="7404AB6B" w14:textId="2CD49FCB" w:rsidR="00E1352E" w:rsidRDefault="007C2AE1" w:rsidP="005E14B7">
      <w:pPr>
        <w:spacing w:after="0"/>
        <w:jc w:val="both"/>
        <w:rPr>
          <w:rFonts w:ascii="ITC Avant Garde" w:eastAsia="Times New Roman" w:hAnsi="ITC Avant Garde"/>
          <w:szCs w:val="20"/>
        </w:rPr>
      </w:pPr>
      <w:r>
        <w:rPr>
          <w:rFonts w:ascii="ITC Avant Garde" w:eastAsia="Times New Roman" w:hAnsi="ITC Avant Garde"/>
          <w:szCs w:val="20"/>
        </w:rPr>
        <w:t xml:space="preserve">Asimismo, </w:t>
      </w:r>
      <w:r w:rsidR="00684D54">
        <w:rPr>
          <w:rFonts w:ascii="ITC Avant Garde" w:eastAsia="Times New Roman" w:hAnsi="ITC Avant Garde"/>
          <w:szCs w:val="20"/>
        </w:rPr>
        <w:t xml:space="preserve">en las medidas referidas en el párrafo anterior, específicamente aquellas determinadas por la Resolución Bienal, </w:t>
      </w:r>
      <w:r>
        <w:rPr>
          <w:rFonts w:ascii="ITC Avant Garde" w:eastAsia="Times New Roman" w:hAnsi="ITC Avant Garde"/>
          <w:szCs w:val="20"/>
        </w:rPr>
        <w:t xml:space="preserve">se estableció que la vigencia del Convenio Marco de Interconexión, el procedimiento para su presentación y autorización, así como las fechas para su publicación serán aquellas especificadas en la </w:t>
      </w:r>
      <w:proofErr w:type="spellStart"/>
      <w:r>
        <w:rPr>
          <w:rFonts w:ascii="ITC Avant Garde" w:eastAsia="Times New Roman" w:hAnsi="ITC Avant Garde"/>
          <w:szCs w:val="20"/>
        </w:rPr>
        <w:t>LFTyR</w:t>
      </w:r>
      <w:proofErr w:type="spellEnd"/>
      <w:r>
        <w:rPr>
          <w:rFonts w:ascii="ITC Avant Garde" w:eastAsia="Times New Roman" w:hAnsi="ITC Avant Garde"/>
          <w:szCs w:val="20"/>
        </w:rPr>
        <w:t xml:space="preserve"> vig</w:t>
      </w:r>
      <w:r w:rsidR="00D51B5C">
        <w:rPr>
          <w:rFonts w:ascii="ITC Avant Garde" w:eastAsia="Times New Roman" w:hAnsi="ITC Avant Garde"/>
          <w:szCs w:val="20"/>
        </w:rPr>
        <w:t>ente o aquella que la sustituya</w:t>
      </w:r>
      <w:r w:rsidR="00D56C4D">
        <w:rPr>
          <w:rFonts w:ascii="ITC Avant Garde" w:eastAsia="Times New Roman" w:hAnsi="ITC Avant Garde"/>
          <w:szCs w:val="20"/>
        </w:rPr>
        <w:t>.</w:t>
      </w:r>
      <w:r w:rsidR="00D51B5C">
        <w:rPr>
          <w:rFonts w:ascii="ITC Avant Garde" w:eastAsia="Times New Roman" w:hAnsi="ITC Avant Garde"/>
          <w:szCs w:val="20"/>
        </w:rPr>
        <w:t xml:space="preserve"> </w:t>
      </w:r>
      <w:r w:rsidR="00D56C4D">
        <w:rPr>
          <w:rFonts w:ascii="ITC Avant Garde" w:eastAsia="Times New Roman" w:hAnsi="ITC Avant Garde"/>
          <w:szCs w:val="20"/>
        </w:rPr>
        <w:t>E</w:t>
      </w:r>
      <w:r w:rsidR="00D51B5C">
        <w:rPr>
          <w:rFonts w:ascii="ITC Avant Garde" w:eastAsia="Times New Roman" w:hAnsi="ITC Avant Garde"/>
          <w:szCs w:val="20"/>
        </w:rPr>
        <w:t xml:space="preserve">n este sentido, </w:t>
      </w:r>
      <w:r w:rsidR="00E1352E">
        <w:rPr>
          <w:rFonts w:ascii="ITC Avant Garde" w:eastAsia="Times New Roman" w:hAnsi="ITC Avant Garde"/>
          <w:szCs w:val="20"/>
        </w:rPr>
        <w:t xml:space="preserve">el procedimiento para la autorización establecido en la </w:t>
      </w:r>
      <w:proofErr w:type="spellStart"/>
      <w:r w:rsidR="00E1352E">
        <w:rPr>
          <w:rFonts w:ascii="ITC Avant Garde" w:eastAsia="Times New Roman" w:hAnsi="ITC Avant Garde"/>
          <w:szCs w:val="20"/>
        </w:rPr>
        <w:t>LFTyR</w:t>
      </w:r>
      <w:proofErr w:type="spellEnd"/>
      <w:r w:rsidR="00E1352E">
        <w:rPr>
          <w:rFonts w:ascii="ITC Avant Garde" w:eastAsia="Times New Roman" w:hAnsi="ITC Avant Garde"/>
          <w:szCs w:val="20"/>
        </w:rPr>
        <w:t>, es el señalado en el artículo 268</w:t>
      </w:r>
      <w:r w:rsidR="00C67FB3">
        <w:rPr>
          <w:rFonts w:ascii="ITC Avant Garde" w:eastAsia="Times New Roman" w:hAnsi="ITC Avant Garde"/>
          <w:szCs w:val="20"/>
        </w:rPr>
        <w:t xml:space="preserve">, salvo lo referente al plazo en que deben presentarse ante esta autoridad los Convenio Marco de Interconexión de Telmex, </w:t>
      </w:r>
      <w:proofErr w:type="spellStart"/>
      <w:r w:rsidR="00C67FB3">
        <w:rPr>
          <w:rFonts w:ascii="ITC Avant Garde" w:eastAsia="Times New Roman" w:hAnsi="ITC Avant Garde"/>
          <w:szCs w:val="20"/>
        </w:rPr>
        <w:t>Telnor</w:t>
      </w:r>
      <w:proofErr w:type="spellEnd"/>
      <w:r w:rsidR="00C67FB3">
        <w:rPr>
          <w:rFonts w:ascii="ITC Avant Garde" w:eastAsia="Times New Roman" w:hAnsi="ITC Avant Garde"/>
          <w:szCs w:val="20"/>
        </w:rPr>
        <w:t xml:space="preserve"> y Telcel, los cuales deben ser presentados en el primer trimestre de cada año con fundamento en el artículo 138 fracción II de la </w:t>
      </w:r>
      <w:proofErr w:type="spellStart"/>
      <w:r w:rsidR="00C67FB3">
        <w:rPr>
          <w:rFonts w:ascii="ITC Avant Garde" w:eastAsia="Times New Roman" w:hAnsi="ITC Avant Garde"/>
          <w:szCs w:val="20"/>
        </w:rPr>
        <w:t>LFTyR</w:t>
      </w:r>
      <w:proofErr w:type="spellEnd"/>
      <w:r w:rsidR="00C67FB3">
        <w:rPr>
          <w:rFonts w:ascii="ITC Avant Garde" w:eastAsia="Times New Roman" w:hAnsi="ITC Avant Garde"/>
          <w:szCs w:val="20"/>
        </w:rPr>
        <w:t>.</w:t>
      </w:r>
    </w:p>
    <w:p w14:paraId="72312B5E" w14:textId="77777777" w:rsidR="007C2AE1" w:rsidRPr="008832AD" w:rsidRDefault="007C2AE1" w:rsidP="005E14B7">
      <w:pPr>
        <w:spacing w:after="0"/>
        <w:jc w:val="both"/>
        <w:rPr>
          <w:rFonts w:ascii="ITC Avant Garde" w:eastAsia="Times New Roman" w:hAnsi="ITC Avant Garde"/>
          <w:sz w:val="20"/>
          <w:szCs w:val="20"/>
        </w:rPr>
      </w:pPr>
    </w:p>
    <w:p w14:paraId="69ABED13" w14:textId="77777777" w:rsidR="002C0D66" w:rsidRPr="008832AD" w:rsidRDefault="002C0D66" w:rsidP="005E14B7">
      <w:pPr>
        <w:spacing w:after="0"/>
        <w:jc w:val="both"/>
        <w:rPr>
          <w:rFonts w:ascii="ITC Avant Garde" w:eastAsia="Times New Roman" w:hAnsi="ITC Avant Garde"/>
          <w:sz w:val="20"/>
          <w:szCs w:val="20"/>
        </w:rPr>
      </w:pPr>
    </w:p>
    <w:p w14:paraId="6359ACF5" w14:textId="2A2F0274" w:rsidR="00AE7279" w:rsidRPr="00F32E9A" w:rsidRDefault="00AB7EEE" w:rsidP="008C150C">
      <w:pPr>
        <w:spacing w:after="0"/>
        <w:jc w:val="both"/>
        <w:rPr>
          <w:rFonts w:ascii="ITC Avant Garde" w:eastAsia="Times New Roman" w:hAnsi="ITC Avant Garde"/>
          <w:szCs w:val="20"/>
        </w:rPr>
      </w:pPr>
      <w:r>
        <w:rPr>
          <w:rFonts w:ascii="ITC Avant Garde" w:hAnsi="ITC Avant Garde" w:cs="Arial"/>
          <w:b/>
          <w:bCs/>
        </w:rPr>
        <w:t>TERCERO</w:t>
      </w:r>
      <w:r w:rsidR="007048F7" w:rsidRPr="00DF157F">
        <w:rPr>
          <w:rFonts w:ascii="ITC Avant Garde" w:hAnsi="ITC Avant Garde" w:cs="Arial"/>
          <w:bCs/>
        </w:rPr>
        <w:t xml:space="preserve">.- </w:t>
      </w:r>
      <w:r w:rsidR="007048F7" w:rsidRPr="00DF157F">
        <w:rPr>
          <w:rFonts w:ascii="ITC Avant Garde" w:hAnsi="ITC Avant Garde" w:cs="Arial"/>
          <w:b/>
          <w:bCs/>
        </w:rPr>
        <w:t>Consulta Pública de</w:t>
      </w:r>
      <w:r w:rsidR="00740EC5" w:rsidRPr="00DF157F">
        <w:rPr>
          <w:rFonts w:ascii="ITC Avant Garde" w:hAnsi="ITC Avant Garde" w:cs="Arial"/>
          <w:b/>
          <w:bCs/>
        </w:rPr>
        <w:t xml:space="preserve"> la</w:t>
      </w:r>
      <w:r w:rsidR="00930D54" w:rsidRPr="00DF157F">
        <w:rPr>
          <w:rFonts w:ascii="ITC Avant Garde" w:hAnsi="ITC Avant Garde" w:cs="Arial"/>
          <w:b/>
          <w:bCs/>
        </w:rPr>
        <w:t>s</w:t>
      </w:r>
      <w:r w:rsidR="00740EC5" w:rsidRPr="00DF157F">
        <w:rPr>
          <w:rFonts w:ascii="ITC Avant Garde" w:hAnsi="ITC Avant Garde" w:cs="Arial"/>
          <w:b/>
          <w:bCs/>
        </w:rPr>
        <w:t xml:space="preserve"> propuesta</w:t>
      </w:r>
      <w:r w:rsidR="00930D54" w:rsidRPr="00DF157F">
        <w:rPr>
          <w:rFonts w:ascii="ITC Avant Garde" w:hAnsi="ITC Avant Garde" w:cs="Arial"/>
          <w:b/>
          <w:bCs/>
        </w:rPr>
        <w:t>s de</w:t>
      </w:r>
      <w:r w:rsidR="00092AC3" w:rsidRPr="00DF157F">
        <w:rPr>
          <w:rFonts w:ascii="ITC Avant Garde" w:hAnsi="ITC Avant Garde" w:cs="Arial"/>
          <w:b/>
          <w:bCs/>
        </w:rPr>
        <w:t xml:space="preserve"> </w:t>
      </w:r>
      <w:r w:rsidR="00D56C4D">
        <w:rPr>
          <w:rFonts w:ascii="ITC Avant Garde" w:eastAsia="Times New Roman" w:hAnsi="ITC Avant Garde"/>
          <w:b/>
          <w:szCs w:val="20"/>
        </w:rPr>
        <w:t>los Convenios Marco de Interconexión</w:t>
      </w:r>
      <w:r w:rsidR="00930D54" w:rsidRPr="00DF157F">
        <w:rPr>
          <w:rFonts w:ascii="ITC Avant Garde" w:eastAsia="Times New Roman" w:hAnsi="ITC Avant Garde"/>
          <w:b/>
          <w:szCs w:val="20"/>
        </w:rPr>
        <w:t>.-</w:t>
      </w:r>
      <w:r w:rsidR="00930D54" w:rsidRPr="00DF157F">
        <w:rPr>
          <w:rFonts w:ascii="ITC Avant Garde" w:eastAsia="Times New Roman" w:hAnsi="ITC Avant Garde"/>
          <w:szCs w:val="20"/>
        </w:rPr>
        <w:t xml:space="preserve"> </w:t>
      </w:r>
      <w:r w:rsidR="00E46BB6" w:rsidRPr="00DF157F">
        <w:rPr>
          <w:rFonts w:ascii="ITC Avant Garde" w:eastAsia="Times New Roman" w:hAnsi="ITC Avant Garde"/>
          <w:szCs w:val="20"/>
        </w:rPr>
        <w:t>E</w:t>
      </w:r>
      <w:r w:rsidR="007E2718" w:rsidRPr="00DF157F">
        <w:rPr>
          <w:rFonts w:ascii="ITC Avant Garde" w:hAnsi="ITC Avant Garde"/>
        </w:rPr>
        <w:t>n</w:t>
      </w:r>
      <w:r w:rsidR="004F0072" w:rsidRPr="00DF157F">
        <w:rPr>
          <w:rFonts w:ascii="ITC Avant Garde" w:eastAsia="Times New Roman" w:hAnsi="ITC Avant Garde"/>
          <w:szCs w:val="20"/>
        </w:rPr>
        <w:t xml:space="preserve"> la Resolución </w:t>
      </w:r>
      <w:r w:rsidR="00D51B5C">
        <w:rPr>
          <w:rFonts w:ascii="ITC Avant Garde" w:eastAsia="Times New Roman" w:hAnsi="ITC Avant Garde"/>
          <w:szCs w:val="20"/>
        </w:rPr>
        <w:t>AEP,</w:t>
      </w:r>
      <w:r w:rsidR="00F32E9A">
        <w:rPr>
          <w:rFonts w:ascii="ITC Avant Garde" w:eastAsia="Times New Roman" w:hAnsi="ITC Avant Garde"/>
          <w:szCs w:val="20"/>
        </w:rPr>
        <w:t xml:space="preserve"> </w:t>
      </w:r>
      <w:r w:rsidR="004F0072" w:rsidRPr="00DF157F">
        <w:rPr>
          <w:rFonts w:ascii="ITC Avant Garde" w:eastAsia="Times New Roman" w:hAnsi="ITC Avant Garde"/>
          <w:szCs w:val="20"/>
        </w:rPr>
        <w:t xml:space="preserve">el Instituto se pronunció en el sentido de que la utilidad de una </w:t>
      </w:r>
      <w:r w:rsidR="00B71C5C">
        <w:rPr>
          <w:rFonts w:ascii="ITC Avant Garde" w:eastAsia="Times New Roman" w:hAnsi="ITC Avant Garde"/>
          <w:szCs w:val="20"/>
        </w:rPr>
        <w:t>oferta pública</w:t>
      </w:r>
      <w:r w:rsidR="004F0072" w:rsidRPr="00DF157F">
        <w:rPr>
          <w:rFonts w:ascii="ITC Avant Garde" w:eastAsia="Times New Roman" w:hAnsi="ITC Avant Garde"/>
          <w:szCs w:val="20"/>
        </w:rPr>
        <w:t xml:space="preserve"> </w:t>
      </w:r>
      <w:r w:rsidR="005B5F22" w:rsidRPr="00DF157F">
        <w:rPr>
          <w:rFonts w:ascii="ITC Avant Garde" w:eastAsia="Times New Roman" w:hAnsi="ITC Avant Garde"/>
          <w:szCs w:val="20"/>
        </w:rPr>
        <w:t>es</w:t>
      </w:r>
      <w:r w:rsidR="004F0072" w:rsidRPr="00DF157F">
        <w:rPr>
          <w:rFonts w:ascii="ITC Avant Garde" w:eastAsia="Times New Roman" w:hAnsi="ITC Avant Garde"/>
          <w:szCs w:val="20"/>
        </w:rPr>
        <w:t xml:space="preserve"> que en la misma se </w:t>
      </w:r>
      <w:r w:rsidR="004F0072" w:rsidRPr="00DF157F">
        <w:rPr>
          <w:rFonts w:ascii="ITC Avant Garde" w:hAnsi="ITC Avant Garde"/>
          <w:color w:val="000000"/>
        </w:rPr>
        <w:t xml:space="preserve">establecen </w:t>
      </w:r>
      <w:r w:rsidR="00F32E9A">
        <w:rPr>
          <w:rFonts w:ascii="ITC Avant Garde" w:hAnsi="ITC Avant Garde"/>
          <w:color w:val="000000"/>
        </w:rPr>
        <w:t xml:space="preserve">de manera clara y transparente </w:t>
      </w:r>
      <w:r w:rsidR="004F0072" w:rsidRPr="00DF157F">
        <w:rPr>
          <w:rFonts w:ascii="ITC Avant Garde" w:hAnsi="ITC Avant Garde"/>
          <w:color w:val="000000"/>
        </w:rPr>
        <w:t>los términos y condiciones para</w:t>
      </w:r>
      <w:r w:rsidR="00F840B9">
        <w:rPr>
          <w:rFonts w:ascii="ITC Avant Garde" w:hAnsi="ITC Avant Garde"/>
          <w:color w:val="000000"/>
        </w:rPr>
        <w:t xml:space="preserve"> la prestación de</w:t>
      </w:r>
      <w:r w:rsidR="0055487D">
        <w:rPr>
          <w:rFonts w:ascii="ITC Avant Garde" w:hAnsi="ITC Avant Garde"/>
          <w:color w:val="000000"/>
        </w:rPr>
        <w:t xml:space="preserve"> </w:t>
      </w:r>
      <w:r w:rsidR="00F840B9" w:rsidRPr="0014124F">
        <w:rPr>
          <w:rFonts w:ascii="ITC Avant Garde" w:eastAsia="Times New Roman" w:hAnsi="ITC Avant Garde"/>
        </w:rPr>
        <w:t xml:space="preserve">los servicios de </w:t>
      </w:r>
      <w:r w:rsidR="0055487D">
        <w:rPr>
          <w:rFonts w:ascii="ITC Avant Garde" w:eastAsia="Times New Roman" w:hAnsi="ITC Avant Garde"/>
        </w:rPr>
        <w:t xml:space="preserve">Interconexión, </w:t>
      </w:r>
      <w:r w:rsidR="004F0072" w:rsidRPr="00DF157F">
        <w:rPr>
          <w:rFonts w:ascii="ITC Avant Garde" w:hAnsi="ITC Avant Garde"/>
          <w:color w:val="000000"/>
        </w:rPr>
        <w:t xml:space="preserve">que un </w:t>
      </w:r>
      <w:r w:rsidR="00F840B9">
        <w:rPr>
          <w:rFonts w:ascii="ITC Avant Garde" w:hAnsi="ITC Avant Garde"/>
          <w:color w:val="000000"/>
        </w:rPr>
        <w:t xml:space="preserve">concesionario </w:t>
      </w:r>
      <w:r w:rsidR="004F0072" w:rsidRPr="00DF157F">
        <w:rPr>
          <w:rFonts w:ascii="ITC Avant Garde" w:hAnsi="ITC Avant Garde"/>
          <w:color w:val="000000"/>
        </w:rPr>
        <w:t xml:space="preserve">puede aceptar del </w:t>
      </w:r>
      <w:r w:rsidR="00B71C5C">
        <w:rPr>
          <w:rFonts w:ascii="ITC Avant Garde" w:hAnsi="ITC Avant Garde"/>
          <w:color w:val="000000"/>
        </w:rPr>
        <w:t>AEP</w:t>
      </w:r>
      <w:r w:rsidR="004F0072" w:rsidRPr="00DF157F">
        <w:rPr>
          <w:rFonts w:ascii="ITC Avant Garde" w:hAnsi="ITC Avant Garde"/>
          <w:color w:val="000000"/>
        </w:rPr>
        <w:t xml:space="preserve">, sin la necesidad de involucrarse en negociaciones adicionales, evitando de esta manera la generación de disputas en el sector y acortando los tiempos para la prestación de </w:t>
      </w:r>
      <w:r w:rsidR="000304FF" w:rsidRPr="00DF157F">
        <w:rPr>
          <w:rFonts w:ascii="ITC Avant Garde" w:hAnsi="ITC Avant Garde"/>
          <w:color w:val="000000"/>
        </w:rPr>
        <w:t>dichos servicios</w:t>
      </w:r>
      <w:r w:rsidR="004F0072" w:rsidRPr="00DF157F">
        <w:rPr>
          <w:rFonts w:ascii="ITC Avant Garde" w:hAnsi="ITC Avant Garde"/>
          <w:color w:val="000000"/>
        </w:rPr>
        <w:t>.</w:t>
      </w:r>
      <w:r w:rsidR="00AE7279">
        <w:rPr>
          <w:rFonts w:ascii="ITC Avant Garde" w:hAnsi="ITC Avant Garde"/>
          <w:color w:val="000000"/>
        </w:rPr>
        <w:t xml:space="preserve"> De esta forma, el </w:t>
      </w:r>
      <w:r w:rsidR="00AE7279">
        <w:rPr>
          <w:rFonts w:ascii="ITC Avant Garde" w:hAnsi="ITC Avant Garde"/>
          <w:color w:val="000000"/>
        </w:rPr>
        <w:lastRenderedPageBreak/>
        <w:t xml:space="preserve">contar con </w:t>
      </w:r>
      <w:r w:rsidR="00D551A4">
        <w:rPr>
          <w:rFonts w:ascii="ITC Avant Garde" w:hAnsi="ITC Avant Garde"/>
          <w:color w:val="000000"/>
        </w:rPr>
        <w:t>l</w:t>
      </w:r>
      <w:r w:rsidR="00D56C4D">
        <w:rPr>
          <w:rFonts w:ascii="ITC Avant Garde" w:hAnsi="ITC Avant Garde"/>
          <w:color w:val="000000"/>
        </w:rPr>
        <w:t>o</w:t>
      </w:r>
      <w:r w:rsidR="00D551A4">
        <w:rPr>
          <w:rFonts w:ascii="ITC Avant Garde" w:hAnsi="ITC Avant Garde"/>
          <w:color w:val="000000"/>
        </w:rPr>
        <w:t xml:space="preserve">s </w:t>
      </w:r>
      <w:r w:rsidR="00D56C4D">
        <w:rPr>
          <w:rFonts w:ascii="ITC Avant Garde" w:hAnsi="ITC Avant Garde"/>
          <w:color w:val="000000"/>
        </w:rPr>
        <w:t>Convenios Marco</w:t>
      </w:r>
      <w:r w:rsidR="00AE7279">
        <w:rPr>
          <w:rFonts w:ascii="ITC Avant Garde" w:hAnsi="ITC Avant Garde"/>
          <w:color w:val="000000"/>
        </w:rPr>
        <w:t xml:space="preserve"> </w:t>
      </w:r>
      <w:r w:rsidR="00D551A4">
        <w:rPr>
          <w:rFonts w:ascii="ITC Avant Garde" w:hAnsi="ITC Avant Garde"/>
          <w:color w:val="000000"/>
        </w:rPr>
        <w:t xml:space="preserve">de </w:t>
      </w:r>
      <w:r w:rsidR="00541CE0">
        <w:rPr>
          <w:rFonts w:ascii="ITC Avant Garde" w:hAnsi="ITC Avant Garde"/>
          <w:color w:val="000000"/>
        </w:rPr>
        <w:t>Interconexión</w:t>
      </w:r>
      <w:r w:rsidR="00AE7279">
        <w:rPr>
          <w:rFonts w:ascii="ITC Avant Garde" w:hAnsi="ITC Avant Garde"/>
          <w:color w:val="000000"/>
        </w:rPr>
        <w:t xml:space="preserve"> previamente autorizadas por el órgano regulador:</w:t>
      </w:r>
    </w:p>
    <w:p w14:paraId="024D1DEE" w14:textId="77777777" w:rsidR="00AE7279" w:rsidRPr="00DF157F" w:rsidRDefault="00AE7279" w:rsidP="008C150C">
      <w:pPr>
        <w:spacing w:after="0"/>
        <w:jc w:val="both"/>
        <w:rPr>
          <w:rFonts w:ascii="ITC Avant Garde" w:hAnsi="ITC Avant Garde"/>
          <w:color w:val="000000"/>
        </w:rPr>
      </w:pPr>
    </w:p>
    <w:p w14:paraId="6381EEA7" w14:textId="77777777" w:rsidR="00AE7279" w:rsidRPr="00B55A32" w:rsidRDefault="006F0A6C" w:rsidP="00215178">
      <w:pPr>
        <w:numPr>
          <w:ilvl w:val="0"/>
          <w:numId w:val="3"/>
        </w:numPr>
        <w:jc w:val="both"/>
        <w:rPr>
          <w:rFonts w:ascii="ITC Avant Garde" w:eastAsia="Times New Roman" w:hAnsi="ITC Avant Garde"/>
          <w:color w:val="000000"/>
        </w:rPr>
      </w:pPr>
      <w:r w:rsidRPr="00B55A32">
        <w:rPr>
          <w:rFonts w:ascii="ITC Avant Garde" w:eastAsia="Times New Roman" w:hAnsi="ITC Avant Garde"/>
          <w:color w:val="000000"/>
        </w:rPr>
        <w:t xml:space="preserve">Facilita </w:t>
      </w:r>
      <w:r w:rsidR="00B55A32" w:rsidRPr="00B55A32">
        <w:rPr>
          <w:rFonts w:ascii="ITC Avant Garde" w:eastAsia="Times New Roman" w:hAnsi="ITC Avant Garde"/>
          <w:color w:val="000000"/>
        </w:rPr>
        <w:t xml:space="preserve">a otros concesionarios </w:t>
      </w:r>
      <w:r w:rsidRPr="00B55A32">
        <w:rPr>
          <w:rFonts w:ascii="ITC Avant Garde" w:eastAsia="Times New Roman" w:hAnsi="ITC Avant Garde"/>
          <w:color w:val="000000"/>
        </w:rPr>
        <w:t xml:space="preserve">la prestación de los servicios </w:t>
      </w:r>
      <w:r w:rsidRPr="00B55A32">
        <w:rPr>
          <w:rFonts w:ascii="ITC Avant Garde" w:eastAsia="Times New Roman" w:hAnsi="ITC Avant Garde"/>
        </w:rPr>
        <w:t>de</w:t>
      </w:r>
      <w:r w:rsidR="005E14B7">
        <w:rPr>
          <w:rFonts w:ascii="ITC Avant Garde" w:eastAsia="Times New Roman" w:hAnsi="ITC Avant Garde"/>
        </w:rPr>
        <w:t xml:space="preserve"> interconexión</w:t>
      </w:r>
      <w:r w:rsidR="00597F95">
        <w:rPr>
          <w:rFonts w:ascii="ITC Avant Garde" w:eastAsia="Times New Roman" w:hAnsi="ITC Avant Garde"/>
        </w:rPr>
        <w:t>.</w:t>
      </w:r>
    </w:p>
    <w:p w14:paraId="0AAD698B" w14:textId="77777777" w:rsidR="008E4D9E" w:rsidRPr="00B55A32" w:rsidRDefault="008E4D9E" w:rsidP="007B568D">
      <w:pPr>
        <w:numPr>
          <w:ilvl w:val="0"/>
          <w:numId w:val="3"/>
        </w:numPr>
        <w:jc w:val="both"/>
        <w:rPr>
          <w:rFonts w:ascii="ITC Avant Garde" w:eastAsia="Times New Roman" w:hAnsi="ITC Avant Garde"/>
          <w:color w:val="000000"/>
        </w:rPr>
      </w:pPr>
      <w:r w:rsidRPr="00B55A32">
        <w:rPr>
          <w:rFonts w:ascii="ITC Avant Garde" w:eastAsia="Times New Roman" w:hAnsi="ITC Avant Garde"/>
          <w:color w:val="000000"/>
        </w:rPr>
        <w:t xml:space="preserve">Permite a </w:t>
      </w:r>
      <w:r w:rsidR="00B55A32" w:rsidRPr="00B55A32">
        <w:rPr>
          <w:rFonts w:ascii="ITC Avant Garde" w:eastAsia="Times New Roman" w:hAnsi="ITC Avant Garde"/>
          <w:color w:val="000000"/>
        </w:rPr>
        <w:t xml:space="preserve">los concesionarios </w:t>
      </w:r>
      <w:r w:rsidR="00B55A32">
        <w:rPr>
          <w:rFonts w:ascii="ITC Avant Garde" w:eastAsia="Times New Roman" w:hAnsi="ITC Avant Garde"/>
          <w:color w:val="000000"/>
        </w:rPr>
        <w:t xml:space="preserve">conocer </w:t>
      </w:r>
      <w:r w:rsidR="00B55A32" w:rsidRPr="00B55A32">
        <w:rPr>
          <w:rFonts w:ascii="ITC Avant Garde" w:eastAsia="Times New Roman" w:hAnsi="ITC Avant Garde"/>
          <w:color w:val="000000"/>
        </w:rPr>
        <w:t>las</w:t>
      </w:r>
      <w:r w:rsidRPr="00B55A32">
        <w:rPr>
          <w:rFonts w:ascii="ITC Avant Garde" w:eastAsia="Times New Roman" w:hAnsi="ITC Avant Garde"/>
          <w:color w:val="000000"/>
        </w:rPr>
        <w:t xml:space="preserve"> condiciones básicas </w:t>
      </w:r>
      <w:r w:rsidR="00B55A32" w:rsidRPr="00B55A32">
        <w:rPr>
          <w:rFonts w:ascii="ITC Avant Garde" w:eastAsia="Times New Roman" w:hAnsi="ITC Avant Garde"/>
          <w:color w:val="000000"/>
        </w:rPr>
        <w:t xml:space="preserve">mínimas que los agentes económicos preponderantes deberán ofrecerles para </w:t>
      </w:r>
      <w:r w:rsidRPr="00B55A32">
        <w:rPr>
          <w:rFonts w:ascii="ITC Avant Garde" w:eastAsia="Times New Roman" w:hAnsi="ITC Avant Garde"/>
          <w:color w:val="000000"/>
        </w:rPr>
        <w:t xml:space="preserve">la prestación de </w:t>
      </w:r>
      <w:r w:rsidRPr="00B55A32">
        <w:rPr>
          <w:rFonts w:ascii="ITC Avant Garde" w:eastAsia="Times New Roman" w:hAnsi="ITC Avant Garde"/>
        </w:rPr>
        <w:t>los servicios de</w:t>
      </w:r>
      <w:r w:rsidR="005E14B7">
        <w:rPr>
          <w:rFonts w:ascii="ITC Avant Garde" w:eastAsia="Times New Roman" w:hAnsi="ITC Avant Garde"/>
        </w:rPr>
        <w:t xml:space="preserve"> Interconexión,</w:t>
      </w:r>
      <w:r w:rsidRPr="00B55A32">
        <w:rPr>
          <w:rFonts w:ascii="ITC Avant Garde" w:eastAsia="Times New Roman" w:hAnsi="ITC Avant Garde"/>
        </w:rPr>
        <w:t xml:space="preserve"> </w:t>
      </w:r>
      <w:r w:rsidR="00AE7279" w:rsidRPr="00B55A32">
        <w:rPr>
          <w:rFonts w:ascii="ITC Avant Garde" w:eastAsia="Times New Roman" w:hAnsi="ITC Avant Garde"/>
          <w:color w:val="000000"/>
        </w:rPr>
        <w:t xml:space="preserve">sin necesidad de </w:t>
      </w:r>
      <w:r w:rsidR="00B55A32">
        <w:rPr>
          <w:rFonts w:ascii="ITC Avant Garde" w:eastAsia="Times New Roman" w:hAnsi="ITC Avant Garde"/>
          <w:color w:val="000000"/>
        </w:rPr>
        <w:t xml:space="preserve">incurrir </w:t>
      </w:r>
      <w:r w:rsidR="00AE7279" w:rsidRPr="00B55A32">
        <w:rPr>
          <w:rFonts w:ascii="ITC Avant Garde" w:eastAsia="Times New Roman" w:hAnsi="ITC Avant Garde"/>
          <w:color w:val="000000"/>
        </w:rPr>
        <w:t xml:space="preserve">en </w:t>
      </w:r>
      <w:r w:rsidR="00B55A32">
        <w:rPr>
          <w:rFonts w:ascii="ITC Avant Garde" w:eastAsia="Times New Roman" w:hAnsi="ITC Avant Garde"/>
          <w:color w:val="000000"/>
        </w:rPr>
        <w:t>procesos de negociación extensos e innecesarios</w:t>
      </w:r>
      <w:r w:rsidR="00AE7279" w:rsidRPr="00B55A32">
        <w:rPr>
          <w:rFonts w:ascii="ITC Avant Garde" w:eastAsia="Times New Roman" w:hAnsi="ITC Avant Garde"/>
          <w:color w:val="000000"/>
        </w:rPr>
        <w:t>.</w:t>
      </w:r>
      <w:r w:rsidR="0018556B" w:rsidRPr="00B55A32">
        <w:rPr>
          <w:rFonts w:ascii="ITC Avant Garde" w:eastAsia="Times New Roman" w:hAnsi="ITC Avant Garde"/>
          <w:color w:val="000000"/>
        </w:rPr>
        <w:t xml:space="preserve"> </w:t>
      </w:r>
    </w:p>
    <w:p w14:paraId="39B6C10E" w14:textId="77777777" w:rsidR="003A3686" w:rsidRPr="008E4D9E" w:rsidRDefault="005E14B7" w:rsidP="008832AD">
      <w:pPr>
        <w:numPr>
          <w:ilvl w:val="0"/>
          <w:numId w:val="3"/>
        </w:numPr>
        <w:spacing w:after="0"/>
        <w:jc w:val="both"/>
        <w:rPr>
          <w:rFonts w:ascii="ITC Avant Garde" w:eastAsia="Times New Roman" w:hAnsi="ITC Avant Garde"/>
          <w:color w:val="000000"/>
        </w:rPr>
      </w:pPr>
      <w:r>
        <w:rPr>
          <w:rFonts w:ascii="ITC Avant Garde" w:eastAsia="Times New Roman" w:hAnsi="ITC Avant Garde"/>
          <w:color w:val="000000"/>
        </w:rPr>
        <w:t xml:space="preserve">Hace del conocimiento de los concesionarios solicitantes las condiciones jurídicas, económicas y técnicas para </w:t>
      </w:r>
      <w:r w:rsidR="003A3686" w:rsidRPr="003A3686">
        <w:rPr>
          <w:rFonts w:ascii="ITC Avant Garde" w:eastAsia="Times New Roman" w:hAnsi="ITC Avant Garde"/>
          <w:color w:val="000000"/>
        </w:rPr>
        <w:t xml:space="preserve">la prestación de los servicios de </w:t>
      </w:r>
      <w:r>
        <w:rPr>
          <w:rFonts w:ascii="ITC Avant Garde" w:eastAsia="Times New Roman" w:hAnsi="ITC Avant Garde"/>
          <w:color w:val="000000"/>
        </w:rPr>
        <w:t>interconexión</w:t>
      </w:r>
      <w:r w:rsidR="00597F95">
        <w:rPr>
          <w:rFonts w:ascii="ITC Avant Garde" w:eastAsia="Times New Roman" w:hAnsi="ITC Avant Garde"/>
          <w:color w:val="000000"/>
        </w:rPr>
        <w:t>.</w:t>
      </w:r>
    </w:p>
    <w:p w14:paraId="091AE995" w14:textId="77777777" w:rsidR="008832AD" w:rsidRDefault="008832AD" w:rsidP="008832AD">
      <w:pPr>
        <w:spacing w:after="0"/>
        <w:jc w:val="both"/>
        <w:rPr>
          <w:rFonts w:ascii="ITC Avant Garde" w:hAnsi="ITC Avant Garde"/>
          <w:color w:val="000000"/>
        </w:rPr>
      </w:pPr>
    </w:p>
    <w:p w14:paraId="3318FB78" w14:textId="77777777" w:rsidR="005E14B7" w:rsidRDefault="005E14B7" w:rsidP="008832AD">
      <w:pPr>
        <w:spacing w:after="0"/>
        <w:jc w:val="both"/>
        <w:rPr>
          <w:rFonts w:ascii="ITC Avant Garde" w:hAnsi="ITC Avant Garde" w:cs="Arial"/>
          <w:bCs/>
        </w:rPr>
      </w:pPr>
      <w:r w:rsidRPr="00907919">
        <w:rPr>
          <w:rFonts w:ascii="ITC Avant Garde" w:hAnsi="ITC Avant Garde"/>
          <w:color w:val="000000"/>
        </w:rPr>
        <w:t>La supervisión del órgano regulador tiene el propósito de que los servicios de interconexión</w:t>
      </w:r>
      <w:r w:rsidR="00541CE0">
        <w:rPr>
          <w:rFonts w:ascii="ITC Avant Garde" w:hAnsi="ITC Avant Garde"/>
          <w:color w:val="000000"/>
        </w:rPr>
        <w:t>,</w:t>
      </w:r>
      <w:r w:rsidRPr="00907919">
        <w:rPr>
          <w:rFonts w:ascii="ITC Avant Garde" w:hAnsi="ITC Avant Garde"/>
          <w:color w:val="000000"/>
        </w:rPr>
        <w:t xml:space="preserve"> se presten de manera justa y equitativa, evitando incurrir en prácticas anticompetitivas en la </w:t>
      </w:r>
      <w:r w:rsidRPr="00907919">
        <w:rPr>
          <w:rFonts w:ascii="ITC Avant Garde" w:hAnsi="ITC Avant Garde" w:cs="Arial"/>
          <w:bCs/>
        </w:rPr>
        <w:t>prestación de los mismos.</w:t>
      </w:r>
    </w:p>
    <w:p w14:paraId="1FDA99DE" w14:textId="77777777" w:rsidR="002C0D66" w:rsidRDefault="002C0D66" w:rsidP="005E14B7">
      <w:pPr>
        <w:spacing w:after="0"/>
        <w:jc w:val="both"/>
        <w:rPr>
          <w:rFonts w:ascii="ITC Avant Garde" w:hAnsi="ITC Avant Garde" w:cs="Arial"/>
          <w:bCs/>
        </w:rPr>
      </w:pPr>
    </w:p>
    <w:p w14:paraId="5F001ACE" w14:textId="77777777" w:rsidR="000A1F12" w:rsidRDefault="001437BC" w:rsidP="008C150C">
      <w:pPr>
        <w:spacing w:after="0"/>
        <w:jc w:val="both"/>
        <w:rPr>
          <w:rFonts w:ascii="ITC Avant Garde" w:hAnsi="ITC Avant Garde" w:cs="Arial"/>
          <w:bCs/>
        </w:rPr>
      </w:pPr>
      <w:r>
        <w:rPr>
          <w:rFonts w:ascii="ITC Avant Garde" w:hAnsi="ITC Avant Garde" w:cs="Arial"/>
          <w:bCs/>
        </w:rPr>
        <w:t>Como parte de este</w:t>
      </w:r>
      <w:r w:rsidR="000A1F12" w:rsidRPr="00DF157F">
        <w:rPr>
          <w:rFonts w:ascii="ITC Avant Garde" w:hAnsi="ITC Avant Garde" w:cs="Arial"/>
          <w:bCs/>
        </w:rPr>
        <w:t xml:space="preserve"> procedimiento</w:t>
      </w:r>
      <w:r>
        <w:rPr>
          <w:rFonts w:ascii="ITC Avant Garde" w:hAnsi="ITC Avant Garde" w:cs="Arial"/>
          <w:bCs/>
        </w:rPr>
        <w:t xml:space="preserve">, </w:t>
      </w:r>
      <w:r w:rsidR="002D7986">
        <w:rPr>
          <w:rFonts w:ascii="ITC Avant Garde" w:hAnsi="ITC Avant Garde" w:cs="Arial"/>
          <w:bCs/>
        </w:rPr>
        <w:t xml:space="preserve">se considera importante </w:t>
      </w:r>
      <w:r>
        <w:rPr>
          <w:rFonts w:ascii="ITC Avant Garde" w:hAnsi="ITC Avant Garde" w:cs="Arial"/>
          <w:bCs/>
        </w:rPr>
        <w:t>que</w:t>
      </w:r>
      <w:r w:rsidR="000A1F12" w:rsidRPr="00DF157F">
        <w:rPr>
          <w:rFonts w:ascii="ITC Avant Garde" w:hAnsi="ITC Avant Garde" w:cs="Arial"/>
          <w:bCs/>
        </w:rPr>
        <w:t xml:space="preserve"> </w:t>
      </w:r>
      <w:r w:rsidR="007A1607" w:rsidRPr="00DF157F">
        <w:rPr>
          <w:rFonts w:ascii="ITC Avant Garde" w:hAnsi="ITC Avant Garde" w:cs="Arial"/>
          <w:bCs/>
        </w:rPr>
        <w:t>e</w:t>
      </w:r>
      <w:r w:rsidR="000A1F12" w:rsidRPr="00DF157F">
        <w:rPr>
          <w:rFonts w:ascii="ITC Avant Garde" w:hAnsi="ITC Avant Garde" w:cs="Arial"/>
          <w:bCs/>
        </w:rPr>
        <w:t xml:space="preserve">l Instituto </w:t>
      </w:r>
      <w:r w:rsidR="007A1607" w:rsidRPr="00DF157F">
        <w:rPr>
          <w:rFonts w:ascii="ITC Avant Garde" w:hAnsi="ITC Avant Garde" w:cs="Arial"/>
          <w:bCs/>
        </w:rPr>
        <w:t>tenga</w:t>
      </w:r>
      <w:r w:rsidR="000A1F12" w:rsidRPr="00DF157F">
        <w:rPr>
          <w:rFonts w:ascii="ITC Avant Garde" w:hAnsi="ITC Avant Garde" w:cs="Arial"/>
          <w:bCs/>
        </w:rPr>
        <w:t xml:space="preserve"> conocimiento de las opiniones </w:t>
      </w:r>
      <w:r w:rsidR="007A1607" w:rsidRPr="00DF157F">
        <w:rPr>
          <w:rFonts w:ascii="ITC Avant Garde" w:hAnsi="ITC Avant Garde" w:cs="Arial"/>
          <w:bCs/>
        </w:rPr>
        <w:t>de</w:t>
      </w:r>
      <w:r w:rsidR="000A1F12" w:rsidRPr="00DF157F">
        <w:rPr>
          <w:rFonts w:ascii="ITC Avant Garde" w:hAnsi="ITC Avant Garde" w:cs="Arial"/>
          <w:bCs/>
        </w:rPr>
        <w:t xml:space="preserve"> los integrantes de la industria derivado de que son ellos quienes </w:t>
      </w:r>
      <w:r w:rsidR="002D7986">
        <w:rPr>
          <w:rFonts w:ascii="ITC Avant Garde" w:hAnsi="ITC Avant Garde" w:cs="Arial"/>
          <w:bCs/>
        </w:rPr>
        <w:t xml:space="preserve">hacen uso de </w:t>
      </w:r>
      <w:r w:rsidR="0074742D">
        <w:rPr>
          <w:rFonts w:ascii="ITC Avant Garde" w:hAnsi="ITC Avant Garde" w:cs="Arial"/>
          <w:bCs/>
        </w:rPr>
        <w:t xml:space="preserve">los servicios de interconexión, </w:t>
      </w:r>
      <w:r w:rsidR="000A1F12" w:rsidRPr="00DF157F">
        <w:rPr>
          <w:rFonts w:ascii="ITC Avant Garde" w:hAnsi="ITC Avant Garde" w:cs="Arial"/>
          <w:bCs/>
        </w:rPr>
        <w:t>sin perder de vista que ante la diversidad de intereses comerciales prevalecientes en la industria es el órgano regulador quien en última instancia está encargado de determinar las condiciones bajo las cuales se deberán de prestar los servicios evitando que se afecte la competencia y la libre concurrencia</w:t>
      </w:r>
      <w:r w:rsidR="007A1607" w:rsidRPr="00DF157F">
        <w:rPr>
          <w:rFonts w:ascii="ITC Avant Garde" w:hAnsi="ITC Avant Garde" w:cs="Arial"/>
          <w:bCs/>
        </w:rPr>
        <w:t>.</w:t>
      </w:r>
    </w:p>
    <w:p w14:paraId="22112BE0" w14:textId="77777777" w:rsidR="001437BC" w:rsidRDefault="001437BC" w:rsidP="008C150C">
      <w:pPr>
        <w:spacing w:after="0"/>
        <w:jc w:val="both"/>
        <w:rPr>
          <w:rFonts w:ascii="ITC Avant Garde" w:hAnsi="ITC Avant Garde" w:cs="Arial"/>
          <w:bCs/>
        </w:rPr>
      </w:pPr>
    </w:p>
    <w:p w14:paraId="07CCFE74" w14:textId="30A41135" w:rsidR="00D51B5C" w:rsidRDefault="00D51B5C" w:rsidP="008C150C">
      <w:pPr>
        <w:spacing w:after="0"/>
        <w:jc w:val="both"/>
        <w:rPr>
          <w:rFonts w:ascii="ITC Avant Garde" w:hAnsi="ITC Avant Garde" w:cs="Arial"/>
          <w:bCs/>
        </w:rPr>
      </w:pPr>
      <w:r>
        <w:rPr>
          <w:rFonts w:ascii="ITC Avant Garde" w:hAnsi="ITC Avant Garde" w:cs="Arial"/>
          <w:bCs/>
        </w:rPr>
        <w:t xml:space="preserve">Es así que en la Resolución Bienal se consideró que como parte del procedimiento de revisión de los Convenios Marco de Interconexión, establecido en las </w:t>
      </w:r>
      <w:r w:rsidRPr="00907919">
        <w:rPr>
          <w:rFonts w:ascii="ITC Avant Garde" w:eastAsia="Times New Roman" w:hAnsi="ITC Avant Garde"/>
          <w:szCs w:val="20"/>
        </w:rPr>
        <w:t>Medida</w:t>
      </w:r>
      <w:r>
        <w:rPr>
          <w:rFonts w:ascii="ITC Avant Garde" w:eastAsia="Times New Roman" w:hAnsi="ITC Avant Garde"/>
          <w:szCs w:val="20"/>
        </w:rPr>
        <w:t>s</w:t>
      </w:r>
      <w:r w:rsidRPr="00907919">
        <w:rPr>
          <w:rFonts w:ascii="ITC Avant Garde" w:eastAsia="Times New Roman" w:hAnsi="ITC Avant Garde"/>
          <w:szCs w:val="20"/>
        </w:rPr>
        <w:t xml:space="preserve"> </w:t>
      </w:r>
      <w:r w:rsidRPr="00907919">
        <w:rPr>
          <w:rFonts w:ascii="ITC Avant Garde" w:eastAsia="Times New Roman" w:hAnsi="ITC Avant Garde"/>
        </w:rPr>
        <w:t>Undécima</w:t>
      </w:r>
      <w:r>
        <w:rPr>
          <w:rFonts w:ascii="ITC Avant Garde" w:hAnsi="ITC Avant Garde" w:cs="Arial"/>
          <w:bCs/>
        </w:rPr>
        <w:t xml:space="preserve"> de las </w:t>
      </w:r>
      <w:r w:rsidRPr="00907919">
        <w:rPr>
          <w:rFonts w:ascii="ITC Avant Garde" w:eastAsia="Times New Roman" w:hAnsi="ITC Avant Garde"/>
          <w:szCs w:val="20"/>
        </w:rPr>
        <w:t>Medidas Móviles</w:t>
      </w:r>
      <w:r>
        <w:rPr>
          <w:rFonts w:ascii="ITC Avant Garde" w:eastAsia="Times New Roman" w:hAnsi="ITC Avant Garde"/>
          <w:szCs w:val="20"/>
        </w:rPr>
        <w:t xml:space="preserve"> y Duodécima de las Medidas Fijas,</w:t>
      </w:r>
      <w:r>
        <w:rPr>
          <w:rFonts w:ascii="ITC Avant Garde" w:hAnsi="ITC Avant Garde" w:cs="Arial"/>
          <w:bCs/>
        </w:rPr>
        <w:t xml:space="preserve"> se llev</w:t>
      </w:r>
      <w:r w:rsidR="00D56C4D">
        <w:rPr>
          <w:rFonts w:ascii="ITC Avant Garde" w:hAnsi="ITC Avant Garde" w:cs="Arial"/>
          <w:bCs/>
        </w:rPr>
        <w:t>e</w:t>
      </w:r>
      <w:r>
        <w:rPr>
          <w:rFonts w:ascii="ITC Avant Garde" w:hAnsi="ITC Avant Garde" w:cs="Arial"/>
          <w:bCs/>
        </w:rPr>
        <w:t xml:space="preserve"> a cabo un proceso de consulta pública por un periodo de </w:t>
      </w:r>
      <w:r w:rsidR="00D56C4D">
        <w:rPr>
          <w:rFonts w:ascii="ITC Avant Garde" w:hAnsi="ITC Avant Garde" w:cs="Arial"/>
          <w:bCs/>
        </w:rPr>
        <w:t>treinta</w:t>
      </w:r>
      <w:r>
        <w:rPr>
          <w:rFonts w:ascii="ITC Avant Garde" w:hAnsi="ITC Avant Garde" w:cs="Arial"/>
          <w:bCs/>
        </w:rPr>
        <w:t xml:space="preserve"> días naturales, en cumplimiento de lo ordenado por el artículo 268 de la </w:t>
      </w:r>
      <w:proofErr w:type="spellStart"/>
      <w:r>
        <w:rPr>
          <w:rFonts w:ascii="ITC Avant Garde" w:hAnsi="ITC Avant Garde" w:cs="Arial"/>
          <w:bCs/>
        </w:rPr>
        <w:t>LFTyR</w:t>
      </w:r>
      <w:proofErr w:type="spellEnd"/>
      <w:r>
        <w:rPr>
          <w:rFonts w:ascii="ITC Avant Garde" w:hAnsi="ITC Avant Garde" w:cs="Arial"/>
          <w:bCs/>
        </w:rPr>
        <w:t>.</w:t>
      </w:r>
    </w:p>
    <w:p w14:paraId="6984F025" w14:textId="77777777" w:rsidR="008832AD" w:rsidRDefault="008832AD" w:rsidP="008C150C">
      <w:pPr>
        <w:spacing w:after="0"/>
        <w:jc w:val="both"/>
        <w:rPr>
          <w:rFonts w:ascii="ITC Avant Garde" w:hAnsi="ITC Avant Garde" w:cs="Arial"/>
          <w:bCs/>
        </w:rPr>
      </w:pPr>
    </w:p>
    <w:p w14:paraId="67363C39" w14:textId="77777777" w:rsidR="001437BC" w:rsidRDefault="00D51B5C" w:rsidP="008C150C">
      <w:pPr>
        <w:spacing w:after="0"/>
        <w:jc w:val="both"/>
        <w:rPr>
          <w:rFonts w:ascii="ITC Avant Garde" w:hAnsi="ITC Avant Garde" w:cs="Arial"/>
          <w:bCs/>
        </w:rPr>
      </w:pPr>
      <w:r>
        <w:rPr>
          <w:rFonts w:ascii="ITC Avant Garde" w:eastAsia="Times New Roman" w:hAnsi="ITC Avant Garde"/>
          <w:szCs w:val="20"/>
        </w:rPr>
        <w:t xml:space="preserve">Por otra parte es importante señalar que el artículo </w:t>
      </w:r>
      <w:r w:rsidR="001437BC" w:rsidRPr="00DF157F">
        <w:rPr>
          <w:rFonts w:ascii="ITC Avant Garde" w:hAnsi="ITC Avant Garde" w:cs="Arial"/>
          <w:bCs/>
        </w:rPr>
        <w:t xml:space="preserve">51 de la </w:t>
      </w:r>
      <w:proofErr w:type="spellStart"/>
      <w:r w:rsidR="001437BC" w:rsidRPr="00DF157F">
        <w:rPr>
          <w:rFonts w:ascii="ITC Avant Garde" w:hAnsi="ITC Avant Garde" w:cs="Arial"/>
          <w:bCs/>
        </w:rPr>
        <w:t>LFT</w:t>
      </w:r>
      <w:r w:rsidR="008E4D9E">
        <w:rPr>
          <w:rFonts w:ascii="ITC Avant Garde" w:hAnsi="ITC Avant Garde" w:cs="Arial"/>
          <w:bCs/>
        </w:rPr>
        <w:t>y</w:t>
      </w:r>
      <w:r w:rsidR="001437BC" w:rsidRPr="00DF157F">
        <w:rPr>
          <w:rFonts w:ascii="ITC Avant Garde" w:hAnsi="ITC Avant Garde" w:cs="Arial"/>
          <w:bCs/>
        </w:rPr>
        <w:t>R</w:t>
      </w:r>
      <w:proofErr w:type="spellEnd"/>
      <w:r w:rsidR="001437BC" w:rsidRPr="00DF157F">
        <w:rPr>
          <w:rFonts w:ascii="ITC Avant Garde" w:hAnsi="ITC Avant Garde" w:cs="Arial"/>
          <w:bCs/>
        </w:rPr>
        <w:t xml:space="preserve"> establece </w:t>
      </w:r>
      <w:r w:rsidR="001437BC">
        <w:rPr>
          <w:rFonts w:ascii="ITC Avant Garde" w:hAnsi="ITC Avant Garde" w:cs="Arial"/>
          <w:bCs/>
        </w:rPr>
        <w:t xml:space="preserve">la posibilidad de que el Instituto lleve a cabo consultas públicas en cualquier caso en el que </w:t>
      </w:r>
      <w:r w:rsidR="001437BC" w:rsidRPr="00DF157F">
        <w:rPr>
          <w:rFonts w:ascii="ITC Avant Garde" w:hAnsi="ITC Avant Garde" w:cs="Arial"/>
          <w:bCs/>
        </w:rPr>
        <w:t xml:space="preserve">el Pleno </w:t>
      </w:r>
      <w:r w:rsidR="00B55A32">
        <w:rPr>
          <w:rFonts w:ascii="ITC Avant Garde" w:hAnsi="ITC Avant Garde" w:cs="Arial"/>
          <w:bCs/>
        </w:rPr>
        <w:t xml:space="preserve">así lo </w:t>
      </w:r>
      <w:r w:rsidR="001437BC">
        <w:rPr>
          <w:rFonts w:ascii="ITC Avant Garde" w:hAnsi="ITC Avant Garde" w:cs="Arial"/>
          <w:bCs/>
        </w:rPr>
        <w:t>determine</w:t>
      </w:r>
      <w:r w:rsidR="00B55A32">
        <w:rPr>
          <w:rFonts w:ascii="ITC Avant Garde" w:hAnsi="ITC Avant Garde" w:cs="Arial"/>
          <w:bCs/>
        </w:rPr>
        <w:t xml:space="preserve">, las cuales </w:t>
      </w:r>
      <w:r w:rsidR="001437BC">
        <w:rPr>
          <w:rFonts w:ascii="ITC Avant Garde" w:hAnsi="ITC Avant Garde" w:cs="Arial"/>
          <w:bCs/>
        </w:rPr>
        <w:t>se</w:t>
      </w:r>
      <w:r w:rsidR="001437BC" w:rsidRPr="00DF157F">
        <w:rPr>
          <w:rFonts w:ascii="ITC Avant Garde" w:hAnsi="ITC Avant Garde" w:cs="Arial"/>
          <w:bCs/>
        </w:rPr>
        <w:t xml:space="preserve"> realizar</w:t>
      </w:r>
      <w:r w:rsidR="001437BC">
        <w:rPr>
          <w:rFonts w:ascii="ITC Avant Garde" w:hAnsi="ITC Avant Garde" w:cs="Arial"/>
          <w:bCs/>
        </w:rPr>
        <w:t>án</w:t>
      </w:r>
      <w:r w:rsidR="001437BC" w:rsidRPr="00DF157F">
        <w:rPr>
          <w:rFonts w:ascii="ITC Avant Garde" w:hAnsi="ITC Avant Garde" w:cs="Arial"/>
          <w:bCs/>
        </w:rPr>
        <w:t xml:space="preserve"> bajo los principios de transparencia y participación ciudadana</w:t>
      </w:r>
      <w:r w:rsidR="001437BC">
        <w:rPr>
          <w:rFonts w:ascii="ITC Avant Garde" w:hAnsi="ITC Avant Garde" w:cs="Arial"/>
          <w:bCs/>
        </w:rPr>
        <w:t>.</w:t>
      </w:r>
    </w:p>
    <w:p w14:paraId="26B136D8" w14:textId="77777777" w:rsidR="00F32E9A" w:rsidRDefault="00F32E9A" w:rsidP="008C150C">
      <w:pPr>
        <w:spacing w:after="0"/>
        <w:jc w:val="both"/>
        <w:rPr>
          <w:rFonts w:ascii="ITC Avant Garde" w:hAnsi="ITC Avant Garde" w:cs="Arial"/>
          <w:bCs/>
        </w:rPr>
      </w:pPr>
    </w:p>
    <w:p w14:paraId="7791B1AA" w14:textId="77777777" w:rsidR="00F55800" w:rsidRPr="00DF157F" w:rsidRDefault="00F33E65" w:rsidP="008C150C">
      <w:pPr>
        <w:spacing w:after="0"/>
        <w:jc w:val="both"/>
        <w:rPr>
          <w:rFonts w:ascii="ITC Avant Garde" w:hAnsi="ITC Avant Garde" w:cs="Arial"/>
          <w:bCs/>
        </w:rPr>
      </w:pPr>
      <w:r>
        <w:rPr>
          <w:rFonts w:ascii="ITC Avant Garde" w:hAnsi="ITC Avant Garde" w:cs="Arial"/>
          <w:bCs/>
        </w:rPr>
        <w:t>En ese sentido,</w:t>
      </w:r>
      <w:r w:rsidR="007048F7" w:rsidRPr="00DF157F">
        <w:rPr>
          <w:rFonts w:ascii="ITC Avant Garde" w:hAnsi="ITC Avant Garde" w:cs="Arial"/>
          <w:bCs/>
        </w:rPr>
        <w:t xml:space="preserve"> se considera que </w:t>
      </w:r>
      <w:r w:rsidR="009409AB" w:rsidRPr="00DF157F">
        <w:rPr>
          <w:rFonts w:ascii="ITC Avant Garde" w:hAnsi="ITC Avant Garde" w:cs="Arial"/>
          <w:bCs/>
        </w:rPr>
        <w:t xml:space="preserve">las propuestas </w:t>
      </w:r>
      <w:r w:rsidR="0074742D">
        <w:rPr>
          <w:rFonts w:ascii="ITC Avant Garde" w:hAnsi="ITC Avant Garde" w:cs="Arial"/>
          <w:bCs/>
        </w:rPr>
        <w:t xml:space="preserve">de </w:t>
      </w:r>
      <w:r w:rsidR="00F66E4F">
        <w:rPr>
          <w:rFonts w:ascii="ITC Avant Garde" w:hAnsi="ITC Avant Garde" w:cs="Arial"/>
          <w:bCs/>
        </w:rPr>
        <w:t xml:space="preserve">Convenios Marco de Interconexión, </w:t>
      </w:r>
      <w:r w:rsidR="007048F7" w:rsidRPr="00DF157F">
        <w:rPr>
          <w:rFonts w:ascii="ITC Avant Garde" w:hAnsi="ITC Avant Garde" w:cs="Arial"/>
          <w:bCs/>
        </w:rPr>
        <w:t>debe</w:t>
      </w:r>
      <w:r w:rsidR="009409AB" w:rsidRPr="00DF157F">
        <w:rPr>
          <w:rFonts w:ascii="ITC Avant Garde" w:hAnsi="ITC Avant Garde" w:cs="Arial"/>
          <w:bCs/>
        </w:rPr>
        <w:t>n</w:t>
      </w:r>
      <w:r w:rsidR="007048F7" w:rsidRPr="00DF157F">
        <w:rPr>
          <w:rFonts w:ascii="ITC Avant Garde" w:hAnsi="ITC Avant Garde" w:cs="Arial"/>
          <w:bCs/>
        </w:rPr>
        <w:t xml:space="preserve"> estar sujet</w:t>
      </w:r>
      <w:r w:rsidR="00772305" w:rsidRPr="00DF157F">
        <w:rPr>
          <w:rFonts w:ascii="ITC Avant Garde" w:hAnsi="ITC Avant Garde" w:cs="Arial"/>
          <w:bCs/>
        </w:rPr>
        <w:t>a</w:t>
      </w:r>
      <w:r w:rsidR="009409AB" w:rsidRPr="00DF157F">
        <w:rPr>
          <w:rFonts w:ascii="ITC Avant Garde" w:hAnsi="ITC Avant Garde" w:cs="Arial"/>
          <w:bCs/>
        </w:rPr>
        <w:t>s</w:t>
      </w:r>
      <w:r w:rsidR="007048F7" w:rsidRPr="00DF157F">
        <w:rPr>
          <w:rFonts w:ascii="ITC Avant Garde" w:hAnsi="ITC Avant Garde" w:cs="Arial"/>
          <w:bCs/>
        </w:rPr>
        <w:t xml:space="preserve"> a un proceso de consulta pública por un periodo de treinta días </w:t>
      </w:r>
      <w:r w:rsidR="000E3B3C" w:rsidRPr="00DF157F">
        <w:rPr>
          <w:rFonts w:ascii="ITC Avant Garde" w:hAnsi="ITC Avant Garde" w:cs="Arial"/>
          <w:bCs/>
        </w:rPr>
        <w:t>naturales</w:t>
      </w:r>
      <w:r w:rsidR="007048F7" w:rsidRPr="00DF157F">
        <w:rPr>
          <w:rFonts w:ascii="ITC Avant Garde" w:hAnsi="ITC Avant Garde" w:cs="Arial"/>
          <w:bCs/>
        </w:rPr>
        <w:t xml:space="preserve"> para favorecer la transparencia y participación ciudadana con el fin de recibir los comentarios y opiniones de la industria, académicos, analistas y s</w:t>
      </w:r>
      <w:r w:rsidR="00F55800" w:rsidRPr="00DF157F">
        <w:rPr>
          <w:rFonts w:ascii="ITC Avant Garde" w:hAnsi="ITC Avant Garde" w:cs="Arial"/>
          <w:bCs/>
        </w:rPr>
        <w:t>o</w:t>
      </w:r>
      <w:r w:rsidR="007048F7" w:rsidRPr="00DF157F">
        <w:rPr>
          <w:rFonts w:ascii="ITC Avant Garde" w:hAnsi="ITC Avant Garde" w:cs="Arial"/>
          <w:bCs/>
        </w:rPr>
        <w:t>ciedad en general sobre las principales condiciones técnicas y operativas para llevar a cabo</w:t>
      </w:r>
      <w:r w:rsidR="00F55800" w:rsidRPr="00DF157F">
        <w:rPr>
          <w:rFonts w:ascii="ITC Avant Garde" w:hAnsi="ITC Avant Garde" w:cs="Arial"/>
          <w:bCs/>
        </w:rPr>
        <w:t xml:space="preserve"> </w:t>
      </w:r>
      <w:r w:rsidR="00B55A32">
        <w:rPr>
          <w:rFonts w:ascii="ITC Avant Garde" w:hAnsi="ITC Avant Garde" w:cs="Arial"/>
          <w:bCs/>
        </w:rPr>
        <w:t xml:space="preserve">la implementación adecuada de </w:t>
      </w:r>
      <w:r w:rsidR="008E4D9E">
        <w:rPr>
          <w:rFonts w:ascii="ITC Avant Garde" w:hAnsi="ITC Avant Garde" w:cs="Arial"/>
          <w:bCs/>
        </w:rPr>
        <w:t>los</w:t>
      </w:r>
      <w:r w:rsidR="004D0090">
        <w:rPr>
          <w:rFonts w:ascii="ITC Avant Garde" w:hAnsi="ITC Avant Garde" w:cs="Arial"/>
          <w:bCs/>
        </w:rPr>
        <w:t xml:space="preserve"> servicio</w:t>
      </w:r>
      <w:r w:rsidR="008E4D9E">
        <w:rPr>
          <w:rFonts w:ascii="ITC Avant Garde" w:hAnsi="ITC Avant Garde" w:cs="Arial"/>
          <w:bCs/>
        </w:rPr>
        <w:t>s</w:t>
      </w:r>
      <w:r w:rsidR="004D0090">
        <w:rPr>
          <w:rFonts w:ascii="ITC Avant Garde" w:hAnsi="ITC Avant Garde" w:cs="Arial"/>
          <w:bCs/>
        </w:rPr>
        <w:t xml:space="preserve"> </w:t>
      </w:r>
      <w:r w:rsidR="008E4D9E">
        <w:rPr>
          <w:rFonts w:ascii="ITC Avant Garde" w:hAnsi="ITC Avant Garde" w:cs="Arial"/>
          <w:bCs/>
        </w:rPr>
        <w:t>de</w:t>
      </w:r>
      <w:r w:rsidR="0074742D">
        <w:rPr>
          <w:rFonts w:ascii="ITC Avant Garde" w:hAnsi="ITC Avant Garde" w:cs="Arial"/>
          <w:bCs/>
        </w:rPr>
        <w:t xml:space="preserve"> Interconexión</w:t>
      </w:r>
      <w:r>
        <w:rPr>
          <w:rFonts w:ascii="ITC Avant Garde" w:hAnsi="ITC Avant Garde" w:cs="Arial"/>
          <w:bCs/>
        </w:rPr>
        <w:t>.</w:t>
      </w:r>
    </w:p>
    <w:p w14:paraId="2B59C59D" w14:textId="77777777" w:rsidR="00F55800" w:rsidRPr="00DF157F" w:rsidRDefault="00F55800" w:rsidP="008C150C">
      <w:pPr>
        <w:spacing w:after="0"/>
        <w:jc w:val="both"/>
        <w:rPr>
          <w:rFonts w:ascii="ITC Avant Garde" w:hAnsi="ITC Avant Garde" w:cs="Arial"/>
          <w:bCs/>
        </w:rPr>
      </w:pPr>
    </w:p>
    <w:p w14:paraId="2DFEDF71" w14:textId="0807836E" w:rsidR="0074742D" w:rsidRDefault="0074742D" w:rsidP="00112AF8">
      <w:pPr>
        <w:spacing w:after="0"/>
        <w:jc w:val="both"/>
        <w:rPr>
          <w:rFonts w:ascii="ITC Avant Garde" w:eastAsia="Times New Roman" w:hAnsi="ITC Avant Garde"/>
          <w:szCs w:val="20"/>
        </w:rPr>
      </w:pPr>
      <w:r w:rsidRPr="0074742D">
        <w:rPr>
          <w:rFonts w:ascii="ITC Avant Garde" w:eastAsia="Times New Roman" w:hAnsi="ITC Avant Garde"/>
          <w:szCs w:val="20"/>
        </w:rPr>
        <w:t xml:space="preserve">Finalmente, se señala que Telmex y </w:t>
      </w:r>
      <w:proofErr w:type="spellStart"/>
      <w:r w:rsidRPr="0074742D">
        <w:rPr>
          <w:rFonts w:ascii="ITC Avant Garde" w:eastAsia="Times New Roman" w:hAnsi="ITC Avant Garde"/>
          <w:szCs w:val="20"/>
        </w:rPr>
        <w:t>Telnor</w:t>
      </w:r>
      <w:proofErr w:type="spellEnd"/>
      <w:r w:rsidRPr="0074742D">
        <w:rPr>
          <w:rFonts w:ascii="ITC Avant Garde" w:eastAsia="Times New Roman" w:hAnsi="ITC Avant Garde"/>
          <w:szCs w:val="20"/>
        </w:rPr>
        <w:t xml:space="preserve"> solicit</w:t>
      </w:r>
      <w:r w:rsidR="00D56C4D">
        <w:rPr>
          <w:rFonts w:ascii="ITC Avant Garde" w:eastAsia="Times New Roman" w:hAnsi="ITC Avant Garde"/>
          <w:szCs w:val="20"/>
        </w:rPr>
        <w:t>aron</w:t>
      </w:r>
      <w:r w:rsidRPr="0074742D">
        <w:rPr>
          <w:rFonts w:ascii="ITC Avant Garde" w:eastAsia="Times New Roman" w:hAnsi="ITC Avant Garde"/>
          <w:szCs w:val="20"/>
        </w:rPr>
        <w:t xml:space="preserve"> que los </w:t>
      </w:r>
      <w:r w:rsidR="00527DD5">
        <w:rPr>
          <w:rFonts w:ascii="ITC Avant Garde" w:eastAsia="Times New Roman" w:hAnsi="ITC Avant Garde"/>
          <w:szCs w:val="20"/>
        </w:rPr>
        <w:t xml:space="preserve">Convenios Marco de Interconexión </w:t>
      </w:r>
      <w:r w:rsidRPr="0074742D">
        <w:rPr>
          <w:rFonts w:ascii="ITC Avant Garde" w:eastAsia="Times New Roman" w:hAnsi="ITC Avant Garde"/>
          <w:szCs w:val="20"/>
        </w:rPr>
        <w:t>presentados tuvieran el carácter de confidencial en términos de los artículos 18 y 19 de la Ley Federal de Transparencia y Acceso a la Información Pública Gubernamenta</w:t>
      </w:r>
      <w:r w:rsidR="00527DD5">
        <w:rPr>
          <w:rFonts w:ascii="ITC Avant Garde" w:eastAsia="Times New Roman" w:hAnsi="ITC Avant Garde"/>
          <w:szCs w:val="20"/>
        </w:rPr>
        <w:t xml:space="preserve">l, 37, 38 y 39 del Reglamento de la </w:t>
      </w:r>
      <w:r w:rsidR="00527DD5" w:rsidRPr="0074742D">
        <w:rPr>
          <w:rFonts w:ascii="ITC Avant Garde" w:eastAsia="Times New Roman" w:hAnsi="ITC Avant Garde"/>
          <w:szCs w:val="20"/>
        </w:rPr>
        <w:t>Ley Federal de Transparencia y Acceso a la Información Pública Gubernamenta</w:t>
      </w:r>
      <w:r w:rsidR="00527DD5">
        <w:rPr>
          <w:rFonts w:ascii="ITC Avant Garde" w:eastAsia="Times New Roman" w:hAnsi="ITC Avant Garde"/>
          <w:szCs w:val="20"/>
        </w:rPr>
        <w:t>l, así como el Trigésimo Sexto Lineamiento de los Lineamientos Generales para la Clasificación y Desclasificación de la información de las dependencias y entidades de la Administración Pública Federal.</w:t>
      </w:r>
    </w:p>
    <w:p w14:paraId="25CECFDD" w14:textId="77777777" w:rsidR="0074742D" w:rsidRPr="0074742D" w:rsidRDefault="0074742D" w:rsidP="00112AF8">
      <w:pPr>
        <w:spacing w:after="0"/>
        <w:jc w:val="both"/>
        <w:rPr>
          <w:rFonts w:ascii="ITC Avant Garde" w:eastAsia="Times New Roman" w:hAnsi="ITC Avant Garde"/>
          <w:szCs w:val="20"/>
        </w:rPr>
      </w:pPr>
    </w:p>
    <w:p w14:paraId="0A0914A6" w14:textId="2349C098" w:rsidR="0074742D" w:rsidRDefault="0074742D" w:rsidP="00112AF8">
      <w:pPr>
        <w:spacing w:after="0"/>
        <w:jc w:val="both"/>
        <w:rPr>
          <w:rFonts w:ascii="ITC Avant Garde" w:eastAsia="Times New Roman" w:hAnsi="ITC Avant Garde"/>
          <w:szCs w:val="20"/>
        </w:rPr>
      </w:pPr>
      <w:r w:rsidRPr="0074742D">
        <w:rPr>
          <w:rFonts w:ascii="ITC Avant Garde" w:eastAsia="Times New Roman" w:hAnsi="ITC Avant Garde"/>
          <w:szCs w:val="20"/>
        </w:rPr>
        <w:t xml:space="preserve">Para que dicha información sea confidencial en términos del artículo 19 de dicha ley es necesario contar con el derecho de que se considere clasificada su información, de conformidad con las disposiciones aplicables. Sin embargo, tal situación no acontece, ya que conforme a las disposiciones aplicables esta información reviste el carácter de pública, toda vez que conforme a las </w:t>
      </w:r>
      <w:r w:rsidR="00527DD5">
        <w:rPr>
          <w:rFonts w:ascii="ITC Avant Garde" w:eastAsia="Times New Roman" w:hAnsi="ITC Avant Garde"/>
          <w:szCs w:val="20"/>
        </w:rPr>
        <w:t xml:space="preserve">citadas </w:t>
      </w:r>
      <w:r w:rsidRPr="0074742D">
        <w:rPr>
          <w:rFonts w:ascii="ITC Avant Garde" w:eastAsia="Times New Roman" w:hAnsi="ITC Avant Garde"/>
          <w:szCs w:val="20"/>
        </w:rPr>
        <w:t xml:space="preserve">Medidas, la información presentada por </w:t>
      </w:r>
      <w:r w:rsidR="00D56C4D">
        <w:rPr>
          <w:rFonts w:ascii="ITC Avant Garde" w:eastAsia="Times New Roman" w:hAnsi="ITC Avant Garde"/>
          <w:szCs w:val="20"/>
        </w:rPr>
        <w:t>los integrantes del</w:t>
      </w:r>
      <w:r w:rsidRPr="0074742D">
        <w:rPr>
          <w:rFonts w:ascii="ITC Avant Garde" w:eastAsia="Times New Roman" w:hAnsi="ITC Avant Garde"/>
          <w:szCs w:val="20"/>
        </w:rPr>
        <w:t xml:space="preserve"> AEP constituye, por su propia naturaleza, información de carácter público, al versar su contenido sobre las ofertas “públicas” que en virtud de las Medidas</w:t>
      </w:r>
      <w:r w:rsidR="00527DD5">
        <w:rPr>
          <w:rFonts w:ascii="ITC Avant Garde" w:eastAsia="Times New Roman" w:hAnsi="ITC Avant Garde"/>
          <w:szCs w:val="20"/>
        </w:rPr>
        <w:t>, ya sea Móviles o Fijas,</w:t>
      </w:r>
      <w:r w:rsidRPr="0074742D">
        <w:rPr>
          <w:rFonts w:ascii="ITC Avant Garde" w:eastAsia="Times New Roman" w:hAnsi="ITC Avant Garde"/>
          <w:szCs w:val="20"/>
        </w:rPr>
        <w:t xml:space="preserve"> debe presentar el AEP ante el Instituto, con el objeto de darlas a conocer a los demás concesionarios. </w:t>
      </w:r>
    </w:p>
    <w:p w14:paraId="1969E319" w14:textId="77777777" w:rsidR="0074742D" w:rsidRPr="0074742D" w:rsidRDefault="0074742D" w:rsidP="00112AF8">
      <w:pPr>
        <w:spacing w:after="0"/>
        <w:jc w:val="both"/>
        <w:rPr>
          <w:rFonts w:ascii="ITC Avant Garde" w:eastAsia="Times New Roman" w:hAnsi="ITC Avant Garde"/>
          <w:szCs w:val="20"/>
        </w:rPr>
      </w:pPr>
    </w:p>
    <w:p w14:paraId="0E39F1CE" w14:textId="265DC757" w:rsidR="00F55800" w:rsidRPr="00DF157F" w:rsidRDefault="00D17822" w:rsidP="008C150C">
      <w:pPr>
        <w:spacing w:after="0"/>
        <w:jc w:val="both"/>
        <w:rPr>
          <w:rFonts w:ascii="ITC Avant Garde" w:hAnsi="ITC Avant Garde" w:cs="Arial"/>
          <w:bCs/>
        </w:rPr>
      </w:pPr>
      <w:r w:rsidRPr="008C150C">
        <w:rPr>
          <w:rFonts w:ascii="ITC Avant Garde" w:hAnsi="ITC Avant Garde" w:cs="Arial"/>
          <w:bCs/>
        </w:rPr>
        <w:t xml:space="preserve">Por </w:t>
      </w:r>
      <w:r w:rsidR="005B5F22" w:rsidRPr="008C150C">
        <w:rPr>
          <w:rFonts w:ascii="ITC Avant Garde" w:hAnsi="ITC Avant Garde" w:cs="Arial"/>
          <w:bCs/>
        </w:rPr>
        <w:t>lo anterior</w:t>
      </w:r>
      <w:r w:rsidRPr="008C150C">
        <w:rPr>
          <w:rFonts w:ascii="ITC Avant Garde" w:hAnsi="ITC Avant Garde" w:cs="Arial"/>
          <w:bCs/>
        </w:rPr>
        <w:t xml:space="preserve">, con fundamento en lo dispuesto </w:t>
      </w:r>
      <w:r w:rsidR="005B5F22" w:rsidRPr="008C150C">
        <w:rPr>
          <w:rFonts w:ascii="ITC Avant Garde" w:hAnsi="ITC Avant Garde" w:cs="Arial"/>
          <w:bCs/>
        </w:rPr>
        <w:t xml:space="preserve">en </w:t>
      </w:r>
      <w:r w:rsidRPr="008C150C">
        <w:rPr>
          <w:rFonts w:ascii="ITC Avant Garde" w:hAnsi="ITC Avant Garde" w:cs="Arial"/>
          <w:bCs/>
        </w:rPr>
        <w:t xml:space="preserve">los </w:t>
      </w:r>
      <w:r w:rsidR="005B5F22" w:rsidRPr="008C150C">
        <w:rPr>
          <w:rFonts w:ascii="ITC Avant Garde" w:hAnsi="ITC Avant Garde" w:cs="Arial"/>
          <w:bCs/>
        </w:rPr>
        <w:t xml:space="preserve">artículos 28, </w:t>
      </w:r>
      <w:r w:rsidRPr="008C150C">
        <w:rPr>
          <w:rFonts w:ascii="ITC Avant Garde" w:hAnsi="ITC Avant Garde" w:cs="Arial"/>
          <w:bCs/>
        </w:rPr>
        <w:t>párrafos décimo quinto</w:t>
      </w:r>
      <w:r w:rsidR="005B5F22" w:rsidRPr="008C150C">
        <w:rPr>
          <w:rFonts w:ascii="ITC Avant Garde" w:hAnsi="ITC Avant Garde" w:cs="Arial"/>
          <w:bCs/>
        </w:rPr>
        <w:t xml:space="preserve"> y</w:t>
      </w:r>
      <w:r w:rsidRPr="008C150C">
        <w:rPr>
          <w:rFonts w:ascii="ITC Avant Garde" w:hAnsi="ITC Avant Garde" w:cs="Arial"/>
          <w:bCs/>
        </w:rPr>
        <w:t xml:space="preserve"> décimo sexto de la Constitución Política de los Estados Unidos Mexicanos; 1, 2, 7</w:t>
      </w:r>
      <w:r w:rsidR="00091B9C" w:rsidRPr="008C150C">
        <w:rPr>
          <w:rFonts w:ascii="ITC Avant Garde" w:hAnsi="ITC Avant Garde" w:cs="Arial"/>
          <w:bCs/>
        </w:rPr>
        <w:t>, 15</w:t>
      </w:r>
      <w:r w:rsidR="002138AC">
        <w:rPr>
          <w:rFonts w:ascii="ITC Avant Garde" w:hAnsi="ITC Avant Garde" w:cs="Arial"/>
          <w:bCs/>
        </w:rPr>
        <w:t>,</w:t>
      </w:r>
      <w:r w:rsidR="00091B9C" w:rsidRPr="008C150C">
        <w:rPr>
          <w:rFonts w:ascii="ITC Avant Garde" w:hAnsi="ITC Avant Garde" w:cs="Arial"/>
          <w:bCs/>
        </w:rPr>
        <w:t xml:space="preserve"> fracciones XL y LXIII</w:t>
      </w:r>
      <w:r w:rsidR="009D27BF">
        <w:rPr>
          <w:rFonts w:ascii="ITC Avant Garde" w:hAnsi="ITC Avant Garde" w:cs="Arial"/>
          <w:bCs/>
        </w:rPr>
        <w:t>,</w:t>
      </w:r>
      <w:r w:rsidR="005B5F22" w:rsidRPr="008C150C">
        <w:rPr>
          <w:rFonts w:ascii="ITC Avant Garde" w:hAnsi="ITC Avant Garde" w:cs="Arial"/>
          <w:bCs/>
        </w:rPr>
        <w:t xml:space="preserve"> </w:t>
      </w:r>
      <w:r w:rsidRPr="008C150C">
        <w:rPr>
          <w:rFonts w:ascii="ITC Avant Garde" w:hAnsi="ITC Avant Garde" w:cs="Arial"/>
          <w:bCs/>
        </w:rPr>
        <w:t>51</w:t>
      </w:r>
      <w:r w:rsidR="00CC135B">
        <w:rPr>
          <w:rFonts w:ascii="ITC Avant Garde" w:hAnsi="ITC Avant Garde" w:cs="Arial"/>
          <w:bCs/>
        </w:rPr>
        <w:t xml:space="preserve"> y 267</w:t>
      </w:r>
      <w:r w:rsidRPr="008C150C">
        <w:rPr>
          <w:rFonts w:ascii="ITC Avant Garde" w:hAnsi="ITC Avant Garde" w:cs="Arial"/>
          <w:bCs/>
        </w:rPr>
        <w:t xml:space="preserve"> de la Ley Federal de Telecomunicaciones y Radiodifusión</w:t>
      </w:r>
      <w:r w:rsidR="005B5F22" w:rsidRPr="008C150C">
        <w:rPr>
          <w:rFonts w:ascii="ITC Avant Garde" w:hAnsi="ITC Avant Garde" w:cs="Arial"/>
          <w:bCs/>
        </w:rPr>
        <w:t>,</w:t>
      </w:r>
      <w:r w:rsidRPr="008C150C">
        <w:rPr>
          <w:rFonts w:ascii="ITC Avant Garde" w:hAnsi="ITC Avant Garde" w:cs="Arial"/>
          <w:bCs/>
        </w:rPr>
        <w:t xml:space="preserve"> y 1</w:t>
      </w:r>
      <w:r w:rsidR="002138AC">
        <w:rPr>
          <w:rFonts w:ascii="ITC Avant Garde" w:hAnsi="ITC Avant Garde" w:cs="Arial"/>
          <w:bCs/>
        </w:rPr>
        <w:t>,</w:t>
      </w:r>
      <w:r w:rsidRPr="008C150C">
        <w:rPr>
          <w:rFonts w:ascii="ITC Avant Garde" w:hAnsi="ITC Avant Garde" w:cs="Arial"/>
          <w:bCs/>
        </w:rPr>
        <w:t xml:space="preserve"> 4</w:t>
      </w:r>
      <w:r w:rsidR="005B5F22" w:rsidRPr="008C150C">
        <w:rPr>
          <w:rFonts w:ascii="ITC Avant Garde" w:hAnsi="ITC Avant Garde" w:cs="Arial"/>
          <w:bCs/>
        </w:rPr>
        <w:t>,</w:t>
      </w:r>
      <w:r w:rsidRPr="008C150C">
        <w:rPr>
          <w:rFonts w:ascii="ITC Avant Garde" w:hAnsi="ITC Avant Garde" w:cs="Arial"/>
          <w:bCs/>
        </w:rPr>
        <w:t xml:space="preserve"> fracción </w:t>
      </w:r>
      <w:r w:rsidR="00527DD5">
        <w:rPr>
          <w:rFonts w:ascii="ITC Avant Garde" w:hAnsi="ITC Avant Garde" w:cs="Arial"/>
          <w:bCs/>
        </w:rPr>
        <w:t>I</w:t>
      </w:r>
      <w:r w:rsidR="002563E4" w:rsidRPr="008C150C">
        <w:rPr>
          <w:rFonts w:ascii="ITC Avant Garde" w:hAnsi="ITC Avant Garde" w:cs="Arial"/>
          <w:bCs/>
        </w:rPr>
        <w:t xml:space="preserve"> y 6 fracción XXXVII</w:t>
      </w:r>
      <w:r w:rsidR="00527DD5">
        <w:rPr>
          <w:rFonts w:ascii="ITC Avant Garde" w:hAnsi="ITC Avant Garde" w:cs="Arial"/>
          <w:bCs/>
        </w:rPr>
        <w:t>I</w:t>
      </w:r>
      <w:r w:rsidRPr="008C150C">
        <w:rPr>
          <w:rFonts w:ascii="ITC Avant Garde" w:hAnsi="ITC Avant Garde" w:cs="Arial"/>
          <w:bCs/>
        </w:rPr>
        <w:t xml:space="preserve"> del Estatuto</w:t>
      </w:r>
      <w:r w:rsidRPr="00DF157F">
        <w:rPr>
          <w:rFonts w:ascii="ITC Avant Garde" w:hAnsi="ITC Avant Garde" w:cs="Arial"/>
          <w:bCs/>
        </w:rPr>
        <w:t xml:space="preserve"> Orgánico del Instituto Federal de Telecomunicaciones, </w:t>
      </w:r>
      <w:r w:rsidR="005B5F22" w:rsidRPr="00DF157F">
        <w:rPr>
          <w:rFonts w:ascii="ITC Avant Garde" w:hAnsi="ITC Avant Garde" w:cs="Arial"/>
          <w:bCs/>
        </w:rPr>
        <w:t xml:space="preserve">se </w:t>
      </w:r>
      <w:r w:rsidRPr="00DF157F">
        <w:rPr>
          <w:rFonts w:ascii="ITC Avant Garde" w:hAnsi="ITC Avant Garde" w:cs="Arial"/>
          <w:bCs/>
        </w:rPr>
        <w:t xml:space="preserve">expide </w:t>
      </w:r>
      <w:r w:rsidR="000427C8">
        <w:rPr>
          <w:rFonts w:ascii="ITC Avant Garde" w:hAnsi="ITC Avant Garde" w:cs="Arial"/>
          <w:bCs/>
        </w:rPr>
        <w:t>los</w:t>
      </w:r>
      <w:r w:rsidR="005B5F22" w:rsidRPr="00DF157F">
        <w:rPr>
          <w:rFonts w:ascii="ITC Avant Garde" w:hAnsi="ITC Avant Garde" w:cs="Arial"/>
          <w:bCs/>
        </w:rPr>
        <w:t xml:space="preserve"> </w:t>
      </w:r>
      <w:r w:rsidRPr="00DF157F">
        <w:rPr>
          <w:rFonts w:ascii="ITC Avant Garde" w:hAnsi="ITC Avant Garde" w:cs="Arial"/>
          <w:bCs/>
        </w:rPr>
        <w:t>siguiente</w:t>
      </w:r>
      <w:r w:rsidR="000427C8">
        <w:rPr>
          <w:rFonts w:ascii="ITC Avant Garde" w:hAnsi="ITC Avant Garde" w:cs="Arial"/>
          <w:bCs/>
        </w:rPr>
        <w:t>s</w:t>
      </w:r>
      <w:r w:rsidRPr="00DF157F">
        <w:rPr>
          <w:rFonts w:ascii="ITC Avant Garde" w:hAnsi="ITC Avant Garde" w:cs="Arial"/>
          <w:bCs/>
        </w:rPr>
        <w:t>:</w:t>
      </w:r>
    </w:p>
    <w:p w14:paraId="5FFE1665" w14:textId="77777777" w:rsidR="00F55800" w:rsidRDefault="00F55800" w:rsidP="008C150C">
      <w:pPr>
        <w:spacing w:after="0"/>
        <w:jc w:val="both"/>
        <w:rPr>
          <w:rFonts w:ascii="ITC Avant Garde" w:hAnsi="ITC Avant Garde" w:cs="Arial"/>
          <w:bCs/>
        </w:rPr>
      </w:pPr>
    </w:p>
    <w:p w14:paraId="1208B977" w14:textId="77777777" w:rsidR="002C0D66" w:rsidRDefault="002C0D66" w:rsidP="008C150C">
      <w:pPr>
        <w:spacing w:after="0"/>
        <w:jc w:val="both"/>
        <w:rPr>
          <w:rFonts w:ascii="ITC Avant Garde" w:hAnsi="ITC Avant Garde" w:cs="Arial"/>
          <w:bCs/>
        </w:rPr>
      </w:pPr>
    </w:p>
    <w:p w14:paraId="45111009" w14:textId="77777777" w:rsidR="00BB4ADA" w:rsidRPr="00DF157F" w:rsidRDefault="00D17822" w:rsidP="008C150C">
      <w:pPr>
        <w:spacing w:after="0"/>
        <w:jc w:val="center"/>
        <w:rPr>
          <w:rFonts w:ascii="ITC Avant Garde" w:hAnsi="ITC Avant Garde" w:cs="Arial"/>
          <w:b/>
          <w:bCs/>
        </w:rPr>
      </w:pPr>
      <w:r w:rsidRPr="00DF157F">
        <w:rPr>
          <w:rFonts w:ascii="ITC Avant Garde" w:hAnsi="ITC Avant Garde" w:cs="Arial"/>
          <w:b/>
          <w:bCs/>
        </w:rPr>
        <w:t>ACUERDO</w:t>
      </w:r>
      <w:r w:rsidR="000427C8">
        <w:rPr>
          <w:rFonts w:ascii="ITC Avant Garde" w:hAnsi="ITC Avant Garde" w:cs="Arial"/>
          <w:b/>
          <w:bCs/>
        </w:rPr>
        <w:t>S</w:t>
      </w:r>
    </w:p>
    <w:p w14:paraId="41462E92" w14:textId="77777777" w:rsidR="003A690F" w:rsidRDefault="003A690F" w:rsidP="008C150C">
      <w:pPr>
        <w:spacing w:after="0"/>
        <w:jc w:val="both"/>
        <w:rPr>
          <w:rFonts w:ascii="ITC Avant Garde" w:hAnsi="ITC Avant Garde" w:cs="Arial"/>
          <w:bCs/>
        </w:rPr>
      </w:pPr>
    </w:p>
    <w:p w14:paraId="73BFB6E3" w14:textId="77777777" w:rsidR="002C0D66" w:rsidRPr="00DF157F" w:rsidRDefault="002C0D66" w:rsidP="008C150C">
      <w:pPr>
        <w:spacing w:after="0"/>
        <w:jc w:val="both"/>
        <w:rPr>
          <w:rFonts w:ascii="ITC Avant Garde" w:hAnsi="ITC Avant Garde" w:cs="Arial"/>
          <w:bCs/>
        </w:rPr>
      </w:pPr>
    </w:p>
    <w:p w14:paraId="3C755D53" w14:textId="77777777" w:rsidR="003C7EBB" w:rsidRDefault="00864BEB" w:rsidP="003C7EBB">
      <w:pPr>
        <w:spacing w:after="0"/>
        <w:jc w:val="both"/>
        <w:rPr>
          <w:rFonts w:ascii="ITC Avant Garde" w:hAnsi="ITC Avant Garde" w:cs="Arial"/>
          <w:bCs/>
        </w:rPr>
      </w:pPr>
      <w:r w:rsidRPr="00DF157F">
        <w:rPr>
          <w:rFonts w:ascii="ITC Avant Garde" w:hAnsi="ITC Avant Garde" w:cs="Arial"/>
          <w:b/>
          <w:bCs/>
        </w:rPr>
        <w:t>PRIMERO</w:t>
      </w:r>
      <w:r w:rsidRPr="00DF157F">
        <w:rPr>
          <w:rFonts w:ascii="ITC Avant Garde" w:hAnsi="ITC Avant Garde" w:cs="Arial"/>
          <w:bCs/>
        </w:rPr>
        <w:t xml:space="preserve">.- </w:t>
      </w:r>
      <w:r w:rsidR="003C7EBB" w:rsidRPr="00DF157F">
        <w:rPr>
          <w:rFonts w:ascii="ITC Avant Garde" w:hAnsi="ITC Avant Garde" w:cs="Arial"/>
          <w:bCs/>
        </w:rPr>
        <w:t xml:space="preserve">Se </w:t>
      </w:r>
      <w:r w:rsidR="009D27BF">
        <w:rPr>
          <w:rFonts w:ascii="ITC Avant Garde" w:hAnsi="ITC Avant Garde" w:cs="Arial"/>
          <w:bCs/>
        </w:rPr>
        <w:t xml:space="preserve">determina </w:t>
      </w:r>
      <w:r w:rsidR="003C7EBB" w:rsidRPr="00DF157F">
        <w:rPr>
          <w:rFonts w:ascii="ITC Avant Garde" w:hAnsi="ITC Avant Garde" w:cs="Arial"/>
          <w:bCs/>
        </w:rPr>
        <w:t>somete</w:t>
      </w:r>
      <w:r w:rsidR="009D27BF">
        <w:rPr>
          <w:rFonts w:ascii="ITC Avant Garde" w:hAnsi="ITC Avant Garde" w:cs="Arial"/>
          <w:bCs/>
        </w:rPr>
        <w:t>r</w:t>
      </w:r>
      <w:r w:rsidR="003C7EBB" w:rsidRPr="00DF157F">
        <w:rPr>
          <w:rFonts w:ascii="ITC Avant Garde" w:hAnsi="ITC Avant Garde" w:cs="Arial"/>
          <w:bCs/>
        </w:rPr>
        <w:t xml:space="preserve"> a consulta pública, por un plazo de 30 (treinta) días naturales contados a partir del día hábil siguiente al de su publicación en el portal de Internet del Instituto</w:t>
      </w:r>
      <w:r w:rsidR="003C7EBB">
        <w:rPr>
          <w:rFonts w:ascii="ITC Avant Garde" w:hAnsi="ITC Avant Garde" w:cs="Arial"/>
          <w:bCs/>
        </w:rPr>
        <w:t xml:space="preserve"> Federal de Telecomunicaciones</w:t>
      </w:r>
      <w:r w:rsidR="003C7EBB" w:rsidRPr="00DF157F">
        <w:rPr>
          <w:rFonts w:ascii="ITC Avant Garde" w:hAnsi="ITC Avant Garde" w:cs="Arial"/>
          <w:bCs/>
        </w:rPr>
        <w:t>, en los términos que fueron presentadas por</w:t>
      </w:r>
      <w:r w:rsidR="0074742D">
        <w:rPr>
          <w:rFonts w:ascii="ITC Avant Garde" w:hAnsi="ITC Avant Garde" w:cs="Arial"/>
          <w:bCs/>
        </w:rPr>
        <w:t xml:space="preserve"> </w:t>
      </w:r>
      <w:r w:rsidR="00555279">
        <w:rPr>
          <w:rFonts w:ascii="ITC Avant Garde" w:hAnsi="ITC Avant Garde" w:cs="Arial"/>
          <w:bCs/>
        </w:rPr>
        <w:t xml:space="preserve">Teléfonos de México, S.A.B. de C.V., </w:t>
      </w:r>
      <w:r w:rsidR="00DB3A2C">
        <w:rPr>
          <w:rFonts w:ascii="ITC Avant Garde" w:hAnsi="ITC Avant Garde" w:cs="Arial"/>
          <w:bCs/>
        </w:rPr>
        <w:t xml:space="preserve">Teléfonos del Noroeste, S.A. de C.V. y </w:t>
      </w:r>
      <w:r w:rsidR="0074742D">
        <w:rPr>
          <w:rFonts w:ascii="ITC Avant Garde" w:hAnsi="ITC Avant Garde" w:cs="Arial"/>
          <w:bCs/>
        </w:rPr>
        <w:t xml:space="preserve">Radiomóvil </w:t>
      </w:r>
      <w:proofErr w:type="spellStart"/>
      <w:r w:rsidR="0074742D">
        <w:rPr>
          <w:rFonts w:ascii="ITC Avant Garde" w:hAnsi="ITC Avant Garde" w:cs="Arial"/>
          <w:bCs/>
        </w:rPr>
        <w:t>Dipsa</w:t>
      </w:r>
      <w:proofErr w:type="spellEnd"/>
      <w:r w:rsidR="0074742D">
        <w:rPr>
          <w:rFonts w:ascii="ITC Avant Garde" w:hAnsi="ITC Avant Garde" w:cs="Arial"/>
          <w:bCs/>
        </w:rPr>
        <w:t>, S.A. de C.V.</w:t>
      </w:r>
      <w:r w:rsidR="002138AC">
        <w:rPr>
          <w:rFonts w:ascii="ITC Avant Garde" w:hAnsi="ITC Avant Garde" w:cs="Arial"/>
          <w:bCs/>
        </w:rPr>
        <w:t>,</w:t>
      </w:r>
      <w:r w:rsidR="003C7EBB">
        <w:rPr>
          <w:rFonts w:ascii="ITC Avant Garde" w:hAnsi="ITC Avant Garde" w:cs="Arial"/>
          <w:bCs/>
        </w:rPr>
        <w:t xml:space="preserve"> </w:t>
      </w:r>
      <w:r w:rsidR="003C7EBB" w:rsidRPr="00DF157F">
        <w:rPr>
          <w:rFonts w:ascii="ITC Avant Garde" w:hAnsi="ITC Avant Garde" w:cs="Arial"/>
          <w:bCs/>
        </w:rPr>
        <w:t>las propuestas de</w:t>
      </w:r>
      <w:r w:rsidR="003C7EBB">
        <w:rPr>
          <w:rFonts w:ascii="ITC Avant Garde" w:hAnsi="ITC Avant Garde" w:cs="Arial"/>
          <w:bCs/>
        </w:rPr>
        <w:t xml:space="preserve"> </w:t>
      </w:r>
      <w:r w:rsidR="0074742D" w:rsidRPr="00907919">
        <w:rPr>
          <w:rFonts w:ascii="ITC Avant Garde" w:hAnsi="ITC Avant Garde" w:cs="Arial"/>
          <w:bCs/>
        </w:rPr>
        <w:t xml:space="preserve">Convenio Marco de Interconexión </w:t>
      </w:r>
      <w:r w:rsidR="003C7EBB" w:rsidRPr="00DF157F">
        <w:rPr>
          <w:rFonts w:ascii="ITC Avant Garde" w:hAnsi="ITC Avant Garde" w:cs="Arial"/>
          <w:bCs/>
        </w:rPr>
        <w:t xml:space="preserve">que se detallan en los Antecedentes </w:t>
      </w:r>
      <w:r w:rsidR="00555279">
        <w:rPr>
          <w:rFonts w:ascii="ITC Avant Garde" w:hAnsi="ITC Avant Garde" w:cs="Arial"/>
          <w:bCs/>
        </w:rPr>
        <w:t>IX</w:t>
      </w:r>
      <w:r w:rsidR="0074742D">
        <w:rPr>
          <w:rFonts w:ascii="ITC Avant Garde" w:hAnsi="ITC Avant Garde" w:cs="Arial"/>
          <w:bCs/>
        </w:rPr>
        <w:t xml:space="preserve"> al </w:t>
      </w:r>
      <w:r w:rsidR="00D41E0B">
        <w:rPr>
          <w:rFonts w:ascii="ITC Avant Garde" w:hAnsi="ITC Avant Garde" w:cs="Arial"/>
          <w:bCs/>
        </w:rPr>
        <w:t>X</w:t>
      </w:r>
      <w:r w:rsidR="00555279">
        <w:rPr>
          <w:rFonts w:ascii="ITC Avant Garde" w:hAnsi="ITC Avant Garde" w:cs="Arial"/>
          <w:bCs/>
        </w:rPr>
        <w:t>I</w:t>
      </w:r>
      <w:r w:rsidR="0074742D">
        <w:rPr>
          <w:rFonts w:ascii="ITC Avant Garde" w:hAnsi="ITC Avant Garde" w:cs="Arial"/>
          <w:bCs/>
        </w:rPr>
        <w:t xml:space="preserve"> </w:t>
      </w:r>
      <w:r w:rsidR="003C7EBB" w:rsidRPr="00DF157F">
        <w:rPr>
          <w:rFonts w:ascii="ITC Avant Garde" w:hAnsi="ITC Avant Garde" w:cs="Arial"/>
          <w:bCs/>
        </w:rPr>
        <w:t xml:space="preserve">del presente Acuerdo, las cuales </w:t>
      </w:r>
      <w:r w:rsidR="003C7EBB">
        <w:rPr>
          <w:rFonts w:ascii="ITC Avant Garde" w:hAnsi="ITC Avant Garde" w:cs="Arial"/>
          <w:bCs/>
        </w:rPr>
        <w:t>forman parte integrante del</w:t>
      </w:r>
      <w:r w:rsidR="003C7EBB" w:rsidRPr="00DF157F">
        <w:rPr>
          <w:rFonts w:ascii="ITC Avant Garde" w:hAnsi="ITC Avant Garde" w:cs="Arial"/>
          <w:bCs/>
        </w:rPr>
        <w:t xml:space="preserve"> mismo.</w:t>
      </w:r>
    </w:p>
    <w:p w14:paraId="7D4D7312" w14:textId="77777777" w:rsidR="003A690F" w:rsidRDefault="003A690F" w:rsidP="008C150C">
      <w:pPr>
        <w:spacing w:after="0"/>
        <w:jc w:val="both"/>
        <w:rPr>
          <w:rFonts w:ascii="ITC Avant Garde" w:hAnsi="ITC Avant Garde" w:cs="Arial"/>
          <w:bCs/>
        </w:rPr>
      </w:pPr>
    </w:p>
    <w:p w14:paraId="1F446A15" w14:textId="77777777" w:rsidR="00EA0DCF" w:rsidRDefault="00DB3A2C" w:rsidP="008C150C">
      <w:pPr>
        <w:spacing w:after="0"/>
        <w:jc w:val="both"/>
        <w:rPr>
          <w:rFonts w:ascii="ITC Avant Garde" w:hAnsi="ITC Avant Garde" w:cs="Arial"/>
          <w:bCs/>
        </w:rPr>
      </w:pPr>
      <w:r>
        <w:rPr>
          <w:rFonts w:ascii="ITC Avant Garde" w:hAnsi="ITC Avant Garde" w:cs="Arial"/>
          <w:b/>
          <w:bCs/>
        </w:rPr>
        <w:t>SEGUNDO</w:t>
      </w:r>
      <w:r w:rsidR="0042271F" w:rsidRPr="00DF157F">
        <w:rPr>
          <w:rFonts w:ascii="ITC Avant Garde" w:hAnsi="ITC Avant Garde" w:cs="Arial"/>
          <w:bCs/>
        </w:rPr>
        <w:t>.- Se instruye a la Unidad de Política Regulatoria a recibir y dar la atención que corresponda a las opiniones que sean vertidas en virtud de la consulta pública</w:t>
      </w:r>
      <w:r w:rsidR="005B5F22" w:rsidRPr="00DF157F">
        <w:rPr>
          <w:rFonts w:ascii="ITC Avant Garde" w:hAnsi="ITC Avant Garde" w:cs="Arial"/>
          <w:bCs/>
        </w:rPr>
        <w:t xml:space="preserve"> materia del presente Acuerdo.</w:t>
      </w:r>
      <w:r w:rsidR="00436572" w:rsidRPr="00DF157F" w:rsidDel="00DF5690">
        <w:rPr>
          <w:rFonts w:ascii="ITC Avant Garde" w:hAnsi="ITC Avant Garde" w:cs="Arial"/>
          <w:bCs/>
        </w:rPr>
        <w:t xml:space="preserve"> </w:t>
      </w:r>
    </w:p>
    <w:p w14:paraId="08142112" w14:textId="77777777" w:rsidR="003A690F" w:rsidRDefault="003A690F" w:rsidP="008C150C">
      <w:pPr>
        <w:spacing w:after="0"/>
        <w:jc w:val="both"/>
        <w:rPr>
          <w:rFonts w:ascii="ITC Avant Garde" w:hAnsi="ITC Avant Garde" w:cs="Arial"/>
          <w:bCs/>
        </w:rPr>
      </w:pPr>
    </w:p>
    <w:p w14:paraId="0BF94297" w14:textId="77777777" w:rsidR="00864BEB" w:rsidRPr="00DF157F" w:rsidRDefault="00DB3A2C" w:rsidP="008C150C">
      <w:pPr>
        <w:spacing w:after="0"/>
        <w:jc w:val="both"/>
        <w:rPr>
          <w:rFonts w:ascii="ITC Avant Garde" w:hAnsi="ITC Avant Garde" w:cs="Arial"/>
          <w:bCs/>
        </w:rPr>
      </w:pPr>
      <w:r>
        <w:rPr>
          <w:rFonts w:ascii="ITC Avant Garde" w:hAnsi="ITC Avant Garde" w:cs="Arial"/>
          <w:b/>
          <w:bCs/>
        </w:rPr>
        <w:t>TERCERO</w:t>
      </w:r>
      <w:r w:rsidR="0042271F" w:rsidRPr="00DF157F">
        <w:rPr>
          <w:rFonts w:ascii="ITC Avant Garde" w:hAnsi="ITC Avant Garde" w:cs="Arial"/>
          <w:bCs/>
        </w:rPr>
        <w:t>.- Publíquese</w:t>
      </w:r>
      <w:r w:rsidR="003252F8" w:rsidRPr="00DF157F">
        <w:rPr>
          <w:rFonts w:ascii="ITC Avant Garde" w:hAnsi="ITC Avant Garde" w:cs="Arial"/>
          <w:bCs/>
        </w:rPr>
        <w:t xml:space="preserve"> </w:t>
      </w:r>
      <w:r w:rsidR="0042271F" w:rsidRPr="00DF157F">
        <w:rPr>
          <w:rFonts w:ascii="ITC Avant Garde" w:hAnsi="ITC Avant Garde" w:cs="Arial"/>
          <w:bCs/>
        </w:rPr>
        <w:t xml:space="preserve">en </w:t>
      </w:r>
      <w:r w:rsidR="005B5F22" w:rsidRPr="00DF157F">
        <w:rPr>
          <w:rFonts w:ascii="ITC Avant Garde" w:hAnsi="ITC Avant Garde" w:cs="Arial"/>
          <w:bCs/>
        </w:rPr>
        <w:t>el portal</w:t>
      </w:r>
      <w:r w:rsidR="0042271F" w:rsidRPr="00DF157F">
        <w:rPr>
          <w:rFonts w:ascii="ITC Avant Garde" w:hAnsi="ITC Avant Garde" w:cs="Arial"/>
          <w:bCs/>
        </w:rPr>
        <w:t xml:space="preserve"> de Internet del Instituto</w:t>
      </w:r>
      <w:r w:rsidR="00671F9E">
        <w:rPr>
          <w:rFonts w:ascii="ITC Avant Garde" w:hAnsi="ITC Avant Garde" w:cs="Arial"/>
          <w:bCs/>
        </w:rPr>
        <w:t xml:space="preserve"> Federal de Telecomunicaciones</w:t>
      </w:r>
      <w:r w:rsidR="0042271F" w:rsidRPr="00DF157F">
        <w:rPr>
          <w:rFonts w:ascii="ITC Avant Garde" w:hAnsi="ITC Avant Garde" w:cs="Arial"/>
          <w:bCs/>
        </w:rPr>
        <w:t>.</w:t>
      </w:r>
    </w:p>
    <w:p w14:paraId="747C616F" w14:textId="77777777" w:rsidR="00BB4ADA" w:rsidRDefault="00BB4ADA" w:rsidP="002C0D66">
      <w:pPr>
        <w:spacing w:after="0" w:line="240" w:lineRule="auto"/>
        <w:jc w:val="both"/>
        <w:rPr>
          <w:rFonts w:ascii="ITC Avant Garde" w:hAnsi="ITC Avant Garde" w:cs="Arial"/>
          <w:bCs/>
        </w:rPr>
      </w:pPr>
    </w:p>
    <w:p w14:paraId="62B2E392" w14:textId="77777777" w:rsidR="00AE04CB" w:rsidRDefault="00AE04CB" w:rsidP="002C0D66">
      <w:pPr>
        <w:spacing w:after="0" w:line="240" w:lineRule="auto"/>
        <w:jc w:val="both"/>
        <w:rPr>
          <w:rFonts w:ascii="ITC Avant Garde" w:hAnsi="ITC Avant Garde" w:cs="Arial"/>
          <w:bCs/>
        </w:rPr>
      </w:pPr>
    </w:p>
    <w:p w14:paraId="190BF9B6" w14:textId="77777777" w:rsidR="008832AD" w:rsidRDefault="008832AD" w:rsidP="002C0D66">
      <w:pPr>
        <w:spacing w:after="0" w:line="240" w:lineRule="auto"/>
        <w:jc w:val="both"/>
        <w:rPr>
          <w:rFonts w:ascii="ITC Avant Garde" w:hAnsi="ITC Avant Garde" w:cs="Arial"/>
          <w:bCs/>
        </w:rPr>
      </w:pPr>
    </w:p>
    <w:p w14:paraId="35BF7A0F" w14:textId="77777777" w:rsidR="002C0D66" w:rsidRPr="004C52B2" w:rsidRDefault="002C0D66" w:rsidP="002C0D66">
      <w:pPr>
        <w:adjustRightInd w:val="0"/>
        <w:spacing w:after="0" w:line="240" w:lineRule="auto"/>
        <w:jc w:val="center"/>
        <w:rPr>
          <w:rFonts w:ascii="ITC Avant Garde" w:eastAsia="Times New Roman" w:hAnsi="ITC Avant Garde" w:cs="Arial"/>
          <w:color w:val="000000"/>
          <w:lang w:eastAsia="es-ES"/>
        </w:rPr>
      </w:pPr>
    </w:p>
    <w:p w14:paraId="0DBA69CB" w14:textId="77777777" w:rsidR="002C0D66" w:rsidRPr="004C52B2" w:rsidRDefault="002C0D66" w:rsidP="002C0D66">
      <w:pPr>
        <w:adjustRightInd w:val="0"/>
        <w:spacing w:after="0" w:line="240" w:lineRule="auto"/>
        <w:jc w:val="center"/>
        <w:rPr>
          <w:rFonts w:ascii="ITC Avant Garde" w:eastAsia="Times New Roman" w:hAnsi="ITC Avant Garde" w:cs="Arial"/>
          <w:color w:val="000000"/>
          <w:lang w:eastAsia="es-ES"/>
        </w:rPr>
      </w:pPr>
    </w:p>
    <w:p w14:paraId="43794A24" w14:textId="77777777" w:rsidR="002C0D66" w:rsidRPr="004C52B2" w:rsidRDefault="002C0D66" w:rsidP="002C0D66">
      <w:pPr>
        <w:adjustRightInd w:val="0"/>
        <w:spacing w:after="0" w:line="240" w:lineRule="auto"/>
        <w:jc w:val="center"/>
        <w:rPr>
          <w:rFonts w:ascii="ITC Avant Garde" w:eastAsia="Times New Roman" w:hAnsi="ITC Avant Garde" w:cs="Arial"/>
          <w:color w:val="000000"/>
          <w:lang w:eastAsia="es-ES"/>
        </w:rPr>
      </w:pPr>
    </w:p>
    <w:p w14:paraId="1F1E262A" w14:textId="77777777" w:rsidR="002C0D66" w:rsidRPr="004C52B2" w:rsidRDefault="002C0D66" w:rsidP="002C0D66">
      <w:pPr>
        <w:adjustRightInd w:val="0"/>
        <w:spacing w:after="0" w:line="240" w:lineRule="auto"/>
        <w:jc w:val="center"/>
        <w:rPr>
          <w:rFonts w:ascii="ITC Avant Garde" w:eastAsia="Times New Roman" w:hAnsi="ITC Avant Garde" w:cs="Arial"/>
          <w:color w:val="000000"/>
          <w:lang w:eastAsia="es-ES"/>
        </w:rPr>
      </w:pPr>
    </w:p>
    <w:p w14:paraId="62AADFFD" w14:textId="77777777" w:rsidR="002C0D66" w:rsidRPr="004C52B2" w:rsidRDefault="002C0D66" w:rsidP="002C0D66">
      <w:pPr>
        <w:adjustRightInd w:val="0"/>
        <w:spacing w:after="0" w:line="240" w:lineRule="auto"/>
        <w:jc w:val="center"/>
        <w:rPr>
          <w:rFonts w:ascii="ITC Avant Garde" w:eastAsia="Times New Roman" w:hAnsi="ITC Avant Garde" w:cs="Arial"/>
          <w:color w:val="000000"/>
          <w:lang w:eastAsia="es-ES"/>
        </w:rPr>
      </w:pPr>
    </w:p>
    <w:p w14:paraId="505FD8BB" w14:textId="77777777" w:rsidR="002C0D66" w:rsidRPr="004C52B2" w:rsidRDefault="002C0D66" w:rsidP="002C0D66">
      <w:pPr>
        <w:adjustRightInd w:val="0"/>
        <w:spacing w:after="0" w:line="240" w:lineRule="auto"/>
        <w:jc w:val="center"/>
        <w:rPr>
          <w:rFonts w:ascii="ITC Avant Garde" w:hAnsi="ITC Avant Garde"/>
          <w:b/>
        </w:rPr>
      </w:pPr>
      <w:r w:rsidRPr="004C52B2">
        <w:rPr>
          <w:rFonts w:ascii="ITC Avant Garde" w:hAnsi="ITC Avant Garde"/>
          <w:b/>
        </w:rPr>
        <w:t>Gabriel Oswaldo Contreras Saldívar</w:t>
      </w:r>
    </w:p>
    <w:p w14:paraId="080A6663" w14:textId="77777777" w:rsidR="002C0D66" w:rsidRPr="004C52B2" w:rsidRDefault="002C0D66" w:rsidP="002C0D66">
      <w:pPr>
        <w:adjustRightInd w:val="0"/>
        <w:spacing w:after="0" w:line="240" w:lineRule="auto"/>
        <w:jc w:val="center"/>
        <w:rPr>
          <w:rFonts w:ascii="ITC Avant Garde" w:hAnsi="ITC Avant Garde"/>
          <w:b/>
        </w:rPr>
      </w:pPr>
      <w:r w:rsidRPr="004C52B2">
        <w:rPr>
          <w:rFonts w:ascii="ITC Avant Garde" w:hAnsi="ITC Avant Garde"/>
          <w:b/>
        </w:rPr>
        <w:t>Comisionado Presidente</w:t>
      </w:r>
    </w:p>
    <w:p w14:paraId="12069F63" w14:textId="77777777" w:rsidR="002C0D66" w:rsidRPr="004C52B2" w:rsidRDefault="002C0D66" w:rsidP="002C0D66">
      <w:pPr>
        <w:adjustRightInd w:val="0"/>
        <w:spacing w:after="0" w:line="240" w:lineRule="auto"/>
        <w:rPr>
          <w:rFonts w:ascii="ITC Avant Garde" w:hAnsi="ITC Avant Garde"/>
          <w:b/>
        </w:rPr>
      </w:pPr>
    </w:p>
    <w:p w14:paraId="231D4E04" w14:textId="77777777" w:rsidR="002C0D66" w:rsidRDefault="002C0D66" w:rsidP="002C0D66">
      <w:pPr>
        <w:adjustRightInd w:val="0"/>
        <w:spacing w:after="0" w:line="240" w:lineRule="auto"/>
        <w:rPr>
          <w:rFonts w:ascii="ITC Avant Garde" w:hAnsi="ITC Avant Garde"/>
          <w:b/>
        </w:rPr>
      </w:pPr>
    </w:p>
    <w:p w14:paraId="6563B19A" w14:textId="77777777" w:rsidR="002C0D66" w:rsidRDefault="002C0D66" w:rsidP="002C0D66">
      <w:pPr>
        <w:adjustRightInd w:val="0"/>
        <w:spacing w:after="0" w:line="240" w:lineRule="auto"/>
        <w:rPr>
          <w:rFonts w:ascii="ITC Avant Garde" w:hAnsi="ITC Avant Garde"/>
          <w:b/>
        </w:rPr>
      </w:pPr>
    </w:p>
    <w:p w14:paraId="3BA701D4" w14:textId="77777777" w:rsidR="008832AD" w:rsidRPr="004C52B2" w:rsidRDefault="008832AD" w:rsidP="002C0D66">
      <w:pPr>
        <w:adjustRightInd w:val="0"/>
        <w:spacing w:after="0" w:line="240" w:lineRule="auto"/>
        <w:rPr>
          <w:rFonts w:ascii="ITC Avant Garde" w:hAnsi="ITC Avant Garde"/>
          <w:b/>
        </w:rPr>
      </w:pPr>
    </w:p>
    <w:p w14:paraId="3646BA02" w14:textId="77777777" w:rsidR="002C0D66" w:rsidRPr="004C52B2" w:rsidRDefault="002C0D66" w:rsidP="002C0D66">
      <w:pPr>
        <w:adjustRightInd w:val="0"/>
        <w:spacing w:after="0" w:line="240" w:lineRule="auto"/>
        <w:jc w:val="center"/>
        <w:rPr>
          <w:rFonts w:ascii="ITC Avant Garde" w:hAnsi="ITC Avant Garde"/>
          <w:b/>
        </w:rPr>
      </w:pPr>
    </w:p>
    <w:tbl>
      <w:tblPr>
        <w:tblStyle w:val="Tablanormal4"/>
        <w:tblW w:w="10077" w:type="dxa"/>
        <w:jc w:val="center"/>
        <w:shd w:val="clear" w:color="auto" w:fill="FFFFFF" w:themeFill="background1"/>
        <w:tblLayout w:type="fixed"/>
        <w:tblLook w:val="04A0" w:firstRow="1" w:lastRow="0" w:firstColumn="1" w:lastColumn="0" w:noHBand="0" w:noVBand="1"/>
      </w:tblPr>
      <w:tblGrid>
        <w:gridCol w:w="4815"/>
        <w:gridCol w:w="236"/>
        <w:gridCol w:w="5026"/>
      </w:tblGrid>
      <w:tr w:rsidR="002C0D66" w:rsidRPr="004C52B2" w14:paraId="62053FED" w14:textId="77777777" w:rsidTr="008832AD">
        <w:trPr>
          <w:cnfStyle w:val="100000000000" w:firstRow="1" w:lastRow="0" w:firstColumn="0" w:lastColumn="0" w:oddVBand="0" w:evenVBand="0" w:oddHBand="0" w:evenHBand="0" w:firstRowFirstColumn="0" w:firstRowLastColumn="0" w:lastRowFirstColumn="0" w:lastRowLastColumn="0"/>
          <w:trHeight w:val="1446"/>
          <w:jc w:val="center"/>
        </w:trPr>
        <w:tc>
          <w:tcPr>
            <w:cnfStyle w:val="001000000000" w:firstRow="0" w:lastRow="0" w:firstColumn="1" w:lastColumn="0" w:oddVBand="0" w:evenVBand="0" w:oddHBand="0" w:evenHBand="0" w:firstRowFirstColumn="0" w:firstRowLastColumn="0" w:lastRowFirstColumn="0" w:lastRowLastColumn="0"/>
            <w:tcW w:w="4815" w:type="dxa"/>
            <w:shd w:val="clear" w:color="auto" w:fill="FFFFFF" w:themeFill="background1"/>
          </w:tcPr>
          <w:p w14:paraId="525AAE4D" w14:textId="77777777" w:rsidR="002C0D66" w:rsidRPr="006D3DA0" w:rsidRDefault="002C0D66" w:rsidP="002C0D66">
            <w:pPr>
              <w:adjustRightInd w:val="0"/>
              <w:spacing w:after="0" w:line="240" w:lineRule="auto"/>
              <w:jc w:val="center"/>
              <w:rPr>
                <w:rFonts w:ascii="ITC Avant Garde" w:hAnsi="ITC Avant Garde"/>
              </w:rPr>
            </w:pPr>
            <w:r w:rsidRPr="006D3DA0">
              <w:rPr>
                <w:rFonts w:ascii="ITC Avant Garde" w:hAnsi="ITC Avant Garde"/>
              </w:rPr>
              <w:t>Adriana Sofía Labardini Inzunza</w:t>
            </w:r>
          </w:p>
          <w:p w14:paraId="7BDD9610" w14:textId="2D47052B" w:rsidR="002C0D66" w:rsidRDefault="002C0D66" w:rsidP="002C0D66">
            <w:pPr>
              <w:adjustRightInd w:val="0"/>
              <w:spacing w:after="0" w:line="240" w:lineRule="auto"/>
              <w:jc w:val="center"/>
              <w:rPr>
                <w:rFonts w:ascii="ITC Avant Garde" w:hAnsi="ITC Avant Garde"/>
                <w:b w:val="0"/>
                <w:bCs w:val="0"/>
              </w:rPr>
            </w:pPr>
            <w:r w:rsidRPr="006D3DA0">
              <w:rPr>
                <w:rFonts w:ascii="ITC Avant Garde" w:hAnsi="ITC Avant Garde"/>
              </w:rPr>
              <w:t>Comisionada</w:t>
            </w:r>
          </w:p>
          <w:p w14:paraId="0340FD5B" w14:textId="77777777" w:rsidR="002C0D66" w:rsidRDefault="002C0D66" w:rsidP="002C0D66">
            <w:pPr>
              <w:jc w:val="center"/>
              <w:rPr>
                <w:rFonts w:ascii="ITC Avant Garde" w:hAnsi="ITC Avant Garde"/>
              </w:rPr>
            </w:pPr>
          </w:p>
          <w:p w14:paraId="10FDED8C" w14:textId="77777777" w:rsidR="008832AD" w:rsidRDefault="008832AD" w:rsidP="002C0D66">
            <w:pPr>
              <w:jc w:val="center"/>
              <w:rPr>
                <w:rFonts w:ascii="ITC Avant Garde" w:hAnsi="ITC Avant Garde"/>
              </w:rPr>
            </w:pPr>
          </w:p>
          <w:p w14:paraId="189E12B9" w14:textId="77777777" w:rsidR="002C0D66" w:rsidRPr="002C0D66" w:rsidRDefault="002C0D66" w:rsidP="002C0D66">
            <w:pPr>
              <w:jc w:val="center"/>
              <w:rPr>
                <w:rFonts w:ascii="ITC Avant Garde" w:hAnsi="ITC Avant Garde"/>
              </w:rPr>
            </w:pPr>
          </w:p>
        </w:tc>
        <w:tc>
          <w:tcPr>
            <w:tcW w:w="236" w:type="dxa"/>
            <w:shd w:val="clear" w:color="auto" w:fill="FFFFFF" w:themeFill="background1"/>
          </w:tcPr>
          <w:p w14:paraId="7ED2D8B2" w14:textId="77777777" w:rsidR="002C0D66" w:rsidRPr="006D3DA0" w:rsidRDefault="002C0D66" w:rsidP="002C0D66">
            <w:pPr>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ITC Avant Garde" w:hAnsi="ITC Avant Garde"/>
              </w:rPr>
            </w:pPr>
          </w:p>
        </w:tc>
        <w:tc>
          <w:tcPr>
            <w:tcW w:w="5026" w:type="dxa"/>
            <w:shd w:val="clear" w:color="auto" w:fill="FFFFFF" w:themeFill="background1"/>
          </w:tcPr>
          <w:p w14:paraId="79D032A6" w14:textId="77777777" w:rsidR="002C0D66" w:rsidRPr="006D3DA0" w:rsidRDefault="002C0D66" w:rsidP="002C0D66">
            <w:pPr>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ITC Avant Garde" w:hAnsi="ITC Avant Garde"/>
              </w:rPr>
            </w:pPr>
            <w:r>
              <w:rPr>
                <w:rFonts w:ascii="ITC Avant Garde" w:hAnsi="ITC Avant Garde"/>
              </w:rPr>
              <w:t>María Elena Estavillo Flores</w:t>
            </w:r>
          </w:p>
          <w:p w14:paraId="43341299" w14:textId="77777777" w:rsidR="002C0D66" w:rsidRPr="006D3DA0" w:rsidRDefault="002C0D66" w:rsidP="002C0D66">
            <w:pPr>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ITC Avant Garde" w:hAnsi="ITC Avant Garde"/>
              </w:rPr>
            </w:pPr>
            <w:r w:rsidRPr="006D3DA0">
              <w:rPr>
                <w:rFonts w:ascii="ITC Avant Garde" w:hAnsi="ITC Avant Garde"/>
              </w:rPr>
              <w:t>Comisionad</w:t>
            </w:r>
            <w:r>
              <w:rPr>
                <w:rFonts w:ascii="ITC Avant Garde" w:hAnsi="ITC Avant Garde"/>
              </w:rPr>
              <w:t>a</w:t>
            </w:r>
            <w:r w:rsidRPr="006D3DA0" w:rsidDel="00E14932">
              <w:rPr>
                <w:rFonts w:ascii="ITC Avant Garde" w:hAnsi="ITC Avant Garde"/>
              </w:rPr>
              <w:t xml:space="preserve"> </w:t>
            </w:r>
          </w:p>
          <w:p w14:paraId="3FBA6102" w14:textId="77777777" w:rsidR="002C0D66" w:rsidRPr="006D3DA0" w:rsidRDefault="002C0D66" w:rsidP="002C0D66">
            <w:pPr>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ITC Avant Garde" w:hAnsi="ITC Avant Garde"/>
              </w:rPr>
            </w:pPr>
          </w:p>
          <w:p w14:paraId="6C285301" w14:textId="77777777" w:rsidR="002C0D66" w:rsidRPr="006D3DA0" w:rsidRDefault="002C0D66" w:rsidP="002C0D66">
            <w:pPr>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ITC Avant Garde" w:hAnsi="ITC Avant Garde"/>
              </w:rPr>
            </w:pPr>
          </w:p>
        </w:tc>
      </w:tr>
      <w:tr w:rsidR="002C0D66" w:rsidRPr="004C52B2" w14:paraId="0C403256" w14:textId="77777777" w:rsidTr="008832AD">
        <w:trPr>
          <w:cnfStyle w:val="000000100000" w:firstRow="0" w:lastRow="0" w:firstColumn="0" w:lastColumn="0" w:oddVBand="0" w:evenVBand="0" w:oddHBand="1" w:evenHBand="0" w:firstRowFirstColumn="0" w:firstRowLastColumn="0" w:lastRowFirstColumn="0" w:lastRowLastColumn="0"/>
          <w:trHeight w:val="1429"/>
          <w:jc w:val="center"/>
        </w:trPr>
        <w:tc>
          <w:tcPr>
            <w:cnfStyle w:val="001000000000" w:firstRow="0" w:lastRow="0" w:firstColumn="1" w:lastColumn="0" w:oddVBand="0" w:evenVBand="0" w:oddHBand="0" w:evenHBand="0" w:firstRowFirstColumn="0" w:firstRowLastColumn="0" w:lastRowFirstColumn="0" w:lastRowLastColumn="0"/>
            <w:tcW w:w="4815" w:type="dxa"/>
            <w:shd w:val="clear" w:color="auto" w:fill="FFFFFF" w:themeFill="background1"/>
            <w:hideMark/>
          </w:tcPr>
          <w:p w14:paraId="7E725CF5" w14:textId="77777777" w:rsidR="002C0D66" w:rsidRPr="006D3DA0" w:rsidRDefault="002C0D66" w:rsidP="002C0D66">
            <w:pPr>
              <w:adjustRightInd w:val="0"/>
              <w:spacing w:after="0" w:line="240" w:lineRule="auto"/>
              <w:jc w:val="center"/>
              <w:rPr>
                <w:rFonts w:ascii="ITC Avant Garde" w:hAnsi="ITC Avant Garde"/>
              </w:rPr>
            </w:pPr>
            <w:r w:rsidRPr="006D3DA0">
              <w:rPr>
                <w:rFonts w:ascii="ITC Avant Garde" w:hAnsi="ITC Avant Garde"/>
              </w:rPr>
              <w:t>Mario Germán Fromow Rangel</w:t>
            </w:r>
          </w:p>
          <w:p w14:paraId="0465187F" w14:textId="77777777" w:rsidR="002C0D66" w:rsidRPr="006D3DA0" w:rsidRDefault="002C0D66" w:rsidP="002C0D66">
            <w:pPr>
              <w:adjustRightInd w:val="0"/>
              <w:spacing w:after="0" w:line="240" w:lineRule="auto"/>
              <w:jc w:val="center"/>
              <w:rPr>
                <w:rFonts w:ascii="ITC Avant Garde" w:hAnsi="ITC Avant Garde"/>
              </w:rPr>
            </w:pPr>
            <w:r w:rsidRPr="006D3DA0">
              <w:rPr>
                <w:rFonts w:ascii="ITC Avant Garde" w:hAnsi="ITC Avant Garde"/>
              </w:rPr>
              <w:t>Comisionad</w:t>
            </w:r>
            <w:r>
              <w:rPr>
                <w:rFonts w:ascii="ITC Avant Garde" w:hAnsi="ITC Avant Garde"/>
              </w:rPr>
              <w:t>o</w:t>
            </w:r>
          </w:p>
          <w:p w14:paraId="35696C6C" w14:textId="6F443DBC" w:rsidR="002C0D66" w:rsidRDefault="002C0D66" w:rsidP="002C0D66">
            <w:pPr>
              <w:adjustRightInd w:val="0"/>
              <w:spacing w:after="0" w:line="240" w:lineRule="auto"/>
              <w:jc w:val="center"/>
              <w:rPr>
                <w:rFonts w:ascii="ITC Avant Garde" w:hAnsi="ITC Avant Garde"/>
                <w:b w:val="0"/>
                <w:bCs w:val="0"/>
              </w:rPr>
            </w:pPr>
          </w:p>
          <w:p w14:paraId="788ECAEE" w14:textId="77777777" w:rsidR="002C0D66" w:rsidRDefault="002C0D66" w:rsidP="002C0D66">
            <w:pPr>
              <w:jc w:val="center"/>
              <w:rPr>
                <w:rFonts w:ascii="ITC Avant Garde" w:hAnsi="ITC Avant Garde"/>
              </w:rPr>
            </w:pPr>
          </w:p>
          <w:p w14:paraId="28013F8D" w14:textId="77777777" w:rsidR="008832AD" w:rsidRPr="002C0D66" w:rsidRDefault="008832AD" w:rsidP="002C0D66">
            <w:pPr>
              <w:jc w:val="center"/>
              <w:rPr>
                <w:rFonts w:ascii="ITC Avant Garde" w:hAnsi="ITC Avant Garde"/>
              </w:rPr>
            </w:pPr>
          </w:p>
        </w:tc>
        <w:tc>
          <w:tcPr>
            <w:tcW w:w="236" w:type="dxa"/>
            <w:shd w:val="clear" w:color="auto" w:fill="FFFFFF" w:themeFill="background1"/>
          </w:tcPr>
          <w:p w14:paraId="28712C20" w14:textId="77777777" w:rsidR="002C0D66" w:rsidRPr="006D3DA0" w:rsidRDefault="002C0D66" w:rsidP="002C0D66">
            <w:pPr>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ITC Avant Garde" w:hAnsi="ITC Avant Garde"/>
                <w:b/>
              </w:rPr>
            </w:pPr>
          </w:p>
        </w:tc>
        <w:tc>
          <w:tcPr>
            <w:tcW w:w="5026" w:type="dxa"/>
            <w:shd w:val="clear" w:color="auto" w:fill="FFFFFF" w:themeFill="background1"/>
          </w:tcPr>
          <w:p w14:paraId="18B686A4" w14:textId="77777777" w:rsidR="002C0D66" w:rsidRPr="006D3DA0" w:rsidRDefault="002C0D66" w:rsidP="002C0D66">
            <w:pPr>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ITC Avant Garde" w:hAnsi="ITC Avant Garde"/>
                <w:b/>
              </w:rPr>
            </w:pPr>
            <w:r w:rsidRPr="006D3DA0">
              <w:rPr>
                <w:rFonts w:ascii="ITC Avant Garde" w:hAnsi="ITC Avant Garde"/>
                <w:b/>
              </w:rPr>
              <w:t>Adolfo Cuevas Teja</w:t>
            </w:r>
          </w:p>
          <w:p w14:paraId="2D581234" w14:textId="77777777" w:rsidR="002C0D66" w:rsidRPr="006D3DA0" w:rsidRDefault="002C0D66" w:rsidP="002C0D66">
            <w:pPr>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ITC Avant Garde" w:hAnsi="ITC Avant Garde"/>
                <w:b/>
              </w:rPr>
            </w:pPr>
            <w:r w:rsidRPr="006D3DA0">
              <w:rPr>
                <w:rFonts w:ascii="ITC Avant Garde" w:hAnsi="ITC Avant Garde"/>
                <w:b/>
              </w:rPr>
              <w:t>Comisionado</w:t>
            </w:r>
            <w:r w:rsidRPr="006D3DA0" w:rsidDel="00E14932">
              <w:rPr>
                <w:rFonts w:ascii="ITC Avant Garde" w:hAnsi="ITC Avant Garde"/>
                <w:b/>
              </w:rPr>
              <w:t xml:space="preserve"> </w:t>
            </w:r>
          </w:p>
          <w:p w14:paraId="26BF1974" w14:textId="77777777" w:rsidR="002C0D66" w:rsidRPr="006D3DA0" w:rsidRDefault="002C0D66" w:rsidP="002C0D66">
            <w:pPr>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ITC Avant Garde" w:hAnsi="ITC Avant Garde"/>
                <w:b/>
              </w:rPr>
            </w:pPr>
          </w:p>
        </w:tc>
      </w:tr>
      <w:tr w:rsidR="002C0D66" w:rsidRPr="004C52B2" w14:paraId="78A90171" w14:textId="77777777" w:rsidTr="008832AD">
        <w:trPr>
          <w:trHeight w:val="697"/>
          <w:jc w:val="center"/>
        </w:trPr>
        <w:tc>
          <w:tcPr>
            <w:cnfStyle w:val="001000000000" w:firstRow="0" w:lastRow="0" w:firstColumn="1" w:lastColumn="0" w:oddVBand="0" w:evenVBand="0" w:oddHBand="0" w:evenHBand="0" w:firstRowFirstColumn="0" w:firstRowLastColumn="0" w:lastRowFirstColumn="0" w:lastRowLastColumn="0"/>
            <w:tcW w:w="4815" w:type="dxa"/>
            <w:shd w:val="clear" w:color="auto" w:fill="FFFFFF" w:themeFill="background1"/>
          </w:tcPr>
          <w:p w14:paraId="15D7D3C1" w14:textId="77777777" w:rsidR="002C0D66" w:rsidRPr="006D3DA0" w:rsidRDefault="002C0D66" w:rsidP="002C0D66">
            <w:pPr>
              <w:adjustRightInd w:val="0"/>
              <w:spacing w:after="0" w:line="240" w:lineRule="auto"/>
              <w:jc w:val="center"/>
              <w:rPr>
                <w:rFonts w:ascii="ITC Avant Garde" w:hAnsi="ITC Avant Garde"/>
              </w:rPr>
            </w:pPr>
            <w:r w:rsidRPr="006D3DA0">
              <w:rPr>
                <w:rFonts w:ascii="ITC Avant Garde" w:hAnsi="ITC Avant Garde"/>
              </w:rPr>
              <w:t>Javier Juárez M</w:t>
            </w:r>
            <w:r>
              <w:rPr>
                <w:rFonts w:ascii="ITC Avant Garde" w:hAnsi="ITC Avant Garde"/>
              </w:rPr>
              <w:t>o</w:t>
            </w:r>
            <w:r w:rsidRPr="006D3DA0">
              <w:rPr>
                <w:rFonts w:ascii="ITC Avant Garde" w:hAnsi="ITC Avant Garde"/>
              </w:rPr>
              <w:t>jica</w:t>
            </w:r>
          </w:p>
          <w:p w14:paraId="13E343AB" w14:textId="77777777" w:rsidR="002C0D66" w:rsidRPr="006D3DA0" w:rsidRDefault="002C0D66" w:rsidP="002C0D66">
            <w:pPr>
              <w:adjustRightInd w:val="0"/>
              <w:spacing w:after="0" w:line="240" w:lineRule="auto"/>
              <w:jc w:val="center"/>
              <w:rPr>
                <w:rFonts w:ascii="ITC Avant Garde" w:hAnsi="ITC Avant Garde"/>
              </w:rPr>
            </w:pPr>
            <w:r w:rsidRPr="006D3DA0">
              <w:rPr>
                <w:rFonts w:ascii="ITC Avant Garde" w:hAnsi="ITC Avant Garde"/>
              </w:rPr>
              <w:t>Comisionado</w:t>
            </w:r>
          </w:p>
          <w:p w14:paraId="10A7C593" w14:textId="77777777" w:rsidR="002C0D66" w:rsidRPr="00664C6C" w:rsidRDefault="002C0D66" w:rsidP="002C0D66">
            <w:pPr>
              <w:adjustRightInd w:val="0"/>
              <w:spacing w:after="0" w:line="240" w:lineRule="auto"/>
              <w:jc w:val="center"/>
              <w:rPr>
                <w:rFonts w:ascii="ITC Avant Garde" w:hAnsi="ITC Avant Garde"/>
                <w:sz w:val="12"/>
              </w:rPr>
            </w:pPr>
          </w:p>
        </w:tc>
        <w:tc>
          <w:tcPr>
            <w:tcW w:w="236" w:type="dxa"/>
            <w:shd w:val="clear" w:color="auto" w:fill="FFFFFF" w:themeFill="background1"/>
          </w:tcPr>
          <w:p w14:paraId="0F5352B3" w14:textId="77777777" w:rsidR="002C0D66" w:rsidRPr="006D3DA0" w:rsidRDefault="002C0D66" w:rsidP="002C0D66">
            <w:pPr>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ITC Avant Garde" w:hAnsi="ITC Avant Garde"/>
                <w:b/>
              </w:rPr>
            </w:pPr>
          </w:p>
        </w:tc>
        <w:tc>
          <w:tcPr>
            <w:tcW w:w="5026" w:type="dxa"/>
            <w:shd w:val="clear" w:color="auto" w:fill="FFFFFF" w:themeFill="background1"/>
          </w:tcPr>
          <w:p w14:paraId="0A985CA5" w14:textId="77777777" w:rsidR="002C0D66" w:rsidRPr="006D3DA0" w:rsidRDefault="002C0D66" w:rsidP="002C0D66">
            <w:pPr>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ITC Avant Garde" w:hAnsi="ITC Avant Garde"/>
                <w:b/>
              </w:rPr>
            </w:pPr>
            <w:r w:rsidRPr="006D3DA0">
              <w:rPr>
                <w:rFonts w:ascii="ITC Avant Garde" w:hAnsi="ITC Avant Garde"/>
                <w:b/>
              </w:rPr>
              <w:t>Arturo Robles Rovalo</w:t>
            </w:r>
          </w:p>
          <w:p w14:paraId="1226E196" w14:textId="77777777" w:rsidR="002C0D66" w:rsidRPr="006D3DA0" w:rsidRDefault="002C0D66" w:rsidP="002C0D66">
            <w:pPr>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ITC Avant Garde" w:hAnsi="ITC Avant Garde"/>
                <w:b/>
              </w:rPr>
            </w:pPr>
            <w:r w:rsidRPr="006D3DA0">
              <w:rPr>
                <w:rFonts w:ascii="ITC Avant Garde" w:hAnsi="ITC Avant Garde"/>
                <w:b/>
              </w:rPr>
              <w:t>Comisionado</w:t>
            </w:r>
          </w:p>
        </w:tc>
      </w:tr>
    </w:tbl>
    <w:p w14:paraId="30A1CDD0" w14:textId="77777777" w:rsidR="00324ED3" w:rsidRPr="00324ED3" w:rsidRDefault="00324ED3" w:rsidP="00324ED3">
      <w:pPr>
        <w:pStyle w:val="Prrafodelista"/>
        <w:spacing w:after="0" w:line="240" w:lineRule="auto"/>
        <w:ind w:left="0"/>
        <w:jc w:val="both"/>
        <w:rPr>
          <w:rFonts w:ascii="ITC Avant Garde" w:hAnsi="ITC Avant Garde"/>
          <w:sz w:val="14"/>
          <w:szCs w:val="14"/>
          <w:lang w:eastAsia="es-MX"/>
        </w:rPr>
      </w:pPr>
      <w:r w:rsidRPr="00324ED3">
        <w:rPr>
          <w:rFonts w:ascii="ITC Avant Garde" w:hAnsi="ITC Avant Garde"/>
          <w:sz w:val="14"/>
          <w:szCs w:val="14"/>
        </w:rPr>
        <w:t xml:space="preserve">El presente Acuerdo fue aprobado por el Pleno del Instituto Federal de Telecomunicaciones en su XV Sesión Ordinaria celebrada el 26 de abril de 2017, </w:t>
      </w:r>
      <w:r w:rsidRPr="00324ED3">
        <w:rPr>
          <w:rFonts w:ascii="ITC Avant Garde" w:hAnsi="ITC Avant Garde"/>
          <w:bCs/>
          <w:sz w:val="14"/>
          <w:szCs w:val="14"/>
        </w:rPr>
        <w:t>por unanimidad</w:t>
      </w:r>
      <w:r w:rsidRPr="00324ED3">
        <w:rPr>
          <w:rFonts w:ascii="ITC Avant Garde" w:hAnsi="ITC Avant Garde"/>
          <w:sz w:val="14"/>
          <w:szCs w:val="14"/>
        </w:rPr>
        <w:t xml:space="preserve"> de votos de los Comisionados Gabriel Oswaldo Contreras Saldívar, Adriana Sofía Labardini Inzunza, María Elena Estavillo Flores, Mario Germán Fromow Rangel, Adolfo Cuevas Teja, Javier Juárez Mojica y Arturo Robles </w:t>
      </w:r>
      <w:proofErr w:type="spellStart"/>
      <w:r w:rsidRPr="00324ED3">
        <w:rPr>
          <w:rFonts w:ascii="ITC Avant Garde" w:hAnsi="ITC Avant Garde"/>
          <w:sz w:val="14"/>
          <w:szCs w:val="14"/>
        </w:rPr>
        <w:t>Rovalo</w:t>
      </w:r>
      <w:proofErr w:type="spellEnd"/>
      <w:r w:rsidRPr="00324ED3">
        <w:rPr>
          <w:rFonts w:ascii="ITC Avant Garde" w:hAnsi="ITC Avant Garde"/>
          <w:sz w:val="14"/>
          <w:szCs w:val="14"/>
        </w:rPr>
        <w:t xml:space="preserve">; con fundamento en los párrafos vigésimo, fracciones I y III; y vigésimo primero, del artículo 28 de la Constitución Política de los </w:t>
      </w:r>
      <w:bookmarkStart w:id="0" w:name="_GoBack"/>
      <w:bookmarkEnd w:id="0"/>
      <w:r w:rsidRPr="00324ED3">
        <w:rPr>
          <w:rFonts w:ascii="ITC Avant Garde" w:hAnsi="ITC Avant Garde"/>
          <w:sz w:val="14"/>
          <w:szCs w:val="14"/>
        </w:rPr>
        <w:t>Estados Unidos Mexicanos; artículos 7, 16 y 45 de la Ley Federal de Telecomunicaciones y Radiodifusión; así como en los artículos 1, 7, 8 y 12 del Estatuto Orgánico del Instituto Federal de Telecomunicaciones, mediante Acuerdo P/IFT/260417/190.</w:t>
      </w:r>
    </w:p>
    <w:p w14:paraId="4A616753" w14:textId="77777777" w:rsidR="00324ED3" w:rsidRPr="00324ED3" w:rsidRDefault="00324ED3" w:rsidP="00324ED3">
      <w:pPr>
        <w:pStyle w:val="Prrafodelista"/>
        <w:spacing w:after="0" w:line="240" w:lineRule="auto"/>
        <w:ind w:left="0"/>
        <w:jc w:val="both"/>
        <w:rPr>
          <w:rFonts w:ascii="ITC Avant Garde" w:hAnsi="ITC Avant Garde"/>
          <w:sz w:val="14"/>
          <w:szCs w:val="14"/>
        </w:rPr>
      </w:pPr>
    </w:p>
    <w:p w14:paraId="59975E82" w14:textId="5BD4706B" w:rsidR="00EA0DCF" w:rsidRDefault="00324ED3" w:rsidP="00324ED3">
      <w:pPr>
        <w:pStyle w:val="Prrafodelista"/>
        <w:spacing w:after="0" w:line="240" w:lineRule="auto"/>
        <w:ind w:left="0"/>
        <w:jc w:val="both"/>
        <w:rPr>
          <w:rFonts w:ascii="ITC Avant Garde" w:hAnsi="ITC Avant Garde" w:cs="Arial"/>
          <w:bCs/>
        </w:rPr>
      </w:pPr>
      <w:r w:rsidRPr="00324ED3">
        <w:rPr>
          <w:rFonts w:ascii="ITC Avant Garde" w:hAnsi="ITC Avant Garde"/>
          <w:sz w:val="14"/>
          <w:szCs w:val="14"/>
        </w:rPr>
        <w:t>El Comisionado Adolfo Cuevas Teja previendo su ausencia justificada a la sesión, emitió su voto razonado por escrito, en términos de los artículos 45 tercer párrafo de la Ley Federal de Telecomunicaciones y Radiodifusión, y 8 segundo párrafo del Estatuto Orgánico del Instituto Federal de Telecomunicaciones.</w:t>
      </w:r>
    </w:p>
    <w:sectPr w:rsidR="00EA0DCF" w:rsidSect="002C0D66">
      <w:headerReference w:type="even" r:id="rId11"/>
      <w:footerReference w:type="default" r:id="rId12"/>
      <w:headerReference w:type="first" r:id="rId13"/>
      <w:pgSz w:w="12240" w:h="15840" w:code="1"/>
      <w:pgMar w:top="1985"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57A992" w14:textId="77777777" w:rsidR="00913F1C" w:rsidRDefault="00913F1C" w:rsidP="009B28E6">
      <w:pPr>
        <w:spacing w:after="0" w:line="240" w:lineRule="auto"/>
      </w:pPr>
      <w:r>
        <w:separator/>
      </w:r>
    </w:p>
  </w:endnote>
  <w:endnote w:type="continuationSeparator" w:id="0">
    <w:p w14:paraId="5F804BC7" w14:textId="77777777" w:rsidR="00913F1C" w:rsidRDefault="00913F1C" w:rsidP="009B28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ITC Avant Garde">
    <w:panose1 w:val="020B0402020203020304"/>
    <w:charset w:val="00"/>
    <w:family w:val="swiss"/>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ITC Avant Garde" w:hAnsi="ITC Avant Garde"/>
        <w:noProof/>
        <w:sz w:val="20"/>
        <w:lang w:val="es-ES"/>
      </w:rPr>
      <w:id w:val="751246815"/>
      <w:docPartObj>
        <w:docPartGallery w:val="Page Numbers (Bottom of Page)"/>
        <w:docPartUnique/>
      </w:docPartObj>
    </w:sdtPr>
    <w:sdtEndPr/>
    <w:sdtContent>
      <w:p w14:paraId="25B7E5FB" w14:textId="344D5933" w:rsidR="002C0D66" w:rsidRPr="002C0D66" w:rsidRDefault="002C0D66">
        <w:pPr>
          <w:pStyle w:val="Piedepgina"/>
          <w:jc w:val="right"/>
          <w:rPr>
            <w:rFonts w:ascii="ITC Avant Garde" w:hAnsi="ITC Avant Garde"/>
            <w:noProof/>
            <w:sz w:val="20"/>
            <w:lang w:val="es-ES"/>
          </w:rPr>
        </w:pPr>
        <w:r w:rsidRPr="002C0D66">
          <w:rPr>
            <w:rFonts w:ascii="ITC Avant Garde" w:hAnsi="ITC Avant Garde"/>
            <w:noProof/>
            <w:sz w:val="20"/>
            <w:lang w:val="es-ES"/>
          </w:rPr>
          <w:fldChar w:fldCharType="begin"/>
        </w:r>
        <w:r w:rsidRPr="002C0D66">
          <w:rPr>
            <w:rFonts w:ascii="ITC Avant Garde" w:hAnsi="ITC Avant Garde"/>
            <w:noProof/>
            <w:sz w:val="20"/>
            <w:lang w:val="es-ES"/>
          </w:rPr>
          <w:instrText>PAGE   \* MERGEFORMAT</w:instrText>
        </w:r>
        <w:r w:rsidRPr="002C0D66">
          <w:rPr>
            <w:rFonts w:ascii="ITC Avant Garde" w:hAnsi="ITC Avant Garde"/>
            <w:noProof/>
            <w:sz w:val="20"/>
            <w:lang w:val="es-ES"/>
          </w:rPr>
          <w:fldChar w:fldCharType="separate"/>
        </w:r>
        <w:r w:rsidR="00324ED3">
          <w:rPr>
            <w:rFonts w:ascii="ITC Avant Garde" w:hAnsi="ITC Avant Garde"/>
            <w:noProof/>
            <w:sz w:val="20"/>
            <w:lang w:val="es-ES"/>
          </w:rPr>
          <w:t>8</w:t>
        </w:r>
        <w:r w:rsidRPr="002C0D66">
          <w:rPr>
            <w:rFonts w:ascii="ITC Avant Garde" w:hAnsi="ITC Avant Garde"/>
            <w:noProof/>
            <w:sz w:val="20"/>
            <w:lang w:val="es-E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E779D1" w14:textId="77777777" w:rsidR="00913F1C" w:rsidRDefault="00913F1C" w:rsidP="009B28E6">
      <w:pPr>
        <w:spacing w:after="0" w:line="240" w:lineRule="auto"/>
      </w:pPr>
      <w:r>
        <w:separator/>
      </w:r>
    </w:p>
  </w:footnote>
  <w:footnote w:type="continuationSeparator" w:id="0">
    <w:p w14:paraId="173A8A69" w14:textId="77777777" w:rsidR="00913F1C" w:rsidRDefault="00913F1C" w:rsidP="009B28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2EA505" w14:textId="77777777" w:rsidR="004632F8" w:rsidRDefault="00324ED3">
    <w:pPr>
      <w:pStyle w:val="Encabezado"/>
    </w:pPr>
    <w:r>
      <w:rPr>
        <w:noProof/>
        <w:lang w:eastAsia="es-MX"/>
      </w:rPr>
      <w:pict w14:anchorId="2A8252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7695" o:spid="_x0000_s2049" type="#_x0000_t75" style="position:absolute;margin-left:0;margin-top:0;width:612pt;height:11in;z-index:-251659776;mso-position-horizontal:center;mso-position-horizontal-relative:margin;mso-position-vertical:center;mso-position-vertical-relative:margin" o:allowincell="f">
          <v:imagedata r:id="rId1" o:title="hojamenbretada-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675577" w14:textId="77777777" w:rsidR="004632F8" w:rsidRDefault="00324ED3">
    <w:pPr>
      <w:pStyle w:val="Encabezado"/>
    </w:pPr>
    <w:r>
      <w:rPr>
        <w:noProof/>
        <w:lang w:eastAsia="es-MX"/>
      </w:rPr>
      <w:pict w14:anchorId="649797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7694" o:spid="_x0000_s2051" type="#_x0000_t75" style="position:absolute;margin-left:0;margin-top:0;width:612pt;height:11in;z-index:-251657728;mso-position-horizontal:center;mso-position-horizontal-relative:margin;mso-position-vertical:center;mso-position-vertical-relative:margin" o:allowincell="f">
          <v:imagedata r:id="rId1" o:title="hojamenbretada-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79E8153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796414"/>
    <w:multiLevelType w:val="hybridMultilevel"/>
    <w:tmpl w:val="3EFA816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 w15:restartNumberingAfterBreak="0">
    <w:nsid w:val="0ED3718A"/>
    <w:multiLevelType w:val="hybridMultilevel"/>
    <w:tmpl w:val="C52A7856"/>
    <w:lvl w:ilvl="0" w:tplc="B910334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D040F7"/>
    <w:multiLevelType w:val="hybridMultilevel"/>
    <w:tmpl w:val="C52A7856"/>
    <w:lvl w:ilvl="0" w:tplc="B910334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17A3AD1"/>
    <w:multiLevelType w:val="hybridMultilevel"/>
    <w:tmpl w:val="C52A7856"/>
    <w:lvl w:ilvl="0" w:tplc="B910334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B2075A"/>
    <w:multiLevelType w:val="hybridMultilevel"/>
    <w:tmpl w:val="39AE4CE4"/>
    <w:lvl w:ilvl="0" w:tplc="2264C2D6">
      <w:start w:val="1"/>
      <w:numFmt w:val="upperRoman"/>
      <w:lvlText w:val="%1."/>
      <w:lvlJc w:val="right"/>
      <w:pPr>
        <w:ind w:left="720" w:hanging="360"/>
      </w:pPr>
      <w:rPr>
        <w:rFonts w:hint="default"/>
        <w:b/>
        <w:color w:val="000000" w:themeColor="text1"/>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62F598E"/>
    <w:multiLevelType w:val="hybridMultilevel"/>
    <w:tmpl w:val="C52A7856"/>
    <w:lvl w:ilvl="0" w:tplc="B910334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3D53491"/>
    <w:multiLevelType w:val="hybridMultilevel"/>
    <w:tmpl w:val="BFC09FD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15:restartNumberingAfterBreak="0">
    <w:nsid w:val="6D03575D"/>
    <w:multiLevelType w:val="hybridMultilevel"/>
    <w:tmpl w:val="C52A7856"/>
    <w:lvl w:ilvl="0" w:tplc="B910334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
  </w:num>
  <w:num w:numId="3">
    <w:abstractNumId w:val="7"/>
  </w:num>
  <w:num w:numId="4">
    <w:abstractNumId w:val="1"/>
  </w:num>
  <w:num w:numId="5">
    <w:abstractNumId w:val="4"/>
  </w:num>
  <w:num w:numId="6">
    <w:abstractNumId w:val="8"/>
  </w:num>
  <w:num w:numId="7">
    <w:abstractNumId w:val="3"/>
  </w:num>
  <w:num w:numId="8">
    <w:abstractNumId w:val="6"/>
  </w:num>
  <w:num w:numId="9">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28E6"/>
    <w:rsid w:val="0000098C"/>
    <w:rsid w:val="00001872"/>
    <w:rsid w:val="00002FE3"/>
    <w:rsid w:val="00003187"/>
    <w:rsid w:val="00003706"/>
    <w:rsid w:val="0000457C"/>
    <w:rsid w:val="00005335"/>
    <w:rsid w:val="00005AFB"/>
    <w:rsid w:val="000073BF"/>
    <w:rsid w:val="00010A22"/>
    <w:rsid w:val="00014BF9"/>
    <w:rsid w:val="000158D7"/>
    <w:rsid w:val="000162A3"/>
    <w:rsid w:val="000177E6"/>
    <w:rsid w:val="000211B0"/>
    <w:rsid w:val="00023418"/>
    <w:rsid w:val="00027A90"/>
    <w:rsid w:val="000304C3"/>
    <w:rsid w:val="000304FF"/>
    <w:rsid w:val="00030A73"/>
    <w:rsid w:val="000310FF"/>
    <w:rsid w:val="00032A87"/>
    <w:rsid w:val="00032E90"/>
    <w:rsid w:val="0003559D"/>
    <w:rsid w:val="00036970"/>
    <w:rsid w:val="00040406"/>
    <w:rsid w:val="000404B0"/>
    <w:rsid w:val="00040A27"/>
    <w:rsid w:val="00042593"/>
    <w:rsid w:val="000427C8"/>
    <w:rsid w:val="00044E8D"/>
    <w:rsid w:val="0004573A"/>
    <w:rsid w:val="00045DC7"/>
    <w:rsid w:val="000511FD"/>
    <w:rsid w:val="000537B3"/>
    <w:rsid w:val="00053F1A"/>
    <w:rsid w:val="00054349"/>
    <w:rsid w:val="00054863"/>
    <w:rsid w:val="000571B3"/>
    <w:rsid w:val="00057A6D"/>
    <w:rsid w:val="00060DAF"/>
    <w:rsid w:val="00062FFC"/>
    <w:rsid w:val="00063C2E"/>
    <w:rsid w:val="0006502B"/>
    <w:rsid w:val="000665C1"/>
    <w:rsid w:val="00066945"/>
    <w:rsid w:val="00066D0C"/>
    <w:rsid w:val="000749EE"/>
    <w:rsid w:val="000758D2"/>
    <w:rsid w:val="00075FCD"/>
    <w:rsid w:val="00077880"/>
    <w:rsid w:val="000810A2"/>
    <w:rsid w:val="0008186D"/>
    <w:rsid w:val="000826C8"/>
    <w:rsid w:val="00083B34"/>
    <w:rsid w:val="000845D2"/>
    <w:rsid w:val="00084B34"/>
    <w:rsid w:val="00087728"/>
    <w:rsid w:val="0009114F"/>
    <w:rsid w:val="00091B9C"/>
    <w:rsid w:val="00092AC3"/>
    <w:rsid w:val="00092B31"/>
    <w:rsid w:val="00092F62"/>
    <w:rsid w:val="00093E5C"/>
    <w:rsid w:val="00094E74"/>
    <w:rsid w:val="00095C61"/>
    <w:rsid w:val="00097A31"/>
    <w:rsid w:val="00097A55"/>
    <w:rsid w:val="000A1F12"/>
    <w:rsid w:val="000A220A"/>
    <w:rsid w:val="000A480D"/>
    <w:rsid w:val="000A54BA"/>
    <w:rsid w:val="000A5AEC"/>
    <w:rsid w:val="000B0072"/>
    <w:rsid w:val="000B0130"/>
    <w:rsid w:val="000B20B6"/>
    <w:rsid w:val="000B3A09"/>
    <w:rsid w:val="000B3AB2"/>
    <w:rsid w:val="000B4430"/>
    <w:rsid w:val="000B55E8"/>
    <w:rsid w:val="000B7A79"/>
    <w:rsid w:val="000B7ADF"/>
    <w:rsid w:val="000C1D7A"/>
    <w:rsid w:val="000C2BA6"/>
    <w:rsid w:val="000C42C9"/>
    <w:rsid w:val="000C5720"/>
    <w:rsid w:val="000C58E0"/>
    <w:rsid w:val="000C77C5"/>
    <w:rsid w:val="000D0A36"/>
    <w:rsid w:val="000D100B"/>
    <w:rsid w:val="000D2394"/>
    <w:rsid w:val="000D326F"/>
    <w:rsid w:val="000E0BAA"/>
    <w:rsid w:val="000E0DF7"/>
    <w:rsid w:val="000E2375"/>
    <w:rsid w:val="000E3B3C"/>
    <w:rsid w:val="000E4D9D"/>
    <w:rsid w:val="000E4EB3"/>
    <w:rsid w:val="000E574A"/>
    <w:rsid w:val="000E58B8"/>
    <w:rsid w:val="000E59C3"/>
    <w:rsid w:val="000E6FE0"/>
    <w:rsid w:val="000E7645"/>
    <w:rsid w:val="000E7EF3"/>
    <w:rsid w:val="000F19E9"/>
    <w:rsid w:val="000F27A4"/>
    <w:rsid w:val="000F36C9"/>
    <w:rsid w:val="000F4085"/>
    <w:rsid w:val="000F4570"/>
    <w:rsid w:val="000F7E5E"/>
    <w:rsid w:val="00100714"/>
    <w:rsid w:val="00100F2E"/>
    <w:rsid w:val="0010184A"/>
    <w:rsid w:val="00101DC6"/>
    <w:rsid w:val="0010272C"/>
    <w:rsid w:val="00104436"/>
    <w:rsid w:val="0010685C"/>
    <w:rsid w:val="001068F5"/>
    <w:rsid w:val="00110AB7"/>
    <w:rsid w:val="0011128D"/>
    <w:rsid w:val="0011148C"/>
    <w:rsid w:val="0011201D"/>
    <w:rsid w:val="00112AF8"/>
    <w:rsid w:val="00116AE9"/>
    <w:rsid w:val="00120B6C"/>
    <w:rsid w:val="0012111B"/>
    <w:rsid w:val="00123B6A"/>
    <w:rsid w:val="00124A18"/>
    <w:rsid w:val="001257ED"/>
    <w:rsid w:val="001259B9"/>
    <w:rsid w:val="00126F75"/>
    <w:rsid w:val="00130AB1"/>
    <w:rsid w:val="001313B0"/>
    <w:rsid w:val="00131804"/>
    <w:rsid w:val="001346BE"/>
    <w:rsid w:val="00134E32"/>
    <w:rsid w:val="00134E6B"/>
    <w:rsid w:val="001357B4"/>
    <w:rsid w:val="0014124F"/>
    <w:rsid w:val="001413C9"/>
    <w:rsid w:val="00142211"/>
    <w:rsid w:val="00143480"/>
    <w:rsid w:val="001437BC"/>
    <w:rsid w:val="00143E83"/>
    <w:rsid w:val="00146691"/>
    <w:rsid w:val="00146F06"/>
    <w:rsid w:val="00147CE8"/>
    <w:rsid w:val="001521FF"/>
    <w:rsid w:val="00152778"/>
    <w:rsid w:val="00152D9C"/>
    <w:rsid w:val="00153CD3"/>
    <w:rsid w:val="001552E6"/>
    <w:rsid w:val="0015565C"/>
    <w:rsid w:val="00156D64"/>
    <w:rsid w:val="001608DD"/>
    <w:rsid w:val="001613A7"/>
    <w:rsid w:val="00163615"/>
    <w:rsid w:val="001662DB"/>
    <w:rsid w:val="00170BDD"/>
    <w:rsid w:val="001712EF"/>
    <w:rsid w:val="00172237"/>
    <w:rsid w:val="00172599"/>
    <w:rsid w:val="001732C4"/>
    <w:rsid w:val="0017395D"/>
    <w:rsid w:val="00174598"/>
    <w:rsid w:val="00176372"/>
    <w:rsid w:val="001808F9"/>
    <w:rsid w:val="001812B8"/>
    <w:rsid w:val="001816B7"/>
    <w:rsid w:val="00181859"/>
    <w:rsid w:val="00181867"/>
    <w:rsid w:val="00182CED"/>
    <w:rsid w:val="00183A02"/>
    <w:rsid w:val="00183F65"/>
    <w:rsid w:val="0018556B"/>
    <w:rsid w:val="00186A9C"/>
    <w:rsid w:val="0018797E"/>
    <w:rsid w:val="00192CEF"/>
    <w:rsid w:val="00195B5A"/>
    <w:rsid w:val="00196DA3"/>
    <w:rsid w:val="001A1138"/>
    <w:rsid w:val="001A26BB"/>
    <w:rsid w:val="001B137F"/>
    <w:rsid w:val="001B3139"/>
    <w:rsid w:val="001B75DB"/>
    <w:rsid w:val="001C18BA"/>
    <w:rsid w:val="001C1FA0"/>
    <w:rsid w:val="001C20C6"/>
    <w:rsid w:val="001C21E2"/>
    <w:rsid w:val="001C2D14"/>
    <w:rsid w:val="001C441D"/>
    <w:rsid w:val="001C7658"/>
    <w:rsid w:val="001D035D"/>
    <w:rsid w:val="001D2DC8"/>
    <w:rsid w:val="001D5D08"/>
    <w:rsid w:val="001D5DD6"/>
    <w:rsid w:val="001E01B4"/>
    <w:rsid w:val="001E0204"/>
    <w:rsid w:val="001E027C"/>
    <w:rsid w:val="001E027E"/>
    <w:rsid w:val="001E1E7F"/>
    <w:rsid w:val="001E239C"/>
    <w:rsid w:val="001E24C7"/>
    <w:rsid w:val="001E2F6B"/>
    <w:rsid w:val="001E4756"/>
    <w:rsid w:val="001E58E0"/>
    <w:rsid w:val="001E6F7D"/>
    <w:rsid w:val="001F1B8F"/>
    <w:rsid w:val="001F2EC5"/>
    <w:rsid w:val="001F2F80"/>
    <w:rsid w:val="001F3BAA"/>
    <w:rsid w:val="001F3EF8"/>
    <w:rsid w:val="001F46EC"/>
    <w:rsid w:val="001F4954"/>
    <w:rsid w:val="001F5C5E"/>
    <w:rsid w:val="001F6AF9"/>
    <w:rsid w:val="001F78E4"/>
    <w:rsid w:val="00201A31"/>
    <w:rsid w:val="002026B1"/>
    <w:rsid w:val="0020346B"/>
    <w:rsid w:val="00203518"/>
    <w:rsid w:val="00205136"/>
    <w:rsid w:val="00205BED"/>
    <w:rsid w:val="00206B25"/>
    <w:rsid w:val="00206E5F"/>
    <w:rsid w:val="00207639"/>
    <w:rsid w:val="0021261E"/>
    <w:rsid w:val="002138AC"/>
    <w:rsid w:val="00217B21"/>
    <w:rsid w:val="00217D2F"/>
    <w:rsid w:val="0022128B"/>
    <w:rsid w:val="002246B1"/>
    <w:rsid w:val="00225E4F"/>
    <w:rsid w:val="00226034"/>
    <w:rsid w:val="00226A40"/>
    <w:rsid w:val="00231BA1"/>
    <w:rsid w:val="002345B6"/>
    <w:rsid w:val="002356B2"/>
    <w:rsid w:val="002356EC"/>
    <w:rsid w:val="002364F8"/>
    <w:rsid w:val="00243E90"/>
    <w:rsid w:val="00244144"/>
    <w:rsid w:val="00244327"/>
    <w:rsid w:val="002447AE"/>
    <w:rsid w:val="002449A3"/>
    <w:rsid w:val="00244CDC"/>
    <w:rsid w:val="00245FEA"/>
    <w:rsid w:val="0024638B"/>
    <w:rsid w:val="00247157"/>
    <w:rsid w:val="00250AAE"/>
    <w:rsid w:val="00251567"/>
    <w:rsid w:val="002563E4"/>
    <w:rsid w:val="00256B36"/>
    <w:rsid w:val="00257507"/>
    <w:rsid w:val="002606D2"/>
    <w:rsid w:val="00260CC2"/>
    <w:rsid w:val="00261B02"/>
    <w:rsid w:val="00261B5B"/>
    <w:rsid w:val="00264DA7"/>
    <w:rsid w:val="00265632"/>
    <w:rsid w:val="00266AF9"/>
    <w:rsid w:val="0027105F"/>
    <w:rsid w:val="00273A55"/>
    <w:rsid w:val="00274186"/>
    <w:rsid w:val="002750A8"/>
    <w:rsid w:val="002809A3"/>
    <w:rsid w:val="00281276"/>
    <w:rsid w:val="00281330"/>
    <w:rsid w:val="002823AB"/>
    <w:rsid w:val="00282939"/>
    <w:rsid w:val="00283E0C"/>
    <w:rsid w:val="00284EB9"/>
    <w:rsid w:val="00284F1A"/>
    <w:rsid w:val="00286CCA"/>
    <w:rsid w:val="00286F3B"/>
    <w:rsid w:val="0029190A"/>
    <w:rsid w:val="00293469"/>
    <w:rsid w:val="002938E3"/>
    <w:rsid w:val="002942E8"/>
    <w:rsid w:val="0029594B"/>
    <w:rsid w:val="00296FBD"/>
    <w:rsid w:val="002A0623"/>
    <w:rsid w:val="002A25C7"/>
    <w:rsid w:val="002A2D06"/>
    <w:rsid w:val="002A2E1E"/>
    <w:rsid w:val="002A3A61"/>
    <w:rsid w:val="002A4E7D"/>
    <w:rsid w:val="002A5971"/>
    <w:rsid w:val="002A784E"/>
    <w:rsid w:val="002A78C8"/>
    <w:rsid w:val="002B0EAE"/>
    <w:rsid w:val="002B104F"/>
    <w:rsid w:val="002B1426"/>
    <w:rsid w:val="002B1E9C"/>
    <w:rsid w:val="002B22E8"/>
    <w:rsid w:val="002B2DC5"/>
    <w:rsid w:val="002B58C3"/>
    <w:rsid w:val="002B6C30"/>
    <w:rsid w:val="002B780D"/>
    <w:rsid w:val="002B7B6E"/>
    <w:rsid w:val="002C0CE2"/>
    <w:rsid w:val="002C0D66"/>
    <w:rsid w:val="002C120A"/>
    <w:rsid w:val="002C3ABE"/>
    <w:rsid w:val="002C4529"/>
    <w:rsid w:val="002C4963"/>
    <w:rsid w:val="002C56D3"/>
    <w:rsid w:val="002C5B51"/>
    <w:rsid w:val="002C62C0"/>
    <w:rsid w:val="002C7500"/>
    <w:rsid w:val="002C7B6E"/>
    <w:rsid w:val="002D4223"/>
    <w:rsid w:val="002D430B"/>
    <w:rsid w:val="002D4E3D"/>
    <w:rsid w:val="002D5A70"/>
    <w:rsid w:val="002D614B"/>
    <w:rsid w:val="002D7986"/>
    <w:rsid w:val="002E1321"/>
    <w:rsid w:val="002E2EE8"/>
    <w:rsid w:val="002E3282"/>
    <w:rsid w:val="002E4670"/>
    <w:rsid w:val="002E5689"/>
    <w:rsid w:val="002E628B"/>
    <w:rsid w:val="002E67BD"/>
    <w:rsid w:val="002E6F67"/>
    <w:rsid w:val="002F2081"/>
    <w:rsid w:val="002F3B5D"/>
    <w:rsid w:val="002F3C82"/>
    <w:rsid w:val="003031EC"/>
    <w:rsid w:val="00303B9E"/>
    <w:rsid w:val="00303BC2"/>
    <w:rsid w:val="00304EB7"/>
    <w:rsid w:val="00311CA4"/>
    <w:rsid w:val="00314A26"/>
    <w:rsid w:val="003152B2"/>
    <w:rsid w:val="00315328"/>
    <w:rsid w:val="00315B54"/>
    <w:rsid w:val="0031613E"/>
    <w:rsid w:val="00316C4E"/>
    <w:rsid w:val="00317EFD"/>
    <w:rsid w:val="003209BB"/>
    <w:rsid w:val="00321BBA"/>
    <w:rsid w:val="00321E97"/>
    <w:rsid w:val="003238FD"/>
    <w:rsid w:val="00324ED3"/>
    <w:rsid w:val="003252F8"/>
    <w:rsid w:val="00325641"/>
    <w:rsid w:val="00325E3D"/>
    <w:rsid w:val="00325F15"/>
    <w:rsid w:val="00326AA7"/>
    <w:rsid w:val="00327F4A"/>
    <w:rsid w:val="003308D3"/>
    <w:rsid w:val="00332BD3"/>
    <w:rsid w:val="00333FB5"/>
    <w:rsid w:val="00335355"/>
    <w:rsid w:val="00341904"/>
    <w:rsid w:val="003431F9"/>
    <w:rsid w:val="0034486A"/>
    <w:rsid w:val="00347591"/>
    <w:rsid w:val="00350AE9"/>
    <w:rsid w:val="00352AA9"/>
    <w:rsid w:val="0035449A"/>
    <w:rsid w:val="00356466"/>
    <w:rsid w:val="003568BE"/>
    <w:rsid w:val="003648FB"/>
    <w:rsid w:val="00364994"/>
    <w:rsid w:val="0036536F"/>
    <w:rsid w:val="0036678A"/>
    <w:rsid w:val="00367547"/>
    <w:rsid w:val="003675CF"/>
    <w:rsid w:val="00372C01"/>
    <w:rsid w:val="00372FC7"/>
    <w:rsid w:val="00373244"/>
    <w:rsid w:val="003748D4"/>
    <w:rsid w:val="00374AFE"/>
    <w:rsid w:val="0037522B"/>
    <w:rsid w:val="003763CE"/>
    <w:rsid w:val="00376D84"/>
    <w:rsid w:val="00377CD9"/>
    <w:rsid w:val="00381A64"/>
    <w:rsid w:val="003822BE"/>
    <w:rsid w:val="00382728"/>
    <w:rsid w:val="00382A04"/>
    <w:rsid w:val="0038397B"/>
    <w:rsid w:val="00383BC1"/>
    <w:rsid w:val="003872BE"/>
    <w:rsid w:val="0039150D"/>
    <w:rsid w:val="00391BFA"/>
    <w:rsid w:val="00392A28"/>
    <w:rsid w:val="003942BF"/>
    <w:rsid w:val="00394364"/>
    <w:rsid w:val="00394B08"/>
    <w:rsid w:val="003952DB"/>
    <w:rsid w:val="003958A3"/>
    <w:rsid w:val="003958E2"/>
    <w:rsid w:val="003979CB"/>
    <w:rsid w:val="003A00B7"/>
    <w:rsid w:val="003A05B3"/>
    <w:rsid w:val="003A0801"/>
    <w:rsid w:val="003A0E7E"/>
    <w:rsid w:val="003A15D2"/>
    <w:rsid w:val="003A1D24"/>
    <w:rsid w:val="003A2218"/>
    <w:rsid w:val="003A2BE0"/>
    <w:rsid w:val="003A2D9C"/>
    <w:rsid w:val="003A3686"/>
    <w:rsid w:val="003A690F"/>
    <w:rsid w:val="003A762C"/>
    <w:rsid w:val="003A7DB0"/>
    <w:rsid w:val="003B0A77"/>
    <w:rsid w:val="003B0EF6"/>
    <w:rsid w:val="003B0FDA"/>
    <w:rsid w:val="003B1514"/>
    <w:rsid w:val="003B251B"/>
    <w:rsid w:val="003B2B95"/>
    <w:rsid w:val="003B3480"/>
    <w:rsid w:val="003B6E1C"/>
    <w:rsid w:val="003B726D"/>
    <w:rsid w:val="003B7777"/>
    <w:rsid w:val="003B7D20"/>
    <w:rsid w:val="003C02A6"/>
    <w:rsid w:val="003C2DB3"/>
    <w:rsid w:val="003C3D80"/>
    <w:rsid w:val="003C7B69"/>
    <w:rsid w:val="003C7EBB"/>
    <w:rsid w:val="003D2E8A"/>
    <w:rsid w:val="003D3E3D"/>
    <w:rsid w:val="003D4278"/>
    <w:rsid w:val="003D4BFB"/>
    <w:rsid w:val="003D605B"/>
    <w:rsid w:val="003D7D13"/>
    <w:rsid w:val="003E0879"/>
    <w:rsid w:val="003E2359"/>
    <w:rsid w:val="003E27AB"/>
    <w:rsid w:val="003E2CB6"/>
    <w:rsid w:val="003E355D"/>
    <w:rsid w:val="003E4868"/>
    <w:rsid w:val="003E4954"/>
    <w:rsid w:val="003E555B"/>
    <w:rsid w:val="003E576C"/>
    <w:rsid w:val="003E6033"/>
    <w:rsid w:val="003E62C5"/>
    <w:rsid w:val="003E6CC1"/>
    <w:rsid w:val="003F04AA"/>
    <w:rsid w:val="003F0959"/>
    <w:rsid w:val="003F1325"/>
    <w:rsid w:val="003F1B6C"/>
    <w:rsid w:val="003F2098"/>
    <w:rsid w:val="003F25B1"/>
    <w:rsid w:val="003F7F72"/>
    <w:rsid w:val="0040114D"/>
    <w:rsid w:val="0040217C"/>
    <w:rsid w:val="004022F0"/>
    <w:rsid w:val="00402457"/>
    <w:rsid w:val="00403B61"/>
    <w:rsid w:val="00404E02"/>
    <w:rsid w:val="00405A72"/>
    <w:rsid w:val="00406087"/>
    <w:rsid w:val="00406439"/>
    <w:rsid w:val="00406841"/>
    <w:rsid w:val="0041128E"/>
    <w:rsid w:val="00412349"/>
    <w:rsid w:val="00413644"/>
    <w:rsid w:val="00413C52"/>
    <w:rsid w:val="00413CD8"/>
    <w:rsid w:val="004152C8"/>
    <w:rsid w:val="004165F4"/>
    <w:rsid w:val="00416765"/>
    <w:rsid w:val="004168B1"/>
    <w:rsid w:val="00421DC7"/>
    <w:rsid w:val="00421FE3"/>
    <w:rsid w:val="004220F4"/>
    <w:rsid w:val="00422550"/>
    <w:rsid w:val="0042271F"/>
    <w:rsid w:val="00422998"/>
    <w:rsid w:val="00423FA3"/>
    <w:rsid w:val="00431BB4"/>
    <w:rsid w:val="00431DFC"/>
    <w:rsid w:val="004320AF"/>
    <w:rsid w:val="00433E8B"/>
    <w:rsid w:val="00435200"/>
    <w:rsid w:val="00435D72"/>
    <w:rsid w:val="00436572"/>
    <w:rsid w:val="00437E42"/>
    <w:rsid w:val="00440F82"/>
    <w:rsid w:val="00441229"/>
    <w:rsid w:val="00444F31"/>
    <w:rsid w:val="00446932"/>
    <w:rsid w:val="00450C54"/>
    <w:rsid w:val="004516E5"/>
    <w:rsid w:val="00451C31"/>
    <w:rsid w:val="00452A50"/>
    <w:rsid w:val="004539D8"/>
    <w:rsid w:val="0045520E"/>
    <w:rsid w:val="00457098"/>
    <w:rsid w:val="004607DF"/>
    <w:rsid w:val="004632F8"/>
    <w:rsid w:val="00464292"/>
    <w:rsid w:val="00470A5F"/>
    <w:rsid w:val="00471E8C"/>
    <w:rsid w:val="00474B08"/>
    <w:rsid w:val="004756EF"/>
    <w:rsid w:val="00476C05"/>
    <w:rsid w:val="00477837"/>
    <w:rsid w:val="00481737"/>
    <w:rsid w:val="00482810"/>
    <w:rsid w:val="004828EF"/>
    <w:rsid w:val="004842B0"/>
    <w:rsid w:val="00487294"/>
    <w:rsid w:val="00487473"/>
    <w:rsid w:val="0049053E"/>
    <w:rsid w:val="00491CE2"/>
    <w:rsid w:val="00491F4B"/>
    <w:rsid w:val="00493256"/>
    <w:rsid w:val="00494863"/>
    <w:rsid w:val="004A0B95"/>
    <w:rsid w:val="004A27FD"/>
    <w:rsid w:val="004A3087"/>
    <w:rsid w:val="004A3C18"/>
    <w:rsid w:val="004A7D1C"/>
    <w:rsid w:val="004B1927"/>
    <w:rsid w:val="004B3892"/>
    <w:rsid w:val="004B3EEC"/>
    <w:rsid w:val="004B62C3"/>
    <w:rsid w:val="004B6411"/>
    <w:rsid w:val="004B765F"/>
    <w:rsid w:val="004C00A2"/>
    <w:rsid w:val="004C1409"/>
    <w:rsid w:val="004C3207"/>
    <w:rsid w:val="004D0090"/>
    <w:rsid w:val="004D00A0"/>
    <w:rsid w:val="004D02FD"/>
    <w:rsid w:val="004D2287"/>
    <w:rsid w:val="004D2B4D"/>
    <w:rsid w:val="004D3DC7"/>
    <w:rsid w:val="004D60D0"/>
    <w:rsid w:val="004D7E80"/>
    <w:rsid w:val="004E1978"/>
    <w:rsid w:val="004E2E70"/>
    <w:rsid w:val="004E3AC4"/>
    <w:rsid w:val="004E3B71"/>
    <w:rsid w:val="004E3D14"/>
    <w:rsid w:val="004E3F4F"/>
    <w:rsid w:val="004E42D8"/>
    <w:rsid w:val="004E542E"/>
    <w:rsid w:val="004E7F3E"/>
    <w:rsid w:val="004F0072"/>
    <w:rsid w:val="004F0640"/>
    <w:rsid w:val="004F3418"/>
    <w:rsid w:val="004F3CA3"/>
    <w:rsid w:val="004F631B"/>
    <w:rsid w:val="004F77A4"/>
    <w:rsid w:val="004F78CA"/>
    <w:rsid w:val="004F78DC"/>
    <w:rsid w:val="00501741"/>
    <w:rsid w:val="005037BC"/>
    <w:rsid w:val="005042E1"/>
    <w:rsid w:val="005053F2"/>
    <w:rsid w:val="005060A5"/>
    <w:rsid w:val="005063BD"/>
    <w:rsid w:val="0051003D"/>
    <w:rsid w:val="00510B74"/>
    <w:rsid w:val="0051108D"/>
    <w:rsid w:val="0051200F"/>
    <w:rsid w:val="005128C7"/>
    <w:rsid w:val="0051324A"/>
    <w:rsid w:val="00513315"/>
    <w:rsid w:val="0051365D"/>
    <w:rsid w:val="00514724"/>
    <w:rsid w:val="00516282"/>
    <w:rsid w:val="005165AF"/>
    <w:rsid w:val="00516C75"/>
    <w:rsid w:val="005173FB"/>
    <w:rsid w:val="005203FA"/>
    <w:rsid w:val="00524DC8"/>
    <w:rsid w:val="00525DD4"/>
    <w:rsid w:val="00526E89"/>
    <w:rsid w:val="00527DD5"/>
    <w:rsid w:val="005300A3"/>
    <w:rsid w:val="005305BB"/>
    <w:rsid w:val="00530986"/>
    <w:rsid w:val="00530D19"/>
    <w:rsid w:val="005332A9"/>
    <w:rsid w:val="00534939"/>
    <w:rsid w:val="00537E19"/>
    <w:rsid w:val="005402A6"/>
    <w:rsid w:val="0054191D"/>
    <w:rsid w:val="00541CE0"/>
    <w:rsid w:val="0054232F"/>
    <w:rsid w:val="005425BF"/>
    <w:rsid w:val="00544289"/>
    <w:rsid w:val="005466A2"/>
    <w:rsid w:val="00547860"/>
    <w:rsid w:val="00550E3C"/>
    <w:rsid w:val="00551526"/>
    <w:rsid w:val="0055205F"/>
    <w:rsid w:val="00553652"/>
    <w:rsid w:val="0055446D"/>
    <w:rsid w:val="0055487D"/>
    <w:rsid w:val="00555279"/>
    <w:rsid w:val="005553D2"/>
    <w:rsid w:val="005559CC"/>
    <w:rsid w:val="00556F18"/>
    <w:rsid w:val="00560D05"/>
    <w:rsid w:val="0056192B"/>
    <w:rsid w:val="005622CF"/>
    <w:rsid w:val="00563F70"/>
    <w:rsid w:val="00571BAA"/>
    <w:rsid w:val="005735A7"/>
    <w:rsid w:val="00575F17"/>
    <w:rsid w:val="00575F83"/>
    <w:rsid w:val="0058038F"/>
    <w:rsid w:val="005803BE"/>
    <w:rsid w:val="00585871"/>
    <w:rsid w:val="00585E83"/>
    <w:rsid w:val="00586432"/>
    <w:rsid w:val="00590C76"/>
    <w:rsid w:val="00593D0B"/>
    <w:rsid w:val="00597F95"/>
    <w:rsid w:val="005A126B"/>
    <w:rsid w:val="005A168D"/>
    <w:rsid w:val="005A284C"/>
    <w:rsid w:val="005A3CEC"/>
    <w:rsid w:val="005A3FDC"/>
    <w:rsid w:val="005A4D65"/>
    <w:rsid w:val="005A4F01"/>
    <w:rsid w:val="005B227B"/>
    <w:rsid w:val="005B2432"/>
    <w:rsid w:val="005B289F"/>
    <w:rsid w:val="005B46B9"/>
    <w:rsid w:val="005B5DAD"/>
    <w:rsid w:val="005B5F22"/>
    <w:rsid w:val="005B6C7B"/>
    <w:rsid w:val="005B6CD7"/>
    <w:rsid w:val="005B7309"/>
    <w:rsid w:val="005B7587"/>
    <w:rsid w:val="005C1ABF"/>
    <w:rsid w:val="005C2803"/>
    <w:rsid w:val="005C3B76"/>
    <w:rsid w:val="005C4F50"/>
    <w:rsid w:val="005C5B2D"/>
    <w:rsid w:val="005C76B2"/>
    <w:rsid w:val="005D09B9"/>
    <w:rsid w:val="005D175E"/>
    <w:rsid w:val="005D1B1D"/>
    <w:rsid w:val="005D3918"/>
    <w:rsid w:val="005D4C67"/>
    <w:rsid w:val="005D5CC2"/>
    <w:rsid w:val="005D62EB"/>
    <w:rsid w:val="005D6687"/>
    <w:rsid w:val="005D70F4"/>
    <w:rsid w:val="005D74A3"/>
    <w:rsid w:val="005E14B7"/>
    <w:rsid w:val="005E18D2"/>
    <w:rsid w:val="005E268D"/>
    <w:rsid w:val="005E2CCB"/>
    <w:rsid w:val="005E2E1E"/>
    <w:rsid w:val="005E3820"/>
    <w:rsid w:val="005E5174"/>
    <w:rsid w:val="005E55A3"/>
    <w:rsid w:val="005E7ABE"/>
    <w:rsid w:val="005E7CAA"/>
    <w:rsid w:val="005F0A6A"/>
    <w:rsid w:val="005F23DA"/>
    <w:rsid w:val="005F2A1E"/>
    <w:rsid w:val="005F3D20"/>
    <w:rsid w:val="005F4912"/>
    <w:rsid w:val="005F6320"/>
    <w:rsid w:val="00602438"/>
    <w:rsid w:val="00603078"/>
    <w:rsid w:val="00603651"/>
    <w:rsid w:val="006038C8"/>
    <w:rsid w:val="006043B2"/>
    <w:rsid w:val="00604489"/>
    <w:rsid w:val="006060CD"/>
    <w:rsid w:val="00607256"/>
    <w:rsid w:val="0061334D"/>
    <w:rsid w:val="00614187"/>
    <w:rsid w:val="006147B4"/>
    <w:rsid w:val="00615791"/>
    <w:rsid w:val="00620694"/>
    <w:rsid w:val="0062078B"/>
    <w:rsid w:val="0062595C"/>
    <w:rsid w:val="00625A03"/>
    <w:rsid w:val="0062621C"/>
    <w:rsid w:val="00626B4C"/>
    <w:rsid w:val="0062772E"/>
    <w:rsid w:val="00631C0C"/>
    <w:rsid w:val="006321AA"/>
    <w:rsid w:val="00632544"/>
    <w:rsid w:val="00632C43"/>
    <w:rsid w:val="00634FDF"/>
    <w:rsid w:val="00635FA8"/>
    <w:rsid w:val="00636E5F"/>
    <w:rsid w:val="006374AB"/>
    <w:rsid w:val="0063757F"/>
    <w:rsid w:val="0064010B"/>
    <w:rsid w:val="00640510"/>
    <w:rsid w:val="00645BED"/>
    <w:rsid w:val="0064639F"/>
    <w:rsid w:val="00646F45"/>
    <w:rsid w:val="00650AC9"/>
    <w:rsid w:val="00650C06"/>
    <w:rsid w:val="006523AE"/>
    <w:rsid w:val="00654670"/>
    <w:rsid w:val="00655AA0"/>
    <w:rsid w:val="00656DBB"/>
    <w:rsid w:val="00660149"/>
    <w:rsid w:val="0066190D"/>
    <w:rsid w:val="00661D3A"/>
    <w:rsid w:val="0066354E"/>
    <w:rsid w:val="00664523"/>
    <w:rsid w:val="00664670"/>
    <w:rsid w:val="006649B6"/>
    <w:rsid w:val="00665780"/>
    <w:rsid w:val="00670993"/>
    <w:rsid w:val="00671F9E"/>
    <w:rsid w:val="0067267B"/>
    <w:rsid w:val="00674244"/>
    <w:rsid w:val="00675ACB"/>
    <w:rsid w:val="006760A4"/>
    <w:rsid w:val="00676375"/>
    <w:rsid w:val="0068177B"/>
    <w:rsid w:val="0068396A"/>
    <w:rsid w:val="00684AFA"/>
    <w:rsid w:val="00684D54"/>
    <w:rsid w:val="00685899"/>
    <w:rsid w:val="006873FC"/>
    <w:rsid w:val="00687753"/>
    <w:rsid w:val="00687EFE"/>
    <w:rsid w:val="0069187E"/>
    <w:rsid w:val="0069418C"/>
    <w:rsid w:val="00694E04"/>
    <w:rsid w:val="006958A0"/>
    <w:rsid w:val="006964BF"/>
    <w:rsid w:val="006967AB"/>
    <w:rsid w:val="006A1B6C"/>
    <w:rsid w:val="006A5098"/>
    <w:rsid w:val="006A5803"/>
    <w:rsid w:val="006A7509"/>
    <w:rsid w:val="006A7743"/>
    <w:rsid w:val="006B1D5E"/>
    <w:rsid w:val="006B5501"/>
    <w:rsid w:val="006B693E"/>
    <w:rsid w:val="006B7A58"/>
    <w:rsid w:val="006C49D9"/>
    <w:rsid w:val="006C4A27"/>
    <w:rsid w:val="006C5710"/>
    <w:rsid w:val="006C69F6"/>
    <w:rsid w:val="006D0462"/>
    <w:rsid w:val="006D0911"/>
    <w:rsid w:val="006D0BCA"/>
    <w:rsid w:val="006D0D91"/>
    <w:rsid w:val="006D0E53"/>
    <w:rsid w:val="006D2833"/>
    <w:rsid w:val="006D3D8D"/>
    <w:rsid w:val="006D5F59"/>
    <w:rsid w:val="006D6F73"/>
    <w:rsid w:val="006D7ADE"/>
    <w:rsid w:val="006E17C4"/>
    <w:rsid w:val="006E19A4"/>
    <w:rsid w:val="006E4096"/>
    <w:rsid w:val="006E48AE"/>
    <w:rsid w:val="006E57C1"/>
    <w:rsid w:val="006E654A"/>
    <w:rsid w:val="006F05AB"/>
    <w:rsid w:val="006F0A6C"/>
    <w:rsid w:val="006F2FDF"/>
    <w:rsid w:val="006F3A15"/>
    <w:rsid w:val="006F434E"/>
    <w:rsid w:val="006F6560"/>
    <w:rsid w:val="006F6726"/>
    <w:rsid w:val="006F6A4E"/>
    <w:rsid w:val="006F6D62"/>
    <w:rsid w:val="006F6F9C"/>
    <w:rsid w:val="006F77E9"/>
    <w:rsid w:val="007019B3"/>
    <w:rsid w:val="00702A81"/>
    <w:rsid w:val="0070305C"/>
    <w:rsid w:val="00704632"/>
    <w:rsid w:val="007048F7"/>
    <w:rsid w:val="00704EF6"/>
    <w:rsid w:val="00705A8E"/>
    <w:rsid w:val="00706065"/>
    <w:rsid w:val="0070791B"/>
    <w:rsid w:val="0070792A"/>
    <w:rsid w:val="00710BF0"/>
    <w:rsid w:val="00711431"/>
    <w:rsid w:val="0071174C"/>
    <w:rsid w:val="007119EC"/>
    <w:rsid w:val="007120D3"/>
    <w:rsid w:val="007129C1"/>
    <w:rsid w:val="00712C09"/>
    <w:rsid w:val="007130B1"/>
    <w:rsid w:val="0071480E"/>
    <w:rsid w:val="007175F1"/>
    <w:rsid w:val="007208BB"/>
    <w:rsid w:val="00721EC3"/>
    <w:rsid w:val="0072333A"/>
    <w:rsid w:val="0072366D"/>
    <w:rsid w:val="0072394C"/>
    <w:rsid w:val="007244CA"/>
    <w:rsid w:val="00727ECD"/>
    <w:rsid w:val="0073182E"/>
    <w:rsid w:val="0073215C"/>
    <w:rsid w:val="00732616"/>
    <w:rsid w:val="00734791"/>
    <w:rsid w:val="00734C80"/>
    <w:rsid w:val="0073570A"/>
    <w:rsid w:val="00735B37"/>
    <w:rsid w:val="00737DB4"/>
    <w:rsid w:val="00740EC5"/>
    <w:rsid w:val="00741337"/>
    <w:rsid w:val="00742AC6"/>
    <w:rsid w:val="0074321E"/>
    <w:rsid w:val="00743690"/>
    <w:rsid w:val="00743F93"/>
    <w:rsid w:val="0074510F"/>
    <w:rsid w:val="0074513D"/>
    <w:rsid w:val="0074742D"/>
    <w:rsid w:val="00751AE3"/>
    <w:rsid w:val="00752D78"/>
    <w:rsid w:val="00753981"/>
    <w:rsid w:val="0075447D"/>
    <w:rsid w:val="00754596"/>
    <w:rsid w:val="00755D07"/>
    <w:rsid w:val="007562EF"/>
    <w:rsid w:val="007566C2"/>
    <w:rsid w:val="0075757A"/>
    <w:rsid w:val="00757858"/>
    <w:rsid w:val="00760508"/>
    <w:rsid w:val="00760B5D"/>
    <w:rsid w:val="00762050"/>
    <w:rsid w:val="00763768"/>
    <w:rsid w:val="007650C9"/>
    <w:rsid w:val="00765F1F"/>
    <w:rsid w:val="007668EB"/>
    <w:rsid w:val="007714CA"/>
    <w:rsid w:val="00771BBF"/>
    <w:rsid w:val="00771EDF"/>
    <w:rsid w:val="00771F1E"/>
    <w:rsid w:val="00772305"/>
    <w:rsid w:val="00772433"/>
    <w:rsid w:val="007724E7"/>
    <w:rsid w:val="0077301F"/>
    <w:rsid w:val="00775397"/>
    <w:rsid w:val="00776A8C"/>
    <w:rsid w:val="007802E1"/>
    <w:rsid w:val="00780E5E"/>
    <w:rsid w:val="00781685"/>
    <w:rsid w:val="007823F7"/>
    <w:rsid w:val="007825FF"/>
    <w:rsid w:val="00782AB2"/>
    <w:rsid w:val="00783DB6"/>
    <w:rsid w:val="007850AB"/>
    <w:rsid w:val="00787B20"/>
    <w:rsid w:val="00790010"/>
    <w:rsid w:val="0079478A"/>
    <w:rsid w:val="00794F23"/>
    <w:rsid w:val="00797681"/>
    <w:rsid w:val="007978B2"/>
    <w:rsid w:val="00797CB6"/>
    <w:rsid w:val="007A1426"/>
    <w:rsid w:val="007A1607"/>
    <w:rsid w:val="007A3434"/>
    <w:rsid w:val="007A3DD3"/>
    <w:rsid w:val="007A493F"/>
    <w:rsid w:val="007A5556"/>
    <w:rsid w:val="007A795A"/>
    <w:rsid w:val="007B1D0F"/>
    <w:rsid w:val="007B3F8C"/>
    <w:rsid w:val="007B4F22"/>
    <w:rsid w:val="007C02C2"/>
    <w:rsid w:val="007C2AE1"/>
    <w:rsid w:val="007C3242"/>
    <w:rsid w:val="007C364E"/>
    <w:rsid w:val="007C5BFF"/>
    <w:rsid w:val="007C631B"/>
    <w:rsid w:val="007C6DAC"/>
    <w:rsid w:val="007C6F3D"/>
    <w:rsid w:val="007D05E1"/>
    <w:rsid w:val="007D12F9"/>
    <w:rsid w:val="007D1451"/>
    <w:rsid w:val="007D7580"/>
    <w:rsid w:val="007D7B96"/>
    <w:rsid w:val="007D7F41"/>
    <w:rsid w:val="007E174F"/>
    <w:rsid w:val="007E2621"/>
    <w:rsid w:val="007E2718"/>
    <w:rsid w:val="007E362E"/>
    <w:rsid w:val="007E382C"/>
    <w:rsid w:val="007E41D8"/>
    <w:rsid w:val="007E57AD"/>
    <w:rsid w:val="007F0471"/>
    <w:rsid w:val="007F32DC"/>
    <w:rsid w:val="007F4E61"/>
    <w:rsid w:val="007F5851"/>
    <w:rsid w:val="007F6B1D"/>
    <w:rsid w:val="0080174E"/>
    <w:rsid w:val="008018C6"/>
    <w:rsid w:val="00801E84"/>
    <w:rsid w:val="00802503"/>
    <w:rsid w:val="00802F2E"/>
    <w:rsid w:val="00807B53"/>
    <w:rsid w:val="0081111A"/>
    <w:rsid w:val="00811656"/>
    <w:rsid w:val="00813470"/>
    <w:rsid w:val="008172D0"/>
    <w:rsid w:val="00821935"/>
    <w:rsid w:val="0082239B"/>
    <w:rsid w:val="00822A35"/>
    <w:rsid w:val="00823AEF"/>
    <w:rsid w:val="00824C11"/>
    <w:rsid w:val="00826148"/>
    <w:rsid w:val="008302FF"/>
    <w:rsid w:val="0083074C"/>
    <w:rsid w:val="00830A67"/>
    <w:rsid w:val="00830DC9"/>
    <w:rsid w:val="00831A25"/>
    <w:rsid w:val="00832725"/>
    <w:rsid w:val="008338B6"/>
    <w:rsid w:val="008366F9"/>
    <w:rsid w:val="00836AFC"/>
    <w:rsid w:val="008377F7"/>
    <w:rsid w:val="00837E93"/>
    <w:rsid w:val="008469CB"/>
    <w:rsid w:val="00847C89"/>
    <w:rsid w:val="008539E9"/>
    <w:rsid w:val="00853BD8"/>
    <w:rsid w:val="00853D33"/>
    <w:rsid w:val="00853F40"/>
    <w:rsid w:val="00855613"/>
    <w:rsid w:val="00856B71"/>
    <w:rsid w:val="008577EC"/>
    <w:rsid w:val="00860FA9"/>
    <w:rsid w:val="00864BEB"/>
    <w:rsid w:val="00865667"/>
    <w:rsid w:val="0086718A"/>
    <w:rsid w:val="008751B6"/>
    <w:rsid w:val="00875E6F"/>
    <w:rsid w:val="0087709B"/>
    <w:rsid w:val="008832AD"/>
    <w:rsid w:val="00883582"/>
    <w:rsid w:val="008836E7"/>
    <w:rsid w:val="00883C6A"/>
    <w:rsid w:val="00885A50"/>
    <w:rsid w:val="00886496"/>
    <w:rsid w:val="00886F18"/>
    <w:rsid w:val="00891745"/>
    <w:rsid w:val="00892758"/>
    <w:rsid w:val="00897322"/>
    <w:rsid w:val="00897581"/>
    <w:rsid w:val="00897DEC"/>
    <w:rsid w:val="008A328E"/>
    <w:rsid w:val="008A51C8"/>
    <w:rsid w:val="008A52E3"/>
    <w:rsid w:val="008A7F86"/>
    <w:rsid w:val="008B3E3A"/>
    <w:rsid w:val="008B4C5C"/>
    <w:rsid w:val="008B5B4F"/>
    <w:rsid w:val="008B61D9"/>
    <w:rsid w:val="008C150C"/>
    <w:rsid w:val="008C2C44"/>
    <w:rsid w:val="008C4D0E"/>
    <w:rsid w:val="008C5CAC"/>
    <w:rsid w:val="008D2F42"/>
    <w:rsid w:val="008D3AE5"/>
    <w:rsid w:val="008D3DCF"/>
    <w:rsid w:val="008D4D08"/>
    <w:rsid w:val="008D54C2"/>
    <w:rsid w:val="008D555D"/>
    <w:rsid w:val="008D6981"/>
    <w:rsid w:val="008D74F9"/>
    <w:rsid w:val="008E058A"/>
    <w:rsid w:val="008E1D68"/>
    <w:rsid w:val="008E21DC"/>
    <w:rsid w:val="008E24F9"/>
    <w:rsid w:val="008E32E5"/>
    <w:rsid w:val="008E40AE"/>
    <w:rsid w:val="008E417D"/>
    <w:rsid w:val="008E4D9E"/>
    <w:rsid w:val="008E54A5"/>
    <w:rsid w:val="008E69E6"/>
    <w:rsid w:val="008E75DD"/>
    <w:rsid w:val="008E7868"/>
    <w:rsid w:val="008E78A3"/>
    <w:rsid w:val="008E7DBF"/>
    <w:rsid w:val="008F2F69"/>
    <w:rsid w:val="008F45A5"/>
    <w:rsid w:val="008F4DCE"/>
    <w:rsid w:val="008F4E38"/>
    <w:rsid w:val="008F6D06"/>
    <w:rsid w:val="00900E05"/>
    <w:rsid w:val="00903582"/>
    <w:rsid w:val="00903975"/>
    <w:rsid w:val="009055F4"/>
    <w:rsid w:val="009071CE"/>
    <w:rsid w:val="00913F1C"/>
    <w:rsid w:val="00914DCF"/>
    <w:rsid w:val="00916E8F"/>
    <w:rsid w:val="00917A24"/>
    <w:rsid w:val="0092276D"/>
    <w:rsid w:val="009236F1"/>
    <w:rsid w:val="00923A3C"/>
    <w:rsid w:val="00923B8F"/>
    <w:rsid w:val="009246F1"/>
    <w:rsid w:val="00930D54"/>
    <w:rsid w:val="009310FA"/>
    <w:rsid w:val="0093203E"/>
    <w:rsid w:val="009323BE"/>
    <w:rsid w:val="009331A4"/>
    <w:rsid w:val="00935032"/>
    <w:rsid w:val="00936EE9"/>
    <w:rsid w:val="00940833"/>
    <w:rsid w:val="009409AB"/>
    <w:rsid w:val="00941A7C"/>
    <w:rsid w:val="009426F6"/>
    <w:rsid w:val="009432CD"/>
    <w:rsid w:val="00944EF0"/>
    <w:rsid w:val="00944F9A"/>
    <w:rsid w:val="0095303A"/>
    <w:rsid w:val="009534AA"/>
    <w:rsid w:val="00953ADE"/>
    <w:rsid w:val="00956D7C"/>
    <w:rsid w:val="00957DB5"/>
    <w:rsid w:val="00960655"/>
    <w:rsid w:val="0096499E"/>
    <w:rsid w:val="00964C2D"/>
    <w:rsid w:val="00965116"/>
    <w:rsid w:val="0096517A"/>
    <w:rsid w:val="00965984"/>
    <w:rsid w:val="00966206"/>
    <w:rsid w:val="009703FC"/>
    <w:rsid w:val="00970601"/>
    <w:rsid w:val="00971035"/>
    <w:rsid w:val="00973080"/>
    <w:rsid w:val="009736B9"/>
    <w:rsid w:val="0097558F"/>
    <w:rsid w:val="00975713"/>
    <w:rsid w:val="009777BB"/>
    <w:rsid w:val="00977BE9"/>
    <w:rsid w:val="00980378"/>
    <w:rsid w:val="00982F87"/>
    <w:rsid w:val="00982FC5"/>
    <w:rsid w:val="00984187"/>
    <w:rsid w:val="00984A53"/>
    <w:rsid w:val="00985D49"/>
    <w:rsid w:val="009864DB"/>
    <w:rsid w:val="009866E2"/>
    <w:rsid w:val="009874B6"/>
    <w:rsid w:val="009878AF"/>
    <w:rsid w:val="0099055B"/>
    <w:rsid w:val="00991DE1"/>
    <w:rsid w:val="0099201D"/>
    <w:rsid w:val="00992B16"/>
    <w:rsid w:val="00992CA2"/>
    <w:rsid w:val="00994137"/>
    <w:rsid w:val="0099455D"/>
    <w:rsid w:val="00997384"/>
    <w:rsid w:val="009A06D6"/>
    <w:rsid w:val="009A2F48"/>
    <w:rsid w:val="009A4118"/>
    <w:rsid w:val="009A6A42"/>
    <w:rsid w:val="009A72ED"/>
    <w:rsid w:val="009B03E5"/>
    <w:rsid w:val="009B0BED"/>
    <w:rsid w:val="009B1AD9"/>
    <w:rsid w:val="009B28E6"/>
    <w:rsid w:val="009B2990"/>
    <w:rsid w:val="009B2E1D"/>
    <w:rsid w:val="009B40BB"/>
    <w:rsid w:val="009B7BEE"/>
    <w:rsid w:val="009C2A63"/>
    <w:rsid w:val="009C3CCF"/>
    <w:rsid w:val="009C5F92"/>
    <w:rsid w:val="009C6776"/>
    <w:rsid w:val="009C6DB0"/>
    <w:rsid w:val="009C7850"/>
    <w:rsid w:val="009D068F"/>
    <w:rsid w:val="009D20C5"/>
    <w:rsid w:val="009D27BF"/>
    <w:rsid w:val="009D4FFC"/>
    <w:rsid w:val="009D50C3"/>
    <w:rsid w:val="009D5A7A"/>
    <w:rsid w:val="009D7C6A"/>
    <w:rsid w:val="009E30AA"/>
    <w:rsid w:val="009E73FD"/>
    <w:rsid w:val="009E7BC9"/>
    <w:rsid w:val="009F3F60"/>
    <w:rsid w:val="009F7177"/>
    <w:rsid w:val="009F7201"/>
    <w:rsid w:val="009F7F1F"/>
    <w:rsid w:val="00A025FD"/>
    <w:rsid w:val="00A027F9"/>
    <w:rsid w:val="00A05273"/>
    <w:rsid w:val="00A059C8"/>
    <w:rsid w:val="00A06C1D"/>
    <w:rsid w:val="00A06CE1"/>
    <w:rsid w:val="00A1325F"/>
    <w:rsid w:val="00A14743"/>
    <w:rsid w:val="00A1516A"/>
    <w:rsid w:val="00A15AF0"/>
    <w:rsid w:val="00A16F61"/>
    <w:rsid w:val="00A17EF9"/>
    <w:rsid w:val="00A2223B"/>
    <w:rsid w:val="00A24A8C"/>
    <w:rsid w:val="00A270BB"/>
    <w:rsid w:val="00A2728E"/>
    <w:rsid w:val="00A27308"/>
    <w:rsid w:val="00A3058C"/>
    <w:rsid w:val="00A31FA1"/>
    <w:rsid w:val="00A326B7"/>
    <w:rsid w:val="00A3295D"/>
    <w:rsid w:val="00A33F3A"/>
    <w:rsid w:val="00A33FAB"/>
    <w:rsid w:val="00A34017"/>
    <w:rsid w:val="00A3414E"/>
    <w:rsid w:val="00A345FF"/>
    <w:rsid w:val="00A356C2"/>
    <w:rsid w:val="00A35B2B"/>
    <w:rsid w:val="00A36BE1"/>
    <w:rsid w:val="00A455E7"/>
    <w:rsid w:val="00A46938"/>
    <w:rsid w:val="00A51B89"/>
    <w:rsid w:val="00A5264F"/>
    <w:rsid w:val="00A5286D"/>
    <w:rsid w:val="00A5347D"/>
    <w:rsid w:val="00A53CDD"/>
    <w:rsid w:val="00A54628"/>
    <w:rsid w:val="00A549EA"/>
    <w:rsid w:val="00A5632A"/>
    <w:rsid w:val="00A57828"/>
    <w:rsid w:val="00A643D9"/>
    <w:rsid w:val="00A64B00"/>
    <w:rsid w:val="00A64BA9"/>
    <w:rsid w:val="00A64FE6"/>
    <w:rsid w:val="00A652BD"/>
    <w:rsid w:val="00A66FF2"/>
    <w:rsid w:val="00A6747B"/>
    <w:rsid w:val="00A674D3"/>
    <w:rsid w:val="00A67B78"/>
    <w:rsid w:val="00A67BBA"/>
    <w:rsid w:val="00A7082E"/>
    <w:rsid w:val="00A70E02"/>
    <w:rsid w:val="00A71730"/>
    <w:rsid w:val="00A71CCF"/>
    <w:rsid w:val="00A7559A"/>
    <w:rsid w:val="00A77776"/>
    <w:rsid w:val="00A80FCC"/>
    <w:rsid w:val="00A84001"/>
    <w:rsid w:val="00A854E3"/>
    <w:rsid w:val="00A858A9"/>
    <w:rsid w:val="00A8668C"/>
    <w:rsid w:val="00A8718E"/>
    <w:rsid w:val="00A90460"/>
    <w:rsid w:val="00A90D8C"/>
    <w:rsid w:val="00A92CBE"/>
    <w:rsid w:val="00A939C6"/>
    <w:rsid w:val="00AA1757"/>
    <w:rsid w:val="00AA19FF"/>
    <w:rsid w:val="00AA1B77"/>
    <w:rsid w:val="00AA201E"/>
    <w:rsid w:val="00AA2782"/>
    <w:rsid w:val="00AA29D4"/>
    <w:rsid w:val="00AA2B33"/>
    <w:rsid w:val="00AA453A"/>
    <w:rsid w:val="00AA4BBC"/>
    <w:rsid w:val="00AA6620"/>
    <w:rsid w:val="00AA73E6"/>
    <w:rsid w:val="00AB5AFE"/>
    <w:rsid w:val="00AB70E2"/>
    <w:rsid w:val="00AB7E5B"/>
    <w:rsid w:val="00AB7EEE"/>
    <w:rsid w:val="00AC045C"/>
    <w:rsid w:val="00AC06F2"/>
    <w:rsid w:val="00AC0BAD"/>
    <w:rsid w:val="00AC0C5C"/>
    <w:rsid w:val="00AC1C1A"/>
    <w:rsid w:val="00AC2C16"/>
    <w:rsid w:val="00AC2C9A"/>
    <w:rsid w:val="00AC2CF6"/>
    <w:rsid w:val="00AC3C9B"/>
    <w:rsid w:val="00AC4C7B"/>
    <w:rsid w:val="00AC543A"/>
    <w:rsid w:val="00AC6A41"/>
    <w:rsid w:val="00AD0DA2"/>
    <w:rsid w:val="00AD1276"/>
    <w:rsid w:val="00AD171C"/>
    <w:rsid w:val="00AD4546"/>
    <w:rsid w:val="00AD65A3"/>
    <w:rsid w:val="00AD7FC9"/>
    <w:rsid w:val="00AE04CB"/>
    <w:rsid w:val="00AE16CF"/>
    <w:rsid w:val="00AE1BDA"/>
    <w:rsid w:val="00AE1EA7"/>
    <w:rsid w:val="00AE272A"/>
    <w:rsid w:val="00AE47FD"/>
    <w:rsid w:val="00AE58FF"/>
    <w:rsid w:val="00AE6690"/>
    <w:rsid w:val="00AE67C2"/>
    <w:rsid w:val="00AE7279"/>
    <w:rsid w:val="00AE7419"/>
    <w:rsid w:val="00AF07D9"/>
    <w:rsid w:val="00AF4FB5"/>
    <w:rsid w:val="00AF5A51"/>
    <w:rsid w:val="00AF5BBA"/>
    <w:rsid w:val="00AF5C2B"/>
    <w:rsid w:val="00B012A1"/>
    <w:rsid w:val="00B02595"/>
    <w:rsid w:val="00B031BC"/>
    <w:rsid w:val="00B041C4"/>
    <w:rsid w:val="00B04910"/>
    <w:rsid w:val="00B04F00"/>
    <w:rsid w:val="00B04F36"/>
    <w:rsid w:val="00B10481"/>
    <w:rsid w:val="00B12EA8"/>
    <w:rsid w:val="00B13F3D"/>
    <w:rsid w:val="00B14BF7"/>
    <w:rsid w:val="00B16F50"/>
    <w:rsid w:val="00B17A71"/>
    <w:rsid w:val="00B2074D"/>
    <w:rsid w:val="00B20E20"/>
    <w:rsid w:val="00B21594"/>
    <w:rsid w:val="00B22072"/>
    <w:rsid w:val="00B260F0"/>
    <w:rsid w:val="00B27914"/>
    <w:rsid w:val="00B27988"/>
    <w:rsid w:val="00B32598"/>
    <w:rsid w:val="00B32638"/>
    <w:rsid w:val="00B32931"/>
    <w:rsid w:val="00B349E1"/>
    <w:rsid w:val="00B3590C"/>
    <w:rsid w:val="00B4140E"/>
    <w:rsid w:val="00B41906"/>
    <w:rsid w:val="00B43340"/>
    <w:rsid w:val="00B43519"/>
    <w:rsid w:val="00B4392B"/>
    <w:rsid w:val="00B43C7E"/>
    <w:rsid w:val="00B44E06"/>
    <w:rsid w:val="00B4506E"/>
    <w:rsid w:val="00B478F9"/>
    <w:rsid w:val="00B5083F"/>
    <w:rsid w:val="00B526A0"/>
    <w:rsid w:val="00B5271E"/>
    <w:rsid w:val="00B538B8"/>
    <w:rsid w:val="00B54442"/>
    <w:rsid w:val="00B5466C"/>
    <w:rsid w:val="00B54BAF"/>
    <w:rsid w:val="00B55139"/>
    <w:rsid w:val="00B55A32"/>
    <w:rsid w:val="00B562EE"/>
    <w:rsid w:val="00B57173"/>
    <w:rsid w:val="00B57CAB"/>
    <w:rsid w:val="00B6065E"/>
    <w:rsid w:val="00B60ECC"/>
    <w:rsid w:val="00B616F1"/>
    <w:rsid w:val="00B61783"/>
    <w:rsid w:val="00B628D1"/>
    <w:rsid w:val="00B6340B"/>
    <w:rsid w:val="00B6431A"/>
    <w:rsid w:val="00B65019"/>
    <w:rsid w:val="00B71C5C"/>
    <w:rsid w:val="00B72A05"/>
    <w:rsid w:val="00B72C3D"/>
    <w:rsid w:val="00B7350E"/>
    <w:rsid w:val="00B74D43"/>
    <w:rsid w:val="00B75283"/>
    <w:rsid w:val="00B76056"/>
    <w:rsid w:val="00B760A2"/>
    <w:rsid w:val="00B76EA1"/>
    <w:rsid w:val="00B821BC"/>
    <w:rsid w:val="00B82861"/>
    <w:rsid w:val="00B83559"/>
    <w:rsid w:val="00B85282"/>
    <w:rsid w:val="00B85BE1"/>
    <w:rsid w:val="00B86477"/>
    <w:rsid w:val="00B87203"/>
    <w:rsid w:val="00B87B9A"/>
    <w:rsid w:val="00B90361"/>
    <w:rsid w:val="00B90845"/>
    <w:rsid w:val="00B9184A"/>
    <w:rsid w:val="00B92A6A"/>
    <w:rsid w:val="00B93842"/>
    <w:rsid w:val="00B93C02"/>
    <w:rsid w:val="00B942B3"/>
    <w:rsid w:val="00B96C6C"/>
    <w:rsid w:val="00BA0ECD"/>
    <w:rsid w:val="00BA4B7A"/>
    <w:rsid w:val="00BA5234"/>
    <w:rsid w:val="00BA5457"/>
    <w:rsid w:val="00BA78BD"/>
    <w:rsid w:val="00BB178A"/>
    <w:rsid w:val="00BB187E"/>
    <w:rsid w:val="00BB27C4"/>
    <w:rsid w:val="00BB2E0C"/>
    <w:rsid w:val="00BB4ADA"/>
    <w:rsid w:val="00BB4BDA"/>
    <w:rsid w:val="00BB5C7E"/>
    <w:rsid w:val="00BB5CD9"/>
    <w:rsid w:val="00BB6A64"/>
    <w:rsid w:val="00BB7D0B"/>
    <w:rsid w:val="00BC2DC8"/>
    <w:rsid w:val="00BC5446"/>
    <w:rsid w:val="00BC726C"/>
    <w:rsid w:val="00BC7520"/>
    <w:rsid w:val="00BD3F4E"/>
    <w:rsid w:val="00BD44B0"/>
    <w:rsid w:val="00BD51DC"/>
    <w:rsid w:val="00BD54B1"/>
    <w:rsid w:val="00BD7F32"/>
    <w:rsid w:val="00BE4F7B"/>
    <w:rsid w:val="00BE5701"/>
    <w:rsid w:val="00BE5C44"/>
    <w:rsid w:val="00BE6C19"/>
    <w:rsid w:val="00BF0EC2"/>
    <w:rsid w:val="00BF1ADE"/>
    <w:rsid w:val="00BF3B4E"/>
    <w:rsid w:val="00BF4629"/>
    <w:rsid w:val="00BF4D62"/>
    <w:rsid w:val="00C00CBB"/>
    <w:rsid w:val="00C01A56"/>
    <w:rsid w:val="00C034DB"/>
    <w:rsid w:val="00C03AB7"/>
    <w:rsid w:val="00C03F0F"/>
    <w:rsid w:val="00C04474"/>
    <w:rsid w:val="00C04A36"/>
    <w:rsid w:val="00C06AD0"/>
    <w:rsid w:val="00C11232"/>
    <w:rsid w:val="00C12082"/>
    <w:rsid w:val="00C130F0"/>
    <w:rsid w:val="00C13A97"/>
    <w:rsid w:val="00C13DAD"/>
    <w:rsid w:val="00C15493"/>
    <w:rsid w:val="00C16441"/>
    <w:rsid w:val="00C167B9"/>
    <w:rsid w:val="00C17265"/>
    <w:rsid w:val="00C200DE"/>
    <w:rsid w:val="00C20229"/>
    <w:rsid w:val="00C211E0"/>
    <w:rsid w:val="00C213F2"/>
    <w:rsid w:val="00C21F54"/>
    <w:rsid w:val="00C22AE4"/>
    <w:rsid w:val="00C24DE2"/>
    <w:rsid w:val="00C31845"/>
    <w:rsid w:val="00C32396"/>
    <w:rsid w:val="00C3270C"/>
    <w:rsid w:val="00C33D3B"/>
    <w:rsid w:val="00C3429B"/>
    <w:rsid w:val="00C34E6B"/>
    <w:rsid w:val="00C3607A"/>
    <w:rsid w:val="00C3787B"/>
    <w:rsid w:val="00C379E9"/>
    <w:rsid w:val="00C410B3"/>
    <w:rsid w:val="00C42689"/>
    <w:rsid w:val="00C4496F"/>
    <w:rsid w:val="00C459B5"/>
    <w:rsid w:val="00C45DA9"/>
    <w:rsid w:val="00C47E47"/>
    <w:rsid w:val="00C51A1C"/>
    <w:rsid w:val="00C52108"/>
    <w:rsid w:val="00C56CCB"/>
    <w:rsid w:val="00C60B94"/>
    <w:rsid w:val="00C60FF1"/>
    <w:rsid w:val="00C6384C"/>
    <w:rsid w:val="00C63CBE"/>
    <w:rsid w:val="00C63DA4"/>
    <w:rsid w:val="00C6499D"/>
    <w:rsid w:val="00C67FB3"/>
    <w:rsid w:val="00C70756"/>
    <w:rsid w:val="00C768B8"/>
    <w:rsid w:val="00C81254"/>
    <w:rsid w:val="00C82A66"/>
    <w:rsid w:val="00C8343B"/>
    <w:rsid w:val="00C839C0"/>
    <w:rsid w:val="00C83F90"/>
    <w:rsid w:val="00C84620"/>
    <w:rsid w:val="00C85B23"/>
    <w:rsid w:val="00C86B77"/>
    <w:rsid w:val="00C87117"/>
    <w:rsid w:val="00C92572"/>
    <w:rsid w:val="00C92C33"/>
    <w:rsid w:val="00C955F9"/>
    <w:rsid w:val="00C96110"/>
    <w:rsid w:val="00CA15C8"/>
    <w:rsid w:val="00CA231B"/>
    <w:rsid w:val="00CA2A5A"/>
    <w:rsid w:val="00CA35DB"/>
    <w:rsid w:val="00CA3E08"/>
    <w:rsid w:val="00CA4146"/>
    <w:rsid w:val="00CA6184"/>
    <w:rsid w:val="00CA7DE2"/>
    <w:rsid w:val="00CB0FC8"/>
    <w:rsid w:val="00CB11B1"/>
    <w:rsid w:val="00CB30C3"/>
    <w:rsid w:val="00CB3689"/>
    <w:rsid w:val="00CB57A4"/>
    <w:rsid w:val="00CB5D74"/>
    <w:rsid w:val="00CB61F4"/>
    <w:rsid w:val="00CB669B"/>
    <w:rsid w:val="00CC08A8"/>
    <w:rsid w:val="00CC135B"/>
    <w:rsid w:val="00CC18B8"/>
    <w:rsid w:val="00CC278D"/>
    <w:rsid w:val="00CC53D5"/>
    <w:rsid w:val="00CC6C46"/>
    <w:rsid w:val="00CC6E96"/>
    <w:rsid w:val="00CC718B"/>
    <w:rsid w:val="00CD0204"/>
    <w:rsid w:val="00CD1C98"/>
    <w:rsid w:val="00CD3FE7"/>
    <w:rsid w:val="00CD6B0E"/>
    <w:rsid w:val="00CD760F"/>
    <w:rsid w:val="00CE05E3"/>
    <w:rsid w:val="00CE1208"/>
    <w:rsid w:val="00CE41B7"/>
    <w:rsid w:val="00CE5FEE"/>
    <w:rsid w:val="00CE6146"/>
    <w:rsid w:val="00CE7282"/>
    <w:rsid w:val="00CE735C"/>
    <w:rsid w:val="00CF1E02"/>
    <w:rsid w:val="00CF2355"/>
    <w:rsid w:val="00CF6D8B"/>
    <w:rsid w:val="00CF7F4D"/>
    <w:rsid w:val="00D00851"/>
    <w:rsid w:val="00D03187"/>
    <w:rsid w:val="00D05EE6"/>
    <w:rsid w:val="00D071F4"/>
    <w:rsid w:val="00D0770D"/>
    <w:rsid w:val="00D07EC4"/>
    <w:rsid w:val="00D10239"/>
    <w:rsid w:val="00D1093B"/>
    <w:rsid w:val="00D11B91"/>
    <w:rsid w:val="00D11C94"/>
    <w:rsid w:val="00D13DB0"/>
    <w:rsid w:val="00D140BD"/>
    <w:rsid w:val="00D17822"/>
    <w:rsid w:val="00D200B1"/>
    <w:rsid w:val="00D2028D"/>
    <w:rsid w:val="00D250C5"/>
    <w:rsid w:val="00D3014D"/>
    <w:rsid w:val="00D325EE"/>
    <w:rsid w:val="00D344B9"/>
    <w:rsid w:val="00D3551D"/>
    <w:rsid w:val="00D3574C"/>
    <w:rsid w:val="00D35D96"/>
    <w:rsid w:val="00D362DA"/>
    <w:rsid w:val="00D37C4A"/>
    <w:rsid w:val="00D41779"/>
    <w:rsid w:val="00D418B0"/>
    <w:rsid w:val="00D41E0B"/>
    <w:rsid w:val="00D41FB6"/>
    <w:rsid w:val="00D42435"/>
    <w:rsid w:val="00D45CD9"/>
    <w:rsid w:val="00D46420"/>
    <w:rsid w:val="00D474D2"/>
    <w:rsid w:val="00D475D5"/>
    <w:rsid w:val="00D50869"/>
    <w:rsid w:val="00D51B5C"/>
    <w:rsid w:val="00D5303F"/>
    <w:rsid w:val="00D53CD7"/>
    <w:rsid w:val="00D551A4"/>
    <w:rsid w:val="00D55E2A"/>
    <w:rsid w:val="00D56557"/>
    <w:rsid w:val="00D56C4D"/>
    <w:rsid w:val="00D57636"/>
    <w:rsid w:val="00D616A1"/>
    <w:rsid w:val="00D61C8C"/>
    <w:rsid w:val="00D61E96"/>
    <w:rsid w:val="00D62098"/>
    <w:rsid w:val="00D62E05"/>
    <w:rsid w:val="00D634B9"/>
    <w:rsid w:val="00D63DA6"/>
    <w:rsid w:val="00D6467B"/>
    <w:rsid w:val="00D6525E"/>
    <w:rsid w:val="00D65893"/>
    <w:rsid w:val="00D658F2"/>
    <w:rsid w:val="00D67174"/>
    <w:rsid w:val="00D67742"/>
    <w:rsid w:val="00D71770"/>
    <w:rsid w:val="00D73642"/>
    <w:rsid w:val="00D73F32"/>
    <w:rsid w:val="00D74712"/>
    <w:rsid w:val="00D74740"/>
    <w:rsid w:val="00D757A9"/>
    <w:rsid w:val="00D75E04"/>
    <w:rsid w:val="00D76536"/>
    <w:rsid w:val="00D7656F"/>
    <w:rsid w:val="00D76F83"/>
    <w:rsid w:val="00D8217B"/>
    <w:rsid w:val="00D8374A"/>
    <w:rsid w:val="00D83750"/>
    <w:rsid w:val="00D8390F"/>
    <w:rsid w:val="00D8442A"/>
    <w:rsid w:val="00D84570"/>
    <w:rsid w:val="00D860F4"/>
    <w:rsid w:val="00D87E4B"/>
    <w:rsid w:val="00D91219"/>
    <w:rsid w:val="00D94387"/>
    <w:rsid w:val="00D94ACC"/>
    <w:rsid w:val="00D952C6"/>
    <w:rsid w:val="00D9653C"/>
    <w:rsid w:val="00D96FA3"/>
    <w:rsid w:val="00D970C6"/>
    <w:rsid w:val="00D97822"/>
    <w:rsid w:val="00D97A9A"/>
    <w:rsid w:val="00DA0A33"/>
    <w:rsid w:val="00DA1297"/>
    <w:rsid w:val="00DA13F1"/>
    <w:rsid w:val="00DA1A14"/>
    <w:rsid w:val="00DA2D73"/>
    <w:rsid w:val="00DA2FEB"/>
    <w:rsid w:val="00DA4997"/>
    <w:rsid w:val="00DA7E40"/>
    <w:rsid w:val="00DA7FF7"/>
    <w:rsid w:val="00DB0AB5"/>
    <w:rsid w:val="00DB0DEC"/>
    <w:rsid w:val="00DB15C2"/>
    <w:rsid w:val="00DB3A2C"/>
    <w:rsid w:val="00DB4E99"/>
    <w:rsid w:val="00DB7104"/>
    <w:rsid w:val="00DB7B53"/>
    <w:rsid w:val="00DB7E1A"/>
    <w:rsid w:val="00DC1638"/>
    <w:rsid w:val="00DC32AA"/>
    <w:rsid w:val="00DC3BFE"/>
    <w:rsid w:val="00DC6B3C"/>
    <w:rsid w:val="00DC7A37"/>
    <w:rsid w:val="00DD0A98"/>
    <w:rsid w:val="00DD461F"/>
    <w:rsid w:val="00DD4A2B"/>
    <w:rsid w:val="00DD4C85"/>
    <w:rsid w:val="00DD55E6"/>
    <w:rsid w:val="00DD5B64"/>
    <w:rsid w:val="00DD662A"/>
    <w:rsid w:val="00DD6967"/>
    <w:rsid w:val="00DE0A9F"/>
    <w:rsid w:val="00DE4DD4"/>
    <w:rsid w:val="00DE69E6"/>
    <w:rsid w:val="00DE789E"/>
    <w:rsid w:val="00DE7D2B"/>
    <w:rsid w:val="00DF06B4"/>
    <w:rsid w:val="00DF06B8"/>
    <w:rsid w:val="00DF0ABD"/>
    <w:rsid w:val="00DF157F"/>
    <w:rsid w:val="00DF5690"/>
    <w:rsid w:val="00DF5750"/>
    <w:rsid w:val="00DF7B00"/>
    <w:rsid w:val="00E01605"/>
    <w:rsid w:val="00E03F08"/>
    <w:rsid w:val="00E0454B"/>
    <w:rsid w:val="00E0486B"/>
    <w:rsid w:val="00E0617D"/>
    <w:rsid w:val="00E06E06"/>
    <w:rsid w:val="00E1056C"/>
    <w:rsid w:val="00E10CD9"/>
    <w:rsid w:val="00E11BF2"/>
    <w:rsid w:val="00E125B9"/>
    <w:rsid w:val="00E1352E"/>
    <w:rsid w:val="00E16021"/>
    <w:rsid w:val="00E17339"/>
    <w:rsid w:val="00E20797"/>
    <w:rsid w:val="00E20980"/>
    <w:rsid w:val="00E20BE8"/>
    <w:rsid w:val="00E20F00"/>
    <w:rsid w:val="00E22042"/>
    <w:rsid w:val="00E24860"/>
    <w:rsid w:val="00E24DB0"/>
    <w:rsid w:val="00E24F58"/>
    <w:rsid w:val="00E30165"/>
    <w:rsid w:val="00E31102"/>
    <w:rsid w:val="00E31A8E"/>
    <w:rsid w:val="00E31D47"/>
    <w:rsid w:val="00E3428E"/>
    <w:rsid w:val="00E34CB0"/>
    <w:rsid w:val="00E34CF0"/>
    <w:rsid w:val="00E36AB7"/>
    <w:rsid w:val="00E37781"/>
    <w:rsid w:val="00E37CA6"/>
    <w:rsid w:val="00E42B0E"/>
    <w:rsid w:val="00E42D0C"/>
    <w:rsid w:val="00E42D31"/>
    <w:rsid w:val="00E43AD8"/>
    <w:rsid w:val="00E4403D"/>
    <w:rsid w:val="00E46BB6"/>
    <w:rsid w:val="00E51511"/>
    <w:rsid w:val="00E5157D"/>
    <w:rsid w:val="00E54817"/>
    <w:rsid w:val="00E548AF"/>
    <w:rsid w:val="00E54C2C"/>
    <w:rsid w:val="00E55A84"/>
    <w:rsid w:val="00E6046A"/>
    <w:rsid w:val="00E60BA7"/>
    <w:rsid w:val="00E64835"/>
    <w:rsid w:val="00E65008"/>
    <w:rsid w:val="00E65D71"/>
    <w:rsid w:val="00E67FD3"/>
    <w:rsid w:val="00E776AF"/>
    <w:rsid w:val="00E77B5F"/>
    <w:rsid w:val="00E80586"/>
    <w:rsid w:val="00E835D7"/>
    <w:rsid w:val="00E85D4C"/>
    <w:rsid w:val="00E85EF0"/>
    <w:rsid w:val="00E86374"/>
    <w:rsid w:val="00E868DA"/>
    <w:rsid w:val="00E8741E"/>
    <w:rsid w:val="00E91972"/>
    <w:rsid w:val="00E924F4"/>
    <w:rsid w:val="00E925A6"/>
    <w:rsid w:val="00E9300B"/>
    <w:rsid w:val="00E94A9F"/>
    <w:rsid w:val="00E95891"/>
    <w:rsid w:val="00E95EC0"/>
    <w:rsid w:val="00EA0832"/>
    <w:rsid w:val="00EA0DCF"/>
    <w:rsid w:val="00EA30FF"/>
    <w:rsid w:val="00EA3622"/>
    <w:rsid w:val="00EA4445"/>
    <w:rsid w:val="00EA5B11"/>
    <w:rsid w:val="00EA5E34"/>
    <w:rsid w:val="00EA655A"/>
    <w:rsid w:val="00EA6D1B"/>
    <w:rsid w:val="00EA73E5"/>
    <w:rsid w:val="00EA7D9C"/>
    <w:rsid w:val="00EB0162"/>
    <w:rsid w:val="00EB1FA6"/>
    <w:rsid w:val="00EB22B4"/>
    <w:rsid w:val="00EB4C03"/>
    <w:rsid w:val="00EB51F3"/>
    <w:rsid w:val="00EB5429"/>
    <w:rsid w:val="00EB5591"/>
    <w:rsid w:val="00EB66A1"/>
    <w:rsid w:val="00EB75ED"/>
    <w:rsid w:val="00EC19D0"/>
    <w:rsid w:val="00EC40CA"/>
    <w:rsid w:val="00EC438A"/>
    <w:rsid w:val="00EC4A87"/>
    <w:rsid w:val="00EC4B01"/>
    <w:rsid w:val="00EC6307"/>
    <w:rsid w:val="00EC7AE5"/>
    <w:rsid w:val="00ED0A05"/>
    <w:rsid w:val="00ED20A9"/>
    <w:rsid w:val="00ED2405"/>
    <w:rsid w:val="00ED2432"/>
    <w:rsid w:val="00ED3010"/>
    <w:rsid w:val="00ED621A"/>
    <w:rsid w:val="00EE16F4"/>
    <w:rsid w:val="00EE1867"/>
    <w:rsid w:val="00EE1995"/>
    <w:rsid w:val="00EE31EE"/>
    <w:rsid w:val="00EE346A"/>
    <w:rsid w:val="00EE3F65"/>
    <w:rsid w:val="00EE3FB0"/>
    <w:rsid w:val="00EE68DB"/>
    <w:rsid w:val="00EF3024"/>
    <w:rsid w:val="00EF325B"/>
    <w:rsid w:val="00EF3A01"/>
    <w:rsid w:val="00EF472F"/>
    <w:rsid w:val="00EF6F46"/>
    <w:rsid w:val="00F00402"/>
    <w:rsid w:val="00F01482"/>
    <w:rsid w:val="00F0360B"/>
    <w:rsid w:val="00F04679"/>
    <w:rsid w:val="00F10E17"/>
    <w:rsid w:val="00F11CBD"/>
    <w:rsid w:val="00F12259"/>
    <w:rsid w:val="00F1282F"/>
    <w:rsid w:val="00F1286D"/>
    <w:rsid w:val="00F1292B"/>
    <w:rsid w:val="00F12CCE"/>
    <w:rsid w:val="00F12CEC"/>
    <w:rsid w:val="00F12E54"/>
    <w:rsid w:val="00F171AD"/>
    <w:rsid w:val="00F17497"/>
    <w:rsid w:val="00F17F88"/>
    <w:rsid w:val="00F22745"/>
    <w:rsid w:val="00F22891"/>
    <w:rsid w:val="00F2319A"/>
    <w:rsid w:val="00F2361A"/>
    <w:rsid w:val="00F25096"/>
    <w:rsid w:val="00F25F2A"/>
    <w:rsid w:val="00F27993"/>
    <w:rsid w:val="00F32E9A"/>
    <w:rsid w:val="00F33E65"/>
    <w:rsid w:val="00F340DA"/>
    <w:rsid w:val="00F35875"/>
    <w:rsid w:val="00F37260"/>
    <w:rsid w:val="00F401D9"/>
    <w:rsid w:val="00F40616"/>
    <w:rsid w:val="00F41873"/>
    <w:rsid w:val="00F4193C"/>
    <w:rsid w:val="00F43496"/>
    <w:rsid w:val="00F436AB"/>
    <w:rsid w:val="00F453BD"/>
    <w:rsid w:val="00F47965"/>
    <w:rsid w:val="00F47C27"/>
    <w:rsid w:val="00F526C4"/>
    <w:rsid w:val="00F54219"/>
    <w:rsid w:val="00F543A4"/>
    <w:rsid w:val="00F55800"/>
    <w:rsid w:val="00F55B89"/>
    <w:rsid w:val="00F56574"/>
    <w:rsid w:val="00F57C3A"/>
    <w:rsid w:val="00F63AD3"/>
    <w:rsid w:val="00F63E57"/>
    <w:rsid w:val="00F65296"/>
    <w:rsid w:val="00F66E4F"/>
    <w:rsid w:val="00F70921"/>
    <w:rsid w:val="00F70C6C"/>
    <w:rsid w:val="00F70F8D"/>
    <w:rsid w:val="00F73A4C"/>
    <w:rsid w:val="00F741CC"/>
    <w:rsid w:val="00F75AD0"/>
    <w:rsid w:val="00F76550"/>
    <w:rsid w:val="00F7774E"/>
    <w:rsid w:val="00F77E15"/>
    <w:rsid w:val="00F816EF"/>
    <w:rsid w:val="00F83686"/>
    <w:rsid w:val="00F83A04"/>
    <w:rsid w:val="00F840B9"/>
    <w:rsid w:val="00F841F0"/>
    <w:rsid w:val="00F85AE6"/>
    <w:rsid w:val="00F86CBE"/>
    <w:rsid w:val="00F87197"/>
    <w:rsid w:val="00F90E00"/>
    <w:rsid w:val="00F91213"/>
    <w:rsid w:val="00F919F7"/>
    <w:rsid w:val="00F91FFB"/>
    <w:rsid w:val="00F92584"/>
    <w:rsid w:val="00F9375B"/>
    <w:rsid w:val="00F942D1"/>
    <w:rsid w:val="00F95410"/>
    <w:rsid w:val="00F95B68"/>
    <w:rsid w:val="00F97943"/>
    <w:rsid w:val="00FA06E2"/>
    <w:rsid w:val="00FA1429"/>
    <w:rsid w:val="00FA18A6"/>
    <w:rsid w:val="00FA1C03"/>
    <w:rsid w:val="00FA2EB1"/>
    <w:rsid w:val="00FA35C7"/>
    <w:rsid w:val="00FA4A35"/>
    <w:rsid w:val="00FA61F7"/>
    <w:rsid w:val="00FB08C9"/>
    <w:rsid w:val="00FB0FD9"/>
    <w:rsid w:val="00FB1508"/>
    <w:rsid w:val="00FB1FD6"/>
    <w:rsid w:val="00FB3E95"/>
    <w:rsid w:val="00FB5E63"/>
    <w:rsid w:val="00FB605E"/>
    <w:rsid w:val="00FB6990"/>
    <w:rsid w:val="00FC27F3"/>
    <w:rsid w:val="00FC2F6B"/>
    <w:rsid w:val="00FC3650"/>
    <w:rsid w:val="00FC3A27"/>
    <w:rsid w:val="00FC3F6A"/>
    <w:rsid w:val="00FC4326"/>
    <w:rsid w:val="00FC4B0E"/>
    <w:rsid w:val="00FC533D"/>
    <w:rsid w:val="00FC7479"/>
    <w:rsid w:val="00FC755F"/>
    <w:rsid w:val="00FC7B35"/>
    <w:rsid w:val="00FD0103"/>
    <w:rsid w:val="00FD0E3D"/>
    <w:rsid w:val="00FD3B42"/>
    <w:rsid w:val="00FD4212"/>
    <w:rsid w:val="00FD58EB"/>
    <w:rsid w:val="00FD6B03"/>
    <w:rsid w:val="00FD73AF"/>
    <w:rsid w:val="00FE0339"/>
    <w:rsid w:val="00FE0AC2"/>
    <w:rsid w:val="00FE1A94"/>
    <w:rsid w:val="00FE2B49"/>
    <w:rsid w:val="00FE4850"/>
    <w:rsid w:val="00FE4EDA"/>
    <w:rsid w:val="00FE5463"/>
    <w:rsid w:val="00FF144B"/>
    <w:rsid w:val="00FF2BD9"/>
    <w:rsid w:val="00FF2E84"/>
    <w:rsid w:val="00FF3E80"/>
    <w:rsid w:val="00FF4A35"/>
    <w:rsid w:val="00FF5E42"/>
    <w:rsid w:val="00FF62D9"/>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75DE31A"/>
  <w15:chartTrackingRefBased/>
  <w15:docId w15:val="{291A4FE4-E999-4B31-A7BA-1A6E41B09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24C7"/>
    <w:pPr>
      <w:spacing w:after="200" w:line="276" w:lineRule="auto"/>
    </w:pPr>
    <w:rPr>
      <w:sz w:val="22"/>
      <w:szCs w:val="22"/>
      <w:lang w:eastAsia="en-US"/>
    </w:rPr>
  </w:style>
  <w:style w:type="paragraph" w:styleId="Ttulo2">
    <w:name w:val="heading 2"/>
    <w:aliases w:val="h2"/>
    <w:basedOn w:val="Normal"/>
    <w:next w:val="Normal"/>
    <w:link w:val="Ttulo2Car"/>
    <w:uiPriority w:val="9"/>
    <w:qFormat/>
    <w:rsid w:val="009B28E6"/>
    <w:pPr>
      <w:keepNext/>
      <w:spacing w:after="0" w:line="240" w:lineRule="auto"/>
      <w:ind w:firstLine="2835"/>
      <w:jc w:val="both"/>
      <w:outlineLvl w:val="1"/>
    </w:pPr>
    <w:rPr>
      <w:rFonts w:ascii="Arial" w:eastAsia="Times New Roman" w:hAnsi="Arial"/>
      <w:b/>
      <w:sz w:val="24"/>
      <w:szCs w:val="20"/>
      <w:lang w:eastAsia="es-ES"/>
    </w:rPr>
  </w:style>
  <w:style w:type="paragraph" w:styleId="Ttulo7">
    <w:name w:val="heading 7"/>
    <w:basedOn w:val="Normal"/>
    <w:next w:val="Normal"/>
    <w:link w:val="Ttulo7Car"/>
    <w:qFormat/>
    <w:rsid w:val="009B28E6"/>
    <w:pPr>
      <w:keepNext/>
      <w:spacing w:after="0" w:line="240" w:lineRule="auto"/>
      <w:outlineLvl w:val="6"/>
    </w:pPr>
    <w:rPr>
      <w:rFonts w:ascii="Arial" w:eastAsia="Times New Roman" w:hAnsi="Arial"/>
      <w:sz w:val="24"/>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aliases w:val="h2 Car"/>
    <w:link w:val="Ttulo2"/>
    <w:uiPriority w:val="9"/>
    <w:rsid w:val="009B28E6"/>
    <w:rPr>
      <w:rFonts w:ascii="Arial" w:eastAsia="Times New Roman" w:hAnsi="Arial" w:cs="Times New Roman"/>
      <w:b/>
      <w:sz w:val="24"/>
      <w:szCs w:val="20"/>
      <w:lang w:eastAsia="es-ES"/>
    </w:rPr>
  </w:style>
  <w:style w:type="character" w:customStyle="1" w:styleId="Ttulo7Car">
    <w:name w:val="Título 7 Car"/>
    <w:link w:val="Ttulo7"/>
    <w:rsid w:val="009B28E6"/>
    <w:rPr>
      <w:rFonts w:ascii="Arial" w:eastAsia="Times New Roman" w:hAnsi="Arial" w:cs="Times New Roman"/>
      <w:sz w:val="24"/>
      <w:szCs w:val="20"/>
      <w:lang w:eastAsia="es-ES"/>
    </w:rPr>
  </w:style>
  <w:style w:type="paragraph" w:styleId="Encabezado">
    <w:name w:val="header"/>
    <w:basedOn w:val="Normal"/>
    <w:link w:val="EncabezadoCar"/>
    <w:uiPriority w:val="99"/>
    <w:unhideWhenUsed/>
    <w:rsid w:val="009B28E6"/>
    <w:pPr>
      <w:tabs>
        <w:tab w:val="center" w:pos="4419"/>
        <w:tab w:val="right" w:pos="8838"/>
      </w:tabs>
      <w:spacing w:after="0" w:line="240" w:lineRule="auto"/>
    </w:pPr>
  </w:style>
  <w:style w:type="character" w:customStyle="1" w:styleId="EncabezadoCar">
    <w:name w:val="Encabezado Car"/>
    <w:link w:val="Encabezado"/>
    <w:uiPriority w:val="99"/>
    <w:rsid w:val="009B28E6"/>
    <w:rPr>
      <w:rFonts w:ascii="Calibri" w:eastAsia="Calibri" w:hAnsi="Calibri" w:cs="Times New Roman"/>
    </w:rPr>
  </w:style>
  <w:style w:type="paragraph" w:styleId="Piedepgina">
    <w:name w:val="footer"/>
    <w:basedOn w:val="Normal"/>
    <w:link w:val="PiedepginaCar"/>
    <w:uiPriority w:val="99"/>
    <w:unhideWhenUsed/>
    <w:rsid w:val="009B28E6"/>
    <w:pPr>
      <w:tabs>
        <w:tab w:val="center" w:pos="4419"/>
        <w:tab w:val="right" w:pos="8838"/>
      </w:tabs>
      <w:spacing w:after="0" w:line="240" w:lineRule="auto"/>
    </w:pPr>
  </w:style>
  <w:style w:type="character" w:customStyle="1" w:styleId="PiedepginaCar">
    <w:name w:val="Pie de página Car"/>
    <w:link w:val="Piedepgina"/>
    <w:uiPriority w:val="99"/>
    <w:rsid w:val="009B28E6"/>
    <w:rPr>
      <w:rFonts w:ascii="Calibri" w:eastAsia="Calibri" w:hAnsi="Calibri" w:cs="Times New Roman"/>
    </w:rPr>
  </w:style>
  <w:style w:type="paragraph" w:customStyle="1" w:styleId="estilo30">
    <w:name w:val="estilo30"/>
    <w:basedOn w:val="Normal"/>
    <w:rsid w:val="009B28E6"/>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Leyenda">
    <w:name w:val="Leyenda"/>
    <w:basedOn w:val="Sangra3detindependiente"/>
    <w:rsid w:val="009B28E6"/>
  </w:style>
  <w:style w:type="paragraph" w:styleId="Prrafodelista">
    <w:name w:val="List Paragraph"/>
    <w:basedOn w:val="Normal"/>
    <w:link w:val="PrrafodelistaCar"/>
    <w:uiPriority w:val="34"/>
    <w:qFormat/>
    <w:rsid w:val="009B28E6"/>
    <w:pPr>
      <w:ind w:left="720"/>
      <w:contextualSpacing/>
    </w:pPr>
    <w:rPr>
      <w:sz w:val="20"/>
      <w:szCs w:val="20"/>
      <w:lang w:val="x-none" w:eastAsia="x-none"/>
    </w:rPr>
  </w:style>
  <w:style w:type="character" w:customStyle="1" w:styleId="PrrafodelistaCar">
    <w:name w:val="Párrafo de lista Car"/>
    <w:link w:val="Prrafodelista"/>
    <w:uiPriority w:val="34"/>
    <w:locked/>
    <w:rsid w:val="009B28E6"/>
    <w:rPr>
      <w:rFonts w:ascii="Calibri" w:eastAsia="Calibri" w:hAnsi="Calibri" w:cs="Times New Roman"/>
    </w:rPr>
  </w:style>
  <w:style w:type="character" w:styleId="Refdenotaalpie">
    <w:name w:val="footnote reference"/>
    <w:aliases w:val="(NECG) Footnote Reference,o,fr,Style 3,Appel note de bas de p,Style 12,Style 124,Ref,de nota al pie,Ref. de nota al pie 2"/>
    <w:uiPriority w:val="99"/>
    <w:qFormat/>
    <w:rsid w:val="009B28E6"/>
    <w:rPr>
      <w:vertAlign w:val="superscript"/>
    </w:rPr>
  </w:style>
  <w:style w:type="paragraph" w:styleId="Textonotapie">
    <w:name w:val="footnote text"/>
    <w:aliases w:val="ALTS FOOTNOTE,Footnote Text Char Char Char,Footnote Text Char Char Char Char Char Char Char,Footnote Text Char Char Char Char Char Char Char Char Char,Footnote Text Char Char Char Char Char,Footnote Text2 Char Char,Footnote Text2,fn,FA Fu"/>
    <w:basedOn w:val="Normal"/>
    <w:link w:val="TextonotapieCar"/>
    <w:qFormat/>
    <w:rsid w:val="009B28E6"/>
    <w:pPr>
      <w:spacing w:after="0" w:line="240" w:lineRule="auto"/>
    </w:pPr>
    <w:rPr>
      <w:rFonts w:ascii="Times New Roman" w:eastAsia="Times New Roman" w:hAnsi="Times New Roman"/>
      <w:sz w:val="20"/>
      <w:szCs w:val="20"/>
      <w:lang w:val="es-ES" w:eastAsia="es-ES"/>
    </w:rPr>
  </w:style>
  <w:style w:type="character" w:customStyle="1" w:styleId="TextonotapieCar">
    <w:name w:val="Texto nota pie Car"/>
    <w:aliases w:val="ALTS FOOTNOTE Car,Footnote Text Char Char Char Car,Footnote Text Char Char Char Char Char Char Char Car,Footnote Text Char Char Char Char Char Char Char Char Char Car,Footnote Text Char Char Char Char Char Car,Footnote Text2 Car"/>
    <w:link w:val="Textonotapie"/>
    <w:rsid w:val="009B28E6"/>
    <w:rPr>
      <w:rFonts w:ascii="Times New Roman" w:eastAsia="Times New Roman" w:hAnsi="Times New Roman" w:cs="Times New Roman"/>
      <w:sz w:val="20"/>
      <w:szCs w:val="20"/>
      <w:lang w:val="es-ES" w:eastAsia="es-ES"/>
    </w:rPr>
  </w:style>
  <w:style w:type="paragraph" w:styleId="Textoindependiente3">
    <w:name w:val="Body Text 3"/>
    <w:basedOn w:val="Normal"/>
    <w:link w:val="Textoindependiente3Car"/>
    <w:uiPriority w:val="99"/>
    <w:semiHidden/>
    <w:unhideWhenUsed/>
    <w:rsid w:val="009B28E6"/>
    <w:pPr>
      <w:spacing w:after="120"/>
    </w:pPr>
    <w:rPr>
      <w:sz w:val="16"/>
      <w:szCs w:val="16"/>
    </w:rPr>
  </w:style>
  <w:style w:type="character" w:customStyle="1" w:styleId="Textoindependiente3Car">
    <w:name w:val="Texto independiente 3 Car"/>
    <w:link w:val="Textoindependiente3"/>
    <w:uiPriority w:val="99"/>
    <w:semiHidden/>
    <w:rsid w:val="009B28E6"/>
    <w:rPr>
      <w:rFonts w:ascii="Calibri" w:eastAsia="Calibri" w:hAnsi="Calibri" w:cs="Times New Roman"/>
      <w:sz w:val="16"/>
      <w:szCs w:val="16"/>
    </w:rPr>
  </w:style>
  <w:style w:type="paragraph" w:styleId="Sangra3detindependiente">
    <w:name w:val="Body Text Indent 3"/>
    <w:basedOn w:val="Normal"/>
    <w:link w:val="Sangra3detindependienteCar"/>
    <w:uiPriority w:val="99"/>
    <w:semiHidden/>
    <w:unhideWhenUsed/>
    <w:rsid w:val="009B28E6"/>
    <w:pPr>
      <w:spacing w:after="120"/>
      <w:ind w:left="283"/>
    </w:pPr>
    <w:rPr>
      <w:sz w:val="16"/>
      <w:szCs w:val="16"/>
    </w:rPr>
  </w:style>
  <w:style w:type="character" w:customStyle="1" w:styleId="Sangra3detindependienteCar">
    <w:name w:val="Sangría 3 de t. independiente Car"/>
    <w:link w:val="Sangra3detindependiente"/>
    <w:uiPriority w:val="99"/>
    <w:semiHidden/>
    <w:rsid w:val="009B28E6"/>
    <w:rPr>
      <w:rFonts w:ascii="Calibri" w:eastAsia="Calibri" w:hAnsi="Calibri" w:cs="Times New Roman"/>
      <w:sz w:val="16"/>
      <w:szCs w:val="16"/>
    </w:rPr>
  </w:style>
  <w:style w:type="character" w:styleId="Hipervnculo">
    <w:name w:val="Hyperlink"/>
    <w:uiPriority w:val="99"/>
    <w:unhideWhenUsed/>
    <w:rsid w:val="000C2BA6"/>
    <w:rPr>
      <w:color w:val="0563C1"/>
      <w:u w:val="single"/>
    </w:rPr>
  </w:style>
  <w:style w:type="paragraph" w:customStyle="1" w:styleId="Texto">
    <w:name w:val="Texto"/>
    <w:basedOn w:val="Normal"/>
    <w:link w:val="TextoCar"/>
    <w:rsid w:val="000C2BA6"/>
    <w:pPr>
      <w:spacing w:after="101" w:line="216" w:lineRule="exact"/>
      <w:ind w:firstLine="288"/>
      <w:jc w:val="both"/>
    </w:pPr>
    <w:rPr>
      <w:rFonts w:ascii="Arial" w:eastAsia="Times New Roman" w:hAnsi="Arial"/>
      <w:sz w:val="18"/>
      <w:szCs w:val="20"/>
      <w:lang w:val="es-ES" w:eastAsia="es-ES"/>
    </w:rPr>
  </w:style>
  <w:style w:type="paragraph" w:customStyle="1" w:styleId="ROMANOS">
    <w:name w:val="ROMANOS"/>
    <w:basedOn w:val="Normal"/>
    <w:link w:val="ROMANOSCar"/>
    <w:rsid w:val="000C2BA6"/>
    <w:pPr>
      <w:tabs>
        <w:tab w:val="left" w:pos="720"/>
      </w:tabs>
      <w:spacing w:after="101" w:line="216" w:lineRule="exact"/>
      <w:ind w:left="720" w:hanging="432"/>
      <w:jc w:val="both"/>
    </w:pPr>
    <w:rPr>
      <w:rFonts w:ascii="Arial" w:eastAsia="Times New Roman" w:hAnsi="Arial"/>
      <w:sz w:val="18"/>
      <w:szCs w:val="18"/>
      <w:lang w:val="es-ES" w:eastAsia="es-ES"/>
    </w:rPr>
  </w:style>
  <w:style w:type="paragraph" w:customStyle="1" w:styleId="INCISO">
    <w:name w:val="INCISO"/>
    <w:basedOn w:val="Normal"/>
    <w:rsid w:val="000C2BA6"/>
    <w:pPr>
      <w:spacing w:after="101" w:line="216" w:lineRule="exact"/>
      <w:ind w:left="1080" w:hanging="360"/>
      <w:jc w:val="both"/>
    </w:pPr>
    <w:rPr>
      <w:rFonts w:ascii="Arial" w:eastAsia="Times New Roman" w:hAnsi="Arial" w:cs="Arial"/>
      <w:sz w:val="18"/>
      <w:szCs w:val="18"/>
      <w:lang w:val="es-ES" w:eastAsia="es-MX"/>
    </w:rPr>
  </w:style>
  <w:style w:type="character" w:customStyle="1" w:styleId="TextoCar">
    <w:name w:val="Texto Car"/>
    <w:link w:val="Texto"/>
    <w:locked/>
    <w:rsid w:val="000C2BA6"/>
    <w:rPr>
      <w:rFonts w:ascii="Arial" w:eastAsia="Times New Roman" w:hAnsi="Arial" w:cs="Arial"/>
      <w:sz w:val="18"/>
      <w:szCs w:val="20"/>
      <w:lang w:val="es-ES" w:eastAsia="es-ES"/>
    </w:rPr>
  </w:style>
  <w:style w:type="character" w:customStyle="1" w:styleId="ROMANOSCar">
    <w:name w:val="ROMANOS Car"/>
    <w:link w:val="ROMANOS"/>
    <w:locked/>
    <w:rsid w:val="000C2BA6"/>
    <w:rPr>
      <w:rFonts w:ascii="Arial" w:eastAsia="Times New Roman" w:hAnsi="Arial" w:cs="Arial"/>
      <w:sz w:val="18"/>
      <w:szCs w:val="18"/>
      <w:lang w:val="es-ES" w:eastAsia="es-ES"/>
    </w:rPr>
  </w:style>
  <w:style w:type="paragraph" w:styleId="Textoindependiente">
    <w:name w:val="Body Text"/>
    <w:basedOn w:val="Normal"/>
    <w:link w:val="TextoindependienteCar"/>
    <w:uiPriority w:val="99"/>
    <w:semiHidden/>
    <w:unhideWhenUsed/>
    <w:rsid w:val="00464292"/>
    <w:pPr>
      <w:spacing w:after="120"/>
    </w:pPr>
  </w:style>
  <w:style w:type="character" w:customStyle="1" w:styleId="TextoindependienteCar">
    <w:name w:val="Texto independiente Car"/>
    <w:link w:val="Textoindependiente"/>
    <w:uiPriority w:val="99"/>
    <w:semiHidden/>
    <w:rsid w:val="00464292"/>
    <w:rPr>
      <w:rFonts w:ascii="Calibri" w:eastAsia="Calibri" w:hAnsi="Calibri" w:cs="Times New Roman"/>
    </w:rPr>
  </w:style>
  <w:style w:type="character" w:customStyle="1" w:styleId="apple-converted-space">
    <w:name w:val="apple-converted-space"/>
    <w:rsid w:val="00464292"/>
  </w:style>
  <w:style w:type="character" w:styleId="Hipervnculovisitado">
    <w:name w:val="FollowedHyperlink"/>
    <w:uiPriority w:val="99"/>
    <w:semiHidden/>
    <w:unhideWhenUsed/>
    <w:rsid w:val="008A328E"/>
    <w:rPr>
      <w:color w:val="954F72"/>
      <w:u w:val="single"/>
    </w:rPr>
  </w:style>
  <w:style w:type="paragraph" w:styleId="Textodeglobo">
    <w:name w:val="Balloon Text"/>
    <w:basedOn w:val="Normal"/>
    <w:link w:val="TextodegloboCar"/>
    <w:uiPriority w:val="99"/>
    <w:semiHidden/>
    <w:unhideWhenUsed/>
    <w:rsid w:val="00CB3689"/>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CB3689"/>
    <w:rPr>
      <w:rFonts w:ascii="Segoe UI" w:hAnsi="Segoe UI" w:cs="Segoe UI"/>
      <w:sz w:val="18"/>
      <w:szCs w:val="18"/>
      <w:lang w:eastAsia="en-US"/>
    </w:rPr>
  </w:style>
  <w:style w:type="character" w:styleId="Refdecomentario">
    <w:name w:val="annotation reference"/>
    <w:uiPriority w:val="99"/>
    <w:unhideWhenUsed/>
    <w:rsid w:val="005E5174"/>
    <w:rPr>
      <w:sz w:val="16"/>
      <w:szCs w:val="16"/>
    </w:rPr>
  </w:style>
  <w:style w:type="paragraph" w:styleId="Textocomentario">
    <w:name w:val="annotation text"/>
    <w:basedOn w:val="Normal"/>
    <w:link w:val="TextocomentarioCar"/>
    <w:uiPriority w:val="99"/>
    <w:unhideWhenUsed/>
    <w:rsid w:val="005E5174"/>
    <w:rPr>
      <w:sz w:val="20"/>
      <w:szCs w:val="20"/>
    </w:rPr>
  </w:style>
  <w:style w:type="character" w:customStyle="1" w:styleId="TextocomentarioCar">
    <w:name w:val="Texto comentario Car"/>
    <w:link w:val="Textocomentario"/>
    <w:uiPriority w:val="99"/>
    <w:rsid w:val="005E5174"/>
    <w:rPr>
      <w:lang w:eastAsia="en-US"/>
    </w:rPr>
  </w:style>
  <w:style w:type="paragraph" w:styleId="Asuntodelcomentario">
    <w:name w:val="annotation subject"/>
    <w:basedOn w:val="Textocomentario"/>
    <w:next w:val="Textocomentario"/>
    <w:link w:val="AsuntodelcomentarioCar"/>
    <w:uiPriority w:val="99"/>
    <w:semiHidden/>
    <w:unhideWhenUsed/>
    <w:rsid w:val="005E5174"/>
    <w:rPr>
      <w:b/>
      <w:bCs/>
    </w:rPr>
  </w:style>
  <w:style w:type="character" w:customStyle="1" w:styleId="AsuntodelcomentarioCar">
    <w:name w:val="Asunto del comentario Car"/>
    <w:link w:val="Asuntodelcomentario"/>
    <w:uiPriority w:val="99"/>
    <w:semiHidden/>
    <w:rsid w:val="005E5174"/>
    <w:rPr>
      <w:b/>
      <w:bCs/>
      <w:lang w:eastAsia="en-US"/>
    </w:rPr>
  </w:style>
  <w:style w:type="paragraph" w:styleId="Listaconvietas">
    <w:name w:val="List Bullet"/>
    <w:basedOn w:val="Normal"/>
    <w:uiPriority w:val="99"/>
    <w:qFormat/>
    <w:rsid w:val="00405A72"/>
    <w:pPr>
      <w:numPr>
        <w:numId w:val="1"/>
      </w:numPr>
      <w:spacing w:after="0" w:line="240" w:lineRule="auto"/>
      <w:contextualSpacing/>
      <w:jc w:val="both"/>
    </w:pPr>
    <w:rPr>
      <w:rFonts w:ascii="Arial" w:eastAsia="Times New Roman" w:hAnsi="Arial"/>
      <w:szCs w:val="24"/>
      <w:lang w:eastAsia="es-ES"/>
    </w:rPr>
  </w:style>
  <w:style w:type="paragraph" w:customStyle="1" w:styleId="Default">
    <w:name w:val="Default"/>
    <w:rsid w:val="009777BB"/>
    <w:pPr>
      <w:autoSpaceDE w:val="0"/>
      <w:autoSpaceDN w:val="0"/>
      <w:adjustRightInd w:val="0"/>
    </w:pPr>
    <w:rPr>
      <w:rFonts w:ascii="Times New Roman" w:hAnsi="Times New Roman"/>
      <w:color w:val="000000"/>
      <w:sz w:val="24"/>
      <w:szCs w:val="24"/>
    </w:rPr>
  </w:style>
  <w:style w:type="paragraph" w:styleId="NormalWeb">
    <w:name w:val="Normal (Web)"/>
    <w:basedOn w:val="Normal"/>
    <w:uiPriority w:val="99"/>
    <w:unhideWhenUsed/>
    <w:rsid w:val="00152778"/>
    <w:pPr>
      <w:spacing w:before="100" w:beforeAutospacing="1" w:after="100" w:afterAutospacing="1" w:line="240" w:lineRule="auto"/>
    </w:pPr>
    <w:rPr>
      <w:rFonts w:ascii="Times New Roman" w:eastAsia="Times New Roman" w:hAnsi="Times New Roman"/>
      <w:sz w:val="24"/>
      <w:szCs w:val="24"/>
      <w:lang w:eastAsia="es-MX"/>
    </w:rPr>
  </w:style>
  <w:style w:type="table" w:customStyle="1" w:styleId="Sombreadoclaro1">
    <w:name w:val="Sombreado claro1"/>
    <w:basedOn w:val="Tablanormal"/>
    <w:uiPriority w:val="60"/>
    <w:rsid w:val="00BC7520"/>
    <w:rPr>
      <w:rFonts w:asciiTheme="minorHAnsi" w:eastAsiaTheme="minorHAnsi" w:hAnsiTheme="minorHAnsi" w:cstheme="minorBidi"/>
      <w:color w:val="000000" w:themeColor="text1" w:themeShade="BF"/>
      <w:sz w:val="22"/>
      <w:szCs w:val="22"/>
      <w:lang w:val="es-E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visin">
    <w:name w:val="Revision"/>
    <w:hidden/>
    <w:uiPriority w:val="99"/>
    <w:semiHidden/>
    <w:rsid w:val="00DF157F"/>
    <w:rPr>
      <w:sz w:val="22"/>
      <w:szCs w:val="22"/>
      <w:lang w:eastAsia="en-US"/>
    </w:rPr>
  </w:style>
  <w:style w:type="paragraph" w:styleId="Textoindependiente2">
    <w:name w:val="Body Text 2"/>
    <w:basedOn w:val="Normal"/>
    <w:link w:val="Textoindependiente2Car"/>
    <w:uiPriority w:val="99"/>
    <w:unhideWhenUsed/>
    <w:rsid w:val="00B57CAB"/>
    <w:pPr>
      <w:spacing w:after="0"/>
      <w:jc w:val="both"/>
    </w:pPr>
    <w:rPr>
      <w:rFonts w:ascii="ITC Avant Garde" w:hAnsi="ITC Avant Garde" w:cs="Arial"/>
      <w:bCs/>
    </w:rPr>
  </w:style>
  <w:style w:type="character" w:customStyle="1" w:styleId="Textoindependiente2Car">
    <w:name w:val="Texto independiente 2 Car"/>
    <w:basedOn w:val="Fuentedeprrafopredeter"/>
    <w:link w:val="Textoindependiente2"/>
    <w:uiPriority w:val="99"/>
    <w:rsid w:val="00B57CAB"/>
    <w:rPr>
      <w:rFonts w:ascii="ITC Avant Garde" w:hAnsi="ITC Avant Garde" w:cs="Arial"/>
      <w:bCs/>
      <w:sz w:val="22"/>
      <w:szCs w:val="22"/>
      <w:lang w:eastAsia="en-US"/>
    </w:rPr>
  </w:style>
  <w:style w:type="table" w:styleId="Tablanormal4">
    <w:name w:val="Plain Table 4"/>
    <w:basedOn w:val="Tablanormal"/>
    <w:uiPriority w:val="99"/>
    <w:rsid w:val="002C0D66"/>
    <w:rPr>
      <w:rFonts w:asciiTheme="minorHAnsi" w:eastAsiaTheme="minorHAnsi" w:hAnsiTheme="minorHAnsi" w:cstheme="minorBidi"/>
      <w:sz w:val="22"/>
      <w:szCs w:val="22"/>
      <w:lang w:val="en-US" w:eastAsia="en-US" w:bidi="he-I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209203">
      <w:bodyDiv w:val="1"/>
      <w:marLeft w:val="0"/>
      <w:marRight w:val="0"/>
      <w:marTop w:val="0"/>
      <w:marBottom w:val="0"/>
      <w:divBdr>
        <w:top w:val="none" w:sz="0" w:space="0" w:color="auto"/>
        <w:left w:val="none" w:sz="0" w:space="0" w:color="auto"/>
        <w:bottom w:val="none" w:sz="0" w:space="0" w:color="auto"/>
        <w:right w:val="none" w:sz="0" w:space="0" w:color="auto"/>
      </w:divBdr>
    </w:div>
    <w:div w:id="87315848">
      <w:bodyDiv w:val="1"/>
      <w:marLeft w:val="0"/>
      <w:marRight w:val="0"/>
      <w:marTop w:val="0"/>
      <w:marBottom w:val="0"/>
      <w:divBdr>
        <w:top w:val="none" w:sz="0" w:space="0" w:color="auto"/>
        <w:left w:val="none" w:sz="0" w:space="0" w:color="auto"/>
        <w:bottom w:val="none" w:sz="0" w:space="0" w:color="auto"/>
        <w:right w:val="none" w:sz="0" w:space="0" w:color="auto"/>
      </w:divBdr>
    </w:div>
    <w:div w:id="475337666">
      <w:bodyDiv w:val="1"/>
      <w:marLeft w:val="0"/>
      <w:marRight w:val="0"/>
      <w:marTop w:val="0"/>
      <w:marBottom w:val="0"/>
      <w:divBdr>
        <w:top w:val="none" w:sz="0" w:space="0" w:color="auto"/>
        <w:left w:val="none" w:sz="0" w:space="0" w:color="auto"/>
        <w:bottom w:val="none" w:sz="0" w:space="0" w:color="auto"/>
        <w:right w:val="none" w:sz="0" w:space="0" w:color="auto"/>
      </w:divBdr>
      <w:divsChild>
        <w:div w:id="1541674424">
          <w:marLeft w:val="0"/>
          <w:marRight w:val="0"/>
          <w:marTop w:val="0"/>
          <w:marBottom w:val="92"/>
          <w:divBdr>
            <w:top w:val="none" w:sz="0" w:space="0" w:color="auto"/>
            <w:left w:val="none" w:sz="0" w:space="0" w:color="auto"/>
            <w:bottom w:val="none" w:sz="0" w:space="0" w:color="auto"/>
            <w:right w:val="none" w:sz="0" w:space="0" w:color="auto"/>
          </w:divBdr>
        </w:div>
        <w:div w:id="1329358282">
          <w:marLeft w:val="1080"/>
          <w:marRight w:val="0"/>
          <w:marTop w:val="0"/>
          <w:marBottom w:val="92"/>
          <w:divBdr>
            <w:top w:val="none" w:sz="0" w:space="0" w:color="auto"/>
            <w:left w:val="none" w:sz="0" w:space="0" w:color="auto"/>
            <w:bottom w:val="none" w:sz="0" w:space="0" w:color="auto"/>
            <w:right w:val="none" w:sz="0" w:space="0" w:color="auto"/>
          </w:divBdr>
        </w:div>
      </w:divsChild>
    </w:div>
    <w:div w:id="545143668">
      <w:bodyDiv w:val="1"/>
      <w:marLeft w:val="0"/>
      <w:marRight w:val="0"/>
      <w:marTop w:val="0"/>
      <w:marBottom w:val="0"/>
      <w:divBdr>
        <w:top w:val="none" w:sz="0" w:space="0" w:color="auto"/>
        <w:left w:val="none" w:sz="0" w:space="0" w:color="auto"/>
        <w:bottom w:val="none" w:sz="0" w:space="0" w:color="auto"/>
        <w:right w:val="none" w:sz="0" w:space="0" w:color="auto"/>
      </w:divBdr>
    </w:div>
    <w:div w:id="686441961">
      <w:bodyDiv w:val="1"/>
      <w:marLeft w:val="0"/>
      <w:marRight w:val="0"/>
      <w:marTop w:val="0"/>
      <w:marBottom w:val="0"/>
      <w:divBdr>
        <w:top w:val="none" w:sz="0" w:space="0" w:color="auto"/>
        <w:left w:val="none" w:sz="0" w:space="0" w:color="auto"/>
        <w:bottom w:val="none" w:sz="0" w:space="0" w:color="auto"/>
        <w:right w:val="none" w:sz="0" w:space="0" w:color="auto"/>
      </w:divBdr>
      <w:divsChild>
        <w:div w:id="1635215538">
          <w:marLeft w:val="0"/>
          <w:marRight w:val="0"/>
          <w:marTop w:val="240"/>
          <w:marBottom w:val="0"/>
          <w:divBdr>
            <w:top w:val="none" w:sz="0" w:space="0" w:color="auto"/>
            <w:left w:val="none" w:sz="0" w:space="0" w:color="auto"/>
            <w:bottom w:val="none" w:sz="0" w:space="0" w:color="auto"/>
            <w:right w:val="none" w:sz="0" w:space="0" w:color="auto"/>
          </w:divBdr>
          <w:divsChild>
            <w:div w:id="450325151">
              <w:marLeft w:val="0"/>
              <w:marRight w:val="0"/>
              <w:marTop w:val="0"/>
              <w:marBottom w:val="0"/>
              <w:divBdr>
                <w:top w:val="none" w:sz="0" w:space="0" w:color="auto"/>
                <w:left w:val="none" w:sz="0" w:space="0" w:color="auto"/>
                <w:bottom w:val="none" w:sz="0" w:space="0" w:color="auto"/>
                <w:right w:val="none" w:sz="0" w:space="0" w:color="auto"/>
              </w:divBdr>
              <w:divsChild>
                <w:div w:id="1966348954">
                  <w:marLeft w:val="0"/>
                  <w:marRight w:val="0"/>
                  <w:marTop w:val="0"/>
                  <w:marBottom w:val="0"/>
                  <w:divBdr>
                    <w:top w:val="none" w:sz="0" w:space="0" w:color="auto"/>
                    <w:left w:val="none" w:sz="0" w:space="0" w:color="auto"/>
                    <w:bottom w:val="none" w:sz="0" w:space="0" w:color="auto"/>
                    <w:right w:val="none" w:sz="0" w:space="0" w:color="auto"/>
                  </w:divBdr>
                  <w:divsChild>
                    <w:div w:id="393430956">
                      <w:marLeft w:val="1008"/>
                      <w:marRight w:val="0"/>
                      <w:marTop w:val="0"/>
                      <w:marBottom w:val="101"/>
                      <w:divBdr>
                        <w:top w:val="none" w:sz="0" w:space="0" w:color="auto"/>
                        <w:left w:val="none" w:sz="0" w:space="0" w:color="auto"/>
                        <w:bottom w:val="none" w:sz="0" w:space="0" w:color="auto"/>
                        <w:right w:val="none" w:sz="0" w:space="0" w:color="auto"/>
                      </w:divBdr>
                    </w:div>
                    <w:div w:id="477961869">
                      <w:marLeft w:val="1008"/>
                      <w:marRight w:val="0"/>
                      <w:marTop w:val="0"/>
                      <w:marBottom w:val="101"/>
                      <w:divBdr>
                        <w:top w:val="none" w:sz="0" w:space="0" w:color="auto"/>
                        <w:left w:val="none" w:sz="0" w:space="0" w:color="auto"/>
                        <w:bottom w:val="none" w:sz="0" w:space="0" w:color="auto"/>
                        <w:right w:val="none" w:sz="0" w:space="0" w:color="auto"/>
                      </w:divBdr>
                    </w:div>
                    <w:div w:id="528881280">
                      <w:marLeft w:val="1008"/>
                      <w:marRight w:val="0"/>
                      <w:marTop w:val="0"/>
                      <w:marBottom w:val="101"/>
                      <w:divBdr>
                        <w:top w:val="none" w:sz="0" w:space="0" w:color="auto"/>
                        <w:left w:val="none" w:sz="0" w:space="0" w:color="auto"/>
                        <w:bottom w:val="none" w:sz="0" w:space="0" w:color="auto"/>
                        <w:right w:val="none" w:sz="0" w:space="0" w:color="auto"/>
                      </w:divBdr>
                    </w:div>
                    <w:div w:id="616302158">
                      <w:marLeft w:val="1008"/>
                      <w:marRight w:val="0"/>
                      <w:marTop w:val="0"/>
                      <w:marBottom w:val="101"/>
                      <w:divBdr>
                        <w:top w:val="none" w:sz="0" w:space="0" w:color="auto"/>
                        <w:left w:val="none" w:sz="0" w:space="0" w:color="auto"/>
                        <w:bottom w:val="none" w:sz="0" w:space="0" w:color="auto"/>
                        <w:right w:val="none" w:sz="0" w:space="0" w:color="auto"/>
                      </w:divBdr>
                    </w:div>
                    <w:div w:id="634257470">
                      <w:marLeft w:val="1008"/>
                      <w:marRight w:val="0"/>
                      <w:marTop w:val="0"/>
                      <w:marBottom w:val="101"/>
                      <w:divBdr>
                        <w:top w:val="none" w:sz="0" w:space="0" w:color="auto"/>
                        <w:left w:val="none" w:sz="0" w:space="0" w:color="auto"/>
                        <w:bottom w:val="none" w:sz="0" w:space="0" w:color="auto"/>
                        <w:right w:val="none" w:sz="0" w:space="0" w:color="auto"/>
                      </w:divBdr>
                    </w:div>
                    <w:div w:id="746732823">
                      <w:marLeft w:val="1008"/>
                      <w:marRight w:val="0"/>
                      <w:marTop w:val="0"/>
                      <w:marBottom w:val="101"/>
                      <w:divBdr>
                        <w:top w:val="none" w:sz="0" w:space="0" w:color="auto"/>
                        <w:left w:val="none" w:sz="0" w:space="0" w:color="auto"/>
                        <w:bottom w:val="none" w:sz="0" w:space="0" w:color="auto"/>
                        <w:right w:val="none" w:sz="0" w:space="0" w:color="auto"/>
                      </w:divBdr>
                    </w:div>
                    <w:div w:id="761293196">
                      <w:marLeft w:val="1008"/>
                      <w:marRight w:val="0"/>
                      <w:marTop w:val="0"/>
                      <w:marBottom w:val="101"/>
                      <w:divBdr>
                        <w:top w:val="none" w:sz="0" w:space="0" w:color="auto"/>
                        <w:left w:val="none" w:sz="0" w:space="0" w:color="auto"/>
                        <w:bottom w:val="none" w:sz="0" w:space="0" w:color="auto"/>
                        <w:right w:val="none" w:sz="0" w:space="0" w:color="auto"/>
                      </w:divBdr>
                    </w:div>
                    <w:div w:id="761295648">
                      <w:marLeft w:val="1008"/>
                      <w:marRight w:val="0"/>
                      <w:marTop w:val="0"/>
                      <w:marBottom w:val="101"/>
                      <w:divBdr>
                        <w:top w:val="none" w:sz="0" w:space="0" w:color="auto"/>
                        <w:left w:val="none" w:sz="0" w:space="0" w:color="auto"/>
                        <w:bottom w:val="none" w:sz="0" w:space="0" w:color="auto"/>
                        <w:right w:val="none" w:sz="0" w:space="0" w:color="auto"/>
                      </w:divBdr>
                    </w:div>
                    <w:div w:id="780951206">
                      <w:marLeft w:val="1008"/>
                      <w:marRight w:val="0"/>
                      <w:marTop w:val="0"/>
                      <w:marBottom w:val="101"/>
                      <w:divBdr>
                        <w:top w:val="none" w:sz="0" w:space="0" w:color="auto"/>
                        <w:left w:val="none" w:sz="0" w:space="0" w:color="auto"/>
                        <w:bottom w:val="none" w:sz="0" w:space="0" w:color="auto"/>
                        <w:right w:val="none" w:sz="0" w:space="0" w:color="auto"/>
                      </w:divBdr>
                    </w:div>
                    <w:div w:id="826480111">
                      <w:marLeft w:val="1008"/>
                      <w:marRight w:val="0"/>
                      <w:marTop w:val="0"/>
                      <w:marBottom w:val="101"/>
                      <w:divBdr>
                        <w:top w:val="none" w:sz="0" w:space="0" w:color="auto"/>
                        <w:left w:val="none" w:sz="0" w:space="0" w:color="auto"/>
                        <w:bottom w:val="none" w:sz="0" w:space="0" w:color="auto"/>
                        <w:right w:val="none" w:sz="0" w:space="0" w:color="auto"/>
                      </w:divBdr>
                    </w:div>
                    <w:div w:id="1079257398">
                      <w:marLeft w:val="1008"/>
                      <w:marRight w:val="0"/>
                      <w:marTop w:val="0"/>
                      <w:marBottom w:val="101"/>
                      <w:divBdr>
                        <w:top w:val="none" w:sz="0" w:space="0" w:color="auto"/>
                        <w:left w:val="none" w:sz="0" w:space="0" w:color="auto"/>
                        <w:bottom w:val="none" w:sz="0" w:space="0" w:color="auto"/>
                        <w:right w:val="none" w:sz="0" w:space="0" w:color="auto"/>
                      </w:divBdr>
                    </w:div>
                    <w:div w:id="1282805111">
                      <w:marLeft w:val="1008"/>
                      <w:marRight w:val="0"/>
                      <w:marTop w:val="0"/>
                      <w:marBottom w:val="101"/>
                      <w:divBdr>
                        <w:top w:val="none" w:sz="0" w:space="0" w:color="auto"/>
                        <w:left w:val="none" w:sz="0" w:space="0" w:color="auto"/>
                        <w:bottom w:val="none" w:sz="0" w:space="0" w:color="auto"/>
                        <w:right w:val="none" w:sz="0" w:space="0" w:color="auto"/>
                      </w:divBdr>
                    </w:div>
                    <w:div w:id="1286153093">
                      <w:marLeft w:val="1008"/>
                      <w:marRight w:val="0"/>
                      <w:marTop w:val="0"/>
                      <w:marBottom w:val="101"/>
                      <w:divBdr>
                        <w:top w:val="none" w:sz="0" w:space="0" w:color="auto"/>
                        <w:left w:val="none" w:sz="0" w:space="0" w:color="auto"/>
                        <w:bottom w:val="none" w:sz="0" w:space="0" w:color="auto"/>
                        <w:right w:val="none" w:sz="0" w:space="0" w:color="auto"/>
                      </w:divBdr>
                    </w:div>
                    <w:div w:id="1351641517">
                      <w:marLeft w:val="0"/>
                      <w:marRight w:val="0"/>
                      <w:marTop w:val="0"/>
                      <w:marBottom w:val="101"/>
                      <w:divBdr>
                        <w:top w:val="none" w:sz="0" w:space="0" w:color="auto"/>
                        <w:left w:val="none" w:sz="0" w:space="0" w:color="auto"/>
                        <w:bottom w:val="none" w:sz="0" w:space="0" w:color="auto"/>
                        <w:right w:val="none" w:sz="0" w:space="0" w:color="auto"/>
                      </w:divBdr>
                    </w:div>
                    <w:div w:id="1352296164">
                      <w:marLeft w:val="1008"/>
                      <w:marRight w:val="0"/>
                      <w:marTop w:val="0"/>
                      <w:marBottom w:val="101"/>
                      <w:divBdr>
                        <w:top w:val="none" w:sz="0" w:space="0" w:color="auto"/>
                        <w:left w:val="none" w:sz="0" w:space="0" w:color="auto"/>
                        <w:bottom w:val="none" w:sz="0" w:space="0" w:color="auto"/>
                        <w:right w:val="none" w:sz="0" w:space="0" w:color="auto"/>
                      </w:divBdr>
                    </w:div>
                    <w:div w:id="1487823570">
                      <w:marLeft w:val="1008"/>
                      <w:marRight w:val="0"/>
                      <w:marTop w:val="0"/>
                      <w:marBottom w:val="101"/>
                      <w:divBdr>
                        <w:top w:val="none" w:sz="0" w:space="0" w:color="auto"/>
                        <w:left w:val="none" w:sz="0" w:space="0" w:color="auto"/>
                        <w:bottom w:val="none" w:sz="0" w:space="0" w:color="auto"/>
                        <w:right w:val="none" w:sz="0" w:space="0" w:color="auto"/>
                      </w:divBdr>
                    </w:div>
                    <w:div w:id="1507596374">
                      <w:marLeft w:val="1008"/>
                      <w:marRight w:val="0"/>
                      <w:marTop w:val="0"/>
                      <w:marBottom w:val="101"/>
                      <w:divBdr>
                        <w:top w:val="none" w:sz="0" w:space="0" w:color="auto"/>
                        <w:left w:val="none" w:sz="0" w:space="0" w:color="auto"/>
                        <w:bottom w:val="none" w:sz="0" w:space="0" w:color="auto"/>
                        <w:right w:val="none" w:sz="0" w:space="0" w:color="auto"/>
                      </w:divBdr>
                    </w:div>
                    <w:div w:id="1988900971">
                      <w:marLeft w:val="1008"/>
                      <w:marRight w:val="0"/>
                      <w:marTop w:val="0"/>
                      <w:marBottom w:val="101"/>
                      <w:divBdr>
                        <w:top w:val="none" w:sz="0" w:space="0" w:color="auto"/>
                        <w:left w:val="none" w:sz="0" w:space="0" w:color="auto"/>
                        <w:bottom w:val="none" w:sz="0" w:space="0" w:color="auto"/>
                        <w:right w:val="none" w:sz="0" w:space="0" w:color="auto"/>
                      </w:divBdr>
                    </w:div>
                    <w:div w:id="2043548525">
                      <w:marLeft w:val="1008"/>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1226186514">
      <w:bodyDiv w:val="1"/>
      <w:marLeft w:val="0"/>
      <w:marRight w:val="0"/>
      <w:marTop w:val="0"/>
      <w:marBottom w:val="0"/>
      <w:divBdr>
        <w:top w:val="none" w:sz="0" w:space="0" w:color="auto"/>
        <w:left w:val="none" w:sz="0" w:space="0" w:color="auto"/>
        <w:bottom w:val="none" w:sz="0" w:space="0" w:color="auto"/>
        <w:right w:val="none" w:sz="0" w:space="0" w:color="auto"/>
      </w:divBdr>
    </w:div>
    <w:div w:id="1245648406">
      <w:bodyDiv w:val="1"/>
      <w:marLeft w:val="0"/>
      <w:marRight w:val="0"/>
      <w:marTop w:val="0"/>
      <w:marBottom w:val="0"/>
      <w:divBdr>
        <w:top w:val="none" w:sz="0" w:space="0" w:color="auto"/>
        <w:left w:val="none" w:sz="0" w:space="0" w:color="auto"/>
        <w:bottom w:val="none" w:sz="0" w:space="0" w:color="auto"/>
        <w:right w:val="none" w:sz="0" w:space="0" w:color="auto"/>
      </w:divBdr>
    </w:div>
    <w:div w:id="1432897219">
      <w:bodyDiv w:val="1"/>
      <w:marLeft w:val="0"/>
      <w:marRight w:val="0"/>
      <w:marTop w:val="0"/>
      <w:marBottom w:val="0"/>
      <w:divBdr>
        <w:top w:val="none" w:sz="0" w:space="0" w:color="auto"/>
        <w:left w:val="none" w:sz="0" w:space="0" w:color="auto"/>
        <w:bottom w:val="none" w:sz="0" w:space="0" w:color="auto"/>
        <w:right w:val="none" w:sz="0" w:space="0" w:color="auto"/>
      </w:divBdr>
      <w:divsChild>
        <w:div w:id="669068253">
          <w:marLeft w:val="0"/>
          <w:marRight w:val="0"/>
          <w:marTop w:val="240"/>
          <w:marBottom w:val="0"/>
          <w:divBdr>
            <w:top w:val="none" w:sz="0" w:space="0" w:color="auto"/>
            <w:left w:val="none" w:sz="0" w:space="0" w:color="auto"/>
            <w:bottom w:val="none" w:sz="0" w:space="0" w:color="auto"/>
            <w:right w:val="none" w:sz="0" w:space="0" w:color="auto"/>
          </w:divBdr>
          <w:divsChild>
            <w:div w:id="601302772">
              <w:marLeft w:val="0"/>
              <w:marRight w:val="0"/>
              <w:marTop w:val="0"/>
              <w:marBottom w:val="0"/>
              <w:divBdr>
                <w:top w:val="none" w:sz="0" w:space="0" w:color="auto"/>
                <w:left w:val="none" w:sz="0" w:space="0" w:color="auto"/>
                <w:bottom w:val="none" w:sz="0" w:space="0" w:color="auto"/>
                <w:right w:val="none" w:sz="0" w:space="0" w:color="auto"/>
              </w:divBdr>
              <w:divsChild>
                <w:div w:id="1390030946">
                  <w:marLeft w:val="0"/>
                  <w:marRight w:val="0"/>
                  <w:marTop w:val="0"/>
                  <w:marBottom w:val="0"/>
                  <w:divBdr>
                    <w:top w:val="none" w:sz="0" w:space="0" w:color="auto"/>
                    <w:left w:val="none" w:sz="0" w:space="0" w:color="auto"/>
                    <w:bottom w:val="none" w:sz="0" w:space="0" w:color="auto"/>
                    <w:right w:val="none" w:sz="0" w:space="0" w:color="auto"/>
                  </w:divBdr>
                  <w:divsChild>
                    <w:div w:id="109400469">
                      <w:marLeft w:val="0"/>
                      <w:marRight w:val="0"/>
                      <w:marTop w:val="0"/>
                      <w:marBottom w:val="101"/>
                      <w:divBdr>
                        <w:top w:val="none" w:sz="0" w:space="0" w:color="auto"/>
                        <w:left w:val="none" w:sz="0" w:space="0" w:color="auto"/>
                        <w:bottom w:val="none" w:sz="0" w:space="0" w:color="auto"/>
                        <w:right w:val="none" w:sz="0" w:space="0" w:color="auto"/>
                      </w:divBdr>
                    </w:div>
                    <w:div w:id="359549322">
                      <w:marLeft w:val="288"/>
                      <w:marRight w:val="0"/>
                      <w:marTop w:val="0"/>
                      <w:marBottom w:val="50"/>
                      <w:divBdr>
                        <w:top w:val="none" w:sz="0" w:space="0" w:color="auto"/>
                        <w:left w:val="none" w:sz="0" w:space="0" w:color="auto"/>
                        <w:bottom w:val="none" w:sz="0" w:space="0" w:color="auto"/>
                        <w:right w:val="none" w:sz="0" w:space="0" w:color="auto"/>
                      </w:divBdr>
                    </w:div>
                    <w:div w:id="508450520">
                      <w:marLeft w:val="288"/>
                      <w:marRight w:val="0"/>
                      <w:marTop w:val="0"/>
                      <w:marBottom w:val="101"/>
                      <w:divBdr>
                        <w:top w:val="none" w:sz="0" w:space="0" w:color="auto"/>
                        <w:left w:val="none" w:sz="0" w:space="0" w:color="auto"/>
                        <w:bottom w:val="none" w:sz="0" w:space="0" w:color="auto"/>
                        <w:right w:val="none" w:sz="0" w:space="0" w:color="auto"/>
                      </w:divBdr>
                    </w:div>
                    <w:div w:id="548493374">
                      <w:marLeft w:val="0"/>
                      <w:marRight w:val="0"/>
                      <w:marTop w:val="0"/>
                      <w:marBottom w:val="101"/>
                      <w:divBdr>
                        <w:top w:val="none" w:sz="0" w:space="0" w:color="auto"/>
                        <w:left w:val="none" w:sz="0" w:space="0" w:color="auto"/>
                        <w:bottom w:val="none" w:sz="0" w:space="0" w:color="auto"/>
                        <w:right w:val="none" w:sz="0" w:space="0" w:color="auto"/>
                      </w:divBdr>
                    </w:div>
                    <w:div w:id="576936208">
                      <w:marLeft w:val="0"/>
                      <w:marRight w:val="0"/>
                      <w:marTop w:val="0"/>
                      <w:marBottom w:val="50"/>
                      <w:divBdr>
                        <w:top w:val="none" w:sz="0" w:space="0" w:color="auto"/>
                        <w:left w:val="none" w:sz="0" w:space="0" w:color="auto"/>
                        <w:bottom w:val="none" w:sz="0" w:space="0" w:color="auto"/>
                        <w:right w:val="none" w:sz="0" w:space="0" w:color="auto"/>
                      </w:divBdr>
                    </w:div>
                    <w:div w:id="740982221">
                      <w:marLeft w:val="288"/>
                      <w:marRight w:val="0"/>
                      <w:marTop w:val="0"/>
                      <w:marBottom w:val="50"/>
                      <w:divBdr>
                        <w:top w:val="none" w:sz="0" w:space="0" w:color="auto"/>
                        <w:left w:val="none" w:sz="0" w:space="0" w:color="auto"/>
                        <w:bottom w:val="none" w:sz="0" w:space="0" w:color="auto"/>
                        <w:right w:val="none" w:sz="0" w:space="0" w:color="auto"/>
                      </w:divBdr>
                    </w:div>
                    <w:div w:id="742265979">
                      <w:marLeft w:val="0"/>
                      <w:marRight w:val="0"/>
                      <w:marTop w:val="0"/>
                      <w:marBottom w:val="101"/>
                      <w:divBdr>
                        <w:top w:val="none" w:sz="0" w:space="0" w:color="auto"/>
                        <w:left w:val="none" w:sz="0" w:space="0" w:color="auto"/>
                        <w:bottom w:val="none" w:sz="0" w:space="0" w:color="auto"/>
                        <w:right w:val="none" w:sz="0" w:space="0" w:color="auto"/>
                      </w:divBdr>
                    </w:div>
                    <w:div w:id="757756509">
                      <w:marLeft w:val="0"/>
                      <w:marRight w:val="0"/>
                      <w:marTop w:val="0"/>
                      <w:marBottom w:val="101"/>
                      <w:divBdr>
                        <w:top w:val="none" w:sz="0" w:space="0" w:color="auto"/>
                        <w:left w:val="none" w:sz="0" w:space="0" w:color="auto"/>
                        <w:bottom w:val="none" w:sz="0" w:space="0" w:color="auto"/>
                        <w:right w:val="none" w:sz="0" w:space="0" w:color="auto"/>
                      </w:divBdr>
                    </w:div>
                    <w:div w:id="790440357">
                      <w:marLeft w:val="288"/>
                      <w:marRight w:val="0"/>
                      <w:marTop w:val="0"/>
                      <w:marBottom w:val="50"/>
                      <w:divBdr>
                        <w:top w:val="none" w:sz="0" w:space="0" w:color="auto"/>
                        <w:left w:val="none" w:sz="0" w:space="0" w:color="auto"/>
                        <w:bottom w:val="none" w:sz="0" w:space="0" w:color="auto"/>
                        <w:right w:val="none" w:sz="0" w:space="0" w:color="auto"/>
                      </w:divBdr>
                    </w:div>
                    <w:div w:id="949552900">
                      <w:marLeft w:val="288"/>
                      <w:marRight w:val="0"/>
                      <w:marTop w:val="0"/>
                      <w:marBottom w:val="101"/>
                      <w:divBdr>
                        <w:top w:val="none" w:sz="0" w:space="0" w:color="auto"/>
                        <w:left w:val="none" w:sz="0" w:space="0" w:color="auto"/>
                        <w:bottom w:val="none" w:sz="0" w:space="0" w:color="auto"/>
                        <w:right w:val="none" w:sz="0" w:space="0" w:color="auto"/>
                      </w:divBdr>
                    </w:div>
                    <w:div w:id="1059668606">
                      <w:marLeft w:val="288"/>
                      <w:marRight w:val="0"/>
                      <w:marTop w:val="0"/>
                      <w:marBottom w:val="101"/>
                      <w:divBdr>
                        <w:top w:val="none" w:sz="0" w:space="0" w:color="auto"/>
                        <w:left w:val="none" w:sz="0" w:space="0" w:color="auto"/>
                        <w:bottom w:val="none" w:sz="0" w:space="0" w:color="auto"/>
                        <w:right w:val="none" w:sz="0" w:space="0" w:color="auto"/>
                      </w:divBdr>
                    </w:div>
                    <w:div w:id="1104611384">
                      <w:marLeft w:val="288"/>
                      <w:marRight w:val="0"/>
                      <w:marTop w:val="0"/>
                      <w:marBottom w:val="50"/>
                      <w:divBdr>
                        <w:top w:val="none" w:sz="0" w:space="0" w:color="auto"/>
                        <w:left w:val="none" w:sz="0" w:space="0" w:color="auto"/>
                        <w:bottom w:val="none" w:sz="0" w:space="0" w:color="auto"/>
                        <w:right w:val="none" w:sz="0" w:space="0" w:color="auto"/>
                      </w:divBdr>
                    </w:div>
                    <w:div w:id="1116021251">
                      <w:marLeft w:val="288"/>
                      <w:marRight w:val="0"/>
                      <w:marTop w:val="0"/>
                      <w:marBottom w:val="101"/>
                      <w:divBdr>
                        <w:top w:val="none" w:sz="0" w:space="0" w:color="auto"/>
                        <w:left w:val="none" w:sz="0" w:space="0" w:color="auto"/>
                        <w:bottom w:val="none" w:sz="0" w:space="0" w:color="auto"/>
                        <w:right w:val="none" w:sz="0" w:space="0" w:color="auto"/>
                      </w:divBdr>
                    </w:div>
                    <w:div w:id="1157526653">
                      <w:marLeft w:val="288"/>
                      <w:marRight w:val="0"/>
                      <w:marTop w:val="0"/>
                      <w:marBottom w:val="50"/>
                      <w:divBdr>
                        <w:top w:val="none" w:sz="0" w:space="0" w:color="auto"/>
                        <w:left w:val="none" w:sz="0" w:space="0" w:color="auto"/>
                        <w:bottom w:val="none" w:sz="0" w:space="0" w:color="auto"/>
                        <w:right w:val="none" w:sz="0" w:space="0" w:color="auto"/>
                      </w:divBdr>
                    </w:div>
                    <w:div w:id="1179853847">
                      <w:marLeft w:val="0"/>
                      <w:marRight w:val="0"/>
                      <w:marTop w:val="0"/>
                      <w:marBottom w:val="50"/>
                      <w:divBdr>
                        <w:top w:val="none" w:sz="0" w:space="0" w:color="auto"/>
                        <w:left w:val="none" w:sz="0" w:space="0" w:color="auto"/>
                        <w:bottom w:val="none" w:sz="0" w:space="0" w:color="auto"/>
                        <w:right w:val="none" w:sz="0" w:space="0" w:color="auto"/>
                      </w:divBdr>
                    </w:div>
                    <w:div w:id="1272854443">
                      <w:marLeft w:val="0"/>
                      <w:marRight w:val="0"/>
                      <w:marTop w:val="0"/>
                      <w:marBottom w:val="101"/>
                      <w:divBdr>
                        <w:top w:val="none" w:sz="0" w:space="0" w:color="auto"/>
                        <w:left w:val="none" w:sz="0" w:space="0" w:color="auto"/>
                        <w:bottom w:val="none" w:sz="0" w:space="0" w:color="auto"/>
                        <w:right w:val="none" w:sz="0" w:space="0" w:color="auto"/>
                      </w:divBdr>
                    </w:div>
                    <w:div w:id="1284463667">
                      <w:marLeft w:val="288"/>
                      <w:marRight w:val="0"/>
                      <w:marTop w:val="0"/>
                      <w:marBottom w:val="50"/>
                      <w:divBdr>
                        <w:top w:val="none" w:sz="0" w:space="0" w:color="auto"/>
                        <w:left w:val="none" w:sz="0" w:space="0" w:color="auto"/>
                        <w:bottom w:val="none" w:sz="0" w:space="0" w:color="auto"/>
                        <w:right w:val="none" w:sz="0" w:space="0" w:color="auto"/>
                      </w:divBdr>
                    </w:div>
                    <w:div w:id="1354956801">
                      <w:marLeft w:val="288"/>
                      <w:marRight w:val="0"/>
                      <w:marTop w:val="0"/>
                      <w:marBottom w:val="101"/>
                      <w:divBdr>
                        <w:top w:val="none" w:sz="0" w:space="0" w:color="auto"/>
                        <w:left w:val="none" w:sz="0" w:space="0" w:color="auto"/>
                        <w:bottom w:val="none" w:sz="0" w:space="0" w:color="auto"/>
                        <w:right w:val="none" w:sz="0" w:space="0" w:color="auto"/>
                      </w:divBdr>
                    </w:div>
                    <w:div w:id="1363943666">
                      <w:marLeft w:val="288"/>
                      <w:marRight w:val="0"/>
                      <w:marTop w:val="0"/>
                      <w:marBottom w:val="50"/>
                      <w:divBdr>
                        <w:top w:val="none" w:sz="0" w:space="0" w:color="auto"/>
                        <w:left w:val="none" w:sz="0" w:space="0" w:color="auto"/>
                        <w:bottom w:val="none" w:sz="0" w:space="0" w:color="auto"/>
                        <w:right w:val="none" w:sz="0" w:space="0" w:color="auto"/>
                      </w:divBdr>
                    </w:div>
                    <w:div w:id="1558131394">
                      <w:marLeft w:val="288"/>
                      <w:marRight w:val="0"/>
                      <w:marTop w:val="0"/>
                      <w:marBottom w:val="101"/>
                      <w:divBdr>
                        <w:top w:val="none" w:sz="0" w:space="0" w:color="auto"/>
                        <w:left w:val="none" w:sz="0" w:space="0" w:color="auto"/>
                        <w:bottom w:val="none" w:sz="0" w:space="0" w:color="auto"/>
                        <w:right w:val="none" w:sz="0" w:space="0" w:color="auto"/>
                      </w:divBdr>
                    </w:div>
                    <w:div w:id="1721127366">
                      <w:marLeft w:val="288"/>
                      <w:marRight w:val="0"/>
                      <w:marTop w:val="0"/>
                      <w:marBottom w:val="101"/>
                      <w:divBdr>
                        <w:top w:val="none" w:sz="0" w:space="0" w:color="auto"/>
                        <w:left w:val="none" w:sz="0" w:space="0" w:color="auto"/>
                        <w:bottom w:val="none" w:sz="0" w:space="0" w:color="auto"/>
                        <w:right w:val="none" w:sz="0" w:space="0" w:color="auto"/>
                      </w:divBdr>
                    </w:div>
                    <w:div w:id="1808468487">
                      <w:marLeft w:val="0"/>
                      <w:marRight w:val="0"/>
                      <w:marTop w:val="0"/>
                      <w:marBottom w:val="101"/>
                      <w:divBdr>
                        <w:top w:val="none" w:sz="0" w:space="0" w:color="auto"/>
                        <w:left w:val="none" w:sz="0" w:space="0" w:color="auto"/>
                        <w:bottom w:val="none" w:sz="0" w:space="0" w:color="auto"/>
                        <w:right w:val="none" w:sz="0" w:space="0" w:color="auto"/>
                      </w:divBdr>
                    </w:div>
                    <w:div w:id="1934437378">
                      <w:marLeft w:val="0"/>
                      <w:marRight w:val="0"/>
                      <w:marTop w:val="0"/>
                      <w:marBottom w:val="101"/>
                      <w:divBdr>
                        <w:top w:val="none" w:sz="0" w:space="0" w:color="auto"/>
                        <w:left w:val="none" w:sz="0" w:space="0" w:color="auto"/>
                        <w:bottom w:val="none" w:sz="0" w:space="0" w:color="auto"/>
                        <w:right w:val="none" w:sz="0" w:space="0" w:color="auto"/>
                      </w:divBdr>
                    </w:div>
                    <w:div w:id="1987858178">
                      <w:marLeft w:val="288"/>
                      <w:marRight w:val="0"/>
                      <w:marTop w:val="0"/>
                      <w:marBottom w:val="50"/>
                      <w:divBdr>
                        <w:top w:val="none" w:sz="0" w:space="0" w:color="auto"/>
                        <w:left w:val="none" w:sz="0" w:space="0" w:color="auto"/>
                        <w:bottom w:val="none" w:sz="0" w:space="0" w:color="auto"/>
                        <w:right w:val="none" w:sz="0" w:space="0" w:color="auto"/>
                      </w:divBdr>
                    </w:div>
                  </w:divsChild>
                </w:div>
              </w:divsChild>
            </w:div>
          </w:divsChild>
        </w:div>
      </w:divsChild>
    </w:div>
    <w:div w:id="1898012926">
      <w:bodyDiv w:val="1"/>
      <w:marLeft w:val="0"/>
      <w:marRight w:val="0"/>
      <w:marTop w:val="0"/>
      <w:marBottom w:val="0"/>
      <w:divBdr>
        <w:top w:val="none" w:sz="0" w:space="0" w:color="auto"/>
        <w:left w:val="none" w:sz="0" w:space="0" w:color="auto"/>
        <w:bottom w:val="none" w:sz="0" w:space="0" w:color="auto"/>
        <w:right w:val="none" w:sz="0" w:space="0" w:color="auto"/>
      </w:divBdr>
    </w:div>
    <w:div w:id="1979139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ECEEB889474DA94B9F68B747786921B0" ma:contentTypeVersion="0" ma:contentTypeDescription="Crear nuevo documento." ma:contentTypeScope="" ma:versionID="4dbda22cbb82be97b437f19ff561d34f">
  <xsd:schema xmlns:xsd="http://www.w3.org/2001/XMLSchema" xmlns:xs="http://www.w3.org/2001/XMLSchema" xmlns:p="http://schemas.microsoft.com/office/2006/metadata/properties" targetNamespace="http://schemas.microsoft.com/office/2006/metadata/properties" ma:root="true" ma:fieldsID="e9e1db60988e2dac20ac50170a786a2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6600D0-5873-49C5-84B4-2BC8BF1E6251}">
  <ds:schemaRefs>
    <ds:schemaRef ds:uri="http://schemas.microsoft.com/sharepoint/v3/contenttype/forms"/>
  </ds:schemaRefs>
</ds:datastoreItem>
</file>

<file path=customXml/itemProps2.xml><?xml version="1.0" encoding="utf-8"?>
<ds:datastoreItem xmlns:ds="http://schemas.openxmlformats.org/officeDocument/2006/customXml" ds:itemID="{631798CC-F31A-4737-ADA4-14DA2D4CCA63}">
  <ds:schemaRefs>
    <ds:schemaRef ds:uri="http://purl.org/dc/elements/1.1/"/>
    <ds:schemaRef ds:uri="http://www.w3.org/XML/1998/namespace"/>
    <ds:schemaRef ds:uri="http://schemas.microsoft.com/office/2006/metadata/properties"/>
    <ds:schemaRef ds:uri="http://schemas.microsoft.com/office/infopath/2007/PartnerControls"/>
    <ds:schemaRef ds:uri="http://schemas.microsoft.com/office/2006/documentManagement/types"/>
    <ds:schemaRef ds:uri="http://schemas.openxmlformats.org/package/2006/metadata/core-properties"/>
    <ds:schemaRef ds:uri="http://purl.org/dc/dcmitype/"/>
    <ds:schemaRef ds:uri="http://purl.org/dc/terms/"/>
  </ds:schemaRefs>
</ds:datastoreItem>
</file>

<file path=customXml/itemProps3.xml><?xml version="1.0" encoding="utf-8"?>
<ds:datastoreItem xmlns:ds="http://schemas.openxmlformats.org/officeDocument/2006/customXml" ds:itemID="{227A9D39-1CE3-48D9-9B54-58E40E5FD7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EFA8E522-0383-4EB6-BAE9-807E308A5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2826</Words>
  <Characters>15546</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18336</CharactersWithSpaces>
  <SharedDoc>false</SharedDoc>
  <HLinks>
    <vt:vector size="66" baseType="variant">
      <vt:variant>
        <vt:i4>2162726</vt:i4>
      </vt:variant>
      <vt:variant>
        <vt:i4>30</vt:i4>
      </vt:variant>
      <vt:variant>
        <vt:i4>0</vt:i4>
      </vt:variant>
      <vt:variant>
        <vt:i4>5</vt:i4>
      </vt:variant>
      <vt:variant>
        <vt:lpwstr>http://www.ift.org.mx/iftweb/industria-2/unidad-de-prospectiva-y-regulacion/modelos-de-costos-de-interconexion-fijo-y-movil-y-respuesta-a-la-consulta-publica/</vt:lpwstr>
      </vt:variant>
      <vt:variant>
        <vt:lpwstr/>
      </vt:variant>
      <vt:variant>
        <vt:i4>7929958</vt:i4>
      </vt:variant>
      <vt:variant>
        <vt:i4>27</vt:i4>
      </vt:variant>
      <vt:variant>
        <vt:i4>0</vt:i4>
      </vt:variant>
      <vt:variant>
        <vt:i4>5</vt:i4>
      </vt:variant>
      <vt:variant>
        <vt:lpwstr>http://www.ift.org.mx/iftweb/industria-intermedia/consulta-publica-de-los-modelos-de-costos-de-servicios-de-interconexion-fijos-y-moviles/</vt:lpwstr>
      </vt:variant>
      <vt:variant>
        <vt:lpwstr/>
      </vt:variant>
      <vt:variant>
        <vt:i4>3997756</vt:i4>
      </vt:variant>
      <vt:variant>
        <vt:i4>24</vt:i4>
      </vt:variant>
      <vt:variant>
        <vt:i4>0</vt:i4>
      </vt:variant>
      <vt:variant>
        <vt:i4>5</vt:i4>
      </vt:variant>
      <vt:variant>
        <vt:lpwstr>http://207.248.177.30/regulaciones/scd_expediente_3.asp?ID=10/0492/051110</vt:lpwstr>
      </vt:variant>
      <vt:variant>
        <vt:lpwstr/>
      </vt:variant>
      <vt:variant>
        <vt:i4>7929958</vt:i4>
      </vt:variant>
      <vt:variant>
        <vt:i4>21</vt:i4>
      </vt:variant>
      <vt:variant>
        <vt:i4>0</vt:i4>
      </vt:variant>
      <vt:variant>
        <vt:i4>5</vt:i4>
      </vt:variant>
      <vt:variant>
        <vt:lpwstr>http://www.ift.org.mx/iftweb/industria-intermedia/consulta-publica-de-los-modelos-de-costos-de-servicios-de-interconexion-fijos-y-moviles/</vt:lpwstr>
      </vt:variant>
      <vt:variant>
        <vt:lpwstr/>
      </vt:variant>
      <vt:variant>
        <vt:i4>2162726</vt:i4>
      </vt:variant>
      <vt:variant>
        <vt:i4>18</vt:i4>
      </vt:variant>
      <vt:variant>
        <vt:i4>0</vt:i4>
      </vt:variant>
      <vt:variant>
        <vt:i4>5</vt:i4>
      </vt:variant>
      <vt:variant>
        <vt:lpwstr>http://www.ift.org.mx/iftweb/industria-2/unidad-de-prospectiva-y-regulacion/modelos-de-costos-de-interconexion-fijo-y-movil-y-respuesta-a-la-consulta-publica/</vt:lpwstr>
      </vt:variant>
      <vt:variant>
        <vt:lpwstr/>
      </vt:variant>
      <vt:variant>
        <vt:i4>7929958</vt:i4>
      </vt:variant>
      <vt:variant>
        <vt:i4>15</vt:i4>
      </vt:variant>
      <vt:variant>
        <vt:i4>0</vt:i4>
      </vt:variant>
      <vt:variant>
        <vt:i4>5</vt:i4>
      </vt:variant>
      <vt:variant>
        <vt:lpwstr>http://www.ift.org.mx/iftweb/industria-intermedia/consulta-publica-de-los-modelos-de-costos-de-servicios-de-interconexion-fijos-y-moviles/</vt:lpwstr>
      </vt:variant>
      <vt:variant>
        <vt:lpwstr/>
      </vt:variant>
      <vt:variant>
        <vt:i4>3997756</vt:i4>
      </vt:variant>
      <vt:variant>
        <vt:i4>12</vt:i4>
      </vt:variant>
      <vt:variant>
        <vt:i4>0</vt:i4>
      </vt:variant>
      <vt:variant>
        <vt:i4>5</vt:i4>
      </vt:variant>
      <vt:variant>
        <vt:lpwstr>http://207.248.177.30/regulaciones/scd_expediente_3.asp?ID=10/0492/051110</vt:lpwstr>
      </vt:variant>
      <vt:variant>
        <vt:lpwstr/>
      </vt:variant>
      <vt:variant>
        <vt:i4>8323133</vt:i4>
      </vt:variant>
      <vt:variant>
        <vt:i4>9</vt:i4>
      </vt:variant>
      <vt:variant>
        <vt:i4>0</vt:i4>
      </vt:variant>
      <vt:variant>
        <vt:i4>5</vt:i4>
      </vt:variant>
      <vt:variant>
        <vt:lpwstr>http://www.ift.org.mx/iftweb/wp-content/uploads/2014/03/Anexo_1_Moviles.pdf</vt:lpwstr>
      </vt:variant>
      <vt:variant>
        <vt:lpwstr/>
      </vt:variant>
      <vt:variant>
        <vt:i4>2162726</vt:i4>
      </vt:variant>
      <vt:variant>
        <vt:i4>6</vt:i4>
      </vt:variant>
      <vt:variant>
        <vt:i4>0</vt:i4>
      </vt:variant>
      <vt:variant>
        <vt:i4>5</vt:i4>
      </vt:variant>
      <vt:variant>
        <vt:lpwstr>http://www.ift.org.mx/iftweb/industria-2/unidad-de-prospectiva-y-regulacion/modelos-de-costos-de-interconexion-fijo-y-movil-y-respuesta-a-la-consulta-publica/</vt:lpwstr>
      </vt:variant>
      <vt:variant>
        <vt:lpwstr/>
      </vt:variant>
      <vt:variant>
        <vt:i4>7929958</vt:i4>
      </vt:variant>
      <vt:variant>
        <vt:i4>3</vt:i4>
      </vt:variant>
      <vt:variant>
        <vt:i4>0</vt:i4>
      </vt:variant>
      <vt:variant>
        <vt:i4>5</vt:i4>
      </vt:variant>
      <vt:variant>
        <vt:lpwstr>http://www.ift.org.mx/iftweb/industria-intermedia/consulta-publica-de-los-modelos-de-costos-de-servicios-de-interconexion-fijos-y-moviles/</vt:lpwstr>
      </vt:variant>
      <vt:variant>
        <vt:lpwstr/>
      </vt:variant>
      <vt:variant>
        <vt:i4>3997756</vt:i4>
      </vt:variant>
      <vt:variant>
        <vt:i4>0</vt:i4>
      </vt:variant>
      <vt:variant>
        <vt:i4>0</vt:i4>
      </vt:variant>
      <vt:variant>
        <vt:i4>5</vt:i4>
      </vt:variant>
      <vt:variant>
        <vt:lpwstr>http://207.248.177.30/regulaciones/scd_expediente_3.asp?ID=10/0492/051110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Xochitl Monserrat Granados Sanchez</dc:creator>
  <cp:keywords/>
  <cp:lastModifiedBy>Karen Beatriz Martinez Munguia</cp:lastModifiedBy>
  <cp:revision>4</cp:revision>
  <cp:lastPrinted>2015-07-02T01:52:00Z</cp:lastPrinted>
  <dcterms:created xsi:type="dcterms:W3CDTF">2017-05-03T20:33:00Z</dcterms:created>
  <dcterms:modified xsi:type="dcterms:W3CDTF">2017-05-03T20:43:00Z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0x010100ECEEB889474DA94B9F68B747786921B0</vt:lpwstr>
  </property>
</Properties>
</file>