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66EEE" w14:textId="7B4415C9" w:rsidR="009D32A0" w:rsidRDefault="00322062" w:rsidP="000A0926">
      <w:pPr>
        <w:spacing w:after="0" w:line="240" w:lineRule="auto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Licitación No. IFT-</w:t>
      </w:r>
      <w:r w:rsidR="001E49CB">
        <w:rPr>
          <w:rFonts w:ascii="ITC Avant Garde" w:hAnsi="ITC Avant Garde"/>
          <w:b/>
        </w:rPr>
        <w:t>7</w:t>
      </w:r>
    </w:p>
    <w:p w14:paraId="046735E2" w14:textId="77777777" w:rsidR="00E90A1A" w:rsidRDefault="00E90A1A" w:rsidP="000A0926">
      <w:pPr>
        <w:spacing w:after="0" w:line="240" w:lineRule="auto"/>
        <w:jc w:val="center"/>
        <w:rPr>
          <w:rFonts w:ascii="ITC Avant Garde" w:hAnsi="ITC Avant Garde"/>
          <w:b/>
        </w:rPr>
      </w:pPr>
    </w:p>
    <w:p w14:paraId="6F4191F4" w14:textId="77777777" w:rsidR="00E90A1A" w:rsidRDefault="00E90A1A" w:rsidP="000A0926">
      <w:pPr>
        <w:spacing w:after="0" w:line="240" w:lineRule="auto"/>
        <w:jc w:val="center"/>
        <w:rPr>
          <w:rFonts w:ascii="ITC Avant Garde" w:hAnsi="ITC Avant Garde" w:cs="Arial"/>
          <w:b/>
        </w:rPr>
      </w:pPr>
    </w:p>
    <w:p w14:paraId="6D1EE3ED" w14:textId="5FDF7442" w:rsidR="00D14545" w:rsidRDefault="009D32A0" w:rsidP="000703FB">
      <w:pPr>
        <w:spacing w:after="0" w:line="23" w:lineRule="atLeast"/>
        <w:jc w:val="center"/>
        <w:rPr>
          <w:rFonts w:ascii="ITC Avant Garde" w:hAnsi="ITC Avant Garde" w:cs="Arial"/>
          <w:b/>
        </w:rPr>
      </w:pPr>
      <w:r w:rsidRPr="009D32A0">
        <w:rPr>
          <w:rFonts w:ascii="ITC Avant Garde" w:hAnsi="ITC Avant Garde" w:cs="Arial"/>
          <w:b/>
        </w:rPr>
        <w:t xml:space="preserve">Apéndice </w:t>
      </w:r>
      <w:r w:rsidR="005951B1">
        <w:rPr>
          <w:rFonts w:ascii="ITC Avant Garde" w:hAnsi="ITC Avant Garde" w:cs="Arial"/>
          <w:b/>
        </w:rPr>
        <w:t>F. Valores Mínimos de Referencia y Garantías de Seriedad</w:t>
      </w:r>
    </w:p>
    <w:p w14:paraId="0A545221" w14:textId="77777777" w:rsidR="008E48DE" w:rsidRDefault="008E48DE" w:rsidP="00162B05">
      <w:pPr>
        <w:spacing w:after="0" w:line="23" w:lineRule="atLeast"/>
        <w:rPr>
          <w:rFonts w:ascii="ITC Avant Garde" w:hAnsi="ITC Avant Garde" w:cs="Arial"/>
          <w:b/>
        </w:rPr>
      </w:pPr>
    </w:p>
    <w:p w14:paraId="5E1A5CF0" w14:textId="77777777" w:rsidR="009747A6" w:rsidRDefault="009747A6" w:rsidP="00162B05">
      <w:pPr>
        <w:spacing w:after="0" w:line="23" w:lineRule="atLeast"/>
        <w:rPr>
          <w:rFonts w:ascii="ITC Avant Garde" w:hAnsi="ITC Avant Garde" w:cs="Arial"/>
          <w:b/>
        </w:rPr>
      </w:pPr>
    </w:p>
    <w:p w14:paraId="5F69B4A4" w14:textId="702B9DC3" w:rsidR="00E90A1A" w:rsidRDefault="00C74C68" w:rsidP="00162B05">
      <w:pPr>
        <w:spacing w:after="0" w:line="23" w:lineRule="atLeast"/>
        <w:rPr>
          <w:rFonts w:ascii="ITC Avant Garde" w:hAnsi="ITC Avant Garde" w:cs="Arial"/>
          <w:b/>
        </w:rPr>
      </w:pPr>
      <w:r>
        <w:rPr>
          <w:rFonts w:ascii="ITC Avant Garde" w:hAnsi="ITC Avant Garde" w:cs="Arial"/>
          <w:b/>
        </w:rPr>
        <w:t>1.- Valores Mínimos de Referencia</w:t>
      </w:r>
    </w:p>
    <w:p w14:paraId="36CB51F5" w14:textId="74B9152F" w:rsidR="00E219B1" w:rsidRDefault="00E219B1" w:rsidP="00162B05">
      <w:pPr>
        <w:spacing w:after="0" w:line="23" w:lineRule="atLeast"/>
        <w:rPr>
          <w:rFonts w:ascii="ITC Avant Garde" w:hAnsi="ITC Avant Garde" w:cs="Arial"/>
          <w:b/>
        </w:rPr>
      </w:pPr>
    </w:p>
    <w:tbl>
      <w:tblPr>
        <w:tblStyle w:val="Tabladecuadrcula4-nfasis6"/>
        <w:tblW w:w="3770" w:type="pct"/>
        <w:jc w:val="center"/>
        <w:tblLook w:val="01E0" w:firstRow="1" w:lastRow="1" w:firstColumn="1" w:lastColumn="1" w:noHBand="0" w:noVBand="0"/>
      </w:tblPr>
      <w:tblGrid>
        <w:gridCol w:w="1379"/>
        <w:gridCol w:w="3595"/>
        <w:gridCol w:w="2109"/>
      </w:tblGrid>
      <w:tr w:rsidR="00E219B1" w:rsidRPr="0095452B" w14:paraId="11A71E53" w14:textId="77777777" w:rsidTr="005457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pct"/>
            <w:vAlign w:val="center"/>
          </w:tcPr>
          <w:p w14:paraId="0EA26776" w14:textId="77777777" w:rsidR="00E219B1" w:rsidRPr="0095452B" w:rsidRDefault="00E219B1" w:rsidP="00545799">
            <w:pPr>
              <w:keepNext/>
              <w:keepLines/>
              <w:jc w:val="center"/>
              <w:rPr>
                <w:rFonts w:ascii="ITC Avant Garde" w:hAnsi="ITC Avant Garde"/>
                <w:sz w:val="20"/>
              </w:rPr>
            </w:pPr>
            <w:r w:rsidRPr="0095452B">
              <w:rPr>
                <w:rFonts w:ascii="ITC Avant Garde" w:hAnsi="ITC Avant Garde"/>
                <w:sz w:val="20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8" w:type="pct"/>
            <w:vAlign w:val="center"/>
          </w:tcPr>
          <w:p w14:paraId="0767E0FA" w14:textId="77777777" w:rsidR="00E219B1" w:rsidRPr="0095452B" w:rsidRDefault="00E219B1" w:rsidP="00545799">
            <w:pPr>
              <w:keepNext/>
              <w:keepLines/>
              <w:jc w:val="center"/>
              <w:rPr>
                <w:rFonts w:ascii="ITC Avant Garde" w:hAnsi="ITC Avant Garde"/>
                <w:sz w:val="20"/>
              </w:rPr>
            </w:pPr>
            <w:r w:rsidRPr="0095452B">
              <w:rPr>
                <w:rFonts w:ascii="ITC Avant Garde" w:hAnsi="ITC Avant Garde"/>
                <w:sz w:val="20"/>
              </w:rPr>
              <w:t>Valores Mínimos de Referencia por Bloque (pesos mexicanos)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89" w:type="pct"/>
          </w:tcPr>
          <w:p w14:paraId="372E98C2" w14:textId="77777777" w:rsidR="00E219B1" w:rsidRPr="0095452B" w:rsidRDefault="00E219B1" w:rsidP="00545799">
            <w:pPr>
              <w:keepNext/>
              <w:keepLines/>
              <w:jc w:val="center"/>
              <w:rPr>
                <w:rFonts w:ascii="ITC Avant Garde" w:hAnsi="ITC Avant Garde"/>
                <w:sz w:val="20"/>
                <w:highlight w:val="yellow"/>
              </w:rPr>
            </w:pPr>
            <w:r w:rsidRPr="0095452B">
              <w:rPr>
                <w:rFonts w:ascii="ITC Avant Garde" w:hAnsi="ITC Avant Garde"/>
                <w:sz w:val="20"/>
              </w:rPr>
              <w:t>Puntaje*</w:t>
            </w:r>
          </w:p>
        </w:tc>
      </w:tr>
      <w:tr w:rsidR="00E219B1" w:rsidRPr="0095452B" w14:paraId="01C23E50" w14:textId="77777777" w:rsidTr="00E219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pct"/>
            <w:shd w:val="clear" w:color="auto" w:fill="auto"/>
            <w:vAlign w:val="center"/>
          </w:tcPr>
          <w:p w14:paraId="53431371" w14:textId="77777777" w:rsidR="00E219B1" w:rsidRPr="0095452B" w:rsidRDefault="00E219B1" w:rsidP="00545799">
            <w:pPr>
              <w:keepNext/>
              <w:keepLines/>
              <w:jc w:val="center"/>
              <w:rPr>
                <w:rFonts w:ascii="ITC Avant Garde" w:hAnsi="ITC Avant Garde"/>
                <w:sz w:val="20"/>
              </w:rPr>
            </w:pPr>
            <w:r w:rsidRPr="0095452B">
              <w:rPr>
                <w:rFonts w:ascii="ITC Avant Garde" w:hAnsi="ITC Avant Garde"/>
                <w:sz w:val="20"/>
              </w:rPr>
              <w:t>FDD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8" w:type="pct"/>
            <w:shd w:val="clear" w:color="auto" w:fill="auto"/>
            <w:vAlign w:val="center"/>
          </w:tcPr>
          <w:p w14:paraId="4F4DC638" w14:textId="77777777" w:rsidR="00E219B1" w:rsidRPr="0095452B" w:rsidRDefault="00E219B1" w:rsidP="00545799">
            <w:pPr>
              <w:keepNext/>
              <w:keepLines/>
              <w:jc w:val="center"/>
              <w:rPr>
                <w:rFonts w:ascii="ITC Avant Garde" w:hAnsi="ITC Avant Garde"/>
                <w:b/>
                <w:sz w:val="20"/>
              </w:rPr>
            </w:pPr>
            <w:r w:rsidRPr="0095452B">
              <w:rPr>
                <w:rFonts w:ascii="ITC Avant Garde" w:hAnsi="ITC Avant Garde"/>
                <w:b/>
                <w:sz w:val="20"/>
              </w:rPr>
              <w:t>350,000,000.00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89" w:type="pct"/>
            <w:shd w:val="clear" w:color="auto" w:fill="auto"/>
            <w:vAlign w:val="center"/>
          </w:tcPr>
          <w:p w14:paraId="75BA28F5" w14:textId="77777777" w:rsidR="00E219B1" w:rsidRPr="0095452B" w:rsidRDefault="00E219B1" w:rsidP="00E219B1">
            <w:pPr>
              <w:keepNext/>
              <w:keepLines/>
              <w:jc w:val="center"/>
              <w:rPr>
                <w:rFonts w:ascii="ITC Avant Garde" w:hAnsi="ITC Avant Garde"/>
                <w:sz w:val="20"/>
              </w:rPr>
            </w:pPr>
            <w:r w:rsidRPr="0095452B">
              <w:rPr>
                <w:rFonts w:ascii="ITC Avant Garde" w:hAnsi="ITC Avant Garde"/>
                <w:sz w:val="20"/>
              </w:rPr>
              <w:t>350</w:t>
            </w:r>
          </w:p>
        </w:tc>
      </w:tr>
      <w:tr w:rsidR="00E219B1" w:rsidRPr="0095452B" w14:paraId="67ACEC09" w14:textId="77777777" w:rsidTr="00E219B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pct"/>
            <w:shd w:val="clear" w:color="auto" w:fill="auto"/>
            <w:vAlign w:val="center"/>
          </w:tcPr>
          <w:p w14:paraId="13DD278E" w14:textId="77777777" w:rsidR="00E219B1" w:rsidRPr="0095452B" w:rsidRDefault="00E219B1" w:rsidP="00545799">
            <w:pPr>
              <w:keepNext/>
              <w:keepLines/>
              <w:jc w:val="center"/>
              <w:rPr>
                <w:rFonts w:ascii="ITC Avant Garde" w:hAnsi="ITC Avant Garde"/>
                <w:sz w:val="20"/>
              </w:rPr>
            </w:pPr>
            <w:r w:rsidRPr="0095452B">
              <w:rPr>
                <w:rFonts w:ascii="ITC Avant Garde" w:hAnsi="ITC Avant Garde"/>
                <w:sz w:val="20"/>
              </w:rPr>
              <w:t>TDD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8" w:type="pct"/>
            <w:shd w:val="clear" w:color="auto" w:fill="auto"/>
            <w:vAlign w:val="center"/>
          </w:tcPr>
          <w:p w14:paraId="264337AD" w14:textId="77777777" w:rsidR="00E219B1" w:rsidRPr="0095452B" w:rsidRDefault="00E219B1" w:rsidP="00545799">
            <w:pPr>
              <w:keepNext/>
              <w:keepLines/>
              <w:jc w:val="center"/>
              <w:rPr>
                <w:rFonts w:ascii="ITC Avant Garde" w:hAnsi="ITC Avant Garde"/>
                <w:sz w:val="20"/>
              </w:rPr>
            </w:pPr>
            <w:r w:rsidRPr="0095452B">
              <w:rPr>
                <w:rFonts w:ascii="ITC Avant Garde" w:hAnsi="ITC Avant Garde"/>
                <w:sz w:val="20"/>
              </w:rPr>
              <w:t>350,000,000.00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89" w:type="pct"/>
            <w:shd w:val="clear" w:color="auto" w:fill="auto"/>
            <w:vAlign w:val="center"/>
          </w:tcPr>
          <w:p w14:paraId="7BBB9E18" w14:textId="77777777" w:rsidR="00E219B1" w:rsidRPr="0095452B" w:rsidRDefault="00E219B1" w:rsidP="00545799">
            <w:pPr>
              <w:keepNext/>
              <w:keepLines/>
              <w:jc w:val="center"/>
              <w:rPr>
                <w:rFonts w:ascii="ITC Avant Garde" w:hAnsi="ITC Avant Garde"/>
                <w:sz w:val="20"/>
              </w:rPr>
            </w:pPr>
            <w:r w:rsidRPr="0095452B">
              <w:rPr>
                <w:rFonts w:ascii="ITC Avant Garde" w:hAnsi="ITC Avant Garde"/>
                <w:sz w:val="20"/>
              </w:rPr>
              <w:t>350</w:t>
            </w:r>
          </w:p>
        </w:tc>
      </w:tr>
    </w:tbl>
    <w:p w14:paraId="4594952C" w14:textId="27743B38" w:rsidR="00C74C68" w:rsidRPr="00BF1D6E" w:rsidRDefault="00BF1D6E" w:rsidP="00BF1D6E">
      <w:pPr>
        <w:spacing w:after="0" w:line="240" w:lineRule="auto"/>
        <w:ind w:left="1134" w:right="1182"/>
        <w:jc w:val="both"/>
        <w:rPr>
          <w:rFonts w:ascii="ITC Avant Garde" w:hAnsi="ITC Avant Garde"/>
          <w:b/>
          <w:sz w:val="18"/>
          <w:lang w:val="es-ES"/>
        </w:rPr>
      </w:pPr>
      <w:r w:rsidRPr="00032DFF">
        <w:rPr>
          <w:rFonts w:ascii="ITC Avant Garde" w:hAnsi="ITC Avant Garde"/>
          <w:b/>
          <w:lang w:val="es-ES"/>
        </w:rPr>
        <w:t>*</w:t>
      </w:r>
      <w:r>
        <w:rPr>
          <w:lang w:val="es-ES"/>
        </w:rPr>
        <w:t xml:space="preserve"> </w:t>
      </w:r>
      <w:r w:rsidRPr="00032DFF">
        <w:rPr>
          <w:rFonts w:ascii="ITC Avant Garde" w:hAnsi="ITC Avant Garde"/>
          <w:sz w:val="18"/>
          <w:lang w:val="es-ES"/>
        </w:rPr>
        <w:t xml:space="preserve">Este valor se encuentra normalizado por un factor de escalamiento </w:t>
      </w:r>
      <w:r w:rsidRPr="00032DFF">
        <w:rPr>
          <w:rFonts w:ascii="ITC Avant Garde" w:hAnsi="ITC Avant Garde"/>
          <w:b/>
          <w:sz w:val="18"/>
          <w:lang w:val="es-ES"/>
        </w:rPr>
        <w:t>N</w:t>
      </w:r>
      <w:r w:rsidRPr="00032DFF">
        <w:rPr>
          <w:rFonts w:ascii="ITC Avant Garde" w:hAnsi="ITC Avant Garde"/>
          <w:sz w:val="18"/>
          <w:lang w:val="es-ES"/>
        </w:rPr>
        <w:t xml:space="preserve"> </w:t>
      </w:r>
      <w:r>
        <w:rPr>
          <w:rFonts w:ascii="ITC Avant Garde" w:hAnsi="ITC Avant Garde"/>
          <w:sz w:val="18"/>
          <w:lang w:val="es-ES"/>
        </w:rPr>
        <w:t xml:space="preserve">(igual a 1,000,000) </w:t>
      </w:r>
      <w:r w:rsidRPr="00032DFF">
        <w:rPr>
          <w:rFonts w:ascii="ITC Avant Garde" w:hAnsi="ITC Avant Garde"/>
          <w:sz w:val="18"/>
          <w:lang w:val="es-ES"/>
        </w:rPr>
        <w:t xml:space="preserve">que </w:t>
      </w:r>
      <w:r>
        <w:rPr>
          <w:rFonts w:ascii="ITC Avant Garde" w:hAnsi="ITC Avant Garde"/>
          <w:sz w:val="18"/>
          <w:lang w:val="es-ES"/>
        </w:rPr>
        <w:t>facilita la lectura y manejo del Puntaje.</w:t>
      </w:r>
    </w:p>
    <w:p w14:paraId="2E3DEB1E" w14:textId="2899CC57" w:rsidR="00C74C68" w:rsidRDefault="00C74C68" w:rsidP="00162B05">
      <w:pPr>
        <w:spacing w:after="0" w:line="23" w:lineRule="atLeast"/>
        <w:rPr>
          <w:rFonts w:ascii="ITC Avant Garde" w:hAnsi="ITC Avant Garde" w:cs="Arial"/>
          <w:b/>
        </w:rPr>
      </w:pPr>
    </w:p>
    <w:p w14:paraId="5BD45605" w14:textId="469A2CAF" w:rsidR="00C74C68" w:rsidRDefault="00C74C68" w:rsidP="00162B05">
      <w:pPr>
        <w:spacing w:after="0" w:line="23" w:lineRule="atLeast"/>
        <w:rPr>
          <w:rFonts w:ascii="ITC Avant Garde" w:hAnsi="ITC Avant Garde" w:cs="Arial"/>
          <w:b/>
        </w:rPr>
      </w:pPr>
      <w:r>
        <w:rPr>
          <w:rFonts w:ascii="ITC Avant Garde" w:hAnsi="ITC Avant Garde" w:cs="Arial"/>
          <w:b/>
        </w:rPr>
        <w:t>2.- Garantía de Seriedad</w:t>
      </w:r>
    </w:p>
    <w:p w14:paraId="69AB80DC" w14:textId="77777777" w:rsidR="002C00F9" w:rsidRDefault="002C00F9" w:rsidP="00162B05">
      <w:pPr>
        <w:spacing w:after="0" w:line="23" w:lineRule="atLeast"/>
        <w:rPr>
          <w:rFonts w:ascii="ITC Avant Garde" w:hAnsi="ITC Avant Garde" w:cs="Arial"/>
          <w:b/>
        </w:rPr>
      </w:pPr>
    </w:p>
    <w:p w14:paraId="6197027D" w14:textId="5AF92FF7" w:rsidR="002C00F9" w:rsidRDefault="00270725" w:rsidP="002C00F9">
      <w:pPr>
        <w:pStyle w:val="Textoindependiente"/>
        <w:spacing w:after="0"/>
        <w:jc w:val="both"/>
        <w:rPr>
          <w:rFonts w:ascii="ITC Avant Garde" w:eastAsiaTheme="minorHAnsi" w:hAnsi="ITC Avant Garde"/>
          <w:sz w:val="22"/>
          <w:szCs w:val="22"/>
          <w:lang w:val="es-MX" w:eastAsia="en-US"/>
        </w:rPr>
      </w:pPr>
      <w:r>
        <w:rPr>
          <w:rFonts w:ascii="ITC Avant Garde" w:eastAsiaTheme="minorHAnsi" w:hAnsi="ITC Avant Garde"/>
          <w:sz w:val="22"/>
          <w:szCs w:val="22"/>
          <w:lang w:val="es-MX" w:eastAsia="en-US"/>
        </w:rPr>
        <w:t>C</w:t>
      </w:r>
      <w:r w:rsidR="002C00F9" w:rsidRPr="006D5880">
        <w:rPr>
          <w:rFonts w:ascii="ITC Avant Garde" w:eastAsiaTheme="minorHAnsi" w:hAnsi="ITC Avant Garde"/>
          <w:sz w:val="22"/>
          <w:szCs w:val="22"/>
          <w:lang w:val="es-MX" w:eastAsia="en-US"/>
        </w:rPr>
        <w:t xml:space="preserve">ada </w:t>
      </w:r>
      <w:r w:rsidR="002C00F9">
        <w:rPr>
          <w:rFonts w:ascii="ITC Avant Garde" w:eastAsiaTheme="minorHAnsi" w:hAnsi="ITC Avant Garde"/>
          <w:sz w:val="22"/>
          <w:szCs w:val="22"/>
          <w:lang w:val="es-MX" w:eastAsia="en-US"/>
        </w:rPr>
        <w:t>Interesado</w:t>
      </w:r>
      <w:r w:rsidR="002C00F9" w:rsidRPr="006D5880">
        <w:rPr>
          <w:rFonts w:ascii="ITC Avant Garde" w:eastAsiaTheme="minorHAnsi" w:hAnsi="ITC Avant Garde"/>
          <w:sz w:val="22"/>
          <w:szCs w:val="22"/>
          <w:lang w:val="es-MX" w:eastAsia="en-US"/>
        </w:rPr>
        <w:t xml:space="preserve"> debe </w:t>
      </w:r>
      <w:r w:rsidR="002C00F9">
        <w:rPr>
          <w:rFonts w:ascii="ITC Avant Garde" w:eastAsiaTheme="minorHAnsi" w:hAnsi="ITC Avant Garde"/>
          <w:sz w:val="22"/>
          <w:szCs w:val="22"/>
          <w:lang w:val="es-MX" w:eastAsia="en-US"/>
        </w:rPr>
        <w:t>otorgar al Instituto una</w:t>
      </w:r>
      <w:r w:rsidR="002C00F9" w:rsidRPr="006D5880">
        <w:rPr>
          <w:rFonts w:ascii="ITC Avant Garde" w:eastAsiaTheme="minorHAnsi" w:hAnsi="ITC Avant Garde"/>
          <w:sz w:val="22"/>
          <w:szCs w:val="22"/>
          <w:lang w:val="es-MX" w:eastAsia="en-US"/>
        </w:rPr>
        <w:t xml:space="preserve"> </w:t>
      </w:r>
      <w:r w:rsidR="002C00F9" w:rsidRPr="00675F48">
        <w:rPr>
          <w:rFonts w:ascii="ITC Avant Garde" w:eastAsiaTheme="minorHAnsi" w:hAnsi="ITC Avant Garde"/>
          <w:sz w:val="22"/>
          <w:szCs w:val="22"/>
          <w:lang w:val="es-MX" w:eastAsia="en-US"/>
        </w:rPr>
        <w:t xml:space="preserve">Garantía de Seriedad mediante una carta de crédito </w:t>
      </w:r>
      <w:r w:rsidR="002C00F9" w:rsidRPr="00393759">
        <w:rPr>
          <w:rFonts w:ascii="ITC Avant Garde" w:eastAsiaTheme="minorHAnsi" w:hAnsi="ITC Avant Garde"/>
          <w:i/>
          <w:sz w:val="22"/>
          <w:szCs w:val="22"/>
          <w:lang w:val="es-MX" w:eastAsia="en-US"/>
        </w:rPr>
        <w:t>stand-by</w:t>
      </w:r>
      <w:r w:rsidR="002C00F9" w:rsidRPr="00675F48">
        <w:rPr>
          <w:rFonts w:ascii="ITC Avant Garde" w:eastAsiaTheme="minorHAnsi" w:hAnsi="ITC Avant Garde"/>
          <w:sz w:val="22"/>
          <w:szCs w:val="22"/>
          <w:lang w:val="es-MX" w:eastAsia="en-US"/>
        </w:rPr>
        <w:t xml:space="preserve">, </w:t>
      </w:r>
      <w:r w:rsidR="002C00F9" w:rsidRPr="00B3089E">
        <w:rPr>
          <w:rFonts w:ascii="ITC Avant Garde" w:eastAsiaTheme="minorHAnsi" w:hAnsi="ITC Avant Garde"/>
          <w:sz w:val="22"/>
          <w:szCs w:val="22"/>
          <w:lang w:val="es-MX" w:eastAsia="en-US"/>
        </w:rPr>
        <w:t xml:space="preserve">expedida </w:t>
      </w:r>
      <w:r w:rsidR="002C00F9" w:rsidRPr="00675F48">
        <w:rPr>
          <w:rFonts w:ascii="ITC Avant Garde" w:eastAsiaTheme="minorHAnsi" w:hAnsi="ITC Avant Garde"/>
          <w:sz w:val="22"/>
          <w:szCs w:val="22"/>
          <w:lang w:val="es-MX" w:eastAsia="en-US"/>
        </w:rPr>
        <w:t xml:space="preserve">a favor de la Tesorería de la Federación, en </w:t>
      </w:r>
      <w:r w:rsidR="002C00F9" w:rsidRPr="00B3089E">
        <w:rPr>
          <w:rFonts w:ascii="ITC Avant Garde" w:eastAsiaTheme="minorHAnsi" w:hAnsi="ITC Avant Garde"/>
          <w:sz w:val="22"/>
          <w:szCs w:val="22"/>
          <w:lang w:val="es-MX" w:eastAsia="en-US"/>
        </w:rPr>
        <w:t>apego</w:t>
      </w:r>
      <w:r w:rsidR="002C00F9" w:rsidRPr="003A4E4B">
        <w:rPr>
          <w:rFonts w:ascii="ITC Avant Garde" w:eastAsiaTheme="minorHAnsi" w:hAnsi="ITC Avant Garde"/>
          <w:sz w:val="22"/>
          <w:szCs w:val="22"/>
          <w:lang w:val="es-MX" w:eastAsia="en-US"/>
        </w:rPr>
        <w:t xml:space="preserve"> al formato establecido en el Anexo 6 del Apéndice A de las Bases</w:t>
      </w:r>
      <w:r w:rsidR="002C00F9" w:rsidRPr="00B3089E">
        <w:rPr>
          <w:rFonts w:ascii="ITC Avant Garde" w:eastAsiaTheme="minorHAnsi" w:hAnsi="ITC Avant Garde"/>
          <w:sz w:val="22"/>
          <w:szCs w:val="22"/>
          <w:lang w:val="es-MX" w:eastAsia="en-US"/>
        </w:rPr>
        <w:t>,</w:t>
      </w:r>
      <w:r w:rsidR="002C00F9">
        <w:rPr>
          <w:rFonts w:ascii="ITC Avant Garde" w:eastAsiaTheme="minorHAnsi" w:hAnsi="ITC Avant Garde"/>
          <w:sz w:val="22"/>
          <w:szCs w:val="22"/>
          <w:lang w:val="es-MX" w:eastAsia="en-US"/>
        </w:rPr>
        <w:t xml:space="preserve"> </w:t>
      </w:r>
      <w:r w:rsidR="002C00F9" w:rsidRPr="002C00F9">
        <w:rPr>
          <w:rFonts w:ascii="ITC Avant Garde" w:eastAsiaTheme="minorHAnsi" w:hAnsi="ITC Avant Garde"/>
          <w:b/>
          <w:sz w:val="22"/>
          <w:szCs w:val="22"/>
          <w:lang w:val="es-MX" w:eastAsia="en-US"/>
        </w:rPr>
        <w:t>por un monto mínimo de $700,000,000.00 pesos (</w:t>
      </w:r>
      <w:r w:rsidR="00CB59EC" w:rsidRPr="002C00F9">
        <w:rPr>
          <w:rFonts w:ascii="ITC Avant Garde" w:eastAsiaTheme="minorHAnsi" w:hAnsi="ITC Avant Garde"/>
          <w:b/>
          <w:sz w:val="22"/>
          <w:szCs w:val="22"/>
          <w:lang w:val="es-MX" w:eastAsia="en-US"/>
        </w:rPr>
        <w:t xml:space="preserve">SETECIENTOS MILLONES DE PESOS </w:t>
      </w:r>
      <w:r w:rsidR="002C00F9" w:rsidRPr="002C00F9">
        <w:rPr>
          <w:rFonts w:ascii="ITC Avant Garde" w:eastAsiaTheme="minorHAnsi" w:hAnsi="ITC Avant Garde"/>
          <w:b/>
          <w:sz w:val="22"/>
          <w:szCs w:val="22"/>
          <w:lang w:val="es-MX" w:eastAsia="en-US"/>
        </w:rPr>
        <w:t>00/100 M.N.)</w:t>
      </w:r>
      <w:r w:rsidR="002C00F9" w:rsidRPr="006D5880">
        <w:rPr>
          <w:rFonts w:ascii="ITC Avant Garde" w:eastAsiaTheme="minorHAnsi" w:hAnsi="ITC Avant Garde"/>
          <w:sz w:val="22"/>
          <w:szCs w:val="22"/>
          <w:lang w:val="es-MX" w:eastAsia="en-US"/>
        </w:rPr>
        <w:t xml:space="preserve">. </w:t>
      </w:r>
    </w:p>
    <w:p w14:paraId="79474D26" w14:textId="77777777" w:rsidR="002C00F9" w:rsidRPr="006D5880" w:rsidRDefault="002C00F9" w:rsidP="002C00F9">
      <w:pPr>
        <w:pStyle w:val="Textoindependiente"/>
        <w:spacing w:after="0"/>
        <w:jc w:val="both"/>
        <w:rPr>
          <w:rFonts w:ascii="ITC Avant Garde" w:eastAsiaTheme="minorHAnsi" w:hAnsi="ITC Avant Garde"/>
          <w:sz w:val="22"/>
          <w:szCs w:val="22"/>
          <w:lang w:val="es-MX" w:eastAsia="en-US"/>
        </w:rPr>
      </w:pPr>
    </w:p>
    <w:p w14:paraId="3F679F8B" w14:textId="77777777" w:rsidR="002C00F9" w:rsidRPr="008B26D7" w:rsidRDefault="002C00F9" w:rsidP="002C00F9">
      <w:pPr>
        <w:pStyle w:val="Textoindependiente"/>
        <w:spacing w:after="0"/>
        <w:jc w:val="both"/>
        <w:rPr>
          <w:rFonts w:ascii="ITC Avant Garde" w:eastAsiaTheme="minorHAnsi" w:hAnsi="ITC Avant Garde"/>
          <w:sz w:val="22"/>
          <w:szCs w:val="22"/>
          <w:lang w:val="es-MX" w:eastAsia="en-US"/>
        </w:rPr>
      </w:pPr>
      <w:r w:rsidRPr="008B26D7">
        <w:rPr>
          <w:rFonts w:ascii="ITC Avant Garde" w:eastAsiaTheme="minorHAnsi" w:hAnsi="ITC Avant Garde"/>
          <w:sz w:val="22"/>
          <w:szCs w:val="22"/>
          <w:lang w:val="es-MX" w:eastAsia="en-US"/>
        </w:rPr>
        <w:t>Durante el Procedimiento de Presentación de Ofertas, el Instituto</w:t>
      </w:r>
      <w:r>
        <w:rPr>
          <w:rFonts w:ascii="ITC Avant Garde" w:eastAsiaTheme="minorHAnsi" w:hAnsi="ITC Avant Garde"/>
          <w:sz w:val="22"/>
          <w:szCs w:val="22"/>
          <w:lang w:val="es-MX" w:eastAsia="en-US"/>
        </w:rPr>
        <w:t xml:space="preserve"> </w:t>
      </w:r>
      <w:r w:rsidRPr="008B26D7">
        <w:rPr>
          <w:rFonts w:ascii="ITC Avant Garde" w:eastAsiaTheme="minorHAnsi" w:hAnsi="ITC Avant Garde"/>
          <w:sz w:val="22"/>
          <w:szCs w:val="22"/>
          <w:lang w:val="es-MX" w:eastAsia="en-US"/>
        </w:rPr>
        <w:t>monitoreará el nivel de las Ofertas de cada Participante en relación al monto de su Garantía de Seriedad. En su caso, el Instituto</w:t>
      </w:r>
      <w:r>
        <w:rPr>
          <w:rFonts w:ascii="ITC Avant Garde" w:eastAsiaTheme="minorHAnsi" w:hAnsi="ITC Avant Garde"/>
          <w:sz w:val="22"/>
          <w:szCs w:val="22"/>
          <w:lang w:val="es-MX" w:eastAsia="en-US"/>
        </w:rPr>
        <w:t>, a través de la Unidad de Espectro Radioeléctrico,</w:t>
      </w:r>
      <w:r w:rsidRPr="008B26D7">
        <w:rPr>
          <w:rFonts w:ascii="ITC Avant Garde" w:eastAsiaTheme="minorHAnsi" w:hAnsi="ITC Avant Garde"/>
          <w:sz w:val="22"/>
          <w:szCs w:val="22"/>
          <w:lang w:val="es-MX" w:eastAsia="en-US"/>
        </w:rPr>
        <w:t xml:space="preserve"> suspenderá temporalmente dicho procedimiento y requerirá a uno o más Participantes el incremento del monto de sus Garantías de Seriedad, atendiendo a lo siguiente:</w:t>
      </w:r>
    </w:p>
    <w:p w14:paraId="05607157" w14:textId="77777777" w:rsidR="002C00F9" w:rsidRPr="008B26D7" w:rsidRDefault="002C00F9" w:rsidP="002C00F9">
      <w:pPr>
        <w:pStyle w:val="Textoindependiente"/>
        <w:spacing w:after="0"/>
        <w:ind w:left="720"/>
        <w:jc w:val="both"/>
        <w:rPr>
          <w:rFonts w:ascii="ITC Avant Garde" w:eastAsiaTheme="minorHAnsi" w:hAnsi="ITC Avant Garde"/>
          <w:sz w:val="22"/>
          <w:szCs w:val="22"/>
          <w:lang w:val="es-MX" w:eastAsia="en-US"/>
        </w:rPr>
      </w:pPr>
    </w:p>
    <w:p w14:paraId="737B707B" w14:textId="305AA6CC" w:rsidR="002C00F9" w:rsidRDefault="002C00F9" w:rsidP="002C00F9">
      <w:pPr>
        <w:spacing w:after="0" w:line="23" w:lineRule="atLeast"/>
        <w:jc w:val="both"/>
        <w:rPr>
          <w:rFonts w:ascii="ITC Avant Garde" w:hAnsi="ITC Avant Garde" w:cs="Arial"/>
          <w:b/>
        </w:rPr>
      </w:pPr>
      <w:r w:rsidRPr="008B26D7">
        <w:rPr>
          <w:rFonts w:ascii="ITC Avant Garde" w:hAnsi="ITC Avant Garde"/>
        </w:rPr>
        <w:t xml:space="preserve">Después de la terminación de cualquier Ronda de Reloj, </w:t>
      </w:r>
      <w:r w:rsidRPr="002C00F9">
        <w:rPr>
          <w:rFonts w:ascii="ITC Avant Garde" w:hAnsi="ITC Avant Garde"/>
          <w:b/>
        </w:rPr>
        <w:t>si la Garantía de Seriedad provista por uno o más Participantes es menor al 20% del total del Componente Económico asociado a su Oferta en dicha ronda, el Instituto suspenderá por un periodo de hasta 5 (cinco) días hábiles el Procedimiento de</w:t>
      </w:r>
      <w:bookmarkStart w:id="0" w:name="_GoBack"/>
      <w:bookmarkEnd w:id="0"/>
      <w:r w:rsidRPr="002C00F9">
        <w:rPr>
          <w:rFonts w:ascii="ITC Avant Garde" w:hAnsi="ITC Avant Garde"/>
          <w:b/>
        </w:rPr>
        <w:t xml:space="preserve"> Presentación de Ofertas y requerirá a los Participantes respectivos para que dentro de dicho periodo presenten al Instituto la actualización de la Garantía de Seriedad, de modo que ésta corresponda al menos al 50% del Componente Económico asociado a su última Oferta</w:t>
      </w:r>
      <w:r w:rsidR="00325CD3">
        <w:rPr>
          <w:rFonts w:ascii="ITC Avant Garde" w:hAnsi="ITC Avant Garde"/>
          <w:b/>
        </w:rPr>
        <w:t>.</w:t>
      </w:r>
    </w:p>
    <w:p w14:paraId="125F4EFC" w14:textId="6A5FBD76" w:rsidR="00E90A1A" w:rsidRDefault="00E90A1A" w:rsidP="002C00F9">
      <w:pPr>
        <w:spacing w:after="0" w:line="23" w:lineRule="atLeast"/>
        <w:jc w:val="both"/>
        <w:rPr>
          <w:rFonts w:ascii="ITC Avant Garde" w:hAnsi="ITC Avant Garde" w:cs="Arial"/>
          <w:b/>
        </w:rPr>
      </w:pPr>
    </w:p>
    <w:p w14:paraId="40C53BBB" w14:textId="02A4C676" w:rsidR="00E90A1A" w:rsidRPr="00092373" w:rsidRDefault="003B34ED" w:rsidP="003B34ED">
      <w:pPr>
        <w:spacing w:after="0" w:line="23" w:lineRule="atLeast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 xml:space="preserve">En caso de que el Participante Ganador haya entregado su manifestación de diferimiento en términos del Apéndice G de las Bases, </w:t>
      </w:r>
      <w:r w:rsidR="002523E4">
        <w:rPr>
          <w:rFonts w:ascii="ITC Avant Garde" w:hAnsi="ITC Avant Garde"/>
        </w:rPr>
        <w:t>deberá actualizar la</w:t>
      </w:r>
      <w:r w:rsidR="001444BE">
        <w:rPr>
          <w:rFonts w:ascii="ITC Avant Garde" w:hAnsi="ITC Avant Garde"/>
        </w:rPr>
        <w:t xml:space="preserve"> Garantía de Seriedad correspondiente</w:t>
      </w:r>
      <w:r w:rsidR="002523E4">
        <w:rPr>
          <w:rFonts w:ascii="ITC Avant Garde" w:hAnsi="ITC Avant Garde"/>
        </w:rPr>
        <w:t>, la cu</w:t>
      </w:r>
      <w:r w:rsidR="001444BE">
        <w:rPr>
          <w:rFonts w:ascii="ITC Avant Garde" w:hAnsi="ITC Avant Garde"/>
        </w:rPr>
        <w:t>al</w:t>
      </w:r>
      <w:r w:rsidR="002523E4">
        <w:rPr>
          <w:rFonts w:ascii="ITC Avant Garde" w:hAnsi="ITC Avant Garde"/>
        </w:rPr>
        <w:t xml:space="preserve"> deberá mantenerse vigente durante dicho periodo y por lo menos 40 días hábiles posteriores al otorgamiento y firma del(los) título(s) de concesión y corresponder,</w:t>
      </w:r>
      <w:r w:rsidR="002523E4" w:rsidRPr="004C3322">
        <w:t xml:space="preserve"> </w:t>
      </w:r>
      <w:r w:rsidR="002523E4" w:rsidRPr="004C3322">
        <w:rPr>
          <w:rFonts w:ascii="ITC Avant Garde" w:hAnsi="ITC Avant Garde"/>
        </w:rPr>
        <w:t>al menos</w:t>
      </w:r>
      <w:r w:rsidR="002523E4">
        <w:rPr>
          <w:rFonts w:ascii="ITC Avant Garde" w:hAnsi="ITC Avant Garde"/>
        </w:rPr>
        <w:t>,</w:t>
      </w:r>
      <w:r w:rsidR="002523E4" w:rsidRPr="004C3322">
        <w:rPr>
          <w:rFonts w:ascii="ITC Avant Garde" w:hAnsi="ITC Avant Garde"/>
        </w:rPr>
        <w:t xml:space="preserve"> </w:t>
      </w:r>
      <w:r w:rsidR="002523E4">
        <w:rPr>
          <w:rFonts w:ascii="ITC Avant Garde" w:hAnsi="ITC Avant Garde"/>
        </w:rPr>
        <w:t>a lo que resulte mayor entre $700,000,000.00 (SETECIENTOS MILLONES DE PESOS 00/100 M.N.) y e</w:t>
      </w:r>
      <w:r w:rsidR="002523E4" w:rsidRPr="004C3322">
        <w:rPr>
          <w:rFonts w:ascii="ITC Avant Garde" w:hAnsi="ITC Avant Garde"/>
        </w:rPr>
        <w:t>l 50% (cincuenta por ciento) de</w:t>
      </w:r>
      <w:r w:rsidR="001444BE">
        <w:rPr>
          <w:rFonts w:ascii="ITC Avant Garde" w:hAnsi="ITC Avant Garde"/>
        </w:rPr>
        <w:t xml:space="preserve"> </w:t>
      </w:r>
      <w:r w:rsidR="002523E4" w:rsidRPr="004C3322">
        <w:rPr>
          <w:rFonts w:ascii="ITC Avant Garde" w:hAnsi="ITC Avant Garde"/>
        </w:rPr>
        <w:t>l</w:t>
      </w:r>
      <w:r w:rsidR="001444BE">
        <w:rPr>
          <w:rFonts w:ascii="ITC Avant Garde" w:hAnsi="ITC Avant Garde"/>
        </w:rPr>
        <w:t>a</w:t>
      </w:r>
      <w:r w:rsidR="002523E4" w:rsidRPr="004C3322">
        <w:rPr>
          <w:rFonts w:ascii="ITC Avant Garde" w:hAnsi="ITC Avant Garde"/>
        </w:rPr>
        <w:t xml:space="preserve"> </w:t>
      </w:r>
      <w:r w:rsidR="001444BE">
        <w:rPr>
          <w:rFonts w:ascii="ITC Avant Garde" w:hAnsi="ITC Avant Garde"/>
        </w:rPr>
        <w:t>Contraprestación</w:t>
      </w:r>
      <w:r w:rsidR="002523E4">
        <w:rPr>
          <w:rFonts w:ascii="ITC Avant Garde" w:hAnsi="ITC Avant Garde"/>
        </w:rPr>
        <w:t xml:space="preserve"> </w:t>
      </w:r>
      <w:r w:rsidR="00F56555">
        <w:rPr>
          <w:rFonts w:ascii="ITC Avant Garde" w:hAnsi="ITC Avant Garde"/>
        </w:rPr>
        <w:t>respectiva</w:t>
      </w:r>
      <w:r w:rsidR="001444BE">
        <w:rPr>
          <w:rFonts w:ascii="ITC Avant Garde" w:hAnsi="ITC Avant Garde"/>
        </w:rPr>
        <w:t>.</w:t>
      </w:r>
    </w:p>
    <w:sectPr w:rsidR="00E90A1A" w:rsidRPr="00092373" w:rsidSect="008B5A78">
      <w:pgSz w:w="12240" w:h="15840"/>
      <w:pgMar w:top="1985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C282EE" w14:textId="77777777" w:rsidR="001E710C" w:rsidRDefault="001E710C" w:rsidP="002426DE">
      <w:pPr>
        <w:spacing w:after="0" w:line="240" w:lineRule="auto"/>
      </w:pPr>
      <w:r>
        <w:separator/>
      </w:r>
    </w:p>
  </w:endnote>
  <w:endnote w:type="continuationSeparator" w:id="0">
    <w:p w14:paraId="51A02383" w14:textId="77777777" w:rsidR="001E710C" w:rsidRDefault="001E710C" w:rsidP="002426DE">
      <w:pPr>
        <w:spacing w:after="0" w:line="240" w:lineRule="auto"/>
      </w:pPr>
      <w:r>
        <w:continuationSeparator/>
      </w:r>
    </w:p>
  </w:endnote>
  <w:endnote w:type="continuationNotice" w:id="1">
    <w:p w14:paraId="3584FA38" w14:textId="77777777" w:rsidR="001E710C" w:rsidRDefault="001E71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 Avant Garde">
    <w:altName w:val="ITC Avant Garde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DEA67B" w14:textId="77777777" w:rsidR="001E710C" w:rsidRDefault="001E710C" w:rsidP="002426DE">
      <w:pPr>
        <w:spacing w:after="0" w:line="240" w:lineRule="auto"/>
      </w:pPr>
      <w:r>
        <w:separator/>
      </w:r>
    </w:p>
  </w:footnote>
  <w:footnote w:type="continuationSeparator" w:id="0">
    <w:p w14:paraId="58D1B844" w14:textId="77777777" w:rsidR="001E710C" w:rsidRDefault="001E710C" w:rsidP="002426DE">
      <w:pPr>
        <w:spacing w:after="0" w:line="240" w:lineRule="auto"/>
      </w:pPr>
      <w:r>
        <w:continuationSeparator/>
      </w:r>
    </w:p>
  </w:footnote>
  <w:footnote w:type="continuationNotice" w:id="1">
    <w:p w14:paraId="3A8B9CFE" w14:textId="77777777" w:rsidR="001E710C" w:rsidRDefault="001E710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B2BFF"/>
    <w:multiLevelType w:val="multilevel"/>
    <w:tmpl w:val="3CE0DA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7F24268"/>
    <w:multiLevelType w:val="hybridMultilevel"/>
    <w:tmpl w:val="AB1033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728FE"/>
    <w:multiLevelType w:val="hybridMultilevel"/>
    <w:tmpl w:val="72524072"/>
    <w:lvl w:ilvl="0" w:tplc="B25E47B2">
      <w:start w:val="1"/>
      <w:numFmt w:val="decimal"/>
      <w:lvlText w:val="%1)"/>
      <w:lvlJc w:val="left"/>
      <w:pPr>
        <w:ind w:left="720" w:hanging="360"/>
      </w:pPr>
      <w:rPr>
        <w:rFonts w:ascii="ITC Avant Garde" w:eastAsia="Calibri" w:hAnsi="ITC Avant Garde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92247"/>
    <w:multiLevelType w:val="hybridMultilevel"/>
    <w:tmpl w:val="4C944B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F4A0A"/>
    <w:multiLevelType w:val="hybridMultilevel"/>
    <w:tmpl w:val="500A128A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5120EF"/>
    <w:multiLevelType w:val="hybridMultilevel"/>
    <w:tmpl w:val="498291AC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E046137"/>
    <w:multiLevelType w:val="hybridMultilevel"/>
    <w:tmpl w:val="A61C29A2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33CED4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8" w15:restartNumberingAfterBreak="0">
    <w:nsid w:val="472C2625"/>
    <w:multiLevelType w:val="multilevel"/>
    <w:tmpl w:val="CB6C8B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7606F60"/>
    <w:multiLevelType w:val="hybridMultilevel"/>
    <w:tmpl w:val="FE48C7A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B5C596C"/>
    <w:multiLevelType w:val="hybridMultilevel"/>
    <w:tmpl w:val="A91AE9A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4B5866"/>
    <w:multiLevelType w:val="multilevel"/>
    <w:tmpl w:val="EE3059E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3EC4EA2"/>
    <w:multiLevelType w:val="hybridMultilevel"/>
    <w:tmpl w:val="CFF23072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8021778"/>
    <w:multiLevelType w:val="hybridMultilevel"/>
    <w:tmpl w:val="2EB43436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94538D9"/>
    <w:multiLevelType w:val="hybridMultilevel"/>
    <w:tmpl w:val="242AE8F0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BF248F"/>
    <w:multiLevelType w:val="hybridMultilevel"/>
    <w:tmpl w:val="573C2730"/>
    <w:lvl w:ilvl="0" w:tplc="75108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9A75C0"/>
    <w:multiLevelType w:val="hybridMultilevel"/>
    <w:tmpl w:val="ADE47A4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6"/>
  </w:num>
  <w:num w:numId="4">
    <w:abstractNumId w:val="8"/>
  </w:num>
  <w:num w:numId="5">
    <w:abstractNumId w:val="6"/>
  </w:num>
  <w:num w:numId="6">
    <w:abstractNumId w:val="11"/>
  </w:num>
  <w:num w:numId="7">
    <w:abstractNumId w:val="2"/>
  </w:num>
  <w:num w:numId="8">
    <w:abstractNumId w:val="5"/>
  </w:num>
  <w:num w:numId="9">
    <w:abstractNumId w:val="12"/>
  </w:num>
  <w:num w:numId="10">
    <w:abstractNumId w:val="13"/>
  </w:num>
  <w:num w:numId="11">
    <w:abstractNumId w:val="4"/>
  </w:num>
  <w:num w:numId="12">
    <w:abstractNumId w:val="3"/>
  </w:num>
  <w:num w:numId="13">
    <w:abstractNumId w:val="1"/>
  </w:num>
  <w:num w:numId="14">
    <w:abstractNumId w:val="9"/>
  </w:num>
  <w:num w:numId="15">
    <w:abstractNumId w:val="10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D3B"/>
    <w:rsid w:val="00006EF4"/>
    <w:rsid w:val="00007442"/>
    <w:rsid w:val="00007F92"/>
    <w:rsid w:val="00011F96"/>
    <w:rsid w:val="00014C5C"/>
    <w:rsid w:val="00040033"/>
    <w:rsid w:val="00057F77"/>
    <w:rsid w:val="00062FFB"/>
    <w:rsid w:val="000703FB"/>
    <w:rsid w:val="0007367B"/>
    <w:rsid w:val="00083944"/>
    <w:rsid w:val="00092373"/>
    <w:rsid w:val="000A0926"/>
    <w:rsid w:val="000A1487"/>
    <w:rsid w:val="000B18A4"/>
    <w:rsid w:val="000B5952"/>
    <w:rsid w:val="000B5D3B"/>
    <w:rsid w:val="000B6C1E"/>
    <w:rsid w:val="000C1FA4"/>
    <w:rsid w:val="000C6B7D"/>
    <w:rsid w:val="000F6A33"/>
    <w:rsid w:val="0010226D"/>
    <w:rsid w:val="001037EE"/>
    <w:rsid w:val="00106066"/>
    <w:rsid w:val="0012656E"/>
    <w:rsid w:val="001341ED"/>
    <w:rsid w:val="001444BE"/>
    <w:rsid w:val="001456EF"/>
    <w:rsid w:val="00156B14"/>
    <w:rsid w:val="00160482"/>
    <w:rsid w:val="00162B05"/>
    <w:rsid w:val="00167FEE"/>
    <w:rsid w:val="0019769E"/>
    <w:rsid w:val="001B09AA"/>
    <w:rsid w:val="001B2243"/>
    <w:rsid w:val="001C57C7"/>
    <w:rsid w:val="001D77F5"/>
    <w:rsid w:val="001E49CB"/>
    <w:rsid w:val="001E710C"/>
    <w:rsid w:val="001F2A71"/>
    <w:rsid w:val="001F633C"/>
    <w:rsid w:val="00203ED8"/>
    <w:rsid w:val="00213F1F"/>
    <w:rsid w:val="002367C9"/>
    <w:rsid w:val="002420A9"/>
    <w:rsid w:val="002426DE"/>
    <w:rsid w:val="002454E6"/>
    <w:rsid w:val="002523E4"/>
    <w:rsid w:val="0026156D"/>
    <w:rsid w:val="00270725"/>
    <w:rsid w:val="00275F5B"/>
    <w:rsid w:val="002822B4"/>
    <w:rsid w:val="002852D7"/>
    <w:rsid w:val="0029072A"/>
    <w:rsid w:val="0029122D"/>
    <w:rsid w:val="00293FA7"/>
    <w:rsid w:val="00294B96"/>
    <w:rsid w:val="002A21F2"/>
    <w:rsid w:val="002B4C9F"/>
    <w:rsid w:val="002C00F9"/>
    <w:rsid w:val="002C5628"/>
    <w:rsid w:val="002E197D"/>
    <w:rsid w:val="002F0DB6"/>
    <w:rsid w:val="002F59E3"/>
    <w:rsid w:val="002F7B47"/>
    <w:rsid w:val="00315F0B"/>
    <w:rsid w:val="00317886"/>
    <w:rsid w:val="00322062"/>
    <w:rsid w:val="0032346D"/>
    <w:rsid w:val="00325CD3"/>
    <w:rsid w:val="00330236"/>
    <w:rsid w:val="00343274"/>
    <w:rsid w:val="003549B6"/>
    <w:rsid w:val="00361CF6"/>
    <w:rsid w:val="0039346C"/>
    <w:rsid w:val="003B34ED"/>
    <w:rsid w:val="003C4D43"/>
    <w:rsid w:val="003C52C2"/>
    <w:rsid w:val="003C7555"/>
    <w:rsid w:val="003D2D37"/>
    <w:rsid w:val="003D4F46"/>
    <w:rsid w:val="003E123E"/>
    <w:rsid w:val="003E19C5"/>
    <w:rsid w:val="003E23D0"/>
    <w:rsid w:val="003F243E"/>
    <w:rsid w:val="003F38C1"/>
    <w:rsid w:val="003F7453"/>
    <w:rsid w:val="004232C7"/>
    <w:rsid w:val="00452CAA"/>
    <w:rsid w:val="00454DBF"/>
    <w:rsid w:val="00467650"/>
    <w:rsid w:val="00467A97"/>
    <w:rsid w:val="004D3701"/>
    <w:rsid w:val="004E1367"/>
    <w:rsid w:val="00504038"/>
    <w:rsid w:val="00504407"/>
    <w:rsid w:val="00510340"/>
    <w:rsid w:val="00514C55"/>
    <w:rsid w:val="005478F9"/>
    <w:rsid w:val="00554089"/>
    <w:rsid w:val="00584781"/>
    <w:rsid w:val="00585A49"/>
    <w:rsid w:val="005951B1"/>
    <w:rsid w:val="00595CE7"/>
    <w:rsid w:val="005A6786"/>
    <w:rsid w:val="005C3C82"/>
    <w:rsid w:val="005D08E8"/>
    <w:rsid w:val="005F524C"/>
    <w:rsid w:val="005F78FB"/>
    <w:rsid w:val="00624B9B"/>
    <w:rsid w:val="00632771"/>
    <w:rsid w:val="0065606D"/>
    <w:rsid w:val="00671775"/>
    <w:rsid w:val="00672E8A"/>
    <w:rsid w:val="006847D7"/>
    <w:rsid w:val="006A30EF"/>
    <w:rsid w:val="006A52A1"/>
    <w:rsid w:val="006B4B45"/>
    <w:rsid w:val="006C2763"/>
    <w:rsid w:val="006C5D83"/>
    <w:rsid w:val="006D2407"/>
    <w:rsid w:val="006D3826"/>
    <w:rsid w:val="006D7768"/>
    <w:rsid w:val="007017B5"/>
    <w:rsid w:val="007072C6"/>
    <w:rsid w:val="00711611"/>
    <w:rsid w:val="00715EB5"/>
    <w:rsid w:val="007530D9"/>
    <w:rsid w:val="00753658"/>
    <w:rsid w:val="00771ACD"/>
    <w:rsid w:val="007919F8"/>
    <w:rsid w:val="007953D0"/>
    <w:rsid w:val="007B5FB2"/>
    <w:rsid w:val="007C0B42"/>
    <w:rsid w:val="007C3A42"/>
    <w:rsid w:val="007C5C59"/>
    <w:rsid w:val="007D2277"/>
    <w:rsid w:val="007D4786"/>
    <w:rsid w:val="007D60EA"/>
    <w:rsid w:val="007D6C1A"/>
    <w:rsid w:val="007E58F9"/>
    <w:rsid w:val="007E5D06"/>
    <w:rsid w:val="00805E93"/>
    <w:rsid w:val="008243CF"/>
    <w:rsid w:val="00837A1F"/>
    <w:rsid w:val="00845D42"/>
    <w:rsid w:val="00845D51"/>
    <w:rsid w:val="00875B68"/>
    <w:rsid w:val="00887F48"/>
    <w:rsid w:val="00892B56"/>
    <w:rsid w:val="00895E0C"/>
    <w:rsid w:val="008962A7"/>
    <w:rsid w:val="0089770B"/>
    <w:rsid w:val="008B5A78"/>
    <w:rsid w:val="008D02F8"/>
    <w:rsid w:val="008D4F47"/>
    <w:rsid w:val="008E48DE"/>
    <w:rsid w:val="008F0BB7"/>
    <w:rsid w:val="008F133D"/>
    <w:rsid w:val="008F7767"/>
    <w:rsid w:val="009352B4"/>
    <w:rsid w:val="009747A6"/>
    <w:rsid w:val="0098387B"/>
    <w:rsid w:val="009A0506"/>
    <w:rsid w:val="009B06BE"/>
    <w:rsid w:val="009B4406"/>
    <w:rsid w:val="009B6A15"/>
    <w:rsid w:val="009C1785"/>
    <w:rsid w:val="009C1C44"/>
    <w:rsid w:val="009C5DCA"/>
    <w:rsid w:val="009C6E15"/>
    <w:rsid w:val="009C6E44"/>
    <w:rsid w:val="009D32A0"/>
    <w:rsid w:val="009E0B8D"/>
    <w:rsid w:val="009F400D"/>
    <w:rsid w:val="00A03201"/>
    <w:rsid w:val="00A15928"/>
    <w:rsid w:val="00A22D05"/>
    <w:rsid w:val="00A359CB"/>
    <w:rsid w:val="00A4168B"/>
    <w:rsid w:val="00A502BE"/>
    <w:rsid w:val="00A532B2"/>
    <w:rsid w:val="00A5777C"/>
    <w:rsid w:val="00A67C27"/>
    <w:rsid w:val="00A86096"/>
    <w:rsid w:val="00AA4E28"/>
    <w:rsid w:val="00AB24A1"/>
    <w:rsid w:val="00AB4994"/>
    <w:rsid w:val="00AC33D9"/>
    <w:rsid w:val="00AE7C0C"/>
    <w:rsid w:val="00B2034E"/>
    <w:rsid w:val="00B3098D"/>
    <w:rsid w:val="00B31E43"/>
    <w:rsid w:val="00B454B7"/>
    <w:rsid w:val="00B577A1"/>
    <w:rsid w:val="00B61539"/>
    <w:rsid w:val="00B65952"/>
    <w:rsid w:val="00B65D96"/>
    <w:rsid w:val="00B71900"/>
    <w:rsid w:val="00B87DDE"/>
    <w:rsid w:val="00B945C0"/>
    <w:rsid w:val="00BA1D31"/>
    <w:rsid w:val="00BA5B69"/>
    <w:rsid w:val="00BC2875"/>
    <w:rsid w:val="00BC6BE4"/>
    <w:rsid w:val="00BE4ADD"/>
    <w:rsid w:val="00BF1D6E"/>
    <w:rsid w:val="00BF4661"/>
    <w:rsid w:val="00C045AA"/>
    <w:rsid w:val="00C43CA0"/>
    <w:rsid w:val="00C45170"/>
    <w:rsid w:val="00C628CD"/>
    <w:rsid w:val="00C67442"/>
    <w:rsid w:val="00C74C68"/>
    <w:rsid w:val="00CA01C5"/>
    <w:rsid w:val="00CB50AA"/>
    <w:rsid w:val="00CB59EC"/>
    <w:rsid w:val="00CC2499"/>
    <w:rsid w:val="00CC31EA"/>
    <w:rsid w:val="00CC59DB"/>
    <w:rsid w:val="00CE0B56"/>
    <w:rsid w:val="00CE0F2D"/>
    <w:rsid w:val="00CE1EC8"/>
    <w:rsid w:val="00CE382D"/>
    <w:rsid w:val="00CE4727"/>
    <w:rsid w:val="00CE5660"/>
    <w:rsid w:val="00D06CA4"/>
    <w:rsid w:val="00D14545"/>
    <w:rsid w:val="00D214C8"/>
    <w:rsid w:val="00D24B5F"/>
    <w:rsid w:val="00D26E97"/>
    <w:rsid w:val="00D44FE6"/>
    <w:rsid w:val="00D474BA"/>
    <w:rsid w:val="00D51D39"/>
    <w:rsid w:val="00D86D58"/>
    <w:rsid w:val="00DB182D"/>
    <w:rsid w:val="00DC6578"/>
    <w:rsid w:val="00DD423F"/>
    <w:rsid w:val="00DE4520"/>
    <w:rsid w:val="00E01B09"/>
    <w:rsid w:val="00E219B1"/>
    <w:rsid w:val="00E23F1E"/>
    <w:rsid w:val="00E26C25"/>
    <w:rsid w:val="00E32B2A"/>
    <w:rsid w:val="00E60B17"/>
    <w:rsid w:val="00E70A4C"/>
    <w:rsid w:val="00E87B8F"/>
    <w:rsid w:val="00E90A1A"/>
    <w:rsid w:val="00E92FCF"/>
    <w:rsid w:val="00E9716E"/>
    <w:rsid w:val="00EB0D2B"/>
    <w:rsid w:val="00EB0D2D"/>
    <w:rsid w:val="00EB1088"/>
    <w:rsid w:val="00ED1F47"/>
    <w:rsid w:val="00ED6A6D"/>
    <w:rsid w:val="00EE01A7"/>
    <w:rsid w:val="00EE14BD"/>
    <w:rsid w:val="00EF7462"/>
    <w:rsid w:val="00F024FB"/>
    <w:rsid w:val="00F030C9"/>
    <w:rsid w:val="00F04971"/>
    <w:rsid w:val="00F05A79"/>
    <w:rsid w:val="00F1267E"/>
    <w:rsid w:val="00F20AEA"/>
    <w:rsid w:val="00F228D6"/>
    <w:rsid w:val="00F37542"/>
    <w:rsid w:val="00F56555"/>
    <w:rsid w:val="00F62079"/>
    <w:rsid w:val="00F62654"/>
    <w:rsid w:val="00F63F54"/>
    <w:rsid w:val="00F77CAC"/>
    <w:rsid w:val="00F90496"/>
    <w:rsid w:val="00F94390"/>
    <w:rsid w:val="00F943E5"/>
    <w:rsid w:val="00F95CC9"/>
    <w:rsid w:val="00FA35FF"/>
    <w:rsid w:val="00FB7F38"/>
    <w:rsid w:val="00FE5C23"/>
    <w:rsid w:val="00FF0956"/>
    <w:rsid w:val="00FF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EE3ED"/>
  <w15:chartTrackingRefBased/>
  <w15:docId w15:val="{DF056E09-0702-4A4F-A010-35AF03DD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IFT">
    <w:name w:val="IFT"/>
    <w:basedOn w:val="Normal"/>
    <w:autoRedefine/>
    <w:qFormat/>
    <w:rsid w:val="00467A97"/>
    <w:pPr>
      <w:spacing w:before="120" w:after="120" w:line="276" w:lineRule="auto"/>
      <w:jc w:val="center"/>
    </w:pPr>
    <w:rPr>
      <w:rFonts w:ascii="ITC Avant Garde" w:eastAsia="Times New Roman" w:hAnsi="ITC Avant Garde" w:cs="Times New Roman"/>
      <w:b/>
      <w:bCs/>
      <w:color w:val="000000"/>
      <w:lang w:eastAsia="es-MX"/>
    </w:rPr>
  </w:style>
  <w:style w:type="paragraph" w:styleId="Prrafodelista">
    <w:name w:val="List Paragraph"/>
    <w:basedOn w:val="Normal"/>
    <w:link w:val="PrrafodelistaCar"/>
    <w:uiPriority w:val="34"/>
    <w:qFormat/>
    <w:rsid w:val="001341ED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B454B7"/>
    <w:rPr>
      <w:rFonts w:ascii="Times New Roman" w:eastAsia="Calibri" w:hAnsi="Times New Roman" w:cs="Times New Roman"/>
      <w:sz w:val="24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EF7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EF7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rsid w:val="00D14545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rsid w:val="00D14545"/>
    <w:pPr>
      <w:spacing w:after="0" w:line="276" w:lineRule="auto"/>
      <w:jc w:val="both"/>
    </w:pPr>
    <w:rPr>
      <w:rFonts w:ascii="Times New Roman" w:eastAsia="Times New Roman" w:hAnsi="Times New Roman" w:cs="Times New Roman"/>
      <w:snapToGrid w:val="0"/>
      <w:sz w:val="20"/>
      <w:szCs w:val="24"/>
      <w:lang w:val="es-ES_tradnl"/>
    </w:rPr>
  </w:style>
  <w:style w:type="character" w:customStyle="1" w:styleId="TextocomentarioCar1">
    <w:name w:val="Texto comentario Car1"/>
    <w:link w:val="Textocomentario"/>
    <w:uiPriority w:val="99"/>
    <w:rsid w:val="00D14545"/>
    <w:rPr>
      <w:rFonts w:ascii="Times New Roman" w:eastAsia="Times New Roman" w:hAnsi="Times New Roman" w:cs="Times New Roman"/>
      <w:snapToGrid w:val="0"/>
      <w:sz w:val="20"/>
      <w:szCs w:val="24"/>
      <w:lang w:val="es-ES_tradnl"/>
    </w:rPr>
  </w:style>
  <w:style w:type="character" w:customStyle="1" w:styleId="TextocomentarioCar">
    <w:name w:val="Texto comentario Car"/>
    <w:basedOn w:val="Fuentedeprrafopredeter"/>
    <w:uiPriority w:val="99"/>
    <w:semiHidden/>
    <w:rsid w:val="00D14545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4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4545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unhideWhenUsed/>
    <w:rsid w:val="002426DE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426DE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Refdenotaalpie">
    <w:name w:val="footnote reference"/>
    <w:uiPriority w:val="99"/>
    <w:unhideWhenUsed/>
    <w:rsid w:val="002426DE"/>
    <w:rPr>
      <w:vertAlign w:val="superscript"/>
    </w:rPr>
  </w:style>
  <w:style w:type="character" w:styleId="Hipervnculo">
    <w:name w:val="Hyperlink"/>
    <w:uiPriority w:val="99"/>
    <w:unhideWhenUsed/>
    <w:rsid w:val="007C3A4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F7767"/>
    <w:rPr>
      <w:color w:val="954F72" w:themeColor="followed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30D9"/>
    <w:pPr>
      <w:spacing w:after="160" w:line="240" w:lineRule="auto"/>
      <w:jc w:val="left"/>
    </w:pPr>
    <w:rPr>
      <w:rFonts w:asciiTheme="minorHAnsi" w:eastAsiaTheme="minorHAnsi" w:hAnsiTheme="minorHAnsi" w:cstheme="minorBidi"/>
      <w:b/>
      <w:bCs/>
      <w:snapToGrid/>
      <w:szCs w:val="20"/>
      <w:lang w:val="es-MX"/>
    </w:rPr>
  </w:style>
  <w:style w:type="character" w:customStyle="1" w:styleId="AsuntodelcomentarioCar">
    <w:name w:val="Asunto del comentario Car"/>
    <w:basedOn w:val="TextocomentarioCar1"/>
    <w:link w:val="Asuntodelcomentario"/>
    <w:uiPriority w:val="99"/>
    <w:semiHidden/>
    <w:rsid w:val="007530D9"/>
    <w:rPr>
      <w:rFonts w:ascii="Times New Roman" w:eastAsia="Times New Roman" w:hAnsi="Times New Roman" w:cs="Times New Roman"/>
      <w:b/>
      <w:bCs/>
      <w:snapToGrid/>
      <w:sz w:val="20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D06C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6CA4"/>
  </w:style>
  <w:style w:type="paragraph" w:styleId="Piedepgina">
    <w:name w:val="footer"/>
    <w:basedOn w:val="Normal"/>
    <w:link w:val="PiedepginaCar"/>
    <w:uiPriority w:val="99"/>
    <w:unhideWhenUsed/>
    <w:rsid w:val="00D06C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6CA4"/>
  </w:style>
  <w:style w:type="table" w:styleId="Tabladecuadrcula4-nfasis6">
    <w:name w:val="Grid Table 4 Accent 6"/>
    <w:basedOn w:val="Tablanormal"/>
    <w:uiPriority w:val="49"/>
    <w:rsid w:val="00E01B0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TextoCar">
    <w:name w:val="Texto Car"/>
    <w:basedOn w:val="Fuentedeprrafopredeter"/>
    <w:link w:val="Texto"/>
    <w:locked/>
    <w:rsid w:val="00B3098D"/>
    <w:rPr>
      <w:rFonts w:ascii="Arial" w:hAnsi="Arial" w:cs="Arial"/>
      <w:lang w:eastAsia="es-ES"/>
    </w:rPr>
  </w:style>
  <w:style w:type="paragraph" w:customStyle="1" w:styleId="Texto">
    <w:name w:val="Texto"/>
    <w:basedOn w:val="Normal"/>
    <w:link w:val="TextoCar"/>
    <w:rsid w:val="00B3098D"/>
    <w:pPr>
      <w:spacing w:after="101" w:line="216" w:lineRule="exact"/>
      <w:ind w:firstLine="288"/>
      <w:jc w:val="both"/>
    </w:pPr>
    <w:rPr>
      <w:rFonts w:ascii="Arial" w:hAnsi="Arial" w:cs="Arial"/>
      <w:lang w:eastAsia="es-ES"/>
    </w:rPr>
  </w:style>
  <w:style w:type="paragraph" w:customStyle="1" w:styleId="xl65">
    <w:name w:val="xl65"/>
    <w:basedOn w:val="Normal"/>
    <w:rsid w:val="00454DBF"/>
    <w:pPr>
      <w:pBdr>
        <w:top w:val="single" w:sz="8" w:space="0" w:color="FFFFFF"/>
        <w:left w:val="single" w:sz="8" w:space="0" w:color="FFFFFF"/>
        <w:bottom w:val="single" w:sz="8" w:space="0" w:color="A8D08D"/>
        <w:right w:val="single" w:sz="8" w:space="0" w:color="FFFFFF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b/>
      <w:bCs/>
      <w:color w:val="FFFFFF"/>
      <w:sz w:val="18"/>
      <w:szCs w:val="18"/>
      <w:lang w:val="en-US"/>
    </w:rPr>
  </w:style>
  <w:style w:type="paragraph" w:customStyle="1" w:styleId="xl66">
    <w:name w:val="xl66"/>
    <w:basedOn w:val="Normal"/>
    <w:rsid w:val="00454DBF"/>
    <w:pPr>
      <w:pBdr>
        <w:top w:val="single" w:sz="8" w:space="0" w:color="FFFFFF"/>
        <w:bottom w:val="single" w:sz="8" w:space="0" w:color="A8D08D"/>
        <w:right w:val="single" w:sz="8" w:space="0" w:color="FFFFFF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b/>
      <w:bCs/>
      <w:color w:val="FFFFFF"/>
      <w:sz w:val="18"/>
      <w:szCs w:val="18"/>
      <w:lang w:val="en-US"/>
    </w:rPr>
  </w:style>
  <w:style w:type="paragraph" w:customStyle="1" w:styleId="xl67">
    <w:name w:val="xl67"/>
    <w:basedOn w:val="Normal"/>
    <w:rsid w:val="00454DBF"/>
    <w:pPr>
      <w:pBdr>
        <w:left w:val="single" w:sz="8" w:space="0" w:color="A8D08D"/>
        <w:bottom w:val="single" w:sz="8" w:space="0" w:color="A8D08D"/>
        <w:right w:val="single" w:sz="8" w:space="0" w:color="A8D08D"/>
      </w:pBdr>
      <w:shd w:val="clear" w:color="000000" w:fill="E2EFD9"/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b/>
      <w:bCs/>
      <w:color w:val="000000"/>
      <w:sz w:val="18"/>
      <w:szCs w:val="18"/>
      <w:lang w:val="en-US"/>
    </w:rPr>
  </w:style>
  <w:style w:type="paragraph" w:customStyle="1" w:styleId="xl68">
    <w:name w:val="xl68"/>
    <w:basedOn w:val="Normal"/>
    <w:rsid w:val="00454DBF"/>
    <w:pPr>
      <w:pBdr>
        <w:bottom w:val="single" w:sz="8" w:space="0" w:color="A8D08D"/>
        <w:right w:val="single" w:sz="8" w:space="0" w:color="A8D08D"/>
      </w:pBdr>
      <w:shd w:val="clear" w:color="000000" w:fill="E2EFD9"/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color w:val="000000"/>
      <w:sz w:val="18"/>
      <w:szCs w:val="18"/>
      <w:lang w:val="en-US"/>
    </w:rPr>
  </w:style>
  <w:style w:type="paragraph" w:customStyle="1" w:styleId="xl69">
    <w:name w:val="xl69"/>
    <w:basedOn w:val="Normal"/>
    <w:rsid w:val="00454DBF"/>
    <w:pPr>
      <w:pBdr>
        <w:left w:val="single" w:sz="8" w:space="0" w:color="A8D08D"/>
        <w:bottom w:val="single" w:sz="8" w:space="0" w:color="A8D08D"/>
        <w:right w:val="single" w:sz="8" w:space="0" w:color="A8D08D"/>
      </w:pBdr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b/>
      <w:bCs/>
      <w:color w:val="000000"/>
      <w:sz w:val="18"/>
      <w:szCs w:val="18"/>
      <w:lang w:val="en-US"/>
    </w:rPr>
  </w:style>
  <w:style w:type="paragraph" w:customStyle="1" w:styleId="xl70">
    <w:name w:val="xl70"/>
    <w:basedOn w:val="Normal"/>
    <w:rsid w:val="00454DBF"/>
    <w:pPr>
      <w:pBdr>
        <w:bottom w:val="single" w:sz="8" w:space="0" w:color="A8D08D"/>
        <w:right w:val="single" w:sz="8" w:space="0" w:color="A8D08D"/>
      </w:pBdr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color w:val="000000"/>
      <w:sz w:val="18"/>
      <w:szCs w:val="18"/>
      <w:lang w:val="en-US"/>
    </w:rPr>
  </w:style>
  <w:style w:type="paragraph" w:customStyle="1" w:styleId="xl71">
    <w:name w:val="xl71"/>
    <w:basedOn w:val="Normal"/>
    <w:rsid w:val="00454D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2">
    <w:name w:val="xl72"/>
    <w:basedOn w:val="Normal"/>
    <w:rsid w:val="00454DBF"/>
    <w:pPr>
      <w:pBdr>
        <w:top w:val="single" w:sz="8" w:space="0" w:color="FFFFFF"/>
        <w:bottom w:val="single" w:sz="8" w:space="0" w:color="A8D08D"/>
        <w:right w:val="single" w:sz="8" w:space="0" w:color="FFFFFF"/>
      </w:pBdr>
      <w:shd w:val="clear" w:color="000000" w:fill="70AD47"/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b/>
      <w:bCs/>
      <w:color w:val="FFFFFF"/>
      <w:sz w:val="18"/>
      <w:szCs w:val="18"/>
      <w:lang w:val="en-US"/>
    </w:rPr>
  </w:style>
  <w:style w:type="paragraph" w:customStyle="1" w:styleId="xl73">
    <w:name w:val="xl73"/>
    <w:basedOn w:val="Normal"/>
    <w:rsid w:val="00454D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4">
    <w:name w:val="xl74"/>
    <w:basedOn w:val="Normal"/>
    <w:rsid w:val="00454DBF"/>
    <w:pPr>
      <w:pBdr>
        <w:bottom w:val="single" w:sz="8" w:space="0" w:color="A8D08D"/>
        <w:right w:val="single" w:sz="8" w:space="0" w:color="A8D08D"/>
      </w:pBdr>
      <w:shd w:val="clear" w:color="000000" w:fill="538135"/>
      <w:spacing w:before="100" w:beforeAutospacing="1" w:after="100" w:afterAutospacing="1" w:line="240" w:lineRule="auto"/>
      <w:jc w:val="center"/>
      <w:textAlignment w:val="center"/>
    </w:pPr>
    <w:rPr>
      <w:rFonts w:ascii="ITC Avant Garde" w:eastAsia="Times New Roman" w:hAnsi="ITC Avant Garde" w:cs="Times New Roman"/>
      <w:b/>
      <w:bCs/>
      <w:color w:val="FFFFFF"/>
      <w:sz w:val="18"/>
      <w:szCs w:val="18"/>
      <w:lang w:val="en-US"/>
    </w:rPr>
  </w:style>
  <w:style w:type="paragraph" w:customStyle="1" w:styleId="xl75">
    <w:name w:val="xl75"/>
    <w:basedOn w:val="Normal"/>
    <w:rsid w:val="00454DBF"/>
    <w:pPr>
      <w:pBdr>
        <w:bottom w:val="single" w:sz="8" w:space="0" w:color="A8D08D"/>
        <w:right w:val="single" w:sz="8" w:space="0" w:color="A8D08D"/>
      </w:pBdr>
      <w:shd w:val="clear" w:color="000000" w:fill="E2EFD9"/>
      <w:spacing w:before="100" w:beforeAutospacing="1" w:after="100" w:afterAutospacing="1" w:line="240" w:lineRule="auto"/>
      <w:textAlignment w:val="center"/>
    </w:pPr>
    <w:rPr>
      <w:rFonts w:ascii="ITC Avant Garde" w:eastAsia="Times New Roman" w:hAnsi="ITC Avant Garde" w:cs="Times New Roman"/>
      <w:color w:val="000000"/>
      <w:sz w:val="18"/>
      <w:szCs w:val="18"/>
      <w:lang w:val="en-US"/>
    </w:rPr>
  </w:style>
  <w:style w:type="paragraph" w:customStyle="1" w:styleId="xl76">
    <w:name w:val="xl76"/>
    <w:basedOn w:val="Normal"/>
    <w:rsid w:val="00454DBF"/>
    <w:pPr>
      <w:pBdr>
        <w:bottom w:val="single" w:sz="8" w:space="0" w:color="A8D08D"/>
        <w:right w:val="single" w:sz="8" w:space="0" w:color="A8D08D"/>
      </w:pBdr>
      <w:spacing w:before="100" w:beforeAutospacing="1" w:after="100" w:afterAutospacing="1" w:line="240" w:lineRule="auto"/>
      <w:textAlignment w:val="center"/>
    </w:pPr>
    <w:rPr>
      <w:rFonts w:ascii="ITC Avant Garde" w:eastAsia="Times New Roman" w:hAnsi="ITC Avant Garde" w:cs="Times New Roman"/>
      <w:color w:val="000000"/>
      <w:sz w:val="18"/>
      <w:szCs w:val="18"/>
      <w:lang w:val="en-US"/>
    </w:rPr>
  </w:style>
  <w:style w:type="table" w:customStyle="1" w:styleId="Tabladecuadrcula4-nfasis61">
    <w:name w:val="Tabla de cuadrícula 4 - Énfasis 61"/>
    <w:basedOn w:val="Tablanormal"/>
    <w:next w:val="Tabladecuadrcula4-nfasis6"/>
    <w:uiPriority w:val="49"/>
    <w:rsid w:val="0033023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oindependiente">
    <w:name w:val="Body Text"/>
    <w:basedOn w:val="Normal"/>
    <w:link w:val="TextoindependienteCar"/>
    <w:qFormat/>
    <w:rsid w:val="002C00F9"/>
    <w:pPr>
      <w:spacing w:after="240" w:line="240" w:lineRule="auto"/>
    </w:pPr>
    <w:rPr>
      <w:rFonts w:eastAsiaTheme="minorEastAsia"/>
      <w:sz w:val="24"/>
      <w:szCs w:val="24"/>
      <w:lang w:val="en-GB" w:eastAsia="ja-JP"/>
    </w:rPr>
  </w:style>
  <w:style w:type="character" w:customStyle="1" w:styleId="TextoindependienteCar">
    <w:name w:val="Texto independiente Car"/>
    <w:basedOn w:val="Fuentedeprrafopredeter"/>
    <w:link w:val="Textoindependiente"/>
    <w:rsid w:val="002C00F9"/>
    <w:rPr>
      <w:rFonts w:eastAsiaTheme="minorEastAsia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F97AF-87AE-4544-AB3E-4E37A2C2CD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890BE9-1607-4CB7-BB44-3ADDBE13F60E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6F3F5F9-51C9-42D6-8F2C-C0FCDDF07F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EF539D-DAF1-4348-9EA0-889D1D98F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Augusto Arias Hernandez</dc:creator>
  <cp:keywords/>
  <dc:description/>
  <cp:lastModifiedBy>Jorge Luis Hernández Ojeda</cp:lastModifiedBy>
  <cp:revision>3</cp:revision>
  <dcterms:created xsi:type="dcterms:W3CDTF">2017-12-19T20:16:00Z</dcterms:created>
  <dcterms:modified xsi:type="dcterms:W3CDTF">2017-12-19T20:16:00Z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535100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