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1EA171FF" w:rsidR="006166DB" w:rsidRPr="00765A2C" w:rsidRDefault="00C74D56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>
        <w:rPr>
          <w:rFonts w:ascii="ITC Avant Garde" w:hAnsi="ITC Avant Garde"/>
          <w:b/>
          <w:color w:val="000000" w:themeColor="text1"/>
          <w:sz w:val="21"/>
          <w:szCs w:val="21"/>
        </w:rPr>
        <w:t xml:space="preserve"> </w:t>
      </w:r>
      <w:r w:rsidR="006166DB" w:rsidRPr="00765A2C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2C" w14:paraId="1B2E1BC8" w14:textId="77777777" w:rsidTr="00765A2C">
        <w:trPr>
          <w:trHeight w:val="589"/>
        </w:trPr>
        <w:tc>
          <w:tcPr>
            <w:tcW w:w="8828" w:type="dxa"/>
          </w:tcPr>
          <w:p w14:paraId="5E631BCB" w14:textId="6151451D" w:rsidR="006166DB" w:rsidRPr="00765A2C" w:rsidRDefault="002F3D6B" w:rsidP="00CC783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Guía para el Control de Concentraciones en los sectores de telecomunicaciones y radiodifusión</w:t>
            </w:r>
          </w:p>
        </w:tc>
      </w:tr>
    </w:tbl>
    <w:p w14:paraId="52EC83BF" w14:textId="77777777" w:rsidR="006166DB" w:rsidRPr="00765A2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65A2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2C" w14:paraId="454C3A95" w14:textId="77777777" w:rsidTr="0009D573">
        <w:tc>
          <w:tcPr>
            <w:tcW w:w="8828" w:type="dxa"/>
          </w:tcPr>
          <w:p w14:paraId="1A68E5FF" w14:textId="3860C6A3" w:rsidR="006166DB" w:rsidRPr="00765A2C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2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06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F3D6B">
                  <w:rPr>
                    <w:rFonts w:ascii="ITC Avant Garde" w:hAnsi="ITC Avant Garde"/>
                    <w:sz w:val="21"/>
                    <w:szCs w:val="21"/>
                  </w:rPr>
                  <w:t>28/06/2017</w:t>
                </w:r>
              </w:sdtContent>
            </w:sdt>
          </w:p>
        </w:tc>
      </w:tr>
      <w:tr w:rsidR="003F1D7B" w:rsidRPr="00765A2C" w14:paraId="098151CF" w14:textId="77777777" w:rsidTr="0009D573">
        <w:tc>
          <w:tcPr>
            <w:tcW w:w="8828" w:type="dxa"/>
          </w:tcPr>
          <w:p w14:paraId="07D4CB20" w14:textId="5FB45A3E" w:rsidR="003F1D7B" w:rsidRPr="00765A2C" w:rsidRDefault="003F1D7B" w:rsidP="0009D573">
            <w:pPr>
              <w:contextualSpacing/>
              <w:mirrorIndents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CC7837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002F3D6B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>15</w:t>
            </w:r>
            <w:r w:rsidR="00CC7837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7E167D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>0</w:t>
            </w:r>
            <w:r w:rsidR="002F3D6B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>8</w:t>
            </w:r>
            <w:r w:rsidR="00CC7837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7E167D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>201</w:t>
            </w:r>
            <w:r w:rsidR="00765A2C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>7</w:t>
            </w:r>
            <w:r w:rsidR="0F947418" w:rsidRPr="0009D573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  <w:r w:rsidR="0F947418" w:rsidRPr="0009D573">
              <w:rPr>
                <w:rStyle w:val="Estilo4"/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(Extracto)</w:t>
            </w:r>
          </w:p>
        </w:tc>
      </w:tr>
      <w:tr w:rsidR="00DF074B" w:rsidRPr="00765A2C" w14:paraId="784A8897" w14:textId="77777777" w:rsidTr="0009D573">
        <w:tc>
          <w:tcPr>
            <w:tcW w:w="8828" w:type="dxa"/>
          </w:tcPr>
          <w:p w14:paraId="335C558B" w14:textId="52493D3A" w:rsidR="00DF074B" w:rsidRPr="00765A2C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2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7E167D" w:rsidRPr="00765A2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65A2C" w14:paraId="25C2F9B9" w14:textId="77777777" w:rsidTr="0009D573">
        <w:tc>
          <w:tcPr>
            <w:tcW w:w="8828" w:type="dxa"/>
          </w:tcPr>
          <w:p w14:paraId="187042E5" w14:textId="6EBD76A3" w:rsidR="006166DB" w:rsidRPr="00765A2C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2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8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3E617B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16/08/2017</w:t>
                </w:r>
              </w:sdtContent>
            </w:sdt>
          </w:p>
        </w:tc>
      </w:tr>
      <w:tr w:rsidR="00DF074B" w:rsidRPr="00765A2C" w14:paraId="5C60735A" w14:textId="77777777" w:rsidTr="0009D573">
        <w:trPr>
          <w:trHeight w:val="50"/>
        </w:trPr>
        <w:tc>
          <w:tcPr>
            <w:tcW w:w="8828" w:type="dxa"/>
          </w:tcPr>
          <w:p w14:paraId="43F30054" w14:textId="24A85F16" w:rsidR="00DF074B" w:rsidRPr="00765A2C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65A2C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</w:t>
            </w:r>
            <w:r w:rsidR="003028DD" w:rsidRPr="00765A2C">
              <w:rPr>
                <w:rStyle w:val="Estilo4"/>
                <w:rFonts w:ascii="ITC Avant Garde" w:hAnsi="ITC Avant Garde"/>
                <w:sz w:val="21"/>
                <w:szCs w:val="21"/>
              </w:rPr>
              <w:t>: No aplica</w:t>
            </w:r>
            <w:r w:rsidRPr="00765A2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65A2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65A2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2C" w14:paraId="2E594784" w14:textId="77777777" w:rsidTr="00DF074B">
        <w:tc>
          <w:tcPr>
            <w:tcW w:w="8828" w:type="dxa"/>
          </w:tcPr>
          <w:p w14:paraId="6C41AB66" w14:textId="3AF1FC50" w:rsidR="006166DB" w:rsidRPr="00765A2C" w:rsidRDefault="00765A2C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2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</w:t>
            </w:r>
            <w:r w:rsidRPr="00765A2C">
              <w:rPr>
                <w:rFonts w:ascii="ITC Avant Garde" w:hAnsi="ITC Avant Garde"/>
                <w:color w:val="000000" w:themeColor="text1"/>
              </w:rPr>
              <w:t xml:space="preserve">nstituto Federal de Telecomunicaciones </w:t>
            </w:r>
          </w:p>
        </w:tc>
      </w:tr>
    </w:tbl>
    <w:p w14:paraId="32195651" w14:textId="77777777" w:rsidR="006166DB" w:rsidRPr="00765A2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65A2C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2C" w14:paraId="0FEE5916" w14:textId="77777777" w:rsidTr="00DF074B">
        <w:tc>
          <w:tcPr>
            <w:tcW w:w="8828" w:type="dxa"/>
          </w:tcPr>
          <w:p w14:paraId="043F6ABC" w14:textId="55E6854B" w:rsidR="006166DB" w:rsidRPr="00765A2C" w:rsidRDefault="003028DD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2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Instituto Federal de Telecomunicaciones </w:t>
            </w:r>
          </w:p>
        </w:tc>
      </w:tr>
    </w:tbl>
    <w:p w14:paraId="45DC499A" w14:textId="063A5F7C" w:rsidR="006166DB" w:rsidRPr="00765A2C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65A2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65A2C" w14:paraId="749D808B" w14:textId="77777777" w:rsidTr="00DF074B">
        <w:tc>
          <w:tcPr>
            <w:tcW w:w="8828" w:type="dxa"/>
          </w:tcPr>
          <w:p w14:paraId="07FF9FAE" w14:textId="677A76D9" w:rsidR="00DC3A1A" w:rsidRPr="00765A2C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2C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65A2C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3028DD" w:rsidRPr="00765A2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65A2C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65A2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65A2C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2C" w14:paraId="380262AA" w14:textId="77777777" w:rsidTr="00DF074B">
        <w:tc>
          <w:tcPr>
            <w:tcW w:w="8828" w:type="dxa"/>
          </w:tcPr>
          <w:p w14:paraId="1917902A" w14:textId="147E15CE" w:rsidR="006166DB" w:rsidRPr="00765A2C" w:rsidRDefault="003E617B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09/03/2022</w:t>
            </w:r>
          </w:p>
        </w:tc>
      </w:tr>
    </w:tbl>
    <w:p w14:paraId="4E8FF191" w14:textId="77777777" w:rsidR="006166DB" w:rsidRPr="00765A2C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65A2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65A2C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2C" w14:paraId="00840257" w14:textId="77777777" w:rsidTr="00DF074B">
        <w:tc>
          <w:tcPr>
            <w:tcW w:w="8828" w:type="dxa"/>
          </w:tcPr>
          <w:p w14:paraId="5DFAFB35" w14:textId="5E88411C" w:rsidR="006166DB" w:rsidRPr="00765A2C" w:rsidRDefault="00690F9E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F06B4A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765A2C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07416684" w:rsidR="006166DB" w:rsidRPr="00765A2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65A2C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B6D63" w:rsidRPr="00765A2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65A2C">
        <w:rPr>
          <w:rFonts w:ascii="ITC Avant Garde" w:hAnsi="ITC Avant Garde"/>
          <w:sz w:val="21"/>
          <w:szCs w:val="21"/>
        </w:rPr>
        <w:t xml:space="preserve"> </w:t>
      </w:r>
      <w:r w:rsidR="006166DB" w:rsidRPr="00765A2C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2C" w14:paraId="040BA959" w14:textId="77777777" w:rsidTr="00F73022">
        <w:trPr>
          <w:trHeight w:val="65"/>
        </w:trPr>
        <w:tc>
          <w:tcPr>
            <w:tcW w:w="8828" w:type="dxa"/>
          </w:tcPr>
          <w:p w14:paraId="294A05D0" w14:textId="77777777" w:rsidR="000C2160" w:rsidRPr="000C2160" w:rsidRDefault="000C2160" w:rsidP="000C2160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Índice de Contenido</w:t>
            </w:r>
          </w:p>
          <w:p w14:paraId="2CB46F04" w14:textId="77777777" w:rsidR="000C2160" w:rsidRPr="000C2160" w:rsidRDefault="000C2160" w:rsidP="000C2160">
            <w:pPr>
              <w:contextualSpacing/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Glosario</w:t>
            </w:r>
          </w:p>
          <w:p w14:paraId="17CDB7D5" w14:textId="589A2619" w:rsidR="000C2160" w:rsidRPr="000C2160" w:rsidRDefault="000C2160" w:rsidP="000C216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4A1233DB" w14:textId="0806AAAC" w:rsidR="000C2160" w:rsidRPr="000C2160" w:rsidRDefault="000C2160" w:rsidP="000C216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I.</w:t>
            </w:r>
            <w:r w:rsidR="00E66DE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Aspectos Generales</w:t>
            </w:r>
          </w:p>
          <w:p w14:paraId="375C2B5B" w14:textId="62C1E5F6" w:rsidR="000C2160" w:rsidRPr="000C2160" w:rsidRDefault="000C2160" w:rsidP="000C2160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1.</w:t>
            </w:r>
            <w:r w:rsidR="004B7C8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Objeto del control de concentracione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</w:t>
            </w:r>
          </w:p>
          <w:p w14:paraId="65F810E2" w14:textId="6BEC04C6" w:rsidR="000C2160" w:rsidRPr="000C2160" w:rsidRDefault="000C2160" w:rsidP="000C2160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2.</w:t>
            </w:r>
            <w:r w:rsidR="004B7C8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Definiciones relevantes</w:t>
            </w:r>
          </w:p>
          <w:p w14:paraId="78AC8B3C" w14:textId="7140D41E" w:rsidR="000C2160" w:rsidRPr="000C2160" w:rsidRDefault="000C2160" w:rsidP="000C2160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2.1. Concentración</w:t>
            </w:r>
          </w:p>
          <w:p w14:paraId="0E667489" w14:textId="5F16746A" w:rsidR="000C2160" w:rsidRPr="000C2160" w:rsidRDefault="000C2160" w:rsidP="000C2160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2.2. Agente Económico</w:t>
            </w:r>
          </w:p>
          <w:p w14:paraId="0B916970" w14:textId="0AEC1DD8" w:rsidR="000C2160" w:rsidRPr="000C2160" w:rsidRDefault="000C2160" w:rsidP="000C2160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2.3. Grupo de Interés Económico (GIE)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6486B3F8" w14:textId="14DD9277" w:rsidR="000C2160" w:rsidRPr="000C2160" w:rsidRDefault="000C2160" w:rsidP="000C2160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2.4. Control e Influencia</w:t>
            </w:r>
          </w:p>
          <w:p w14:paraId="1EB31979" w14:textId="56A04456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Control o influencia Decisiva</w:t>
            </w:r>
          </w:p>
          <w:p w14:paraId="57E4EB68" w14:textId="5B217A87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Influencia o Influencia Significativa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0427D452" w14:textId="0B3E445E" w:rsidR="000C2160" w:rsidRPr="000C2160" w:rsidRDefault="000C2160" w:rsidP="000C2160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3.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Mecanismos para el control de concentraciones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0708F19C" w14:textId="15E88B55" w:rsidR="000C2160" w:rsidRPr="000C2160" w:rsidRDefault="000C2160" w:rsidP="000C2160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3.1 De aplicación ex ant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</w:t>
            </w:r>
          </w:p>
          <w:p w14:paraId="7D299A67" w14:textId="45E597A5" w:rsidR="000C2160" w:rsidRPr="000C2160" w:rsidRDefault="000C2160" w:rsidP="000C2160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3.2 De aplicación ex post</w:t>
            </w:r>
          </w:p>
          <w:p w14:paraId="40154C1E" w14:textId="74602538" w:rsidR="000C2160" w:rsidRPr="000C2160" w:rsidRDefault="000C2160" w:rsidP="000C2160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Ámbito de competencia del Institut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o</w:t>
            </w:r>
          </w:p>
          <w:p w14:paraId="0C15E78E" w14:textId="76511D67" w:rsidR="000C2160" w:rsidRPr="000C2160" w:rsidRDefault="000C2160" w:rsidP="00C13EF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4.1. Criterios de referencia</w:t>
            </w:r>
          </w:p>
          <w:p w14:paraId="3F60DF18" w14:textId="2A9E12FE" w:rsidR="000C2160" w:rsidRPr="000C2160" w:rsidRDefault="000C2160" w:rsidP="00C13EF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4.2. Fijar la competencia entre el Instituto y la COFECE</w:t>
            </w:r>
          </w:p>
          <w:p w14:paraId="025B7184" w14:textId="4D52BEF3" w:rsidR="000C2160" w:rsidRPr="000C2160" w:rsidRDefault="000C2160" w:rsidP="00C13EF7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>Cuando ambas autoridades se consideren competentes</w:t>
            </w:r>
          </w:p>
          <w:p w14:paraId="091E879C" w14:textId="731C20D3" w:rsidR="000C2160" w:rsidRPr="000C2160" w:rsidRDefault="000C2160" w:rsidP="00C13EF7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Cuando ninguna autoridad se considere competent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</w:t>
            </w:r>
          </w:p>
          <w:p w14:paraId="7345170E" w14:textId="66FC885F" w:rsidR="000C2160" w:rsidRPr="000C2160" w:rsidRDefault="000C2160" w:rsidP="00C13EF7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Precedentes Judiciales</w:t>
            </w:r>
          </w:p>
          <w:p w14:paraId="3C926B70" w14:textId="1B160BF4" w:rsidR="000C2160" w:rsidRPr="000C2160" w:rsidRDefault="000C2160" w:rsidP="00C13EF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4.3. Elementos para evaluar concentraciones</w:t>
            </w:r>
          </w:p>
          <w:p w14:paraId="58307FE0" w14:textId="2C9C03AE" w:rsidR="000C2160" w:rsidRPr="000C2160" w:rsidRDefault="000C2160" w:rsidP="00C13EF7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4.3.1. Información</w:t>
            </w:r>
          </w:p>
          <w:p w14:paraId="57A6AC8F" w14:textId="303EA218" w:rsidR="000C2160" w:rsidRPr="000C2160" w:rsidRDefault="000C2160" w:rsidP="004B7C8C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Básica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3036D147" w14:textId="3A6629AD" w:rsidR="000C2160" w:rsidRPr="000C2160" w:rsidRDefault="000C2160" w:rsidP="004B7C8C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Adicional</w:t>
            </w:r>
          </w:p>
          <w:p w14:paraId="420756C7" w14:textId="3FD5BFA0" w:rsidR="000C2160" w:rsidRPr="000C2160" w:rsidRDefault="000C2160" w:rsidP="00C13EF7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4.3.2. Coadyuvancia de terceros</w:t>
            </w:r>
          </w:p>
          <w:p w14:paraId="2E98DCCC" w14:textId="6FB2EE04" w:rsidR="000C2160" w:rsidRPr="000C2160" w:rsidRDefault="000C2160" w:rsidP="00C13EF7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4.3.3. Cooperación con otras autoridades de competencia</w:t>
            </w:r>
          </w:p>
          <w:p w14:paraId="395B430B" w14:textId="255F699C" w:rsidR="000C2160" w:rsidRPr="000C2160" w:rsidRDefault="000C2160" w:rsidP="00C13EF7">
            <w:pPr>
              <w:ind w:left="2127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4.3.4. Clasificación de la información</w:t>
            </w:r>
          </w:p>
          <w:p w14:paraId="7D27DB07" w14:textId="2B35F15F" w:rsidR="000C2160" w:rsidRPr="000C2160" w:rsidRDefault="000C2160" w:rsidP="00E66DE7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II.</w:t>
            </w:r>
            <w:r w:rsidR="00E66DE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Procedimientos Específicos</w:t>
            </w:r>
          </w:p>
          <w:p w14:paraId="7D0A9A2B" w14:textId="3F20E40B" w:rsidR="000C2160" w:rsidRPr="000C2160" w:rsidRDefault="000C2160" w:rsidP="00E66DE7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</w:t>
            </w:r>
            <w:r w:rsidR="00E66DE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Notificación de concentraciones</w:t>
            </w:r>
          </w:p>
          <w:p w14:paraId="1AC962ED" w14:textId="11074930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5.1. Umbrales para la notificación</w:t>
            </w:r>
          </w:p>
          <w:p w14:paraId="3AE4E8F4" w14:textId="73788332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5.2. Notificación voluntaria</w:t>
            </w:r>
          </w:p>
          <w:p w14:paraId="7AC99DB9" w14:textId="51717083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5.3. Sucesión de acto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</w:t>
            </w:r>
          </w:p>
          <w:p w14:paraId="23B4AE2E" w14:textId="18554B87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</w:t>
            </w:r>
            <w:proofErr w:type="gramStart"/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3.Bis</w:t>
            </w:r>
            <w:proofErr w:type="gramEnd"/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Coinversiones o inversiones conjuntas (</w:t>
            </w:r>
            <w:proofErr w:type="spellStart"/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Joint</w:t>
            </w:r>
            <w:proofErr w:type="spellEnd"/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Ventures) y colaboraciones entre agentes económicos</w:t>
            </w:r>
          </w:p>
          <w:p w14:paraId="658AEACF" w14:textId="5A47A9CE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5.4. Oportunidad en la notificación</w:t>
            </w:r>
          </w:p>
          <w:p w14:paraId="1D5EE7B6" w14:textId="71969629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5.5. Notificación extemporánea</w:t>
            </w:r>
          </w:p>
          <w:p w14:paraId="5CEBE2CB" w14:textId="077E1C99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5.6. Obligados a notificar</w:t>
            </w:r>
          </w:p>
          <w:p w14:paraId="60686FFE" w14:textId="62BAA0B4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5.7 Escrito de notificación</w:t>
            </w:r>
          </w:p>
          <w:p w14:paraId="219D52D8" w14:textId="75005079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Requisitos específicos</w:t>
            </w:r>
          </w:p>
          <w:p w14:paraId="2B7FEDB4" w14:textId="2BEFC735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Requisitos generales</w:t>
            </w:r>
          </w:p>
          <w:p w14:paraId="65CEE5EF" w14:textId="598C9916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5.8. Procedimiento</w:t>
            </w:r>
          </w:p>
          <w:p w14:paraId="4D57EFF8" w14:textId="6CA0DAF4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Acuerdo de Prevención</w:t>
            </w:r>
          </w:p>
          <w:p w14:paraId="419DD762" w14:textId="07199DAC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Recepción de la Notificación de Concentración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5F5C9FB8" w14:textId="6E7BAA5C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Emisión del Requerimiento de Información</w:t>
            </w:r>
          </w:p>
          <w:p w14:paraId="7F683CDE" w14:textId="4FF9E351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Requerimientos de Información Adicional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5CF4077C" w14:textId="4D974578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Acuerdo que tiene por no presentada una Notificación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18CFFD2F" w14:textId="7D9279CB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Notificaciones</w:t>
            </w:r>
          </w:p>
          <w:p w14:paraId="7E30C571" w14:textId="6B454D64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Incumplimientos a la LFCE</w:t>
            </w:r>
          </w:p>
          <w:p w14:paraId="30138A4B" w14:textId="6D2DAB3E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Desistimientos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78AD3E07" w14:textId="1F2267BE" w:rsidR="000C2160" w:rsidRPr="000C2160" w:rsidRDefault="000C2160" w:rsidP="00E66DE7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5.9. Tipos de Resoluciones y Elementos</w:t>
            </w:r>
          </w:p>
          <w:p w14:paraId="29318A21" w14:textId="48B603A2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Vigencia de la Autorización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6C8CE9EE" w14:textId="31073601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Acuerdo de Riesgos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74F73669" w14:textId="77E7C779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Propuestas de Condiciones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4AEF4A29" w14:textId="50BC0AFC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Tipos de Condiciones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58FCF603" w14:textId="13F3A6D9" w:rsidR="000C2160" w:rsidRPr="000C2160" w:rsidRDefault="000C2160" w:rsidP="004B7C8C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6.</w:t>
            </w:r>
            <w:r w:rsidR="004B7C8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Excepciones a la Notificación de Concentraciones</w:t>
            </w:r>
          </w:p>
          <w:p w14:paraId="7B76B93D" w14:textId="16AE7681" w:rsidR="000C2160" w:rsidRPr="000C2160" w:rsidRDefault="000C2160" w:rsidP="004B7C8C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7.</w:t>
            </w:r>
            <w:r w:rsidR="004B7C8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Procedimiento Simplificado de Notificación</w:t>
            </w:r>
          </w:p>
          <w:p w14:paraId="14AD456F" w14:textId="1FC82DE9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7.1 Particularidades</w:t>
            </w:r>
          </w:p>
          <w:p w14:paraId="564D78EE" w14:textId="5182E8E7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7.2 Elementos de notoriedad</w:t>
            </w:r>
          </w:p>
          <w:p w14:paraId="752538D8" w14:textId="3EE9950A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7.3 Análisis de las fracciones I a IV del artículo 92 de la LFCE</w:t>
            </w:r>
          </w:p>
          <w:p w14:paraId="3002B65F" w14:textId="0C02280B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7.4 Trámite del procedimiento simplificado</w:t>
            </w:r>
          </w:p>
          <w:p w14:paraId="731B36BF" w14:textId="399EB6B0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Plazos del procedimiento simplificado (artículo 92 de la LFCE)</w:t>
            </w:r>
          </w:p>
          <w:p w14:paraId="76102E3A" w14:textId="5D9242F0" w:rsidR="000C2160" w:rsidRPr="000C2160" w:rsidRDefault="000C2160" w:rsidP="004B7C8C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8.</w:t>
            </w:r>
            <w:r w:rsidR="004B7C8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Concentraciones reguladas por la LFTR</w:t>
            </w:r>
          </w:p>
          <w:p w14:paraId="65CA5630" w14:textId="4704547E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8.1. Trámites</w:t>
            </w:r>
          </w:p>
          <w:p w14:paraId="1E5957AA" w14:textId="4D8C280D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>Arrendamiento de bandas de frecuencia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6484E1A2" w14:textId="780A48F5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Intercambio de bandas de frecuencia del espectro radioeléctrico</w:t>
            </w:r>
          </w:p>
          <w:p w14:paraId="58D0EBA0" w14:textId="24DCC4B0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Suscripción o enajenación de acciones o partes sociales</w:t>
            </w:r>
          </w:p>
          <w:p w14:paraId="61EC48EB" w14:textId="67DD4456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8.2. Evaluación en materia de competencia económica</w:t>
            </w:r>
          </w:p>
          <w:p w14:paraId="40B63983" w14:textId="63EB4082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8.3. Licitaciones</w:t>
            </w:r>
          </w:p>
          <w:p w14:paraId="29C91DC6" w14:textId="6AB34E19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Opinión en materia de competencia económica sobre las Convocatorias, las Bases y otros documentos emitidos por el IFT</w:t>
            </w:r>
          </w:p>
          <w:p w14:paraId="2387FDD6" w14:textId="57A91494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Evaluación en materia económica de los interesados</w:t>
            </w:r>
          </w:p>
          <w:p w14:paraId="3321CA78" w14:textId="6F8A0D3B" w:rsidR="000C2160" w:rsidRPr="000C2160" w:rsidRDefault="000C2160" w:rsidP="004B7C8C">
            <w:pPr>
              <w:ind w:left="709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9.</w:t>
            </w:r>
            <w:r w:rsidR="004B7C8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Aviso de Concentración en términos de los párrafos primero a cuarto del Artículo Noveno Transitorio del Decreto que expidió la LFTR</w:t>
            </w:r>
          </w:p>
          <w:p w14:paraId="32611B43" w14:textId="7CDEFB99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Aspectos Generales</w:t>
            </w:r>
          </w:p>
          <w:p w14:paraId="525F9F9F" w14:textId="65F497D5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Aviso de Concentración</w:t>
            </w:r>
          </w:p>
          <w:p w14:paraId="397B7F23" w14:textId="6B893A14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9.1. Requisitos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51C93C87" w14:textId="6ED40FC5" w:rsidR="000C2160" w:rsidRPr="000C2160" w:rsidRDefault="000C2160" w:rsidP="004B7C8C">
            <w:pPr>
              <w:ind w:left="1418"/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9.2. Procedimiento</w:t>
            </w:r>
          </w:p>
          <w:p w14:paraId="3023E694" w14:textId="5E17C0E9" w:rsidR="000C2160" w:rsidRPr="000C2160" w:rsidRDefault="000C2160" w:rsidP="000C216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10.</w:t>
            </w:r>
            <w:r w:rsidRPr="000C21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>Consultas y Solicitudes de opiniones formales y de orientación genera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</w:t>
            </w:r>
          </w:p>
          <w:p w14:paraId="5F275C45" w14:textId="01214EFB" w:rsidR="00DB0E40" w:rsidRPr="00765A2C" w:rsidRDefault="00DB0E40" w:rsidP="00DB0E40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4E6C6C7C" w14:textId="77777777" w:rsidR="00F73022" w:rsidRPr="00765A2C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73068934" w:rsidR="00F73022" w:rsidRPr="00765A2C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65A2C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B6D63" w:rsidRPr="00765A2C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65A2C">
        <w:rPr>
          <w:rFonts w:ascii="ITC Avant Garde" w:hAnsi="ITC Avant Garde"/>
          <w:sz w:val="21"/>
          <w:szCs w:val="21"/>
        </w:rPr>
        <w:t xml:space="preserve"> </w:t>
      </w:r>
      <w:r w:rsidR="00F73022" w:rsidRPr="00765A2C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65A2C" w14:paraId="373C675C" w14:textId="77777777" w:rsidTr="00DF074B">
        <w:tc>
          <w:tcPr>
            <w:tcW w:w="8828" w:type="dxa"/>
          </w:tcPr>
          <w:p w14:paraId="53B08DCA" w14:textId="440EBAE0" w:rsidR="00F73022" w:rsidRPr="00765A2C" w:rsidRDefault="00DB0E40" w:rsidP="00CC7837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Que la autoridad analice los cambios en la estructura de los mercados que puedan resultar en una afectación (i.e. daño</w:t>
            </w:r>
            <w:r w:rsidR="0020585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, disminución o restricción) significativa de la competencia y la libre concurrencia.</w:t>
            </w:r>
          </w:p>
        </w:tc>
      </w:tr>
    </w:tbl>
    <w:p w14:paraId="5A1AE8FF" w14:textId="77777777" w:rsidR="00066D4D" w:rsidRPr="00765A2C" w:rsidRDefault="00066D4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65A2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65A2C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65A2C" w14:paraId="36A134C5" w14:textId="77777777" w:rsidTr="00DF074B">
        <w:tc>
          <w:tcPr>
            <w:tcW w:w="8828" w:type="dxa"/>
          </w:tcPr>
          <w:p w14:paraId="0C79C5AD" w14:textId="389FC874" w:rsidR="006166DB" w:rsidRPr="00765A2C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65A2C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765A2C" w:rsidRPr="00765A2C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65A2C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65A2C" w14:paraId="78629502" w14:textId="77777777" w:rsidTr="00DF074B">
        <w:tc>
          <w:tcPr>
            <w:tcW w:w="8828" w:type="dxa"/>
          </w:tcPr>
          <w:p w14:paraId="617248E0" w14:textId="155C8DBF" w:rsidR="006166DB" w:rsidRPr="00765A2C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65A2C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765A2C" w:rsidRPr="00765A2C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DB0E40" w:rsidRPr="00765A2C" w14:paraId="79B26C2A" w14:textId="77777777" w:rsidTr="00DF074B">
        <w:tc>
          <w:tcPr>
            <w:tcW w:w="8828" w:type="dxa"/>
          </w:tcPr>
          <w:p w14:paraId="075C443C" w14:textId="4763083A" w:rsidR="00DB0E40" w:rsidRPr="00765A2C" w:rsidRDefault="00DB0E40" w:rsidP="00DB0E4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65A2C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767658884"/>
                <w:placeholder>
                  <w:docPart w:val="D666E6D835DC4C7083AFE73C996CEBF3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DB0E40" w:rsidRPr="00765A2C" w14:paraId="05EC785E" w14:textId="77777777" w:rsidTr="00DF074B">
        <w:tc>
          <w:tcPr>
            <w:tcW w:w="8828" w:type="dxa"/>
          </w:tcPr>
          <w:p w14:paraId="2632CCED" w14:textId="733EA149" w:rsidR="00DB0E40" w:rsidRPr="00765A2C" w:rsidRDefault="00DB0E40" w:rsidP="00DB0E4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65A2C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790356204"/>
                <w:placeholder>
                  <w:docPart w:val="75F96567F1594F319B7CD4EF16E8872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DB0E40" w:rsidRPr="00765A2C" w14:paraId="2E9C8908" w14:textId="77777777" w:rsidTr="00DF074B">
        <w:tc>
          <w:tcPr>
            <w:tcW w:w="8828" w:type="dxa"/>
          </w:tcPr>
          <w:p w14:paraId="30CFCA9C" w14:textId="595BBA54" w:rsidR="00DB0E40" w:rsidRPr="00765A2C" w:rsidRDefault="00DB0E40" w:rsidP="00DB0E4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65A2C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597552310"/>
                <w:placeholder>
                  <w:docPart w:val="7F07652A6F2E42BFB2305A4C33443C46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</w:tbl>
    <w:p w14:paraId="6F28DB01" w14:textId="5DEA0AD1" w:rsidR="001D0BED" w:rsidRPr="00765A2C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65A2C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65A2C" w14:paraId="0977E504" w14:textId="77777777" w:rsidTr="00DF074B">
        <w:trPr>
          <w:trHeight w:val="65"/>
        </w:trPr>
        <w:tc>
          <w:tcPr>
            <w:tcW w:w="8828" w:type="dxa"/>
          </w:tcPr>
          <w:p w14:paraId="3A336853" w14:textId="77777777" w:rsidR="00765A2C" w:rsidRDefault="00205852" w:rsidP="00205852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Ley Federal de Telecomunicaciones y Radiodifusión.</w:t>
            </w:r>
          </w:p>
          <w:p w14:paraId="5B5B5AC0" w14:textId="77777777" w:rsidR="00205852" w:rsidRDefault="00205852" w:rsidP="00205852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Ley Federal de Competencia Económica.</w:t>
            </w:r>
          </w:p>
          <w:p w14:paraId="5D4A60FE" w14:textId="7D65C10D" w:rsidR="00205852" w:rsidRPr="00205852" w:rsidRDefault="00205852" w:rsidP="00205852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Disposiciones Regulatorias de la Ley Federal de Competencia Económica para los sectores de telecomunicaciones y radiodifusión </w:t>
            </w:r>
          </w:p>
        </w:tc>
      </w:tr>
    </w:tbl>
    <w:p w14:paraId="03FABE9B" w14:textId="45F8751D" w:rsidR="00DC3A1A" w:rsidRPr="00765A2C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65A2C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65A2C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65A2C" w14:paraId="096E5FBB" w14:textId="77777777" w:rsidTr="007D2FD6">
        <w:tc>
          <w:tcPr>
            <w:tcW w:w="8828" w:type="dxa"/>
          </w:tcPr>
          <w:p w14:paraId="2B492B90" w14:textId="77777777" w:rsidR="008D5546" w:rsidRPr="008D5546" w:rsidRDefault="008D5546" w:rsidP="008D5546">
            <w:pPr>
              <w:pStyle w:val="Prrafodelista"/>
              <w:spacing w:after="101"/>
              <w:jc w:val="both"/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</w:pPr>
          </w:p>
          <w:p w14:paraId="0933DDDC" w14:textId="3DDB90A7" w:rsidR="00F06B4A" w:rsidRPr="008D5546" w:rsidRDefault="00690F9E" w:rsidP="008D5546">
            <w:pPr>
              <w:pStyle w:val="Prrafodelista"/>
              <w:numPr>
                <w:ilvl w:val="0"/>
                <w:numId w:val="15"/>
              </w:numPr>
              <w:spacing w:after="101"/>
              <w:jc w:val="both"/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</w:pPr>
            <w:hyperlink r:id="rId11" w:anchor="!/tramite/UCE-01-001" w:history="1">
              <w:r w:rsidR="00F06B4A" w:rsidRPr="008D5546">
                <w:rPr>
                  <w:rStyle w:val="Hipervnculo"/>
                  <w:rFonts w:ascii="ITC Avant Garde" w:eastAsia="Times New Roman" w:hAnsi="ITC Avant Garde" w:cs="Arial"/>
                  <w:b/>
                  <w:sz w:val="21"/>
                  <w:szCs w:val="21"/>
                  <w:bdr w:val="none" w:sz="0" w:space="0" w:color="auto"/>
                  <w:lang w:eastAsia="es-MX"/>
                </w:rPr>
                <w:t>UCE-01-001</w:t>
              </w:r>
            </w:hyperlink>
            <w:r w:rsidR="00F06B4A" w:rsidRPr="008D5546"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  <w:t xml:space="preserve">: </w:t>
            </w:r>
            <w:r w:rsidR="00F06B4A" w:rsidRPr="008D5546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>Notificación de Concentración.</w:t>
            </w:r>
          </w:p>
          <w:p w14:paraId="7A57069F" w14:textId="1F1B312A" w:rsidR="00F06B4A" w:rsidRPr="00F06B4A" w:rsidRDefault="00690F9E" w:rsidP="00F06B4A">
            <w:pPr>
              <w:pStyle w:val="Prrafodelista"/>
              <w:numPr>
                <w:ilvl w:val="0"/>
                <w:numId w:val="14"/>
              </w:numPr>
              <w:spacing w:after="101"/>
              <w:jc w:val="both"/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</w:pPr>
            <w:hyperlink r:id="rId12" w:anchor="!/tramite/UCE-01-002" w:history="1">
              <w:r w:rsidR="00F06B4A" w:rsidRPr="00F06B4A">
                <w:rPr>
                  <w:rStyle w:val="Hipervnculo"/>
                  <w:rFonts w:ascii="ITC Avant Garde" w:eastAsia="Times New Roman" w:hAnsi="ITC Avant Garde" w:cs="Arial"/>
                  <w:b/>
                  <w:sz w:val="21"/>
                  <w:szCs w:val="21"/>
                  <w:bdr w:val="none" w:sz="0" w:space="0" w:color="auto"/>
                  <w:lang w:eastAsia="es-MX"/>
                </w:rPr>
                <w:t>UCE-01-002</w:t>
              </w:r>
            </w:hyperlink>
            <w:r w:rsidR="00F06B4A"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  <w:t xml:space="preserve">: </w:t>
            </w:r>
            <w:r w:rsidR="00F06B4A" w:rsidRPr="00F06B4A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>Notificación de Concentración Simplificada.</w:t>
            </w:r>
          </w:p>
          <w:p w14:paraId="0C62AA59" w14:textId="77777777" w:rsidR="00F06B4A" w:rsidRPr="00F06B4A" w:rsidRDefault="00690F9E" w:rsidP="00F06B4A">
            <w:pPr>
              <w:pStyle w:val="Prrafodelista"/>
              <w:numPr>
                <w:ilvl w:val="0"/>
                <w:numId w:val="14"/>
              </w:numPr>
              <w:spacing w:after="101"/>
              <w:jc w:val="both"/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</w:pPr>
            <w:hyperlink r:id="rId13" w:anchor="!/tramite/UCE-01-006" w:history="1">
              <w:r w:rsidR="00F06B4A" w:rsidRPr="00F06B4A">
                <w:rPr>
                  <w:rStyle w:val="Hipervnculo"/>
                  <w:rFonts w:ascii="ITC Avant Garde" w:eastAsia="Times New Roman" w:hAnsi="ITC Avant Garde" w:cs="Arial"/>
                  <w:b/>
                  <w:sz w:val="21"/>
                  <w:szCs w:val="21"/>
                  <w:bdr w:val="none" w:sz="0" w:space="0" w:color="auto"/>
                  <w:lang w:eastAsia="es-MX"/>
                </w:rPr>
                <w:t>UCE-01-006</w:t>
              </w:r>
            </w:hyperlink>
            <w:r w:rsidR="00F06B4A"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  <w:t xml:space="preserve">: </w:t>
            </w:r>
            <w:r w:rsidR="00F06B4A" w:rsidRPr="00F06B4A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>Procedimiento para la Notificación de un Aviso de Concentración.</w:t>
            </w:r>
          </w:p>
          <w:p w14:paraId="1E0A3A61" w14:textId="0A30C582" w:rsidR="00F06B4A" w:rsidRPr="00F06B4A" w:rsidRDefault="00690F9E" w:rsidP="00F06B4A">
            <w:pPr>
              <w:pStyle w:val="Prrafodelista"/>
              <w:numPr>
                <w:ilvl w:val="0"/>
                <w:numId w:val="14"/>
              </w:numPr>
              <w:spacing w:after="101"/>
              <w:jc w:val="both"/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</w:pPr>
            <w:hyperlink r:id="rId14" w:anchor="!/tramite/UCE-02-002" w:history="1">
              <w:r w:rsidR="00F06B4A" w:rsidRPr="00F06B4A">
                <w:rPr>
                  <w:rStyle w:val="Hipervnculo"/>
                  <w:rFonts w:ascii="ITC Avant Garde" w:eastAsia="Times New Roman" w:hAnsi="ITC Avant Garde" w:cs="Arial"/>
                  <w:b/>
                  <w:sz w:val="21"/>
                  <w:szCs w:val="21"/>
                  <w:bdr w:val="none" w:sz="0" w:space="0" w:color="auto"/>
                  <w:lang w:eastAsia="es-MX"/>
                </w:rPr>
                <w:t>UCE-02-002</w:t>
              </w:r>
            </w:hyperlink>
            <w:r w:rsidR="00F06B4A">
              <w:rPr>
                <w:rFonts w:ascii="ITC Avant Garde" w:eastAsia="Times New Roman" w:hAnsi="ITC Avant Garde" w:cs="Arial"/>
                <w:b/>
                <w:color w:val="2F2F2F"/>
                <w:sz w:val="21"/>
                <w:szCs w:val="21"/>
                <w:lang w:eastAsia="es-MX"/>
              </w:rPr>
              <w:t xml:space="preserve">: </w:t>
            </w:r>
            <w:r w:rsidR="00F06B4A" w:rsidRPr="00C405AA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 xml:space="preserve">Solicitud de opinión formal en materia de </w:t>
            </w:r>
            <w:r w:rsidR="00C405AA" w:rsidRPr="00C405AA">
              <w:rPr>
                <w:rFonts w:ascii="ITC Avant Garde" w:eastAsia="Times New Roman" w:hAnsi="ITC Avant Garde" w:cs="Arial"/>
                <w:color w:val="2F2F2F"/>
                <w:sz w:val="21"/>
                <w:szCs w:val="21"/>
                <w:lang w:eastAsia="es-MX"/>
              </w:rPr>
              <w:t>libre concurrencia y competencia económica.</w:t>
            </w:r>
          </w:p>
        </w:tc>
      </w:tr>
    </w:tbl>
    <w:p w14:paraId="02AC6492" w14:textId="77777777" w:rsidR="00C850A5" w:rsidRPr="00765A2C" w:rsidRDefault="00C850A5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B0661F7" w:rsidR="004B7538" w:rsidRPr="00765A2C" w:rsidRDefault="00DC3A1A" w:rsidP="00FE1723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13.- Inspecciones, verificaciones o visitas domiciliarias relacionadas con la regulación y</w:t>
      </w:r>
      <w:r w:rsidR="00FE1723" w:rsidRPr="00765A2C">
        <w:rPr>
          <w:rFonts w:ascii="ITC Avant Garde" w:hAnsi="ITC Avant Garde"/>
          <w:b/>
          <w:color w:val="000000" w:themeColor="text1"/>
          <w:sz w:val="21"/>
          <w:szCs w:val="21"/>
        </w:rPr>
        <w:t xml:space="preserve"> su fundamento legal:</w:t>
      </w:r>
      <w:r w:rsidRPr="00765A2C">
        <w:rPr>
          <w:rFonts w:ascii="ITC Avant Garde" w:hAnsi="ITC Avant Garde"/>
          <w:b/>
          <w:color w:val="000000" w:themeColor="text1"/>
          <w:sz w:val="21"/>
          <w:szCs w:val="21"/>
        </w:rPr>
        <w:t xml:space="preserve"> </w:t>
      </w: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1723" w:rsidRPr="00765A2C" w14:paraId="2AAC4567" w14:textId="77777777" w:rsidTr="00FE1723">
        <w:tc>
          <w:tcPr>
            <w:tcW w:w="8828" w:type="dxa"/>
          </w:tcPr>
          <w:p w14:paraId="67906CD6" w14:textId="38E6C2B1" w:rsidR="00FE1723" w:rsidRPr="00765A2C" w:rsidRDefault="00FE1723" w:rsidP="00B23C46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765A2C">
              <w:rPr>
                <w:rFonts w:ascii="ITC Avant Garde" w:hAnsi="ITC Avant Garde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6B64E51A" w14:textId="18B60198" w:rsidR="004B7538" w:rsidRPr="00765A2C" w:rsidRDefault="004B7538" w:rsidP="00B23C46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65A2C" w:rsidSect="003F1D7B">
      <w:headerReference w:type="default" r:id="rId15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C13EF7" w:rsidRDefault="00C13EF7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C13EF7" w:rsidRDefault="00C13EF7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C13EF7" w:rsidRDefault="00C13EF7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C13EF7" w:rsidRDefault="00C13EF7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50AFE718" w:rsidR="00C13EF7" w:rsidRDefault="00C13EF7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B8"/>
    <w:multiLevelType w:val="hybridMultilevel"/>
    <w:tmpl w:val="23F27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510E"/>
    <w:multiLevelType w:val="hybridMultilevel"/>
    <w:tmpl w:val="8CD2E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01A"/>
    <w:multiLevelType w:val="hybridMultilevel"/>
    <w:tmpl w:val="77E4E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05E3"/>
    <w:multiLevelType w:val="hybridMultilevel"/>
    <w:tmpl w:val="147408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7D1678"/>
    <w:multiLevelType w:val="hybridMultilevel"/>
    <w:tmpl w:val="4AF2A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17566">
    <w:abstractNumId w:val="5"/>
  </w:num>
  <w:num w:numId="2" w16cid:durableId="1190605345">
    <w:abstractNumId w:val="4"/>
  </w:num>
  <w:num w:numId="3" w16cid:durableId="492989700">
    <w:abstractNumId w:val="2"/>
  </w:num>
  <w:num w:numId="4" w16cid:durableId="957562575">
    <w:abstractNumId w:val="3"/>
  </w:num>
  <w:num w:numId="5" w16cid:durableId="130095880">
    <w:abstractNumId w:val="7"/>
  </w:num>
  <w:num w:numId="6" w16cid:durableId="403332843">
    <w:abstractNumId w:val="14"/>
  </w:num>
  <w:num w:numId="7" w16cid:durableId="1088775274">
    <w:abstractNumId w:val="12"/>
  </w:num>
  <w:num w:numId="8" w16cid:durableId="1338076329">
    <w:abstractNumId w:val="8"/>
  </w:num>
  <w:num w:numId="9" w16cid:durableId="679968300">
    <w:abstractNumId w:val="10"/>
  </w:num>
  <w:num w:numId="10" w16cid:durableId="609169091">
    <w:abstractNumId w:val="11"/>
  </w:num>
  <w:num w:numId="11" w16cid:durableId="1495532259">
    <w:abstractNumId w:val="0"/>
  </w:num>
  <w:num w:numId="12" w16cid:durableId="1060405061">
    <w:abstractNumId w:val="6"/>
  </w:num>
  <w:num w:numId="13" w16cid:durableId="1499690955">
    <w:abstractNumId w:val="9"/>
  </w:num>
  <w:num w:numId="14" w16cid:durableId="350495644">
    <w:abstractNumId w:val="13"/>
  </w:num>
  <w:num w:numId="15" w16cid:durableId="153978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2681E"/>
    <w:rsid w:val="00066D4D"/>
    <w:rsid w:val="00085CAE"/>
    <w:rsid w:val="000911B6"/>
    <w:rsid w:val="0009D573"/>
    <w:rsid w:val="000C2160"/>
    <w:rsid w:val="00103B0A"/>
    <w:rsid w:val="00111FCC"/>
    <w:rsid w:val="001579C6"/>
    <w:rsid w:val="00160C02"/>
    <w:rsid w:val="001A0D96"/>
    <w:rsid w:val="001C36BF"/>
    <w:rsid w:val="001D0BED"/>
    <w:rsid w:val="001F3494"/>
    <w:rsid w:val="00205852"/>
    <w:rsid w:val="00207BA8"/>
    <w:rsid w:val="00223B0B"/>
    <w:rsid w:val="002434FF"/>
    <w:rsid w:val="00250D5A"/>
    <w:rsid w:val="002B0B24"/>
    <w:rsid w:val="002E37B6"/>
    <w:rsid w:val="002F3D6B"/>
    <w:rsid w:val="003028DD"/>
    <w:rsid w:val="00332FE9"/>
    <w:rsid w:val="00366E21"/>
    <w:rsid w:val="00384692"/>
    <w:rsid w:val="003A162A"/>
    <w:rsid w:val="003B6D63"/>
    <w:rsid w:val="003E617B"/>
    <w:rsid w:val="003F1D7B"/>
    <w:rsid w:val="00402A20"/>
    <w:rsid w:val="00446F0C"/>
    <w:rsid w:val="004B7538"/>
    <w:rsid w:val="004B7C8C"/>
    <w:rsid w:val="004C31A6"/>
    <w:rsid w:val="004C75E5"/>
    <w:rsid w:val="004D6D14"/>
    <w:rsid w:val="004E552A"/>
    <w:rsid w:val="004F2AEB"/>
    <w:rsid w:val="005034EB"/>
    <w:rsid w:val="005279F2"/>
    <w:rsid w:val="0056569E"/>
    <w:rsid w:val="00585BD4"/>
    <w:rsid w:val="005E34D0"/>
    <w:rsid w:val="005F0181"/>
    <w:rsid w:val="0061003C"/>
    <w:rsid w:val="006166DB"/>
    <w:rsid w:val="006441CF"/>
    <w:rsid w:val="0065492B"/>
    <w:rsid w:val="00673762"/>
    <w:rsid w:val="00675623"/>
    <w:rsid w:val="00690F9E"/>
    <w:rsid w:val="006911B3"/>
    <w:rsid w:val="006A4614"/>
    <w:rsid w:val="006E4CC3"/>
    <w:rsid w:val="006F7E1D"/>
    <w:rsid w:val="00703626"/>
    <w:rsid w:val="00720D02"/>
    <w:rsid w:val="007240F1"/>
    <w:rsid w:val="007265E8"/>
    <w:rsid w:val="007466F1"/>
    <w:rsid w:val="00765A2C"/>
    <w:rsid w:val="00766DC0"/>
    <w:rsid w:val="0078318D"/>
    <w:rsid w:val="00790AB7"/>
    <w:rsid w:val="0079259F"/>
    <w:rsid w:val="007D2FD6"/>
    <w:rsid w:val="007E167D"/>
    <w:rsid w:val="007F5106"/>
    <w:rsid w:val="008017FB"/>
    <w:rsid w:val="00802508"/>
    <w:rsid w:val="00815D92"/>
    <w:rsid w:val="008502CD"/>
    <w:rsid w:val="0089205E"/>
    <w:rsid w:val="008C3C99"/>
    <w:rsid w:val="008D5546"/>
    <w:rsid w:val="0092333A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23C46"/>
    <w:rsid w:val="00B30E6B"/>
    <w:rsid w:val="00B8531B"/>
    <w:rsid w:val="00BE45D0"/>
    <w:rsid w:val="00C13EF7"/>
    <w:rsid w:val="00C405AA"/>
    <w:rsid w:val="00C74D56"/>
    <w:rsid w:val="00C76443"/>
    <w:rsid w:val="00C8049B"/>
    <w:rsid w:val="00C850A5"/>
    <w:rsid w:val="00CC315B"/>
    <w:rsid w:val="00CC7837"/>
    <w:rsid w:val="00CF5F25"/>
    <w:rsid w:val="00CF6537"/>
    <w:rsid w:val="00D14569"/>
    <w:rsid w:val="00D258BF"/>
    <w:rsid w:val="00D93EA9"/>
    <w:rsid w:val="00DB0E40"/>
    <w:rsid w:val="00DC3A1A"/>
    <w:rsid w:val="00DD05B4"/>
    <w:rsid w:val="00DF074B"/>
    <w:rsid w:val="00DF1654"/>
    <w:rsid w:val="00E571A0"/>
    <w:rsid w:val="00E66DE7"/>
    <w:rsid w:val="00E70994"/>
    <w:rsid w:val="00E82F8A"/>
    <w:rsid w:val="00EC63A9"/>
    <w:rsid w:val="00EF614E"/>
    <w:rsid w:val="00F014C6"/>
    <w:rsid w:val="00F06B4A"/>
    <w:rsid w:val="00F1635D"/>
    <w:rsid w:val="00F30AF6"/>
    <w:rsid w:val="00F42CB3"/>
    <w:rsid w:val="00F52381"/>
    <w:rsid w:val="00F54CB3"/>
    <w:rsid w:val="00F62AAD"/>
    <w:rsid w:val="00F71208"/>
    <w:rsid w:val="00F73022"/>
    <w:rsid w:val="00FA4E22"/>
    <w:rsid w:val="00FE1723"/>
    <w:rsid w:val="00FF4F02"/>
    <w:rsid w:val="0255A0C8"/>
    <w:rsid w:val="0F947418"/>
    <w:rsid w:val="15CE04F6"/>
    <w:rsid w:val="24EC01A5"/>
    <w:rsid w:val="2C5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A2C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DB0E40"/>
    <w:pPr>
      <w:tabs>
        <w:tab w:val="left" w:pos="8789"/>
        <w:tab w:val="right" w:leader="dot" w:pos="8828"/>
      </w:tabs>
      <w:spacing w:before="120" w:after="100" w:line="276" w:lineRule="auto"/>
      <w:ind w:left="440" w:right="615"/>
      <w:jc w:val="both"/>
    </w:pPr>
    <w:rPr>
      <w:rFonts w:ascii="ITC Avant Garde" w:eastAsia="Calibri" w:hAnsi="ITC Avant Garde" w:cs="Times New Roman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B0E40"/>
    <w:pPr>
      <w:tabs>
        <w:tab w:val="right" w:leader="dot" w:pos="8789"/>
      </w:tabs>
      <w:spacing w:before="120" w:after="100" w:line="276" w:lineRule="auto"/>
      <w:ind w:left="220"/>
      <w:jc w:val="both"/>
    </w:pPr>
    <w:rPr>
      <w:rFonts w:ascii="ITC Avant Garde" w:eastAsia="Calibri" w:hAnsi="ITC Avant Garde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DB0E40"/>
    <w:pPr>
      <w:tabs>
        <w:tab w:val="left" w:pos="440"/>
        <w:tab w:val="left" w:pos="8080"/>
        <w:tab w:val="left" w:pos="8789"/>
      </w:tabs>
      <w:spacing w:before="120" w:after="100" w:line="240" w:lineRule="auto"/>
      <w:ind w:right="900"/>
      <w:jc w:val="both"/>
    </w:pPr>
    <w:rPr>
      <w:rFonts w:ascii="ITC Avant Garde" w:eastAsia="Calibri" w:hAnsi="ITC Avant Garde" w:cs="Times New Roman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DB0E40"/>
    <w:pPr>
      <w:outlineLvl w:val="9"/>
    </w:pPr>
    <w:rPr>
      <w:rFonts w:ascii="Calibri Light" w:eastAsia="Times New Roman" w:hAnsi="Calibri Light" w:cs="Times New Roman"/>
      <w:color w:val="2E74B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666E6D835DC4C7083AFE73C996C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D245-6A82-4B71-927B-AB74DA329663}"/>
      </w:docPartPr>
      <w:docPartBody>
        <w:p w:rsidR="00A00B5E" w:rsidRDefault="00A00B5E" w:rsidP="00A00B5E">
          <w:pPr>
            <w:pStyle w:val="D666E6D835DC4C7083AFE73C996CEBF3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5F96567F1594F319B7CD4EF16E8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C18E-91C9-44C8-8B02-84038875CF7F}"/>
      </w:docPartPr>
      <w:docPartBody>
        <w:p w:rsidR="00A00B5E" w:rsidRDefault="00A00B5E" w:rsidP="00A00B5E">
          <w:pPr>
            <w:pStyle w:val="75F96567F1594F319B7CD4EF16E88724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F07652A6F2E42BFB2305A4C3344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F5C3-9BA1-462E-87F4-9CD971D8786B}"/>
      </w:docPartPr>
      <w:docPartBody>
        <w:p w:rsidR="00A00B5E" w:rsidRDefault="00A00B5E" w:rsidP="00A00B5E">
          <w:pPr>
            <w:pStyle w:val="7F07652A6F2E42BFB2305A4C33443C46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92A07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403AD"/>
    <w:rsid w:val="007866FE"/>
    <w:rsid w:val="007F1750"/>
    <w:rsid w:val="008E6773"/>
    <w:rsid w:val="009149B3"/>
    <w:rsid w:val="00977C64"/>
    <w:rsid w:val="009F2A3C"/>
    <w:rsid w:val="00A00B5E"/>
    <w:rsid w:val="00A52267"/>
    <w:rsid w:val="00A72DE6"/>
    <w:rsid w:val="00B01F8A"/>
    <w:rsid w:val="00BD1645"/>
    <w:rsid w:val="00BF7C0D"/>
    <w:rsid w:val="00C2228D"/>
    <w:rsid w:val="00C96F79"/>
    <w:rsid w:val="00D31C9E"/>
    <w:rsid w:val="00D57942"/>
    <w:rsid w:val="00D57A8B"/>
    <w:rsid w:val="00D83928"/>
    <w:rsid w:val="00DF1778"/>
    <w:rsid w:val="00DF3746"/>
    <w:rsid w:val="00F80AFD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0B5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D666E6D835DC4C7083AFE73C996CEBF3">
    <w:name w:val="D666E6D835DC4C7083AFE73C996CEBF3"/>
    <w:rsid w:val="00A00B5E"/>
  </w:style>
  <w:style w:type="paragraph" w:customStyle="1" w:styleId="75F96567F1594F319B7CD4EF16E88724">
    <w:name w:val="75F96567F1594F319B7CD4EF16E88724"/>
    <w:rsid w:val="00A00B5E"/>
  </w:style>
  <w:style w:type="paragraph" w:customStyle="1" w:styleId="7F07652A6F2E42BFB2305A4C33443C46">
    <w:name w:val="7F07652A6F2E42BFB2305A4C33443C46"/>
    <w:rsid w:val="00A00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1" ma:contentTypeDescription="Crear nuevo documento." ma:contentTypeScope="" ma:versionID="07a0a21e02fe841e6d63c7f21d602141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fbae566ba4ea3f0b99ba07c478581933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bdb61f3-1305-4a9b-97d4-47fb3fe9934c"/>
    <ds:schemaRef ds:uri="http://schemas.microsoft.com/office/2006/metadata/properties"/>
    <ds:schemaRef ds:uri="http://purl.org/dc/dcmitype/"/>
    <ds:schemaRef ds:uri="4be6e129-17bc-4f05-9def-a51dc5f03fa3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4BC16-59DF-4535-BE14-F98BEA4A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6F8D6-BDDA-4E0B-9C2E-261D0720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2</cp:revision>
  <cp:lastPrinted>2022-04-21T17:15:00Z</cp:lastPrinted>
  <dcterms:created xsi:type="dcterms:W3CDTF">2023-05-04T22:36:00Z</dcterms:created>
  <dcterms:modified xsi:type="dcterms:W3CDTF">2023-05-04T22:36:00Z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