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CE" w:rsidRPr="00F56199" w:rsidRDefault="00295441" w:rsidP="00F56199">
      <w:pPr>
        <w:pStyle w:val="Ttulo1"/>
        <w:jc w:val="center"/>
        <w:rPr>
          <w:rFonts w:ascii="ITC Avant Garde" w:hAnsi="ITC Avant Garde"/>
          <w:b/>
          <w:color w:val="000000" w:themeColor="text1"/>
          <w:sz w:val="24"/>
          <w:szCs w:val="24"/>
          <w:lang w:val="es-ES"/>
        </w:rPr>
      </w:pPr>
      <w:r w:rsidRPr="00F56199">
        <w:rPr>
          <w:rFonts w:ascii="ITC Avant Garde" w:hAnsi="ITC Avant Garde"/>
          <w:b/>
          <w:color w:val="000000" w:themeColor="text1"/>
          <w:sz w:val="24"/>
          <w:szCs w:val="24"/>
          <w:lang w:val="es-ES"/>
        </w:rPr>
        <w:t>MODELO DE</w:t>
      </w:r>
      <w:bookmarkStart w:id="0" w:name="_GoBack"/>
      <w:bookmarkEnd w:id="0"/>
      <w:r w:rsidRPr="00F56199">
        <w:rPr>
          <w:rFonts w:ascii="ITC Avant Garde" w:hAnsi="ITC Avant Garde"/>
          <w:b/>
          <w:color w:val="000000" w:themeColor="text1"/>
          <w:sz w:val="24"/>
          <w:szCs w:val="24"/>
          <w:lang w:val="es-ES"/>
        </w:rPr>
        <w:t xml:space="preserve"> COSTOS DE ENLACES DE INTERCONEXIÓN</w:t>
      </w:r>
    </w:p>
    <w:p w:rsidR="00A422CE" w:rsidRDefault="00A422CE" w:rsidP="00A422CE">
      <w:pPr>
        <w:spacing w:after="0"/>
        <w:ind w:right="20"/>
        <w:jc w:val="both"/>
        <w:rPr>
          <w:rFonts w:ascii="ITC Avant Garde" w:hAnsi="ITC Avant Garde"/>
          <w:lang w:val="es-ES"/>
        </w:rPr>
      </w:pPr>
    </w:p>
    <w:p w:rsidR="00A422CE" w:rsidRPr="00273FE6" w:rsidRDefault="00A422CE" w:rsidP="00A422CE">
      <w:pPr>
        <w:spacing w:after="0"/>
        <w:ind w:right="20"/>
        <w:jc w:val="both"/>
        <w:rPr>
          <w:rFonts w:ascii="ITC Avant Garde" w:hAnsi="ITC Avant Garde"/>
          <w:b/>
          <w:lang w:val="es-ES"/>
        </w:rPr>
      </w:pPr>
      <w:r w:rsidRPr="00273FE6">
        <w:rPr>
          <w:rFonts w:ascii="ITC Avant Garde" w:hAnsi="ITC Avant Garde"/>
          <w:b/>
          <w:lang w:val="es-ES"/>
        </w:rPr>
        <w:t>Aspectos relacionados a la red del operador modelado.</w:t>
      </w:r>
    </w:p>
    <w:p w:rsidR="00A422CE" w:rsidRPr="00EB5505" w:rsidRDefault="00A422CE" w:rsidP="00A422CE">
      <w:pPr>
        <w:spacing w:after="0"/>
        <w:ind w:right="20"/>
        <w:jc w:val="both"/>
        <w:rPr>
          <w:rFonts w:ascii="ITC Avant Garde" w:hAnsi="ITC Avant Garde"/>
          <w:lang w:val="es-ES"/>
        </w:rPr>
      </w:pPr>
    </w:p>
    <w:p w:rsidR="00A422CE" w:rsidRPr="001D54B2" w:rsidRDefault="00A422CE" w:rsidP="00A422CE">
      <w:pPr>
        <w:spacing w:after="0"/>
        <w:ind w:right="20"/>
        <w:jc w:val="both"/>
        <w:rPr>
          <w:rFonts w:ascii="ITC Avant Garde" w:hAnsi="ITC Avant Garde" w:cs="Arial"/>
          <w:lang w:val="es-ES"/>
        </w:rPr>
      </w:pPr>
      <w:r w:rsidRPr="00EB5505">
        <w:rPr>
          <w:rFonts w:ascii="ITC Avant Garde" w:hAnsi="ITC Avant Garde"/>
          <w:lang w:val="es-ES"/>
        </w:rPr>
        <w:t xml:space="preserve">El </w:t>
      </w:r>
      <w:proofErr w:type="spellStart"/>
      <w:r w:rsidRPr="001D54B2">
        <w:rPr>
          <w:rFonts w:ascii="ITC Avant Garde" w:hAnsi="ITC Avant Garde" w:cs="Arial"/>
          <w:lang w:val="es-ES"/>
        </w:rPr>
        <w:t>costeo</w:t>
      </w:r>
      <w:proofErr w:type="spellEnd"/>
      <w:r w:rsidRPr="00EB5505">
        <w:rPr>
          <w:rFonts w:ascii="ITC Avant Garde" w:hAnsi="ITC Avant Garde"/>
          <w:lang w:val="es-ES"/>
        </w:rPr>
        <w:t xml:space="preserve"> de </w:t>
      </w:r>
      <w:r w:rsidRPr="001D54B2">
        <w:rPr>
          <w:rFonts w:ascii="ITC Avant Garde" w:hAnsi="ITC Avant Garde" w:cs="Arial"/>
          <w:lang w:val="es-ES"/>
        </w:rPr>
        <w:t>los enlaces dedicados de interconexión</w:t>
      </w:r>
      <w:r w:rsidRPr="00EB5505">
        <w:rPr>
          <w:rFonts w:ascii="ITC Avant Garde" w:hAnsi="ITC Avant Garde"/>
          <w:lang w:val="es-ES"/>
        </w:rPr>
        <w:t xml:space="preserve"> </w:t>
      </w:r>
      <w:r w:rsidRPr="001D54B2">
        <w:rPr>
          <w:rFonts w:ascii="ITC Avant Garde" w:hAnsi="ITC Avant Garde" w:cs="Arial"/>
          <w:lang w:val="es-ES"/>
        </w:rPr>
        <w:t xml:space="preserve">se basa en la red del operador </w:t>
      </w:r>
      <w:proofErr w:type="spellStart"/>
      <w:r w:rsidRPr="001D54B2">
        <w:rPr>
          <w:rFonts w:ascii="ITC Avant Garde" w:hAnsi="ITC Avant Garde" w:cs="Arial"/>
          <w:lang w:val="es-ES"/>
        </w:rPr>
        <w:t>incumbente</w:t>
      </w:r>
      <w:proofErr w:type="spellEnd"/>
      <w:r w:rsidRPr="001D54B2">
        <w:rPr>
          <w:rFonts w:ascii="ITC Avant Garde" w:hAnsi="ITC Avant Garde" w:cs="Arial"/>
          <w:lang w:val="es-ES"/>
        </w:rPr>
        <w:t xml:space="preserve"> del modelo fijo con interconexión regional. En este escenario del modelo la interconexión y el tránsito se pueden efectuar a nivel de los 197 nodos regionales; de este modo este escenario es el más compatible con la estructura de la prestación del servicio de enlaces dedicados de interconexión.</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center"/>
        <w:rPr>
          <w:rFonts w:ascii="ITC Avant Garde" w:hAnsi="ITC Avant Garde" w:cs="Arial"/>
          <w:lang w:val="es-ES"/>
        </w:rPr>
      </w:pPr>
      <w:r w:rsidRPr="001D54B2">
        <w:rPr>
          <w:noProof/>
          <w:lang w:eastAsia="es-MX"/>
        </w:rPr>
        <w:drawing>
          <wp:inline distT="0" distB="0" distL="0" distR="0" wp14:anchorId="57D3ABDC" wp14:editId="6E74F661">
            <wp:extent cx="5305245" cy="2935344"/>
            <wp:effectExtent l="0" t="0" r="0" b="0"/>
            <wp:docPr id="3" name="Imagen 3" descr="Esquema de la red del operador incumbente – escenario de interconexión regional"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372" cy="2940394"/>
                    </a:xfrm>
                    <a:prstGeom prst="rect">
                      <a:avLst/>
                    </a:prstGeom>
                    <a:noFill/>
                    <a:ln>
                      <a:noFill/>
                    </a:ln>
                  </pic:spPr>
                </pic:pic>
              </a:graphicData>
            </a:graphic>
          </wp:inline>
        </w:drawing>
      </w:r>
    </w:p>
    <w:p w:rsidR="00A422CE" w:rsidRPr="00EB5505" w:rsidRDefault="00A422CE" w:rsidP="00A422CE">
      <w:pPr>
        <w:spacing w:after="0"/>
        <w:ind w:right="20"/>
        <w:jc w:val="both"/>
        <w:rPr>
          <w:rFonts w:ascii="ITC Avant Garde" w:hAnsi="ITC Avant Garde"/>
          <w:b/>
          <w:i/>
          <w:sz w:val="18"/>
          <w:lang w:val="es-ES"/>
        </w:rPr>
      </w:pPr>
      <w:r w:rsidRPr="001D54B2">
        <w:rPr>
          <w:rFonts w:ascii="ITC Avant Garde" w:hAnsi="ITC Avant Garde" w:cs="Arial"/>
          <w:b/>
          <w:i/>
          <w:sz w:val="18"/>
          <w:szCs w:val="18"/>
          <w:lang w:val="es-ES"/>
        </w:rPr>
        <w:t xml:space="preserve">Figura 1: Esquema de la red del </w:t>
      </w:r>
      <w:r w:rsidRPr="00EB5505">
        <w:rPr>
          <w:rFonts w:ascii="ITC Avant Garde" w:hAnsi="ITC Avant Garde"/>
          <w:b/>
          <w:i/>
          <w:sz w:val="18"/>
          <w:lang w:val="es-ES"/>
        </w:rPr>
        <w:t>operador</w:t>
      </w:r>
      <w:r w:rsidRPr="001D54B2">
        <w:rPr>
          <w:rFonts w:ascii="ITC Avant Garde" w:hAnsi="ITC Avant Garde" w:cs="Arial"/>
          <w:b/>
          <w:i/>
          <w:sz w:val="18"/>
          <w:szCs w:val="18"/>
          <w:lang w:val="es-ES"/>
        </w:rPr>
        <w:t xml:space="preserve"> </w:t>
      </w:r>
      <w:proofErr w:type="spellStart"/>
      <w:r w:rsidRPr="001D54B2">
        <w:rPr>
          <w:rFonts w:ascii="ITC Avant Garde" w:hAnsi="ITC Avant Garde" w:cs="Arial"/>
          <w:b/>
          <w:i/>
          <w:sz w:val="18"/>
          <w:szCs w:val="18"/>
          <w:lang w:val="es-ES"/>
        </w:rPr>
        <w:t>incumbente</w:t>
      </w:r>
      <w:proofErr w:type="spellEnd"/>
      <w:r w:rsidRPr="001D54B2">
        <w:rPr>
          <w:rFonts w:ascii="ITC Avant Garde" w:hAnsi="ITC Avant Garde" w:cs="Arial"/>
          <w:b/>
          <w:i/>
          <w:sz w:val="18"/>
          <w:szCs w:val="18"/>
          <w:lang w:val="es-ES"/>
        </w:rPr>
        <w:t xml:space="preserve"> – escenario de interconexión regional</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 xml:space="preserve">En el cálculo del costo de los enlaces se realizan las siguientes hipótesis: </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pStyle w:val="Prrafodelista"/>
        <w:numPr>
          <w:ilvl w:val="0"/>
          <w:numId w:val="3"/>
        </w:numPr>
        <w:ind w:right="20"/>
        <w:rPr>
          <w:rFonts w:ascii="ITC Avant Garde" w:hAnsi="ITC Avant Garde" w:cs="Arial"/>
          <w:lang w:val="es-ES"/>
        </w:rPr>
      </w:pPr>
      <w:r w:rsidRPr="001D54B2">
        <w:rPr>
          <w:rFonts w:ascii="ITC Avant Garde" w:hAnsi="ITC Avant Garde" w:cs="Arial"/>
          <w:lang w:val="es-ES"/>
        </w:rPr>
        <w:t>La interconexión se efectúa a nivel de nodo regional, en línea con las hipótesis efectuadas en el modelo de interconexión fija</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pStyle w:val="Prrafodelista"/>
        <w:numPr>
          <w:ilvl w:val="0"/>
          <w:numId w:val="3"/>
        </w:numPr>
        <w:ind w:right="20"/>
        <w:rPr>
          <w:rFonts w:ascii="ITC Avant Garde" w:hAnsi="ITC Avant Garde" w:cs="Arial"/>
          <w:lang w:val="es-ES"/>
        </w:rPr>
      </w:pPr>
      <w:r w:rsidRPr="001D54B2">
        <w:rPr>
          <w:rFonts w:ascii="ITC Avant Garde" w:hAnsi="ITC Avant Garde" w:cs="Arial"/>
          <w:lang w:val="es-ES"/>
        </w:rPr>
        <w:t>Se emplea una WACC fija nominal de 9.91%</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pStyle w:val="Prrafodelista"/>
        <w:numPr>
          <w:ilvl w:val="0"/>
          <w:numId w:val="3"/>
        </w:numPr>
        <w:ind w:right="20"/>
        <w:rPr>
          <w:rFonts w:ascii="ITC Avant Garde" w:hAnsi="ITC Avant Garde" w:cs="Arial"/>
          <w:lang w:val="es-ES"/>
        </w:rPr>
      </w:pPr>
      <w:r w:rsidRPr="001D54B2">
        <w:rPr>
          <w:rFonts w:ascii="ITC Avant Garde" w:hAnsi="ITC Avant Garde" w:cs="Arial"/>
          <w:lang w:val="es-ES"/>
        </w:rPr>
        <w:t>Se han calculado los precios asociados a los enlaces E1, E3, STM-1, 1 GE y 10 GE</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pStyle w:val="Prrafodelista"/>
        <w:numPr>
          <w:ilvl w:val="0"/>
          <w:numId w:val="3"/>
        </w:numPr>
        <w:ind w:right="20"/>
        <w:rPr>
          <w:rFonts w:ascii="ITC Avant Garde" w:hAnsi="ITC Avant Garde" w:cs="Arial"/>
          <w:lang w:val="es-ES"/>
        </w:rPr>
      </w:pPr>
      <w:r w:rsidRPr="001D54B2">
        <w:rPr>
          <w:rFonts w:ascii="ITC Avant Garde" w:hAnsi="ITC Avant Garde" w:cs="Arial"/>
          <w:lang w:val="es-ES"/>
        </w:rPr>
        <w:t>Se considera que el costo de instalación de los equipos dedicados a los enlaces de interconexión (MSPP de cliente) se recuperan en el precio de la instalación del enlace, mientras que el costo del equipo se anualiza e incluye en las rentas mensuales</w:t>
      </w:r>
    </w:p>
    <w:p w:rsidR="00A422CE" w:rsidRPr="001D54B2" w:rsidRDefault="00A422CE" w:rsidP="00A422CE">
      <w:pPr>
        <w:spacing w:after="0"/>
        <w:ind w:right="20"/>
        <w:jc w:val="both"/>
        <w:rPr>
          <w:rFonts w:ascii="ITC Avant Garde" w:hAnsi="ITC Avant Garde" w:cs="Arial"/>
          <w:lang w:val="es-ES"/>
        </w:rPr>
      </w:pPr>
    </w:p>
    <w:p w:rsidR="00A422CE" w:rsidRPr="00273FE6" w:rsidRDefault="00A422CE" w:rsidP="00A422CE">
      <w:pPr>
        <w:spacing w:after="0"/>
        <w:ind w:right="20"/>
        <w:jc w:val="both"/>
        <w:rPr>
          <w:rFonts w:ascii="ITC Avant Garde" w:hAnsi="ITC Avant Garde" w:cs="Arial"/>
          <w:b/>
          <w:i/>
          <w:lang w:val="es-ES"/>
        </w:rPr>
      </w:pPr>
      <w:r w:rsidRPr="00273FE6">
        <w:rPr>
          <w:rFonts w:ascii="ITC Avant Garde" w:hAnsi="ITC Avant Garde" w:cs="Arial"/>
          <w:b/>
          <w:i/>
          <w:lang w:val="es-ES"/>
        </w:rPr>
        <w:lastRenderedPageBreak/>
        <w:t>Modelo para enlaces locales</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 xml:space="preserve">El modelo del tramo local de los enlaces de interconexión se basa en el modelo de acceso fijo (desagregación de la red local), en donde su implementación se realiza mediante un </w:t>
      </w:r>
      <w:proofErr w:type="spellStart"/>
      <w:r w:rsidRPr="001D54B2">
        <w:rPr>
          <w:rFonts w:ascii="ITC Avant Garde" w:hAnsi="ITC Avant Garde" w:cs="Arial"/>
          <w:i/>
          <w:lang w:val="es-ES"/>
        </w:rPr>
        <w:t>bottom</w:t>
      </w:r>
      <w:proofErr w:type="spellEnd"/>
      <w:r w:rsidRPr="001D54B2">
        <w:rPr>
          <w:rFonts w:ascii="ITC Avant Garde" w:hAnsi="ITC Avant Garde" w:cs="Arial"/>
          <w:i/>
          <w:lang w:val="es-ES"/>
        </w:rPr>
        <w:t>-up</w:t>
      </w:r>
      <w:r w:rsidRPr="001D54B2">
        <w:rPr>
          <w:rFonts w:ascii="ITC Avant Garde" w:hAnsi="ITC Avant Garde" w:cs="Arial"/>
          <w:lang w:val="es-ES"/>
        </w:rPr>
        <w:t xml:space="preserve"> de la siguiente forma:</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noProof/>
          <w:lang w:eastAsia="es-MX"/>
        </w:rPr>
        <w:drawing>
          <wp:inline distT="0" distB="0" distL="0" distR="0" wp14:anchorId="181CD0D1" wp14:editId="248392DB">
            <wp:extent cx="5580380" cy="2701054"/>
            <wp:effectExtent l="0" t="0" r="1270" b="0"/>
            <wp:docPr id="4" name="Imagen 4" descr="Flujo del modelo de enlaces dedicados de interconexión para el tramo local" titl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0380" cy="2701054"/>
                    </a:xfrm>
                    <a:prstGeom prst="rect">
                      <a:avLst/>
                    </a:prstGeom>
                    <a:noFill/>
                    <a:ln>
                      <a:noFill/>
                    </a:ln>
                  </pic:spPr>
                </pic:pic>
              </a:graphicData>
            </a:graphic>
          </wp:inline>
        </w:drawing>
      </w:r>
    </w:p>
    <w:p w:rsidR="00A422CE" w:rsidRPr="001D54B2" w:rsidRDefault="00A422CE" w:rsidP="00A422CE">
      <w:pPr>
        <w:spacing w:after="0"/>
        <w:ind w:right="20"/>
        <w:jc w:val="both"/>
        <w:rPr>
          <w:rFonts w:ascii="ITC Avant Garde" w:hAnsi="ITC Avant Garde" w:cs="Arial"/>
          <w:b/>
          <w:i/>
          <w:sz w:val="18"/>
          <w:szCs w:val="18"/>
          <w:lang w:val="es-ES"/>
        </w:rPr>
      </w:pPr>
      <w:r w:rsidRPr="001D54B2">
        <w:rPr>
          <w:rFonts w:ascii="ITC Avant Garde" w:hAnsi="ITC Avant Garde" w:cs="Arial"/>
          <w:b/>
          <w:i/>
          <w:sz w:val="18"/>
          <w:szCs w:val="18"/>
          <w:lang w:val="es-ES"/>
        </w:rPr>
        <w:t>Figura 2: Flujo</w:t>
      </w:r>
      <w:r w:rsidRPr="00EB5505">
        <w:rPr>
          <w:rFonts w:ascii="ITC Avant Garde" w:hAnsi="ITC Avant Garde"/>
          <w:b/>
          <w:i/>
          <w:sz w:val="18"/>
          <w:lang w:val="es-ES"/>
        </w:rPr>
        <w:t xml:space="preserve"> del </w:t>
      </w:r>
      <w:r w:rsidRPr="001D54B2">
        <w:rPr>
          <w:rFonts w:ascii="ITC Avant Garde" w:hAnsi="ITC Avant Garde" w:cs="Arial"/>
          <w:b/>
          <w:i/>
          <w:sz w:val="18"/>
          <w:szCs w:val="18"/>
          <w:lang w:val="es-ES"/>
        </w:rPr>
        <w:t>modelo</w:t>
      </w:r>
      <w:r w:rsidRPr="00EB5505">
        <w:rPr>
          <w:rFonts w:ascii="ITC Avant Garde" w:hAnsi="ITC Avant Garde"/>
          <w:b/>
          <w:i/>
          <w:sz w:val="18"/>
          <w:lang w:val="es-ES"/>
        </w:rPr>
        <w:t xml:space="preserve"> de </w:t>
      </w:r>
      <w:r w:rsidRPr="001D54B2">
        <w:rPr>
          <w:rFonts w:ascii="ITC Avant Garde" w:hAnsi="ITC Avant Garde" w:cs="Arial"/>
          <w:b/>
          <w:i/>
          <w:sz w:val="18"/>
          <w:szCs w:val="18"/>
          <w:lang w:val="es-ES"/>
        </w:rPr>
        <w:t>enlaces dedicados</w:t>
      </w:r>
      <w:r w:rsidRPr="00EB5505">
        <w:rPr>
          <w:rFonts w:ascii="ITC Avant Garde" w:hAnsi="ITC Avant Garde"/>
          <w:b/>
          <w:i/>
          <w:sz w:val="18"/>
          <w:lang w:val="es-ES"/>
        </w:rPr>
        <w:t xml:space="preserve"> de </w:t>
      </w:r>
      <w:r w:rsidRPr="001D54B2">
        <w:rPr>
          <w:rFonts w:ascii="ITC Avant Garde" w:hAnsi="ITC Avant Garde" w:cs="Arial"/>
          <w:b/>
          <w:i/>
          <w:sz w:val="18"/>
          <w:szCs w:val="18"/>
          <w:lang w:val="es-ES"/>
        </w:rPr>
        <w:t>interconexión</w:t>
      </w:r>
      <w:r w:rsidRPr="00EB5505">
        <w:rPr>
          <w:rFonts w:ascii="ITC Avant Garde" w:hAnsi="ITC Avant Garde"/>
          <w:b/>
          <w:i/>
          <w:sz w:val="18"/>
          <w:lang w:val="es-ES"/>
        </w:rPr>
        <w:t xml:space="preserve"> para </w:t>
      </w:r>
      <w:r w:rsidRPr="001D54B2">
        <w:rPr>
          <w:rFonts w:ascii="ITC Avant Garde" w:hAnsi="ITC Avant Garde" w:cs="Arial"/>
          <w:b/>
          <w:i/>
          <w:sz w:val="18"/>
          <w:szCs w:val="18"/>
          <w:lang w:val="es-ES"/>
        </w:rPr>
        <w:t>el tramo local</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Con base en las características técnicas de los servicios a prestar, se consideran los equipos dedicados a los enlaces de interconexión, los cuales multiplicados por los costos unitarios proporcionan las inversiones en los mismos.</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Se considera una última milla de 20 km de longitud en la que se despliega un mazo de fibra reutilizando ductos y postes existentes; para lo cual se utilizan inputs de ductos, cables y rutas provenientes del modelo de acceso fijo.</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Los factores de compartición definen la proporción del costo de un activo que es asignado al servicio de enlaces dedicados de interconexión en relación a otros servicios.</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 xml:space="preserve">Asimismo, se realiza un reparto de los gastos comunes en función de la velocidad </w:t>
      </w:r>
      <w:proofErr w:type="gramStart"/>
      <w:r w:rsidRPr="001D54B2">
        <w:rPr>
          <w:rFonts w:ascii="ITC Avant Garde" w:hAnsi="ITC Avant Garde" w:cs="Arial"/>
          <w:lang w:val="es-ES"/>
        </w:rPr>
        <w:t>del</w:t>
      </w:r>
      <w:proofErr w:type="gramEnd"/>
      <w:r w:rsidRPr="001D54B2">
        <w:rPr>
          <w:rFonts w:ascii="ITC Avant Garde" w:hAnsi="ITC Avant Garde" w:cs="Arial"/>
          <w:lang w:val="es-ES"/>
        </w:rPr>
        <w:t xml:space="preserve"> enlace a costear.</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De este modo, el enlace conectará el emplazamiento del operador con un nodo de acceso del AEP.</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center"/>
        <w:rPr>
          <w:rFonts w:ascii="ITC Avant Garde" w:hAnsi="ITC Avant Garde" w:cs="Arial"/>
          <w:lang w:val="es-ES"/>
        </w:rPr>
      </w:pPr>
      <w:r w:rsidRPr="001D54B2">
        <w:rPr>
          <w:noProof/>
          <w:lang w:eastAsia="es-MX"/>
        </w:rPr>
        <w:lastRenderedPageBreak/>
        <w:drawing>
          <wp:inline distT="0" distB="0" distL="0" distR="0" wp14:anchorId="6139F7B7" wp14:editId="07E11E65">
            <wp:extent cx="2930183" cy="3184246"/>
            <wp:effectExtent l="0" t="0" r="0" b="0"/>
            <wp:docPr id="62" name="Imagen 62" descr="Esquema de red de interconexión– escenario de tramo local." title="Figu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4813" cy="3200145"/>
                    </a:xfrm>
                    <a:prstGeom prst="rect">
                      <a:avLst/>
                    </a:prstGeom>
                    <a:noFill/>
                    <a:ln>
                      <a:noFill/>
                    </a:ln>
                  </pic:spPr>
                </pic:pic>
              </a:graphicData>
            </a:graphic>
          </wp:inline>
        </w:drawing>
      </w:r>
    </w:p>
    <w:p w:rsidR="00A422CE" w:rsidRPr="001D54B2" w:rsidRDefault="00A422CE" w:rsidP="00A422CE">
      <w:pPr>
        <w:spacing w:after="0"/>
        <w:ind w:right="20"/>
        <w:jc w:val="center"/>
        <w:rPr>
          <w:rFonts w:ascii="ITC Avant Garde" w:hAnsi="ITC Avant Garde" w:cs="Arial"/>
          <w:b/>
          <w:i/>
          <w:sz w:val="18"/>
          <w:szCs w:val="18"/>
          <w:lang w:val="es-ES"/>
        </w:rPr>
      </w:pPr>
      <w:r w:rsidRPr="001D54B2">
        <w:rPr>
          <w:rFonts w:ascii="ITC Avant Garde" w:hAnsi="ITC Avant Garde" w:cs="Arial"/>
          <w:b/>
          <w:i/>
          <w:sz w:val="18"/>
          <w:szCs w:val="18"/>
          <w:lang w:val="es-ES"/>
        </w:rPr>
        <w:t>Figura 3: Esquema de red de interconexión– escenario de tramo local.</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 xml:space="preserve">Si el nodo de acceso donde termina el enlace local no se encuentra </w:t>
      </w:r>
      <w:proofErr w:type="spellStart"/>
      <w:r w:rsidRPr="001D54B2">
        <w:rPr>
          <w:rFonts w:ascii="ITC Avant Garde" w:hAnsi="ITC Avant Garde" w:cs="Arial"/>
          <w:lang w:val="es-ES"/>
        </w:rPr>
        <w:t>coubicado</w:t>
      </w:r>
      <w:proofErr w:type="spellEnd"/>
      <w:r w:rsidRPr="001D54B2">
        <w:rPr>
          <w:rFonts w:ascii="ITC Avant Garde" w:hAnsi="ITC Avant Garde" w:cs="Arial"/>
          <w:lang w:val="es-ES"/>
        </w:rPr>
        <w:t xml:space="preserve"> con el nodo regional donde se realiza la interconexión, será necesario complementar el enlace dedicado con un tramo de larga distancia que conecte el nodo de acceso con el nodo regional.</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De esta forma, los costos totales por elementos de red se calculan en base al número total de elementos de red del modelo para un año específico, multiplicado por su costo unitario (</w:t>
      </w:r>
      <w:proofErr w:type="spellStart"/>
      <w:r w:rsidRPr="001D54B2">
        <w:rPr>
          <w:rFonts w:ascii="ITC Avant Garde" w:hAnsi="ITC Avant Garde" w:cs="Arial"/>
          <w:lang w:val="es-ES"/>
        </w:rPr>
        <w:t>capex</w:t>
      </w:r>
      <w:proofErr w:type="spellEnd"/>
      <w:r w:rsidRPr="001D54B2">
        <w:rPr>
          <w:rFonts w:ascii="ITC Avant Garde" w:hAnsi="ITC Avant Garde" w:cs="Arial"/>
          <w:lang w:val="es-ES"/>
        </w:rPr>
        <w:t xml:space="preserve"> y/o </w:t>
      </w:r>
      <w:proofErr w:type="spellStart"/>
      <w:r w:rsidRPr="001D54B2">
        <w:rPr>
          <w:rFonts w:ascii="ITC Avant Garde" w:hAnsi="ITC Avant Garde" w:cs="Arial"/>
          <w:lang w:val="es-ES"/>
        </w:rPr>
        <w:t>opex</w:t>
      </w:r>
      <w:proofErr w:type="spellEnd"/>
      <w:r w:rsidRPr="001D54B2">
        <w:rPr>
          <w:rFonts w:ascii="ITC Avant Garde" w:hAnsi="ITC Avant Garde" w:cs="Arial"/>
          <w:lang w:val="es-ES"/>
        </w:rPr>
        <w:t>).</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Los costos medios por enlace se calculan en base al costo total de despliegue del activo considerado (red de acceso, agregación o troncal) dividido por el número de enlaces físicos de la red.</w:t>
      </w:r>
    </w:p>
    <w:p w:rsidR="00A422CE" w:rsidRPr="001D54B2" w:rsidRDefault="00A422CE" w:rsidP="00A422CE">
      <w:pPr>
        <w:spacing w:after="0"/>
        <w:ind w:right="20"/>
        <w:jc w:val="both"/>
        <w:rPr>
          <w:rFonts w:ascii="ITC Avant Garde" w:hAnsi="ITC Avant Garde" w:cs="Arial"/>
          <w:lang w:val="es-ES"/>
        </w:rPr>
      </w:pPr>
    </w:p>
    <w:p w:rsidR="00A422CE" w:rsidRPr="00EB5505" w:rsidRDefault="00A422CE" w:rsidP="00A422CE">
      <w:pPr>
        <w:spacing w:after="0"/>
        <w:ind w:right="20"/>
        <w:jc w:val="both"/>
        <w:rPr>
          <w:rFonts w:ascii="ITC Avant Garde" w:hAnsi="ITC Avant Garde"/>
          <w:lang w:val="es-ES"/>
        </w:rPr>
      </w:pPr>
      <w:r w:rsidRPr="001D54B2">
        <w:rPr>
          <w:rFonts w:ascii="ITC Avant Garde" w:hAnsi="ITC Avant Garde" w:cs="Arial"/>
          <w:lang w:val="es-ES"/>
        </w:rPr>
        <w:t>Las capacidades consideradas varían en función del elemento de red y el nivel de red (acceso, agregación o troncal) en el que se encuentran, y son calculadas en el modelo de interconexión en base a factores de enrutamiento específicos.</w:t>
      </w:r>
    </w:p>
    <w:p w:rsidR="00A422CE" w:rsidRPr="001D54B2"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t xml:space="preserve">En el caso de elementos de red compuestos el costo total considerado es la suma de los costos de sus componentes (p.ej. chasís y tarjetas en el caso de </w:t>
      </w:r>
      <w:proofErr w:type="spellStart"/>
      <w:r w:rsidRPr="001D54B2">
        <w:rPr>
          <w:rFonts w:ascii="ITC Avant Garde" w:hAnsi="ITC Avant Garde" w:cs="Arial"/>
          <w:lang w:val="es-ES"/>
        </w:rPr>
        <w:t>routers</w:t>
      </w:r>
      <w:proofErr w:type="spellEnd"/>
      <w:r w:rsidRPr="001D54B2">
        <w:rPr>
          <w:rFonts w:ascii="ITC Avant Garde" w:hAnsi="ITC Avant Garde" w:cs="Arial"/>
          <w:lang w:val="es-ES"/>
        </w:rPr>
        <w:t>).</w:t>
      </w:r>
    </w:p>
    <w:p w:rsidR="00A422CE" w:rsidRDefault="00A422CE" w:rsidP="00A422CE">
      <w:pPr>
        <w:spacing w:after="0"/>
        <w:ind w:right="20"/>
        <w:jc w:val="both"/>
        <w:rPr>
          <w:rFonts w:ascii="ITC Avant Garde" w:hAnsi="ITC Avant Garde" w:cs="Arial"/>
          <w:i/>
          <w:lang w:val="es-ES"/>
        </w:rPr>
      </w:pPr>
    </w:p>
    <w:p w:rsidR="00A422CE" w:rsidRPr="00273FE6" w:rsidRDefault="00A422CE" w:rsidP="00A422CE">
      <w:pPr>
        <w:spacing w:after="0"/>
        <w:ind w:right="20"/>
        <w:jc w:val="both"/>
        <w:rPr>
          <w:rFonts w:ascii="ITC Avant Garde" w:hAnsi="ITC Avant Garde" w:cs="Arial"/>
          <w:b/>
          <w:i/>
          <w:lang w:val="es-ES"/>
        </w:rPr>
      </w:pPr>
      <w:r w:rsidRPr="00273FE6">
        <w:rPr>
          <w:rFonts w:ascii="ITC Avant Garde" w:hAnsi="ITC Avant Garde" w:cs="Arial"/>
          <w:b/>
          <w:i/>
          <w:lang w:val="es-ES"/>
        </w:rPr>
        <w:t>Modelo para enlaces de larga distancia</w:t>
      </w:r>
    </w:p>
    <w:p w:rsidR="00A422CE"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sidRPr="001D54B2">
        <w:rPr>
          <w:rFonts w:ascii="ITC Avant Garde" w:hAnsi="ITC Avant Garde" w:cs="Arial"/>
          <w:lang w:val="es-ES"/>
        </w:rPr>
        <w:lastRenderedPageBreak/>
        <w:t xml:space="preserve">El modelo del tramo </w:t>
      </w:r>
      <w:r>
        <w:rPr>
          <w:rFonts w:ascii="ITC Avant Garde" w:hAnsi="ITC Avant Garde" w:cs="Arial"/>
          <w:lang w:val="es-ES"/>
        </w:rPr>
        <w:t>de larga distancia</w:t>
      </w:r>
      <w:r w:rsidRPr="001D54B2">
        <w:rPr>
          <w:rFonts w:ascii="ITC Avant Garde" w:hAnsi="ITC Avant Garde" w:cs="Arial"/>
          <w:lang w:val="es-ES"/>
        </w:rPr>
        <w:t xml:space="preserve"> de los enlaces de interconexión se basa en el modelo de </w:t>
      </w:r>
      <w:r>
        <w:rPr>
          <w:rFonts w:ascii="ITC Avant Garde" w:hAnsi="ITC Avant Garde" w:cs="Arial"/>
          <w:lang w:val="es-ES"/>
        </w:rPr>
        <w:t>interconexión</w:t>
      </w:r>
      <w:r w:rsidRPr="001D54B2">
        <w:rPr>
          <w:rFonts w:ascii="ITC Avant Garde" w:hAnsi="ITC Avant Garde" w:cs="Arial"/>
          <w:lang w:val="es-ES"/>
        </w:rPr>
        <w:t xml:space="preserve"> en donde su implementación se realiza de la siguiente forma:</w:t>
      </w:r>
    </w:p>
    <w:p w:rsidR="00A422CE" w:rsidRDefault="00A422CE" w:rsidP="00A422CE">
      <w:pPr>
        <w:spacing w:after="0"/>
        <w:ind w:right="20"/>
        <w:jc w:val="both"/>
        <w:rPr>
          <w:rFonts w:ascii="ITC Avant Garde" w:hAnsi="ITC Avant Garde" w:cs="Arial"/>
          <w:lang w:val="es-ES"/>
        </w:rPr>
      </w:pPr>
    </w:p>
    <w:p w:rsidR="00A422CE" w:rsidRPr="001D54B2" w:rsidRDefault="00A422CE" w:rsidP="00A422CE">
      <w:pPr>
        <w:spacing w:after="0"/>
        <w:ind w:right="20"/>
        <w:jc w:val="both"/>
        <w:rPr>
          <w:rFonts w:ascii="ITC Avant Garde" w:hAnsi="ITC Avant Garde" w:cs="Arial"/>
          <w:lang w:val="es-ES"/>
        </w:rPr>
      </w:pPr>
      <w:r>
        <w:rPr>
          <w:rFonts w:ascii="ITC Avant Garde" w:hAnsi="ITC Avant Garde" w:cs="Arial"/>
          <w:noProof/>
          <w:lang w:eastAsia="es-MX"/>
        </w:rPr>
        <w:drawing>
          <wp:inline distT="0" distB="0" distL="0" distR="0" wp14:anchorId="34D9E0E0" wp14:editId="2594CBD1">
            <wp:extent cx="5657549" cy="2970985"/>
            <wp:effectExtent l="0" t="0" r="635" b="1270"/>
            <wp:docPr id="5" name="Imagen 5" descr="Flujo del modelo de enlaces dedicados de interconexión para el tramo de larga distancia." titl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6175" cy="2991269"/>
                    </a:xfrm>
                    <a:prstGeom prst="rect">
                      <a:avLst/>
                    </a:prstGeom>
                    <a:noFill/>
                  </pic:spPr>
                </pic:pic>
              </a:graphicData>
            </a:graphic>
          </wp:inline>
        </w:drawing>
      </w:r>
    </w:p>
    <w:p w:rsidR="00A422CE" w:rsidRPr="001D54B2" w:rsidRDefault="00A422CE" w:rsidP="00A422CE">
      <w:pPr>
        <w:spacing w:after="0"/>
        <w:ind w:right="20"/>
        <w:jc w:val="both"/>
        <w:rPr>
          <w:rFonts w:ascii="ITC Avant Garde" w:hAnsi="ITC Avant Garde" w:cs="Arial"/>
          <w:b/>
          <w:i/>
          <w:sz w:val="18"/>
          <w:szCs w:val="18"/>
          <w:lang w:val="es-ES"/>
        </w:rPr>
      </w:pPr>
      <w:r>
        <w:rPr>
          <w:rFonts w:ascii="ITC Avant Garde" w:hAnsi="ITC Avant Garde" w:cs="Arial"/>
          <w:b/>
          <w:i/>
          <w:sz w:val="18"/>
          <w:szCs w:val="18"/>
          <w:lang w:val="es-ES"/>
        </w:rPr>
        <w:t>Figura 4</w:t>
      </w:r>
      <w:r w:rsidRPr="001D54B2">
        <w:rPr>
          <w:rFonts w:ascii="ITC Avant Garde" w:hAnsi="ITC Avant Garde" w:cs="Arial"/>
          <w:b/>
          <w:i/>
          <w:sz w:val="18"/>
          <w:szCs w:val="18"/>
          <w:lang w:val="es-ES"/>
        </w:rPr>
        <w:t>: Flujo</w:t>
      </w:r>
      <w:r w:rsidRPr="00EB5505">
        <w:rPr>
          <w:rFonts w:ascii="ITC Avant Garde" w:hAnsi="ITC Avant Garde"/>
          <w:b/>
          <w:i/>
          <w:sz w:val="18"/>
          <w:lang w:val="es-ES"/>
        </w:rPr>
        <w:t xml:space="preserve"> del </w:t>
      </w:r>
      <w:r w:rsidRPr="001D54B2">
        <w:rPr>
          <w:rFonts w:ascii="ITC Avant Garde" w:hAnsi="ITC Avant Garde" w:cs="Arial"/>
          <w:b/>
          <w:i/>
          <w:sz w:val="18"/>
          <w:szCs w:val="18"/>
          <w:lang w:val="es-ES"/>
        </w:rPr>
        <w:t>modelo</w:t>
      </w:r>
      <w:r w:rsidRPr="00EB5505">
        <w:rPr>
          <w:rFonts w:ascii="ITC Avant Garde" w:hAnsi="ITC Avant Garde"/>
          <w:b/>
          <w:i/>
          <w:sz w:val="18"/>
          <w:lang w:val="es-ES"/>
        </w:rPr>
        <w:t xml:space="preserve"> de </w:t>
      </w:r>
      <w:r w:rsidRPr="001D54B2">
        <w:rPr>
          <w:rFonts w:ascii="ITC Avant Garde" w:hAnsi="ITC Avant Garde" w:cs="Arial"/>
          <w:b/>
          <w:i/>
          <w:sz w:val="18"/>
          <w:szCs w:val="18"/>
          <w:lang w:val="es-ES"/>
        </w:rPr>
        <w:t>enlaces dedicados</w:t>
      </w:r>
      <w:r w:rsidRPr="00EB5505">
        <w:rPr>
          <w:rFonts w:ascii="ITC Avant Garde" w:hAnsi="ITC Avant Garde"/>
          <w:b/>
          <w:i/>
          <w:sz w:val="18"/>
          <w:lang w:val="es-ES"/>
        </w:rPr>
        <w:t xml:space="preserve"> de </w:t>
      </w:r>
      <w:r w:rsidRPr="001D54B2">
        <w:rPr>
          <w:rFonts w:ascii="ITC Avant Garde" w:hAnsi="ITC Avant Garde" w:cs="Arial"/>
          <w:b/>
          <w:i/>
          <w:sz w:val="18"/>
          <w:szCs w:val="18"/>
          <w:lang w:val="es-ES"/>
        </w:rPr>
        <w:t>interconexión</w:t>
      </w:r>
      <w:r w:rsidRPr="00EB5505">
        <w:rPr>
          <w:rFonts w:ascii="ITC Avant Garde" w:hAnsi="ITC Avant Garde"/>
          <w:b/>
          <w:i/>
          <w:sz w:val="18"/>
          <w:lang w:val="es-ES"/>
        </w:rPr>
        <w:t xml:space="preserve"> para </w:t>
      </w:r>
      <w:r>
        <w:rPr>
          <w:rFonts w:ascii="ITC Avant Garde" w:hAnsi="ITC Avant Garde" w:cs="Arial"/>
          <w:b/>
          <w:i/>
          <w:sz w:val="18"/>
          <w:szCs w:val="18"/>
          <w:lang w:val="es-ES"/>
        </w:rPr>
        <w:t>el tramo de larga distancia.</w:t>
      </w:r>
    </w:p>
    <w:p w:rsidR="00A422CE"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r>
        <w:rPr>
          <w:rFonts w:ascii="ITC Avant Garde" w:hAnsi="ITC Avant Garde" w:cs="Arial"/>
          <w:lang w:val="es-ES"/>
        </w:rPr>
        <w:t xml:space="preserve">Los enlaces dedicados de larga distancia atraviesan un número variable de nodos </w:t>
      </w:r>
      <w:proofErr w:type="spellStart"/>
      <w:r>
        <w:rPr>
          <w:rFonts w:ascii="ITC Avant Garde" w:hAnsi="ITC Avant Garde" w:cs="Arial"/>
          <w:lang w:val="es-ES"/>
        </w:rPr>
        <w:t>core</w:t>
      </w:r>
      <w:proofErr w:type="spellEnd"/>
      <w:r>
        <w:rPr>
          <w:rFonts w:ascii="ITC Avant Garde" w:hAnsi="ITC Avant Garde" w:cs="Arial"/>
          <w:lang w:val="es-ES"/>
        </w:rPr>
        <w:t xml:space="preserve"> en función de la distancia del nodo regional de destino.</w:t>
      </w:r>
    </w:p>
    <w:p w:rsidR="00A422CE"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r>
        <w:rPr>
          <w:rFonts w:ascii="ITC Avant Garde" w:hAnsi="ITC Avant Garde" w:cs="Arial"/>
          <w:noProof/>
          <w:lang w:eastAsia="es-MX"/>
        </w:rPr>
        <w:drawing>
          <wp:inline distT="0" distB="0" distL="0" distR="0" wp14:anchorId="585BCD9E" wp14:editId="54EC052F">
            <wp:extent cx="5434642" cy="2663828"/>
            <wp:effectExtent l="0" t="0" r="0" b="3175"/>
            <wp:docPr id="7" name="Imagen 7" descr="Esquema de red de interconexión– escenario de tramo de larga distancia." title="Figu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5586" cy="2683897"/>
                    </a:xfrm>
                    <a:prstGeom prst="rect">
                      <a:avLst/>
                    </a:prstGeom>
                    <a:noFill/>
                  </pic:spPr>
                </pic:pic>
              </a:graphicData>
            </a:graphic>
          </wp:inline>
        </w:drawing>
      </w:r>
    </w:p>
    <w:p w:rsidR="00A422CE" w:rsidRPr="001D54B2" w:rsidRDefault="00A422CE" w:rsidP="00A422CE">
      <w:pPr>
        <w:spacing w:after="0"/>
        <w:ind w:right="20"/>
        <w:jc w:val="center"/>
        <w:rPr>
          <w:rFonts w:ascii="ITC Avant Garde" w:hAnsi="ITC Avant Garde" w:cs="Arial"/>
          <w:b/>
          <w:i/>
          <w:sz w:val="18"/>
          <w:szCs w:val="18"/>
          <w:lang w:val="es-ES"/>
        </w:rPr>
      </w:pPr>
      <w:r>
        <w:rPr>
          <w:rFonts w:ascii="ITC Avant Garde" w:hAnsi="ITC Avant Garde" w:cs="Arial"/>
          <w:b/>
          <w:i/>
          <w:sz w:val="18"/>
          <w:szCs w:val="18"/>
          <w:lang w:val="es-ES"/>
        </w:rPr>
        <w:t>Figura 5</w:t>
      </w:r>
      <w:r w:rsidRPr="001D54B2">
        <w:rPr>
          <w:rFonts w:ascii="ITC Avant Garde" w:hAnsi="ITC Avant Garde" w:cs="Arial"/>
          <w:b/>
          <w:i/>
          <w:sz w:val="18"/>
          <w:szCs w:val="18"/>
          <w:lang w:val="es-ES"/>
        </w:rPr>
        <w:t>: Esquema de red de interco</w:t>
      </w:r>
      <w:r>
        <w:rPr>
          <w:rFonts w:ascii="ITC Avant Garde" w:hAnsi="ITC Avant Garde" w:cs="Arial"/>
          <w:b/>
          <w:i/>
          <w:sz w:val="18"/>
          <w:szCs w:val="18"/>
          <w:lang w:val="es-ES"/>
        </w:rPr>
        <w:t>nexión– escenario de tramo de larga distancia</w:t>
      </w:r>
      <w:r w:rsidRPr="001D54B2">
        <w:rPr>
          <w:rFonts w:ascii="ITC Avant Garde" w:hAnsi="ITC Avant Garde" w:cs="Arial"/>
          <w:b/>
          <w:i/>
          <w:sz w:val="18"/>
          <w:szCs w:val="18"/>
          <w:lang w:val="es-ES"/>
        </w:rPr>
        <w:t>.</w:t>
      </w:r>
    </w:p>
    <w:p w:rsidR="00A422CE" w:rsidRDefault="00A422CE" w:rsidP="00A422CE">
      <w:pPr>
        <w:spacing w:after="0"/>
        <w:ind w:right="20"/>
        <w:jc w:val="both"/>
        <w:rPr>
          <w:rFonts w:ascii="ITC Avant Garde" w:hAnsi="ITC Avant Garde" w:cs="Arial"/>
          <w:lang w:val="es-ES"/>
        </w:rPr>
      </w:pPr>
    </w:p>
    <w:p w:rsidR="00A422CE" w:rsidRPr="00273FE6" w:rsidRDefault="00A422CE" w:rsidP="00A422CE">
      <w:pPr>
        <w:spacing w:after="0"/>
        <w:ind w:right="20"/>
        <w:jc w:val="both"/>
        <w:rPr>
          <w:rFonts w:ascii="ITC Avant Garde" w:hAnsi="ITC Avant Garde" w:cs="Arial"/>
          <w:b/>
          <w:i/>
          <w:lang w:val="es-ES"/>
        </w:rPr>
      </w:pPr>
      <w:r w:rsidRPr="00273FE6">
        <w:rPr>
          <w:rFonts w:ascii="ITC Avant Garde" w:hAnsi="ITC Avant Garde" w:cs="Arial"/>
          <w:b/>
          <w:i/>
          <w:lang w:val="es-ES"/>
        </w:rPr>
        <w:t>Cálculo de los costos por capacidad.</w:t>
      </w:r>
    </w:p>
    <w:p w:rsidR="00A422CE"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r>
        <w:rPr>
          <w:rFonts w:ascii="ITC Avant Garde" w:hAnsi="ITC Avant Garde" w:cs="Arial"/>
          <w:lang w:val="es-ES"/>
        </w:rPr>
        <w:lastRenderedPageBreak/>
        <w:t>El costo por Mbps de los elementos se calcula en base a los costos totales del modelo de interconexión fijo.</w:t>
      </w:r>
    </w:p>
    <w:p w:rsidR="00A422CE" w:rsidRDefault="00A422CE" w:rsidP="00A422CE">
      <w:pPr>
        <w:spacing w:after="0"/>
        <w:ind w:right="20"/>
        <w:jc w:val="both"/>
        <w:rPr>
          <w:rFonts w:ascii="ITC Avant Garde" w:hAnsi="ITC Avant Garde" w:cs="Arial"/>
          <w:lang w:val="es-ES"/>
        </w:rPr>
      </w:pPr>
    </w:p>
    <w:p w:rsidR="00A422CE" w:rsidRPr="00BC7DEC" w:rsidRDefault="00A422CE" w:rsidP="00A422CE">
      <w:pPr>
        <w:spacing w:after="0"/>
        <w:ind w:right="20"/>
        <w:jc w:val="both"/>
        <w:rPr>
          <w:rFonts w:ascii="ITC Avant Garde" w:hAnsi="ITC Avant Garde" w:cs="Arial"/>
          <w:lang w:val="es-ES"/>
        </w:rPr>
      </w:pPr>
      <w:r w:rsidRPr="00BC7DEC">
        <w:rPr>
          <w:rFonts w:ascii="ITC Avant Garde" w:hAnsi="ITC Avant Garde" w:cs="Arial"/>
          <w:lang w:val="es-ES"/>
        </w:rPr>
        <w:t>Cálculo del costo por Mbps por elemento de red.</w:t>
      </w:r>
    </w:p>
    <w:p w:rsidR="00A422CE" w:rsidRDefault="00A422CE" w:rsidP="00A422CE">
      <w:pPr>
        <w:spacing w:after="0"/>
        <w:ind w:right="20"/>
        <w:jc w:val="both"/>
        <w:rPr>
          <w:rFonts w:ascii="ITC Avant Garde" w:hAnsi="ITC Avant Garde" w:cs="Arial"/>
          <w:lang w:val="es-ES"/>
        </w:rPr>
      </w:pPr>
      <w:r w:rsidRPr="000967D0">
        <w:rPr>
          <w:rFonts w:ascii="ITC Avant Garde" w:hAnsi="ITC Avant Garde" w:cs="Arial"/>
          <w:noProof/>
          <w:lang w:eastAsia="es-MX"/>
        </w:rPr>
        <mc:AlternateContent>
          <mc:Choice Requires="wps">
            <w:drawing>
              <wp:anchor distT="0" distB="0" distL="114300" distR="114300" simplePos="0" relativeHeight="251659264" behindDoc="0" locked="0" layoutInCell="1" allowOverlap="1" wp14:anchorId="7D8FAD4B" wp14:editId="0BF8128E">
                <wp:simplePos x="0" y="0"/>
                <wp:positionH relativeFrom="column">
                  <wp:posOffset>-3846</wp:posOffset>
                </wp:positionH>
                <wp:positionV relativeFrom="paragraph">
                  <wp:posOffset>115570</wp:posOffset>
                </wp:positionV>
                <wp:extent cx="4420826" cy="718274"/>
                <wp:effectExtent l="0" t="0" r="0" b="0"/>
                <wp:wrapNone/>
                <wp:docPr id="8" name="TextBox 7"/>
                <wp:cNvGraphicFramePr/>
                <a:graphic xmlns:a="http://schemas.openxmlformats.org/drawingml/2006/main">
                  <a:graphicData uri="http://schemas.microsoft.com/office/word/2010/wordprocessingShape">
                    <wps:wsp>
                      <wps:cNvSpPr txBox="1"/>
                      <wps:spPr>
                        <a:xfrm>
                          <a:off x="0" y="0"/>
                          <a:ext cx="4420826" cy="718274"/>
                        </a:xfrm>
                        <a:prstGeom prst="rect">
                          <a:avLst/>
                        </a:prstGeom>
                        <a:noFill/>
                      </wps:spPr>
                      <wps:txbx>
                        <w:txbxContent>
                          <w:p w:rsidR="00A422CE" w:rsidRPr="00273FE6" w:rsidRDefault="00EA5933" w:rsidP="00A422CE">
                            <w:pPr>
                              <w:pStyle w:val="NormalWeb"/>
                              <w:jc w:val="center"/>
                              <w:textAlignment w:val="baseline"/>
                              <w:rPr>
                                <w:rFonts w:ascii="ITC Avant Garde" w:hAnsi="ITC Avant Garde"/>
                                <w:kern w:val="18"/>
                                <w:sz w:val="22"/>
                                <w:szCs w:val="22"/>
                              </w:rPr>
                            </w:pPr>
                            <m:oMathPara>
                              <m:oMathParaPr>
                                <m:jc m:val="left"/>
                              </m:oMathParaPr>
                              <m:oMath>
                                <m:f>
                                  <m:fPr>
                                    <m:ctrlPr>
                                      <w:rPr>
                                        <w:rFonts w:ascii="Cambria Math" w:eastAsia="MS PGothic" w:hAnsi="Cambria Math" w:cstheme="minorBidi"/>
                                        <w:i/>
                                        <w:iCs/>
                                        <w:color w:val="000000" w:themeColor="text1"/>
                                        <w:kern w:val="18"/>
                                        <w:sz w:val="22"/>
                                        <w:szCs w:val="22"/>
                                        <w:lang w:val="es-ES_tradnl"/>
                                      </w:rPr>
                                    </m:ctrlPr>
                                  </m:fPr>
                                  <m:num>
                                    <m:r>
                                      <w:rPr>
                                        <w:rFonts w:ascii="Cambria Math" w:eastAsia="MS PGothic" w:hAnsi="Cambria Math" w:cstheme="minorBidi"/>
                                        <w:color w:val="000000" w:themeColor="text1"/>
                                        <w:kern w:val="18"/>
                                        <w:sz w:val="22"/>
                                        <w:szCs w:val="22"/>
                                        <w:lang w:val="es-ES"/>
                                      </w:rPr>
                                      <m:t>Costo total por elemento de red</m:t>
                                    </m:r>
                                  </m:num>
                                  <m:den>
                                    <m:d>
                                      <m:dPr>
                                        <m:endChr m:val=""/>
                                        <m:ctrlPr>
                                          <w:rPr>
                                            <w:rFonts w:ascii="Cambria Math" w:eastAsia="MS PGothic" w:hAnsi="Cambria Math" w:cstheme="minorBidi"/>
                                            <w:i/>
                                            <w:iCs/>
                                            <w:color w:val="000000" w:themeColor="text1"/>
                                            <w:kern w:val="18"/>
                                            <w:sz w:val="22"/>
                                            <w:szCs w:val="22"/>
                                            <w:lang w:val="es-ES_tradnl"/>
                                          </w:rPr>
                                        </m:ctrlPr>
                                      </m:dPr>
                                      <m:e>
                                        <m:eqArr>
                                          <m:eqArrPr>
                                            <m:ctrlPr>
                                              <w:rPr>
                                                <w:rFonts w:ascii="Cambria Math" w:eastAsia="MS PGothic" w:hAnsi="Cambria Math" w:cstheme="minorBidi"/>
                                                <w:i/>
                                                <w:iCs/>
                                                <w:color w:val="000000" w:themeColor="text1"/>
                                                <w:kern w:val="18"/>
                                                <w:sz w:val="22"/>
                                                <w:szCs w:val="22"/>
                                                <w:lang w:val="es-ES"/>
                                              </w:rPr>
                                            </m:ctrlPr>
                                          </m:eqArrPr>
                                          <m:e>
                                            <m:r>
                                              <w:rPr>
                                                <w:rFonts w:ascii="Cambria Math" w:eastAsia="MS PGothic" w:hAnsi="Cambria Math" w:cstheme="minorBidi"/>
                                                <w:color w:val="000000" w:themeColor="text1"/>
                                                <w:kern w:val="18"/>
                                                <w:sz w:val="22"/>
                                                <w:szCs w:val="22"/>
                                                <w:lang w:val="es-ES"/>
                                              </w:rPr>
                                              <m:t>Capacidad total a nivel</m:t>
                                            </m:r>
                                          </m:e>
                                          <m:e>
                                            <m:r>
                                              <w:rPr>
                                                <w:rFonts w:ascii="Cambria Math" w:eastAsia="MS PGothic" w:hAnsi="Cambria Math" w:cstheme="minorBidi"/>
                                                <w:color w:val="000000" w:themeColor="text1"/>
                                                <w:kern w:val="18"/>
                                                <w:sz w:val="22"/>
                                                <w:szCs w:val="22"/>
                                                <w:lang w:val="es-ES"/>
                                              </w:rPr>
                                              <m:t>del elemento de red</m:t>
                                            </m:r>
                                          </m:e>
                                        </m:eqArr>
                                      </m:e>
                                    </m:d>
                                    <m:r>
                                      <w:rPr>
                                        <w:rFonts w:ascii="Cambria Math" w:eastAsia="MS PGothic" w:hAnsi="Cambria Math" w:cstheme="minorBidi"/>
                                        <w:color w:val="000000" w:themeColor="text1"/>
                                        <w:kern w:val="18"/>
                                        <w:sz w:val="22"/>
                                        <w:szCs w:val="22"/>
                                        <w:lang w:val="es-ES"/>
                                      </w:rPr>
                                      <m:t>*</m:t>
                                    </m:r>
                                    <m:d>
                                      <m:dPr>
                                        <m:begChr m:val=""/>
                                        <m:ctrlPr>
                                          <w:rPr>
                                            <w:rFonts w:ascii="Cambria Math" w:eastAsia="MS PGothic" w:hAnsi="Cambria Math" w:cstheme="minorBidi"/>
                                            <w:i/>
                                            <w:iCs/>
                                            <w:color w:val="000000" w:themeColor="text1"/>
                                            <w:kern w:val="18"/>
                                            <w:sz w:val="22"/>
                                            <w:szCs w:val="22"/>
                                            <w:lang w:val="es-ES"/>
                                          </w:rPr>
                                        </m:ctrlPr>
                                      </m:dPr>
                                      <m:e>
                                        <m:eqArr>
                                          <m:eqArrPr>
                                            <m:ctrlPr>
                                              <w:rPr>
                                                <w:rFonts w:ascii="Cambria Math" w:eastAsia="MS PGothic" w:hAnsi="Cambria Math" w:cstheme="minorBidi"/>
                                                <w:i/>
                                                <w:iCs/>
                                                <w:color w:val="000000" w:themeColor="text1"/>
                                                <w:kern w:val="18"/>
                                                <w:sz w:val="22"/>
                                                <w:szCs w:val="22"/>
                                                <w:lang w:val="es-ES"/>
                                              </w:rPr>
                                            </m:ctrlPr>
                                          </m:eqArrPr>
                                          <m:e>
                                            <m:r>
                                              <w:rPr>
                                                <w:rFonts w:ascii="Cambria Math" w:eastAsia="MS PGothic" w:hAnsi="Cambria Math" w:cstheme="minorBidi"/>
                                                <w:color w:val="000000" w:themeColor="text1"/>
                                                <w:kern w:val="18"/>
                                                <w:sz w:val="22"/>
                                                <w:szCs w:val="22"/>
                                                <w:lang w:val="es-ES"/>
                                              </w:rPr>
                                              <m:t>Número medio de</m:t>
                                            </m:r>
                                          </m:e>
                                          <m:e>
                                            <m:r>
                                              <w:rPr>
                                                <w:rFonts w:ascii="Cambria Math" w:eastAsia="MS PGothic" w:hAnsi="Cambria Math" w:cstheme="minorBidi"/>
                                                <w:color w:val="000000" w:themeColor="text1"/>
                                                <w:kern w:val="18"/>
                                                <w:sz w:val="22"/>
                                                <w:szCs w:val="22"/>
                                                <w:lang w:val="es-ES"/>
                                              </w:rPr>
                                              <m:t>elementosde red por nivel</m:t>
                                            </m:r>
                                          </m:e>
                                        </m:eqArr>
                                      </m:e>
                                    </m:d>
                                  </m:den>
                                </m:f>
                              </m:oMath>
                            </m:oMathPara>
                          </w:p>
                        </w:txbxContent>
                      </wps:txbx>
                      <wps:bodyPr wrap="none" lIns="0" tIns="0" rIns="0" bIns="0" rtlCol="0">
                        <a:spAutoFit/>
                      </wps:bodyPr>
                    </wps:wsp>
                  </a:graphicData>
                </a:graphic>
              </wp:anchor>
            </w:drawing>
          </mc:Choice>
          <mc:Fallback>
            <w:pict>
              <v:shapetype w14:anchorId="7D8FAD4B" id="_x0000_t202" coordsize="21600,21600" o:spt="202" path="m,l,21600r21600,l21600,xe">
                <v:stroke joinstyle="miter"/>
                <v:path gradientshapeok="t" o:connecttype="rect"/>
              </v:shapetype>
              <v:shape id="TextBox 7" o:spid="_x0000_s1026" type="#_x0000_t202" style="position:absolute;left:0;text-align:left;margin-left:-.3pt;margin-top:9.1pt;width:348.1pt;height:56.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yFoAEAAC8DAAAOAAAAZHJzL2Uyb0RvYy54bWysUsFu2zAMvQ/oPwi6N3aMoAmMOMXWosWA&#10;YRvQ7gMUWYoFSKJAqbHz96OUOC2227ALTZH04yMft/eTs+yoMBrwHV8uas6Ul9Abf+j4r9en2w1n&#10;MQnfCwtedfykIr/f3XzajqFVDQxge4WMQHxsx9DxIaXQVlWUg3IiLiAoT0kN6ESiJx6qHsVI6M5W&#10;TV3fVSNgHxCkipGij+ck3xV8rZVMP7SOKjHbceKWisVi99lWu61oDyjCYOSFhvgHFk4YT02vUI8i&#10;CfaG5i8oZyRCBJ0WElwFWhupygw0zbL+Y5qXQQRVZqHlxHBdU/x/sPL78Scy03echPLCkUSvakpf&#10;YGLrvJwxxJZqXgJVpYnCJPIcjxTMM08aXf7SNIzytObTdbWExSQFV6um3jR3nEnKrZebZr3KMNX7&#10;3wFjelbgWHY6jiRd2ag4fovpXDqX5GYenoy1OZ4pnqlkL0376cJ7D/2JaI+kbsc9nR9n9qun5eVD&#10;mB2cnf3sYLIPUM4l94nh81uiXoVCbnBGvfQlVcoQlwvKsn98l6r3O9/9BgAA//8DAFBLAwQUAAYA&#10;CAAAACEA5+soN9sAAAAIAQAADwAAAGRycy9kb3ducmV2LnhtbEyPwU7DMBBE70j8g7VI3FqnrQgh&#10;jVOhSly4USokbm68jaPa6yh20+TvWU5w3Dej2ZlqN3knRhxiF0jBapmBQGqC6ahVcPx8WxQgYtJk&#10;tAuECmaMsKvv7ypdmnCjDxwPqRUcQrHUCmxKfSllbCx6HZehR2LtHAavE59DK82gbxzunVxnWS69&#10;7og/WN3j3mJzOVy9gufpK2AfcY/f57EZbDcX7n1W6vFhet2CSDilPzP81ufqUHOnU7iSicIpWORs&#10;ZFysQbCcvzwxODHYrDYg60r+H1D/AAAA//8DAFBLAQItABQABgAIAAAAIQC2gziS/gAAAOEBAAAT&#10;AAAAAAAAAAAAAAAAAAAAAABbQ29udGVudF9UeXBlc10ueG1sUEsBAi0AFAAGAAgAAAAhADj9If/W&#10;AAAAlAEAAAsAAAAAAAAAAAAAAAAALwEAAF9yZWxzLy5yZWxzUEsBAi0AFAAGAAgAAAAhAP01fIWg&#10;AQAALwMAAA4AAAAAAAAAAAAAAAAALgIAAGRycy9lMm9Eb2MueG1sUEsBAi0AFAAGAAgAAAAhAOfr&#10;KDfbAAAACAEAAA8AAAAAAAAAAAAAAAAA+gMAAGRycy9kb3ducmV2LnhtbFBLBQYAAAAABAAEAPMA&#10;AAACBQAAAAA=&#10;" filled="f" stroked="f">
                <v:textbox style="mso-fit-shape-to-text:t" inset="0,0,0,0">
                  <w:txbxContent>
                    <w:p w:rsidR="00A422CE" w:rsidRPr="00273FE6" w:rsidRDefault="00A422CE" w:rsidP="00A422CE">
                      <w:pPr>
                        <w:pStyle w:val="NormalWeb"/>
                        <w:jc w:val="center"/>
                        <w:textAlignment w:val="baseline"/>
                        <w:rPr>
                          <w:rFonts w:ascii="ITC Avant Garde" w:hAnsi="ITC Avant Garde"/>
                          <w:kern w:val="18"/>
                          <w:sz w:val="22"/>
                          <w:szCs w:val="22"/>
                        </w:rPr>
                      </w:pPr>
                      <m:oMathPara>
                        <m:oMathParaPr>
                          <m:jc m:val="left"/>
                        </m:oMathParaPr>
                        <m:oMath>
                          <m:f>
                            <m:fPr>
                              <m:ctrlPr>
                                <w:rPr>
                                  <w:rFonts w:ascii="Cambria Math" w:eastAsia="MS PGothic" w:hAnsi="Cambria Math" w:cstheme="minorBidi"/>
                                  <w:i/>
                                  <w:iCs/>
                                  <w:color w:val="000000" w:themeColor="text1"/>
                                  <w:kern w:val="18"/>
                                  <w:sz w:val="22"/>
                                  <w:szCs w:val="22"/>
                                  <w:lang w:val="es-ES_tradnl"/>
                                </w:rPr>
                              </m:ctrlPr>
                            </m:fPr>
                            <m:num>
                              <m:r>
                                <w:rPr>
                                  <w:rFonts w:ascii="Cambria Math" w:eastAsia="MS PGothic" w:hAnsi="Cambria Math" w:cstheme="minorBidi"/>
                                  <w:color w:val="000000" w:themeColor="text1"/>
                                  <w:kern w:val="18"/>
                                  <w:sz w:val="22"/>
                                  <w:szCs w:val="22"/>
                                  <w:lang w:val="es-ES"/>
                                </w:rPr>
                                <m:t>Costo total por elemento de red</m:t>
                              </m:r>
                            </m:num>
                            <m:den>
                              <m:d>
                                <m:dPr>
                                  <m:endChr m:val=""/>
                                  <m:ctrlPr>
                                    <w:rPr>
                                      <w:rFonts w:ascii="Cambria Math" w:eastAsia="MS PGothic" w:hAnsi="Cambria Math" w:cstheme="minorBidi"/>
                                      <w:i/>
                                      <w:iCs/>
                                      <w:color w:val="000000" w:themeColor="text1"/>
                                      <w:kern w:val="18"/>
                                      <w:sz w:val="22"/>
                                      <w:szCs w:val="22"/>
                                      <w:lang w:val="es-ES_tradnl"/>
                                    </w:rPr>
                                  </m:ctrlPr>
                                </m:dPr>
                                <m:e>
                                  <m:eqArr>
                                    <m:eqArrPr>
                                      <m:ctrlPr>
                                        <w:rPr>
                                          <w:rFonts w:ascii="Cambria Math" w:eastAsia="MS PGothic" w:hAnsi="Cambria Math" w:cstheme="minorBidi"/>
                                          <w:i/>
                                          <w:iCs/>
                                          <w:color w:val="000000" w:themeColor="text1"/>
                                          <w:kern w:val="18"/>
                                          <w:sz w:val="22"/>
                                          <w:szCs w:val="22"/>
                                          <w:lang w:val="es-ES"/>
                                        </w:rPr>
                                      </m:ctrlPr>
                                    </m:eqArrPr>
                                    <m:e>
                                      <m:r>
                                        <w:rPr>
                                          <w:rFonts w:ascii="Cambria Math" w:eastAsia="MS PGothic" w:hAnsi="Cambria Math" w:cstheme="minorBidi"/>
                                          <w:color w:val="000000" w:themeColor="text1"/>
                                          <w:kern w:val="18"/>
                                          <w:sz w:val="22"/>
                                          <w:szCs w:val="22"/>
                                          <w:lang w:val="es-ES"/>
                                        </w:rPr>
                                        <m:t>Capacidad total a nivel</m:t>
                                      </m:r>
                                    </m:e>
                                    <m:e>
                                      <m:r>
                                        <w:rPr>
                                          <w:rFonts w:ascii="Cambria Math" w:eastAsia="MS PGothic" w:hAnsi="Cambria Math" w:cstheme="minorBidi"/>
                                          <w:color w:val="000000" w:themeColor="text1"/>
                                          <w:kern w:val="18"/>
                                          <w:sz w:val="22"/>
                                          <w:szCs w:val="22"/>
                                          <w:lang w:val="es-ES"/>
                                        </w:rPr>
                                        <m:t>del elemento de red</m:t>
                                      </m:r>
                                    </m:e>
                                  </m:eqArr>
                                </m:e>
                              </m:d>
                              <m:r>
                                <w:rPr>
                                  <w:rFonts w:ascii="Cambria Math" w:eastAsia="MS PGothic" w:hAnsi="Cambria Math" w:cstheme="minorBidi"/>
                                  <w:color w:val="000000" w:themeColor="text1"/>
                                  <w:kern w:val="18"/>
                                  <w:sz w:val="22"/>
                                  <w:szCs w:val="22"/>
                                  <w:lang w:val="es-ES"/>
                                </w:rPr>
                                <m:t>*</m:t>
                              </m:r>
                              <m:d>
                                <m:dPr>
                                  <m:begChr m:val=""/>
                                  <m:ctrlPr>
                                    <w:rPr>
                                      <w:rFonts w:ascii="Cambria Math" w:eastAsia="MS PGothic" w:hAnsi="Cambria Math" w:cstheme="minorBidi"/>
                                      <w:i/>
                                      <w:iCs/>
                                      <w:color w:val="000000" w:themeColor="text1"/>
                                      <w:kern w:val="18"/>
                                      <w:sz w:val="22"/>
                                      <w:szCs w:val="22"/>
                                      <w:lang w:val="es-ES"/>
                                    </w:rPr>
                                  </m:ctrlPr>
                                </m:dPr>
                                <m:e>
                                  <m:eqArr>
                                    <m:eqArrPr>
                                      <m:ctrlPr>
                                        <w:rPr>
                                          <w:rFonts w:ascii="Cambria Math" w:eastAsia="MS PGothic" w:hAnsi="Cambria Math" w:cstheme="minorBidi"/>
                                          <w:i/>
                                          <w:iCs/>
                                          <w:color w:val="000000" w:themeColor="text1"/>
                                          <w:kern w:val="18"/>
                                          <w:sz w:val="22"/>
                                          <w:szCs w:val="22"/>
                                          <w:lang w:val="es-ES"/>
                                        </w:rPr>
                                      </m:ctrlPr>
                                    </m:eqArrPr>
                                    <m:e>
                                      <m:r>
                                        <w:rPr>
                                          <w:rFonts w:ascii="Cambria Math" w:eastAsia="MS PGothic" w:hAnsi="Cambria Math" w:cstheme="minorBidi"/>
                                          <w:color w:val="000000" w:themeColor="text1"/>
                                          <w:kern w:val="18"/>
                                          <w:sz w:val="22"/>
                                          <w:szCs w:val="22"/>
                                          <w:lang w:val="es-ES"/>
                                        </w:rPr>
                                        <m:t>Número medio de</m:t>
                                      </m:r>
                                    </m:e>
                                    <m:e>
                                      <m:r>
                                        <w:rPr>
                                          <w:rFonts w:ascii="Cambria Math" w:eastAsia="MS PGothic" w:hAnsi="Cambria Math" w:cstheme="minorBidi"/>
                                          <w:color w:val="000000" w:themeColor="text1"/>
                                          <w:kern w:val="18"/>
                                          <w:sz w:val="22"/>
                                          <w:szCs w:val="22"/>
                                          <w:lang w:val="es-ES"/>
                                        </w:rPr>
                                        <m:t>elementosde red por nivel</m:t>
                                      </m:r>
                                    </m:e>
                                  </m:eqArr>
                                </m:e>
                              </m:d>
                            </m:den>
                          </m:f>
                        </m:oMath>
                      </m:oMathPara>
                    </w:p>
                  </w:txbxContent>
                </v:textbox>
              </v:shape>
            </w:pict>
          </mc:Fallback>
        </mc:AlternateContent>
      </w:r>
    </w:p>
    <w:p w:rsidR="00A422CE"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r>
        <w:rPr>
          <w:rFonts w:ascii="ITC Avant Garde" w:hAnsi="ITC Avant Garde" w:cs="Arial"/>
          <w:lang w:val="es-ES"/>
        </w:rPr>
        <w:t>Cálculo del costo por Mbps por kilómetro de red.</w:t>
      </w:r>
    </w:p>
    <w:p w:rsidR="00A422CE" w:rsidRDefault="00A422CE" w:rsidP="00A422CE">
      <w:pPr>
        <w:spacing w:after="0"/>
        <w:ind w:right="20"/>
        <w:jc w:val="both"/>
        <w:rPr>
          <w:rFonts w:ascii="ITC Avant Garde" w:hAnsi="ITC Avant Garde" w:cs="Arial"/>
          <w:lang w:val="es-ES"/>
        </w:rPr>
      </w:pPr>
    </w:p>
    <w:p w:rsidR="00A422CE" w:rsidRPr="00C35277" w:rsidRDefault="00EA5933" w:rsidP="00A422CE">
      <w:pPr>
        <w:spacing w:after="0"/>
        <w:ind w:right="20"/>
        <w:jc w:val="both"/>
        <w:rPr>
          <w:rFonts w:ascii="ITC Avant Garde" w:hAnsi="ITC Avant Garde" w:cs="Arial"/>
          <w:lang w:val="es-ES"/>
        </w:rPr>
      </w:pPr>
      <m:oMathPara>
        <m:oMathParaPr>
          <m:jc m:val="left"/>
        </m:oMathParaPr>
        <m:oMath>
          <m:f>
            <m:fPr>
              <m:ctrlPr>
                <w:rPr>
                  <w:rFonts w:ascii="Cambria Math" w:hAnsi="Cambria Math" w:cs="Arial"/>
                  <w:i/>
                  <w:iCs/>
                  <w:lang w:val="es-ES_tradnl"/>
                </w:rPr>
              </m:ctrlPr>
            </m:fPr>
            <m:num>
              <m:r>
                <w:rPr>
                  <w:rFonts w:ascii="Cambria Math" w:hAnsi="Cambria Math" w:cs="Arial"/>
                  <w:lang w:val="es-ES"/>
                </w:rPr>
                <m:t>Costo medio por enlace</m:t>
              </m:r>
            </m:num>
            <m:den>
              <m:d>
                <m:dPr>
                  <m:endChr m:val=""/>
                  <m:ctrlPr>
                    <w:rPr>
                      <w:rFonts w:ascii="Cambria Math" w:hAnsi="Cambria Math" w:cs="Arial"/>
                      <w:i/>
                      <w:iCs/>
                      <w:lang w:val="es-ES_tradnl"/>
                    </w:rPr>
                  </m:ctrlPr>
                </m:dPr>
                <m:e>
                  <m:eqArr>
                    <m:eqArrPr>
                      <m:ctrlPr>
                        <w:rPr>
                          <w:rFonts w:ascii="Cambria Math" w:hAnsi="Cambria Math" w:cs="Arial"/>
                          <w:i/>
                          <w:iCs/>
                          <w:lang w:val="es-ES"/>
                        </w:rPr>
                      </m:ctrlPr>
                    </m:eqArrPr>
                    <m:e>
                      <m:r>
                        <w:rPr>
                          <w:rFonts w:ascii="Cambria Math" w:hAnsi="Cambria Math" w:cs="Arial"/>
                          <w:lang w:val="es-ES"/>
                        </w:rPr>
                        <m:t>Capacidad media</m:t>
                      </m:r>
                    </m:e>
                    <m:e>
                      <m:r>
                        <w:rPr>
                          <w:rFonts w:ascii="Cambria Math" w:hAnsi="Cambria Math" w:cs="Arial"/>
                          <w:lang w:val="es-ES"/>
                        </w:rPr>
                        <m:t>por enlace</m:t>
                      </m:r>
                    </m:e>
                  </m:eqArr>
                </m:e>
              </m:d>
              <m:r>
                <w:rPr>
                  <w:rFonts w:ascii="Cambria Math" w:hAnsi="Cambria Math" w:cs="Arial"/>
                  <w:lang w:val="es-ES"/>
                </w:rPr>
                <m:t>*</m:t>
              </m:r>
              <m:d>
                <m:dPr>
                  <m:begChr m:val=""/>
                  <m:ctrlPr>
                    <w:rPr>
                      <w:rFonts w:ascii="Cambria Math" w:hAnsi="Cambria Math" w:cs="Arial"/>
                      <w:i/>
                      <w:iCs/>
                      <w:lang w:val="es-ES"/>
                    </w:rPr>
                  </m:ctrlPr>
                </m:dPr>
                <m:e>
                  <m:eqArr>
                    <m:eqArrPr>
                      <m:ctrlPr>
                        <w:rPr>
                          <w:rFonts w:ascii="Cambria Math" w:hAnsi="Cambria Math" w:cs="Arial"/>
                          <w:i/>
                          <w:iCs/>
                          <w:lang w:val="es-ES"/>
                        </w:rPr>
                      </m:ctrlPr>
                    </m:eqArrPr>
                    <m:e>
                      <m:r>
                        <w:rPr>
                          <w:rFonts w:ascii="Cambria Math" w:hAnsi="Cambria Math" w:cs="Arial"/>
                          <w:lang w:val="es-ES"/>
                        </w:rPr>
                        <m:t>Distancia media</m:t>
                      </m:r>
                    </m:e>
                    <m:e>
                      <m:r>
                        <w:rPr>
                          <w:rFonts w:ascii="Cambria Math" w:hAnsi="Cambria Math" w:cs="Arial"/>
                          <w:lang w:val="es-ES"/>
                        </w:rPr>
                        <m:t>por enlace</m:t>
                      </m:r>
                    </m:e>
                  </m:eqArr>
                </m:e>
              </m:d>
            </m:den>
          </m:f>
        </m:oMath>
      </m:oMathPara>
    </w:p>
    <w:p w:rsidR="00A422CE"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r w:rsidRPr="000967D0">
        <w:rPr>
          <w:rFonts w:ascii="ITC Avant Garde" w:hAnsi="ITC Avant Garde" w:cs="Arial"/>
          <w:lang w:val="es-ES"/>
        </w:rPr>
        <w:t>Los costos totales por elementos de red se calculan en base al número total de elementos de red del modelo para un año específico, multiplicado por su costo unitario (</w:t>
      </w:r>
      <w:proofErr w:type="spellStart"/>
      <w:r w:rsidRPr="000967D0">
        <w:rPr>
          <w:rFonts w:ascii="ITC Avant Garde" w:hAnsi="ITC Avant Garde" w:cs="Arial"/>
          <w:lang w:val="es-ES"/>
        </w:rPr>
        <w:t>capex</w:t>
      </w:r>
      <w:proofErr w:type="spellEnd"/>
      <w:r w:rsidRPr="000967D0">
        <w:rPr>
          <w:rFonts w:ascii="ITC Avant Garde" w:hAnsi="ITC Avant Garde" w:cs="Arial"/>
          <w:lang w:val="es-ES"/>
        </w:rPr>
        <w:t xml:space="preserve"> y/o </w:t>
      </w:r>
      <w:proofErr w:type="spellStart"/>
      <w:r w:rsidRPr="000967D0">
        <w:rPr>
          <w:rFonts w:ascii="ITC Avant Garde" w:hAnsi="ITC Avant Garde" w:cs="Arial"/>
          <w:lang w:val="es-ES"/>
        </w:rPr>
        <w:t>opex</w:t>
      </w:r>
      <w:proofErr w:type="spellEnd"/>
      <w:r w:rsidRPr="000967D0">
        <w:rPr>
          <w:rFonts w:ascii="ITC Avant Garde" w:hAnsi="ITC Avant Garde" w:cs="Arial"/>
          <w:lang w:val="es-ES"/>
        </w:rPr>
        <w:t>)</w:t>
      </w:r>
      <w:r>
        <w:rPr>
          <w:rFonts w:ascii="ITC Avant Garde" w:hAnsi="ITC Avant Garde" w:cs="Arial"/>
          <w:lang w:val="es-ES"/>
        </w:rPr>
        <w:t>.</w:t>
      </w:r>
    </w:p>
    <w:p w:rsidR="00A422CE" w:rsidRPr="000967D0"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r w:rsidRPr="000967D0">
        <w:rPr>
          <w:rFonts w:ascii="ITC Avant Garde" w:hAnsi="ITC Avant Garde" w:cs="Arial"/>
          <w:lang w:val="es-ES"/>
        </w:rPr>
        <w:t>Los costos medios por enlace se calculan en base al costo total de despliegue del activo considerado (red de acceso, agregación o troncal) dividido por el número de enlaces físicos de la red</w:t>
      </w:r>
      <w:r>
        <w:rPr>
          <w:rFonts w:ascii="ITC Avant Garde" w:hAnsi="ITC Avant Garde" w:cs="Arial"/>
          <w:lang w:val="es-ES"/>
        </w:rPr>
        <w:t>.</w:t>
      </w:r>
    </w:p>
    <w:p w:rsidR="00A422CE" w:rsidRPr="000967D0"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r w:rsidRPr="000967D0">
        <w:rPr>
          <w:rFonts w:ascii="ITC Avant Garde" w:hAnsi="ITC Avant Garde" w:cs="Arial"/>
          <w:lang w:val="es-ES"/>
        </w:rPr>
        <w:t xml:space="preserve">Las capacidades consideradas varían en función del elemento de red y el nivel de red (acceso, agregación o troncal) en el que se encuentran, y son calculadas </w:t>
      </w:r>
      <w:r>
        <w:rPr>
          <w:rFonts w:ascii="ITC Avant Garde" w:hAnsi="ITC Avant Garde" w:cs="Arial"/>
          <w:lang w:val="es-ES"/>
        </w:rPr>
        <w:t>con base en</w:t>
      </w:r>
      <w:r w:rsidRPr="000967D0">
        <w:rPr>
          <w:rFonts w:ascii="ITC Avant Garde" w:hAnsi="ITC Avant Garde" w:cs="Arial"/>
          <w:lang w:val="es-ES"/>
        </w:rPr>
        <w:t xml:space="preserve"> factores de enrutamiento específicos</w:t>
      </w:r>
      <w:r>
        <w:rPr>
          <w:rFonts w:ascii="ITC Avant Garde" w:hAnsi="ITC Avant Garde" w:cs="Arial"/>
          <w:lang w:val="es-ES"/>
        </w:rPr>
        <w:t>.</w:t>
      </w:r>
    </w:p>
    <w:p w:rsidR="00A422CE" w:rsidRPr="000967D0" w:rsidRDefault="00A422CE" w:rsidP="00A422CE">
      <w:pPr>
        <w:spacing w:after="0"/>
        <w:ind w:right="20"/>
        <w:jc w:val="both"/>
        <w:rPr>
          <w:rFonts w:ascii="ITC Avant Garde" w:hAnsi="ITC Avant Garde" w:cs="Arial"/>
          <w:lang w:val="es-ES"/>
        </w:rPr>
      </w:pPr>
    </w:p>
    <w:p w:rsidR="00A422CE" w:rsidRDefault="00A422CE" w:rsidP="00A422CE">
      <w:pPr>
        <w:spacing w:after="0"/>
        <w:ind w:right="20"/>
        <w:jc w:val="both"/>
        <w:rPr>
          <w:rFonts w:ascii="ITC Avant Garde" w:hAnsi="ITC Avant Garde" w:cs="Arial"/>
          <w:lang w:val="es-ES"/>
        </w:rPr>
      </w:pPr>
      <w:r w:rsidRPr="000967D0">
        <w:rPr>
          <w:rFonts w:ascii="ITC Avant Garde" w:hAnsi="ITC Avant Garde" w:cs="Arial"/>
          <w:lang w:val="es-ES"/>
        </w:rPr>
        <w:t>En el caso de elementos de red compuestos el costo total considerado es la suma de los costos de sus componentes</w:t>
      </w:r>
      <w:r>
        <w:rPr>
          <w:rFonts w:ascii="ITC Avant Garde" w:hAnsi="ITC Avant Garde" w:cs="Arial"/>
          <w:lang w:val="es-ES"/>
        </w:rPr>
        <w:t xml:space="preserve"> </w:t>
      </w:r>
      <w:r w:rsidRPr="000967D0">
        <w:rPr>
          <w:rFonts w:ascii="ITC Avant Garde" w:hAnsi="ITC Avant Garde" w:cs="Arial"/>
          <w:lang w:val="es-ES"/>
        </w:rPr>
        <w:t xml:space="preserve">(p.ej. chasís y tarjetas en el caso de </w:t>
      </w:r>
      <w:proofErr w:type="spellStart"/>
      <w:r w:rsidRPr="000967D0">
        <w:rPr>
          <w:rFonts w:ascii="ITC Avant Garde" w:hAnsi="ITC Avant Garde" w:cs="Arial"/>
          <w:lang w:val="es-ES"/>
        </w:rPr>
        <w:t>routers</w:t>
      </w:r>
      <w:proofErr w:type="spellEnd"/>
      <w:r>
        <w:rPr>
          <w:rFonts w:ascii="ITC Avant Garde" w:hAnsi="ITC Avant Garde" w:cs="Arial"/>
          <w:lang w:val="es-ES"/>
        </w:rPr>
        <w:t>).</w:t>
      </w:r>
    </w:p>
    <w:p w:rsidR="00A422CE" w:rsidRDefault="00A422CE" w:rsidP="00A422CE">
      <w:pPr>
        <w:pStyle w:val="IFT1"/>
        <w:spacing w:after="0"/>
        <w:rPr>
          <w:b/>
        </w:rPr>
      </w:pPr>
    </w:p>
    <w:p w:rsidR="00A422CE" w:rsidRPr="00273FE6" w:rsidRDefault="00A422CE" w:rsidP="00A422CE">
      <w:pPr>
        <w:spacing w:after="0"/>
        <w:ind w:right="20"/>
        <w:jc w:val="both"/>
        <w:rPr>
          <w:rFonts w:ascii="ITC Avant Garde" w:hAnsi="ITC Avant Garde"/>
          <w:b/>
          <w:lang w:val="es-ES"/>
        </w:rPr>
      </w:pPr>
      <w:r w:rsidRPr="00273FE6">
        <w:rPr>
          <w:rFonts w:ascii="ITC Avant Garde" w:hAnsi="ITC Avant Garde"/>
          <w:b/>
          <w:lang w:val="es-ES"/>
        </w:rPr>
        <w:t xml:space="preserve">Aspectos </w:t>
      </w:r>
      <w:r>
        <w:rPr>
          <w:rFonts w:ascii="ITC Avant Garde" w:hAnsi="ITC Avant Garde"/>
          <w:b/>
          <w:lang w:val="es-ES"/>
        </w:rPr>
        <w:t>relacionados a</w:t>
      </w:r>
      <w:r w:rsidRPr="00273FE6">
        <w:rPr>
          <w:rFonts w:ascii="ITC Avant Garde" w:hAnsi="ITC Avant Garde"/>
          <w:b/>
          <w:lang w:val="es-ES"/>
        </w:rPr>
        <w:t>l</w:t>
      </w:r>
      <w:r>
        <w:rPr>
          <w:rFonts w:ascii="ITC Avant Garde" w:hAnsi="ITC Avant Garde"/>
          <w:b/>
          <w:lang w:val="es-ES"/>
        </w:rPr>
        <w:t xml:space="preserve"> modelo.</w:t>
      </w:r>
    </w:p>
    <w:p w:rsidR="00A422CE" w:rsidRDefault="00A422CE" w:rsidP="00A422CE">
      <w:pPr>
        <w:pStyle w:val="IFT1"/>
        <w:spacing w:after="0"/>
        <w:rPr>
          <w:b/>
        </w:rPr>
      </w:pPr>
    </w:p>
    <w:p w:rsidR="00A422CE" w:rsidRPr="00451050" w:rsidRDefault="00A422CE" w:rsidP="00A422CE">
      <w:pPr>
        <w:spacing w:after="0"/>
        <w:rPr>
          <w:rFonts w:ascii="ITC Avant Garde" w:hAnsi="ITC Avant Garde"/>
        </w:rPr>
      </w:pPr>
      <w:r w:rsidRPr="00451050">
        <w:rPr>
          <w:rFonts w:ascii="ITC Avant Garde" w:hAnsi="ITC Avant Garde"/>
          <w:b/>
        </w:rPr>
        <w:t>Costo de capital promedio ponderado (CCPP)</w:t>
      </w:r>
    </w:p>
    <w:p w:rsidR="00A422CE" w:rsidRDefault="00A422CE" w:rsidP="00A422CE">
      <w:pPr>
        <w:pStyle w:val="IFT1"/>
        <w:spacing w:after="0"/>
      </w:pPr>
    </w:p>
    <w:p w:rsidR="00A422CE" w:rsidRDefault="00A422CE" w:rsidP="00A422CE">
      <w:pPr>
        <w:pStyle w:val="IFT1"/>
        <w:spacing w:after="0"/>
      </w:pPr>
      <w:r w:rsidRPr="00E94D8A">
        <w:t xml:space="preserve">El modelo debe incluir un retorno </w:t>
      </w:r>
      <w:r w:rsidRPr="00A16A24">
        <w:rPr>
          <w:rStyle w:val="IFT1Car"/>
        </w:rPr>
        <w:t>razonable</w:t>
      </w:r>
      <w:r>
        <w:t xml:space="preserve"> sobre los activos, este será </w:t>
      </w:r>
      <w:r w:rsidRPr="00E94D8A">
        <w:t xml:space="preserve">determinado a través del </w:t>
      </w:r>
      <w:r>
        <w:t>costo</w:t>
      </w:r>
      <w:r w:rsidRPr="00E94D8A">
        <w:t xml:space="preserve"> de capital promedio ponderado (CCPP). El CCPP antes de impuestos se calcula de la siguiente forma:</w:t>
      </w:r>
    </w:p>
    <w:p w:rsidR="00A422CE" w:rsidRPr="00E94D8A" w:rsidRDefault="00A422CE" w:rsidP="00A422CE">
      <w:pPr>
        <w:pStyle w:val="IFT1"/>
        <w:spacing w:after="0"/>
      </w:pPr>
    </w:p>
    <w:p w:rsidR="00A422CE" w:rsidRPr="00A16A24" w:rsidRDefault="00F56199" w:rsidP="00A422CE">
      <w:pPr>
        <w:spacing w:after="0"/>
        <w:jc w:val="center"/>
        <w:rPr>
          <w:rFonts w:ascii="ITC Avant Garde" w:hAnsi="ITC Avant Garde"/>
        </w:rPr>
      </w:pPr>
      <w:r w:rsidRPr="00A16A24">
        <w:rPr>
          <w:rFonts w:ascii="ITC Avant Garde" w:hAnsi="ITC Avant Garde"/>
          <w:position w:val="-24"/>
        </w:rPr>
        <w:object w:dxaOrig="3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de Costo de capital promedio ponderado (CCPP)" style="width:161.75pt;height:31.8pt" o:ole="">
            <v:imagedata r:id="rId12" o:title=""/>
          </v:shape>
          <o:OLEObject Type="Embed" ProgID="Equation.3" ShapeID="_x0000_i1025" DrawAspect="Content" ObjectID="_1542457642" r:id="rId13"/>
        </w:object>
      </w:r>
    </w:p>
    <w:p w:rsidR="00A422CE" w:rsidRPr="00A16A24" w:rsidRDefault="00A422CE" w:rsidP="00A422CE">
      <w:pPr>
        <w:pStyle w:val="01"/>
        <w:spacing w:line="276" w:lineRule="auto"/>
        <w:rPr>
          <w:rFonts w:ascii="ITC Avant Garde" w:hAnsi="ITC Avant Garde"/>
        </w:rPr>
      </w:pPr>
      <w:r w:rsidRPr="00A16A24">
        <w:rPr>
          <w:rFonts w:ascii="ITC Avant Garde" w:hAnsi="ITC Avant Garde"/>
        </w:rPr>
        <w:t>Donde:</w:t>
      </w:r>
    </w:p>
    <w:p w:rsidR="00A422CE" w:rsidRPr="00A16A24" w:rsidRDefault="00A422CE" w:rsidP="00A422CE">
      <w:pPr>
        <w:pStyle w:val="01"/>
        <w:spacing w:line="276" w:lineRule="auto"/>
        <w:rPr>
          <w:rFonts w:ascii="ITC Avant Garde" w:hAnsi="ITC Avant Garde"/>
        </w:rPr>
      </w:pPr>
    </w:p>
    <w:p w:rsidR="00A422CE" w:rsidRPr="00A16A24" w:rsidRDefault="00F56199" w:rsidP="00A422CE">
      <w:pPr>
        <w:pStyle w:val="01"/>
        <w:spacing w:line="276" w:lineRule="auto"/>
        <w:rPr>
          <w:rFonts w:ascii="ITC Avant Garde" w:hAnsi="ITC Avant Garde"/>
        </w:rPr>
      </w:pPr>
      <w:r w:rsidRPr="00A16A24">
        <w:rPr>
          <w:rFonts w:ascii="ITC Avant Garde" w:hAnsi="ITC Avant Garde"/>
          <w:position w:val="-12"/>
        </w:rPr>
        <w:object w:dxaOrig="320" w:dyaOrig="360">
          <v:shape id="_x0000_i1026" type="#_x0000_t75" alt="Simbolo de costo de la deuda" style="width:17.75pt;height:17.75pt" o:ole="">
            <v:imagedata r:id="rId14" o:title=""/>
          </v:shape>
          <o:OLEObject Type="Embed" ProgID="Equation.3" ShapeID="_x0000_i1026" DrawAspect="Content" ObjectID="_1542457643" r:id="rId15"/>
        </w:object>
      </w:r>
      <w:r w:rsidR="00A422CE" w:rsidRPr="00A16A24">
        <w:rPr>
          <w:rFonts w:ascii="ITC Avant Garde" w:hAnsi="ITC Avant Garde"/>
        </w:rPr>
        <w:t xml:space="preserve"> </w:t>
      </w:r>
      <w:proofErr w:type="gramStart"/>
      <w:r w:rsidR="00A422CE" w:rsidRPr="00A16A24">
        <w:rPr>
          <w:rFonts w:ascii="ITC Avant Garde" w:hAnsi="ITC Avant Garde"/>
        </w:rPr>
        <w:t>es</w:t>
      </w:r>
      <w:proofErr w:type="gramEnd"/>
      <w:r w:rsidR="00A422CE" w:rsidRPr="00A16A24">
        <w:rPr>
          <w:rFonts w:ascii="ITC Avant Garde" w:hAnsi="ITC Avant Garde"/>
        </w:rPr>
        <w:t xml:space="preserve"> el costo de la deuda</w:t>
      </w:r>
    </w:p>
    <w:p w:rsidR="00A422CE" w:rsidRPr="00A16A24" w:rsidRDefault="00F56199" w:rsidP="00A422CE">
      <w:pPr>
        <w:pStyle w:val="01"/>
        <w:spacing w:line="276" w:lineRule="auto"/>
        <w:rPr>
          <w:rFonts w:ascii="ITC Avant Garde" w:hAnsi="ITC Avant Garde"/>
        </w:rPr>
      </w:pPr>
      <w:r w:rsidRPr="00A16A24">
        <w:rPr>
          <w:rFonts w:ascii="ITC Avant Garde" w:hAnsi="ITC Avant Garde"/>
          <w:position w:val="-12"/>
        </w:rPr>
        <w:object w:dxaOrig="300" w:dyaOrig="360">
          <v:shape id="_x0000_i1027" type="#_x0000_t75" alt="Simbolo de costo del capital de la empresa antes de impuestos" style="width:16.85pt;height:17.75pt" o:ole="">
            <v:imagedata r:id="rId16" o:title=""/>
          </v:shape>
          <o:OLEObject Type="Embed" ProgID="Equation.3" ShapeID="_x0000_i1027" DrawAspect="Content" ObjectID="_1542457644" r:id="rId17"/>
        </w:object>
      </w:r>
      <w:r w:rsidR="00A422CE" w:rsidRPr="00A16A24">
        <w:rPr>
          <w:rFonts w:ascii="ITC Avant Garde" w:hAnsi="ITC Avant Garde"/>
        </w:rPr>
        <w:t xml:space="preserve"> </w:t>
      </w:r>
      <w:proofErr w:type="gramStart"/>
      <w:r w:rsidR="00A422CE" w:rsidRPr="00A16A24">
        <w:rPr>
          <w:rFonts w:ascii="ITC Avant Garde" w:hAnsi="ITC Avant Garde"/>
        </w:rPr>
        <w:t>es</w:t>
      </w:r>
      <w:proofErr w:type="gramEnd"/>
      <w:r w:rsidR="00A422CE" w:rsidRPr="00A16A24">
        <w:rPr>
          <w:rFonts w:ascii="ITC Avant Garde" w:hAnsi="ITC Avant Garde"/>
        </w:rPr>
        <w:t xml:space="preserve"> el costo del capital de la empresa antes de impuestos</w:t>
      </w:r>
    </w:p>
    <w:p w:rsidR="00A422CE" w:rsidRPr="00A16A24" w:rsidRDefault="00A422CE" w:rsidP="00A422CE">
      <w:pPr>
        <w:pStyle w:val="01"/>
        <w:spacing w:line="276" w:lineRule="auto"/>
        <w:rPr>
          <w:rFonts w:ascii="ITC Avant Garde" w:hAnsi="ITC Avant Garde"/>
        </w:rPr>
      </w:pPr>
      <w:r w:rsidRPr="00A16A24">
        <w:rPr>
          <w:rFonts w:ascii="ITC Avant Garde" w:hAnsi="ITC Avant Garde"/>
          <w:position w:val="-4"/>
        </w:rPr>
        <w:object w:dxaOrig="260" w:dyaOrig="260">
          <v:shape id="_x0000_i1028" type="#_x0000_t75" style="width:10.3pt;height:10.3pt" o:ole="" o:bullet="t">
            <v:imagedata r:id="rId18" o:title=""/>
          </v:shape>
          <o:OLEObject Type="Embed" ProgID="Equation.3" ShapeID="_x0000_i1028" DrawAspect="Content" ObjectID="_1542457645" r:id="rId19"/>
        </w:object>
      </w:r>
      <w:r w:rsidRPr="00A16A24">
        <w:rPr>
          <w:rFonts w:ascii="ITC Avant Garde" w:hAnsi="ITC Avant Garde"/>
        </w:rPr>
        <w:t xml:space="preserve"> </w:t>
      </w:r>
      <w:proofErr w:type="gramStart"/>
      <w:r w:rsidRPr="00A16A24">
        <w:rPr>
          <w:rFonts w:ascii="ITC Avant Garde" w:hAnsi="ITC Avant Garde"/>
        </w:rPr>
        <w:t>es</w:t>
      </w:r>
      <w:proofErr w:type="gramEnd"/>
      <w:r w:rsidRPr="00A16A24">
        <w:rPr>
          <w:rFonts w:ascii="ITC Avant Garde" w:hAnsi="ITC Avant Garde"/>
        </w:rPr>
        <w:t xml:space="preserve"> el valor de la deuda del operador</w:t>
      </w:r>
    </w:p>
    <w:p w:rsidR="00A422CE" w:rsidRPr="00A16A24" w:rsidRDefault="00A422CE" w:rsidP="00A422CE">
      <w:pPr>
        <w:spacing w:after="0"/>
        <w:rPr>
          <w:rFonts w:ascii="ITC Avant Garde" w:hAnsi="ITC Avant Garde"/>
        </w:rPr>
      </w:pPr>
      <w:r w:rsidRPr="00A16A24">
        <w:rPr>
          <w:rFonts w:ascii="ITC Avant Garde" w:hAnsi="ITC Avant Garde"/>
          <w:position w:val="-4"/>
        </w:rPr>
        <w:object w:dxaOrig="240" w:dyaOrig="260">
          <v:shape id="_x0000_i1029" type="#_x0000_t75" style="width:10.3pt;height:10.3pt" o:ole="" o:bullet="t">
            <v:imagedata r:id="rId20" o:title=""/>
          </v:shape>
          <o:OLEObject Type="Embed" ProgID="Equation.3" ShapeID="_x0000_i1029" DrawAspect="Content" ObjectID="_1542457646" r:id="rId21"/>
        </w:object>
      </w:r>
      <w:r w:rsidRPr="00A16A24">
        <w:rPr>
          <w:rFonts w:ascii="ITC Avant Garde" w:hAnsi="ITC Avant Garde"/>
        </w:rPr>
        <w:t xml:space="preserve"> </w:t>
      </w:r>
      <w:proofErr w:type="gramStart"/>
      <w:r w:rsidRPr="00A16A24">
        <w:rPr>
          <w:rFonts w:ascii="ITC Avant Garde" w:hAnsi="ITC Avant Garde"/>
        </w:rPr>
        <w:t>es</w:t>
      </w:r>
      <w:proofErr w:type="gramEnd"/>
      <w:r w:rsidRPr="00A16A24">
        <w:rPr>
          <w:rFonts w:ascii="ITC Avant Garde" w:hAnsi="ITC Avant Garde"/>
        </w:rPr>
        <w:t xml:space="preserve"> el valor del capital (</w:t>
      </w:r>
      <w:proofErr w:type="spellStart"/>
      <w:r w:rsidRPr="00A16A24">
        <w:rPr>
          <w:rFonts w:ascii="ITC Avant Garde" w:hAnsi="ITC Avant Garde"/>
          <w:i/>
        </w:rPr>
        <w:t>equity</w:t>
      </w:r>
      <w:proofErr w:type="spellEnd"/>
      <w:r w:rsidRPr="00A16A24">
        <w:rPr>
          <w:rFonts w:ascii="ITC Avant Garde" w:hAnsi="ITC Avant Garde"/>
        </w:rPr>
        <w:t>) del operador</w:t>
      </w:r>
    </w:p>
    <w:p w:rsidR="00A422CE" w:rsidRDefault="00A422CE" w:rsidP="00A422CE">
      <w:pPr>
        <w:pStyle w:val="IFT1"/>
        <w:spacing w:after="0"/>
      </w:pPr>
    </w:p>
    <w:p w:rsidR="00A422CE" w:rsidRDefault="00A422CE" w:rsidP="00A422CE">
      <w:pPr>
        <w:pStyle w:val="IFT1"/>
        <w:spacing w:after="0"/>
      </w:pPr>
      <w:r>
        <w:t>Debido a</w:t>
      </w:r>
      <w:r w:rsidRPr="00E94D8A">
        <w:t xml:space="preserve"> que estos parámetros, o estimaciones de los mismos se encuentran disponibles en forma nominal, se calcula el CCPP nominal antes de impuestos y se convierte al CCPP real</w:t>
      </w:r>
      <w:r w:rsidRPr="000B691F">
        <w:rPr>
          <w:rStyle w:val="Refdenotaalpie"/>
          <w:iCs/>
        </w:rPr>
        <w:footnoteReference w:id="1"/>
      </w:r>
      <w:r w:rsidRPr="00E94D8A">
        <w:t xml:space="preserve"> antes de impuestos de la siguiente manera:</w:t>
      </w:r>
    </w:p>
    <w:p w:rsidR="00A422CE" w:rsidRPr="00E94D8A" w:rsidRDefault="00A422CE" w:rsidP="00A422CE">
      <w:pPr>
        <w:pStyle w:val="IFT1"/>
        <w:spacing w:after="0"/>
      </w:pPr>
    </w:p>
    <w:p w:rsidR="00A422CE" w:rsidRPr="00E94D8A" w:rsidRDefault="00F56199" w:rsidP="00A422CE">
      <w:pPr>
        <w:spacing w:after="0"/>
        <w:jc w:val="center"/>
      </w:pPr>
      <w:r w:rsidRPr="00A16A24">
        <w:rPr>
          <w:rFonts w:ascii="ITC Avant Garde" w:hAnsi="ITC Avant Garde"/>
          <w:b/>
          <w:position w:val="-28"/>
        </w:rPr>
        <w:object w:dxaOrig="3860" w:dyaOrig="660">
          <v:shape id="_x0000_i1030" type="#_x0000_t75" alt="Formula de Costo de capital promedio ponderado Real (CCPP)" style="width:196.85pt;height:32.75pt" o:ole="">
            <v:imagedata r:id="rId22" o:title=""/>
          </v:shape>
          <o:OLEObject Type="Embed" ProgID="Equation.3" ShapeID="_x0000_i1030" DrawAspect="Content" ObjectID="_1542457647" r:id="rId23"/>
        </w:object>
      </w:r>
    </w:p>
    <w:p w:rsidR="00A422CE" w:rsidRPr="00A16A24" w:rsidRDefault="00A422CE" w:rsidP="00A422CE">
      <w:pPr>
        <w:spacing w:after="0"/>
        <w:rPr>
          <w:rFonts w:ascii="ITC Avant Garde" w:hAnsi="ITC Avant Garde"/>
        </w:rPr>
      </w:pPr>
      <w:r w:rsidRPr="00A16A24">
        <w:rPr>
          <w:rFonts w:ascii="ITC Avant Garde" w:hAnsi="ITC Avant Garde"/>
        </w:rPr>
        <w:t>Donde:</w:t>
      </w:r>
    </w:p>
    <w:p w:rsidR="00A422CE" w:rsidRPr="00A16A24" w:rsidRDefault="00A422CE" w:rsidP="00A422CE">
      <w:pPr>
        <w:pStyle w:val="Listaconvietas"/>
        <w:spacing w:line="276" w:lineRule="auto"/>
        <w:contextualSpacing w:val="0"/>
        <w:rPr>
          <w:rFonts w:ascii="ITC Avant Garde" w:hAnsi="ITC Avant Garde"/>
        </w:rPr>
      </w:pPr>
      <w:r w:rsidRPr="00A16A24">
        <w:rPr>
          <w:rFonts w:ascii="ITC Avant Garde" w:hAnsi="ITC Avant Garde"/>
          <w:i/>
          <w:iCs/>
        </w:rPr>
        <w:t>I</w:t>
      </w:r>
      <w:r>
        <w:rPr>
          <w:rFonts w:ascii="ITC Avant Garde" w:hAnsi="ITC Avant Garde"/>
          <w:i/>
          <w:iCs/>
        </w:rPr>
        <w:t>N</w:t>
      </w:r>
      <w:r w:rsidRPr="00A16A24">
        <w:rPr>
          <w:rFonts w:ascii="ITC Avant Garde" w:hAnsi="ITC Avant Garde"/>
          <w:i/>
          <w:iCs/>
        </w:rPr>
        <w:t xml:space="preserve">PC </w:t>
      </w:r>
      <w:r w:rsidRPr="00A16A24">
        <w:rPr>
          <w:rFonts w:ascii="ITC Avant Garde" w:hAnsi="ITC Avant Garde"/>
        </w:rPr>
        <w:t xml:space="preserve">es la tasa de inflación medida por el Índice Nacional de Precios al Consumidor. </w:t>
      </w:r>
    </w:p>
    <w:p w:rsidR="00A422CE" w:rsidRDefault="00A422CE" w:rsidP="00A422CE">
      <w:pPr>
        <w:pStyle w:val="IFT1"/>
        <w:spacing w:after="0"/>
      </w:pPr>
      <w:r w:rsidRPr="00E94D8A">
        <w:t>Entramos a continuación a tratar los supuestos que soportan cada uno de los parámetros en el cálculo del CCPP.</w:t>
      </w:r>
    </w:p>
    <w:p w:rsidR="00A422CE" w:rsidRDefault="00A422CE" w:rsidP="00A422CE">
      <w:pPr>
        <w:pStyle w:val="IFT1"/>
        <w:spacing w:after="0"/>
      </w:pPr>
    </w:p>
    <w:p w:rsidR="00A422CE" w:rsidRPr="00451050" w:rsidRDefault="00A422CE" w:rsidP="00A422CE">
      <w:pPr>
        <w:spacing w:after="0"/>
        <w:rPr>
          <w:rFonts w:ascii="ITC Avant Garde" w:hAnsi="ITC Avant Garde"/>
        </w:rPr>
      </w:pPr>
      <w:r w:rsidRPr="00451050">
        <w:rPr>
          <w:rFonts w:ascii="ITC Avant Garde" w:hAnsi="ITC Avant Garde"/>
          <w:b/>
        </w:rPr>
        <w:t>Costo del capital (</w:t>
      </w:r>
      <w:r w:rsidRPr="00294656">
        <w:rPr>
          <w:rFonts w:ascii="ITC Avant Garde" w:hAnsi="ITC Avant Garde"/>
          <w:b/>
          <w:i/>
        </w:rPr>
        <w:t>equity</w:t>
      </w:r>
      <w:r w:rsidRPr="00451050">
        <w:rPr>
          <w:rFonts w:ascii="ITC Avant Garde" w:hAnsi="ITC Avant Garde"/>
          <w:b/>
        </w:rPr>
        <w:t>)</w:t>
      </w:r>
    </w:p>
    <w:p w:rsidR="00A422CE" w:rsidRDefault="00A422CE" w:rsidP="00A422CE">
      <w:pPr>
        <w:pStyle w:val="IFT1"/>
        <w:spacing w:after="0"/>
      </w:pPr>
    </w:p>
    <w:p w:rsidR="00A422CE" w:rsidRPr="00A16A24" w:rsidRDefault="00A422CE" w:rsidP="00A422CE">
      <w:pPr>
        <w:pStyle w:val="IFT1"/>
        <w:spacing w:after="0"/>
      </w:pPr>
      <w:r w:rsidRPr="00A16A24">
        <w:t>El costo del capital (</w:t>
      </w:r>
      <w:r w:rsidRPr="00A16A24">
        <w:rPr>
          <w:i/>
        </w:rPr>
        <w:t>equity</w:t>
      </w:r>
      <w:r w:rsidRPr="00A16A24">
        <w:t xml:space="preserve">) se calcula mediante el método conocido como valuación de activos financieros (CAPM) debido a su relativa sencillez, ya que es lo establecido en el </w:t>
      </w:r>
      <w:r w:rsidRPr="007E3DB6">
        <w:t>Lineamiento Décimo</w:t>
      </w:r>
      <w:r>
        <w:t xml:space="preserve"> de la Metodología de Costos</w:t>
      </w:r>
      <w:r w:rsidRPr="00A16A24">
        <w:t xml:space="preserve"> por lo que se utilizará en ambos modelos. </w:t>
      </w:r>
    </w:p>
    <w:p w:rsidR="00A422CE" w:rsidRDefault="00A422CE" w:rsidP="00A422CE">
      <w:pPr>
        <w:pStyle w:val="IFT1"/>
        <w:spacing w:after="0"/>
      </w:pPr>
    </w:p>
    <w:p w:rsidR="00A422CE" w:rsidRPr="00A16A24" w:rsidRDefault="00A422CE" w:rsidP="00A422CE">
      <w:pPr>
        <w:pStyle w:val="IFT1"/>
        <w:spacing w:after="0"/>
      </w:pPr>
      <w:r w:rsidRPr="00A16A24">
        <w:t>El costo del capital (</w:t>
      </w:r>
      <w:r w:rsidRPr="00A16A24">
        <w:rPr>
          <w:i/>
        </w:rPr>
        <w:t>equity</w:t>
      </w:r>
      <w:r w:rsidRPr="00A16A24">
        <w:t>) se calculará para dos operadores diferentes:</w:t>
      </w:r>
    </w:p>
    <w:p w:rsidR="00A422CE" w:rsidRPr="00A16A24" w:rsidRDefault="00A422CE" w:rsidP="00A422CE">
      <w:pPr>
        <w:pStyle w:val="IFT1"/>
        <w:numPr>
          <w:ilvl w:val="0"/>
          <w:numId w:val="4"/>
        </w:numPr>
        <w:spacing w:after="0"/>
      </w:pPr>
      <w:r w:rsidRPr="00A16A24">
        <w:t>un operador eficiente de servicios móviles en México</w:t>
      </w:r>
    </w:p>
    <w:p w:rsidR="00A422CE" w:rsidRPr="00A16A24" w:rsidRDefault="00A422CE" w:rsidP="00A422CE">
      <w:pPr>
        <w:pStyle w:val="IFT1"/>
        <w:numPr>
          <w:ilvl w:val="0"/>
          <w:numId w:val="4"/>
        </w:numPr>
        <w:spacing w:after="0"/>
      </w:pPr>
      <w:r w:rsidRPr="00A16A24">
        <w:t>un operador eficiente de servicios fijos en México.</w:t>
      </w:r>
    </w:p>
    <w:p w:rsidR="00A422CE" w:rsidRDefault="00A422CE" w:rsidP="00A422CE">
      <w:pPr>
        <w:pStyle w:val="IFT1"/>
        <w:spacing w:after="0"/>
      </w:pPr>
    </w:p>
    <w:p w:rsidR="00A422CE" w:rsidRPr="00E94D8A" w:rsidRDefault="00A422CE" w:rsidP="00A422CE">
      <w:pPr>
        <w:pStyle w:val="IFT1"/>
        <w:spacing w:after="0"/>
      </w:pPr>
      <w:r w:rsidRPr="00E94D8A">
        <w:t>Siguiendo esta metodología, el CAPM se calcula de la siguiente manera:</w:t>
      </w:r>
    </w:p>
    <w:p w:rsidR="00A422CE" w:rsidRPr="00E94D8A" w:rsidRDefault="00F56199" w:rsidP="00A422CE">
      <w:pPr>
        <w:spacing w:after="0"/>
        <w:jc w:val="center"/>
      </w:pPr>
      <w:r w:rsidRPr="00E94D8A">
        <w:rPr>
          <w:position w:val="-14"/>
        </w:rPr>
        <w:object w:dxaOrig="1700" w:dyaOrig="380">
          <v:shape id="_x0000_i1031" type="#_x0000_t75" alt="Formula del Costo del capital (equity)" style="width:86.5pt;height:17.75pt" o:ole="">
            <v:imagedata r:id="rId24" o:title=""/>
          </v:shape>
          <o:OLEObject Type="Embed" ProgID="Equation.3" ShapeID="_x0000_i1031" DrawAspect="Content" ObjectID="_1542457648" r:id="rId25"/>
        </w:object>
      </w:r>
    </w:p>
    <w:p w:rsidR="00A422CE" w:rsidRPr="00A16A24" w:rsidRDefault="00A422CE" w:rsidP="00A422CE">
      <w:pPr>
        <w:spacing w:after="0"/>
        <w:jc w:val="both"/>
        <w:rPr>
          <w:rFonts w:ascii="ITC Avant Garde" w:hAnsi="ITC Avant Garde"/>
        </w:rPr>
      </w:pPr>
      <w:r w:rsidRPr="00A16A24">
        <w:rPr>
          <w:rFonts w:ascii="ITC Avant Garde" w:hAnsi="ITC Avant Garde"/>
        </w:rPr>
        <w:t>Donde:</w:t>
      </w:r>
    </w:p>
    <w:p w:rsidR="00A422CE" w:rsidRPr="00A16A24" w:rsidRDefault="00F56199" w:rsidP="00A422CE">
      <w:pPr>
        <w:pStyle w:val="01"/>
        <w:spacing w:line="276" w:lineRule="auto"/>
        <w:rPr>
          <w:rFonts w:ascii="ITC Avant Garde" w:hAnsi="ITC Avant Garde"/>
        </w:rPr>
      </w:pPr>
      <w:r w:rsidRPr="00A16A24">
        <w:rPr>
          <w:rFonts w:ascii="ITC Avant Garde" w:hAnsi="ITC Avant Garde"/>
          <w:position w:val="-14"/>
        </w:rPr>
        <w:object w:dxaOrig="340" w:dyaOrig="380">
          <v:shape id="_x0000_i1032" type="#_x0000_t75" alt="Simbolo de la tasa de retorno interés libre de riesgo" style="width:17.75pt;height:17.75pt" o:ole="">
            <v:imagedata r:id="rId26" o:title=""/>
          </v:shape>
          <o:OLEObject Type="Embed" ProgID="Equation.3" ShapeID="_x0000_i1032" DrawAspect="Content" ObjectID="_1542457649" r:id="rId27"/>
        </w:object>
      </w:r>
      <w:r w:rsidR="00A422CE" w:rsidRPr="00A16A24">
        <w:rPr>
          <w:rFonts w:ascii="ITC Avant Garde" w:hAnsi="ITC Avant Garde"/>
        </w:rPr>
        <w:t xml:space="preserve"> </w:t>
      </w:r>
      <w:proofErr w:type="gramStart"/>
      <w:r w:rsidR="00A422CE" w:rsidRPr="00A16A24">
        <w:rPr>
          <w:rFonts w:ascii="ITC Avant Garde" w:hAnsi="ITC Avant Garde"/>
        </w:rPr>
        <w:t>es</w:t>
      </w:r>
      <w:proofErr w:type="gramEnd"/>
      <w:r w:rsidR="00A422CE" w:rsidRPr="00A16A24">
        <w:rPr>
          <w:rFonts w:ascii="ITC Avant Garde" w:hAnsi="ITC Avant Garde"/>
        </w:rPr>
        <w:t xml:space="preserve"> la tasa de retorno </w:t>
      </w:r>
      <w:r w:rsidR="00A422CE">
        <w:rPr>
          <w:rFonts w:ascii="ITC Avant Garde" w:hAnsi="ITC Avant Garde"/>
        </w:rPr>
        <w:t>interés</w:t>
      </w:r>
      <w:r w:rsidR="00A422CE" w:rsidRPr="00A16A24">
        <w:rPr>
          <w:rFonts w:ascii="ITC Avant Garde" w:hAnsi="ITC Avant Garde"/>
        </w:rPr>
        <w:t xml:space="preserve"> libre de riesgo</w:t>
      </w:r>
    </w:p>
    <w:p w:rsidR="00A422CE" w:rsidRPr="00A16A24" w:rsidRDefault="00F56199" w:rsidP="00A422CE">
      <w:pPr>
        <w:pStyle w:val="01"/>
        <w:spacing w:line="276" w:lineRule="auto"/>
        <w:rPr>
          <w:rFonts w:ascii="ITC Avant Garde" w:hAnsi="ITC Avant Garde"/>
        </w:rPr>
      </w:pPr>
      <w:r w:rsidRPr="00A16A24">
        <w:rPr>
          <w:rFonts w:ascii="ITC Avant Garde" w:hAnsi="ITC Avant Garde"/>
          <w:position w:val="-12"/>
        </w:rPr>
        <w:object w:dxaOrig="300" w:dyaOrig="360">
          <v:shape id="_x0000_i1033" type="#_x0000_t75" alt="Simbolo de la tasa de retorno interés libre de riesgo" style="width:15.9pt;height:18.25pt" o:ole="">
            <v:imagedata r:id="rId28" o:title=""/>
          </v:shape>
          <o:OLEObject Type="Embed" ProgID="Equation.3" ShapeID="_x0000_i1033" DrawAspect="Content" ObjectID="_1542457650" r:id="rId29"/>
        </w:object>
      </w:r>
      <w:r w:rsidR="00A422CE" w:rsidRPr="00A16A24">
        <w:rPr>
          <w:rFonts w:ascii="ITC Avant Garde" w:hAnsi="ITC Avant Garde"/>
        </w:rPr>
        <w:t xml:space="preserve"> </w:t>
      </w:r>
      <w:proofErr w:type="gramStart"/>
      <w:r w:rsidR="00A422CE" w:rsidRPr="00A16A24">
        <w:rPr>
          <w:rFonts w:ascii="ITC Avant Garde" w:hAnsi="ITC Avant Garde"/>
        </w:rPr>
        <w:t>es</w:t>
      </w:r>
      <w:proofErr w:type="gramEnd"/>
      <w:r w:rsidR="00A422CE" w:rsidRPr="00A16A24">
        <w:rPr>
          <w:rFonts w:ascii="ITC Avant Garde" w:hAnsi="ITC Avant Garde"/>
        </w:rPr>
        <w:t xml:space="preserve"> la prima del riesgo del capital</w:t>
      </w:r>
    </w:p>
    <w:p w:rsidR="00A422CE" w:rsidRPr="00A16A24" w:rsidRDefault="00A422CE" w:rsidP="00A422CE">
      <w:pPr>
        <w:spacing w:after="0"/>
        <w:jc w:val="both"/>
        <w:rPr>
          <w:rFonts w:ascii="ITC Avant Garde" w:hAnsi="ITC Avant Garde"/>
        </w:rPr>
      </w:pPr>
      <w:r w:rsidRPr="00A16A24">
        <w:rPr>
          <w:rFonts w:ascii="ITC Avant Garde" w:hAnsi="ITC Avant Garde"/>
          <w:position w:val="-10"/>
        </w:rPr>
        <w:object w:dxaOrig="240" w:dyaOrig="320">
          <v:shape id="_x0000_i1034" type="#_x0000_t75" style="width:10.3pt;height:18.25pt" o:ole="" o:bullet="t">
            <v:imagedata r:id="rId30" o:title=""/>
          </v:shape>
          <o:OLEObject Type="Embed" ProgID="Equation.3" ShapeID="_x0000_i1034" DrawAspect="Content" ObjectID="_1542457651" r:id="rId31"/>
        </w:object>
      </w:r>
      <w:r>
        <w:rPr>
          <w:rFonts w:ascii="ITC Avant Garde" w:hAnsi="ITC Avant Garde"/>
        </w:rPr>
        <w:t xml:space="preserve"> </w:t>
      </w:r>
      <w:proofErr w:type="gramStart"/>
      <w:r>
        <w:rPr>
          <w:rFonts w:ascii="ITC Avant Garde" w:hAnsi="ITC Avant Garde"/>
        </w:rPr>
        <w:t>es</w:t>
      </w:r>
      <w:proofErr w:type="gramEnd"/>
      <w:r>
        <w:rPr>
          <w:rFonts w:ascii="ITC Avant Garde" w:hAnsi="ITC Avant Garde"/>
        </w:rPr>
        <w:t xml:space="preserve"> la medida del riesgo </w:t>
      </w:r>
      <w:r w:rsidRPr="00A16A24">
        <w:rPr>
          <w:rFonts w:ascii="ITC Avant Garde" w:hAnsi="ITC Avant Garde"/>
        </w:rPr>
        <w:t>de una compañía particular o sector de manera relativa a la economía nacional.</w:t>
      </w:r>
    </w:p>
    <w:p w:rsidR="00A422CE" w:rsidRDefault="00A422CE" w:rsidP="00A422CE">
      <w:pPr>
        <w:spacing w:after="0"/>
        <w:jc w:val="both"/>
        <w:rPr>
          <w:rFonts w:ascii="ITC Avant Garde" w:hAnsi="ITC Avant Garde"/>
        </w:rPr>
      </w:pPr>
    </w:p>
    <w:p w:rsidR="00A422CE" w:rsidRDefault="00A422CE" w:rsidP="00A422CE">
      <w:pPr>
        <w:spacing w:after="0"/>
        <w:jc w:val="both"/>
        <w:rPr>
          <w:rFonts w:ascii="ITC Avant Garde" w:hAnsi="ITC Avant Garde"/>
        </w:rPr>
      </w:pPr>
      <w:r w:rsidRPr="00A16A24">
        <w:rPr>
          <w:rFonts w:ascii="ITC Avant Garde" w:hAnsi="ITC Avant Garde"/>
        </w:rPr>
        <w:lastRenderedPageBreak/>
        <w:t>Cada uno de estos parámetros se trata a continuación.</w:t>
      </w:r>
    </w:p>
    <w:p w:rsidR="00A422CE" w:rsidRDefault="00A422CE" w:rsidP="00A422CE">
      <w:pPr>
        <w:spacing w:after="0"/>
        <w:jc w:val="both"/>
        <w:rPr>
          <w:rFonts w:ascii="ITC Avant Garde" w:hAnsi="ITC Avant Garde"/>
        </w:rPr>
      </w:pPr>
    </w:p>
    <w:p w:rsidR="00A422CE" w:rsidRPr="00451050" w:rsidRDefault="00A422CE" w:rsidP="00A422CE">
      <w:pPr>
        <w:spacing w:after="0"/>
        <w:rPr>
          <w:rFonts w:ascii="ITC Avant Garde" w:hAnsi="ITC Avant Garde"/>
          <w:b/>
        </w:rPr>
      </w:pPr>
      <w:r w:rsidRPr="00451050">
        <w:rPr>
          <w:rFonts w:ascii="ITC Avant Garde" w:hAnsi="ITC Avant Garde"/>
          <w:b/>
        </w:rPr>
        <w:t xml:space="preserve">Tasa de retorno libre de riesgo, </w:t>
      </w:r>
      <w:r w:rsidR="00F56199" w:rsidRPr="004A2084">
        <w:rPr>
          <w:position w:val="-14"/>
        </w:rPr>
        <w:object w:dxaOrig="320" w:dyaOrig="380">
          <v:shape id="_x0000_i1035" type="#_x0000_t75" alt="Simbolo de la Tasa de retorno libre de riesgo" style="width:18.25pt;height:17.75pt;mso-position-horizontal:absolute" o:ole="">
            <v:imagedata r:id="rId32" o:title=""/>
          </v:shape>
          <o:OLEObject Type="Embed" ProgID="Equation.3" ShapeID="_x0000_i1035" DrawAspect="Content" ObjectID="_1542457652" r:id="rId33"/>
        </w:object>
      </w:r>
    </w:p>
    <w:p w:rsidR="00A422CE" w:rsidRDefault="00A422CE" w:rsidP="00A422CE">
      <w:pPr>
        <w:pStyle w:val="IFT1"/>
        <w:spacing w:after="0"/>
      </w:pPr>
      <w:r w:rsidRPr="00E94D8A">
        <w:t>Habitualmente se asume que la tasa de retorno libre de riesgo es la de los bonos del estado a largo plazo</w:t>
      </w:r>
      <w:r>
        <w:t>, en el modelo s</w:t>
      </w:r>
      <w:r w:rsidRPr="00980148">
        <w:t xml:space="preserve">e utilizará </w:t>
      </w:r>
      <w:r>
        <w:t xml:space="preserve">una media a cinco años de </w:t>
      </w:r>
      <w:r w:rsidRPr="00980148">
        <w:t>la tasa de retorno libre de riesgo (</w:t>
      </w:r>
      <w:r w:rsidR="00F56199" w:rsidRPr="00E94D8A">
        <w:rPr>
          <w:position w:val="-14"/>
        </w:rPr>
        <w:object w:dxaOrig="340" w:dyaOrig="380">
          <v:shape id="_x0000_i1036" type="#_x0000_t75" alt="Simbolo de la tasa de retorno libre de riesgo" style="width:15.9pt;height:17.75pt" o:ole="">
            <v:imagedata r:id="rId26" o:title=""/>
          </v:shape>
          <o:OLEObject Type="Embed" ProgID="Equation.3" ShapeID="_x0000_i1036" DrawAspect="Content" ObjectID="_1542457653" r:id="rId34"/>
        </w:object>
      </w:r>
      <w:r w:rsidRPr="00980148">
        <w:t>) de los bonos gubernamentales estadunidenses de 30 años</w:t>
      </w:r>
      <w:r>
        <w:t>,</w:t>
      </w:r>
      <w:r w:rsidRPr="00980148">
        <w:t xml:space="preserve"> más una prima de riesgo </w:t>
      </w:r>
      <w:r w:rsidRPr="004A2084">
        <w:t>país asociada a México</w:t>
      </w:r>
      <w:r>
        <w:t xml:space="preserve"> basada en </w:t>
      </w:r>
      <w:r w:rsidRPr="00E94D8A">
        <w:t xml:space="preserve">la </w:t>
      </w:r>
      <w:r>
        <w:t xml:space="preserve">información </w:t>
      </w:r>
      <w:r w:rsidRPr="00E94D8A">
        <w:t xml:space="preserve">del profesor </w:t>
      </w:r>
      <w:r w:rsidRPr="007E3DB6">
        <w:t>Aswath Damodaran de la Universidad de Nueva York</w:t>
      </w:r>
      <w:r w:rsidRPr="007E3DB6">
        <w:rPr>
          <w:rStyle w:val="Refdenotaalpie"/>
        </w:rPr>
        <w:footnoteReference w:id="2"/>
      </w:r>
    </w:p>
    <w:p w:rsidR="00A422CE" w:rsidRPr="004A2084" w:rsidRDefault="00A422CE" w:rsidP="00A422CE">
      <w:pPr>
        <w:pStyle w:val="IFT1"/>
        <w:spacing w:after="0"/>
      </w:pPr>
    </w:p>
    <w:p w:rsidR="00A422CE" w:rsidRPr="00273FE6" w:rsidRDefault="00A422CE" w:rsidP="00A422CE">
      <w:pPr>
        <w:spacing w:after="0"/>
        <w:rPr>
          <w:b/>
        </w:rPr>
      </w:pPr>
      <w:r w:rsidRPr="00451050">
        <w:rPr>
          <w:rFonts w:ascii="ITC Avant Garde" w:hAnsi="ITC Avant Garde"/>
          <w:b/>
        </w:rPr>
        <w:t xml:space="preserve">Prima de riesgo del capital, </w:t>
      </w:r>
      <w:r w:rsidR="00F56199" w:rsidRPr="004A2084">
        <w:rPr>
          <w:position w:val="-12"/>
        </w:rPr>
        <w:object w:dxaOrig="300" w:dyaOrig="360">
          <v:shape id="_x0000_i1037" type="#_x0000_t75" alt="Simbolo de la tasa Prima de riesgo del capital" style="width:15.9pt;height:18.25pt" o:ole="">
            <v:imagedata r:id="rId28" o:title=""/>
          </v:shape>
          <o:OLEObject Type="Embed" ProgID="Equation.3" ShapeID="_x0000_i1037" DrawAspect="Content" ObjectID="_1542457654" r:id="rId35"/>
        </w:object>
      </w:r>
    </w:p>
    <w:p w:rsidR="00A422CE" w:rsidRPr="00E94D8A" w:rsidRDefault="00A422CE" w:rsidP="00A422CE">
      <w:pPr>
        <w:pStyle w:val="IFT1"/>
        <w:spacing w:after="0"/>
      </w:pPr>
      <w:r w:rsidRPr="00E94D8A">
        <w:t>La prima de riesgo del capital es el incremento sobre la tasa de retorno libre de riesgo que los inversores demandan del capital (</w:t>
      </w:r>
      <w:r w:rsidRPr="00E94D8A">
        <w:rPr>
          <w:i/>
        </w:rPr>
        <w:t>equity</w:t>
      </w:r>
      <w:r>
        <w:t>),</w:t>
      </w:r>
      <w:r w:rsidRPr="00E94D8A">
        <w:t xml:space="preserve"> </w:t>
      </w:r>
      <w:r>
        <w:t>y</w:t>
      </w:r>
      <w:r w:rsidRPr="00E94D8A">
        <w:t xml:space="preserve">a que invertir en acciones conlleva un mayor riesgo que invertir en bonos del estado. Normalmente, las empresas que cotizan en el mercado nacional de valores son utilizadas como muestra </w:t>
      </w:r>
      <w:r>
        <w:t>sobre</w:t>
      </w:r>
      <w:r w:rsidRPr="00E94D8A">
        <w:t xml:space="preserve"> la que se calcula el promedio.</w:t>
      </w:r>
    </w:p>
    <w:p w:rsidR="00A422CE" w:rsidRDefault="00A422CE" w:rsidP="00A422CE">
      <w:pPr>
        <w:pStyle w:val="IFT1"/>
        <w:spacing w:after="0"/>
      </w:pPr>
    </w:p>
    <w:p w:rsidR="00A422CE" w:rsidRDefault="00A422CE" w:rsidP="00A422CE">
      <w:pPr>
        <w:pStyle w:val="IFT1"/>
        <w:spacing w:after="0"/>
      </w:pPr>
      <w:r w:rsidRPr="00E94D8A">
        <w:t xml:space="preserve">Debido a que el cálculo de este dato es altamente complejo, </w:t>
      </w:r>
      <w:r>
        <w:t>en el modelo de costos se utilizan</w:t>
      </w:r>
      <w:r w:rsidRPr="00E94D8A">
        <w:t xml:space="preserve"> las cifras calculadas por fuentes reconocidas que se encuentren en el ámbito público</w:t>
      </w:r>
      <w:r>
        <w:t>, en este caso se utilizará</w:t>
      </w:r>
      <w:r w:rsidRPr="00E94D8A">
        <w:t xml:space="preserve"> la </w:t>
      </w:r>
      <w:r>
        <w:t xml:space="preserve">información </w:t>
      </w:r>
      <w:r w:rsidRPr="00E94D8A">
        <w:t xml:space="preserve">del profesor </w:t>
      </w:r>
      <w:r w:rsidRPr="007E3DB6">
        <w:t>Aswath Damodaran de la Universidad de Nueva York</w:t>
      </w:r>
      <w:r w:rsidRPr="007E3DB6">
        <w:rPr>
          <w:rStyle w:val="Refdenotaalpie"/>
        </w:rPr>
        <w:footnoteReference w:id="3"/>
      </w:r>
      <w:r w:rsidRPr="007E3DB6">
        <w:t>.</w:t>
      </w:r>
    </w:p>
    <w:p w:rsidR="00A422CE" w:rsidRDefault="00A422CE" w:rsidP="00A422CE">
      <w:pPr>
        <w:spacing w:after="0"/>
        <w:rPr>
          <w:rFonts w:ascii="ITC Avant Garde" w:hAnsi="ITC Avant Garde"/>
          <w:b/>
        </w:rPr>
      </w:pPr>
    </w:p>
    <w:p w:rsidR="00A422CE" w:rsidRPr="00273FE6" w:rsidRDefault="00A422CE" w:rsidP="00A422CE">
      <w:pPr>
        <w:spacing w:after="120"/>
        <w:rPr>
          <w:rFonts w:ascii="ITC Avant Garde" w:hAnsi="ITC Avant Garde"/>
          <w:b/>
        </w:rPr>
      </w:pPr>
      <w:r w:rsidRPr="00451050">
        <w:rPr>
          <w:rFonts w:ascii="ITC Avant Garde" w:hAnsi="ITC Avant Garde"/>
          <w:b/>
        </w:rPr>
        <w:t xml:space="preserve">Beta para los operadores de telecomunicaciones, </w:t>
      </w:r>
      <w:r w:rsidRPr="00273FE6">
        <w:rPr>
          <w:rFonts w:ascii="ITC Avant Garde" w:hAnsi="ITC Avant Garde"/>
          <w:b/>
        </w:rPr>
        <w:sym w:font="Symbol" w:char="F062"/>
      </w:r>
    </w:p>
    <w:p w:rsidR="00A422CE" w:rsidRDefault="00A422CE" w:rsidP="00A422CE">
      <w:pPr>
        <w:pStyle w:val="IFT1"/>
        <w:spacing w:after="0"/>
      </w:pPr>
      <w:r w:rsidRPr="00E94D8A">
        <w:t>Cuando alguien invierte en cualquier tipo de acción, se enfrenta con dos tipos de riesgo: sistemático y no sistemático. El no sistemático está causado por el riesgo relacionado con la empresa específica en la que se invierte. El inversionista disminuye este riesgo mediante la diversificación de la inversión en varias empresas (portafolio de inversión).</w:t>
      </w:r>
    </w:p>
    <w:p w:rsidR="00A422CE" w:rsidRPr="00E94D8A" w:rsidRDefault="00A422CE" w:rsidP="00A422CE">
      <w:pPr>
        <w:pStyle w:val="IFT1"/>
        <w:spacing w:after="0"/>
      </w:pPr>
    </w:p>
    <w:p w:rsidR="00A422CE" w:rsidRDefault="00A422CE" w:rsidP="00A422CE">
      <w:pPr>
        <w:pStyle w:val="IFT1"/>
        <w:spacing w:after="0"/>
      </w:pPr>
      <w:r w:rsidRPr="00E94D8A">
        <w:t>El riesgo sistemático se da por la naturaleza intrínseca de invertir. Este riesgo se denomina como Beta (</w:t>
      </w:r>
      <w:r w:rsidRPr="00E94D8A">
        <w:rPr>
          <w:i/>
          <w:iCs/>
        </w:rPr>
        <w:sym w:font="Symbol" w:char="F062"/>
      </w:r>
      <w:r w:rsidRPr="00E94D8A">
        <w:t>) y se mide como la variación entre el retorno de una acción específica y el retorno de</w:t>
      </w:r>
      <w:r>
        <w:t xml:space="preserve"> un port</w:t>
      </w:r>
      <w:r w:rsidRPr="00E94D8A">
        <w:t xml:space="preserve">folio </w:t>
      </w:r>
      <w:r w:rsidRPr="004E58F7">
        <w:t>con</w:t>
      </w:r>
      <w:r>
        <w:t xml:space="preserve"> </w:t>
      </w:r>
      <w:r w:rsidRPr="00E94D8A">
        <w:t>acciones de todo el mercado. Para el inversionista, no es posible evitar el riesgo sistemático, por lo que siempre requerirá una prima de riesgo. La magnitud de esta prima variará de acuerdo con la covarianza entre la acción específica y las fluctuaciones totales del mercado.</w:t>
      </w:r>
    </w:p>
    <w:p w:rsidR="00A422CE" w:rsidRPr="005F2A15" w:rsidRDefault="00A422CE" w:rsidP="00A422CE">
      <w:pPr>
        <w:pStyle w:val="IFT1"/>
        <w:spacing w:after="0"/>
      </w:pPr>
    </w:p>
    <w:p w:rsidR="00A422CE" w:rsidRDefault="00A422CE" w:rsidP="00A422CE">
      <w:pPr>
        <w:pStyle w:val="IFT1"/>
        <w:spacing w:after="0"/>
        <w:rPr>
          <w:lang w:eastAsia="en-GB"/>
        </w:rPr>
      </w:pPr>
      <w:r w:rsidRPr="00E94D8A">
        <w:rPr>
          <w:lang w:eastAsia="en-GB"/>
        </w:rPr>
        <w:lastRenderedPageBreak/>
        <w:t xml:space="preserve">Sin embargo, dado que la </w:t>
      </w:r>
      <w:r w:rsidRPr="00E94D8A">
        <w:rPr>
          <w:i/>
          <w:iCs/>
        </w:rPr>
        <w:sym w:font="Symbol" w:char="F062"/>
      </w:r>
      <w:r w:rsidRPr="00E94D8A">
        <w:rPr>
          <w:rFonts w:ascii="Symbol" w:hAnsi="Symbol" w:cs="Symbol"/>
          <w:sz w:val="26"/>
          <w:szCs w:val="26"/>
          <w:lang w:eastAsia="en-GB"/>
        </w:rPr>
        <w:t></w:t>
      </w:r>
      <w:r w:rsidRPr="00E94D8A">
        <w:rPr>
          <w:lang w:eastAsia="en-GB"/>
        </w:rPr>
        <w:t xml:space="preserve">representa el riesgo de una industria particular o compañía relativa al mercado, se esperaría que la </w:t>
      </w:r>
      <w:r w:rsidRPr="00E94D8A">
        <w:rPr>
          <w:i/>
          <w:iCs/>
        </w:rPr>
        <w:sym w:font="Symbol" w:char="F062"/>
      </w:r>
      <w:r w:rsidRPr="00E94D8A">
        <w:rPr>
          <w:rFonts w:ascii="Symbol" w:hAnsi="Symbol" w:cs="Symbol"/>
          <w:sz w:val="26"/>
          <w:szCs w:val="26"/>
          <w:lang w:eastAsia="en-GB"/>
        </w:rPr>
        <w:t></w:t>
      </w:r>
      <w:r w:rsidRPr="00E94D8A">
        <w:rPr>
          <w:lang w:eastAsia="en-GB"/>
        </w:rPr>
        <w:t xml:space="preserve">de una empresa en particular – en este caso un operador – fuera similar en diferentes países. Comparar la </w:t>
      </w:r>
      <w:r w:rsidRPr="00E94D8A">
        <w:rPr>
          <w:i/>
          <w:iCs/>
        </w:rPr>
        <w:sym w:font="Symbol" w:char="F062"/>
      </w:r>
      <w:r w:rsidRPr="00E94D8A">
        <w:rPr>
          <w:rFonts w:ascii="Symbol" w:hAnsi="Symbol" w:cs="Symbol"/>
          <w:sz w:val="26"/>
          <w:szCs w:val="26"/>
          <w:lang w:eastAsia="en-GB"/>
        </w:rPr>
        <w:t></w:t>
      </w:r>
      <w:r w:rsidRPr="00E94D8A">
        <w:rPr>
          <w:lang w:eastAsia="en-GB"/>
        </w:rPr>
        <w:t xml:space="preserve">de esta manera requiere una </w:t>
      </w:r>
      <w:r w:rsidRPr="00E94D8A">
        <w:rPr>
          <w:i/>
          <w:iCs/>
        </w:rPr>
        <w:sym w:font="Symbol" w:char="F062"/>
      </w:r>
      <w:r w:rsidRPr="00E94D8A">
        <w:rPr>
          <w:rFonts w:ascii="Symbol" w:hAnsi="Symbol" w:cs="Symbol"/>
          <w:sz w:val="26"/>
          <w:szCs w:val="26"/>
          <w:lang w:eastAsia="en-GB"/>
        </w:rPr>
        <w:t></w:t>
      </w:r>
      <w:r w:rsidRPr="00E94D8A">
        <w:rPr>
          <w:lang w:eastAsia="en-GB"/>
        </w:rPr>
        <w:t>desapalancada (</w:t>
      </w:r>
      <w:r w:rsidRPr="003F11C1">
        <w:rPr>
          <w:i/>
          <w:lang w:eastAsia="en-GB"/>
        </w:rPr>
        <w:t>asset</w:t>
      </w:r>
      <w:r w:rsidRPr="00E94D8A">
        <w:rPr>
          <w:lang w:eastAsia="en-GB"/>
        </w:rPr>
        <w:t>) más que una apalancada (</w:t>
      </w:r>
      <w:r w:rsidRPr="003F11C1">
        <w:rPr>
          <w:i/>
          <w:lang w:eastAsia="en-GB"/>
        </w:rPr>
        <w:t>equity</w:t>
      </w:r>
      <w:r w:rsidRPr="00E94D8A">
        <w:rPr>
          <w:lang w:eastAsia="en-GB"/>
        </w:rPr>
        <w:t>).</w:t>
      </w:r>
    </w:p>
    <w:p w:rsidR="00A422CE" w:rsidRPr="00E94D8A" w:rsidRDefault="00A422CE" w:rsidP="00A422CE">
      <w:pPr>
        <w:tabs>
          <w:tab w:val="num" w:pos="720"/>
        </w:tabs>
        <w:spacing w:after="0"/>
        <w:ind w:left="360"/>
        <w:jc w:val="center"/>
      </w:pPr>
      <w:r w:rsidRPr="00E94D8A">
        <w:rPr>
          <w:position w:val="-10"/>
        </w:rPr>
        <w:object w:dxaOrig="240" w:dyaOrig="320">
          <v:shape id="_x0000_i1038" type="#_x0000_t75" style="width:10.3pt;height:18.25pt" o:ole="" o:bullet="t">
            <v:imagedata r:id="rId30" o:title=""/>
          </v:shape>
          <o:OLEObject Type="Embed" ProgID="Equation.3" ShapeID="_x0000_i1038" DrawAspect="Content" ObjectID="_1542457655" r:id="rId36"/>
        </w:object>
      </w:r>
      <w:proofErr w:type="spellStart"/>
      <w:proofErr w:type="gramStart"/>
      <w:r w:rsidRPr="00E94D8A">
        <w:rPr>
          <w:vertAlign w:val="subscript"/>
        </w:rPr>
        <w:t>asset</w:t>
      </w:r>
      <w:proofErr w:type="spellEnd"/>
      <w:proofErr w:type="gramEnd"/>
      <w:r w:rsidRPr="00E94D8A">
        <w:t xml:space="preserve"> = </w:t>
      </w:r>
      <w:r w:rsidR="00F56199" w:rsidRPr="00E94D8A">
        <w:rPr>
          <w:position w:val="-10"/>
        </w:rPr>
        <w:object w:dxaOrig="240" w:dyaOrig="320">
          <v:shape id="_x0000_i1039" type="#_x0000_t75" alt="Simbolo del apalancamiento" style="width:10.3pt;height:18.25pt" o:ole="">
            <v:imagedata r:id="rId30" o:title=""/>
          </v:shape>
          <o:OLEObject Type="Embed" ProgID="Equation.3" ShapeID="_x0000_i1039" DrawAspect="Content" ObjectID="_1542457656" r:id="rId37"/>
        </w:object>
      </w:r>
      <w:proofErr w:type="spellStart"/>
      <w:r w:rsidRPr="00E94D8A">
        <w:rPr>
          <w:vertAlign w:val="subscript"/>
        </w:rPr>
        <w:t>equity</w:t>
      </w:r>
      <w:proofErr w:type="spellEnd"/>
      <w:r w:rsidRPr="00E94D8A">
        <w:t xml:space="preserve"> / (1+D/E)</w:t>
      </w:r>
    </w:p>
    <w:p w:rsidR="00A422CE" w:rsidRDefault="00A422CE" w:rsidP="00A422CE">
      <w:pPr>
        <w:pStyle w:val="IFT1"/>
        <w:spacing w:after="0"/>
      </w:pPr>
    </w:p>
    <w:p w:rsidR="00A422CE" w:rsidRPr="004D5D47" w:rsidRDefault="00A422CE" w:rsidP="00A422CE">
      <w:pPr>
        <w:pStyle w:val="IFT1"/>
        <w:spacing w:after="0"/>
      </w:pPr>
      <w:r>
        <w:t xml:space="preserve">Una manera de estimar este parámetro es mediante </w:t>
      </w:r>
      <w:r w:rsidRPr="00C94819">
        <w:rPr>
          <w:i/>
        </w:rPr>
        <w:t>benchmarking</w:t>
      </w:r>
      <w:r w:rsidRPr="00E94D8A">
        <w:t xml:space="preserve"> de las </w:t>
      </w:r>
      <w:r w:rsidRPr="00E94D8A">
        <w:rPr>
          <w:i/>
          <w:iCs/>
        </w:rPr>
        <w:sym w:font="Symbol" w:char="F062"/>
      </w:r>
      <w:r w:rsidRPr="00E94D8A">
        <w:t xml:space="preserve"> de empresas comparables</w:t>
      </w:r>
      <w:r>
        <w:t>, es</w:t>
      </w:r>
      <w:r w:rsidRPr="00E94D8A">
        <w:t xml:space="preserve"> </w:t>
      </w:r>
      <w:r>
        <w:t>así que s</w:t>
      </w:r>
      <w:r w:rsidRPr="00980148">
        <w:t xml:space="preserve">e usará una comparativa de compañías de telecomunicaciones, prestando especial atención a mercados similares al mexicano, para identificar las </w:t>
      </w:r>
      <w:r w:rsidRPr="00E94D8A">
        <w:rPr>
          <w:i/>
          <w:iCs/>
        </w:rPr>
        <w:sym w:font="Symbol" w:char="F062"/>
      </w:r>
      <w:r w:rsidRPr="00980148">
        <w:t xml:space="preserve"> específicas de los mercados fijo y móvil</w:t>
      </w:r>
      <w:r w:rsidRPr="004D5D47">
        <w:t>.</w:t>
      </w:r>
    </w:p>
    <w:p w:rsidR="00A422CE" w:rsidRDefault="00A422CE" w:rsidP="00A422CE">
      <w:pPr>
        <w:pStyle w:val="IFT1"/>
        <w:spacing w:after="0"/>
      </w:pPr>
    </w:p>
    <w:p w:rsidR="00A422CE" w:rsidRDefault="00A422CE" w:rsidP="00A422CE">
      <w:pPr>
        <w:pStyle w:val="IFT1"/>
        <w:spacing w:after="0"/>
      </w:pPr>
      <w:r>
        <w:t>S</w:t>
      </w:r>
      <w:r w:rsidRPr="00E94D8A">
        <w:t xml:space="preserve">e </w:t>
      </w:r>
      <w:r>
        <w:t>considera apropiado</w:t>
      </w:r>
      <w:r w:rsidRPr="00E94D8A">
        <w:t xml:space="preserve"> derivar los valores de </w:t>
      </w:r>
      <w:r w:rsidRPr="00E94D8A">
        <w:rPr>
          <w:i/>
          <w:iCs/>
        </w:rPr>
        <w:sym w:font="Symbol" w:char="F062"/>
      </w:r>
      <w:r w:rsidRPr="00E94D8A">
        <w:rPr>
          <w:vertAlign w:val="subscript"/>
        </w:rPr>
        <w:t>asset</w:t>
      </w:r>
      <w:r w:rsidRPr="00E94D8A">
        <w:t xml:space="preserve"> para los operadores fijos y móviles mediante una aprox</w:t>
      </w:r>
      <w:r>
        <w:t>imación. Primeramente, se agrupan</w:t>
      </w:r>
      <w:r w:rsidRPr="00E94D8A">
        <w:t xml:space="preserve"> los operadores del </w:t>
      </w:r>
      <w:r w:rsidRPr="00C94819">
        <w:rPr>
          <w:i/>
        </w:rPr>
        <w:t>benchmark</w:t>
      </w:r>
      <w:r w:rsidRPr="00E94D8A">
        <w:t xml:space="preserve"> en tres grupos, utilizando la utilidad antes de impuestos, intereses, depreciación y amortización (EBITDA) como una aproximación de la capitalización de mercado hipotética de las divisiones fija y móvil de los operadores mixtos:</w:t>
      </w:r>
    </w:p>
    <w:p w:rsidR="00A422CE" w:rsidRDefault="00A422CE" w:rsidP="00A422CE">
      <w:pPr>
        <w:pStyle w:val="IFT1"/>
        <w:spacing w:after="0"/>
      </w:pPr>
    </w:p>
    <w:p w:rsidR="00A422CE" w:rsidRPr="00E94D8A" w:rsidRDefault="00A422CE" w:rsidP="00A422CE">
      <w:pPr>
        <w:pStyle w:val="IFT1"/>
        <w:numPr>
          <w:ilvl w:val="0"/>
          <w:numId w:val="5"/>
        </w:numPr>
        <w:spacing w:after="0"/>
      </w:pPr>
      <w:r>
        <w:t>P</w:t>
      </w:r>
      <w:r w:rsidRPr="00E94D8A">
        <w:t xml:space="preserve">redominantemente móviles: aquellos donde la porción de EBITDA móvil </w:t>
      </w:r>
      <w:r>
        <w:t xml:space="preserve">es más de la mitad </w:t>
      </w:r>
      <w:r w:rsidRPr="00E94D8A">
        <w:t>del total de EBITDA</w:t>
      </w:r>
    </w:p>
    <w:p w:rsidR="00A422CE" w:rsidRPr="00E94D8A" w:rsidRDefault="00A422CE" w:rsidP="00A422CE">
      <w:pPr>
        <w:pStyle w:val="IFT1"/>
        <w:numPr>
          <w:ilvl w:val="0"/>
          <w:numId w:val="5"/>
        </w:numPr>
        <w:spacing w:after="0"/>
      </w:pPr>
      <w:r>
        <w:t>P</w:t>
      </w:r>
      <w:r w:rsidRPr="00E94D8A">
        <w:t xml:space="preserve">redominantemente fijos: aquellos donde el EBITDA móvil </w:t>
      </w:r>
      <w:r>
        <w:t xml:space="preserve">es más de la mitad </w:t>
      </w:r>
      <w:r w:rsidRPr="00E94D8A">
        <w:t>del total de EBITDA.</w:t>
      </w:r>
    </w:p>
    <w:p w:rsidR="00A422CE" w:rsidRDefault="00A422CE" w:rsidP="00A422CE">
      <w:pPr>
        <w:pStyle w:val="IFT1"/>
        <w:spacing w:after="0"/>
      </w:pPr>
    </w:p>
    <w:p w:rsidR="00A422CE" w:rsidRPr="00E94D8A" w:rsidRDefault="00A422CE" w:rsidP="00A422CE">
      <w:pPr>
        <w:pStyle w:val="IFT1"/>
        <w:spacing w:after="0"/>
      </w:pPr>
      <w:r w:rsidRPr="00E94D8A">
        <w:t xml:space="preserve">Después de esto se calculan los valores de </w:t>
      </w:r>
      <w:r w:rsidRPr="00E94D8A">
        <w:rPr>
          <w:i/>
          <w:iCs/>
        </w:rPr>
        <w:sym w:font="Symbol" w:char="F062"/>
      </w:r>
      <w:r w:rsidRPr="00E94D8A">
        <w:rPr>
          <w:vertAlign w:val="subscript"/>
        </w:rPr>
        <w:t>asset</w:t>
      </w:r>
      <w:r w:rsidRPr="00E94D8A">
        <w:t xml:space="preserve"> para el operador móvil con el promedio del primer grupo y para el operador fijo con el promedio del tercer</w:t>
      </w:r>
      <w:r>
        <w:t>o, para lo cual s</w:t>
      </w:r>
      <w:r w:rsidRPr="00980148">
        <w:t>e aplica</w:t>
      </w:r>
      <w:r>
        <w:t xml:space="preserve"> información pública financiera con fuente en Financial Times y Reuters. Inicialmente éstos parámetros se calculaban con base en </w:t>
      </w:r>
      <w:r w:rsidRPr="00E94D8A">
        <w:t xml:space="preserve">la </w:t>
      </w:r>
      <w:r>
        <w:t xml:space="preserve">información </w:t>
      </w:r>
      <w:r w:rsidRPr="00E94D8A">
        <w:t xml:space="preserve">del profesor </w:t>
      </w:r>
      <w:r w:rsidRPr="007E3DB6">
        <w:t>Aswath Damodaran de la Universidad de Nueva York</w:t>
      </w:r>
      <w:r w:rsidRPr="007E3DB6">
        <w:rPr>
          <w:rStyle w:val="Refdenotaalpie"/>
        </w:rPr>
        <w:footnoteReference w:id="4"/>
      </w:r>
      <w:r>
        <w:t>, pero actualmente ya no se publica.</w:t>
      </w:r>
    </w:p>
    <w:p w:rsidR="00A422CE" w:rsidRDefault="00A422CE" w:rsidP="00A422CE">
      <w:pPr>
        <w:spacing w:after="0"/>
        <w:rPr>
          <w:rFonts w:ascii="ITC Avant Garde" w:hAnsi="ITC Avant Garde"/>
          <w:b/>
        </w:rPr>
      </w:pPr>
    </w:p>
    <w:p w:rsidR="00A422CE" w:rsidRDefault="00A422CE" w:rsidP="00A422CE">
      <w:pPr>
        <w:spacing w:after="0"/>
        <w:rPr>
          <w:rFonts w:ascii="ITC Avant Garde" w:hAnsi="ITC Avant Garde"/>
          <w:b/>
        </w:rPr>
      </w:pPr>
      <w:r>
        <w:rPr>
          <w:rFonts w:ascii="ITC Avant Garde" w:hAnsi="ITC Avant Garde"/>
          <w:b/>
        </w:rPr>
        <w:t>Relación</w:t>
      </w:r>
      <w:r w:rsidRPr="00451050">
        <w:rPr>
          <w:rFonts w:ascii="ITC Avant Garde" w:hAnsi="ITC Avant Garde"/>
          <w:b/>
        </w:rPr>
        <w:t xml:space="preserve"> deuda/capital (</w:t>
      </w:r>
      <w:r w:rsidRPr="00451050">
        <w:rPr>
          <w:rFonts w:ascii="ITC Avant Garde" w:hAnsi="ITC Avant Garde"/>
          <w:b/>
          <w:i/>
        </w:rPr>
        <w:t>D/E</w:t>
      </w:r>
      <w:r w:rsidRPr="00451050">
        <w:rPr>
          <w:rFonts w:ascii="ITC Avant Garde" w:hAnsi="ITC Avant Garde"/>
          <w:b/>
        </w:rPr>
        <w:t>)</w:t>
      </w:r>
    </w:p>
    <w:p w:rsidR="00A422CE" w:rsidRPr="00451050" w:rsidRDefault="00A422CE" w:rsidP="00A422CE">
      <w:pPr>
        <w:spacing w:after="0"/>
        <w:rPr>
          <w:rFonts w:ascii="ITC Avant Garde" w:hAnsi="ITC Avant Garde"/>
        </w:rPr>
      </w:pPr>
    </w:p>
    <w:p w:rsidR="00A422CE" w:rsidRPr="00FB7938" w:rsidRDefault="00A422CE" w:rsidP="00A422CE">
      <w:pPr>
        <w:pStyle w:val="IFT1"/>
        <w:spacing w:after="0"/>
      </w:pPr>
      <w:r w:rsidRPr="00FB7938">
        <w:t>Finalmente, es necesario definir la estructura de financiamiento para el operador basada en una estimación de la proporción (óptima) de deuda y capital en el negocio. El nivel de apalancamiento denota la deuda como proporción de las necesidades de financiamiento de la empresa, y se expresa como:</w:t>
      </w:r>
    </w:p>
    <w:p w:rsidR="00A422CE" w:rsidRPr="00F23881" w:rsidRDefault="00A422CE" w:rsidP="00A422CE">
      <w:pPr>
        <w:spacing w:after="0"/>
        <w:jc w:val="center"/>
        <w:rPr>
          <w:rFonts w:ascii="ITC Avant Garde" w:hAnsi="ITC Avant Garde"/>
          <w:position w:val="-24"/>
        </w:rPr>
      </w:pPr>
      <w:r w:rsidRPr="00C94819">
        <w:rPr>
          <w:rFonts w:ascii="ITC Avant Garde" w:hAnsi="ITC Avant Garde"/>
          <w:i/>
        </w:rPr>
        <w:t>Apalancamiento</w:t>
      </w:r>
      <w:r w:rsidRPr="00C94819">
        <w:rPr>
          <w:rFonts w:ascii="ITC Avant Garde" w:hAnsi="ITC Avant Garde"/>
        </w:rPr>
        <w:t xml:space="preserve"> = </w:t>
      </w:r>
      <w:r w:rsidR="00F56199" w:rsidRPr="00C94819">
        <w:rPr>
          <w:rFonts w:ascii="ITC Avant Garde" w:hAnsi="ITC Avant Garde"/>
          <w:position w:val="-24"/>
        </w:rPr>
        <w:object w:dxaOrig="700" w:dyaOrig="620">
          <v:shape id="_x0000_i1040" type="#_x0000_t75" alt="Formula de apalancamiento" style="width:34.6pt;height:31.3pt" o:ole="">
            <v:imagedata r:id="rId38" o:title=""/>
          </v:shape>
          <o:OLEObject Type="Embed" ProgID="Equation.3" ShapeID="_x0000_i1040" DrawAspect="Content" ObjectID="_1542457657" r:id="rId39"/>
        </w:object>
      </w:r>
    </w:p>
    <w:p w:rsidR="00A422CE" w:rsidRDefault="00A422CE" w:rsidP="00A422CE">
      <w:pPr>
        <w:pStyle w:val="IFT1"/>
        <w:spacing w:after="0"/>
      </w:pPr>
      <w:r w:rsidRPr="00E94D8A">
        <w:lastRenderedPageBreak/>
        <w:t>Generalmente, la expectativa en lo que respecta al nivel de retorno del capital (</w:t>
      </w:r>
      <w:r w:rsidRPr="003F11C1">
        <w:rPr>
          <w:i/>
        </w:rPr>
        <w:t>equity</w:t>
      </w:r>
      <w:r w:rsidRPr="00E94D8A">
        <w:t>) será mayor que la del retorno de la deuda. Si aumenta el nivel de apalancamiento, la deuda tendrá una prima de riesgo mayor ya que los acreedores requerirán un mayor interés al existir menor certidumbre en el pago.</w:t>
      </w:r>
    </w:p>
    <w:p w:rsidR="00A422CE" w:rsidRPr="00E94D8A" w:rsidRDefault="00A422CE" w:rsidP="00A422CE">
      <w:pPr>
        <w:pStyle w:val="IFT1"/>
        <w:spacing w:after="0"/>
      </w:pPr>
    </w:p>
    <w:p w:rsidR="00A422CE" w:rsidRPr="00E94D8A" w:rsidRDefault="00A422CE" w:rsidP="00A422CE">
      <w:pPr>
        <w:pStyle w:val="IFT1"/>
        <w:spacing w:after="0"/>
      </w:pPr>
      <w:r w:rsidRPr="00E94D8A">
        <w:t>Por eso mismo, la teoría financiera asume que existe una estructura financiera óptima que minimiza el costo del capital y se le conoce como apalancamiento objetivo. En la práctica, este apalancamiento óptimo es difícil de determinar y variará en función del tipo y forma de la compañía.</w:t>
      </w:r>
    </w:p>
    <w:p w:rsidR="00A422CE" w:rsidRDefault="00A422CE" w:rsidP="00A422CE">
      <w:pPr>
        <w:pStyle w:val="IFT1"/>
        <w:spacing w:after="0"/>
      </w:pPr>
    </w:p>
    <w:p w:rsidR="00A422CE" w:rsidRPr="006905B6" w:rsidRDefault="00A422CE" w:rsidP="00A422CE">
      <w:pPr>
        <w:pStyle w:val="IFT1"/>
        <w:spacing w:after="0"/>
      </w:pPr>
      <w:r>
        <w:t>Es así que d</w:t>
      </w:r>
      <w:r w:rsidRPr="00980148">
        <w:t xml:space="preserve">e forma similar al método seguido para determinar la </w:t>
      </w:r>
      <w:r w:rsidRPr="00E94D8A">
        <w:rPr>
          <w:i/>
          <w:iCs/>
        </w:rPr>
        <w:sym w:font="Symbol" w:char="F062"/>
      </w:r>
      <w:r w:rsidRPr="00980148">
        <w:rPr>
          <w:i/>
          <w:vertAlign w:val="subscript"/>
        </w:rPr>
        <w:t>asset</w:t>
      </w:r>
      <w:r w:rsidRPr="00980148">
        <w:t>, se evaluará el nivel apropiado de apalancamiento utilizando la misma comparativa</w:t>
      </w:r>
      <w:r>
        <w:t xml:space="preserve"> de operadores en Latinoamérica, para lo cual s</w:t>
      </w:r>
      <w:r w:rsidRPr="00980148">
        <w:t>e aplica</w:t>
      </w:r>
      <w:r>
        <w:t xml:space="preserve"> información pública financiera con fuente en Financial Times y Reuters. Inicialmente se calculaba en base a </w:t>
      </w:r>
      <w:r w:rsidRPr="00E94D8A">
        <w:t xml:space="preserve">la </w:t>
      </w:r>
      <w:r>
        <w:t xml:space="preserve">información </w:t>
      </w:r>
      <w:r w:rsidRPr="00E94D8A">
        <w:t xml:space="preserve">del profesor </w:t>
      </w:r>
      <w:r w:rsidRPr="007E3DB6">
        <w:t>Aswath Damodaran de la Universidad de Nueva York</w:t>
      </w:r>
      <w:r w:rsidRPr="007E3DB6">
        <w:rPr>
          <w:rStyle w:val="Refdenotaalpie"/>
        </w:rPr>
        <w:footnoteReference w:id="5"/>
      </w:r>
      <w:r>
        <w:t>, pero actualmente ya no se publica.</w:t>
      </w:r>
    </w:p>
    <w:p w:rsidR="00A422CE" w:rsidRDefault="00A422CE" w:rsidP="00A422CE">
      <w:pPr>
        <w:spacing w:after="0"/>
        <w:rPr>
          <w:rFonts w:ascii="ITC Avant Garde" w:hAnsi="ITC Avant Garde"/>
          <w:b/>
        </w:rPr>
      </w:pPr>
    </w:p>
    <w:p w:rsidR="00A422CE" w:rsidRPr="00451050" w:rsidRDefault="00A422CE" w:rsidP="00A422CE">
      <w:pPr>
        <w:spacing w:after="0"/>
        <w:rPr>
          <w:b/>
        </w:rPr>
      </w:pPr>
      <w:r w:rsidRPr="00451050">
        <w:rPr>
          <w:rFonts w:ascii="ITC Avant Garde" w:hAnsi="ITC Avant Garde"/>
          <w:b/>
        </w:rPr>
        <w:t>Costo de la deuda</w:t>
      </w:r>
    </w:p>
    <w:p w:rsidR="00A422CE" w:rsidRDefault="00A422CE" w:rsidP="00A422CE">
      <w:pPr>
        <w:pStyle w:val="IFT1"/>
        <w:spacing w:after="0"/>
      </w:pPr>
    </w:p>
    <w:p w:rsidR="00A422CE" w:rsidRPr="00E94D8A" w:rsidRDefault="00A422CE" w:rsidP="00A422CE">
      <w:pPr>
        <w:pStyle w:val="IFT1"/>
        <w:spacing w:after="0"/>
      </w:pPr>
      <w:r w:rsidRPr="00E94D8A">
        <w:t>El costo de la deuda se define como:</w:t>
      </w:r>
    </w:p>
    <w:p w:rsidR="00A422CE" w:rsidRPr="00E94D8A" w:rsidRDefault="00F56199" w:rsidP="00A422CE">
      <w:pPr>
        <w:pStyle w:val="IFT1"/>
        <w:spacing w:after="0"/>
      </w:pPr>
      <w:r w:rsidRPr="00E94D8A">
        <w:rPr>
          <w:position w:val="-14"/>
        </w:rPr>
        <w:object w:dxaOrig="2420" w:dyaOrig="380">
          <v:shape id="_x0000_i1041" type="#_x0000_t75" alt="Formula costo de deuda" style="width:122.05pt;height:17.75pt" o:ole="">
            <v:imagedata r:id="rId40" o:title=""/>
          </v:shape>
          <o:OLEObject Type="Embed" ProgID="Equation.3" ShapeID="_x0000_i1041" DrawAspect="Content" ObjectID="_1542457658" r:id="rId41"/>
        </w:object>
      </w:r>
    </w:p>
    <w:p w:rsidR="00A422CE" w:rsidRDefault="00A422CE" w:rsidP="00A422CE">
      <w:pPr>
        <w:pStyle w:val="IFT1"/>
        <w:spacing w:after="0"/>
      </w:pPr>
    </w:p>
    <w:p w:rsidR="00A422CE" w:rsidRPr="00E94D8A" w:rsidRDefault="00A422CE" w:rsidP="00A422CE">
      <w:pPr>
        <w:pStyle w:val="IFT1"/>
        <w:spacing w:after="0"/>
      </w:pPr>
      <w:r w:rsidRPr="00E94D8A">
        <w:t>Dónde:</w:t>
      </w:r>
    </w:p>
    <w:p w:rsidR="00A422CE" w:rsidRPr="00F42D0F" w:rsidRDefault="00A422CE" w:rsidP="00A422CE">
      <w:pPr>
        <w:pStyle w:val="ListBulletCompact"/>
        <w:numPr>
          <w:ilvl w:val="0"/>
          <w:numId w:val="2"/>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f</w:t>
      </w:r>
      <w:r w:rsidRPr="00F42D0F">
        <w:rPr>
          <w:rFonts w:ascii="ITC Avant Garde" w:hAnsi="ITC Avant Garde"/>
        </w:rPr>
        <w:t xml:space="preserve"> es la tasa de retorno libre de riesgo</w:t>
      </w:r>
    </w:p>
    <w:p w:rsidR="00A422CE" w:rsidRPr="00F42D0F" w:rsidRDefault="00A422CE" w:rsidP="00A422CE">
      <w:pPr>
        <w:pStyle w:val="ListBulletCompact"/>
        <w:numPr>
          <w:ilvl w:val="0"/>
          <w:numId w:val="2"/>
        </w:numPr>
        <w:spacing w:line="276" w:lineRule="auto"/>
        <w:rPr>
          <w:rFonts w:ascii="ITC Avant Garde" w:hAnsi="ITC Avant Garde"/>
        </w:rPr>
      </w:pPr>
      <w:r w:rsidRPr="00F42D0F">
        <w:rPr>
          <w:rFonts w:ascii="ITC Avant Garde" w:hAnsi="ITC Avant Garde"/>
          <w:i/>
          <w:iCs/>
        </w:rPr>
        <w:t>R</w:t>
      </w:r>
      <w:r w:rsidRPr="00F42D0F">
        <w:rPr>
          <w:rFonts w:ascii="ITC Avant Garde" w:hAnsi="ITC Avant Garde"/>
          <w:i/>
          <w:iCs/>
          <w:vertAlign w:val="subscript"/>
        </w:rPr>
        <w:t>D</w:t>
      </w:r>
      <w:r w:rsidRPr="00F42D0F">
        <w:rPr>
          <w:rFonts w:ascii="ITC Avant Garde" w:hAnsi="ITC Avant Garde"/>
        </w:rPr>
        <w:t xml:space="preserve"> es la prima de riesgo de deuda</w:t>
      </w:r>
    </w:p>
    <w:p w:rsidR="00A422CE" w:rsidRPr="00F42D0F" w:rsidRDefault="00A422CE" w:rsidP="00A422CE">
      <w:pPr>
        <w:pStyle w:val="Listaconvietas"/>
        <w:spacing w:line="276" w:lineRule="auto"/>
        <w:contextualSpacing w:val="0"/>
        <w:rPr>
          <w:rFonts w:ascii="ITC Avant Garde" w:hAnsi="ITC Avant Garde"/>
        </w:rPr>
      </w:pPr>
      <w:r w:rsidRPr="00F42D0F">
        <w:rPr>
          <w:rFonts w:ascii="ITC Avant Garde" w:hAnsi="ITC Avant Garde"/>
          <w:i/>
          <w:iCs/>
        </w:rPr>
        <w:t>T</w:t>
      </w:r>
      <w:r w:rsidRPr="00F42D0F">
        <w:rPr>
          <w:rFonts w:ascii="ITC Avant Garde" w:hAnsi="ITC Avant Garde"/>
        </w:rPr>
        <w:t xml:space="preserve"> es la tasa de impuestos corporativa.</w:t>
      </w:r>
    </w:p>
    <w:p w:rsidR="00A422CE" w:rsidRDefault="00A422CE" w:rsidP="00A422CE">
      <w:pPr>
        <w:pStyle w:val="IFT1"/>
        <w:spacing w:after="0"/>
      </w:pPr>
    </w:p>
    <w:p w:rsidR="00A422CE" w:rsidRPr="00E94D8A" w:rsidRDefault="00A422CE" w:rsidP="00A422CE">
      <w:pPr>
        <w:pStyle w:val="IFT1"/>
        <w:spacing w:after="0"/>
      </w:pPr>
      <w:r w:rsidRPr="00E010AB">
        <w:t>En el modelo se utiliza el Impuesto sobre la renta (ISR), como la tasa de impuestos corporativos (T), cuyo valor para el año 2016 es del 30%.</w:t>
      </w:r>
      <w:r>
        <w:t xml:space="preserve"> </w:t>
      </w:r>
    </w:p>
    <w:p w:rsidR="00A422CE" w:rsidRDefault="00A422CE" w:rsidP="00A422CE">
      <w:pPr>
        <w:pStyle w:val="IFT1"/>
        <w:spacing w:after="0"/>
      </w:pPr>
    </w:p>
    <w:p w:rsidR="00A422CE" w:rsidRDefault="00A422CE" w:rsidP="00A422CE">
      <w:pPr>
        <w:pStyle w:val="IFT1"/>
        <w:spacing w:after="0"/>
      </w:pPr>
      <w:r w:rsidRPr="00E94D8A">
        <w:t xml:space="preserve">La prima de riesgo de deuda de una empresa es la diferencia entre lo que una empresa tiene que pagar a sus acreedores al adquirir un préstamo y la tasa libre de riesgo. </w:t>
      </w:r>
    </w:p>
    <w:p w:rsidR="00A422CE" w:rsidRDefault="00A422CE" w:rsidP="00A422CE">
      <w:pPr>
        <w:pStyle w:val="IFT1"/>
        <w:spacing w:after="0"/>
      </w:pPr>
    </w:p>
    <w:p w:rsidR="00A422CE" w:rsidRPr="00E94D8A" w:rsidRDefault="00A422CE" w:rsidP="00A422CE">
      <w:pPr>
        <w:pStyle w:val="IFT1"/>
        <w:spacing w:after="0"/>
      </w:pPr>
      <w:r w:rsidRPr="00E94D8A">
        <w:t>Típicamente, la prima de riesgo de deuda varía de acuerdo con el apalancamiento de la empresa – cuanto mayor sea la proporción de financiamiento a través de deuda, mayor es la prima debido a la presión ejercida sobre los flujos de efectivo.</w:t>
      </w:r>
    </w:p>
    <w:p w:rsidR="00A422CE" w:rsidRDefault="00A422CE" w:rsidP="00A422CE">
      <w:pPr>
        <w:pStyle w:val="IFT1"/>
        <w:spacing w:after="0"/>
      </w:pPr>
    </w:p>
    <w:p w:rsidR="00A422CE" w:rsidRPr="00E94D8A" w:rsidRDefault="00A422CE" w:rsidP="00A422CE">
      <w:pPr>
        <w:pStyle w:val="IFT1"/>
        <w:spacing w:after="0"/>
      </w:pPr>
      <w:r>
        <w:lastRenderedPageBreak/>
        <w:t xml:space="preserve">Una manera válida de calcular la prima de riesgo es </w:t>
      </w:r>
      <w:r w:rsidRPr="00E94D8A">
        <w:t xml:space="preserve">sumar a la tasa libre de riesgo la prima de riesgo de la deuda asociada con la empresa, en base a una comparativa de las tasas de retorno de la deuda (p.ej. Eurobonos corporativos) de empresas comparables con riesgo o madurez semejantes. </w:t>
      </w:r>
    </w:p>
    <w:p w:rsidR="00A422CE" w:rsidRDefault="00A422CE" w:rsidP="00A422CE">
      <w:pPr>
        <w:pStyle w:val="IFT1"/>
        <w:spacing w:after="0"/>
      </w:pPr>
    </w:p>
    <w:p w:rsidR="00A422CE" w:rsidRDefault="00A422CE" w:rsidP="00A422CE">
      <w:pPr>
        <w:pStyle w:val="IFT1"/>
        <w:spacing w:after="0"/>
      </w:pPr>
      <w:r>
        <w:t>De esta forma s</w:t>
      </w:r>
      <w:r w:rsidRPr="00E94D8A">
        <w:t>e usa</w:t>
      </w:r>
      <w:r>
        <w:t>rá</w:t>
      </w:r>
      <w:r w:rsidRPr="00E94D8A">
        <w:t xml:space="preserve"> un costo de la deuda para el operador móvil que corresponde con la tasa de retorno libre de riesgo de México</w:t>
      </w:r>
      <w:r>
        <w:t>,</w:t>
      </w:r>
      <w:r w:rsidRPr="00E94D8A">
        <w:t xml:space="preserve"> </w:t>
      </w:r>
      <w:r>
        <w:t>más</w:t>
      </w:r>
      <w:r w:rsidRPr="00E94D8A">
        <w:t xml:space="preserve"> una prima de deuda por </w:t>
      </w:r>
      <w:r>
        <w:t>el mayor riesgo que tiene un</w:t>
      </w:r>
      <w:r w:rsidRPr="00E94D8A">
        <w:t xml:space="preserve"> operador </w:t>
      </w:r>
      <w:r>
        <w:t xml:space="preserve">en comparación </w:t>
      </w:r>
      <w:r w:rsidRPr="00E94D8A">
        <w:t xml:space="preserve">con el país. Para definir la prima </w:t>
      </w:r>
      <w:r>
        <w:t xml:space="preserve">se ha utilizado </w:t>
      </w:r>
      <w:r w:rsidRPr="00E94D8A">
        <w:t>una comparativa internacional.</w:t>
      </w:r>
    </w:p>
    <w:p w:rsidR="00A422CE" w:rsidRDefault="00A422CE" w:rsidP="00A422CE">
      <w:pPr>
        <w:pStyle w:val="IFT1"/>
        <w:spacing w:after="0"/>
      </w:pPr>
    </w:p>
    <w:p w:rsidR="00A422CE" w:rsidRDefault="00A422CE" w:rsidP="00A422CE">
      <w:pPr>
        <w:pStyle w:val="IFT1"/>
        <w:spacing w:after="0"/>
      </w:pPr>
      <w:r>
        <w:t>Se aplicará l</w:t>
      </w:r>
      <w:r w:rsidRPr="00E94D8A">
        <w:t>a misma metodología para determinar el costo de la deuda del operador fijo</w:t>
      </w:r>
      <w:r>
        <w:t>.</w:t>
      </w:r>
    </w:p>
    <w:p w:rsidR="00A422CE" w:rsidRDefault="00A422CE" w:rsidP="00A422CE">
      <w:pPr>
        <w:spacing w:after="0"/>
        <w:jc w:val="both"/>
        <w:rPr>
          <w:rFonts w:ascii="ITC Avant Garde" w:hAnsi="ITC Avant Garde"/>
          <w:spacing w:val="-4"/>
        </w:rPr>
      </w:pPr>
    </w:p>
    <w:p w:rsidR="00A422CE" w:rsidRPr="00EC68EC" w:rsidRDefault="00A422CE" w:rsidP="00A422CE">
      <w:pPr>
        <w:spacing w:after="0"/>
        <w:jc w:val="both"/>
        <w:rPr>
          <w:rFonts w:ascii="ITC Avant Garde" w:hAnsi="ITC Avant Garde"/>
          <w:spacing w:val="-4"/>
        </w:rPr>
      </w:pPr>
      <w:r w:rsidRPr="00EC68EC">
        <w:rPr>
          <w:rFonts w:ascii="ITC Avant Garde" w:hAnsi="ITC Avant Garde"/>
          <w:spacing w:val="-4"/>
        </w:rPr>
        <w:t>De esta forma se tiene el siguiente resultado:</w:t>
      </w:r>
      <w:r>
        <w:rPr>
          <w:rFonts w:ascii="ITC Avant Garde" w:hAnsi="ITC Avant Garde"/>
          <w:spacing w:val="-4"/>
        </w:rPr>
        <w:t xml:space="preserve"> </w:t>
      </w:r>
    </w:p>
    <w:p w:rsidR="00A422CE" w:rsidRPr="009378A3" w:rsidRDefault="00A422CE" w:rsidP="00A422CE">
      <w:pPr>
        <w:spacing w:after="0"/>
        <w:jc w:val="both"/>
        <w:rPr>
          <w:rFonts w:ascii="ITC Avant Garde" w:hAnsi="ITC Avant Garde"/>
          <w:spacing w:val="-4"/>
          <w:sz w:val="14"/>
        </w:rPr>
      </w:pPr>
    </w:p>
    <w:tbl>
      <w:tblPr>
        <w:tblW w:w="3830" w:type="dxa"/>
        <w:jc w:val="center"/>
        <w:tblCellMar>
          <w:left w:w="0" w:type="dxa"/>
          <w:right w:w="0" w:type="dxa"/>
        </w:tblCellMar>
        <w:tblLook w:val="0420" w:firstRow="1" w:lastRow="0" w:firstColumn="0" w:lastColumn="0" w:noHBand="0" w:noVBand="1"/>
      </w:tblPr>
      <w:tblGrid>
        <w:gridCol w:w="2977"/>
        <w:gridCol w:w="853"/>
      </w:tblGrid>
      <w:tr w:rsidR="00A422CE" w:rsidRPr="00690A63" w:rsidTr="00273FE6">
        <w:trPr>
          <w:trHeight w:val="332"/>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p>
        </w:tc>
        <w:tc>
          <w:tcPr>
            <w:tcW w:w="853" w:type="dxa"/>
            <w:tcBorders>
              <w:top w:val="single" w:sz="8" w:space="0" w:color="FFFFFF"/>
              <w:left w:val="single" w:sz="8" w:space="0" w:color="FFFFFF"/>
              <w:bottom w:val="single" w:sz="24" w:space="0" w:color="FFFFFF"/>
              <w:right w:val="single" w:sz="8" w:space="0" w:color="FFFFFF"/>
            </w:tcBorders>
            <w:shd w:val="clear" w:color="auto" w:fill="221F72"/>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Fijo</w:t>
            </w:r>
          </w:p>
        </w:tc>
      </w:tr>
      <w:tr w:rsidR="00A422CE" w:rsidRPr="00690A63" w:rsidTr="00273FE6">
        <w:trPr>
          <w:trHeight w:val="139"/>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libre de riesgo</w:t>
            </w:r>
          </w:p>
        </w:tc>
        <w:tc>
          <w:tcPr>
            <w:tcW w:w="853" w:type="dxa"/>
            <w:tcBorders>
              <w:top w:val="single" w:sz="24" w:space="0" w:color="FFFFFF"/>
              <w:left w:val="single" w:sz="8" w:space="0" w:color="FFFFFF"/>
              <w:bottom w:val="single" w:sz="8" w:space="0" w:color="FFFFFF"/>
              <w:right w:val="single" w:sz="8" w:space="0" w:color="FFFFFF"/>
            </w:tcBorders>
            <w:shd w:val="clear" w:color="auto" w:fill="CCCCD5"/>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Pr>
                <w:rFonts w:ascii="ITC Avant Garde" w:hAnsi="ITC Avant Garde"/>
                <w:spacing w:val="-4"/>
                <w:sz w:val="18"/>
                <w:szCs w:val="18"/>
                <w:lang w:val="es-ES_tradnl"/>
              </w:rPr>
              <w:t>5</w:t>
            </w:r>
            <w:r w:rsidRPr="00690A63">
              <w:rPr>
                <w:rFonts w:ascii="ITC Avant Garde" w:hAnsi="ITC Avant Garde"/>
                <w:spacing w:val="-4"/>
                <w:sz w:val="18"/>
                <w:szCs w:val="18"/>
                <w:lang w:val="es-ES_tradnl"/>
              </w:rPr>
              <w:t>.</w:t>
            </w:r>
            <w:r>
              <w:rPr>
                <w:rFonts w:ascii="ITC Avant Garde" w:hAnsi="ITC Avant Garde"/>
                <w:spacing w:val="-4"/>
                <w:sz w:val="18"/>
                <w:szCs w:val="18"/>
                <w:lang w:val="es-ES_tradnl"/>
              </w:rPr>
              <w:t>04</w:t>
            </w:r>
            <w:r w:rsidRPr="00690A63">
              <w:rPr>
                <w:rFonts w:ascii="ITC Avant Garde" w:hAnsi="ITC Avant Garde"/>
                <w:spacing w:val="-4"/>
                <w:sz w:val="18"/>
                <w:szCs w:val="18"/>
                <w:lang w:val="es-ES_tradnl"/>
              </w:rPr>
              <w:t>%</w:t>
            </w:r>
          </w:p>
        </w:tc>
      </w:tr>
      <w:tr w:rsidR="00A422CE" w:rsidRPr="00690A63" w:rsidTr="00273FE6">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Beta</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Pr>
                <w:rFonts w:ascii="ITC Avant Garde" w:hAnsi="ITC Avant Garde"/>
                <w:spacing w:val="-4"/>
                <w:sz w:val="18"/>
                <w:szCs w:val="18"/>
                <w:lang w:val="es-ES_tradnl"/>
              </w:rPr>
              <w:t>0.90</w:t>
            </w:r>
          </w:p>
        </w:tc>
      </w:tr>
      <w:tr w:rsidR="00A422CE" w:rsidRPr="00690A63" w:rsidTr="00273FE6">
        <w:trPr>
          <w:trHeight w:val="35"/>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Prima de mercado</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Pr>
                <w:rFonts w:ascii="ITC Avant Garde" w:hAnsi="ITC Avant Garde"/>
                <w:spacing w:val="-4"/>
                <w:sz w:val="18"/>
                <w:szCs w:val="18"/>
                <w:lang w:val="es-ES_tradnl"/>
              </w:rPr>
              <w:t>6.25</w:t>
            </w:r>
            <w:r w:rsidRPr="00690A63">
              <w:rPr>
                <w:rFonts w:ascii="ITC Avant Garde" w:hAnsi="ITC Avant Garde"/>
                <w:spacing w:val="-4"/>
                <w:sz w:val="18"/>
                <w:szCs w:val="18"/>
                <w:lang w:val="es-ES_tradnl"/>
              </w:rPr>
              <w:t>%</w:t>
            </w:r>
          </w:p>
        </w:tc>
      </w:tr>
      <w:tr w:rsidR="00A422CE" w:rsidRPr="00690A63" w:rsidTr="00273FE6">
        <w:trPr>
          <w:trHeight w:val="15"/>
          <w:jc w:val="center"/>
        </w:trPr>
        <w:tc>
          <w:tcPr>
            <w:tcW w:w="2977"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Ce</w:t>
            </w:r>
          </w:p>
        </w:tc>
        <w:tc>
          <w:tcPr>
            <w:tcW w:w="853" w:type="dxa"/>
            <w:tcBorders>
              <w:top w:val="single" w:sz="24"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Pr>
                <w:rFonts w:ascii="ITC Avant Garde" w:hAnsi="ITC Avant Garde"/>
                <w:b/>
                <w:bCs/>
                <w:spacing w:val="-4"/>
                <w:sz w:val="18"/>
                <w:szCs w:val="18"/>
                <w:lang w:val="es-ES_tradnl"/>
              </w:rPr>
              <w:t>15.21%</w:t>
            </w:r>
          </w:p>
        </w:tc>
      </w:tr>
      <w:tr w:rsidR="00A422CE" w:rsidRPr="00690A63" w:rsidTr="00273FE6">
        <w:trPr>
          <w:trHeight w:val="20"/>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Cd</w:t>
            </w:r>
          </w:p>
        </w:tc>
        <w:tc>
          <w:tcPr>
            <w:tcW w:w="853" w:type="dxa"/>
            <w:tcBorders>
              <w:top w:val="single" w:sz="8" w:space="0" w:color="FFFFFF"/>
              <w:left w:val="single" w:sz="8" w:space="0" w:color="FFFFFF"/>
              <w:bottom w:val="single" w:sz="8" w:space="0" w:color="FFFFFF"/>
              <w:right w:val="single" w:sz="8" w:space="0" w:color="FFFFFF"/>
            </w:tcBorders>
            <w:shd w:val="clear" w:color="auto" w:fill="BCE3FF"/>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6.</w:t>
            </w:r>
            <w:r>
              <w:rPr>
                <w:rFonts w:ascii="ITC Avant Garde" w:hAnsi="ITC Avant Garde"/>
                <w:b/>
                <w:bCs/>
                <w:spacing w:val="-4"/>
                <w:sz w:val="18"/>
                <w:szCs w:val="18"/>
                <w:lang w:val="es-ES_tradnl"/>
              </w:rPr>
              <w:t>35</w:t>
            </w:r>
            <w:r w:rsidRPr="00690A63">
              <w:rPr>
                <w:rFonts w:ascii="ITC Avant Garde" w:hAnsi="ITC Avant Garde"/>
                <w:b/>
                <w:bCs/>
                <w:spacing w:val="-4"/>
                <w:sz w:val="18"/>
                <w:szCs w:val="18"/>
                <w:lang w:val="es-ES_tradnl"/>
              </w:rPr>
              <w:t>%</w:t>
            </w:r>
          </w:p>
        </w:tc>
      </w:tr>
      <w:tr w:rsidR="00A422CE" w:rsidRPr="00690A63" w:rsidTr="00273FE6">
        <w:trPr>
          <w:trHeight w:val="209"/>
          <w:jc w:val="center"/>
        </w:trPr>
        <w:tc>
          <w:tcPr>
            <w:tcW w:w="2977"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Apalancamiento</w:t>
            </w:r>
          </w:p>
        </w:tc>
        <w:tc>
          <w:tcPr>
            <w:tcW w:w="853" w:type="dxa"/>
            <w:tcBorders>
              <w:top w:val="single" w:sz="8" w:space="0" w:color="FFFFFF"/>
              <w:left w:val="single" w:sz="8" w:space="0" w:color="FFFFFF"/>
              <w:bottom w:val="single" w:sz="8" w:space="0" w:color="FFFFFF"/>
              <w:right w:val="single" w:sz="8" w:space="0" w:color="FFFFFF"/>
            </w:tcBorders>
            <w:shd w:val="clear" w:color="auto" w:fill="E8E7EB"/>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Pr>
                <w:rFonts w:ascii="ITC Avant Garde" w:hAnsi="ITC Avant Garde"/>
                <w:spacing w:val="-4"/>
                <w:sz w:val="18"/>
                <w:szCs w:val="18"/>
                <w:lang w:val="es-ES_tradnl"/>
              </w:rPr>
              <w:t>59.75</w:t>
            </w:r>
            <w:r w:rsidRPr="00690A63">
              <w:rPr>
                <w:rFonts w:ascii="ITC Avant Garde" w:hAnsi="ITC Avant Garde"/>
                <w:spacing w:val="-4"/>
                <w:sz w:val="18"/>
                <w:szCs w:val="18"/>
                <w:lang w:val="es-ES_tradnl"/>
              </w:rPr>
              <w:t>%</w:t>
            </w:r>
          </w:p>
        </w:tc>
      </w:tr>
      <w:tr w:rsidR="00A422CE" w:rsidRPr="00690A63" w:rsidTr="00273FE6">
        <w:trPr>
          <w:trHeight w:val="73"/>
          <w:jc w:val="center"/>
        </w:trPr>
        <w:tc>
          <w:tcPr>
            <w:tcW w:w="2977"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Tasa de impuestos</w:t>
            </w:r>
          </w:p>
        </w:tc>
        <w:tc>
          <w:tcPr>
            <w:tcW w:w="853" w:type="dxa"/>
            <w:tcBorders>
              <w:top w:val="single" w:sz="8" w:space="0" w:color="FFFFFF"/>
              <w:left w:val="single" w:sz="8" w:space="0" w:color="FFFFFF"/>
              <w:bottom w:val="single" w:sz="24" w:space="0" w:color="FFFFFF"/>
              <w:right w:val="single" w:sz="8" w:space="0" w:color="FFFFFF"/>
            </w:tcBorders>
            <w:shd w:val="clear" w:color="auto" w:fill="CCCCD5"/>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spacing w:val="-4"/>
                <w:sz w:val="18"/>
                <w:szCs w:val="18"/>
                <w:lang w:val="es-ES_tradnl"/>
              </w:rPr>
              <w:t>30.00%</w:t>
            </w:r>
          </w:p>
        </w:tc>
      </w:tr>
      <w:tr w:rsidR="00A422CE" w:rsidRPr="00690A63" w:rsidTr="00273FE6">
        <w:trPr>
          <w:trHeight w:val="18"/>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nominal antes impuestos</w:t>
            </w:r>
          </w:p>
        </w:tc>
        <w:tc>
          <w:tcPr>
            <w:tcW w:w="853" w:type="dxa"/>
            <w:tcBorders>
              <w:top w:val="single" w:sz="24" w:space="0" w:color="FFFFFF"/>
              <w:left w:val="single" w:sz="8" w:space="0" w:color="FFFFFF"/>
              <w:bottom w:val="single" w:sz="24" w:space="0" w:color="FFFFFF"/>
              <w:right w:val="single" w:sz="8" w:space="0" w:color="FFFFFF"/>
            </w:tcBorders>
            <w:shd w:val="clear" w:color="auto" w:fill="BCE3FF"/>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Pr>
                <w:rFonts w:ascii="ITC Avant Garde" w:hAnsi="ITC Avant Garde"/>
                <w:b/>
                <w:bCs/>
                <w:spacing w:val="-4"/>
                <w:sz w:val="18"/>
                <w:szCs w:val="18"/>
                <w:lang w:val="es-ES_tradnl"/>
              </w:rPr>
              <w:t>9.91</w:t>
            </w:r>
            <w:r w:rsidRPr="00690A63">
              <w:rPr>
                <w:rFonts w:ascii="ITC Avant Garde" w:hAnsi="ITC Avant Garde"/>
                <w:b/>
                <w:bCs/>
                <w:spacing w:val="-4"/>
                <w:sz w:val="18"/>
                <w:szCs w:val="18"/>
                <w:lang w:val="es-ES_tradnl"/>
              </w:rPr>
              <w:t>%</w:t>
            </w:r>
          </w:p>
        </w:tc>
      </w:tr>
      <w:tr w:rsidR="00A422CE" w:rsidRPr="00690A63" w:rsidTr="00273FE6">
        <w:trPr>
          <w:trHeight w:val="160"/>
          <w:jc w:val="center"/>
        </w:trPr>
        <w:tc>
          <w:tcPr>
            <w:tcW w:w="2977"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spacing w:val="-4"/>
                <w:sz w:val="18"/>
                <w:szCs w:val="18"/>
                <w:lang w:val="es-ES"/>
              </w:rPr>
              <w:t>Tasa de inflación</w:t>
            </w:r>
          </w:p>
        </w:tc>
        <w:tc>
          <w:tcPr>
            <w:tcW w:w="853" w:type="dxa"/>
            <w:tcBorders>
              <w:top w:val="single" w:sz="24" w:space="0" w:color="FFFFFF"/>
              <w:left w:val="single" w:sz="8" w:space="0" w:color="FFFFFF"/>
              <w:bottom w:val="single" w:sz="24" w:space="0" w:color="FFFFFF"/>
              <w:right w:val="single" w:sz="8" w:space="0" w:color="FFFFFF"/>
            </w:tcBorders>
            <w:shd w:val="clear" w:color="auto" w:fill="E8E7EB"/>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Pr>
                <w:rFonts w:ascii="ITC Avant Garde" w:hAnsi="ITC Avant Garde"/>
                <w:spacing w:val="-4"/>
                <w:sz w:val="18"/>
                <w:szCs w:val="18"/>
                <w:lang w:val="es-ES"/>
              </w:rPr>
              <w:t>3.13</w:t>
            </w:r>
            <w:r w:rsidRPr="00690A63">
              <w:rPr>
                <w:rFonts w:ascii="ITC Avant Garde" w:hAnsi="ITC Avant Garde"/>
                <w:spacing w:val="-4"/>
                <w:sz w:val="18"/>
                <w:szCs w:val="18"/>
                <w:lang w:val="es-ES"/>
              </w:rPr>
              <w:t>%</w:t>
            </w:r>
          </w:p>
        </w:tc>
      </w:tr>
      <w:tr w:rsidR="00A422CE" w:rsidRPr="00690A63" w:rsidTr="00273FE6">
        <w:trPr>
          <w:trHeight w:val="15"/>
          <w:jc w:val="center"/>
        </w:trPr>
        <w:tc>
          <w:tcPr>
            <w:tcW w:w="2977"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sidRPr="00690A63">
              <w:rPr>
                <w:rFonts w:ascii="ITC Avant Garde" w:hAnsi="ITC Avant Garde"/>
                <w:b/>
                <w:bCs/>
                <w:spacing w:val="-4"/>
                <w:sz w:val="18"/>
                <w:szCs w:val="18"/>
                <w:lang w:val="es-ES_tradnl"/>
              </w:rPr>
              <w:t>CCPP real antes impuestos</w:t>
            </w:r>
          </w:p>
        </w:tc>
        <w:tc>
          <w:tcPr>
            <w:tcW w:w="853" w:type="dxa"/>
            <w:tcBorders>
              <w:top w:val="single" w:sz="24" w:space="0" w:color="FFFFFF"/>
              <w:left w:val="single" w:sz="8" w:space="0" w:color="FFFFFF"/>
              <w:bottom w:val="nil"/>
              <w:right w:val="single" w:sz="8" w:space="0" w:color="FFFFFF"/>
            </w:tcBorders>
            <w:shd w:val="clear" w:color="auto" w:fill="BCE3FF"/>
            <w:tcMar>
              <w:top w:w="72" w:type="dxa"/>
              <w:left w:w="144" w:type="dxa"/>
              <w:bottom w:w="72" w:type="dxa"/>
              <w:right w:w="144" w:type="dxa"/>
            </w:tcMar>
            <w:hideMark/>
          </w:tcPr>
          <w:p w:rsidR="00A422CE" w:rsidRPr="00690A63" w:rsidRDefault="00A422CE" w:rsidP="00273FE6">
            <w:pPr>
              <w:spacing w:after="0"/>
              <w:jc w:val="both"/>
              <w:rPr>
                <w:rFonts w:ascii="ITC Avant Garde" w:hAnsi="ITC Avant Garde"/>
                <w:spacing w:val="-4"/>
                <w:sz w:val="18"/>
                <w:szCs w:val="18"/>
              </w:rPr>
            </w:pPr>
            <w:r>
              <w:rPr>
                <w:rFonts w:ascii="ITC Avant Garde" w:hAnsi="ITC Avant Garde"/>
                <w:b/>
                <w:bCs/>
                <w:spacing w:val="-4"/>
                <w:sz w:val="18"/>
                <w:szCs w:val="18"/>
                <w:lang w:val="es-ES_tradnl"/>
              </w:rPr>
              <w:t>6.58%</w:t>
            </w:r>
          </w:p>
        </w:tc>
      </w:tr>
    </w:tbl>
    <w:p w:rsidR="00A422CE" w:rsidRPr="00001F29" w:rsidRDefault="00A422CE" w:rsidP="00A422CE">
      <w:pPr>
        <w:spacing w:after="0"/>
        <w:jc w:val="center"/>
        <w:rPr>
          <w:rFonts w:ascii="ITC Avant Garde" w:hAnsi="ITC Avant Garde"/>
          <w:b/>
          <w:i/>
          <w:color w:val="000000"/>
          <w:sz w:val="18"/>
          <w:szCs w:val="18"/>
        </w:rPr>
      </w:pPr>
      <w:r w:rsidRPr="00001F29">
        <w:rPr>
          <w:rFonts w:ascii="ITC Avant Garde" w:eastAsia="Times New Roman" w:hAnsi="ITC Avant Garde" w:cs="Arial"/>
          <w:b/>
          <w:i/>
          <w:sz w:val="18"/>
          <w:szCs w:val="18"/>
          <w:lang w:val="es-ES" w:eastAsia="es-ES"/>
        </w:rPr>
        <w:t>Tabla 1: Costo de Capital Promedio Ponderado [Fuente: Analysys Mason)</w:t>
      </w:r>
    </w:p>
    <w:p w:rsidR="000F0D17" w:rsidRDefault="000F0D17" w:rsidP="00FE3007">
      <w:pPr>
        <w:spacing w:after="0"/>
        <w:rPr>
          <w:rFonts w:ascii="ITC Avant Garde" w:hAnsi="ITC Avant Garde"/>
        </w:rPr>
      </w:pPr>
    </w:p>
    <w:p w:rsidR="002D7AD4" w:rsidRDefault="00BA6012" w:rsidP="002D7AD4">
      <w:pPr>
        <w:spacing w:after="0"/>
        <w:jc w:val="both"/>
        <w:rPr>
          <w:rFonts w:ascii="ITC Avant Garde" w:eastAsia="Times New Roman" w:hAnsi="ITC Avant Garde" w:cs="Arial"/>
        </w:rPr>
      </w:pPr>
      <w:r>
        <w:rPr>
          <w:rFonts w:ascii="ITC Avant Garde" w:hAnsi="ITC Avant Garde"/>
          <w:spacing w:val="-4"/>
        </w:rPr>
        <w:t>Con base en lo anterior l</w:t>
      </w:r>
      <w:r w:rsidRPr="00F50BEF">
        <w:rPr>
          <w:rFonts w:ascii="ITC Avant Garde" w:hAnsi="ITC Avant Garde"/>
          <w:spacing w:val="-4"/>
          <w:lang w:val="es-ES"/>
        </w:rPr>
        <w:t xml:space="preserve">as contraprestaciones </w:t>
      </w:r>
      <w:r w:rsidR="002D7AD4">
        <w:rPr>
          <w:rFonts w:ascii="ITC Avant Garde" w:eastAsia="Times New Roman" w:hAnsi="ITC Avant Garde" w:cs="Arial"/>
        </w:rPr>
        <w:t xml:space="preserve">por el servicio </w:t>
      </w:r>
      <w:r>
        <w:rPr>
          <w:rFonts w:ascii="ITC Avant Garde" w:eastAsia="Times New Roman" w:hAnsi="ITC Avant Garde" w:cs="Arial"/>
        </w:rPr>
        <w:t>de Enlaces Dedicados de Interconexión,</w:t>
      </w:r>
      <w:r w:rsidRPr="00F50BEF">
        <w:rPr>
          <w:rFonts w:ascii="ITC Avant Garde" w:eastAsia="Times New Roman" w:hAnsi="ITC Avant Garde" w:cs="Arial"/>
        </w:rPr>
        <w:t xml:space="preserve"> serán las siguientes:</w:t>
      </w:r>
    </w:p>
    <w:p w:rsidR="002D7AD4" w:rsidRPr="002D7AD4" w:rsidRDefault="002D7AD4" w:rsidP="002D7AD4">
      <w:pPr>
        <w:spacing w:after="0"/>
        <w:jc w:val="both"/>
        <w:rPr>
          <w:rFonts w:ascii="ITC Avant Garde" w:eastAsia="Times New Roman" w:hAnsi="ITC Avant Garde" w:cs="Arial"/>
        </w:rPr>
      </w:pPr>
    </w:p>
    <w:tbl>
      <w:tblPr>
        <w:tblW w:w="8222" w:type="dxa"/>
        <w:jc w:val="center"/>
        <w:tblLayout w:type="fixed"/>
        <w:tblCellMar>
          <w:left w:w="70" w:type="dxa"/>
          <w:right w:w="70" w:type="dxa"/>
        </w:tblCellMar>
        <w:tblLook w:val="04A0" w:firstRow="1" w:lastRow="0" w:firstColumn="1" w:lastColumn="0" w:noHBand="0" w:noVBand="1"/>
      </w:tblPr>
      <w:tblGrid>
        <w:gridCol w:w="5245"/>
        <w:gridCol w:w="2977"/>
      </w:tblGrid>
      <w:tr w:rsidR="002D7AD4" w:rsidRPr="002D7AD4" w:rsidTr="002D7AD4">
        <w:trPr>
          <w:trHeight w:val="525"/>
          <w:jc w:val="center"/>
        </w:trPr>
        <w:tc>
          <w:tcPr>
            <w:tcW w:w="5245" w:type="dxa"/>
            <w:tcBorders>
              <w:top w:val="nil"/>
              <w:left w:val="nil"/>
              <w:bottom w:val="single" w:sz="8" w:space="0" w:color="4F81BD"/>
              <w:right w:val="nil"/>
            </w:tcBorders>
            <w:shd w:val="clear" w:color="auto" w:fill="auto"/>
            <w:noWrap/>
            <w:vAlign w:val="center"/>
            <w:hideMark/>
          </w:tcPr>
          <w:p w:rsidR="002D7AD4" w:rsidRPr="002D7AD4" w:rsidRDefault="002D7AD4" w:rsidP="00197054">
            <w:pPr>
              <w:spacing w:after="0" w:line="240" w:lineRule="auto"/>
              <w:jc w:val="center"/>
              <w:rPr>
                <w:rFonts w:ascii="ITC Avant Garde" w:eastAsia="Times New Roman" w:hAnsi="ITC Avant Garde"/>
                <w:b/>
                <w:bCs/>
                <w:color w:val="000000"/>
                <w:sz w:val="20"/>
                <w:szCs w:val="20"/>
              </w:rPr>
            </w:pPr>
            <w:r w:rsidRPr="002D7AD4">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rsidR="002D7AD4" w:rsidRPr="002D7AD4" w:rsidRDefault="002D7AD4" w:rsidP="00197054">
            <w:pPr>
              <w:spacing w:after="0" w:line="240" w:lineRule="auto"/>
              <w:jc w:val="center"/>
              <w:rPr>
                <w:rFonts w:ascii="ITC Avant Garde" w:eastAsia="Times New Roman" w:hAnsi="ITC Avant Garde"/>
                <w:b/>
                <w:bCs/>
                <w:color w:val="000000"/>
                <w:sz w:val="20"/>
                <w:szCs w:val="20"/>
              </w:rPr>
            </w:pPr>
            <w:r w:rsidRPr="002D7AD4">
              <w:rPr>
                <w:rFonts w:ascii="ITC Avant Garde" w:eastAsia="Times New Roman" w:hAnsi="ITC Avant Garde"/>
                <w:b/>
                <w:bCs/>
                <w:color w:val="000000"/>
                <w:sz w:val="20"/>
                <w:szCs w:val="20"/>
              </w:rPr>
              <w:t>Gastos de instalación</w:t>
            </w:r>
          </w:p>
          <w:p w:rsidR="002D7AD4" w:rsidRPr="002D7AD4" w:rsidRDefault="002D7AD4" w:rsidP="00197054">
            <w:pPr>
              <w:spacing w:after="0" w:line="240" w:lineRule="auto"/>
              <w:jc w:val="center"/>
              <w:rPr>
                <w:rFonts w:ascii="ITC Avant Garde" w:eastAsia="Times New Roman" w:hAnsi="ITC Avant Garde"/>
                <w:b/>
                <w:bCs/>
                <w:color w:val="000000"/>
                <w:sz w:val="20"/>
                <w:szCs w:val="20"/>
              </w:rPr>
            </w:pPr>
            <w:r w:rsidRPr="002D7AD4">
              <w:rPr>
                <w:rFonts w:ascii="ITC Avant Garde" w:eastAsia="Times New Roman" w:hAnsi="ITC Avant Garde"/>
                <w:b/>
                <w:bCs/>
                <w:color w:val="000000"/>
                <w:sz w:val="20"/>
                <w:szCs w:val="20"/>
              </w:rPr>
              <w:t>(Pesos M.N.)</w:t>
            </w:r>
          </w:p>
        </w:tc>
      </w:tr>
      <w:tr w:rsidR="002D7AD4" w:rsidRPr="002D7AD4" w:rsidTr="002D7AD4">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rsidR="002D7AD4" w:rsidRPr="002D7AD4" w:rsidRDefault="002D7AD4" w:rsidP="00197054">
            <w:pPr>
              <w:spacing w:after="0" w:line="240" w:lineRule="auto"/>
              <w:jc w:val="both"/>
              <w:rPr>
                <w:rFonts w:ascii="ITC Avant Garde" w:eastAsia="Times New Roman" w:hAnsi="ITC Avant Garde"/>
                <w:color w:val="000000"/>
                <w:sz w:val="20"/>
                <w:szCs w:val="20"/>
              </w:rPr>
            </w:pPr>
            <w:r w:rsidRPr="002D7AD4">
              <w:rPr>
                <w:rFonts w:ascii="ITC Avant Garde" w:hAnsi="ITC Avant Garde" w:cs="Arial"/>
                <w:sz w:val="20"/>
                <w:szCs w:val="20"/>
                <w:lang w:val="es-ES"/>
              </w:rPr>
              <w:t>Enlaces de interconexión con velocidades de transmisión E1 (2.048 Mbps)</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rsidR="002D7AD4" w:rsidRPr="002D7AD4" w:rsidRDefault="002D7AD4" w:rsidP="00197054">
            <w:pPr>
              <w:spacing w:after="0" w:line="240" w:lineRule="auto"/>
              <w:jc w:val="center"/>
              <w:rPr>
                <w:rFonts w:ascii="ITC Avant Garde" w:eastAsia="Times New Roman" w:hAnsi="ITC Avant Garde"/>
                <w:color w:val="000000"/>
                <w:sz w:val="20"/>
                <w:szCs w:val="20"/>
              </w:rPr>
            </w:pPr>
            <w:r w:rsidRPr="002D7AD4">
              <w:rPr>
                <w:rFonts w:ascii="ITC Avant Garde" w:hAnsi="ITC Avant Garde" w:cs="Arial"/>
                <w:sz w:val="20"/>
                <w:szCs w:val="20"/>
              </w:rPr>
              <w:t>$7,239.46</w:t>
            </w:r>
          </w:p>
        </w:tc>
      </w:tr>
      <w:tr w:rsidR="002D7AD4" w:rsidRPr="0070237D" w:rsidTr="009B7712">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rsidR="002D7AD4" w:rsidRPr="0070237D" w:rsidRDefault="002D7AD4" w:rsidP="00197054">
            <w:pPr>
              <w:spacing w:after="0" w:line="240" w:lineRule="auto"/>
              <w:jc w:val="both"/>
              <w:rPr>
                <w:rFonts w:ascii="ITC Avant Garde" w:hAnsi="ITC Avant Garde" w:cs="Arial"/>
                <w:sz w:val="20"/>
                <w:szCs w:val="20"/>
                <w:lang w:val="es-ES"/>
              </w:rPr>
            </w:pPr>
            <w:r w:rsidRPr="002D7AD4">
              <w:rPr>
                <w:rFonts w:ascii="ITC Avant Garde" w:hAnsi="ITC Avant Garde" w:cs="Arial"/>
                <w:sz w:val="20"/>
                <w:szCs w:val="20"/>
                <w:lang w:val="es-ES"/>
              </w:rPr>
              <w:t>Enlaces de interconexión con velocidades de transmisión E3 (34.368 Mbps)</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rsidR="002D7AD4" w:rsidRPr="0070237D" w:rsidRDefault="002D7AD4" w:rsidP="00197054">
            <w:pPr>
              <w:spacing w:after="0" w:line="240" w:lineRule="auto"/>
              <w:jc w:val="center"/>
              <w:rPr>
                <w:rFonts w:ascii="ITC Avant Garde" w:hAnsi="ITC Avant Garde" w:cs="Arial"/>
                <w:sz w:val="20"/>
                <w:szCs w:val="20"/>
                <w:lang w:val="es-ES"/>
              </w:rPr>
            </w:pPr>
            <w:r w:rsidRPr="0070237D">
              <w:rPr>
                <w:rFonts w:ascii="ITC Avant Garde" w:hAnsi="ITC Avant Garde" w:cs="Arial"/>
                <w:sz w:val="20"/>
                <w:szCs w:val="20"/>
                <w:lang w:val="es-ES"/>
              </w:rPr>
              <w:t>$43,436.78</w:t>
            </w:r>
          </w:p>
        </w:tc>
      </w:tr>
      <w:tr w:rsidR="002D7AD4" w:rsidRPr="009B7712" w:rsidTr="002D7AD4">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rsidR="002D7AD4" w:rsidRPr="002D7AD4" w:rsidRDefault="002D7AD4" w:rsidP="00197054">
            <w:pPr>
              <w:spacing w:after="0" w:line="240" w:lineRule="auto"/>
              <w:jc w:val="both"/>
              <w:rPr>
                <w:rFonts w:ascii="ITC Avant Garde" w:eastAsia="Times New Roman" w:hAnsi="ITC Avant Garde"/>
                <w:color w:val="000000"/>
                <w:sz w:val="20"/>
                <w:szCs w:val="20"/>
              </w:rPr>
            </w:pPr>
            <w:r w:rsidRPr="002D7AD4">
              <w:rPr>
                <w:rFonts w:ascii="ITC Avant Garde" w:hAnsi="ITC Avant Garde" w:cs="Arial"/>
                <w:sz w:val="20"/>
                <w:szCs w:val="20"/>
                <w:lang w:val="es-ES"/>
              </w:rPr>
              <w:lastRenderedPageBreak/>
              <w:t>Enlaces de interconexión con velocidades de transmisión STM1 (</w:t>
            </w:r>
            <w:r w:rsidRPr="002D7AD4">
              <w:rPr>
                <w:rFonts w:ascii="ITC Avant Garde" w:eastAsia="Times New Roman" w:hAnsi="ITC Avant Garde" w:cs="Arial"/>
                <w:bCs/>
                <w:sz w:val="20"/>
                <w:szCs w:val="20"/>
                <w:lang w:val="es-ES_tradnl" w:eastAsia="es-ES"/>
              </w:rPr>
              <w:t>155.52 Mbps</w:t>
            </w:r>
            <w:r w:rsidRPr="002D7AD4">
              <w:rPr>
                <w:rFonts w:ascii="ITC Avant Garde" w:hAnsi="ITC Avant Garde" w:cs="Arial"/>
                <w:sz w:val="20"/>
                <w:szCs w:val="20"/>
                <w:lang w:val="es-ES"/>
              </w:rPr>
              <w:t>)</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rsidR="002D7AD4" w:rsidRPr="002D7AD4" w:rsidRDefault="002D7AD4" w:rsidP="00197054">
            <w:pPr>
              <w:spacing w:after="0" w:line="240" w:lineRule="auto"/>
              <w:jc w:val="center"/>
              <w:rPr>
                <w:rFonts w:ascii="ITC Avant Garde" w:eastAsia="Times New Roman" w:hAnsi="ITC Avant Garde"/>
                <w:color w:val="000000"/>
                <w:sz w:val="20"/>
                <w:szCs w:val="20"/>
              </w:rPr>
            </w:pPr>
            <w:r w:rsidRPr="002D7AD4">
              <w:rPr>
                <w:rFonts w:ascii="ITC Avant Garde" w:eastAsia="Times New Roman" w:hAnsi="ITC Avant Garde" w:cs="Arial"/>
                <w:sz w:val="20"/>
                <w:szCs w:val="20"/>
                <w:lang w:eastAsia="es-ES"/>
              </w:rPr>
              <w:t>$86,873.57</w:t>
            </w:r>
          </w:p>
        </w:tc>
      </w:tr>
      <w:tr w:rsidR="002D7AD4" w:rsidRPr="0070237D" w:rsidTr="009B7712">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rsidR="002D7AD4" w:rsidRPr="002D7AD4" w:rsidRDefault="002D7AD4" w:rsidP="002D7AD4">
            <w:pPr>
              <w:spacing w:after="0" w:line="240" w:lineRule="auto"/>
              <w:jc w:val="both"/>
              <w:rPr>
                <w:rFonts w:ascii="ITC Avant Garde" w:hAnsi="ITC Avant Garde" w:cs="Arial"/>
                <w:sz w:val="20"/>
                <w:szCs w:val="20"/>
                <w:lang w:val="es-ES"/>
              </w:rPr>
            </w:pPr>
            <w:r w:rsidRPr="002D7AD4">
              <w:rPr>
                <w:rFonts w:ascii="ITC Avant Garde" w:hAnsi="ITC Avant Garde" w:cs="Arial"/>
                <w:sz w:val="20"/>
                <w:szCs w:val="20"/>
                <w:lang w:val="es-ES"/>
              </w:rPr>
              <w:t>Enlaces de interconexión con tecnología Ethernet con velocidades de transmisión de 1 Gbps</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rsidR="002D7AD4" w:rsidRPr="002D7AD4" w:rsidRDefault="002D7AD4" w:rsidP="00197054">
            <w:pPr>
              <w:spacing w:after="0" w:line="240" w:lineRule="auto"/>
              <w:jc w:val="center"/>
              <w:rPr>
                <w:rFonts w:ascii="ITC Avant Garde" w:hAnsi="ITC Avant Garde" w:cs="Arial"/>
                <w:sz w:val="20"/>
                <w:szCs w:val="20"/>
                <w:lang w:val="es-ES"/>
              </w:rPr>
            </w:pPr>
            <w:r w:rsidRPr="002D7AD4">
              <w:rPr>
                <w:rFonts w:ascii="ITC Avant Garde" w:hAnsi="ITC Avant Garde" w:cs="Arial"/>
                <w:sz w:val="20"/>
                <w:szCs w:val="20"/>
                <w:lang w:val="es-ES"/>
              </w:rPr>
              <w:t>$115,831.42</w:t>
            </w:r>
          </w:p>
        </w:tc>
      </w:tr>
      <w:tr w:rsidR="002D7AD4" w:rsidRPr="002D7AD4" w:rsidTr="002D7AD4">
        <w:trPr>
          <w:trHeight w:val="315"/>
          <w:jc w:val="center"/>
        </w:trPr>
        <w:tc>
          <w:tcPr>
            <w:tcW w:w="5245" w:type="dxa"/>
            <w:tcBorders>
              <w:top w:val="single" w:sz="8" w:space="0" w:color="4F81BD"/>
              <w:left w:val="nil"/>
              <w:bottom w:val="single" w:sz="4" w:space="0" w:color="auto"/>
              <w:right w:val="nil"/>
            </w:tcBorders>
            <w:shd w:val="clear" w:color="auto" w:fill="auto"/>
            <w:noWrap/>
            <w:vAlign w:val="center"/>
          </w:tcPr>
          <w:p w:rsidR="002D7AD4" w:rsidRPr="002D7AD4" w:rsidRDefault="002D7AD4" w:rsidP="002D7AD4">
            <w:pPr>
              <w:spacing w:after="0" w:line="240" w:lineRule="auto"/>
              <w:jc w:val="both"/>
              <w:rPr>
                <w:rFonts w:ascii="ITC Avant Garde" w:hAnsi="ITC Avant Garde" w:cs="Arial"/>
                <w:sz w:val="20"/>
                <w:szCs w:val="20"/>
                <w:lang w:val="es-ES"/>
              </w:rPr>
            </w:pPr>
            <w:r w:rsidRPr="002D7AD4">
              <w:rPr>
                <w:rFonts w:ascii="ITC Avant Garde" w:hAnsi="ITC Avant Garde" w:cs="Arial"/>
                <w:sz w:val="20"/>
                <w:szCs w:val="20"/>
                <w:lang w:val="es-ES"/>
              </w:rPr>
              <w:t>Enlaces de interconexión con tecnología Ethernet con velocidades de transmisión de 10 Gbps</w:t>
            </w:r>
          </w:p>
        </w:tc>
        <w:tc>
          <w:tcPr>
            <w:tcW w:w="2977" w:type="dxa"/>
            <w:tcBorders>
              <w:top w:val="single" w:sz="8" w:space="0" w:color="4F81BD"/>
              <w:left w:val="single" w:sz="8" w:space="0" w:color="4F81BD"/>
              <w:bottom w:val="single" w:sz="4" w:space="0" w:color="auto"/>
              <w:right w:val="single" w:sz="8" w:space="0" w:color="4F81BD"/>
            </w:tcBorders>
            <w:shd w:val="clear" w:color="000000" w:fill="A7BFDE"/>
            <w:noWrap/>
            <w:vAlign w:val="center"/>
          </w:tcPr>
          <w:p w:rsidR="002D7AD4" w:rsidRPr="002D7AD4" w:rsidRDefault="002D7AD4" w:rsidP="00197054">
            <w:pPr>
              <w:spacing w:after="0" w:line="240" w:lineRule="auto"/>
              <w:jc w:val="center"/>
              <w:rPr>
                <w:rFonts w:ascii="ITC Avant Garde" w:eastAsia="Times New Roman" w:hAnsi="ITC Avant Garde" w:cs="Arial"/>
                <w:sz w:val="20"/>
                <w:szCs w:val="20"/>
                <w:lang w:eastAsia="es-ES"/>
              </w:rPr>
            </w:pPr>
            <w:r w:rsidRPr="002D7AD4">
              <w:rPr>
                <w:rFonts w:ascii="ITC Avant Garde" w:eastAsia="Times New Roman" w:hAnsi="ITC Avant Garde" w:cs="Arial"/>
                <w:sz w:val="20"/>
                <w:szCs w:val="20"/>
                <w:lang w:eastAsia="es-ES"/>
              </w:rPr>
              <w:t>$144,789.28</w:t>
            </w:r>
          </w:p>
        </w:tc>
      </w:tr>
    </w:tbl>
    <w:p w:rsidR="0070237D" w:rsidRPr="00F50BEF" w:rsidRDefault="0070237D" w:rsidP="0070237D">
      <w:pPr>
        <w:spacing w:after="0"/>
        <w:jc w:val="both"/>
        <w:rPr>
          <w:rFonts w:ascii="ITC Avant Garde" w:eastAsia="Times New Roman" w:hAnsi="ITC Avant Garde" w:cs="Arial"/>
        </w:rPr>
      </w:pPr>
    </w:p>
    <w:p w:rsidR="0070237D" w:rsidRDefault="0070237D" w:rsidP="00FE3007">
      <w:pPr>
        <w:spacing w:after="0"/>
        <w:jc w:val="both"/>
        <w:rPr>
          <w:rFonts w:ascii="ITC Avant Garde" w:eastAsia="Times New Roman" w:hAnsi="ITC Avant Garde" w:cs="Arial"/>
        </w:rPr>
      </w:pPr>
      <w:r w:rsidRPr="00F50BEF">
        <w:rPr>
          <w:rFonts w:ascii="ITC Avant Garde" w:hAnsi="ITC Avant Garde"/>
          <w:spacing w:val="-4"/>
          <w:lang w:val="es-ES"/>
        </w:rPr>
        <w:t xml:space="preserve">Las contraprestaciones por renta mensual </w:t>
      </w:r>
      <w:r>
        <w:rPr>
          <w:rFonts w:ascii="ITC Avant Garde" w:eastAsia="Times New Roman" w:hAnsi="ITC Avant Garde" w:cs="Arial"/>
        </w:rPr>
        <w:t>serán las siguientes</w:t>
      </w:r>
      <w:r w:rsidRPr="00F50BEF">
        <w:rPr>
          <w:rFonts w:ascii="ITC Avant Garde" w:eastAsia="Times New Roman" w:hAnsi="ITC Avant Garde" w:cs="Arial"/>
        </w:rPr>
        <w:t xml:space="preserve">: </w:t>
      </w:r>
    </w:p>
    <w:p w:rsidR="00FE3007" w:rsidRPr="00FE3007" w:rsidRDefault="00FE3007" w:rsidP="00FE3007">
      <w:pPr>
        <w:spacing w:after="0"/>
        <w:jc w:val="both"/>
        <w:rPr>
          <w:rFonts w:ascii="ITC Avant Garde" w:eastAsia="Times New Roman" w:hAnsi="ITC Avant Garde" w:cs="Arial"/>
        </w:rPr>
      </w:pPr>
    </w:p>
    <w:tbl>
      <w:tblPr>
        <w:tblW w:w="8222" w:type="dxa"/>
        <w:jc w:val="center"/>
        <w:tblLayout w:type="fixed"/>
        <w:tblCellMar>
          <w:left w:w="70" w:type="dxa"/>
          <w:right w:w="70" w:type="dxa"/>
        </w:tblCellMar>
        <w:tblLook w:val="04A0" w:firstRow="1" w:lastRow="0" w:firstColumn="1" w:lastColumn="0" w:noHBand="0" w:noVBand="1"/>
      </w:tblPr>
      <w:tblGrid>
        <w:gridCol w:w="5245"/>
        <w:gridCol w:w="2977"/>
      </w:tblGrid>
      <w:tr w:rsidR="0070237D" w:rsidRPr="002D7AD4" w:rsidTr="00197054">
        <w:trPr>
          <w:trHeight w:val="525"/>
          <w:jc w:val="center"/>
        </w:trPr>
        <w:tc>
          <w:tcPr>
            <w:tcW w:w="5245" w:type="dxa"/>
            <w:tcBorders>
              <w:top w:val="nil"/>
              <w:left w:val="nil"/>
              <w:bottom w:val="single" w:sz="8" w:space="0" w:color="4F81BD"/>
              <w:right w:val="nil"/>
            </w:tcBorders>
            <w:shd w:val="clear" w:color="auto" w:fill="auto"/>
            <w:noWrap/>
            <w:vAlign w:val="center"/>
            <w:hideMark/>
          </w:tcPr>
          <w:p w:rsidR="0070237D" w:rsidRPr="002D7AD4" w:rsidRDefault="0070237D" w:rsidP="00197054">
            <w:pPr>
              <w:spacing w:after="0" w:line="240" w:lineRule="auto"/>
              <w:jc w:val="center"/>
              <w:rPr>
                <w:rFonts w:ascii="ITC Avant Garde" w:eastAsia="Times New Roman" w:hAnsi="ITC Avant Garde"/>
                <w:b/>
                <w:bCs/>
                <w:color w:val="000000"/>
                <w:sz w:val="20"/>
                <w:szCs w:val="20"/>
              </w:rPr>
            </w:pPr>
            <w:r w:rsidRPr="002D7AD4">
              <w:rPr>
                <w:rFonts w:ascii="ITC Avant Garde" w:eastAsia="Times New Roman" w:hAnsi="ITC Avant Garde"/>
                <w:b/>
                <w:bCs/>
                <w:color w:val="000000"/>
                <w:sz w:val="20"/>
                <w:szCs w:val="20"/>
              </w:rPr>
              <w:t>Concepto</w:t>
            </w:r>
          </w:p>
        </w:tc>
        <w:tc>
          <w:tcPr>
            <w:tcW w:w="2977" w:type="dxa"/>
            <w:tcBorders>
              <w:top w:val="single" w:sz="8" w:space="0" w:color="4F81BD"/>
              <w:left w:val="single" w:sz="8" w:space="0" w:color="4F81BD"/>
              <w:bottom w:val="single" w:sz="8" w:space="0" w:color="4F81BD"/>
              <w:right w:val="single" w:sz="8" w:space="0" w:color="4F81BD"/>
            </w:tcBorders>
            <w:shd w:val="clear" w:color="000000" w:fill="EDF2F8"/>
            <w:vAlign w:val="center"/>
            <w:hideMark/>
          </w:tcPr>
          <w:p w:rsidR="0070237D" w:rsidRPr="002D7AD4" w:rsidRDefault="0070237D" w:rsidP="00197054">
            <w:pPr>
              <w:spacing w:after="0" w:line="240" w:lineRule="auto"/>
              <w:jc w:val="center"/>
              <w:rPr>
                <w:rFonts w:ascii="ITC Avant Garde" w:eastAsia="Times New Roman" w:hAnsi="ITC Avant Garde"/>
                <w:b/>
                <w:bCs/>
                <w:color w:val="000000"/>
                <w:sz w:val="20"/>
                <w:szCs w:val="20"/>
              </w:rPr>
            </w:pPr>
            <w:r>
              <w:rPr>
                <w:rFonts w:ascii="ITC Avant Garde" w:eastAsia="Times New Roman" w:hAnsi="ITC Avant Garde"/>
                <w:b/>
                <w:bCs/>
                <w:color w:val="000000"/>
                <w:sz w:val="20"/>
                <w:szCs w:val="20"/>
              </w:rPr>
              <w:t>Contraprestación Mensual</w:t>
            </w:r>
          </w:p>
          <w:p w:rsidR="0070237D" w:rsidRPr="002D7AD4" w:rsidRDefault="0070237D" w:rsidP="00197054">
            <w:pPr>
              <w:spacing w:after="0" w:line="240" w:lineRule="auto"/>
              <w:jc w:val="center"/>
              <w:rPr>
                <w:rFonts w:ascii="ITC Avant Garde" w:eastAsia="Times New Roman" w:hAnsi="ITC Avant Garde"/>
                <w:b/>
                <w:bCs/>
                <w:color w:val="000000"/>
                <w:sz w:val="20"/>
                <w:szCs w:val="20"/>
              </w:rPr>
            </w:pPr>
            <w:r w:rsidRPr="002D7AD4">
              <w:rPr>
                <w:rFonts w:ascii="ITC Avant Garde" w:eastAsia="Times New Roman" w:hAnsi="ITC Avant Garde"/>
                <w:b/>
                <w:bCs/>
                <w:color w:val="000000"/>
                <w:sz w:val="20"/>
                <w:szCs w:val="20"/>
              </w:rPr>
              <w:t>(Pesos M.N.)</w:t>
            </w:r>
          </w:p>
        </w:tc>
      </w:tr>
      <w:tr w:rsidR="0070237D" w:rsidRPr="002D7AD4" w:rsidTr="00197054">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rsidR="0070237D" w:rsidRPr="002D7AD4" w:rsidRDefault="0070237D" w:rsidP="00197054">
            <w:pPr>
              <w:spacing w:after="0" w:line="240" w:lineRule="auto"/>
              <w:jc w:val="both"/>
              <w:rPr>
                <w:rFonts w:ascii="ITC Avant Garde" w:eastAsia="Times New Roman" w:hAnsi="ITC Avant Garde"/>
                <w:color w:val="000000"/>
                <w:sz w:val="20"/>
                <w:szCs w:val="20"/>
              </w:rPr>
            </w:pPr>
            <w:r w:rsidRPr="002D7AD4">
              <w:rPr>
                <w:rFonts w:ascii="ITC Avant Garde" w:hAnsi="ITC Avant Garde" w:cs="Arial"/>
                <w:sz w:val="20"/>
                <w:szCs w:val="20"/>
                <w:lang w:val="es-ES"/>
              </w:rPr>
              <w:t>Enlaces de interconexión con velocidades de transmisión E1 (2.048 Mbps)</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rsidR="0070237D" w:rsidRPr="002D7AD4" w:rsidRDefault="00FE3007" w:rsidP="00197054">
            <w:pPr>
              <w:spacing w:after="0" w:line="240" w:lineRule="auto"/>
              <w:jc w:val="center"/>
              <w:rPr>
                <w:rFonts w:ascii="ITC Avant Garde" w:eastAsia="Times New Roman" w:hAnsi="ITC Avant Garde"/>
                <w:color w:val="000000"/>
                <w:sz w:val="20"/>
                <w:szCs w:val="20"/>
              </w:rPr>
            </w:pPr>
            <w:r>
              <w:rPr>
                <w:rFonts w:ascii="ITC Avant Garde" w:hAnsi="ITC Avant Garde" w:cs="Arial"/>
                <w:sz w:val="20"/>
                <w:szCs w:val="20"/>
              </w:rPr>
              <w:t>$1,573.98</w:t>
            </w:r>
          </w:p>
        </w:tc>
      </w:tr>
      <w:tr w:rsidR="0070237D" w:rsidRPr="0070237D" w:rsidTr="009B7712">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rsidR="0070237D" w:rsidRPr="0070237D" w:rsidRDefault="0070237D" w:rsidP="00197054">
            <w:pPr>
              <w:spacing w:after="0" w:line="240" w:lineRule="auto"/>
              <w:jc w:val="both"/>
              <w:rPr>
                <w:rFonts w:ascii="ITC Avant Garde" w:hAnsi="ITC Avant Garde" w:cs="Arial"/>
                <w:sz w:val="20"/>
                <w:szCs w:val="20"/>
                <w:lang w:val="es-ES"/>
              </w:rPr>
            </w:pPr>
            <w:r w:rsidRPr="002D7AD4">
              <w:rPr>
                <w:rFonts w:ascii="ITC Avant Garde" w:hAnsi="ITC Avant Garde" w:cs="Arial"/>
                <w:sz w:val="20"/>
                <w:szCs w:val="20"/>
                <w:lang w:val="es-ES"/>
              </w:rPr>
              <w:t>Enlaces de interconexión con velocidades de transmisión E3 (34.368 Mbps)</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rsidR="0070237D" w:rsidRPr="0070237D" w:rsidRDefault="00FE3007" w:rsidP="00197054">
            <w:pPr>
              <w:spacing w:after="0" w:line="240" w:lineRule="auto"/>
              <w:jc w:val="center"/>
              <w:rPr>
                <w:rFonts w:ascii="ITC Avant Garde" w:hAnsi="ITC Avant Garde" w:cs="Arial"/>
                <w:sz w:val="20"/>
                <w:szCs w:val="20"/>
                <w:lang w:val="es-ES"/>
              </w:rPr>
            </w:pPr>
            <w:r>
              <w:rPr>
                <w:rFonts w:ascii="ITC Avant Garde" w:hAnsi="ITC Avant Garde" w:cs="Arial"/>
                <w:sz w:val="20"/>
                <w:szCs w:val="20"/>
                <w:lang w:val="es-ES"/>
              </w:rPr>
              <w:t>$16,529.40</w:t>
            </w:r>
          </w:p>
        </w:tc>
      </w:tr>
      <w:tr w:rsidR="0070237D" w:rsidRPr="002D7AD4" w:rsidTr="00197054">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rsidR="0070237D" w:rsidRPr="002D7AD4" w:rsidRDefault="0070237D" w:rsidP="00197054">
            <w:pPr>
              <w:spacing w:after="0" w:line="240" w:lineRule="auto"/>
              <w:jc w:val="both"/>
              <w:rPr>
                <w:rFonts w:ascii="ITC Avant Garde" w:eastAsia="Times New Roman" w:hAnsi="ITC Avant Garde"/>
                <w:color w:val="000000"/>
                <w:sz w:val="20"/>
                <w:szCs w:val="20"/>
              </w:rPr>
            </w:pPr>
            <w:r w:rsidRPr="002D7AD4">
              <w:rPr>
                <w:rFonts w:ascii="ITC Avant Garde" w:hAnsi="ITC Avant Garde" w:cs="Arial"/>
                <w:sz w:val="20"/>
                <w:szCs w:val="20"/>
                <w:lang w:val="es-ES"/>
              </w:rPr>
              <w:t>Enlaces de interconexión con velocidades de transmisión STM1 (</w:t>
            </w:r>
            <w:r w:rsidRPr="002D7AD4">
              <w:rPr>
                <w:rFonts w:ascii="ITC Avant Garde" w:eastAsia="Times New Roman" w:hAnsi="ITC Avant Garde" w:cs="Arial"/>
                <w:bCs/>
                <w:sz w:val="20"/>
                <w:szCs w:val="20"/>
                <w:lang w:val="es-ES_tradnl" w:eastAsia="es-ES"/>
              </w:rPr>
              <w:t>155.52 Mbps</w:t>
            </w:r>
            <w:r w:rsidRPr="002D7AD4">
              <w:rPr>
                <w:rFonts w:ascii="ITC Avant Garde" w:hAnsi="ITC Avant Garde" w:cs="Arial"/>
                <w:sz w:val="20"/>
                <w:szCs w:val="20"/>
                <w:lang w:val="es-ES"/>
              </w:rPr>
              <w:t>)</w:t>
            </w:r>
          </w:p>
        </w:tc>
        <w:tc>
          <w:tcPr>
            <w:tcW w:w="2977" w:type="dxa"/>
            <w:tcBorders>
              <w:top w:val="single" w:sz="8" w:space="0" w:color="4F81BD"/>
              <w:left w:val="single" w:sz="8" w:space="0" w:color="4F81BD"/>
              <w:bottom w:val="single" w:sz="8" w:space="0" w:color="4F81BD"/>
              <w:right w:val="single" w:sz="8" w:space="0" w:color="4F81BD"/>
            </w:tcBorders>
            <w:shd w:val="clear" w:color="000000" w:fill="A7BFDE"/>
            <w:noWrap/>
            <w:vAlign w:val="center"/>
          </w:tcPr>
          <w:p w:rsidR="0070237D" w:rsidRPr="002D7AD4" w:rsidRDefault="00FE3007" w:rsidP="00197054">
            <w:pPr>
              <w:spacing w:after="0" w:line="240" w:lineRule="auto"/>
              <w:jc w:val="center"/>
              <w:rPr>
                <w:rFonts w:ascii="ITC Avant Garde" w:eastAsia="Times New Roman" w:hAnsi="ITC Avant Garde"/>
                <w:color w:val="000000"/>
                <w:sz w:val="20"/>
                <w:szCs w:val="20"/>
              </w:rPr>
            </w:pPr>
            <w:r>
              <w:rPr>
                <w:rFonts w:ascii="ITC Avant Garde" w:eastAsia="Times New Roman" w:hAnsi="ITC Avant Garde" w:cs="Arial"/>
                <w:sz w:val="20"/>
                <w:szCs w:val="20"/>
                <w:lang w:eastAsia="es-ES"/>
              </w:rPr>
              <w:t>$35,587.59</w:t>
            </w:r>
          </w:p>
        </w:tc>
      </w:tr>
      <w:tr w:rsidR="0070237D" w:rsidRPr="0070237D" w:rsidTr="009B7712">
        <w:trPr>
          <w:trHeight w:val="315"/>
          <w:jc w:val="center"/>
        </w:trPr>
        <w:tc>
          <w:tcPr>
            <w:tcW w:w="5245" w:type="dxa"/>
            <w:tcBorders>
              <w:top w:val="single" w:sz="8" w:space="0" w:color="4F81BD"/>
              <w:left w:val="nil"/>
              <w:bottom w:val="single" w:sz="8" w:space="0" w:color="4F81BD"/>
              <w:right w:val="nil"/>
            </w:tcBorders>
            <w:shd w:val="clear" w:color="auto" w:fill="auto"/>
            <w:noWrap/>
            <w:vAlign w:val="center"/>
          </w:tcPr>
          <w:p w:rsidR="0070237D" w:rsidRPr="002D7AD4" w:rsidRDefault="0070237D" w:rsidP="00197054">
            <w:pPr>
              <w:spacing w:after="0" w:line="240" w:lineRule="auto"/>
              <w:jc w:val="both"/>
              <w:rPr>
                <w:rFonts w:ascii="ITC Avant Garde" w:hAnsi="ITC Avant Garde" w:cs="Arial"/>
                <w:sz w:val="20"/>
                <w:szCs w:val="20"/>
                <w:lang w:val="es-ES"/>
              </w:rPr>
            </w:pPr>
            <w:r w:rsidRPr="002D7AD4">
              <w:rPr>
                <w:rFonts w:ascii="ITC Avant Garde" w:hAnsi="ITC Avant Garde" w:cs="Arial"/>
                <w:sz w:val="20"/>
                <w:szCs w:val="20"/>
                <w:lang w:val="es-ES"/>
              </w:rPr>
              <w:t>Enlaces de interconexión con tecnología Ethernet con velocidades de transmisión de 1 Gbps</w:t>
            </w:r>
          </w:p>
        </w:tc>
        <w:tc>
          <w:tcPr>
            <w:tcW w:w="2977" w:type="dxa"/>
            <w:tcBorders>
              <w:top w:val="single" w:sz="8" w:space="0" w:color="4F81BD"/>
              <w:left w:val="single" w:sz="8" w:space="0" w:color="4F81BD"/>
              <w:bottom w:val="single" w:sz="8" w:space="0" w:color="4F81BD"/>
              <w:right w:val="single" w:sz="8" w:space="0" w:color="4F81BD"/>
            </w:tcBorders>
            <w:shd w:val="clear" w:color="auto" w:fill="BDD6EE" w:themeFill="accent1" w:themeFillTint="66"/>
            <w:noWrap/>
            <w:vAlign w:val="center"/>
          </w:tcPr>
          <w:p w:rsidR="0070237D" w:rsidRPr="002D7AD4" w:rsidRDefault="00FE3007" w:rsidP="00197054">
            <w:pPr>
              <w:spacing w:after="0" w:line="240" w:lineRule="auto"/>
              <w:jc w:val="center"/>
              <w:rPr>
                <w:rFonts w:ascii="ITC Avant Garde" w:hAnsi="ITC Avant Garde" w:cs="Arial"/>
                <w:sz w:val="20"/>
                <w:szCs w:val="20"/>
                <w:lang w:val="es-ES"/>
              </w:rPr>
            </w:pPr>
            <w:r>
              <w:rPr>
                <w:rFonts w:ascii="ITC Avant Garde" w:hAnsi="ITC Avant Garde" w:cs="Arial"/>
                <w:sz w:val="20"/>
                <w:szCs w:val="20"/>
                <w:lang w:val="es-ES"/>
              </w:rPr>
              <w:t>$114,109.12</w:t>
            </w:r>
          </w:p>
        </w:tc>
      </w:tr>
      <w:tr w:rsidR="0070237D" w:rsidRPr="009B7712" w:rsidTr="00197054">
        <w:trPr>
          <w:trHeight w:val="315"/>
          <w:jc w:val="center"/>
        </w:trPr>
        <w:tc>
          <w:tcPr>
            <w:tcW w:w="5245" w:type="dxa"/>
            <w:tcBorders>
              <w:top w:val="single" w:sz="8" w:space="0" w:color="4F81BD"/>
              <w:left w:val="nil"/>
              <w:bottom w:val="single" w:sz="4" w:space="0" w:color="auto"/>
              <w:right w:val="nil"/>
            </w:tcBorders>
            <w:shd w:val="clear" w:color="auto" w:fill="auto"/>
            <w:noWrap/>
            <w:vAlign w:val="center"/>
          </w:tcPr>
          <w:p w:rsidR="0070237D" w:rsidRPr="002D7AD4" w:rsidRDefault="0070237D" w:rsidP="00197054">
            <w:pPr>
              <w:spacing w:after="0" w:line="240" w:lineRule="auto"/>
              <w:jc w:val="both"/>
              <w:rPr>
                <w:rFonts w:ascii="ITC Avant Garde" w:hAnsi="ITC Avant Garde" w:cs="Arial"/>
                <w:sz w:val="20"/>
                <w:szCs w:val="20"/>
                <w:lang w:val="es-ES"/>
              </w:rPr>
            </w:pPr>
            <w:r w:rsidRPr="002D7AD4">
              <w:rPr>
                <w:rFonts w:ascii="ITC Avant Garde" w:hAnsi="ITC Avant Garde" w:cs="Arial"/>
                <w:sz w:val="20"/>
                <w:szCs w:val="20"/>
                <w:lang w:val="es-ES"/>
              </w:rPr>
              <w:t>Enlaces de interconexión con tecnología Ethernet con velocidades de transmisión de 10 Gbps</w:t>
            </w:r>
          </w:p>
        </w:tc>
        <w:tc>
          <w:tcPr>
            <w:tcW w:w="2977" w:type="dxa"/>
            <w:tcBorders>
              <w:top w:val="single" w:sz="8" w:space="0" w:color="4F81BD"/>
              <w:left w:val="single" w:sz="8" w:space="0" w:color="4F81BD"/>
              <w:bottom w:val="single" w:sz="4" w:space="0" w:color="auto"/>
              <w:right w:val="single" w:sz="8" w:space="0" w:color="4F81BD"/>
            </w:tcBorders>
            <w:shd w:val="clear" w:color="000000" w:fill="A7BFDE"/>
            <w:noWrap/>
            <w:vAlign w:val="center"/>
          </w:tcPr>
          <w:p w:rsidR="0070237D" w:rsidRPr="009B7712" w:rsidRDefault="00FE3007" w:rsidP="00197054">
            <w:pPr>
              <w:spacing w:after="0" w:line="240" w:lineRule="auto"/>
              <w:jc w:val="center"/>
              <w:rPr>
                <w:rFonts w:ascii="ITC Avant Garde" w:hAnsi="ITC Avant Garde" w:cs="Arial"/>
                <w:sz w:val="20"/>
                <w:szCs w:val="20"/>
                <w:lang w:val="es-ES"/>
              </w:rPr>
            </w:pPr>
            <w:r w:rsidRPr="009B7712">
              <w:rPr>
                <w:rFonts w:ascii="ITC Avant Garde" w:hAnsi="ITC Avant Garde" w:cs="Arial"/>
                <w:sz w:val="20"/>
                <w:szCs w:val="20"/>
                <w:lang w:val="es-ES"/>
              </w:rPr>
              <w:t>$695,709.31</w:t>
            </w:r>
          </w:p>
        </w:tc>
      </w:tr>
    </w:tbl>
    <w:p w:rsidR="00295441" w:rsidRPr="00295441" w:rsidRDefault="00295441">
      <w:pPr>
        <w:rPr>
          <w:rFonts w:ascii="ITC Avant Garde" w:hAnsi="ITC Avant Garde"/>
        </w:rPr>
      </w:pPr>
    </w:p>
    <w:sectPr w:rsidR="00295441" w:rsidRPr="002954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33" w:rsidRDefault="00EA5933" w:rsidP="00A422CE">
      <w:pPr>
        <w:spacing w:after="0" w:line="240" w:lineRule="auto"/>
      </w:pPr>
      <w:r>
        <w:separator/>
      </w:r>
    </w:p>
  </w:endnote>
  <w:endnote w:type="continuationSeparator" w:id="0">
    <w:p w:rsidR="00EA5933" w:rsidRDefault="00EA5933" w:rsidP="00A4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33" w:rsidRDefault="00EA5933" w:rsidP="00A422CE">
      <w:pPr>
        <w:spacing w:after="0" w:line="240" w:lineRule="auto"/>
      </w:pPr>
      <w:r>
        <w:separator/>
      </w:r>
    </w:p>
  </w:footnote>
  <w:footnote w:type="continuationSeparator" w:id="0">
    <w:p w:rsidR="00EA5933" w:rsidRDefault="00EA5933" w:rsidP="00A422CE">
      <w:pPr>
        <w:spacing w:after="0" w:line="240" w:lineRule="auto"/>
      </w:pPr>
      <w:r>
        <w:continuationSeparator/>
      </w:r>
    </w:p>
  </w:footnote>
  <w:footnote w:id="1">
    <w:p w:rsidR="00A422CE" w:rsidRPr="006B329C" w:rsidRDefault="00A422CE" w:rsidP="00A422CE">
      <w:pPr>
        <w:pStyle w:val="Textonotapie"/>
        <w:jc w:val="both"/>
        <w:rPr>
          <w:rFonts w:ascii="ITC Avant Garde" w:hAnsi="ITC Avant Garde"/>
          <w:sz w:val="16"/>
          <w:szCs w:val="16"/>
          <w:lang w:val="es-MX"/>
        </w:rPr>
      </w:pPr>
      <w:r w:rsidRPr="006C46DB">
        <w:rPr>
          <w:rStyle w:val="Refdenotaalpie"/>
          <w:rFonts w:ascii="ITC Avant Garde" w:hAnsi="ITC Avant Garde"/>
          <w:sz w:val="16"/>
          <w:szCs w:val="16"/>
        </w:rPr>
        <w:footnoteRef/>
      </w:r>
      <w:r w:rsidRPr="006C46DB">
        <w:rPr>
          <w:rFonts w:ascii="ITC Avant Garde" w:hAnsi="ITC Avant Garde"/>
          <w:sz w:val="16"/>
          <w:szCs w:val="16"/>
          <w:lang w:val="es-MX"/>
        </w:rPr>
        <w:t xml:space="preserve"> La experiencia ha demostrado que es más transparente para construir modelos ascendentes de costos. Cualquier método utilizado necesitará un factor de inflación ya sea en la tendencia de los precios o en el CCPP.</w:t>
      </w:r>
    </w:p>
  </w:footnote>
  <w:footnote w:id="2">
    <w:p w:rsidR="00A422CE" w:rsidRPr="003F11C1" w:rsidRDefault="00A422CE" w:rsidP="00A422CE">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1" w:history="1">
        <w:r w:rsidRPr="003F11C1">
          <w:rPr>
            <w:rStyle w:val="Hipervnculo"/>
            <w:rFonts w:ascii="ITC Avant Garde" w:hAnsi="ITC Avant Garde"/>
            <w:sz w:val="16"/>
          </w:rPr>
          <w:t>http://pages.stern.nyu.edu/~adamodar/New_Home_Page/datafile/Betas.html</w:t>
        </w:r>
      </w:hyperlink>
      <w:r w:rsidRPr="007E3DB6">
        <w:t xml:space="preserve"> </w:t>
      </w:r>
    </w:p>
  </w:footnote>
  <w:footnote w:id="3">
    <w:p w:rsidR="00A422CE" w:rsidRPr="003F11C1" w:rsidRDefault="00A422CE" w:rsidP="00A422CE">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2" w:history="1">
        <w:r w:rsidRPr="003F11C1">
          <w:rPr>
            <w:rStyle w:val="Hipervnculo"/>
            <w:rFonts w:ascii="ITC Avant Garde" w:hAnsi="ITC Avant Garde"/>
            <w:sz w:val="16"/>
          </w:rPr>
          <w:t>http://pages.stern.nyu.edu/~adamodar/New_Home_Page/datafile/Betas.html</w:t>
        </w:r>
      </w:hyperlink>
      <w:r w:rsidRPr="007E3DB6">
        <w:t xml:space="preserve"> </w:t>
      </w:r>
    </w:p>
  </w:footnote>
  <w:footnote w:id="4">
    <w:p w:rsidR="00A422CE" w:rsidRPr="003F11C1" w:rsidRDefault="00A422CE" w:rsidP="00A422CE">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3" w:history="1">
        <w:r w:rsidRPr="003F11C1">
          <w:rPr>
            <w:rStyle w:val="Hipervnculo"/>
            <w:rFonts w:ascii="ITC Avant Garde" w:hAnsi="ITC Avant Garde"/>
            <w:sz w:val="16"/>
          </w:rPr>
          <w:t>http://pages.stern.nyu.edu/~adamodar/New_Home_Page/datafile/Betas.html</w:t>
        </w:r>
      </w:hyperlink>
      <w:r w:rsidRPr="007E3DB6">
        <w:t xml:space="preserve"> </w:t>
      </w:r>
    </w:p>
  </w:footnote>
  <w:footnote w:id="5">
    <w:p w:rsidR="00A422CE" w:rsidRPr="003F11C1" w:rsidRDefault="00A422CE" w:rsidP="00A422CE">
      <w:pPr>
        <w:pStyle w:val="Textonotapie"/>
        <w:rPr>
          <w:rFonts w:ascii="ITC Avant Garde" w:hAnsi="ITC Avant Garde"/>
        </w:rPr>
      </w:pPr>
      <w:r w:rsidRPr="003F11C1">
        <w:rPr>
          <w:rStyle w:val="Refdenotaalpie"/>
          <w:rFonts w:ascii="ITC Avant Garde" w:hAnsi="ITC Avant Garde"/>
          <w:sz w:val="16"/>
        </w:rPr>
        <w:footnoteRef/>
      </w:r>
      <w:r w:rsidRPr="003F11C1">
        <w:rPr>
          <w:rFonts w:ascii="ITC Avant Garde" w:hAnsi="ITC Avant Garde"/>
          <w:sz w:val="16"/>
        </w:rPr>
        <w:t xml:space="preserve"> La información se puede consultar en el siguiente vínculo: </w:t>
      </w:r>
      <w:hyperlink r:id="rId4" w:history="1">
        <w:r w:rsidRPr="003F11C1">
          <w:rPr>
            <w:rStyle w:val="Hipervnculo"/>
            <w:rFonts w:ascii="ITC Avant Garde" w:hAnsi="ITC Avant Garde"/>
            <w:sz w:val="16"/>
          </w:rPr>
          <w:t>http://pages.stern.nyu.edu/~adamodar/New_Home_Page/datafile/Betas.html</w:t>
        </w:r>
      </w:hyperlink>
      <w:r w:rsidRPr="007E3DB6">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A4E4E"/>
    <w:multiLevelType w:val="hybridMultilevel"/>
    <w:tmpl w:val="A44ED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001BE8"/>
    <w:multiLevelType w:val="hybridMultilevel"/>
    <w:tmpl w:val="A7C6D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B17427"/>
    <w:multiLevelType w:val="hybridMultilevel"/>
    <w:tmpl w:val="BAFAB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CE"/>
    <w:rsid w:val="00001F29"/>
    <w:rsid w:val="000724A2"/>
    <w:rsid w:val="000F0D17"/>
    <w:rsid w:val="00295441"/>
    <w:rsid w:val="002D7AD4"/>
    <w:rsid w:val="003A337D"/>
    <w:rsid w:val="0050192B"/>
    <w:rsid w:val="0070237D"/>
    <w:rsid w:val="00754800"/>
    <w:rsid w:val="008B7905"/>
    <w:rsid w:val="009B7712"/>
    <w:rsid w:val="00A303B2"/>
    <w:rsid w:val="00A34173"/>
    <w:rsid w:val="00A422CE"/>
    <w:rsid w:val="00BA6012"/>
    <w:rsid w:val="00E010AB"/>
    <w:rsid w:val="00E13E90"/>
    <w:rsid w:val="00EA5933"/>
    <w:rsid w:val="00F56199"/>
    <w:rsid w:val="00FE30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D8347-A9B0-44F1-930D-BD6B1050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2C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56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22CE"/>
    <w:pPr>
      <w:spacing w:before="100" w:beforeAutospacing="1" w:after="100" w:afterAutospacing="1" w:line="240" w:lineRule="auto"/>
    </w:pPr>
    <w:rPr>
      <w:rFonts w:ascii="Times New Roman" w:eastAsia="Times New Roman" w:hAnsi="Times New Roman"/>
      <w:sz w:val="24"/>
      <w:szCs w:val="24"/>
      <w:lang w:eastAsia="es-MX"/>
    </w:rPr>
  </w:style>
  <w:style w:type="character" w:styleId="Refdenotaalpie">
    <w:name w:val="footnote reference"/>
    <w:aliases w:val="(NECG) Footnote Reference,o,fr,Style 3,Appel note de bas de p,Style 12,Style 124,Ref,de nota al pie,Ref. de nota al pie 2"/>
    <w:uiPriority w:val="99"/>
    <w:qFormat/>
    <w:rsid w:val="00A422CE"/>
    <w:rPr>
      <w:vertAlign w:val="superscript"/>
    </w:rPr>
  </w:style>
  <w:style w:type="character" w:styleId="Hipervnculo">
    <w:name w:val="Hyperlink"/>
    <w:rsid w:val="00A422CE"/>
    <w:rPr>
      <w:color w:val="0000FF"/>
      <w:u w:val="single"/>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A422C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A422CE"/>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A422CE"/>
    <w:pPr>
      <w:spacing w:after="0" w:line="240" w:lineRule="auto"/>
      <w:ind w:left="708"/>
      <w:jc w:val="both"/>
    </w:pPr>
    <w:rPr>
      <w:rFonts w:ascii="Arial" w:eastAsia="Times New Roman" w:hAnsi="Arial"/>
      <w:szCs w:val="24"/>
      <w:lang w:eastAsia="es-ES"/>
    </w:rPr>
  </w:style>
  <w:style w:type="paragraph" w:styleId="Listaconvietas">
    <w:name w:val="List Bullet"/>
    <w:basedOn w:val="Normal"/>
    <w:uiPriority w:val="99"/>
    <w:qFormat/>
    <w:rsid w:val="00A422CE"/>
    <w:pPr>
      <w:numPr>
        <w:numId w:val="2"/>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A422CE"/>
    <w:rPr>
      <w:rFonts w:ascii="Arial" w:eastAsia="Times New Roman" w:hAnsi="Arial" w:cs="Times New Roman"/>
      <w:szCs w:val="24"/>
      <w:lang w:eastAsia="es-ES"/>
    </w:rPr>
  </w:style>
  <w:style w:type="paragraph" w:customStyle="1" w:styleId="ListBulletCompact">
    <w:name w:val="List Bullet Compact"/>
    <w:basedOn w:val="Listaconvietas"/>
    <w:qFormat/>
    <w:rsid w:val="00A422CE"/>
    <w:pPr>
      <w:numPr>
        <w:numId w:val="1"/>
      </w:numPr>
      <w:spacing w:line="320" w:lineRule="atLeast"/>
      <w:contextualSpacing w:val="0"/>
    </w:pPr>
    <w:rPr>
      <w:rFonts w:ascii="Times New Roman" w:eastAsia="Calibri" w:hAnsi="Times New Roman"/>
      <w:szCs w:val="22"/>
      <w:lang w:val="es-ES" w:eastAsia="en-US"/>
    </w:rPr>
  </w:style>
  <w:style w:type="paragraph" w:customStyle="1" w:styleId="01">
    <w:name w:val="01"/>
    <w:basedOn w:val="Normal"/>
    <w:qFormat/>
    <w:rsid w:val="00A422CE"/>
    <w:pPr>
      <w:spacing w:after="0" w:line="320" w:lineRule="atLeast"/>
      <w:jc w:val="both"/>
    </w:pPr>
    <w:rPr>
      <w:rFonts w:ascii="Times New Roman" w:hAnsi="Times New Roman"/>
      <w:lang w:val="es-ES"/>
    </w:rPr>
  </w:style>
  <w:style w:type="paragraph" w:customStyle="1" w:styleId="IFT1">
    <w:name w:val="IFT 1"/>
    <w:basedOn w:val="Normal"/>
    <w:link w:val="IFT1Car"/>
    <w:qFormat/>
    <w:rsid w:val="00A422CE"/>
    <w:pPr>
      <w:jc w:val="both"/>
    </w:pPr>
    <w:rPr>
      <w:rFonts w:ascii="ITC Avant Garde" w:hAnsi="ITC Avant Garde"/>
      <w:spacing w:val="-4"/>
    </w:rPr>
  </w:style>
  <w:style w:type="character" w:customStyle="1" w:styleId="IFT1Car">
    <w:name w:val="IFT 1 Car"/>
    <w:basedOn w:val="Fuentedeprrafopredeter"/>
    <w:link w:val="IFT1"/>
    <w:rsid w:val="00A422CE"/>
    <w:rPr>
      <w:rFonts w:ascii="ITC Avant Garde" w:eastAsia="Calibri" w:hAnsi="ITC Avant Garde" w:cs="Times New Roman"/>
      <w:spacing w:val="-4"/>
    </w:rPr>
  </w:style>
  <w:style w:type="paragraph" w:styleId="Textodeglobo">
    <w:name w:val="Balloon Text"/>
    <w:basedOn w:val="Normal"/>
    <w:link w:val="TextodegloboCar"/>
    <w:uiPriority w:val="99"/>
    <w:semiHidden/>
    <w:unhideWhenUsed/>
    <w:rsid w:val="003A33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337D"/>
    <w:rPr>
      <w:rFonts w:ascii="Segoe UI" w:eastAsia="Calibri" w:hAnsi="Segoe UI" w:cs="Segoe UI"/>
      <w:sz w:val="18"/>
      <w:szCs w:val="18"/>
    </w:rPr>
  </w:style>
  <w:style w:type="character" w:customStyle="1" w:styleId="Ttulo1Car">
    <w:name w:val="Título 1 Car"/>
    <w:basedOn w:val="Fuentedeprrafopredeter"/>
    <w:link w:val="Ttulo1"/>
    <w:uiPriority w:val="9"/>
    <w:rsid w:val="00F561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9.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4.bin"/><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s>
</file>

<file path=word/_rels/footnotes.xml.rels><?xml version="1.0" encoding="UTF-8" standalone="yes"?>
<Relationships xmlns="http://schemas.openxmlformats.org/package/2006/relationships"><Relationship Id="rId3" Type="http://schemas.openxmlformats.org/officeDocument/2006/relationships/hyperlink" Target="http://pages.stern.nyu.edu/~adamodar/New_Home_Page/datafile/Betas.html" TargetMode="External"/><Relationship Id="rId2" Type="http://schemas.openxmlformats.org/officeDocument/2006/relationships/hyperlink" Target="http://pages.stern.nyu.edu/~adamodar/New_Home_Page/datafile/Betas.html" TargetMode="External"/><Relationship Id="rId1" Type="http://schemas.openxmlformats.org/officeDocument/2006/relationships/hyperlink" Target="http://pages.stern.nyu.edu/~adamodar/New_Home_Page/datafile/Betas.html" TargetMode="External"/><Relationship Id="rId4" Type="http://schemas.openxmlformats.org/officeDocument/2006/relationships/hyperlink" Target="http://pages.stern.nyu.edu/~adamodar/New_Home_Page/datafile/Bet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2344</Words>
  <Characters>12896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Mario Alonso Cruz</cp:lastModifiedBy>
  <cp:revision>4</cp:revision>
  <dcterms:created xsi:type="dcterms:W3CDTF">2016-12-02T17:35:00Z</dcterms:created>
  <dcterms:modified xsi:type="dcterms:W3CDTF">2016-12-05T21:40:00Z</dcterms:modified>
</cp:coreProperties>
</file>