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93B81" w14:textId="7AB07AE8" w:rsidR="00D24EE6" w:rsidRDefault="00D24EE6">
      <w:pPr>
        <w:spacing w:after="160" w:line="259" w:lineRule="auto"/>
        <w:jc w:val="left"/>
        <w:rPr>
          <w:bCs/>
        </w:rPr>
      </w:pPr>
    </w:p>
    <w:p w14:paraId="469C7AA3" w14:textId="31E966CB" w:rsidR="002201B0" w:rsidRPr="002201B0" w:rsidRDefault="002201B0" w:rsidP="002201B0">
      <w:pPr>
        <w:keepNext/>
        <w:spacing w:before="240"/>
        <w:jc w:val="center"/>
        <w:outlineLvl w:val="0"/>
        <w:rPr>
          <w:rFonts w:eastAsia="Arial" w:cs="Arial"/>
          <w:b/>
          <w:smallCaps/>
          <w:sz w:val="24"/>
          <w:szCs w:val="16"/>
          <w:lang w:val="es-ES_tradnl"/>
        </w:rPr>
      </w:pPr>
      <w:r w:rsidRPr="002201B0">
        <w:rPr>
          <w:rFonts w:eastAsia="Arial" w:cs="Arial"/>
          <w:b/>
          <w:smallCaps/>
          <w:sz w:val="24"/>
          <w:szCs w:val="16"/>
          <w:lang w:val="es-ES_tradnl"/>
        </w:rPr>
        <w:t>MANUA</w:t>
      </w:r>
      <w:r w:rsidR="009B6A2A">
        <w:rPr>
          <w:rFonts w:eastAsia="Arial" w:cs="Arial"/>
          <w:b/>
          <w:smallCaps/>
          <w:sz w:val="24"/>
          <w:szCs w:val="16"/>
          <w:lang w:val="es-ES_tradnl"/>
        </w:rPr>
        <w:t>L DE REP</w:t>
      </w:r>
      <w:r w:rsidRPr="002201B0">
        <w:rPr>
          <w:rFonts w:eastAsia="Arial" w:cs="Arial"/>
          <w:b/>
          <w:smallCaps/>
          <w:sz w:val="24"/>
          <w:szCs w:val="16"/>
          <w:lang w:val="es-ES_tradnl"/>
        </w:rPr>
        <w:t>L</w:t>
      </w:r>
      <w:r w:rsidR="009B6A2A">
        <w:rPr>
          <w:rFonts w:eastAsia="Arial" w:cs="Arial"/>
          <w:b/>
          <w:smallCaps/>
          <w:sz w:val="24"/>
          <w:szCs w:val="16"/>
          <w:lang w:val="es-ES_tradnl"/>
        </w:rPr>
        <w:t>ICABILIDAD</w:t>
      </w:r>
      <w:r w:rsidRPr="002201B0">
        <w:rPr>
          <w:rFonts w:eastAsia="Arial" w:cs="Arial"/>
          <w:b/>
          <w:smallCaps/>
          <w:sz w:val="24"/>
          <w:szCs w:val="16"/>
          <w:lang w:val="es-ES_tradnl"/>
        </w:rPr>
        <w:t xml:space="preserve"> MÓVIL</w:t>
      </w:r>
    </w:p>
    <w:p w14:paraId="7C199095" w14:textId="77777777" w:rsidR="002201B0" w:rsidRPr="002201B0" w:rsidRDefault="002201B0" w:rsidP="002201B0">
      <w:pPr>
        <w:numPr>
          <w:ilvl w:val="0"/>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Introducción</w:t>
      </w:r>
    </w:p>
    <w:p w14:paraId="7BCCAE5E" w14:textId="77777777" w:rsidR="002201B0" w:rsidRPr="002201B0" w:rsidRDefault="002201B0" w:rsidP="002201B0">
      <w:r w:rsidRPr="002201B0">
        <w:t xml:space="preserve">Este documento complementa el modelo en Excel referente a la prueba de replicabilidad económica a aplicar a los </w:t>
      </w:r>
      <w:r w:rsidRPr="002201B0">
        <w:rPr>
          <w:b/>
        </w:rPr>
        <w:t>servicios minoristas móviles</w:t>
      </w:r>
      <w:r w:rsidRPr="002201B0">
        <w:t xml:space="preserve">. El objetivo de la prueba es evaluar si un operador móvil virtual (OMV) revendedor que hace uso de los servicios mayoristas regulados puede replicar la oferta minorista del AEP para el servicio analizado. </w:t>
      </w:r>
    </w:p>
    <w:tbl>
      <w:tblPr>
        <w:tblStyle w:val="Frontier1"/>
        <w:tblpPr w:leftFromText="141" w:rightFromText="141" w:vertAnchor="text" w:horzAnchor="margin" w:tblpY="842"/>
        <w:tblW w:w="9923" w:type="dxa"/>
        <w:tblLayout w:type="fixed"/>
        <w:tblLook w:val="0420" w:firstRow="1" w:lastRow="0" w:firstColumn="0" w:lastColumn="0" w:noHBand="0" w:noVBand="1"/>
      </w:tblPr>
      <w:tblGrid>
        <w:gridCol w:w="4253"/>
        <w:gridCol w:w="5670"/>
      </w:tblGrid>
      <w:tr w:rsidR="009B6A2A" w:rsidRPr="002201B0" w14:paraId="7A591880" w14:textId="77777777" w:rsidTr="009B6A2A">
        <w:trPr>
          <w:cnfStyle w:val="100000000000" w:firstRow="1" w:lastRow="0" w:firstColumn="0" w:lastColumn="0" w:oddVBand="0" w:evenVBand="0" w:oddHBand="0" w:evenHBand="0" w:firstRowFirstColumn="0" w:firstRowLastColumn="0" w:lastRowFirstColumn="0" w:lastRowLastColumn="0"/>
          <w:trHeight w:val="20"/>
          <w:tblHeader/>
        </w:trPr>
        <w:tc>
          <w:tcPr>
            <w:tcW w:w="2143" w:type="pct"/>
          </w:tcPr>
          <w:p w14:paraId="4962D5E5" w14:textId="77777777" w:rsidR="009B6A2A" w:rsidRPr="002201B0" w:rsidRDefault="009B6A2A" w:rsidP="009B6A2A">
            <w:pPr>
              <w:spacing w:before="40" w:after="40" w:line="240" w:lineRule="auto"/>
              <w:jc w:val="left"/>
              <w:rPr>
                <w:rFonts w:ascii="ITC Avant Garde" w:eastAsiaTheme="minorHAnsi" w:hAnsi="ITC Avant Garde"/>
                <w:b/>
                <w:bCs/>
                <w:color w:val="A5A5A5" w:themeColor="accent3"/>
                <w:sz w:val="20"/>
                <w:lang w:val="es-ES_tradnl"/>
              </w:rPr>
            </w:pPr>
            <w:r w:rsidRPr="002201B0">
              <w:rPr>
                <w:rFonts w:ascii="ITC Avant Garde" w:eastAsiaTheme="minorHAnsi" w:hAnsi="ITC Avant Garde"/>
                <w:b/>
                <w:bCs/>
                <w:color w:val="A5A5A5" w:themeColor="accent3"/>
                <w:sz w:val="20"/>
                <w:lang w:val="es-ES_tradnl"/>
              </w:rPr>
              <w:t>Dimensión</w:t>
            </w:r>
          </w:p>
        </w:tc>
        <w:tc>
          <w:tcPr>
            <w:tcW w:w="2857" w:type="pct"/>
          </w:tcPr>
          <w:p w14:paraId="6FB47E2B" w14:textId="77777777" w:rsidR="009B6A2A" w:rsidRPr="002201B0" w:rsidRDefault="009B6A2A" w:rsidP="009B6A2A">
            <w:pPr>
              <w:spacing w:before="40" w:after="40" w:line="240" w:lineRule="auto"/>
              <w:jc w:val="left"/>
              <w:rPr>
                <w:rFonts w:ascii="ITC Avant Garde" w:eastAsiaTheme="minorHAnsi" w:hAnsi="ITC Avant Garde"/>
                <w:b/>
                <w:bCs/>
                <w:color w:val="A5A5A5" w:themeColor="accent3"/>
                <w:sz w:val="20"/>
                <w:lang w:val="es-ES_tradnl"/>
              </w:rPr>
            </w:pPr>
            <w:r w:rsidRPr="002201B0">
              <w:rPr>
                <w:rFonts w:ascii="ITC Avant Garde" w:eastAsiaTheme="minorHAnsi" w:hAnsi="ITC Avant Garde"/>
                <w:b/>
                <w:bCs/>
                <w:color w:val="A5A5A5" w:themeColor="accent3"/>
                <w:sz w:val="20"/>
                <w:lang w:val="es-ES_tradnl"/>
              </w:rPr>
              <w:t>Especificación</w:t>
            </w:r>
          </w:p>
        </w:tc>
      </w:tr>
      <w:tr w:rsidR="009B6A2A" w:rsidRPr="002201B0" w14:paraId="601F7FB9" w14:textId="77777777" w:rsidTr="009B6A2A">
        <w:trPr>
          <w:cnfStyle w:val="000000100000" w:firstRow="0" w:lastRow="0" w:firstColumn="0" w:lastColumn="0" w:oddVBand="0" w:evenVBand="0" w:oddHBand="1" w:evenHBand="0" w:firstRowFirstColumn="0" w:firstRowLastColumn="0" w:lastRowFirstColumn="0" w:lastRowLastColumn="0"/>
          <w:trHeight w:val="20"/>
        </w:trPr>
        <w:tc>
          <w:tcPr>
            <w:tcW w:w="2143" w:type="pct"/>
          </w:tcPr>
          <w:p w14:paraId="470DE175" w14:textId="6A515266" w:rsidR="009B6A2A" w:rsidRPr="002201B0" w:rsidRDefault="009B6A2A" w:rsidP="009B6A2A">
            <w:pPr>
              <w:spacing w:before="40" w:after="40" w:line="240" w:lineRule="auto"/>
              <w:jc w:val="left"/>
              <w:rPr>
                <w:rFonts w:ascii="ITC Avant Garde" w:eastAsiaTheme="minorHAnsi" w:hAnsi="ITC Avant Garde"/>
                <w:b/>
                <w:sz w:val="20"/>
                <w:lang w:val="es-ES_tradnl"/>
              </w:rPr>
            </w:pPr>
            <w:r>
              <w:rPr>
                <w:rFonts w:ascii="ITC Avant Garde" w:eastAsiaTheme="minorHAnsi" w:hAnsi="ITC Avant Garde"/>
                <w:b/>
                <w:sz w:val="20"/>
                <w:lang w:val="es-ES_tradnl"/>
              </w:rPr>
              <w:t>Momento de Aplicación</w:t>
            </w:r>
          </w:p>
        </w:tc>
        <w:tc>
          <w:tcPr>
            <w:tcW w:w="2857" w:type="pct"/>
          </w:tcPr>
          <w:p w14:paraId="7A8F2230"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Ex – post, cada tres meses</w:t>
            </w:r>
          </w:p>
        </w:tc>
      </w:tr>
      <w:tr w:rsidR="009B6A2A" w:rsidRPr="002201B0" w14:paraId="17A94591" w14:textId="77777777" w:rsidTr="009B6A2A">
        <w:trPr>
          <w:trHeight w:val="20"/>
        </w:trPr>
        <w:tc>
          <w:tcPr>
            <w:tcW w:w="2143" w:type="pct"/>
          </w:tcPr>
          <w:p w14:paraId="3373D8D0"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Nivel de eficiencia</w:t>
            </w:r>
          </w:p>
        </w:tc>
        <w:tc>
          <w:tcPr>
            <w:tcW w:w="2857" w:type="pct"/>
          </w:tcPr>
          <w:p w14:paraId="7E518005"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Pr>
                <w:rFonts w:ascii="ITC Avant Garde" w:eastAsiaTheme="minorHAnsi" w:hAnsi="ITC Avant Garde"/>
                <w:sz w:val="20"/>
                <w:lang w:val="es-ES_tradnl"/>
              </w:rPr>
              <w:t>S</w:t>
            </w:r>
            <w:r w:rsidRPr="002201B0">
              <w:rPr>
                <w:rFonts w:ascii="ITC Avant Garde" w:eastAsiaTheme="minorHAnsi" w:hAnsi="ITC Avant Garde"/>
                <w:sz w:val="20"/>
                <w:lang w:val="es-ES_tradnl"/>
              </w:rPr>
              <w:t>EO</w:t>
            </w:r>
            <w:r w:rsidRPr="002201B0">
              <w:rPr>
                <w:rFonts w:ascii="ITC Avant Garde" w:eastAsiaTheme="minorHAnsi" w:hAnsi="ITC Avant Garde"/>
                <w:color w:val="5B9BD5" w:themeColor="accent1"/>
                <w:sz w:val="20"/>
                <w:vertAlign w:val="superscript"/>
                <w:lang w:val="es-ES_tradnl"/>
              </w:rPr>
              <w:footnoteReference w:id="2"/>
            </w:r>
          </w:p>
        </w:tc>
      </w:tr>
      <w:tr w:rsidR="009B6A2A" w:rsidRPr="002201B0" w14:paraId="68F3FC97" w14:textId="77777777" w:rsidTr="009B6A2A">
        <w:trPr>
          <w:cnfStyle w:val="000000100000" w:firstRow="0" w:lastRow="0" w:firstColumn="0" w:lastColumn="0" w:oddVBand="0" w:evenVBand="0" w:oddHBand="1" w:evenHBand="0" w:firstRowFirstColumn="0" w:firstRowLastColumn="0" w:lastRowFirstColumn="0" w:lastRowLastColumn="0"/>
          <w:trHeight w:val="20"/>
        </w:trPr>
        <w:tc>
          <w:tcPr>
            <w:tcW w:w="2143" w:type="pct"/>
          </w:tcPr>
          <w:p w14:paraId="53DE87FE"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Nivel de agregación</w:t>
            </w:r>
          </w:p>
        </w:tc>
        <w:tc>
          <w:tcPr>
            <w:tcW w:w="2857" w:type="pct"/>
          </w:tcPr>
          <w:p w14:paraId="1B13FD95"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 xml:space="preserve">Cartera de productos, segmentando entre pre-pago y </w:t>
            </w:r>
            <w:r>
              <w:rPr>
                <w:rFonts w:ascii="ITC Avant Garde" w:eastAsiaTheme="minorHAnsi" w:hAnsi="ITC Avant Garde"/>
                <w:sz w:val="20"/>
                <w:lang w:val="es-ES_tradnl"/>
              </w:rPr>
              <w:t xml:space="preserve">pos-pago, e individual para ofertas insignia de prepago y </w:t>
            </w:r>
            <w:proofErr w:type="spellStart"/>
            <w:r>
              <w:rPr>
                <w:rFonts w:ascii="ITC Avant Garde" w:eastAsiaTheme="minorHAnsi" w:hAnsi="ITC Avant Garde"/>
                <w:sz w:val="20"/>
                <w:lang w:val="es-ES_tradnl"/>
              </w:rPr>
              <w:t>pospago</w:t>
            </w:r>
            <w:proofErr w:type="spellEnd"/>
            <w:r>
              <w:rPr>
                <w:rStyle w:val="Refdenotaalpie"/>
                <w:rFonts w:eastAsiaTheme="minorHAnsi"/>
                <w:sz w:val="20"/>
                <w:lang w:val="es-ES_tradnl"/>
              </w:rPr>
              <w:footnoteReference w:id="3"/>
            </w:r>
            <w:r>
              <w:rPr>
                <w:rFonts w:ascii="ITC Avant Garde" w:eastAsiaTheme="minorHAnsi" w:hAnsi="ITC Avant Garde"/>
                <w:sz w:val="20"/>
                <w:lang w:val="es-ES_tradnl"/>
              </w:rPr>
              <w:t>.</w:t>
            </w:r>
          </w:p>
        </w:tc>
      </w:tr>
      <w:tr w:rsidR="009B6A2A" w:rsidRPr="002201B0" w14:paraId="1A5D2726" w14:textId="77777777" w:rsidTr="009B6A2A">
        <w:trPr>
          <w:trHeight w:val="20"/>
        </w:trPr>
        <w:tc>
          <w:tcPr>
            <w:tcW w:w="2143" w:type="pct"/>
          </w:tcPr>
          <w:p w14:paraId="732E2749"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Estándar de costos</w:t>
            </w:r>
          </w:p>
        </w:tc>
        <w:tc>
          <w:tcPr>
            <w:tcW w:w="2857" w:type="pct"/>
          </w:tcPr>
          <w:p w14:paraId="4CA61414"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LRIC+</w:t>
            </w:r>
            <w:r w:rsidRPr="002201B0">
              <w:rPr>
                <w:rFonts w:ascii="ITC Avant Garde" w:eastAsiaTheme="minorHAnsi" w:hAnsi="ITC Avant Garde"/>
                <w:color w:val="5B9BD5" w:themeColor="accent1"/>
                <w:sz w:val="20"/>
                <w:vertAlign w:val="superscript"/>
                <w:lang w:val="es-ES_tradnl"/>
              </w:rPr>
              <w:footnoteReference w:id="4"/>
            </w:r>
            <w:r w:rsidRPr="002201B0">
              <w:rPr>
                <w:rFonts w:ascii="ITC Avant Garde" w:eastAsiaTheme="minorHAnsi" w:hAnsi="ITC Avant Garde"/>
                <w:sz w:val="20"/>
                <w:lang w:val="es-ES_tradnl"/>
              </w:rPr>
              <w:t xml:space="preserve"> (FAC</w:t>
            </w:r>
            <w:r w:rsidRPr="002201B0">
              <w:rPr>
                <w:rFonts w:ascii="ITC Avant Garde" w:eastAsiaTheme="minorHAnsi" w:hAnsi="ITC Avant Garde"/>
                <w:color w:val="5B9BD5" w:themeColor="accent1"/>
                <w:sz w:val="20"/>
                <w:vertAlign w:val="superscript"/>
                <w:lang w:val="es-ES_tradnl"/>
              </w:rPr>
              <w:footnoteReference w:id="5"/>
            </w:r>
            <w:r w:rsidRPr="002201B0">
              <w:rPr>
                <w:rFonts w:ascii="ITC Avant Garde" w:eastAsiaTheme="minorHAnsi" w:hAnsi="ITC Avant Garde"/>
                <w:sz w:val="20"/>
                <w:lang w:val="es-ES_tradnl"/>
              </w:rPr>
              <w:t xml:space="preserve"> si LRIC+ no está disponible)</w:t>
            </w:r>
          </w:p>
        </w:tc>
      </w:tr>
      <w:tr w:rsidR="009B6A2A" w:rsidRPr="002201B0" w14:paraId="13EEE04E" w14:textId="77777777" w:rsidTr="009B6A2A">
        <w:trPr>
          <w:cnfStyle w:val="000000100000" w:firstRow="0" w:lastRow="0" w:firstColumn="0" w:lastColumn="0" w:oddVBand="0" w:evenVBand="0" w:oddHBand="1" w:evenHBand="0" w:firstRowFirstColumn="0" w:firstRowLastColumn="0" w:lastRowFirstColumn="0" w:lastRowLastColumn="0"/>
          <w:trHeight w:val="20"/>
        </w:trPr>
        <w:tc>
          <w:tcPr>
            <w:tcW w:w="2143" w:type="pct"/>
          </w:tcPr>
          <w:p w14:paraId="02B39528"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Tratamiento del segmento empresarial</w:t>
            </w:r>
          </w:p>
        </w:tc>
        <w:tc>
          <w:tcPr>
            <w:tcW w:w="2857" w:type="pct"/>
          </w:tcPr>
          <w:p w14:paraId="3E6DC36C"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Incluidas las ofertas empresariales</w:t>
            </w:r>
            <w:r>
              <w:rPr>
                <w:rFonts w:ascii="ITC Avant Garde" w:eastAsiaTheme="minorHAnsi" w:hAnsi="ITC Avant Garde"/>
                <w:sz w:val="20"/>
                <w:lang w:val="es-ES_tradnl"/>
              </w:rPr>
              <w:t xml:space="preserve"> estandarizadas</w:t>
            </w:r>
          </w:p>
        </w:tc>
      </w:tr>
      <w:tr w:rsidR="009B6A2A" w:rsidRPr="002201B0" w14:paraId="34E56104" w14:textId="77777777" w:rsidTr="009B6A2A">
        <w:trPr>
          <w:trHeight w:val="20"/>
        </w:trPr>
        <w:tc>
          <w:tcPr>
            <w:tcW w:w="2143" w:type="pct"/>
          </w:tcPr>
          <w:p w14:paraId="4E1FC130"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Servicios mayoristas</w:t>
            </w:r>
          </w:p>
        </w:tc>
        <w:tc>
          <w:tcPr>
            <w:tcW w:w="2857" w:type="pct"/>
          </w:tcPr>
          <w:p w14:paraId="334338C3"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Servicio mayorista prestado a los OMV revendedores</w:t>
            </w:r>
          </w:p>
        </w:tc>
      </w:tr>
      <w:tr w:rsidR="009B6A2A" w:rsidRPr="002201B0" w14:paraId="05F5D6D8" w14:textId="77777777" w:rsidTr="009B6A2A">
        <w:trPr>
          <w:cnfStyle w:val="000000100000" w:firstRow="0" w:lastRow="0" w:firstColumn="0" w:lastColumn="0" w:oddVBand="0" w:evenVBand="0" w:oddHBand="1" w:evenHBand="0" w:firstRowFirstColumn="0" w:firstRowLastColumn="0" w:lastRowFirstColumn="0" w:lastRowLastColumn="0"/>
          <w:trHeight w:val="20"/>
        </w:trPr>
        <w:tc>
          <w:tcPr>
            <w:tcW w:w="2143" w:type="pct"/>
          </w:tcPr>
          <w:p w14:paraId="5EC79790"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Precio de los insumos mayoristas</w:t>
            </w:r>
          </w:p>
        </w:tc>
        <w:tc>
          <w:tcPr>
            <w:tcW w:w="2857" w:type="pct"/>
          </w:tcPr>
          <w:p w14:paraId="2A0E6999"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Precios establecidos para el OMV revendedor</w:t>
            </w:r>
            <w:r>
              <w:rPr>
                <w:rFonts w:ascii="ITC Avant Garde" w:eastAsiaTheme="minorHAnsi" w:hAnsi="ITC Avant Garde"/>
                <w:sz w:val="20"/>
                <w:lang w:val="es-ES_tradnl"/>
              </w:rPr>
              <w:t xml:space="preserve"> en la Oferta de Referencia</w:t>
            </w:r>
          </w:p>
        </w:tc>
      </w:tr>
      <w:tr w:rsidR="009B6A2A" w:rsidRPr="002201B0" w14:paraId="4BD8FF50" w14:textId="77777777" w:rsidTr="009B6A2A">
        <w:trPr>
          <w:trHeight w:val="20"/>
        </w:trPr>
        <w:tc>
          <w:tcPr>
            <w:tcW w:w="2143" w:type="pct"/>
          </w:tcPr>
          <w:p w14:paraId="433FE227"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Tratamiento de las promociones</w:t>
            </w:r>
          </w:p>
        </w:tc>
        <w:tc>
          <w:tcPr>
            <w:tcW w:w="2857" w:type="pct"/>
          </w:tcPr>
          <w:p w14:paraId="04D3C92A"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Incluidas en el análisis</w:t>
            </w:r>
          </w:p>
        </w:tc>
      </w:tr>
      <w:tr w:rsidR="009B6A2A" w:rsidRPr="002201B0" w14:paraId="7DB2B24E" w14:textId="77777777" w:rsidTr="009B6A2A">
        <w:trPr>
          <w:cnfStyle w:val="000000100000" w:firstRow="0" w:lastRow="0" w:firstColumn="0" w:lastColumn="0" w:oddVBand="0" w:evenVBand="0" w:oddHBand="1" w:evenHBand="0" w:firstRowFirstColumn="0" w:firstRowLastColumn="0" w:lastRowFirstColumn="0" w:lastRowLastColumn="0"/>
          <w:trHeight w:val="20"/>
        </w:trPr>
        <w:tc>
          <w:tcPr>
            <w:tcW w:w="2143" w:type="pct"/>
          </w:tcPr>
          <w:p w14:paraId="5EC77C99" w14:textId="77777777" w:rsidR="009B6A2A" w:rsidRPr="002201B0" w:rsidRDefault="009B6A2A" w:rsidP="009B6A2A">
            <w:pPr>
              <w:spacing w:before="40" w:after="40" w:line="240" w:lineRule="auto"/>
              <w:jc w:val="left"/>
              <w:rPr>
                <w:rFonts w:ascii="ITC Avant Garde" w:eastAsiaTheme="minorHAnsi" w:hAnsi="ITC Avant Garde"/>
                <w:b/>
                <w:sz w:val="20"/>
                <w:lang w:val="es-ES_tradnl"/>
              </w:rPr>
            </w:pPr>
            <w:r w:rsidRPr="002201B0">
              <w:rPr>
                <w:rFonts w:ascii="ITC Avant Garde" w:eastAsiaTheme="minorHAnsi" w:hAnsi="ITC Avant Garde"/>
                <w:b/>
                <w:sz w:val="20"/>
                <w:lang w:val="es-ES_tradnl"/>
              </w:rPr>
              <w:t xml:space="preserve">Evaluación de la rentabilidad </w:t>
            </w:r>
          </w:p>
        </w:tc>
        <w:tc>
          <w:tcPr>
            <w:tcW w:w="2857" w:type="pct"/>
          </w:tcPr>
          <w:p w14:paraId="2603DFF0" w14:textId="77777777" w:rsidR="009B6A2A" w:rsidRPr="002201B0" w:rsidRDefault="009B6A2A" w:rsidP="009B6A2A">
            <w:pPr>
              <w:spacing w:before="40" w:after="40" w:line="240" w:lineRule="auto"/>
              <w:jc w:val="left"/>
              <w:rPr>
                <w:rFonts w:ascii="ITC Avant Garde" w:eastAsiaTheme="minorHAnsi" w:hAnsi="ITC Avant Garde"/>
                <w:sz w:val="20"/>
                <w:lang w:val="es-ES_tradnl"/>
              </w:rPr>
            </w:pPr>
            <w:r w:rsidRPr="002201B0">
              <w:rPr>
                <w:rFonts w:ascii="ITC Avant Garde" w:eastAsiaTheme="minorHAnsi" w:hAnsi="ITC Avant Garde"/>
                <w:sz w:val="20"/>
                <w:lang w:val="es-ES_tradnl"/>
              </w:rPr>
              <w:t>Período a período</w:t>
            </w:r>
          </w:p>
        </w:tc>
      </w:tr>
    </w:tbl>
    <w:p w14:paraId="47B37B47" w14:textId="1A8B13CE" w:rsidR="009B6A2A" w:rsidRDefault="009B6A2A" w:rsidP="002201B0">
      <w:r>
        <w:t>L</w:t>
      </w:r>
      <w:r w:rsidR="002201B0" w:rsidRPr="002201B0">
        <w:t xml:space="preserve">as principales dimensiones de la prueba se resumen en la </w:t>
      </w:r>
      <w:r w:rsidR="002201B0" w:rsidRPr="002201B0">
        <w:fldChar w:fldCharType="begin"/>
      </w:r>
      <w:r w:rsidR="002201B0" w:rsidRPr="002201B0">
        <w:instrText xml:space="preserve"> REF _Ref482888419 \h  \* MERGEFORMAT </w:instrText>
      </w:r>
      <w:r w:rsidR="002201B0" w:rsidRPr="002201B0">
        <w:fldChar w:fldCharType="separate"/>
      </w:r>
      <w:r w:rsidR="002C35BD" w:rsidRPr="002C35BD">
        <w:t xml:space="preserve">Figura </w:t>
      </w:r>
      <w:r w:rsidR="002C35BD" w:rsidRPr="002C35BD">
        <w:rPr>
          <w:noProof/>
        </w:rPr>
        <w:t>1</w:t>
      </w:r>
      <w:r w:rsidR="002201B0" w:rsidRPr="002201B0">
        <w:fldChar w:fldCharType="end"/>
      </w:r>
      <w:r w:rsidR="002201B0" w:rsidRPr="002201B0">
        <w:t>.</w:t>
      </w:r>
    </w:p>
    <w:p w14:paraId="7FA8CF08" w14:textId="6D5D8CA2" w:rsidR="009B6A2A" w:rsidRPr="009B6A2A" w:rsidRDefault="009B6A2A" w:rsidP="009B6A2A">
      <w:pPr>
        <w:rPr>
          <w:rFonts w:eastAsia="Calibri" w:cs="Arial"/>
          <w:b/>
          <w:color w:val="000000" w:themeColor="text1"/>
          <w:sz w:val="18"/>
          <w:szCs w:val="18"/>
          <w:lang w:val="es-ES_tradnl"/>
        </w:rPr>
      </w:pPr>
      <w:r w:rsidRPr="009B6A2A">
        <w:rPr>
          <w:rFonts w:eastAsia="Calibri" w:cs="Arial"/>
          <w:b/>
          <w:color w:val="000000" w:themeColor="text1"/>
          <w:sz w:val="18"/>
          <w:szCs w:val="18"/>
          <w:lang w:val="es-ES_tradnl"/>
        </w:rPr>
        <w:t xml:space="preserve">Figura </w:t>
      </w:r>
      <w:r w:rsidRPr="009B6A2A">
        <w:rPr>
          <w:rFonts w:eastAsia="Calibri" w:cs="Arial"/>
          <w:b/>
          <w:color w:val="000000" w:themeColor="text1"/>
          <w:sz w:val="18"/>
          <w:szCs w:val="18"/>
          <w:lang w:val="es-ES_tradnl"/>
        </w:rPr>
        <w:fldChar w:fldCharType="begin"/>
      </w:r>
      <w:r w:rsidRPr="009B6A2A">
        <w:rPr>
          <w:rFonts w:eastAsia="Calibri" w:cs="Arial"/>
          <w:b/>
          <w:color w:val="000000" w:themeColor="text1"/>
          <w:sz w:val="18"/>
          <w:szCs w:val="18"/>
          <w:lang w:val="es-ES_tradnl"/>
        </w:rPr>
        <w:instrText xml:space="preserve"> SEQ Figura </w:instrText>
      </w:r>
      <w:r w:rsidRPr="009B6A2A">
        <w:rPr>
          <w:rFonts w:eastAsia="Calibri" w:cs="Arial"/>
          <w:b/>
          <w:color w:val="000000" w:themeColor="text1"/>
          <w:sz w:val="18"/>
          <w:szCs w:val="18"/>
          <w:lang w:val="es-ES_tradnl"/>
        </w:rPr>
        <w:fldChar w:fldCharType="separate"/>
      </w:r>
      <w:r w:rsidRPr="009B6A2A">
        <w:rPr>
          <w:rFonts w:eastAsia="Calibri" w:cs="Arial"/>
          <w:b/>
          <w:noProof/>
          <w:color w:val="000000" w:themeColor="text1"/>
          <w:sz w:val="18"/>
          <w:szCs w:val="18"/>
          <w:lang w:val="es-ES_tradnl"/>
        </w:rPr>
        <w:t>1</w:t>
      </w:r>
      <w:r w:rsidRPr="009B6A2A">
        <w:rPr>
          <w:rFonts w:eastAsia="Calibri" w:cs="Arial"/>
          <w:b/>
          <w:noProof/>
          <w:color w:val="000000" w:themeColor="text1"/>
          <w:sz w:val="18"/>
          <w:szCs w:val="18"/>
          <w:lang w:val="es-ES_tradnl"/>
        </w:rPr>
        <w:fldChar w:fldCharType="end"/>
      </w:r>
      <w:r w:rsidRPr="009B6A2A">
        <w:rPr>
          <w:rFonts w:eastAsia="Calibri" w:cs="Arial"/>
          <w:b/>
          <w:color w:val="000000" w:themeColor="text1"/>
          <w:sz w:val="18"/>
          <w:szCs w:val="18"/>
          <w:lang w:val="es-ES_tradnl"/>
        </w:rPr>
        <w:tab/>
        <w:t>Dimensiones de la prueba de replicabilidad para servicios móviles</w:t>
      </w:r>
    </w:p>
    <w:p w14:paraId="49546F7A" w14:textId="38E923CE" w:rsidR="002668A5" w:rsidRPr="009B6A2A" w:rsidRDefault="002201B0" w:rsidP="009B6A2A">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 xml:space="preserve">Fuente: </w:t>
      </w:r>
      <w:r w:rsidRPr="002201B0">
        <w:rPr>
          <w:rFonts w:eastAsia="Calibri" w:cs="Arial"/>
          <w:i/>
          <w:color w:val="000000" w:themeColor="text1"/>
          <w:sz w:val="16"/>
          <w:lang w:val="es-ES_tradnl"/>
        </w:rPr>
        <w:tab/>
      </w:r>
      <w:proofErr w:type="spellStart"/>
      <w:r w:rsidRPr="002201B0">
        <w:rPr>
          <w:rFonts w:eastAsia="Calibri" w:cs="Arial"/>
          <w:i/>
          <w:color w:val="000000" w:themeColor="text1"/>
          <w:sz w:val="16"/>
          <w:lang w:val="es-ES_tradnl"/>
        </w:rPr>
        <w:t>Frontier</w:t>
      </w:r>
      <w:proofErr w:type="spellEnd"/>
      <w:r w:rsidRPr="002201B0">
        <w:rPr>
          <w:rFonts w:eastAsia="Calibri" w:cs="Arial"/>
          <w:i/>
          <w:color w:val="000000" w:themeColor="text1"/>
          <w:sz w:val="16"/>
          <w:lang w:val="es-ES_tradnl"/>
        </w:rPr>
        <w:t xml:space="preserve"> </w:t>
      </w:r>
      <w:proofErr w:type="spellStart"/>
      <w:r w:rsidRPr="002201B0">
        <w:rPr>
          <w:rFonts w:eastAsia="Calibri" w:cs="Arial"/>
          <w:i/>
          <w:color w:val="000000" w:themeColor="text1"/>
          <w:sz w:val="16"/>
          <w:lang w:val="es-ES_tradnl"/>
        </w:rPr>
        <w:t>Economics</w:t>
      </w:r>
      <w:proofErr w:type="spellEnd"/>
      <w:r w:rsidRPr="002201B0">
        <w:rPr>
          <w:rFonts w:eastAsia="Calibri" w:cs="Arial"/>
          <w:i/>
          <w:color w:val="000000" w:themeColor="text1"/>
          <w:sz w:val="16"/>
          <w:lang w:val="es-ES_tradnl"/>
        </w:rPr>
        <w:t>.</w:t>
      </w:r>
    </w:p>
    <w:p w14:paraId="799A3593" w14:textId="77777777" w:rsidR="002201B0" w:rsidRPr="002201B0" w:rsidRDefault="002201B0" w:rsidP="002201B0">
      <w:r w:rsidRPr="002201B0">
        <w:lastRenderedPageBreak/>
        <w:t>Este manual describe el modelo desarrollado con el objetivo de guiar la implementación de la prueba de replicabilidad económica.</w:t>
      </w:r>
    </w:p>
    <w:p w14:paraId="2C063E7E" w14:textId="77777777" w:rsidR="002201B0" w:rsidRPr="002201B0" w:rsidRDefault="002201B0" w:rsidP="002201B0">
      <w:r w:rsidRPr="002201B0">
        <w:t>El documento se estructura de la siguiente manera:</w:t>
      </w:r>
    </w:p>
    <w:p w14:paraId="06982571" w14:textId="2BA20448" w:rsidR="002201B0" w:rsidRPr="002201B0" w:rsidRDefault="002201B0" w:rsidP="002201B0">
      <w:pPr>
        <w:numPr>
          <w:ilvl w:val="0"/>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 xml:space="preserve">En la sección </w:t>
      </w:r>
      <w:r w:rsidRPr="002201B0">
        <w:rPr>
          <w:rFonts w:eastAsiaTheme="minorHAnsi" w:cs="Arial"/>
          <w:color w:val="000000" w:themeColor="text1"/>
          <w:lang w:val="es-ES_tradnl"/>
        </w:rPr>
        <w:fldChar w:fldCharType="begin"/>
      </w:r>
      <w:r w:rsidRPr="002201B0">
        <w:rPr>
          <w:rFonts w:eastAsiaTheme="minorHAnsi" w:cs="Arial"/>
          <w:color w:val="000000" w:themeColor="text1"/>
          <w:lang w:val="es-ES_tradnl"/>
        </w:rPr>
        <w:instrText xml:space="preserve"> REF _Ref482890326 \r \h  \* MERGEFORMAT </w:instrText>
      </w:r>
      <w:r w:rsidRPr="002201B0">
        <w:rPr>
          <w:rFonts w:eastAsiaTheme="minorHAnsi" w:cs="Arial"/>
          <w:color w:val="000000" w:themeColor="text1"/>
          <w:lang w:val="es-ES_tradnl"/>
        </w:rPr>
      </w:r>
      <w:r w:rsidRPr="002201B0">
        <w:rPr>
          <w:rFonts w:eastAsiaTheme="minorHAnsi" w:cs="Arial"/>
          <w:color w:val="000000" w:themeColor="text1"/>
          <w:lang w:val="es-ES_tradnl"/>
        </w:rPr>
        <w:fldChar w:fldCharType="separate"/>
      </w:r>
      <w:r w:rsidR="00DC70AC">
        <w:rPr>
          <w:rFonts w:eastAsiaTheme="minorHAnsi" w:cs="Arial"/>
          <w:b/>
          <w:bCs/>
          <w:color w:val="000000" w:themeColor="text1"/>
          <w:lang w:val="es-ES"/>
        </w:rPr>
        <w:t>2</w:t>
      </w:r>
      <w:r w:rsidR="002C35BD">
        <w:rPr>
          <w:rFonts w:eastAsiaTheme="minorHAnsi" w:cs="Arial"/>
          <w:b/>
          <w:bCs/>
          <w:color w:val="000000" w:themeColor="text1"/>
          <w:lang w:val="es-ES"/>
        </w:rPr>
        <w:t>.</w:t>
      </w:r>
      <w:r w:rsidRPr="002201B0">
        <w:rPr>
          <w:rFonts w:eastAsiaTheme="minorHAnsi" w:cs="Arial"/>
          <w:color w:val="000000" w:themeColor="text1"/>
          <w:lang w:val="es-ES_tradnl"/>
        </w:rPr>
        <w:fldChar w:fldCharType="end"/>
      </w:r>
      <w:r w:rsidRPr="002201B0">
        <w:rPr>
          <w:rFonts w:eastAsiaTheme="minorHAnsi" w:cs="Arial"/>
          <w:color w:val="000000" w:themeColor="text1"/>
          <w:lang w:val="es-ES_tradnl"/>
        </w:rPr>
        <w:t xml:space="preserve"> se explica la estructura y funcionamiento del modelo.</w:t>
      </w:r>
    </w:p>
    <w:p w14:paraId="15E12656" w14:textId="2592E0F1" w:rsid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La sección </w:t>
      </w:r>
      <w:r w:rsidRPr="002201B0">
        <w:rPr>
          <w:rFonts w:eastAsiaTheme="minorHAnsi" w:cs="Arial"/>
          <w:color w:val="000000" w:themeColor="text1"/>
          <w:lang w:val="es-ES_tradnl"/>
        </w:rPr>
        <w:fldChar w:fldCharType="begin"/>
      </w:r>
      <w:r w:rsidRPr="002201B0">
        <w:rPr>
          <w:rFonts w:eastAsiaTheme="minorHAnsi" w:cs="Arial"/>
          <w:color w:val="000000" w:themeColor="text1"/>
          <w:lang w:val="es-ES_tradnl"/>
        </w:rPr>
        <w:instrText xml:space="preserve"> REF _Ref482890349 \r \h  \* MERGEFORMAT </w:instrText>
      </w:r>
      <w:r w:rsidRPr="002201B0">
        <w:rPr>
          <w:rFonts w:eastAsiaTheme="minorHAnsi" w:cs="Arial"/>
          <w:color w:val="000000" w:themeColor="text1"/>
          <w:lang w:val="es-ES_tradnl"/>
        </w:rPr>
      </w:r>
      <w:r w:rsidRPr="002201B0">
        <w:rPr>
          <w:rFonts w:eastAsiaTheme="minorHAnsi" w:cs="Arial"/>
          <w:color w:val="000000" w:themeColor="text1"/>
          <w:lang w:val="es-ES_tradnl"/>
        </w:rPr>
        <w:fldChar w:fldCharType="separate"/>
      </w:r>
      <w:r w:rsidR="00DC70AC">
        <w:rPr>
          <w:rFonts w:eastAsiaTheme="minorHAnsi" w:cs="Arial"/>
          <w:b/>
          <w:bCs/>
          <w:color w:val="000000" w:themeColor="text1"/>
          <w:lang w:val="es-ES"/>
        </w:rPr>
        <w:t>3</w:t>
      </w:r>
      <w:r w:rsidR="002C35BD">
        <w:rPr>
          <w:rFonts w:eastAsiaTheme="minorHAnsi" w:cs="Arial"/>
          <w:b/>
          <w:bCs/>
          <w:color w:val="000000" w:themeColor="text1"/>
          <w:lang w:val="es-ES"/>
        </w:rPr>
        <w:t>.</w:t>
      </w:r>
      <w:r w:rsidRPr="002201B0">
        <w:rPr>
          <w:rFonts w:eastAsiaTheme="minorHAnsi" w:cs="Arial"/>
          <w:color w:val="000000" w:themeColor="text1"/>
          <w:lang w:val="es-ES_tradnl"/>
        </w:rPr>
        <w:fldChar w:fldCharType="end"/>
      </w:r>
      <w:r w:rsidRPr="002201B0">
        <w:rPr>
          <w:rFonts w:eastAsiaTheme="minorHAnsi" w:cs="Arial"/>
          <w:color w:val="000000" w:themeColor="text1"/>
          <w:lang w:val="es-ES_tradnl"/>
        </w:rPr>
        <w:t xml:space="preserve"> detalla la información requerida para </w:t>
      </w:r>
      <w:r w:rsidR="009B6A2A">
        <w:rPr>
          <w:rFonts w:eastAsiaTheme="minorHAnsi" w:cs="Arial"/>
          <w:color w:val="000000" w:themeColor="text1"/>
          <w:lang w:val="es-ES_tradnl"/>
        </w:rPr>
        <w:t>alimentar el modelo</w:t>
      </w:r>
      <w:r w:rsidRPr="002201B0">
        <w:rPr>
          <w:rFonts w:eastAsiaTheme="minorHAnsi" w:cs="Arial"/>
          <w:color w:val="000000" w:themeColor="text1"/>
          <w:lang w:val="es-ES_tradnl"/>
        </w:rPr>
        <w:t xml:space="preserve">. </w:t>
      </w:r>
    </w:p>
    <w:p w14:paraId="47457083" w14:textId="77777777" w:rsidR="002668A5" w:rsidRPr="002201B0" w:rsidRDefault="002668A5" w:rsidP="002668A5">
      <w:pPr>
        <w:spacing w:before="60" w:after="60" w:line="264" w:lineRule="auto"/>
        <w:ind w:left="360"/>
        <w:rPr>
          <w:rFonts w:eastAsiaTheme="minorHAnsi" w:cs="Arial"/>
          <w:color w:val="000000" w:themeColor="text1"/>
          <w:lang w:val="es-ES_tradnl"/>
        </w:rPr>
      </w:pPr>
    </w:p>
    <w:p w14:paraId="79887340" w14:textId="77777777" w:rsidR="002201B0" w:rsidRPr="002201B0" w:rsidRDefault="002201B0" w:rsidP="002201B0">
      <w:pPr>
        <w:numPr>
          <w:ilvl w:val="0"/>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Estructura y funcionamiento del modelo</w:t>
      </w:r>
    </w:p>
    <w:p w14:paraId="02BA5F6E" w14:textId="77777777" w:rsidR="002201B0" w:rsidRPr="002201B0" w:rsidRDefault="002201B0" w:rsidP="002201B0">
      <w:r w:rsidRPr="002201B0">
        <w:t xml:space="preserve">El modelo está preparado para estimar los márgenes (en términos porcentuales sobre los ingresos) asociados a la provisión de servicios minoristas móviles por parte de un OMV que se basa en el servicio mayorista de reventa. El modelo considera un horizonte temporal de tres meses. </w:t>
      </w:r>
    </w:p>
    <w:p w14:paraId="42EBB822" w14:textId="77777777" w:rsidR="002201B0" w:rsidRPr="002201B0" w:rsidRDefault="002201B0" w:rsidP="002201B0">
      <w:r w:rsidRPr="002201B0">
        <w:t xml:space="preserve">El margen se estima como la diferencia entre los ingresos reportados por el AEP en la provisión minorista de servicios móviles, los pagos mayoristas asociados al servicio mayorista para OMV revendedores y los costos aguas abajo que conlleva la comercialización minorista de los servicios. </w:t>
      </w:r>
    </w:p>
    <w:p w14:paraId="6803BA88" w14:textId="0C0275C2" w:rsidR="002201B0" w:rsidRPr="002201B0" w:rsidRDefault="002201B0" w:rsidP="002201B0">
      <w:r w:rsidRPr="002201B0">
        <w:t xml:space="preserve">Se estima el margen a nivel agregado y separadamente para los segmentos prepago y </w:t>
      </w:r>
      <w:proofErr w:type="spellStart"/>
      <w:r w:rsidR="009B6A2A">
        <w:t>pospago</w:t>
      </w:r>
      <w:proofErr w:type="spellEnd"/>
      <w:r w:rsidRPr="002201B0">
        <w:t xml:space="preserve">. </w:t>
      </w:r>
      <w:r w:rsidR="009B6A2A">
        <w:t>Así mismo, el modelo permite estimar el margen para ofertas insignia concretas.</w:t>
      </w:r>
    </w:p>
    <w:p w14:paraId="7217DD81" w14:textId="5F6D33FB" w:rsidR="002201B0" w:rsidRPr="002201B0" w:rsidRDefault="002201B0" w:rsidP="002201B0">
      <w:r w:rsidRPr="002201B0">
        <w:t xml:space="preserve">Si el margen es positivo, el modelo indica la replicabilidad de la oferta minorista de servicios móviles del AEP. En caso contrario, el resultado estaría indicando que un OMV revendedor no podría replicar de forma rentable la cartera de servicios minoristas </w:t>
      </w:r>
      <w:r w:rsidR="006249CF">
        <w:t xml:space="preserve">o las ofertas insignia </w:t>
      </w:r>
      <w:r w:rsidRPr="002201B0">
        <w:t xml:space="preserve">ofrecidos por el AEP. </w:t>
      </w:r>
    </w:p>
    <w:p w14:paraId="18997F7F" w14:textId="77777777" w:rsidR="002201B0" w:rsidRPr="002201B0" w:rsidRDefault="002201B0" w:rsidP="002201B0">
      <w:r w:rsidRPr="002201B0">
        <w:t>El modelo se compone de 4 grandes módulos:</w:t>
      </w:r>
    </w:p>
    <w:p w14:paraId="53BCF8B0" w14:textId="77777777" w:rsidR="002201B0" w:rsidRPr="002201B0" w:rsidRDefault="002201B0" w:rsidP="002201B0">
      <w:pPr>
        <w:numPr>
          <w:ilvl w:val="0"/>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El módulo de resultados, reportando el margen para el periodo considerado;</w:t>
      </w:r>
    </w:p>
    <w:p w14:paraId="5A665148" w14:textId="77777777" w:rsidR="002201B0" w:rsidRPr="002201B0" w:rsidRDefault="002201B0" w:rsidP="002201B0">
      <w:pPr>
        <w:numPr>
          <w:ilvl w:val="0"/>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El módulo de cálculos, de ingresos y costos, incluyendo los pagos mayoristas al AEP;</w:t>
      </w:r>
    </w:p>
    <w:p w14:paraId="15543119" w14:textId="22491C89" w:rsidR="002201B0" w:rsidRPr="002201B0" w:rsidRDefault="002201B0" w:rsidP="00C160EC">
      <w:pPr>
        <w:numPr>
          <w:ilvl w:val="0"/>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 xml:space="preserve">El módulo de información, tanto requerida al AEP como relativa a la oferta mayorista; y </w:t>
      </w:r>
    </w:p>
    <w:p w14:paraId="59EC433A" w14:textId="77777777" w:rsidR="002201B0" w:rsidRPr="002201B0" w:rsidRDefault="002201B0" w:rsidP="002201B0">
      <w:pPr>
        <w:numPr>
          <w:ilvl w:val="0"/>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 xml:space="preserve">El módulo de supuestos.  </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2201B0" w:rsidRPr="002201B0" w14:paraId="2D6A4BCC" w14:textId="77777777" w:rsidTr="00287679">
        <w:trPr>
          <w:jc w:val="center"/>
        </w:trPr>
        <w:tc>
          <w:tcPr>
            <w:tcW w:w="5000" w:type="pct"/>
            <w:noWrap/>
          </w:tcPr>
          <w:p w14:paraId="57DBFC48" w14:textId="77777777" w:rsidR="002201B0" w:rsidRPr="005318FF" w:rsidRDefault="002201B0" w:rsidP="002201B0">
            <w:pPr>
              <w:keepNext/>
              <w:tabs>
                <w:tab w:val="left" w:pos="1276"/>
              </w:tabs>
              <w:spacing w:before="120" w:after="60" w:line="240" w:lineRule="auto"/>
              <w:ind w:left="1276" w:hanging="1276"/>
              <w:rPr>
                <w:rFonts w:eastAsia="Calibri" w:cs="Arial"/>
                <w:b/>
                <w:color w:val="37424A"/>
                <w:sz w:val="18"/>
                <w:szCs w:val="18"/>
                <w:lang w:val="es-ES_tradnl"/>
              </w:rPr>
            </w:pPr>
            <w:r w:rsidRPr="005318FF">
              <w:rPr>
                <w:rFonts w:eastAsia="Calibri" w:cs="Arial"/>
                <w:b/>
                <w:color w:val="37424A"/>
                <w:sz w:val="18"/>
                <w:szCs w:val="18"/>
                <w:lang w:val="es-ES_tradnl"/>
              </w:rPr>
              <w:lastRenderedPageBreak/>
              <w:t xml:space="preserve">Figura </w:t>
            </w:r>
            <w:r w:rsidRPr="005318FF">
              <w:rPr>
                <w:rFonts w:eastAsia="Calibri" w:cs="Arial"/>
                <w:b/>
                <w:color w:val="37424A"/>
                <w:sz w:val="18"/>
                <w:szCs w:val="18"/>
                <w:lang w:val="es-ES_tradnl"/>
              </w:rPr>
              <w:fldChar w:fldCharType="begin"/>
            </w:r>
            <w:r w:rsidRPr="005318FF">
              <w:rPr>
                <w:rFonts w:eastAsia="Calibri" w:cs="Arial"/>
                <w:b/>
                <w:color w:val="37424A"/>
                <w:sz w:val="18"/>
                <w:szCs w:val="18"/>
                <w:lang w:val="es-ES_tradnl"/>
              </w:rPr>
              <w:instrText xml:space="preserve"> SEQ Figura </w:instrText>
            </w:r>
            <w:r w:rsidRPr="005318FF">
              <w:rPr>
                <w:rFonts w:eastAsia="Calibri" w:cs="Arial"/>
                <w:b/>
                <w:color w:val="37424A"/>
                <w:sz w:val="18"/>
                <w:szCs w:val="18"/>
                <w:lang w:val="es-ES_tradnl"/>
              </w:rPr>
              <w:fldChar w:fldCharType="separate"/>
            </w:r>
            <w:r w:rsidR="002C35BD" w:rsidRPr="005318FF">
              <w:rPr>
                <w:rFonts w:eastAsia="Calibri" w:cs="Arial"/>
                <w:b/>
                <w:noProof/>
                <w:color w:val="37424A"/>
                <w:sz w:val="18"/>
                <w:szCs w:val="18"/>
                <w:lang w:val="es-ES_tradnl"/>
              </w:rPr>
              <w:t>2</w:t>
            </w:r>
            <w:r w:rsidRPr="005318FF">
              <w:rPr>
                <w:rFonts w:eastAsia="Calibri" w:cs="Arial"/>
                <w:b/>
                <w:noProof/>
                <w:color w:val="37424A"/>
                <w:sz w:val="18"/>
                <w:szCs w:val="18"/>
                <w:lang w:val="es-ES_tradnl"/>
              </w:rPr>
              <w:fldChar w:fldCharType="end"/>
            </w:r>
            <w:r w:rsidRPr="005318FF">
              <w:rPr>
                <w:rFonts w:eastAsia="Calibri" w:cs="Arial"/>
                <w:b/>
                <w:color w:val="37424A"/>
                <w:sz w:val="18"/>
                <w:szCs w:val="18"/>
                <w:lang w:val="es-ES_tradnl"/>
              </w:rPr>
              <w:tab/>
              <w:t>Estructura del modelo de replicabilidad de servicios móviles</w:t>
            </w:r>
          </w:p>
        </w:tc>
      </w:tr>
      <w:tr w:rsidR="002201B0" w:rsidRPr="002201B0" w14:paraId="7DEFF485" w14:textId="77777777" w:rsidTr="00287679">
        <w:trPr>
          <w:jc w:val="center"/>
        </w:trPr>
        <w:tc>
          <w:tcPr>
            <w:tcW w:w="5000" w:type="pct"/>
            <w:noWrap/>
          </w:tcPr>
          <w:p w14:paraId="61EA8B54" w14:textId="77777777" w:rsidR="002201B0" w:rsidRPr="002201B0" w:rsidRDefault="002201B0" w:rsidP="002201B0">
            <w:pPr>
              <w:keepNext/>
              <w:spacing w:after="0" w:line="240" w:lineRule="auto"/>
              <w:jc w:val="left"/>
              <w:rPr>
                <w:rFonts w:eastAsia="Arial" w:cs="Arial"/>
                <w:color w:val="37424A"/>
                <w:sz w:val="20"/>
                <w:lang w:val="en-GB"/>
              </w:rPr>
            </w:pPr>
            <w:r w:rsidRPr="002201B0">
              <w:rPr>
                <w:rFonts w:eastAsia="Arial" w:cs="Arial"/>
                <w:noProof/>
                <w:color w:val="37424A"/>
                <w:sz w:val="20"/>
                <w:lang w:eastAsia="es-MX"/>
              </w:rPr>
              <w:drawing>
                <wp:inline distT="0" distB="0" distL="0" distR="0" wp14:anchorId="0323A271" wp14:editId="091B6D3F">
                  <wp:extent cx="4667250" cy="249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2495550"/>
                          </a:xfrm>
                          <a:prstGeom prst="rect">
                            <a:avLst/>
                          </a:prstGeom>
                          <a:noFill/>
                          <a:ln>
                            <a:noFill/>
                          </a:ln>
                        </pic:spPr>
                      </pic:pic>
                    </a:graphicData>
                  </a:graphic>
                </wp:inline>
              </w:drawing>
            </w:r>
          </w:p>
        </w:tc>
      </w:tr>
      <w:tr w:rsidR="002201B0" w:rsidRPr="002201B0" w14:paraId="6FCD34DA" w14:textId="77777777" w:rsidTr="00287679">
        <w:trPr>
          <w:jc w:val="center"/>
        </w:trPr>
        <w:tc>
          <w:tcPr>
            <w:tcW w:w="5000" w:type="pct"/>
            <w:noWrap/>
          </w:tcPr>
          <w:p w14:paraId="79849ECE" w14:textId="77777777" w:rsidR="002201B0" w:rsidRPr="002201B0" w:rsidRDefault="002201B0" w:rsidP="002201B0">
            <w:pPr>
              <w:tabs>
                <w:tab w:val="left" w:pos="709"/>
              </w:tabs>
              <w:spacing w:before="60" w:after="60" w:line="240" w:lineRule="auto"/>
              <w:ind w:left="709" w:hanging="709"/>
              <w:jc w:val="left"/>
              <w:rPr>
                <w:rFonts w:eastAsia="Calibri" w:cs="Arial"/>
                <w:i/>
                <w:color w:val="37424A"/>
                <w:sz w:val="16"/>
                <w:lang w:val="es-ES_tradnl"/>
              </w:rPr>
            </w:pPr>
            <w:r w:rsidRPr="002201B0">
              <w:rPr>
                <w:rFonts w:eastAsia="Calibri" w:cs="Arial"/>
                <w:i/>
                <w:color w:val="37424A"/>
                <w:sz w:val="16"/>
                <w:lang w:val="es-ES_tradnl"/>
              </w:rPr>
              <w:t>Fuente:</w:t>
            </w:r>
            <w:r w:rsidRPr="002201B0">
              <w:rPr>
                <w:rFonts w:eastAsia="Calibri" w:cs="Arial"/>
                <w:i/>
                <w:color w:val="37424A"/>
                <w:sz w:val="16"/>
                <w:lang w:val="es-ES_tradnl"/>
              </w:rPr>
              <w:tab/>
              <w:t xml:space="preserve">Prueba de Replicabilidad Móvil. </w:t>
            </w:r>
          </w:p>
        </w:tc>
      </w:tr>
    </w:tbl>
    <w:p w14:paraId="2E717E51" w14:textId="77777777" w:rsidR="002201B0" w:rsidRPr="002201B0" w:rsidRDefault="002201B0" w:rsidP="002201B0">
      <w:pPr>
        <w:rPr>
          <w:lang w:val="es-ES_tradnl"/>
        </w:rPr>
      </w:pPr>
    </w:p>
    <w:p w14:paraId="5307AB49" w14:textId="77777777" w:rsidR="002201B0" w:rsidRPr="002201B0" w:rsidRDefault="002201B0" w:rsidP="002201B0">
      <w:pPr>
        <w:rPr>
          <w:lang w:val="es-ES_tradnl"/>
        </w:rPr>
      </w:pPr>
      <w:r w:rsidRPr="002201B0">
        <w:rPr>
          <w:lang w:val="es-ES_tradnl"/>
        </w:rPr>
        <w:t xml:space="preserve">A continuación, se presenta una guía de apoyo describiendo cada uno de estos módulos.  </w:t>
      </w:r>
    </w:p>
    <w:p w14:paraId="02D0DEB9" w14:textId="77777777" w:rsidR="006249CF" w:rsidRDefault="006249CF" w:rsidP="002201B0">
      <w:pPr>
        <w:rPr>
          <w:b/>
          <w:lang w:val="es-ES_tradnl"/>
        </w:rPr>
      </w:pPr>
    </w:p>
    <w:p w14:paraId="22ECE32D" w14:textId="77777777" w:rsidR="006249CF" w:rsidRDefault="006249CF" w:rsidP="002201B0">
      <w:pPr>
        <w:rPr>
          <w:lang w:val="es-ES_tradnl"/>
        </w:rPr>
      </w:pPr>
      <w:r>
        <w:rPr>
          <w:b/>
          <w:lang w:val="es-ES_tradnl"/>
        </w:rPr>
        <w:t>Notación</w:t>
      </w:r>
      <w:r w:rsidR="002201B0" w:rsidRPr="002201B0">
        <w:rPr>
          <w:lang w:val="es-ES_tradnl"/>
        </w:rPr>
        <w:t xml:space="preserve"> </w:t>
      </w:r>
    </w:p>
    <w:p w14:paraId="684302C2" w14:textId="74D3F7A8" w:rsidR="002201B0" w:rsidRPr="002201B0" w:rsidRDefault="002201B0" w:rsidP="002201B0">
      <w:pPr>
        <w:rPr>
          <w:lang w:val="es-ES_tradnl"/>
        </w:rPr>
      </w:pPr>
      <w:r w:rsidRPr="002201B0">
        <w:rPr>
          <w:lang w:val="es-ES_tradnl"/>
        </w:rPr>
        <w:t>Los distintos modelos emplean una notación homogénea para facilitar el entendimiento y uso de los mismos, tal y como se detalla en la figura abajo.</w:t>
      </w:r>
    </w:p>
    <w:tbl>
      <w:tblPr>
        <w:tblW w:w="7940" w:type="dxa"/>
        <w:jc w:val="center"/>
        <w:tblLayout w:type="fixed"/>
        <w:tblCellMar>
          <w:left w:w="0" w:type="dxa"/>
          <w:right w:w="0" w:type="dxa"/>
        </w:tblCellMar>
        <w:tblLook w:val="04A0" w:firstRow="1" w:lastRow="0" w:firstColumn="1" w:lastColumn="0" w:noHBand="0" w:noVBand="1"/>
      </w:tblPr>
      <w:tblGrid>
        <w:gridCol w:w="7940"/>
      </w:tblGrid>
      <w:tr w:rsidR="002201B0" w:rsidRPr="002201B0" w14:paraId="0788EB0C" w14:textId="77777777" w:rsidTr="00287679">
        <w:trPr>
          <w:jc w:val="center"/>
        </w:trPr>
        <w:tc>
          <w:tcPr>
            <w:tcW w:w="5000" w:type="pct"/>
            <w:noWrap/>
          </w:tcPr>
          <w:p w14:paraId="6DCDB440" w14:textId="77777777" w:rsidR="002201B0" w:rsidRPr="005318FF" w:rsidRDefault="002201B0" w:rsidP="002201B0">
            <w:pPr>
              <w:keepNext/>
              <w:tabs>
                <w:tab w:val="left" w:pos="1276"/>
              </w:tabs>
              <w:spacing w:before="120" w:after="60" w:line="240" w:lineRule="auto"/>
              <w:ind w:left="1276" w:hanging="1276"/>
              <w:rPr>
                <w:rFonts w:eastAsia="Calibri" w:cs="Arial"/>
                <w:b/>
                <w:color w:val="000000" w:themeColor="text1"/>
                <w:sz w:val="18"/>
                <w:szCs w:val="18"/>
                <w:lang w:val="es-ES_tradnl"/>
              </w:rPr>
            </w:pPr>
            <w:r w:rsidRPr="005318FF">
              <w:rPr>
                <w:rFonts w:eastAsia="Calibri" w:cs="Arial"/>
                <w:b/>
                <w:color w:val="000000" w:themeColor="text1"/>
                <w:sz w:val="18"/>
                <w:szCs w:val="18"/>
                <w:lang w:val="es-ES_tradnl"/>
              </w:rPr>
              <w:lastRenderedPageBreak/>
              <w:t xml:space="preserve">Figura </w:t>
            </w:r>
            <w:r w:rsidRPr="005318FF">
              <w:rPr>
                <w:rFonts w:eastAsia="Calibri" w:cs="Arial"/>
                <w:b/>
                <w:color w:val="000000" w:themeColor="text1"/>
                <w:sz w:val="18"/>
                <w:szCs w:val="18"/>
                <w:lang w:val="es-ES_tradnl"/>
              </w:rPr>
              <w:fldChar w:fldCharType="begin"/>
            </w:r>
            <w:r w:rsidRPr="005318FF">
              <w:rPr>
                <w:rFonts w:eastAsia="Calibri" w:cs="Arial"/>
                <w:b/>
                <w:color w:val="000000" w:themeColor="text1"/>
                <w:sz w:val="18"/>
                <w:szCs w:val="18"/>
                <w:lang w:val="es-ES_tradnl"/>
              </w:rPr>
              <w:instrText xml:space="preserve"> SEQ Figura </w:instrText>
            </w:r>
            <w:r w:rsidRPr="005318FF">
              <w:rPr>
                <w:rFonts w:eastAsia="Calibri" w:cs="Arial"/>
                <w:b/>
                <w:color w:val="000000" w:themeColor="text1"/>
                <w:sz w:val="18"/>
                <w:szCs w:val="18"/>
                <w:lang w:val="es-ES_tradnl"/>
              </w:rPr>
              <w:fldChar w:fldCharType="separate"/>
            </w:r>
            <w:r w:rsidR="002C35BD" w:rsidRPr="005318FF">
              <w:rPr>
                <w:rFonts w:eastAsia="Calibri" w:cs="Arial"/>
                <w:b/>
                <w:noProof/>
                <w:color w:val="000000" w:themeColor="text1"/>
                <w:sz w:val="18"/>
                <w:szCs w:val="18"/>
                <w:lang w:val="es-ES_tradnl"/>
              </w:rPr>
              <w:t>3</w:t>
            </w:r>
            <w:r w:rsidRPr="005318FF">
              <w:rPr>
                <w:rFonts w:eastAsia="Calibri" w:cs="Arial"/>
                <w:b/>
                <w:noProof/>
                <w:color w:val="000000" w:themeColor="text1"/>
                <w:sz w:val="18"/>
                <w:szCs w:val="18"/>
                <w:lang w:val="es-ES_tradnl"/>
              </w:rPr>
              <w:fldChar w:fldCharType="end"/>
            </w:r>
            <w:r w:rsidRPr="005318FF">
              <w:rPr>
                <w:rFonts w:eastAsia="Calibri" w:cs="Arial"/>
                <w:b/>
                <w:color w:val="000000" w:themeColor="text1"/>
                <w:sz w:val="18"/>
                <w:szCs w:val="18"/>
                <w:lang w:val="es-ES_tradnl"/>
              </w:rPr>
              <w:tab/>
              <w:t>Notación empleada en el modelo</w:t>
            </w:r>
          </w:p>
        </w:tc>
      </w:tr>
      <w:tr w:rsidR="002201B0" w:rsidRPr="002201B0" w14:paraId="6B5608E5" w14:textId="77777777" w:rsidTr="00287679">
        <w:trPr>
          <w:jc w:val="center"/>
        </w:trPr>
        <w:tc>
          <w:tcPr>
            <w:tcW w:w="5000" w:type="pct"/>
            <w:noWrap/>
          </w:tcPr>
          <w:p w14:paraId="2AADDF23" w14:textId="77777777" w:rsidR="002201B0" w:rsidRPr="002201B0" w:rsidRDefault="002201B0" w:rsidP="002201B0">
            <w:pPr>
              <w:keepNext/>
              <w:spacing w:after="0" w:line="240" w:lineRule="auto"/>
              <w:jc w:val="left"/>
              <w:rPr>
                <w:rFonts w:eastAsiaTheme="minorHAnsi" w:cs="Arial"/>
                <w:color w:val="000000" w:themeColor="text1"/>
                <w:sz w:val="20"/>
                <w:lang w:val="en-GB"/>
              </w:rPr>
            </w:pPr>
            <w:r w:rsidRPr="002201B0">
              <w:rPr>
                <w:rFonts w:eastAsiaTheme="minorHAnsi" w:cs="Arial"/>
                <w:noProof/>
                <w:color w:val="000000" w:themeColor="text1"/>
                <w:sz w:val="20"/>
                <w:lang w:eastAsia="es-MX"/>
              </w:rPr>
              <w:drawing>
                <wp:inline distT="0" distB="0" distL="0" distR="0" wp14:anchorId="7C3AB319" wp14:editId="72F5B32A">
                  <wp:extent cx="5041900" cy="20955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1900" cy="2095500"/>
                          </a:xfrm>
                          <a:prstGeom prst="rect">
                            <a:avLst/>
                          </a:prstGeom>
                        </pic:spPr>
                      </pic:pic>
                    </a:graphicData>
                  </a:graphic>
                </wp:inline>
              </w:drawing>
            </w:r>
          </w:p>
        </w:tc>
      </w:tr>
      <w:tr w:rsidR="002201B0" w:rsidRPr="002201B0" w14:paraId="413D06AB" w14:textId="77777777" w:rsidTr="00287679">
        <w:trPr>
          <w:jc w:val="center"/>
        </w:trPr>
        <w:tc>
          <w:tcPr>
            <w:tcW w:w="5000" w:type="pct"/>
            <w:noWrap/>
          </w:tcPr>
          <w:p w14:paraId="5EA02875" w14:textId="77777777" w:rsidR="002201B0" w:rsidRPr="002201B0" w:rsidRDefault="002201B0" w:rsidP="002201B0">
            <w:pPr>
              <w:tabs>
                <w:tab w:val="left" w:pos="709"/>
              </w:tabs>
              <w:spacing w:before="60" w:after="60" w:line="240" w:lineRule="auto"/>
              <w:ind w:left="709" w:hanging="709"/>
              <w:jc w:val="left"/>
              <w:rPr>
                <w:rFonts w:eastAsia="Calibri" w:cs="Arial"/>
                <w:i/>
                <w:color w:val="000000" w:themeColor="text1"/>
                <w:sz w:val="16"/>
                <w:lang w:val="es-ES_tradnl"/>
              </w:rPr>
            </w:pPr>
            <w:r w:rsidRPr="002201B0">
              <w:rPr>
                <w:rFonts w:eastAsia="Calibri" w:cs="Arial"/>
                <w:i/>
                <w:color w:val="000000" w:themeColor="text1"/>
                <w:sz w:val="16"/>
                <w:lang w:val="es-ES_tradnl"/>
              </w:rPr>
              <w:t>Fuente:</w:t>
            </w:r>
            <w:r w:rsidRPr="002201B0">
              <w:rPr>
                <w:rFonts w:eastAsia="Calibri" w:cs="Arial"/>
                <w:i/>
                <w:color w:val="000000" w:themeColor="text1"/>
                <w:sz w:val="16"/>
                <w:lang w:val="es-ES_tradnl"/>
              </w:rPr>
              <w:tab/>
              <w:t>Prueba de Replicabilidad Móvil.</w:t>
            </w:r>
          </w:p>
        </w:tc>
      </w:tr>
      <w:tr w:rsidR="006249CF" w:rsidRPr="002201B0" w14:paraId="39C68DFB" w14:textId="77777777" w:rsidTr="00287679">
        <w:trPr>
          <w:jc w:val="center"/>
        </w:trPr>
        <w:tc>
          <w:tcPr>
            <w:tcW w:w="5000" w:type="pct"/>
            <w:noWrap/>
          </w:tcPr>
          <w:p w14:paraId="00D3007E" w14:textId="77777777" w:rsidR="006249CF" w:rsidRPr="002201B0" w:rsidRDefault="006249CF" w:rsidP="006249CF">
            <w:pPr>
              <w:tabs>
                <w:tab w:val="left" w:pos="709"/>
              </w:tabs>
              <w:spacing w:before="60" w:after="60" w:line="240" w:lineRule="auto"/>
              <w:jc w:val="left"/>
              <w:rPr>
                <w:rFonts w:eastAsia="Calibri" w:cs="Arial"/>
                <w:i/>
                <w:color w:val="000000" w:themeColor="text1"/>
                <w:sz w:val="16"/>
                <w:lang w:val="es-ES_tradnl"/>
              </w:rPr>
            </w:pPr>
          </w:p>
        </w:tc>
      </w:tr>
    </w:tbl>
    <w:p w14:paraId="5D3592C1" w14:textId="77777777" w:rsidR="002201B0" w:rsidRPr="002201B0" w:rsidRDefault="002201B0" w:rsidP="002201B0">
      <w:pPr>
        <w:numPr>
          <w:ilvl w:val="0"/>
          <w:numId w:val="93"/>
        </w:numPr>
        <w:spacing w:before="160" w:after="160" w:line="259" w:lineRule="auto"/>
        <w:jc w:val="left"/>
        <w:outlineLvl w:val="1"/>
        <w:rPr>
          <w:rFonts w:eastAsia="Arial" w:cs="Arial"/>
          <w:b/>
          <w:vanish/>
          <w:szCs w:val="14"/>
          <w:lang w:val="es-ES_tradnl"/>
        </w:rPr>
      </w:pPr>
    </w:p>
    <w:p w14:paraId="6B4BDEA3" w14:textId="77777777" w:rsidR="002201B0" w:rsidRPr="002201B0" w:rsidRDefault="002201B0" w:rsidP="002201B0">
      <w:pPr>
        <w:numPr>
          <w:ilvl w:val="0"/>
          <w:numId w:val="93"/>
        </w:numPr>
        <w:spacing w:before="160" w:after="160" w:line="259" w:lineRule="auto"/>
        <w:jc w:val="left"/>
        <w:outlineLvl w:val="1"/>
        <w:rPr>
          <w:rFonts w:eastAsia="Arial" w:cs="Arial"/>
          <w:b/>
          <w:vanish/>
          <w:szCs w:val="14"/>
          <w:lang w:val="es-ES_tradnl"/>
        </w:rPr>
      </w:pPr>
    </w:p>
    <w:p w14:paraId="58A8FBF7" w14:textId="77777777" w:rsidR="002201B0" w:rsidRPr="002201B0" w:rsidRDefault="002201B0" w:rsidP="002201B0">
      <w:pPr>
        <w:numPr>
          <w:ilvl w:val="1"/>
          <w:numId w:val="93"/>
        </w:numPr>
        <w:spacing w:before="160" w:after="160" w:line="259" w:lineRule="auto"/>
        <w:jc w:val="left"/>
        <w:outlineLvl w:val="1"/>
        <w:rPr>
          <w:rFonts w:eastAsia="Arial" w:cs="Arial"/>
          <w:b/>
          <w:szCs w:val="14"/>
          <w:lang w:val="es-ES_tradnl"/>
        </w:rPr>
      </w:pPr>
      <w:r w:rsidRPr="002201B0">
        <w:rPr>
          <w:rFonts w:eastAsia="Arial" w:cs="Arial"/>
          <w:b/>
          <w:szCs w:val="14"/>
          <w:lang w:val="es-ES_tradnl"/>
        </w:rPr>
        <w:t>Módulo de resultados</w:t>
      </w:r>
    </w:p>
    <w:p w14:paraId="65D70A2B" w14:textId="77777777" w:rsidR="002201B0" w:rsidRPr="002201B0" w:rsidRDefault="002201B0" w:rsidP="002201B0">
      <w:pPr>
        <w:rPr>
          <w:lang w:val="es-ES_tradnl"/>
        </w:rPr>
      </w:pPr>
      <w:r w:rsidRPr="002201B0">
        <w:rPr>
          <w:lang w:val="es-ES_tradnl"/>
        </w:rPr>
        <w:t xml:space="preserve">En la hoja “Resultados” se muestran los resultados de la prueba en términos del margen porcentual sobre los ingresos minoristas para los 3 meses considerados en el modelo. </w:t>
      </w:r>
    </w:p>
    <w:p w14:paraId="05AE12DA" w14:textId="77777777" w:rsidR="002201B0" w:rsidRPr="002201B0" w:rsidRDefault="002201B0" w:rsidP="002201B0">
      <w:pPr>
        <w:rPr>
          <w:lang w:val="es-ES_tradnl"/>
        </w:rPr>
      </w:pPr>
      <w:r w:rsidRPr="002201B0">
        <w:rPr>
          <w:lang w:val="es-ES_tradnl"/>
        </w:rPr>
        <w:t>El margen se estima como la diferencia entre:</w:t>
      </w:r>
    </w:p>
    <w:p w14:paraId="0215F902"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Los ingresos obtenidos por el AEP durante el período; </w:t>
      </w:r>
    </w:p>
    <w:p w14:paraId="1FFE83F7"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Los pagos asociados al uso del servicio mayorista para OMV revendedores; y  </w:t>
      </w:r>
    </w:p>
    <w:p w14:paraId="02196417" w14:textId="77777777" w:rsid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Los costos aguas abajo asociados a la prestación de los servicios minoristas móviles en el período.</w:t>
      </w:r>
    </w:p>
    <w:p w14:paraId="4A3E74E2" w14:textId="77777777" w:rsidR="006249CF" w:rsidRPr="006249CF" w:rsidRDefault="006249CF" w:rsidP="006249CF">
      <w:pPr>
        <w:pStyle w:val="Prrafodelista"/>
        <w:numPr>
          <w:ilvl w:val="0"/>
          <w:numId w:val="90"/>
        </w:numPr>
        <w:rPr>
          <w:rFonts w:eastAsiaTheme="minorHAnsi"/>
          <w:color w:val="000000" w:themeColor="text1"/>
          <w:lang w:val="es-ES_tradnl"/>
        </w:rPr>
      </w:pPr>
      <w:r w:rsidRPr="006249CF">
        <w:rPr>
          <w:rFonts w:eastAsiaTheme="minorHAnsi"/>
          <w:color w:val="000000" w:themeColor="text1"/>
          <w:lang w:val="es-ES_tradnl"/>
        </w:rPr>
        <w:t>El modelo permite seleccionar el estándar de costos a aplicar, distinguiendo entre un enfoque EEO (usando los costos del AEP) y un enfoque SEO (ajustando los costos del AEP por la escala).</w:t>
      </w:r>
    </w:p>
    <w:p w14:paraId="21FD07E5" w14:textId="77777777" w:rsidR="006249CF" w:rsidRPr="002201B0" w:rsidRDefault="006249CF" w:rsidP="006249CF">
      <w:pPr>
        <w:spacing w:before="60" w:after="60" w:line="264" w:lineRule="auto"/>
        <w:ind w:left="360"/>
        <w:rPr>
          <w:rFonts w:eastAsiaTheme="minorHAnsi" w:cs="Arial"/>
          <w:color w:val="000000" w:themeColor="text1"/>
          <w:lang w:val="es-ES_tradnl"/>
        </w:rPr>
      </w:pPr>
    </w:p>
    <w:p w14:paraId="23218A2B" w14:textId="77777777" w:rsidR="002201B0" w:rsidRPr="002201B0" w:rsidRDefault="002201B0" w:rsidP="002201B0">
      <w:pPr>
        <w:rPr>
          <w:lang w:val="es-ES_tradnl"/>
        </w:rPr>
      </w:pPr>
      <w:r w:rsidRPr="002201B0">
        <w:rPr>
          <w:lang w:val="es-ES_tradnl"/>
        </w:rPr>
        <w:t xml:space="preserve">Si los ingresos obtenidos en el período superan los costos asociados se considera que las tarifas son replicables. </w:t>
      </w:r>
    </w:p>
    <w:p w14:paraId="58BE55DC" w14:textId="1AAAA237" w:rsidR="002201B0" w:rsidRPr="002201B0" w:rsidRDefault="002201B0" w:rsidP="002201B0">
      <w:pPr>
        <w:rPr>
          <w:lang w:val="es-ES_tradnl"/>
        </w:rPr>
      </w:pPr>
      <w:r w:rsidRPr="002201B0">
        <w:rPr>
          <w:lang w:val="es-ES_tradnl"/>
        </w:rPr>
        <w:t>Los resultados también se muestran gráficamente, tal y como se contempla en la Figura 4.</w:t>
      </w:r>
    </w:p>
    <w:tbl>
      <w:tblPr>
        <w:tblW w:w="7834" w:type="dxa"/>
        <w:jc w:val="center"/>
        <w:tblLayout w:type="fixed"/>
        <w:tblCellMar>
          <w:left w:w="0" w:type="dxa"/>
          <w:right w:w="0" w:type="dxa"/>
        </w:tblCellMar>
        <w:tblLook w:val="04A0" w:firstRow="1" w:lastRow="0" w:firstColumn="1" w:lastColumn="0" w:noHBand="0" w:noVBand="1"/>
      </w:tblPr>
      <w:tblGrid>
        <w:gridCol w:w="7834"/>
      </w:tblGrid>
      <w:tr w:rsidR="002201B0" w:rsidRPr="002201B0" w14:paraId="6600C942" w14:textId="77777777" w:rsidTr="002668A5">
        <w:trPr>
          <w:trHeight w:val="702"/>
          <w:jc w:val="center"/>
        </w:trPr>
        <w:tc>
          <w:tcPr>
            <w:tcW w:w="5000" w:type="pct"/>
            <w:noWrap/>
          </w:tcPr>
          <w:p w14:paraId="18F0B948" w14:textId="77777777" w:rsidR="002201B0" w:rsidRPr="005318FF" w:rsidRDefault="002201B0" w:rsidP="002201B0">
            <w:pPr>
              <w:keepNext/>
              <w:tabs>
                <w:tab w:val="left" w:pos="1276"/>
              </w:tabs>
              <w:spacing w:before="120" w:after="60" w:line="240" w:lineRule="auto"/>
              <w:ind w:left="1276" w:hanging="1276"/>
              <w:rPr>
                <w:rFonts w:eastAsia="Calibri" w:cs="Arial"/>
                <w:b/>
                <w:color w:val="000000" w:themeColor="text1"/>
                <w:sz w:val="18"/>
                <w:szCs w:val="18"/>
                <w:lang w:val="es-ES_tradnl"/>
              </w:rPr>
            </w:pPr>
            <w:bookmarkStart w:id="0" w:name="_Ref491860125"/>
            <w:r w:rsidRPr="005318FF">
              <w:rPr>
                <w:rFonts w:eastAsia="Calibri" w:cs="Arial"/>
                <w:b/>
                <w:color w:val="000000" w:themeColor="text1"/>
                <w:sz w:val="18"/>
                <w:szCs w:val="18"/>
                <w:lang w:val="es-ES_tradnl"/>
              </w:rPr>
              <w:lastRenderedPageBreak/>
              <w:t xml:space="preserve">Figura </w:t>
            </w:r>
            <w:r w:rsidRPr="005318FF">
              <w:rPr>
                <w:rFonts w:eastAsia="Calibri" w:cs="Arial"/>
                <w:b/>
                <w:color w:val="000000" w:themeColor="text1"/>
                <w:sz w:val="18"/>
                <w:szCs w:val="18"/>
                <w:lang w:val="es-ES_tradnl"/>
              </w:rPr>
              <w:fldChar w:fldCharType="begin"/>
            </w:r>
            <w:r w:rsidRPr="005318FF">
              <w:rPr>
                <w:rFonts w:eastAsia="Calibri" w:cs="Arial"/>
                <w:b/>
                <w:color w:val="000000" w:themeColor="text1"/>
                <w:sz w:val="18"/>
                <w:szCs w:val="18"/>
                <w:lang w:val="es-ES_tradnl"/>
              </w:rPr>
              <w:instrText xml:space="preserve"> SEQ Figura </w:instrText>
            </w:r>
            <w:r w:rsidRPr="005318FF">
              <w:rPr>
                <w:rFonts w:eastAsia="Calibri" w:cs="Arial"/>
                <w:b/>
                <w:color w:val="000000" w:themeColor="text1"/>
                <w:sz w:val="18"/>
                <w:szCs w:val="18"/>
                <w:lang w:val="es-ES_tradnl"/>
              </w:rPr>
              <w:fldChar w:fldCharType="separate"/>
            </w:r>
            <w:r w:rsidR="002C35BD" w:rsidRPr="005318FF">
              <w:rPr>
                <w:rFonts w:eastAsia="Calibri" w:cs="Arial"/>
                <w:b/>
                <w:noProof/>
                <w:color w:val="000000" w:themeColor="text1"/>
                <w:sz w:val="18"/>
                <w:szCs w:val="18"/>
                <w:lang w:val="es-ES_tradnl"/>
              </w:rPr>
              <w:t>4</w:t>
            </w:r>
            <w:r w:rsidRPr="005318FF">
              <w:rPr>
                <w:rFonts w:eastAsia="Calibri" w:cs="Arial"/>
                <w:b/>
                <w:noProof/>
                <w:color w:val="000000" w:themeColor="text1"/>
                <w:sz w:val="18"/>
                <w:szCs w:val="18"/>
                <w:lang w:val="es-ES_tradnl"/>
              </w:rPr>
              <w:fldChar w:fldCharType="end"/>
            </w:r>
            <w:bookmarkEnd w:id="0"/>
            <w:r w:rsidRPr="005318FF">
              <w:rPr>
                <w:rFonts w:eastAsia="Calibri" w:cs="Arial"/>
                <w:b/>
                <w:color w:val="000000" w:themeColor="text1"/>
                <w:sz w:val="18"/>
                <w:szCs w:val="18"/>
                <w:lang w:val="es-ES_tradnl"/>
              </w:rPr>
              <w:tab/>
              <w:t>Reporte de resultados del modelo de replicabilidad de servicios móviles</w:t>
            </w:r>
          </w:p>
        </w:tc>
      </w:tr>
      <w:tr w:rsidR="002201B0" w:rsidRPr="002201B0" w14:paraId="55C3648B" w14:textId="77777777" w:rsidTr="002668A5">
        <w:trPr>
          <w:trHeight w:val="9186"/>
          <w:jc w:val="center"/>
        </w:trPr>
        <w:tc>
          <w:tcPr>
            <w:tcW w:w="5000" w:type="pct"/>
            <w:noWrap/>
          </w:tcPr>
          <w:p w14:paraId="4735DB78" w14:textId="58E912D0" w:rsidR="002201B0" w:rsidRDefault="002201B0" w:rsidP="002668A5">
            <w:pPr>
              <w:keepNext/>
              <w:spacing w:after="0" w:line="240" w:lineRule="auto"/>
              <w:jc w:val="left"/>
              <w:rPr>
                <w:rFonts w:eastAsiaTheme="minorHAnsi" w:cs="Arial"/>
                <w:color w:val="000000" w:themeColor="text1"/>
                <w:sz w:val="20"/>
                <w:lang w:val="en-GB"/>
              </w:rPr>
            </w:pPr>
            <w:r w:rsidRPr="002201B0">
              <w:rPr>
                <w:rFonts w:eastAsiaTheme="minorHAnsi" w:cs="Arial"/>
                <w:noProof/>
                <w:color w:val="000000" w:themeColor="text1"/>
                <w:sz w:val="20"/>
                <w:lang w:eastAsia="es-MX"/>
              </w:rPr>
              <w:drawing>
                <wp:inline distT="0" distB="0" distL="0" distR="0" wp14:anchorId="0BD6013E" wp14:editId="00839AB8">
                  <wp:extent cx="133350" cy="17145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p w14:paraId="45AD5860" w14:textId="55632E03" w:rsidR="006669C5" w:rsidRDefault="006669C5" w:rsidP="002668A5">
            <w:pPr>
              <w:keepNext/>
              <w:spacing w:after="0" w:line="240" w:lineRule="auto"/>
              <w:jc w:val="left"/>
              <w:rPr>
                <w:rFonts w:eastAsiaTheme="minorHAnsi" w:cs="Arial"/>
                <w:color w:val="000000" w:themeColor="text1"/>
                <w:sz w:val="20"/>
                <w:lang w:val="en-GB"/>
              </w:rPr>
            </w:pPr>
            <w:r>
              <w:rPr>
                <w:rFonts w:eastAsiaTheme="minorHAnsi" w:cs="Arial"/>
                <w:noProof/>
                <w:color w:val="000000" w:themeColor="text1"/>
                <w:sz w:val="20"/>
                <w:lang w:eastAsia="es-MX"/>
              </w:rPr>
              <w:drawing>
                <wp:inline distT="0" distB="0" distL="0" distR="0" wp14:anchorId="1AFE83FE" wp14:editId="2EF0A94A">
                  <wp:extent cx="4055450" cy="17335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1998" cy="1736349"/>
                          </a:xfrm>
                          <a:prstGeom prst="rect">
                            <a:avLst/>
                          </a:prstGeom>
                          <a:noFill/>
                        </pic:spPr>
                      </pic:pic>
                    </a:graphicData>
                  </a:graphic>
                </wp:inline>
              </w:drawing>
            </w:r>
          </w:p>
          <w:p w14:paraId="619B3AE5" w14:textId="07814A53" w:rsidR="006669C5" w:rsidRDefault="006669C5" w:rsidP="002668A5">
            <w:pPr>
              <w:keepNext/>
              <w:spacing w:after="0" w:line="240" w:lineRule="auto"/>
              <w:jc w:val="left"/>
              <w:rPr>
                <w:rFonts w:eastAsiaTheme="minorHAnsi" w:cs="Arial"/>
                <w:color w:val="000000" w:themeColor="text1"/>
                <w:sz w:val="20"/>
                <w:lang w:val="en-GB"/>
              </w:rPr>
            </w:pPr>
            <w:r>
              <w:rPr>
                <w:rFonts w:eastAsiaTheme="minorHAnsi" w:cs="Arial"/>
                <w:noProof/>
                <w:color w:val="000000" w:themeColor="text1"/>
                <w:sz w:val="20"/>
                <w:lang w:eastAsia="es-MX"/>
              </w:rPr>
              <w:drawing>
                <wp:inline distT="0" distB="0" distL="0" distR="0" wp14:anchorId="432F7863" wp14:editId="3CFB64BC">
                  <wp:extent cx="4055450" cy="17335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592" cy="1739595"/>
                          </a:xfrm>
                          <a:prstGeom prst="rect">
                            <a:avLst/>
                          </a:prstGeom>
                          <a:noFill/>
                        </pic:spPr>
                      </pic:pic>
                    </a:graphicData>
                  </a:graphic>
                </wp:inline>
              </w:drawing>
            </w:r>
          </w:p>
          <w:p w14:paraId="06EFB787" w14:textId="21DD0549" w:rsidR="006669C5" w:rsidRPr="002201B0" w:rsidRDefault="006669C5" w:rsidP="002668A5">
            <w:pPr>
              <w:keepNext/>
              <w:spacing w:after="0" w:line="240" w:lineRule="auto"/>
              <w:jc w:val="left"/>
              <w:rPr>
                <w:rFonts w:eastAsiaTheme="minorHAnsi" w:cs="Arial"/>
                <w:color w:val="000000" w:themeColor="text1"/>
                <w:sz w:val="20"/>
                <w:lang w:val="en-GB"/>
              </w:rPr>
            </w:pPr>
            <w:r>
              <w:rPr>
                <w:rFonts w:eastAsiaTheme="minorHAnsi" w:cs="Arial"/>
                <w:noProof/>
                <w:color w:val="000000" w:themeColor="text1"/>
                <w:sz w:val="20"/>
                <w:lang w:eastAsia="es-MX"/>
              </w:rPr>
              <w:drawing>
                <wp:inline distT="0" distB="0" distL="0" distR="0" wp14:anchorId="4A8F2E7D" wp14:editId="0BA9161A">
                  <wp:extent cx="3971925" cy="16978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5768" cy="1708038"/>
                          </a:xfrm>
                          <a:prstGeom prst="rect">
                            <a:avLst/>
                          </a:prstGeom>
                          <a:noFill/>
                        </pic:spPr>
                      </pic:pic>
                    </a:graphicData>
                  </a:graphic>
                </wp:inline>
              </w:drawing>
            </w:r>
          </w:p>
          <w:p w14:paraId="7831530C" w14:textId="77777777" w:rsidR="002201B0" w:rsidRPr="002201B0" w:rsidRDefault="002201B0" w:rsidP="002668A5">
            <w:pPr>
              <w:keepNext/>
              <w:spacing w:after="0" w:line="240" w:lineRule="auto"/>
              <w:jc w:val="left"/>
              <w:rPr>
                <w:rFonts w:eastAsiaTheme="minorHAnsi" w:cs="Arial"/>
                <w:color w:val="000000" w:themeColor="text1"/>
                <w:sz w:val="20"/>
                <w:lang w:val="en-GB"/>
              </w:rPr>
            </w:pPr>
          </w:p>
          <w:p w14:paraId="04FA429A" w14:textId="240D59AB" w:rsidR="002668A5" w:rsidRPr="002201B0" w:rsidRDefault="002668A5" w:rsidP="002668A5">
            <w:pPr>
              <w:tabs>
                <w:tab w:val="left" w:pos="709"/>
              </w:tabs>
              <w:spacing w:after="0" w:line="240" w:lineRule="auto"/>
              <w:jc w:val="left"/>
              <w:rPr>
                <w:rFonts w:eastAsia="Calibri" w:cs="Arial"/>
                <w:i/>
                <w:color w:val="000000" w:themeColor="text1"/>
                <w:sz w:val="16"/>
                <w:lang w:val="es-ES_tradnl"/>
              </w:rPr>
            </w:pPr>
            <w:r>
              <w:rPr>
                <w:rFonts w:eastAsia="Calibri" w:cs="Arial"/>
                <w:i/>
                <w:color w:val="000000" w:themeColor="text1"/>
                <w:sz w:val="16"/>
                <w:lang w:val="es-ES_tradnl"/>
              </w:rPr>
              <w:t xml:space="preserve">                  F</w:t>
            </w:r>
            <w:r w:rsidRPr="002201B0">
              <w:rPr>
                <w:rFonts w:eastAsia="Calibri" w:cs="Arial"/>
                <w:i/>
                <w:color w:val="000000" w:themeColor="text1"/>
                <w:sz w:val="16"/>
                <w:lang w:val="es-ES_tradnl"/>
              </w:rPr>
              <w:t>uente:</w:t>
            </w:r>
            <w:r w:rsidRPr="002201B0">
              <w:rPr>
                <w:rFonts w:eastAsia="Calibri" w:cs="Arial"/>
                <w:i/>
                <w:color w:val="000000" w:themeColor="text1"/>
                <w:sz w:val="16"/>
                <w:lang w:val="es-ES_tradnl"/>
              </w:rPr>
              <w:tab/>
              <w:t xml:space="preserve">Prueba de Replicabilidad Móvil. </w:t>
            </w:r>
          </w:p>
          <w:p w14:paraId="174BE601" w14:textId="6C145206" w:rsidR="002201B0" w:rsidRPr="002668A5" w:rsidRDefault="002668A5" w:rsidP="002668A5">
            <w:pPr>
              <w:keepNext/>
              <w:spacing w:after="0" w:line="240" w:lineRule="auto"/>
              <w:jc w:val="left"/>
              <w:rPr>
                <w:rFonts w:eastAsiaTheme="minorHAnsi" w:cs="Arial"/>
                <w:color w:val="000000" w:themeColor="text1"/>
                <w:sz w:val="20"/>
              </w:rPr>
            </w:pPr>
            <w:r w:rsidRPr="002201B0">
              <w:rPr>
                <w:rFonts w:eastAsia="Calibri" w:cs="Arial"/>
                <w:i/>
                <w:color w:val="000000" w:themeColor="text1"/>
                <w:sz w:val="16"/>
                <w:lang w:val="es-ES_tradnl"/>
              </w:rPr>
              <w:t>Los resultados aquí mostrados son hipotéticos al basarse en información ficticia</w:t>
            </w:r>
            <w:r>
              <w:rPr>
                <w:rFonts w:eastAsia="Calibri" w:cs="Arial"/>
                <w:i/>
                <w:color w:val="000000" w:themeColor="text1"/>
                <w:sz w:val="16"/>
                <w:lang w:val="es-ES_tradnl"/>
              </w:rPr>
              <w:t>.</w:t>
            </w:r>
          </w:p>
        </w:tc>
      </w:tr>
    </w:tbl>
    <w:p w14:paraId="7D137B29" w14:textId="77777777" w:rsidR="002201B0" w:rsidRPr="002201B0" w:rsidRDefault="002201B0" w:rsidP="002201B0">
      <w:pPr>
        <w:numPr>
          <w:ilvl w:val="1"/>
          <w:numId w:val="93"/>
        </w:numPr>
        <w:spacing w:before="160" w:after="160" w:line="259" w:lineRule="auto"/>
        <w:jc w:val="left"/>
        <w:outlineLvl w:val="1"/>
        <w:rPr>
          <w:rFonts w:eastAsia="Arial" w:cs="Arial"/>
          <w:b/>
          <w:szCs w:val="14"/>
          <w:lang w:val="es-ES_tradnl"/>
        </w:rPr>
      </w:pPr>
      <w:r w:rsidRPr="002201B0">
        <w:rPr>
          <w:rFonts w:eastAsia="Arial" w:cs="Arial"/>
          <w:b/>
          <w:szCs w:val="14"/>
          <w:lang w:val="es-ES_tradnl"/>
        </w:rPr>
        <w:lastRenderedPageBreak/>
        <w:t>Módulo de cálculos</w:t>
      </w:r>
    </w:p>
    <w:p w14:paraId="6F68D571" w14:textId="77777777" w:rsidR="002201B0" w:rsidRPr="002201B0" w:rsidRDefault="002201B0" w:rsidP="002201B0">
      <w:pPr>
        <w:numPr>
          <w:ilvl w:val="2"/>
          <w:numId w:val="93"/>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Ingresos</w:t>
      </w:r>
    </w:p>
    <w:p w14:paraId="23D15281" w14:textId="77777777" w:rsidR="002201B0" w:rsidRPr="002201B0" w:rsidRDefault="002201B0" w:rsidP="002201B0">
      <w:pPr>
        <w:rPr>
          <w:lang w:val="es-ES_tradnl"/>
        </w:rPr>
      </w:pPr>
      <w:r w:rsidRPr="002201B0">
        <w:rPr>
          <w:lang w:val="es-ES_tradnl"/>
        </w:rPr>
        <w:t>El modelo presenta el valor de los ingresos del AEP asociados a la cartera minorista de servicios móviles en los tres meses considerados. Los ingresos se nutren directamente del requerimiento de información al AEP y pueden verse de manera desglosada en la hoja “Ingresos”. Se distinguen las siguientes categorías:</w:t>
      </w:r>
    </w:p>
    <w:p w14:paraId="3056DB7B"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Pago recurrente;</w:t>
      </w:r>
    </w:p>
    <w:p w14:paraId="0F2ED581"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 de Telefonía Móvil – voz;</w:t>
      </w:r>
    </w:p>
    <w:p w14:paraId="12C164D9"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 de Acceso a Internet Móvil;</w:t>
      </w:r>
    </w:p>
    <w:p w14:paraId="2046880A"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 de Telefonía Móvil – mensajes;</w:t>
      </w:r>
    </w:p>
    <w:p w14:paraId="4CDDABBE"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Servicios OTT de vídeo;</w:t>
      </w:r>
    </w:p>
    <w:p w14:paraId="6F127621"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Servicios OTT de audio;</w:t>
      </w:r>
    </w:p>
    <w:p w14:paraId="324AD59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Venta de equipos terminales; y</w:t>
      </w:r>
    </w:p>
    <w:p w14:paraId="7BF0B03C"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Otros servicios minoristas.</w:t>
      </w:r>
    </w:p>
    <w:p w14:paraId="5BA5D858" w14:textId="77777777" w:rsidR="002201B0" w:rsidRPr="002201B0" w:rsidRDefault="002201B0" w:rsidP="002201B0">
      <w:pPr>
        <w:spacing w:before="60" w:after="60" w:line="264" w:lineRule="auto"/>
        <w:ind w:left="360" w:hanging="360"/>
        <w:rPr>
          <w:rFonts w:eastAsiaTheme="minorHAnsi" w:cs="Arial"/>
          <w:color w:val="000000" w:themeColor="text1"/>
          <w:lang w:val="es-ES_tradnl"/>
        </w:rPr>
      </w:pPr>
    </w:p>
    <w:p w14:paraId="04698D33" w14:textId="77777777" w:rsidR="002201B0" w:rsidRPr="002201B0" w:rsidRDefault="002201B0" w:rsidP="002201B0">
      <w:pPr>
        <w:numPr>
          <w:ilvl w:val="2"/>
          <w:numId w:val="93"/>
        </w:numPr>
        <w:spacing w:before="160" w:after="160" w:line="259" w:lineRule="auto"/>
        <w:jc w:val="left"/>
        <w:outlineLvl w:val="1"/>
        <w:rPr>
          <w:rFonts w:eastAsia="Arial" w:cs="Arial"/>
          <w:b/>
          <w:szCs w:val="14"/>
          <w:lang w:val="es-ES_tradnl"/>
        </w:rPr>
      </w:pPr>
      <w:r w:rsidRPr="002201B0">
        <w:rPr>
          <w:rFonts w:eastAsia="Arial" w:cs="Arial"/>
          <w:b/>
          <w:szCs w:val="14"/>
          <w:lang w:val="es-ES_tradnl"/>
        </w:rPr>
        <w:t>Costos</w:t>
      </w:r>
    </w:p>
    <w:p w14:paraId="605AA036" w14:textId="77777777" w:rsidR="002201B0" w:rsidRPr="002201B0" w:rsidRDefault="002201B0" w:rsidP="002201B0">
      <w:pPr>
        <w:rPr>
          <w:b/>
        </w:rPr>
      </w:pPr>
      <w:r w:rsidRPr="002201B0">
        <w:rPr>
          <w:b/>
        </w:rPr>
        <w:t>Pagos mayoristas</w:t>
      </w:r>
    </w:p>
    <w:p w14:paraId="0FC12AC9" w14:textId="1F1DD640" w:rsidR="002201B0" w:rsidRPr="002201B0" w:rsidRDefault="002201B0" w:rsidP="002201B0">
      <w:r w:rsidRPr="002201B0">
        <w:t xml:space="preserve">Los pagos mayoristas se muestran en la hoja “Costos” y su cálculo se detalla en la hoja “Pagos mayoristas”. Estos pagos se estiman usando la información de la oferta mayorista para OMV revendedores y la información provista por el AEP sobre la demanda minorista (usuarios y tráfico para los distintos servicios ofrecidos). </w:t>
      </w:r>
    </w:p>
    <w:p w14:paraId="00931B78" w14:textId="77777777" w:rsidR="002201B0" w:rsidRPr="002201B0" w:rsidRDefault="002201B0" w:rsidP="002201B0">
      <w:r w:rsidRPr="002201B0">
        <w:t>Se distinguen los siguientes tipos de pagos mayoristas:</w:t>
      </w:r>
    </w:p>
    <w:p w14:paraId="269171C8"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Pagos por </w:t>
      </w:r>
      <w:proofErr w:type="spellStart"/>
      <w:r w:rsidRPr="002201B0">
        <w:rPr>
          <w:rFonts w:eastAsiaTheme="minorHAnsi" w:cs="Arial"/>
          <w:color w:val="000000" w:themeColor="text1"/>
          <w:lang w:val="es-ES_tradnl"/>
        </w:rPr>
        <w:t>originación</w:t>
      </w:r>
      <w:proofErr w:type="spellEnd"/>
      <w:r w:rsidRPr="002201B0">
        <w:rPr>
          <w:rFonts w:eastAsiaTheme="minorHAnsi" w:cs="Arial"/>
          <w:color w:val="000000" w:themeColor="text1"/>
          <w:lang w:val="es-ES_tradnl"/>
        </w:rPr>
        <w:t xml:space="preserve"> de tráfico. Aquí también se incluyen los pagos por el tráfico de datos móviles;</w:t>
      </w:r>
    </w:p>
    <w:p w14:paraId="34C6DF6C"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Pagos por tránsito, cuando el AEP se enfrente a este costo;</w:t>
      </w:r>
    </w:p>
    <w:p w14:paraId="4C760870"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Pagos por terminación en otras redes;</w:t>
      </w:r>
    </w:p>
    <w:p w14:paraId="672E9CD8"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lastRenderedPageBreak/>
        <w:t>Pagos recurrentes mensuales asociados a la administración de los distintos tipos de usuarios y a la activación de servicios de valor añadido básicos; y</w:t>
      </w:r>
    </w:p>
    <w:p w14:paraId="0243FF10" w14:textId="77777777" w:rsid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Pagos fijos, asociados al inicio del contrato.</w:t>
      </w:r>
    </w:p>
    <w:p w14:paraId="56B1120E" w14:textId="77777777" w:rsidR="006249CF" w:rsidRPr="002201B0" w:rsidRDefault="006249CF" w:rsidP="006249CF">
      <w:pPr>
        <w:spacing w:before="60" w:after="60" w:line="264" w:lineRule="auto"/>
        <w:ind w:left="360"/>
        <w:rPr>
          <w:rFonts w:eastAsiaTheme="minorHAnsi" w:cs="Arial"/>
          <w:color w:val="000000" w:themeColor="text1"/>
          <w:lang w:val="es-ES_tradnl"/>
        </w:rPr>
      </w:pPr>
    </w:p>
    <w:p w14:paraId="059CAE35" w14:textId="77777777" w:rsidR="002201B0" w:rsidRPr="002201B0" w:rsidRDefault="002201B0" w:rsidP="002201B0">
      <w:pPr>
        <w:rPr>
          <w:b/>
        </w:rPr>
      </w:pPr>
      <w:r w:rsidRPr="002201B0">
        <w:rPr>
          <w:b/>
        </w:rPr>
        <w:t>Costos aguas abajo</w:t>
      </w:r>
    </w:p>
    <w:p w14:paraId="41775327" w14:textId="77777777" w:rsidR="006249CF" w:rsidRDefault="002201B0" w:rsidP="002201B0">
      <w:r w:rsidRPr="002201B0">
        <w:t xml:space="preserve">El modelo muestra el valor de los costos aguas abajo durante el periodo escogido en la hoja “Costos” y su cálculo se detalla </w:t>
      </w:r>
      <w:r w:rsidR="006249CF">
        <w:t>en la hoja “Costos aguas abajo”</w:t>
      </w:r>
      <w:r w:rsidRPr="002201B0">
        <w:t xml:space="preserve">. </w:t>
      </w:r>
    </w:p>
    <w:p w14:paraId="6DE0099B" w14:textId="77777777" w:rsidR="005318FF" w:rsidRDefault="005318FF" w:rsidP="002201B0">
      <w:r w:rsidRPr="005318FF">
        <w:t>Bajo el enfoque EEO, los costos se nutren directamente del requerimiento de información al AEP. En esta hoja también se realizan los cálculos para estimar los costos ajustados bajo el enfoque SEO. Esta estimación se basa en: (i) la escala considerada para el OMV revendedor; y, (ii) la información provista por el AEP sobre la proporción que suponen los costos fijos para las</w:t>
      </w:r>
      <w:r>
        <w:t xml:space="preserve"> distintas categorías de costos</w:t>
      </w:r>
      <w:r w:rsidR="002201B0" w:rsidRPr="002201B0">
        <w:t xml:space="preserve">. </w:t>
      </w:r>
    </w:p>
    <w:p w14:paraId="66D3CCDE" w14:textId="46DD814F" w:rsidR="002201B0" w:rsidRPr="002201B0" w:rsidRDefault="002201B0" w:rsidP="002201B0">
      <w:r w:rsidRPr="002201B0">
        <w:t>Se distingue entre los siguientes componentes de costos:</w:t>
      </w:r>
    </w:p>
    <w:p w14:paraId="6667588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Acceso a Internet; </w:t>
      </w:r>
    </w:p>
    <w:p w14:paraId="25BBEF3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Asociados a la prestación de servicios móviles OTT;</w:t>
      </w:r>
    </w:p>
    <w:p w14:paraId="35D4BEFD"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Comerciales;</w:t>
      </w:r>
    </w:p>
    <w:p w14:paraId="3DAFB79E"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Facturación;</w:t>
      </w:r>
    </w:p>
    <w:p w14:paraId="1923FBB9"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Cobranza;</w:t>
      </w:r>
    </w:p>
    <w:p w14:paraId="147C9B1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Tasas e impuestos;</w:t>
      </w:r>
    </w:p>
    <w:p w14:paraId="0B565B49"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Programas de fidelización;</w:t>
      </w:r>
    </w:p>
    <w:p w14:paraId="0AF8AD28"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Acceso internet internacional;</w:t>
      </w:r>
    </w:p>
    <w:p w14:paraId="01177C6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proofErr w:type="spellStart"/>
      <w:r w:rsidRPr="002201B0">
        <w:rPr>
          <w:rFonts w:eastAsiaTheme="minorHAnsi" w:cs="Arial"/>
          <w:color w:val="000000" w:themeColor="text1"/>
          <w:lang w:val="es-ES_tradnl"/>
        </w:rPr>
        <w:t>Roaming</w:t>
      </w:r>
      <w:proofErr w:type="spellEnd"/>
      <w:r w:rsidRPr="002201B0">
        <w:rPr>
          <w:rFonts w:eastAsiaTheme="minorHAnsi" w:cs="Arial"/>
          <w:color w:val="000000" w:themeColor="text1"/>
          <w:lang w:val="es-ES_tradnl"/>
        </w:rPr>
        <w:t xml:space="preserve"> nacional;</w:t>
      </w:r>
    </w:p>
    <w:p w14:paraId="7D0C169D"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proofErr w:type="spellStart"/>
      <w:r w:rsidRPr="002201B0">
        <w:rPr>
          <w:rFonts w:eastAsiaTheme="minorHAnsi" w:cs="Arial"/>
          <w:color w:val="000000" w:themeColor="text1"/>
          <w:lang w:val="es-ES_tradnl"/>
        </w:rPr>
        <w:t>Roaming</w:t>
      </w:r>
      <w:proofErr w:type="spellEnd"/>
      <w:r w:rsidRPr="002201B0">
        <w:rPr>
          <w:rFonts w:eastAsiaTheme="minorHAnsi" w:cs="Arial"/>
          <w:color w:val="000000" w:themeColor="text1"/>
          <w:lang w:val="es-ES_tradnl"/>
        </w:rPr>
        <w:t xml:space="preserve"> internacional;</w:t>
      </w:r>
    </w:p>
    <w:p w14:paraId="53CC82C4"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Provisiones (gestión de las provisiones por insolvencias); </w:t>
      </w:r>
    </w:p>
    <w:p w14:paraId="67C176A3"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Costos directos de la venta de terminales; </w:t>
      </w:r>
    </w:p>
    <w:p w14:paraId="03F13877"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Servicios generales y de gestión - minoristas</w:t>
      </w:r>
    </w:p>
    <w:p w14:paraId="580FDA43"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Servicios generales y de gestión – negocio; y</w:t>
      </w:r>
    </w:p>
    <w:p w14:paraId="73351C8C"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Costo del Capital.</w:t>
      </w:r>
    </w:p>
    <w:p w14:paraId="57950964" w14:textId="77777777" w:rsidR="002201B0" w:rsidRDefault="002201B0" w:rsidP="002201B0">
      <w:r w:rsidRPr="002201B0">
        <w:lastRenderedPageBreak/>
        <w:t>Estas categorías de costos están alineadas con las directrices de la separación contable a implementar por el AEP. El único costo adicional que se incluye en el modelo es el “Costo del capital”, entendido como el costo asociado a la remuneración del capital empleado para la prestación de los servicios móviles.</w:t>
      </w:r>
    </w:p>
    <w:p w14:paraId="3708D8E8" w14:textId="77777777" w:rsidR="00C07F03" w:rsidRPr="002201B0" w:rsidRDefault="00C07F03" w:rsidP="002201B0"/>
    <w:p w14:paraId="0B9615C7" w14:textId="77777777" w:rsidR="002201B0" w:rsidRPr="002201B0" w:rsidRDefault="002201B0" w:rsidP="002201B0">
      <w:pPr>
        <w:numPr>
          <w:ilvl w:val="1"/>
          <w:numId w:val="93"/>
        </w:numPr>
        <w:spacing w:before="160" w:after="160" w:line="259" w:lineRule="auto"/>
        <w:jc w:val="left"/>
        <w:outlineLvl w:val="1"/>
        <w:rPr>
          <w:rFonts w:eastAsia="Arial" w:cs="Arial"/>
          <w:b/>
          <w:szCs w:val="14"/>
          <w:lang w:val="es-ES_tradnl"/>
        </w:rPr>
      </w:pPr>
      <w:r w:rsidRPr="002201B0">
        <w:rPr>
          <w:rFonts w:eastAsia="Arial" w:cs="Arial"/>
          <w:b/>
          <w:szCs w:val="14"/>
          <w:lang w:val="es-ES_tradnl"/>
        </w:rPr>
        <w:t>Módulo de supuestos</w:t>
      </w:r>
    </w:p>
    <w:p w14:paraId="17CE1B9B" w14:textId="77777777" w:rsidR="002201B0" w:rsidRPr="002201B0" w:rsidRDefault="002201B0" w:rsidP="002201B0">
      <w:pPr>
        <w:rPr>
          <w:lang w:val="es-ES_tradnl"/>
        </w:rPr>
      </w:pPr>
      <w:r w:rsidRPr="002201B0">
        <w:rPr>
          <w:lang w:val="es-ES_tradnl"/>
        </w:rPr>
        <w:t>En la hoja de “Supuestos” se incluye:</w:t>
      </w:r>
    </w:p>
    <w:p w14:paraId="5905D882" w14:textId="4D3E8BDA"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La categorización de servicios móviles, necesaria para estimar los pagos mayoristas (celdas B7:B</w:t>
      </w:r>
      <w:r w:rsidR="006669C5">
        <w:rPr>
          <w:rFonts w:eastAsiaTheme="minorHAnsi" w:cs="Arial"/>
          <w:color w:val="000000" w:themeColor="text1"/>
          <w:lang w:val="es-ES_tradnl"/>
        </w:rPr>
        <w:t>25</w:t>
      </w:r>
      <w:r w:rsidRPr="002201B0">
        <w:rPr>
          <w:rFonts w:eastAsiaTheme="minorHAnsi" w:cs="Arial"/>
          <w:color w:val="000000" w:themeColor="text1"/>
          <w:lang w:val="es-ES_tradnl"/>
        </w:rPr>
        <w:t>);</w:t>
      </w:r>
    </w:p>
    <w:p w14:paraId="504FCCD7"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El período de amortización de los cargos fijos del contrato (celda F5); </w:t>
      </w:r>
    </w:p>
    <w:p w14:paraId="2072373D" w14:textId="0353A0E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El número d</w:t>
      </w:r>
      <w:r w:rsidR="005318FF">
        <w:rPr>
          <w:rFonts w:eastAsiaTheme="minorHAnsi" w:cs="Arial"/>
          <w:color w:val="000000" w:themeColor="text1"/>
          <w:lang w:val="es-ES_tradnl"/>
        </w:rPr>
        <w:t xml:space="preserve">e usuarios del OMV (celda I5); </w:t>
      </w:r>
    </w:p>
    <w:p w14:paraId="3A54AA4A" w14:textId="77777777" w:rsidR="005318FF"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El p</w:t>
      </w:r>
      <w:r w:rsidR="005318FF">
        <w:rPr>
          <w:rFonts w:eastAsiaTheme="minorHAnsi" w:cs="Arial"/>
          <w:color w:val="000000" w:themeColor="text1"/>
          <w:lang w:val="es-ES_tradnl"/>
        </w:rPr>
        <w:t>eríodo de referencia (celda K5); y</w:t>
      </w:r>
    </w:p>
    <w:p w14:paraId="61841CE6" w14:textId="77777777" w:rsidR="005318FF" w:rsidRPr="005318FF" w:rsidRDefault="005318FF" w:rsidP="005318FF">
      <w:pPr>
        <w:pStyle w:val="Prrafodelista"/>
        <w:numPr>
          <w:ilvl w:val="0"/>
          <w:numId w:val="90"/>
        </w:numPr>
        <w:rPr>
          <w:rFonts w:eastAsiaTheme="minorHAnsi"/>
          <w:color w:val="000000" w:themeColor="text1"/>
          <w:lang w:val="es-ES_tradnl"/>
        </w:rPr>
      </w:pPr>
      <w:r w:rsidRPr="005318FF">
        <w:rPr>
          <w:rFonts w:eastAsiaTheme="minorHAnsi"/>
          <w:color w:val="000000" w:themeColor="text1"/>
          <w:lang w:val="es-ES_tradnl"/>
        </w:rPr>
        <w:t xml:space="preserve">El tamaño relativo del OMV revendedor (celda N5), estimado como el ratio entre el número de usuarios del OMV y el AEP. </w:t>
      </w:r>
    </w:p>
    <w:p w14:paraId="58BDDE8C" w14:textId="0CA95321" w:rsidR="002201B0" w:rsidRPr="002201B0" w:rsidRDefault="002201B0" w:rsidP="005318FF">
      <w:pPr>
        <w:spacing w:before="60" w:after="60" w:line="264" w:lineRule="auto"/>
        <w:rPr>
          <w:rFonts w:eastAsiaTheme="minorHAnsi" w:cs="Arial"/>
          <w:color w:val="000000" w:themeColor="text1"/>
          <w:lang w:val="es-ES_tradnl"/>
        </w:rPr>
      </w:pPr>
    </w:p>
    <w:p w14:paraId="070F9454" w14:textId="77777777" w:rsidR="002201B0" w:rsidRDefault="002201B0" w:rsidP="002201B0">
      <w:pPr>
        <w:rPr>
          <w:lang w:val="es-ES_tradnl"/>
        </w:rPr>
      </w:pPr>
      <w:r w:rsidRPr="002201B0">
        <w:rPr>
          <w:lang w:val="es-ES_tradnl"/>
        </w:rPr>
        <w:t>Salvo el período de referencia, los supuestos introducidos en el modelo son tan solo orientativos. Esto es, los valores finalmente empleados en la implementación del modelo pueden diferir según las condiciones del mercado.</w:t>
      </w:r>
    </w:p>
    <w:p w14:paraId="56E6C246" w14:textId="77777777" w:rsidR="005318FF" w:rsidRPr="002201B0" w:rsidRDefault="005318FF" w:rsidP="002201B0">
      <w:pPr>
        <w:rPr>
          <w:lang w:val="es-ES_tradnl"/>
        </w:rPr>
      </w:pPr>
    </w:p>
    <w:p w14:paraId="7BBA0A77" w14:textId="77777777" w:rsidR="002201B0" w:rsidRPr="002201B0" w:rsidRDefault="002201B0" w:rsidP="002201B0">
      <w:pPr>
        <w:numPr>
          <w:ilvl w:val="0"/>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Actualización del modelo</w:t>
      </w:r>
    </w:p>
    <w:p w14:paraId="2B308106" w14:textId="77777777" w:rsidR="002201B0" w:rsidRPr="002201B0" w:rsidRDefault="002201B0" w:rsidP="002201B0">
      <w:pPr>
        <w:numPr>
          <w:ilvl w:val="1"/>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Información requerida</w:t>
      </w:r>
    </w:p>
    <w:p w14:paraId="7ED29E84" w14:textId="77777777" w:rsidR="002201B0" w:rsidRPr="002201B0" w:rsidRDefault="002201B0" w:rsidP="002201B0">
      <w:pPr>
        <w:numPr>
          <w:ilvl w:val="2"/>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Por parte del AEP</w:t>
      </w:r>
    </w:p>
    <w:p w14:paraId="711817E6" w14:textId="235A1B67" w:rsidR="002201B0" w:rsidRPr="002201B0" w:rsidRDefault="002201B0" w:rsidP="002201B0">
      <w:pPr>
        <w:rPr>
          <w:lang w:val="es-ES_tradnl"/>
        </w:rPr>
      </w:pPr>
      <w:r w:rsidRPr="002201B0">
        <w:rPr>
          <w:lang w:val="es-ES_tradnl"/>
        </w:rPr>
        <w:t>Para la ejecución del modelo se necesita que el AEP proporcione la siguiente información (el requerimiento se incluye en la hoja “</w:t>
      </w:r>
      <w:proofErr w:type="spellStart"/>
      <w:r w:rsidRPr="002201B0">
        <w:rPr>
          <w:lang w:val="es-ES_tradnl"/>
        </w:rPr>
        <w:t>Req</w:t>
      </w:r>
      <w:proofErr w:type="spellEnd"/>
      <w:r w:rsidRPr="002201B0">
        <w:rPr>
          <w:lang w:val="es-ES_tradnl"/>
        </w:rPr>
        <w:t xml:space="preserve">. </w:t>
      </w:r>
      <w:proofErr w:type="gramStart"/>
      <w:r w:rsidRPr="002201B0">
        <w:rPr>
          <w:lang w:val="es-ES_tradnl"/>
        </w:rPr>
        <w:t>de</w:t>
      </w:r>
      <w:proofErr w:type="gramEnd"/>
      <w:r w:rsidRPr="002201B0">
        <w:rPr>
          <w:lang w:val="es-ES_tradnl"/>
        </w:rPr>
        <w:t xml:space="preserve"> información AEP”), para todos los segmentos de clientes y desagregando el segmento prepago del resto de clientes</w:t>
      </w:r>
      <w:r w:rsidR="005318FF">
        <w:rPr>
          <w:lang w:val="es-ES_tradnl"/>
        </w:rPr>
        <w:t xml:space="preserve"> </w:t>
      </w:r>
      <w:proofErr w:type="spellStart"/>
      <w:r w:rsidR="005318FF" w:rsidRPr="005318FF">
        <w:rPr>
          <w:lang w:val="es-ES_tradnl"/>
        </w:rPr>
        <w:t>clientes</w:t>
      </w:r>
      <w:proofErr w:type="spellEnd"/>
      <w:r w:rsidR="005318FF" w:rsidRPr="005318FF">
        <w:rPr>
          <w:lang w:val="es-ES_tradnl"/>
        </w:rPr>
        <w:t xml:space="preserve"> y para las ofertas insignia consideradas</w:t>
      </w:r>
      <w:r w:rsidRPr="002201B0">
        <w:rPr>
          <w:lang w:val="es-ES_tradnl"/>
        </w:rPr>
        <w:t>:</w:t>
      </w:r>
    </w:p>
    <w:p w14:paraId="4459CCC3"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lastRenderedPageBreak/>
        <w:t>Ingresos minoristas para las siguientes categorías:</w:t>
      </w:r>
    </w:p>
    <w:p w14:paraId="44113892"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Pago recurrente</w:t>
      </w:r>
    </w:p>
    <w:p w14:paraId="63B409CF"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Servicio de Telefon</w:t>
      </w:r>
      <w:r w:rsidRPr="002201B0">
        <w:rPr>
          <w:rFonts w:eastAsiaTheme="minorHAnsi" w:cs="ITC Avant Garde"/>
          <w:color w:val="000000" w:themeColor="text1"/>
          <w:lang w:val="es-ES_tradnl"/>
        </w:rPr>
        <w:t>í</w:t>
      </w:r>
      <w:r w:rsidRPr="002201B0">
        <w:rPr>
          <w:rFonts w:eastAsiaTheme="minorHAnsi" w:cs="Arial"/>
          <w:color w:val="000000" w:themeColor="text1"/>
          <w:lang w:val="es-ES_tradnl"/>
        </w:rPr>
        <w:t>a M</w:t>
      </w:r>
      <w:r w:rsidRPr="002201B0">
        <w:rPr>
          <w:rFonts w:eastAsiaTheme="minorHAnsi" w:cs="ITC Avant Garde"/>
          <w:color w:val="000000" w:themeColor="text1"/>
          <w:lang w:val="es-ES_tradnl"/>
        </w:rPr>
        <w:t>ó</w:t>
      </w:r>
      <w:r w:rsidRPr="002201B0">
        <w:rPr>
          <w:rFonts w:eastAsiaTheme="minorHAnsi" w:cs="Arial"/>
          <w:color w:val="000000" w:themeColor="text1"/>
          <w:lang w:val="es-ES_tradnl"/>
        </w:rPr>
        <w:t>vil - voz</w:t>
      </w:r>
    </w:p>
    <w:p w14:paraId="0CE94310"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Servicio de Acceso a Internet M</w:t>
      </w:r>
      <w:r w:rsidRPr="002201B0">
        <w:rPr>
          <w:rFonts w:eastAsiaTheme="minorHAnsi" w:cs="ITC Avant Garde"/>
          <w:color w:val="000000" w:themeColor="text1"/>
          <w:lang w:val="es-ES_tradnl"/>
        </w:rPr>
        <w:t>ó</w:t>
      </w:r>
      <w:r w:rsidRPr="002201B0">
        <w:rPr>
          <w:rFonts w:eastAsiaTheme="minorHAnsi" w:cs="Arial"/>
          <w:color w:val="000000" w:themeColor="text1"/>
          <w:lang w:val="es-ES_tradnl"/>
        </w:rPr>
        <w:t>vil</w:t>
      </w:r>
    </w:p>
    <w:p w14:paraId="6BBE6FC3"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Servicio de Telefon</w:t>
      </w:r>
      <w:r w:rsidRPr="002201B0">
        <w:rPr>
          <w:rFonts w:eastAsiaTheme="minorHAnsi" w:cs="ITC Avant Garde"/>
          <w:color w:val="000000" w:themeColor="text1"/>
          <w:lang w:val="es-ES_tradnl"/>
        </w:rPr>
        <w:t>í</w:t>
      </w:r>
      <w:r w:rsidRPr="002201B0">
        <w:rPr>
          <w:rFonts w:eastAsiaTheme="minorHAnsi" w:cs="Arial"/>
          <w:color w:val="000000" w:themeColor="text1"/>
          <w:lang w:val="es-ES_tradnl"/>
        </w:rPr>
        <w:t>a M</w:t>
      </w:r>
      <w:r w:rsidRPr="002201B0">
        <w:rPr>
          <w:rFonts w:eastAsiaTheme="minorHAnsi" w:cs="ITC Avant Garde"/>
          <w:color w:val="000000" w:themeColor="text1"/>
          <w:lang w:val="es-ES_tradnl"/>
        </w:rPr>
        <w:t>ó</w:t>
      </w:r>
      <w:r w:rsidRPr="002201B0">
        <w:rPr>
          <w:rFonts w:eastAsiaTheme="minorHAnsi" w:cs="Arial"/>
          <w:color w:val="000000" w:themeColor="text1"/>
          <w:lang w:val="es-ES_tradnl"/>
        </w:rPr>
        <w:t>vil - mensajes</w:t>
      </w:r>
    </w:p>
    <w:p w14:paraId="03D27977"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Servicios OTT de v</w:t>
      </w:r>
      <w:r w:rsidRPr="002201B0">
        <w:rPr>
          <w:rFonts w:eastAsiaTheme="minorHAnsi" w:cs="ITC Avant Garde"/>
          <w:color w:val="000000" w:themeColor="text1"/>
          <w:lang w:val="es-ES_tradnl"/>
        </w:rPr>
        <w:t>í</w:t>
      </w:r>
      <w:r w:rsidRPr="002201B0">
        <w:rPr>
          <w:rFonts w:eastAsiaTheme="minorHAnsi" w:cs="Arial"/>
          <w:color w:val="000000" w:themeColor="text1"/>
          <w:lang w:val="es-ES_tradnl"/>
        </w:rPr>
        <w:t>deo</w:t>
      </w:r>
    </w:p>
    <w:p w14:paraId="3C8A73D1"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Servicios OTT de audio</w:t>
      </w:r>
    </w:p>
    <w:p w14:paraId="2689EB80"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Venta de equipos terminales</w:t>
      </w:r>
    </w:p>
    <w:p w14:paraId="141C476C"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Otros servicios minoristas.</w:t>
      </w:r>
    </w:p>
    <w:p w14:paraId="1BECBD5F"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Usuarios minoristas, desagregando los usuarios que demandan servicios de valor agregado básicos;</w:t>
      </w:r>
    </w:p>
    <w:p w14:paraId="6429B5C2"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Tráfico asociado a los distintos servicios de:</w:t>
      </w:r>
    </w:p>
    <w:p w14:paraId="2F2EC1EC"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Voz;</w:t>
      </w:r>
    </w:p>
    <w:p w14:paraId="2FD24A89"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Datos;</w:t>
      </w:r>
    </w:p>
    <w:p w14:paraId="31822E68"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SMS; y</w:t>
      </w:r>
    </w:p>
    <w:p w14:paraId="6A3B0DF1"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 xml:space="preserve">Otros servicios de valor agregado. </w:t>
      </w:r>
    </w:p>
    <w:p w14:paraId="7692BF4C" w14:textId="0E7AA057" w:rsidR="002201B0" w:rsidRPr="002201B0" w:rsidRDefault="005318FF" w:rsidP="002201B0">
      <w:pPr>
        <w:rPr>
          <w:lang w:val="es-ES_tradnl"/>
        </w:rPr>
      </w:pPr>
      <w:r>
        <w:rPr>
          <w:lang w:val="es-ES_tradnl"/>
        </w:rPr>
        <w:t>Las celdas D138:D462</w:t>
      </w:r>
      <w:r w:rsidR="002201B0" w:rsidRPr="002201B0">
        <w:rPr>
          <w:lang w:val="es-ES_tradnl"/>
        </w:rPr>
        <w:t xml:space="preserve"> contienen una categorización más detallada. </w:t>
      </w:r>
    </w:p>
    <w:p w14:paraId="76C1C443"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Montos de los costos aguas abajo desglosados en los siguientes elementos:</w:t>
      </w:r>
    </w:p>
    <w:p w14:paraId="02932FB6"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Acceso a Internet;</w:t>
      </w:r>
    </w:p>
    <w:p w14:paraId="639A05D9"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Asociados a la prestación de servicios móviles OTT;</w:t>
      </w:r>
    </w:p>
    <w:p w14:paraId="26DF4089"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Comerciales;</w:t>
      </w:r>
    </w:p>
    <w:p w14:paraId="5DBB850F"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Facturación;</w:t>
      </w:r>
    </w:p>
    <w:p w14:paraId="7DEC809D"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Cobranza;</w:t>
      </w:r>
    </w:p>
    <w:p w14:paraId="750F0403"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Tasas e impuestos;</w:t>
      </w:r>
    </w:p>
    <w:p w14:paraId="5C19E664"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Programas de fidelización;</w:t>
      </w:r>
    </w:p>
    <w:p w14:paraId="68A87B8B"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Acceso internet internacional;</w:t>
      </w:r>
    </w:p>
    <w:p w14:paraId="22986EF2"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proofErr w:type="spellStart"/>
      <w:r w:rsidRPr="002201B0">
        <w:rPr>
          <w:rFonts w:eastAsiaTheme="minorHAnsi" w:cs="Arial"/>
          <w:color w:val="000000" w:themeColor="text1"/>
          <w:lang w:val="es-ES_tradnl"/>
        </w:rPr>
        <w:t>Roaming</w:t>
      </w:r>
      <w:proofErr w:type="spellEnd"/>
      <w:r w:rsidRPr="002201B0">
        <w:rPr>
          <w:rFonts w:eastAsiaTheme="minorHAnsi" w:cs="Arial"/>
          <w:color w:val="000000" w:themeColor="text1"/>
          <w:lang w:val="es-ES_tradnl"/>
        </w:rPr>
        <w:t xml:space="preserve"> nacional;</w:t>
      </w:r>
    </w:p>
    <w:p w14:paraId="4CE4FF86"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proofErr w:type="spellStart"/>
      <w:r w:rsidRPr="002201B0">
        <w:rPr>
          <w:rFonts w:eastAsiaTheme="minorHAnsi" w:cs="Arial"/>
          <w:color w:val="000000" w:themeColor="text1"/>
          <w:lang w:val="es-ES_tradnl"/>
        </w:rPr>
        <w:t>Roaming</w:t>
      </w:r>
      <w:proofErr w:type="spellEnd"/>
      <w:r w:rsidRPr="002201B0">
        <w:rPr>
          <w:rFonts w:eastAsiaTheme="minorHAnsi" w:cs="Arial"/>
          <w:color w:val="000000" w:themeColor="text1"/>
          <w:lang w:val="es-ES_tradnl"/>
        </w:rPr>
        <w:t xml:space="preserve"> internacional;</w:t>
      </w:r>
    </w:p>
    <w:p w14:paraId="082B87B5"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lastRenderedPageBreak/>
        <w:t xml:space="preserve">Provisiones (gestión de las provisiones por insolvencias); </w:t>
      </w:r>
      <w:bookmarkStart w:id="1" w:name="_GoBack"/>
      <w:bookmarkEnd w:id="1"/>
    </w:p>
    <w:p w14:paraId="4B4B643D" w14:textId="77777777" w:rsidR="005318FF"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Costos direc</w:t>
      </w:r>
      <w:r w:rsidR="005318FF">
        <w:rPr>
          <w:rFonts w:eastAsiaTheme="minorHAnsi" w:cs="Arial"/>
          <w:color w:val="000000" w:themeColor="text1"/>
          <w:lang w:val="es-ES_tradnl"/>
        </w:rPr>
        <w:t>tos de la venta de terminales;</w:t>
      </w:r>
    </w:p>
    <w:p w14:paraId="389E4EEB" w14:textId="77777777" w:rsidR="005318FF" w:rsidRPr="005318FF" w:rsidRDefault="005318FF" w:rsidP="005318FF">
      <w:pPr>
        <w:numPr>
          <w:ilvl w:val="1"/>
          <w:numId w:val="90"/>
        </w:numPr>
        <w:spacing w:before="60" w:after="60" w:line="264" w:lineRule="auto"/>
        <w:rPr>
          <w:rFonts w:eastAsiaTheme="minorHAnsi" w:cs="Arial"/>
          <w:color w:val="000000" w:themeColor="text1"/>
          <w:lang w:val="es-ES_tradnl"/>
        </w:rPr>
      </w:pPr>
      <w:r w:rsidRPr="005318FF">
        <w:rPr>
          <w:rFonts w:eastAsiaTheme="minorHAnsi" w:cs="Arial"/>
          <w:color w:val="000000" w:themeColor="text1"/>
          <w:lang w:val="es-ES_tradnl"/>
        </w:rPr>
        <w:t>Servicios generales y de gestión – minoristas;</w:t>
      </w:r>
    </w:p>
    <w:p w14:paraId="0901DDEF" w14:textId="133E4676" w:rsidR="002201B0" w:rsidRPr="005318FF" w:rsidRDefault="005318FF" w:rsidP="005318FF">
      <w:pPr>
        <w:numPr>
          <w:ilvl w:val="1"/>
          <w:numId w:val="90"/>
        </w:numPr>
        <w:spacing w:before="60" w:after="60" w:line="264" w:lineRule="auto"/>
        <w:rPr>
          <w:rFonts w:eastAsiaTheme="minorHAnsi" w:cs="Arial"/>
          <w:color w:val="000000" w:themeColor="text1"/>
          <w:lang w:val="es-ES_tradnl"/>
        </w:rPr>
      </w:pPr>
      <w:r w:rsidRPr="005318FF">
        <w:rPr>
          <w:rFonts w:eastAsiaTheme="minorHAnsi" w:cs="Arial"/>
          <w:color w:val="000000" w:themeColor="text1"/>
          <w:lang w:val="es-ES_tradnl"/>
        </w:rPr>
        <w:t xml:space="preserve">Servicios generales y de gestión – negocio; y </w:t>
      </w:r>
      <w:r w:rsidR="002201B0" w:rsidRPr="005318FF">
        <w:rPr>
          <w:rFonts w:eastAsiaTheme="minorHAnsi" w:cs="Arial"/>
          <w:color w:val="000000" w:themeColor="text1"/>
          <w:lang w:val="es-ES_tradnl"/>
        </w:rPr>
        <w:t xml:space="preserve"> </w:t>
      </w:r>
    </w:p>
    <w:p w14:paraId="27ABCFA0"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Costo del Capital.</w:t>
      </w:r>
    </w:p>
    <w:p w14:paraId="0548F0A4" w14:textId="77777777" w:rsid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Para cada tipología de llamada, porcentaje del tráfico en tránsito.</w:t>
      </w:r>
    </w:p>
    <w:p w14:paraId="5721E3D3" w14:textId="77777777" w:rsidR="005318FF" w:rsidRPr="002201B0" w:rsidRDefault="005318FF" w:rsidP="005318FF">
      <w:pPr>
        <w:spacing w:before="60" w:after="60" w:line="264" w:lineRule="auto"/>
        <w:ind w:left="360"/>
        <w:rPr>
          <w:rFonts w:eastAsiaTheme="minorHAnsi" w:cs="Arial"/>
          <w:color w:val="000000" w:themeColor="text1"/>
          <w:lang w:val="es-ES_tradnl"/>
        </w:rPr>
      </w:pPr>
    </w:p>
    <w:p w14:paraId="5A4469F1" w14:textId="77777777" w:rsidR="002201B0" w:rsidRPr="002201B0" w:rsidRDefault="002201B0" w:rsidP="002201B0">
      <w:pPr>
        <w:numPr>
          <w:ilvl w:val="2"/>
          <w:numId w:val="92"/>
        </w:numPr>
        <w:spacing w:before="160" w:after="160" w:line="259" w:lineRule="auto"/>
        <w:jc w:val="left"/>
        <w:outlineLvl w:val="1"/>
        <w:rPr>
          <w:rFonts w:eastAsia="Arial" w:cs="Arial"/>
          <w:b/>
          <w:szCs w:val="14"/>
          <w:lang w:val="es-ES_tradnl"/>
        </w:rPr>
      </w:pPr>
      <w:r w:rsidRPr="002201B0">
        <w:rPr>
          <w:rFonts w:eastAsia="Arial" w:cs="Arial"/>
          <w:b/>
          <w:szCs w:val="14"/>
          <w:lang w:val="es-ES_tradnl"/>
        </w:rPr>
        <w:t>Precios mayoristas</w:t>
      </w:r>
    </w:p>
    <w:p w14:paraId="0DA11C65" w14:textId="35C59584" w:rsidR="002201B0" w:rsidRPr="002201B0" w:rsidRDefault="002201B0" w:rsidP="002201B0">
      <w:pPr>
        <w:rPr>
          <w:lang w:val="es-ES_tradnl"/>
        </w:rPr>
      </w:pPr>
      <w:r w:rsidRPr="002201B0">
        <w:rPr>
          <w:lang w:val="es-ES_tradnl"/>
        </w:rPr>
        <w:t xml:space="preserve">El modelo en su estado actual incorpora los precios asociados a un acuerdo que suscribió Telcel con un OMV. Estos precios se incluyen en la hoja “Precios mayoristas”. </w:t>
      </w:r>
    </w:p>
    <w:p w14:paraId="78CAF9FF" w14:textId="77777777" w:rsidR="002201B0" w:rsidRPr="002201B0" w:rsidRDefault="002201B0" w:rsidP="002201B0">
      <w:pPr>
        <w:rPr>
          <w:lang w:val="es-ES_tradnl"/>
        </w:rPr>
      </w:pPr>
      <w:r w:rsidRPr="002201B0">
        <w:rPr>
          <w:lang w:val="es-ES_tradnl"/>
        </w:rPr>
        <w:t>Se distinguen los siguientes tipos de pagos mayoristas:</w:t>
      </w:r>
    </w:p>
    <w:p w14:paraId="1DE5AB64"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Los pagos fijos no recurrentes en los que incurriría el OMV por el inicio del contrato (celda C22). En la versión actual del modelo estos pagos son $0;</w:t>
      </w:r>
    </w:p>
    <w:p w14:paraId="0EECE9A2"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Los pagos recurrentes mensuales, asociados a la administración de los usuarios y a la activación de servicios de valor agregado básicos. Estos pagos se encuentran recogidos en las celdas C15:D18;</w:t>
      </w:r>
    </w:p>
    <w:p w14:paraId="31CB9836"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Los pagos asociados al uso de los distintos servicios de tráfico, recogidos en las celdas C8:C10; y</w:t>
      </w:r>
    </w:p>
    <w:p w14:paraId="6A9B1779" w14:textId="77777777" w:rsidR="002201B0" w:rsidRPr="002201B0" w:rsidRDefault="002201B0" w:rsidP="002201B0">
      <w:pPr>
        <w:numPr>
          <w:ilvl w:val="0"/>
          <w:numId w:val="90"/>
        </w:numPr>
        <w:tabs>
          <w:tab w:val="clear" w:pos="340"/>
        </w:tabs>
        <w:spacing w:before="60" w:after="60" w:line="264" w:lineRule="auto"/>
        <w:ind w:left="360" w:hanging="360"/>
        <w:rPr>
          <w:rFonts w:eastAsiaTheme="minorHAnsi" w:cs="Arial"/>
          <w:color w:val="000000" w:themeColor="text1"/>
          <w:lang w:val="es-ES_tradnl"/>
        </w:rPr>
      </w:pPr>
      <w:r w:rsidRPr="002201B0">
        <w:rPr>
          <w:rFonts w:eastAsiaTheme="minorHAnsi" w:cs="Arial"/>
          <w:color w:val="000000" w:themeColor="text1"/>
          <w:lang w:val="es-ES_tradnl"/>
        </w:rPr>
        <w:t xml:space="preserve">Los costos asociados a terminación y tránsito en otras redes en los que incurra el AEP. </w:t>
      </w:r>
    </w:p>
    <w:p w14:paraId="5AE05E36"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Los precios asociados a la terminación se incluyen en las celdas C26:C44; y</w:t>
      </w:r>
    </w:p>
    <w:p w14:paraId="6C8B34FA" w14:textId="77777777" w:rsidR="002201B0" w:rsidRPr="002201B0" w:rsidRDefault="002201B0" w:rsidP="002201B0">
      <w:pPr>
        <w:numPr>
          <w:ilvl w:val="1"/>
          <w:numId w:val="90"/>
        </w:numPr>
        <w:spacing w:before="60" w:after="60" w:line="264" w:lineRule="auto"/>
        <w:rPr>
          <w:rFonts w:eastAsiaTheme="minorHAnsi" w:cs="Arial"/>
          <w:color w:val="000000" w:themeColor="text1"/>
          <w:lang w:val="es-ES_tradnl"/>
        </w:rPr>
      </w:pPr>
      <w:r w:rsidRPr="002201B0">
        <w:rPr>
          <w:rFonts w:eastAsiaTheme="minorHAnsi" w:cs="Arial"/>
          <w:color w:val="000000" w:themeColor="text1"/>
          <w:lang w:val="es-ES_tradnl"/>
        </w:rPr>
        <w:t>El precio asociado al servicio de tránsito se incluye en la celda C85.</w:t>
      </w:r>
    </w:p>
    <w:p w14:paraId="337C4239" w14:textId="77777777" w:rsidR="002201B0" w:rsidRPr="002201B0" w:rsidRDefault="002201B0" w:rsidP="002201B0">
      <w:pPr>
        <w:rPr>
          <w:lang w:val="es-ES_tradnl"/>
        </w:rPr>
      </w:pPr>
    </w:p>
    <w:p w14:paraId="410551A9" w14:textId="77777777" w:rsidR="002201B0" w:rsidRPr="002201B0" w:rsidRDefault="002201B0" w:rsidP="002201B0">
      <w:pPr>
        <w:rPr>
          <w:lang w:val="es-ES_tradnl"/>
        </w:rPr>
      </w:pPr>
    </w:p>
    <w:p w14:paraId="0CB61739" w14:textId="7016A87E" w:rsidR="000A0A7C" w:rsidRPr="00B67BB2" w:rsidRDefault="000A0A7C" w:rsidP="00601553">
      <w:pPr>
        <w:spacing w:after="240"/>
      </w:pPr>
    </w:p>
    <w:sectPr w:rsidR="000A0A7C" w:rsidRPr="00B67BB2" w:rsidSect="005E230A">
      <w:headerReference w:type="default" r:id="rId17"/>
      <w:footerReference w:type="default" r:id="rId18"/>
      <w:headerReference w:type="first" r:id="rId19"/>
      <w:footerReference w:type="first" r:id="rId20"/>
      <w:pgSz w:w="12240" w:h="15840" w:code="1"/>
      <w:pgMar w:top="2552" w:right="113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FE9F6" w14:textId="77777777" w:rsidR="00195F81" w:rsidRDefault="00195F81">
      <w:pPr>
        <w:spacing w:after="0" w:line="240" w:lineRule="auto"/>
      </w:pPr>
      <w:r>
        <w:separator/>
      </w:r>
    </w:p>
  </w:endnote>
  <w:endnote w:type="continuationSeparator" w:id="0">
    <w:p w14:paraId="1B28A605" w14:textId="77777777" w:rsidR="00195F81" w:rsidRDefault="00195F81">
      <w:pPr>
        <w:spacing w:after="0" w:line="240" w:lineRule="auto"/>
      </w:pPr>
      <w:r>
        <w:continuationSeparator/>
      </w:r>
    </w:p>
  </w:endnote>
  <w:endnote w:type="continuationNotice" w:id="1">
    <w:p w14:paraId="21D4FA42" w14:textId="77777777" w:rsidR="00195F81" w:rsidRDefault="00195F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371996"/>
      <w:docPartObj>
        <w:docPartGallery w:val="Page Numbers (Bottom of Page)"/>
        <w:docPartUnique/>
      </w:docPartObj>
    </w:sdtPr>
    <w:sdtEndPr/>
    <w:sdtContent>
      <w:sdt>
        <w:sdtPr>
          <w:id w:val="-159081301"/>
          <w:docPartObj>
            <w:docPartGallery w:val="Page Numbers (Top of Page)"/>
            <w:docPartUnique/>
          </w:docPartObj>
        </w:sdtPr>
        <w:sdtEndPr/>
        <w:sdtContent>
          <w:p w14:paraId="555FC3A8" w14:textId="77777777" w:rsidR="00764679" w:rsidRDefault="00764679">
            <w:pPr>
              <w:pStyle w:val="Piedepgina0"/>
              <w:jc w:val="right"/>
            </w:pPr>
            <w:r>
              <w:rPr>
                <w:lang w:val="es-ES"/>
              </w:rPr>
              <w:t xml:space="preserve"> </w:t>
            </w:r>
            <w:r>
              <w:rPr>
                <w:b/>
                <w:bCs/>
                <w:sz w:val="24"/>
                <w:szCs w:val="24"/>
              </w:rPr>
              <w:fldChar w:fldCharType="begin"/>
            </w:r>
            <w:r>
              <w:rPr>
                <w:b/>
                <w:bCs/>
              </w:rPr>
              <w:instrText>PAGE</w:instrText>
            </w:r>
            <w:r>
              <w:rPr>
                <w:b/>
                <w:bCs/>
                <w:sz w:val="24"/>
                <w:szCs w:val="24"/>
              </w:rPr>
              <w:fldChar w:fldCharType="separate"/>
            </w:r>
            <w:r w:rsidR="00601553">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01553">
              <w:rPr>
                <w:b/>
                <w:bCs/>
                <w:noProof/>
              </w:rPr>
              <w:t>10</w:t>
            </w:r>
            <w:r>
              <w:rPr>
                <w:b/>
                <w:bCs/>
                <w:sz w:val="24"/>
                <w:szCs w:val="24"/>
              </w:rPr>
              <w:fldChar w:fldCharType="end"/>
            </w:r>
          </w:p>
        </w:sdtContent>
      </w:sdt>
    </w:sdtContent>
  </w:sdt>
  <w:p w14:paraId="55E1DC39" w14:textId="77777777" w:rsidR="00764679" w:rsidRDefault="00764679" w:rsidP="00673E29">
    <w:pPr>
      <w:pStyle w:val="Piedepgina0"/>
    </w:pPr>
  </w:p>
  <w:p w14:paraId="54CA4887" w14:textId="77777777" w:rsidR="00764679" w:rsidRDefault="00764679"/>
  <w:p w14:paraId="6F4D4A5E" w14:textId="77777777" w:rsidR="00764679" w:rsidRDefault="00764679"/>
  <w:p w14:paraId="032AE480" w14:textId="77777777" w:rsidR="00764679" w:rsidRDefault="00764679"/>
  <w:p w14:paraId="1F8CA8CA" w14:textId="77777777" w:rsidR="00764679" w:rsidRDefault="007646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764679" w:rsidRPr="00702608" w14:paraId="64A09F3A" w14:textId="77777777" w:rsidTr="00673E29">
      <w:tc>
        <w:tcPr>
          <w:tcW w:w="9351" w:type="dxa"/>
        </w:tcPr>
        <w:p w14:paraId="630299A6" w14:textId="77777777" w:rsidR="00764679" w:rsidRPr="00702608" w:rsidRDefault="00764679" w:rsidP="00673E29">
          <w:pPr>
            <w:pStyle w:val="Piedepgina0"/>
          </w:pPr>
        </w:p>
      </w:tc>
      <w:tc>
        <w:tcPr>
          <w:tcW w:w="855" w:type="dxa"/>
          <w:vAlign w:val="bottom"/>
        </w:tcPr>
        <w:p w14:paraId="75CD6B77" w14:textId="77777777" w:rsidR="00764679" w:rsidRPr="00702608" w:rsidRDefault="00764679" w:rsidP="00673E29">
          <w:pPr>
            <w:pStyle w:val="Piedepgina0"/>
            <w:jc w:val="right"/>
          </w:pPr>
          <w:r w:rsidRPr="00702608">
            <w:fldChar w:fldCharType="begin"/>
          </w:r>
          <w:r w:rsidRPr="00702608">
            <w:instrText xml:space="preserve"> PAGE   </w:instrText>
          </w:r>
          <w:r w:rsidRPr="00702608">
            <w:fldChar w:fldCharType="separate"/>
          </w:r>
          <w:r>
            <w:rPr>
              <w:noProof/>
            </w:rPr>
            <w:t>1</w:t>
          </w:r>
          <w:r w:rsidRPr="00702608">
            <w:fldChar w:fldCharType="end"/>
          </w:r>
        </w:p>
      </w:tc>
    </w:tr>
  </w:tbl>
  <w:p w14:paraId="01095C99" w14:textId="77777777" w:rsidR="00764679" w:rsidRDefault="00764679">
    <w:pPr>
      <w:pStyle w:val="Piedepgina0"/>
    </w:pPr>
  </w:p>
  <w:p w14:paraId="5F321BF8" w14:textId="77777777" w:rsidR="00764679" w:rsidRDefault="00764679"/>
  <w:p w14:paraId="2067D063" w14:textId="77777777" w:rsidR="00764679" w:rsidRDefault="00764679"/>
  <w:p w14:paraId="49B23C5B" w14:textId="77777777" w:rsidR="00764679" w:rsidRDefault="00764679"/>
  <w:p w14:paraId="55C25975" w14:textId="77777777" w:rsidR="00764679" w:rsidRDefault="007646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78178" w14:textId="77777777" w:rsidR="00195F81" w:rsidRDefault="00195F81">
      <w:pPr>
        <w:spacing w:after="0" w:line="240" w:lineRule="auto"/>
      </w:pPr>
      <w:r>
        <w:separator/>
      </w:r>
    </w:p>
  </w:footnote>
  <w:footnote w:type="continuationSeparator" w:id="0">
    <w:p w14:paraId="2B944DA5" w14:textId="77777777" w:rsidR="00195F81" w:rsidRDefault="00195F81">
      <w:pPr>
        <w:spacing w:after="0" w:line="240" w:lineRule="auto"/>
      </w:pPr>
      <w:r>
        <w:continuationSeparator/>
      </w:r>
    </w:p>
  </w:footnote>
  <w:footnote w:type="continuationNotice" w:id="1">
    <w:p w14:paraId="32D8873C" w14:textId="77777777" w:rsidR="00195F81" w:rsidRDefault="00195F81">
      <w:pPr>
        <w:spacing w:after="0" w:line="240" w:lineRule="auto"/>
      </w:pPr>
    </w:p>
  </w:footnote>
  <w:footnote w:id="2">
    <w:p w14:paraId="4B6F5C69" w14:textId="77777777" w:rsidR="009B6A2A" w:rsidRPr="00DC70AC" w:rsidRDefault="009B6A2A" w:rsidP="009B6A2A">
      <w:pPr>
        <w:rPr>
          <w:sz w:val="14"/>
          <w:szCs w:val="14"/>
        </w:rPr>
      </w:pPr>
      <w:r w:rsidRPr="00DC70AC">
        <w:rPr>
          <w:rStyle w:val="Refdenotaalpie"/>
          <w:rFonts w:ascii="ITC Avant Garde" w:hAnsi="ITC Avant Garde"/>
          <w:sz w:val="14"/>
          <w:szCs w:val="14"/>
        </w:rPr>
        <w:footnoteRef/>
      </w:r>
      <w:r w:rsidRPr="00DC70AC">
        <w:rPr>
          <w:rStyle w:val="Refdenotaalpie"/>
          <w:rFonts w:ascii="ITC Avant Garde" w:hAnsi="ITC Avant Garde"/>
          <w:sz w:val="14"/>
          <w:szCs w:val="14"/>
        </w:rPr>
        <w:t xml:space="preserve">  </w:t>
      </w:r>
      <w:r w:rsidRPr="00DC70AC">
        <w:rPr>
          <w:color w:val="44546A" w:themeColor="text2"/>
          <w:sz w:val="14"/>
          <w:szCs w:val="14"/>
        </w:rPr>
        <w:t xml:space="preserve">SEO es el acrónimo en inglés de </w:t>
      </w:r>
      <w:proofErr w:type="spellStart"/>
      <w:r w:rsidRPr="00DC70AC">
        <w:rPr>
          <w:color w:val="44546A" w:themeColor="text2"/>
          <w:sz w:val="14"/>
          <w:szCs w:val="14"/>
        </w:rPr>
        <w:t>Similarly</w:t>
      </w:r>
      <w:proofErr w:type="spellEnd"/>
      <w:r w:rsidRPr="00DC70AC">
        <w:rPr>
          <w:color w:val="44546A" w:themeColor="text2"/>
          <w:sz w:val="14"/>
          <w:szCs w:val="14"/>
        </w:rPr>
        <w:t xml:space="preserve"> </w:t>
      </w:r>
      <w:proofErr w:type="spellStart"/>
      <w:r w:rsidRPr="00DC70AC">
        <w:rPr>
          <w:color w:val="44546A" w:themeColor="text2"/>
          <w:sz w:val="14"/>
          <w:szCs w:val="14"/>
        </w:rPr>
        <w:t>Efficient</w:t>
      </w:r>
      <w:proofErr w:type="spellEnd"/>
      <w:r w:rsidRPr="00DC70AC">
        <w:rPr>
          <w:color w:val="44546A" w:themeColor="text2"/>
          <w:sz w:val="14"/>
          <w:szCs w:val="14"/>
        </w:rPr>
        <w:t xml:space="preserve"> </w:t>
      </w:r>
      <w:proofErr w:type="spellStart"/>
      <w:r w:rsidRPr="00DC70AC">
        <w:rPr>
          <w:color w:val="44546A" w:themeColor="text2"/>
          <w:sz w:val="14"/>
          <w:szCs w:val="14"/>
        </w:rPr>
        <w:t>Operator</w:t>
      </w:r>
      <w:proofErr w:type="spellEnd"/>
      <w:r w:rsidRPr="00DC70AC">
        <w:rPr>
          <w:color w:val="44546A" w:themeColor="text2"/>
          <w:sz w:val="14"/>
          <w:szCs w:val="14"/>
        </w:rPr>
        <w:t xml:space="preserve"> (Operador Similarmente Eficiente).</w:t>
      </w:r>
    </w:p>
  </w:footnote>
  <w:footnote w:id="3">
    <w:p w14:paraId="0A390E93" w14:textId="77777777" w:rsidR="009B6A2A" w:rsidRDefault="009B6A2A" w:rsidP="009B6A2A">
      <w:pPr>
        <w:pStyle w:val="Textonotapie"/>
        <w:ind w:left="0" w:firstLine="0"/>
        <w:rPr>
          <w:rFonts w:ascii="ITC Avant Garde" w:eastAsiaTheme="minorEastAsia" w:hAnsi="ITC Avant Garde" w:cstheme="minorBidi"/>
          <w:sz w:val="14"/>
          <w:szCs w:val="14"/>
          <w:lang w:val="es-MX"/>
        </w:rPr>
      </w:pPr>
      <w:r w:rsidRPr="00DC70AC">
        <w:rPr>
          <w:rStyle w:val="Refdenotaalpie"/>
          <w:rFonts w:ascii="ITC Avant Garde" w:hAnsi="ITC Avant Garde"/>
          <w:sz w:val="14"/>
          <w:szCs w:val="14"/>
        </w:rPr>
        <w:footnoteRef/>
      </w:r>
      <w:r w:rsidRPr="00DC70AC">
        <w:rPr>
          <w:rFonts w:ascii="ITC Avant Garde" w:hAnsi="ITC Avant Garde"/>
          <w:sz w:val="14"/>
          <w:szCs w:val="14"/>
        </w:rPr>
        <w:t xml:space="preserve"> </w:t>
      </w:r>
      <w:r w:rsidRPr="00DC70AC">
        <w:rPr>
          <w:rFonts w:ascii="ITC Avant Garde" w:eastAsiaTheme="minorEastAsia" w:hAnsi="ITC Avant Garde" w:cstheme="minorBidi"/>
          <w:sz w:val="14"/>
          <w:szCs w:val="14"/>
          <w:lang w:val="es-MX"/>
        </w:rPr>
        <w:t>Las Ofertas Minoristas que hayan tenido el mayor número de ingresos y las Ofertas Minoristas que haya tenido el mayor número de usuarios, en el periodo observado, pertenecientes a la Carteras Prepago</w:t>
      </w:r>
      <w:r>
        <w:rPr>
          <w:rFonts w:ascii="ITC Avant Garde" w:eastAsiaTheme="minorEastAsia" w:hAnsi="ITC Avant Garde" w:cstheme="minorBidi"/>
          <w:sz w:val="14"/>
          <w:szCs w:val="14"/>
          <w:lang w:val="es-MX"/>
        </w:rPr>
        <w:t xml:space="preserve"> y</w:t>
      </w:r>
      <w:r w:rsidRPr="00DC70AC">
        <w:rPr>
          <w:rFonts w:ascii="ITC Avant Garde" w:eastAsiaTheme="minorEastAsia" w:hAnsi="ITC Avant Garde" w:cstheme="minorBidi"/>
          <w:sz w:val="14"/>
          <w:szCs w:val="14"/>
          <w:lang w:val="es-MX"/>
        </w:rPr>
        <w:t xml:space="preserve"> </w:t>
      </w:r>
      <w:proofErr w:type="spellStart"/>
      <w:r w:rsidRPr="00DC70AC">
        <w:rPr>
          <w:rFonts w:ascii="ITC Avant Garde" w:eastAsiaTheme="minorEastAsia" w:hAnsi="ITC Avant Garde" w:cstheme="minorBidi"/>
          <w:sz w:val="14"/>
          <w:szCs w:val="14"/>
          <w:lang w:val="es-MX"/>
        </w:rPr>
        <w:t>Pospago</w:t>
      </w:r>
      <w:proofErr w:type="spellEnd"/>
    </w:p>
    <w:p w14:paraId="49F0DC7E" w14:textId="77777777" w:rsidR="009B6A2A" w:rsidRPr="00DC70AC" w:rsidRDefault="009B6A2A" w:rsidP="009B6A2A">
      <w:pPr>
        <w:pStyle w:val="Textonotapie"/>
        <w:rPr>
          <w:rFonts w:ascii="ITC Avant Garde" w:hAnsi="ITC Avant Garde"/>
          <w:sz w:val="14"/>
          <w:szCs w:val="14"/>
          <w:lang w:val="es-MX"/>
        </w:rPr>
      </w:pPr>
    </w:p>
  </w:footnote>
  <w:footnote w:id="4">
    <w:p w14:paraId="3847A55E" w14:textId="77777777" w:rsidR="009B6A2A" w:rsidRPr="00DC70AC" w:rsidRDefault="009B6A2A" w:rsidP="009B6A2A">
      <w:pPr>
        <w:rPr>
          <w:sz w:val="14"/>
          <w:szCs w:val="14"/>
        </w:rPr>
      </w:pPr>
      <w:r w:rsidRPr="00DC70AC">
        <w:rPr>
          <w:rStyle w:val="Refdenotaalpie"/>
          <w:rFonts w:ascii="ITC Avant Garde" w:hAnsi="ITC Avant Garde"/>
          <w:sz w:val="14"/>
          <w:szCs w:val="14"/>
        </w:rPr>
        <w:footnoteRef/>
      </w:r>
      <w:r w:rsidRPr="00DC70AC">
        <w:rPr>
          <w:color w:val="44546A" w:themeColor="text2"/>
          <w:sz w:val="14"/>
          <w:szCs w:val="14"/>
        </w:rPr>
        <w:t xml:space="preserve"> LRIC es el acrónimo en inglés de </w:t>
      </w:r>
      <w:r w:rsidRPr="00DC70AC">
        <w:rPr>
          <w:i/>
          <w:color w:val="44546A" w:themeColor="text2"/>
          <w:sz w:val="14"/>
          <w:szCs w:val="14"/>
        </w:rPr>
        <w:t xml:space="preserve">Long Run Incremental </w:t>
      </w:r>
      <w:proofErr w:type="spellStart"/>
      <w:r w:rsidRPr="00DC70AC">
        <w:rPr>
          <w:i/>
          <w:color w:val="44546A" w:themeColor="text2"/>
          <w:sz w:val="14"/>
          <w:szCs w:val="14"/>
        </w:rPr>
        <w:t>Costs</w:t>
      </w:r>
      <w:proofErr w:type="spellEnd"/>
      <w:r w:rsidRPr="00DC70AC">
        <w:rPr>
          <w:i/>
          <w:color w:val="44546A" w:themeColor="text2"/>
          <w:sz w:val="14"/>
          <w:szCs w:val="14"/>
        </w:rPr>
        <w:t xml:space="preserve"> </w:t>
      </w:r>
      <w:r w:rsidRPr="00DC70AC">
        <w:rPr>
          <w:color w:val="44546A" w:themeColor="text2"/>
          <w:sz w:val="14"/>
          <w:szCs w:val="14"/>
        </w:rPr>
        <w:t xml:space="preserve">(Costos Incrementales de Largo Plazo).El “+” hace referencia a la adición de un margen para la recuperación de los costos comunes. </w:t>
      </w:r>
    </w:p>
  </w:footnote>
  <w:footnote w:id="5">
    <w:p w14:paraId="2F9FC797" w14:textId="77777777" w:rsidR="009B6A2A" w:rsidRPr="00DC70AC" w:rsidRDefault="009B6A2A" w:rsidP="009B6A2A">
      <w:pPr>
        <w:rPr>
          <w:sz w:val="14"/>
          <w:szCs w:val="14"/>
        </w:rPr>
      </w:pPr>
      <w:r w:rsidRPr="00DC70AC">
        <w:rPr>
          <w:rStyle w:val="Refdenotaalpie"/>
          <w:rFonts w:ascii="ITC Avant Garde" w:hAnsi="ITC Avant Garde"/>
          <w:sz w:val="14"/>
          <w:szCs w:val="14"/>
        </w:rPr>
        <w:footnoteRef/>
      </w:r>
      <w:r w:rsidRPr="00DC70AC">
        <w:rPr>
          <w:sz w:val="14"/>
          <w:szCs w:val="14"/>
        </w:rPr>
        <w:t xml:space="preserve"> </w:t>
      </w:r>
      <w:r w:rsidRPr="00DC70AC">
        <w:rPr>
          <w:color w:val="44546A" w:themeColor="text2"/>
          <w:sz w:val="14"/>
          <w:szCs w:val="14"/>
        </w:rPr>
        <w:t>FAC es el acrónimo en inglés de</w:t>
      </w:r>
      <w:r w:rsidRPr="00DC70AC">
        <w:rPr>
          <w:i/>
          <w:color w:val="44546A" w:themeColor="text2"/>
          <w:sz w:val="14"/>
          <w:szCs w:val="14"/>
        </w:rPr>
        <w:t xml:space="preserve"> </w:t>
      </w:r>
      <w:proofErr w:type="spellStart"/>
      <w:r w:rsidRPr="00DC70AC">
        <w:rPr>
          <w:i/>
          <w:color w:val="44546A" w:themeColor="text2"/>
          <w:sz w:val="14"/>
          <w:szCs w:val="14"/>
        </w:rPr>
        <w:t>Fully</w:t>
      </w:r>
      <w:proofErr w:type="spellEnd"/>
      <w:r w:rsidRPr="00DC70AC">
        <w:rPr>
          <w:i/>
          <w:color w:val="44546A" w:themeColor="text2"/>
          <w:sz w:val="14"/>
          <w:szCs w:val="14"/>
        </w:rPr>
        <w:t xml:space="preserve"> </w:t>
      </w:r>
      <w:proofErr w:type="spellStart"/>
      <w:r w:rsidRPr="00DC70AC">
        <w:rPr>
          <w:i/>
          <w:color w:val="44546A" w:themeColor="text2"/>
          <w:sz w:val="14"/>
          <w:szCs w:val="14"/>
        </w:rPr>
        <w:t>Allocated</w:t>
      </w:r>
      <w:proofErr w:type="spellEnd"/>
      <w:r w:rsidRPr="00DC70AC">
        <w:rPr>
          <w:i/>
          <w:color w:val="44546A" w:themeColor="text2"/>
          <w:sz w:val="14"/>
          <w:szCs w:val="14"/>
        </w:rPr>
        <w:t xml:space="preserve"> </w:t>
      </w:r>
      <w:proofErr w:type="spellStart"/>
      <w:r w:rsidRPr="00DC70AC">
        <w:rPr>
          <w:i/>
          <w:color w:val="44546A" w:themeColor="text2"/>
          <w:sz w:val="14"/>
          <w:szCs w:val="14"/>
        </w:rPr>
        <w:t>Costs</w:t>
      </w:r>
      <w:proofErr w:type="spellEnd"/>
      <w:r w:rsidRPr="00DC70AC">
        <w:rPr>
          <w:i/>
          <w:color w:val="44546A" w:themeColor="text2"/>
          <w:sz w:val="14"/>
          <w:szCs w:val="14"/>
        </w:rPr>
        <w:t xml:space="preserve">. </w:t>
      </w:r>
      <w:r w:rsidRPr="00DC70AC">
        <w:rPr>
          <w:color w:val="44546A" w:themeColor="text2"/>
          <w:sz w:val="14"/>
          <w:szCs w:val="14"/>
        </w:rPr>
        <w:t>(Costos Completamente Distribuidos)</w:t>
      </w:r>
      <w:r w:rsidRPr="00DC70AC">
        <w:rPr>
          <w:b/>
          <w:color w:val="44546A" w:themeColor="text2"/>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09B30" w14:textId="77777777" w:rsidR="00764679" w:rsidRDefault="00195F81">
    <w:pPr>
      <w:pStyle w:val="Encabezado"/>
    </w:pPr>
    <w:r>
      <w:rPr>
        <w:noProof/>
        <w:lang w:eastAsia="es-MX"/>
      </w:rPr>
      <w:pict w14:anchorId="2496E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2" o:spid="_x0000_s2049" type="#_x0000_t75" style="position:absolute;left:0;text-align:left;margin-left:-70.6pt;margin-top:-127.8pt;width:612pt;height:11in;z-index:-251658752;mso-position-horizontal-relative:margin;mso-position-vertical-relative:margin" o:allowincell="f">
          <v:imagedata r:id="rId1" o:title="hoja membretada CDMX-01"/>
          <w10:wrap anchorx="margin" anchory="margin"/>
        </v:shape>
      </w:pict>
    </w:r>
  </w:p>
  <w:p w14:paraId="1CEE53C3" w14:textId="77777777" w:rsidR="00764679" w:rsidRDefault="00764679"/>
  <w:p w14:paraId="7E1012B6" w14:textId="77777777" w:rsidR="00764679" w:rsidRDefault="00764679"/>
  <w:p w14:paraId="49AADD22" w14:textId="77777777" w:rsidR="00764679" w:rsidRDefault="00764679"/>
  <w:p w14:paraId="3AF2357F" w14:textId="77777777" w:rsidR="00764679" w:rsidRDefault="007646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64A69" w14:textId="77777777" w:rsidR="00764679" w:rsidRDefault="00764679" w:rsidP="00673E29">
    <w:pPr>
      <w:pStyle w:val="Encabezado"/>
      <w:jc w:val="left"/>
    </w:pPr>
  </w:p>
  <w:p w14:paraId="56216E18" w14:textId="77777777" w:rsidR="00764679" w:rsidRDefault="00764679"/>
  <w:p w14:paraId="5B89614A" w14:textId="77777777" w:rsidR="00764679" w:rsidRDefault="00764679"/>
  <w:p w14:paraId="4066342A" w14:textId="77777777" w:rsidR="00764679" w:rsidRDefault="00764679"/>
  <w:p w14:paraId="2BEC18C2" w14:textId="77777777" w:rsidR="00764679" w:rsidRDefault="007646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4B6D"/>
    <w:multiLevelType w:val="hybridMultilevel"/>
    <w:tmpl w:val="F8FC954C"/>
    <w:lvl w:ilvl="0" w:tplc="33F21F58">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51A5E"/>
    <w:multiLevelType w:val="hybridMultilevel"/>
    <w:tmpl w:val="9A367A1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5E285E"/>
    <w:multiLevelType w:val="hybridMultilevel"/>
    <w:tmpl w:val="BBD0CE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5E00ED5"/>
    <w:multiLevelType w:val="hybridMultilevel"/>
    <w:tmpl w:val="8098AA80"/>
    <w:lvl w:ilvl="0" w:tplc="080A0003">
      <w:start w:val="1"/>
      <w:numFmt w:val="bullet"/>
      <w:lvlText w:val="o"/>
      <w:lvlJc w:val="left"/>
      <w:pPr>
        <w:ind w:left="1060" w:hanging="360"/>
      </w:pPr>
      <w:rPr>
        <w:rFonts w:ascii="Courier New" w:hAnsi="Courier New" w:cs="Courier New"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4" w15:restartNumberingAfterBreak="0">
    <w:nsid w:val="074F2336"/>
    <w:multiLevelType w:val="hybridMultilevel"/>
    <w:tmpl w:val="2AD6CC8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5" w15:restartNumberingAfterBreak="0">
    <w:nsid w:val="09E55942"/>
    <w:multiLevelType w:val="hybridMultilevel"/>
    <w:tmpl w:val="06B8392A"/>
    <w:lvl w:ilvl="0" w:tplc="8EFE25D8">
      <w:start w:val="1"/>
      <w:numFmt w:val="upperRoman"/>
      <w:pStyle w:val="Antecedentes"/>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0049B6"/>
    <w:multiLevelType w:val="hybridMultilevel"/>
    <w:tmpl w:val="30A49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0E5BB7"/>
    <w:multiLevelType w:val="hybridMultilevel"/>
    <w:tmpl w:val="890AB604"/>
    <w:lvl w:ilvl="0" w:tplc="D0A623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842CA3"/>
    <w:multiLevelType w:val="hybridMultilevel"/>
    <w:tmpl w:val="E5BA92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215676C"/>
    <w:multiLevelType w:val="hybridMultilevel"/>
    <w:tmpl w:val="534882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82775B"/>
    <w:multiLevelType w:val="multilevel"/>
    <w:tmpl w:val="1B223032"/>
    <w:lvl w:ilvl="0">
      <w:start w:val="1"/>
      <w:numFmt w:val="decimal"/>
      <w:lvlText w:val="%1."/>
      <w:lvlJc w:val="left"/>
      <w:pPr>
        <w:ind w:left="360" w:hanging="360"/>
      </w:pPr>
    </w:lvl>
    <w:lvl w:ilvl="1">
      <w:start w:val="1"/>
      <w:numFmt w:val="decimal"/>
      <w:lvlText w:val="%1.%2"/>
      <w:lvlJc w:val="left"/>
      <w:pPr>
        <w:ind w:left="3837" w:hanging="576"/>
      </w:pPr>
    </w:lvl>
    <w:lvl w:ilvl="2">
      <w:start w:val="1"/>
      <w:numFmt w:val="decimal"/>
      <w:pStyle w:val="Ttulo3"/>
      <w:lvlText w:val="%1.%2.%3"/>
      <w:lvlJc w:val="left"/>
      <w:pPr>
        <w:ind w:left="720" w:hanging="720"/>
      </w:pPr>
      <w:rPr>
        <w:i w:val="0"/>
      </w:r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4B21A57"/>
    <w:multiLevelType w:val="multilevel"/>
    <w:tmpl w:val="C102EA5A"/>
    <w:name w:val="AppHeadList"/>
    <w:styleLink w:val="AppListStyle"/>
    <w:lvl w:ilvl="0">
      <w:start w:val="1"/>
      <w:numFmt w:val="upperLetter"/>
      <w:lvlRestart w:val="0"/>
      <w:pStyle w:val="AnxHead"/>
      <w:lvlText w:val="ANNEX %1"/>
      <w:lvlJc w:val="left"/>
      <w:pPr>
        <w:tabs>
          <w:tab w:val="num" w:pos="1559"/>
        </w:tabs>
        <w:ind w:left="1559" w:hanging="1559"/>
      </w:pPr>
      <w:rPr>
        <w:rFonts w:ascii="Arial" w:hAnsi="Arial" w:cs="Arial" w:hint="default"/>
        <w:b/>
        <w:bCs/>
        <w:i w:val="0"/>
        <w:color w:val="5B9BD5" w:themeColor="accent1"/>
        <w:sz w:val="40"/>
      </w:rPr>
    </w:lvl>
    <w:lvl w:ilvl="1">
      <w:start w:val="1"/>
      <w:numFmt w:val="decimal"/>
      <w:pStyle w:val="AnxSubHead"/>
      <w:lvlText w:val="%1.%2"/>
      <w:lvlJc w:val="right"/>
      <w:pPr>
        <w:tabs>
          <w:tab w:val="num" w:pos="709"/>
        </w:tabs>
        <w:ind w:left="709" w:hanging="198"/>
      </w:pPr>
      <w:rPr>
        <w:rFonts w:ascii="Arial" w:hAnsi="Arial" w:cs="Arial" w:hint="default"/>
        <w:b w:val="0"/>
        <w:i w:val="0"/>
        <w:color w:val="5B9BD5" w:themeColor="accent1"/>
        <w:sz w:val="36"/>
      </w:rPr>
    </w:lvl>
    <w:lvl w:ilvl="2">
      <w:start w:val="1"/>
      <w:numFmt w:val="decimal"/>
      <w:pStyle w:val="AnxMinorSubHead"/>
      <w:lvlText w:val="%1.%2.%3"/>
      <w:lvlJc w:val="right"/>
      <w:pPr>
        <w:tabs>
          <w:tab w:val="num" w:pos="709"/>
        </w:tabs>
        <w:ind w:left="709" w:hanging="198"/>
      </w:pPr>
      <w:rPr>
        <w:rFonts w:ascii="Arial" w:hAnsi="Arial" w:cs="Arial" w:hint="default"/>
        <w:b w:val="0"/>
        <w:i w:val="0"/>
        <w:color w:val="5B9BD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12" w15:restartNumberingAfterBreak="0">
    <w:nsid w:val="14B63999"/>
    <w:multiLevelType w:val="multilevel"/>
    <w:tmpl w:val="C102EA5A"/>
    <w:name w:val="AppHeadList2"/>
    <w:numStyleLink w:val="AppListStyle"/>
  </w:abstractNum>
  <w:abstractNum w:abstractNumId="13" w15:restartNumberingAfterBreak="0">
    <w:nsid w:val="1597785C"/>
    <w:multiLevelType w:val="hybridMultilevel"/>
    <w:tmpl w:val="96F26FFA"/>
    <w:lvl w:ilvl="0" w:tplc="367A6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CA6771"/>
    <w:multiLevelType w:val="hybridMultilevel"/>
    <w:tmpl w:val="73701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535A97"/>
    <w:multiLevelType w:val="hybridMultilevel"/>
    <w:tmpl w:val="16806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86C0C41"/>
    <w:multiLevelType w:val="hybridMultilevel"/>
    <w:tmpl w:val="0B7873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F36338"/>
    <w:multiLevelType w:val="hybridMultilevel"/>
    <w:tmpl w:val="5F96938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19D701CC"/>
    <w:multiLevelType w:val="hybridMultilevel"/>
    <w:tmpl w:val="24261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B37531D"/>
    <w:multiLevelType w:val="multilevel"/>
    <w:tmpl w:val="844A82D2"/>
    <w:lvl w:ilvl="0">
      <w:start w:val="1"/>
      <w:numFmt w:val="decimal"/>
      <w:lvlText w:val="%1."/>
      <w:lvlJc w:val="left"/>
      <w:pPr>
        <w:tabs>
          <w:tab w:val="num" w:pos="340"/>
        </w:tabs>
        <w:ind w:left="340" w:hanging="340"/>
      </w:pPr>
      <w:rPr>
        <w:rFonts w:hint="default"/>
        <w:color w:val="000000" w:themeColor="text1"/>
      </w:rPr>
    </w:lvl>
    <w:lvl w:ilvl="1">
      <w:start w:val="1"/>
      <w:numFmt w:val="lowerLetter"/>
      <w:lvlText w:val="%2."/>
      <w:lvlJc w:val="left"/>
      <w:pPr>
        <w:tabs>
          <w:tab w:val="num" w:pos="680"/>
        </w:tabs>
        <w:ind w:left="680" w:hanging="340"/>
      </w:pPr>
      <w:rPr>
        <w:rFonts w:hint="default"/>
        <w:color w:val="000000" w:themeColor="text1"/>
      </w:rPr>
    </w:lvl>
    <w:lvl w:ilvl="2">
      <w:start w:val="1"/>
      <w:numFmt w:val="lowerRoman"/>
      <w:lvlText w:val="%3."/>
      <w:lvlJc w:val="left"/>
      <w:pPr>
        <w:tabs>
          <w:tab w:val="num" w:pos="1021"/>
        </w:tabs>
        <w:ind w:left="1021" w:hanging="341"/>
      </w:pPr>
      <w:rPr>
        <w:rFonts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2333EFC"/>
    <w:multiLevelType w:val="hybridMultilevel"/>
    <w:tmpl w:val="F332679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7D1BB0"/>
    <w:multiLevelType w:val="hybridMultilevel"/>
    <w:tmpl w:val="DDD4C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841E7E"/>
    <w:multiLevelType w:val="hybridMultilevel"/>
    <w:tmpl w:val="762C0D04"/>
    <w:lvl w:ilvl="0" w:tplc="D58E31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2E7A0E"/>
    <w:multiLevelType w:val="hybridMultilevel"/>
    <w:tmpl w:val="8A9C21E6"/>
    <w:lvl w:ilvl="0" w:tplc="080A0003">
      <w:start w:val="1"/>
      <w:numFmt w:val="bullet"/>
      <w:lvlText w:val="o"/>
      <w:lvlJc w:val="left"/>
      <w:pPr>
        <w:ind w:left="1796" w:hanging="360"/>
      </w:pPr>
      <w:rPr>
        <w:rFonts w:ascii="Courier New" w:hAnsi="Courier New" w:cs="Courier New" w:hint="default"/>
      </w:rPr>
    </w:lvl>
    <w:lvl w:ilvl="1" w:tplc="080A0003" w:tentative="1">
      <w:start w:val="1"/>
      <w:numFmt w:val="bullet"/>
      <w:lvlText w:val="o"/>
      <w:lvlJc w:val="left"/>
      <w:pPr>
        <w:ind w:left="2516" w:hanging="360"/>
      </w:pPr>
      <w:rPr>
        <w:rFonts w:ascii="Courier New" w:hAnsi="Courier New" w:cs="Courier New" w:hint="default"/>
      </w:rPr>
    </w:lvl>
    <w:lvl w:ilvl="2" w:tplc="080A0005" w:tentative="1">
      <w:start w:val="1"/>
      <w:numFmt w:val="bullet"/>
      <w:lvlText w:val=""/>
      <w:lvlJc w:val="left"/>
      <w:pPr>
        <w:ind w:left="3236" w:hanging="360"/>
      </w:pPr>
      <w:rPr>
        <w:rFonts w:ascii="Wingdings" w:hAnsi="Wingdings" w:hint="default"/>
      </w:rPr>
    </w:lvl>
    <w:lvl w:ilvl="3" w:tplc="080A0001" w:tentative="1">
      <w:start w:val="1"/>
      <w:numFmt w:val="bullet"/>
      <w:lvlText w:val=""/>
      <w:lvlJc w:val="left"/>
      <w:pPr>
        <w:ind w:left="3956" w:hanging="360"/>
      </w:pPr>
      <w:rPr>
        <w:rFonts w:ascii="Symbol" w:hAnsi="Symbol" w:hint="default"/>
      </w:rPr>
    </w:lvl>
    <w:lvl w:ilvl="4" w:tplc="080A0003" w:tentative="1">
      <w:start w:val="1"/>
      <w:numFmt w:val="bullet"/>
      <w:lvlText w:val="o"/>
      <w:lvlJc w:val="left"/>
      <w:pPr>
        <w:ind w:left="4676" w:hanging="360"/>
      </w:pPr>
      <w:rPr>
        <w:rFonts w:ascii="Courier New" w:hAnsi="Courier New" w:cs="Courier New" w:hint="default"/>
      </w:rPr>
    </w:lvl>
    <w:lvl w:ilvl="5" w:tplc="080A0005" w:tentative="1">
      <w:start w:val="1"/>
      <w:numFmt w:val="bullet"/>
      <w:lvlText w:val=""/>
      <w:lvlJc w:val="left"/>
      <w:pPr>
        <w:ind w:left="5396" w:hanging="360"/>
      </w:pPr>
      <w:rPr>
        <w:rFonts w:ascii="Wingdings" w:hAnsi="Wingdings" w:hint="default"/>
      </w:rPr>
    </w:lvl>
    <w:lvl w:ilvl="6" w:tplc="080A0001" w:tentative="1">
      <w:start w:val="1"/>
      <w:numFmt w:val="bullet"/>
      <w:lvlText w:val=""/>
      <w:lvlJc w:val="left"/>
      <w:pPr>
        <w:ind w:left="6116" w:hanging="360"/>
      </w:pPr>
      <w:rPr>
        <w:rFonts w:ascii="Symbol" w:hAnsi="Symbol" w:hint="default"/>
      </w:rPr>
    </w:lvl>
    <w:lvl w:ilvl="7" w:tplc="080A0003" w:tentative="1">
      <w:start w:val="1"/>
      <w:numFmt w:val="bullet"/>
      <w:lvlText w:val="o"/>
      <w:lvlJc w:val="left"/>
      <w:pPr>
        <w:ind w:left="6836" w:hanging="360"/>
      </w:pPr>
      <w:rPr>
        <w:rFonts w:ascii="Courier New" w:hAnsi="Courier New" w:cs="Courier New" w:hint="default"/>
      </w:rPr>
    </w:lvl>
    <w:lvl w:ilvl="8" w:tplc="080A0005" w:tentative="1">
      <w:start w:val="1"/>
      <w:numFmt w:val="bullet"/>
      <w:lvlText w:val=""/>
      <w:lvlJc w:val="left"/>
      <w:pPr>
        <w:ind w:left="7556" w:hanging="360"/>
      </w:pPr>
      <w:rPr>
        <w:rFonts w:ascii="Wingdings" w:hAnsi="Wingdings" w:hint="default"/>
      </w:rPr>
    </w:lvl>
  </w:abstractNum>
  <w:abstractNum w:abstractNumId="24" w15:restartNumberingAfterBreak="0">
    <w:nsid w:val="29B65577"/>
    <w:multiLevelType w:val="hybridMultilevel"/>
    <w:tmpl w:val="E79AA5EA"/>
    <w:lvl w:ilvl="0" w:tplc="752C9E7E">
      <w:start w:val="1"/>
      <w:numFmt w:val="decimal"/>
      <w:suff w:val="space"/>
      <w:lvlText w:val="Figura %1."/>
      <w:lvlJc w:val="left"/>
      <w:pPr>
        <w:ind w:left="360" w:hanging="360"/>
      </w:pPr>
      <w:rPr>
        <w:rFonts w:ascii="ITC Avant Garde" w:hAnsi="ITC Avant Garde" w:hint="default"/>
        <w:b/>
        <w:bCs w:val="0"/>
        <w:i w:val="0"/>
        <w:iCs w:val="0"/>
        <w:caps w:val="0"/>
        <w:strike w:val="0"/>
        <w:dstrike w:val="0"/>
        <w:vanish w:val="0"/>
        <w:color w:val="auto"/>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D4F5981"/>
    <w:multiLevelType w:val="multilevel"/>
    <w:tmpl w:val="9B1ABCF4"/>
    <w:name w:val="ListBulletList"/>
    <w:lvl w:ilvl="0">
      <w:start w:val="1"/>
      <w:numFmt w:val="bullet"/>
      <w:pStyle w:val="ListBullet1"/>
      <w:lvlText w:val=""/>
      <w:lvlJc w:val="left"/>
      <w:pPr>
        <w:tabs>
          <w:tab w:val="num" w:pos="340"/>
        </w:tabs>
        <w:ind w:left="340" w:hanging="340"/>
      </w:pPr>
      <w:rPr>
        <w:rFonts w:ascii="Wingdings 2" w:hAnsi="Wingdings 2" w:hint="default"/>
        <w:color w:val="5B9BD5" w:themeColor="accent1"/>
      </w:rPr>
    </w:lvl>
    <w:lvl w:ilvl="1">
      <w:start w:val="1"/>
      <w:numFmt w:val="bullet"/>
      <w:pStyle w:val="ListBullet2"/>
      <w:lvlText w:val="□"/>
      <w:lvlJc w:val="left"/>
      <w:pPr>
        <w:tabs>
          <w:tab w:val="num" w:pos="680"/>
        </w:tabs>
        <w:ind w:left="680" w:hanging="340"/>
      </w:pPr>
      <w:rPr>
        <w:rFonts w:ascii="Calibri" w:hAnsi="Calibri" w:hint="default"/>
        <w:color w:val="5B9BD5" w:themeColor="accent1"/>
      </w:rPr>
    </w:lvl>
    <w:lvl w:ilvl="2">
      <w:start w:val="1"/>
      <w:numFmt w:val="bullet"/>
      <w:pStyle w:val="ListBullet3"/>
      <w:lvlText w:val="–"/>
      <w:lvlJc w:val="left"/>
      <w:pPr>
        <w:tabs>
          <w:tab w:val="num" w:pos="1021"/>
        </w:tabs>
        <w:ind w:left="1021" w:hanging="341"/>
      </w:pPr>
      <w:rPr>
        <w:rFonts w:ascii="(none)" w:hAnsi="(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6" w15:restartNumberingAfterBreak="0">
    <w:nsid w:val="35E67AB2"/>
    <w:multiLevelType w:val="multilevel"/>
    <w:tmpl w:val="E79AA7C4"/>
    <w:name w:val="NumberedList"/>
    <w:styleLink w:val="ListNumStyle"/>
    <w:lvl w:ilvl="0">
      <w:start w:val="1"/>
      <w:numFmt w:val="decimal"/>
      <w:pStyle w:val="ListNumBullet1"/>
      <w:lvlText w:val="%1."/>
      <w:lvlJc w:val="left"/>
      <w:pPr>
        <w:tabs>
          <w:tab w:val="num" w:pos="340"/>
        </w:tabs>
        <w:ind w:left="340" w:hanging="340"/>
      </w:pPr>
      <w:rPr>
        <w:rFonts w:hint="default"/>
        <w:color w:val="000000" w:themeColor="text1"/>
      </w:rPr>
    </w:lvl>
    <w:lvl w:ilvl="1">
      <w:start w:val="1"/>
      <w:numFmt w:val="lowerLetter"/>
      <w:lvlText w:val="%2."/>
      <w:lvlJc w:val="left"/>
      <w:pPr>
        <w:tabs>
          <w:tab w:val="num" w:pos="680"/>
        </w:tabs>
        <w:ind w:left="680" w:hanging="340"/>
      </w:pPr>
      <w:rPr>
        <w:rFonts w:hint="default"/>
        <w:color w:val="000000" w:themeColor="text1"/>
      </w:rPr>
    </w:lvl>
    <w:lvl w:ilvl="2">
      <w:start w:val="1"/>
      <w:numFmt w:val="lowerRoman"/>
      <w:lvlText w:val="%3."/>
      <w:lvlJc w:val="left"/>
      <w:pPr>
        <w:tabs>
          <w:tab w:val="num" w:pos="1021"/>
        </w:tabs>
        <w:ind w:left="1021" w:hanging="341"/>
      </w:pPr>
      <w:rPr>
        <w:rFonts w:hint="default"/>
        <w:color w:val="000000"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78C30F4"/>
    <w:multiLevelType w:val="hybridMultilevel"/>
    <w:tmpl w:val="83E8F53E"/>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3A3CCF"/>
    <w:multiLevelType w:val="hybridMultilevel"/>
    <w:tmpl w:val="EC5639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9B21425"/>
    <w:multiLevelType w:val="hybridMultilevel"/>
    <w:tmpl w:val="25D0EB00"/>
    <w:lvl w:ilvl="0" w:tplc="C0A87160">
      <w:start w:val="16"/>
      <w:numFmt w:val="bullet"/>
      <w:lvlText w:val="-"/>
      <w:lvlJc w:val="left"/>
      <w:pPr>
        <w:ind w:left="720" w:hanging="360"/>
      </w:pPr>
      <w:rPr>
        <w:rFonts w:ascii="ITC Avant Garde" w:eastAsiaTheme="minorHAnsi" w:hAnsi="ITC Avant Garde" w:cstheme="minorBidi" w:hint="default"/>
      </w:rPr>
    </w:lvl>
    <w:lvl w:ilvl="1" w:tplc="90661774">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220ECC"/>
    <w:multiLevelType w:val="hybridMultilevel"/>
    <w:tmpl w:val="D72A06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409A0C46"/>
    <w:multiLevelType w:val="multilevel"/>
    <w:tmpl w:val="E79AA7C4"/>
    <w:name w:val="NumberedList4"/>
    <w:numStyleLink w:val="ListNumStyle"/>
  </w:abstractNum>
  <w:abstractNum w:abstractNumId="32" w15:restartNumberingAfterBreak="0">
    <w:nsid w:val="4433143D"/>
    <w:multiLevelType w:val="hybridMultilevel"/>
    <w:tmpl w:val="0CBA99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443317E4"/>
    <w:multiLevelType w:val="hybridMultilevel"/>
    <w:tmpl w:val="9668B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0744BE"/>
    <w:multiLevelType w:val="multilevel"/>
    <w:tmpl w:val="2CBA58FA"/>
    <w:name w:val="ParaBulletList"/>
    <w:lvl w:ilvl="0">
      <w:start w:val="1"/>
      <w:numFmt w:val="bullet"/>
      <w:pStyle w:val="ParaBullet1"/>
      <w:lvlText w:val=""/>
      <w:lvlJc w:val="left"/>
      <w:pPr>
        <w:tabs>
          <w:tab w:val="num" w:pos="340"/>
        </w:tabs>
        <w:ind w:left="340" w:hanging="340"/>
      </w:pPr>
      <w:rPr>
        <w:rFonts w:ascii="Symbol" w:hAnsi="Symbol" w:hint="default"/>
        <w:color w:val="auto"/>
      </w:rPr>
    </w:lvl>
    <w:lvl w:ilvl="1">
      <w:start w:val="1"/>
      <w:numFmt w:val="bullet"/>
      <w:pStyle w:val="ParaBullet2"/>
      <w:lvlText w:val="□"/>
      <w:lvlJc w:val="left"/>
      <w:pPr>
        <w:tabs>
          <w:tab w:val="num" w:pos="680"/>
        </w:tabs>
        <w:ind w:left="680" w:hanging="340"/>
      </w:pPr>
      <w:rPr>
        <w:rFonts w:ascii="Calibri" w:hAnsi="Calibri" w:hint="default"/>
        <w:color w:val="5B9BD5" w:themeColor="accent1"/>
      </w:rPr>
    </w:lvl>
    <w:lvl w:ilvl="2">
      <w:start w:val="1"/>
      <w:numFmt w:val="bullet"/>
      <w:pStyle w:val="ParaBullet3"/>
      <w:lvlText w:val="–"/>
      <w:lvlJc w:val="left"/>
      <w:pPr>
        <w:tabs>
          <w:tab w:val="num" w:pos="1021"/>
        </w:tabs>
        <w:ind w:left="1021" w:hanging="341"/>
      </w:pPr>
      <w:rPr>
        <w:rFonts w:ascii="(none)" w:hAnsi="(none)" w:cs="(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35" w15:restartNumberingAfterBreak="0">
    <w:nsid w:val="4C103895"/>
    <w:multiLevelType w:val="hybridMultilevel"/>
    <w:tmpl w:val="C0724AAE"/>
    <w:lvl w:ilvl="0" w:tplc="733668D2">
      <w:start w:val="1"/>
      <w:numFmt w:val="bullet"/>
      <w:lvlText w:val=""/>
      <w:lvlJc w:val="left"/>
      <w:pPr>
        <w:ind w:left="1060" w:hanging="360"/>
      </w:pPr>
      <w:rPr>
        <w:rFonts w:ascii="Symbol" w:hAnsi="Symbol" w:hint="default"/>
        <w:color w:val="auto"/>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6" w15:restartNumberingAfterBreak="0">
    <w:nsid w:val="4F227F2B"/>
    <w:multiLevelType w:val="multilevel"/>
    <w:tmpl w:val="76D8B538"/>
    <w:lvl w:ilvl="0">
      <w:start w:val="1"/>
      <w:numFmt w:val="bullet"/>
      <w:lvlText w:val=""/>
      <w:lvlJc w:val="left"/>
      <w:pPr>
        <w:tabs>
          <w:tab w:val="num" w:pos="680"/>
        </w:tabs>
        <w:ind w:left="680" w:hanging="340"/>
      </w:pPr>
      <w:rPr>
        <w:rFonts w:ascii="Symbol" w:hAnsi="Symbol" w:hint="default"/>
        <w:color w:val="auto"/>
      </w:rPr>
    </w:lvl>
    <w:lvl w:ilvl="1">
      <w:start w:val="1"/>
      <w:numFmt w:val="bullet"/>
      <w:lvlText w:val="o"/>
      <w:lvlJc w:val="left"/>
      <w:pPr>
        <w:tabs>
          <w:tab w:val="num" w:pos="1020"/>
        </w:tabs>
        <w:ind w:left="1020" w:hanging="340"/>
      </w:pPr>
      <w:rPr>
        <w:rFonts w:ascii="Courier New" w:hAnsi="Courier New" w:cs="Courier New" w:hint="default"/>
        <w:color w:val="auto"/>
      </w:rPr>
    </w:lvl>
    <w:lvl w:ilvl="2">
      <w:start w:val="1"/>
      <w:numFmt w:val="bullet"/>
      <w:lvlText w:val="–"/>
      <w:lvlJc w:val="left"/>
      <w:pPr>
        <w:tabs>
          <w:tab w:val="num" w:pos="1361"/>
        </w:tabs>
        <w:ind w:left="1361" w:hanging="341"/>
      </w:pPr>
      <w:rPr>
        <w:rFonts w:ascii="(none)" w:hAnsi="(none)" w:cs="(none)" w:hint="default"/>
        <w:color w:val="5B9BD5" w:themeColor="accent1"/>
      </w:rPr>
    </w:lvl>
    <w:lvl w:ilvl="3">
      <w:start w:val="1"/>
      <w:numFmt w:val="bullet"/>
      <w:lvlText w:val=""/>
      <w:lvlJc w:val="left"/>
      <w:pPr>
        <w:tabs>
          <w:tab w:val="num" w:pos="340"/>
        </w:tabs>
        <w:ind w:left="1928" w:hanging="397"/>
      </w:pPr>
      <w:rPr>
        <w:rFonts w:ascii="Symbol" w:hAnsi="Symbol" w:cs="Times New Roman" w:hint="default"/>
      </w:rPr>
    </w:lvl>
    <w:lvl w:ilvl="4">
      <w:start w:val="1"/>
      <w:numFmt w:val="bullet"/>
      <w:lvlText w:val="o"/>
      <w:lvlJc w:val="left"/>
      <w:pPr>
        <w:tabs>
          <w:tab w:val="num" w:pos="340"/>
        </w:tabs>
        <w:ind w:left="2325" w:hanging="397"/>
      </w:pPr>
      <w:rPr>
        <w:rFonts w:ascii="Courier New" w:hAnsi="Courier New" w:cs="Courier New" w:hint="default"/>
      </w:rPr>
    </w:lvl>
    <w:lvl w:ilvl="5">
      <w:start w:val="1"/>
      <w:numFmt w:val="bullet"/>
      <w:lvlText w:val=""/>
      <w:lvlJc w:val="left"/>
      <w:pPr>
        <w:tabs>
          <w:tab w:val="num" w:pos="340"/>
        </w:tabs>
        <w:ind w:left="2722" w:hanging="397"/>
      </w:pPr>
      <w:rPr>
        <w:rFonts w:ascii="Wingdings" w:hAnsi="Wingdings" w:hint="default"/>
      </w:rPr>
    </w:lvl>
    <w:lvl w:ilvl="6">
      <w:start w:val="1"/>
      <w:numFmt w:val="bullet"/>
      <w:lvlText w:val=""/>
      <w:lvlJc w:val="left"/>
      <w:pPr>
        <w:tabs>
          <w:tab w:val="num" w:pos="340"/>
        </w:tabs>
        <w:ind w:left="3119" w:hanging="397"/>
      </w:pPr>
      <w:rPr>
        <w:rFonts w:ascii="Symbol" w:hAnsi="Symbol" w:hint="default"/>
      </w:rPr>
    </w:lvl>
    <w:lvl w:ilvl="7">
      <w:start w:val="1"/>
      <w:numFmt w:val="bullet"/>
      <w:lvlText w:val="o"/>
      <w:lvlJc w:val="left"/>
      <w:pPr>
        <w:tabs>
          <w:tab w:val="num" w:pos="340"/>
        </w:tabs>
        <w:ind w:left="3516" w:hanging="397"/>
      </w:pPr>
      <w:rPr>
        <w:rFonts w:ascii="Courier New" w:hAnsi="Courier New" w:cs="Courier New" w:hint="default"/>
      </w:rPr>
    </w:lvl>
    <w:lvl w:ilvl="8">
      <w:start w:val="1"/>
      <w:numFmt w:val="bullet"/>
      <w:lvlText w:val=""/>
      <w:lvlJc w:val="left"/>
      <w:pPr>
        <w:tabs>
          <w:tab w:val="num" w:pos="340"/>
        </w:tabs>
        <w:ind w:left="3913" w:hanging="397"/>
      </w:pPr>
      <w:rPr>
        <w:rFonts w:ascii="Wingdings" w:hAnsi="Wingdings" w:hint="default"/>
      </w:rPr>
    </w:lvl>
  </w:abstractNum>
  <w:abstractNum w:abstractNumId="37" w15:restartNumberingAfterBreak="0">
    <w:nsid w:val="51BB4989"/>
    <w:multiLevelType w:val="hybridMultilevel"/>
    <w:tmpl w:val="7EA4F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27F2B6A"/>
    <w:multiLevelType w:val="hybridMultilevel"/>
    <w:tmpl w:val="C1BE1542"/>
    <w:lvl w:ilvl="0" w:tplc="D87C927A">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39079C7"/>
    <w:multiLevelType w:val="hybridMultilevel"/>
    <w:tmpl w:val="E1A87F6A"/>
    <w:lvl w:ilvl="0" w:tplc="080A0003">
      <w:start w:val="1"/>
      <w:numFmt w:val="bullet"/>
      <w:lvlText w:val="o"/>
      <w:lvlJc w:val="left"/>
      <w:pPr>
        <w:ind w:left="1060" w:hanging="360"/>
      </w:pPr>
      <w:rPr>
        <w:rFonts w:ascii="Courier New" w:hAnsi="Courier New" w:cs="Courier New"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40" w15:restartNumberingAfterBreak="0">
    <w:nsid w:val="575F2E5F"/>
    <w:multiLevelType w:val="hybridMultilevel"/>
    <w:tmpl w:val="D1CCFCAA"/>
    <w:lvl w:ilvl="0" w:tplc="D2D48948">
      <w:start w:val="1"/>
      <w:numFmt w:val="upperRoman"/>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9D15F1F"/>
    <w:multiLevelType w:val="hybridMultilevel"/>
    <w:tmpl w:val="B212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A094ED9"/>
    <w:multiLevelType w:val="multilevel"/>
    <w:tmpl w:val="080A001F"/>
    <w:name w:val="ListBulletList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CDE05C3"/>
    <w:multiLevelType w:val="hybridMultilevel"/>
    <w:tmpl w:val="6234FBA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617E60E3"/>
    <w:multiLevelType w:val="multilevel"/>
    <w:tmpl w:val="8AE871F2"/>
    <w:name w:val="SecHeadList"/>
    <w:styleLink w:val="SecListStyle"/>
    <w:lvl w:ilvl="0">
      <w:start w:val="1"/>
      <w:numFmt w:val="decimal"/>
      <w:lvlRestart w:val="0"/>
      <w:isLgl/>
      <w:lvlText w:val="%1"/>
      <w:lvlJc w:val="right"/>
      <w:pPr>
        <w:tabs>
          <w:tab w:val="num" w:pos="0"/>
        </w:tabs>
        <w:ind w:left="0" w:hanging="198"/>
      </w:pPr>
      <w:rPr>
        <w:rFonts w:ascii="Arial" w:hAnsi="Arial" w:cs="Arial" w:hint="default"/>
        <w:b w:val="0"/>
        <w:i w:val="0"/>
        <w:color w:val="5B9BD5" w:themeColor="accent1"/>
        <w:sz w:val="40"/>
      </w:rPr>
    </w:lvl>
    <w:lvl w:ilvl="1">
      <w:start w:val="1"/>
      <w:numFmt w:val="decimal"/>
      <w:isLgl/>
      <w:lvlText w:val="%1.%2"/>
      <w:lvlJc w:val="right"/>
      <w:pPr>
        <w:tabs>
          <w:tab w:val="num" w:pos="0"/>
        </w:tabs>
        <w:ind w:left="0" w:hanging="198"/>
      </w:pPr>
      <w:rPr>
        <w:rFonts w:ascii="Arial" w:hAnsi="Arial" w:cs="Arial" w:hint="default"/>
        <w:b w:val="0"/>
        <w:i w:val="0"/>
        <w:color w:val="5B9BD5" w:themeColor="accent1"/>
        <w:sz w:val="36"/>
      </w:rPr>
    </w:lvl>
    <w:lvl w:ilvl="2">
      <w:start w:val="1"/>
      <w:numFmt w:val="decimal"/>
      <w:isLgl/>
      <w:lvlText w:val="%1.%2.%3"/>
      <w:lvlJc w:val="right"/>
      <w:pPr>
        <w:tabs>
          <w:tab w:val="num" w:pos="0"/>
        </w:tabs>
        <w:ind w:left="0" w:hanging="198"/>
      </w:pPr>
      <w:rPr>
        <w:rFonts w:ascii="Arial" w:hAnsi="Arial" w:cs="Arial" w:hint="default"/>
        <w:b w:val="0"/>
        <w:i w:val="0"/>
        <w:color w:val="5B9BD5" w:themeColor="accent1"/>
        <w:sz w:val="30"/>
      </w:rPr>
    </w:lvl>
    <w:lvl w:ilvl="3">
      <w:start w:val="1"/>
      <w:numFmt w:val="none"/>
      <w:lvlText w:val=""/>
      <w:lvlJc w:val="left"/>
      <w:pPr>
        <w:tabs>
          <w:tab w:val="num" w:pos="0"/>
        </w:tabs>
        <w:ind w:left="0" w:firstLine="0"/>
      </w:pPr>
      <w:rPr>
        <w:rFonts w:ascii="Arial" w:hAnsi="Arial" w:cs="Arial" w:hint="default"/>
        <w:b w:val="0"/>
        <w:i w:val="0"/>
        <w:color w:val="70AD4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61FE1839"/>
    <w:multiLevelType w:val="hybridMultilevel"/>
    <w:tmpl w:val="CA5A916A"/>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6" w15:restartNumberingAfterBreak="0">
    <w:nsid w:val="69C62BA4"/>
    <w:multiLevelType w:val="hybridMultilevel"/>
    <w:tmpl w:val="EF309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B2D6803"/>
    <w:multiLevelType w:val="hybridMultilevel"/>
    <w:tmpl w:val="123CD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B8B1341"/>
    <w:multiLevelType w:val="hybridMultilevel"/>
    <w:tmpl w:val="A4780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E4821C5"/>
    <w:multiLevelType w:val="multilevel"/>
    <w:tmpl w:val="836A0AFE"/>
    <w:lvl w:ilvl="0">
      <w:start w:val="1"/>
      <w:numFmt w:val="decimal"/>
      <w:lvlRestart w:val="0"/>
      <w:isLgl/>
      <w:lvlText w:val="%1"/>
      <w:lvlJc w:val="right"/>
      <w:pPr>
        <w:tabs>
          <w:tab w:val="num" w:pos="0"/>
        </w:tabs>
        <w:ind w:left="0" w:hanging="198"/>
      </w:pPr>
      <w:rPr>
        <w:rFonts w:ascii="Arial" w:hAnsi="Arial" w:cs="Arial" w:hint="default"/>
        <w:b w:val="0"/>
        <w:i w:val="0"/>
        <w:color w:val="A5A5A5" w:themeColor="accent3"/>
        <w:sz w:val="40"/>
      </w:rPr>
    </w:lvl>
    <w:lvl w:ilvl="1">
      <w:start w:val="1"/>
      <w:numFmt w:val="decimal"/>
      <w:isLgl/>
      <w:lvlText w:val="%1.%2"/>
      <w:lvlJc w:val="right"/>
      <w:pPr>
        <w:tabs>
          <w:tab w:val="num" w:pos="0"/>
        </w:tabs>
        <w:ind w:left="0" w:hanging="198"/>
      </w:pPr>
      <w:rPr>
        <w:rFonts w:ascii="Arial" w:hAnsi="Arial" w:cs="Arial" w:hint="default"/>
        <w:b w:val="0"/>
        <w:i w:val="0"/>
        <w:color w:val="A5A5A5" w:themeColor="accent3"/>
        <w:sz w:val="36"/>
      </w:rPr>
    </w:lvl>
    <w:lvl w:ilvl="2">
      <w:start w:val="1"/>
      <w:numFmt w:val="decimal"/>
      <w:isLgl/>
      <w:lvlText w:val="%1.%2.%3"/>
      <w:lvlJc w:val="right"/>
      <w:pPr>
        <w:tabs>
          <w:tab w:val="num" w:pos="0"/>
        </w:tabs>
        <w:ind w:left="0" w:hanging="198"/>
      </w:pPr>
      <w:rPr>
        <w:rFonts w:ascii="Arial" w:hAnsi="Arial" w:cs="Arial" w:hint="default"/>
        <w:b w:val="0"/>
        <w:i w:val="0"/>
        <w:color w:val="70AD47" w:themeColor="accent6"/>
        <w:sz w:val="30"/>
      </w:rPr>
    </w:lvl>
    <w:lvl w:ilvl="3">
      <w:start w:val="1"/>
      <w:numFmt w:val="decimal"/>
      <w:isLgl/>
      <w:lvlText w:val="%1.%2.%3.%4"/>
      <w:lvlJc w:val="right"/>
      <w:pPr>
        <w:tabs>
          <w:tab w:val="num" w:pos="0"/>
        </w:tabs>
        <w:ind w:left="0" w:hanging="198"/>
      </w:pPr>
      <w:rPr>
        <w:rFonts w:ascii="Arial" w:hAnsi="Arial" w:cs="Arial" w:hint="default"/>
        <w:b w:val="0"/>
        <w:i w:val="0"/>
        <w:color w:val="70AD47" w:themeColor="accent6"/>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28C309F"/>
    <w:multiLevelType w:val="hybridMultilevel"/>
    <w:tmpl w:val="E668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375D9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4344163"/>
    <w:multiLevelType w:val="hybridMultilevel"/>
    <w:tmpl w:val="7D34AF02"/>
    <w:lvl w:ilvl="0" w:tplc="040A0001">
      <w:start w:val="1"/>
      <w:numFmt w:val="bullet"/>
      <w:lvlText w:val=""/>
      <w:lvlJc w:val="left"/>
      <w:pPr>
        <w:tabs>
          <w:tab w:val="num" w:pos="1068"/>
        </w:tabs>
        <w:ind w:left="1068" w:hanging="360"/>
      </w:pPr>
      <w:rPr>
        <w:rFonts w:ascii="Symbol" w:hAnsi="Symbol" w:hint="default"/>
      </w:rPr>
    </w:lvl>
    <w:lvl w:ilvl="1" w:tplc="29D8991E">
      <w:start w:val="6148"/>
      <w:numFmt w:val="bullet"/>
      <w:lvlText w:val="–"/>
      <w:lvlJc w:val="left"/>
      <w:pPr>
        <w:tabs>
          <w:tab w:val="num" w:pos="1788"/>
        </w:tabs>
        <w:ind w:left="1788" w:hanging="360"/>
      </w:pPr>
      <w:rPr>
        <w:rFonts w:ascii="Calibri" w:hAnsi="Calibri" w:hint="default"/>
      </w:rPr>
    </w:lvl>
    <w:lvl w:ilvl="2" w:tplc="7FA6A98C" w:tentative="1">
      <w:start w:val="1"/>
      <w:numFmt w:val="bullet"/>
      <w:lvlText w:val="▪"/>
      <w:lvlJc w:val="left"/>
      <w:pPr>
        <w:tabs>
          <w:tab w:val="num" w:pos="2508"/>
        </w:tabs>
        <w:ind w:left="2508" w:hanging="360"/>
      </w:pPr>
      <w:rPr>
        <w:rFonts w:ascii="Calibri" w:hAnsi="Calibri" w:hint="default"/>
      </w:rPr>
    </w:lvl>
    <w:lvl w:ilvl="3" w:tplc="03B0D9BC" w:tentative="1">
      <w:start w:val="1"/>
      <w:numFmt w:val="bullet"/>
      <w:lvlText w:val="▪"/>
      <w:lvlJc w:val="left"/>
      <w:pPr>
        <w:tabs>
          <w:tab w:val="num" w:pos="3228"/>
        </w:tabs>
        <w:ind w:left="3228" w:hanging="360"/>
      </w:pPr>
      <w:rPr>
        <w:rFonts w:ascii="Calibri" w:hAnsi="Calibri" w:hint="default"/>
      </w:rPr>
    </w:lvl>
    <w:lvl w:ilvl="4" w:tplc="AAB675CE" w:tentative="1">
      <w:start w:val="1"/>
      <w:numFmt w:val="bullet"/>
      <w:lvlText w:val="▪"/>
      <w:lvlJc w:val="left"/>
      <w:pPr>
        <w:tabs>
          <w:tab w:val="num" w:pos="3948"/>
        </w:tabs>
        <w:ind w:left="3948" w:hanging="360"/>
      </w:pPr>
      <w:rPr>
        <w:rFonts w:ascii="Calibri" w:hAnsi="Calibri" w:hint="default"/>
      </w:rPr>
    </w:lvl>
    <w:lvl w:ilvl="5" w:tplc="E38607A8" w:tentative="1">
      <w:start w:val="1"/>
      <w:numFmt w:val="bullet"/>
      <w:lvlText w:val="▪"/>
      <w:lvlJc w:val="left"/>
      <w:pPr>
        <w:tabs>
          <w:tab w:val="num" w:pos="4668"/>
        </w:tabs>
        <w:ind w:left="4668" w:hanging="360"/>
      </w:pPr>
      <w:rPr>
        <w:rFonts w:ascii="Calibri" w:hAnsi="Calibri" w:hint="default"/>
      </w:rPr>
    </w:lvl>
    <w:lvl w:ilvl="6" w:tplc="05A6E9DC" w:tentative="1">
      <w:start w:val="1"/>
      <w:numFmt w:val="bullet"/>
      <w:lvlText w:val="▪"/>
      <w:lvlJc w:val="left"/>
      <w:pPr>
        <w:tabs>
          <w:tab w:val="num" w:pos="5388"/>
        </w:tabs>
        <w:ind w:left="5388" w:hanging="360"/>
      </w:pPr>
      <w:rPr>
        <w:rFonts w:ascii="Calibri" w:hAnsi="Calibri" w:hint="default"/>
      </w:rPr>
    </w:lvl>
    <w:lvl w:ilvl="7" w:tplc="247AA13A" w:tentative="1">
      <w:start w:val="1"/>
      <w:numFmt w:val="bullet"/>
      <w:lvlText w:val="▪"/>
      <w:lvlJc w:val="left"/>
      <w:pPr>
        <w:tabs>
          <w:tab w:val="num" w:pos="6108"/>
        </w:tabs>
        <w:ind w:left="6108" w:hanging="360"/>
      </w:pPr>
      <w:rPr>
        <w:rFonts w:ascii="Calibri" w:hAnsi="Calibri" w:hint="default"/>
      </w:rPr>
    </w:lvl>
    <w:lvl w:ilvl="8" w:tplc="95742BC8" w:tentative="1">
      <w:start w:val="1"/>
      <w:numFmt w:val="bullet"/>
      <w:lvlText w:val="▪"/>
      <w:lvlJc w:val="left"/>
      <w:pPr>
        <w:tabs>
          <w:tab w:val="num" w:pos="6828"/>
        </w:tabs>
        <w:ind w:left="6828" w:hanging="360"/>
      </w:pPr>
      <w:rPr>
        <w:rFonts w:ascii="Calibri" w:hAnsi="Calibri" w:hint="default"/>
      </w:rPr>
    </w:lvl>
  </w:abstractNum>
  <w:abstractNum w:abstractNumId="53" w15:restartNumberingAfterBreak="0">
    <w:nsid w:val="74CF00A3"/>
    <w:multiLevelType w:val="hybridMultilevel"/>
    <w:tmpl w:val="1A405AD4"/>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54" w15:restartNumberingAfterBreak="0">
    <w:nsid w:val="790F7A72"/>
    <w:multiLevelType w:val="hybridMultilevel"/>
    <w:tmpl w:val="3924666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736D7E"/>
    <w:multiLevelType w:val="multilevel"/>
    <w:tmpl w:val="8AE871F2"/>
    <w:name w:val="SecHeadList6"/>
    <w:lvl w:ilvl="0">
      <w:start w:val="1"/>
      <w:numFmt w:val="decimal"/>
      <w:lvlRestart w:val="0"/>
      <w:isLgl/>
      <w:lvlText w:val="%1"/>
      <w:lvlJc w:val="right"/>
      <w:pPr>
        <w:tabs>
          <w:tab w:val="num" w:pos="0"/>
        </w:tabs>
        <w:ind w:left="0" w:hanging="198"/>
      </w:pPr>
      <w:rPr>
        <w:rFonts w:ascii="Arial" w:hAnsi="Arial" w:cs="Arial" w:hint="default"/>
        <w:b w:val="0"/>
        <w:i w:val="0"/>
        <w:color w:val="5B9BD5" w:themeColor="accent1"/>
        <w:sz w:val="40"/>
      </w:rPr>
    </w:lvl>
    <w:lvl w:ilvl="1">
      <w:start w:val="1"/>
      <w:numFmt w:val="decimal"/>
      <w:isLgl/>
      <w:lvlText w:val="%1.%2"/>
      <w:lvlJc w:val="right"/>
      <w:pPr>
        <w:tabs>
          <w:tab w:val="num" w:pos="0"/>
        </w:tabs>
        <w:ind w:left="0" w:hanging="198"/>
      </w:pPr>
      <w:rPr>
        <w:rFonts w:ascii="Arial" w:hAnsi="Arial" w:cs="Arial" w:hint="default"/>
        <w:b w:val="0"/>
        <w:i w:val="0"/>
        <w:color w:val="5B9BD5" w:themeColor="accent1"/>
        <w:sz w:val="36"/>
      </w:rPr>
    </w:lvl>
    <w:lvl w:ilvl="2">
      <w:start w:val="1"/>
      <w:numFmt w:val="decimal"/>
      <w:isLgl/>
      <w:lvlText w:val="%1.%2.%3"/>
      <w:lvlJc w:val="right"/>
      <w:pPr>
        <w:tabs>
          <w:tab w:val="num" w:pos="0"/>
        </w:tabs>
        <w:ind w:left="0" w:hanging="198"/>
      </w:pPr>
      <w:rPr>
        <w:rFonts w:ascii="Arial" w:hAnsi="Arial" w:cs="Arial" w:hint="default"/>
        <w:b w:val="0"/>
        <w:i w:val="0"/>
        <w:color w:val="5B9BD5" w:themeColor="accent1"/>
        <w:sz w:val="30"/>
      </w:rPr>
    </w:lvl>
    <w:lvl w:ilvl="3">
      <w:start w:val="1"/>
      <w:numFmt w:val="none"/>
      <w:lvlText w:val=""/>
      <w:lvlJc w:val="left"/>
      <w:pPr>
        <w:tabs>
          <w:tab w:val="num" w:pos="0"/>
        </w:tabs>
        <w:ind w:left="0" w:firstLine="0"/>
      </w:pPr>
      <w:rPr>
        <w:rFonts w:ascii="Arial" w:hAnsi="Arial" w:cs="Arial" w:hint="default"/>
        <w:b w:val="0"/>
        <w:i w:val="0"/>
        <w:color w:val="70AD4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C4F487A"/>
    <w:multiLevelType w:val="multilevel"/>
    <w:tmpl w:val="BF525B50"/>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color w:val="auto"/>
      </w:rPr>
    </w:lvl>
    <w:lvl w:ilvl="2">
      <w:start w:val="1"/>
      <w:numFmt w:val="bullet"/>
      <w:lvlText w:val="–"/>
      <w:lvlJc w:val="left"/>
      <w:pPr>
        <w:tabs>
          <w:tab w:val="num" w:pos="1021"/>
        </w:tabs>
        <w:ind w:left="1021" w:hanging="341"/>
      </w:pPr>
      <w:rPr>
        <w:rFonts w:ascii="(none)" w:hAnsi="(none)"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57" w15:restartNumberingAfterBreak="0">
    <w:nsid w:val="7E8B6E3F"/>
    <w:multiLevelType w:val="hybridMultilevel"/>
    <w:tmpl w:val="7E8A0C90"/>
    <w:lvl w:ilvl="0" w:tplc="3D54400E">
      <w:start w:val="1"/>
      <w:numFmt w:val="bullet"/>
      <w:lvlText w:val=""/>
      <w:lvlJc w:val="left"/>
      <w:pPr>
        <w:tabs>
          <w:tab w:val="num" w:pos="720"/>
        </w:tabs>
        <w:ind w:left="720" w:hanging="360"/>
      </w:pPr>
      <w:rPr>
        <w:rFonts w:ascii="Wingdings" w:hAnsi="Wingdings" w:hint="default"/>
      </w:rPr>
    </w:lvl>
    <w:lvl w:ilvl="1" w:tplc="B32AFCF8">
      <w:start w:val="1"/>
      <w:numFmt w:val="bullet"/>
      <w:lvlText w:val=""/>
      <w:lvlJc w:val="left"/>
      <w:pPr>
        <w:tabs>
          <w:tab w:val="num" w:pos="1440"/>
        </w:tabs>
        <w:ind w:left="1440" w:hanging="360"/>
      </w:pPr>
      <w:rPr>
        <w:rFonts w:ascii="Wingdings" w:hAnsi="Wingdings" w:hint="default"/>
      </w:rPr>
    </w:lvl>
    <w:lvl w:ilvl="2" w:tplc="581218A6">
      <w:numFmt w:val="bullet"/>
      <w:lvlText w:val=""/>
      <w:lvlJc w:val="left"/>
      <w:pPr>
        <w:tabs>
          <w:tab w:val="num" w:pos="2160"/>
        </w:tabs>
        <w:ind w:left="2160" w:hanging="360"/>
      </w:pPr>
      <w:rPr>
        <w:rFonts w:ascii="Wingdings" w:hAnsi="Wingdings" w:hint="default"/>
      </w:rPr>
    </w:lvl>
    <w:lvl w:ilvl="3" w:tplc="DC900D68" w:tentative="1">
      <w:start w:val="1"/>
      <w:numFmt w:val="bullet"/>
      <w:lvlText w:val=""/>
      <w:lvlJc w:val="left"/>
      <w:pPr>
        <w:tabs>
          <w:tab w:val="num" w:pos="2880"/>
        </w:tabs>
        <w:ind w:left="2880" w:hanging="360"/>
      </w:pPr>
      <w:rPr>
        <w:rFonts w:ascii="Wingdings" w:hAnsi="Wingdings" w:hint="default"/>
      </w:rPr>
    </w:lvl>
    <w:lvl w:ilvl="4" w:tplc="9A289414" w:tentative="1">
      <w:start w:val="1"/>
      <w:numFmt w:val="bullet"/>
      <w:lvlText w:val=""/>
      <w:lvlJc w:val="left"/>
      <w:pPr>
        <w:tabs>
          <w:tab w:val="num" w:pos="3600"/>
        </w:tabs>
        <w:ind w:left="3600" w:hanging="360"/>
      </w:pPr>
      <w:rPr>
        <w:rFonts w:ascii="Wingdings" w:hAnsi="Wingdings" w:hint="default"/>
      </w:rPr>
    </w:lvl>
    <w:lvl w:ilvl="5" w:tplc="4746B95C" w:tentative="1">
      <w:start w:val="1"/>
      <w:numFmt w:val="bullet"/>
      <w:lvlText w:val=""/>
      <w:lvlJc w:val="left"/>
      <w:pPr>
        <w:tabs>
          <w:tab w:val="num" w:pos="4320"/>
        </w:tabs>
        <w:ind w:left="4320" w:hanging="360"/>
      </w:pPr>
      <w:rPr>
        <w:rFonts w:ascii="Wingdings" w:hAnsi="Wingdings" w:hint="default"/>
      </w:rPr>
    </w:lvl>
    <w:lvl w:ilvl="6" w:tplc="8DD47F9C" w:tentative="1">
      <w:start w:val="1"/>
      <w:numFmt w:val="bullet"/>
      <w:lvlText w:val=""/>
      <w:lvlJc w:val="left"/>
      <w:pPr>
        <w:tabs>
          <w:tab w:val="num" w:pos="5040"/>
        </w:tabs>
        <w:ind w:left="5040" w:hanging="360"/>
      </w:pPr>
      <w:rPr>
        <w:rFonts w:ascii="Wingdings" w:hAnsi="Wingdings" w:hint="default"/>
      </w:rPr>
    </w:lvl>
    <w:lvl w:ilvl="7" w:tplc="1E6EDF76" w:tentative="1">
      <w:start w:val="1"/>
      <w:numFmt w:val="bullet"/>
      <w:lvlText w:val=""/>
      <w:lvlJc w:val="left"/>
      <w:pPr>
        <w:tabs>
          <w:tab w:val="num" w:pos="5760"/>
        </w:tabs>
        <w:ind w:left="5760" w:hanging="360"/>
      </w:pPr>
      <w:rPr>
        <w:rFonts w:ascii="Wingdings" w:hAnsi="Wingdings" w:hint="default"/>
      </w:rPr>
    </w:lvl>
    <w:lvl w:ilvl="8" w:tplc="4A646CD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EBB1D8E"/>
    <w:multiLevelType w:val="hybridMultilevel"/>
    <w:tmpl w:val="3522D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EFD1347"/>
    <w:multiLevelType w:val="hybridMultilevel"/>
    <w:tmpl w:val="87680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F412206"/>
    <w:multiLevelType w:val="multilevel"/>
    <w:tmpl w:val="402C6536"/>
    <w:name w:val="ParaNumBulletList3"/>
    <w:lvl w:ilvl="0">
      <w:start w:val="1"/>
      <w:numFmt w:val="decimal"/>
      <w:pStyle w:val="ParaNumBullet1"/>
      <w:lvlText w:val="%1."/>
      <w:lvlJc w:val="left"/>
      <w:pPr>
        <w:tabs>
          <w:tab w:val="num" w:pos="340"/>
        </w:tabs>
        <w:ind w:left="340" w:hanging="340"/>
      </w:pPr>
      <w:rPr>
        <w:rFonts w:hint="default"/>
        <w:color w:val="000000" w:themeColor="text1"/>
      </w:rPr>
    </w:lvl>
    <w:lvl w:ilvl="1">
      <w:start w:val="1"/>
      <w:numFmt w:val="lowerLetter"/>
      <w:pStyle w:val="ParaNumBullet2"/>
      <w:lvlText w:val="%2."/>
      <w:lvlJc w:val="left"/>
      <w:pPr>
        <w:tabs>
          <w:tab w:val="num" w:pos="680"/>
        </w:tabs>
        <w:ind w:left="680" w:hanging="340"/>
      </w:pPr>
      <w:rPr>
        <w:rFonts w:hint="default"/>
        <w:color w:val="000000" w:themeColor="text1"/>
      </w:rPr>
    </w:lvl>
    <w:lvl w:ilvl="2">
      <w:start w:val="1"/>
      <w:numFmt w:val="lowerRoman"/>
      <w:pStyle w:val="ParaNumBullet3"/>
      <w:lvlText w:val="%3."/>
      <w:lvlJc w:val="left"/>
      <w:pPr>
        <w:tabs>
          <w:tab w:val="num" w:pos="1021"/>
        </w:tabs>
        <w:ind w:left="1021" w:hanging="341"/>
      </w:pPr>
      <w:rPr>
        <w:rFonts w:hint="default"/>
        <w:color w:val="000000" w:themeColor="tex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26"/>
  </w:num>
  <w:num w:numId="9">
    <w:abstractNumId w:val="31"/>
  </w:num>
  <w:num w:numId="10">
    <w:abstractNumId w:val="38"/>
  </w:num>
  <w:num w:numId="11">
    <w:abstractNumId w:val="60"/>
  </w:num>
  <w:num w:numId="12">
    <w:abstractNumId w:val="34"/>
  </w:num>
  <w:num w:numId="13">
    <w:abstractNumId w:val="5"/>
  </w:num>
  <w:num w:numId="14">
    <w:abstractNumId w:val="24"/>
  </w:num>
  <w:num w:numId="15">
    <w:abstractNumId w:val="31"/>
    <w:lvlOverride w:ilvl="0">
      <w:startOverride w:val="1"/>
      <w:lvl w:ilvl="0">
        <w:start w:val="1"/>
        <w:numFmt w:val="decimal"/>
        <w:pStyle w:val="ListNumBullet1"/>
        <w:lvlText w:val="%1."/>
        <w:lvlJc w:val="left"/>
        <w:pPr>
          <w:tabs>
            <w:tab w:val="num" w:pos="567"/>
          </w:tabs>
          <w:ind w:left="567" w:hanging="340"/>
        </w:pPr>
        <w:rPr>
          <w:rFonts w:hint="default"/>
          <w:color w:val="000000" w:themeColor="text1"/>
        </w:rPr>
      </w:lvl>
    </w:lvlOverride>
    <w:lvlOverride w:ilvl="1">
      <w:startOverride w:val="1"/>
      <w:lvl w:ilvl="1">
        <w:start w:val="1"/>
        <w:numFmt w:val="lowerLetter"/>
        <w:lvlText w:val="%2."/>
        <w:lvlJc w:val="left"/>
        <w:pPr>
          <w:tabs>
            <w:tab w:val="num" w:pos="907"/>
          </w:tabs>
          <w:ind w:left="907" w:hanging="340"/>
        </w:pPr>
        <w:rPr>
          <w:rFonts w:hint="default"/>
          <w:color w:val="000000" w:themeColor="text1"/>
        </w:rPr>
      </w:lvl>
    </w:lvlOverride>
    <w:lvlOverride w:ilvl="2">
      <w:startOverride w:val="1"/>
      <w:lvl w:ilvl="2">
        <w:start w:val="1"/>
        <w:numFmt w:val="lowerRoman"/>
        <w:lvlText w:val="%3."/>
        <w:lvlJc w:val="left"/>
        <w:pPr>
          <w:tabs>
            <w:tab w:val="num" w:pos="1248"/>
          </w:tabs>
          <w:ind w:left="1248" w:hanging="341"/>
        </w:pPr>
        <w:rPr>
          <w:rFonts w:hint="default"/>
          <w:color w:val="000000" w:themeColor="text1"/>
        </w:rPr>
      </w:lvl>
    </w:lvlOverride>
    <w:lvlOverride w:ilvl="3">
      <w:startOverride w:val="1"/>
      <w:lvl w:ilvl="3">
        <w:start w:val="1"/>
        <w:numFmt w:val="none"/>
        <w:lvlText w:val=""/>
        <w:lvlJc w:val="left"/>
        <w:pPr>
          <w:ind w:left="227" w:firstLine="0"/>
        </w:pPr>
        <w:rPr>
          <w:rFonts w:hint="default"/>
        </w:rPr>
      </w:lvl>
    </w:lvlOverride>
    <w:lvlOverride w:ilvl="4">
      <w:startOverride w:val="1"/>
      <w:lvl w:ilvl="4">
        <w:start w:val="1"/>
        <w:numFmt w:val="none"/>
        <w:lvlText w:val=""/>
        <w:lvlJc w:val="left"/>
        <w:pPr>
          <w:ind w:left="227" w:firstLine="0"/>
        </w:pPr>
        <w:rPr>
          <w:rFonts w:hint="default"/>
        </w:rPr>
      </w:lvl>
    </w:lvlOverride>
    <w:lvlOverride w:ilvl="5">
      <w:startOverride w:val="1"/>
      <w:lvl w:ilvl="5">
        <w:start w:val="1"/>
        <w:numFmt w:val="none"/>
        <w:lvlText w:val=""/>
        <w:lvlJc w:val="left"/>
        <w:pPr>
          <w:ind w:left="227" w:firstLine="0"/>
        </w:pPr>
        <w:rPr>
          <w:rFonts w:hint="default"/>
        </w:rPr>
      </w:lvl>
    </w:lvlOverride>
    <w:lvlOverride w:ilvl="6">
      <w:startOverride w:val="1"/>
      <w:lvl w:ilvl="6">
        <w:start w:val="1"/>
        <w:numFmt w:val="none"/>
        <w:lvlText w:val=""/>
        <w:lvlJc w:val="left"/>
        <w:pPr>
          <w:ind w:left="227" w:firstLine="0"/>
        </w:pPr>
        <w:rPr>
          <w:rFonts w:hint="default"/>
        </w:rPr>
      </w:lvl>
    </w:lvlOverride>
    <w:lvlOverride w:ilvl="7">
      <w:startOverride w:val="1"/>
      <w:lvl w:ilvl="7">
        <w:start w:val="1"/>
        <w:numFmt w:val="none"/>
        <w:lvlText w:val=""/>
        <w:lvlJc w:val="left"/>
        <w:pPr>
          <w:ind w:left="227" w:firstLine="0"/>
        </w:pPr>
        <w:rPr>
          <w:rFonts w:hint="default"/>
        </w:rPr>
      </w:lvl>
    </w:lvlOverride>
    <w:lvlOverride w:ilvl="8">
      <w:startOverride w:val="1"/>
      <w:lvl w:ilvl="8">
        <w:start w:val="1"/>
        <w:numFmt w:val="none"/>
        <w:lvlText w:val=""/>
        <w:lvlJc w:val="left"/>
        <w:pPr>
          <w:ind w:left="227" w:firstLine="0"/>
        </w:pPr>
        <w:rPr>
          <w:rFonts w:hint="default"/>
        </w:rPr>
      </w:lvl>
    </w:lvlOverride>
  </w:num>
  <w:num w:numId="16">
    <w:abstractNumId w:val="2"/>
  </w:num>
  <w:num w:numId="17">
    <w:abstractNumId w:val="54"/>
  </w:num>
  <w:num w:numId="18">
    <w:abstractNumId w:val="59"/>
  </w:num>
  <w:num w:numId="19">
    <w:abstractNumId w:val="21"/>
  </w:num>
  <w:num w:numId="20">
    <w:abstractNumId w:val="41"/>
  </w:num>
  <w:num w:numId="21">
    <w:abstractNumId w:val="28"/>
  </w:num>
  <w:num w:numId="22">
    <w:abstractNumId w:val="17"/>
  </w:num>
  <w:num w:numId="23">
    <w:abstractNumId w:val="57"/>
  </w:num>
  <w:num w:numId="24">
    <w:abstractNumId w:val="32"/>
  </w:num>
  <w:num w:numId="25">
    <w:abstractNumId w:val="39"/>
  </w:num>
  <w:num w:numId="26">
    <w:abstractNumId w:val="53"/>
  </w:num>
  <w:num w:numId="27">
    <w:abstractNumId w:val="43"/>
  </w:num>
  <w:num w:numId="28">
    <w:abstractNumId w:val="23"/>
  </w:num>
  <w:num w:numId="29">
    <w:abstractNumId w:val="25"/>
  </w:num>
  <w:num w:numId="30">
    <w:abstractNumId w:val="9"/>
  </w:num>
  <w:num w:numId="31">
    <w:abstractNumId w:val="16"/>
  </w:num>
  <w:num w:numId="32">
    <w:abstractNumId w:val="58"/>
  </w:num>
  <w:num w:numId="33">
    <w:abstractNumId w:val="11"/>
  </w:num>
  <w:num w:numId="34">
    <w:abstractNumId w:val="12"/>
  </w:num>
  <w:num w:numId="35">
    <w:abstractNumId w:val="40"/>
  </w:num>
  <w:num w:numId="36">
    <w:abstractNumId w:val="4"/>
  </w:num>
  <w:num w:numId="37">
    <w:abstractNumId w:val="33"/>
  </w:num>
  <w:num w:numId="38">
    <w:abstractNumId w:val="30"/>
  </w:num>
  <w:num w:numId="39">
    <w:abstractNumId w:val="18"/>
  </w:num>
  <w:num w:numId="40">
    <w:abstractNumId w:val="46"/>
  </w:num>
  <w:num w:numId="41">
    <w:abstractNumId w:val="48"/>
  </w:num>
  <w:num w:numId="42">
    <w:abstractNumId w:val="38"/>
  </w:num>
  <w:num w:numId="43">
    <w:abstractNumId w:val="10"/>
  </w:num>
  <w:num w:numId="44">
    <w:abstractNumId w:val="0"/>
  </w:num>
  <w:num w:numId="45">
    <w:abstractNumId w:val="10"/>
  </w:num>
  <w:num w:numId="46">
    <w:abstractNumId w:val="10"/>
  </w:num>
  <w:num w:numId="47">
    <w:abstractNumId w:val="10"/>
  </w:num>
  <w:num w:numId="48">
    <w:abstractNumId w:val="10"/>
  </w:num>
  <w:num w:numId="49">
    <w:abstractNumId w:val="10"/>
  </w:num>
  <w:num w:numId="50">
    <w:abstractNumId w:val="10"/>
  </w:num>
  <w:num w:numId="51">
    <w:abstractNumId w:val="10"/>
  </w:num>
  <w:num w:numId="52">
    <w:abstractNumId w:val="10"/>
  </w:num>
  <w:num w:numId="53">
    <w:abstractNumId w:val="7"/>
  </w:num>
  <w:num w:numId="54">
    <w:abstractNumId w:val="10"/>
  </w:num>
  <w:num w:numId="55">
    <w:abstractNumId w:val="10"/>
  </w:num>
  <w:num w:numId="56">
    <w:abstractNumId w:val="10"/>
  </w:num>
  <w:num w:numId="57">
    <w:abstractNumId w:val="10"/>
  </w:num>
  <w:num w:numId="58">
    <w:abstractNumId w:val="10"/>
  </w:num>
  <w:num w:numId="59">
    <w:abstractNumId w:val="10"/>
  </w:num>
  <w:num w:numId="60">
    <w:abstractNumId w:val="10"/>
  </w:num>
  <w:num w:numId="61">
    <w:abstractNumId w:val="10"/>
  </w:num>
  <w:num w:numId="62">
    <w:abstractNumId w:val="10"/>
  </w:num>
  <w:num w:numId="63">
    <w:abstractNumId w:val="52"/>
  </w:num>
  <w:num w:numId="64">
    <w:abstractNumId w:val="6"/>
  </w:num>
  <w:num w:numId="65">
    <w:abstractNumId w:val="1"/>
  </w:num>
  <w:num w:numId="66">
    <w:abstractNumId w:val="20"/>
  </w:num>
  <w:num w:numId="67">
    <w:abstractNumId w:val="13"/>
  </w:num>
  <w:num w:numId="68">
    <w:abstractNumId w:val="45"/>
  </w:num>
  <w:num w:numId="69">
    <w:abstractNumId w:val="27"/>
  </w:num>
  <w:num w:numId="70">
    <w:abstractNumId w:val="50"/>
  </w:num>
  <w:num w:numId="71">
    <w:abstractNumId w:val="29"/>
  </w:num>
  <w:num w:numId="72">
    <w:abstractNumId w:val="22"/>
  </w:num>
  <w:num w:numId="73">
    <w:abstractNumId w:val="44"/>
  </w:num>
  <w:num w:numId="74">
    <w:abstractNumId w:val="49"/>
  </w:num>
  <w:num w:numId="75">
    <w:abstractNumId w:val="55"/>
  </w:num>
  <w:num w:numId="76">
    <w:abstractNumId w:val="19"/>
  </w:num>
  <w:num w:numId="7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num>
  <w:num w:numId="79">
    <w:abstractNumId w:val="10"/>
  </w:num>
  <w:num w:numId="80">
    <w:abstractNumId w:val="10"/>
  </w:num>
  <w:num w:numId="81">
    <w:abstractNumId w:val="10"/>
  </w:num>
  <w:num w:numId="82">
    <w:abstractNumId w:val="10"/>
  </w:num>
  <w:num w:numId="83">
    <w:abstractNumId w:val="47"/>
  </w:num>
  <w:num w:numId="84">
    <w:abstractNumId w:val="15"/>
  </w:num>
  <w:num w:numId="85">
    <w:abstractNumId w:val="36"/>
  </w:num>
  <w:num w:numId="86">
    <w:abstractNumId w:val="3"/>
  </w:num>
  <w:num w:numId="87">
    <w:abstractNumId w:val="34"/>
  </w:num>
  <w:num w:numId="88">
    <w:abstractNumId w:val="34"/>
  </w:num>
  <w:num w:numId="89">
    <w:abstractNumId w:val="34"/>
  </w:num>
  <w:num w:numId="90">
    <w:abstractNumId w:val="56"/>
  </w:num>
  <w:num w:numId="91">
    <w:abstractNumId w:val="25"/>
    <w:lvlOverride w:ilvl="0">
      <w:startOverride w:val="1"/>
    </w:lvlOverride>
  </w:num>
  <w:num w:numId="92">
    <w:abstractNumId w:val="42"/>
  </w:num>
  <w:num w:numId="93">
    <w:abstractNumId w:val="51"/>
  </w:num>
  <w:num w:numId="94">
    <w:abstractNumId w:val="35"/>
  </w:num>
  <w:num w:numId="95">
    <w:abstractNumId w:val="8"/>
  </w:num>
  <w:num w:numId="96">
    <w:abstractNumId w:val="37"/>
  </w:num>
  <w:num w:numId="97">
    <w:abstractNumId w:val="1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4B"/>
    <w:rsid w:val="0000380D"/>
    <w:rsid w:val="00014FC8"/>
    <w:rsid w:val="000172E0"/>
    <w:rsid w:val="00020D63"/>
    <w:rsid w:val="0002147B"/>
    <w:rsid w:val="000277C4"/>
    <w:rsid w:val="000315CD"/>
    <w:rsid w:val="00031C8C"/>
    <w:rsid w:val="000347F9"/>
    <w:rsid w:val="00037AF7"/>
    <w:rsid w:val="00045ADE"/>
    <w:rsid w:val="0004786F"/>
    <w:rsid w:val="0005508D"/>
    <w:rsid w:val="00056D25"/>
    <w:rsid w:val="00057942"/>
    <w:rsid w:val="00065D15"/>
    <w:rsid w:val="00066255"/>
    <w:rsid w:val="00066D0E"/>
    <w:rsid w:val="0007326D"/>
    <w:rsid w:val="0007350D"/>
    <w:rsid w:val="00074B4B"/>
    <w:rsid w:val="0007562B"/>
    <w:rsid w:val="000875D6"/>
    <w:rsid w:val="00090231"/>
    <w:rsid w:val="000907A2"/>
    <w:rsid w:val="00092E59"/>
    <w:rsid w:val="00096711"/>
    <w:rsid w:val="00097151"/>
    <w:rsid w:val="00097493"/>
    <w:rsid w:val="000A0A7C"/>
    <w:rsid w:val="000A28D1"/>
    <w:rsid w:val="000A3F24"/>
    <w:rsid w:val="000A414F"/>
    <w:rsid w:val="000B03C1"/>
    <w:rsid w:val="000B132A"/>
    <w:rsid w:val="000B224C"/>
    <w:rsid w:val="000B6B3A"/>
    <w:rsid w:val="000C0EAA"/>
    <w:rsid w:val="000C1020"/>
    <w:rsid w:val="000C317B"/>
    <w:rsid w:val="000C4572"/>
    <w:rsid w:val="000C5980"/>
    <w:rsid w:val="000C6BEE"/>
    <w:rsid w:val="000D159A"/>
    <w:rsid w:val="000D318F"/>
    <w:rsid w:val="000D39C1"/>
    <w:rsid w:val="000E11C9"/>
    <w:rsid w:val="000E16F7"/>
    <w:rsid w:val="000E1D13"/>
    <w:rsid w:val="000E5E59"/>
    <w:rsid w:val="000F0D09"/>
    <w:rsid w:val="000F2FE4"/>
    <w:rsid w:val="000F4B0C"/>
    <w:rsid w:val="00103C28"/>
    <w:rsid w:val="001049D7"/>
    <w:rsid w:val="001065F8"/>
    <w:rsid w:val="00106D8D"/>
    <w:rsid w:val="001137F0"/>
    <w:rsid w:val="001171C6"/>
    <w:rsid w:val="00120460"/>
    <w:rsid w:val="001249F8"/>
    <w:rsid w:val="00124CC8"/>
    <w:rsid w:val="001261A6"/>
    <w:rsid w:val="0012680F"/>
    <w:rsid w:val="001325A0"/>
    <w:rsid w:val="00132612"/>
    <w:rsid w:val="00133A00"/>
    <w:rsid w:val="00141374"/>
    <w:rsid w:val="00144558"/>
    <w:rsid w:val="0014465B"/>
    <w:rsid w:val="00146250"/>
    <w:rsid w:val="00146F9E"/>
    <w:rsid w:val="00150331"/>
    <w:rsid w:val="00150C4C"/>
    <w:rsid w:val="00151872"/>
    <w:rsid w:val="0015359E"/>
    <w:rsid w:val="00153628"/>
    <w:rsid w:val="001561AF"/>
    <w:rsid w:val="00156F4F"/>
    <w:rsid w:val="00157EB8"/>
    <w:rsid w:val="00160BFE"/>
    <w:rsid w:val="001618A1"/>
    <w:rsid w:val="001620B6"/>
    <w:rsid w:val="001639A0"/>
    <w:rsid w:val="00163A81"/>
    <w:rsid w:val="00167ACD"/>
    <w:rsid w:val="001707D0"/>
    <w:rsid w:val="001709C7"/>
    <w:rsid w:val="0017108E"/>
    <w:rsid w:val="00174686"/>
    <w:rsid w:val="00174C0B"/>
    <w:rsid w:val="00174EEB"/>
    <w:rsid w:val="00175334"/>
    <w:rsid w:val="001805C1"/>
    <w:rsid w:val="001813B7"/>
    <w:rsid w:val="001825F9"/>
    <w:rsid w:val="00182BB4"/>
    <w:rsid w:val="00184CFE"/>
    <w:rsid w:val="00185DAB"/>
    <w:rsid w:val="00194F37"/>
    <w:rsid w:val="001958D5"/>
    <w:rsid w:val="00195F81"/>
    <w:rsid w:val="001A0C5E"/>
    <w:rsid w:val="001A11B4"/>
    <w:rsid w:val="001A24EA"/>
    <w:rsid w:val="001A262F"/>
    <w:rsid w:val="001A5069"/>
    <w:rsid w:val="001A705D"/>
    <w:rsid w:val="001B124B"/>
    <w:rsid w:val="001B2427"/>
    <w:rsid w:val="001B639D"/>
    <w:rsid w:val="001B63A3"/>
    <w:rsid w:val="001C0B3F"/>
    <w:rsid w:val="001C0B5C"/>
    <w:rsid w:val="001C34FB"/>
    <w:rsid w:val="001D2A5D"/>
    <w:rsid w:val="001D32E0"/>
    <w:rsid w:val="001E3A20"/>
    <w:rsid w:val="001E469F"/>
    <w:rsid w:val="001E5AE9"/>
    <w:rsid w:val="001E65BF"/>
    <w:rsid w:val="001F4833"/>
    <w:rsid w:val="001F5E09"/>
    <w:rsid w:val="001F78CA"/>
    <w:rsid w:val="00200ADB"/>
    <w:rsid w:val="00205DE0"/>
    <w:rsid w:val="00210947"/>
    <w:rsid w:val="002201B0"/>
    <w:rsid w:val="00220D36"/>
    <w:rsid w:val="002211BE"/>
    <w:rsid w:val="002231AC"/>
    <w:rsid w:val="0022346E"/>
    <w:rsid w:val="002242E5"/>
    <w:rsid w:val="002303B3"/>
    <w:rsid w:val="00230C5F"/>
    <w:rsid w:val="0023750A"/>
    <w:rsid w:val="00237D5C"/>
    <w:rsid w:val="00243F17"/>
    <w:rsid w:val="00244072"/>
    <w:rsid w:val="00247C32"/>
    <w:rsid w:val="00247D49"/>
    <w:rsid w:val="00251D54"/>
    <w:rsid w:val="00255477"/>
    <w:rsid w:val="00265170"/>
    <w:rsid w:val="002668A5"/>
    <w:rsid w:val="00271296"/>
    <w:rsid w:val="00273231"/>
    <w:rsid w:val="002741CD"/>
    <w:rsid w:val="00274DE4"/>
    <w:rsid w:val="002820EB"/>
    <w:rsid w:val="002855E0"/>
    <w:rsid w:val="00285B9D"/>
    <w:rsid w:val="0028665B"/>
    <w:rsid w:val="00287679"/>
    <w:rsid w:val="0029332D"/>
    <w:rsid w:val="00294E7B"/>
    <w:rsid w:val="002A0994"/>
    <w:rsid w:val="002B03A9"/>
    <w:rsid w:val="002B3474"/>
    <w:rsid w:val="002B3F6C"/>
    <w:rsid w:val="002B6DFC"/>
    <w:rsid w:val="002B7DC3"/>
    <w:rsid w:val="002C0CC3"/>
    <w:rsid w:val="002C35BD"/>
    <w:rsid w:val="002C51BA"/>
    <w:rsid w:val="002C6E7D"/>
    <w:rsid w:val="002D16E1"/>
    <w:rsid w:val="002D1D2C"/>
    <w:rsid w:val="002D3516"/>
    <w:rsid w:val="002D40AD"/>
    <w:rsid w:val="002D79A8"/>
    <w:rsid w:val="002E07C6"/>
    <w:rsid w:val="002E27AA"/>
    <w:rsid w:val="002E6338"/>
    <w:rsid w:val="002E6740"/>
    <w:rsid w:val="002F2FD6"/>
    <w:rsid w:val="002F56EA"/>
    <w:rsid w:val="002F7284"/>
    <w:rsid w:val="00304293"/>
    <w:rsid w:val="003140D6"/>
    <w:rsid w:val="00314CF0"/>
    <w:rsid w:val="00321200"/>
    <w:rsid w:val="003216F2"/>
    <w:rsid w:val="00325AA2"/>
    <w:rsid w:val="003423BC"/>
    <w:rsid w:val="00342E69"/>
    <w:rsid w:val="00343362"/>
    <w:rsid w:val="003434E4"/>
    <w:rsid w:val="00353767"/>
    <w:rsid w:val="003555C6"/>
    <w:rsid w:val="00355F33"/>
    <w:rsid w:val="0035644E"/>
    <w:rsid w:val="00360644"/>
    <w:rsid w:val="00362060"/>
    <w:rsid w:val="003621BD"/>
    <w:rsid w:val="0037715D"/>
    <w:rsid w:val="00380D70"/>
    <w:rsid w:val="00384EA2"/>
    <w:rsid w:val="00384FC8"/>
    <w:rsid w:val="00387450"/>
    <w:rsid w:val="003915B2"/>
    <w:rsid w:val="00393146"/>
    <w:rsid w:val="003A33A0"/>
    <w:rsid w:val="003A4731"/>
    <w:rsid w:val="003B027F"/>
    <w:rsid w:val="003B09C1"/>
    <w:rsid w:val="003B1336"/>
    <w:rsid w:val="003B1FAA"/>
    <w:rsid w:val="003B3D59"/>
    <w:rsid w:val="003B4E72"/>
    <w:rsid w:val="003C4647"/>
    <w:rsid w:val="003C5C69"/>
    <w:rsid w:val="003D19D2"/>
    <w:rsid w:val="003D4A57"/>
    <w:rsid w:val="003D541A"/>
    <w:rsid w:val="003E2070"/>
    <w:rsid w:val="003E2122"/>
    <w:rsid w:val="003E218A"/>
    <w:rsid w:val="003E678C"/>
    <w:rsid w:val="003F290C"/>
    <w:rsid w:val="003F4277"/>
    <w:rsid w:val="003F46DA"/>
    <w:rsid w:val="004054C7"/>
    <w:rsid w:val="00410262"/>
    <w:rsid w:val="004117AB"/>
    <w:rsid w:val="0041214B"/>
    <w:rsid w:val="00413EE4"/>
    <w:rsid w:val="00415508"/>
    <w:rsid w:val="00420EBB"/>
    <w:rsid w:val="00423CDA"/>
    <w:rsid w:val="0042586E"/>
    <w:rsid w:val="004330B1"/>
    <w:rsid w:val="004377D2"/>
    <w:rsid w:val="004415B4"/>
    <w:rsid w:val="0044229F"/>
    <w:rsid w:val="004423CE"/>
    <w:rsid w:val="004465EC"/>
    <w:rsid w:val="00446B68"/>
    <w:rsid w:val="0044764B"/>
    <w:rsid w:val="00450F0B"/>
    <w:rsid w:val="00451849"/>
    <w:rsid w:val="00454BA0"/>
    <w:rsid w:val="00456490"/>
    <w:rsid w:val="004576B0"/>
    <w:rsid w:val="00457C7D"/>
    <w:rsid w:val="00461535"/>
    <w:rsid w:val="0046286A"/>
    <w:rsid w:val="00463D71"/>
    <w:rsid w:val="004737B4"/>
    <w:rsid w:val="00475EA7"/>
    <w:rsid w:val="004819B8"/>
    <w:rsid w:val="00485626"/>
    <w:rsid w:val="00487998"/>
    <w:rsid w:val="00491390"/>
    <w:rsid w:val="004915C8"/>
    <w:rsid w:val="00494B8D"/>
    <w:rsid w:val="00495D86"/>
    <w:rsid w:val="004A0E59"/>
    <w:rsid w:val="004A1D0C"/>
    <w:rsid w:val="004A1F21"/>
    <w:rsid w:val="004A28E7"/>
    <w:rsid w:val="004A2AF2"/>
    <w:rsid w:val="004A2F9F"/>
    <w:rsid w:val="004B077D"/>
    <w:rsid w:val="004B0D78"/>
    <w:rsid w:val="004B2073"/>
    <w:rsid w:val="004B3451"/>
    <w:rsid w:val="004B3B43"/>
    <w:rsid w:val="004B4990"/>
    <w:rsid w:val="004B4E2D"/>
    <w:rsid w:val="004B5C55"/>
    <w:rsid w:val="004B5DED"/>
    <w:rsid w:val="004C2152"/>
    <w:rsid w:val="004C2DE5"/>
    <w:rsid w:val="004D078C"/>
    <w:rsid w:val="004D14D1"/>
    <w:rsid w:val="004D5F67"/>
    <w:rsid w:val="004E2136"/>
    <w:rsid w:val="004E2D85"/>
    <w:rsid w:val="004E4068"/>
    <w:rsid w:val="004E58C4"/>
    <w:rsid w:val="004E6040"/>
    <w:rsid w:val="004E6DAC"/>
    <w:rsid w:val="004F1137"/>
    <w:rsid w:val="004F1A36"/>
    <w:rsid w:val="004F210E"/>
    <w:rsid w:val="004F3231"/>
    <w:rsid w:val="004F39E0"/>
    <w:rsid w:val="00502421"/>
    <w:rsid w:val="0050358B"/>
    <w:rsid w:val="00503E2D"/>
    <w:rsid w:val="00520CE2"/>
    <w:rsid w:val="00522B05"/>
    <w:rsid w:val="00527A1F"/>
    <w:rsid w:val="005312E8"/>
    <w:rsid w:val="005318FF"/>
    <w:rsid w:val="00532FEA"/>
    <w:rsid w:val="005352C5"/>
    <w:rsid w:val="005451B4"/>
    <w:rsid w:val="005510A2"/>
    <w:rsid w:val="0055177A"/>
    <w:rsid w:val="00552B86"/>
    <w:rsid w:val="0055571C"/>
    <w:rsid w:val="00561035"/>
    <w:rsid w:val="00562A26"/>
    <w:rsid w:val="00567689"/>
    <w:rsid w:val="00574948"/>
    <w:rsid w:val="00576C1A"/>
    <w:rsid w:val="005771B6"/>
    <w:rsid w:val="0057727F"/>
    <w:rsid w:val="0058013B"/>
    <w:rsid w:val="00583724"/>
    <w:rsid w:val="0058506D"/>
    <w:rsid w:val="00587D92"/>
    <w:rsid w:val="00592A20"/>
    <w:rsid w:val="0059380B"/>
    <w:rsid w:val="005A09F1"/>
    <w:rsid w:val="005A2F3E"/>
    <w:rsid w:val="005A7755"/>
    <w:rsid w:val="005B2487"/>
    <w:rsid w:val="005B4280"/>
    <w:rsid w:val="005B4BF1"/>
    <w:rsid w:val="005B5E94"/>
    <w:rsid w:val="005C13B5"/>
    <w:rsid w:val="005C1B55"/>
    <w:rsid w:val="005C3BC2"/>
    <w:rsid w:val="005D242E"/>
    <w:rsid w:val="005D494E"/>
    <w:rsid w:val="005E230A"/>
    <w:rsid w:val="005E34B0"/>
    <w:rsid w:val="005F1332"/>
    <w:rsid w:val="005F3E77"/>
    <w:rsid w:val="005F4B4E"/>
    <w:rsid w:val="005F6C95"/>
    <w:rsid w:val="00600754"/>
    <w:rsid w:val="00601553"/>
    <w:rsid w:val="00602097"/>
    <w:rsid w:val="00603369"/>
    <w:rsid w:val="006045B4"/>
    <w:rsid w:val="006055FF"/>
    <w:rsid w:val="00605A50"/>
    <w:rsid w:val="0060669A"/>
    <w:rsid w:val="00612B82"/>
    <w:rsid w:val="006135A9"/>
    <w:rsid w:val="006152A1"/>
    <w:rsid w:val="0061639F"/>
    <w:rsid w:val="00617667"/>
    <w:rsid w:val="00617808"/>
    <w:rsid w:val="0062487B"/>
    <w:rsid w:val="006249CF"/>
    <w:rsid w:val="0063383F"/>
    <w:rsid w:val="00634302"/>
    <w:rsid w:val="00634691"/>
    <w:rsid w:val="006363DA"/>
    <w:rsid w:val="00641D3B"/>
    <w:rsid w:val="00642EE5"/>
    <w:rsid w:val="00645229"/>
    <w:rsid w:val="00645FAF"/>
    <w:rsid w:val="00646BA8"/>
    <w:rsid w:val="0065075A"/>
    <w:rsid w:val="006508AE"/>
    <w:rsid w:val="006517B7"/>
    <w:rsid w:val="00661587"/>
    <w:rsid w:val="006637B2"/>
    <w:rsid w:val="006663E5"/>
    <w:rsid w:val="006669C5"/>
    <w:rsid w:val="006671E0"/>
    <w:rsid w:val="00671BC8"/>
    <w:rsid w:val="00673E29"/>
    <w:rsid w:val="006846C9"/>
    <w:rsid w:val="00687243"/>
    <w:rsid w:val="00690EC2"/>
    <w:rsid w:val="006A16AE"/>
    <w:rsid w:val="006A4400"/>
    <w:rsid w:val="006A55AD"/>
    <w:rsid w:val="006A5A00"/>
    <w:rsid w:val="006A5E4F"/>
    <w:rsid w:val="006A62B9"/>
    <w:rsid w:val="006B3091"/>
    <w:rsid w:val="006B7AE8"/>
    <w:rsid w:val="006C36C8"/>
    <w:rsid w:val="006C5DEA"/>
    <w:rsid w:val="006C652B"/>
    <w:rsid w:val="006D0869"/>
    <w:rsid w:val="006D4172"/>
    <w:rsid w:val="006D4E13"/>
    <w:rsid w:val="006E0059"/>
    <w:rsid w:val="006E2D59"/>
    <w:rsid w:val="006E3D53"/>
    <w:rsid w:val="006E67FC"/>
    <w:rsid w:val="006E68CB"/>
    <w:rsid w:val="006E6C1D"/>
    <w:rsid w:val="006E7B0D"/>
    <w:rsid w:val="006F1179"/>
    <w:rsid w:val="006F5020"/>
    <w:rsid w:val="006F6B9A"/>
    <w:rsid w:val="00704BBD"/>
    <w:rsid w:val="00710856"/>
    <w:rsid w:val="00714735"/>
    <w:rsid w:val="007211A7"/>
    <w:rsid w:val="00721BCE"/>
    <w:rsid w:val="00723A2F"/>
    <w:rsid w:val="00725654"/>
    <w:rsid w:val="007272FB"/>
    <w:rsid w:val="007311E3"/>
    <w:rsid w:val="0073134D"/>
    <w:rsid w:val="00731892"/>
    <w:rsid w:val="0073258A"/>
    <w:rsid w:val="00733ABE"/>
    <w:rsid w:val="00734A8F"/>
    <w:rsid w:val="00735533"/>
    <w:rsid w:val="00736618"/>
    <w:rsid w:val="0074096C"/>
    <w:rsid w:val="00742976"/>
    <w:rsid w:val="0074589C"/>
    <w:rsid w:val="0074597F"/>
    <w:rsid w:val="00746368"/>
    <w:rsid w:val="0074703B"/>
    <w:rsid w:val="00750B1C"/>
    <w:rsid w:val="00754783"/>
    <w:rsid w:val="00760135"/>
    <w:rsid w:val="00762725"/>
    <w:rsid w:val="00764679"/>
    <w:rsid w:val="00770C4B"/>
    <w:rsid w:val="00780527"/>
    <w:rsid w:val="00780F8B"/>
    <w:rsid w:val="00781820"/>
    <w:rsid w:val="007828BD"/>
    <w:rsid w:val="00787C8D"/>
    <w:rsid w:val="0079395F"/>
    <w:rsid w:val="007942D7"/>
    <w:rsid w:val="007954C8"/>
    <w:rsid w:val="00795525"/>
    <w:rsid w:val="007A2A25"/>
    <w:rsid w:val="007A30F7"/>
    <w:rsid w:val="007A3954"/>
    <w:rsid w:val="007A4954"/>
    <w:rsid w:val="007B174B"/>
    <w:rsid w:val="007B1F83"/>
    <w:rsid w:val="007B2D8F"/>
    <w:rsid w:val="007B3E9C"/>
    <w:rsid w:val="007B5A75"/>
    <w:rsid w:val="007B72B5"/>
    <w:rsid w:val="007C44DF"/>
    <w:rsid w:val="007C46DF"/>
    <w:rsid w:val="007C594B"/>
    <w:rsid w:val="007D0D62"/>
    <w:rsid w:val="007D72FA"/>
    <w:rsid w:val="007E4550"/>
    <w:rsid w:val="007E4ADB"/>
    <w:rsid w:val="007E5B69"/>
    <w:rsid w:val="007F0CFD"/>
    <w:rsid w:val="007F0FA4"/>
    <w:rsid w:val="007F1C6C"/>
    <w:rsid w:val="007F2544"/>
    <w:rsid w:val="007F3D06"/>
    <w:rsid w:val="00801345"/>
    <w:rsid w:val="00805FC2"/>
    <w:rsid w:val="00810D36"/>
    <w:rsid w:val="00811235"/>
    <w:rsid w:val="008115F7"/>
    <w:rsid w:val="00817C5F"/>
    <w:rsid w:val="00820507"/>
    <w:rsid w:val="008303A5"/>
    <w:rsid w:val="00830951"/>
    <w:rsid w:val="008344EA"/>
    <w:rsid w:val="00840682"/>
    <w:rsid w:val="0084202C"/>
    <w:rsid w:val="00842A3D"/>
    <w:rsid w:val="00846FDB"/>
    <w:rsid w:val="00850A7D"/>
    <w:rsid w:val="00851774"/>
    <w:rsid w:val="008518E5"/>
    <w:rsid w:val="0085221C"/>
    <w:rsid w:val="00853433"/>
    <w:rsid w:val="00855709"/>
    <w:rsid w:val="00862ABB"/>
    <w:rsid w:val="00865A77"/>
    <w:rsid w:val="0086667A"/>
    <w:rsid w:val="00871E9B"/>
    <w:rsid w:val="00872B39"/>
    <w:rsid w:val="008739B8"/>
    <w:rsid w:val="0088344F"/>
    <w:rsid w:val="00886C99"/>
    <w:rsid w:val="00890127"/>
    <w:rsid w:val="00894A0F"/>
    <w:rsid w:val="008A046E"/>
    <w:rsid w:val="008A2A41"/>
    <w:rsid w:val="008A338E"/>
    <w:rsid w:val="008A4BB4"/>
    <w:rsid w:val="008A7875"/>
    <w:rsid w:val="008B2368"/>
    <w:rsid w:val="008B7A0E"/>
    <w:rsid w:val="008B7A97"/>
    <w:rsid w:val="008B7FCE"/>
    <w:rsid w:val="008C133C"/>
    <w:rsid w:val="008C4B18"/>
    <w:rsid w:val="008C5253"/>
    <w:rsid w:val="008C77A6"/>
    <w:rsid w:val="008D2133"/>
    <w:rsid w:val="008D5A7A"/>
    <w:rsid w:val="008E39F0"/>
    <w:rsid w:val="008F1BAC"/>
    <w:rsid w:val="008F5DB1"/>
    <w:rsid w:val="009033CD"/>
    <w:rsid w:val="009034A5"/>
    <w:rsid w:val="00904D29"/>
    <w:rsid w:val="009061F1"/>
    <w:rsid w:val="0090656B"/>
    <w:rsid w:val="00917637"/>
    <w:rsid w:val="00921788"/>
    <w:rsid w:val="00921D9C"/>
    <w:rsid w:val="00930545"/>
    <w:rsid w:val="00931C3D"/>
    <w:rsid w:val="00934791"/>
    <w:rsid w:val="00942423"/>
    <w:rsid w:val="00943CC0"/>
    <w:rsid w:val="00946E8A"/>
    <w:rsid w:val="00950989"/>
    <w:rsid w:val="00950CE7"/>
    <w:rsid w:val="00960F28"/>
    <w:rsid w:val="00961D2D"/>
    <w:rsid w:val="0096392C"/>
    <w:rsid w:val="00964D64"/>
    <w:rsid w:val="00965F7A"/>
    <w:rsid w:val="00967458"/>
    <w:rsid w:val="00973307"/>
    <w:rsid w:val="0098075D"/>
    <w:rsid w:val="0098472E"/>
    <w:rsid w:val="0098595C"/>
    <w:rsid w:val="00987358"/>
    <w:rsid w:val="009877DE"/>
    <w:rsid w:val="009942D2"/>
    <w:rsid w:val="009A4DE0"/>
    <w:rsid w:val="009A5ECC"/>
    <w:rsid w:val="009A647A"/>
    <w:rsid w:val="009A793E"/>
    <w:rsid w:val="009B1065"/>
    <w:rsid w:val="009B4D9E"/>
    <w:rsid w:val="009B5C76"/>
    <w:rsid w:val="009B5E46"/>
    <w:rsid w:val="009B6A2A"/>
    <w:rsid w:val="009B6DC8"/>
    <w:rsid w:val="009C36D0"/>
    <w:rsid w:val="009C4640"/>
    <w:rsid w:val="009C4DBA"/>
    <w:rsid w:val="009C5B28"/>
    <w:rsid w:val="009C6994"/>
    <w:rsid w:val="009D0E88"/>
    <w:rsid w:val="009D356B"/>
    <w:rsid w:val="009D4C88"/>
    <w:rsid w:val="009D60CE"/>
    <w:rsid w:val="009E11D3"/>
    <w:rsid w:val="009E4106"/>
    <w:rsid w:val="009F10F4"/>
    <w:rsid w:val="009F221F"/>
    <w:rsid w:val="009F3BB9"/>
    <w:rsid w:val="00A021AA"/>
    <w:rsid w:val="00A02D1C"/>
    <w:rsid w:val="00A04E67"/>
    <w:rsid w:val="00A07866"/>
    <w:rsid w:val="00A105D9"/>
    <w:rsid w:val="00A13E2F"/>
    <w:rsid w:val="00A143B1"/>
    <w:rsid w:val="00A147D2"/>
    <w:rsid w:val="00A14B11"/>
    <w:rsid w:val="00A1662E"/>
    <w:rsid w:val="00A22906"/>
    <w:rsid w:val="00A3179B"/>
    <w:rsid w:val="00A32FB6"/>
    <w:rsid w:val="00A34812"/>
    <w:rsid w:val="00A3666F"/>
    <w:rsid w:val="00A373C6"/>
    <w:rsid w:val="00A44EBC"/>
    <w:rsid w:val="00A473B5"/>
    <w:rsid w:val="00A4782F"/>
    <w:rsid w:val="00A47A07"/>
    <w:rsid w:val="00A47E6B"/>
    <w:rsid w:val="00A537A0"/>
    <w:rsid w:val="00A53C89"/>
    <w:rsid w:val="00A55B35"/>
    <w:rsid w:val="00A65106"/>
    <w:rsid w:val="00A66724"/>
    <w:rsid w:val="00A71375"/>
    <w:rsid w:val="00A72241"/>
    <w:rsid w:val="00A74155"/>
    <w:rsid w:val="00A75262"/>
    <w:rsid w:val="00A843B4"/>
    <w:rsid w:val="00A877A1"/>
    <w:rsid w:val="00A931C1"/>
    <w:rsid w:val="00A93454"/>
    <w:rsid w:val="00A94046"/>
    <w:rsid w:val="00A96950"/>
    <w:rsid w:val="00AA139A"/>
    <w:rsid w:val="00AA3547"/>
    <w:rsid w:val="00AA4FA4"/>
    <w:rsid w:val="00AA58C7"/>
    <w:rsid w:val="00AA5FE9"/>
    <w:rsid w:val="00AA6D0B"/>
    <w:rsid w:val="00AB011B"/>
    <w:rsid w:val="00AB2A53"/>
    <w:rsid w:val="00AB49DE"/>
    <w:rsid w:val="00AB6460"/>
    <w:rsid w:val="00AB6729"/>
    <w:rsid w:val="00AC04A0"/>
    <w:rsid w:val="00AC3A33"/>
    <w:rsid w:val="00AD030B"/>
    <w:rsid w:val="00AD53B0"/>
    <w:rsid w:val="00AD65D7"/>
    <w:rsid w:val="00AD776B"/>
    <w:rsid w:val="00AE16BA"/>
    <w:rsid w:val="00AE2F94"/>
    <w:rsid w:val="00AE75FE"/>
    <w:rsid w:val="00AF3E2E"/>
    <w:rsid w:val="00AF3FFB"/>
    <w:rsid w:val="00AF4F88"/>
    <w:rsid w:val="00AF77A9"/>
    <w:rsid w:val="00AF7A06"/>
    <w:rsid w:val="00B0420F"/>
    <w:rsid w:val="00B07A6E"/>
    <w:rsid w:val="00B11FDD"/>
    <w:rsid w:val="00B12B1E"/>
    <w:rsid w:val="00B12D1A"/>
    <w:rsid w:val="00B138AA"/>
    <w:rsid w:val="00B251A8"/>
    <w:rsid w:val="00B314F8"/>
    <w:rsid w:val="00B336BF"/>
    <w:rsid w:val="00B37AB1"/>
    <w:rsid w:val="00B40DF3"/>
    <w:rsid w:val="00B43340"/>
    <w:rsid w:val="00B5372B"/>
    <w:rsid w:val="00B53D49"/>
    <w:rsid w:val="00B541F0"/>
    <w:rsid w:val="00B542A7"/>
    <w:rsid w:val="00B62555"/>
    <w:rsid w:val="00B63F7C"/>
    <w:rsid w:val="00B6578E"/>
    <w:rsid w:val="00B66B3B"/>
    <w:rsid w:val="00B67BB2"/>
    <w:rsid w:val="00B73625"/>
    <w:rsid w:val="00B7545D"/>
    <w:rsid w:val="00B76F76"/>
    <w:rsid w:val="00B77F30"/>
    <w:rsid w:val="00B80808"/>
    <w:rsid w:val="00B814C8"/>
    <w:rsid w:val="00B826B5"/>
    <w:rsid w:val="00B923A8"/>
    <w:rsid w:val="00B92E7E"/>
    <w:rsid w:val="00B957B3"/>
    <w:rsid w:val="00BA0AAB"/>
    <w:rsid w:val="00BA1F1F"/>
    <w:rsid w:val="00BA27D2"/>
    <w:rsid w:val="00BB1AC8"/>
    <w:rsid w:val="00BB2D87"/>
    <w:rsid w:val="00BB4AE0"/>
    <w:rsid w:val="00BC293D"/>
    <w:rsid w:val="00BC4DD9"/>
    <w:rsid w:val="00BC6EFD"/>
    <w:rsid w:val="00BC7F78"/>
    <w:rsid w:val="00BD6959"/>
    <w:rsid w:val="00BD7281"/>
    <w:rsid w:val="00BE2E81"/>
    <w:rsid w:val="00BE4A06"/>
    <w:rsid w:val="00BF4C6B"/>
    <w:rsid w:val="00C00B5E"/>
    <w:rsid w:val="00C07F03"/>
    <w:rsid w:val="00C12794"/>
    <w:rsid w:val="00C12B29"/>
    <w:rsid w:val="00C13082"/>
    <w:rsid w:val="00C160EC"/>
    <w:rsid w:val="00C175E8"/>
    <w:rsid w:val="00C23D1A"/>
    <w:rsid w:val="00C24DCC"/>
    <w:rsid w:val="00C264FE"/>
    <w:rsid w:val="00C300AC"/>
    <w:rsid w:val="00C30D47"/>
    <w:rsid w:val="00C3250D"/>
    <w:rsid w:val="00C3270F"/>
    <w:rsid w:val="00C32FC9"/>
    <w:rsid w:val="00C34AAF"/>
    <w:rsid w:val="00C36B7F"/>
    <w:rsid w:val="00C406C1"/>
    <w:rsid w:val="00C40E2D"/>
    <w:rsid w:val="00C41CB8"/>
    <w:rsid w:val="00C4349E"/>
    <w:rsid w:val="00C44AE6"/>
    <w:rsid w:val="00C455A6"/>
    <w:rsid w:val="00C47485"/>
    <w:rsid w:val="00C505B6"/>
    <w:rsid w:val="00C509A5"/>
    <w:rsid w:val="00C51971"/>
    <w:rsid w:val="00C55C62"/>
    <w:rsid w:val="00C56866"/>
    <w:rsid w:val="00C613F0"/>
    <w:rsid w:val="00C631DB"/>
    <w:rsid w:val="00C66622"/>
    <w:rsid w:val="00C709D7"/>
    <w:rsid w:val="00C71F2A"/>
    <w:rsid w:val="00C7465E"/>
    <w:rsid w:val="00C7634D"/>
    <w:rsid w:val="00C833DD"/>
    <w:rsid w:val="00C83A70"/>
    <w:rsid w:val="00C84712"/>
    <w:rsid w:val="00C84CE3"/>
    <w:rsid w:val="00C8606A"/>
    <w:rsid w:val="00C86859"/>
    <w:rsid w:val="00C87617"/>
    <w:rsid w:val="00C91093"/>
    <w:rsid w:val="00C913B1"/>
    <w:rsid w:val="00C952A2"/>
    <w:rsid w:val="00CA29F7"/>
    <w:rsid w:val="00CA7DFB"/>
    <w:rsid w:val="00CB3D87"/>
    <w:rsid w:val="00CB4B98"/>
    <w:rsid w:val="00CB645A"/>
    <w:rsid w:val="00CC46B2"/>
    <w:rsid w:val="00CC689C"/>
    <w:rsid w:val="00CC6A9B"/>
    <w:rsid w:val="00CD4D7B"/>
    <w:rsid w:val="00CE0383"/>
    <w:rsid w:val="00CE0B41"/>
    <w:rsid w:val="00CE2827"/>
    <w:rsid w:val="00CE56F0"/>
    <w:rsid w:val="00CF69FE"/>
    <w:rsid w:val="00D001D5"/>
    <w:rsid w:val="00D01995"/>
    <w:rsid w:val="00D061AF"/>
    <w:rsid w:val="00D2239A"/>
    <w:rsid w:val="00D22DB7"/>
    <w:rsid w:val="00D24EE6"/>
    <w:rsid w:val="00D264A7"/>
    <w:rsid w:val="00D27FF0"/>
    <w:rsid w:val="00D341AC"/>
    <w:rsid w:val="00D35AC9"/>
    <w:rsid w:val="00D373BE"/>
    <w:rsid w:val="00D37B74"/>
    <w:rsid w:val="00D41C80"/>
    <w:rsid w:val="00D431BC"/>
    <w:rsid w:val="00D4364B"/>
    <w:rsid w:val="00D505CE"/>
    <w:rsid w:val="00D53EB1"/>
    <w:rsid w:val="00D55F8C"/>
    <w:rsid w:val="00D56977"/>
    <w:rsid w:val="00D6244D"/>
    <w:rsid w:val="00D63795"/>
    <w:rsid w:val="00D71725"/>
    <w:rsid w:val="00D74452"/>
    <w:rsid w:val="00D76A48"/>
    <w:rsid w:val="00D770A2"/>
    <w:rsid w:val="00D800AB"/>
    <w:rsid w:val="00D84CFD"/>
    <w:rsid w:val="00D85161"/>
    <w:rsid w:val="00D86763"/>
    <w:rsid w:val="00D868FE"/>
    <w:rsid w:val="00D90038"/>
    <w:rsid w:val="00D90C28"/>
    <w:rsid w:val="00DA0213"/>
    <w:rsid w:val="00DA26EF"/>
    <w:rsid w:val="00DA4C49"/>
    <w:rsid w:val="00DA6D9B"/>
    <w:rsid w:val="00DB00B7"/>
    <w:rsid w:val="00DB05B5"/>
    <w:rsid w:val="00DB28A1"/>
    <w:rsid w:val="00DB303D"/>
    <w:rsid w:val="00DB78DF"/>
    <w:rsid w:val="00DB7A39"/>
    <w:rsid w:val="00DB7D14"/>
    <w:rsid w:val="00DC47A5"/>
    <w:rsid w:val="00DC6A59"/>
    <w:rsid w:val="00DC70AC"/>
    <w:rsid w:val="00DD0150"/>
    <w:rsid w:val="00DD1B37"/>
    <w:rsid w:val="00DD1C27"/>
    <w:rsid w:val="00DE1DCA"/>
    <w:rsid w:val="00DE47D7"/>
    <w:rsid w:val="00DF3EBB"/>
    <w:rsid w:val="00E03CDA"/>
    <w:rsid w:val="00E042E5"/>
    <w:rsid w:val="00E049D3"/>
    <w:rsid w:val="00E065CD"/>
    <w:rsid w:val="00E07A7A"/>
    <w:rsid w:val="00E11F7D"/>
    <w:rsid w:val="00E14AF6"/>
    <w:rsid w:val="00E15445"/>
    <w:rsid w:val="00E21D64"/>
    <w:rsid w:val="00E21E70"/>
    <w:rsid w:val="00E318AF"/>
    <w:rsid w:val="00E31BB9"/>
    <w:rsid w:val="00E32B1B"/>
    <w:rsid w:val="00E350DB"/>
    <w:rsid w:val="00E417DD"/>
    <w:rsid w:val="00E50465"/>
    <w:rsid w:val="00E50949"/>
    <w:rsid w:val="00E52087"/>
    <w:rsid w:val="00E54C65"/>
    <w:rsid w:val="00E5677A"/>
    <w:rsid w:val="00E627F4"/>
    <w:rsid w:val="00E631E8"/>
    <w:rsid w:val="00E658C9"/>
    <w:rsid w:val="00E71467"/>
    <w:rsid w:val="00E732D0"/>
    <w:rsid w:val="00E742A4"/>
    <w:rsid w:val="00E76AE8"/>
    <w:rsid w:val="00E80E4D"/>
    <w:rsid w:val="00E81220"/>
    <w:rsid w:val="00E8539D"/>
    <w:rsid w:val="00E911BE"/>
    <w:rsid w:val="00E915D5"/>
    <w:rsid w:val="00E929CB"/>
    <w:rsid w:val="00E93865"/>
    <w:rsid w:val="00E93AF9"/>
    <w:rsid w:val="00E946D7"/>
    <w:rsid w:val="00E9492D"/>
    <w:rsid w:val="00E95CF9"/>
    <w:rsid w:val="00EA57F1"/>
    <w:rsid w:val="00EB4F08"/>
    <w:rsid w:val="00EB6200"/>
    <w:rsid w:val="00EC24CD"/>
    <w:rsid w:val="00EC755C"/>
    <w:rsid w:val="00ED6ABA"/>
    <w:rsid w:val="00ED7701"/>
    <w:rsid w:val="00ED7DBA"/>
    <w:rsid w:val="00EE2842"/>
    <w:rsid w:val="00EE570C"/>
    <w:rsid w:val="00EE5FAD"/>
    <w:rsid w:val="00EE773C"/>
    <w:rsid w:val="00EF138E"/>
    <w:rsid w:val="00EF21C7"/>
    <w:rsid w:val="00EF26C7"/>
    <w:rsid w:val="00EF374F"/>
    <w:rsid w:val="00EF4BB2"/>
    <w:rsid w:val="00EF6C15"/>
    <w:rsid w:val="00F04DF8"/>
    <w:rsid w:val="00F0570E"/>
    <w:rsid w:val="00F07FF1"/>
    <w:rsid w:val="00F10270"/>
    <w:rsid w:val="00F12B8A"/>
    <w:rsid w:val="00F226C2"/>
    <w:rsid w:val="00F24DA8"/>
    <w:rsid w:val="00F404B6"/>
    <w:rsid w:val="00F41CC5"/>
    <w:rsid w:val="00F42FC3"/>
    <w:rsid w:val="00F44268"/>
    <w:rsid w:val="00F46876"/>
    <w:rsid w:val="00F4755D"/>
    <w:rsid w:val="00F52867"/>
    <w:rsid w:val="00F607F3"/>
    <w:rsid w:val="00F64034"/>
    <w:rsid w:val="00F66870"/>
    <w:rsid w:val="00F70A91"/>
    <w:rsid w:val="00F72ABF"/>
    <w:rsid w:val="00F7315E"/>
    <w:rsid w:val="00F73B80"/>
    <w:rsid w:val="00F74778"/>
    <w:rsid w:val="00F768B6"/>
    <w:rsid w:val="00F816A6"/>
    <w:rsid w:val="00F835D8"/>
    <w:rsid w:val="00F8376F"/>
    <w:rsid w:val="00F849B2"/>
    <w:rsid w:val="00F94A6D"/>
    <w:rsid w:val="00F965FD"/>
    <w:rsid w:val="00F966BC"/>
    <w:rsid w:val="00F97B08"/>
    <w:rsid w:val="00FA00D2"/>
    <w:rsid w:val="00FA084F"/>
    <w:rsid w:val="00FA1145"/>
    <w:rsid w:val="00FA5D26"/>
    <w:rsid w:val="00FA7BC5"/>
    <w:rsid w:val="00FA7F5C"/>
    <w:rsid w:val="00FB6EBB"/>
    <w:rsid w:val="00FB78AC"/>
    <w:rsid w:val="00FC0D4E"/>
    <w:rsid w:val="00FC1D0F"/>
    <w:rsid w:val="00FD1AA3"/>
    <w:rsid w:val="00FD4261"/>
    <w:rsid w:val="00FD4B2A"/>
    <w:rsid w:val="00FE1192"/>
    <w:rsid w:val="00FE325E"/>
    <w:rsid w:val="00FE4205"/>
    <w:rsid w:val="00FF1B4A"/>
    <w:rsid w:val="00FF23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DE4D3B"/>
  <w15:chartTrackingRefBased/>
  <w15:docId w15:val="{523ECF6C-B2DA-4DA2-801D-9BF91295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TC Avant Garde" w:eastAsiaTheme="minorHAnsi" w:hAnsi="ITC Avant Garde"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DF3"/>
    <w:pPr>
      <w:spacing w:after="120" w:line="276" w:lineRule="auto"/>
      <w:jc w:val="both"/>
    </w:pPr>
    <w:rPr>
      <w:rFonts w:eastAsiaTheme="minorEastAsia"/>
    </w:rPr>
  </w:style>
  <w:style w:type="paragraph" w:styleId="Ttulo1">
    <w:name w:val="heading 1"/>
    <w:aliases w:val="~SectionHeading"/>
    <w:basedOn w:val="Normal"/>
    <w:next w:val="Normal"/>
    <w:link w:val="Ttulo1Car"/>
    <w:uiPriority w:val="1"/>
    <w:qFormat/>
    <w:rsid w:val="007B2D8F"/>
    <w:pPr>
      <w:keepNext/>
      <w:spacing w:before="240" w:line="264" w:lineRule="auto"/>
      <w:outlineLvl w:val="0"/>
    </w:pPr>
    <w:rPr>
      <w:rFonts w:eastAsia="Arial" w:cs="Arial"/>
      <w:b/>
      <w:smallCaps/>
      <w:sz w:val="24"/>
      <w:szCs w:val="16"/>
      <w:lang w:val="es-ES_tradnl"/>
    </w:rPr>
  </w:style>
  <w:style w:type="paragraph" w:styleId="Ttulo2">
    <w:name w:val="heading 2"/>
    <w:aliases w:val="~SubHeading"/>
    <w:basedOn w:val="Normal"/>
    <w:next w:val="Normal"/>
    <w:link w:val="Ttulo2Car"/>
    <w:uiPriority w:val="1"/>
    <w:unhideWhenUsed/>
    <w:qFormat/>
    <w:rsid w:val="00B5372B"/>
    <w:pPr>
      <w:spacing w:before="160" w:after="160" w:line="259" w:lineRule="auto"/>
      <w:jc w:val="left"/>
      <w:outlineLvl w:val="1"/>
    </w:pPr>
    <w:rPr>
      <w:rFonts w:eastAsia="Arial" w:cs="Arial"/>
      <w:b/>
      <w:szCs w:val="14"/>
      <w:lang w:val="es-ES_tradnl"/>
    </w:rPr>
  </w:style>
  <w:style w:type="paragraph" w:styleId="Ttulo3">
    <w:name w:val="heading 3"/>
    <w:aliases w:val="~MinorSubHeading"/>
    <w:basedOn w:val="Normal"/>
    <w:next w:val="Normal"/>
    <w:link w:val="Ttulo3Car"/>
    <w:uiPriority w:val="1"/>
    <w:unhideWhenUsed/>
    <w:qFormat/>
    <w:rsid w:val="000E5E59"/>
    <w:pPr>
      <w:keepNext/>
      <w:keepLines/>
      <w:numPr>
        <w:ilvl w:val="2"/>
        <w:numId w:val="7"/>
      </w:numPr>
      <w:spacing w:before="200" w:after="0"/>
      <w:outlineLvl w:val="2"/>
    </w:pPr>
    <w:rPr>
      <w:rFonts w:asciiTheme="majorHAnsi" w:eastAsiaTheme="majorEastAsia" w:hAnsiTheme="majorHAnsi" w:cstheme="majorBidi"/>
      <w:b/>
      <w:bCs/>
      <w:color w:val="5B9BD5" w:themeColor="accent1"/>
      <w:sz w:val="24"/>
    </w:rPr>
  </w:style>
  <w:style w:type="paragraph" w:styleId="Ttulo4">
    <w:name w:val="heading 4"/>
    <w:basedOn w:val="Normal"/>
    <w:next w:val="Normal"/>
    <w:link w:val="Ttulo4Car"/>
    <w:uiPriority w:val="9"/>
    <w:unhideWhenUsed/>
    <w:qFormat/>
    <w:rsid w:val="000E5E59"/>
    <w:pPr>
      <w:keepNext/>
      <w:keepLines/>
      <w:numPr>
        <w:ilvl w:val="3"/>
        <w:numId w:val="7"/>
      </w:numPr>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Ttulo4"/>
    <w:next w:val="Normal"/>
    <w:link w:val="Ttulo5Car"/>
    <w:uiPriority w:val="9"/>
    <w:unhideWhenUsed/>
    <w:qFormat/>
    <w:rsid w:val="000E5E59"/>
    <w:pPr>
      <w:numPr>
        <w:ilvl w:val="0"/>
        <w:numId w:val="0"/>
      </w:numPr>
      <w:outlineLvl w:val="4"/>
    </w:pPr>
  </w:style>
  <w:style w:type="paragraph" w:styleId="Ttulo6">
    <w:name w:val="heading 6"/>
    <w:basedOn w:val="Normal"/>
    <w:next w:val="Normal"/>
    <w:link w:val="Ttulo6Car"/>
    <w:uiPriority w:val="9"/>
    <w:unhideWhenUsed/>
    <w:qFormat/>
    <w:rsid w:val="000E5E59"/>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0E5E5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F70A91"/>
    <w:pPr>
      <w:pBdr>
        <w:bottom w:val="double" w:sz="4" w:space="1" w:color="auto"/>
      </w:pBdr>
    </w:pPr>
  </w:style>
  <w:style w:type="character" w:customStyle="1" w:styleId="Estilo1Car">
    <w:name w:val="Estilo1 Car"/>
    <w:basedOn w:val="Fuentedeprrafopredeter"/>
    <w:link w:val="Estilo1"/>
    <w:rsid w:val="00F70A91"/>
    <w:rPr>
      <w:rFonts w:ascii="ITC Avant Garde" w:hAnsi="ITC Avant Garde"/>
    </w:rPr>
  </w:style>
  <w:style w:type="character" w:customStyle="1" w:styleId="Ttulo1Car">
    <w:name w:val="Título 1 Car"/>
    <w:aliases w:val="~SectionHeading Car"/>
    <w:basedOn w:val="Fuentedeprrafopredeter"/>
    <w:link w:val="Ttulo1"/>
    <w:uiPriority w:val="9"/>
    <w:rsid w:val="007B2D8F"/>
    <w:rPr>
      <w:rFonts w:eastAsia="Arial" w:cs="Arial"/>
      <w:b/>
      <w:smallCaps/>
      <w:sz w:val="24"/>
      <w:szCs w:val="16"/>
      <w:lang w:val="es-ES_tradnl"/>
    </w:rPr>
  </w:style>
  <w:style w:type="character" w:customStyle="1" w:styleId="Ttulo2Car">
    <w:name w:val="Título 2 Car"/>
    <w:aliases w:val="~SubHeading Car"/>
    <w:basedOn w:val="Fuentedeprrafopredeter"/>
    <w:link w:val="Ttulo2"/>
    <w:uiPriority w:val="9"/>
    <w:rsid w:val="00B5372B"/>
    <w:rPr>
      <w:rFonts w:eastAsia="Arial" w:cs="Arial"/>
      <w:b/>
      <w:szCs w:val="14"/>
      <w:lang w:val="es-ES_tradnl"/>
    </w:rPr>
  </w:style>
  <w:style w:type="character" w:customStyle="1" w:styleId="Ttulo3Car">
    <w:name w:val="Título 3 Car"/>
    <w:aliases w:val="~MinorSubHeading Car"/>
    <w:basedOn w:val="Fuentedeprrafopredeter"/>
    <w:link w:val="Ttulo3"/>
    <w:uiPriority w:val="1"/>
    <w:rsid w:val="000E5E59"/>
    <w:rPr>
      <w:rFonts w:asciiTheme="majorHAnsi" w:eastAsiaTheme="majorEastAsia" w:hAnsiTheme="majorHAnsi" w:cstheme="majorBidi"/>
      <w:b/>
      <w:bCs/>
      <w:color w:val="5B9BD5" w:themeColor="accent1"/>
      <w:sz w:val="24"/>
    </w:rPr>
  </w:style>
  <w:style w:type="character" w:customStyle="1" w:styleId="Ttulo4Car">
    <w:name w:val="Título 4 Car"/>
    <w:basedOn w:val="Fuentedeprrafopredeter"/>
    <w:link w:val="Ttulo4"/>
    <w:uiPriority w:val="9"/>
    <w:rsid w:val="000E5E59"/>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rsid w:val="000E5E59"/>
    <w:rPr>
      <w:rFonts w:asciiTheme="majorHAnsi" w:eastAsiaTheme="majorEastAsia" w:hAnsiTheme="majorHAnsi" w:cstheme="majorBidi"/>
      <w:b/>
      <w:bCs/>
      <w:i/>
      <w:iCs/>
      <w:color w:val="000000" w:themeColor="text1"/>
    </w:rPr>
  </w:style>
  <w:style w:type="character" w:customStyle="1" w:styleId="Ttulo6Car">
    <w:name w:val="Título 6 Car"/>
    <w:basedOn w:val="Fuentedeprrafopredeter"/>
    <w:link w:val="Ttulo6"/>
    <w:uiPriority w:val="9"/>
    <w:rsid w:val="000E5E59"/>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0E5E59"/>
    <w:rPr>
      <w:rFonts w:asciiTheme="majorHAnsi" w:eastAsiaTheme="majorEastAsia" w:hAnsiTheme="majorHAnsi" w:cstheme="majorBidi"/>
      <w:i/>
      <w:iCs/>
      <w:color w:val="404040" w:themeColor="text1" w:themeTint="BF"/>
    </w:rPr>
  </w:style>
  <w:style w:type="paragraph" w:customStyle="1" w:styleId="PiedePgina">
    <w:name w:val="Pie de Página"/>
    <w:basedOn w:val="Sinespaciado"/>
    <w:link w:val="PiedePginaCar"/>
    <w:qFormat/>
    <w:rsid w:val="000E5E59"/>
    <w:pPr>
      <w:spacing w:line="160" w:lineRule="atLeast"/>
    </w:pPr>
    <w:rPr>
      <w:bCs/>
      <w:sz w:val="16"/>
      <w:szCs w:val="16"/>
    </w:rPr>
  </w:style>
  <w:style w:type="character" w:customStyle="1" w:styleId="PiedePginaCar">
    <w:name w:val="Pie de Página Car"/>
    <w:basedOn w:val="Fuentedeprrafopredeter"/>
    <w:link w:val="PiedePgina"/>
    <w:rsid w:val="000E5E59"/>
    <w:rPr>
      <w:bCs/>
      <w:sz w:val="16"/>
      <w:szCs w:val="16"/>
    </w:rPr>
  </w:style>
  <w:style w:type="paragraph" w:styleId="Sinespaciado">
    <w:name w:val="No Spacing"/>
    <w:link w:val="SinespaciadoCar"/>
    <w:uiPriority w:val="1"/>
    <w:qFormat/>
    <w:rsid w:val="000E5E59"/>
    <w:pPr>
      <w:spacing w:after="0" w:line="240" w:lineRule="auto"/>
    </w:pPr>
  </w:style>
  <w:style w:type="paragraph" w:customStyle="1" w:styleId="Titulos">
    <w:name w:val="Titulos"/>
    <w:basedOn w:val="Normal"/>
    <w:link w:val="TitulosCar"/>
    <w:qFormat/>
    <w:rsid w:val="000E5E59"/>
    <w:pPr>
      <w:spacing w:after="0" w:line="240" w:lineRule="auto"/>
    </w:pPr>
    <w:rPr>
      <w:rFonts w:eastAsiaTheme="minorHAnsi"/>
      <w:b/>
      <w:color w:val="44546A" w:themeColor="text2"/>
    </w:rPr>
  </w:style>
  <w:style w:type="character" w:customStyle="1" w:styleId="TitulosCar">
    <w:name w:val="Titulos Car"/>
    <w:basedOn w:val="Fuentedeprrafopredeter"/>
    <w:link w:val="Titulos"/>
    <w:rsid w:val="000E5E59"/>
    <w:rPr>
      <w:b/>
      <w:color w:val="44546A" w:themeColor="text2"/>
    </w:rPr>
  </w:style>
  <w:style w:type="character" w:customStyle="1" w:styleId="SinespaciadoCar">
    <w:name w:val="Sin espaciado Car"/>
    <w:basedOn w:val="Fuentedeprrafopredeter"/>
    <w:link w:val="Sinespaciado"/>
    <w:uiPriority w:val="1"/>
    <w:rsid w:val="000E5E59"/>
  </w:style>
  <w:style w:type="paragraph" w:styleId="Piedepgina0">
    <w:name w:val="footer"/>
    <w:basedOn w:val="Normal"/>
    <w:link w:val="PiedepginaCar0"/>
    <w:uiPriority w:val="99"/>
    <w:unhideWhenUsed/>
    <w:rsid w:val="0041214B"/>
    <w:pPr>
      <w:tabs>
        <w:tab w:val="center" w:pos="4419"/>
        <w:tab w:val="right" w:pos="8838"/>
      </w:tabs>
      <w:spacing w:after="0" w:line="240" w:lineRule="auto"/>
    </w:pPr>
  </w:style>
  <w:style w:type="character" w:customStyle="1" w:styleId="PiedepginaCar0">
    <w:name w:val="Pie de página Car"/>
    <w:basedOn w:val="Fuentedeprrafopredeter"/>
    <w:link w:val="Piedepgina0"/>
    <w:uiPriority w:val="99"/>
    <w:rsid w:val="0041214B"/>
    <w:rPr>
      <w:rFonts w:eastAsiaTheme="minorEastAsia"/>
    </w:rPr>
  </w:style>
  <w:style w:type="paragraph" w:styleId="Encabezado">
    <w:name w:val="header"/>
    <w:basedOn w:val="Normal"/>
    <w:link w:val="EncabezadoCar"/>
    <w:uiPriority w:val="99"/>
    <w:unhideWhenUsed/>
    <w:rsid w:val="004121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14B"/>
    <w:rPr>
      <w:rFonts w:eastAsiaTheme="minorEastAsia"/>
    </w:rPr>
  </w:style>
  <w:style w:type="table" w:styleId="Tablaconcuadrcula">
    <w:name w:val="Table Grid"/>
    <w:basedOn w:val="Tablanormal"/>
    <w:rsid w:val="0041214B"/>
    <w:pPr>
      <w:spacing w:after="0" w:line="240" w:lineRule="auto"/>
    </w:pPr>
    <w:rPr>
      <w:rFonts w:ascii="Arial" w:hAnsi="Arial" w:cs="Arial"/>
      <w:color w:val="37424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ullet1">
    <w:name w:val="~ListNumBullet1"/>
    <w:basedOn w:val="Normal"/>
    <w:next w:val="Normal"/>
    <w:uiPriority w:val="3"/>
    <w:qFormat/>
    <w:rsid w:val="0041214B"/>
    <w:pPr>
      <w:numPr>
        <w:numId w:val="9"/>
      </w:numPr>
      <w:tabs>
        <w:tab w:val="clear" w:pos="340"/>
        <w:tab w:val="num" w:pos="360"/>
      </w:tabs>
      <w:spacing w:before="60" w:after="60" w:line="264" w:lineRule="auto"/>
      <w:ind w:left="0" w:firstLine="0"/>
    </w:pPr>
    <w:rPr>
      <w:rFonts w:eastAsia="Arial" w:cs="Arial"/>
      <w:lang w:val="es-ES_tradnl"/>
    </w:rPr>
  </w:style>
  <w:style w:type="numbering" w:customStyle="1" w:styleId="ListNumStyle">
    <w:name w:val="~ListNumStyle"/>
    <w:uiPriority w:val="99"/>
    <w:rsid w:val="0041214B"/>
    <w:pPr>
      <w:numPr>
        <w:numId w:val="8"/>
      </w:numPr>
    </w:pPr>
  </w:style>
  <w:style w:type="table" w:customStyle="1" w:styleId="Tablaconcuadrcula1">
    <w:name w:val="Tabla con cuadrícula1"/>
    <w:basedOn w:val="Tablanormal"/>
    <w:next w:val="Tablaconcuadrcula"/>
    <w:uiPriority w:val="39"/>
    <w:rsid w:val="0041214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Romano,Estilo0,CNBV Parrafo1,4 Viñ 1nivel,prueba1,Numeración 1,Cuadrícula media 1 - Énfasis 21,Romanos,Listas,lp1"/>
    <w:basedOn w:val="Normal"/>
    <w:link w:val="PrrafodelistaCar"/>
    <w:uiPriority w:val="34"/>
    <w:qFormat/>
    <w:rsid w:val="0041214B"/>
    <w:pPr>
      <w:spacing w:before="120" w:line="264" w:lineRule="auto"/>
      <w:contextualSpacing/>
    </w:pPr>
    <w:rPr>
      <w:rFonts w:eastAsia="Arial" w:cs="Arial"/>
    </w:rPr>
  </w:style>
  <w:style w:type="paragraph" w:styleId="Cita">
    <w:name w:val="Quote"/>
    <w:basedOn w:val="Normal"/>
    <w:next w:val="Normal"/>
    <w:link w:val="CitaCar"/>
    <w:uiPriority w:val="29"/>
    <w:qFormat/>
    <w:rsid w:val="0041214B"/>
    <w:pPr>
      <w:spacing w:before="40" w:after="200"/>
      <w:ind w:left="1416" w:right="567"/>
    </w:pPr>
    <w:rPr>
      <w:rFonts w:eastAsia="Arial" w:cs="Arial"/>
      <w:i/>
      <w:sz w:val="18"/>
    </w:rPr>
  </w:style>
  <w:style w:type="character" w:customStyle="1" w:styleId="CitaCar">
    <w:name w:val="Cita Car"/>
    <w:basedOn w:val="Fuentedeprrafopredeter"/>
    <w:link w:val="Cita"/>
    <w:uiPriority w:val="29"/>
    <w:rsid w:val="0041214B"/>
    <w:rPr>
      <w:rFonts w:eastAsia="Arial" w:cs="Arial"/>
      <w:i/>
      <w:sz w:val="18"/>
    </w:rPr>
  </w:style>
  <w:style w:type="character" w:styleId="Refdenotaalpie">
    <w:name w:val="footnote reference"/>
    <w:aliases w:val="~FootnoteRef,Ref. de nota al pie 2,Footnotes refss,Texto de nota al pie,Ref,de nota al pie,Appel note de bas de page,fr,(NECG) Footnote Reference,o,Appel note de bas de p,Style 12,Style 124,Style 13,Style 3,Style 17,FR,callout,Italic"/>
    <w:basedOn w:val="Fuentedeprrafopredeter"/>
    <w:uiPriority w:val="19"/>
    <w:qFormat/>
    <w:rsid w:val="00A473B5"/>
    <w:rPr>
      <w:rFonts w:asciiTheme="minorHAnsi" w:hAnsiTheme="minorHAnsi"/>
      <w:color w:val="5B9BD5" w:themeColor="accent1"/>
      <w:vertAlign w:val="superscript"/>
    </w:rPr>
  </w:style>
  <w:style w:type="paragraph" w:styleId="Textonotapie">
    <w:name w:val="footnote text"/>
    <w:aliases w:val="~FootnoteText,Pie depágina,Footnote Text Char1,Footnote Text Char Char1,Footnote Text Char4 Char Char,Footnote Text Char1 Char1 Char1 Char,Footnote Text Char Char1 Char1 Char Char,Footnote Text Char1 Char1 Char1 Char Char Char1,fn"/>
    <w:basedOn w:val="Sinespaciado"/>
    <w:link w:val="TextonotapieCar"/>
    <w:uiPriority w:val="19"/>
    <w:qFormat/>
    <w:rsid w:val="00A473B5"/>
    <w:pPr>
      <w:spacing w:before="60"/>
      <w:ind w:left="284" w:hanging="284"/>
    </w:pPr>
    <w:rPr>
      <w:rFonts w:asciiTheme="minorHAnsi" w:hAnsiTheme="minorHAnsi" w:cs="Arial"/>
      <w:color w:val="44546A" w:themeColor="text2"/>
      <w:sz w:val="16"/>
      <w:lang w:val="es-ES_tradnl"/>
    </w:rPr>
  </w:style>
  <w:style w:type="character" w:customStyle="1" w:styleId="TextonotapieCar">
    <w:name w:val="Texto nota pie Car"/>
    <w:aliases w:val="~FootnoteText Car,Pie depágina Car,Footnote Text Char1 Car,Footnote Text Char Char1 Car,Footnote Text Char4 Char Char Car,Footnote Text Char1 Char1 Char1 Char Car,Footnote Text Char Char1 Char1 Char Char Car,fn Car"/>
    <w:basedOn w:val="Fuentedeprrafopredeter"/>
    <w:link w:val="Textonotapie"/>
    <w:uiPriority w:val="99"/>
    <w:rsid w:val="00A473B5"/>
    <w:rPr>
      <w:rFonts w:asciiTheme="minorHAnsi" w:hAnsiTheme="minorHAnsi" w:cs="Arial"/>
      <w:color w:val="44546A" w:themeColor="text2"/>
      <w:sz w:val="16"/>
      <w:lang w:val="es-ES_tradnl"/>
    </w:rPr>
  </w:style>
  <w:style w:type="paragraph" w:customStyle="1" w:styleId="7CitaTextual">
    <w:name w:val="7 Cita Textual"/>
    <w:basedOn w:val="Normal"/>
    <w:link w:val="7CitaTextualCar"/>
    <w:qFormat/>
    <w:rsid w:val="00C505B6"/>
    <w:pPr>
      <w:spacing w:before="40" w:after="200"/>
      <w:ind w:left="567" w:right="567"/>
    </w:pPr>
    <w:rPr>
      <w:rFonts w:eastAsiaTheme="minorHAnsi"/>
      <w:i/>
      <w:sz w:val="18"/>
    </w:rPr>
  </w:style>
  <w:style w:type="character" w:customStyle="1" w:styleId="7CitaTextualCar">
    <w:name w:val="7 Cita Textual Car"/>
    <w:basedOn w:val="Fuentedeprrafopredeter"/>
    <w:link w:val="7CitaTextual"/>
    <w:rsid w:val="00C505B6"/>
    <w:rPr>
      <w:i/>
      <w:sz w:val="18"/>
    </w:rPr>
  </w:style>
  <w:style w:type="paragraph" w:customStyle="1" w:styleId="ParaNumBullet1">
    <w:name w:val="~ParaNumBullet1"/>
    <w:basedOn w:val="Normal"/>
    <w:uiPriority w:val="3"/>
    <w:rsid w:val="00C505B6"/>
    <w:pPr>
      <w:numPr>
        <w:numId w:val="11"/>
      </w:numPr>
      <w:spacing w:before="120"/>
    </w:pPr>
    <w:rPr>
      <w:rFonts w:eastAsia="Calibri" w:cs="Arial"/>
      <w:lang w:val="en-GB"/>
    </w:rPr>
  </w:style>
  <w:style w:type="paragraph" w:customStyle="1" w:styleId="ParaNumBullet2">
    <w:name w:val="~ParaNumBullet2"/>
    <w:basedOn w:val="ParaNumBullet1"/>
    <w:uiPriority w:val="3"/>
    <w:rsid w:val="00C505B6"/>
    <w:pPr>
      <w:numPr>
        <w:ilvl w:val="1"/>
      </w:numPr>
    </w:pPr>
  </w:style>
  <w:style w:type="paragraph" w:customStyle="1" w:styleId="ParaNumBullet3">
    <w:name w:val="~ParaNumBullet3"/>
    <w:basedOn w:val="ParaNumBullet2"/>
    <w:uiPriority w:val="3"/>
    <w:rsid w:val="00C505B6"/>
    <w:pPr>
      <w:numPr>
        <w:ilvl w:val="2"/>
      </w:numPr>
    </w:pPr>
  </w:style>
  <w:style w:type="character" w:styleId="Refdecomentario">
    <w:name w:val="annotation reference"/>
    <w:basedOn w:val="Fuentedeprrafopredeter"/>
    <w:uiPriority w:val="99"/>
    <w:unhideWhenUsed/>
    <w:rsid w:val="00314CF0"/>
    <w:rPr>
      <w:sz w:val="16"/>
      <w:szCs w:val="16"/>
    </w:rPr>
  </w:style>
  <w:style w:type="paragraph" w:styleId="Textocomentario">
    <w:name w:val="annotation text"/>
    <w:basedOn w:val="Normal"/>
    <w:link w:val="TextocomentarioCar"/>
    <w:uiPriority w:val="99"/>
    <w:unhideWhenUsed/>
    <w:rsid w:val="00314CF0"/>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314CF0"/>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314CF0"/>
    <w:rPr>
      <w:b/>
      <w:bCs/>
    </w:rPr>
  </w:style>
  <w:style w:type="character" w:customStyle="1" w:styleId="AsuntodelcomentarioCar">
    <w:name w:val="Asunto del comentario Car"/>
    <w:basedOn w:val="TextocomentarioCar"/>
    <w:link w:val="Asuntodelcomentario"/>
    <w:uiPriority w:val="99"/>
    <w:semiHidden/>
    <w:rsid w:val="00314CF0"/>
    <w:rPr>
      <w:rFonts w:eastAsiaTheme="minorEastAsia"/>
      <w:b/>
      <w:bCs/>
      <w:sz w:val="20"/>
      <w:szCs w:val="20"/>
    </w:rPr>
  </w:style>
  <w:style w:type="paragraph" w:styleId="Textodeglobo">
    <w:name w:val="Balloon Text"/>
    <w:basedOn w:val="Normal"/>
    <w:link w:val="TextodegloboCar"/>
    <w:uiPriority w:val="99"/>
    <w:semiHidden/>
    <w:unhideWhenUsed/>
    <w:rsid w:val="0031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CF0"/>
    <w:rPr>
      <w:rFonts w:ascii="Segoe UI" w:eastAsiaTheme="minorEastAsia" w:hAnsi="Segoe UI" w:cs="Segoe UI"/>
      <w:sz w:val="18"/>
      <w:szCs w:val="18"/>
    </w:rPr>
  </w:style>
  <w:style w:type="character" w:styleId="Hipervnculo">
    <w:name w:val="Hyperlink"/>
    <w:basedOn w:val="Fuentedeprrafopredeter"/>
    <w:uiPriority w:val="99"/>
    <w:unhideWhenUsed/>
    <w:rsid w:val="00057942"/>
    <w:rPr>
      <w:color w:val="0563C1" w:themeColor="hyperlink"/>
      <w:u w:val="single"/>
    </w:rPr>
  </w:style>
  <w:style w:type="paragraph" w:customStyle="1" w:styleId="ParaBullet1">
    <w:name w:val="~ParaBullet1"/>
    <w:basedOn w:val="Normal"/>
    <w:uiPriority w:val="3"/>
    <w:qFormat/>
    <w:rsid w:val="004D14D1"/>
    <w:pPr>
      <w:numPr>
        <w:numId w:val="12"/>
      </w:numPr>
      <w:spacing w:before="120" w:line="264" w:lineRule="auto"/>
    </w:pPr>
    <w:rPr>
      <w:rFonts w:asciiTheme="minorHAnsi" w:eastAsia="Calibri" w:hAnsiTheme="minorHAnsi" w:cs="Arial"/>
      <w:color w:val="000000" w:themeColor="text1"/>
      <w:lang w:val="es-ES_tradnl"/>
    </w:rPr>
  </w:style>
  <w:style w:type="paragraph" w:customStyle="1" w:styleId="ParaBullet2">
    <w:name w:val="~ParaBullet2"/>
    <w:basedOn w:val="ParaBullet1"/>
    <w:uiPriority w:val="3"/>
    <w:qFormat/>
    <w:rsid w:val="004D14D1"/>
    <w:pPr>
      <w:numPr>
        <w:ilvl w:val="1"/>
      </w:numPr>
    </w:pPr>
  </w:style>
  <w:style w:type="paragraph" w:customStyle="1" w:styleId="ParaBullet3">
    <w:name w:val="~ParaBullet3"/>
    <w:basedOn w:val="ParaBullet2"/>
    <w:uiPriority w:val="3"/>
    <w:qFormat/>
    <w:rsid w:val="004D14D1"/>
    <w:pPr>
      <w:numPr>
        <w:ilvl w:val="2"/>
      </w:numPr>
    </w:pPr>
  </w:style>
  <w:style w:type="character" w:styleId="nfasis">
    <w:name w:val="Emphasis"/>
    <w:basedOn w:val="Fuentedeprrafopredeter"/>
    <w:uiPriority w:val="20"/>
    <w:qFormat/>
    <w:rsid w:val="00C709D7"/>
    <w:rPr>
      <w:i/>
      <w:iCs/>
    </w:rPr>
  </w:style>
  <w:style w:type="character" w:customStyle="1" w:styleId="PrrafodelistaCar">
    <w:name w:val="Párrafo de lista Car"/>
    <w:aliases w:val="Romano Car,Estilo0 Car,CNBV Parrafo1 Car,4 Viñ 1nivel Car,prueba1 Car,Numeración 1 Car,Cuadrícula media 1 - Énfasis 21 Car,Romanos Car,Listas Car,lp1 Car"/>
    <w:link w:val="Prrafodelista"/>
    <w:uiPriority w:val="34"/>
    <w:qFormat/>
    <w:rsid w:val="00C709D7"/>
    <w:rPr>
      <w:rFonts w:eastAsia="Arial" w:cs="Arial"/>
    </w:rPr>
  </w:style>
  <w:style w:type="paragraph" w:customStyle="1" w:styleId="Antecedentes">
    <w:name w:val="Antecedentes"/>
    <w:basedOn w:val="Prrafodelista"/>
    <w:link w:val="AntecedentesCar"/>
    <w:qFormat/>
    <w:rsid w:val="00C709D7"/>
    <w:pPr>
      <w:numPr>
        <w:numId w:val="13"/>
      </w:numPr>
      <w:tabs>
        <w:tab w:val="left" w:pos="9356"/>
      </w:tabs>
      <w:spacing w:line="276" w:lineRule="auto"/>
      <w:contextualSpacing w:val="0"/>
    </w:pPr>
  </w:style>
  <w:style w:type="character" w:customStyle="1" w:styleId="AntecedentesCar">
    <w:name w:val="Antecedentes Car"/>
    <w:basedOn w:val="PrrafodelistaCar"/>
    <w:link w:val="Antecedentes"/>
    <w:rsid w:val="00C709D7"/>
    <w:rPr>
      <w:rFonts w:eastAsia="Arial" w:cs="Arial"/>
    </w:rPr>
  </w:style>
  <w:style w:type="paragraph" w:customStyle="1" w:styleId="Figuras">
    <w:name w:val="Figuras"/>
    <w:basedOn w:val="Normal"/>
    <w:autoRedefine/>
    <w:qFormat/>
    <w:rsid w:val="00220D36"/>
    <w:pPr>
      <w:keepNext/>
      <w:spacing w:after="0"/>
    </w:pPr>
    <w:rPr>
      <w:rFonts w:eastAsiaTheme="minorHAnsi"/>
      <w:b/>
      <w:sz w:val="20"/>
      <w:lang w:val="es-ES_tradnl" w:eastAsia="es-ES"/>
    </w:rPr>
  </w:style>
  <w:style w:type="paragraph" w:styleId="Descripcin">
    <w:name w:val="caption"/>
    <w:aliases w:val="~Caption"/>
    <w:basedOn w:val="Normal"/>
    <w:next w:val="Normal"/>
    <w:link w:val="DescripcinCar"/>
    <w:uiPriority w:val="2"/>
    <w:qFormat/>
    <w:rsid w:val="001049D7"/>
    <w:pPr>
      <w:keepNext/>
      <w:tabs>
        <w:tab w:val="left" w:pos="1276"/>
      </w:tabs>
      <w:spacing w:before="120" w:after="60" w:line="240" w:lineRule="auto"/>
      <w:ind w:left="1276" w:hanging="1276"/>
    </w:pPr>
    <w:rPr>
      <w:rFonts w:asciiTheme="minorHAnsi" w:eastAsia="Calibri" w:hAnsiTheme="minorHAnsi" w:cs="Arial"/>
      <w:b/>
      <w:color w:val="000000" w:themeColor="text1"/>
      <w:lang w:val="es-ES_tradnl"/>
    </w:rPr>
  </w:style>
  <w:style w:type="character" w:customStyle="1" w:styleId="DescripcinCar">
    <w:name w:val="Descripción Car"/>
    <w:aliases w:val="~Caption Car"/>
    <w:basedOn w:val="Fuentedeprrafopredeter"/>
    <w:link w:val="Descripcin"/>
    <w:uiPriority w:val="2"/>
    <w:rsid w:val="001049D7"/>
    <w:rPr>
      <w:rFonts w:asciiTheme="minorHAnsi" w:eastAsia="Calibri" w:hAnsiTheme="minorHAnsi" w:cs="Arial"/>
      <w:b/>
      <w:color w:val="000000" w:themeColor="text1"/>
      <w:lang w:val="es-ES_tradnl"/>
    </w:rPr>
  </w:style>
  <w:style w:type="paragraph" w:customStyle="1" w:styleId="Source">
    <w:name w:val="~Source"/>
    <w:basedOn w:val="Normal"/>
    <w:next w:val="Normal"/>
    <w:uiPriority w:val="2"/>
    <w:qFormat/>
    <w:rsid w:val="001049D7"/>
    <w:pPr>
      <w:tabs>
        <w:tab w:val="left" w:pos="709"/>
      </w:tabs>
      <w:spacing w:before="60" w:after="60" w:line="240" w:lineRule="auto"/>
      <w:ind w:left="709" w:hanging="709"/>
      <w:jc w:val="left"/>
    </w:pPr>
    <w:rPr>
      <w:rFonts w:asciiTheme="minorHAnsi" w:eastAsia="Calibri" w:hAnsiTheme="minorHAnsi" w:cs="Arial"/>
      <w:i/>
      <w:color w:val="000000" w:themeColor="text1"/>
      <w:sz w:val="16"/>
      <w:lang w:val="es-ES_tradnl"/>
    </w:rPr>
  </w:style>
  <w:style w:type="paragraph" w:customStyle="1" w:styleId="GraphicLeft">
    <w:name w:val="~GraphicLeft"/>
    <w:basedOn w:val="Sinespaciado"/>
    <w:uiPriority w:val="9"/>
    <w:rsid w:val="001049D7"/>
    <w:rPr>
      <w:rFonts w:asciiTheme="minorHAnsi" w:hAnsiTheme="minorHAnsi" w:cs="Arial"/>
      <w:color w:val="000000" w:themeColor="text1"/>
      <w:sz w:val="20"/>
      <w:lang w:val="es-ES_tradnl"/>
    </w:rPr>
  </w:style>
  <w:style w:type="paragraph" w:customStyle="1" w:styleId="ListBullet1">
    <w:name w:val="~ListBullet1"/>
    <w:basedOn w:val="Normal"/>
    <w:uiPriority w:val="3"/>
    <w:qFormat/>
    <w:rsid w:val="001049D7"/>
    <w:pPr>
      <w:numPr>
        <w:numId w:val="29"/>
      </w:numPr>
      <w:spacing w:before="60" w:after="60" w:line="264" w:lineRule="auto"/>
    </w:pPr>
    <w:rPr>
      <w:rFonts w:asciiTheme="minorHAnsi" w:eastAsiaTheme="minorHAnsi" w:hAnsiTheme="minorHAnsi" w:cs="Arial"/>
      <w:color w:val="000000" w:themeColor="text1"/>
      <w:lang w:val="es-ES_tradnl"/>
    </w:rPr>
  </w:style>
  <w:style w:type="paragraph" w:customStyle="1" w:styleId="ListBullet2">
    <w:name w:val="~ListBullet2"/>
    <w:basedOn w:val="ListBullet1"/>
    <w:uiPriority w:val="3"/>
    <w:qFormat/>
    <w:rsid w:val="001049D7"/>
    <w:pPr>
      <w:numPr>
        <w:ilvl w:val="1"/>
      </w:numPr>
    </w:pPr>
  </w:style>
  <w:style w:type="paragraph" w:customStyle="1" w:styleId="ListBullet3">
    <w:name w:val="~ListBullet3"/>
    <w:basedOn w:val="ListBullet2"/>
    <w:uiPriority w:val="3"/>
    <w:qFormat/>
    <w:rsid w:val="001049D7"/>
    <w:pPr>
      <w:numPr>
        <w:ilvl w:val="2"/>
      </w:numPr>
    </w:pPr>
  </w:style>
  <w:style w:type="paragraph" w:customStyle="1" w:styleId="estilo30">
    <w:name w:val="estilo30"/>
    <w:basedOn w:val="Normal"/>
    <w:uiPriority w:val="99"/>
    <w:rsid w:val="001049D7"/>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AnxHead">
    <w:name w:val="~AnxHead"/>
    <w:basedOn w:val="Normal"/>
    <w:next w:val="Normal"/>
    <w:uiPriority w:val="2"/>
    <w:qFormat/>
    <w:rsid w:val="00304293"/>
    <w:pPr>
      <w:keepNext/>
      <w:pageBreakBefore/>
      <w:numPr>
        <w:numId w:val="34"/>
      </w:numPr>
      <w:tabs>
        <w:tab w:val="left" w:pos="1559"/>
      </w:tabs>
      <w:spacing w:before="400" w:after="240" w:line="240" w:lineRule="auto"/>
      <w:ind w:hanging="2268"/>
      <w:jc w:val="left"/>
      <w:outlineLvl w:val="0"/>
    </w:pPr>
    <w:rPr>
      <w:rFonts w:ascii="Arial" w:eastAsiaTheme="minorHAnsi" w:hAnsi="Arial" w:cs="Arial"/>
      <w:caps/>
      <w:color w:val="5B9BD5" w:themeColor="accent1"/>
      <w:sz w:val="40"/>
      <w:szCs w:val="180"/>
      <w:lang w:val="es-ES_tradnl"/>
    </w:rPr>
  </w:style>
  <w:style w:type="paragraph" w:customStyle="1" w:styleId="AnxSubHead">
    <w:name w:val="~AnxSubHead"/>
    <w:basedOn w:val="AnxHead"/>
    <w:next w:val="Normal"/>
    <w:uiPriority w:val="2"/>
    <w:qFormat/>
    <w:rsid w:val="00304293"/>
    <w:pPr>
      <w:pageBreakBefore w:val="0"/>
      <w:numPr>
        <w:ilvl w:val="1"/>
      </w:numPr>
      <w:spacing w:before="240" w:after="0"/>
      <w:outlineLvl w:val="1"/>
    </w:pPr>
    <w:rPr>
      <w:caps w:val="0"/>
      <w:sz w:val="36"/>
      <w:szCs w:val="16"/>
    </w:rPr>
  </w:style>
  <w:style w:type="paragraph" w:customStyle="1" w:styleId="AnxMinorSubHead">
    <w:name w:val="~AnxMinorSubHead"/>
    <w:basedOn w:val="AnxSubHead"/>
    <w:next w:val="Normal"/>
    <w:uiPriority w:val="2"/>
    <w:qFormat/>
    <w:rsid w:val="00304293"/>
    <w:pPr>
      <w:numPr>
        <w:ilvl w:val="2"/>
      </w:numPr>
      <w:outlineLvl w:val="2"/>
    </w:pPr>
    <w:rPr>
      <w:iCs/>
      <w:sz w:val="30"/>
      <w:szCs w:val="14"/>
    </w:rPr>
  </w:style>
  <w:style w:type="paragraph" w:customStyle="1" w:styleId="TableTextLeft">
    <w:name w:val="~TableTextLeft"/>
    <w:basedOn w:val="Normal"/>
    <w:qFormat/>
    <w:rsid w:val="00304293"/>
    <w:pPr>
      <w:spacing w:before="40" w:after="40" w:line="240" w:lineRule="auto"/>
      <w:jc w:val="left"/>
    </w:pPr>
    <w:rPr>
      <w:rFonts w:asciiTheme="minorHAnsi" w:eastAsiaTheme="minorHAnsi" w:hAnsiTheme="minorHAnsi" w:cs="Arial"/>
      <w:color w:val="000000" w:themeColor="text1"/>
      <w:sz w:val="20"/>
      <w:lang w:val="es-ES_tradnl"/>
    </w:rPr>
  </w:style>
  <w:style w:type="paragraph" w:customStyle="1" w:styleId="TableHeadingLeft">
    <w:name w:val="~TableHeadingLeft"/>
    <w:basedOn w:val="TableTextLeft"/>
    <w:qFormat/>
    <w:rsid w:val="00304293"/>
    <w:rPr>
      <w:b/>
      <w:bCs/>
      <w:color w:val="A5A5A5" w:themeColor="accent3"/>
    </w:rPr>
  </w:style>
  <w:style w:type="paragraph" w:customStyle="1" w:styleId="TableHeadingRight">
    <w:name w:val="~TableHeadingRight"/>
    <w:basedOn w:val="TableHeadingLeft"/>
    <w:qFormat/>
    <w:rsid w:val="00304293"/>
    <w:pPr>
      <w:jc w:val="right"/>
    </w:pPr>
  </w:style>
  <w:style w:type="paragraph" w:customStyle="1" w:styleId="TableTextRight">
    <w:name w:val="~TableTextRight"/>
    <w:basedOn w:val="TableTextLeft"/>
    <w:qFormat/>
    <w:rsid w:val="00304293"/>
    <w:pPr>
      <w:jc w:val="right"/>
    </w:pPr>
  </w:style>
  <w:style w:type="table" w:customStyle="1" w:styleId="Frontier">
    <w:name w:val="~Frontier"/>
    <w:basedOn w:val="Tablanormal"/>
    <w:uiPriority w:val="99"/>
    <w:rsid w:val="00304293"/>
    <w:pPr>
      <w:keepNext/>
      <w:spacing w:after="0" w:line="240" w:lineRule="auto"/>
    </w:pPr>
    <w:rPr>
      <w:rFonts w:asciiTheme="minorHAnsi" w:hAnsiTheme="minorHAnsi" w:cs="Arial"/>
      <w:color w:val="000000" w:themeColor="text1"/>
      <w:lang w:val="en-GB"/>
    </w:rPr>
    <w:tblPr>
      <w:tblStyleRowBandSize w:val="1"/>
      <w:tblBorders>
        <w:top w:val="single" w:sz="2" w:space="0" w:color="A5A5A5" w:themeColor="accent3"/>
        <w:bottom w:val="single" w:sz="2" w:space="0" w:color="A5A5A5" w:themeColor="accent3"/>
        <w:insideH w:val="single" w:sz="2" w:space="0" w:color="E7E6E6" w:themeColor="background2"/>
      </w:tblBorders>
    </w:tblPr>
    <w:trPr>
      <w:cantSplit/>
    </w:trPr>
    <w:tblStylePr w:type="firstRow">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lastRow">
      <w:rPr>
        <w:b/>
        <w:i w:val="0"/>
        <w:color w:val="A5A5A5" w:themeColor="accent3"/>
      </w:rPr>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numbering" w:customStyle="1" w:styleId="AppListStyle">
    <w:name w:val="~AppListStyle"/>
    <w:uiPriority w:val="99"/>
    <w:rsid w:val="00304293"/>
    <w:pPr>
      <w:numPr>
        <w:numId w:val="33"/>
      </w:numPr>
    </w:pPr>
  </w:style>
  <w:style w:type="character" w:styleId="Hipervnculovisitado">
    <w:name w:val="FollowedHyperlink"/>
    <w:basedOn w:val="Fuentedeprrafopredeter"/>
    <w:uiPriority w:val="99"/>
    <w:semiHidden/>
    <w:unhideWhenUsed/>
    <w:rsid w:val="005A2F3E"/>
    <w:rPr>
      <w:color w:val="954F72" w:themeColor="followedHyperlink"/>
      <w:u w:val="single"/>
    </w:rPr>
  </w:style>
  <w:style w:type="paragraph" w:styleId="Revisin">
    <w:name w:val="Revision"/>
    <w:hidden/>
    <w:uiPriority w:val="99"/>
    <w:semiHidden/>
    <w:rsid w:val="001E65BF"/>
    <w:pPr>
      <w:spacing w:after="0" w:line="240" w:lineRule="auto"/>
    </w:pPr>
    <w:rPr>
      <w:rFonts w:eastAsiaTheme="minorEastAsia"/>
    </w:rPr>
  </w:style>
  <w:style w:type="table" w:customStyle="1" w:styleId="Tabladecuadrcula2-nfasis61">
    <w:name w:val="Tabla de cuadrícula 2 - Énfasis 61"/>
    <w:basedOn w:val="Tablanormal"/>
    <w:uiPriority w:val="47"/>
    <w:rsid w:val="0059380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stilo3">
    <w:name w:val="Estilo3"/>
    <w:basedOn w:val="Prrafodelista"/>
    <w:autoRedefine/>
    <w:qFormat/>
    <w:rsid w:val="00410262"/>
    <w:pPr>
      <w:spacing w:before="40" w:after="200" w:line="276" w:lineRule="auto"/>
      <w:ind w:left="2160" w:hanging="360"/>
      <w:contextualSpacing w:val="0"/>
    </w:pPr>
    <w:rPr>
      <w:rFonts w:eastAsiaTheme="minorEastAsia" w:cstheme="minorBidi"/>
    </w:rPr>
  </w:style>
  <w:style w:type="numbering" w:customStyle="1" w:styleId="SecListStyle">
    <w:name w:val="~SecListStyle"/>
    <w:uiPriority w:val="99"/>
    <w:rsid w:val="00E71467"/>
    <w:pPr>
      <w:numPr>
        <w:numId w:val="73"/>
      </w:numPr>
    </w:pPr>
  </w:style>
  <w:style w:type="paragraph" w:customStyle="1" w:styleId="ListNumBullet2">
    <w:name w:val="~ListNumBullet2"/>
    <w:basedOn w:val="ListNumBullet1"/>
    <w:uiPriority w:val="3"/>
    <w:qFormat/>
    <w:rsid w:val="00E71467"/>
    <w:pPr>
      <w:numPr>
        <w:numId w:val="0"/>
      </w:numPr>
      <w:tabs>
        <w:tab w:val="num" w:pos="680"/>
      </w:tabs>
      <w:ind w:left="680" w:hanging="340"/>
    </w:pPr>
    <w:rPr>
      <w:rFonts w:asciiTheme="minorHAnsi" w:eastAsiaTheme="minorHAnsi" w:hAnsiTheme="minorHAnsi"/>
      <w:color w:val="000000" w:themeColor="text1"/>
    </w:rPr>
  </w:style>
  <w:style w:type="paragraph" w:customStyle="1" w:styleId="ListNumBullet3">
    <w:name w:val="~ListNumBullet3"/>
    <w:basedOn w:val="ListNumBullet2"/>
    <w:uiPriority w:val="3"/>
    <w:qFormat/>
    <w:rsid w:val="00E71467"/>
    <w:pPr>
      <w:tabs>
        <w:tab w:val="clear" w:pos="680"/>
        <w:tab w:val="num" w:pos="1021"/>
      </w:tabs>
      <w:ind w:left="1021" w:hanging="341"/>
    </w:pPr>
  </w:style>
  <w:style w:type="table" w:customStyle="1" w:styleId="Frontier1">
    <w:name w:val="~Frontier1"/>
    <w:basedOn w:val="Tablanormal"/>
    <w:uiPriority w:val="99"/>
    <w:rsid w:val="002201B0"/>
    <w:pPr>
      <w:keepNext/>
      <w:spacing w:after="0" w:line="240" w:lineRule="auto"/>
    </w:pPr>
    <w:rPr>
      <w:rFonts w:asciiTheme="minorHAnsi" w:hAnsiTheme="minorHAnsi" w:cs="Arial"/>
      <w:color w:val="000000" w:themeColor="text1"/>
      <w:lang w:val="en-GB"/>
    </w:rPr>
    <w:tblPr>
      <w:tblStyleRowBandSize w:val="1"/>
      <w:tblBorders>
        <w:top w:val="single" w:sz="2" w:space="0" w:color="A5A5A5" w:themeColor="accent3"/>
        <w:bottom w:val="single" w:sz="2" w:space="0" w:color="A5A5A5" w:themeColor="accent3"/>
        <w:insideH w:val="single" w:sz="2" w:space="0" w:color="E7E6E6" w:themeColor="background2"/>
      </w:tblBorders>
    </w:tblPr>
    <w:trPr>
      <w:cantSplit/>
    </w:trPr>
    <w:tblStylePr w:type="firstRow">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lastRow">
      <w:rPr>
        <w:b/>
        <w:i w:val="0"/>
        <w:color w:val="A5A5A5" w:themeColor="accent3"/>
      </w:rPr>
      <w:tblPr/>
      <w:tcPr>
        <w:tcBorders>
          <w:top w:val="single" w:sz="2" w:space="0" w:color="A5A5A5" w:themeColor="accent3"/>
          <w:left w:val="nil"/>
          <w:bottom w:val="single" w:sz="2" w:space="0" w:color="A5A5A5" w:themeColor="accent3"/>
          <w:right w:val="nil"/>
          <w:insideH w:val="nil"/>
          <w:insideV w:val="nil"/>
          <w:tl2br w:val="nil"/>
          <w:tr2bl w:val="nil"/>
        </w:tcBorders>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109928">
      <w:bodyDiv w:val="1"/>
      <w:marLeft w:val="0"/>
      <w:marRight w:val="0"/>
      <w:marTop w:val="0"/>
      <w:marBottom w:val="0"/>
      <w:divBdr>
        <w:top w:val="none" w:sz="0" w:space="0" w:color="auto"/>
        <w:left w:val="none" w:sz="0" w:space="0" w:color="auto"/>
        <w:bottom w:val="none" w:sz="0" w:space="0" w:color="auto"/>
        <w:right w:val="none" w:sz="0" w:space="0" w:color="auto"/>
      </w:divBdr>
    </w:div>
    <w:div w:id="207874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D5121B912868449A3C5ACBE470BFC5" ma:contentTypeVersion="0" ma:contentTypeDescription="Crear nuevo documento." ma:contentTypeScope="" ma:versionID="815d36a22a4b62884af4297906ef7370">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521B2-293F-415A-8200-432D7552C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DDC6F6-FF3A-401A-AC05-4B698EAFDB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CC0E0-9876-4DED-AA57-70BBCADF7250}">
  <ds:schemaRefs>
    <ds:schemaRef ds:uri="http://schemas.microsoft.com/sharepoint/v3/contenttype/forms"/>
  </ds:schemaRefs>
</ds:datastoreItem>
</file>

<file path=customXml/itemProps4.xml><?xml version="1.0" encoding="utf-8"?>
<ds:datastoreItem xmlns:ds="http://schemas.openxmlformats.org/officeDocument/2006/customXml" ds:itemID="{A277E504-F429-45AE-AD81-869C1164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1628</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Quiroz</dc:creator>
  <cp:keywords/>
  <dc:description/>
  <cp:lastModifiedBy>Armando Isaias Zacateco Rivera</cp:lastModifiedBy>
  <cp:revision>3</cp:revision>
  <cp:lastPrinted>2017-09-05T16:18:00Z</cp:lastPrinted>
  <dcterms:created xsi:type="dcterms:W3CDTF">2017-09-15T14:02:00Z</dcterms:created>
  <dcterms:modified xsi:type="dcterms:W3CDTF">2017-09-15T14:35:00Z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0x0101003CD5121B912868449A3C5ACBE470BFC5</vt:lpwstr>
  </property>
</Properties>
</file>