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0D66" w14:textId="1E9A7A4F" w:rsidR="008C1EC6" w:rsidRPr="002201B0" w:rsidRDefault="008C1EC6" w:rsidP="008C1EC6">
      <w:pPr>
        <w:keepNext/>
        <w:spacing w:before="240"/>
        <w:jc w:val="center"/>
        <w:outlineLvl w:val="0"/>
        <w:rPr>
          <w:rFonts w:eastAsia="Arial" w:cs="Arial"/>
          <w:b/>
          <w:smallCaps/>
          <w:sz w:val="24"/>
          <w:szCs w:val="16"/>
          <w:lang w:val="es-ES_tradnl"/>
        </w:rPr>
      </w:pPr>
      <w:r>
        <w:rPr>
          <w:rFonts w:eastAsia="Arial" w:cs="Arial"/>
          <w:b/>
          <w:smallCaps/>
          <w:sz w:val="24"/>
          <w:szCs w:val="16"/>
          <w:lang w:val="es-ES_tradnl"/>
        </w:rPr>
        <w:t>PRUEBA DE REPLICABILIDAD DE TELEFÓNÍA FIJA</w:t>
      </w:r>
    </w:p>
    <w:p w14:paraId="7F550B52" w14:textId="77777777" w:rsidR="008C1EC6" w:rsidRPr="002201B0" w:rsidRDefault="008C1EC6">
      <w:pPr>
        <w:numPr>
          <w:ilvl w:val="0"/>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Introducción</w:t>
      </w:r>
    </w:p>
    <w:p w14:paraId="7CA03FFF" w14:textId="7069128C" w:rsidR="008C1EC6" w:rsidRDefault="008C1EC6" w:rsidP="008C1EC6">
      <w:r>
        <w:t xml:space="preserve">Este </w:t>
      </w:r>
      <w:r w:rsidR="00DE5E54">
        <w:t>apartado</w:t>
      </w:r>
      <w:r>
        <w:t xml:space="preserve"> complementa el modelo Excel referente a la prueba de replicabilidad que se aplicará a los </w:t>
      </w:r>
      <w:r w:rsidRPr="00262AD4">
        <w:rPr>
          <w:b/>
        </w:rPr>
        <w:t>servicios minoristas de telefonía fija</w:t>
      </w:r>
      <w:r>
        <w:t xml:space="preserve">. El objetivo de la prueba de replicabilidad es evaluar si un operador alternativo que hace uso de los servicios mayoristas regulados puede replicar rentablemente la oferta minorista del AEP para el servicio analizado. </w:t>
      </w:r>
    </w:p>
    <w:p w14:paraId="2AC4198A" w14:textId="77777777" w:rsidR="008C1EC6" w:rsidRPr="002201B0" w:rsidRDefault="008C1EC6" w:rsidP="008C1EC6">
      <w:r>
        <w:t xml:space="preserve">En el caso de los servicios de telefonía fija, las principales dimensiones de la prueba se resumen en la </w:t>
      </w:r>
      <w:r>
        <w:fldChar w:fldCharType="begin"/>
      </w:r>
      <w:r>
        <w:instrText xml:space="preserve"> REF _Ref482888419 \h </w:instrText>
      </w:r>
      <w:r>
        <w:fldChar w:fldCharType="separate"/>
      </w:r>
      <w:r>
        <w:t xml:space="preserve">Figura </w:t>
      </w:r>
      <w:r>
        <w:rPr>
          <w:noProof/>
        </w:rPr>
        <w:t>1</w:t>
      </w:r>
      <w:r>
        <w:fldChar w:fldCharType="end"/>
      </w:r>
      <w:r>
        <w:t>.</w:t>
      </w:r>
    </w:p>
    <w:p w14:paraId="40149F5F" w14:textId="77777777" w:rsidR="008C1EC6" w:rsidRPr="00C30B00" w:rsidRDefault="008C1EC6" w:rsidP="008C1EC6">
      <w:pPr>
        <w:keepNext/>
        <w:tabs>
          <w:tab w:val="left" w:pos="1276"/>
        </w:tabs>
        <w:spacing w:before="120" w:after="60" w:line="240" w:lineRule="auto"/>
        <w:ind w:left="1276" w:hanging="1276"/>
        <w:rPr>
          <w:rFonts w:eastAsia="Calibri" w:cs="Arial"/>
          <w:b/>
          <w:sz w:val="18"/>
          <w:szCs w:val="18"/>
          <w:lang w:val="es-ES_tradnl"/>
        </w:rPr>
      </w:pPr>
      <w:r w:rsidRPr="00C30B00">
        <w:rPr>
          <w:rFonts w:eastAsia="Calibri" w:cs="Arial"/>
          <w:b/>
          <w:sz w:val="18"/>
          <w:szCs w:val="18"/>
          <w:lang w:val="es-ES_tradnl"/>
        </w:rPr>
        <w:t xml:space="preserve">Figura </w:t>
      </w:r>
      <w:r w:rsidRPr="00C30B00">
        <w:rPr>
          <w:rFonts w:eastAsia="Calibri" w:cs="Arial"/>
          <w:b/>
          <w:sz w:val="18"/>
          <w:szCs w:val="18"/>
          <w:lang w:val="es-ES_tradnl"/>
        </w:rPr>
        <w:fldChar w:fldCharType="begin"/>
      </w:r>
      <w:r w:rsidRPr="00C30B00">
        <w:rPr>
          <w:rFonts w:eastAsia="Calibri" w:cs="Arial"/>
          <w:b/>
          <w:sz w:val="18"/>
          <w:szCs w:val="18"/>
          <w:lang w:val="es-ES_tradnl"/>
        </w:rPr>
        <w:instrText xml:space="preserve"> SEQ Figura </w:instrText>
      </w:r>
      <w:r w:rsidRPr="00C30B00">
        <w:rPr>
          <w:rFonts w:eastAsia="Calibri" w:cs="Arial"/>
          <w:b/>
          <w:sz w:val="18"/>
          <w:szCs w:val="18"/>
          <w:lang w:val="es-ES_tradnl"/>
        </w:rPr>
        <w:fldChar w:fldCharType="separate"/>
      </w:r>
      <w:r w:rsidRPr="00C30B00">
        <w:rPr>
          <w:rFonts w:eastAsia="Calibri" w:cs="Arial"/>
          <w:b/>
          <w:noProof/>
          <w:sz w:val="18"/>
          <w:szCs w:val="18"/>
          <w:lang w:val="es-ES_tradnl"/>
        </w:rPr>
        <w:t>1</w:t>
      </w:r>
      <w:r w:rsidRPr="00C30B00">
        <w:rPr>
          <w:rFonts w:eastAsia="Calibri" w:cs="Arial"/>
          <w:b/>
          <w:noProof/>
          <w:sz w:val="18"/>
          <w:szCs w:val="18"/>
          <w:lang w:val="es-ES_tradnl"/>
        </w:rPr>
        <w:fldChar w:fldCharType="end"/>
      </w:r>
      <w:r w:rsidRPr="00C30B00">
        <w:rPr>
          <w:rFonts w:eastAsia="Calibri" w:cs="Arial"/>
          <w:b/>
          <w:sz w:val="18"/>
          <w:szCs w:val="18"/>
          <w:lang w:val="es-ES_tradnl"/>
        </w:rPr>
        <w:tab/>
        <w:t xml:space="preserve">Dimensiones de la prueba de </w:t>
      </w:r>
      <w:r w:rsidR="00FB7A59" w:rsidRPr="00C30B00">
        <w:rPr>
          <w:rFonts w:eastAsia="Calibri" w:cs="Arial"/>
          <w:b/>
          <w:sz w:val="18"/>
          <w:szCs w:val="18"/>
          <w:lang w:val="es-ES_tradnl"/>
        </w:rPr>
        <w:t>telefonía fija</w:t>
      </w:r>
    </w:p>
    <w:tbl>
      <w:tblPr>
        <w:tblStyle w:val="Frontier1"/>
        <w:tblW w:w="7940" w:type="dxa"/>
        <w:tblInd w:w="108" w:type="dxa"/>
        <w:tblLayout w:type="fixed"/>
        <w:tblLook w:val="0420" w:firstRow="1" w:lastRow="0" w:firstColumn="0" w:lastColumn="0" w:noHBand="0" w:noVBand="1"/>
      </w:tblPr>
      <w:tblGrid>
        <w:gridCol w:w="3957"/>
        <w:gridCol w:w="3983"/>
      </w:tblGrid>
      <w:tr w:rsidR="008C1EC6" w:rsidRPr="002201B0" w14:paraId="27FBDB07" w14:textId="77777777" w:rsidTr="009511FF">
        <w:trPr>
          <w:cnfStyle w:val="100000000000" w:firstRow="1" w:lastRow="0" w:firstColumn="0" w:lastColumn="0" w:oddVBand="0" w:evenVBand="0" w:oddHBand="0" w:evenHBand="0" w:firstRowFirstColumn="0" w:firstRowLastColumn="0" w:lastRowFirstColumn="0" w:lastRowLastColumn="0"/>
          <w:trHeight w:val="20"/>
          <w:tblHeader/>
        </w:trPr>
        <w:tc>
          <w:tcPr>
            <w:tcW w:w="2492" w:type="pct"/>
          </w:tcPr>
          <w:p w14:paraId="7232C9FD" w14:textId="77777777" w:rsidR="008C1EC6" w:rsidRPr="002201B0" w:rsidRDefault="008C1EC6" w:rsidP="009511FF">
            <w:pPr>
              <w:spacing w:before="40" w:after="40" w:line="240" w:lineRule="auto"/>
              <w:jc w:val="left"/>
              <w:rPr>
                <w:rFonts w:ascii="ITC Avant Garde" w:eastAsiaTheme="minorHAnsi" w:hAnsi="ITC Avant Garde"/>
                <w:b/>
                <w:bCs/>
                <w:color w:val="A5A5A5" w:themeColor="accent3"/>
                <w:sz w:val="20"/>
                <w:lang w:val="es-ES_tradnl"/>
              </w:rPr>
            </w:pPr>
            <w:r w:rsidRPr="002201B0">
              <w:rPr>
                <w:rFonts w:ascii="ITC Avant Garde" w:eastAsiaTheme="minorHAnsi" w:hAnsi="ITC Avant Garde"/>
                <w:b/>
                <w:bCs/>
                <w:color w:val="A5A5A5" w:themeColor="accent3"/>
                <w:sz w:val="20"/>
                <w:lang w:val="es-ES_tradnl"/>
              </w:rPr>
              <w:t>Dimensión</w:t>
            </w:r>
          </w:p>
        </w:tc>
        <w:tc>
          <w:tcPr>
            <w:tcW w:w="2508" w:type="pct"/>
          </w:tcPr>
          <w:p w14:paraId="217BDDE2" w14:textId="77777777" w:rsidR="008C1EC6" w:rsidRPr="002201B0" w:rsidRDefault="008C1EC6" w:rsidP="009511FF">
            <w:pPr>
              <w:spacing w:before="40" w:after="40" w:line="240" w:lineRule="auto"/>
              <w:jc w:val="left"/>
              <w:rPr>
                <w:rFonts w:ascii="ITC Avant Garde" w:eastAsiaTheme="minorHAnsi" w:hAnsi="ITC Avant Garde"/>
                <w:b/>
                <w:bCs/>
                <w:color w:val="A5A5A5" w:themeColor="accent3"/>
                <w:sz w:val="20"/>
                <w:lang w:val="es-ES_tradnl"/>
              </w:rPr>
            </w:pPr>
            <w:r w:rsidRPr="002201B0">
              <w:rPr>
                <w:rFonts w:ascii="ITC Avant Garde" w:eastAsiaTheme="minorHAnsi" w:hAnsi="ITC Avant Garde"/>
                <w:b/>
                <w:bCs/>
                <w:color w:val="A5A5A5" w:themeColor="accent3"/>
                <w:sz w:val="20"/>
                <w:lang w:val="es-ES_tradnl"/>
              </w:rPr>
              <w:t>Especificación</w:t>
            </w:r>
          </w:p>
        </w:tc>
      </w:tr>
      <w:tr w:rsidR="008C1EC6" w:rsidRPr="002201B0" w14:paraId="0CA201B6" w14:textId="77777777" w:rsidTr="00FB7A59">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040E70AA"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Implementación</w:t>
            </w:r>
          </w:p>
        </w:tc>
        <w:tc>
          <w:tcPr>
            <w:tcW w:w="2508" w:type="pct"/>
            <w:vAlign w:val="center"/>
          </w:tcPr>
          <w:p w14:paraId="3904EA6C" w14:textId="77777777" w:rsidR="008C1EC6" w:rsidRPr="00C509B5" w:rsidRDefault="00FB7A59" w:rsidP="00FB7A59">
            <w:pPr>
              <w:spacing w:before="40" w:after="40" w:line="240" w:lineRule="auto"/>
              <w:jc w:val="left"/>
              <w:rPr>
                <w:rFonts w:ascii="ITC Avant Garde" w:eastAsiaTheme="minorHAnsi" w:hAnsi="ITC Avant Garde"/>
                <w:sz w:val="20"/>
                <w:lang w:val="es-ES_tradnl"/>
              </w:rPr>
            </w:pPr>
            <w:r>
              <w:rPr>
                <w:rFonts w:ascii="ITC Avant Garde" w:eastAsiaTheme="minorHAnsi" w:hAnsi="ITC Avant Garde"/>
                <w:sz w:val="20"/>
                <w:lang w:val="es-ES_tradnl"/>
              </w:rPr>
              <w:t>Ex–</w:t>
            </w:r>
            <w:r w:rsidR="008C1EC6" w:rsidRPr="00C509B5">
              <w:rPr>
                <w:rFonts w:ascii="ITC Avant Garde" w:eastAsiaTheme="minorHAnsi" w:hAnsi="ITC Avant Garde"/>
                <w:sz w:val="20"/>
                <w:lang w:val="es-ES_tradnl"/>
              </w:rPr>
              <w:t>post, cada seis meses</w:t>
            </w:r>
          </w:p>
        </w:tc>
      </w:tr>
      <w:tr w:rsidR="008C1EC6" w:rsidRPr="002201B0" w14:paraId="166421A1" w14:textId="77777777" w:rsidTr="00FB7A59">
        <w:trPr>
          <w:trHeight w:val="20"/>
        </w:trPr>
        <w:tc>
          <w:tcPr>
            <w:tcW w:w="2492" w:type="pct"/>
          </w:tcPr>
          <w:p w14:paraId="3E2859BE"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Nivel de eficiencia</w:t>
            </w:r>
          </w:p>
        </w:tc>
        <w:tc>
          <w:tcPr>
            <w:tcW w:w="2508" w:type="pct"/>
            <w:vAlign w:val="center"/>
          </w:tcPr>
          <w:p w14:paraId="2D079176" w14:textId="77777777" w:rsidR="008C1EC6" w:rsidRPr="00C509B5" w:rsidRDefault="008C1EC6" w:rsidP="00FB7A59">
            <w:pPr>
              <w:spacing w:before="40" w:after="40" w:line="240" w:lineRule="auto"/>
              <w:jc w:val="left"/>
              <w:rPr>
                <w:rFonts w:ascii="ITC Avant Garde" w:eastAsiaTheme="minorHAnsi" w:hAnsi="ITC Avant Garde"/>
                <w:sz w:val="20"/>
                <w:lang w:val="es-ES_tradnl"/>
              </w:rPr>
            </w:pPr>
            <w:r w:rsidRPr="00C509B5">
              <w:rPr>
                <w:rFonts w:ascii="ITC Avant Garde" w:eastAsiaTheme="minorHAnsi" w:hAnsi="ITC Avant Garde"/>
                <w:sz w:val="20"/>
                <w:lang w:val="es-ES_tradnl"/>
              </w:rPr>
              <w:t>EEO</w:t>
            </w:r>
            <w:r w:rsidRPr="00C509B5">
              <w:rPr>
                <w:rFonts w:ascii="ITC Avant Garde" w:eastAsiaTheme="minorHAnsi" w:hAnsi="ITC Avant Garde"/>
                <w:color w:val="auto"/>
                <w:sz w:val="20"/>
                <w:vertAlign w:val="superscript"/>
                <w:lang w:val="es-ES_tradnl"/>
              </w:rPr>
              <w:footnoteReference w:id="2"/>
            </w:r>
            <w:r w:rsidRPr="00C509B5">
              <w:rPr>
                <w:rFonts w:ascii="ITC Avant Garde" w:eastAsiaTheme="minorHAnsi" w:hAnsi="ITC Avant Garde"/>
                <w:sz w:val="20"/>
                <w:vertAlign w:val="superscript"/>
                <w:lang w:val="es-ES_tradnl"/>
              </w:rPr>
              <w:t xml:space="preserve"> </w:t>
            </w:r>
          </w:p>
        </w:tc>
      </w:tr>
      <w:tr w:rsidR="008C1EC6" w:rsidRPr="002201B0" w14:paraId="5C62B9CB" w14:textId="77777777" w:rsidTr="00FB7A59">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1A6AD516"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Nivel de agregación</w:t>
            </w:r>
          </w:p>
        </w:tc>
        <w:tc>
          <w:tcPr>
            <w:tcW w:w="2508" w:type="pct"/>
            <w:vAlign w:val="center"/>
          </w:tcPr>
          <w:p w14:paraId="0F7D7E4B" w14:textId="77777777" w:rsidR="008C1EC6" w:rsidRPr="00C509B5" w:rsidRDefault="008C1EC6" w:rsidP="00FB7A59">
            <w:pPr>
              <w:spacing w:before="40" w:after="40" w:line="240" w:lineRule="auto"/>
              <w:jc w:val="left"/>
              <w:rPr>
                <w:rFonts w:ascii="ITC Avant Garde" w:eastAsiaTheme="minorHAnsi" w:hAnsi="ITC Avant Garde"/>
                <w:sz w:val="20"/>
                <w:lang w:val="es-ES_tradnl"/>
              </w:rPr>
            </w:pPr>
            <w:r w:rsidRPr="00C509B5">
              <w:rPr>
                <w:rFonts w:ascii="ITC Avant Garde" w:eastAsiaTheme="minorHAnsi" w:hAnsi="ITC Avant Garde"/>
                <w:sz w:val="20"/>
                <w:lang w:val="es-ES_tradnl"/>
              </w:rPr>
              <w:t>Cartera de productos</w:t>
            </w:r>
          </w:p>
        </w:tc>
      </w:tr>
      <w:tr w:rsidR="008C1EC6" w:rsidRPr="002201B0" w14:paraId="108F2D88" w14:textId="77777777" w:rsidTr="00FB7A59">
        <w:trPr>
          <w:trHeight w:val="20"/>
        </w:trPr>
        <w:tc>
          <w:tcPr>
            <w:tcW w:w="2492" w:type="pct"/>
          </w:tcPr>
          <w:p w14:paraId="527E8393"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Estándar de costos</w:t>
            </w:r>
          </w:p>
        </w:tc>
        <w:tc>
          <w:tcPr>
            <w:tcW w:w="2508" w:type="pct"/>
            <w:vAlign w:val="center"/>
          </w:tcPr>
          <w:p w14:paraId="5A8A8EA5" w14:textId="77777777" w:rsidR="008C1EC6" w:rsidRPr="00C509B5" w:rsidRDefault="008C1EC6" w:rsidP="00FB7A59">
            <w:pPr>
              <w:spacing w:before="40" w:after="40" w:line="240" w:lineRule="auto"/>
              <w:jc w:val="left"/>
              <w:rPr>
                <w:rFonts w:ascii="ITC Avant Garde" w:eastAsiaTheme="minorHAnsi" w:hAnsi="ITC Avant Garde"/>
                <w:sz w:val="20"/>
                <w:lang w:val="es-ES_tradnl"/>
              </w:rPr>
            </w:pPr>
            <w:r w:rsidRPr="00C509B5">
              <w:rPr>
                <w:rFonts w:ascii="ITC Avant Garde" w:eastAsiaTheme="minorHAnsi" w:hAnsi="ITC Avant Garde"/>
                <w:sz w:val="20"/>
                <w:lang w:val="es-ES_tradnl"/>
              </w:rPr>
              <w:t>LRIC+</w:t>
            </w:r>
            <w:r w:rsidRPr="00C509B5">
              <w:rPr>
                <w:rFonts w:ascii="ITC Avant Garde" w:eastAsiaTheme="minorHAnsi" w:hAnsi="ITC Avant Garde"/>
                <w:color w:val="auto"/>
                <w:sz w:val="20"/>
                <w:vertAlign w:val="superscript"/>
                <w:lang w:val="es-ES_tradnl"/>
              </w:rPr>
              <w:footnoteReference w:id="3"/>
            </w:r>
            <w:r w:rsidRPr="00C509B5">
              <w:rPr>
                <w:rFonts w:ascii="ITC Avant Garde" w:eastAsiaTheme="minorHAnsi" w:hAnsi="ITC Avant Garde"/>
                <w:sz w:val="20"/>
                <w:lang w:val="es-ES_tradnl"/>
              </w:rPr>
              <w:t xml:space="preserve"> (FAC</w:t>
            </w:r>
            <w:r w:rsidRPr="00C509B5">
              <w:rPr>
                <w:rFonts w:ascii="ITC Avant Garde" w:eastAsiaTheme="minorHAnsi" w:hAnsi="ITC Avant Garde"/>
                <w:color w:val="auto"/>
                <w:sz w:val="20"/>
                <w:vertAlign w:val="superscript"/>
                <w:lang w:val="es-ES_tradnl"/>
              </w:rPr>
              <w:footnoteReference w:id="4"/>
            </w:r>
            <w:r w:rsidRPr="00C509B5">
              <w:rPr>
                <w:rFonts w:ascii="ITC Avant Garde" w:eastAsiaTheme="minorHAnsi" w:hAnsi="ITC Avant Garde"/>
                <w:sz w:val="20"/>
                <w:vertAlign w:val="superscript"/>
                <w:lang w:val="es-ES_tradnl"/>
              </w:rPr>
              <w:t xml:space="preserve"> </w:t>
            </w:r>
            <w:r w:rsidRPr="00C509B5">
              <w:rPr>
                <w:rFonts w:ascii="ITC Avant Garde" w:eastAsiaTheme="minorHAnsi" w:hAnsi="ITC Avant Garde"/>
                <w:sz w:val="20"/>
                <w:lang w:val="es-ES_tradnl"/>
              </w:rPr>
              <w:t>en su ausencia)</w:t>
            </w:r>
          </w:p>
        </w:tc>
      </w:tr>
      <w:tr w:rsidR="008C1EC6" w:rsidRPr="002201B0" w14:paraId="765CF6A4" w14:textId="77777777" w:rsidTr="00FB7A59">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5FD268DC"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Tratamiento del segmento empresarial</w:t>
            </w:r>
          </w:p>
        </w:tc>
        <w:tc>
          <w:tcPr>
            <w:tcW w:w="2508" w:type="pct"/>
            <w:vAlign w:val="center"/>
          </w:tcPr>
          <w:p w14:paraId="260DB171" w14:textId="77777777" w:rsidR="008C1EC6" w:rsidRPr="00C509B5" w:rsidRDefault="008C1EC6" w:rsidP="00FB7A59">
            <w:pPr>
              <w:spacing w:before="40" w:after="40" w:line="240" w:lineRule="auto"/>
              <w:jc w:val="left"/>
              <w:rPr>
                <w:rFonts w:ascii="ITC Avant Garde" w:eastAsiaTheme="minorHAnsi" w:hAnsi="ITC Avant Garde"/>
                <w:sz w:val="20"/>
                <w:lang w:val="es-ES_tradnl"/>
              </w:rPr>
            </w:pPr>
            <w:r w:rsidRPr="00C509B5">
              <w:rPr>
                <w:rFonts w:ascii="ITC Avant Garde" w:eastAsiaTheme="minorHAnsi" w:hAnsi="ITC Avant Garde"/>
                <w:sz w:val="20"/>
                <w:lang w:val="es-ES_tradnl"/>
              </w:rPr>
              <w:t>Incluidas las ofertas empresariales</w:t>
            </w:r>
          </w:p>
        </w:tc>
      </w:tr>
      <w:tr w:rsidR="008C1EC6" w:rsidRPr="002201B0" w14:paraId="3AB9045F" w14:textId="77777777" w:rsidTr="00FB7A59">
        <w:trPr>
          <w:trHeight w:val="20"/>
        </w:trPr>
        <w:tc>
          <w:tcPr>
            <w:tcW w:w="2492" w:type="pct"/>
          </w:tcPr>
          <w:p w14:paraId="676EF36D"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Servicios mayoristas</w:t>
            </w:r>
          </w:p>
        </w:tc>
        <w:tc>
          <w:tcPr>
            <w:tcW w:w="2508" w:type="pct"/>
            <w:vAlign w:val="center"/>
          </w:tcPr>
          <w:p w14:paraId="267D948F" w14:textId="77777777" w:rsidR="008C1EC6" w:rsidRPr="00FB7A59" w:rsidRDefault="008C1EC6" w:rsidP="00FB7A59">
            <w:pPr>
              <w:spacing w:before="40" w:after="40" w:line="240" w:lineRule="auto"/>
              <w:jc w:val="left"/>
              <w:rPr>
                <w:rFonts w:ascii="ITC Avant Garde" w:eastAsiaTheme="minorHAnsi" w:hAnsi="ITC Avant Garde"/>
                <w:color w:val="auto"/>
                <w:sz w:val="20"/>
                <w:lang w:val="es-ES_tradnl"/>
              </w:rPr>
            </w:pPr>
            <w:r w:rsidRPr="00FB7A59">
              <w:rPr>
                <w:rFonts w:ascii="ITC Avant Garde" w:eastAsiaTheme="minorHAnsi" w:hAnsi="ITC Avant Garde"/>
                <w:color w:val="auto"/>
                <w:sz w:val="20"/>
                <w:lang w:val="es-ES_tradnl"/>
              </w:rPr>
              <w:t>Servicio mayorista de reventa de voz</w:t>
            </w:r>
          </w:p>
        </w:tc>
      </w:tr>
      <w:tr w:rsidR="008C1EC6" w:rsidRPr="002201B0" w14:paraId="75FB4278" w14:textId="77777777" w:rsidTr="00FB7A59">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66E982DB"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Precio de los insumos mayoristas</w:t>
            </w:r>
          </w:p>
        </w:tc>
        <w:tc>
          <w:tcPr>
            <w:tcW w:w="2508" w:type="pct"/>
            <w:vAlign w:val="center"/>
          </w:tcPr>
          <w:p w14:paraId="274DFD4D" w14:textId="77777777" w:rsidR="008C1EC6" w:rsidRPr="00FB7A59" w:rsidRDefault="008C1EC6" w:rsidP="00FB7A59">
            <w:pPr>
              <w:spacing w:before="40" w:after="40" w:line="240" w:lineRule="auto"/>
              <w:jc w:val="left"/>
              <w:rPr>
                <w:rFonts w:ascii="ITC Avant Garde" w:eastAsiaTheme="minorHAnsi" w:hAnsi="ITC Avant Garde"/>
                <w:color w:val="auto"/>
                <w:sz w:val="20"/>
                <w:lang w:val="es-ES_tradnl"/>
              </w:rPr>
            </w:pPr>
            <w:r w:rsidRPr="00FB7A59">
              <w:rPr>
                <w:rFonts w:ascii="ITC Avant Garde" w:eastAsiaTheme="minorHAnsi" w:hAnsi="ITC Avant Garde"/>
                <w:color w:val="auto"/>
                <w:sz w:val="20"/>
                <w:lang w:val="es-ES_tradnl"/>
              </w:rPr>
              <w:t>Se consideran precios no recurrentes de catálogo e ingresos promedio</w:t>
            </w:r>
            <w:r w:rsidR="00FB7A59">
              <w:rPr>
                <w:rFonts w:ascii="ITC Avant Garde" w:eastAsiaTheme="minorHAnsi" w:hAnsi="ITC Avant Garde"/>
                <w:color w:val="auto"/>
                <w:sz w:val="20"/>
                <w:lang w:val="es-ES_tradnl"/>
              </w:rPr>
              <w:t xml:space="preserve"> del servicio de reventa de voz</w:t>
            </w:r>
          </w:p>
        </w:tc>
      </w:tr>
      <w:tr w:rsidR="008C1EC6" w:rsidRPr="002201B0" w14:paraId="4064FFAE" w14:textId="77777777" w:rsidTr="00FB7A59">
        <w:trPr>
          <w:trHeight w:val="20"/>
        </w:trPr>
        <w:tc>
          <w:tcPr>
            <w:tcW w:w="2492" w:type="pct"/>
          </w:tcPr>
          <w:p w14:paraId="4331EB15" w14:textId="77777777" w:rsidR="008C1EC6" w:rsidRPr="00C509B5" w:rsidRDefault="008C1EC6" w:rsidP="009511FF">
            <w:pPr>
              <w:spacing w:before="40" w:after="40" w:line="240" w:lineRule="auto"/>
              <w:jc w:val="left"/>
              <w:rPr>
                <w:rFonts w:ascii="ITC Avant Garde" w:eastAsiaTheme="minorHAnsi" w:hAnsi="ITC Avant Garde"/>
                <w:b/>
                <w:sz w:val="20"/>
                <w:lang w:val="es-ES_tradnl"/>
              </w:rPr>
            </w:pPr>
            <w:r w:rsidRPr="00C509B5">
              <w:rPr>
                <w:rFonts w:ascii="ITC Avant Garde" w:eastAsiaTheme="minorHAnsi" w:hAnsi="ITC Avant Garde"/>
                <w:b/>
                <w:sz w:val="20"/>
                <w:lang w:val="es-ES_tradnl"/>
              </w:rPr>
              <w:t>Tratamiento de las promociones</w:t>
            </w:r>
          </w:p>
        </w:tc>
        <w:tc>
          <w:tcPr>
            <w:tcW w:w="2508" w:type="pct"/>
            <w:vAlign w:val="center"/>
          </w:tcPr>
          <w:p w14:paraId="6D145746" w14:textId="77777777" w:rsidR="008C1EC6" w:rsidRPr="00C509B5" w:rsidRDefault="008C1EC6" w:rsidP="00FB7A59">
            <w:pPr>
              <w:spacing w:before="40" w:after="40" w:line="240" w:lineRule="auto"/>
              <w:jc w:val="left"/>
              <w:rPr>
                <w:rFonts w:ascii="ITC Avant Garde" w:eastAsiaTheme="minorHAnsi" w:hAnsi="ITC Avant Garde"/>
                <w:sz w:val="20"/>
                <w:lang w:val="es-ES_tradnl"/>
              </w:rPr>
            </w:pPr>
            <w:r w:rsidRPr="00C509B5">
              <w:rPr>
                <w:rFonts w:ascii="ITC Avant Garde" w:eastAsiaTheme="minorHAnsi" w:hAnsi="ITC Avant Garde"/>
                <w:sz w:val="20"/>
                <w:lang w:val="es-ES_tradnl"/>
              </w:rPr>
              <w:t>Incluidas en el análisis</w:t>
            </w:r>
          </w:p>
        </w:tc>
      </w:tr>
      <w:tr w:rsidR="008C1EC6" w:rsidRPr="002201B0" w14:paraId="0B33C72D" w14:textId="77777777" w:rsidTr="00FB7A59">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7DB19BBC" w14:textId="77777777" w:rsidR="008C1EC6" w:rsidRPr="002201B0" w:rsidRDefault="008C1EC6" w:rsidP="009511FF">
            <w:pPr>
              <w:spacing w:before="40" w:after="40" w:line="240" w:lineRule="auto"/>
              <w:jc w:val="left"/>
              <w:rPr>
                <w:rFonts w:ascii="ITC Avant Garde" w:eastAsiaTheme="minorHAnsi" w:hAnsi="ITC Avant Garde"/>
                <w:b/>
                <w:sz w:val="20"/>
                <w:lang w:val="es-ES_tradnl"/>
              </w:rPr>
            </w:pPr>
            <w:r w:rsidRPr="002201B0">
              <w:rPr>
                <w:rFonts w:ascii="ITC Avant Garde" w:eastAsiaTheme="minorHAnsi" w:hAnsi="ITC Avant Garde"/>
                <w:b/>
                <w:sz w:val="20"/>
                <w:lang w:val="es-ES_tradnl"/>
              </w:rPr>
              <w:t xml:space="preserve">Evaluación de la rentabilidad </w:t>
            </w:r>
          </w:p>
        </w:tc>
        <w:tc>
          <w:tcPr>
            <w:tcW w:w="2508" w:type="pct"/>
            <w:vAlign w:val="center"/>
          </w:tcPr>
          <w:p w14:paraId="21B08039" w14:textId="77777777" w:rsidR="008C1EC6" w:rsidRPr="002201B0" w:rsidRDefault="008C1EC6" w:rsidP="00FB7A59">
            <w:pPr>
              <w:spacing w:before="40" w:after="40" w:line="240" w:lineRule="auto"/>
              <w:jc w:val="left"/>
              <w:rPr>
                <w:rFonts w:ascii="ITC Avant Garde" w:eastAsiaTheme="minorHAnsi" w:hAnsi="ITC Avant Garde"/>
                <w:sz w:val="20"/>
                <w:lang w:val="es-ES_tradnl"/>
              </w:rPr>
            </w:pPr>
            <w:r w:rsidRPr="002201B0">
              <w:rPr>
                <w:rFonts w:ascii="ITC Avant Garde" w:eastAsiaTheme="minorHAnsi" w:hAnsi="ITC Avant Garde"/>
                <w:sz w:val="20"/>
                <w:lang w:val="es-ES_tradnl"/>
              </w:rPr>
              <w:t>Per</w:t>
            </w:r>
            <w:r>
              <w:rPr>
                <w:rFonts w:ascii="ITC Avant Garde" w:eastAsiaTheme="minorHAnsi" w:hAnsi="ITC Avant Garde"/>
                <w:sz w:val="20"/>
                <w:lang w:val="es-ES_tradnl"/>
              </w:rPr>
              <w:t>i</w:t>
            </w:r>
            <w:r w:rsidRPr="002201B0">
              <w:rPr>
                <w:rFonts w:ascii="ITC Avant Garde" w:eastAsiaTheme="minorHAnsi" w:hAnsi="ITC Avant Garde"/>
                <w:sz w:val="20"/>
                <w:lang w:val="es-ES_tradnl"/>
              </w:rPr>
              <w:t>odo a per</w:t>
            </w:r>
            <w:r>
              <w:rPr>
                <w:rFonts w:ascii="ITC Avant Garde" w:eastAsiaTheme="minorHAnsi" w:hAnsi="ITC Avant Garde"/>
                <w:sz w:val="20"/>
                <w:lang w:val="es-ES_tradnl"/>
              </w:rPr>
              <w:t>i</w:t>
            </w:r>
            <w:r w:rsidRPr="002201B0">
              <w:rPr>
                <w:rFonts w:ascii="ITC Avant Garde" w:eastAsiaTheme="minorHAnsi" w:hAnsi="ITC Avant Garde"/>
                <w:sz w:val="20"/>
                <w:lang w:val="es-ES_tradnl"/>
              </w:rPr>
              <w:t>odo</w:t>
            </w:r>
          </w:p>
        </w:tc>
      </w:tr>
    </w:tbl>
    <w:p w14:paraId="5C6CD33A" w14:textId="77777777" w:rsidR="008C1EC6" w:rsidRPr="002201B0" w:rsidRDefault="008C1EC6" w:rsidP="008C1EC6">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 xml:space="preserve">Fuente: </w:t>
      </w:r>
      <w:r w:rsidRPr="002201B0">
        <w:rPr>
          <w:rFonts w:eastAsia="Calibri" w:cs="Arial"/>
          <w:i/>
          <w:color w:val="000000" w:themeColor="text1"/>
          <w:sz w:val="16"/>
          <w:lang w:val="es-ES_tradnl"/>
        </w:rPr>
        <w:tab/>
      </w:r>
      <w:proofErr w:type="spellStart"/>
      <w:r w:rsidRPr="002201B0">
        <w:rPr>
          <w:rFonts w:eastAsia="Calibri" w:cs="Arial"/>
          <w:i/>
          <w:color w:val="000000" w:themeColor="text1"/>
          <w:sz w:val="16"/>
          <w:lang w:val="es-ES_tradnl"/>
        </w:rPr>
        <w:t>Frontier</w:t>
      </w:r>
      <w:proofErr w:type="spellEnd"/>
      <w:r w:rsidRPr="002201B0">
        <w:rPr>
          <w:rFonts w:eastAsia="Calibri" w:cs="Arial"/>
          <w:i/>
          <w:color w:val="000000" w:themeColor="text1"/>
          <w:sz w:val="16"/>
          <w:lang w:val="es-ES_tradnl"/>
        </w:rPr>
        <w:t xml:space="preserve"> </w:t>
      </w:r>
      <w:proofErr w:type="spellStart"/>
      <w:r w:rsidRPr="002201B0">
        <w:rPr>
          <w:rFonts w:eastAsia="Calibri" w:cs="Arial"/>
          <w:i/>
          <w:color w:val="000000" w:themeColor="text1"/>
          <w:sz w:val="16"/>
          <w:lang w:val="es-ES_tradnl"/>
        </w:rPr>
        <w:t>Economics</w:t>
      </w:r>
      <w:proofErr w:type="spellEnd"/>
      <w:r w:rsidRPr="002201B0">
        <w:rPr>
          <w:rFonts w:eastAsia="Calibri" w:cs="Arial"/>
          <w:i/>
          <w:color w:val="000000" w:themeColor="text1"/>
          <w:sz w:val="16"/>
          <w:lang w:val="es-ES_tradnl"/>
        </w:rPr>
        <w:t>.</w:t>
      </w:r>
    </w:p>
    <w:p w14:paraId="55F035A8" w14:textId="77777777" w:rsidR="008C1EC6" w:rsidRDefault="008C1EC6" w:rsidP="008C1EC6">
      <w:pPr>
        <w:tabs>
          <w:tab w:val="left" w:pos="709"/>
        </w:tabs>
        <w:spacing w:before="60" w:after="60" w:line="240" w:lineRule="auto"/>
        <w:ind w:left="709" w:hanging="709"/>
        <w:jc w:val="left"/>
      </w:pPr>
    </w:p>
    <w:p w14:paraId="7B4742D9" w14:textId="77777777" w:rsidR="008C1EC6" w:rsidRPr="002201B0" w:rsidRDefault="008C1EC6" w:rsidP="008C1EC6">
      <w:r w:rsidRPr="002201B0">
        <w:t>Este manual describe el modelo desarrollado con el objetivo de guiar la implementación de la prueba de replicabilidad económica.</w:t>
      </w:r>
    </w:p>
    <w:p w14:paraId="77DC7058" w14:textId="7FADF226" w:rsidR="008C1EC6" w:rsidRPr="002201B0" w:rsidRDefault="00DE5E54" w:rsidP="008C1EC6">
      <w:r>
        <w:lastRenderedPageBreak/>
        <w:t xml:space="preserve">Este manual </w:t>
      </w:r>
      <w:r w:rsidR="008C1EC6" w:rsidRPr="002201B0">
        <w:t>se estructura de la siguiente manera:</w:t>
      </w:r>
    </w:p>
    <w:p w14:paraId="5ECEE75D" w14:textId="77777777" w:rsidR="008C1EC6" w:rsidRPr="002201B0" w:rsidRDefault="008C1EC6">
      <w:pPr>
        <w:numPr>
          <w:ilvl w:val="0"/>
          <w:numId w:val="34"/>
        </w:numPr>
        <w:spacing w:before="60" w:after="60" w:line="264" w:lineRule="auto"/>
        <w:rPr>
          <w:rFonts w:eastAsiaTheme="minorHAnsi" w:cs="Arial"/>
          <w:color w:val="000000" w:themeColor="text1"/>
          <w:lang w:val="es-ES_tradnl"/>
        </w:rPr>
      </w:pPr>
      <w:r w:rsidRPr="002201B0">
        <w:rPr>
          <w:rFonts w:eastAsiaTheme="minorHAnsi" w:cs="Arial"/>
          <w:color w:val="000000" w:themeColor="text1"/>
          <w:lang w:val="es-ES_tradnl"/>
        </w:rPr>
        <w:t xml:space="preserve">En la sección </w:t>
      </w:r>
      <w:r w:rsidRPr="002201B0">
        <w:rPr>
          <w:rFonts w:eastAsiaTheme="minorHAnsi" w:cs="Arial"/>
          <w:color w:val="000000" w:themeColor="text1"/>
          <w:lang w:val="es-ES_tradnl"/>
        </w:rPr>
        <w:fldChar w:fldCharType="begin"/>
      </w:r>
      <w:r w:rsidRPr="002201B0">
        <w:rPr>
          <w:rFonts w:eastAsiaTheme="minorHAnsi" w:cs="Arial"/>
          <w:color w:val="000000" w:themeColor="text1"/>
          <w:lang w:val="es-ES_tradnl"/>
        </w:rPr>
        <w:instrText xml:space="preserve"> REF _Ref482890326 \r \h  \* MERGEFORMAT </w:instrText>
      </w:r>
      <w:r w:rsidRPr="002201B0">
        <w:rPr>
          <w:rFonts w:eastAsiaTheme="minorHAnsi" w:cs="Arial"/>
          <w:color w:val="000000" w:themeColor="text1"/>
          <w:lang w:val="es-ES_tradnl"/>
        </w:rPr>
      </w:r>
      <w:r w:rsidRPr="002201B0">
        <w:rPr>
          <w:rFonts w:eastAsiaTheme="minorHAnsi" w:cs="Arial"/>
          <w:color w:val="000000" w:themeColor="text1"/>
          <w:lang w:val="es-ES_tradnl"/>
        </w:rPr>
        <w:fldChar w:fldCharType="separate"/>
      </w:r>
      <w:r w:rsidRPr="002201B0">
        <w:rPr>
          <w:rFonts w:eastAsiaTheme="minorHAnsi" w:cs="Arial"/>
          <w:color w:val="000000" w:themeColor="text1"/>
          <w:lang w:val="es-ES_tradnl"/>
        </w:rPr>
        <w:t>2</w:t>
      </w:r>
      <w:r w:rsidRPr="002201B0">
        <w:rPr>
          <w:rFonts w:eastAsiaTheme="minorHAnsi" w:cs="Arial"/>
          <w:color w:val="000000" w:themeColor="text1"/>
          <w:lang w:val="es-ES_tradnl"/>
        </w:rPr>
        <w:fldChar w:fldCharType="end"/>
      </w:r>
      <w:r w:rsidRPr="002201B0">
        <w:rPr>
          <w:rFonts w:eastAsiaTheme="minorHAnsi" w:cs="Arial"/>
          <w:color w:val="000000" w:themeColor="text1"/>
          <w:lang w:val="es-ES_tradnl"/>
        </w:rPr>
        <w:t xml:space="preserve"> se explica la estructura y funcionamiento del modelo.</w:t>
      </w:r>
    </w:p>
    <w:p w14:paraId="428EBD51" w14:textId="77777777" w:rsidR="008C1EC6" w:rsidRDefault="008C1EC6" w:rsidP="002B0CB8">
      <w:pPr>
        <w:numPr>
          <w:ilvl w:val="0"/>
          <w:numId w:val="34"/>
        </w:numPr>
        <w:tabs>
          <w:tab w:val="clear" w:pos="340"/>
        </w:tabs>
        <w:spacing w:before="60" w:after="60" w:line="264" w:lineRule="auto"/>
        <w:ind w:left="360" w:hanging="360"/>
        <w:rPr>
          <w:rFonts w:eastAsiaTheme="minorHAnsi" w:cs="Arial"/>
          <w:color w:val="000000" w:themeColor="text1"/>
          <w:lang w:val="es-ES_tradnl"/>
        </w:rPr>
      </w:pPr>
      <w:r w:rsidRPr="002201B0">
        <w:rPr>
          <w:rFonts w:eastAsiaTheme="minorHAnsi" w:cs="Arial"/>
          <w:color w:val="000000" w:themeColor="text1"/>
          <w:lang w:val="es-ES_tradnl"/>
        </w:rPr>
        <w:t xml:space="preserve">La sección </w:t>
      </w:r>
      <w:r w:rsidRPr="002201B0">
        <w:rPr>
          <w:rFonts w:eastAsiaTheme="minorHAnsi" w:cs="Arial"/>
          <w:color w:val="000000" w:themeColor="text1"/>
          <w:lang w:val="es-ES_tradnl"/>
        </w:rPr>
        <w:fldChar w:fldCharType="begin"/>
      </w:r>
      <w:r w:rsidRPr="002201B0">
        <w:rPr>
          <w:rFonts w:eastAsiaTheme="minorHAnsi" w:cs="Arial"/>
          <w:color w:val="000000" w:themeColor="text1"/>
          <w:lang w:val="es-ES_tradnl"/>
        </w:rPr>
        <w:instrText xml:space="preserve"> REF _Ref482890349 \r \h  \* MERGEFORMAT </w:instrText>
      </w:r>
      <w:r w:rsidRPr="002201B0">
        <w:rPr>
          <w:rFonts w:eastAsiaTheme="minorHAnsi" w:cs="Arial"/>
          <w:color w:val="000000" w:themeColor="text1"/>
          <w:lang w:val="es-ES_tradnl"/>
        </w:rPr>
      </w:r>
      <w:r w:rsidRPr="002201B0">
        <w:rPr>
          <w:rFonts w:eastAsiaTheme="minorHAnsi" w:cs="Arial"/>
          <w:color w:val="000000" w:themeColor="text1"/>
          <w:lang w:val="es-ES_tradnl"/>
        </w:rPr>
        <w:fldChar w:fldCharType="separate"/>
      </w:r>
      <w:r w:rsidRPr="002201B0">
        <w:rPr>
          <w:rFonts w:eastAsiaTheme="minorHAnsi" w:cs="Arial"/>
          <w:color w:val="000000" w:themeColor="text1"/>
          <w:lang w:val="es-ES_tradnl"/>
        </w:rPr>
        <w:t>3</w:t>
      </w:r>
      <w:r w:rsidRPr="002201B0">
        <w:rPr>
          <w:rFonts w:eastAsiaTheme="minorHAnsi" w:cs="Arial"/>
          <w:color w:val="000000" w:themeColor="text1"/>
          <w:lang w:val="es-ES_tradnl"/>
        </w:rPr>
        <w:fldChar w:fldCharType="end"/>
      </w:r>
      <w:r w:rsidRPr="002201B0">
        <w:rPr>
          <w:rFonts w:eastAsiaTheme="minorHAnsi" w:cs="Arial"/>
          <w:color w:val="000000" w:themeColor="text1"/>
          <w:lang w:val="es-ES_tradnl"/>
        </w:rPr>
        <w:t xml:space="preserve"> detalla la información requerida para poblarlo. </w:t>
      </w:r>
    </w:p>
    <w:p w14:paraId="0DE6020E" w14:textId="77777777" w:rsidR="00C30B00" w:rsidRPr="002201B0" w:rsidRDefault="00C30B00" w:rsidP="00C30B00">
      <w:pPr>
        <w:spacing w:before="60" w:after="60" w:line="264" w:lineRule="auto"/>
        <w:ind w:left="360"/>
        <w:rPr>
          <w:rFonts w:eastAsiaTheme="minorHAnsi" w:cs="Arial"/>
          <w:color w:val="000000" w:themeColor="text1"/>
          <w:lang w:val="es-ES_tradnl"/>
        </w:rPr>
      </w:pPr>
    </w:p>
    <w:p w14:paraId="7901A0CB" w14:textId="77777777" w:rsidR="008C1EC6" w:rsidRPr="002201B0" w:rsidRDefault="008C1EC6">
      <w:pPr>
        <w:numPr>
          <w:ilvl w:val="0"/>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Estructura y funcionamiento del modelo</w:t>
      </w:r>
    </w:p>
    <w:p w14:paraId="4E8279D1" w14:textId="77777777" w:rsidR="008C1EC6" w:rsidRPr="007C1AFA" w:rsidRDefault="008C1EC6" w:rsidP="008C1EC6">
      <w:r w:rsidRPr="007C1AFA">
        <w:t xml:space="preserve">El modelo está preparado para estimar los márgenes (en términos porcentuales sobre los ingresos del AEP) asociados a la provisión de los servicios minoristas de telefonía fija, por parte de un operador alternativo que se basa en el servicio mayorista de reventa, en los 6 meses considerados. </w:t>
      </w:r>
    </w:p>
    <w:p w14:paraId="7E881A51" w14:textId="77777777" w:rsidR="008C1EC6" w:rsidRPr="007C1AFA" w:rsidRDefault="008C1EC6" w:rsidP="008C1EC6">
      <w:r w:rsidRPr="007C1AFA">
        <w:t xml:space="preserve">El margen se estima como la diferencia entre los ingresos reportados por el AEP en la provisión de los servicios minoristas de telefonía fija, los pagos mayoristas asociados al servicio de reventa y los costos aguas abajo que conlleva la comercialización minorista de los servicios. </w:t>
      </w:r>
    </w:p>
    <w:p w14:paraId="46669BFF" w14:textId="77777777" w:rsidR="008C1EC6" w:rsidRPr="007C1AFA" w:rsidRDefault="008C1EC6" w:rsidP="008C1EC6">
      <w:r w:rsidRPr="007C1AFA">
        <w:t xml:space="preserve">Si el margen es positivo, el modelo indica la replicabilidad de la oferta minorista de servicios de telefonía fija del AEP. En caso contrario, el resultado estaría indicando que un operador alternativo, (basado en el servicio mayorista de reventa de voz) no podría replicar de forma rentable la cartera de servicios minoristas de telefonía fija del AEP. </w:t>
      </w:r>
    </w:p>
    <w:p w14:paraId="697B682A" w14:textId="77777777" w:rsidR="008C1EC6" w:rsidRPr="007C1AFA" w:rsidRDefault="008C1EC6" w:rsidP="008C1EC6">
      <w:r w:rsidRPr="007C1AFA">
        <w:t>El modelo se compone de 4 grandes módulos:</w:t>
      </w:r>
    </w:p>
    <w:p w14:paraId="3E580DFE" w14:textId="77777777" w:rsidR="008C1EC6" w:rsidRPr="00262AD4" w:rsidRDefault="008C1EC6">
      <w:pPr>
        <w:pStyle w:val="ListBullet1"/>
        <w:numPr>
          <w:ilvl w:val="0"/>
          <w:numId w:val="40"/>
        </w:numPr>
        <w:rPr>
          <w:rFonts w:ascii="ITC Avant Garde" w:hAnsi="ITC Avant Garde"/>
        </w:rPr>
      </w:pPr>
      <w:r w:rsidRPr="00262AD4">
        <w:rPr>
          <w:rFonts w:ascii="ITC Avant Garde" w:hAnsi="ITC Avant Garde"/>
        </w:rPr>
        <w:t>El módulo de resultados, reportando el margen para el periodo considerado;</w:t>
      </w:r>
    </w:p>
    <w:p w14:paraId="531D90FB" w14:textId="77777777" w:rsidR="008C1EC6" w:rsidRPr="00262AD4" w:rsidRDefault="008C1EC6">
      <w:pPr>
        <w:pStyle w:val="ListBullet1"/>
        <w:numPr>
          <w:ilvl w:val="0"/>
          <w:numId w:val="40"/>
        </w:numPr>
        <w:rPr>
          <w:rFonts w:ascii="ITC Avant Garde" w:hAnsi="ITC Avant Garde"/>
        </w:rPr>
      </w:pPr>
      <w:r w:rsidRPr="00262AD4">
        <w:rPr>
          <w:rFonts w:ascii="ITC Avant Garde" w:hAnsi="ITC Avant Garde"/>
        </w:rPr>
        <w:t>El módulo de cálculos, de ingresos y costos, incluyendo los pagos mayoristas al AEP;</w:t>
      </w:r>
    </w:p>
    <w:p w14:paraId="304FC081" w14:textId="77777777" w:rsidR="008C1EC6" w:rsidRPr="00262AD4" w:rsidRDefault="008C1EC6">
      <w:pPr>
        <w:pStyle w:val="ListBullet1"/>
        <w:numPr>
          <w:ilvl w:val="0"/>
          <w:numId w:val="40"/>
        </w:numPr>
        <w:rPr>
          <w:rFonts w:ascii="ITC Avant Garde" w:hAnsi="ITC Avant Garde"/>
        </w:rPr>
      </w:pPr>
      <w:r w:rsidRPr="00262AD4">
        <w:rPr>
          <w:rFonts w:ascii="ITC Avant Garde" w:hAnsi="ITC Avant Garde"/>
        </w:rPr>
        <w:t xml:space="preserve">El módulo de información, tanto requerida al AEP como relativa a la oferta mayorista; y </w:t>
      </w:r>
    </w:p>
    <w:p w14:paraId="7E98EE19" w14:textId="77777777" w:rsidR="008C1EC6" w:rsidRPr="00262AD4" w:rsidRDefault="008C1EC6">
      <w:pPr>
        <w:pStyle w:val="ListBullet1"/>
        <w:numPr>
          <w:ilvl w:val="0"/>
          <w:numId w:val="40"/>
        </w:numPr>
        <w:rPr>
          <w:rFonts w:ascii="ITC Avant Garde" w:hAnsi="ITC Avant Garde"/>
        </w:rPr>
      </w:pPr>
      <w:r w:rsidRPr="00262AD4">
        <w:rPr>
          <w:rFonts w:ascii="ITC Avant Garde" w:hAnsi="ITC Avant Garde"/>
        </w:rPr>
        <w:t xml:space="preserve">El módulo de supuestos. </w:t>
      </w:r>
    </w:p>
    <w:p w14:paraId="4BF34219" w14:textId="77777777" w:rsidR="008C1EC6" w:rsidRPr="00614D25" w:rsidRDefault="008C1EC6" w:rsidP="008C1EC6">
      <w:pPr>
        <w:spacing w:before="60" w:after="60" w:line="264" w:lineRule="auto"/>
        <w:rPr>
          <w:rFonts w:eastAsiaTheme="minorHAnsi" w:cs="Arial"/>
          <w:color w:val="000000" w:themeColor="text1"/>
          <w:lang w:val="es-ES_tradnl"/>
        </w:rPr>
      </w:pP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5DA5C33C" w14:textId="77777777" w:rsidTr="009511FF">
        <w:trPr>
          <w:jc w:val="center"/>
        </w:trPr>
        <w:tc>
          <w:tcPr>
            <w:tcW w:w="5000" w:type="pct"/>
            <w:noWrap/>
          </w:tcPr>
          <w:p w14:paraId="4E3B8D3A" w14:textId="77777777" w:rsidR="008C1EC6" w:rsidRPr="00C30B00" w:rsidRDefault="008C1EC6" w:rsidP="009511FF">
            <w:pPr>
              <w:keepNext/>
              <w:tabs>
                <w:tab w:val="left" w:pos="1276"/>
              </w:tabs>
              <w:spacing w:before="120" w:after="60" w:line="240" w:lineRule="auto"/>
              <w:ind w:left="1276" w:hanging="1276"/>
              <w:rPr>
                <w:rFonts w:eastAsia="Calibri" w:cs="Arial"/>
                <w:b/>
                <w:color w:val="37424A"/>
                <w:sz w:val="18"/>
                <w:szCs w:val="18"/>
                <w:lang w:val="es-ES_tradnl"/>
              </w:rPr>
            </w:pPr>
            <w:r w:rsidRPr="00C30B00">
              <w:rPr>
                <w:rFonts w:eastAsia="Calibri" w:cs="Arial"/>
                <w:b/>
                <w:color w:val="37424A"/>
                <w:sz w:val="18"/>
                <w:szCs w:val="18"/>
                <w:lang w:val="es-ES_tradnl"/>
              </w:rPr>
              <w:lastRenderedPageBreak/>
              <w:t xml:space="preserve">Figura </w:t>
            </w:r>
            <w:r w:rsidRPr="00C30B00">
              <w:rPr>
                <w:rFonts w:eastAsia="Calibri" w:cs="Arial"/>
                <w:b/>
                <w:color w:val="37424A"/>
                <w:sz w:val="18"/>
                <w:szCs w:val="18"/>
                <w:lang w:val="es-ES_tradnl"/>
              </w:rPr>
              <w:fldChar w:fldCharType="begin"/>
            </w:r>
            <w:r w:rsidRPr="00C30B00">
              <w:rPr>
                <w:rFonts w:eastAsia="Calibri" w:cs="Arial"/>
                <w:b/>
                <w:color w:val="37424A"/>
                <w:sz w:val="18"/>
                <w:szCs w:val="18"/>
                <w:lang w:val="es-ES_tradnl"/>
              </w:rPr>
              <w:instrText xml:space="preserve"> SEQ Figura </w:instrText>
            </w:r>
            <w:r w:rsidRPr="00C30B00">
              <w:rPr>
                <w:rFonts w:eastAsia="Calibri" w:cs="Arial"/>
                <w:b/>
                <w:color w:val="37424A"/>
                <w:sz w:val="18"/>
                <w:szCs w:val="18"/>
                <w:lang w:val="es-ES_tradnl"/>
              </w:rPr>
              <w:fldChar w:fldCharType="separate"/>
            </w:r>
            <w:r w:rsidRPr="00C30B00">
              <w:rPr>
                <w:rFonts w:eastAsia="Calibri" w:cs="Arial"/>
                <w:b/>
                <w:noProof/>
                <w:color w:val="37424A"/>
                <w:sz w:val="18"/>
                <w:szCs w:val="18"/>
                <w:lang w:val="es-ES_tradnl"/>
              </w:rPr>
              <w:t>2</w:t>
            </w:r>
            <w:r w:rsidRPr="00C30B00">
              <w:rPr>
                <w:rFonts w:eastAsia="Calibri" w:cs="Arial"/>
                <w:b/>
                <w:noProof/>
                <w:color w:val="37424A"/>
                <w:sz w:val="18"/>
                <w:szCs w:val="18"/>
                <w:lang w:val="es-ES_tradnl"/>
              </w:rPr>
              <w:fldChar w:fldCharType="end"/>
            </w:r>
            <w:r w:rsidRPr="00C30B00">
              <w:rPr>
                <w:rFonts w:eastAsia="Calibri" w:cs="Arial"/>
                <w:b/>
                <w:color w:val="37424A"/>
                <w:sz w:val="18"/>
                <w:szCs w:val="18"/>
                <w:lang w:val="es-ES_tradnl"/>
              </w:rPr>
              <w:tab/>
              <w:t>Estructura del modelo de telefonía fija</w:t>
            </w:r>
          </w:p>
        </w:tc>
      </w:tr>
      <w:tr w:rsidR="008C1EC6" w:rsidRPr="002201B0" w14:paraId="15FBAACD" w14:textId="77777777" w:rsidTr="009511FF">
        <w:trPr>
          <w:jc w:val="center"/>
        </w:trPr>
        <w:tc>
          <w:tcPr>
            <w:tcW w:w="5000" w:type="pct"/>
            <w:noWrap/>
          </w:tcPr>
          <w:p w14:paraId="3B3FB47B" w14:textId="77777777" w:rsidR="008C1EC6" w:rsidRPr="002201B0" w:rsidRDefault="008C1EC6" w:rsidP="009511FF">
            <w:pPr>
              <w:keepNext/>
              <w:spacing w:after="0" w:line="240" w:lineRule="auto"/>
              <w:jc w:val="left"/>
              <w:rPr>
                <w:rFonts w:eastAsia="Arial" w:cs="Arial"/>
                <w:color w:val="37424A"/>
                <w:sz w:val="20"/>
                <w:lang w:val="en-GB"/>
              </w:rPr>
            </w:pPr>
            <w:r>
              <w:rPr>
                <w:noProof/>
                <w:lang w:eastAsia="es-MX"/>
              </w:rPr>
              <w:drawing>
                <wp:inline distT="0" distB="0" distL="0" distR="0" wp14:anchorId="59E2EE4D" wp14:editId="71DCEE1D">
                  <wp:extent cx="4791075" cy="1952625"/>
                  <wp:effectExtent l="0" t="0" r="9525" b="9525"/>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1952625"/>
                          </a:xfrm>
                          <a:prstGeom prst="rect">
                            <a:avLst/>
                          </a:prstGeom>
                          <a:noFill/>
                          <a:ln>
                            <a:noFill/>
                          </a:ln>
                        </pic:spPr>
                      </pic:pic>
                    </a:graphicData>
                  </a:graphic>
                </wp:inline>
              </w:drawing>
            </w:r>
          </w:p>
        </w:tc>
      </w:tr>
      <w:tr w:rsidR="008C1EC6" w:rsidRPr="002201B0" w14:paraId="54746C99" w14:textId="77777777" w:rsidTr="009511FF">
        <w:trPr>
          <w:jc w:val="center"/>
        </w:trPr>
        <w:tc>
          <w:tcPr>
            <w:tcW w:w="5000" w:type="pct"/>
            <w:noWrap/>
          </w:tcPr>
          <w:p w14:paraId="72D44553" w14:textId="77777777" w:rsidR="008C1EC6" w:rsidRPr="002201B0" w:rsidRDefault="008C1EC6" w:rsidP="009511FF">
            <w:pPr>
              <w:tabs>
                <w:tab w:val="left" w:pos="709"/>
              </w:tabs>
              <w:spacing w:before="60" w:after="60" w:line="240" w:lineRule="auto"/>
              <w:ind w:left="709" w:hanging="709"/>
              <w:jc w:val="left"/>
              <w:rPr>
                <w:rFonts w:eastAsia="Calibri" w:cs="Arial"/>
                <w:i/>
                <w:color w:val="37424A"/>
                <w:sz w:val="16"/>
                <w:lang w:val="es-ES_tradnl"/>
              </w:rPr>
            </w:pPr>
            <w:r w:rsidRPr="002201B0">
              <w:rPr>
                <w:rFonts w:eastAsia="Calibri" w:cs="Arial"/>
                <w:i/>
                <w:color w:val="37424A"/>
                <w:sz w:val="16"/>
                <w:lang w:val="es-ES_tradnl"/>
              </w:rPr>
              <w:t>Fuente:</w:t>
            </w:r>
            <w:r w:rsidRPr="002201B0">
              <w:rPr>
                <w:rFonts w:eastAsia="Calibri" w:cs="Arial"/>
                <w:i/>
                <w:color w:val="37424A"/>
                <w:sz w:val="16"/>
                <w:lang w:val="es-ES_tradnl"/>
              </w:rPr>
              <w:tab/>
            </w:r>
            <w:r w:rsidRPr="008874AD">
              <w:rPr>
                <w:rFonts w:eastAsia="Calibri" w:cs="Arial"/>
                <w:i/>
                <w:color w:val="37424A"/>
                <w:sz w:val="16"/>
                <w:lang w:val="es-ES_tradnl"/>
              </w:rPr>
              <w:t>Prueba de Replicabilidad de Telefonía Fija</w:t>
            </w:r>
            <w:r>
              <w:rPr>
                <w:rFonts w:eastAsia="Calibri" w:cs="Arial"/>
                <w:i/>
                <w:color w:val="37424A"/>
                <w:sz w:val="16"/>
                <w:lang w:val="es-ES_tradnl"/>
              </w:rPr>
              <w:t>.</w:t>
            </w:r>
            <w:r w:rsidRPr="002201B0">
              <w:rPr>
                <w:rFonts w:eastAsia="Calibri" w:cs="Arial"/>
                <w:i/>
                <w:color w:val="37424A"/>
                <w:sz w:val="16"/>
                <w:lang w:val="es-ES_tradnl"/>
              </w:rPr>
              <w:t xml:space="preserve"> </w:t>
            </w:r>
          </w:p>
        </w:tc>
      </w:tr>
    </w:tbl>
    <w:p w14:paraId="117715B5" w14:textId="77777777" w:rsidR="008C1EC6" w:rsidRPr="002201B0" w:rsidRDefault="008C1EC6" w:rsidP="008C1EC6">
      <w:pPr>
        <w:rPr>
          <w:lang w:val="es-ES_tradnl"/>
        </w:rPr>
      </w:pPr>
    </w:p>
    <w:p w14:paraId="2088785A" w14:textId="77777777" w:rsidR="008C1EC6" w:rsidRDefault="008C1EC6" w:rsidP="008C1EC6">
      <w:pPr>
        <w:rPr>
          <w:lang w:val="es-ES_tradnl"/>
        </w:rPr>
      </w:pPr>
      <w:r w:rsidRPr="002201B0">
        <w:rPr>
          <w:lang w:val="es-ES_tradnl"/>
        </w:rPr>
        <w:t xml:space="preserve">A continuación, se presenta una guía de apoyo describiendo cada uno de estos módulos.  </w:t>
      </w:r>
    </w:p>
    <w:p w14:paraId="27F0AD14" w14:textId="77777777" w:rsidR="00C30B00" w:rsidRPr="002201B0" w:rsidRDefault="00C30B00" w:rsidP="008C1EC6">
      <w:pPr>
        <w:rPr>
          <w:lang w:val="es-ES_tradnl"/>
        </w:rPr>
      </w:pPr>
    </w:p>
    <w:p w14:paraId="2E7DE5FE" w14:textId="77777777" w:rsidR="008C1EC6" w:rsidRDefault="008C1EC6" w:rsidP="008C1EC6">
      <w:pPr>
        <w:rPr>
          <w:lang w:val="es-ES_tradnl"/>
        </w:rPr>
      </w:pPr>
      <w:r w:rsidRPr="002201B0">
        <w:rPr>
          <w:b/>
          <w:lang w:val="es-ES_tradnl"/>
        </w:rPr>
        <w:t>Notación</w:t>
      </w:r>
    </w:p>
    <w:p w14:paraId="2EED1E30" w14:textId="77777777" w:rsidR="008C1EC6" w:rsidRDefault="008C1EC6" w:rsidP="008C1EC6">
      <w:r>
        <w:t xml:space="preserve">Los distintos modelos emplean una notación homogénea para facilitar el entendimiento y uso de los mismos, tal y como se detalla en la </w:t>
      </w:r>
      <w:r>
        <w:fldChar w:fldCharType="begin"/>
      </w:r>
      <w:r>
        <w:instrText xml:space="preserve"> REF _Ref483386838 \h </w:instrText>
      </w:r>
      <w:r>
        <w:fldChar w:fldCharType="separate"/>
      </w:r>
      <w:r>
        <w:t xml:space="preserve">Figura </w:t>
      </w:r>
      <w:r>
        <w:rPr>
          <w:noProof/>
        </w:rPr>
        <w:t>3</w:t>
      </w:r>
      <w:r>
        <w:fldChar w:fldCharType="end"/>
      </w:r>
      <w:r>
        <w:t>.</w:t>
      </w:r>
    </w:p>
    <w:p w14:paraId="11E2D7D7" w14:textId="77777777" w:rsidR="00C30B00" w:rsidRPr="002201B0" w:rsidRDefault="00C30B00" w:rsidP="008C1EC6">
      <w:pPr>
        <w:rPr>
          <w:lang w:val="es-ES_tradnl"/>
        </w:rPr>
      </w:pP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2FED3529" w14:textId="77777777" w:rsidTr="009511FF">
        <w:trPr>
          <w:jc w:val="center"/>
        </w:trPr>
        <w:tc>
          <w:tcPr>
            <w:tcW w:w="5000" w:type="pct"/>
            <w:noWrap/>
          </w:tcPr>
          <w:p w14:paraId="59ABD3E7" w14:textId="77777777" w:rsidR="008C1EC6" w:rsidRPr="00C30B00" w:rsidRDefault="008C1EC6" w:rsidP="009511FF">
            <w:pPr>
              <w:keepNext/>
              <w:tabs>
                <w:tab w:val="left" w:pos="1276"/>
              </w:tabs>
              <w:spacing w:before="120" w:after="60" w:line="240" w:lineRule="auto"/>
              <w:ind w:left="1276" w:hanging="1276"/>
              <w:rPr>
                <w:rFonts w:eastAsia="Calibri" w:cs="Arial"/>
                <w:b/>
                <w:color w:val="000000" w:themeColor="text1"/>
                <w:sz w:val="18"/>
                <w:szCs w:val="18"/>
                <w:lang w:val="es-ES_tradnl"/>
              </w:rPr>
            </w:pPr>
            <w:r w:rsidRPr="00C30B00">
              <w:rPr>
                <w:rFonts w:eastAsia="Calibri" w:cs="Arial"/>
                <w:b/>
                <w:color w:val="000000" w:themeColor="text1"/>
                <w:sz w:val="18"/>
                <w:szCs w:val="18"/>
                <w:lang w:val="es-ES_tradnl"/>
              </w:rPr>
              <w:t xml:space="preserve">Figura </w:t>
            </w:r>
            <w:r w:rsidRPr="00C30B00">
              <w:rPr>
                <w:rFonts w:eastAsia="Calibri" w:cs="Arial"/>
                <w:b/>
                <w:color w:val="000000" w:themeColor="text1"/>
                <w:sz w:val="18"/>
                <w:szCs w:val="18"/>
                <w:lang w:val="es-ES_tradnl"/>
              </w:rPr>
              <w:fldChar w:fldCharType="begin"/>
            </w:r>
            <w:r w:rsidRPr="00C30B00">
              <w:rPr>
                <w:rFonts w:eastAsia="Calibri" w:cs="Arial"/>
                <w:b/>
                <w:color w:val="000000" w:themeColor="text1"/>
                <w:sz w:val="18"/>
                <w:szCs w:val="18"/>
                <w:lang w:val="es-ES_tradnl"/>
              </w:rPr>
              <w:instrText xml:space="preserve"> SEQ Figura </w:instrText>
            </w:r>
            <w:r w:rsidRPr="00C30B00">
              <w:rPr>
                <w:rFonts w:eastAsia="Calibri" w:cs="Arial"/>
                <w:b/>
                <w:color w:val="000000" w:themeColor="text1"/>
                <w:sz w:val="18"/>
                <w:szCs w:val="18"/>
                <w:lang w:val="es-ES_tradnl"/>
              </w:rPr>
              <w:fldChar w:fldCharType="separate"/>
            </w:r>
            <w:r w:rsidRPr="00C30B00">
              <w:rPr>
                <w:rFonts w:eastAsia="Calibri" w:cs="Arial"/>
                <w:b/>
                <w:noProof/>
                <w:color w:val="000000" w:themeColor="text1"/>
                <w:sz w:val="18"/>
                <w:szCs w:val="18"/>
                <w:lang w:val="es-ES_tradnl"/>
              </w:rPr>
              <w:t>3</w:t>
            </w:r>
            <w:r w:rsidRPr="00C30B00">
              <w:rPr>
                <w:rFonts w:eastAsia="Calibri" w:cs="Arial"/>
                <w:b/>
                <w:noProof/>
                <w:color w:val="000000" w:themeColor="text1"/>
                <w:sz w:val="18"/>
                <w:szCs w:val="18"/>
                <w:lang w:val="es-ES_tradnl"/>
              </w:rPr>
              <w:fldChar w:fldCharType="end"/>
            </w:r>
            <w:r w:rsidRPr="00C30B00">
              <w:rPr>
                <w:rFonts w:eastAsia="Calibri" w:cs="Arial"/>
                <w:b/>
                <w:color w:val="000000" w:themeColor="text1"/>
                <w:sz w:val="18"/>
                <w:szCs w:val="18"/>
                <w:lang w:val="es-ES_tradnl"/>
              </w:rPr>
              <w:tab/>
              <w:t>Notación empleada en el modelo</w:t>
            </w:r>
          </w:p>
        </w:tc>
      </w:tr>
      <w:tr w:rsidR="008C1EC6" w:rsidRPr="002201B0" w14:paraId="0FB29A81" w14:textId="77777777" w:rsidTr="009511FF">
        <w:trPr>
          <w:jc w:val="center"/>
        </w:trPr>
        <w:tc>
          <w:tcPr>
            <w:tcW w:w="5000" w:type="pct"/>
            <w:noWrap/>
          </w:tcPr>
          <w:p w14:paraId="3A1D437B" w14:textId="77777777" w:rsidR="008C1EC6" w:rsidRPr="002201B0" w:rsidRDefault="008C1EC6" w:rsidP="009511FF">
            <w:pPr>
              <w:keepNext/>
              <w:spacing w:after="0" w:line="240" w:lineRule="auto"/>
              <w:jc w:val="left"/>
              <w:rPr>
                <w:rFonts w:eastAsiaTheme="minorHAnsi" w:cs="Arial"/>
                <w:color w:val="000000" w:themeColor="text1"/>
                <w:sz w:val="20"/>
                <w:lang w:val="en-GB"/>
              </w:rPr>
            </w:pPr>
            <w:r w:rsidRPr="002201B0">
              <w:rPr>
                <w:rFonts w:eastAsiaTheme="minorHAnsi" w:cs="Arial"/>
                <w:noProof/>
                <w:color w:val="000000" w:themeColor="text1"/>
                <w:sz w:val="20"/>
                <w:lang w:eastAsia="es-MX"/>
              </w:rPr>
              <w:drawing>
                <wp:inline distT="0" distB="0" distL="0" distR="0" wp14:anchorId="43A7CF30" wp14:editId="17C439A2">
                  <wp:extent cx="5041900" cy="2095500"/>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1900" cy="2095500"/>
                          </a:xfrm>
                          <a:prstGeom prst="rect">
                            <a:avLst/>
                          </a:prstGeom>
                        </pic:spPr>
                      </pic:pic>
                    </a:graphicData>
                  </a:graphic>
                </wp:inline>
              </w:drawing>
            </w:r>
          </w:p>
        </w:tc>
      </w:tr>
      <w:tr w:rsidR="008C1EC6" w:rsidRPr="002201B0" w14:paraId="4F660469" w14:textId="77777777" w:rsidTr="009511FF">
        <w:trPr>
          <w:jc w:val="center"/>
        </w:trPr>
        <w:tc>
          <w:tcPr>
            <w:tcW w:w="5000" w:type="pct"/>
            <w:noWrap/>
          </w:tcPr>
          <w:p w14:paraId="51DE1204"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Fuente:</w:t>
            </w:r>
            <w:r w:rsidRPr="002201B0">
              <w:rPr>
                <w:rFonts w:eastAsia="Calibri" w:cs="Arial"/>
                <w:i/>
                <w:color w:val="000000" w:themeColor="text1"/>
                <w:sz w:val="16"/>
                <w:lang w:val="es-ES_tradnl"/>
              </w:rPr>
              <w:tab/>
            </w:r>
            <w:r w:rsidRPr="008874AD">
              <w:rPr>
                <w:rFonts w:eastAsia="Calibri" w:cs="Arial"/>
                <w:i/>
                <w:color w:val="000000" w:themeColor="text1"/>
                <w:sz w:val="16"/>
                <w:lang w:val="es-ES_tradnl"/>
              </w:rPr>
              <w:t>Prueba de Replicabilidad de Telefonía Fija</w:t>
            </w:r>
            <w:r w:rsidRPr="002201B0">
              <w:rPr>
                <w:rFonts w:eastAsia="Calibri" w:cs="Arial"/>
                <w:i/>
                <w:color w:val="000000" w:themeColor="text1"/>
                <w:sz w:val="16"/>
                <w:lang w:val="es-ES_tradnl"/>
              </w:rPr>
              <w:t>.</w:t>
            </w:r>
          </w:p>
        </w:tc>
      </w:tr>
    </w:tbl>
    <w:p w14:paraId="5AE3ACBD" w14:textId="77777777" w:rsidR="001B366A" w:rsidRDefault="001B366A" w:rsidP="00617B7B">
      <w:pPr>
        <w:rPr>
          <w:lang w:val="es-ES_tradnl"/>
        </w:rPr>
      </w:pPr>
    </w:p>
    <w:p w14:paraId="17C40BA2" w14:textId="77777777" w:rsidR="008C1EC6" w:rsidRPr="00614D25" w:rsidRDefault="008C1EC6">
      <w:pPr>
        <w:pStyle w:val="Prrafodelista"/>
        <w:numPr>
          <w:ilvl w:val="1"/>
          <w:numId w:val="42"/>
        </w:numPr>
        <w:spacing w:before="160" w:after="160" w:line="259" w:lineRule="auto"/>
        <w:jc w:val="left"/>
        <w:outlineLvl w:val="1"/>
        <w:rPr>
          <w:b/>
          <w:szCs w:val="14"/>
          <w:lang w:val="es-ES_tradnl"/>
        </w:rPr>
      </w:pPr>
      <w:r w:rsidRPr="00614D25">
        <w:rPr>
          <w:b/>
          <w:szCs w:val="14"/>
          <w:lang w:val="es-ES_tradnl"/>
        </w:rPr>
        <w:t>Módulo de resultados</w:t>
      </w:r>
    </w:p>
    <w:p w14:paraId="56FF175F" w14:textId="77777777" w:rsidR="008C1EC6" w:rsidRPr="00262AD4" w:rsidRDefault="008C1EC6" w:rsidP="008C1EC6">
      <w:pPr>
        <w:rPr>
          <w:rFonts w:eastAsia="Arial"/>
          <w:color w:val="37424A"/>
        </w:rPr>
      </w:pPr>
      <w:r w:rsidRPr="00262AD4">
        <w:rPr>
          <w:rFonts w:eastAsia="Arial"/>
          <w:color w:val="37424A"/>
        </w:rPr>
        <w:t xml:space="preserve">En la hoja “Resultados” se muestran los resultados de la prueba en términos del margen porcentual sobre los ingresos minoristas para los 6 meses considerados en el modelo. </w:t>
      </w:r>
    </w:p>
    <w:p w14:paraId="13308955" w14:textId="77777777" w:rsidR="008C1EC6" w:rsidRPr="00262AD4" w:rsidRDefault="008C1EC6" w:rsidP="008C1EC6">
      <w:pPr>
        <w:rPr>
          <w:rFonts w:eastAsia="Arial"/>
          <w:color w:val="37424A"/>
        </w:rPr>
      </w:pPr>
      <w:r w:rsidRPr="00262AD4">
        <w:rPr>
          <w:rFonts w:eastAsia="Arial"/>
          <w:color w:val="37424A"/>
        </w:rPr>
        <w:t>El margen se estima como la diferencia entre:</w:t>
      </w:r>
    </w:p>
    <w:p w14:paraId="481131FC"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 xml:space="preserve">Los ingresos obtenidos por el AEP durante el período (celda C11); </w:t>
      </w:r>
    </w:p>
    <w:p w14:paraId="56B75B8D"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Los pagos mayoristas asociados a la reventa del servicio de telefonía fija (celda C13); y</w:t>
      </w:r>
    </w:p>
    <w:p w14:paraId="5340033E"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Los costos aguas abajo asociados a la prestación de servicios de telefonía fija en el período (celda C14).</w:t>
      </w:r>
    </w:p>
    <w:p w14:paraId="59C94540" w14:textId="77777777" w:rsidR="008C1EC6" w:rsidRPr="00262AD4" w:rsidRDefault="008C1EC6" w:rsidP="008C1EC6">
      <w:pPr>
        <w:rPr>
          <w:rFonts w:eastAsia="Arial"/>
          <w:color w:val="37424A"/>
        </w:rPr>
      </w:pPr>
      <w:r w:rsidRPr="00262AD4">
        <w:rPr>
          <w:rFonts w:eastAsia="Arial"/>
          <w:color w:val="37424A"/>
        </w:rPr>
        <w:t xml:space="preserve">Si los ingresos obtenidos en el período superan los costos asociados se considera que las tarifas son replicables. </w:t>
      </w:r>
    </w:p>
    <w:p w14:paraId="19729F63" w14:textId="77777777" w:rsidR="008C1EC6" w:rsidRPr="00262AD4" w:rsidRDefault="008C1EC6" w:rsidP="008C1EC6">
      <w:pPr>
        <w:rPr>
          <w:rFonts w:eastAsia="Arial"/>
          <w:color w:val="37424A"/>
        </w:rPr>
      </w:pPr>
      <w:r w:rsidRPr="00262AD4">
        <w:rPr>
          <w:rFonts w:eastAsia="Arial"/>
          <w:color w:val="37424A"/>
        </w:rPr>
        <w:t xml:space="preserve">Los resultados también se muestran gráficamente, tal y como se contempla en la </w:t>
      </w:r>
      <w:r w:rsidRPr="00262AD4">
        <w:rPr>
          <w:rFonts w:eastAsia="Arial"/>
          <w:color w:val="37424A"/>
        </w:rPr>
        <w:fldChar w:fldCharType="begin"/>
      </w:r>
      <w:r w:rsidRPr="00262AD4">
        <w:rPr>
          <w:rFonts w:eastAsia="Arial"/>
          <w:color w:val="37424A"/>
        </w:rPr>
        <w:instrText xml:space="preserve"> REF _Ref491863132 \h </w:instrText>
      </w:r>
      <w:r>
        <w:rPr>
          <w:rFonts w:eastAsia="Arial"/>
          <w:color w:val="37424A"/>
        </w:rPr>
        <w:instrText xml:space="preserve"> \* MERGEFORMAT </w:instrText>
      </w:r>
      <w:r w:rsidRPr="00262AD4">
        <w:rPr>
          <w:rFonts w:eastAsia="Arial"/>
          <w:color w:val="37424A"/>
        </w:rPr>
      </w:r>
      <w:r w:rsidRPr="00262AD4">
        <w:rPr>
          <w:rFonts w:eastAsia="Arial"/>
          <w:color w:val="37424A"/>
        </w:rPr>
        <w:fldChar w:fldCharType="separate"/>
      </w:r>
      <w:r w:rsidRPr="007C1AFA">
        <w:t xml:space="preserve">Figura </w:t>
      </w:r>
      <w:r w:rsidRPr="007C1AFA">
        <w:rPr>
          <w:noProof/>
        </w:rPr>
        <w:t>4</w:t>
      </w:r>
      <w:r w:rsidRPr="00262AD4">
        <w:rPr>
          <w:rFonts w:eastAsia="Arial"/>
          <w:color w:val="37424A"/>
        </w:rPr>
        <w:fldChar w:fldCharType="end"/>
      </w:r>
      <w:r>
        <w:rPr>
          <w:rFonts w:eastAsia="Arial"/>
          <w:color w:val="37424A"/>
        </w:rPr>
        <w:t>.</w:t>
      </w:r>
    </w:p>
    <w:p w14:paraId="5D596B76" w14:textId="77777777" w:rsidR="008C1EC6" w:rsidRPr="007C1AFA" w:rsidRDefault="008C1EC6" w:rsidP="008C1EC6">
      <w:pPr>
        <w:rPr>
          <w:lang w:val="es-ES_tradnl"/>
        </w:rPr>
      </w:pP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218F3D55" w14:textId="77777777" w:rsidTr="009511FF">
        <w:trPr>
          <w:jc w:val="center"/>
        </w:trPr>
        <w:tc>
          <w:tcPr>
            <w:tcW w:w="5000" w:type="pct"/>
            <w:noWrap/>
          </w:tcPr>
          <w:p w14:paraId="4A7C672E" w14:textId="77777777" w:rsidR="008C1EC6" w:rsidRPr="00C30B00" w:rsidRDefault="008C1EC6" w:rsidP="009511FF">
            <w:pPr>
              <w:keepNext/>
              <w:tabs>
                <w:tab w:val="left" w:pos="1276"/>
              </w:tabs>
              <w:spacing w:before="120" w:after="60" w:line="240" w:lineRule="auto"/>
              <w:ind w:left="1276" w:hanging="1276"/>
              <w:rPr>
                <w:rFonts w:eastAsia="Calibri" w:cs="Arial"/>
                <w:b/>
                <w:color w:val="000000" w:themeColor="text1"/>
                <w:sz w:val="18"/>
                <w:szCs w:val="18"/>
                <w:lang w:val="es-ES_tradnl"/>
              </w:rPr>
            </w:pPr>
            <w:r w:rsidRPr="00C30B00">
              <w:rPr>
                <w:rFonts w:eastAsia="Calibri" w:cs="Arial"/>
                <w:b/>
                <w:color w:val="000000" w:themeColor="text1"/>
                <w:sz w:val="18"/>
                <w:szCs w:val="18"/>
                <w:lang w:val="es-ES_tradnl"/>
              </w:rPr>
              <w:t xml:space="preserve">Figura </w:t>
            </w:r>
            <w:r w:rsidRPr="00C30B00">
              <w:rPr>
                <w:rFonts w:eastAsia="Calibri" w:cs="Arial"/>
                <w:b/>
                <w:color w:val="000000" w:themeColor="text1"/>
                <w:sz w:val="18"/>
                <w:szCs w:val="18"/>
                <w:lang w:val="es-ES_tradnl"/>
              </w:rPr>
              <w:fldChar w:fldCharType="begin"/>
            </w:r>
            <w:r w:rsidRPr="00C30B00">
              <w:rPr>
                <w:rFonts w:eastAsia="Calibri" w:cs="Arial"/>
                <w:b/>
                <w:color w:val="000000" w:themeColor="text1"/>
                <w:sz w:val="18"/>
                <w:szCs w:val="18"/>
                <w:lang w:val="es-ES_tradnl"/>
              </w:rPr>
              <w:instrText xml:space="preserve"> SEQ Figura </w:instrText>
            </w:r>
            <w:r w:rsidRPr="00C30B00">
              <w:rPr>
                <w:rFonts w:eastAsia="Calibri" w:cs="Arial"/>
                <w:b/>
                <w:color w:val="000000" w:themeColor="text1"/>
                <w:sz w:val="18"/>
                <w:szCs w:val="18"/>
                <w:lang w:val="es-ES_tradnl"/>
              </w:rPr>
              <w:fldChar w:fldCharType="separate"/>
            </w:r>
            <w:r w:rsidRPr="00C30B00">
              <w:rPr>
                <w:rFonts w:eastAsia="Calibri" w:cs="Arial"/>
                <w:b/>
                <w:noProof/>
                <w:color w:val="000000" w:themeColor="text1"/>
                <w:sz w:val="18"/>
                <w:szCs w:val="18"/>
                <w:lang w:val="es-ES_tradnl"/>
              </w:rPr>
              <w:t>4</w:t>
            </w:r>
            <w:r w:rsidRPr="00C30B00">
              <w:rPr>
                <w:rFonts w:eastAsia="Calibri" w:cs="Arial"/>
                <w:b/>
                <w:noProof/>
                <w:color w:val="000000" w:themeColor="text1"/>
                <w:sz w:val="18"/>
                <w:szCs w:val="18"/>
                <w:lang w:val="es-ES_tradnl"/>
              </w:rPr>
              <w:fldChar w:fldCharType="end"/>
            </w:r>
            <w:r w:rsidRPr="00C30B00">
              <w:rPr>
                <w:rFonts w:eastAsia="Calibri" w:cs="Arial"/>
                <w:b/>
                <w:color w:val="000000" w:themeColor="text1"/>
                <w:sz w:val="18"/>
                <w:szCs w:val="18"/>
                <w:lang w:val="es-ES_tradnl"/>
              </w:rPr>
              <w:tab/>
              <w:t>Reporte de resultados del modelo de replicabilidad de telefonía fija</w:t>
            </w:r>
          </w:p>
        </w:tc>
      </w:tr>
      <w:tr w:rsidR="008C1EC6" w:rsidRPr="002201B0" w14:paraId="25EB0F3A" w14:textId="77777777" w:rsidTr="009511FF">
        <w:trPr>
          <w:jc w:val="center"/>
        </w:trPr>
        <w:tc>
          <w:tcPr>
            <w:tcW w:w="5000" w:type="pct"/>
            <w:noWrap/>
          </w:tcPr>
          <w:p w14:paraId="1858E8E3" w14:textId="7B0A457B" w:rsidR="008C1EC6" w:rsidRPr="002201B0" w:rsidRDefault="008C1EC6" w:rsidP="009511FF">
            <w:pPr>
              <w:keepNext/>
              <w:spacing w:after="0" w:line="240" w:lineRule="auto"/>
              <w:jc w:val="left"/>
              <w:rPr>
                <w:rFonts w:eastAsiaTheme="minorHAnsi" w:cs="Arial"/>
                <w:color w:val="000000" w:themeColor="text1"/>
                <w:sz w:val="20"/>
                <w:lang w:val="en-GB"/>
              </w:rPr>
            </w:pPr>
            <w:r>
              <w:rPr>
                <w:noProof/>
                <w:lang w:eastAsia="es-MX"/>
              </w:rPr>
              <w:drawing>
                <wp:inline distT="0" distB="0" distL="0" distR="0" wp14:anchorId="5DE3C37B" wp14:editId="05CF3867">
                  <wp:extent cx="4572000" cy="2476500"/>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tc>
      </w:tr>
      <w:tr w:rsidR="008C1EC6" w:rsidRPr="002201B0" w14:paraId="0C2B6CAD" w14:textId="77777777" w:rsidTr="009511FF">
        <w:trPr>
          <w:jc w:val="center"/>
        </w:trPr>
        <w:tc>
          <w:tcPr>
            <w:tcW w:w="5000" w:type="pct"/>
            <w:noWrap/>
          </w:tcPr>
          <w:p w14:paraId="45B3F7D7"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Fuente:</w:t>
            </w:r>
            <w:r w:rsidRPr="002201B0">
              <w:rPr>
                <w:rFonts w:eastAsia="Calibri" w:cs="Arial"/>
                <w:i/>
                <w:color w:val="000000" w:themeColor="text1"/>
                <w:sz w:val="16"/>
                <w:lang w:val="es-ES_tradnl"/>
              </w:rPr>
              <w:tab/>
            </w:r>
            <w:r w:rsidRPr="008874AD">
              <w:rPr>
                <w:rFonts w:eastAsia="Calibri" w:cs="Arial"/>
                <w:i/>
                <w:color w:val="000000" w:themeColor="text1"/>
                <w:sz w:val="16"/>
                <w:lang w:val="es-ES_tradnl"/>
              </w:rPr>
              <w:t>Prueba de Replicabilidad de Telefonía Fija</w:t>
            </w:r>
            <w:r w:rsidRPr="002201B0">
              <w:rPr>
                <w:rFonts w:eastAsia="Calibri" w:cs="Arial"/>
                <w:i/>
                <w:color w:val="000000" w:themeColor="text1"/>
                <w:sz w:val="16"/>
                <w:lang w:val="es-ES_tradnl"/>
              </w:rPr>
              <w:t xml:space="preserve">. </w:t>
            </w:r>
          </w:p>
          <w:p w14:paraId="2437CFCB"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Pr>
                <w:rFonts w:eastAsia="Calibri" w:cs="Arial"/>
                <w:i/>
                <w:color w:val="000000" w:themeColor="text1"/>
                <w:sz w:val="16"/>
                <w:lang w:val="es-ES_tradnl"/>
              </w:rPr>
              <w:t xml:space="preserve">Nota: </w:t>
            </w:r>
            <w:r w:rsidRPr="002201B0">
              <w:rPr>
                <w:rFonts w:eastAsia="Calibri" w:cs="Arial"/>
                <w:i/>
                <w:color w:val="000000" w:themeColor="text1"/>
                <w:sz w:val="16"/>
                <w:lang w:val="es-ES_tradnl"/>
              </w:rPr>
              <w:t xml:space="preserve">Los resultados aquí mostrados son hipotéticos al basarse en información ficticia. </w:t>
            </w:r>
          </w:p>
        </w:tc>
      </w:tr>
    </w:tbl>
    <w:p w14:paraId="78F4D8B9" w14:textId="77777777" w:rsidR="008C1EC6" w:rsidRDefault="008C1EC6" w:rsidP="008C1EC6">
      <w:pPr>
        <w:ind w:left="360"/>
      </w:pPr>
    </w:p>
    <w:p w14:paraId="6A99ED00" w14:textId="77777777" w:rsidR="001B366A" w:rsidRPr="002201B0" w:rsidRDefault="001B366A" w:rsidP="008C1EC6">
      <w:pPr>
        <w:ind w:left="360"/>
      </w:pPr>
    </w:p>
    <w:p w14:paraId="642B3408" w14:textId="77777777" w:rsidR="008C1EC6" w:rsidRPr="002201B0" w:rsidRDefault="008C1EC6">
      <w:pPr>
        <w:numPr>
          <w:ilvl w:val="1"/>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Módulo de cálculos</w:t>
      </w:r>
    </w:p>
    <w:p w14:paraId="6877F670" w14:textId="77777777" w:rsidR="008C1EC6" w:rsidRPr="002201B0" w:rsidRDefault="008C1EC6">
      <w:pPr>
        <w:numPr>
          <w:ilvl w:val="2"/>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Ingresos</w:t>
      </w:r>
    </w:p>
    <w:p w14:paraId="5D36173A" w14:textId="77777777" w:rsidR="008C1EC6" w:rsidRPr="007C1AFA" w:rsidRDefault="008C1EC6" w:rsidP="008C1EC6">
      <w:r w:rsidRPr="007C1AFA">
        <w:t>El modelo presenta el valor de los ingresos del AEP asociados a la cartera de productos minoristas de telefonía fija en los 6 meses considerados. Los ingresos se nutren directamente del requerimiento de información al AEP y pueden verse de manera desglosada en la hoja “Ingresos”. El desglose consiste en los siguientes componentes:</w:t>
      </w:r>
    </w:p>
    <w:p w14:paraId="7F260587"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fijo dentro de la red</w:t>
      </w:r>
      <w:r>
        <w:rPr>
          <w:rFonts w:ascii="ITC Avant Garde" w:hAnsi="ITC Avant Garde"/>
        </w:rPr>
        <w:t>.</w:t>
      </w:r>
    </w:p>
    <w:p w14:paraId="70AEF6BD"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fijo nacional fuera de la red</w:t>
      </w:r>
      <w:r>
        <w:rPr>
          <w:rFonts w:ascii="ITC Avant Garde" w:hAnsi="ITC Avant Garde"/>
        </w:rPr>
        <w:t>.</w:t>
      </w:r>
    </w:p>
    <w:p w14:paraId="033CA3AE"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móviles nacionales</w:t>
      </w:r>
      <w:r>
        <w:rPr>
          <w:rFonts w:ascii="ITC Avant Garde" w:hAnsi="ITC Avant Garde"/>
        </w:rPr>
        <w:t>.</w:t>
      </w:r>
    </w:p>
    <w:p w14:paraId="485FF6CB"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Larga Distancia Internacional (LDI)</w:t>
      </w:r>
      <w:r>
        <w:rPr>
          <w:rFonts w:ascii="ITC Avant Garde" w:hAnsi="ITC Avant Garde"/>
        </w:rPr>
        <w:t>.</w:t>
      </w:r>
    </w:p>
    <w:p w14:paraId="248BA683" w14:textId="77777777" w:rsidR="008C1EC6" w:rsidRPr="007C1AFA" w:rsidRDefault="008C1EC6" w:rsidP="008C1EC6">
      <w:pPr>
        <w:spacing w:before="60" w:after="60" w:line="264" w:lineRule="auto"/>
        <w:rPr>
          <w:rFonts w:eastAsiaTheme="minorHAnsi" w:cs="Arial"/>
          <w:color w:val="000000" w:themeColor="text1"/>
          <w:lang w:val="es-ES_tradnl"/>
        </w:rPr>
      </w:pPr>
      <w:r w:rsidRPr="007C1AFA">
        <w:t>Resto de ingresos minoristas (instalación de línea, renta básica por línea, comercialización y mantenimiento de cableado y equipo terminal, servicios suplementarios, ventas en tiendas del concesionario)</w:t>
      </w:r>
      <w:r>
        <w:t>.</w:t>
      </w:r>
    </w:p>
    <w:p w14:paraId="1C7FB520" w14:textId="77777777" w:rsidR="008C1EC6" w:rsidRPr="002201B0" w:rsidRDefault="008C1EC6" w:rsidP="008C1EC6">
      <w:pPr>
        <w:spacing w:before="60" w:after="60" w:line="264" w:lineRule="auto"/>
        <w:ind w:left="360" w:hanging="360"/>
        <w:rPr>
          <w:rFonts w:eastAsiaTheme="minorHAnsi" w:cs="Arial"/>
          <w:color w:val="000000" w:themeColor="text1"/>
          <w:lang w:val="es-ES_tradnl"/>
        </w:rPr>
      </w:pPr>
    </w:p>
    <w:p w14:paraId="6A5455AE" w14:textId="77777777" w:rsidR="008C1EC6" w:rsidRPr="00262AD4" w:rsidRDefault="008C1EC6">
      <w:pPr>
        <w:numPr>
          <w:ilvl w:val="2"/>
          <w:numId w:val="42"/>
        </w:numPr>
        <w:spacing w:before="160" w:after="160" w:line="259" w:lineRule="auto"/>
        <w:jc w:val="left"/>
        <w:outlineLvl w:val="1"/>
        <w:rPr>
          <w:rFonts w:eastAsia="Arial" w:cs="Arial"/>
          <w:b/>
          <w:szCs w:val="14"/>
          <w:lang w:val="es-ES_tradnl"/>
        </w:rPr>
      </w:pPr>
      <w:r w:rsidRPr="00262AD4">
        <w:rPr>
          <w:rFonts w:eastAsia="Arial" w:cs="Arial"/>
          <w:b/>
          <w:szCs w:val="14"/>
          <w:lang w:val="es-ES_tradnl"/>
        </w:rPr>
        <w:t>Costos</w:t>
      </w:r>
    </w:p>
    <w:p w14:paraId="4067D1DF" w14:textId="77777777" w:rsidR="008C1EC6" w:rsidRPr="002201B0" w:rsidRDefault="008C1EC6" w:rsidP="008C1EC6">
      <w:pPr>
        <w:rPr>
          <w:b/>
        </w:rPr>
      </w:pPr>
      <w:r w:rsidRPr="002201B0">
        <w:rPr>
          <w:b/>
        </w:rPr>
        <w:t>Pagos mayoristas</w:t>
      </w:r>
    </w:p>
    <w:p w14:paraId="69EB33CC" w14:textId="77777777" w:rsidR="008C1EC6" w:rsidRPr="007C1AFA" w:rsidRDefault="008C1EC6" w:rsidP="008C1EC6">
      <w:r w:rsidRPr="007C1AFA">
        <w:t>Los pagos mayoristas se muestran en la hoja “Costos” y su cálculo se detalla en la hoja “Pagos mayoristas”. Estos pagos se estiman basándose tanto en la información de la OREDA</w:t>
      </w:r>
      <w:r w:rsidRPr="00262AD4">
        <w:rPr>
          <w:rStyle w:val="Refdenotaalpie"/>
          <w:rFonts w:ascii="ITC Avant Garde" w:hAnsi="ITC Avant Garde"/>
        </w:rPr>
        <w:footnoteReference w:id="5"/>
      </w:r>
      <w:r w:rsidRPr="007C1AFA">
        <w:t xml:space="preserve"> como en la información provista por el AEP sobre los ingresos, usuarios y tráfico a nivel mayorista. </w:t>
      </w:r>
    </w:p>
    <w:p w14:paraId="7F2F0680" w14:textId="77777777" w:rsidR="008C1EC6" w:rsidRPr="007C1AFA" w:rsidRDefault="008C1EC6" w:rsidP="008C1EC6">
      <w:r w:rsidRPr="007C1AFA">
        <w:t>Los pagos no recurrentes se estiman usando la información de la OREDA y el número de altas nuevas, cambio de domicilio, etc. del operador preponderante. Salvo para el caso de la instalación de la acometida de cobre, donde se considera el ingreso mayorista promedio por usuario. Los pagos no recurrentes de los servicios mayoristas se amortizan teniendo en cuenta la vida media del cliente. El desglose consiste en los siguientes componentes:</w:t>
      </w:r>
    </w:p>
    <w:p w14:paraId="4A196432"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lastRenderedPageBreak/>
        <w:t>Gastos de habilitación del SRL, SRI y SRP;</w:t>
      </w:r>
    </w:p>
    <w:p w14:paraId="4B25AA34"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 xml:space="preserve">Cambio de domicilio SRL; </w:t>
      </w:r>
    </w:p>
    <w:p w14:paraId="7EFF7723"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Cambio de número;</w:t>
      </w:r>
    </w:p>
    <w:p w14:paraId="298A6949"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 xml:space="preserve">Suspensión y Reactivación del servicio para suscriptor; </w:t>
      </w:r>
    </w:p>
    <w:p w14:paraId="3DF5DAD4"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Habilitación de Bloqueo y Desbloqueo de llamadas; y</w:t>
      </w:r>
    </w:p>
    <w:p w14:paraId="1BD8D188"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Instalación de la acometida de cobre.</w:t>
      </w:r>
    </w:p>
    <w:p w14:paraId="67EB1210" w14:textId="77777777" w:rsidR="008C1EC6" w:rsidRPr="007C1AFA" w:rsidRDefault="008C1EC6" w:rsidP="008C1EC6">
      <w:r w:rsidRPr="007C1AFA">
        <w:t>Los precios mayoristas recurrentes se estiman usando la información provista por el operador preponderante a nivel mayorista (ingresos, usuarios, tráfico y eventos). Es decir, los costes mayoristas recurrentes se basan en los ingresos mayoristas promedio del operador preponderante para los siguientes componentes:</w:t>
      </w:r>
    </w:p>
    <w:p w14:paraId="4020F0D7"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fijo dentro de la red</w:t>
      </w:r>
      <w:r>
        <w:rPr>
          <w:rFonts w:ascii="ITC Avant Garde" w:hAnsi="ITC Avant Garde"/>
        </w:rPr>
        <w:t>;</w:t>
      </w:r>
    </w:p>
    <w:p w14:paraId="4AC439B4"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fijo nacional fuera de la red</w:t>
      </w:r>
      <w:r>
        <w:rPr>
          <w:rFonts w:ascii="ITC Avant Garde" w:hAnsi="ITC Avant Garde"/>
        </w:rPr>
        <w:t>;</w:t>
      </w:r>
    </w:p>
    <w:p w14:paraId="64E680CF"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Servicio medido de voz saliente a móviles nacionales</w:t>
      </w:r>
      <w:r>
        <w:rPr>
          <w:rFonts w:ascii="ITC Avant Garde" w:hAnsi="ITC Avant Garde"/>
        </w:rPr>
        <w:t>;</w:t>
      </w:r>
    </w:p>
    <w:p w14:paraId="79E87DE8" w14:textId="77777777" w:rsidR="008C1EC6" w:rsidRDefault="008C1EC6">
      <w:pPr>
        <w:pStyle w:val="ParaBullet1"/>
        <w:numPr>
          <w:ilvl w:val="0"/>
          <w:numId w:val="7"/>
        </w:numPr>
      </w:pPr>
      <w:r w:rsidRPr="00262AD4">
        <w:rPr>
          <w:rFonts w:ascii="ITC Avant Garde" w:hAnsi="ITC Avant Garde"/>
        </w:rPr>
        <w:t xml:space="preserve">Servicio Larga Distancia Internacional (LDI); y </w:t>
      </w:r>
    </w:p>
    <w:p w14:paraId="67331F05" w14:textId="77777777" w:rsidR="008C1EC6" w:rsidRDefault="008C1EC6">
      <w:pPr>
        <w:pStyle w:val="ParaBullet1"/>
        <w:numPr>
          <w:ilvl w:val="0"/>
          <w:numId w:val="7"/>
        </w:numPr>
      </w:pPr>
      <w:r w:rsidRPr="00614D25">
        <w:rPr>
          <w:rFonts w:ascii="ITC Avant Garde" w:hAnsi="ITC Avant Garde"/>
        </w:rPr>
        <w:t>Resto de costos mayoristas asociados a la renta mensual y otros tráficos</w:t>
      </w:r>
      <w:r>
        <w:rPr>
          <w:rFonts w:ascii="ITC Avant Garde" w:hAnsi="ITC Avant Garde"/>
        </w:rPr>
        <w:t>.</w:t>
      </w:r>
    </w:p>
    <w:p w14:paraId="2F39F8D4" w14:textId="77777777" w:rsidR="008C1EC6" w:rsidRPr="002201B0" w:rsidRDefault="008C1EC6" w:rsidP="008C1EC6">
      <w:pPr>
        <w:spacing w:before="60" w:after="60" w:line="264" w:lineRule="auto"/>
        <w:rPr>
          <w:rFonts w:eastAsiaTheme="minorHAnsi" w:cs="Arial"/>
          <w:color w:val="000000" w:themeColor="text1"/>
          <w:lang w:val="es-ES_tradnl"/>
        </w:rPr>
      </w:pPr>
    </w:p>
    <w:p w14:paraId="5E0BBA13" w14:textId="77777777" w:rsidR="008C1EC6" w:rsidRPr="002201B0" w:rsidRDefault="008C1EC6" w:rsidP="008C1EC6">
      <w:pPr>
        <w:rPr>
          <w:b/>
        </w:rPr>
      </w:pPr>
      <w:r w:rsidRPr="002201B0">
        <w:rPr>
          <w:b/>
        </w:rPr>
        <w:t>Costos aguas abajo</w:t>
      </w:r>
    </w:p>
    <w:p w14:paraId="02EE5BAC" w14:textId="77777777" w:rsidR="008C1EC6" w:rsidRPr="007C1AFA" w:rsidRDefault="008C1EC6" w:rsidP="008C1EC6">
      <w:r w:rsidRPr="007C1AFA">
        <w:t>El modelo muestra el valor de los costos abajo durante el periodo escogido en la hoja “Costos” (celdas D12:D22), Los costos se nutren directamente del requerimiento de información al preponderante. Se distingue entre los siguientes componentes de costos:</w:t>
      </w:r>
    </w:p>
    <w:p w14:paraId="0D3F9720"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 xml:space="preserve">Facturación; </w:t>
      </w:r>
    </w:p>
    <w:p w14:paraId="5B955E99"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Cobranza;</w:t>
      </w:r>
    </w:p>
    <w:p w14:paraId="0C5AF85B"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Tasas e impuestos;</w:t>
      </w:r>
    </w:p>
    <w:p w14:paraId="18F66B04"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Comerciales;</w:t>
      </w:r>
    </w:p>
    <w:p w14:paraId="40743585"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Programas de fidelización;</w:t>
      </w:r>
    </w:p>
    <w:p w14:paraId="45360A94"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Provisiones;</w:t>
      </w:r>
    </w:p>
    <w:p w14:paraId="4540B2BF"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 xml:space="preserve">Costos directos de la venta de terminales; </w:t>
      </w:r>
    </w:p>
    <w:p w14:paraId="5E162133"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lastRenderedPageBreak/>
        <w:t xml:space="preserve">Servicios generales y de gestión - minoristas; </w:t>
      </w:r>
    </w:p>
    <w:p w14:paraId="12049D3D"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Servicios generales y de gestión – negocio; y</w:t>
      </w:r>
    </w:p>
    <w:p w14:paraId="5610DC5D" w14:textId="77777777" w:rsidR="008C1EC6" w:rsidRPr="00262AD4" w:rsidRDefault="008C1EC6">
      <w:pPr>
        <w:pStyle w:val="ParaBullet1"/>
        <w:numPr>
          <w:ilvl w:val="0"/>
          <w:numId w:val="43"/>
        </w:numPr>
        <w:rPr>
          <w:rFonts w:ascii="ITC Avant Garde" w:hAnsi="ITC Avant Garde"/>
        </w:rPr>
      </w:pPr>
      <w:r w:rsidRPr="00262AD4">
        <w:rPr>
          <w:rFonts w:ascii="ITC Avant Garde" w:hAnsi="ITC Avant Garde"/>
        </w:rPr>
        <w:t>Costo del capital.</w:t>
      </w:r>
    </w:p>
    <w:p w14:paraId="5FE2C642" w14:textId="77777777" w:rsidR="008C1EC6" w:rsidRPr="002201B0" w:rsidRDefault="008C1EC6">
      <w:pPr>
        <w:numPr>
          <w:ilvl w:val="1"/>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Módulo de supuestos</w:t>
      </w:r>
    </w:p>
    <w:p w14:paraId="19DCB017" w14:textId="77777777" w:rsidR="008C1EC6" w:rsidRPr="002201B0" w:rsidRDefault="008C1EC6" w:rsidP="008C1EC6">
      <w:pPr>
        <w:rPr>
          <w:lang w:val="es-ES_tradnl"/>
        </w:rPr>
      </w:pPr>
      <w:r>
        <w:t>En la hoja de “Supuestos” se especifica el horizonte temporal considerado en la prueba (6 meses). Debe</w:t>
      </w:r>
      <w:r w:rsidRPr="00066B7C">
        <w:t xml:space="preserve"> haber consistencia entre e</w:t>
      </w:r>
      <w:r>
        <w:t>ste</w:t>
      </w:r>
      <w:r w:rsidRPr="00066B7C">
        <w:t xml:space="preserve"> horizonte temporal y el período cubierto por la información provi</w:t>
      </w:r>
      <w:r>
        <w:t>sta.</w:t>
      </w:r>
    </w:p>
    <w:p w14:paraId="425C1B3A" w14:textId="77777777" w:rsidR="008C1EC6" w:rsidRPr="002201B0" w:rsidRDefault="008C1EC6">
      <w:pPr>
        <w:numPr>
          <w:ilvl w:val="0"/>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Actualización del modelo</w:t>
      </w:r>
    </w:p>
    <w:p w14:paraId="628D54BD" w14:textId="77777777" w:rsidR="008C1EC6" w:rsidRPr="002201B0" w:rsidRDefault="008C1EC6">
      <w:pPr>
        <w:numPr>
          <w:ilvl w:val="1"/>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Información requerida</w:t>
      </w:r>
    </w:p>
    <w:p w14:paraId="62F8BA3D" w14:textId="77777777" w:rsidR="008C1EC6" w:rsidRPr="002201B0" w:rsidRDefault="008C1EC6">
      <w:pPr>
        <w:numPr>
          <w:ilvl w:val="2"/>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t>Por parte del AEP</w:t>
      </w:r>
    </w:p>
    <w:p w14:paraId="7B0D9F5B" w14:textId="77777777" w:rsidR="008C1EC6" w:rsidRPr="00262AD4" w:rsidRDefault="008C1EC6">
      <w:pPr>
        <w:pStyle w:val="Prrafodelista"/>
        <w:numPr>
          <w:ilvl w:val="0"/>
          <w:numId w:val="44"/>
        </w:numPr>
      </w:pPr>
      <w:r w:rsidRPr="00262AD4">
        <w:t>Para la ejecución del modelo se necesita que el AEP proporcione la siguiente información:</w:t>
      </w:r>
    </w:p>
    <w:p w14:paraId="54A76729"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Usuarios a nivel minorista:</w:t>
      </w:r>
    </w:p>
    <w:p w14:paraId="352D6889"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usuarios promedio (del período considerado);</w:t>
      </w:r>
    </w:p>
    <w:p w14:paraId="2A10250A"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altas nuevas;</w:t>
      </w:r>
    </w:p>
    <w:p w14:paraId="4869BF3B"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usuarios que cambiaron el domicilio;</w:t>
      </w:r>
    </w:p>
    <w:p w14:paraId="1BDA2908"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usuarios que cambiaron de número;</w:t>
      </w:r>
    </w:p>
    <w:p w14:paraId="1B64CF48"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suspensiones y reactivaciones del servicio para suscriptor; y</w:t>
      </w:r>
    </w:p>
    <w:p w14:paraId="0570B98D"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de usuarios con habilitación de bloqueo y desbloqueo de llamadas.</w:t>
      </w:r>
    </w:p>
    <w:p w14:paraId="508B1922"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Ingresos y tráfico a nivel minorista:</w:t>
      </w:r>
    </w:p>
    <w:p w14:paraId="03500F10"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 medido de voz saliente a fijo dentro de la red;</w:t>
      </w:r>
    </w:p>
    <w:p w14:paraId="315E86E5"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 medido de voz saliente a fijo nacional fuera de la red;</w:t>
      </w:r>
    </w:p>
    <w:p w14:paraId="1269CDDF"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 medido de voz saliente a móviles nacionales;</w:t>
      </w:r>
    </w:p>
    <w:p w14:paraId="000BA3DB"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 Larga Distancia Internacional (LDI); y</w:t>
      </w:r>
    </w:p>
    <w:p w14:paraId="5999B2BE"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Resto de ingresos minoristas (instalación de línea, renta básica por línea, comercialización y mantenimiento de cableado y equipo terminal, servicios suplementarios, ventas en tiendas del concesionario).</w:t>
      </w:r>
    </w:p>
    <w:p w14:paraId="786B06FA"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lastRenderedPageBreak/>
        <w:t>Información de los servicios mayoristas:</w:t>
      </w:r>
    </w:p>
    <w:p w14:paraId="3CF79823"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Número promedio de usuarios; y</w:t>
      </w:r>
    </w:p>
    <w:p w14:paraId="01943F2D"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Concepto;</w:t>
      </w:r>
    </w:p>
    <w:p w14:paraId="2F484743"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Servicio medido de voz saliente a fijo dentro de la red</w:t>
      </w:r>
    </w:p>
    <w:p w14:paraId="02E2ABBD"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Servicio medido de voz saliente a fijo nacional fuera de la red</w:t>
      </w:r>
    </w:p>
    <w:p w14:paraId="4CE31AD5"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Servicio medido de voz saliente a móviles nacionales</w:t>
      </w:r>
    </w:p>
    <w:p w14:paraId="3F89432C"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 Larga Distancia Internacional (LDI);</w:t>
      </w:r>
    </w:p>
    <w:p w14:paraId="0FE2C35B"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 xml:space="preserve">Resto de ingresos mayoristas asociados a la renta mensual y otros tráficos; y </w:t>
      </w:r>
    </w:p>
    <w:p w14:paraId="096D41C5"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Instalaciones de acometidas de cobre.</w:t>
      </w:r>
    </w:p>
    <w:p w14:paraId="3F80CF86"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Montos de los costos minoristas desglosados en los ítems siguientes:</w:t>
      </w:r>
    </w:p>
    <w:p w14:paraId="4BA620EB"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Facturación;</w:t>
      </w:r>
    </w:p>
    <w:p w14:paraId="3F49BE06"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Cobranza;</w:t>
      </w:r>
    </w:p>
    <w:p w14:paraId="0B0BC02E"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Tasas e impuestos;</w:t>
      </w:r>
    </w:p>
    <w:p w14:paraId="5CD84993"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Comerciales;</w:t>
      </w:r>
    </w:p>
    <w:p w14:paraId="708B7453"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Programas de fidelización;</w:t>
      </w:r>
    </w:p>
    <w:p w14:paraId="30FA91E2"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Provisiones e incobrables;</w:t>
      </w:r>
    </w:p>
    <w:p w14:paraId="17BB5D27"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Costos directos de la venta de terminales;</w:t>
      </w:r>
    </w:p>
    <w:p w14:paraId="09F150AD"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 xml:space="preserve">Servicios generales y de gestión - minoristas; </w:t>
      </w:r>
    </w:p>
    <w:p w14:paraId="09B0B679"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Servicios generales y de gestión – negocio; y</w:t>
      </w:r>
    </w:p>
    <w:p w14:paraId="5B54E738" w14:textId="77777777" w:rsidR="008C1EC6" w:rsidRPr="00262AD4" w:rsidRDefault="008C1EC6">
      <w:pPr>
        <w:pStyle w:val="ParaBullet2"/>
        <w:numPr>
          <w:ilvl w:val="1"/>
          <w:numId w:val="44"/>
        </w:numPr>
        <w:rPr>
          <w:rFonts w:ascii="ITC Avant Garde" w:hAnsi="ITC Avant Garde"/>
        </w:rPr>
      </w:pPr>
      <w:r w:rsidRPr="00262AD4">
        <w:rPr>
          <w:rFonts w:ascii="ITC Avant Garde" w:hAnsi="ITC Avant Garde"/>
        </w:rPr>
        <w:t>Costo del capital.</w:t>
      </w:r>
    </w:p>
    <w:p w14:paraId="63373013" w14:textId="77777777" w:rsidR="008C1EC6" w:rsidRPr="00262AD4" w:rsidRDefault="008C1EC6">
      <w:pPr>
        <w:pStyle w:val="ParaBullet1"/>
        <w:numPr>
          <w:ilvl w:val="0"/>
          <w:numId w:val="44"/>
        </w:numPr>
        <w:rPr>
          <w:rFonts w:ascii="ITC Avant Garde" w:hAnsi="ITC Avant Garde"/>
        </w:rPr>
      </w:pPr>
      <w:r w:rsidRPr="00262AD4">
        <w:rPr>
          <w:rFonts w:ascii="ITC Avant Garde" w:hAnsi="ITC Avant Garde"/>
        </w:rPr>
        <w:t xml:space="preserve">Vida económica media de los clientes en el segmento minorista. </w:t>
      </w:r>
    </w:p>
    <w:p w14:paraId="573C35D9" w14:textId="77777777" w:rsidR="008C1EC6" w:rsidRDefault="008C1EC6" w:rsidP="008C1EC6">
      <w:pPr>
        <w:spacing w:before="60" w:after="60" w:line="264" w:lineRule="auto"/>
        <w:rPr>
          <w:rFonts w:eastAsiaTheme="minorHAnsi" w:cs="Arial"/>
          <w:color w:val="000000" w:themeColor="text1"/>
          <w:lang w:val="es-ES_tradnl"/>
        </w:rPr>
      </w:pPr>
    </w:p>
    <w:p w14:paraId="0E2C17D4" w14:textId="77777777" w:rsidR="00C30B00" w:rsidRDefault="00C30B00" w:rsidP="008C1EC6">
      <w:pPr>
        <w:spacing w:before="60" w:after="60" w:line="264" w:lineRule="auto"/>
        <w:rPr>
          <w:rFonts w:eastAsiaTheme="minorHAnsi" w:cs="Arial"/>
          <w:color w:val="000000" w:themeColor="text1"/>
          <w:lang w:val="es-ES_tradnl"/>
        </w:rPr>
      </w:pPr>
    </w:p>
    <w:p w14:paraId="4C9AE82C" w14:textId="77777777" w:rsidR="00C30B00" w:rsidRDefault="00C30B00" w:rsidP="008C1EC6">
      <w:pPr>
        <w:spacing w:before="60" w:after="60" w:line="264" w:lineRule="auto"/>
        <w:rPr>
          <w:rFonts w:eastAsiaTheme="minorHAnsi" w:cs="Arial"/>
          <w:color w:val="000000" w:themeColor="text1"/>
          <w:lang w:val="es-ES_tradnl"/>
        </w:rPr>
      </w:pPr>
    </w:p>
    <w:p w14:paraId="6DC9B6C0" w14:textId="77777777" w:rsidR="00C30B00" w:rsidRDefault="00C30B00" w:rsidP="008C1EC6">
      <w:pPr>
        <w:spacing w:before="60" w:after="60" w:line="264" w:lineRule="auto"/>
        <w:rPr>
          <w:rFonts w:eastAsiaTheme="minorHAnsi" w:cs="Arial"/>
          <w:color w:val="000000" w:themeColor="text1"/>
          <w:lang w:val="es-ES_tradnl"/>
        </w:rPr>
      </w:pPr>
    </w:p>
    <w:p w14:paraId="6E74CAA0" w14:textId="77777777" w:rsidR="00C30B00" w:rsidRDefault="00C30B00" w:rsidP="008C1EC6">
      <w:pPr>
        <w:spacing w:before="60" w:after="60" w:line="264" w:lineRule="auto"/>
        <w:rPr>
          <w:rFonts w:eastAsiaTheme="minorHAnsi" w:cs="Arial"/>
          <w:color w:val="000000" w:themeColor="text1"/>
          <w:lang w:val="es-ES_tradnl"/>
        </w:rPr>
      </w:pPr>
    </w:p>
    <w:p w14:paraId="118E451A" w14:textId="77777777" w:rsidR="00C30B00" w:rsidRPr="00614D25" w:rsidRDefault="00C30B00" w:rsidP="008C1EC6">
      <w:pPr>
        <w:spacing w:before="60" w:after="60" w:line="264" w:lineRule="auto"/>
        <w:rPr>
          <w:rFonts w:eastAsiaTheme="minorHAnsi" w:cs="Arial"/>
          <w:color w:val="000000" w:themeColor="text1"/>
          <w:lang w:val="es-ES_tradnl"/>
        </w:rPr>
      </w:pPr>
    </w:p>
    <w:p w14:paraId="3BEAA3B8" w14:textId="77777777" w:rsidR="008C1EC6" w:rsidRPr="002201B0" w:rsidRDefault="008C1EC6">
      <w:pPr>
        <w:numPr>
          <w:ilvl w:val="2"/>
          <w:numId w:val="42"/>
        </w:numPr>
        <w:spacing w:before="160" w:after="160" w:line="259" w:lineRule="auto"/>
        <w:jc w:val="left"/>
        <w:outlineLvl w:val="1"/>
        <w:rPr>
          <w:rFonts w:eastAsia="Arial" w:cs="Arial"/>
          <w:b/>
          <w:szCs w:val="14"/>
          <w:lang w:val="es-ES_tradnl"/>
        </w:rPr>
      </w:pPr>
      <w:r w:rsidRPr="002201B0">
        <w:rPr>
          <w:rFonts w:eastAsia="Arial" w:cs="Arial"/>
          <w:b/>
          <w:szCs w:val="14"/>
          <w:lang w:val="es-ES_tradnl"/>
        </w:rPr>
        <w:lastRenderedPageBreak/>
        <w:t>Precios mayoristas</w:t>
      </w:r>
    </w:p>
    <w:p w14:paraId="3397942C" w14:textId="77777777" w:rsidR="008C1EC6" w:rsidRDefault="008C1EC6" w:rsidP="008C1EC6">
      <w:r>
        <w:t>El modelo en su estado actual incorpora los precios asociados a la OREDA (en la hoja “OREDA”) vigente en el momento de publicación del presente documento.</w:t>
      </w:r>
      <w:r>
        <w:rPr>
          <w:rStyle w:val="Refdenotaalpie"/>
        </w:rPr>
        <w:footnoteReference w:id="6"/>
      </w:r>
      <w:r>
        <w:t xml:space="preserve"> Los precios de la OREDA se emplean para el cálculo de los costos mayoristas no recurrentes. Estos precios deberán ser actualizados cada vez que se implemente la prueba con los precios mayoristas vigentes. </w:t>
      </w:r>
    </w:p>
    <w:p w14:paraId="2B5DA4E9" w14:textId="19FDBC5B" w:rsidR="008C55AD" w:rsidRPr="008C1EC6" w:rsidRDefault="008C1EC6" w:rsidP="00C30B00">
      <w:pPr>
        <w:rPr>
          <w:lang w:eastAsia="es-ES"/>
        </w:rPr>
      </w:pPr>
      <w:r>
        <w:t>Los precios mayoristas asociados a los distintos servicios de tráfico se estiman en función de los ingresos y demanda mayorista del servicio de reventa del AEP. Esta información está contenida en la hoja “</w:t>
      </w:r>
      <w:proofErr w:type="spellStart"/>
      <w:r w:rsidRPr="000509EA">
        <w:t>Req</w:t>
      </w:r>
      <w:proofErr w:type="spellEnd"/>
      <w:r w:rsidRPr="000509EA">
        <w:t>. de información al AEP</w:t>
      </w:r>
      <w:r>
        <w:t>”.</w:t>
      </w:r>
      <w:bookmarkStart w:id="0" w:name="_GoBack"/>
      <w:bookmarkEnd w:id="0"/>
    </w:p>
    <w:sectPr w:rsidR="008C55AD" w:rsidRPr="008C1EC6" w:rsidSect="00425C86">
      <w:headerReference w:type="default" r:id="rId14"/>
      <w:footerReference w:type="default" r:id="rId15"/>
      <w:headerReference w:type="first" r:id="rId16"/>
      <w:footerReference w:type="first" r:id="rId17"/>
      <w:pgSz w:w="12240" w:h="15840" w:code="1"/>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D47F" w14:textId="77777777" w:rsidR="00A76D34" w:rsidRDefault="00A76D34">
      <w:pPr>
        <w:spacing w:after="0" w:line="240" w:lineRule="auto"/>
      </w:pPr>
      <w:r>
        <w:separator/>
      </w:r>
    </w:p>
    <w:p w14:paraId="6DD507EA" w14:textId="77777777" w:rsidR="00A76D34" w:rsidRDefault="00A76D34"/>
  </w:endnote>
  <w:endnote w:type="continuationSeparator" w:id="0">
    <w:p w14:paraId="59E610B5" w14:textId="77777777" w:rsidR="00A76D34" w:rsidRDefault="00A76D34">
      <w:pPr>
        <w:spacing w:after="0" w:line="240" w:lineRule="auto"/>
      </w:pPr>
      <w:r>
        <w:continuationSeparator/>
      </w:r>
    </w:p>
    <w:p w14:paraId="6A1BD534" w14:textId="77777777" w:rsidR="00A76D34" w:rsidRDefault="00A76D34"/>
  </w:endnote>
  <w:endnote w:type="continuationNotice" w:id="1">
    <w:p w14:paraId="4E852A45" w14:textId="77777777" w:rsidR="00A76D34" w:rsidRDefault="00A76D34">
      <w:pPr>
        <w:spacing w:after="0" w:line="240" w:lineRule="auto"/>
      </w:pPr>
    </w:p>
    <w:p w14:paraId="65B37AFF" w14:textId="77777777" w:rsidR="00A76D34" w:rsidRDefault="00A7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14322"/>
      <w:docPartObj>
        <w:docPartGallery w:val="Page Numbers (Bottom of Page)"/>
        <w:docPartUnique/>
      </w:docPartObj>
    </w:sdtPr>
    <w:sdtEndPr/>
    <w:sdtContent>
      <w:sdt>
        <w:sdtPr>
          <w:id w:val="49512393"/>
          <w:docPartObj>
            <w:docPartGallery w:val="Page Numbers (Top of Page)"/>
            <w:docPartUnique/>
          </w:docPartObj>
        </w:sdtPr>
        <w:sdtEndPr/>
        <w:sdtContent>
          <w:p w14:paraId="2F3A139C" w14:textId="77777777" w:rsidR="00DE5E54" w:rsidRDefault="00DE5E54">
            <w:pPr>
              <w:pStyle w:val="Piedepgina0"/>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sidR="00C30B00">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0B00">
              <w:rPr>
                <w:b/>
                <w:bCs/>
                <w:noProof/>
              </w:rPr>
              <w:t>9</w:t>
            </w:r>
            <w:r>
              <w:rPr>
                <w:b/>
                <w:bCs/>
                <w:sz w:val="24"/>
                <w:szCs w:val="24"/>
              </w:rPr>
              <w:fldChar w:fldCharType="end"/>
            </w:r>
          </w:p>
        </w:sdtContent>
      </w:sdt>
    </w:sdtContent>
  </w:sdt>
  <w:p w14:paraId="620F015D" w14:textId="77777777" w:rsidR="00DE5E54" w:rsidRDefault="00DE5E54" w:rsidP="00673E29">
    <w:pPr>
      <w:pStyle w:val="Piedepgina0"/>
    </w:pPr>
  </w:p>
  <w:p w14:paraId="74B447BD" w14:textId="77777777" w:rsidR="00DE5E54" w:rsidRDefault="00DE5E54"/>
  <w:p w14:paraId="433120A3" w14:textId="77777777" w:rsidR="00DE5E54" w:rsidRDefault="00DE5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DE5E54" w:rsidRPr="00702608" w14:paraId="4B633AEF" w14:textId="77777777" w:rsidTr="00673E29">
      <w:tc>
        <w:tcPr>
          <w:tcW w:w="9351" w:type="dxa"/>
        </w:tcPr>
        <w:p w14:paraId="0DB3488C" w14:textId="77777777" w:rsidR="00DE5E54" w:rsidRPr="00702608" w:rsidRDefault="00DE5E54" w:rsidP="00673E29">
          <w:pPr>
            <w:pStyle w:val="Piedepgina0"/>
          </w:pPr>
        </w:p>
      </w:tc>
      <w:tc>
        <w:tcPr>
          <w:tcW w:w="855" w:type="dxa"/>
          <w:vAlign w:val="bottom"/>
        </w:tcPr>
        <w:p w14:paraId="31F2D1B1" w14:textId="77777777" w:rsidR="00DE5E54" w:rsidRPr="00702608" w:rsidRDefault="00DE5E54" w:rsidP="00673E29">
          <w:pPr>
            <w:pStyle w:val="Piedepgina0"/>
            <w:jc w:val="right"/>
          </w:pPr>
          <w:r w:rsidRPr="00702608">
            <w:fldChar w:fldCharType="begin"/>
          </w:r>
          <w:r w:rsidRPr="00702608">
            <w:instrText xml:space="preserve"> PAGE   </w:instrText>
          </w:r>
          <w:r w:rsidRPr="00702608">
            <w:fldChar w:fldCharType="separate"/>
          </w:r>
          <w:r>
            <w:rPr>
              <w:noProof/>
            </w:rPr>
            <w:t>1</w:t>
          </w:r>
          <w:r w:rsidRPr="00702608">
            <w:fldChar w:fldCharType="end"/>
          </w:r>
        </w:p>
      </w:tc>
    </w:tr>
  </w:tbl>
  <w:p w14:paraId="38D8AF2D" w14:textId="77777777" w:rsidR="00DE5E54" w:rsidRDefault="00DE5E54">
    <w:pPr>
      <w:pStyle w:val="Piedepgina0"/>
    </w:pPr>
  </w:p>
  <w:p w14:paraId="6BC52EB5" w14:textId="77777777" w:rsidR="00DE5E54" w:rsidRDefault="00DE5E54"/>
  <w:p w14:paraId="069DBC09" w14:textId="77777777" w:rsidR="00DE5E54" w:rsidRDefault="00DE5E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F1CDA" w14:textId="77777777" w:rsidR="00A76D34" w:rsidRDefault="00A76D34">
      <w:pPr>
        <w:spacing w:after="0" w:line="240" w:lineRule="auto"/>
      </w:pPr>
      <w:r>
        <w:separator/>
      </w:r>
    </w:p>
    <w:p w14:paraId="5E429443" w14:textId="77777777" w:rsidR="00A76D34" w:rsidRDefault="00A76D34"/>
  </w:footnote>
  <w:footnote w:type="continuationSeparator" w:id="0">
    <w:p w14:paraId="6DFD5BEC" w14:textId="77777777" w:rsidR="00A76D34" w:rsidRDefault="00A76D34">
      <w:pPr>
        <w:spacing w:after="0" w:line="240" w:lineRule="auto"/>
      </w:pPr>
      <w:r>
        <w:continuationSeparator/>
      </w:r>
    </w:p>
    <w:p w14:paraId="2BBC6AEA" w14:textId="77777777" w:rsidR="00A76D34" w:rsidRDefault="00A76D34"/>
  </w:footnote>
  <w:footnote w:type="continuationNotice" w:id="1">
    <w:p w14:paraId="1ED61A44" w14:textId="77777777" w:rsidR="00A76D34" w:rsidRDefault="00A76D34">
      <w:pPr>
        <w:spacing w:after="0" w:line="240" w:lineRule="auto"/>
      </w:pPr>
    </w:p>
    <w:p w14:paraId="16BA66F7" w14:textId="77777777" w:rsidR="00A76D34" w:rsidRDefault="00A76D34"/>
  </w:footnote>
  <w:footnote w:id="2">
    <w:p w14:paraId="212AA786" w14:textId="77777777" w:rsidR="00DE5E54" w:rsidRPr="00A11CE3" w:rsidRDefault="00DE5E54" w:rsidP="008C1EC6">
      <w:pPr>
        <w:pStyle w:val="Textonotapie"/>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EEO es el acrónimo en inglés de </w:t>
      </w:r>
      <w:proofErr w:type="spellStart"/>
      <w:r w:rsidRPr="00A11CE3">
        <w:rPr>
          <w:rFonts w:ascii="ITC Avant Garde" w:hAnsi="ITC Avant Garde"/>
          <w:i/>
          <w:sz w:val="14"/>
          <w:szCs w:val="14"/>
        </w:rPr>
        <w:t>Equal</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Efficient</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Operator</w:t>
      </w:r>
      <w:proofErr w:type="spellEnd"/>
      <w:r w:rsidRPr="00A11CE3">
        <w:rPr>
          <w:rFonts w:ascii="ITC Avant Garde" w:hAnsi="ITC Avant Garde"/>
          <w:i/>
          <w:sz w:val="14"/>
          <w:szCs w:val="14"/>
        </w:rPr>
        <w:t xml:space="preserve"> (Operador Igualmente Eficiente).</w:t>
      </w:r>
    </w:p>
  </w:footnote>
  <w:footnote w:id="3">
    <w:p w14:paraId="7C698B21" w14:textId="77777777" w:rsidR="00DE5E54" w:rsidRPr="00A11CE3" w:rsidRDefault="00DE5E54" w:rsidP="008C1EC6">
      <w:pPr>
        <w:pStyle w:val="Textonotapie"/>
        <w:ind w:left="0" w:firstLine="0"/>
        <w:rPr>
          <w:rFonts w:ascii="ITC Avant Garde" w:hAnsi="ITC Avant Garde"/>
          <w:sz w:val="14"/>
          <w:szCs w:val="14"/>
          <w:lang w:val="es-MX"/>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w:t>
      </w:r>
      <w:r w:rsidRPr="00A11CE3">
        <w:rPr>
          <w:rFonts w:ascii="ITC Avant Garde" w:hAnsi="ITC Avant Garde"/>
          <w:sz w:val="14"/>
          <w:szCs w:val="14"/>
          <w:lang w:val="es-MX"/>
        </w:rPr>
        <w:t xml:space="preserve">LRIC+ es el acrónimo en inglés de </w:t>
      </w:r>
      <w:r w:rsidRPr="00A11CE3">
        <w:rPr>
          <w:rFonts w:ascii="ITC Avant Garde" w:hAnsi="ITC Avant Garde"/>
          <w:i/>
          <w:sz w:val="14"/>
          <w:szCs w:val="14"/>
          <w:lang w:val="es-MX"/>
        </w:rPr>
        <w:t xml:space="preserve">Long Run Incremental </w:t>
      </w:r>
      <w:proofErr w:type="spellStart"/>
      <w:r w:rsidRPr="00A11CE3">
        <w:rPr>
          <w:rFonts w:ascii="ITC Avant Garde" w:hAnsi="ITC Avant Garde"/>
          <w:i/>
          <w:sz w:val="14"/>
          <w:szCs w:val="14"/>
          <w:lang w:val="es-MX"/>
        </w:rPr>
        <w:t>Cost</w:t>
      </w:r>
      <w:proofErr w:type="spellEnd"/>
      <w:r w:rsidRPr="00A11CE3">
        <w:rPr>
          <w:rFonts w:ascii="ITC Avant Garde" w:hAnsi="ITC Avant Garde"/>
          <w:i/>
          <w:sz w:val="14"/>
          <w:szCs w:val="14"/>
          <w:lang w:val="es-MX"/>
        </w:rPr>
        <w:t xml:space="preserve"> (Costos Incrementales de Largo Plazo con un Margen).</w:t>
      </w:r>
    </w:p>
  </w:footnote>
  <w:footnote w:id="4">
    <w:p w14:paraId="780B6DD1" w14:textId="77777777" w:rsidR="00DE5E54" w:rsidRPr="00A11CE3" w:rsidRDefault="00DE5E54" w:rsidP="008C1EC6">
      <w:pPr>
        <w:pStyle w:val="Textonotapie"/>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FAC es el acrónimo en inglés de </w:t>
      </w:r>
      <w:proofErr w:type="spellStart"/>
      <w:r w:rsidRPr="00A11CE3">
        <w:rPr>
          <w:rFonts w:ascii="ITC Avant Garde" w:hAnsi="ITC Avant Garde"/>
          <w:i/>
          <w:sz w:val="14"/>
          <w:szCs w:val="14"/>
        </w:rPr>
        <w:t>Fully</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Allocate</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Cost</w:t>
      </w:r>
      <w:proofErr w:type="spellEnd"/>
      <w:r w:rsidRPr="00A11CE3">
        <w:rPr>
          <w:rFonts w:ascii="ITC Avant Garde" w:hAnsi="ITC Avant Garde"/>
          <w:sz w:val="14"/>
          <w:szCs w:val="14"/>
        </w:rPr>
        <w:t xml:space="preserve"> (Costos Completamente Distribuidos).</w:t>
      </w:r>
    </w:p>
  </w:footnote>
  <w:footnote w:id="5">
    <w:p w14:paraId="6980DC71" w14:textId="77777777" w:rsidR="00DE5E54" w:rsidRPr="00A11CE3" w:rsidRDefault="00DE5E54" w:rsidP="008C1EC6">
      <w:pPr>
        <w:pStyle w:val="Textonotapie"/>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Oferta de Referencia para la Desagregación del Bucle Local.</w:t>
      </w:r>
    </w:p>
  </w:footnote>
  <w:footnote w:id="6">
    <w:p w14:paraId="0F95BC16" w14:textId="77777777" w:rsidR="00DE5E54" w:rsidRPr="00A11CE3" w:rsidRDefault="00DE5E54" w:rsidP="008C1EC6">
      <w:pPr>
        <w:pStyle w:val="Textonotapie"/>
        <w:rPr>
          <w:rFonts w:ascii="ITC Avant Garde" w:hAnsi="ITC Avant Garde"/>
          <w:sz w:val="14"/>
          <w:szCs w:val="14"/>
          <w:lang w:val="es-MX"/>
        </w:rPr>
      </w:pPr>
      <w:r w:rsidRPr="00A11CE3">
        <w:rPr>
          <w:rStyle w:val="Refdenotaalpie"/>
          <w:rFonts w:ascii="ITC Avant Garde" w:hAnsi="ITC Avant Garde"/>
          <w:sz w:val="14"/>
          <w:szCs w:val="14"/>
        </w:rPr>
        <w:footnoteRef/>
      </w:r>
      <w:r w:rsidRPr="00A11CE3">
        <w:rPr>
          <w:rFonts w:ascii="ITC Avant Garde" w:hAnsi="ITC Avant Garde"/>
          <w:sz w:val="14"/>
          <w:szCs w:val="14"/>
          <w:lang w:val="es-MX"/>
        </w:rPr>
        <w:t xml:space="preserve"> </w:t>
      </w:r>
      <w:r w:rsidRPr="00A11CE3">
        <w:rPr>
          <w:rFonts w:ascii="ITC Avant Garde" w:hAnsi="ITC Avant Garde"/>
          <w:sz w:val="14"/>
          <w:szCs w:val="14"/>
          <w:lang w:val="es-MX"/>
        </w:rPr>
        <w:tab/>
      </w:r>
      <w:hyperlink r:id="rId1" w:history="1">
        <w:r w:rsidRPr="00A11CE3">
          <w:rPr>
            <w:rStyle w:val="Hipervnculo"/>
            <w:rFonts w:ascii="ITC Avant Garde" w:hAnsi="ITC Avant Garde"/>
            <w:sz w:val="14"/>
            <w:szCs w:val="14"/>
            <w:lang w:val="es-MX"/>
          </w:rPr>
          <w:t>http://www.ift.org.mx/sites/default/files/contenidogeneral/politica-regulatoria/oredatelmex20172018.pdf</w:t>
        </w:r>
      </w:hyperlink>
      <w:r w:rsidRPr="00A11CE3">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D4E7" w14:textId="77777777" w:rsidR="00DE5E54" w:rsidRDefault="00A76D34">
    <w:pPr>
      <w:pStyle w:val="Encabezado"/>
    </w:pPr>
    <w:r>
      <w:rPr>
        <w:noProof/>
        <w:lang w:eastAsia="es-MX"/>
      </w:rPr>
      <w:pict w14:anchorId="147AD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2" o:spid="_x0000_s2049" type="#_x0000_t75" style="position:absolute;left:0;text-align:left;margin-left:-70.6pt;margin-top:-127.8pt;width:612pt;height:11in;z-index:-251658752;mso-position-horizontal-relative:margin;mso-position-vertical-relative:margin" o:allowincell="f">
          <v:imagedata r:id="rId1" o:title="hoja membretada CDMX-01"/>
          <w10:wrap anchorx="margin" anchory="margin"/>
        </v:shape>
      </w:pict>
    </w:r>
  </w:p>
  <w:p w14:paraId="27FF8C78" w14:textId="77777777" w:rsidR="00DE5E54" w:rsidRDefault="00DE5E54"/>
  <w:p w14:paraId="11BC9650" w14:textId="77777777" w:rsidR="00DE5E54" w:rsidRDefault="00DE5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7659" w14:textId="77777777" w:rsidR="00DE5E54" w:rsidRDefault="00DE5E54" w:rsidP="00673E29">
    <w:pPr>
      <w:pStyle w:val="Encabezado"/>
      <w:jc w:val="left"/>
    </w:pPr>
  </w:p>
  <w:p w14:paraId="78A6106A" w14:textId="77777777" w:rsidR="00DE5E54" w:rsidRDefault="00DE5E54"/>
  <w:p w14:paraId="15D0BBC8" w14:textId="77777777" w:rsidR="00DE5E54" w:rsidRDefault="00DE5E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 w15:restartNumberingAfterBreak="0">
    <w:nsid w:val="09E55942"/>
    <w:multiLevelType w:val="hybridMultilevel"/>
    <w:tmpl w:val="48F8E912"/>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516FEB"/>
    <w:multiLevelType w:val="hybridMultilevel"/>
    <w:tmpl w:val="9AB81A5E"/>
    <w:name w:val="ParaBulletList2"/>
    <w:lvl w:ilvl="0" w:tplc="07780188">
      <w:start w:val="1"/>
      <w:numFmt w:val="bullet"/>
      <w:lvlText w:val=""/>
      <w:lvlJc w:val="left"/>
      <w:pPr>
        <w:ind w:left="70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5676C"/>
    <w:multiLevelType w:val="hybridMultilevel"/>
    <w:tmpl w:val="EDFC9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D562C"/>
    <w:multiLevelType w:val="hybridMultilevel"/>
    <w:tmpl w:val="05B07D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6C0C41"/>
    <w:multiLevelType w:val="hybridMultilevel"/>
    <w:tmpl w:val="77C08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147D4A"/>
    <w:multiLevelType w:val="hybridMultilevel"/>
    <w:tmpl w:val="94D8A178"/>
    <w:lvl w:ilvl="0" w:tplc="080A000F">
      <w:start w:val="1"/>
      <w:numFmt w:val="decimal"/>
      <w:lvlText w:val="%1."/>
      <w:lvlJc w:val="left"/>
      <w:pPr>
        <w:ind w:left="720" w:hanging="360"/>
      </w:pPr>
      <w:rPr>
        <w:rFonts w:hint="default"/>
      </w:rPr>
    </w:lvl>
    <w:lvl w:ilvl="1" w:tplc="E9A27090">
      <w:start w:val="1"/>
      <w:numFmt w:val="decimal"/>
      <w:lvlText w:val="(%2)"/>
      <w:lvlJc w:val="left"/>
      <w:pPr>
        <w:ind w:left="1440" w:hanging="360"/>
      </w:pPr>
      <w:rPr>
        <w:rFonts w:ascii="ITC Avant Garde" w:hAnsi="ITC Avant Garde"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D1BB0"/>
    <w:multiLevelType w:val="hybridMultilevel"/>
    <w:tmpl w:val="DDD4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41E7E"/>
    <w:multiLevelType w:val="hybridMultilevel"/>
    <w:tmpl w:val="762C0D04"/>
    <w:lvl w:ilvl="0" w:tplc="D58E31A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7F3865"/>
    <w:multiLevelType w:val="hybridMultilevel"/>
    <w:tmpl w:val="62E2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612AE"/>
    <w:multiLevelType w:val="hybridMultilevel"/>
    <w:tmpl w:val="BA0E2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952F52"/>
    <w:multiLevelType w:val="hybridMultilevel"/>
    <w:tmpl w:val="286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2D721AFC"/>
    <w:multiLevelType w:val="hybridMultilevel"/>
    <w:tmpl w:val="A59CF658"/>
    <w:lvl w:ilvl="0" w:tplc="285C99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400D7"/>
    <w:multiLevelType w:val="hybridMultilevel"/>
    <w:tmpl w:val="E7847620"/>
    <w:name w:val="ParaBulletList22"/>
    <w:lvl w:ilvl="0" w:tplc="0778018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83A3CCF"/>
    <w:multiLevelType w:val="hybridMultilevel"/>
    <w:tmpl w:val="95D0ED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7128A"/>
    <w:multiLevelType w:val="hybridMultilevel"/>
    <w:tmpl w:val="DB18CE0A"/>
    <w:lvl w:ilvl="0" w:tplc="D7B4A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9A0C46"/>
    <w:multiLevelType w:val="multilevel"/>
    <w:tmpl w:val="E79AA7C4"/>
    <w:name w:val="NumberedList4"/>
    <w:numStyleLink w:val="ListNumStyle"/>
  </w:abstractNum>
  <w:abstractNum w:abstractNumId="21" w15:restartNumberingAfterBreak="0">
    <w:nsid w:val="4433143D"/>
    <w:multiLevelType w:val="hybridMultilevel"/>
    <w:tmpl w:val="E3BC39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A0744BE"/>
    <w:multiLevelType w:val="multilevel"/>
    <w:tmpl w:val="2CBA58FA"/>
    <w:name w:val="ParaBulletLis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3" w15:restartNumberingAfterBreak="0">
    <w:nsid w:val="4AF56B72"/>
    <w:multiLevelType w:val="hybridMultilevel"/>
    <w:tmpl w:val="47308942"/>
    <w:lvl w:ilvl="0" w:tplc="E034C4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F2B6A"/>
    <w:multiLevelType w:val="hybridMultilevel"/>
    <w:tmpl w:val="C1BE1542"/>
    <w:lvl w:ilvl="0" w:tplc="D87C927A">
      <w:start w:val="1"/>
      <w:numFmt w:val="upperRoman"/>
      <w:pStyle w:val="Prrafodelista"/>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191EF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D15F1F"/>
    <w:multiLevelType w:val="hybridMultilevel"/>
    <w:tmpl w:val="B212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094ED9"/>
    <w:multiLevelType w:val="multilevel"/>
    <w:tmpl w:val="080A001F"/>
    <w:name w:val="ListBulle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DE05C3"/>
    <w:multiLevelType w:val="hybridMultilevel"/>
    <w:tmpl w:val="CD5AAE56"/>
    <w:lvl w:ilvl="0" w:tplc="0409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9" w15:restartNumberingAfterBreak="0">
    <w:nsid w:val="5D1A0B44"/>
    <w:multiLevelType w:val="multilevel"/>
    <w:tmpl w:val="AB8A8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A0018B"/>
    <w:multiLevelType w:val="hybridMultilevel"/>
    <w:tmpl w:val="0B5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5316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B349A7"/>
    <w:multiLevelType w:val="hybridMultilevel"/>
    <w:tmpl w:val="A1A47F8A"/>
    <w:name w:val="ParaBulletList2223"/>
    <w:lvl w:ilvl="0" w:tplc="A6023796">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BF212F"/>
    <w:multiLevelType w:val="multilevel"/>
    <w:tmpl w:val="2CBA58FA"/>
    <w:name w:val="ParaBulletList22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4" w15:restartNumberingAfterBreak="0">
    <w:nsid w:val="72766268"/>
    <w:multiLevelType w:val="hybridMultilevel"/>
    <w:tmpl w:val="CEBC7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375D9A"/>
    <w:multiLevelType w:val="multilevel"/>
    <w:tmpl w:val="B8644354"/>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344163"/>
    <w:multiLevelType w:val="hybridMultilevel"/>
    <w:tmpl w:val="83B0969A"/>
    <w:lvl w:ilvl="0" w:tplc="040A0001">
      <w:start w:val="1"/>
      <w:numFmt w:val="bullet"/>
      <w:lvlText w:val=""/>
      <w:lvlJc w:val="left"/>
      <w:pPr>
        <w:tabs>
          <w:tab w:val="num" w:pos="1068"/>
        </w:tabs>
        <w:ind w:left="1068" w:hanging="360"/>
      </w:pPr>
      <w:rPr>
        <w:rFonts w:ascii="Symbol" w:hAnsi="Symbol" w:hint="default"/>
      </w:rPr>
    </w:lvl>
    <w:lvl w:ilvl="1" w:tplc="29D8991E">
      <w:start w:val="6148"/>
      <w:numFmt w:val="bullet"/>
      <w:lvlText w:val="–"/>
      <w:lvlJc w:val="left"/>
      <w:pPr>
        <w:tabs>
          <w:tab w:val="num" w:pos="1788"/>
        </w:tabs>
        <w:ind w:left="1788" w:hanging="360"/>
      </w:pPr>
      <w:rPr>
        <w:rFonts w:ascii="Calibri" w:hAnsi="Calibri" w:hint="default"/>
      </w:rPr>
    </w:lvl>
    <w:lvl w:ilvl="2" w:tplc="7FA6A98C" w:tentative="1">
      <w:start w:val="1"/>
      <w:numFmt w:val="bullet"/>
      <w:lvlText w:val="▪"/>
      <w:lvlJc w:val="left"/>
      <w:pPr>
        <w:tabs>
          <w:tab w:val="num" w:pos="2508"/>
        </w:tabs>
        <w:ind w:left="2508" w:hanging="360"/>
      </w:pPr>
      <w:rPr>
        <w:rFonts w:ascii="Calibri" w:hAnsi="Calibri" w:hint="default"/>
      </w:rPr>
    </w:lvl>
    <w:lvl w:ilvl="3" w:tplc="03B0D9BC" w:tentative="1">
      <w:start w:val="1"/>
      <w:numFmt w:val="bullet"/>
      <w:lvlText w:val="▪"/>
      <w:lvlJc w:val="left"/>
      <w:pPr>
        <w:tabs>
          <w:tab w:val="num" w:pos="3228"/>
        </w:tabs>
        <w:ind w:left="3228" w:hanging="360"/>
      </w:pPr>
      <w:rPr>
        <w:rFonts w:ascii="Calibri" w:hAnsi="Calibri" w:hint="default"/>
      </w:rPr>
    </w:lvl>
    <w:lvl w:ilvl="4" w:tplc="AAB675CE" w:tentative="1">
      <w:start w:val="1"/>
      <w:numFmt w:val="bullet"/>
      <w:lvlText w:val="▪"/>
      <w:lvlJc w:val="left"/>
      <w:pPr>
        <w:tabs>
          <w:tab w:val="num" w:pos="3948"/>
        </w:tabs>
        <w:ind w:left="3948" w:hanging="360"/>
      </w:pPr>
      <w:rPr>
        <w:rFonts w:ascii="Calibri" w:hAnsi="Calibri" w:hint="default"/>
      </w:rPr>
    </w:lvl>
    <w:lvl w:ilvl="5" w:tplc="E38607A8" w:tentative="1">
      <w:start w:val="1"/>
      <w:numFmt w:val="bullet"/>
      <w:lvlText w:val="▪"/>
      <w:lvlJc w:val="left"/>
      <w:pPr>
        <w:tabs>
          <w:tab w:val="num" w:pos="4668"/>
        </w:tabs>
        <w:ind w:left="4668" w:hanging="360"/>
      </w:pPr>
      <w:rPr>
        <w:rFonts w:ascii="Calibri" w:hAnsi="Calibri" w:hint="default"/>
      </w:rPr>
    </w:lvl>
    <w:lvl w:ilvl="6" w:tplc="05A6E9DC" w:tentative="1">
      <w:start w:val="1"/>
      <w:numFmt w:val="bullet"/>
      <w:lvlText w:val="▪"/>
      <w:lvlJc w:val="left"/>
      <w:pPr>
        <w:tabs>
          <w:tab w:val="num" w:pos="5388"/>
        </w:tabs>
        <w:ind w:left="5388" w:hanging="360"/>
      </w:pPr>
      <w:rPr>
        <w:rFonts w:ascii="Calibri" w:hAnsi="Calibri" w:hint="default"/>
      </w:rPr>
    </w:lvl>
    <w:lvl w:ilvl="7" w:tplc="247AA13A" w:tentative="1">
      <w:start w:val="1"/>
      <w:numFmt w:val="bullet"/>
      <w:lvlText w:val="▪"/>
      <w:lvlJc w:val="left"/>
      <w:pPr>
        <w:tabs>
          <w:tab w:val="num" w:pos="6108"/>
        </w:tabs>
        <w:ind w:left="6108" w:hanging="360"/>
      </w:pPr>
      <w:rPr>
        <w:rFonts w:ascii="Calibri" w:hAnsi="Calibri" w:hint="default"/>
      </w:rPr>
    </w:lvl>
    <w:lvl w:ilvl="8" w:tplc="95742BC8" w:tentative="1">
      <w:start w:val="1"/>
      <w:numFmt w:val="bullet"/>
      <w:lvlText w:val="▪"/>
      <w:lvlJc w:val="left"/>
      <w:pPr>
        <w:tabs>
          <w:tab w:val="num" w:pos="6828"/>
        </w:tabs>
        <w:ind w:left="6828" w:hanging="360"/>
      </w:pPr>
      <w:rPr>
        <w:rFonts w:ascii="Calibri" w:hAnsi="Calibri" w:hint="default"/>
      </w:rPr>
    </w:lvl>
  </w:abstractNum>
  <w:abstractNum w:abstractNumId="37" w15:restartNumberingAfterBreak="0">
    <w:nsid w:val="74CF00A3"/>
    <w:multiLevelType w:val="hybridMultilevel"/>
    <w:tmpl w:val="1A405AD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38" w15:restartNumberingAfterBreak="0">
    <w:nsid w:val="789C57B0"/>
    <w:multiLevelType w:val="multilevel"/>
    <w:tmpl w:val="84C01806"/>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9" w15:restartNumberingAfterBreak="0">
    <w:nsid w:val="790F7A72"/>
    <w:multiLevelType w:val="hybridMultilevel"/>
    <w:tmpl w:val="3924666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C7F70"/>
    <w:multiLevelType w:val="hybridMultilevel"/>
    <w:tmpl w:val="8C74A304"/>
    <w:name w:val="ParaBulletList222"/>
    <w:lvl w:ilvl="0" w:tplc="3994578C">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4F487A"/>
    <w:multiLevelType w:val="multilevel"/>
    <w:tmpl w:val="BF525B5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2"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6"/>
  </w:num>
  <w:num w:numId="2">
    <w:abstractNumId w:val="6"/>
  </w:num>
  <w:num w:numId="3">
    <w:abstractNumId w:val="17"/>
  </w:num>
  <w:num w:numId="4">
    <w:abstractNumId w:val="20"/>
  </w:num>
  <w:num w:numId="5">
    <w:abstractNumId w:val="24"/>
  </w:num>
  <w:num w:numId="6">
    <w:abstractNumId w:val="42"/>
  </w:num>
  <w:num w:numId="7">
    <w:abstractNumId w:val="22"/>
  </w:num>
  <w:num w:numId="8">
    <w:abstractNumId w:val="1"/>
  </w:num>
  <w:num w:numId="9">
    <w:abstractNumId w:val="20"/>
    <w:lvlOverride w:ilvl="0">
      <w:startOverride w:val="1"/>
      <w:lvl w:ilvl="0">
        <w:start w:val="1"/>
        <w:numFmt w:val="decimal"/>
        <w:pStyle w:val="ListNumBullet1"/>
        <w:lvlText w:val="%1."/>
        <w:lvlJc w:val="left"/>
        <w:pPr>
          <w:tabs>
            <w:tab w:val="num" w:pos="567"/>
          </w:tabs>
          <w:ind w:left="567" w:hanging="340"/>
        </w:pPr>
        <w:rPr>
          <w:rFonts w:hint="default"/>
          <w:color w:val="000000" w:themeColor="text1"/>
        </w:rPr>
      </w:lvl>
    </w:lvlOverride>
    <w:lvlOverride w:ilvl="1">
      <w:startOverride w:val="1"/>
      <w:lvl w:ilvl="1">
        <w:start w:val="1"/>
        <w:numFmt w:val="lowerLetter"/>
        <w:lvlText w:val="%2."/>
        <w:lvlJc w:val="left"/>
        <w:pPr>
          <w:tabs>
            <w:tab w:val="num" w:pos="907"/>
          </w:tabs>
          <w:ind w:left="907" w:hanging="340"/>
        </w:pPr>
        <w:rPr>
          <w:rFonts w:hint="default"/>
          <w:color w:val="000000" w:themeColor="text1"/>
        </w:rPr>
      </w:lvl>
    </w:lvlOverride>
    <w:lvlOverride w:ilvl="2">
      <w:startOverride w:val="1"/>
      <w:lvl w:ilvl="2">
        <w:start w:val="1"/>
        <w:numFmt w:val="lowerRoman"/>
        <w:lvlText w:val="%3."/>
        <w:lvlJc w:val="left"/>
        <w:pPr>
          <w:tabs>
            <w:tab w:val="num" w:pos="1248"/>
          </w:tabs>
          <w:ind w:left="1248" w:hanging="341"/>
        </w:pPr>
        <w:rPr>
          <w:rFonts w:hint="default"/>
          <w:color w:val="000000" w:themeColor="text1"/>
        </w:rPr>
      </w:lvl>
    </w:lvlOverride>
    <w:lvlOverride w:ilvl="3">
      <w:startOverride w:val="1"/>
      <w:lvl w:ilvl="3">
        <w:start w:val="1"/>
        <w:numFmt w:val="none"/>
        <w:lvlText w:val=""/>
        <w:lvlJc w:val="left"/>
        <w:pPr>
          <w:ind w:left="227" w:firstLine="0"/>
        </w:pPr>
        <w:rPr>
          <w:rFonts w:hint="default"/>
        </w:rPr>
      </w:lvl>
    </w:lvlOverride>
    <w:lvlOverride w:ilvl="4">
      <w:startOverride w:val="1"/>
      <w:lvl w:ilvl="4">
        <w:start w:val="1"/>
        <w:numFmt w:val="none"/>
        <w:lvlText w:val=""/>
        <w:lvlJc w:val="left"/>
        <w:pPr>
          <w:ind w:left="227" w:firstLine="0"/>
        </w:pPr>
        <w:rPr>
          <w:rFonts w:hint="default"/>
        </w:rPr>
      </w:lvl>
    </w:lvlOverride>
    <w:lvlOverride w:ilvl="5">
      <w:startOverride w:val="1"/>
      <w:lvl w:ilvl="5">
        <w:start w:val="1"/>
        <w:numFmt w:val="none"/>
        <w:lvlText w:val=""/>
        <w:lvlJc w:val="left"/>
        <w:pPr>
          <w:ind w:left="227" w:firstLine="0"/>
        </w:pPr>
        <w:rPr>
          <w:rFonts w:hint="default"/>
        </w:rPr>
      </w:lvl>
    </w:lvlOverride>
    <w:lvlOverride w:ilvl="6">
      <w:startOverride w:val="1"/>
      <w:lvl w:ilvl="6">
        <w:start w:val="1"/>
        <w:numFmt w:val="none"/>
        <w:lvlText w:val=""/>
        <w:lvlJc w:val="left"/>
        <w:pPr>
          <w:ind w:left="227" w:firstLine="0"/>
        </w:pPr>
        <w:rPr>
          <w:rFonts w:hint="default"/>
        </w:rPr>
      </w:lvl>
    </w:lvlOverride>
    <w:lvlOverride w:ilvl="7">
      <w:startOverride w:val="1"/>
      <w:lvl w:ilvl="7">
        <w:start w:val="1"/>
        <w:numFmt w:val="none"/>
        <w:lvlText w:val=""/>
        <w:lvlJc w:val="left"/>
        <w:pPr>
          <w:ind w:left="227" w:firstLine="0"/>
        </w:pPr>
        <w:rPr>
          <w:rFonts w:hint="default"/>
        </w:rPr>
      </w:lvl>
    </w:lvlOverride>
    <w:lvlOverride w:ilvl="8">
      <w:startOverride w:val="1"/>
      <w:lvl w:ilvl="8">
        <w:start w:val="1"/>
        <w:numFmt w:val="none"/>
        <w:lvlText w:val=""/>
        <w:lvlJc w:val="left"/>
        <w:pPr>
          <w:ind w:left="227" w:firstLine="0"/>
        </w:pPr>
        <w:rPr>
          <w:rFonts w:hint="default"/>
        </w:rPr>
      </w:lvl>
    </w:lvlOverride>
  </w:num>
  <w:num w:numId="10">
    <w:abstractNumId w:val="39"/>
  </w:num>
  <w:num w:numId="11">
    <w:abstractNumId w:val="9"/>
  </w:num>
  <w:num w:numId="12">
    <w:abstractNumId w:val="26"/>
  </w:num>
  <w:num w:numId="13">
    <w:abstractNumId w:val="18"/>
  </w:num>
  <w:num w:numId="14">
    <w:abstractNumId w:val="21"/>
  </w:num>
  <w:num w:numId="15">
    <w:abstractNumId w:val="37"/>
  </w:num>
  <w:num w:numId="16">
    <w:abstractNumId w:val="28"/>
  </w:num>
  <w:num w:numId="17">
    <w:abstractNumId w:val="14"/>
  </w:num>
  <w:num w:numId="18">
    <w:abstractNumId w:val="4"/>
  </w:num>
  <w:num w:numId="19">
    <w:abstractNumId w:val="7"/>
  </w:num>
  <w:num w:numId="20">
    <w:abstractNumId w:val="34"/>
  </w:num>
  <w:num w:numId="21">
    <w:abstractNumId w:val="0"/>
  </w:num>
  <w:num w:numId="22">
    <w:abstractNumId w:val="12"/>
  </w:num>
  <w:num w:numId="23">
    <w:abstractNumId w:val="5"/>
  </w:num>
  <w:num w:numId="24">
    <w:abstractNumId w:val="8"/>
  </w:num>
  <w:num w:numId="25">
    <w:abstractNumId w:val="23"/>
  </w:num>
  <w:num w:numId="26">
    <w:abstractNumId w:val="15"/>
  </w:num>
  <w:num w:numId="27">
    <w:abstractNumId w:val="19"/>
  </w:num>
  <w:num w:numId="28">
    <w:abstractNumId w:val="36"/>
  </w:num>
  <w:num w:numId="29">
    <w:abstractNumId w:val="2"/>
  </w:num>
  <w:num w:numId="30">
    <w:abstractNumId w:val="13"/>
  </w:num>
  <w:num w:numId="31">
    <w:abstractNumId w:val="11"/>
  </w:num>
  <w:num w:numId="32">
    <w:abstractNumId w:val="30"/>
  </w:num>
  <w:num w:numId="33">
    <w:abstractNumId w:val="10"/>
  </w:num>
  <w:num w:numId="34">
    <w:abstractNumId w:val="41"/>
  </w:num>
  <w:num w:numId="35">
    <w:abstractNumId w:val="27"/>
  </w:num>
  <w:num w:numId="36">
    <w:abstractNumId w:val="35"/>
  </w:num>
  <w:num w:numId="37">
    <w:abstractNumId w:val="38"/>
  </w:num>
  <w:num w:numId="38">
    <w:abstractNumId w:val="3"/>
  </w:num>
  <w:num w:numId="39">
    <w:abstractNumId w:val="31"/>
  </w:num>
  <w:num w:numId="40">
    <w:abstractNumId w:val="16"/>
  </w:num>
  <w:num w:numId="41">
    <w:abstractNumId w:val="40"/>
  </w:num>
  <w:num w:numId="42">
    <w:abstractNumId w:val="25"/>
  </w:num>
  <w:num w:numId="43">
    <w:abstractNumId w:val="33"/>
  </w:num>
  <w:num w:numId="44">
    <w:abstractNumId w:val="32"/>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B"/>
    <w:rsid w:val="0000369B"/>
    <w:rsid w:val="000077EC"/>
    <w:rsid w:val="00014C13"/>
    <w:rsid w:val="00014FC8"/>
    <w:rsid w:val="00015B58"/>
    <w:rsid w:val="00021287"/>
    <w:rsid w:val="00022894"/>
    <w:rsid w:val="00023597"/>
    <w:rsid w:val="00025415"/>
    <w:rsid w:val="00025820"/>
    <w:rsid w:val="0002714C"/>
    <w:rsid w:val="00030D06"/>
    <w:rsid w:val="00032A5C"/>
    <w:rsid w:val="0003327E"/>
    <w:rsid w:val="00036372"/>
    <w:rsid w:val="00040FD1"/>
    <w:rsid w:val="0004152F"/>
    <w:rsid w:val="00042EA9"/>
    <w:rsid w:val="000431DE"/>
    <w:rsid w:val="00044A51"/>
    <w:rsid w:val="000450FC"/>
    <w:rsid w:val="00045ADE"/>
    <w:rsid w:val="0004786F"/>
    <w:rsid w:val="0005177D"/>
    <w:rsid w:val="00053BA8"/>
    <w:rsid w:val="00055099"/>
    <w:rsid w:val="000560A0"/>
    <w:rsid w:val="00056D25"/>
    <w:rsid w:val="00056FE5"/>
    <w:rsid w:val="00057942"/>
    <w:rsid w:val="00060D57"/>
    <w:rsid w:val="00060F4E"/>
    <w:rsid w:val="0006682A"/>
    <w:rsid w:val="0007350D"/>
    <w:rsid w:val="00073EF7"/>
    <w:rsid w:val="000816EC"/>
    <w:rsid w:val="00081D2D"/>
    <w:rsid w:val="00094B9A"/>
    <w:rsid w:val="000958BD"/>
    <w:rsid w:val="00096C61"/>
    <w:rsid w:val="00097A40"/>
    <w:rsid w:val="000A2400"/>
    <w:rsid w:val="000B0A2A"/>
    <w:rsid w:val="000B132A"/>
    <w:rsid w:val="000B6B68"/>
    <w:rsid w:val="000B7750"/>
    <w:rsid w:val="000B7843"/>
    <w:rsid w:val="000B78D1"/>
    <w:rsid w:val="000C317B"/>
    <w:rsid w:val="000C4EA0"/>
    <w:rsid w:val="000C5AA2"/>
    <w:rsid w:val="000D1A3A"/>
    <w:rsid w:val="000D3785"/>
    <w:rsid w:val="000E11C9"/>
    <w:rsid w:val="000E2B16"/>
    <w:rsid w:val="000E449B"/>
    <w:rsid w:val="000E4B0D"/>
    <w:rsid w:val="000E5E59"/>
    <w:rsid w:val="000E6798"/>
    <w:rsid w:val="000F0D09"/>
    <w:rsid w:val="000F189E"/>
    <w:rsid w:val="000F2987"/>
    <w:rsid w:val="000F51F8"/>
    <w:rsid w:val="00100EE2"/>
    <w:rsid w:val="001049D7"/>
    <w:rsid w:val="001050D4"/>
    <w:rsid w:val="001068C7"/>
    <w:rsid w:val="00117CAC"/>
    <w:rsid w:val="00122E9D"/>
    <w:rsid w:val="001249F8"/>
    <w:rsid w:val="001261A6"/>
    <w:rsid w:val="001271E1"/>
    <w:rsid w:val="001274CD"/>
    <w:rsid w:val="00132612"/>
    <w:rsid w:val="00134EF0"/>
    <w:rsid w:val="00134FC8"/>
    <w:rsid w:val="0013554E"/>
    <w:rsid w:val="00136B40"/>
    <w:rsid w:val="00136E51"/>
    <w:rsid w:val="00141DD8"/>
    <w:rsid w:val="001429F4"/>
    <w:rsid w:val="0014316A"/>
    <w:rsid w:val="00146273"/>
    <w:rsid w:val="00147A3B"/>
    <w:rsid w:val="001527F2"/>
    <w:rsid w:val="001532B1"/>
    <w:rsid w:val="00163A81"/>
    <w:rsid w:val="0016449D"/>
    <w:rsid w:val="001709C7"/>
    <w:rsid w:val="00175334"/>
    <w:rsid w:val="00181E57"/>
    <w:rsid w:val="00190363"/>
    <w:rsid w:val="00192726"/>
    <w:rsid w:val="00192D4A"/>
    <w:rsid w:val="00194E34"/>
    <w:rsid w:val="001964B4"/>
    <w:rsid w:val="001976EE"/>
    <w:rsid w:val="001A0A68"/>
    <w:rsid w:val="001A1CF7"/>
    <w:rsid w:val="001A262F"/>
    <w:rsid w:val="001A2935"/>
    <w:rsid w:val="001A35B9"/>
    <w:rsid w:val="001A3BE8"/>
    <w:rsid w:val="001A3E8F"/>
    <w:rsid w:val="001B2427"/>
    <w:rsid w:val="001B366A"/>
    <w:rsid w:val="001B4F98"/>
    <w:rsid w:val="001B679B"/>
    <w:rsid w:val="001B7D6D"/>
    <w:rsid w:val="001C00FE"/>
    <w:rsid w:val="001C34FB"/>
    <w:rsid w:val="001C4C2D"/>
    <w:rsid w:val="001C5C75"/>
    <w:rsid w:val="001C766E"/>
    <w:rsid w:val="001C7BF9"/>
    <w:rsid w:val="001D0B7F"/>
    <w:rsid w:val="001D115B"/>
    <w:rsid w:val="001D42A4"/>
    <w:rsid w:val="001D6D08"/>
    <w:rsid w:val="001E1F3C"/>
    <w:rsid w:val="001E5AE9"/>
    <w:rsid w:val="001E721D"/>
    <w:rsid w:val="001E76A2"/>
    <w:rsid w:val="001F2A2B"/>
    <w:rsid w:val="001F45DD"/>
    <w:rsid w:val="001F664C"/>
    <w:rsid w:val="001F6896"/>
    <w:rsid w:val="001F6929"/>
    <w:rsid w:val="001F783C"/>
    <w:rsid w:val="00202172"/>
    <w:rsid w:val="002023D0"/>
    <w:rsid w:val="00205DE0"/>
    <w:rsid w:val="00214A40"/>
    <w:rsid w:val="00220B21"/>
    <w:rsid w:val="0022354E"/>
    <w:rsid w:val="002313D3"/>
    <w:rsid w:val="00232A22"/>
    <w:rsid w:val="00234A36"/>
    <w:rsid w:val="0023750A"/>
    <w:rsid w:val="00237B9C"/>
    <w:rsid w:val="00241DC6"/>
    <w:rsid w:val="002433AD"/>
    <w:rsid w:val="00243F17"/>
    <w:rsid w:val="002470DF"/>
    <w:rsid w:val="002523F8"/>
    <w:rsid w:val="00253810"/>
    <w:rsid w:val="002561F7"/>
    <w:rsid w:val="00256B54"/>
    <w:rsid w:val="002610B8"/>
    <w:rsid w:val="00265170"/>
    <w:rsid w:val="00265361"/>
    <w:rsid w:val="002744B9"/>
    <w:rsid w:val="002759BF"/>
    <w:rsid w:val="00277777"/>
    <w:rsid w:val="00281174"/>
    <w:rsid w:val="00283390"/>
    <w:rsid w:val="00286EB9"/>
    <w:rsid w:val="00291128"/>
    <w:rsid w:val="002A1CAB"/>
    <w:rsid w:val="002A4155"/>
    <w:rsid w:val="002B03A9"/>
    <w:rsid w:val="002B0CB8"/>
    <w:rsid w:val="002B0D69"/>
    <w:rsid w:val="002B5C84"/>
    <w:rsid w:val="002B7666"/>
    <w:rsid w:val="002C26F0"/>
    <w:rsid w:val="002C5379"/>
    <w:rsid w:val="002C6255"/>
    <w:rsid w:val="002D16E1"/>
    <w:rsid w:val="002D1FB6"/>
    <w:rsid w:val="002E00BD"/>
    <w:rsid w:val="002E3413"/>
    <w:rsid w:val="002E44B0"/>
    <w:rsid w:val="002E5015"/>
    <w:rsid w:val="002F0B2A"/>
    <w:rsid w:val="002F0D1A"/>
    <w:rsid w:val="002F0E97"/>
    <w:rsid w:val="002F52FB"/>
    <w:rsid w:val="002F6AF7"/>
    <w:rsid w:val="00303926"/>
    <w:rsid w:val="00307396"/>
    <w:rsid w:val="00311686"/>
    <w:rsid w:val="003134FC"/>
    <w:rsid w:val="00314CF0"/>
    <w:rsid w:val="003156BA"/>
    <w:rsid w:val="00316883"/>
    <w:rsid w:val="00321200"/>
    <w:rsid w:val="003216F2"/>
    <w:rsid w:val="00323664"/>
    <w:rsid w:val="00324B57"/>
    <w:rsid w:val="00325523"/>
    <w:rsid w:val="00326D67"/>
    <w:rsid w:val="00331DD3"/>
    <w:rsid w:val="003326D0"/>
    <w:rsid w:val="00334046"/>
    <w:rsid w:val="00337CB3"/>
    <w:rsid w:val="00340717"/>
    <w:rsid w:val="0034131C"/>
    <w:rsid w:val="003413EC"/>
    <w:rsid w:val="003466E7"/>
    <w:rsid w:val="0035080A"/>
    <w:rsid w:val="0035082C"/>
    <w:rsid w:val="003521E8"/>
    <w:rsid w:val="00354491"/>
    <w:rsid w:val="00354BB7"/>
    <w:rsid w:val="00356423"/>
    <w:rsid w:val="00360644"/>
    <w:rsid w:val="00365E87"/>
    <w:rsid w:val="00365EF7"/>
    <w:rsid w:val="003715C2"/>
    <w:rsid w:val="00380FE4"/>
    <w:rsid w:val="00383CAC"/>
    <w:rsid w:val="00390223"/>
    <w:rsid w:val="00390337"/>
    <w:rsid w:val="00393FD7"/>
    <w:rsid w:val="0039756A"/>
    <w:rsid w:val="003977C9"/>
    <w:rsid w:val="003A1587"/>
    <w:rsid w:val="003A33A0"/>
    <w:rsid w:val="003A5CE9"/>
    <w:rsid w:val="003A66D7"/>
    <w:rsid w:val="003B1336"/>
    <w:rsid w:val="003B1875"/>
    <w:rsid w:val="003B4B27"/>
    <w:rsid w:val="003B4FE8"/>
    <w:rsid w:val="003B5BBA"/>
    <w:rsid w:val="003C0445"/>
    <w:rsid w:val="003C06C7"/>
    <w:rsid w:val="003C424D"/>
    <w:rsid w:val="003C45DB"/>
    <w:rsid w:val="003C4647"/>
    <w:rsid w:val="003C5881"/>
    <w:rsid w:val="003C5C69"/>
    <w:rsid w:val="003D0D1E"/>
    <w:rsid w:val="003D143C"/>
    <w:rsid w:val="003D5872"/>
    <w:rsid w:val="003E2070"/>
    <w:rsid w:val="003E36C4"/>
    <w:rsid w:val="003E4783"/>
    <w:rsid w:val="003E4906"/>
    <w:rsid w:val="003E678C"/>
    <w:rsid w:val="003F14DA"/>
    <w:rsid w:val="003F3678"/>
    <w:rsid w:val="003F3D4A"/>
    <w:rsid w:val="00405F6F"/>
    <w:rsid w:val="00407A12"/>
    <w:rsid w:val="0041046B"/>
    <w:rsid w:val="004106F5"/>
    <w:rsid w:val="0041214B"/>
    <w:rsid w:val="00413EE4"/>
    <w:rsid w:val="00420354"/>
    <w:rsid w:val="00423D98"/>
    <w:rsid w:val="00425C86"/>
    <w:rsid w:val="004345CA"/>
    <w:rsid w:val="00434B0A"/>
    <w:rsid w:val="00436916"/>
    <w:rsid w:val="004426B5"/>
    <w:rsid w:val="00442A6F"/>
    <w:rsid w:val="00444965"/>
    <w:rsid w:val="0044653A"/>
    <w:rsid w:val="0045140C"/>
    <w:rsid w:val="0045738E"/>
    <w:rsid w:val="0046153F"/>
    <w:rsid w:val="0046387A"/>
    <w:rsid w:val="00463D71"/>
    <w:rsid w:val="00465144"/>
    <w:rsid w:val="00465B61"/>
    <w:rsid w:val="00466703"/>
    <w:rsid w:val="004711E7"/>
    <w:rsid w:val="004740EF"/>
    <w:rsid w:val="004748D1"/>
    <w:rsid w:val="00476261"/>
    <w:rsid w:val="0047687B"/>
    <w:rsid w:val="00476E80"/>
    <w:rsid w:val="004803E1"/>
    <w:rsid w:val="004812E7"/>
    <w:rsid w:val="00491390"/>
    <w:rsid w:val="004914CD"/>
    <w:rsid w:val="00491FDF"/>
    <w:rsid w:val="00495ECF"/>
    <w:rsid w:val="00496ED5"/>
    <w:rsid w:val="00497803"/>
    <w:rsid w:val="004A0E59"/>
    <w:rsid w:val="004A2F68"/>
    <w:rsid w:val="004A4C94"/>
    <w:rsid w:val="004A56B7"/>
    <w:rsid w:val="004A7E91"/>
    <w:rsid w:val="004B03CA"/>
    <w:rsid w:val="004B2073"/>
    <w:rsid w:val="004B2A05"/>
    <w:rsid w:val="004B5C55"/>
    <w:rsid w:val="004C32C2"/>
    <w:rsid w:val="004C411E"/>
    <w:rsid w:val="004C6032"/>
    <w:rsid w:val="004C71BC"/>
    <w:rsid w:val="004D14D1"/>
    <w:rsid w:val="004D212E"/>
    <w:rsid w:val="004D2467"/>
    <w:rsid w:val="004D3D73"/>
    <w:rsid w:val="004D4747"/>
    <w:rsid w:val="004D596D"/>
    <w:rsid w:val="004D7253"/>
    <w:rsid w:val="004E1358"/>
    <w:rsid w:val="004E6BF5"/>
    <w:rsid w:val="004E7273"/>
    <w:rsid w:val="004F1621"/>
    <w:rsid w:val="004F307A"/>
    <w:rsid w:val="004F3231"/>
    <w:rsid w:val="004F4BF5"/>
    <w:rsid w:val="004F66D3"/>
    <w:rsid w:val="005105F3"/>
    <w:rsid w:val="00511191"/>
    <w:rsid w:val="0051386A"/>
    <w:rsid w:val="00514A3B"/>
    <w:rsid w:val="0051549B"/>
    <w:rsid w:val="0051602A"/>
    <w:rsid w:val="00520512"/>
    <w:rsid w:val="005215FD"/>
    <w:rsid w:val="00522F4E"/>
    <w:rsid w:val="00523290"/>
    <w:rsid w:val="005236AB"/>
    <w:rsid w:val="0052375A"/>
    <w:rsid w:val="005243B8"/>
    <w:rsid w:val="0052504F"/>
    <w:rsid w:val="00527465"/>
    <w:rsid w:val="0052797D"/>
    <w:rsid w:val="005312E8"/>
    <w:rsid w:val="00531969"/>
    <w:rsid w:val="00533306"/>
    <w:rsid w:val="00534510"/>
    <w:rsid w:val="00541C21"/>
    <w:rsid w:val="00541D04"/>
    <w:rsid w:val="005420C9"/>
    <w:rsid w:val="00544EBC"/>
    <w:rsid w:val="00546A69"/>
    <w:rsid w:val="005505FF"/>
    <w:rsid w:val="00553CA0"/>
    <w:rsid w:val="0055571C"/>
    <w:rsid w:val="00555B16"/>
    <w:rsid w:val="00555C3C"/>
    <w:rsid w:val="0056674E"/>
    <w:rsid w:val="00567689"/>
    <w:rsid w:val="0057147C"/>
    <w:rsid w:val="00571B2E"/>
    <w:rsid w:val="0057243F"/>
    <w:rsid w:val="00573307"/>
    <w:rsid w:val="005748D0"/>
    <w:rsid w:val="005753E2"/>
    <w:rsid w:val="0058007D"/>
    <w:rsid w:val="00585001"/>
    <w:rsid w:val="00586733"/>
    <w:rsid w:val="0058699C"/>
    <w:rsid w:val="0059138B"/>
    <w:rsid w:val="00591ADB"/>
    <w:rsid w:val="00594561"/>
    <w:rsid w:val="00594820"/>
    <w:rsid w:val="00596898"/>
    <w:rsid w:val="005A3F34"/>
    <w:rsid w:val="005B347D"/>
    <w:rsid w:val="005B3723"/>
    <w:rsid w:val="005B4BF1"/>
    <w:rsid w:val="005B5BA8"/>
    <w:rsid w:val="005B5C27"/>
    <w:rsid w:val="005B5E94"/>
    <w:rsid w:val="005B5FAD"/>
    <w:rsid w:val="005B786A"/>
    <w:rsid w:val="005B7E67"/>
    <w:rsid w:val="005C13B5"/>
    <w:rsid w:val="005C346C"/>
    <w:rsid w:val="005C4212"/>
    <w:rsid w:val="005D1A17"/>
    <w:rsid w:val="005D27B1"/>
    <w:rsid w:val="005D2C37"/>
    <w:rsid w:val="005D2D8B"/>
    <w:rsid w:val="005D381D"/>
    <w:rsid w:val="005D653B"/>
    <w:rsid w:val="005D7D2A"/>
    <w:rsid w:val="005E230A"/>
    <w:rsid w:val="005E230F"/>
    <w:rsid w:val="005E36EA"/>
    <w:rsid w:val="005E46EE"/>
    <w:rsid w:val="005E593C"/>
    <w:rsid w:val="005E6DFC"/>
    <w:rsid w:val="005F1332"/>
    <w:rsid w:val="005F6C95"/>
    <w:rsid w:val="005F79A7"/>
    <w:rsid w:val="0060030C"/>
    <w:rsid w:val="0060040D"/>
    <w:rsid w:val="00600919"/>
    <w:rsid w:val="00603369"/>
    <w:rsid w:val="006063E2"/>
    <w:rsid w:val="0060669A"/>
    <w:rsid w:val="006103EC"/>
    <w:rsid w:val="006118E8"/>
    <w:rsid w:val="00612234"/>
    <w:rsid w:val="006135A9"/>
    <w:rsid w:val="006135C1"/>
    <w:rsid w:val="006137B3"/>
    <w:rsid w:val="00613B94"/>
    <w:rsid w:val="00613CAE"/>
    <w:rsid w:val="00615872"/>
    <w:rsid w:val="006162E3"/>
    <w:rsid w:val="006168BB"/>
    <w:rsid w:val="00617B7B"/>
    <w:rsid w:val="006207DD"/>
    <w:rsid w:val="006257AB"/>
    <w:rsid w:val="00633ED1"/>
    <w:rsid w:val="006362BC"/>
    <w:rsid w:val="00641D36"/>
    <w:rsid w:val="00642EE5"/>
    <w:rsid w:val="006432ED"/>
    <w:rsid w:val="00643AC7"/>
    <w:rsid w:val="00645693"/>
    <w:rsid w:val="00645FAF"/>
    <w:rsid w:val="00650C0F"/>
    <w:rsid w:val="00651FF0"/>
    <w:rsid w:val="00652320"/>
    <w:rsid w:val="00654CBD"/>
    <w:rsid w:val="00656B2E"/>
    <w:rsid w:val="006603E5"/>
    <w:rsid w:val="006609C9"/>
    <w:rsid w:val="00660A94"/>
    <w:rsid w:val="00660E2A"/>
    <w:rsid w:val="00663F14"/>
    <w:rsid w:val="00664694"/>
    <w:rsid w:val="006660E5"/>
    <w:rsid w:val="00671359"/>
    <w:rsid w:val="00673D97"/>
    <w:rsid w:val="00673E29"/>
    <w:rsid w:val="00674AE3"/>
    <w:rsid w:val="00676A7F"/>
    <w:rsid w:val="00676ED0"/>
    <w:rsid w:val="006804C3"/>
    <w:rsid w:val="006846C9"/>
    <w:rsid w:val="00686FAA"/>
    <w:rsid w:val="00692F58"/>
    <w:rsid w:val="006956E5"/>
    <w:rsid w:val="00696653"/>
    <w:rsid w:val="00696F3D"/>
    <w:rsid w:val="00697333"/>
    <w:rsid w:val="006A67E6"/>
    <w:rsid w:val="006A6A13"/>
    <w:rsid w:val="006A6A49"/>
    <w:rsid w:val="006B0183"/>
    <w:rsid w:val="006B55FE"/>
    <w:rsid w:val="006B56BF"/>
    <w:rsid w:val="006B6DF8"/>
    <w:rsid w:val="006C337E"/>
    <w:rsid w:val="006C4BF8"/>
    <w:rsid w:val="006C573A"/>
    <w:rsid w:val="006C5DC2"/>
    <w:rsid w:val="006C602F"/>
    <w:rsid w:val="006C60DB"/>
    <w:rsid w:val="006C627E"/>
    <w:rsid w:val="006C69D7"/>
    <w:rsid w:val="006C7615"/>
    <w:rsid w:val="006D207A"/>
    <w:rsid w:val="006D45E4"/>
    <w:rsid w:val="006D4962"/>
    <w:rsid w:val="006D4CA6"/>
    <w:rsid w:val="006D5C27"/>
    <w:rsid w:val="006D7150"/>
    <w:rsid w:val="006E0059"/>
    <w:rsid w:val="006E2D59"/>
    <w:rsid w:val="006E3F52"/>
    <w:rsid w:val="006E67FC"/>
    <w:rsid w:val="006E6EC6"/>
    <w:rsid w:val="006F26B9"/>
    <w:rsid w:val="006F29B9"/>
    <w:rsid w:val="006F34C3"/>
    <w:rsid w:val="006F5020"/>
    <w:rsid w:val="00700C8F"/>
    <w:rsid w:val="00701D29"/>
    <w:rsid w:val="007041F4"/>
    <w:rsid w:val="007043AE"/>
    <w:rsid w:val="00704BBD"/>
    <w:rsid w:val="007141B5"/>
    <w:rsid w:val="00720430"/>
    <w:rsid w:val="007213D9"/>
    <w:rsid w:val="00721A41"/>
    <w:rsid w:val="00721EF9"/>
    <w:rsid w:val="0072219B"/>
    <w:rsid w:val="00723A2F"/>
    <w:rsid w:val="007248F4"/>
    <w:rsid w:val="007252E0"/>
    <w:rsid w:val="00725652"/>
    <w:rsid w:val="00732455"/>
    <w:rsid w:val="0073258A"/>
    <w:rsid w:val="00732B60"/>
    <w:rsid w:val="007349CB"/>
    <w:rsid w:val="0073587C"/>
    <w:rsid w:val="00737385"/>
    <w:rsid w:val="0073753E"/>
    <w:rsid w:val="00742976"/>
    <w:rsid w:val="00742F8C"/>
    <w:rsid w:val="007459CC"/>
    <w:rsid w:val="00747EF1"/>
    <w:rsid w:val="00752FE5"/>
    <w:rsid w:val="00754776"/>
    <w:rsid w:val="00755373"/>
    <w:rsid w:val="007568C3"/>
    <w:rsid w:val="00762725"/>
    <w:rsid w:val="00762D43"/>
    <w:rsid w:val="00764706"/>
    <w:rsid w:val="007670D0"/>
    <w:rsid w:val="00772655"/>
    <w:rsid w:val="00776CD2"/>
    <w:rsid w:val="00783CE7"/>
    <w:rsid w:val="00784C7F"/>
    <w:rsid w:val="007914A9"/>
    <w:rsid w:val="00792394"/>
    <w:rsid w:val="007942D7"/>
    <w:rsid w:val="007A2DCA"/>
    <w:rsid w:val="007A430E"/>
    <w:rsid w:val="007A4C8A"/>
    <w:rsid w:val="007A571B"/>
    <w:rsid w:val="007A574C"/>
    <w:rsid w:val="007A59EC"/>
    <w:rsid w:val="007A67F9"/>
    <w:rsid w:val="007A6D1B"/>
    <w:rsid w:val="007B2BEF"/>
    <w:rsid w:val="007B2D8F"/>
    <w:rsid w:val="007B66D6"/>
    <w:rsid w:val="007B6E25"/>
    <w:rsid w:val="007B72B5"/>
    <w:rsid w:val="007B7516"/>
    <w:rsid w:val="007C32A8"/>
    <w:rsid w:val="007C476C"/>
    <w:rsid w:val="007D16D2"/>
    <w:rsid w:val="007D721B"/>
    <w:rsid w:val="007E0D2E"/>
    <w:rsid w:val="007E21F2"/>
    <w:rsid w:val="007E6123"/>
    <w:rsid w:val="007F08E4"/>
    <w:rsid w:val="007F0CFD"/>
    <w:rsid w:val="007F3473"/>
    <w:rsid w:val="008019BD"/>
    <w:rsid w:val="008026BA"/>
    <w:rsid w:val="00802A2C"/>
    <w:rsid w:val="00802F76"/>
    <w:rsid w:val="008032A3"/>
    <w:rsid w:val="0080467C"/>
    <w:rsid w:val="00804C12"/>
    <w:rsid w:val="0080549B"/>
    <w:rsid w:val="00812F08"/>
    <w:rsid w:val="00813804"/>
    <w:rsid w:val="0081443E"/>
    <w:rsid w:val="00815F7F"/>
    <w:rsid w:val="008219D4"/>
    <w:rsid w:val="00821DEE"/>
    <w:rsid w:val="00821E52"/>
    <w:rsid w:val="00827EA7"/>
    <w:rsid w:val="00837DC4"/>
    <w:rsid w:val="00840682"/>
    <w:rsid w:val="00842A3D"/>
    <w:rsid w:val="00845530"/>
    <w:rsid w:val="008462EB"/>
    <w:rsid w:val="008465CA"/>
    <w:rsid w:val="00850A7D"/>
    <w:rsid w:val="00851B9D"/>
    <w:rsid w:val="0085221C"/>
    <w:rsid w:val="008525EE"/>
    <w:rsid w:val="008531CB"/>
    <w:rsid w:val="0085572C"/>
    <w:rsid w:val="00856174"/>
    <w:rsid w:val="00862AE6"/>
    <w:rsid w:val="0086382C"/>
    <w:rsid w:val="00872B39"/>
    <w:rsid w:val="00876105"/>
    <w:rsid w:val="00880BCC"/>
    <w:rsid w:val="00881917"/>
    <w:rsid w:val="0088235B"/>
    <w:rsid w:val="00883AA8"/>
    <w:rsid w:val="00883AF4"/>
    <w:rsid w:val="00884E43"/>
    <w:rsid w:val="00884EC9"/>
    <w:rsid w:val="00885AF2"/>
    <w:rsid w:val="00885B1D"/>
    <w:rsid w:val="0088768C"/>
    <w:rsid w:val="00890AEB"/>
    <w:rsid w:val="008942D2"/>
    <w:rsid w:val="008A1DC9"/>
    <w:rsid w:val="008A228B"/>
    <w:rsid w:val="008A2A41"/>
    <w:rsid w:val="008A54C8"/>
    <w:rsid w:val="008A55E7"/>
    <w:rsid w:val="008A5B4C"/>
    <w:rsid w:val="008B15CC"/>
    <w:rsid w:val="008B2938"/>
    <w:rsid w:val="008B7EBC"/>
    <w:rsid w:val="008B7FCE"/>
    <w:rsid w:val="008C008D"/>
    <w:rsid w:val="008C1218"/>
    <w:rsid w:val="008C1810"/>
    <w:rsid w:val="008C1EC6"/>
    <w:rsid w:val="008C4A1E"/>
    <w:rsid w:val="008C55AD"/>
    <w:rsid w:val="008C5855"/>
    <w:rsid w:val="008D32AD"/>
    <w:rsid w:val="008E0FA4"/>
    <w:rsid w:val="008E254E"/>
    <w:rsid w:val="008E4260"/>
    <w:rsid w:val="008E6655"/>
    <w:rsid w:val="008F530A"/>
    <w:rsid w:val="008F6900"/>
    <w:rsid w:val="008F72A7"/>
    <w:rsid w:val="0090130B"/>
    <w:rsid w:val="00902F8E"/>
    <w:rsid w:val="00915663"/>
    <w:rsid w:val="00922F66"/>
    <w:rsid w:val="009230CE"/>
    <w:rsid w:val="0093188B"/>
    <w:rsid w:val="00933FA1"/>
    <w:rsid w:val="009340B9"/>
    <w:rsid w:val="00934475"/>
    <w:rsid w:val="00936058"/>
    <w:rsid w:val="00943C6D"/>
    <w:rsid w:val="00943CF5"/>
    <w:rsid w:val="0095026E"/>
    <w:rsid w:val="009511FF"/>
    <w:rsid w:val="00953571"/>
    <w:rsid w:val="009540DB"/>
    <w:rsid w:val="00955BEF"/>
    <w:rsid w:val="00960C63"/>
    <w:rsid w:val="00960F28"/>
    <w:rsid w:val="00961F9D"/>
    <w:rsid w:val="0097056B"/>
    <w:rsid w:val="0098196C"/>
    <w:rsid w:val="00982817"/>
    <w:rsid w:val="00982E50"/>
    <w:rsid w:val="00983D00"/>
    <w:rsid w:val="00984957"/>
    <w:rsid w:val="0098595C"/>
    <w:rsid w:val="0098634C"/>
    <w:rsid w:val="00987358"/>
    <w:rsid w:val="00987C22"/>
    <w:rsid w:val="00990378"/>
    <w:rsid w:val="00990989"/>
    <w:rsid w:val="009911AE"/>
    <w:rsid w:val="00992A14"/>
    <w:rsid w:val="00993F85"/>
    <w:rsid w:val="009A1116"/>
    <w:rsid w:val="009A1BA3"/>
    <w:rsid w:val="009A55D0"/>
    <w:rsid w:val="009A6890"/>
    <w:rsid w:val="009A7635"/>
    <w:rsid w:val="009A7F6D"/>
    <w:rsid w:val="009B25B2"/>
    <w:rsid w:val="009B58E6"/>
    <w:rsid w:val="009C36D0"/>
    <w:rsid w:val="009C3DA9"/>
    <w:rsid w:val="009D0ACF"/>
    <w:rsid w:val="009D20C6"/>
    <w:rsid w:val="009D32DD"/>
    <w:rsid w:val="009D4C88"/>
    <w:rsid w:val="009D710A"/>
    <w:rsid w:val="009E1F91"/>
    <w:rsid w:val="009E3BE3"/>
    <w:rsid w:val="009E3E5A"/>
    <w:rsid w:val="009E4106"/>
    <w:rsid w:val="009F0A55"/>
    <w:rsid w:val="009F0ED7"/>
    <w:rsid w:val="009F6999"/>
    <w:rsid w:val="009F7030"/>
    <w:rsid w:val="009F765A"/>
    <w:rsid w:val="009F77A2"/>
    <w:rsid w:val="00A00FE1"/>
    <w:rsid w:val="00A01932"/>
    <w:rsid w:val="00A021AA"/>
    <w:rsid w:val="00A02D1C"/>
    <w:rsid w:val="00A04487"/>
    <w:rsid w:val="00A06964"/>
    <w:rsid w:val="00A11CE3"/>
    <w:rsid w:val="00A12A08"/>
    <w:rsid w:val="00A13005"/>
    <w:rsid w:val="00A147D2"/>
    <w:rsid w:val="00A2214C"/>
    <w:rsid w:val="00A23973"/>
    <w:rsid w:val="00A25787"/>
    <w:rsid w:val="00A25C14"/>
    <w:rsid w:val="00A316D8"/>
    <w:rsid w:val="00A318F3"/>
    <w:rsid w:val="00A31CB8"/>
    <w:rsid w:val="00A31DCA"/>
    <w:rsid w:val="00A3598B"/>
    <w:rsid w:val="00A412F1"/>
    <w:rsid w:val="00A45C52"/>
    <w:rsid w:val="00A4632A"/>
    <w:rsid w:val="00A469A9"/>
    <w:rsid w:val="00A47283"/>
    <w:rsid w:val="00A473B5"/>
    <w:rsid w:val="00A50211"/>
    <w:rsid w:val="00A53D0B"/>
    <w:rsid w:val="00A54EAD"/>
    <w:rsid w:val="00A55105"/>
    <w:rsid w:val="00A5695D"/>
    <w:rsid w:val="00A61873"/>
    <w:rsid w:val="00A65106"/>
    <w:rsid w:val="00A66F24"/>
    <w:rsid w:val="00A700F8"/>
    <w:rsid w:val="00A7067E"/>
    <w:rsid w:val="00A72241"/>
    <w:rsid w:val="00A72D7C"/>
    <w:rsid w:val="00A76D34"/>
    <w:rsid w:val="00A845BF"/>
    <w:rsid w:val="00A85CE2"/>
    <w:rsid w:val="00A872A2"/>
    <w:rsid w:val="00A90C04"/>
    <w:rsid w:val="00A90E3F"/>
    <w:rsid w:val="00A94205"/>
    <w:rsid w:val="00A96FF7"/>
    <w:rsid w:val="00AA2018"/>
    <w:rsid w:val="00AA4FA4"/>
    <w:rsid w:val="00AA5FE9"/>
    <w:rsid w:val="00AA6686"/>
    <w:rsid w:val="00AA7002"/>
    <w:rsid w:val="00AB07FD"/>
    <w:rsid w:val="00AB49DE"/>
    <w:rsid w:val="00AB6AC2"/>
    <w:rsid w:val="00AC22C5"/>
    <w:rsid w:val="00AD0ADA"/>
    <w:rsid w:val="00AD12BA"/>
    <w:rsid w:val="00AE13F2"/>
    <w:rsid w:val="00AE1B1E"/>
    <w:rsid w:val="00AE39E6"/>
    <w:rsid w:val="00AF63E7"/>
    <w:rsid w:val="00AF7C27"/>
    <w:rsid w:val="00B00D63"/>
    <w:rsid w:val="00B04086"/>
    <w:rsid w:val="00B0523A"/>
    <w:rsid w:val="00B058B7"/>
    <w:rsid w:val="00B05E15"/>
    <w:rsid w:val="00B0765E"/>
    <w:rsid w:val="00B10A5B"/>
    <w:rsid w:val="00B11920"/>
    <w:rsid w:val="00B2042C"/>
    <w:rsid w:val="00B277AC"/>
    <w:rsid w:val="00B3142C"/>
    <w:rsid w:val="00B3319F"/>
    <w:rsid w:val="00B36C23"/>
    <w:rsid w:val="00B37132"/>
    <w:rsid w:val="00B374F3"/>
    <w:rsid w:val="00B41D3F"/>
    <w:rsid w:val="00B50007"/>
    <w:rsid w:val="00B53A87"/>
    <w:rsid w:val="00B548D7"/>
    <w:rsid w:val="00B5571F"/>
    <w:rsid w:val="00B6485D"/>
    <w:rsid w:val="00B652AF"/>
    <w:rsid w:val="00B652D9"/>
    <w:rsid w:val="00B709D8"/>
    <w:rsid w:val="00B754D1"/>
    <w:rsid w:val="00B75708"/>
    <w:rsid w:val="00B765D3"/>
    <w:rsid w:val="00B76A43"/>
    <w:rsid w:val="00B814C3"/>
    <w:rsid w:val="00B8608B"/>
    <w:rsid w:val="00B92340"/>
    <w:rsid w:val="00B93867"/>
    <w:rsid w:val="00BA0145"/>
    <w:rsid w:val="00BA7811"/>
    <w:rsid w:val="00BB1AC8"/>
    <w:rsid w:val="00BB3995"/>
    <w:rsid w:val="00BB7727"/>
    <w:rsid w:val="00BB7AC5"/>
    <w:rsid w:val="00BC1B23"/>
    <w:rsid w:val="00BC3D22"/>
    <w:rsid w:val="00BC57FE"/>
    <w:rsid w:val="00BC6EFD"/>
    <w:rsid w:val="00BC7F78"/>
    <w:rsid w:val="00BD05B8"/>
    <w:rsid w:val="00BD2D9B"/>
    <w:rsid w:val="00BD364D"/>
    <w:rsid w:val="00BD6ECF"/>
    <w:rsid w:val="00BE073F"/>
    <w:rsid w:val="00BE0D16"/>
    <w:rsid w:val="00BE0E8E"/>
    <w:rsid w:val="00BE3E70"/>
    <w:rsid w:val="00BE74D5"/>
    <w:rsid w:val="00BF1B79"/>
    <w:rsid w:val="00BF467E"/>
    <w:rsid w:val="00BF5FB2"/>
    <w:rsid w:val="00BF732C"/>
    <w:rsid w:val="00C003AC"/>
    <w:rsid w:val="00C0056A"/>
    <w:rsid w:val="00C0186B"/>
    <w:rsid w:val="00C02AB1"/>
    <w:rsid w:val="00C037B6"/>
    <w:rsid w:val="00C10A50"/>
    <w:rsid w:val="00C120F6"/>
    <w:rsid w:val="00C12392"/>
    <w:rsid w:val="00C12565"/>
    <w:rsid w:val="00C14C1F"/>
    <w:rsid w:val="00C150F5"/>
    <w:rsid w:val="00C15489"/>
    <w:rsid w:val="00C168FE"/>
    <w:rsid w:val="00C16E6C"/>
    <w:rsid w:val="00C2018B"/>
    <w:rsid w:val="00C30B00"/>
    <w:rsid w:val="00C30D47"/>
    <w:rsid w:val="00C31F1D"/>
    <w:rsid w:val="00C32153"/>
    <w:rsid w:val="00C3250D"/>
    <w:rsid w:val="00C32FC9"/>
    <w:rsid w:val="00C40266"/>
    <w:rsid w:val="00C43AD9"/>
    <w:rsid w:val="00C44AE6"/>
    <w:rsid w:val="00C455A6"/>
    <w:rsid w:val="00C47EBF"/>
    <w:rsid w:val="00C500DA"/>
    <w:rsid w:val="00C505B6"/>
    <w:rsid w:val="00C509B5"/>
    <w:rsid w:val="00C529D7"/>
    <w:rsid w:val="00C53070"/>
    <w:rsid w:val="00C54ED2"/>
    <w:rsid w:val="00C5644B"/>
    <w:rsid w:val="00C57CEC"/>
    <w:rsid w:val="00C603F4"/>
    <w:rsid w:val="00C613F0"/>
    <w:rsid w:val="00C61A23"/>
    <w:rsid w:val="00C62479"/>
    <w:rsid w:val="00C6337B"/>
    <w:rsid w:val="00C64947"/>
    <w:rsid w:val="00C66622"/>
    <w:rsid w:val="00C709D7"/>
    <w:rsid w:val="00C71F2A"/>
    <w:rsid w:val="00C727C9"/>
    <w:rsid w:val="00C7465E"/>
    <w:rsid w:val="00C80F97"/>
    <w:rsid w:val="00C82F5C"/>
    <w:rsid w:val="00C869CA"/>
    <w:rsid w:val="00C93515"/>
    <w:rsid w:val="00C95CCA"/>
    <w:rsid w:val="00CA0A44"/>
    <w:rsid w:val="00CA29F7"/>
    <w:rsid w:val="00CA4CFD"/>
    <w:rsid w:val="00CA748B"/>
    <w:rsid w:val="00CB3D87"/>
    <w:rsid w:val="00CD00BF"/>
    <w:rsid w:val="00CD0D7B"/>
    <w:rsid w:val="00CD1141"/>
    <w:rsid w:val="00CD147F"/>
    <w:rsid w:val="00CD2698"/>
    <w:rsid w:val="00CD3758"/>
    <w:rsid w:val="00CE0383"/>
    <w:rsid w:val="00CE0D19"/>
    <w:rsid w:val="00CE2F3F"/>
    <w:rsid w:val="00CE4F14"/>
    <w:rsid w:val="00CE5015"/>
    <w:rsid w:val="00CE76B1"/>
    <w:rsid w:val="00CE7FB8"/>
    <w:rsid w:val="00CF02F9"/>
    <w:rsid w:val="00CF5AD2"/>
    <w:rsid w:val="00CF7240"/>
    <w:rsid w:val="00D0721F"/>
    <w:rsid w:val="00D120C6"/>
    <w:rsid w:val="00D127D6"/>
    <w:rsid w:val="00D12DA1"/>
    <w:rsid w:val="00D14759"/>
    <w:rsid w:val="00D17BF2"/>
    <w:rsid w:val="00D21103"/>
    <w:rsid w:val="00D22A44"/>
    <w:rsid w:val="00D2364F"/>
    <w:rsid w:val="00D30F2A"/>
    <w:rsid w:val="00D32F46"/>
    <w:rsid w:val="00D33BA1"/>
    <w:rsid w:val="00D37278"/>
    <w:rsid w:val="00D412C6"/>
    <w:rsid w:val="00D5355E"/>
    <w:rsid w:val="00D54CEC"/>
    <w:rsid w:val="00D56977"/>
    <w:rsid w:val="00D642F5"/>
    <w:rsid w:val="00D672BA"/>
    <w:rsid w:val="00D7104E"/>
    <w:rsid w:val="00D71415"/>
    <w:rsid w:val="00D76A48"/>
    <w:rsid w:val="00D77596"/>
    <w:rsid w:val="00D80A4D"/>
    <w:rsid w:val="00D81EE6"/>
    <w:rsid w:val="00D832CD"/>
    <w:rsid w:val="00D83D18"/>
    <w:rsid w:val="00D84F10"/>
    <w:rsid w:val="00D85A21"/>
    <w:rsid w:val="00D90CB6"/>
    <w:rsid w:val="00D91017"/>
    <w:rsid w:val="00D969CF"/>
    <w:rsid w:val="00DA0ABF"/>
    <w:rsid w:val="00DA126C"/>
    <w:rsid w:val="00DB00B7"/>
    <w:rsid w:val="00DB1876"/>
    <w:rsid w:val="00DB303D"/>
    <w:rsid w:val="00DB479E"/>
    <w:rsid w:val="00DB5BFA"/>
    <w:rsid w:val="00DB6487"/>
    <w:rsid w:val="00DB78DF"/>
    <w:rsid w:val="00DB7A39"/>
    <w:rsid w:val="00DC30B9"/>
    <w:rsid w:val="00DC6F3D"/>
    <w:rsid w:val="00DD1B37"/>
    <w:rsid w:val="00DD2672"/>
    <w:rsid w:val="00DD2808"/>
    <w:rsid w:val="00DD370C"/>
    <w:rsid w:val="00DE12D7"/>
    <w:rsid w:val="00DE2776"/>
    <w:rsid w:val="00DE5E54"/>
    <w:rsid w:val="00DE7E15"/>
    <w:rsid w:val="00DF465A"/>
    <w:rsid w:val="00E0195C"/>
    <w:rsid w:val="00E02B8A"/>
    <w:rsid w:val="00E0464A"/>
    <w:rsid w:val="00E04C2F"/>
    <w:rsid w:val="00E065CD"/>
    <w:rsid w:val="00E12FD1"/>
    <w:rsid w:val="00E136D7"/>
    <w:rsid w:val="00E14582"/>
    <w:rsid w:val="00E15445"/>
    <w:rsid w:val="00E15CA6"/>
    <w:rsid w:val="00E15DF2"/>
    <w:rsid w:val="00E1615D"/>
    <w:rsid w:val="00E17C75"/>
    <w:rsid w:val="00E17E8E"/>
    <w:rsid w:val="00E215A2"/>
    <w:rsid w:val="00E26ED9"/>
    <w:rsid w:val="00E275FD"/>
    <w:rsid w:val="00E27675"/>
    <w:rsid w:val="00E3052A"/>
    <w:rsid w:val="00E311C1"/>
    <w:rsid w:val="00E41239"/>
    <w:rsid w:val="00E415E9"/>
    <w:rsid w:val="00E42A3F"/>
    <w:rsid w:val="00E45A49"/>
    <w:rsid w:val="00E46B64"/>
    <w:rsid w:val="00E52246"/>
    <w:rsid w:val="00E56F42"/>
    <w:rsid w:val="00E60860"/>
    <w:rsid w:val="00E7029D"/>
    <w:rsid w:val="00E73EB7"/>
    <w:rsid w:val="00E76AE8"/>
    <w:rsid w:val="00E81DB1"/>
    <w:rsid w:val="00E83A6E"/>
    <w:rsid w:val="00E91D4E"/>
    <w:rsid w:val="00E93865"/>
    <w:rsid w:val="00E95DEC"/>
    <w:rsid w:val="00E96F3A"/>
    <w:rsid w:val="00E9789C"/>
    <w:rsid w:val="00EA535B"/>
    <w:rsid w:val="00EA561C"/>
    <w:rsid w:val="00EB1230"/>
    <w:rsid w:val="00EB3A60"/>
    <w:rsid w:val="00EB5FD4"/>
    <w:rsid w:val="00EB736A"/>
    <w:rsid w:val="00EB7DA4"/>
    <w:rsid w:val="00EC2CFA"/>
    <w:rsid w:val="00EC715C"/>
    <w:rsid w:val="00ED06B9"/>
    <w:rsid w:val="00ED0E1F"/>
    <w:rsid w:val="00ED1872"/>
    <w:rsid w:val="00EE1943"/>
    <w:rsid w:val="00EE3F22"/>
    <w:rsid w:val="00EE570C"/>
    <w:rsid w:val="00EE773C"/>
    <w:rsid w:val="00EF1E42"/>
    <w:rsid w:val="00EF4996"/>
    <w:rsid w:val="00EF4E37"/>
    <w:rsid w:val="00F00940"/>
    <w:rsid w:val="00F03720"/>
    <w:rsid w:val="00F0396E"/>
    <w:rsid w:val="00F07FF1"/>
    <w:rsid w:val="00F1198F"/>
    <w:rsid w:val="00F1319A"/>
    <w:rsid w:val="00F1589A"/>
    <w:rsid w:val="00F20431"/>
    <w:rsid w:val="00F22747"/>
    <w:rsid w:val="00F2428C"/>
    <w:rsid w:val="00F306B5"/>
    <w:rsid w:val="00F3166F"/>
    <w:rsid w:val="00F337F8"/>
    <w:rsid w:val="00F3530C"/>
    <w:rsid w:val="00F41CC5"/>
    <w:rsid w:val="00F42B2C"/>
    <w:rsid w:val="00F45DE1"/>
    <w:rsid w:val="00F46876"/>
    <w:rsid w:val="00F52647"/>
    <w:rsid w:val="00F538F5"/>
    <w:rsid w:val="00F55190"/>
    <w:rsid w:val="00F57B61"/>
    <w:rsid w:val="00F57D99"/>
    <w:rsid w:val="00F62525"/>
    <w:rsid w:val="00F6309C"/>
    <w:rsid w:val="00F63A2F"/>
    <w:rsid w:val="00F65556"/>
    <w:rsid w:val="00F67222"/>
    <w:rsid w:val="00F70A91"/>
    <w:rsid w:val="00F7171A"/>
    <w:rsid w:val="00F7225E"/>
    <w:rsid w:val="00F7498D"/>
    <w:rsid w:val="00F754DD"/>
    <w:rsid w:val="00F75C68"/>
    <w:rsid w:val="00F75E33"/>
    <w:rsid w:val="00F76093"/>
    <w:rsid w:val="00F816A6"/>
    <w:rsid w:val="00F8376F"/>
    <w:rsid w:val="00F84C43"/>
    <w:rsid w:val="00F87D34"/>
    <w:rsid w:val="00F92F11"/>
    <w:rsid w:val="00F94F00"/>
    <w:rsid w:val="00FA0393"/>
    <w:rsid w:val="00FA1145"/>
    <w:rsid w:val="00FA1C4C"/>
    <w:rsid w:val="00FA214F"/>
    <w:rsid w:val="00FA7AF4"/>
    <w:rsid w:val="00FA7BC5"/>
    <w:rsid w:val="00FB0390"/>
    <w:rsid w:val="00FB07F7"/>
    <w:rsid w:val="00FB49DF"/>
    <w:rsid w:val="00FB78AC"/>
    <w:rsid w:val="00FB7A59"/>
    <w:rsid w:val="00FB7DEE"/>
    <w:rsid w:val="00FC207F"/>
    <w:rsid w:val="00FC24C8"/>
    <w:rsid w:val="00FC438C"/>
    <w:rsid w:val="00FC502E"/>
    <w:rsid w:val="00FC593D"/>
    <w:rsid w:val="00FD1BC2"/>
    <w:rsid w:val="00FD61C3"/>
    <w:rsid w:val="00FE3A1A"/>
    <w:rsid w:val="00FE5CBA"/>
    <w:rsid w:val="00FE7D7C"/>
    <w:rsid w:val="00FF1C0C"/>
    <w:rsid w:val="00FF385B"/>
    <w:rsid w:val="00FF3CEA"/>
    <w:rsid w:val="00FF4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AB11ED"/>
  <w15:chartTrackingRefBased/>
  <w15:docId w15:val="{523ECF6C-B2DA-4DA2-801D-9BF912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2E"/>
    <w:pPr>
      <w:spacing w:after="120" w:line="300" w:lineRule="auto"/>
      <w:jc w:val="both"/>
    </w:pPr>
    <w:rPr>
      <w:rFonts w:eastAsiaTheme="minorEastAsia"/>
    </w:rPr>
  </w:style>
  <w:style w:type="paragraph" w:styleId="Ttulo1">
    <w:name w:val="heading 1"/>
    <w:basedOn w:val="Normal"/>
    <w:next w:val="Normal"/>
    <w:link w:val="Ttulo1Car"/>
    <w:uiPriority w:val="9"/>
    <w:qFormat/>
    <w:rsid w:val="007B2D8F"/>
    <w:pPr>
      <w:keepNext/>
      <w:spacing w:before="240" w:line="264" w:lineRule="auto"/>
      <w:outlineLvl w:val="0"/>
    </w:pPr>
    <w:rPr>
      <w:rFonts w:eastAsia="Arial" w:cs="Arial"/>
      <w:b/>
      <w:smallCaps/>
      <w:sz w:val="24"/>
      <w:szCs w:val="16"/>
      <w:lang w:val="es-ES_tradnl"/>
    </w:rPr>
  </w:style>
  <w:style w:type="paragraph" w:styleId="Ttulo2">
    <w:name w:val="heading 2"/>
    <w:basedOn w:val="Normal"/>
    <w:next w:val="Normal"/>
    <w:link w:val="Ttulo2Car"/>
    <w:uiPriority w:val="9"/>
    <w:unhideWhenUsed/>
    <w:qFormat/>
    <w:rsid w:val="00E12FD1"/>
    <w:pPr>
      <w:spacing w:line="276" w:lineRule="auto"/>
      <w:outlineLvl w:val="1"/>
    </w:pPr>
    <w:rPr>
      <w:rFonts w:eastAsia="Arial" w:cs="Arial"/>
      <w:b/>
      <w:szCs w:val="14"/>
      <w:lang w:val="es-ES_tradnl"/>
    </w:rPr>
  </w:style>
  <w:style w:type="paragraph" w:styleId="Ttulo3">
    <w:name w:val="heading 3"/>
    <w:basedOn w:val="Normal"/>
    <w:next w:val="Normal"/>
    <w:link w:val="Ttulo3Car"/>
    <w:uiPriority w:val="9"/>
    <w:unhideWhenUsed/>
    <w:qFormat/>
    <w:rsid w:val="000E5E59"/>
    <w:pPr>
      <w:keepNext/>
      <w:keepLines/>
      <w:numPr>
        <w:ilvl w:val="2"/>
        <w:numId w:val="2"/>
      </w:numPr>
      <w:spacing w:before="200" w:after="0"/>
      <w:outlineLvl w:val="2"/>
    </w:pPr>
    <w:rPr>
      <w:rFonts w:asciiTheme="majorHAnsi" w:eastAsiaTheme="majorEastAsia" w:hAnsiTheme="majorHAnsi" w:cstheme="majorBidi"/>
      <w:b/>
      <w:bCs/>
      <w:color w:val="5B9BD5" w:themeColor="accent1"/>
      <w:sz w:val="24"/>
    </w:rPr>
  </w:style>
  <w:style w:type="paragraph" w:styleId="Ttulo4">
    <w:name w:val="heading 4"/>
    <w:basedOn w:val="Normal"/>
    <w:next w:val="Normal"/>
    <w:link w:val="Ttulo4Car"/>
    <w:uiPriority w:val="9"/>
    <w:unhideWhenUsed/>
    <w:qFormat/>
    <w:rsid w:val="000E5E59"/>
    <w:pPr>
      <w:keepNext/>
      <w:keepLines/>
      <w:numPr>
        <w:ilvl w:val="3"/>
        <w:numId w:val="2"/>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Ttulo4"/>
    <w:next w:val="Normal"/>
    <w:link w:val="Ttulo5Car"/>
    <w:uiPriority w:val="9"/>
    <w:unhideWhenUsed/>
    <w:qFormat/>
    <w:rsid w:val="000E5E59"/>
    <w:pPr>
      <w:numPr>
        <w:ilvl w:val="0"/>
        <w:numId w:val="0"/>
      </w:numPr>
      <w:outlineLvl w:val="4"/>
    </w:pPr>
  </w:style>
  <w:style w:type="paragraph" w:styleId="Ttulo6">
    <w:name w:val="heading 6"/>
    <w:basedOn w:val="Normal"/>
    <w:next w:val="Normal"/>
    <w:link w:val="Ttulo6Car"/>
    <w:uiPriority w:val="9"/>
    <w:unhideWhenUsed/>
    <w:qFormat/>
    <w:rsid w:val="000E5E5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5E5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F70A91"/>
    <w:pPr>
      <w:pBdr>
        <w:bottom w:val="double" w:sz="4" w:space="1" w:color="auto"/>
      </w:pBdr>
    </w:pPr>
  </w:style>
  <w:style w:type="character" w:customStyle="1" w:styleId="Estilo1Car">
    <w:name w:val="Estilo1 Car"/>
    <w:basedOn w:val="Fuentedeprrafopredeter"/>
    <w:link w:val="Estilo1"/>
    <w:rsid w:val="00F70A91"/>
    <w:rPr>
      <w:rFonts w:ascii="ITC Avant Garde" w:hAnsi="ITC Avant Garde"/>
    </w:rPr>
  </w:style>
  <w:style w:type="character" w:customStyle="1" w:styleId="Ttulo1Car">
    <w:name w:val="Título 1 Car"/>
    <w:basedOn w:val="Fuentedeprrafopredeter"/>
    <w:link w:val="Ttulo1"/>
    <w:uiPriority w:val="9"/>
    <w:rsid w:val="007B2D8F"/>
    <w:rPr>
      <w:rFonts w:eastAsia="Arial" w:cs="Arial"/>
      <w:b/>
      <w:smallCaps/>
      <w:sz w:val="24"/>
      <w:szCs w:val="16"/>
      <w:lang w:val="es-ES_tradnl"/>
    </w:rPr>
  </w:style>
  <w:style w:type="character" w:customStyle="1" w:styleId="Ttulo2Car">
    <w:name w:val="Título 2 Car"/>
    <w:basedOn w:val="Fuentedeprrafopredeter"/>
    <w:link w:val="Ttulo2"/>
    <w:uiPriority w:val="9"/>
    <w:rsid w:val="00E12FD1"/>
    <w:rPr>
      <w:rFonts w:eastAsia="Arial" w:cs="Arial"/>
      <w:b/>
      <w:szCs w:val="14"/>
      <w:lang w:val="es-ES_tradnl"/>
    </w:rPr>
  </w:style>
  <w:style w:type="character" w:customStyle="1" w:styleId="Ttulo3Car">
    <w:name w:val="Título 3 Car"/>
    <w:basedOn w:val="Fuentedeprrafopredeter"/>
    <w:link w:val="Ttulo3"/>
    <w:uiPriority w:val="9"/>
    <w:rsid w:val="000E5E59"/>
    <w:rPr>
      <w:rFonts w:asciiTheme="majorHAnsi" w:eastAsiaTheme="majorEastAsia" w:hAnsiTheme="majorHAnsi" w:cstheme="majorBidi"/>
      <w:b/>
      <w:bCs/>
      <w:color w:val="5B9BD5" w:themeColor="accent1"/>
      <w:sz w:val="24"/>
    </w:rPr>
  </w:style>
  <w:style w:type="character" w:customStyle="1" w:styleId="Ttulo4Car">
    <w:name w:val="Título 4 Car"/>
    <w:basedOn w:val="Fuentedeprrafopredeter"/>
    <w:link w:val="Ttulo4"/>
    <w:uiPriority w:val="9"/>
    <w:rsid w:val="000E5E5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0E5E59"/>
    <w:rPr>
      <w:rFonts w:asciiTheme="majorHAnsi" w:eastAsiaTheme="majorEastAsia" w:hAnsiTheme="majorHAnsi" w:cstheme="majorBidi"/>
      <w:b/>
      <w:bCs/>
      <w:i/>
      <w:iCs/>
      <w:color w:val="000000" w:themeColor="text1"/>
    </w:rPr>
  </w:style>
  <w:style w:type="character" w:customStyle="1" w:styleId="Ttulo6Car">
    <w:name w:val="Título 6 Car"/>
    <w:basedOn w:val="Fuentedeprrafopredeter"/>
    <w:link w:val="Ttulo6"/>
    <w:uiPriority w:val="9"/>
    <w:rsid w:val="000E5E5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5E59"/>
    <w:rPr>
      <w:rFonts w:asciiTheme="majorHAnsi" w:eastAsiaTheme="majorEastAsia" w:hAnsiTheme="majorHAnsi" w:cstheme="majorBidi"/>
      <w:i/>
      <w:iCs/>
      <w:color w:val="404040" w:themeColor="text1" w:themeTint="BF"/>
    </w:rPr>
  </w:style>
  <w:style w:type="paragraph" w:customStyle="1" w:styleId="PiedePgina">
    <w:name w:val="Pie de Página"/>
    <w:basedOn w:val="Sinespaciado"/>
    <w:link w:val="PiedePginaCar"/>
    <w:qFormat/>
    <w:rsid w:val="000E5E59"/>
    <w:pPr>
      <w:spacing w:line="160" w:lineRule="atLeast"/>
    </w:pPr>
    <w:rPr>
      <w:bCs/>
      <w:sz w:val="16"/>
      <w:szCs w:val="16"/>
    </w:rPr>
  </w:style>
  <w:style w:type="character" w:customStyle="1" w:styleId="PiedePginaCar">
    <w:name w:val="Pie de Página Car"/>
    <w:basedOn w:val="Fuentedeprrafopredeter"/>
    <w:link w:val="PiedePgina"/>
    <w:rsid w:val="000E5E59"/>
    <w:rPr>
      <w:bCs/>
      <w:sz w:val="16"/>
      <w:szCs w:val="16"/>
    </w:rPr>
  </w:style>
  <w:style w:type="paragraph" w:styleId="Sinespaciado">
    <w:name w:val="No Spacing"/>
    <w:link w:val="SinespaciadoCar"/>
    <w:uiPriority w:val="1"/>
    <w:qFormat/>
    <w:rsid w:val="000E5E59"/>
    <w:pPr>
      <w:spacing w:after="0" w:line="240" w:lineRule="auto"/>
    </w:pPr>
  </w:style>
  <w:style w:type="paragraph" w:customStyle="1" w:styleId="Titulos">
    <w:name w:val="Titulos"/>
    <w:basedOn w:val="Normal"/>
    <w:link w:val="TitulosCar"/>
    <w:qFormat/>
    <w:rsid w:val="000E5E59"/>
    <w:pPr>
      <w:spacing w:after="0" w:line="240" w:lineRule="auto"/>
    </w:pPr>
    <w:rPr>
      <w:rFonts w:eastAsiaTheme="minorHAnsi"/>
      <w:b/>
      <w:color w:val="44546A" w:themeColor="text2"/>
    </w:rPr>
  </w:style>
  <w:style w:type="character" w:customStyle="1" w:styleId="TitulosCar">
    <w:name w:val="Titulos Car"/>
    <w:basedOn w:val="Fuentedeprrafopredeter"/>
    <w:link w:val="Titulos"/>
    <w:rsid w:val="000E5E59"/>
    <w:rPr>
      <w:b/>
      <w:color w:val="44546A" w:themeColor="text2"/>
    </w:rPr>
  </w:style>
  <w:style w:type="character" w:customStyle="1" w:styleId="SinespaciadoCar">
    <w:name w:val="Sin espaciado Car"/>
    <w:basedOn w:val="Fuentedeprrafopredeter"/>
    <w:link w:val="Sinespaciado"/>
    <w:uiPriority w:val="1"/>
    <w:rsid w:val="000E5E59"/>
  </w:style>
  <w:style w:type="paragraph" w:styleId="Piedepgina0">
    <w:name w:val="footer"/>
    <w:basedOn w:val="Normal"/>
    <w:link w:val="PiedepginaCar0"/>
    <w:uiPriority w:val="99"/>
    <w:unhideWhenUsed/>
    <w:rsid w:val="0041214B"/>
    <w:pPr>
      <w:tabs>
        <w:tab w:val="center" w:pos="4419"/>
        <w:tab w:val="right" w:pos="8838"/>
      </w:tabs>
      <w:spacing w:after="0" w:line="240" w:lineRule="auto"/>
    </w:pPr>
  </w:style>
  <w:style w:type="character" w:customStyle="1" w:styleId="PiedepginaCar0">
    <w:name w:val="Pie de página Car"/>
    <w:basedOn w:val="Fuentedeprrafopredeter"/>
    <w:link w:val="Piedepgina0"/>
    <w:uiPriority w:val="99"/>
    <w:rsid w:val="0041214B"/>
    <w:rPr>
      <w:rFonts w:eastAsiaTheme="minorEastAsia"/>
    </w:rPr>
  </w:style>
  <w:style w:type="paragraph" w:styleId="Encabezado">
    <w:name w:val="header"/>
    <w:basedOn w:val="Normal"/>
    <w:link w:val="EncabezadoCar"/>
    <w:uiPriority w:val="99"/>
    <w:unhideWhenUsed/>
    <w:rsid w:val="00412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14B"/>
    <w:rPr>
      <w:rFonts w:eastAsiaTheme="minorEastAsia"/>
    </w:rPr>
  </w:style>
  <w:style w:type="table" w:styleId="Tablaconcuadrcula">
    <w:name w:val="Table Grid"/>
    <w:basedOn w:val="Tablanormal"/>
    <w:rsid w:val="0041214B"/>
    <w:pPr>
      <w:spacing w:after="0" w:line="240" w:lineRule="auto"/>
    </w:pPr>
    <w:rPr>
      <w:rFonts w:ascii="Arial" w:hAnsi="Arial"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ullet1">
    <w:name w:val="~ListNumBullet1"/>
    <w:basedOn w:val="Normal"/>
    <w:next w:val="Normal"/>
    <w:uiPriority w:val="3"/>
    <w:qFormat/>
    <w:rsid w:val="0041214B"/>
    <w:pPr>
      <w:numPr>
        <w:numId w:val="4"/>
      </w:numPr>
      <w:tabs>
        <w:tab w:val="clear" w:pos="340"/>
        <w:tab w:val="num" w:pos="360"/>
      </w:tabs>
      <w:spacing w:before="60" w:after="60" w:line="264" w:lineRule="auto"/>
      <w:ind w:left="0" w:firstLine="0"/>
    </w:pPr>
    <w:rPr>
      <w:rFonts w:eastAsia="Arial" w:cs="Arial"/>
      <w:lang w:val="es-ES_tradnl"/>
    </w:rPr>
  </w:style>
  <w:style w:type="numbering" w:customStyle="1" w:styleId="ListNumStyle">
    <w:name w:val="~ListNumStyle"/>
    <w:uiPriority w:val="99"/>
    <w:rsid w:val="0041214B"/>
    <w:pPr>
      <w:numPr>
        <w:numId w:val="3"/>
      </w:numPr>
    </w:pPr>
  </w:style>
  <w:style w:type="table" w:customStyle="1" w:styleId="Tablaconcuadrcula1">
    <w:name w:val="Tabla con cuadrícula1"/>
    <w:basedOn w:val="Tablanormal"/>
    <w:next w:val="Tablaconcuadrcula"/>
    <w:uiPriority w:val="39"/>
    <w:rsid w:val="0041214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omano,Estilo0,CNBV Parrafo1,4 Viñ 1nivel,prueba1,Numeración 1,Cuadrícula media 1 - Énfasis 21,Romanos,Listas,lp1"/>
    <w:basedOn w:val="Normal"/>
    <w:link w:val="PrrafodelistaCar"/>
    <w:uiPriority w:val="34"/>
    <w:qFormat/>
    <w:rsid w:val="0041214B"/>
    <w:pPr>
      <w:numPr>
        <w:numId w:val="5"/>
      </w:numPr>
      <w:spacing w:before="120" w:line="264" w:lineRule="auto"/>
      <w:contextualSpacing/>
    </w:pPr>
    <w:rPr>
      <w:rFonts w:eastAsia="Arial" w:cs="Arial"/>
    </w:rPr>
  </w:style>
  <w:style w:type="paragraph" w:styleId="Cita">
    <w:name w:val="Quote"/>
    <w:basedOn w:val="Normal"/>
    <w:next w:val="Normal"/>
    <w:link w:val="CitaCar"/>
    <w:uiPriority w:val="29"/>
    <w:qFormat/>
    <w:rsid w:val="0041214B"/>
    <w:pPr>
      <w:spacing w:before="40" w:after="200" w:line="276" w:lineRule="auto"/>
      <w:ind w:left="1416" w:right="567"/>
    </w:pPr>
    <w:rPr>
      <w:rFonts w:eastAsia="Arial" w:cs="Arial"/>
      <w:i/>
      <w:sz w:val="18"/>
    </w:rPr>
  </w:style>
  <w:style w:type="character" w:customStyle="1" w:styleId="CitaCar">
    <w:name w:val="Cita Car"/>
    <w:basedOn w:val="Fuentedeprrafopredeter"/>
    <w:link w:val="Cita"/>
    <w:uiPriority w:val="29"/>
    <w:rsid w:val="0041214B"/>
    <w:rPr>
      <w:rFonts w:eastAsia="Arial" w:cs="Arial"/>
      <w:i/>
      <w:sz w:val="18"/>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qFormat/>
    <w:rsid w:val="00A473B5"/>
    <w:rPr>
      <w:rFonts w:asciiTheme="minorHAnsi" w:hAnsiTheme="minorHAnsi"/>
      <w:color w:val="5B9BD5" w:themeColor="accent1"/>
      <w:vertAlign w:val="superscript"/>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uiPriority w:val="19"/>
    <w:qFormat/>
    <w:rsid w:val="00A473B5"/>
    <w:pPr>
      <w:spacing w:before="60"/>
      <w:ind w:left="284" w:hanging="284"/>
    </w:pPr>
    <w:rPr>
      <w:rFonts w:asciiTheme="minorHAnsi" w:hAnsiTheme="minorHAnsi" w:cs="Arial"/>
      <w:color w:val="44546A" w:themeColor="text2"/>
      <w:sz w:val="16"/>
      <w:lang w:val="es-ES_tradnl"/>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A473B5"/>
    <w:rPr>
      <w:rFonts w:asciiTheme="minorHAnsi" w:hAnsiTheme="minorHAnsi" w:cs="Arial"/>
      <w:color w:val="44546A" w:themeColor="text2"/>
      <w:sz w:val="16"/>
      <w:lang w:val="es-ES_tradnl"/>
    </w:rPr>
  </w:style>
  <w:style w:type="paragraph" w:customStyle="1" w:styleId="7CitaTextual">
    <w:name w:val="7 Cita Textual"/>
    <w:basedOn w:val="Normal"/>
    <w:link w:val="7CitaTextualCar"/>
    <w:qFormat/>
    <w:rsid w:val="00C505B6"/>
    <w:pPr>
      <w:spacing w:before="40" w:after="200" w:line="276" w:lineRule="auto"/>
      <w:ind w:left="567" w:right="567"/>
    </w:pPr>
    <w:rPr>
      <w:rFonts w:eastAsiaTheme="minorHAnsi"/>
      <w:i/>
      <w:sz w:val="18"/>
    </w:rPr>
  </w:style>
  <w:style w:type="character" w:customStyle="1" w:styleId="7CitaTextualCar">
    <w:name w:val="7 Cita Textual Car"/>
    <w:basedOn w:val="Fuentedeprrafopredeter"/>
    <w:link w:val="7CitaTextual"/>
    <w:rsid w:val="00C505B6"/>
    <w:rPr>
      <w:i/>
      <w:sz w:val="18"/>
    </w:rPr>
  </w:style>
  <w:style w:type="paragraph" w:customStyle="1" w:styleId="ParaNumBullet1">
    <w:name w:val="~ParaNumBullet1"/>
    <w:basedOn w:val="Normal"/>
    <w:uiPriority w:val="3"/>
    <w:rsid w:val="00C505B6"/>
    <w:pPr>
      <w:numPr>
        <w:numId w:val="6"/>
      </w:numPr>
      <w:spacing w:before="120" w:line="276" w:lineRule="auto"/>
    </w:pPr>
    <w:rPr>
      <w:rFonts w:eastAsia="Calibri" w:cs="Arial"/>
      <w:lang w:val="en-GB"/>
    </w:rPr>
  </w:style>
  <w:style w:type="paragraph" w:customStyle="1" w:styleId="ParaNumBullet2">
    <w:name w:val="~ParaNumBullet2"/>
    <w:basedOn w:val="ParaNumBullet1"/>
    <w:uiPriority w:val="3"/>
    <w:rsid w:val="00C505B6"/>
    <w:pPr>
      <w:numPr>
        <w:ilvl w:val="1"/>
      </w:numPr>
    </w:pPr>
  </w:style>
  <w:style w:type="paragraph" w:customStyle="1" w:styleId="ParaNumBullet3">
    <w:name w:val="~ParaNumBullet3"/>
    <w:basedOn w:val="ParaNumBullet2"/>
    <w:uiPriority w:val="3"/>
    <w:rsid w:val="00C505B6"/>
    <w:pPr>
      <w:numPr>
        <w:ilvl w:val="2"/>
      </w:numPr>
    </w:pPr>
  </w:style>
  <w:style w:type="character" w:styleId="Refdecomentario">
    <w:name w:val="annotation reference"/>
    <w:basedOn w:val="Fuentedeprrafopredeter"/>
    <w:uiPriority w:val="99"/>
    <w:semiHidden/>
    <w:unhideWhenUsed/>
    <w:rsid w:val="00314CF0"/>
    <w:rPr>
      <w:sz w:val="16"/>
      <w:szCs w:val="16"/>
    </w:rPr>
  </w:style>
  <w:style w:type="paragraph" w:styleId="Textocomentario">
    <w:name w:val="annotation text"/>
    <w:basedOn w:val="Normal"/>
    <w:link w:val="TextocomentarioCar"/>
    <w:uiPriority w:val="99"/>
    <w:unhideWhenUsed/>
    <w:rsid w:val="00314CF0"/>
    <w:pPr>
      <w:spacing w:line="240" w:lineRule="auto"/>
    </w:pPr>
    <w:rPr>
      <w:sz w:val="20"/>
      <w:szCs w:val="20"/>
    </w:rPr>
  </w:style>
  <w:style w:type="character" w:customStyle="1" w:styleId="TextocomentarioCar">
    <w:name w:val="Texto comentario Car"/>
    <w:basedOn w:val="Fuentedeprrafopredeter"/>
    <w:link w:val="Textocomentario"/>
    <w:uiPriority w:val="99"/>
    <w:rsid w:val="00314CF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14CF0"/>
    <w:rPr>
      <w:b/>
      <w:bCs/>
    </w:rPr>
  </w:style>
  <w:style w:type="character" w:customStyle="1" w:styleId="AsuntodelcomentarioCar">
    <w:name w:val="Asunto del comentario Car"/>
    <w:basedOn w:val="TextocomentarioCar"/>
    <w:link w:val="Asuntodelcomentario"/>
    <w:uiPriority w:val="99"/>
    <w:semiHidden/>
    <w:rsid w:val="00314CF0"/>
    <w:rPr>
      <w:rFonts w:eastAsiaTheme="minorEastAsia"/>
      <w:b/>
      <w:bCs/>
      <w:sz w:val="20"/>
      <w:szCs w:val="20"/>
    </w:rPr>
  </w:style>
  <w:style w:type="paragraph" w:styleId="Textodeglobo">
    <w:name w:val="Balloon Text"/>
    <w:basedOn w:val="Normal"/>
    <w:link w:val="TextodegloboCar"/>
    <w:uiPriority w:val="99"/>
    <w:semiHidden/>
    <w:unhideWhenUsed/>
    <w:rsid w:val="00314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CF0"/>
    <w:rPr>
      <w:rFonts w:ascii="Segoe UI" w:eastAsiaTheme="minorEastAsia" w:hAnsi="Segoe UI" w:cs="Segoe UI"/>
      <w:sz w:val="18"/>
      <w:szCs w:val="18"/>
    </w:rPr>
  </w:style>
  <w:style w:type="character" w:styleId="Hipervnculo">
    <w:name w:val="Hyperlink"/>
    <w:basedOn w:val="Fuentedeprrafopredeter"/>
    <w:uiPriority w:val="99"/>
    <w:unhideWhenUsed/>
    <w:rsid w:val="00057942"/>
    <w:rPr>
      <w:color w:val="0563C1" w:themeColor="hyperlink"/>
      <w:u w:val="single"/>
    </w:rPr>
  </w:style>
  <w:style w:type="paragraph" w:customStyle="1" w:styleId="ParaBullet1">
    <w:name w:val="~ParaBullet1"/>
    <w:basedOn w:val="Normal"/>
    <w:uiPriority w:val="3"/>
    <w:qFormat/>
    <w:rsid w:val="004D14D1"/>
    <w:pPr>
      <w:spacing w:before="120" w:line="264" w:lineRule="auto"/>
    </w:pPr>
    <w:rPr>
      <w:rFonts w:asciiTheme="minorHAnsi" w:eastAsia="Calibri" w:hAnsiTheme="minorHAnsi" w:cs="Arial"/>
      <w:color w:val="000000" w:themeColor="text1"/>
      <w:lang w:val="es-ES_tradnl"/>
    </w:rPr>
  </w:style>
  <w:style w:type="paragraph" w:customStyle="1" w:styleId="ParaBullet2">
    <w:name w:val="~ParaBullet2"/>
    <w:basedOn w:val="ParaBullet1"/>
    <w:uiPriority w:val="3"/>
    <w:qFormat/>
    <w:rsid w:val="004D14D1"/>
    <w:pPr>
      <w:numPr>
        <w:ilvl w:val="1"/>
      </w:numPr>
    </w:pPr>
  </w:style>
  <w:style w:type="paragraph" w:customStyle="1" w:styleId="ParaBullet3">
    <w:name w:val="~ParaBullet3"/>
    <w:basedOn w:val="ParaBullet2"/>
    <w:uiPriority w:val="3"/>
    <w:qFormat/>
    <w:rsid w:val="004D14D1"/>
    <w:pPr>
      <w:numPr>
        <w:ilvl w:val="2"/>
      </w:numPr>
    </w:pPr>
  </w:style>
  <w:style w:type="character" w:styleId="nfasis">
    <w:name w:val="Emphasis"/>
    <w:basedOn w:val="Fuentedeprrafopredeter"/>
    <w:uiPriority w:val="20"/>
    <w:qFormat/>
    <w:rsid w:val="00C709D7"/>
    <w:rPr>
      <w:i/>
      <w:iCs/>
    </w:rPr>
  </w:style>
  <w:style w:type="character" w:customStyle="1" w:styleId="PrrafodelistaCar">
    <w:name w:val="Párrafo de lista Car"/>
    <w:aliases w:val="Romano Car,Estilo0 Car,CNBV Parrafo1 Car,4 Viñ 1nivel Car,prueba1 Car,Numeración 1 Car,Cuadrícula media 1 - Énfasis 21 Car,Romanos Car,Listas Car,lp1 Car"/>
    <w:link w:val="Prrafodelista"/>
    <w:uiPriority w:val="34"/>
    <w:qFormat/>
    <w:rsid w:val="00C709D7"/>
    <w:rPr>
      <w:rFonts w:eastAsia="Arial" w:cs="Arial"/>
    </w:rPr>
  </w:style>
  <w:style w:type="paragraph" w:customStyle="1" w:styleId="Antecedentes">
    <w:name w:val="Antecedentes"/>
    <w:basedOn w:val="Prrafodelista"/>
    <w:link w:val="AntecedentesCar"/>
    <w:qFormat/>
    <w:rsid w:val="00C709D7"/>
    <w:pPr>
      <w:numPr>
        <w:numId w:val="8"/>
      </w:numPr>
      <w:tabs>
        <w:tab w:val="left" w:pos="9356"/>
      </w:tabs>
      <w:spacing w:line="276" w:lineRule="auto"/>
      <w:contextualSpacing w:val="0"/>
    </w:pPr>
  </w:style>
  <w:style w:type="character" w:customStyle="1" w:styleId="AntecedentesCar">
    <w:name w:val="Antecedentes Car"/>
    <w:basedOn w:val="PrrafodelistaCar"/>
    <w:link w:val="Antecedentes"/>
    <w:rsid w:val="00C709D7"/>
    <w:rPr>
      <w:rFonts w:eastAsia="Arial" w:cs="Arial"/>
    </w:rPr>
  </w:style>
  <w:style w:type="paragraph" w:customStyle="1" w:styleId="Figuras">
    <w:name w:val="Figuras"/>
    <w:basedOn w:val="Normal"/>
    <w:autoRedefine/>
    <w:qFormat/>
    <w:rsid w:val="009D32DD"/>
    <w:pPr>
      <w:keepNext/>
      <w:tabs>
        <w:tab w:val="left" w:pos="426"/>
      </w:tabs>
      <w:spacing w:line="276" w:lineRule="auto"/>
      <w:ind w:left="426"/>
      <w:jc w:val="center"/>
    </w:pPr>
    <w:rPr>
      <w:rFonts w:eastAsiaTheme="minorHAnsi"/>
      <w:b/>
      <w:sz w:val="20"/>
      <w:szCs w:val="20"/>
      <w:lang w:val="es-ES_tradnl" w:eastAsia="es-ES"/>
    </w:rPr>
  </w:style>
  <w:style w:type="paragraph" w:styleId="Descripcin">
    <w:name w:val="caption"/>
    <w:aliases w:val="~Caption"/>
    <w:basedOn w:val="Normal"/>
    <w:next w:val="Normal"/>
    <w:link w:val="DescripcinCar"/>
    <w:uiPriority w:val="2"/>
    <w:qFormat/>
    <w:rsid w:val="001049D7"/>
    <w:pPr>
      <w:keepNext/>
      <w:tabs>
        <w:tab w:val="left" w:pos="1276"/>
      </w:tabs>
      <w:spacing w:before="120" w:after="60" w:line="240" w:lineRule="auto"/>
      <w:ind w:left="1276" w:hanging="1276"/>
    </w:pPr>
    <w:rPr>
      <w:rFonts w:asciiTheme="minorHAnsi" w:eastAsia="Calibr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1049D7"/>
    <w:rPr>
      <w:rFonts w:asciiTheme="minorHAnsi" w:eastAsia="Calibri" w:hAnsiTheme="minorHAnsi" w:cs="Arial"/>
      <w:b/>
      <w:color w:val="000000" w:themeColor="text1"/>
      <w:lang w:val="es-ES_tradnl"/>
    </w:rPr>
  </w:style>
  <w:style w:type="paragraph" w:customStyle="1" w:styleId="Source">
    <w:name w:val="~Source"/>
    <w:basedOn w:val="Normal"/>
    <w:next w:val="Normal"/>
    <w:uiPriority w:val="2"/>
    <w:qFormat/>
    <w:rsid w:val="001049D7"/>
    <w:pPr>
      <w:tabs>
        <w:tab w:val="left" w:pos="709"/>
      </w:tabs>
      <w:spacing w:before="60" w:after="60" w:line="240" w:lineRule="auto"/>
      <w:ind w:left="709" w:hanging="709"/>
      <w:jc w:val="left"/>
    </w:pPr>
    <w:rPr>
      <w:rFonts w:asciiTheme="minorHAnsi" w:eastAsia="Calibri" w:hAnsiTheme="minorHAnsi" w:cs="Arial"/>
      <w:i/>
      <w:color w:val="000000" w:themeColor="text1"/>
      <w:sz w:val="16"/>
      <w:lang w:val="es-ES_tradnl"/>
    </w:rPr>
  </w:style>
  <w:style w:type="paragraph" w:customStyle="1" w:styleId="GraphicLeft">
    <w:name w:val="~GraphicLeft"/>
    <w:basedOn w:val="Sinespaciado"/>
    <w:uiPriority w:val="9"/>
    <w:rsid w:val="001049D7"/>
    <w:rPr>
      <w:rFonts w:asciiTheme="minorHAnsi" w:hAnsiTheme="minorHAnsi" w:cs="Arial"/>
      <w:color w:val="000000" w:themeColor="text1"/>
      <w:sz w:val="20"/>
      <w:lang w:val="es-ES_tradnl"/>
    </w:rPr>
  </w:style>
  <w:style w:type="paragraph" w:customStyle="1" w:styleId="ListBullet1">
    <w:name w:val="~ListBullet1"/>
    <w:basedOn w:val="Normal"/>
    <w:uiPriority w:val="3"/>
    <w:qFormat/>
    <w:rsid w:val="001049D7"/>
    <w:pPr>
      <w:numPr>
        <w:numId w:val="17"/>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1049D7"/>
    <w:pPr>
      <w:numPr>
        <w:ilvl w:val="1"/>
      </w:numPr>
    </w:pPr>
  </w:style>
  <w:style w:type="paragraph" w:customStyle="1" w:styleId="ListBullet3">
    <w:name w:val="~ListBullet3"/>
    <w:basedOn w:val="ListBullet2"/>
    <w:uiPriority w:val="3"/>
    <w:qFormat/>
    <w:rsid w:val="001049D7"/>
    <w:pPr>
      <w:numPr>
        <w:ilvl w:val="2"/>
      </w:numPr>
    </w:pPr>
  </w:style>
  <w:style w:type="paragraph" w:customStyle="1" w:styleId="estilo30">
    <w:name w:val="estilo30"/>
    <w:basedOn w:val="Normal"/>
    <w:uiPriority w:val="99"/>
    <w:rsid w:val="001049D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TableTextLeft">
    <w:name w:val="~TableTextLeft"/>
    <w:basedOn w:val="Normal"/>
    <w:qFormat/>
    <w:rsid w:val="00CE0D19"/>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CE0D19"/>
    <w:rPr>
      <w:b/>
      <w:bCs/>
      <w:color w:val="A5A5A5" w:themeColor="accent3"/>
    </w:rPr>
  </w:style>
  <w:style w:type="paragraph" w:customStyle="1" w:styleId="TableHeadingRight">
    <w:name w:val="~TableHeadingRight"/>
    <w:basedOn w:val="TableHeadingLeft"/>
    <w:qFormat/>
    <w:rsid w:val="00CE0D19"/>
    <w:pPr>
      <w:jc w:val="right"/>
    </w:pPr>
  </w:style>
  <w:style w:type="paragraph" w:customStyle="1" w:styleId="TableTextRight">
    <w:name w:val="~TableTextRight"/>
    <w:basedOn w:val="TableTextLeft"/>
    <w:qFormat/>
    <w:rsid w:val="00CE0D19"/>
    <w:pPr>
      <w:jc w:val="right"/>
    </w:pPr>
  </w:style>
  <w:style w:type="table" w:customStyle="1" w:styleId="Frontier">
    <w:name w:val="~Frontier"/>
    <w:basedOn w:val="Tablanormal"/>
    <w:uiPriority w:val="99"/>
    <w:rsid w:val="00CE0D19"/>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table" w:styleId="Tabladecuadrcula2-nfasis6">
    <w:name w:val="Grid Table 2 Accent 6"/>
    <w:basedOn w:val="Tablanormal"/>
    <w:uiPriority w:val="47"/>
    <w:rsid w:val="00E7029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61">
    <w:name w:val="Tabla de cuadrícula 2 - Énfasis 61"/>
    <w:basedOn w:val="Tablanormal"/>
    <w:uiPriority w:val="47"/>
    <w:rsid w:val="009D32D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9D32D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stilo3">
    <w:name w:val="Estilo3"/>
    <w:basedOn w:val="Prrafodelista"/>
    <w:autoRedefine/>
    <w:qFormat/>
    <w:rsid w:val="00C500DA"/>
    <w:pPr>
      <w:numPr>
        <w:numId w:val="0"/>
      </w:numPr>
      <w:spacing w:before="40" w:after="200" w:line="276" w:lineRule="auto"/>
      <w:ind w:left="2160" w:hanging="360"/>
      <w:contextualSpacing w:val="0"/>
    </w:pPr>
    <w:rPr>
      <w:rFonts w:eastAsiaTheme="minorEastAsia" w:cstheme="minorBidi"/>
    </w:rPr>
  </w:style>
  <w:style w:type="character" w:styleId="Hipervnculovisitado">
    <w:name w:val="FollowedHyperlink"/>
    <w:basedOn w:val="Fuentedeprrafopredeter"/>
    <w:uiPriority w:val="99"/>
    <w:semiHidden/>
    <w:unhideWhenUsed/>
    <w:rsid w:val="00CD2698"/>
    <w:rPr>
      <w:color w:val="954F72" w:themeColor="followedHyperlink"/>
      <w:u w:val="single"/>
    </w:rPr>
  </w:style>
  <w:style w:type="table" w:customStyle="1" w:styleId="Frontier1">
    <w:name w:val="~Frontier1"/>
    <w:basedOn w:val="Tablanormal"/>
    <w:uiPriority w:val="99"/>
    <w:rsid w:val="008C1EC6"/>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ListNumBullet2">
    <w:name w:val="~ListNumBullet2"/>
    <w:basedOn w:val="ListNumBullet1"/>
    <w:uiPriority w:val="3"/>
    <w:qFormat/>
    <w:rsid w:val="008C1EC6"/>
    <w:pPr>
      <w:numPr>
        <w:numId w:val="0"/>
      </w:numPr>
      <w:tabs>
        <w:tab w:val="num" w:pos="680"/>
      </w:tabs>
      <w:ind w:left="680" w:hanging="340"/>
    </w:pPr>
    <w:rPr>
      <w:rFonts w:asciiTheme="minorHAnsi" w:eastAsiaTheme="minorHAnsi" w:hAnsiTheme="minorHAnsi"/>
      <w:color w:val="000000" w:themeColor="text1"/>
    </w:rPr>
  </w:style>
  <w:style w:type="paragraph" w:customStyle="1" w:styleId="ListNumBullet3">
    <w:name w:val="~ListNumBullet3"/>
    <w:basedOn w:val="ListNumBullet2"/>
    <w:uiPriority w:val="3"/>
    <w:qFormat/>
    <w:rsid w:val="008C1EC6"/>
    <w:pPr>
      <w:tabs>
        <w:tab w:val="clear" w:pos="680"/>
        <w:tab w:val="num" w:pos="1021"/>
      </w:tabs>
      <w:ind w:left="1021" w:hanging="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965">
      <w:bodyDiv w:val="1"/>
      <w:marLeft w:val="0"/>
      <w:marRight w:val="0"/>
      <w:marTop w:val="0"/>
      <w:marBottom w:val="0"/>
      <w:divBdr>
        <w:top w:val="none" w:sz="0" w:space="0" w:color="auto"/>
        <w:left w:val="none" w:sz="0" w:space="0" w:color="auto"/>
        <w:bottom w:val="none" w:sz="0" w:space="0" w:color="auto"/>
        <w:right w:val="none" w:sz="0" w:space="0" w:color="auto"/>
      </w:divBdr>
    </w:div>
    <w:div w:id="92358675">
      <w:bodyDiv w:val="1"/>
      <w:marLeft w:val="0"/>
      <w:marRight w:val="0"/>
      <w:marTop w:val="0"/>
      <w:marBottom w:val="0"/>
      <w:divBdr>
        <w:top w:val="none" w:sz="0" w:space="0" w:color="auto"/>
        <w:left w:val="none" w:sz="0" w:space="0" w:color="auto"/>
        <w:bottom w:val="none" w:sz="0" w:space="0" w:color="auto"/>
        <w:right w:val="none" w:sz="0" w:space="0" w:color="auto"/>
      </w:divBdr>
      <w:divsChild>
        <w:div w:id="200479936">
          <w:marLeft w:val="0"/>
          <w:marRight w:val="0"/>
          <w:marTop w:val="0"/>
          <w:marBottom w:val="0"/>
          <w:divBdr>
            <w:top w:val="none" w:sz="0" w:space="0" w:color="auto"/>
            <w:left w:val="none" w:sz="0" w:space="0" w:color="auto"/>
            <w:bottom w:val="none" w:sz="0" w:space="0" w:color="auto"/>
            <w:right w:val="none" w:sz="0" w:space="0" w:color="auto"/>
          </w:divBdr>
          <w:divsChild>
            <w:div w:id="13679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56">
          <w:marLeft w:val="274"/>
          <w:marRight w:val="0"/>
          <w:marTop w:val="0"/>
          <w:marBottom w:val="160"/>
          <w:divBdr>
            <w:top w:val="none" w:sz="0" w:space="0" w:color="auto"/>
            <w:left w:val="none" w:sz="0" w:space="0" w:color="auto"/>
            <w:bottom w:val="none" w:sz="0" w:space="0" w:color="auto"/>
            <w:right w:val="none" w:sz="0" w:space="0" w:color="auto"/>
          </w:divBdr>
        </w:div>
      </w:divsChild>
    </w:div>
    <w:div w:id="228536248">
      <w:bodyDiv w:val="1"/>
      <w:marLeft w:val="0"/>
      <w:marRight w:val="0"/>
      <w:marTop w:val="0"/>
      <w:marBottom w:val="0"/>
      <w:divBdr>
        <w:top w:val="none" w:sz="0" w:space="0" w:color="auto"/>
        <w:left w:val="none" w:sz="0" w:space="0" w:color="auto"/>
        <w:bottom w:val="none" w:sz="0" w:space="0" w:color="auto"/>
        <w:right w:val="none" w:sz="0" w:space="0" w:color="auto"/>
      </w:divBdr>
      <w:divsChild>
        <w:div w:id="1953395553">
          <w:marLeft w:val="0"/>
          <w:marRight w:val="0"/>
          <w:marTop w:val="0"/>
          <w:marBottom w:val="0"/>
          <w:divBdr>
            <w:top w:val="none" w:sz="0" w:space="0" w:color="auto"/>
            <w:left w:val="none" w:sz="0" w:space="0" w:color="auto"/>
            <w:bottom w:val="none" w:sz="0" w:space="0" w:color="auto"/>
            <w:right w:val="none" w:sz="0" w:space="0" w:color="auto"/>
          </w:divBdr>
          <w:divsChild>
            <w:div w:id="1469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6324">
      <w:bodyDiv w:val="1"/>
      <w:marLeft w:val="0"/>
      <w:marRight w:val="0"/>
      <w:marTop w:val="0"/>
      <w:marBottom w:val="0"/>
      <w:divBdr>
        <w:top w:val="none" w:sz="0" w:space="0" w:color="auto"/>
        <w:left w:val="none" w:sz="0" w:space="0" w:color="auto"/>
        <w:bottom w:val="none" w:sz="0" w:space="0" w:color="auto"/>
        <w:right w:val="none" w:sz="0" w:space="0" w:color="auto"/>
      </w:divBdr>
      <w:divsChild>
        <w:div w:id="2100637406">
          <w:marLeft w:val="0"/>
          <w:marRight w:val="0"/>
          <w:marTop w:val="0"/>
          <w:marBottom w:val="0"/>
          <w:divBdr>
            <w:top w:val="none" w:sz="0" w:space="0" w:color="auto"/>
            <w:left w:val="none" w:sz="0" w:space="0" w:color="auto"/>
            <w:bottom w:val="none" w:sz="0" w:space="0" w:color="auto"/>
            <w:right w:val="none" w:sz="0" w:space="0" w:color="auto"/>
          </w:divBdr>
          <w:divsChild>
            <w:div w:id="20221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1307">
      <w:bodyDiv w:val="1"/>
      <w:marLeft w:val="0"/>
      <w:marRight w:val="0"/>
      <w:marTop w:val="0"/>
      <w:marBottom w:val="0"/>
      <w:divBdr>
        <w:top w:val="none" w:sz="0" w:space="0" w:color="auto"/>
        <w:left w:val="none" w:sz="0" w:space="0" w:color="auto"/>
        <w:bottom w:val="none" w:sz="0" w:space="0" w:color="auto"/>
        <w:right w:val="none" w:sz="0" w:space="0" w:color="auto"/>
      </w:divBdr>
      <w:divsChild>
        <w:div w:id="776676699">
          <w:marLeft w:val="0"/>
          <w:marRight w:val="0"/>
          <w:marTop w:val="0"/>
          <w:marBottom w:val="0"/>
          <w:divBdr>
            <w:top w:val="none" w:sz="0" w:space="0" w:color="auto"/>
            <w:left w:val="none" w:sz="0" w:space="0" w:color="auto"/>
            <w:bottom w:val="none" w:sz="0" w:space="0" w:color="auto"/>
            <w:right w:val="none" w:sz="0" w:space="0" w:color="auto"/>
          </w:divBdr>
          <w:divsChild>
            <w:div w:id="11833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248">
      <w:bodyDiv w:val="1"/>
      <w:marLeft w:val="0"/>
      <w:marRight w:val="0"/>
      <w:marTop w:val="0"/>
      <w:marBottom w:val="0"/>
      <w:divBdr>
        <w:top w:val="none" w:sz="0" w:space="0" w:color="auto"/>
        <w:left w:val="none" w:sz="0" w:space="0" w:color="auto"/>
        <w:bottom w:val="none" w:sz="0" w:space="0" w:color="auto"/>
        <w:right w:val="none" w:sz="0" w:space="0" w:color="auto"/>
      </w:divBdr>
    </w:div>
    <w:div w:id="788743439">
      <w:bodyDiv w:val="1"/>
      <w:marLeft w:val="0"/>
      <w:marRight w:val="0"/>
      <w:marTop w:val="0"/>
      <w:marBottom w:val="0"/>
      <w:divBdr>
        <w:top w:val="none" w:sz="0" w:space="0" w:color="auto"/>
        <w:left w:val="none" w:sz="0" w:space="0" w:color="auto"/>
        <w:bottom w:val="none" w:sz="0" w:space="0" w:color="auto"/>
        <w:right w:val="none" w:sz="0" w:space="0" w:color="auto"/>
      </w:divBdr>
    </w:div>
    <w:div w:id="865948925">
      <w:bodyDiv w:val="1"/>
      <w:marLeft w:val="0"/>
      <w:marRight w:val="0"/>
      <w:marTop w:val="0"/>
      <w:marBottom w:val="0"/>
      <w:divBdr>
        <w:top w:val="none" w:sz="0" w:space="0" w:color="auto"/>
        <w:left w:val="none" w:sz="0" w:space="0" w:color="auto"/>
        <w:bottom w:val="none" w:sz="0" w:space="0" w:color="auto"/>
        <w:right w:val="none" w:sz="0" w:space="0" w:color="auto"/>
      </w:divBdr>
      <w:divsChild>
        <w:div w:id="938879487">
          <w:marLeft w:val="850"/>
          <w:marRight w:val="0"/>
          <w:marTop w:val="0"/>
          <w:marBottom w:val="160"/>
          <w:divBdr>
            <w:top w:val="none" w:sz="0" w:space="0" w:color="auto"/>
            <w:left w:val="none" w:sz="0" w:space="0" w:color="auto"/>
            <w:bottom w:val="none" w:sz="0" w:space="0" w:color="auto"/>
            <w:right w:val="none" w:sz="0" w:space="0" w:color="auto"/>
          </w:divBdr>
        </w:div>
      </w:divsChild>
    </w:div>
    <w:div w:id="990527843">
      <w:bodyDiv w:val="1"/>
      <w:marLeft w:val="0"/>
      <w:marRight w:val="0"/>
      <w:marTop w:val="0"/>
      <w:marBottom w:val="0"/>
      <w:divBdr>
        <w:top w:val="none" w:sz="0" w:space="0" w:color="auto"/>
        <w:left w:val="none" w:sz="0" w:space="0" w:color="auto"/>
        <w:bottom w:val="none" w:sz="0" w:space="0" w:color="auto"/>
        <w:right w:val="none" w:sz="0" w:space="0" w:color="auto"/>
      </w:divBdr>
      <w:divsChild>
        <w:div w:id="417026175">
          <w:marLeft w:val="562"/>
          <w:marRight w:val="0"/>
          <w:marTop w:val="0"/>
          <w:marBottom w:val="160"/>
          <w:divBdr>
            <w:top w:val="none" w:sz="0" w:space="0" w:color="auto"/>
            <w:left w:val="none" w:sz="0" w:space="0" w:color="auto"/>
            <w:bottom w:val="none" w:sz="0" w:space="0" w:color="auto"/>
            <w:right w:val="none" w:sz="0" w:space="0" w:color="auto"/>
          </w:divBdr>
        </w:div>
      </w:divsChild>
    </w:div>
    <w:div w:id="1103108297">
      <w:bodyDiv w:val="1"/>
      <w:marLeft w:val="0"/>
      <w:marRight w:val="0"/>
      <w:marTop w:val="0"/>
      <w:marBottom w:val="0"/>
      <w:divBdr>
        <w:top w:val="none" w:sz="0" w:space="0" w:color="auto"/>
        <w:left w:val="none" w:sz="0" w:space="0" w:color="auto"/>
        <w:bottom w:val="none" w:sz="0" w:space="0" w:color="auto"/>
        <w:right w:val="none" w:sz="0" w:space="0" w:color="auto"/>
      </w:divBdr>
      <w:divsChild>
        <w:div w:id="974991869">
          <w:marLeft w:val="274"/>
          <w:marRight w:val="0"/>
          <w:marTop w:val="0"/>
          <w:marBottom w:val="160"/>
          <w:divBdr>
            <w:top w:val="none" w:sz="0" w:space="0" w:color="auto"/>
            <w:left w:val="none" w:sz="0" w:space="0" w:color="auto"/>
            <w:bottom w:val="none" w:sz="0" w:space="0" w:color="auto"/>
            <w:right w:val="none" w:sz="0" w:space="0" w:color="auto"/>
          </w:divBdr>
        </w:div>
      </w:divsChild>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sChild>
        <w:div w:id="1659797105">
          <w:marLeft w:val="0"/>
          <w:marRight w:val="0"/>
          <w:marTop w:val="0"/>
          <w:marBottom w:val="0"/>
          <w:divBdr>
            <w:top w:val="none" w:sz="0" w:space="0" w:color="auto"/>
            <w:left w:val="none" w:sz="0" w:space="0" w:color="auto"/>
            <w:bottom w:val="none" w:sz="0" w:space="0" w:color="auto"/>
            <w:right w:val="none" w:sz="0" w:space="0" w:color="auto"/>
          </w:divBdr>
          <w:divsChild>
            <w:div w:id="5474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7615">
      <w:bodyDiv w:val="1"/>
      <w:marLeft w:val="0"/>
      <w:marRight w:val="0"/>
      <w:marTop w:val="0"/>
      <w:marBottom w:val="0"/>
      <w:divBdr>
        <w:top w:val="none" w:sz="0" w:space="0" w:color="auto"/>
        <w:left w:val="none" w:sz="0" w:space="0" w:color="auto"/>
        <w:bottom w:val="none" w:sz="0" w:space="0" w:color="auto"/>
        <w:right w:val="none" w:sz="0" w:space="0" w:color="auto"/>
      </w:divBdr>
      <w:divsChild>
        <w:div w:id="908154869">
          <w:marLeft w:val="562"/>
          <w:marRight w:val="0"/>
          <w:marTop w:val="0"/>
          <w:marBottom w:val="160"/>
          <w:divBdr>
            <w:top w:val="none" w:sz="0" w:space="0" w:color="auto"/>
            <w:left w:val="none" w:sz="0" w:space="0" w:color="auto"/>
            <w:bottom w:val="none" w:sz="0" w:space="0" w:color="auto"/>
            <w:right w:val="none" w:sz="0" w:space="0" w:color="auto"/>
          </w:divBdr>
        </w:div>
      </w:divsChild>
    </w:div>
    <w:div w:id="1768034788">
      <w:bodyDiv w:val="1"/>
      <w:marLeft w:val="0"/>
      <w:marRight w:val="0"/>
      <w:marTop w:val="0"/>
      <w:marBottom w:val="0"/>
      <w:divBdr>
        <w:top w:val="none" w:sz="0" w:space="0" w:color="auto"/>
        <w:left w:val="none" w:sz="0" w:space="0" w:color="auto"/>
        <w:bottom w:val="none" w:sz="0" w:space="0" w:color="auto"/>
        <w:right w:val="none" w:sz="0" w:space="0" w:color="auto"/>
      </w:divBdr>
    </w:div>
    <w:div w:id="1931501467">
      <w:bodyDiv w:val="1"/>
      <w:marLeft w:val="0"/>
      <w:marRight w:val="0"/>
      <w:marTop w:val="0"/>
      <w:marBottom w:val="0"/>
      <w:divBdr>
        <w:top w:val="none" w:sz="0" w:space="0" w:color="auto"/>
        <w:left w:val="none" w:sz="0" w:space="0" w:color="auto"/>
        <w:bottom w:val="none" w:sz="0" w:space="0" w:color="auto"/>
        <w:right w:val="none" w:sz="0" w:space="0" w:color="auto"/>
      </w:divBdr>
    </w:div>
    <w:div w:id="2000380093">
      <w:bodyDiv w:val="1"/>
      <w:marLeft w:val="0"/>
      <w:marRight w:val="0"/>
      <w:marTop w:val="0"/>
      <w:marBottom w:val="0"/>
      <w:divBdr>
        <w:top w:val="none" w:sz="0" w:space="0" w:color="auto"/>
        <w:left w:val="none" w:sz="0" w:space="0" w:color="auto"/>
        <w:bottom w:val="none" w:sz="0" w:space="0" w:color="auto"/>
        <w:right w:val="none" w:sz="0" w:space="0" w:color="auto"/>
      </w:divBdr>
      <w:divsChild>
        <w:div w:id="809786234">
          <w:marLeft w:val="0"/>
          <w:marRight w:val="0"/>
          <w:marTop w:val="0"/>
          <w:marBottom w:val="0"/>
          <w:divBdr>
            <w:top w:val="none" w:sz="0" w:space="0" w:color="auto"/>
            <w:left w:val="none" w:sz="0" w:space="0" w:color="auto"/>
            <w:bottom w:val="none" w:sz="0" w:space="0" w:color="auto"/>
            <w:right w:val="none" w:sz="0" w:space="0" w:color="auto"/>
          </w:divBdr>
          <w:divsChild>
            <w:div w:id="16154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579">
      <w:bodyDiv w:val="1"/>
      <w:marLeft w:val="0"/>
      <w:marRight w:val="0"/>
      <w:marTop w:val="0"/>
      <w:marBottom w:val="0"/>
      <w:divBdr>
        <w:top w:val="none" w:sz="0" w:space="0" w:color="auto"/>
        <w:left w:val="none" w:sz="0" w:space="0" w:color="auto"/>
        <w:bottom w:val="none" w:sz="0" w:space="0" w:color="auto"/>
        <w:right w:val="none" w:sz="0" w:space="0" w:color="auto"/>
      </w:divBdr>
      <w:divsChild>
        <w:div w:id="1208907691">
          <w:marLeft w:val="0"/>
          <w:marRight w:val="0"/>
          <w:marTop w:val="0"/>
          <w:marBottom w:val="0"/>
          <w:divBdr>
            <w:top w:val="none" w:sz="0" w:space="0" w:color="auto"/>
            <w:left w:val="none" w:sz="0" w:space="0" w:color="auto"/>
            <w:bottom w:val="none" w:sz="0" w:space="0" w:color="auto"/>
            <w:right w:val="none" w:sz="0" w:space="0" w:color="auto"/>
          </w:divBdr>
          <w:divsChild>
            <w:div w:id="17042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politica-regulatoria/oredatelmex2017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1336-381C-409A-A74D-A296193D53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6A02B-5D68-4A29-9BD4-1B4E8C9C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CFD474-33D2-4AFF-B675-08250707BECA}">
  <ds:schemaRefs>
    <ds:schemaRef ds:uri="http://schemas.microsoft.com/sharepoint/v3/contenttype/forms"/>
  </ds:schemaRefs>
</ds:datastoreItem>
</file>

<file path=customXml/itemProps4.xml><?xml version="1.0" encoding="utf-8"?>
<ds:datastoreItem xmlns:ds="http://schemas.openxmlformats.org/officeDocument/2006/customXml" ds:itemID="{FF7E9B01-C4B6-4ACD-9174-8C6BF1C6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Armando Isaias Zacateco Rivera</cp:lastModifiedBy>
  <cp:revision>3</cp:revision>
  <cp:lastPrinted>2017-06-01T15:18:00Z</cp:lastPrinted>
  <dcterms:created xsi:type="dcterms:W3CDTF">2017-09-15T14:41:00Z</dcterms:created>
  <dcterms:modified xsi:type="dcterms:W3CDTF">2017-09-15T14:43:00Z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